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ascii="仿宋" w:hAnsi="仿宋" w:eastAsia="仿宋" w:cs="仿宋"/>
          <w:b/>
          <w:bCs/>
          <w:color w:val="auto"/>
          <w:sz w:val="60"/>
          <w:szCs w:val="60"/>
          <w:highlight w:val="none"/>
        </w:rPr>
      </w:pPr>
      <w:r>
        <w:rPr>
          <w:rFonts w:hint="eastAsia" w:ascii="仿宋" w:hAnsi="仿宋" w:eastAsia="仿宋" w:cs="仿宋"/>
          <w:b/>
          <w:bCs/>
          <w:color w:val="auto"/>
          <w:sz w:val="60"/>
          <w:szCs w:val="60"/>
          <w:highlight w:val="none"/>
        </w:rPr>
        <w:t xml:space="preserve">南京医科大学附属口腔医院</w:t>
      </w:r>
      <w:r/>
    </w:p>
    <w:p>
      <w:pPr>
        <w:ind w:right="120"/>
        <w:jc w:val="center"/>
        <w:spacing w:line="360" w:lineRule="auto"/>
        <w:rPr>
          <w:rFonts w:ascii="仿宋" w:hAnsi="仿宋" w:eastAsia="仿宋" w:cs="仿宋"/>
          <w:b/>
          <w:bCs/>
          <w:color w:val="auto"/>
          <w:sz w:val="60"/>
          <w:szCs w:val="60"/>
          <w:highlight w:val="none"/>
        </w:rPr>
      </w:pPr>
      <w:r>
        <w:rPr>
          <w:rFonts w:hint="eastAsia" w:ascii="仿宋" w:hAnsi="仿宋" w:eastAsia="仿宋" w:cs="仿宋"/>
          <w:b/>
          <w:bCs/>
          <w:color w:val="auto"/>
          <w:sz w:val="60"/>
          <w:szCs w:val="60"/>
          <w:highlight w:val="none"/>
        </w:rPr>
        <w:t xml:space="preserve">后勤运维服务</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项目编号：JSZC-320000-NJXD-G2026-0029</w:t>
      </w:r>
      <w:r/>
    </w:p>
    <w:p>
      <w:pPr>
        <w:ind w:right="120"/>
        <w:jc w:val="center"/>
        <w:spacing w:line="360" w:lineRule="auto"/>
        <w:rPr>
          <w:rFonts w:ascii="仿宋" w:hAnsi="仿宋" w:eastAsia="仿宋" w:cs="仿宋"/>
          <w:color w:val="auto"/>
          <w:sz w:val="40"/>
          <w:szCs w:val="40"/>
          <w:highlight w:val="none"/>
        </w:rPr>
      </w:pPr>
      <w:r>
        <w:rPr>
          <w:rFonts w:ascii="仿宋" w:hAnsi="仿宋" w:eastAsia="仿宋" w:cs="仿宋"/>
          <w:color w:val="auto"/>
          <w:sz w:val="40"/>
          <w:szCs w:val="40"/>
          <w:highlight w:val="none"/>
        </w:rPr>
        <w:t xml:space="preserve">（</w:t>
      </w:r>
      <w:r>
        <w:rPr>
          <w:rFonts w:hint="eastAsia" w:ascii="仿宋" w:hAnsi="仿宋" w:eastAsia="仿宋" w:cs="仿宋"/>
          <w:color w:val="auto"/>
          <w:sz w:val="40"/>
          <w:szCs w:val="40"/>
          <w:highlight w:val="none"/>
        </w:rPr>
        <w:t xml:space="preserve">服务</w:t>
      </w:r>
      <w:r>
        <w:rPr>
          <w:rFonts w:ascii="仿宋" w:hAnsi="仿宋" w:eastAsia="仿宋" w:cs="仿宋"/>
          <w:color w:val="auto"/>
          <w:sz w:val="40"/>
          <w:szCs w:val="40"/>
          <w:highlight w:val="none"/>
        </w:rPr>
        <w:t xml:space="preserve">类项目，</w:t>
      </w:r>
      <w:r>
        <w:rPr>
          <w:rFonts w:ascii="仿宋" w:hAnsi="仿宋" w:eastAsia="仿宋" w:cs="仿宋"/>
          <w:color w:val="auto"/>
          <w:sz w:val="40"/>
          <w:szCs w:val="40"/>
          <w:highlight w:val="none"/>
          <w:u w:val="single"/>
        </w:rPr>
        <w:t xml:space="preserve"> </w:t>
      </w:r>
      <w:r>
        <w:rPr>
          <w:rFonts w:hint="eastAsia" w:ascii="仿宋" w:hAnsi="仿宋" w:eastAsia="仿宋" w:cs="仿宋"/>
          <w:color w:val="auto"/>
          <w:sz w:val="40"/>
          <w:szCs w:val="40"/>
          <w:highlight w:val="none"/>
          <w:u w:val="single"/>
        </w:rPr>
        <w:t xml:space="preserve">非</w:t>
      </w:r>
      <w:r>
        <w:rPr>
          <w:rFonts w:ascii="仿宋" w:hAnsi="仿宋" w:eastAsia="仿宋" w:cs="仿宋"/>
          <w:color w:val="auto"/>
          <w:sz w:val="40"/>
          <w:szCs w:val="40"/>
          <w:highlight w:val="none"/>
          <w:u w:val="single"/>
        </w:rPr>
        <w:t xml:space="preserve"> </w:t>
      </w:r>
      <w:r>
        <w:rPr>
          <w:rFonts w:ascii="仿宋" w:hAnsi="仿宋" w:eastAsia="仿宋" w:cs="仿宋"/>
          <w:color w:val="auto"/>
          <w:sz w:val="40"/>
          <w:szCs w:val="40"/>
          <w:highlight w:val="none"/>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rPr>
        <w:t xml:space="preserve"> </w:t>
      </w:r>
      <w:bookmarkEnd w:id="3"/>
      <w:r>
        <w:rPr>
          <w:rFonts w:hint="eastAsia" w:ascii="仿宋" w:hAnsi="仿宋" w:eastAsia="仿宋" w:cs="仿宋"/>
          <w:color w:val="auto"/>
          <w:sz w:val="36"/>
          <w:szCs w:val="36"/>
          <w:highlight w:val="none"/>
        </w:rPr>
        <w:t xml:space="preserve">采购代理机构：南京相度工程咨询有限公司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日期：2026年5月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59"/>
            <w:spacing w:line="360" w:lineRule="auto"/>
            <w:tabs>
              <w:tab w:val="right" w:pos="8844" w:leader="dot"/>
            </w:tabs>
            <w:rPr>
              <w:rFonts w:ascii="仿宋" w:hAnsi="仿宋" w:eastAsia="仿宋" w:cs="仿宋"/>
              <w:color w:val="auto"/>
              <w:sz w:val="28"/>
              <w:szCs w:val="28"/>
              <w:highlight w:val="none"/>
            </w:rPr>
          </w:pPr>
          <w:r>
            <w:rPr>
              <w:rFonts w:hint="eastAsia" w:ascii="仿宋" w:hAnsi="仿宋" w:eastAsia="仿宋" w:cs="仿宋"/>
              <w:b/>
              <w:color w:val="auto"/>
              <w:sz w:val="32"/>
              <w:szCs w:val="32"/>
              <w:highlight w:val="none"/>
            </w:rPr>
            <w:fldChar w:fldCharType="begin"/>
          </w:r>
          <w:r>
            <w:rPr>
              <w:rFonts w:hint="eastAsia" w:ascii="仿宋" w:hAnsi="仿宋" w:eastAsia="仿宋" w:cs="仿宋"/>
              <w:b/>
              <w:color w:val="auto"/>
              <w:sz w:val="32"/>
              <w:szCs w:val="32"/>
              <w:highlight w:val="none"/>
            </w:rPr>
            <w:instrText xml:space="preserve">TOC \o "1-1" \h \u </w:instrText>
          </w:r>
          <w:r>
            <w:rPr>
              <w:rFonts w:hint="eastAsia" w:ascii="仿宋" w:hAnsi="仿宋" w:eastAsia="仿宋" w:cs="仿宋"/>
              <w:b/>
              <w:color w:val="auto"/>
              <w:sz w:val="32"/>
              <w:szCs w:val="32"/>
              <w:highlight w:val="none"/>
            </w:rPr>
            <w:fldChar w:fldCharType="separate"/>
          </w:r>
          <w:r>
            <w:rPr>
              <w:color w:val="auto"/>
              <w:highlight w:val="none"/>
            </w:rPr>
            <w:fldChar w:fldCharType="begin"/>
          </w:r>
          <w:r>
            <w:rPr>
              <w:color w:val="auto"/>
              <w:highlight w:val="none"/>
            </w:rPr>
            <w:instrText xml:space="preserve"> HYPERLINK \l "_Toc12815" </w:instrText>
          </w:r>
          <w:r>
            <w:rPr>
              <w:color w:val="auto"/>
              <w:highlight w:val="none"/>
            </w:rPr>
            <w:fldChar w:fldCharType="separate"/>
          </w:r>
          <w:r>
            <w:rPr>
              <w:rFonts w:hint="eastAsia" w:ascii="仿宋" w:hAnsi="仿宋" w:eastAsia="仿宋" w:cs="仿宋"/>
              <w:color w:val="auto"/>
              <w:sz w:val="28"/>
              <w:szCs w:val="28"/>
              <w:highlight w:val="none"/>
            </w:rPr>
            <w:t xml:space="preserve">第一部分  招标公告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_Toc12815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9"/>
            <w:spacing w:line="360" w:lineRule="auto"/>
            <w:tabs>
              <w:tab w:val="right" w:pos="8844" w:leader="dot"/>
            </w:tabs>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"_Toc32745" </w:instrText>
          </w:r>
          <w:r>
            <w:rPr>
              <w:color w:val="auto"/>
              <w:highlight w:val="none"/>
            </w:rPr>
            <w:fldChar w:fldCharType="separate"/>
          </w:r>
          <w:r>
            <w:rPr>
              <w:rFonts w:hint="eastAsia" w:ascii="仿宋" w:hAnsi="仿宋" w:eastAsia="仿宋" w:cs="仿宋"/>
              <w:color w:val="auto"/>
              <w:sz w:val="28"/>
              <w:szCs w:val="28"/>
              <w:highlight w:val="none"/>
            </w:rPr>
            <w:t xml:space="preserve">第二部分  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_Toc32745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9"/>
            <w:spacing w:line="360" w:lineRule="auto"/>
            <w:tabs>
              <w:tab w:val="right" w:pos="8844" w:leader="dot"/>
            </w:tabs>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"_Toc24172" </w:instrText>
          </w:r>
          <w:r>
            <w:rPr>
              <w:color w:val="auto"/>
              <w:highlight w:val="none"/>
            </w:rPr>
            <w:fldChar w:fldCharType="separate"/>
          </w:r>
          <w:r>
            <w:rPr>
              <w:rFonts w:hint="eastAsia" w:ascii="仿宋" w:hAnsi="仿宋" w:eastAsia="仿宋" w:cs="仿宋"/>
              <w:color w:val="auto"/>
              <w:sz w:val="28"/>
              <w:szCs w:val="28"/>
              <w:highlight w:val="none"/>
            </w:rPr>
            <w:t xml:space="preserve">第三部分  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_Toc24172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9"/>
            <w:spacing w:line="360" w:lineRule="auto"/>
            <w:tabs>
              <w:tab w:val="right" w:pos="8844" w:leader="dot"/>
            </w:tabs>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"_Toc20319" </w:instrText>
          </w:r>
          <w:r>
            <w:rPr>
              <w:color w:val="auto"/>
              <w:highlight w:val="none"/>
            </w:rPr>
            <w:fldChar w:fldCharType="separate"/>
          </w:r>
          <w:r>
            <w:rPr>
              <w:rFonts w:hint="eastAsia" w:ascii="仿宋" w:hAnsi="仿宋" w:eastAsia="仿宋" w:cs="仿宋"/>
              <w:color w:val="auto"/>
              <w:sz w:val="28"/>
              <w:szCs w:val="28"/>
              <w:highlight w:val="none"/>
            </w:rPr>
            <w:t xml:space="preserve">第四部分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_Toc20319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9"/>
            <w:spacing w:line="360" w:lineRule="auto"/>
            <w:tabs>
              <w:tab w:val="right" w:pos="8844" w:leader="dot"/>
            </w:tabs>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"_Toc26884" </w:instrText>
          </w:r>
          <w:r>
            <w:rPr>
              <w:color w:val="auto"/>
              <w:highlight w:val="none"/>
            </w:rPr>
            <w:fldChar w:fldCharType="separate"/>
          </w:r>
          <w:r>
            <w:rPr>
              <w:rFonts w:hint="eastAsia" w:ascii="仿宋" w:hAnsi="仿宋" w:eastAsia="仿宋" w:cs="仿宋"/>
              <w:color w:val="auto"/>
              <w:sz w:val="28"/>
              <w:szCs w:val="28"/>
              <w:highlight w:val="none"/>
            </w:rPr>
            <w:t xml:space="preserve">第五部分  评标方法和标准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_Toc26884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60</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9"/>
            <w:spacing w:line="360" w:lineRule="auto"/>
            <w:tabs>
              <w:tab w:val="right" w:pos="8844" w:leader="dot"/>
            </w:tabs>
            <w:rPr>
              <w:color w:val="auto"/>
              <w:highlight w:val="none"/>
            </w:rPr>
          </w:pPr>
          <w:r>
            <w:rPr>
              <w:color w:val="auto"/>
              <w:highlight w:val="none"/>
            </w:rPr>
            <w:fldChar w:fldCharType="begin"/>
          </w:r>
          <w:r>
            <w:rPr>
              <w:color w:val="auto"/>
              <w:highlight w:val="none"/>
            </w:rPr>
            <w:instrText xml:space="preserve"> HYPERLINK \l "_Toc24782" </w:instrText>
          </w:r>
          <w:r>
            <w:rPr>
              <w:color w:val="auto"/>
              <w:highlight w:val="none"/>
            </w:rPr>
            <w:fldChar w:fldCharType="separate"/>
          </w:r>
          <w:r>
            <w:rPr>
              <w:rFonts w:hint="eastAsia" w:ascii="仿宋" w:hAnsi="仿宋" w:eastAsia="仿宋" w:cs="仿宋"/>
              <w:color w:val="auto"/>
              <w:sz w:val="28"/>
              <w:szCs w:val="28"/>
              <w:highlight w:val="none"/>
            </w:rPr>
            <w:t xml:space="preserve">第六部分  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_Toc24782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64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9"/>
            <w:tabs>
              <w:tab w:val="right" w:pos="8844" w:leader="dot"/>
            </w:tabs>
            <w:rPr>
              <w:color w:val="auto"/>
              <w:highlight w:val="none"/>
            </w:rPr>
          </w:pPr>
          <w:r>
            <w:rPr>
              <w:color w:val="auto"/>
              <w:highlight w:val="none"/>
            </w:rPr>
          </w:r>
          <w:r/>
        </w:p>
        <w:p>
          <w:pPr>
            <w:jc w:val="center"/>
            <w:spacing w:line="360" w:lineRule="auto"/>
            <w:rPr>
              <w:rFonts w:ascii="仿宋" w:hAnsi="仿宋" w:eastAsia="仿宋" w:cs="仿宋"/>
              <w:b/>
              <w:color w:val="auto"/>
              <w:sz w:val="32"/>
              <w:szCs w:val="32"/>
              <w:highlight w:val="none"/>
            </w:rPr>
          </w:pPr>
          <w:r>
            <w:rPr>
              <w:rFonts w:hint="eastAsia" w:ascii="仿宋" w:hAnsi="仿宋" w:eastAsia="仿宋" w:cs="仿宋"/>
              <w:color w:val="auto"/>
              <w:szCs w:val="32"/>
              <w:highlight w:val="none"/>
            </w:rPr>
            <w:fldChar w:fldCharType="end"/>
          </w:r>
          <w:r/>
        </w:p>
      </w:sdtContent>
    </w:sdt>
    <w:p>
      <w:pPr>
        <w:pStyle w:val="939"/>
        <w:jc w:val="center"/>
        <w:spacing w:line="360" w:lineRule="auto"/>
        <w:rPr>
          <w:rFonts w:ascii="仿宋" w:hAnsi="仿宋" w:eastAsia="仿宋" w:cs="仿宋"/>
          <w:color w:val="auto"/>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39"/>
        <w:jc w:val="center"/>
        <w:spacing w:line="240" w:lineRule="auto"/>
        <w:rPr>
          <w:color w:val="auto"/>
          <w:highlight w:val="none"/>
        </w:rPr>
      </w:pPr>
      <w:r/>
      <w:bookmarkStart w:id="5" w:name="_Toc12815"/>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南京医科大学附属口腔医院后勤运维服务</w:t>
      </w:r>
      <w:r>
        <w:rPr>
          <w:rFonts w:hint="eastAsia" w:ascii="仿宋" w:hAnsi="仿宋" w:eastAsia="仿宋" w:cs="仿宋"/>
          <w:color w:val="auto"/>
          <w:highlight w:val="none"/>
        </w:rPr>
        <w:t xml:space="preserve">JSZC-320000-NJXD-G2026-0029</w:t>
      </w:r>
      <w:r>
        <w:rPr>
          <w:rFonts w:hint="eastAsia" w:ascii="仿宋" w:hAnsi="仿宋" w:eastAsia="仿宋" w:cs="仿宋"/>
          <w:bCs/>
          <w:iCs/>
          <w:color w:val="auto"/>
          <w:highlight w:val="none"/>
        </w:rPr>
        <w:t xml:space="preserve"> 招标项目的潜在投标人应在“苏采云”系统内免费下载（投标人必须在苏采云系统中获取采购文件，方能参与政府采购项目）获取招标文件，并于2026年</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rPr>
        <w:t xml:space="preserve">月</w:t>
      </w:r>
      <w:r>
        <w:rPr>
          <w:rFonts w:hint="eastAsia" w:ascii="仿宋" w:hAnsi="仿宋" w:eastAsia="仿宋" w:cs="仿宋"/>
          <w:bCs/>
          <w:iCs/>
          <w:color w:val="auto"/>
          <w:highlight w:val="none"/>
          <w:lang w:val="en-US" w:eastAsia="zh-CN"/>
        </w:rPr>
        <w:t xml:space="preserve">9</w:t>
      </w:r>
      <w:r>
        <w:rPr>
          <w:rFonts w:hint="eastAsia" w:ascii="仿宋" w:hAnsi="仿宋" w:eastAsia="仿宋" w:cs="仿宋"/>
          <w:bCs/>
          <w:iCs/>
          <w:color w:val="auto"/>
          <w:highlight w:val="none"/>
        </w:rPr>
        <w:t xml:space="preserve">日 0</w:t>
      </w:r>
      <w:r>
        <w:rPr>
          <w:rFonts w:hint="eastAsia" w:ascii="仿宋" w:hAnsi="仿宋" w:eastAsia="仿宋" w:cs="仿宋"/>
          <w:bCs/>
          <w:iCs/>
          <w:color w:val="auto"/>
          <w:highlight w:val="none"/>
          <w:lang w:val="en-US" w:eastAsia="zh-CN"/>
        </w:rPr>
        <w:t xml:space="preserve">9</w:t>
      </w:r>
      <w:r>
        <w:rPr>
          <w:rFonts w:hint="eastAsia" w:ascii="仿宋" w:hAnsi="仿宋" w:eastAsia="仿宋" w:cs="仿宋"/>
          <w:bCs/>
          <w:iCs/>
          <w:color w:val="auto"/>
          <w:highlight w:val="none"/>
        </w:rPr>
        <w:t xml:space="preserve">:</w:t>
      </w:r>
      <w:r>
        <w:rPr>
          <w:rFonts w:hint="eastAsia" w:ascii="仿宋" w:hAnsi="仿宋" w:eastAsia="仿宋" w:cs="仿宋"/>
          <w:bCs/>
          <w:iCs/>
          <w:color w:val="auto"/>
          <w:highlight w:val="none"/>
          <w:lang w:val="en-US" w:eastAsia="zh-CN"/>
        </w:rPr>
        <w:t xml:space="preserve">3</w:t>
      </w:r>
      <w:r>
        <w:rPr>
          <w:rFonts w:hint="eastAsia" w:ascii="仿宋" w:hAnsi="仿宋" w:eastAsia="仿宋" w:cs="仿宋"/>
          <w:bCs/>
          <w:iCs/>
          <w:color w:val="auto"/>
          <w:highlight w:val="none"/>
        </w:rPr>
        <w:t xml:space="preserve">0（北京时间）前递交投标文件。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（一）项目编号：JSZC-320000-NJXD-G2026-0029</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rPr>
        <w:t xml:space="preserve">南京医科大学附属口腔医院后勤运维服务</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rPr>
        <w:t xml:space="preserve">600万/三年；200万元/年</w:t>
      </w:r>
      <w:r/>
    </w:p>
    <w:p>
      <w:pPr>
        <w:ind w:firstLine="480"/>
        <w:spacing w:line="500" w:lineRule="exact"/>
        <w:rPr>
          <w:rFonts w:ascii="仿宋" w:hAnsi="仿宋" w:eastAsia="仿宋" w:cs="仿宋"/>
          <w:b/>
          <w:bCs/>
          <w:color w:val="auto"/>
          <w:highlight w:val="none"/>
        </w:rPr>
      </w:pPr>
      <w:r>
        <w:rPr>
          <w:rFonts w:hint="eastAsia" w:ascii="仿宋" w:hAnsi="仿宋" w:eastAsia="仿宋" w:cs="仿宋"/>
          <w:color w:val="auto"/>
          <w:highlight w:val="none"/>
        </w:rPr>
        <w:t xml:space="preserve">（四）最高限价：540万/三年；180万元/年（</w:t>
      </w:r>
      <w:r>
        <w:rPr>
          <w:rFonts w:hint="eastAsia" w:ascii="仿宋" w:hAnsi="仿宋" w:eastAsia="仿宋" w:cs="仿宋"/>
          <w:b/>
          <w:bCs/>
          <w:i/>
          <w:iCs/>
          <w:color w:val="auto"/>
          <w:highlight w:val="none"/>
          <w:u w:val="single"/>
        </w:rPr>
        <w:t xml:space="preserve">投标报价超过最高限价的按无效投标处理</w:t>
      </w:r>
      <w:r>
        <w:rPr>
          <w:rFonts w:hint="eastAsia" w:ascii="仿宋" w:hAnsi="仿宋" w:eastAsia="仿宋" w:cs="仿宋"/>
          <w:color w:val="auto"/>
          <w:highlight w:val="none"/>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rPr>
        <w:t xml:space="preserve">南京医科大学附属口腔医院采购所需后勤运维服务</w:t>
      </w:r>
      <w:r>
        <w:rPr>
          <w:rFonts w:hint="eastAsia" w:ascii="仿宋" w:hAnsi="仿宋" w:eastAsia="仿宋" w:cs="仿宋"/>
          <w:color w:val="auto"/>
          <w:highlight w:val="none"/>
        </w:rPr>
        <w:t xml:space="preserve">，具体要求见招标文件。</w:t>
      </w:r>
      <w:r/>
    </w:p>
    <w:p>
      <w:pPr>
        <w:ind w:firstLine="480"/>
        <w:spacing w:line="500" w:lineRule="exact"/>
        <w:rPr>
          <w:rFonts w:ascii="仿宋" w:hAnsi="仿宋" w:eastAsia="仿宋" w:cs="仿宋"/>
          <w:b/>
          <w:bCs/>
          <w:color w:val="auto"/>
          <w:highlight w:val="none"/>
        </w:rPr>
      </w:pPr>
      <w:r>
        <w:rPr>
          <w:rFonts w:hint="eastAsia" w:ascii="仿宋" w:hAnsi="仿宋" w:eastAsia="仿宋" w:cs="仿宋"/>
          <w:color w:val="auto"/>
          <w:highlight w:val="none"/>
        </w:rPr>
        <w:t xml:space="preserve">（六）合同履行期限：服务周期三年，自合同签订之日起计，合同一年一签。</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1.具有独立承担民事责任的能力（提供法人或者其他组织的营业执照；投标人为自然人的，提供其身份证）。</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2.具有良好的商业信誉和健全的财务会计制度（提供2024年度或2025年度财务报告，至少包含资产负债表、利润表，或投标截止时间前六个月内银行出具的资信证明，成立不满一年的无需提供，以营业执照成立日期为准）。</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3.具备履行合同所必需的设备和专业技术能力（投标人根据履行采购项目合同需要，提供履行合同所必需的设备和专业技术能力的证明材料）。</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4.有依法缴纳税收和社会保障资金的良好记录（2025年12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5.参加采购活动前三年内，在经营活动中没有重大违法记录（提供承诺书）。</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6.法律、行政法规规定的其他条件。</w:t>
      </w:r>
      <w:r/>
    </w:p>
    <w:p>
      <w:pPr>
        <w:ind w:firstLine="480"/>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（二）落实政府采购政策需满足的资格要求：本项目无落实政府采购政策需满足的资格要求。</w:t>
      </w:r>
      <w:r/>
    </w:p>
    <w:p>
      <w:pPr>
        <w:ind w:firstLine="482"/>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（三）本项目的特定资格要求：</w:t>
      </w:r>
      <w:r/>
    </w:p>
    <w:p>
      <w:pPr>
        <w:ind w:firstLine="482"/>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1.未被“信用中国”网、“中国政府采购”网、江苏政府采购网列入失信被执行人、重大税收违法案件当事人名单、政府采购严重失信行为记录名单；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2.单位负责人为同一人或者存在直接控股、管理关系的不同投标人，不得参加同一合同项下的政府采购活动。为采购项目提供整体设计、规范编制或者项目管理、监理、检测等服务的投标人，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（一）时间：自招标文件公告发布之日起5个工作日（2026年</w:t>
      </w:r>
      <w:r>
        <w:rPr>
          <w:rFonts w:hint="eastAsia" w:ascii="仿宋" w:hAnsi="仿宋" w:eastAsia="仿宋" w:cs="仿宋"/>
          <w:bCs/>
          <w:color w:val="auto"/>
          <w:highlight w:val="none"/>
          <w:lang w:val="en-US" w:eastAsia="zh-CN"/>
        </w:rPr>
        <w:t xml:space="preserve">5</w:t>
      </w:r>
      <w:r>
        <w:rPr>
          <w:rFonts w:hint="eastAsia" w:ascii="仿宋" w:hAnsi="仿宋" w:eastAsia="仿宋" w:cs="仿宋"/>
          <w:bCs/>
          <w:color w:val="auto"/>
          <w:highlight w:val="none"/>
        </w:rPr>
        <w:t xml:space="preserve">月</w:t>
      </w:r>
      <w:r>
        <w:rPr>
          <w:rFonts w:hint="eastAsia" w:ascii="仿宋" w:hAnsi="仿宋" w:eastAsia="仿宋" w:cs="仿宋"/>
          <w:bCs/>
          <w:color w:val="auto"/>
          <w:highlight w:val="none"/>
          <w:lang w:val="en-US" w:eastAsia="zh-CN"/>
        </w:rPr>
        <w:t xml:space="preserve">19</w:t>
      </w:r>
      <w:r>
        <w:rPr>
          <w:rFonts w:hint="eastAsia" w:ascii="仿宋" w:hAnsi="仿宋" w:eastAsia="仿宋" w:cs="仿宋"/>
          <w:bCs/>
          <w:color w:val="auto"/>
          <w:highlight w:val="none"/>
        </w:rPr>
        <w:t xml:space="preserve">日</w:t>
      </w:r>
      <w:r>
        <w:rPr>
          <w:rFonts w:hint="eastAsia" w:ascii="仿宋" w:hAnsi="仿宋" w:eastAsia="仿宋" w:cs="仿宋"/>
          <w:bCs/>
          <w:color w:val="auto"/>
          <w:highlight w:val="none"/>
          <w:lang w:val="en-US" w:eastAsia="zh-CN"/>
        </w:rPr>
        <w:t xml:space="preserve">17</w:t>
      </w:r>
      <w:r>
        <w:rPr>
          <w:rFonts w:hint="eastAsia" w:ascii="仿宋" w:hAnsi="仿宋" w:eastAsia="仿宋" w:cs="仿宋"/>
          <w:bCs/>
          <w:color w:val="auto"/>
          <w:highlight w:val="none"/>
        </w:rPr>
        <w:t xml:space="preserve">:00至2026年</w:t>
      </w:r>
      <w:r>
        <w:rPr>
          <w:rFonts w:hint="eastAsia" w:ascii="仿宋" w:hAnsi="仿宋" w:eastAsia="仿宋" w:cs="仿宋"/>
          <w:bCs/>
          <w:color w:val="auto"/>
          <w:highlight w:val="none"/>
          <w:lang w:val="en-US" w:eastAsia="zh-CN"/>
        </w:rPr>
        <w:t xml:space="preserve">5</w:t>
      </w:r>
      <w:r>
        <w:rPr>
          <w:rFonts w:hint="eastAsia" w:ascii="仿宋" w:hAnsi="仿宋" w:eastAsia="仿宋" w:cs="仿宋"/>
          <w:bCs/>
          <w:color w:val="auto"/>
          <w:highlight w:val="none"/>
        </w:rPr>
        <w:t xml:space="preserve">月</w:t>
      </w:r>
      <w:r>
        <w:rPr>
          <w:rFonts w:hint="eastAsia" w:ascii="仿宋" w:hAnsi="仿宋" w:eastAsia="仿宋" w:cs="仿宋"/>
          <w:bCs/>
          <w:color w:val="auto"/>
          <w:highlight w:val="none"/>
          <w:lang w:val="en-US" w:eastAsia="zh-CN"/>
        </w:rPr>
        <w:t xml:space="preserve">26</w:t>
      </w:r>
      <w:r>
        <w:rPr>
          <w:rFonts w:hint="eastAsia" w:ascii="仿宋" w:hAnsi="仿宋" w:eastAsia="仿宋" w:cs="仿宋"/>
          <w:bCs/>
          <w:color w:val="auto"/>
          <w:highlight w:val="none"/>
        </w:rPr>
        <w:t xml:space="preserve">日23:59）</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投标人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rPr>
        <w:t xml:space="preserve">2026年</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rPr>
        <w:t xml:space="preserve">月</w:t>
      </w:r>
      <w:r>
        <w:rPr>
          <w:rFonts w:hint="eastAsia" w:ascii="仿宋" w:hAnsi="仿宋" w:eastAsia="仿宋" w:cs="仿宋"/>
          <w:bCs/>
          <w:iCs/>
          <w:color w:val="auto"/>
          <w:highlight w:val="none"/>
          <w:lang w:val="en-US" w:eastAsia="zh-CN"/>
        </w:rPr>
        <w:t xml:space="preserve">9</w:t>
      </w:r>
      <w:r>
        <w:rPr>
          <w:rFonts w:hint="eastAsia" w:ascii="仿宋" w:hAnsi="仿宋" w:eastAsia="仿宋" w:cs="仿宋"/>
          <w:bCs/>
          <w:iCs/>
          <w:color w:val="auto"/>
          <w:highlight w:val="none"/>
        </w:rPr>
        <w:t xml:space="preserve">日0</w:t>
      </w:r>
      <w:r>
        <w:rPr>
          <w:rFonts w:hint="eastAsia" w:ascii="仿宋" w:hAnsi="仿宋" w:eastAsia="仿宋" w:cs="仿宋"/>
          <w:bCs/>
          <w:iCs/>
          <w:color w:val="auto"/>
          <w:highlight w:val="none"/>
          <w:lang w:val="en-US" w:eastAsia="zh-CN"/>
        </w:rPr>
        <w:t xml:space="preserve">9</w:t>
      </w:r>
      <w:r>
        <w:rPr>
          <w:rFonts w:hint="eastAsia" w:ascii="仿宋" w:hAnsi="仿宋" w:eastAsia="仿宋" w:cs="仿宋"/>
          <w:bCs/>
          <w:iCs/>
          <w:color w:val="auto"/>
          <w:highlight w:val="none"/>
        </w:rPr>
        <w:t xml:space="preserve">:</w:t>
      </w:r>
      <w:r>
        <w:rPr>
          <w:rFonts w:hint="eastAsia" w:ascii="仿宋" w:hAnsi="仿宋" w:eastAsia="仿宋" w:cs="仿宋"/>
          <w:bCs/>
          <w:iCs/>
          <w:color w:val="auto"/>
          <w:highlight w:val="none"/>
          <w:lang w:val="en-US" w:eastAsia="zh-CN"/>
        </w:rPr>
        <w:t xml:space="preserve">3</w:t>
      </w:r>
      <w:r>
        <w:rPr>
          <w:rFonts w:hint="eastAsia" w:ascii="仿宋" w:hAnsi="仿宋" w:eastAsia="仿宋" w:cs="仿宋"/>
          <w:bCs/>
          <w:iCs/>
          <w:color w:val="auto"/>
          <w:highlight w:val="none"/>
        </w:rPr>
        <w:t xml:space="preserve">0（北京时间）。</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江苏省政府采购交易系统（苏采云系统）网上开标大厅。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人通过苏采云系统参与政府采购项目，需要办理江苏省政府采购数字证书及电子公章，具体详见苏采云系统登录页“新CA办理指南”。《苏采云系统投标人操作手册》（以下简称《操作手册》）可至江苏政府采购网―办事指南-资料下载中心下载，投标人按《操作手册》进行注册、制作、上传电子投标文件。</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2.潜在投标人访问政府采购管理交易系统（苏采云）的网络地址和方法：</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（2）“CA数字证书”的获取：投标人需办理CA锁，“苏采云”系统目前仅支持“苏采云”系统下的政务CA，省内各地区办理的“苏采云”系统下的政务CA全省通用。</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（3）“CA数字证书”的办理材料以及投标人操作手册详见：http://jsxcmm.com/help/gys.html。</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（4）潜在投标人访问“苏采云”系统的网络地址和方法：“苏采云”系统的网址：http://jszfcg.jsczt.cn/jszc/login。</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（5）采购文件（后缀名为“.kedt”）、投标人操作手册及政府采购客户端工具也可通过“苏采云”系统--已报名项目--报名详情页面内相应链接进行下载。</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（6）招标代理机构（采购代理机构）将数据电文形式的采购文件加载至“苏采云”系统，供潜在投标人下载或者查阅。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（7）苏采云系统使用谷歌浏览器参与不见面开标。</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3.投标文件的解密：</w:t>
      </w:r>
      <w:r>
        <w:rPr>
          <w:rFonts w:hint="eastAsia" w:ascii="仿宋" w:hAnsi="仿宋" w:eastAsia="仿宋" w:cs="仿宋"/>
          <w:color w:val="auto"/>
          <w:highlight w:val="none"/>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仿宋" w:hAnsi="仿宋" w:eastAsia="仿宋" w:cs="仿宋"/>
          <w:b/>
          <w:bCs/>
          <w:color w:val="auto"/>
          <w:highlight w:val="none"/>
        </w:rPr>
        <w:t xml:space="preserve">投标人解密限定在开标后30分钟之内完成</w:t>
      </w:r>
      <w:r>
        <w:rPr>
          <w:rFonts w:hint="eastAsia" w:ascii="仿宋" w:hAnsi="仿宋" w:eastAsia="仿宋" w:cs="仿宋"/>
          <w:color w:val="auto"/>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4.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highlight w:val="none"/>
        </w:rPr>
      </w:pPr>
      <w:r/>
      <w:bookmarkStart w:id="9" w:name="EB6c5d4254c80a4b9cbed1a4ace593426e"/>
      <w:r>
        <w:rPr>
          <w:rFonts w:hint="eastAsia" w:ascii="仿宋" w:hAnsi="仿宋" w:eastAsia="仿宋" w:cs="仿宋"/>
          <w:color w:val="auto"/>
          <w:highlight w:val="none"/>
        </w:rPr>
        <w:t xml:space="preserve">1.采购人信息</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单位名称：南京医科大学附属口腔医院</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单位地址：南京市上海路 1 号</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联系人：彭老师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联系方式：025-69593162</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2.采购代理机构信息</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名称：南京相度工程咨询有限公司</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地址：南京市中山南路414号投资大厦A层（13层）1301室</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联系人：阮登湖（项目负责人）、万晗晓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联系方式：025-85507079</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3.项目联系方式</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项目联系人：阮登湖（项目负责人）、万晗晓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电话：025-85507079</w:t>
      </w:r>
      <w:r/>
    </w:p>
    <w:p>
      <w:pPr>
        <w:rPr>
          <w:color w:val="auto"/>
          <w:highlight w:val="none"/>
        </w:rPr>
      </w:pPr>
      <w:r>
        <w:rPr>
          <w:rFonts w:hint="eastAsia"/>
          <w:color w:val="auto"/>
          <w:sz w:val="20"/>
          <w:highlight w:val="none"/>
        </w:rPr>
        <w:t xml:space="preserve"> </w:t>
      </w:r>
      <w:bookmarkEnd w:id="9"/>
      <w:r/>
      <w:r/>
    </w:p>
    <w:p>
      <w:pPr>
        <w:pStyle w:val="939"/>
        <w:jc w:val="center"/>
        <w:spacing w:line="240" w:lineRule="auto"/>
        <w:rPr>
          <w:color w:val="auto"/>
          <w:highlight w:val="none"/>
        </w:rPr>
      </w:pPr>
      <w:r/>
      <w:bookmarkStart w:id="10" w:name="_Toc4509"/>
      <w:r/>
      <w:bookmarkStart w:id="11" w:name="_Toc32745"/>
      <w:r>
        <w:rPr>
          <w:rFonts w:hint="eastAsia"/>
          <w:color w:val="auto"/>
          <w:highlight w:val="none"/>
        </w:rPr>
        <w:t xml:space="preserve">第二部分  投标人须知</w:t>
      </w:r>
      <w:bookmarkEnd w:id="10"/>
      <w:r/>
      <w:bookmarkEnd w:id="11"/>
      <w:r/>
      <w:r/>
    </w:p>
    <w:p>
      <w:pPr>
        <w:pStyle w:val="940"/>
        <w:spacing w:before="0" w:after="0" w:line="240" w:lineRule="auto"/>
        <w:rPr>
          <w:color w:val="auto"/>
          <w:highlight w:val="none"/>
        </w:rPr>
      </w:pPr>
      <w:r/>
      <w:bookmarkStart w:id="12" w:name="_Toc921"/>
      <w:r>
        <w:rPr>
          <w:rFonts w:hint="eastAsia"/>
          <w:color w:val="auto"/>
          <w:highlight w:val="none"/>
        </w:rPr>
        <w:t xml:space="preserve">投标人须知前附表：</w:t>
      </w:r>
      <w:bookmarkEnd w:id="12"/>
      <w:r/>
      <w:r/>
    </w:p>
    <w:tbl>
      <w:tblPr>
        <w:tblStyle w:val="74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63"/>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因采购人南京医科大学附属口腔医院经过公开遴选并和代理机构签订了年度代理协议，约定由中标、成交供应商支付代理服务费（含专家评审费）。本项目招标代理服务费用（含专家评审费）按单个项目的中标金额为基础，参照“计价格〔2002〕1980号文件和发改委〔2003〕857号文件”收费标准的成交折扣四折收取。如计算出的代理服务费低于4500元的，则按4500元收取；如计算出的代理服务费高于20000元的，则按20000元收取。</w:t>
            </w:r>
            <w:r/>
          </w:p>
          <w:p>
            <w:pPr>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代理服务收费按差额定率累进法计算。跨年度项目按年度成交金额计算。</w:t>
            </w:r>
            <w:r/>
          </w:p>
          <w:p>
            <w:pPr>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其中本项目专家评审费2000元由采购人南京医科大学附属口腔医院依据苏财规〔2026〕1号文支付。</w:t>
            </w:r>
            <w:r/>
          </w:p>
          <w:p>
            <w:pPr>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因此本项目代理服务费实际缴纳金额为按以上方式计算后扣减专家评审费金额，由中标、成交供应商支付。</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履约保证金金额：单月</w:t>
            </w:r>
            <w:r>
              <w:rPr>
                <w:rFonts w:ascii="仿宋" w:hAnsi="仿宋" w:eastAsia="仿宋" w:cs="仿宋"/>
                <w:color w:val="auto"/>
                <w:highlight w:val="none"/>
              </w:rPr>
              <w:t xml:space="preserve">的管理服务费</w:t>
            </w:r>
            <w:r>
              <w:rPr>
                <w:rFonts w:hint="eastAsia" w:ascii="仿宋" w:hAnsi="仿宋" w:eastAsia="仿宋" w:cs="仿宋"/>
                <w:color w:val="auto"/>
                <w:highlight w:val="none"/>
              </w:rPr>
              <w:t xml:space="preserve">（单年合同金额/12个月）。其他要求详见第33条。</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rPr>
              <w:t xml:space="preserve">租赁和商务服务业</w:t>
            </w:r>
            <w:r>
              <w:rPr>
                <w:rFonts w:hint="eastAsia" w:ascii="仿宋" w:hAnsi="仿宋" w:eastAsia="仿宋" w:cs="仿宋"/>
                <w:color w:val="auto"/>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ascii="仿宋" w:hAnsi="仿宋" w:eastAsia="仿宋" w:cs="仿宋"/>
                <w:color w:val="auto"/>
                <w:highlight w:val="none"/>
              </w:rPr>
            </w:pPr>
            <w:r/>
            <w:bookmarkStart w:id="15" w:name="_Toc6204"/>
            <w:r>
              <w:rPr>
                <w:rFonts w:hint="eastAsia" w:ascii="仿宋" w:hAnsi="仿宋" w:eastAsia="仿宋" w:cs="仿宋"/>
                <w:color w:val="auto"/>
                <w:highlight w:val="none"/>
              </w:rPr>
              <w:t xml:space="preserve">9</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rPr>
              <w:t xml:space="preserve">服务类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11</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40"/>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69"/>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2.合格的投标人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2.1合格的投标人必须是有能力按照本招标文件规定的要求提供服务和相关设备，且具有独立承担民事等法律责任的法人或其他经济组织。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2.2合格的投标人必须符合招标文件第一部分《招标公告》第二条及须知前附表相关规定，且具备独立完成本项目的能力，中标后不允许分包、转包。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2.3合格的投标人应遵守《中华人民共和国政府采购法》《中华人民共和国招标投标法》《中华人民共和国民法典》等有关法律、法规。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投标人应自行承担所有参加投标有关的费用。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投标人一旦参加本项目投标，即被认为接受了本招标文件的所有条件和规定。</w:t>
      </w:r>
      <w:bookmarkEnd w:id="16"/>
      <w:r/>
      <w:r/>
    </w:p>
    <w:p>
      <w:pPr>
        <w:spacing w:line="520" w:lineRule="exact"/>
        <w:rPr>
          <w:color w:val="auto"/>
          <w:highlight w:val="none"/>
        </w:rPr>
      </w:pPr>
      <w:r>
        <w:rPr>
          <w:color w:val="auto"/>
          <w:highlight w:val="none"/>
        </w:rPr>
      </w:r>
      <w:r/>
    </w:p>
    <w:p>
      <w:pPr>
        <w:pStyle w:val="940"/>
        <w:keepLines w:val="0"/>
        <w:keepNext w:val="0"/>
        <w:spacing w:before="0" w:after="0" w:line="520" w:lineRule="exact"/>
        <w:rPr>
          <w:color w:val="auto"/>
          <w:highlight w:val="none"/>
        </w:rPr>
      </w:pPr>
      <w:r/>
      <w:bookmarkStart w:id="17" w:name="_Toc3962"/>
      <w:r>
        <w:rPr>
          <w:rFonts w:hint="eastAsia"/>
          <w:color w:val="auto"/>
          <w:highlight w:val="none"/>
        </w:rPr>
        <w:t xml:space="preserve">二、招标文件</w:t>
      </w:r>
      <w:bookmarkEnd w:id="1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6.招标文件构成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第二部分：投标人须知；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第三部分：合同文本；</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第五部分：评标方法和标准；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投标人应仔细检查招标文件是否齐全，如有缺漏请立即与采购代理机构联系。如标书制作工具中格式和内容与“江苏政府采购网”发布的招标文件不一致，以“江苏政府采购网”发布的招标文件为准。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7.招标文件的澄清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8.招标文件的修改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8.3为使投标人有充分的时间对招标文件的修改部分进行分析、研究，采购代理机构有权推迟投标文件接收截止日期和开标日期，并将此变更通知所有已获取招标文件的投标人。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8.4采购代理机构发出的所有补充、修改和变更文件均作为招标文件的组成部分，与招标文件具有同等法律效力。投标人应及时在“江苏政府采购网”获取澄清答疑文件（修改后招标文件），如因投标人原因未能及时获取澄清和修改，由此造成的相关责任，由投标人承担。</w:t>
      </w:r>
      <w:r/>
    </w:p>
    <w:p>
      <w:pPr>
        <w:spacing w:line="520" w:lineRule="exact"/>
        <w:rPr>
          <w:rFonts w:ascii="仿宋_GB2312" w:eastAsia="仿宋_GB2312"/>
          <w:color w:val="auto"/>
          <w:highlight w:val="none"/>
        </w:rPr>
      </w:pPr>
      <w:r/>
      <w:bookmarkStart w:id="18" w:name="EBebf7ede40ba2404eabfa943e46b0c520"/>
      <w:r>
        <w:rPr>
          <w:rFonts w:hint="eastAsia" w:ascii="仿宋_GB2312" w:eastAsia="仿宋_GB2312"/>
          <w:color w:val="auto"/>
          <w:sz w:val="20"/>
          <w:highlight w:val="none"/>
        </w:rPr>
        <w:t xml:space="preserve"> </w:t>
      </w:r>
      <w:bookmarkEnd w:id="18"/>
      <w:r/>
      <w:bookmarkStart w:id="19" w:name="EB27df85fc5a574ebaaed6d5868f4535a1"/>
      <w:r>
        <w:rPr>
          <w:rFonts w:hint="eastAsia" w:ascii="仿宋_GB2312" w:eastAsia="仿宋_GB2312"/>
          <w:color w:val="auto"/>
          <w:sz w:val="20"/>
          <w:highlight w:val="none"/>
        </w:rPr>
        <w:t xml:space="preserve"> </w:t>
      </w:r>
      <w:bookmarkEnd w:id="19"/>
      <w:r/>
      <w:bookmarkStart w:id="20" w:name="EB3eb7ea0b01144628b9ffe3df796b5351"/>
      <w:r>
        <w:rPr>
          <w:rFonts w:hint="eastAsia" w:ascii="仿宋_GB2312" w:eastAsia="仿宋_GB2312"/>
          <w:color w:val="auto"/>
          <w:sz w:val="20"/>
          <w:highlight w:val="none"/>
        </w:rPr>
        <w:t xml:space="preserve"> </w:t>
      </w:r>
      <w:bookmarkEnd w:id="20"/>
      <w:r/>
      <w:r/>
    </w:p>
    <w:p>
      <w:pPr>
        <w:pStyle w:val="940"/>
        <w:keepLines w:val="0"/>
        <w:keepNext w:val="0"/>
        <w:spacing w:before="0" w:after="0" w:line="520" w:lineRule="exact"/>
        <w:rPr>
          <w:color w:val="auto"/>
          <w:highlight w:val="none"/>
        </w:rPr>
      </w:pPr>
      <w:r/>
      <w:bookmarkStart w:id="21" w:name="_Toc27518"/>
      <w:r>
        <w:rPr>
          <w:rFonts w:hint="eastAsia"/>
          <w:color w:val="auto"/>
          <w:highlight w:val="none"/>
        </w:rPr>
        <w:t xml:space="preserve">三、投标文件的编制</w:t>
      </w:r>
      <w:bookmarkEnd w:id="21"/>
      <w:r/>
      <w:r/>
    </w:p>
    <w:p>
      <w:pPr>
        <w:ind w:firstLine="482"/>
        <w:spacing w:line="520" w:lineRule="exact"/>
        <w:rPr>
          <w:rFonts w:ascii="仿宋" w:hAnsi="仿宋" w:eastAsia="仿宋" w:cs="仿宋"/>
          <w:b/>
          <w:color w:val="auto"/>
          <w:highlight w:val="none"/>
        </w:rPr>
      </w:pPr>
      <w:r/>
      <w:bookmarkStart w:id="22" w:name="EB2ca96763a7244d75908a3586115531a8"/>
      <w:r>
        <w:rPr>
          <w:rFonts w:hint="eastAsia" w:ascii="仿宋" w:hAnsi="仿宋" w:eastAsia="仿宋" w:cs="仿宋"/>
          <w:b/>
          <w:color w:val="auto"/>
          <w:highlight w:val="none"/>
        </w:rPr>
        <w:t xml:space="preserve">9.投标文件的编制要求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i/>
          <w:iCs/>
          <w:color w:val="auto"/>
          <w:highlight w:val="none"/>
          <w:u w:val="single"/>
        </w:rPr>
        <w:t xml:space="preserve">9.3投标人如同时参与多个采购包（如有）招标，则应按采购包分别制作投标文件，否则将视为无效投标文件。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9.4 招标文件要求应当由法定代表人或授权代表签字/签章的，可以加盖有效的电子签章或签字后使用pdf上传。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10.投标文件构成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10.2.1招标文件第一部分《招标公告》申请人的资格要求中的证明材料；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10.2.2为满足符合性审查提供的材料；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10.2.3投标人认为与本项目相关的其他资格证明、符合性证明资料；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10.4技术文件</w:t>
      </w:r>
      <w:r/>
    </w:p>
    <w:p>
      <w:pPr>
        <w:ind w:firstLine="480"/>
        <w:spacing w:line="520" w:lineRule="exact"/>
        <w:rPr>
          <w:rFonts w:ascii="仿宋" w:hAnsi="仿宋" w:eastAsia="仿宋" w:cs="仿宋"/>
          <w:color w:val="auto"/>
          <w:highlight w:val="none"/>
        </w:rPr>
      </w:pPr>
      <w:r/>
      <w:bookmarkStart w:id="23" w:name="EB7f6b24a996964930b08d6b290b36e3fd"/>
      <w:r>
        <w:rPr>
          <w:rFonts w:hint="eastAsia" w:ascii="仿宋" w:hAnsi="仿宋" w:eastAsia="仿宋" w:cs="仿宋"/>
          <w:color w:val="auto"/>
          <w:highlight w:val="none"/>
        </w:rPr>
        <w:t xml:space="preserve">10.4.1项目方案等（格式自拟）；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10.4.2技术响应偏离表；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10.4.3其他技术文件。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10.5商务文件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10.5.1业绩一览表；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10.5.2其他商务文件。</w:t>
      </w:r>
      <w:bookmarkEnd w:id="2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10.6投标人认为有必要提供的其他材料。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11.编制投标文件应注意的事项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（2）招标文件要求提供证书证件等复印件的，投标人提供的应是与原件保持一致的清晰复印件，复印件内容无法辨析的，评标委员会可以视其未提供。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（3）无论何种原因，即使投标人携带了证书证明资料的原件，但投标文件中未包含相关资料的，评标委员会可以视同其未提供。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4）投标人递交的投标文件，所有内容均应真实有效；投标人所提供的产品或服务，必须满足国家相关强制性规定要求（如CCC认证、计量器具生产许可证、医疗器械注册证、电器电子产品有害物质限制使用标识等）；一旦成为中标/成交候选人后，由于因投标人违反国家相关强制性规定或弄虚作假，而给采购人造成损失，一切责任和后果均由投标人承担。</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12.在进行资格审查时，将在“信用中国”网站查询投标人的信用记录并以现场查询结果为准。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4" w:name="EB54dd097a55df4796bd5f9b6bdf2ddc40"/>
      <w:r>
        <w:rPr>
          <w:rFonts w:hint="eastAsia" w:ascii="仿宋" w:hAnsi="仿宋" w:eastAsia="仿宋" w:cs="仿宋"/>
          <w:color w:val="auto"/>
          <w:highlight w:val="none"/>
        </w:rPr>
        <w:t xml:space="preserve">招标文件中涉及到的其他一切费用。</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13.3.2投标人报价时应充分考虑所有可能影响到报价的因素，一旦评标结束最终中标，任何情况都将被认为是中标人的报价让利行为，损失自负。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13.3.3报价应包含本次招标标的有关的所有费用，包括但不限于技术资料、支付给员工的工资和国家强制缴纳的各种社会保障资金，以及投标人认为需要的其他费用等。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13.3.4投标人的任何错漏、优惠、竞争性报价不得作为减轻责任、减少服务、增加收费、降低质量的理由。</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13.3.5招标文件未列明，而投标人认为履行本项目合同所必需的费用也需列入报价。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13.4本项目评审中出现下列情形之一的，评标委员会应当启动异常低价投标（响应）审查程序：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13.4.3投标（响应）报价低于采购项目最高限价45%的，即投标（响应）报价＜采购项目最高限价×45%；</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13.4.4评标委员会基于专业判断，认为供应商报价过低，有可能影响产品质量或者不能诚信履约的其他情形。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2"/>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15.1在投标人须知前附表规定的投标有效期内，投标人不得要求撤销或者修改其投标文件。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投标人提出延长投标有效期的要求，这种要求与答复均应采用书面形式（如信件、传真或电子邮件等），投标人可拒绝采购人的这一要求而放弃投标，同意延长的投标人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2"/>
      <w:r/>
      <w:bookmarkStart w:id="25" w:name="EBaba05b8f22db47c3ae604c949d101942"/>
      <w:r>
        <w:rPr>
          <w:rFonts w:hint="eastAsia" w:ascii="仿宋_GB2312" w:eastAsia="仿宋_GB2312"/>
          <w:color w:val="auto"/>
          <w:sz w:val="20"/>
          <w:highlight w:val="none"/>
        </w:rPr>
        <w:t xml:space="preserve"> </w:t>
      </w:r>
      <w:bookmarkEnd w:id="25"/>
      <w:r/>
      <w:bookmarkStart w:id="26" w:name="EB473de9cb146c4384b72e7eac9a23572d"/>
      <w:r>
        <w:rPr>
          <w:rFonts w:hint="eastAsia" w:ascii="仿宋_GB2312" w:eastAsia="仿宋_GB2312"/>
          <w:color w:val="auto"/>
          <w:sz w:val="20"/>
          <w:highlight w:val="none"/>
        </w:rPr>
        <w:t xml:space="preserve"> </w:t>
      </w:r>
      <w:bookmarkEnd w:id="26"/>
      <w:r/>
      <w:r/>
    </w:p>
    <w:p>
      <w:pPr>
        <w:pStyle w:val="940"/>
        <w:keepLines w:val="0"/>
        <w:keepNext w:val="0"/>
        <w:spacing w:before="0" w:after="0" w:line="520" w:lineRule="exact"/>
        <w:rPr>
          <w:color w:val="auto"/>
          <w:highlight w:val="none"/>
        </w:rPr>
      </w:pPr>
      <w:r/>
      <w:bookmarkStart w:id="27" w:name="_Toc11947"/>
      <w:r>
        <w:rPr>
          <w:rFonts w:hint="eastAsia"/>
          <w:color w:val="auto"/>
          <w:highlight w:val="none"/>
        </w:rPr>
        <w:t xml:space="preserve">四、投标文件的提交</w:t>
      </w:r>
      <w:bookmarkEnd w:id="27"/>
      <w:r/>
      <w:r/>
    </w:p>
    <w:p>
      <w:pPr>
        <w:ind w:firstLine="482"/>
        <w:spacing w:line="520" w:lineRule="exact"/>
        <w:rPr>
          <w:rFonts w:ascii="仿宋" w:hAnsi="仿宋" w:eastAsia="仿宋" w:cs="仿宋"/>
          <w:b/>
          <w:color w:val="auto"/>
          <w:highlight w:val="none"/>
        </w:rPr>
      </w:pPr>
      <w:r/>
      <w:bookmarkStart w:id="28"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29" w:name="_Toc513029226"/>
      <w:r/>
      <w:bookmarkEnd w:id="29"/>
      <w:r/>
      <w:bookmarkStart w:id="30" w:name="_Toc20823298"/>
      <w:r/>
      <w:bookmarkEnd w:id="30"/>
      <w:r/>
      <w:bookmarkStart w:id="31" w:name="_Toc16938542"/>
      <w:r/>
      <w:bookmarkEnd w:id="31"/>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采购人或采购代理机构可以通过修改招标文件酌情延长投标文件接收截止日期，在此情况下，投标人的所有权利和义务以及投标人受制约的截止日期均应以延长后新的截止日期为准。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投标人可在投标截止时间前，撤回其电子投标文件，具体操作方法见《操作手册》。投标人撤回电子投标文件，则认为其不再参与本项目投标活动。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投标人可在投标截止时间前，对其电子投标文件进行修改，具体操作方法见《操作手册》。在投标截止时间之后，投标人不得对其电子投标文件作任何修改。</w:t>
      </w:r>
      <w:r/>
    </w:p>
    <w:p>
      <w:pPr>
        <w:ind w:firstLine="482"/>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在投标截止时间至招标文件中规定的投标有效期满之间的这段时间内，投标人不得撤回其投标。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采购代理机构可以通过修改招标文件酌情延长投标文件接收截止日期，在此情况下，投标人的所有权利和义务以及投标人受制约的截止日期均应以延长后新的截止日期为准。</w:t>
      </w:r>
      <w:r/>
    </w:p>
    <w:p>
      <w:pPr>
        <w:ind w:firstLine="482"/>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17.5政府采购管理交易系统（苏采云）相关要求是本采购文件的组成部分。</w:t>
      </w:r>
      <w:r/>
    </w:p>
    <w:p>
      <w:pPr>
        <w:ind w:firstLine="482"/>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28"/>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40"/>
        <w:keepLines w:val="0"/>
        <w:keepNext w:val="0"/>
        <w:spacing w:before="0" w:after="0" w:line="520" w:lineRule="exact"/>
        <w:rPr>
          <w:color w:val="auto"/>
          <w:highlight w:val="none"/>
        </w:rPr>
      </w:pPr>
      <w:r/>
      <w:bookmarkStart w:id="32" w:name="_Toc18981"/>
      <w:r>
        <w:rPr>
          <w:rFonts w:hint="eastAsia"/>
          <w:color w:val="auto"/>
          <w:highlight w:val="none"/>
        </w:rPr>
        <w:t xml:space="preserve">五、</w:t>
      </w:r>
      <w:bookmarkEnd w:id="32"/>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19.以下情形将视为无效投标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 投标人在苏采云系统规定的时间内未成功解密电子投标文件的；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19.2 投标人未按照招标文件要求上传电子投标文件的；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19.3 投标人不符合招标文件规定资格要求或未按规定提交资质证件的；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19.4 投标人未通过资格性审查或符合性审查的；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19.5 同一投标人提交两个（含两个）以上不同的投标报价的；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19.6 投标文件电子签章/签字不符合招标文件要求的；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19.7 报价超过招标文件中规定的最高限价的；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19.9 投标文件出现重大偏离，未对招标文件进行实质性响应的（</w:t>
      </w:r>
      <w:r>
        <w:rPr>
          <w:rFonts w:hint="eastAsia" w:ascii="仿宋" w:hAnsi="仿宋" w:eastAsia="仿宋" w:cs="仿宋"/>
          <w:b/>
          <w:bCs/>
          <w:i/>
          <w:iCs/>
          <w:color w:val="auto"/>
          <w:highlight w:val="none"/>
          <w:u w:val="single"/>
        </w:rPr>
        <w:t xml:space="preserve">本项目斜体加粗下划线部分为实质性要求</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19.10投标文件对采购需求的偏离超出招标文件规定允许偏离最大范围或最高项数的；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19.12明细报价表出现缺漏项的；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19.14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rPr>
        <w:t xml:space="preserve">19.15</w:t>
      </w:r>
      <w:r>
        <w:rPr>
          <w:rFonts w:hint="eastAsia" w:ascii="仿宋" w:hAnsi="仿宋" w:eastAsia="仿宋" w:cs="仿宋"/>
          <w:color w:val="auto"/>
          <w:highlight w:val="none"/>
          <w:lang w:val="zh-CN"/>
        </w:rPr>
        <w:t xml:space="preserve">投标人被</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zh-CN"/>
        </w:rPr>
        <w:t xml:space="preserve">信用中国</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zh-CN"/>
        </w:rPr>
        <w:t xml:space="preserve">网站</w:t>
      </w:r>
      <w:r>
        <w:rPr>
          <w:rFonts w:hint="eastAsia" w:ascii="仿宋" w:hAnsi="仿宋" w:eastAsia="仿宋" w:cs="仿宋"/>
          <w:color w:val="auto"/>
          <w:highlight w:val="none"/>
        </w:rPr>
        <w:t xml:space="preserve">（www.creditchina.gov.cn）</w:t>
      </w:r>
      <w:r>
        <w:rPr>
          <w:rFonts w:hint="eastAsia" w:ascii="仿宋" w:hAnsi="仿宋" w:eastAsia="仿宋" w:cs="仿宋"/>
          <w:color w:val="auto"/>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19.17投标文件含有采购人不能接受的附加条件的；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19.18投标人有本招标文件规定的串通投标情形的；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19.19其他评标委员会认为有必要取消的投标；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19.20法律、法规规定的其他情况。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20.1符合专业条件的投标人或者对招标文件作实质响应的投标人不足三家的（符合21条情形除外）；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20.3因重大变故，招标任务取消的；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20.5投标人的报价均超过了采购预算，采购人不能支付的；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20.6因苏采云系统故障造成开标不成功的；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20.7招标文件中约定的其他情形。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21.投标人不足三家情形处理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投标截止后投标人不足三家或者通过资格审查或符合性审查的投标人不足三家的，除招标任务取消情形外，按财政部令第87号第四十三条条款进行处理。</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22.2采取不正当手段诋毁、排挤其他投标人的；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22.3与采购人、其他投标人或者采购代理机构恶意串通的；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22.6法律、法规规定的其他情况。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有下列情形之一的，属于串通投标，其投标无效：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23.1投标人直接或间接从采购人或采购代理机构处获得其他投标人的投标情况，并修改其投标文件；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23.2评审活动开始前投标人直接或间接从采购人或采购代理机构处获得评标委员会组成人员情况；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23.3投标人接受采购人或采购代理机构授意撤换、修改投标文件；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23.4投标人之间协商投标报价、技术方案等投标文件实质性内容；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23.5属同一集团、协会、商会等组织成员的投标人按照该组织要求协同投标；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23.6投标人之间事先约定由某一特定投标人中标、成交；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23.7投标人之间商定部分投标人放弃投标或者放弃中标、成交；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23.8投标人与采购人或采购代理机构之间、投标人相互之间为谋求特定投标人中标、成交或者排斥其他投标人的其他串通行为。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有下列情形之一的，视为投标人串通投标，其投标无效：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23.9不同投标人的投标文件由同一单位或者个人编制；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23.10不同投标人委托同一单位或者个人办理投标事宜；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23.11不同投标人的ip地址、MAC地址、标书制作工具客户端标识码一致的；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23.12不同投标人的投标文件载明的项目管理成员或者联系人员为同一人；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23.13不同投标人的投标文件异常一致或者投标报价呈规律性差异；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23.14不同投标人的投标文件相互混装。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40"/>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3"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24.1采购代理机构工作人员按招标文件规定的时间、地点组织公开开标。投标人应当按照《操作手册》规定，参加开标活动和在苏采云系统规定的时间内对投标文件进行解密。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24.2开标会议由采购代理机构工作人员主持，苏采云系统将自动对项目进行开标，并宣布各投标人名称和投标报价。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24.3投标人在开标过程中涉及到的投标文件解密、开标结果确认等工作，应按照《操作手册》规定执行。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24.4投标人如果对开标过程和开标记录有疑义，应当根据《操作手册》规定提出，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投标人在开、评标全过程中应保持通讯畅通，及时登录苏采云系统查阅、答复相关信息，并安排专人与采购代理机构联系。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4" w:name="EBa9c0a2c9e523494487594c65b2a92370"/>
      <w:r>
        <w:rPr>
          <w:rFonts w:hint="eastAsia" w:ascii="仿宋" w:hAnsi="仿宋" w:eastAsia="仿宋" w:cs="仿宋"/>
          <w:color w:val="auto"/>
          <w:highlight w:val="none"/>
        </w:rPr>
        <w:t xml:space="preserve">开标结束后，采购人或采购代理机构依法对投标人的资格证明文件等进行审查。</w:t>
      </w:r>
      <w:bookmarkEnd w:id="34"/>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采购人或采购代理机构应根据本项目的特点依法组建评标委员会。评标委员会负责具体评标事务，对资格审查合格的投标人进行评标，并独立履行相关职责。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“公平、公正、客观、择优”为评标的基本原则，评标委员会将根据这一原则，公正、平等地对待各投标人。</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未通过资格审查或符合性审查的投标人，将通过苏采云系统告知其具体原因，评标结束后不再接受有关询问。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投标人作出必要的澄清、说明或者纠正。投标人的澄清、说明或者补正应当采用书面形式。投标人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28.2.3评标委员会并非对每个投标人都做澄清要求。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28.2.4接到评标委员会澄清、说明和补正要求的投标人如未按规定作出澄清、说明和补正，其风险由投标人自行承担。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同时出现两种以上不一致的，按照前款规定的顺序修正。修正后的报价，经投标人确认后产生约束力，投标人不确认的，其投标无效。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投标人的报价明显低于其他通过符合性审查投标人的报价，有可能不能诚信履约的，应当要求其在合理的时间内提供书面说明，必要时提交相关证明材料；投标人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（5）出现投标人串通投标情形的；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40"/>
        <w:keepLines w:val="0"/>
        <w:keepNext w:val="0"/>
        <w:spacing w:before="0" w:after="0" w:line="520" w:lineRule="exact"/>
        <w:rPr>
          <w:color w:val="auto"/>
          <w:highlight w:val="none"/>
        </w:rPr>
      </w:pPr>
      <w:r/>
      <w:bookmarkStart w:id="35" w:name="_Toc6774"/>
      <w:r>
        <w:rPr>
          <w:rFonts w:hint="eastAsia"/>
          <w:color w:val="auto"/>
          <w:highlight w:val="none"/>
        </w:rPr>
        <w:t xml:space="preserve">七、中标及合同签订</w:t>
      </w:r>
      <w:bookmarkEnd w:id="35"/>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29.1采购人若发现中标人在投标过程中提供虚假证明文件，故意隐瞒公司不良信誉和财务状况，以及存在可能对合同圆满履行造成风险的其他因素等，则报经监管部门按规定取消其中标资格，监管部门依法处理。如果确定中标人无法履行合同，采购人可以按排名依次对其余中标候选人进行类似的审查或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30.3采购人不得通过对样品进行检测、对投标人进行考察等方式改变评审结果。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31.1中标结果在指定信息媒体上发布公告，公告期限为1个工作日。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31.2在公告中标结果的同时，采购人或采购代理机构将向中标人发出中标通知书。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31.3中标人应及时领取中标通知书，中标通知书是签订合同的依据和组成部分。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ascii="仿宋" w:hAnsi="仿宋" w:eastAsia="仿宋" w:cs="仿宋"/>
          <w:b/>
          <w:color w:val="auto"/>
          <w:highlight w:val="none"/>
        </w:rPr>
      </w:pPr>
      <w:r/>
      <w:bookmarkStart w:id="36" w:name="_Toc15475"/>
      <w:r>
        <w:rPr>
          <w:rFonts w:hint="eastAsia" w:ascii="仿宋" w:hAnsi="仿宋" w:eastAsia="仿宋" w:cs="仿宋"/>
          <w:b/>
          <w:color w:val="auto"/>
          <w:highlight w:val="none"/>
        </w:rPr>
        <w:t xml:space="preserve">33.履约保证金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履约保证金金额详见投标人须知前附表。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33.1履约保证金应在采购合同签订前提交，除银行电汇、网上银行、数字人民币外，投标人还可选用银行保函、担保公司的保证担保或保险公司的保证保险等多种形式向采购人缴纳；</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33.2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33.3履约保证金退还的条件，按以下方式实行：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履约保证金退还时间：合同结束交接顺利完成后十五天内，无息退还履约保证金。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不予退还情形：合同到期进行交接手续时，投标人不进行合同交接或为合同交接增加不合理条件的，履约保证金不予退还。给采购人造成的损失超过履约保证金数额的，还应当对超过部分予以赔偿。除不可抗力外，投标人不履行与采购人订立的采购合同的，履约保证金不予退还；投标人不进行合同交接或为合同交接增加不合理条件的，履约保证金不予退还。给采购人造成的损失超过履约保证金数额的，还应当对超过部分予以赔偿。</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33.4逾期退还履约保证金的违约责任：除应当退还履约保证金外，还应当按中国人民银行同期贷款基准利率上浮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spacing w:line="520" w:lineRule="exact"/>
        <w:rPr>
          <w:rFonts w:ascii="仿宋" w:hAnsi="仿宋" w:eastAsia="仿宋" w:cs="仿宋"/>
          <w:bCs/>
          <w:color w:val="auto"/>
          <w:highlight w:val="none"/>
        </w:rPr>
      </w:pPr>
      <w:r>
        <w:rPr>
          <w:rFonts w:ascii="仿宋" w:hAnsi="仿宋" w:eastAsia="仿宋" w:cs="仿宋"/>
          <w:bCs/>
          <w:color w:val="auto"/>
          <w:highlight w:val="none"/>
        </w:rPr>
      </w:r>
      <w:r/>
    </w:p>
    <w:p>
      <w:pPr>
        <w:pStyle w:val="940"/>
        <w:keepLines w:val="0"/>
        <w:keepNext w:val="0"/>
        <w:spacing w:before="0" w:after="0" w:line="520" w:lineRule="exact"/>
        <w:rPr>
          <w:color w:val="auto"/>
          <w:highlight w:val="none"/>
        </w:rPr>
      </w:pPr>
      <w:r>
        <w:rPr>
          <w:rFonts w:hint="eastAsia"/>
          <w:color w:val="auto"/>
          <w:highlight w:val="none"/>
        </w:rPr>
        <w:t xml:space="preserve">八、验收及付款</w:t>
      </w:r>
      <w:bookmarkEnd w:id="36"/>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34.1采购人或采购代理机构应当组成验收小组，验收人员应当按照约定的验收标准，对投标人的履约情况开展验收。验收结束后，验收人员应当出具验收报告。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服务（包含与服务相关的货物）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color w:val="auto"/>
          <w:highlight w:val="none"/>
        </w:rPr>
      </w:pPr>
      <w:r/>
      <w:bookmarkStart w:id="37" w:name="EB120ac03ab710494bb42e662066a04c8d"/>
      <w:r>
        <w:rPr>
          <w:rFonts w:hint="eastAsia" w:ascii="仿宋_GB2312" w:hAnsi="宋体" w:eastAsia="仿宋_GB2312"/>
          <w:color w:val="auto"/>
          <w:highlight w:val="none"/>
        </w:rPr>
        <w:t xml:space="preserve"> </w:t>
      </w:r>
      <w:bookmarkEnd w:id="37"/>
      <w:r/>
      <w:bookmarkStart w:id="38" w:name="EB3dfb2d4b0d1a4c49b19eebbcbcf2070f"/>
      <w:r>
        <w:rPr>
          <w:rFonts w:hint="eastAsia" w:ascii="仿宋_GB2312" w:eastAsia="仿宋_GB2312"/>
          <w:color w:val="auto"/>
          <w:sz w:val="20"/>
          <w:highlight w:val="none"/>
        </w:rPr>
        <w:t xml:space="preserve"> </w:t>
      </w:r>
      <w:bookmarkEnd w:id="38"/>
      <w:r/>
      <w:bookmarkStart w:id="39" w:name="EBd8825445671b41caa2ae06e4240964e2"/>
      <w:r>
        <w:rPr>
          <w:rFonts w:hint="eastAsia" w:ascii="仿宋_GB2312" w:eastAsia="仿宋_GB2312"/>
          <w:color w:val="auto"/>
          <w:sz w:val="20"/>
          <w:highlight w:val="none"/>
        </w:rPr>
        <w:t xml:space="preserve"> </w:t>
      </w:r>
      <w:bookmarkEnd w:id="39"/>
      <w:r/>
      <w:bookmarkStart w:id="40" w:name="EBb2af26a7e37c4a4e85e6f11d4b1f7485"/>
      <w:r>
        <w:rPr>
          <w:rFonts w:hint="eastAsia" w:ascii="仿宋_GB2312" w:eastAsia="仿宋_GB2312"/>
          <w:color w:val="auto"/>
          <w:sz w:val="20"/>
          <w:highlight w:val="none"/>
        </w:rPr>
        <w:t xml:space="preserve"> </w:t>
      </w:r>
      <w:bookmarkEnd w:id="40"/>
      <w:r/>
      <w:r/>
    </w:p>
    <w:p>
      <w:pPr>
        <w:pStyle w:val="940"/>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35.1投标人认为招标文件、采购过程和中标结果使自己的权益受到损害的，可以在知道或者应知其权益受到损害之日起七个工作日内（具体起算时间见35.2），以书面形式向采购人委托的采购代理机构提出质疑。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通讯地址：南京市中山南路414号投资大厦A层（13层）1301室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35.2投标人应知其权益受到损害之日，是指：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质疑投标人应当是参与所质疑项目采购活动的投标人。潜在投标人已依法获取其可质疑的招标文件的，方可对该文件提出质疑。投标人在法定质疑期内应一次性提出针对同一采购程序环节的质疑。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35.4投标人提出质疑应当提交质疑函和必要的证明材料。质疑函的必备内容：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（1）投标人的姓名或者名称、地址、邮编、联系人及联系电话；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（8）投标人为自然人的，由本人签字；投标人为法人或者其他组织的，应当由法定代表人、主要负责人，或者其授权代表签字或者盖章，并加盖公章。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t xml:space="preserve">35.5采购代理机构在收到质疑函后7个工作日内</w:t>
      </w:r>
      <w:r>
        <w:rPr>
          <w:rFonts w:hint="eastAsia" w:ascii="仿宋" w:hAnsi="仿宋" w:eastAsia="仿宋" w:cs="仿宋"/>
          <w:color w:val="auto"/>
          <w:highlight w:val="none"/>
        </w:rPr>
        <w:t xml:space="preserve">作出答复，并以书面形式通知质疑投标人和其他有关投标人，但质疑答复的内容不涉及商业秘密。</w:t>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t xml:space="preserve">35.6质疑投标人对采购代理机构的答复不满意，或者采购代理机构未在规定时间内</w:t>
      </w:r>
      <w:r>
        <w:rPr>
          <w:rFonts w:hint="eastAsia" w:ascii="仿宋" w:hAnsi="仿宋" w:eastAsia="仿宋" w:cs="仿宋"/>
          <w:color w:val="auto"/>
          <w:highlight w:val="none"/>
        </w:rPr>
        <w:t xml:space="preserve">作出答复的，可以在答复期满后15个工作日内向《政府采购质疑和投诉办法》第六条规定的财政部门提起投诉。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35.7投标人在全国范围12个月内三次以上投诉查无实据的，由财政部门列入不良行为记录名单。</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35.8投标人有下列行为之一的，属于虚假、恶意投诉，由财政部门列入不良行为记录名单，禁止其1至3年内参加政府采购活动：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（一）捏造事实；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（二）提供虚假材料；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（三）以非法手段取得证明材料。证据来源的合法性存在明显疑问，投标人无法证明其取得方式合法的，视为以非法手段取得证明材料。</w:t>
      </w:r>
      <w:r/>
    </w:p>
    <w:p>
      <w:pPr>
        <w:pStyle w:val="969"/>
        <w:spacing w:line="520" w:lineRule="exact"/>
        <w:rPr>
          <w:color w:val="auto"/>
          <w:highlight w:val="none"/>
        </w:rPr>
      </w:pPr>
      <w:r>
        <w:rPr>
          <w:color w:val="auto"/>
          <w:highlight w:val="none"/>
        </w:rPr>
      </w:r>
      <w:r/>
    </w:p>
    <w:p>
      <w:pPr>
        <w:pStyle w:val="940"/>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投标人可凭政府采购合同办理融资贷款，详见江苏政府采购网“政采贷”专栏。中小微企业投标人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政府采购促进中小企业发展，在政府采购活动中，投标人提供的货物、工程或者服务符合下列情形的，享受中小企业扶持政策：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在货物采购项目中，投标人提供的货物既有中小企业制造货物，也有大型企业制造货物的，不享受中小企业扶持政策。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中小企业投标人参加政府采购活动，应当出具《中小企业声明函》（格式见后附件），否则不得享受相关中小企业扶持政策。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投标人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提供的产品属于信息安全产品的，投标人应当选择经国家认证的信息安全产品投标，并提供由中国网络安全审查技术与认证中心按国家标准认证颁发的有效认证证书复印件。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提供的产品属于政府强制采购节能产品的，投标人应当选择依据国家标准中二级能效（水效）指标认证的节能产品投标，并提供有效的节能产品认证证书复印件。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38.5提供的产品属于环境标志产品的，投标人应当选择依据相关标准的最新版本认证的环境标志产品投标，并提供有效的环境标志产品认证证书复印件。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39.3允许进口产品参加的，优先采购向我国企业转让技术、与我国企业签订消化吸收再创新方案的投标人的进口产品。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投标人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w:t>
      </w:r>
      <w:r>
        <w:rPr>
          <w:rFonts w:hint="eastAsia" w:ascii="仿宋" w:hAnsi="仿宋" w:eastAsia="仿宋" w:cs="仿宋"/>
          <w:color w:val="auto"/>
          <w:highlight w:val="none"/>
        </w:rPr>
        <w:t xml:space="preserve">据中心相关设备、运维服务的，应按照《关于印发〈绿色数据中心政府采购需求标准（试行）〉的通知》（财办库〔2023〕7号）、《江苏省财政厅关于加强政府绿色采购有关事项的通知》（苏财购〔2023〕65号）等文件执行。中标/成交投标人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w:t>
      </w:r>
      <w:r>
        <w:rPr>
          <w:rFonts w:hint="eastAsia" w:ascii="仿宋" w:hAnsi="仿宋" w:eastAsia="仿宋" w:cs="仿宋"/>
          <w:color w:val="auto"/>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投标人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投标人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投标人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969"/>
        <w:ind w:firstLine="480"/>
        <w:spacing w:line="520" w:lineRule="exact"/>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40"/>
        <w:keepLines w:val="0"/>
        <w:keepNext w:val="0"/>
        <w:spacing w:before="0" w:after="0" w:line="520" w:lineRule="exact"/>
        <w:rPr>
          <w:color w:val="auto"/>
          <w:highlight w:val="none"/>
        </w:rPr>
        <w:outlineLvl w:val="9"/>
      </w:pPr>
      <w:r/>
      <w:bookmarkStart w:id="43" w:name="_Toc23826"/>
      <w:r/>
      <w:r/>
    </w:p>
    <w:p>
      <w:pPr>
        <w:pStyle w:val="940"/>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46.保密</w:t>
      </w:r>
      <w:r/>
    </w:p>
    <w:p>
      <w:pPr>
        <w:pStyle w:val="1021"/>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46.1参与本次招标投标活动的各方应对招标文件和投标文件中的商业和技术等秘密保密，违者应对由此造成的后果承担法律责任。 </w:t>
      </w:r>
      <w:r/>
    </w:p>
    <w:p>
      <w:pPr>
        <w:pStyle w:val="102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46.2凡是与审查、澄清、评价和比较投标的有关资料以及授标建议等，采购人、评委、采购代理机构均不得向投标人或与评标无关的其他人员透露。</w:t>
      </w:r>
      <w:r/>
    </w:p>
    <w:p>
      <w:pPr>
        <w:pStyle w:val="102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46.3在评标过程中，投标人不得以任何行为影响评标过程，否则其投标文件将被作为无效投标文件。</w:t>
      </w:r>
      <w:r/>
    </w:p>
    <w:p>
      <w:pPr>
        <w:pStyle w:val="102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46.4采购代理机构和评标委员会不向未中标的投标人解释未中标原因，也不公布评标过程中的相关细节。</w:t>
      </w:r>
      <w:r/>
    </w:p>
    <w:p>
      <w:pPr>
        <w:pStyle w:val="102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46.5采用综合评分法的项目，未中标的投标人可于中标结果公告期限届满之日起通过苏采云系统查看自己的评审得分及排序情况。</w:t>
      </w:r>
      <w:r/>
    </w:p>
    <w:p>
      <w:pPr>
        <w:rPr>
          <w:color w:val="auto"/>
          <w:highlight w:val="none"/>
        </w:rPr>
      </w:pPr>
      <w:r/>
      <w:bookmarkStart w:id="44" w:name="_Toc6597"/>
      <w:r>
        <w:rPr>
          <w:rFonts w:hint="eastAsia"/>
          <w:color w:val="auto"/>
          <w:highlight w:val="none"/>
        </w:rPr>
        <w:br w:type="page" w:clear="all"/>
      </w:r>
      <w:r/>
    </w:p>
    <w:p>
      <w:pPr>
        <w:pStyle w:val="939"/>
        <w:jc w:val="center"/>
        <w:spacing w:line="240" w:lineRule="auto"/>
        <w:rPr>
          <w:rFonts w:ascii="仿宋" w:hAnsi="仿宋" w:cs="仿宋"/>
          <w:color w:val="auto"/>
          <w:highlight w:val="none"/>
        </w:rPr>
      </w:pPr>
      <w:r/>
      <w:bookmarkStart w:id="45" w:name="_Toc24172"/>
      <w:r>
        <w:rPr>
          <w:rFonts w:hint="eastAsia"/>
          <w:color w:val="auto"/>
          <w:highlight w:val="none"/>
        </w:rPr>
        <w:t xml:space="preserve">第三部分</w:t>
      </w:r>
      <w:r>
        <w:rPr>
          <w:color w:val="auto"/>
          <w:highlight w:val="none"/>
        </w:rPr>
        <w:t xml:space="preserve">  </w:t>
      </w:r>
      <w:r>
        <w:rPr>
          <w:rFonts w:hint="eastAsia"/>
          <w:color w:val="auto"/>
          <w:highlight w:val="none"/>
        </w:rPr>
        <w:t xml:space="preserve">合同文本</w:t>
      </w:r>
      <w:bookmarkEnd w:id="45"/>
      <w:r/>
      <w:r/>
    </w:p>
    <w:p>
      <w:pPr>
        <w:ind w:firstLine="480"/>
        <w:spacing w:line="440" w:lineRule="exact"/>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以下为中标后签订本项目合同的通用条款，中标人不得提出实质性的修改。</w:t>
      </w:r>
      <w:r/>
    </w:p>
    <w:p>
      <w:pPr>
        <w:ind w:firstLine="602"/>
        <w:jc w:val="center"/>
        <w:spacing w:line="440" w:lineRule="exact"/>
        <w:rPr>
          <w:rFonts w:ascii="仿宋" w:hAnsi="仿宋" w:eastAsia="仿宋" w:cs="仿宋"/>
          <w:b/>
          <w:color w:val="auto"/>
          <w:sz w:val="30"/>
          <w:szCs w:val="21"/>
          <w:highlight w:val="none"/>
        </w:rPr>
      </w:pPr>
      <w:r>
        <w:rPr>
          <w:rFonts w:ascii="仿宋" w:hAnsi="仿宋" w:eastAsia="仿宋" w:cs="仿宋"/>
          <w:b/>
          <w:color w:val="auto"/>
          <w:sz w:val="30"/>
          <w:szCs w:val="21"/>
          <w:highlight w:val="none"/>
        </w:rPr>
      </w:r>
      <w:r/>
    </w:p>
    <w:p>
      <w:pPr>
        <w:ind w:firstLine="723"/>
        <w:jc w:val="center"/>
        <w:spacing w:line="440" w:lineRule="exact"/>
        <w:rPr>
          <w:rFonts w:ascii="仿宋" w:hAnsi="仿宋" w:eastAsia="仿宋" w:cs="仿宋"/>
          <w:b/>
          <w:color w:val="auto"/>
          <w:sz w:val="28"/>
          <w:szCs w:val="22"/>
          <w:highlight w:val="none"/>
        </w:rPr>
      </w:pPr>
      <w:r>
        <w:rPr>
          <w:rFonts w:hint="eastAsia" w:ascii="仿宋" w:hAnsi="仿宋" w:eastAsia="仿宋" w:cs="仿宋"/>
          <w:b/>
          <w:color w:val="auto"/>
          <w:sz w:val="36"/>
          <w:szCs w:val="28"/>
          <w:highlight w:val="none"/>
        </w:rPr>
        <w:t xml:space="preserve">江苏省政府采购合同（合同编号）</w:t>
      </w:r>
      <w:r/>
    </w:p>
    <w:p>
      <w:pPr>
        <w:ind w:firstLine="480"/>
        <w:spacing w:line="440" w:lineRule="exact"/>
        <w:rPr>
          <w:rFonts w:ascii="仿宋" w:hAnsi="仿宋" w:eastAsia="仿宋" w:cs="仿宋"/>
          <w:color w:val="auto"/>
          <w:szCs w:val="21"/>
          <w:highlight w:val="none"/>
        </w:rPr>
      </w:pPr>
      <w:r>
        <w:rPr>
          <w:rFonts w:ascii="仿宋" w:hAnsi="仿宋" w:eastAsia="仿宋" w:cs="仿宋"/>
          <w:color w:val="auto"/>
          <w:szCs w:val="21"/>
          <w:highlight w:val="none"/>
        </w:rPr>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项目名称：南京医科大学附属口腔医院后勤运维服务                                       </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项目编号：JSZC-320000-NJXD-G2026-0029</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甲方：（买方）_________</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乙方：（卖方）_________</w:t>
      </w:r>
      <w:r/>
    </w:p>
    <w:p>
      <w:pPr>
        <w:ind w:firstLine="480"/>
        <w:jc w:val="left"/>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甲、乙双方根据江苏省政府采购中心</w:t>
      </w:r>
      <w:r>
        <w:rPr>
          <w:rFonts w:hint="eastAsia" w:ascii="仿宋" w:hAnsi="仿宋" w:eastAsia="仿宋" w:cs="仿宋"/>
          <w:color w:val="auto"/>
          <w:szCs w:val="21"/>
          <w:highlight w:val="none"/>
          <w:lang w:eastAsia="zh-Hans"/>
        </w:rPr>
        <w:t xml:space="preserve">组织的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项目公开招标的结果，签署本合同。</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一、采购标的</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1.1乙方按照招标文件及投标文件规定的要求为甲方提供服务。</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1.2服务内容：</w:t>
      </w:r>
      <w:r>
        <w:rPr>
          <w:rFonts w:hint="eastAsia" w:ascii="仿宋" w:hAnsi="仿宋" w:eastAsia="仿宋" w:cs="仿宋"/>
          <w:color w:val="auto"/>
          <w:szCs w:val="21"/>
          <w:highlight w:val="none"/>
          <w:lang w:eastAsia="zh-Hans"/>
        </w:rPr>
        <w:t xml:space="preserve">甲方</w:t>
      </w:r>
      <w:r>
        <w:rPr>
          <w:rFonts w:hint="eastAsia" w:ascii="仿宋" w:hAnsi="仿宋" w:eastAsia="仿宋" w:cs="仿宋"/>
          <w:color w:val="auto"/>
          <w:szCs w:val="21"/>
          <w:highlight w:val="none"/>
        </w:rPr>
        <w:t xml:space="preserve">后勤运维服务项目。</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二、 服务期限</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2.1本项目服务周期3年，即</w:t>
      </w:r>
      <w:r>
        <w:rPr>
          <w:rFonts w:hint="eastAsia" w:ascii="仿宋" w:hAnsi="仿宋" w:eastAsia="仿宋" w:cs="仿宋"/>
          <w:color w:val="auto"/>
          <w:szCs w:val="21"/>
          <w:highlight w:val="none"/>
          <w:u w:val="single"/>
        </w:rPr>
        <w:t xml:space="preserve">    年    月    日</w:t>
      </w:r>
      <w:r>
        <w:rPr>
          <w:rFonts w:hint="eastAsia" w:ascii="仿宋" w:hAnsi="仿宋" w:eastAsia="仿宋" w:cs="仿宋"/>
          <w:color w:val="auto"/>
          <w:szCs w:val="21"/>
          <w:highlight w:val="none"/>
          <w:lang w:eastAsia="zh-Hans"/>
        </w:rPr>
        <w:t xml:space="preserve">起</w:t>
      </w:r>
      <w:r>
        <w:rPr>
          <w:rFonts w:hint="eastAsia" w:ascii="仿宋" w:hAnsi="仿宋" w:eastAsia="仿宋" w:cs="仿宋"/>
          <w:color w:val="auto"/>
          <w:szCs w:val="21"/>
          <w:highlight w:val="none"/>
        </w:rPr>
        <w:t xml:space="preserve">至</w:t>
      </w:r>
      <w:r>
        <w:rPr>
          <w:rFonts w:hint="eastAsia" w:ascii="仿宋" w:hAnsi="仿宋" w:eastAsia="仿宋" w:cs="仿宋"/>
          <w:color w:val="auto"/>
          <w:szCs w:val="21"/>
          <w:highlight w:val="none"/>
          <w:u w:val="single"/>
        </w:rPr>
        <w:t xml:space="preserve">    年   月   日</w:t>
      </w:r>
      <w:r>
        <w:rPr>
          <w:rFonts w:hint="eastAsia" w:ascii="仿宋" w:hAnsi="仿宋" w:eastAsia="仿宋" w:cs="仿宋"/>
          <w:color w:val="auto"/>
          <w:szCs w:val="21"/>
          <w:highlight w:val="none"/>
          <w:lang w:eastAsia="zh-Hans"/>
        </w:rPr>
        <w:t xml:space="preserve">止</w:t>
      </w:r>
      <w:r>
        <w:rPr>
          <w:rFonts w:hint="eastAsia" w:ascii="仿宋" w:hAnsi="仿宋" w:eastAsia="仿宋" w:cs="仿宋"/>
          <w:color w:val="auto"/>
          <w:szCs w:val="21"/>
          <w:highlight w:val="none"/>
        </w:rPr>
        <w:t xml:space="preserve">；本项目合同一年一签，是否续签由甲方根据对乙方的考核决定，具体如下：</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合同周期内采购人根据一年内月</w:t>
      </w:r>
      <w:bookmarkStart w:id="46" w:name="OLE_LINK11"/>
      <w:r/>
      <w:bookmarkStart w:id="47" w:name="OLE_LINK10"/>
      <w:r>
        <w:rPr>
          <w:rFonts w:hint="eastAsia" w:ascii="仿宋" w:hAnsi="仿宋" w:eastAsia="仿宋" w:cs="仿宋"/>
          <w:color w:val="auto"/>
          <w:szCs w:val="21"/>
          <w:highlight w:val="none"/>
        </w:rPr>
        <w:t xml:space="preserve">度考核均分</w:t>
      </w:r>
      <w:r>
        <w:rPr>
          <w:rFonts w:hint="eastAsia" w:ascii="宋体" w:hAnsi="宋体" w:eastAsia="宋体" w:cs="宋体"/>
          <w:color w:val="auto"/>
          <w:szCs w:val="21"/>
          <w:highlight w:val="none"/>
        </w:rPr>
        <w:t xml:space="preserve">≥</w:t>
      </w:r>
      <w:r>
        <w:rPr>
          <w:rFonts w:hint="eastAsia" w:ascii="仿宋" w:hAnsi="仿宋" w:eastAsia="仿宋" w:cs="仿宋"/>
          <w:color w:val="auto"/>
          <w:szCs w:val="21"/>
          <w:highlight w:val="none"/>
        </w:rPr>
        <w:t xml:space="preserve">8</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分，可履行下一年度合同，一年内月度考核均分&lt;8</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分，1个月整改</w:t>
      </w:r>
      <w:r>
        <w:rPr>
          <w:rFonts w:hint="eastAsia" w:ascii="仿宋" w:hAnsi="仿宋" w:eastAsia="仿宋" w:cs="仿宋"/>
          <w:color w:val="auto"/>
          <w:szCs w:val="21"/>
          <w:highlight w:val="none"/>
          <w:lang w:val="en-US" w:eastAsia="zh-CN"/>
        </w:rPr>
        <w:t xml:space="preserve">期经考核</w:t>
      </w:r>
      <w:r>
        <w:rPr>
          <w:rFonts w:hint="eastAsia" w:ascii="仿宋" w:hAnsi="仿宋" w:eastAsia="仿宋" w:cs="仿宋"/>
          <w:color w:val="auto"/>
          <w:szCs w:val="21"/>
          <w:highlight w:val="none"/>
        </w:rPr>
        <w:t xml:space="preserve">仍不到位、所在公司托管范围发生重大责任事故的，采购人有权终止合同。</w:t>
      </w:r>
      <w:bookmarkEnd w:id="46"/>
      <w:r/>
      <w:bookmarkEnd w:id="47"/>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采购人对投标人进行月度考核，若月度考核评分&lt;60分，或投标单位人员发生打架斗殴、10人以上群体性罢工、聚众闹事等，或因投标人工作失职的原因，发生重、特大安全责任事故，或造成其他刑事或重大民事案件，除赔偿损失外，采购人有权终止合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服务人员具体进场时间按采购人要求执行。</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三、合同金额</w:t>
      </w:r>
      <w:r/>
    </w:p>
    <w:p>
      <w:pPr>
        <w:ind w:firstLine="480"/>
        <w:jc w:val="left"/>
        <w:spacing w:line="44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3.1 本合同金额（三年</w:t>
      </w:r>
      <w:r>
        <w:rPr>
          <w:rFonts w:hint="eastAsia" w:ascii="仿宋" w:hAnsi="仿宋" w:eastAsia="仿宋" w:cs="仿宋"/>
          <w:color w:val="auto"/>
          <w:szCs w:val="21"/>
          <w:highlight w:val="none"/>
          <w:lang w:eastAsia="zh-Hans"/>
        </w:rPr>
        <w:t xml:space="preserve">服务费</w:t>
      </w:r>
      <w:r>
        <w:rPr>
          <w:rFonts w:hint="eastAsia" w:ascii="仿宋" w:hAnsi="仿宋" w:eastAsia="仿宋" w:cs="仿宋"/>
          <w:color w:val="auto"/>
          <w:szCs w:val="21"/>
          <w:highlight w:val="none"/>
        </w:rPr>
        <w:t xml:space="preserve">）为（大写，含税）：</w:t>
      </w:r>
      <w:r>
        <w:rPr>
          <w:rFonts w:hint="eastAsia" w:ascii="仿宋" w:hAnsi="仿宋" w:eastAsia="仿宋" w:cs="仿宋"/>
          <w:color w:val="auto"/>
          <w:szCs w:val="21"/>
          <w:highlight w:val="none"/>
          <w:u w:val="single"/>
          <w:lang w:eastAsia="zh-Hans"/>
        </w:rPr>
        <w:t xml:space="preserve">          </w:t>
      </w:r>
      <w:r>
        <w:rPr>
          <w:rFonts w:hint="eastAsia" w:ascii="仿宋" w:hAnsi="仿宋" w:eastAsia="仿宋" w:cs="仿宋"/>
          <w:color w:val="auto"/>
          <w:szCs w:val="21"/>
          <w:highlight w:val="none"/>
        </w:rPr>
        <w:t xml:space="preserve">元整（￥</w:t>
      </w:r>
      <w:r>
        <w:rPr>
          <w:rFonts w:hint="eastAsia" w:ascii="仿宋" w:hAnsi="仿宋" w:eastAsia="仿宋" w:cs="仿宋"/>
          <w:color w:val="auto"/>
          <w:szCs w:val="21"/>
          <w:highlight w:val="none"/>
          <w:u w:val="single"/>
          <w:lang w:eastAsia="zh-Hans"/>
        </w:rPr>
        <w:t xml:space="preserve">          </w:t>
      </w:r>
      <w:r>
        <w:rPr>
          <w:rFonts w:hint="eastAsia" w:ascii="仿宋" w:hAnsi="仿宋" w:eastAsia="仿宋" w:cs="仿宋"/>
          <w:color w:val="auto"/>
          <w:szCs w:val="21"/>
          <w:highlight w:val="none"/>
        </w:rPr>
        <w:t xml:space="preserve">元）人民币，（一年服务费）为（大写，含税）：</w:t>
      </w:r>
      <w:r>
        <w:rPr>
          <w:rFonts w:hint="eastAsia" w:ascii="仿宋" w:hAnsi="仿宋" w:eastAsia="仿宋" w:cs="仿宋"/>
          <w:color w:val="auto"/>
          <w:szCs w:val="21"/>
          <w:highlight w:val="none"/>
          <w:u w:val="single"/>
          <w:lang w:eastAsia="zh-Hans"/>
        </w:rPr>
        <w:t xml:space="preserve">          </w:t>
      </w:r>
      <w:r>
        <w:rPr>
          <w:rFonts w:hint="eastAsia" w:ascii="仿宋" w:hAnsi="仿宋" w:eastAsia="仿宋" w:cs="仿宋"/>
          <w:color w:val="auto"/>
          <w:szCs w:val="21"/>
          <w:highlight w:val="none"/>
        </w:rPr>
        <w:t xml:space="preserve">元整（￥</w:t>
      </w:r>
      <w:r>
        <w:rPr>
          <w:rFonts w:hint="eastAsia" w:ascii="仿宋" w:hAnsi="仿宋" w:eastAsia="仿宋" w:cs="仿宋"/>
          <w:color w:val="auto"/>
          <w:szCs w:val="21"/>
          <w:highlight w:val="none"/>
          <w:u w:val="single"/>
          <w:lang w:eastAsia="zh-Hans"/>
        </w:rPr>
        <w:t xml:space="preserve">          </w:t>
      </w:r>
      <w:r>
        <w:rPr>
          <w:rFonts w:hint="eastAsia" w:ascii="仿宋" w:hAnsi="仿宋" w:eastAsia="仿宋" w:cs="仿宋"/>
          <w:color w:val="auto"/>
          <w:szCs w:val="21"/>
          <w:highlight w:val="none"/>
        </w:rPr>
        <w:t xml:space="preserve">元）人民币，</w:t>
      </w:r>
      <w:r>
        <w:rPr>
          <w:rFonts w:hint="eastAsia" w:ascii="仿宋" w:hAnsi="仿宋" w:eastAsia="仿宋" w:cs="仿宋"/>
          <w:color w:val="auto"/>
          <w:szCs w:val="21"/>
          <w:highlight w:val="none"/>
          <w:lang w:eastAsia="zh-Hans"/>
        </w:rPr>
        <w:t xml:space="preserve">月服务费为</w:t>
      </w:r>
      <w:r>
        <w:rPr>
          <w:rFonts w:hint="eastAsia" w:ascii="仿宋" w:hAnsi="仿宋" w:eastAsia="仿宋" w:cs="仿宋"/>
          <w:color w:val="auto"/>
          <w:szCs w:val="21"/>
          <w:highlight w:val="none"/>
          <w:u w:val="single"/>
          <w:lang w:eastAsia="zh-Hans"/>
        </w:rPr>
        <w:t xml:space="preserve">          </w:t>
      </w:r>
      <w:r>
        <w:rPr>
          <w:rFonts w:hint="eastAsia" w:ascii="仿宋" w:hAnsi="仿宋" w:eastAsia="仿宋" w:cs="仿宋"/>
          <w:color w:val="auto"/>
          <w:szCs w:val="21"/>
          <w:highlight w:val="none"/>
        </w:rPr>
        <w:t xml:space="preserve">。</w:t>
      </w:r>
      <w:r>
        <w:rPr>
          <w:rFonts w:hint="eastAsia" w:ascii="仿宋" w:hAnsi="仿宋" w:eastAsia="仿宋" w:cs="仿宋"/>
          <w:b w:val="0"/>
          <w:i w:val="0"/>
          <w:iCs w:val="0"/>
          <w:color w:val="auto"/>
          <w:szCs w:val="21"/>
          <w:highlight w:val="none"/>
          <w:u w:val="none"/>
          <w:lang w:val="en-US" w:eastAsia="zh-CN"/>
        </w:rPr>
        <w:t xml:space="preserve">采购人有权对投标人服务人员考勤随机抽查，</w:t>
      </w:r>
      <w:r>
        <w:rPr>
          <w:rFonts w:hint="eastAsia" w:ascii="仿宋" w:hAnsi="仿宋" w:eastAsia="仿宋" w:cs="仿宋"/>
          <w:color w:val="auto"/>
          <w:szCs w:val="21"/>
          <w:highlight w:val="none"/>
        </w:rPr>
        <w:t xml:space="preserve">若乙方出现服务人员缺岗，甲方根据缺岗人员情况及缺岗时间扣除相应费用，老大楼启用后根据实际提供岗位支付。</w:t>
      </w:r>
      <w:r/>
    </w:p>
    <w:p>
      <w:pPr>
        <w:ind w:firstLine="480"/>
        <w:jc w:val="left"/>
        <w:spacing w:line="44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本合同价款包含所有乙方提供合同约定产品和服务的报酬及乙方提供合同中产品和服务所支出的乙方向甲方提供服务的所有费用（包括但不限于管理佣金、人员工资、福利、工具、培训、服装、税金、设备巡检维护所需的登高工具和安全防</w:t>
      </w:r>
      <w:r>
        <w:rPr>
          <w:rFonts w:hint="eastAsia" w:ascii="仿宋" w:hAnsi="仿宋" w:eastAsia="仿宋" w:cs="仿宋"/>
          <w:color w:val="auto"/>
          <w:szCs w:val="21"/>
          <w:highlight w:val="none"/>
        </w:rPr>
        <w:t xml:space="preserve">护用品等所有费用，服务中损坏赔偿费由乙方承担）；人员单价为综合单价，包干使用，已含基本工资、五险一金、福利（含高温补贴、考核奖、年终奖、各类带薪休假补贴等）、加班费、人员服装等、上述综合单价的管理费和税金等费用及所有因服务需要的各类费用。人员增减，该综合单价将延用；如履约时录用人员存在协保、农保或其他情况依法不需要缴纳保险费用的情况，由甲方负责审查并按实际情况扣减并签订补充协议。如服务周期内人员配备未达到本项目各岗位人员要求的人数，甲方有权责令期限整改或终止合同，甲方在上述合同价款之外不向乙方支付任何费用。</w:t>
      </w:r>
      <w:r/>
    </w:p>
    <w:p>
      <w:pPr>
        <w:ind w:firstLine="480"/>
        <w:jc w:val="left"/>
        <w:spacing w:line="44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员工工资、工作时间不得低于江苏省、南京市对于最低工资标准、每月最高工作时间的相关规定，所有工作人员必须缴纳包括养老、工伤、失业、生育、医疗等在内的社会保险及公积金、法定节日加班按照国家规定计算并支付的超时工资和加班工资、特定岗位的高温费、应休未休假补贴、福利、年度绩效等。报价还应考虑合同周期内国家最低基本工资和社保、公积金基数调整的费用，不得因国家政策上调要求甲方另外支付费用。</w:t>
      </w:r>
      <w:r/>
    </w:p>
    <w:p>
      <w:pPr>
        <w:ind w:firstLine="482"/>
        <w:jc w:val="left"/>
        <w:spacing w:line="44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所有服务人员按照国家规定缴纳社保、公积金，费用包含在投标报价中。若甲方发现乙方支付的人员费用中未包含社保、公积金或低于江苏省、南京市最低工资标准的，甲方有权扣除相应金额并终止合同。合同周期内，</w:t>
      </w:r>
      <w:r>
        <w:rPr>
          <w:rFonts w:hint="eastAsia" w:ascii="仿宋" w:hAnsi="仿宋" w:eastAsia="仿宋" w:cs="仿宋"/>
          <w:color w:val="auto"/>
          <w:szCs w:val="21"/>
          <w:highlight w:val="none"/>
          <w:lang w:val="en-US" w:eastAsia="zh-CN"/>
        </w:rPr>
        <w:t xml:space="preserve">乙方</w:t>
      </w:r>
      <w:r>
        <w:rPr>
          <w:rFonts w:hint="eastAsia" w:ascii="仿宋" w:hAnsi="仿宋" w:eastAsia="仿宋" w:cs="仿宋"/>
          <w:color w:val="auto"/>
          <w:szCs w:val="21"/>
          <w:highlight w:val="none"/>
        </w:rPr>
        <w:t xml:space="preserve">应依法确定员工上岗时间，按时足额发放员工工资、缴纳保险、保障员工福利。若因乙方未按规定及时发放工资，由此引发的用工劳务纠纷，</w:t>
      </w:r>
      <w:r>
        <w:rPr>
          <w:rFonts w:hint="eastAsia" w:ascii="仿宋" w:hAnsi="仿宋" w:eastAsia="仿宋" w:cs="仿宋"/>
          <w:color w:val="auto"/>
          <w:szCs w:val="21"/>
          <w:highlight w:val="none"/>
          <w:lang w:val="en-US" w:eastAsia="zh-CN"/>
        </w:rPr>
        <w:t xml:space="preserve">甲方</w:t>
      </w:r>
      <w:r>
        <w:rPr>
          <w:rFonts w:hint="eastAsia" w:ascii="仿宋" w:hAnsi="仿宋" w:eastAsia="仿宋" w:cs="仿宋"/>
          <w:color w:val="auto"/>
          <w:szCs w:val="21"/>
          <w:highlight w:val="none"/>
        </w:rPr>
        <w:t xml:space="preserve">不承担任何责任，所有责任由</w:t>
      </w:r>
      <w:r>
        <w:rPr>
          <w:rFonts w:hint="eastAsia" w:ascii="仿宋" w:hAnsi="仿宋" w:eastAsia="仿宋" w:cs="仿宋"/>
          <w:color w:val="auto"/>
          <w:szCs w:val="21"/>
          <w:highlight w:val="none"/>
          <w:lang w:val="en-US" w:eastAsia="zh-CN"/>
        </w:rPr>
        <w:t xml:space="preserve">乙方</w:t>
      </w:r>
      <w:r>
        <w:rPr>
          <w:rFonts w:hint="eastAsia" w:ascii="仿宋" w:hAnsi="仿宋" w:eastAsia="仿宋" w:cs="仿宋"/>
          <w:color w:val="auto"/>
          <w:szCs w:val="21"/>
          <w:highlight w:val="none"/>
        </w:rPr>
        <w:t xml:space="preserve">全部承担。</w:t>
      </w:r>
      <w:r>
        <w:rPr>
          <w:rFonts w:hint="eastAsia" w:ascii="仿宋" w:hAnsi="仿宋" w:eastAsia="仿宋" w:cs="仿宋"/>
          <w:color w:val="auto"/>
          <w:szCs w:val="21"/>
          <w:highlight w:val="none"/>
          <w:lang w:val="en-US" w:eastAsia="zh-CN"/>
        </w:rPr>
        <w:t xml:space="preserve">乙方</w:t>
      </w:r>
      <w:r>
        <w:rPr>
          <w:rFonts w:hint="eastAsia" w:ascii="仿宋" w:hAnsi="仿宋" w:eastAsia="仿宋" w:cs="仿宋"/>
          <w:color w:val="auto"/>
          <w:szCs w:val="21"/>
          <w:highlight w:val="none"/>
        </w:rPr>
        <w:t xml:space="preserve">派出的服务人员必须为专职人员，不得兼职，不得将派往</w:t>
      </w:r>
      <w:r>
        <w:rPr>
          <w:rFonts w:hint="eastAsia" w:ascii="仿宋" w:hAnsi="仿宋" w:eastAsia="仿宋" w:cs="仿宋"/>
          <w:color w:val="auto"/>
          <w:szCs w:val="21"/>
          <w:highlight w:val="none"/>
          <w:lang w:val="en-US" w:eastAsia="zh-CN"/>
        </w:rPr>
        <w:t xml:space="preserve">甲方</w:t>
      </w:r>
      <w:r>
        <w:rPr>
          <w:rFonts w:hint="eastAsia" w:ascii="仿宋" w:hAnsi="仿宋" w:eastAsia="仿宋" w:cs="仿宋"/>
          <w:color w:val="auto"/>
          <w:szCs w:val="21"/>
          <w:highlight w:val="none"/>
        </w:rPr>
        <w:t xml:space="preserve">的人员同时派至其他单位。</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3.2如果提供服务开始日期不是在月付款期的第一天，或不是在月付款期的最后一天终止本协议，第一次或最后一次支付的合同金额的数额应按实际提供的服务的天数、岗位、人数按比例支付。</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3.3乙方应在付款前【   】天向甲方提供符合甲方要求的发票，否则甲方有权拒绝支付款项。</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四、</w:t>
      </w:r>
      <w:r>
        <w:rPr>
          <w:rFonts w:hint="eastAsia" w:ascii="仿宋" w:hAnsi="仿宋" w:eastAsia="仿宋" w:cs="仿宋"/>
          <w:b/>
          <w:color w:val="auto"/>
          <w:szCs w:val="21"/>
          <w:highlight w:val="none"/>
          <w:lang w:eastAsia="zh-Hans"/>
        </w:rPr>
        <w:t xml:space="preserve">乙方的</w:t>
      </w:r>
      <w:r>
        <w:rPr>
          <w:rFonts w:hint="eastAsia" w:ascii="仿宋" w:hAnsi="仿宋" w:eastAsia="仿宋" w:cs="仿宋"/>
          <w:b/>
          <w:color w:val="auto"/>
          <w:szCs w:val="21"/>
          <w:highlight w:val="none"/>
        </w:rPr>
        <w:t xml:space="preserve">服务承诺</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4.1服从医院管理，自觉执行医院的有关规章制度，不串岗、不闲谈、不大声喧哗。</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4.2服从所在部门领导的安排，对自己的本职工作尽职尽责。</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4.3规范上岗，按照医院管理的特殊要求，严格执行运维服务管理等考核制度，做到管理规范化、服务标准化。</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4.4统一着装、挂牌服务、体检合格，确保工作效率和服务质量，做到三满意：病人（病人家属）满意、医护人员满意、医院领导满意。</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4.5服从监督检查，在自查、交接班互查的基础上自觉接受管理人员的检查，主动征求甲方意见，做到接受检查不回嘴、提出批评不护短，两次受到</w:t>
      </w:r>
      <w:r>
        <w:rPr>
          <w:rFonts w:hint="eastAsia" w:ascii="仿宋" w:hAnsi="仿宋" w:eastAsia="仿宋" w:cs="仿宋"/>
          <w:color w:val="auto"/>
          <w:szCs w:val="21"/>
          <w:highlight w:val="none"/>
          <w:lang w:eastAsia="zh-Hans"/>
        </w:rPr>
        <w:t xml:space="preserve">甲</w:t>
      </w:r>
      <w:r>
        <w:rPr>
          <w:rFonts w:hint="eastAsia" w:ascii="仿宋" w:hAnsi="仿宋" w:eastAsia="仿宋" w:cs="仿宋"/>
          <w:color w:val="auto"/>
          <w:szCs w:val="21"/>
          <w:highlight w:val="none"/>
        </w:rPr>
        <w:t xml:space="preserve">方</w:t>
      </w:r>
      <w:r>
        <w:rPr>
          <w:rFonts w:hint="eastAsia" w:ascii="仿宋" w:hAnsi="仿宋" w:eastAsia="仿宋" w:cs="仿宋"/>
          <w:color w:val="auto"/>
          <w:szCs w:val="21"/>
          <w:highlight w:val="none"/>
          <w:lang w:eastAsia="zh-Hans"/>
        </w:rPr>
        <w:t xml:space="preserve">合理</w:t>
      </w:r>
      <w:r>
        <w:rPr>
          <w:rFonts w:hint="eastAsia" w:ascii="仿宋" w:hAnsi="仿宋" w:eastAsia="仿宋" w:cs="仿宋"/>
          <w:color w:val="auto"/>
          <w:szCs w:val="21"/>
          <w:highlight w:val="none"/>
        </w:rPr>
        <w:t xml:space="preserve">批评而未能改正的人员及时更换，如因整体素质差而影响医院正常工作开展，乙方自觉接受</w:t>
      </w:r>
      <w:r>
        <w:rPr>
          <w:rFonts w:hint="eastAsia" w:ascii="仿宋" w:hAnsi="仿宋" w:eastAsia="仿宋" w:cs="仿宋"/>
          <w:color w:val="auto"/>
          <w:szCs w:val="21"/>
          <w:highlight w:val="none"/>
          <w:lang w:eastAsia="zh-Hans"/>
        </w:rPr>
        <w:t xml:space="preserve">甲</w:t>
      </w:r>
      <w:r>
        <w:rPr>
          <w:rFonts w:hint="eastAsia" w:ascii="仿宋" w:hAnsi="仿宋" w:eastAsia="仿宋" w:cs="仿宋"/>
          <w:color w:val="auto"/>
          <w:szCs w:val="21"/>
          <w:highlight w:val="none"/>
        </w:rPr>
        <w:t xml:space="preserve">方清场处理。</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4.6甲方不定期对乙方培训情况进行抽查，乙方定期对员工进行服务礼仪、职业道德及技能等相关知识培训。</w:t>
      </w:r>
      <w:r/>
    </w:p>
    <w:p>
      <w:pPr>
        <w:ind w:firstLine="480"/>
        <w:spacing w:line="440" w:lineRule="exact"/>
        <w:rPr>
          <w:rFonts w:ascii="仿宋" w:hAnsi="仿宋" w:eastAsia="仿宋" w:cs="仿宋"/>
          <w:bCs/>
          <w:color w:val="auto"/>
          <w:highlight w:val="none"/>
        </w:rPr>
      </w:pPr>
      <w:r>
        <w:rPr>
          <w:rFonts w:hint="eastAsia" w:ascii="仿宋" w:hAnsi="仿宋" w:eastAsia="仿宋" w:cs="仿宋"/>
          <w:color w:val="auto"/>
          <w:szCs w:val="21"/>
          <w:highlight w:val="none"/>
        </w:rPr>
        <w:t xml:space="preserve">4.7</w:t>
      </w:r>
      <w:r>
        <w:rPr>
          <w:rFonts w:hint="eastAsia" w:ascii="仿宋" w:hAnsi="仿宋" w:eastAsia="仿宋" w:cs="仿宋"/>
          <w:bCs/>
          <w:color w:val="auto"/>
          <w:highlight w:val="none"/>
        </w:rPr>
        <w:t xml:space="preserve">建立、健全综合楼后勤保障体系，智能化、规范化、绿色节能</w:t>
      </w:r>
      <w:r>
        <w:rPr>
          <w:rFonts w:hint="eastAsia" w:ascii="仿宋" w:hAnsi="仿宋" w:eastAsia="仿宋" w:cs="仿宋"/>
          <w:bCs/>
          <w:color w:val="auto"/>
          <w:highlight w:val="none"/>
          <w:lang w:eastAsia="zh-Hans"/>
        </w:rPr>
        <w:t xml:space="preserve">地</w:t>
      </w:r>
      <w:r>
        <w:rPr>
          <w:rFonts w:hint="eastAsia" w:ascii="仿宋" w:hAnsi="仿宋" w:eastAsia="仿宋" w:cs="仿宋"/>
          <w:bCs/>
          <w:color w:val="auto"/>
          <w:highlight w:val="none"/>
        </w:rPr>
        <w:t xml:space="preserve">提供后勤机电设备运维。</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4.8安全保障稳妥、及时、有力，无事故发生。</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4.9</w:t>
      </w:r>
      <w:r>
        <w:rPr>
          <w:rFonts w:hint="eastAsia" w:ascii="仿宋" w:hAnsi="仿宋" w:eastAsia="仿宋" w:cs="仿宋"/>
          <w:bCs/>
          <w:color w:val="auto"/>
          <w:highlight w:val="none"/>
        </w:rPr>
        <w:t xml:space="preserve">所有运维服务人员，必须符合甲方采购文件中的各项要求，并持有国家相关机构颁发的各类有效上岗证件。</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五、甲方的权利和义务</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5.1审定乙方运维服务</w:t>
      </w:r>
      <w:r>
        <w:rPr>
          <w:rFonts w:hint="eastAsia" w:ascii="仿宋" w:hAnsi="仿宋" w:eastAsia="仿宋" w:cs="仿宋"/>
          <w:color w:val="auto"/>
          <w:szCs w:val="21"/>
          <w:highlight w:val="none"/>
          <w:lang w:eastAsia="zh-Hans"/>
        </w:rPr>
        <w:t xml:space="preserve">制度、</w:t>
      </w:r>
      <w:r>
        <w:rPr>
          <w:rFonts w:hint="eastAsia" w:ascii="仿宋" w:hAnsi="仿宋" w:eastAsia="仿宋" w:cs="仿宋"/>
          <w:color w:val="auto"/>
          <w:szCs w:val="21"/>
          <w:highlight w:val="none"/>
        </w:rPr>
        <w:t xml:space="preserve">方案，规定服务范围，提出服务标准。</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5.2向乙方提供必要的</w:t>
      </w:r>
      <w:r>
        <w:rPr>
          <w:rFonts w:hint="eastAsia" w:ascii="仿宋" w:hAnsi="仿宋" w:eastAsia="仿宋" w:cs="仿宋"/>
          <w:color w:val="auto"/>
          <w:szCs w:val="21"/>
          <w:highlight w:val="none"/>
          <w:lang w:eastAsia="zh-Hans"/>
        </w:rPr>
        <w:t xml:space="preserve">服务</w:t>
      </w:r>
      <w:r>
        <w:rPr>
          <w:rFonts w:hint="eastAsia" w:ascii="仿宋" w:hAnsi="仿宋" w:eastAsia="仿宋" w:cs="仿宋"/>
          <w:color w:val="auto"/>
          <w:szCs w:val="21"/>
          <w:highlight w:val="none"/>
        </w:rPr>
        <w:t xml:space="preserve">用房，即管理人员办公室一间、仓库一间，不提供员工食宿，乙方进驻后办理交接手续。</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5.3根据实际工作情况，制定运维服务考核实施细则（见附件）。</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5.4检查、监督乙方</w:t>
      </w:r>
      <w:r>
        <w:rPr>
          <w:rFonts w:hint="eastAsia" w:ascii="仿宋" w:hAnsi="仿宋" w:eastAsia="仿宋" w:cs="仿宋"/>
          <w:color w:val="auto"/>
          <w:szCs w:val="21"/>
          <w:highlight w:val="none"/>
          <w:lang w:eastAsia="zh-Hans"/>
        </w:rPr>
        <w:t xml:space="preserve">服务</w:t>
      </w:r>
      <w:r>
        <w:rPr>
          <w:rFonts w:hint="eastAsia" w:ascii="仿宋" w:hAnsi="仿宋" w:eastAsia="仿宋" w:cs="仿宋"/>
          <w:color w:val="auto"/>
          <w:szCs w:val="21"/>
          <w:highlight w:val="none"/>
        </w:rPr>
        <w:t xml:space="preserve">工作的实施及制度和计划的执行情况；检查人员配备和零星维修耗材使用登记情况。</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5.5要求乙方对违反合同规定、考核细则的行为进行限期整改，整改无效的，甲方有权延迟支付费用，要求乙方赔偿经济损失并可追究乙方</w:t>
      </w:r>
      <w:r>
        <w:rPr>
          <w:rFonts w:hint="eastAsia" w:ascii="仿宋" w:hAnsi="仿宋" w:eastAsia="仿宋" w:cs="仿宋"/>
          <w:color w:val="auto"/>
          <w:szCs w:val="21"/>
          <w:highlight w:val="none"/>
          <w:lang w:eastAsia="zh-Hans"/>
        </w:rPr>
        <w:t xml:space="preserve">其他</w:t>
      </w:r>
      <w:r>
        <w:rPr>
          <w:rFonts w:hint="eastAsia" w:ascii="仿宋" w:hAnsi="仿宋" w:eastAsia="仿宋" w:cs="仿宋"/>
          <w:color w:val="auto"/>
          <w:szCs w:val="21"/>
          <w:highlight w:val="none"/>
        </w:rPr>
        <w:t xml:space="preserve">违约</w:t>
      </w:r>
      <w:r>
        <w:rPr>
          <w:rFonts w:hint="eastAsia" w:ascii="仿宋" w:hAnsi="仿宋" w:eastAsia="仿宋" w:cs="仿宋"/>
          <w:color w:val="auto"/>
          <w:szCs w:val="21"/>
          <w:highlight w:val="none"/>
          <w:lang w:eastAsia="zh-Hans"/>
        </w:rPr>
        <w:t xml:space="preserve">责任</w:t>
      </w:r>
      <w:r>
        <w:rPr>
          <w:rFonts w:hint="eastAsia" w:ascii="仿宋" w:hAnsi="仿宋" w:eastAsia="仿宋" w:cs="仿宋"/>
          <w:color w:val="auto"/>
          <w:szCs w:val="21"/>
          <w:highlight w:val="none"/>
        </w:rPr>
        <w:t xml:space="preserve">。</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5.6要求乙方严格执行运维服务考核细则；对乙方安排的服务人员进行考核，对乙方不称职的人员提出撤换的要求。</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5.7 要求乙方对违反运维</w:t>
      </w:r>
      <w:r>
        <w:rPr>
          <w:rFonts w:hint="eastAsia" w:ascii="仿宋" w:hAnsi="仿宋" w:eastAsia="仿宋" w:cs="仿宋"/>
          <w:color w:val="auto"/>
          <w:szCs w:val="21"/>
          <w:highlight w:val="none"/>
          <w:lang w:eastAsia="zh-Hans"/>
        </w:rPr>
        <w:t xml:space="preserve">服务</w:t>
      </w:r>
      <w:r>
        <w:rPr>
          <w:rFonts w:hint="eastAsia" w:ascii="仿宋" w:hAnsi="仿宋" w:eastAsia="仿宋" w:cs="仿宋"/>
          <w:color w:val="auto"/>
          <w:szCs w:val="21"/>
          <w:highlight w:val="none"/>
        </w:rPr>
        <w:t xml:space="preserve">制度的人员进行相应处理直至调离本项目，要求乙方对违反运维制度的人员进行处理，乙方无条件予以配合。</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5.8法律法规政策规定或合同约定的甲方应有的其他权利和义务。</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六、乙方的权利和义务</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6.1乙方应根据有关法律、法规政策和本协议的规定、</w:t>
      </w:r>
      <w:r>
        <w:rPr>
          <w:rFonts w:hint="eastAsia" w:ascii="仿宋" w:hAnsi="仿宋" w:eastAsia="仿宋" w:cs="仿宋"/>
          <w:color w:val="auto"/>
          <w:szCs w:val="21"/>
          <w:highlight w:val="none"/>
          <w:lang w:eastAsia="zh-Hans"/>
        </w:rPr>
        <w:t xml:space="preserve">本项目实际</w:t>
      </w:r>
      <w:r>
        <w:rPr>
          <w:rFonts w:hint="eastAsia" w:ascii="仿宋" w:hAnsi="仿宋" w:eastAsia="仿宋" w:cs="仿宋"/>
          <w:color w:val="auto"/>
          <w:szCs w:val="21"/>
          <w:highlight w:val="none"/>
        </w:rPr>
        <w:t xml:space="preserve">及甲方的要求，制定</w:t>
      </w:r>
      <w:r>
        <w:rPr>
          <w:rFonts w:hint="eastAsia" w:ascii="仿宋" w:hAnsi="仿宋" w:eastAsia="仿宋" w:cs="仿宋"/>
          <w:color w:val="auto"/>
          <w:szCs w:val="21"/>
          <w:highlight w:val="none"/>
          <w:lang w:eastAsia="zh-Hans"/>
        </w:rPr>
        <w:t xml:space="preserve">服务</w:t>
      </w:r>
      <w:r>
        <w:rPr>
          <w:rFonts w:hint="eastAsia" w:ascii="仿宋" w:hAnsi="仿宋" w:eastAsia="仿宋" w:cs="仿宋"/>
          <w:color w:val="auto"/>
          <w:szCs w:val="21"/>
          <w:highlight w:val="none"/>
        </w:rPr>
        <w:t xml:space="preserve">制度及具体实施方案。</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6.2员工上岗前必须进行相关内容的培训，到岗后定期进行培训和考核。</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6.3实行岗位责任制，在自查和交接班互查的基础上，全面落实考核内容，严格执行考核标准。</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6.4严格遵守</w:t>
      </w:r>
      <w:r>
        <w:rPr>
          <w:rFonts w:hint="eastAsia" w:ascii="仿宋" w:hAnsi="仿宋" w:eastAsia="仿宋" w:cs="仿宋"/>
          <w:color w:val="auto"/>
          <w:szCs w:val="21"/>
          <w:highlight w:val="none"/>
          <w:lang w:eastAsia="zh-Hans"/>
        </w:rPr>
        <w:t xml:space="preserve">甲</w:t>
      </w:r>
      <w:r>
        <w:rPr>
          <w:rFonts w:hint="eastAsia" w:ascii="仿宋" w:hAnsi="仿宋" w:eastAsia="仿宋" w:cs="仿宋"/>
          <w:color w:val="auto"/>
          <w:szCs w:val="21"/>
          <w:highlight w:val="none"/>
        </w:rPr>
        <w:t xml:space="preserve">方的规章制度，虚心听取护士长及医务人员的技术指导和质量监督，并接受其检查、考核评定以及处罚，如人员更换，必须提前三天通知使用部门并取得同意。</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6.5坚决执行甲方所规定的上下班时间，做到不误时、不脱岗、不串岗，不在岗上闲谈或会客，在完成自己本职工作的同时积极完成相关部门指派的协助工作。</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6.6做好工作期间楼道照明灯的开关及节约能源、设施损坏报修维修等相关工作。</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6.7</w:t>
      </w:r>
      <w:r>
        <w:rPr>
          <w:rFonts w:hint="eastAsia" w:ascii="仿宋" w:hAnsi="仿宋" w:eastAsia="仿宋" w:cs="仿宋"/>
          <w:color w:val="auto"/>
          <w:szCs w:val="21"/>
          <w:highlight w:val="none"/>
          <w:lang w:eastAsia="zh-Hans"/>
        </w:rPr>
        <w:t xml:space="preserve">本项目</w:t>
      </w:r>
      <w:r>
        <w:rPr>
          <w:rFonts w:hint="eastAsia" w:ascii="仿宋" w:hAnsi="仿宋" w:eastAsia="仿宋" w:cs="仿宋"/>
          <w:color w:val="auto"/>
          <w:szCs w:val="21"/>
          <w:highlight w:val="none"/>
        </w:rPr>
        <w:t xml:space="preserve">员工工资待遇不得低于项目所在地最低标准。乙方有义务配合甲方重大节日活动中后勤保障工作。</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6.8 建立健全、完善的突发、重大事件的应急处理预案， 对突发事件、重大事件进行应急处理，并立即向甲方报告，服从甲方安排；应具备突发情况应急处理能力，必须保证各部门水、电、气等各系统正常运行。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6.9按照甲方要求安全、节约、有控制地使用水、电、蒸汽和其他设施，对大楼公用设施不得擅自占用和改变使用功能。甲方提供的办公设施、用房以及其他设备设施，均为甲方合法财产，乙方应妥善保管，并教育员工本着经济节约的原则合理使用。如由于不正当操作或者其他人为因素造成损失的，乙方须照价赔偿。</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6.10建立各班组的</w:t>
      </w:r>
      <w:r>
        <w:rPr>
          <w:rFonts w:hint="eastAsia" w:ascii="仿宋" w:hAnsi="仿宋" w:eastAsia="仿宋" w:cs="仿宋"/>
          <w:color w:val="auto"/>
          <w:szCs w:val="21"/>
          <w:highlight w:val="none"/>
          <w:lang w:eastAsia="zh-Hans"/>
        </w:rPr>
        <w:t xml:space="preserve">工作</w:t>
      </w:r>
      <w:r>
        <w:rPr>
          <w:rFonts w:hint="eastAsia" w:ascii="仿宋" w:hAnsi="仿宋" w:eastAsia="仿宋" w:cs="仿宋"/>
          <w:color w:val="auto"/>
          <w:szCs w:val="21"/>
          <w:highlight w:val="none"/>
        </w:rPr>
        <w:t xml:space="preserve">台账并负责及时记载有关变更情况，甲方每月进行检查。</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6.11要求乙方服务人员讲文明礼貌、态度和蔼，</w:t>
      </w:r>
      <w:r>
        <w:rPr>
          <w:rFonts w:hint="eastAsia" w:ascii="仿宋" w:hAnsi="仿宋" w:eastAsia="仿宋" w:cs="仿宋"/>
          <w:color w:val="auto"/>
          <w:szCs w:val="21"/>
          <w:highlight w:val="none"/>
          <w:lang w:eastAsia="zh-Hans"/>
        </w:rPr>
        <w:t xml:space="preserve">秉持</w:t>
      </w:r>
      <w:r>
        <w:rPr>
          <w:rFonts w:hint="eastAsia" w:ascii="仿宋" w:hAnsi="仿宋" w:eastAsia="仿宋" w:cs="仿宋"/>
          <w:color w:val="auto"/>
          <w:szCs w:val="21"/>
          <w:highlight w:val="none"/>
        </w:rPr>
        <w:t xml:space="preserve">服务于临床的服务理念，自觉维护甲方的社会形象，加强乙方员工职业道德和法治教育，做好保密工作。</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6.12乙方管理人员必须加强监督工作，每天进行现场检查，督导其服务人员的工作，积极主动与甲方相关负责人员做好沟通，及时发现问题纠正解决，不断提高服务质量。乙方管理人员应对指派至甲方处的人员每日出勤情况进行考核，并交甲方核对确认，出勤考核结果为月度考核指标之一。如乙方服务人员因故不能出勤的，应由乙方安排其他员工完成该缺勤员工的工作，并提前取得甲方同意。</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6.13采取合理安全保障措施，做好安全工作，发现有设施损坏和跑、冒、滴、漏现象立即报告，杜绝事故发生。因乙方原因（不可抗拒因素除外）而导致发生安全事故或导致甲方、乙方或任何第三方出现人身、财产损失的，乙方自行承担有关责任，并承担全部的赔偿责任，甲方有权从应付服务费中扣除相关赔偿款项。如甲方因此被第三人索赔的，乙方须根据甲方的要求共同应诉或独自抗辩。如第三人索赔请求依法成立，甲方有权从应付乙方的服务费中直接扣除该索赔金额后直接支付给第三人，索赔金额超过应付服务费的部分甲方有权向乙方追偿。</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6.14乙方应做好服务人员岗前培训、工作流程及工作技能培训、消防安全培训等各项培训工作，在发现服务质量存在问题时应进行有针对性的专项培训，做好培训记录，提高服务质量。</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6.15在任何情况下，乙方指派到甲方提供服务的工作人员不是甲方员工，甲方与该员工不存在任何法律上或事实上的劳动或劳务关系，乙方应与该员工建立劳动关系，签订和完善劳动合同，甲方有权随时查看乙方与其员工签订的劳动合同、缴纳社保、工资发放等情况。乙方加强对其员工的职业安全保障，按照国家和当地政府的规定为其员工购买保险，提供劳动保护用品，采取合理的劳动保护措施，及时支付员工劳动薪酬和社保保险。其员工发生任何工伤、意外伤害、纠纷时，乙方应自行妥善处理，按规定为其人员申请工伤认定或申请保险理赔，甲方不承担任何有关责任。</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6.16乙方及乙方人员具有法律法规或有关部门规定的提供本合同项下服务的相关资质。</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szCs w:val="21"/>
          <w:highlight w:val="none"/>
        </w:rPr>
        <w:t xml:space="preserve">6.17</w:t>
      </w:r>
      <w:r>
        <w:rPr>
          <w:rFonts w:hint="eastAsia" w:ascii="仿宋" w:hAnsi="仿宋" w:eastAsia="仿宋" w:cs="仿宋"/>
          <w:color w:val="auto"/>
          <w:highlight w:val="none"/>
        </w:rPr>
        <w:t xml:space="preserve">配合甲方制定各类设备的检查、检测、年检工作计划；并协助采购人落实完成各种检查、检测、年检工作计划实施（包括特种设备、计量器具管理,协助建立台账、规章制度、操作规程）。</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szCs w:val="21"/>
          <w:highlight w:val="none"/>
        </w:rPr>
        <w:t xml:space="preserve">6.18</w:t>
      </w:r>
      <w:r>
        <w:rPr>
          <w:rFonts w:hint="eastAsia" w:ascii="仿宋" w:hAnsi="仿宋" w:eastAsia="仿宋" w:cs="仿宋"/>
          <w:color w:val="auto"/>
          <w:highlight w:val="none"/>
        </w:rPr>
        <w:t xml:space="preserve">按照系统运行、安全生产的要求，制定运行、维护管理的岗位职责、巡检、保养、维护计划，做好设备运行记录、维修档案、建立档案（所有设备、系统）等管理制度，各类职责、制度上墙明示。</w:t>
      </w:r>
      <w:r/>
    </w:p>
    <w:p>
      <w:pPr>
        <w:ind w:firstLine="480"/>
        <w:spacing w:line="440" w:lineRule="exact"/>
        <w:rPr>
          <w:rFonts w:ascii="仿宋" w:hAnsi="仿宋" w:eastAsia="仿宋" w:cs="仿宋"/>
          <w:bCs/>
          <w:color w:val="auto"/>
          <w:highlight w:val="none"/>
        </w:rPr>
      </w:pPr>
      <w:r>
        <w:rPr>
          <w:rFonts w:hint="eastAsia" w:ascii="仿宋" w:hAnsi="仿宋" w:eastAsia="仿宋" w:cs="仿宋"/>
          <w:color w:val="auto"/>
          <w:highlight w:val="none"/>
        </w:rPr>
        <w:t xml:space="preserve">6.19</w:t>
      </w:r>
      <w:r>
        <w:rPr>
          <w:rFonts w:hint="eastAsia" w:ascii="仿宋" w:hAnsi="仿宋" w:eastAsia="仿宋" w:cs="仿宋"/>
          <w:bCs/>
          <w:color w:val="auto"/>
          <w:highlight w:val="none"/>
          <w:lang w:eastAsia="zh-Hans"/>
        </w:rPr>
        <w:t xml:space="preserve">维护</w:t>
      </w:r>
      <w:r>
        <w:rPr>
          <w:rFonts w:hint="eastAsia" w:ascii="仿宋" w:hAnsi="仿宋" w:eastAsia="仿宋" w:cs="仿宋"/>
          <w:bCs/>
          <w:color w:val="auto"/>
          <w:highlight w:val="none"/>
        </w:rPr>
        <w:t xml:space="preserve">后勤设备运行，严格执行系统设备安全运行和安全生产的要求，定时巡视设备机房和设备运行情况，做好相关记录；机房环境符合设备运行的要求，环境整洁、无杂物、无灰尘，做好各种安全用具、消防用具、设备备品及维修工具的管理。</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七、技术资料</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7.1乙方应按招标文件规定的时间向甲方提供有关技术资料。</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7.2 没有甲方事先书面同意，乙方不得将由甲方提供的有关合同或任何合同条文、规格、计划、图纸、样品或资料提供给</w:t>
      </w:r>
      <w:r>
        <w:rPr>
          <w:rFonts w:hint="eastAsia" w:ascii="仿宋" w:hAnsi="仿宋" w:eastAsia="仿宋" w:cs="仿宋"/>
          <w:color w:val="auto"/>
          <w:szCs w:val="21"/>
          <w:highlight w:val="none"/>
          <w:lang w:eastAsia="zh-Hans"/>
        </w:rPr>
        <w:t xml:space="preserve">签订、</w:t>
      </w:r>
      <w:r>
        <w:rPr>
          <w:rFonts w:hint="eastAsia" w:ascii="仿宋" w:hAnsi="仿宋" w:eastAsia="仿宋" w:cs="仿宋"/>
          <w:color w:val="auto"/>
          <w:szCs w:val="21"/>
          <w:highlight w:val="none"/>
        </w:rPr>
        <w:t xml:space="preserve">与履行本合同无关的任何其他人。即使向</w:t>
      </w:r>
      <w:r>
        <w:rPr>
          <w:rFonts w:hint="eastAsia" w:ascii="仿宋" w:hAnsi="仿宋" w:eastAsia="仿宋" w:cs="仿宋"/>
          <w:color w:val="auto"/>
          <w:szCs w:val="21"/>
          <w:highlight w:val="none"/>
          <w:lang w:eastAsia="zh-Hans"/>
        </w:rPr>
        <w:t xml:space="preserve">签订、</w:t>
      </w:r>
      <w:r>
        <w:rPr>
          <w:rFonts w:hint="eastAsia" w:ascii="仿宋" w:hAnsi="仿宋" w:eastAsia="仿宋" w:cs="仿宋"/>
          <w:color w:val="auto"/>
          <w:szCs w:val="21"/>
          <w:highlight w:val="none"/>
        </w:rPr>
        <w:t xml:space="preserve">履行本合同有关的人员提供，也应注意保密并限于履行合同的必需范围。</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八、知识产权</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九、产权担保</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乙方保证所交付标的的所有权完全属于乙方且无任何抵押、查封等产权瑕疵</w:t>
      </w:r>
      <w:r>
        <w:rPr>
          <w:rFonts w:hint="eastAsia" w:ascii="仿宋" w:hAnsi="仿宋" w:eastAsia="仿宋" w:cs="仿宋"/>
          <w:color w:val="auto"/>
          <w:szCs w:val="21"/>
          <w:highlight w:val="none"/>
          <w:lang w:eastAsia="zh-Hans"/>
        </w:rPr>
        <w:t xml:space="preserve">和权利负担</w:t>
      </w:r>
      <w:r>
        <w:rPr>
          <w:rFonts w:hint="eastAsia" w:ascii="仿宋" w:hAnsi="仿宋" w:eastAsia="仿宋" w:cs="仿宋"/>
          <w:color w:val="auto"/>
          <w:szCs w:val="21"/>
          <w:highlight w:val="none"/>
        </w:rPr>
        <w:t xml:space="preserve">。</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十、转包或分包</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10.1本合同范围内服务，应由乙方直接供应，不得转让他人供应</w:t>
      </w:r>
      <w:r>
        <w:rPr>
          <w:rFonts w:hint="eastAsia" w:ascii="仿宋" w:hAnsi="仿宋" w:eastAsia="仿宋" w:cs="仿宋"/>
          <w:color w:val="auto"/>
          <w:szCs w:val="21"/>
          <w:highlight w:val="none"/>
          <w:lang w:eastAsia="zh-Hans"/>
        </w:rPr>
        <w:t xml:space="preserve">或者交由他人供应</w:t>
      </w:r>
      <w:r>
        <w:rPr>
          <w:rFonts w:hint="eastAsia" w:ascii="仿宋" w:hAnsi="仿宋" w:eastAsia="仿宋" w:cs="仿宋"/>
          <w:color w:val="auto"/>
          <w:szCs w:val="21"/>
          <w:highlight w:val="none"/>
        </w:rPr>
        <w:t xml:space="preserve">；</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10.2 除非得到甲方的书面同意，乙方不得分包给他人供应。</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10.3</w:t>
      </w:r>
      <w:r>
        <w:rPr>
          <w:rFonts w:hint="eastAsia" w:ascii="仿宋" w:hAnsi="仿宋" w:eastAsia="仿宋" w:cs="仿宋"/>
          <w:color w:val="auto"/>
          <w:szCs w:val="21"/>
          <w:highlight w:val="none"/>
          <w:lang w:eastAsia="zh-Hans"/>
        </w:rPr>
        <w:t xml:space="preserve">乙方违反10.1和10.2约定的</w:t>
      </w:r>
      <w:r>
        <w:rPr>
          <w:rFonts w:hint="eastAsia" w:ascii="仿宋" w:hAnsi="仿宋" w:eastAsia="仿宋" w:cs="仿宋"/>
          <w:color w:val="auto"/>
          <w:szCs w:val="21"/>
          <w:highlight w:val="none"/>
        </w:rPr>
        <w:t xml:space="preserve">，甲方有权终止合同。 </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十一、合同履约管理办法</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11.1乙方必须严格按照招标文件所有内容和要求执行。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11.2乙方工作必须符合甲方要求，并接受和整改甲方对</w:t>
      </w:r>
      <w:r>
        <w:rPr>
          <w:rFonts w:hint="eastAsia" w:ascii="仿宋" w:hAnsi="仿宋" w:eastAsia="仿宋" w:cs="仿宋"/>
          <w:color w:val="auto"/>
          <w:szCs w:val="21"/>
          <w:highlight w:val="none"/>
          <w:lang w:eastAsia="zh-Hans"/>
        </w:rPr>
        <w:t xml:space="preserve">其</w:t>
      </w:r>
      <w:r>
        <w:rPr>
          <w:rFonts w:hint="eastAsia" w:ascii="仿宋" w:hAnsi="仿宋" w:eastAsia="仿宋" w:cs="仿宋"/>
          <w:color w:val="auto"/>
          <w:szCs w:val="21"/>
          <w:highlight w:val="none"/>
        </w:rPr>
        <w:t xml:space="preserve">工作的合理意见。</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十二、合同款支付</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12.1无论市场价格如何变化，人员综合单价固定，合同周期内不予调整，故合同总价在合同周期内不予调整，除非根据实际需要，</w:t>
      </w:r>
      <w:r>
        <w:rPr>
          <w:rFonts w:hint="eastAsia" w:ascii="仿宋" w:hAnsi="仿宋" w:eastAsia="仿宋" w:cs="仿宋"/>
          <w:color w:val="auto"/>
          <w:szCs w:val="21"/>
          <w:highlight w:val="none"/>
          <w:lang w:eastAsia="zh-Hans"/>
        </w:rPr>
        <w:t xml:space="preserve">甲</w:t>
      </w:r>
      <w:r>
        <w:rPr>
          <w:rFonts w:hint="eastAsia" w:ascii="仿宋" w:hAnsi="仿宋" w:eastAsia="仿宋" w:cs="仿宋"/>
          <w:color w:val="auto"/>
          <w:szCs w:val="21"/>
          <w:highlight w:val="none"/>
        </w:rPr>
        <w:t xml:space="preserve">方增加或减少服务区域、项目、岗位，</w:t>
      </w:r>
      <w:r>
        <w:rPr>
          <w:rFonts w:hint="eastAsia" w:ascii="仿宋" w:hAnsi="仿宋" w:eastAsia="仿宋" w:cs="仿宋"/>
          <w:color w:val="auto"/>
          <w:szCs w:val="21"/>
          <w:highlight w:val="none"/>
          <w:lang w:eastAsia="zh-Hans"/>
        </w:rPr>
        <w:t xml:space="preserve">甲</w:t>
      </w:r>
      <w:r>
        <w:rPr>
          <w:rFonts w:hint="eastAsia" w:ascii="仿宋" w:hAnsi="仿宋" w:eastAsia="仿宋" w:cs="仿宋"/>
          <w:color w:val="auto"/>
          <w:szCs w:val="21"/>
          <w:highlight w:val="none"/>
        </w:rPr>
        <w:t xml:space="preserve">方审核同意后方可作相应调整。调整日期从实际调整执行之日起执行。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12.2</w:t>
      </w:r>
      <w:r>
        <w:rPr>
          <w:rFonts w:hint="eastAsia" w:ascii="仿宋" w:hAnsi="仿宋" w:eastAsia="仿宋" w:cs="仿宋"/>
          <w:color w:val="auto"/>
          <w:szCs w:val="21"/>
          <w:highlight w:val="none"/>
          <w:lang w:eastAsia="zh-Hans"/>
        </w:rPr>
        <w:t xml:space="preserve">乙方的</w:t>
      </w:r>
      <w:r>
        <w:rPr>
          <w:rFonts w:hint="eastAsia" w:ascii="仿宋" w:hAnsi="仿宋" w:eastAsia="仿宋" w:cs="仿宋"/>
          <w:color w:val="auto"/>
          <w:szCs w:val="21"/>
          <w:highlight w:val="none"/>
        </w:rPr>
        <w:t xml:space="preserve">服务费支付采用月度考核评价后按月支付的方式：月度考核评价90（含）-100分</w:t>
      </w:r>
      <w:r>
        <w:rPr>
          <w:rFonts w:hint="eastAsia" w:ascii="仿宋" w:hAnsi="仿宋" w:eastAsia="仿宋" w:cs="仿宋"/>
          <w:color w:val="auto"/>
          <w:szCs w:val="21"/>
          <w:highlight w:val="none"/>
          <w:lang w:eastAsia="zh-Hans"/>
        </w:rPr>
        <w:t xml:space="preserve">的，支付</w:t>
      </w:r>
      <w:r>
        <w:rPr>
          <w:rFonts w:hint="eastAsia" w:ascii="仿宋" w:hAnsi="仿宋" w:eastAsia="仿宋" w:cs="仿宋"/>
          <w:color w:val="auto"/>
          <w:szCs w:val="21"/>
          <w:highlight w:val="none"/>
        </w:rPr>
        <w:t xml:space="preserve">月度服务费的100%； </w:t>
      </w:r>
      <w:r>
        <w:rPr>
          <w:rFonts w:hint="eastAsia" w:ascii="仿宋" w:hAnsi="仿宋" w:eastAsia="仿宋" w:cs="仿宋"/>
          <w:color w:val="auto"/>
          <w:szCs w:val="21"/>
          <w:highlight w:val="none"/>
          <w:lang w:val="en-US" w:eastAsia="zh-CN"/>
        </w:rPr>
        <w:t xml:space="preserve">85</w:t>
      </w:r>
      <w:r>
        <w:rPr>
          <w:rFonts w:hint="eastAsia" w:ascii="仿宋" w:hAnsi="仿宋" w:eastAsia="仿宋" w:cs="仿宋"/>
          <w:color w:val="auto"/>
          <w:szCs w:val="21"/>
          <w:highlight w:val="none"/>
        </w:rPr>
        <w:t xml:space="preserve">（含）-90分</w:t>
      </w:r>
      <w:r>
        <w:rPr>
          <w:rFonts w:hint="eastAsia" w:ascii="仿宋" w:hAnsi="仿宋" w:eastAsia="仿宋" w:cs="仿宋"/>
          <w:color w:val="auto"/>
          <w:szCs w:val="21"/>
          <w:highlight w:val="none"/>
          <w:lang w:eastAsia="zh-Hans"/>
        </w:rPr>
        <w:t xml:space="preserve">的，</w:t>
      </w:r>
      <w:r>
        <w:rPr>
          <w:rFonts w:hint="eastAsia" w:ascii="仿宋" w:hAnsi="仿宋" w:eastAsia="仿宋" w:cs="仿宋"/>
          <w:color w:val="auto"/>
          <w:szCs w:val="21"/>
          <w:highlight w:val="none"/>
        </w:rPr>
        <w:t xml:space="preserve">月度服务费扣除</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000元；</w:t>
      </w:r>
      <w:r>
        <w:rPr>
          <w:rFonts w:hint="eastAsia" w:ascii="仿宋" w:hAnsi="仿宋" w:eastAsia="仿宋" w:cs="仿宋"/>
          <w:color w:val="auto"/>
          <w:szCs w:val="21"/>
          <w:highlight w:val="none"/>
          <w:lang w:val="en-US" w:eastAsia="zh-CN"/>
        </w:rPr>
        <w:t xml:space="preserve">85分以下的，在</w:t>
      </w:r>
      <w:r>
        <w:rPr>
          <w:rFonts w:hint="eastAsia" w:ascii="仿宋" w:hAnsi="仿宋" w:eastAsia="仿宋" w:cs="仿宋"/>
          <w:color w:val="auto"/>
          <w:szCs w:val="21"/>
          <w:highlight w:val="none"/>
        </w:rPr>
        <w:t xml:space="preserve">月度服务费扣除2000元</w:t>
      </w:r>
      <w:r>
        <w:rPr>
          <w:rFonts w:hint="eastAsia" w:ascii="仿宋" w:hAnsi="仿宋" w:eastAsia="仿宋" w:cs="仿宋"/>
          <w:color w:val="auto"/>
          <w:szCs w:val="21"/>
          <w:highlight w:val="none"/>
          <w:lang w:val="en-US" w:eastAsia="zh-CN"/>
        </w:rPr>
        <w:t xml:space="preserve">基础上，每低1分，扣罚1000元</w:t>
      </w:r>
      <w:r>
        <w:rPr>
          <w:rFonts w:hint="eastAsia" w:ascii="仿宋" w:hAnsi="仿宋" w:eastAsia="仿宋" w:cs="仿宋"/>
          <w:color w:val="auto"/>
          <w:szCs w:val="21"/>
          <w:highlight w:val="none"/>
        </w:rPr>
        <w:t xml:space="preserve">；</w:t>
      </w:r>
      <w:r>
        <w:rPr>
          <w:rFonts w:hint="eastAsia" w:ascii="仿宋" w:hAnsi="仿宋" w:eastAsia="仿宋" w:cs="仿宋"/>
          <w:bCs/>
          <w:color w:val="auto"/>
          <w:szCs w:val="21"/>
          <w:highlight w:val="none"/>
        </w:rPr>
        <w:t xml:space="preserve">有考核分值低于60分</w:t>
      </w:r>
      <w:r>
        <w:rPr>
          <w:rFonts w:hint="eastAsia" w:ascii="仿宋" w:hAnsi="仿宋" w:eastAsia="仿宋" w:cs="仿宋"/>
          <w:bCs/>
          <w:color w:val="auto"/>
          <w:szCs w:val="21"/>
          <w:highlight w:val="none"/>
          <w:lang w:eastAsia="zh-Hans"/>
        </w:rPr>
        <w:t xml:space="preserve">的</w:t>
      </w:r>
      <w:r>
        <w:rPr>
          <w:rFonts w:hint="eastAsia" w:ascii="仿宋" w:hAnsi="仿宋" w:eastAsia="仿宋" w:cs="仿宋"/>
          <w:bCs/>
          <w:color w:val="auto"/>
          <w:szCs w:val="21"/>
          <w:highlight w:val="none"/>
        </w:rPr>
        <w:t xml:space="preserve">，甲方有权停止支付一切款项，投标人应在15日内进行整改，</w:t>
      </w:r>
      <w:r>
        <w:rPr>
          <w:rFonts w:hint="eastAsia" w:ascii="仿宋" w:hAnsi="仿宋" w:eastAsia="仿宋" w:cs="仿宋"/>
          <w:b w:val="0"/>
          <w:bCs/>
          <w:i w:val="0"/>
          <w:iCs w:val="0"/>
          <w:color w:val="auto"/>
          <w:szCs w:val="24"/>
          <w:highlight w:val="none"/>
          <w:u w:val="none"/>
          <w:lang w:val="en-US" w:eastAsia="zh-CN"/>
        </w:rPr>
        <w:t xml:space="preserve">整改</w:t>
      </w:r>
      <w:r>
        <w:rPr>
          <w:rFonts w:hint="eastAsia" w:ascii="仿宋" w:hAnsi="仿宋" w:eastAsia="仿宋" w:cs="仿宋"/>
          <w:b w:val="0"/>
          <w:bCs/>
          <w:i w:val="0"/>
          <w:iCs w:val="0"/>
          <w:color w:val="auto"/>
          <w:szCs w:val="24"/>
          <w:highlight w:val="none"/>
          <w:u w:val="none"/>
        </w:rPr>
        <w:t xml:space="preserve">达标</w:t>
      </w:r>
      <w:r>
        <w:rPr>
          <w:rFonts w:hint="eastAsia" w:ascii="仿宋" w:hAnsi="仿宋" w:eastAsia="仿宋" w:cs="仿宋"/>
          <w:b w:val="0"/>
          <w:bCs/>
          <w:i w:val="0"/>
          <w:iCs w:val="0"/>
          <w:color w:val="auto"/>
          <w:szCs w:val="24"/>
          <w:highlight w:val="none"/>
          <w:u w:val="none"/>
          <w:lang w:val="en-US" w:eastAsia="zh-CN"/>
        </w:rPr>
        <w:t xml:space="preserve">后，月度服务费扣除5000元</w:t>
      </w:r>
      <w:r>
        <w:rPr>
          <w:rFonts w:hint="eastAsia" w:ascii="仿宋" w:hAnsi="仿宋" w:eastAsia="仿宋" w:cs="仿宋"/>
          <w:b w:val="0"/>
          <w:bCs/>
          <w:i w:val="0"/>
          <w:iCs w:val="0"/>
          <w:color w:val="auto"/>
          <w:szCs w:val="24"/>
          <w:highlight w:val="none"/>
          <w:u w:val="none"/>
        </w:rPr>
        <w:t xml:space="preserve">，</w:t>
      </w:r>
      <w:r>
        <w:rPr>
          <w:rFonts w:hint="eastAsia" w:ascii="仿宋" w:hAnsi="仿宋" w:eastAsia="仿宋" w:cs="仿宋"/>
          <w:bCs/>
          <w:color w:val="auto"/>
          <w:szCs w:val="21"/>
          <w:highlight w:val="none"/>
        </w:rPr>
        <w:t xml:space="preserve">如未及时整改</w:t>
      </w:r>
      <w:r>
        <w:rPr>
          <w:rFonts w:hint="eastAsia" w:ascii="仿宋" w:hAnsi="仿宋" w:eastAsia="仿宋" w:cs="仿宋"/>
          <w:bCs/>
          <w:color w:val="auto"/>
          <w:szCs w:val="21"/>
          <w:highlight w:val="none"/>
          <w:lang w:eastAsia="zh-Hans"/>
        </w:rPr>
        <w:t xml:space="preserve">或未达标的</w:t>
      </w:r>
      <w:r>
        <w:rPr>
          <w:rFonts w:hint="eastAsia" w:ascii="仿宋" w:hAnsi="仿宋" w:eastAsia="仿宋" w:cs="仿宋"/>
          <w:bCs/>
          <w:color w:val="auto"/>
          <w:szCs w:val="21"/>
          <w:highlight w:val="none"/>
        </w:rPr>
        <w:t xml:space="preserve">，甲方有权随时终止合同。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12.3付款方式：服务费按照实际到岗人数</w:t>
      </w:r>
      <w:r>
        <w:rPr>
          <w:rFonts w:hint="eastAsia" w:ascii="仿宋" w:hAnsi="仿宋" w:eastAsia="仿宋" w:cs="仿宋"/>
          <w:color w:val="auto"/>
          <w:szCs w:val="21"/>
          <w:highlight w:val="none"/>
          <w:lang w:eastAsia="zh-CN"/>
        </w:rPr>
        <w:t xml:space="preserve">计</w:t>
      </w:r>
      <w:r>
        <w:rPr>
          <w:rFonts w:hint="eastAsia" w:ascii="仿宋" w:hAnsi="仿宋" w:eastAsia="仿宋" w:cs="仿宋"/>
          <w:color w:val="auto"/>
          <w:szCs w:val="21"/>
          <w:highlight w:val="none"/>
        </w:rPr>
        <w:t xml:space="preserve">算</w:t>
      </w:r>
      <w:r>
        <w:rPr>
          <w:rFonts w:hint="eastAsia" w:ascii="仿宋" w:hAnsi="仿宋" w:eastAsia="仿宋" w:cs="仿宋"/>
          <w:color w:val="auto"/>
          <w:szCs w:val="21"/>
          <w:highlight w:val="none"/>
          <w:lang w:val="en-US" w:eastAsia="zh-CN"/>
        </w:rPr>
        <w:t xml:space="preserve">,</w:t>
      </w:r>
      <w:r>
        <w:rPr>
          <w:rFonts w:hint="eastAsia" w:ascii="仿宋" w:hAnsi="仿宋" w:eastAsia="仿宋" w:cs="仿宋"/>
          <w:color w:val="auto"/>
          <w:szCs w:val="21"/>
          <w:highlight w:val="none"/>
        </w:rPr>
        <w:t xml:space="preserve">采购人每月支付金额为扣减考核扣款之后的结算款。于每月</w:t>
      </w:r>
      <w:r>
        <w:rPr>
          <w:rFonts w:hint="eastAsia" w:ascii="仿宋" w:hAnsi="仿宋" w:eastAsia="仿宋" w:cs="仿宋"/>
          <w:color w:val="auto"/>
          <w:szCs w:val="21"/>
          <w:highlight w:val="none"/>
          <w:lang w:val="en-US" w:eastAsia="zh-CN"/>
        </w:rPr>
        <w:t xml:space="preserve">月底前</w:t>
      </w:r>
      <w:r>
        <w:rPr>
          <w:rFonts w:hint="eastAsia" w:ascii="仿宋" w:hAnsi="仿宋" w:eastAsia="仿宋" w:cs="仿宋"/>
          <w:color w:val="auto"/>
          <w:szCs w:val="21"/>
          <w:highlight w:val="none"/>
        </w:rPr>
        <w:t xml:space="preserve">支付上个月服务费，银行汇款至投标人指定账户。（采购人老大楼</w:t>
      </w:r>
      <w:r>
        <w:rPr>
          <w:rFonts w:hint="eastAsia" w:ascii="仿宋" w:hAnsi="仿宋" w:eastAsia="仿宋" w:cs="仿宋"/>
          <w:color w:val="auto"/>
          <w:szCs w:val="21"/>
          <w:highlight w:val="none"/>
          <w:lang w:val="en-US" w:eastAsia="zh-CN"/>
        </w:rPr>
        <w:t xml:space="preserve">暂未投入使用</w:t>
      </w:r>
      <w:r>
        <w:rPr>
          <w:rFonts w:hint="eastAsia" w:ascii="仿宋" w:hAnsi="仿宋" w:eastAsia="仿宋" w:cs="仿宋"/>
          <w:color w:val="auto"/>
          <w:szCs w:val="21"/>
          <w:highlight w:val="none"/>
        </w:rPr>
        <w:t xml:space="preserve">，进场时间及服务人员根据实际投用时间</w:t>
      </w:r>
      <w:r>
        <w:rPr>
          <w:rFonts w:hint="eastAsia" w:ascii="仿宋" w:hAnsi="仿宋" w:eastAsia="仿宋" w:cs="仿宋"/>
          <w:color w:val="auto"/>
          <w:szCs w:val="21"/>
          <w:highlight w:val="none"/>
          <w:lang w:eastAsia="zh-CN"/>
        </w:rPr>
        <w:t xml:space="preserve">及实际到岗人数</w:t>
      </w:r>
      <w:r>
        <w:rPr>
          <w:rFonts w:hint="eastAsia" w:ascii="仿宋" w:hAnsi="仿宋" w:eastAsia="仿宋" w:cs="仿宋"/>
          <w:color w:val="auto"/>
          <w:szCs w:val="21"/>
          <w:highlight w:val="none"/>
        </w:rPr>
        <w:t xml:space="preserve">计算</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rPr>
        <w:t xml:space="preserve">）</w:t>
      </w:r>
      <w:r/>
    </w:p>
    <w:p>
      <w:pPr>
        <w:numPr>
          <w:ilvl w:val="0"/>
          <w:numId w:val="0"/>
        </w:numPr>
        <w:ind w:firstLine="482"/>
        <w:spacing w:line="440" w:lineRule="exact"/>
        <w:rPr>
          <w:rFonts w:hint="eastAsia" w:ascii="仿宋" w:hAnsi="仿宋" w:eastAsia="仿宋" w:cs="仿宋"/>
          <w:b/>
          <w:color w:val="auto"/>
          <w:szCs w:val="21"/>
          <w:highlight w:val="none"/>
          <w:lang w:val="en-US" w:eastAsia="zh-CN"/>
        </w:rPr>
      </w:pPr>
      <w:r>
        <w:rPr>
          <w:rFonts w:hint="eastAsia" w:ascii="仿宋" w:hAnsi="仿宋" w:eastAsia="仿宋" w:cs="仿宋"/>
          <w:b/>
          <w:color w:val="auto"/>
          <w:sz w:val="24"/>
          <w:szCs w:val="21"/>
          <w:highlight w:val="none"/>
          <w:lang w:val="en-US" w:eastAsia="zh-CN" w:bidi="ar-SA"/>
        </w:rPr>
        <w:t xml:space="preserve">十三、</w:t>
      </w:r>
      <w:r>
        <w:rPr>
          <w:rFonts w:hint="eastAsia" w:ascii="仿宋" w:hAnsi="仿宋" w:eastAsia="仿宋" w:cs="仿宋"/>
          <w:b/>
          <w:color w:val="auto"/>
          <w:szCs w:val="21"/>
          <w:highlight w:val="none"/>
          <w:lang w:val="en-US" w:eastAsia="zh-CN"/>
        </w:rPr>
        <w:t xml:space="preserve">履约保证金</w:t>
      </w:r>
      <w:r/>
    </w:p>
    <w:p>
      <w:pPr>
        <w:numPr>
          <w:ilvl w:val="-1"/>
          <w:numId w:val="0"/>
        </w:numPr>
        <w:ind w:firstLine="482"/>
        <w:spacing w:line="440" w:lineRule="exact"/>
        <w:rPr>
          <w:rFonts w:hint="default" w:ascii="仿宋" w:hAnsi="仿宋" w:eastAsia="仿宋" w:cs="仿宋"/>
          <w:b/>
          <w:color w:val="auto"/>
          <w:szCs w:val="21"/>
          <w:highlight w:val="none"/>
          <w:u w:val="single"/>
          <w:lang w:val="en-US" w:eastAsia="zh-CN"/>
        </w:rPr>
      </w:pPr>
      <w:r>
        <w:rPr>
          <w:rFonts w:hint="eastAsia" w:ascii="仿宋" w:hAnsi="仿宋" w:eastAsia="仿宋" w:cs="仿宋"/>
          <w:b/>
          <w:color w:val="auto"/>
          <w:szCs w:val="21"/>
          <w:highlight w:val="none"/>
          <w:lang w:val="en-US" w:eastAsia="zh-CN"/>
        </w:rPr>
        <w:t xml:space="preserve">13.1履约保证金金额：</w:t>
      </w:r>
      <w:r>
        <w:rPr>
          <w:rFonts w:hint="eastAsia" w:ascii="仿宋" w:hAnsi="仿宋" w:eastAsia="仿宋" w:cs="仿宋"/>
          <w:b/>
          <w:color w:val="auto"/>
          <w:szCs w:val="21"/>
          <w:highlight w:val="none"/>
          <w:u w:val="single"/>
          <w:lang w:val="en-US" w:eastAsia="zh-CN"/>
        </w:rPr>
        <w:t xml:space="preserve">            。履约保证金应在采购合同签订前提交，除银行电汇、网上银行、数字人民币外，乙方还可选用银行保函、担保公司的保证担保或保险公司的保证保险等多种形式向甲方缴纳。</w:t>
      </w:r>
      <w:r/>
    </w:p>
    <w:p>
      <w:pPr>
        <w:numPr>
          <w:ilvl w:val="-1"/>
          <w:numId w:val="0"/>
        </w:numPr>
        <w:ind w:firstLine="482"/>
        <w:spacing w:line="440" w:lineRule="exact"/>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13.2履约保证金退还的方式：以银行电汇、网上银行、数字人民币形式缴纳履约保证金的，退回至乙方存款账户或乙方数字人民币账户；以保函、担保、保险等形式缴纳履约保证金的，在保函、担保、保险约定的保证期限届满之日起自行失效；</w:t>
      </w:r>
      <w:r/>
    </w:p>
    <w:p>
      <w:pPr>
        <w:numPr>
          <w:ilvl w:val="-1"/>
          <w:numId w:val="0"/>
        </w:numPr>
        <w:ind w:firstLine="482"/>
        <w:spacing w:line="440" w:lineRule="exact"/>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13.3</w:t>
      </w:r>
      <w:r>
        <w:rPr>
          <w:rFonts w:hint="default" w:ascii="仿宋" w:hAnsi="仿宋" w:eastAsia="仿宋" w:cs="仿宋"/>
          <w:b/>
          <w:color w:val="auto"/>
          <w:szCs w:val="21"/>
          <w:highlight w:val="none"/>
          <w:lang w:val="en-US" w:eastAsia="zh-CN"/>
        </w:rPr>
        <w:t xml:space="preserve">履约保证金退还时间</w:t>
      </w:r>
      <w:r>
        <w:rPr>
          <w:rFonts w:hint="eastAsia" w:ascii="仿宋" w:hAnsi="仿宋" w:eastAsia="仿宋" w:cs="仿宋"/>
          <w:b/>
          <w:color w:val="auto"/>
          <w:szCs w:val="21"/>
          <w:highlight w:val="none"/>
          <w:lang w:val="en-US" w:eastAsia="zh-CN"/>
        </w:rPr>
        <w:t xml:space="preserve">及条件</w:t>
      </w:r>
      <w:r>
        <w:rPr>
          <w:rFonts w:hint="default" w:ascii="仿宋" w:hAnsi="仿宋" w:eastAsia="仿宋" w:cs="仿宋"/>
          <w:b/>
          <w:color w:val="auto"/>
          <w:szCs w:val="21"/>
          <w:highlight w:val="none"/>
          <w:lang w:val="en-US" w:eastAsia="zh-CN"/>
        </w:rPr>
        <w:t xml:space="preserve">：合同结束交接顺利完成后十五天内，无息退还履约保证金。</w:t>
      </w:r>
      <w:r/>
    </w:p>
    <w:p>
      <w:pPr>
        <w:numPr>
          <w:ilvl w:val="-1"/>
          <w:numId w:val="0"/>
        </w:numPr>
        <w:ind w:firstLine="482"/>
        <w:spacing w:line="440" w:lineRule="exact"/>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13.4履约保证金不予退还情形：合同到期进行交接手续时，乙方不进行合同交接或为合同交接增加不合理条件的，履约保证金不予退还。给甲方造成的损失超过履约保证金数额的，还应当对超过部分予以赔偿。除不可抗力外，乙方不履行与甲方订立的采购合同的，履约保证金不予退还；乙方不进行合同交接或为合同交接增加不合理条件的，履约保证金不予退还。给甲方造成的损失超过履约保证金数额的，还应当对超过部分予以赔偿。</w:t>
      </w:r>
      <w:r/>
    </w:p>
    <w:p>
      <w:pPr>
        <w:numPr>
          <w:ilvl w:val="-1"/>
          <w:numId w:val="0"/>
        </w:numPr>
        <w:ind w:firstLine="482"/>
        <w:spacing w:line="440" w:lineRule="exact"/>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13.5</w:t>
      </w:r>
      <w:r>
        <w:rPr>
          <w:rFonts w:hint="default" w:ascii="仿宋" w:hAnsi="仿宋" w:eastAsia="仿宋" w:cs="仿宋"/>
          <w:b/>
          <w:color w:val="auto"/>
          <w:szCs w:val="21"/>
          <w:highlight w:val="none"/>
          <w:lang w:val="en-US" w:eastAsia="zh-CN"/>
        </w:rPr>
        <w:t xml:space="preserve">逾期退还履约保证金的违约责任：除应当退还履约保证金外，还应当按中国人民银行同期贷款基准利率上浮 20％后的利率支付超期资金占用费，但因</w:t>
      </w:r>
      <w:r>
        <w:rPr>
          <w:rFonts w:hint="eastAsia" w:ascii="仿宋" w:hAnsi="仿宋" w:eastAsia="仿宋" w:cs="仿宋"/>
          <w:b/>
          <w:color w:val="auto"/>
          <w:szCs w:val="21"/>
          <w:highlight w:val="none"/>
          <w:lang w:val="en-US" w:eastAsia="zh-CN"/>
        </w:rPr>
        <w:t xml:space="preserve">乙方</w:t>
      </w:r>
      <w:r>
        <w:rPr>
          <w:rFonts w:hint="default" w:ascii="仿宋" w:hAnsi="仿宋" w:eastAsia="仿宋" w:cs="仿宋"/>
          <w:b/>
          <w:color w:val="auto"/>
          <w:szCs w:val="21"/>
          <w:highlight w:val="none"/>
          <w:lang w:val="en-US" w:eastAsia="zh-CN"/>
        </w:rPr>
        <w:t xml:space="preserve">自身原因导致无法及时退还的除外。</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w:t>
      </w:r>
      <w:r>
        <w:rPr>
          <w:rFonts w:hint="eastAsia" w:ascii="仿宋" w:hAnsi="仿宋" w:eastAsia="仿宋" w:cs="仿宋"/>
          <w:b/>
          <w:color w:val="auto"/>
          <w:szCs w:val="21"/>
          <w:highlight w:val="none"/>
          <w:lang w:val="en-US" w:eastAsia="zh-CN"/>
        </w:rPr>
        <w:t xml:space="preserve">四</w:t>
      </w:r>
      <w:r>
        <w:rPr>
          <w:rFonts w:hint="eastAsia" w:ascii="仿宋" w:hAnsi="仿宋" w:eastAsia="仿宋" w:cs="仿宋"/>
          <w:b/>
          <w:color w:val="auto"/>
          <w:szCs w:val="21"/>
          <w:highlight w:val="none"/>
        </w:rPr>
        <w:t xml:space="preserve">、税费</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本合同执行中相关的一切税费均由乙方负担。</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w:t>
      </w:r>
      <w:r>
        <w:rPr>
          <w:rFonts w:hint="eastAsia" w:ascii="仿宋" w:hAnsi="仿宋" w:eastAsia="仿宋" w:cs="仿宋"/>
          <w:b/>
          <w:color w:val="auto"/>
          <w:szCs w:val="21"/>
          <w:highlight w:val="none"/>
          <w:lang w:val="en-US" w:eastAsia="zh-CN"/>
        </w:rPr>
        <w:t xml:space="preserve">五</w:t>
      </w:r>
      <w:r>
        <w:rPr>
          <w:rFonts w:hint="eastAsia" w:ascii="仿宋" w:hAnsi="仿宋" w:eastAsia="仿宋" w:cs="仿宋"/>
          <w:b/>
          <w:color w:val="auto"/>
          <w:szCs w:val="21"/>
          <w:highlight w:val="none"/>
        </w:rPr>
        <w:t xml:space="preserve">、违约责任</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.1 甲方无正当理由拒绝乙方提供服务的，甲方向乙方偿付本年度合同金额的百分之五违约金。</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.2 甲方无故逾期</w:t>
      </w:r>
      <w:r>
        <w:rPr>
          <w:rFonts w:hint="eastAsia" w:ascii="仿宋" w:hAnsi="仿宋" w:eastAsia="仿宋" w:cs="仿宋"/>
          <w:color w:val="auto"/>
          <w:szCs w:val="21"/>
          <w:highlight w:val="none"/>
          <w:lang w:eastAsia="zh-Hans"/>
        </w:rPr>
        <w:t xml:space="preserve">考核</w:t>
      </w:r>
      <w:r>
        <w:rPr>
          <w:rFonts w:hint="eastAsia" w:ascii="仿宋" w:hAnsi="仿宋" w:eastAsia="仿宋" w:cs="仿宋"/>
          <w:color w:val="auto"/>
          <w:szCs w:val="21"/>
          <w:highlight w:val="none"/>
        </w:rPr>
        <w:t xml:space="preserve">验收和办理合同款支付手续的,甲方应按逾期付款总额每日万分之五向乙方支付违约金，违约金总额不超过逾期付款总额的百分之五。</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.3 乙方逾期进场提供服务的，乙方应按合同金额每日千分之六向甲方支付违约金，由甲方从待付合同款中扣除；逾期超过约定日期10个工作日的，甲方可解除本合同。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因乙方逾期提供服务或因其他违约行为导致甲方解除合同的，乙方应向甲方支付合同总值百分之五的违约金，如造成甲方损失超过违约金的，超出部分由乙方继续承担赔偿责任。 </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.4 乙方所提供的服务不符合项目需求要求、乙方响应文件承诺及国家有关质量标准的，甲方有权拒绝乙方提供服务，乙方愿意整改但逾期提供服务的，按乙方逾期提供服务处理。乙方拒绝整改的，甲方可单方面解除合同，乙方应向甲方支付本年度合同总值百分之五的违约金，并由乙方赔偿由此造成的甲方全部损失。</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.5 甲乙双方任何一方违反本合同约定的，除应承担上述违约责任外，违约方还应当赔偿因此给守约方造成的一切直接和间接损失，包括但不限于守约方的实际损失、预期可得利益损失以及因实现债权而产生的诉讼费、保全费、保全保险费、鉴定费、差旅费、律师费、公证费等。</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.6 乙方承诺针对所提供服务的标准不符合合同规定及招标文件规定标准的，甲方有权拒绝接受服务，并可单方面解除合同 。</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w:t>
      </w:r>
      <w:r>
        <w:rPr>
          <w:rFonts w:hint="eastAsia" w:ascii="仿宋" w:hAnsi="仿宋" w:eastAsia="仿宋" w:cs="仿宋"/>
          <w:b/>
          <w:color w:val="auto"/>
          <w:szCs w:val="21"/>
          <w:highlight w:val="none"/>
          <w:lang w:val="en-US" w:eastAsia="zh-CN"/>
        </w:rPr>
        <w:t xml:space="preserve">六</w:t>
      </w:r>
      <w:r>
        <w:rPr>
          <w:rFonts w:hint="eastAsia" w:ascii="仿宋" w:hAnsi="仿宋" w:eastAsia="仿宋" w:cs="仿宋"/>
          <w:b/>
          <w:color w:val="auto"/>
          <w:szCs w:val="21"/>
          <w:highlight w:val="none"/>
        </w:rPr>
        <w:t xml:space="preserve">、不可抗力事件处理</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.1 任何一方因不可抗力事件导致不能履行合同，则合同履行期延长，其延长期与不可抗力影响期相同，合同金额不变。</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.2 不可抗力事件发生后，应立即通知对方，并寄送有关权威机构出具的证明。</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.3 不可抗力事件延续120天以上，双方应通过友好协商，确定是否继续履行合同。</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w:t>
      </w:r>
      <w:r>
        <w:rPr>
          <w:rFonts w:hint="eastAsia" w:ascii="仿宋" w:hAnsi="仿宋" w:eastAsia="仿宋" w:cs="仿宋"/>
          <w:b/>
          <w:color w:val="auto"/>
          <w:szCs w:val="21"/>
          <w:highlight w:val="none"/>
          <w:lang w:val="en-US" w:eastAsia="zh-CN"/>
        </w:rPr>
        <w:t xml:space="preserve">七</w:t>
      </w:r>
      <w:r>
        <w:rPr>
          <w:rFonts w:hint="eastAsia" w:ascii="仿宋" w:hAnsi="仿宋" w:eastAsia="仿宋" w:cs="仿宋"/>
          <w:b/>
          <w:color w:val="auto"/>
          <w:szCs w:val="21"/>
          <w:highlight w:val="none"/>
        </w:rPr>
        <w:t xml:space="preserve">、诉讼</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双方在执行合同中所发生的一切争议，应通过协商解决。如协商不成，可向甲方所在地法院起诉。</w:t>
      </w:r>
      <w:r/>
    </w:p>
    <w:p>
      <w:pPr>
        <w:ind w:firstLine="482"/>
        <w:spacing w:line="440" w:lineRule="exact"/>
        <w:rPr>
          <w:rFonts w:ascii="仿宋" w:hAnsi="仿宋" w:eastAsia="仿宋" w:cs="仿宋"/>
          <w:b/>
          <w:color w:val="auto"/>
          <w:szCs w:val="21"/>
          <w:highlight w:val="none"/>
        </w:rPr>
      </w:pPr>
      <w:r>
        <w:rPr>
          <w:rFonts w:hint="eastAsia" w:ascii="仿宋" w:hAnsi="仿宋" w:eastAsia="仿宋" w:cs="仿宋"/>
          <w:b/>
          <w:color w:val="auto"/>
          <w:szCs w:val="21"/>
          <w:highlight w:val="none"/>
        </w:rPr>
        <w:t xml:space="preserve">十</w:t>
      </w:r>
      <w:r>
        <w:rPr>
          <w:rFonts w:hint="eastAsia" w:ascii="仿宋" w:hAnsi="仿宋" w:eastAsia="仿宋" w:cs="仿宋"/>
          <w:b/>
          <w:color w:val="auto"/>
          <w:szCs w:val="21"/>
          <w:highlight w:val="none"/>
          <w:lang w:val="en-US" w:eastAsia="zh-CN"/>
        </w:rPr>
        <w:t xml:space="preserve">八</w:t>
      </w:r>
      <w:r>
        <w:rPr>
          <w:rFonts w:hint="eastAsia" w:ascii="仿宋" w:hAnsi="仿宋" w:eastAsia="仿宋" w:cs="仿宋"/>
          <w:b/>
          <w:color w:val="auto"/>
          <w:szCs w:val="21"/>
          <w:highlight w:val="none"/>
        </w:rPr>
        <w:t xml:space="preserve">、合同生效及其它</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.1 招标文件、投标文件、中标通知书和有关附件是本合同不可分割的组成部分，与本合同具有同等法律效力。</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.2合同经双方法定代表人或授权委托代表人签字并加盖单位公章后生效。</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.3本合同未尽事宜，遵照《中华人民共和国民法典》有关条文执行。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.4 本合同正本一式伍份，具有同等法律效力，甲方三份，乙方及财政监管部门各执一份。</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甲方：                                   乙方： </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地址：                                   地址： </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法定代表人或授权代表：                   法定代表人或授权代表：</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联系电话：                               联系电话：</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开户银行：</w:t>
      </w:r>
      <w:r/>
    </w:p>
    <w:p>
      <w:pPr>
        <w:ind w:firstLine="480"/>
        <w:spacing w:line="44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银行账号：</w:t>
      </w:r>
      <w:r/>
    </w:p>
    <w:p>
      <w:pPr>
        <w:ind w:firstLine="480"/>
        <w:spacing w:line="440" w:lineRule="exact"/>
        <w:rPr>
          <w:rFonts w:ascii="宋体" w:hAnsi="宋体" w:eastAsia="宋体"/>
          <w:color w:val="auto"/>
          <w:szCs w:val="21"/>
          <w:highlight w:val="none"/>
        </w:rPr>
      </w:pPr>
      <w:r>
        <w:rPr>
          <w:rFonts w:hint="eastAsia" w:ascii="仿宋" w:hAnsi="仿宋" w:eastAsia="仿宋" w:cs="仿宋"/>
          <w:color w:val="auto"/>
          <w:szCs w:val="21"/>
          <w:highlight w:val="none"/>
        </w:rPr>
        <w:t xml:space="preserve">                                           签订日期：    年   月   日</w:t>
      </w:r>
      <w:r/>
    </w:p>
    <w:p>
      <w:pPr>
        <w:jc w:val="left"/>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jc w:val="left"/>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jc w:val="lef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w:t>
      </w:r>
      <w:r/>
    </w:p>
    <w:p>
      <w:pPr>
        <w:jc w:val="left"/>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ind w:firstLine="482"/>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南京医科大学附属口腔医院后勤运维服务考核标准</w:t>
      </w:r>
      <w:r/>
    </w:p>
    <w:p>
      <w:pPr>
        <w:ind w:firstLine="482"/>
        <w:spacing w:line="440" w:lineRule="exact"/>
        <w:rPr>
          <w:rFonts w:ascii="仿宋" w:hAnsi="仿宋" w:eastAsia="仿宋" w:cs="仿宋"/>
          <w:b/>
          <w:color w:val="auto"/>
          <w:highlight w:val="none"/>
          <w:u w:val="single"/>
        </w:rPr>
      </w:pPr>
      <w:r>
        <w:rPr>
          <w:rFonts w:hint="eastAsia" w:ascii="仿宋" w:hAnsi="仿宋" w:eastAsia="仿宋" w:cs="仿宋"/>
          <w:b/>
          <w:color w:val="auto"/>
          <w:highlight w:val="none"/>
        </w:rPr>
        <w:t xml:space="preserve">考核人：                 考核时间：                    得分：</w:t>
      </w:r>
      <w:r/>
    </w:p>
    <w:tbl>
      <w:tblPr>
        <w:tblStyle w:val="743"/>
        <w:tblW w:w="86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5390"/>
        <w:gridCol w:w="766"/>
        <w:gridCol w:w="1407"/>
      </w:tblGrid>
      <w:tr>
        <w:trPr>
          <w:trHeight w:val="54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jc w:val="center"/>
              <w:spacing w:line="440" w:lineRule="exact"/>
              <w:widowControl/>
              <w:rPr>
                <w:rFonts w:ascii="仿宋" w:hAnsi="仿宋" w:eastAsia="仿宋" w:cs="仿宋"/>
                <w:b/>
                <w:color w:val="auto"/>
                <w:highlight w:val="none"/>
              </w:rPr>
            </w:pPr>
            <w:r>
              <w:rPr>
                <w:rFonts w:hint="eastAsia" w:ascii="仿宋" w:hAnsi="仿宋" w:eastAsia="仿宋" w:cs="仿宋"/>
                <w:b/>
                <w:color w:val="auto"/>
                <w:highlight w:val="none"/>
              </w:rPr>
              <w:t xml:space="preserve">考核内容</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b/>
                <w:color w:val="auto"/>
                <w:highlight w:val="none"/>
              </w:rPr>
            </w:pPr>
            <w:r>
              <w:rPr>
                <w:rFonts w:hint="eastAsia" w:ascii="仿宋" w:hAnsi="仿宋" w:eastAsia="仿宋" w:cs="仿宋"/>
                <w:b/>
                <w:color w:val="auto"/>
                <w:highlight w:val="none"/>
              </w:rPr>
              <w:t xml:space="preserve">得分 </w:t>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扣分原因</w:t>
            </w:r>
            <w:r/>
          </w:p>
        </w:tc>
      </w:tr>
      <w:tr>
        <w:trPr>
          <w:trHeight w:val="303"/>
        </w:trPr>
        <w:tc>
          <w:tcPr>
            <w:tcBorders>
              <w:top w:val="none" w:color="000000"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工作完成情况（25分）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1.空调、正负压、氧气站、冷热水系统、维修等各类运维岗位按要求配置，按国家相关规定要求配备相应证件，人证相符，无缺岗缺人现象。（15分）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2.根据我院设备、设施运行和安全生产的要求，制定设备、设施运行管理的岗位职责、巡检、保养计划，建立档案等管理制度，各类政策、制度上墙明示。（2分）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932"/>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3.及时配合、完成医院大型活动和会议以及临时分配的工作，不推诿。（2分）</w:t>
            </w:r>
            <w:r/>
          </w:p>
        </w:tc>
        <w:tc>
          <w:tcPr>
            <w:tcBorders>
              <w:top w:val="single" w:color="auto" w:sz="4" w:space="0"/>
              <w:left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4.服从我院管理部门的监督，及时落实提出的整改意见。（6分）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运维落实与维修响应（25分）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5.保障运维管理范围内水、电、气等基础设备、设施报修响应及时率，采取科学、有效、合理的节能、节水措施。（3分）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0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6.日常巡检、设备保养、报修响应按计划执行，确保各类报修故障一次性解决率高，不出现重复报修现象，各类维修耗材、配件使用合理，无浪费。（10分）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401"/>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7.故障处理规范、记录完整，与临床科室、医护人员沟通态度良好，无投诉情况（5分）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8.做好重点区域、各机房、楼层配电间等部位管线、管井的管理和防护，保证管线、管井干净整洁、无破损、无渗水、无漏电、无腐蚀现象。（2分）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9.投标人负责医院后勤设备的日常运行操作、巡视、保养、维护，并做好相关记录，保障设备、设施运行完好，夜间/节假日应急值守到位。（5分）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11"/>
        </w:trPr>
        <w:tc>
          <w:tcPr>
            <w:tcBorders>
              <w:top w:val="none" w:color="000000"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设备与安全管理（20分）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10.按照各种设备运行的基本流程、规范进行日常操作，设备台账、巡检记录、维修记录完整规范。（5分）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11.严格执行系统设备安全运行和安全生产，定时巡视设备机房和设备运行情况，用电、用水、特种设备安全合规，做好相关记录。（10分）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12.机房环境整洁、无杂物、无灰尘，做好各种安全用具、设备物品及工具的管理。（5分）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服务与协作（15分）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13.由采购人指定的第三方单位对投标人管理的设备、设施进行维修、保养、改造、施工时，投标人负责协调、配合和现场监督，并配合采购人和第三方单位进行相关工作的验收。（5分）</w:t>
            </w:r>
            <w:r/>
          </w:p>
        </w:tc>
        <w:tc>
          <w:tcPr>
            <w:tcBorders>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14.对设备或系统出现重大故障、事故，应合规合法安全妥善处置，并有应急措施。（5分）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15.遇到突发重大事件（防汛、防疫等），需要主动提交应急预案，与采购人沟通后认真落实完成。响应时间要符合上级管理部门的有关规范和医院基础管理规定的要求。（5分）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single" w:color="auto" w:sz="4" w:space="0"/>
              <w:left w:val="single" w:color="auto" w:sz="4" w:space="0"/>
              <w:right w:val="single" w:color="auto" w:sz="4" w:space="0"/>
            </w:tcBorders>
            <w:tcW w:w="1135" w:type="dxa"/>
            <w:vAlign w:val="center"/>
            <w:vMerge w:val="restart"/>
            <w:textDirection w:val="lrTb"/>
            <w:noWrap w:val="false"/>
          </w:tcPr>
          <w:p>
            <w:pPr>
              <w:jc w:val="left"/>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人员管理（15分）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16.按规定要求，提交各岗位的月度值班表，出勤考核等表格资料，遵守医院规章制度。（5分）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left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17.合理排班，不得迟到、早退，不串岗、脱岗、离岗、不干私活、不聊天。不玩手机、不看报纸杂志、不抽烟等，精神饱满。（5分）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18.员工进行岗前培训和安全教育，每月至少对员工进行一次岗位培训，并有记录。（5分）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bl>
    <w:p>
      <w:pPr>
        <w:jc w:val="left"/>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jc w:val="left"/>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rPr>
          <w:color w:val="auto"/>
          <w:highlight w:val="none"/>
        </w:rPr>
      </w:pPr>
      <w:r/>
      <w:bookmarkStart w:id="48" w:name="_Toc20319"/>
      <w:r/>
      <w:bookmarkStart w:id="49" w:name="_Toc30821"/>
      <w:r>
        <w:rPr>
          <w:rFonts w:hint="eastAsia"/>
          <w:color w:val="auto"/>
          <w:highlight w:val="none"/>
        </w:rPr>
        <w:br w:type="page" w:clear="all"/>
      </w:r>
      <w:r/>
    </w:p>
    <w:p>
      <w:pPr>
        <w:pStyle w:val="939"/>
        <w:jc w:val="center"/>
        <w:spacing w:before="160" w:after="150" w:line="240" w:lineRule="auto"/>
        <w:rPr>
          <w:color w:val="auto"/>
          <w:highlight w:val="none"/>
        </w:rPr>
      </w:pPr>
      <w:r>
        <w:rPr>
          <w:rFonts w:hint="eastAsia"/>
          <w:color w:val="auto"/>
          <w:highlight w:val="none"/>
        </w:rPr>
        <w:t xml:space="preserve">第四部分  采购需求</w:t>
      </w:r>
      <w:bookmarkEnd w:id="48"/>
      <w:r/>
      <w:bookmarkEnd w:id="49"/>
      <w:r/>
      <w:r/>
    </w:p>
    <w:p>
      <w:pPr>
        <w:spacing w:line="440" w:lineRule="exact"/>
        <w:rPr>
          <w:rFonts w:ascii="仿宋" w:hAnsi="仿宋" w:eastAsia="仿宋" w:cs="仿宋"/>
          <w:b/>
          <w:color w:val="auto"/>
          <w:highlight w:val="none"/>
        </w:rPr>
      </w:pPr>
      <w:r/>
      <w:bookmarkStart w:id="50" w:name="_Toc3358"/>
      <w:r>
        <w:rPr>
          <w:rFonts w:hint="eastAsia" w:ascii="仿宋" w:hAnsi="仿宋" w:eastAsia="仿宋" w:cs="仿宋"/>
          <w:b/>
          <w:color w:val="auto"/>
          <w:highlight w:val="none"/>
        </w:rPr>
        <w:t xml:space="preserve">一、项目总体要求</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1、本项技术要求提出的是最低限度的技术条件。</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2、</w:t>
      </w:r>
      <w:r>
        <w:rPr>
          <w:rFonts w:hint="eastAsia" w:ascii="仿宋" w:hAnsi="仿宋" w:eastAsia="仿宋" w:cs="仿宋"/>
          <w:b/>
          <w:bCs w:val="0"/>
          <w:i/>
          <w:iCs/>
          <w:color w:val="auto"/>
          <w:highlight w:val="none"/>
          <w:u w:val="single"/>
        </w:rPr>
        <w:t xml:space="preserve">斜体下划线加粗的内容为实质性要求,不满足为无效响应</w:t>
      </w:r>
      <w:r>
        <w:rPr>
          <w:rFonts w:hint="eastAsia" w:ascii="仿宋" w:hAnsi="仿宋" w:eastAsia="仿宋" w:cs="仿宋"/>
          <w:bCs/>
          <w:color w:val="auto"/>
          <w:highlight w:val="none"/>
        </w:rPr>
        <w:t xml:space="preserve">。</w:t>
      </w:r>
      <w:r/>
    </w:p>
    <w:p>
      <w:pP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二、服务要求</w:t>
      </w:r>
      <w:r/>
    </w:p>
    <w:p>
      <w:pPr>
        <w:ind w:firstLine="482"/>
        <w:keepLines/>
        <w:keepNex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（一）项目概况及要求</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1.项目概况</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南京医科大学附属口腔医院（江苏省口腔医院），暨南京医科大学口腔医学院、江苏省红十字口腔医院，是江苏省第一所三级甲等口腔专科医院、江苏省口腔卫生指导中心、江苏省口腔医学专业质量控制中心、江苏省基层特色科室孵化中心，现为中华口腔医学会副会长单位、江苏省口腔医学会会长单位。医院总诊疗面积63000余平方米，院外门诊部9个。</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2.服务周期：合同签订后3年，</w:t>
      </w:r>
      <w:bookmarkStart w:id="51" w:name="OLE_LINK61"/>
      <w:r>
        <w:rPr>
          <w:rFonts w:hint="eastAsia" w:ascii="仿宋" w:hAnsi="仿宋" w:eastAsia="仿宋" w:cs="仿宋"/>
          <w:bCs/>
          <w:color w:val="auto"/>
          <w:highlight w:val="none"/>
        </w:rPr>
        <w:t xml:space="preserve">合同一年一签。</w:t>
      </w:r>
      <w:bookmarkEnd w:id="51"/>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3.服务办公用房：采购人免费为投标人提供管理办公用房一间，库房一间，</w:t>
      </w:r>
      <w:r>
        <w:rPr>
          <w:rFonts w:hint="eastAsia" w:ascii="仿宋" w:hAnsi="仿宋" w:eastAsia="仿宋" w:cs="仿宋"/>
          <w:color w:val="auto"/>
          <w:highlight w:val="none"/>
        </w:rPr>
        <w:t xml:space="preserve">不提供员工食宿，</w:t>
      </w:r>
      <w:r>
        <w:rPr>
          <w:rFonts w:hint="eastAsia" w:ascii="仿宋" w:hAnsi="仿宋" w:eastAsia="仿宋" w:cs="仿宋"/>
          <w:bCs/>
          <w:color w:val="auto"/>
          <w:highlight w:val="none"/>
        </w:rPr>
        <w:t xml:space="preserve">产权归采购人所有。 </w:t>
      </w:r>
      <w:r/>
    </w:p>
    <w:p>
      <w:pPr>
        <w:ind w:firstLine="480"/>
        <w:spacing w:line="440" w:lineRule="exact"/>
        <w:rPr>
          <w:rFonts w:ascii="仿宋" w:hAnsi="仿宋" w:eastAsia="仿宋" w:cs="仿宋"/>
          <w:b/>
          <w:bCs/>
          <w:i/>
          <w:color w:val="auto"/>
          <w:highlight w:val="none"/>
          <w:u w:val="single"/>
        </w:rPr>
      </w:pPr>
      <w:r>
        <w:rPr>
          <w:rFonts w:hint="eastAsia" w:ascii="仿宋" w:hAnsi="仿宋" w:eastAsia="仿宋" w:cs="仿宋"/>
          <w:iCs/>
          <w:color w:val="auto"/>
          <w:highlight w:val="none"/>
        </w:rPr>
        <w:t xml:space="preserve">4.</w:t>
      </w:r>
      <w:r>
        <w:rPr>
          <w:rFonts w:hint="eastAsia" w:ascii="仿宋" w:hAnsi="仿宋" w:eastAsia="仿宋" w:cs="仿宋"/>
          <w:b/>
          <w:bCs/>
          <w:i/>
          <w:color w:val="auto"/>
          <w:highlight w:val="none"/>
          <w:u w:val="single"/>
        </w:rPr>
        <w:t xml:space="preserve">此运维服务项目包含</w:t>
      </w:r>
      <w:bookmarkStart w:id="52" w:name="OLE_LINK63"/>
      <w:r/>
      <w:bookmarkStart w:id="53" w:name="OLE_LINK62"/>
      <w:r>
        <w:rPr>
          <w:rFonts w:hint="eastAsia" w:ascii="仿宋" w:hAnsi="仿宋" w:eastAsia="仿宋" w:cs="仿宋"/>
          <w:b/>
          <w:bCs/>
          <w:i/>
          <w:color w:val="auto"/>
          <w:highlight w:val="none"/>
          <w:u w:val="single"/>
        </w:rPr>
        <w:t xml:space="preserve">综合楼(1号楼)、老大楼(2号楼)、科教楼(3号楼)、</w:t>
      </w:r>
      <w:bookmarkEnd w:id="52"/>
      <w:r/>
      <w:bookmarkEnd w:id="53"/>
      <w:r>
        <w:rPr>
          <w:rFonts w:hint="eastAsia" w:ascii="仿宋" w:hAnsi="仿宋" w:eastAsia="仿宋" w:cs="仿宋"/>
          <w:b/>
          <w:bCs/>
          <w:i/>
          <w:color w:val="auto"/>
          <w:highlight w:val="none"/>
          <w:u w:val="single"/>
        </w:rPr>
        <w:t xml:space="preserve">行政楼、研究所、院外门诊部、义齿加工中心、集体宿舍等；采购方老大楼暂未投入使用，进场时间及服务人员根据实际投用时间计算，服务费按照实际到岗人数结算。投标人为本项目建立的服务团队不得少于23人，否则为无效投标文件。</w:t>
      </w:r>
      <w:r/>
    </w:p>
    <w:p>
      <w:pPr>
        <w:ind w:firstLine="482"/>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5.人员管理要求</w:t>
      </w:r>
      <w:r/>
    </w:p>
    <w:p>
      <w:pPr>
        <w:ind w:firstLine="480"/>
        <w:jc w:val="left"/>
        <w:spacing w:line="440" w:lineRule="exact"/>
        <w:rPr>
          <w:rFonts w:ascii="仿宋" w:hAnsi="仿宋" w:eastAsia="仿宋" w:cs="仿宋"/>
          <w:color w:val="auto"/>
          <w:highlight w:val="none"/>
        </w:rPr>
      </w:pPr>
      <w:r>
        <w:rPr>
          <w:rFonts w:hint="eastAsia" w:ascii="仿宋" w:hAnsi="仿宋" w:eastAsia="仿宋" w:cs="仿宋"/>
          <w:bCs/>
          <w:color w:val="auto"/>
          <w:highlight w:val="none"/>
        </w:rPr>
        <w:t xml:space="preserve">所有工作人员必须经过规范化、系统化专业知识培训。投标人在管理期间承诺不得擅自减员，不得以任何理由脱岗，项目经理的调动，必须通过采购</w:t>
      </w:r>
      <w:r>
        <w:rPr>
          <w:rFonts w:hint="eastAsia" w:ascii="仿宋" w:hAnsi="仿宋" w:eastAsia="仿宋" w:cs="仿宋"/>
          <w:color w:val="auto"/>
          <w:highlight w:val="none"/>
        </w:rPr>
        <w:t xml:space="preserve">方同意，其他人员离职必须在7日内补充到岗，</w:t>
      </w:r>
      <w:r>
        <w:rPr>
          <w:rFonts w:hint="eastAsia" w:ascii="仿宋" w:hAnsi="仿宋" w:eastAsia="仿宋" w:cs="仿宋"/>
          <w:b/>
          <w:bCs/>
          <w:color w:val="auto"/>
          <w:highlight w:val="none"/>
        </w:rPr>
        <w:t xml:space="preserve">提供承诺函并加盖公章</w:t>
      </w:r>
      <w:r>
        <w:rPr>
          <w:rFonts w:hint="eastAsia" w:ascii="仿宋" w:hAnsi="仿宋" w:eastAsia="仿宋" w:cs="仿宋"/>
          <w:color w:val="auto"/>
          <w:highlight w:val="none"/>
        </w:rPr>
        <w:t xml:space="preserve">。 </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6.服务人员配置要求</w:t>
      </w:r>
      <w:r/>
    </w:p>
    <w:tbl>
      <w:tblPr>
        <w:tblStyle w:val="743"/>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7"/>
        <w:gridCol w:w="3702"/>
        <w:gridCol w:w="4366"/>
      </w:tblGrid>
      <w:tr>
        <w:trPr>
          <w:jc w:val="center"/>
          <w:trHeight w:val="285"/>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岗位</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cente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配置要求、资质</w:t>
            </w:r>
            <w:r/>
          </w:p>
        </w:tc>
        <w:tc>
          <w:tcPr>
            <w:tcBorders>
              <w:top w:val="single" w:color="auto" w:sz="4" w:space="0"/>
              <w:left w:val="single" w:color="auto" w:sz="4" w:space="0"/>
              <w:bottom w:val="single" w:color="auto" w:sz="4" w:space="0"/>
              <w:right w:val="single" w:color="auto" w:sz="4" w:space="0"/>
            </w:tcBorders>
            <w:tcW w:w="4366" w:type="dxa"/>
            <w:textDirection w:val="lrTb"/>
            <w:noWrap w:val="false"/>
          </w:tcPr>
          <w:p>
            <w:pPr>
              <w:jc w:val="cente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岗位职责</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项目经理</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男性，55周岁（含）以下，大专及以上学历，具有良好的沟通技巧，表达能力；较强的应变能力，协调能力，能独立处理突发状况，为公司正式员工，具备工作经验；身体健康、作风正派、品行端正。</w:t>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工程部门管理，技术培训，安全教育，部门事务统筹协调及院方事项沟通汇报，项目部门协调，部门年度工作计划及监督落实</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400" w:lineRule="exact"/>
              <w:rPr>
                <w:rFonts w:ascii="仿宋" w:hAnsi="仿宋" w:eastAsia="仿宋" w:cs="仿宋"/>
                <w:color w:val="auto"/>
                <w:highlight w:val="none"/>
              </w:rPr>
            </w:pPr>
            <w:r/>
            <w:bookmarkStart w:id="54" w:name="OLE_LINK28"/>
            <w:r/>
            <w:bookmarkStart w:id="55" w:name="OLE_LINK27"/>
            <w:r>
              <w:rPr>
                <w:rFonts w:hint="eastAsia" w:ascii="仿宋" w:hAnsi="仿宋" w:eastAsia="仿宋" w:cs="仿宋"/>
                <w:color w:val="auto"/>
                <w:highlight w:val="none"/>
              </w:rPr>
              <w:t xml:space="preserve">文员</w:t>
            </w:r>
            <w:r/>
          </w:p>
          <w:p>
            <w:pP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（楼控、调度）</w:t>
            </w:r>
            <w:bookmarkEnd w:id="54"/>
            <w:r/>
            <w:bookmarkEnd w:id="55"/>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女性，40岁（含）以下，可操作电脑办公软件，熟悉人员招聘及相关行政工作，有相关类似工作经验</w:t>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1.负责后勤机电设备、各系统档案管理；医院设有楼宇自控系统，对全院机电设备的监控和管理，主要包括但不限于：冷热源系统、空调系统、变配电系统、给排水系统、照明、特种设备以及供气系统等的控制和管理。负责将设备的运行情况收集、分析，以文本、图形、图表方式表达，提供相应报表，密切关注楼控系统各系统运转动向配合医院做好年度能源管理统计及分析；</w:t>
            </w:r>
            <w:r/>
          </w:p>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负责医院报修电话、报修群各类报修并做好相关记录,并及时报告上级，安排相应维修人员进行维修；做好库房维修材料的管理出入库和每月材料的申报。</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供热通风空调系统运维</w:t>
            </w:r>
            <w:r/>
          </w:p>
          <w:p>
            <w:pPr>
              <w:jc w:val="center"/>
              <w:spacing w:line="400" w:lineRule="exact"/>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spacing w:line="400" w:lineRule="exact"/>
              <w:rPr>
                <w:rFonts w:ascii="仿宋" w:hAnsi="仿宋" w:eastAsia="仿宋" w:cs="仿宋"/>
                <w:color w:val="auto"/>
                <w:highlight w:val="none"/>
              </w:rPr>
            </w:pPr>
            <w:r/>
            <w:bookmarkStart w:id="56" w:name="OLE_LINK56"/>
            <w:r/>
            <w:bookmarkStart w:id="57" w:name="OLE_LINK55"/>
            <w:r>
              <w:rPr>
                <w:rFonts w:hint="eastAsia" w:ascii="仿宋" w:hAnsi="仿宋" w:eastAsia="仿宋" w:cs="仿宋"/>
                <w:color w:val="auto"/>
                <w:highlight w:val="none"/>
              </w:rPr>
              <w:t xml:space="preserve">高中（中专）及以上学历，男55岁（含）以下，经过专业或岗前培训，</w:t>
            </w:r>
            <w:bookmarkStart w:id="58" w:name="OLE_LINK35"/>
            <w:r/>
            <w:bookmarkStart w:id="59" w:name="OLE_LINK36"/>
            <w:r>
              <w:rPr>
                <w:rFonts w:hint="eastAsia" w:ascii="仿宋" w:hAnsi="仿宋" w:eastAsia="仿宋" w:cs="仿宋"/>
                <w:color w:val="auto"/>
                <w:highlight w:val="none"/>
              </w:rPr>
              <w:t xml:space="preserve">需持有</w:t>
            </w:r>
            <w:bookmarkEnd w:id="58"/>
            <w:r/>
            <w:bookmarkEnd w:id="59"/>
            <w:r>
              <w:rPr>
                <w:rFonts w:hint="eastAsia" w:ascii="仿宋" w:hAnsi="仿宋" w:eastAsia="仿宋" w:cs="仿宋"/>
                <w:color w:val="auto"/>
                <w:highlight w:val="none"/>
              </w:rPr>
              <w:t xml:space="preserve">：制冷与空调设备运行操作作业证，身体健康，品行端正。</w:t>
            </w:r>
            <w:bookmarkEnd w:id="56"/>
            <w:r/>
            <w:bookmarkEnd w:id="57"/>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每日空调主机房、冷却塔、采暖设备、巡检及数据抄录，空调系统、采暖系统开关机，机房卫生打扫，设备除尘，协助维保做好科室维修、楼层新风机房巡检、排风机房的值班运行、科室测温。</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4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水电气系统</w:t>
            </w:r>
            <w:r>
              <w:rPr>
                <w:rFonts w:hint="eastAsia" w:ascii="仿宋" w:hAnsi="仿宋" w:eastAsia="仿宋" w:cs="仿宋"/>
                <w:color w:val="auto"/>
                <w:highlight w:val="none"/>
                <w:lang w:val="en-US" w:eastAsia="zh-CN"/>
              </w:rPr>
              <w:t xml:space="preserve">运维</w:t>
            </w:r>
            <w:r>
              <w:rPr>
                <w:rFonts w:hint="eastAsia" w:ascii="仿宋" w:hAnsi="仿宋" w:eastAsia="仿宋" w:cs="仿宋"/>
                <w:color w:val="auto"/>
                <w:highlight w:val="none"/>
              </w:rPr>
              <w:t xml:space="preserve">及特种设备</w:t>
            </w:r>
            <w:r>
              <w:rPr>
                <w:rFonts w:hint="eastAsia" w:ascii="仿宋" w:hAnsi="仿宋" w:eastAsia="仿宋" w:cs="仿宋"/>
                <w:color w:val="auto"/>
                <w:highlight w:val="none"/>
                <w:lang w:val="en-US" w:eastAsia="zh-CN"/>
              </w:rPr>
              <w:t xml:space="preserve">巡检</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高中（中专）及以上学历，男55岁（含）以下，经过专业或岗前培训，</w:t>
            </w:r>
            <w:bookmarkStart w:id="60" w:name="OLE_LINK37"/>
            <w:r/>
            <w:bookmarkStart w:id="61" w:name="OLE_LINK38"/>
            <w:r>
              <w:rPr>
                <w:rFonts w:hint="eastAsia" w:ascii="仿宋" w:hAnsi="仿宋" w:eastAsia="仿宋" w:cs="仿宋"/>
                <w:color w:val="auto"/>
                <w:highlight w:val="none"/>
              </w:rPr>
              <w:t xml:space="preserve">需持有相应岗位的上岗证件</w:t>
            </w:r>
            <w:bookmarkEnd w:id="60"/>
            <w:r/>
            <w:bookmarkEnd w:id="61"/>
            <w:r>
              <w:rPr>
                <w:rFonts w:hint="eastAsia" w:ascii="仿宋" w:hAnsi="仿宋" w:eastAsia="仿宋" w:cs="仿宋"/>
                <w:color w:val="auto"/>
                <w:highlight w:val="none"/>
              </w:rPr>
              <w:t xml:space="preserve">，身体健康，品行端正。</w:t>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太阳能的值班运行巡检，水泵房的值班运行巡检，集水井的值班巡检。检查纯水设备运行压力，观察泵体与管路有无渗漏，常用耗材使用情况，记录运行参数，确保供水稳定达标。</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jc w:val="center"/>
              <w:spacing w:line="400" w:lineRule="exact"/>
              <w:rPr>
                <w:rFonts w:hint="eastAsia" w:ascii="仿宋" w:hAnsi="仿宋" w:eastAsia="仿宋" w:cs="仿宋"/>
                <w:color w:val="auto"/>
                <w:highlight w:val="none"/>
                <w:lang w:eastAsia="zh-CN"/>
              </w:rPr>
            </w:pPr>
            <w:r/>
            <w:bookmarkStart w:id="62" w:name="OLE_LINK67"/>
            <w:r>
              <w:rPr>
                <w:rFonts w:hint="eastAsia" w:ascii="仿宋" w:hAnsi="仿宋" w:eastAsia="仿宋" w:cs="仿宋"/>
                <w:color w:val="auto"/>
                <w:highlight w:val="none"/>
              </w:rPr>
              <w:t xml:space="preserve">正负压及医用气体系统</w:t>
            </w:r>
            <w:bookmarkEnd w:id="62"/>
            <w:r>
              <w:rPr>
                <w:rFonts w:hint="eastAsia" w:ascii="仿宋" w:hAnsi="仿宋" w:eastAsia="仿宋" w:cs="仿宋"/>
                <w:color w:val="auto"/>
                <w:highlight w:val="none"/>
                <w:lang w:val="en-US" w:eastAsia="zh-CN"/>
              </w:rPr>
              <w:t xml:space="preserve">巡检</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spacing w:line="400" w:lineRule="exact"/>
              <w:rPr>
                <w:rFonts w:ascii="仿宋" w:hAnsi="仿宋" w:eastAsia="仿宋" w:cs="仿宋"/>
                <w:color w:val="auto"/>
                <w:highlight w:val="none"/>
              </w:rPr>
            </w:pPr>
            <w:r/>
            <w:bookmarkStart w:id="63" w:name="OLE_LINK47"/>
            <w:r>
              <w:rPr>
                <w:rFonts w:hint="eastAsia" w:ascii="仿宋" w:hAnsi="仿宋" w:eastAsia="仿宋" w:cs="仿宋"/>
                <w:color w:val="auto"/>
                <w:highlight w:val="none"/>
              </w:rPr>
              <w:t xml:space="preserve">高中（中专）及以上学历，男55岁（含）以下，经过专业或岗前培训，需持有相应岗位的上岗证件，身体健康，品行端正。</w:t>
            </w:r>
            <w:bookmarkEnd w:id="63"/>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正负压机房的值班巡检，台账记录，重点查看管路是否有漏气点，泵头部分是否有明显异响，负压排水泵位置是否有漏水情况。</w:t>
            </w:r>
            <w:r/>
          </w:p>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1号楼1楼、9楼和2号楼氧气站房的运行巡检，检查氧气压力、管路阀门有无泄漏，观察设备运行状态，记录巡检数据，确保安全稳定供气。氧气运送、更换，安装新瓶并检查有无漏气，切换供气后检查压力与管路，确保无泄漏、供气正常。</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spacing w:line="4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电力系统、特种设备及人防工程</w:t>
            </w:r>
            <w:r>
              <w:rPr>
                <w:rFonts w:hint="eastAsia" w:ascii="仿宋" w:hAnsi="仿宋" w:eastAsia="仿宋" w:cs="仿宋"/>
                <w:color w:val="auto"/>
                <w:highlight w:val="none"/>
                <w:lang w:val="en-US" w:eastAsia="zh-CN"/>
              </w:rPr>
              <w:t xml:space="preserve">巡检</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高中（中专）及以上学历，男55岁（含）以下，经过专业或岗前培训，需持有相应岗位的上岗证件，身体健康，品行端正。</w:t>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检查强电间设备运行有无异常，打扫环境卫生。</w:t>
            </w:r>
            <w:r/>
          </w:p>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对特种设备、人防工程风机设备进行巡检并且形成检查记录，按照规定报告特种设备事故，参加特种设备演练及事故救援。</w:t>
            </w:r>
            <w:r/>
          </w:p>
        </w:tc>
      </w:tr>
      <w:tr>
        <w:trPr>
          <w:jc w:val="center"/>
          <w:trHeight w:val="90"/>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夜间运维</w:t>
            </w:r>
            <w:r/>
          </w:p>
          <w:p>
            <w:pPr>
              <w:spacing w:line="400" w:lineRule="exact"/>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left"/>
              <w:spacing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高中（中专）及以上学历</w:t>
            </w:r>
            <w:r>
              <w:rPr>
                <w:rFonts w:hint="eastAsia" w:ascii="仿宋" w:hAnsi="仿宋" w:eastAsia="仿宋" w:cs="仿宋"/>
                <w:color w:val="auto"/>
                <w:highlight w:val="none"/>
              </w:rPr>
              <w:t xml:space="preserve">，男55岁（含）以下，经过专业或岗前培训，需持有相应岗位的上岗证件，身体健康，品行端正。</w:t>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夜间全院还在运行的空调系统、水系统、医用气体、强电、特种设备及人防工程的全部运维巡检和应急处置。</w:t>
            </w:r>
            <w:r/>
          </w:p>
        </w:tc>
      </w:tr>
      <w:tr>
        <w:trPr>
          <w:jc w:val="center"/>
        </w:trPr>
        <w:tc>
          <w:tcPr>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零星维修</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高中（中专）及以上学历，男55岁（含）以下，经过专业或岗前培训，人员需要持有：电工作业特种作业操作证、焊接与热切割作业操作证等上岗证件，身体健康，品行端正。</w:t>
            </w:r>
            <w:r/>
          </w:p>
        </w:tc>
        <w:tc>
          <w:tcPr>
            <w:tcBorders>
              <w:top w:val="single" w:color="auto" w:sz="4" w:space="0"/>
              <w:left w:val="single" w:color="auto" w:sz="4" w:space="0"/>
              <w:bottom w:val="single" w:color="auto" w:sz="4" w:space="0"/>
              <w:right w:val="single" w:color="auto" w:sz="4" w:space="0"/>
            </w:tcBorders>
            <w:tcW w:w="4366" w:type="dxa"/>
            <w:vAlign w:val="center"/>
            <w:textDirection w:val="lrTb"/>
            <w:noWrap w:val="false"/>
          </w:tcPr>
          <w:p>
            <w:pPr>
              <w:jc w:val="left"/>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负责全院零星维修，接到报修后紧急维修10分钟到达现场，一般事项15分钟内到达现场，院外门诊部2个小时到达现场，，遵守安全生产要求，按操作规程处置常见故障，持证上岗。</w:t>
            </w:r>
            <w:r/>
          </w:p>
        </w:tc>
      </w:tr>
    </w:tbl>
    <w:p>
      <w:pPr>
        <w:ind w:firstLine="482"/>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（二）具体技术服务要求</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1.运维管理目标</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（1）服从医院的工作安排，人员工作效率高、技术水平适应岗位需求；</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（2）服务及时、到位，以人为本，凸显人性化服务，服务态度好；</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（3）项目经理管理经验丰富，能及时、快捷协调组织人员安排；</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（4）安全保障稳妥、及时、有力，无重大事故发生；</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（5）建立、健全综合楼后勤保障体系，智能化、规范化、绿色节能的提供后勤机电设备运维；</w:t>
      </w:r>
      <w:r/>
    </w:p>
    <w:p>
      <w:pPr>
        <w:ind w:firstLine="480"/>
        <w:jc w:val="left"/>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2.从业人员要求</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所有人员必须遵守国家的法律、法规及采购人的各项规章制度，具有良好素养和上岗资质，政治清白，无不良记录及嗜好，爱岗敬业、工作勤快，礼貌待人、和蔼处事，相貌端正、着装统一，身体健康（无传染性疾病）。</w:t>
      </w:r>
      <w:r>
        <w:rPr>
          <w:rFonts w:hint="eastAsia" w:ascii="仿宋" w:hAnsi="仿宋" w:eastAsia="仿宋" w:cs="仿宋"/>
          <w:b/>
          <w:i/>
          <w:iCs/>
          <w:color w:val="auto"/>
          <w:highlight w:val="none"/>
          <w:u w:val="single"/>
        </w:rPr>
        <w:t xml:space="preserve">国家强制性要求的特种作业人员（如电工作业、焊接与热切割作业、制冷与空调作业等），投标人拟派的从业人员必须持有相应证书方可上岗作业。投标人提供书面承诺书，承诺维修人员须做到持证上岗（格式自拟）；</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3.服务保障承诺</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（1）投标人能承诺服务人员安全责任，包括人身伤害、火灾、物品失窃等，违约承担相应责任（提供承诺书加盖公章）。</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2）所有在医院被聘用的工作人员，其任职的岗位必须相对固定，不得随意转岗、流动，如果变化，项目负责人需提前跟院方相关部门沟通，说明缘由后方可调换。如发现运维服务人员缺岗，应提前向院方汇报，并根据缺岗人数扣除相应服务费。若发现在院方不知情的情况下随意调岗、轮转、变更各岗位（工作地点）的人员，以及院方在检查过程中发现运维服务人员有缺岗、脱岗现象，每检查发现一人/次，处罚1000元/人次。</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（3）所有运维服务人员，必须满足招标文件中的各项要求，并持有国家相关机构颁发的各类有效上岗证件。</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（4）投标人承诺为采购人购买第三方责任险（意外伤害险等）。</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4.运维服务总体要求：</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（1）保障采购人水、电、气（汽）等各系统良好运作，各系统维护和安全管理，做好相关记录并建立技术档案（不包含第三方维修、维护）。</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（2）保障采购人水、电、气（汽）等各系统不间断运行，合理安排人员值班。</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（3）负责区域内的设备、设施的维护和管理，所有管线干净整洁、无破损、无渗水、无漏电、无锈蚀现象。</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4）管理采购人的后勤设备运行，严格执行系统设备安全运行和安全生产的要求，定时巡视设备机房和设备运行情况，做好相关记录；机房环境符合设备运行管理的要求，环境整洁、无杂物、无灰尘，做好各种安全用具、消防用具、设备备品及维修工具的管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（5）按照系统运行、安全生产的要求，制定运行、维护管理的岗位职责、巡检、保养、维护计划，做好设备运行记录、维修档案、建立档案（所有设备、系统）等管理制度，各类职责、制度上墙明示。</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（6）配合采购人制定各类设备的检查、检测、年检工作计划；并协助采购人落实完成各种检查、检测、年检工作计划实施（包括特种设备、计量器具管理,协助建立台账、规章制度、操作规程）。</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（7）员工需进行岗前培训和安全教育，并且每年至少对员工进行两次岗位培训并做好记录。</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（8）采取科学、有效、合理的节能、节约措施，做好节能运行监测。</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所有由采购人指定的第三方单位维修维护的设备、设施，投标人负责进行日常运行操作、巡视、保养、维护、应急维修，并做好相关记录，保障相关设备、设施运行完好；在由采购人指定的第三方单位对采购人的设备、设施进行维修、保养、改造、施工时，投标人负责协调、配合和现场监管，并实行采购人和投标人双方共同对第三方单位相关工作进行验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（10）零星维修工具由中标人提供，维修所需材料每月30日前上报下月材料采购计划，由采购人购买，相关材料、物资经由投标人执行维护、使用的，需做好相关记录及用材统计工作。</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（11）对设备或系统出现重大故障、事故，投标人应合规合法安全妥善处置。做好有关设备故障、事故技术分析，并提交不良事件报告或事故报告，配合相关部门责任认定及事后处理工作。</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（12）按照国家卫生健康委员会颁发的《医疗和疾控机构后勤安全生产工作管理指南》相关要求内容，执行并落实各项管理规定。</w:t>
      </w:r>
      <w:r/>
    </w:p>
    <w:p>
      <w:pPr>
        <w:ind w:firstLine="482"/>
        <w:spacing w:line="440" w:lineRule="exact"/>
        <w:rPr>
          <w:rFonts w:ascii="仿宋" w:hAnsi="仿宋" w:eastAsia="仿宋" w:cs="仿宋"/>
          <w:color w:val="auto"/>
          <w:highlight w:val="none"/>
        </w:rPr>
      </w:pPr>
      <w:r>
        <w:rPr>
          <w:rFonts w:hint="eastAsia" w:ascii="仿宋" w:hAnsi="仿宋" w:eastAsia="仿宋" w:cs="仿宋"/>
          <w:b/>
          <w:bCs/>
          <w:color w:val="auto"/>
          <w:highlight w:val="none"/>
        </w:rPr>
        <w:t xml:space="preserve">5.班组配置及岗位需求</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医院的空调机房、热交换站、太阳能系统、净水机房、正负压机房、供氧、笑气系统、给排水管路值班运维管理（包括以上系统，并不限于以上所列内容）、零星维修（包括综合楼(1号楼)、老大楼(2号楼)、科教楼(3号楼)、</w:t>
      </w:r>
      <w:r>
        <w:rPr>
          <w:rFonts w:hint="eastAsia" w:ascii="仿宋" w:hAnsi="仿宋" w:eastAsia="仿宋" w:cs="仿宋"/>
          <w:color w:val="auto"/>
          <w:highlight w:val="none"/>
        </w:rPr>
        <w:t xml:space="preserve">研究所、工程中心、3D打印中心、院外门诊部、义齿加工中心、集体宿舍等）的水电木瓦、焊接维修</w:t>
      </w:r>
      <w:r>
        <w:rPr>
          <w:rFonts w:hint="eastAsia" w:ascii="仿宋" w:hAnsi="仿宋" w:eastAsia="仿宋" w:cs="仿宋"/>
          <w:color w:val="auto"/>
          <w:highlight w:val="none"/>
        </w:rPr>
        <w:t xml:space="preserve">，投标人应根据招标人对各系统描述及岗位需求、季节性运转特性自行考虑配备相应数量的人员满足管理需求，一旦中标应根据投标文件响应情况配备人员到位，未经采购人同意不得随意增减。</w:t>
      </w:r>
      <w:r/>
    </w:p>
    <w:p>
      <w:pPr>
        <w:ind w:firstLine="480"/>
        <w:spacing w:line="440" w:lineRule="exact"/>
        <w:rPr>
          <w:rFonts w:ascii="仿宋" w:hAnsi="仿宋" w:eastAsia="仿宋" w:cs="仿宋"/>
          <w:color w:val="auto"/>
          <w:highlight w:val="none"/>
        </w:rPr>
      </w:pPr>
      <w:r>
        <w:rPr>
          <w:rFonts w:ascii="仿宋" w:hAnsi="仿宋" w:eastAsia="仿宋" w:cs="仿宋"/>
          <w:color w:val="auto"/>
          <w:highlight w:val="none"/>
        </w:rPr>
      </w:r>
      <w:r/>
    </w:p>
    <w:tbl>
      <w:tblPr>
        <w:tblStyle w:val="743"/>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966"/>
        <w:gridCol w:w="2314"/>
        <w:gridCol w:w="1597"/>
        <w:gridCol w:w="1681"/>
        <w:gridCol w:w="1560"/>
      </w:tblGrid>
      <w:tr>
        <w:trPr>
          <w:jc w:val="center"/>
        </w:trPr>
        <w:tc>
          <w:tcPr>
            <w:gridSpan w:val="2"/>
            <w:tcMar>
              <w:left w:w="0" w:type="dxa"/>
              <w:top w:w="0" w:type="dxa"/>
              <w:right w:w="0" w:type="dxa"/>
              <w:bottom w:w="0" w:type="dxa"/>
            </w:tcMar>
            <w:tcW w:w="1716" w:type="dxa"/>
            <w:vAlign w:val="center"/>
            <w:textDirection w:val="lrTb"/>
            <w:noWrap w:val="false"/>
          </w:tcPr>
          <w:p>
            <w:pPr>
              <w:jc w:val="center"/>
              <w:spacing w:line="44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分类明细</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简要描述</w:t>
            </w:r>
            <w:r/>
          </w:p>
        </w:tc>
        <w:tc>
          <w:tcPr>
            <w:tcW w:w="1597" w:type="dxa"/>
            <w:vAlign w:val="center"/>
            <w:textDirection w:val="lrTb"/>
            <w:noWrap w:val="false"/>
          </w:tcPr>
          <w:p>
            <w:pPr>
              <w:jc w:val="center"/>
              <w:spacing w:line="44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巡检频次</w:t>
            </w:r>
            <w:r/>
          </w:p>
        </w:tc>
        <w:tc>
          <w:tcPr>
            <w:tcW w:w="1681" w:type="dxa"/>
            <w:vAlign w:val="center"/>
            <w:textDirection w:val="lrTb"/>
            <w:noWrap w:val="false"/>
          </w:tcPr>
          <w:p>
            <w:pPr>
              <w:jc w:val="center"/>
              <w:spacing w:line="44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岗位职责</w:t>
            </w:r>
            <w:r/>
          </w:p>
        </w:tc>
        <w:tc>
          <w:tcPr>
            <w:tcMar>
              <w:left w:w="0" w:type="dxa"/>
              <w:top w:w="0" w:type="dxa"/>
              <w:right w:w="0" w:type="dxa"/>
              <w:bottom w:w="0" w:type="dxa"/>
            </w:tcMar>
            <w:tcW w:w="1560" w:type="dxa"/>
            <w:vAlign w:val="center"/>
            <w:textDirection w:val="lrTb"/>
            <w:noWrap w:val="false"/>
          </w:tcPr>
          <w:p>
            <w:pPr>
              <w:jc w:val="center"/>
              <w:spacing w:line="44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岗位需求</w:t>
            </w:r>
            <w:r/>
          </w:p>
        </w:tc>
      </w:tr>
      <w:tr>
        <w:trPr>
          <w:jc w:val="center"/>
        </w:trPr>
        <w:tc>
          <w:tcPr>
            <w:gridSpan w:val="2"/>
            <w:tcMar>
              <w:left w:w="0" w:type="dxa"/>
              <w:top w:w="0" w:type="dxa"/>
              <w:right w:w="0" w:type="dxa"/>
              <w:bottom w:w="0" w:type="dxa"/>
            </w:tcMar>
            <w:tcW w:w="1716"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项目经理</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男性55周岁（含）以下，大专及以上学历，具有良好的沟通技巧，表达能力；较强的应变能力，协调能力，能独立处理突发状况，为公司正式员工，具备工作经验；身体健康、作风正派、品行端正。</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空调机房、正负压机房、换热机房、水泵房、氧气机房、纯水机房、等机房1次/日、科室每周1次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工程部门管理，技术培训，安全教育，部门事务统筹协调及院方事项沟通汇报，项目部门协调，部门年度工作计划及监督落实</w:t>
            </w:r>
            <w:r/>
          </w:p>
        </w:tc>
        <w:tc>
          <w:tcPr>
            <w:tcMar>
              <w:left w:w="0" w:type="dxa"/>
              <w:top w:w="0" w:type="dxa"/>
              <w:right w:w="0" w:type="dxa"/>
              <w:bottom w:w="0" w:type="dxa"/>
            </w:tcMar>
            <w:tcW w:w="1560"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（8:00-18:00）</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每周工作不低于5日（以工作日为主）</w:t>
            </w:r>
            <w:r/>
          </w:p>
        </w:tc>
      </w:tr>
      <w:tr>
        <w:trPr>
          <w:jc w:val="center"/>
        </w:trPr>
        <w:tc>
          <w:tcPr>
            <w:gridSpan w:val="2"/>
            <w:tcMar>
              <w:left w:w="0" w:type="dxa"/>
              <w:top w:w="0" w:type="dxa"/>
              <w:right w:w="0" w:type="dxa"/>
              <w:bottom w:w="0" w:type="dxa"/>
            </w:tcMar>
            <w:tcW w:w="1716"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文员</w:t>
            </w:r>
            <w:r/>
          </w:p>
          <w:p>
            <w:pPr>
              <w:jc w:val="cente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（楼控、调度）</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女性，40岁（含）以下，可操作电脑办公软件，熟悉医院报修流程及相关行政工作，有相关类似工作经验。</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根据医院报修电话、报修群各类报修，每日调度安排维修并做好相关记录；每月定期仓库盘点</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负责后勤机电设备、各系统档案管理；医院设有楼宇自控系统，对全院机电设备的监控和管理，主要包括但不限于：冷热源系统、空调系统、变配电系统、给排水系统、照明、特种设备以及供气系统等的控制和管理。负责将设备的运行情况收集、分析，以文本、图形、图表方式表达，提供相应报表，密切关注楼控系统各系统运转动向配合医院做好年度能源管理统计及分析；</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负责医院报修电话、报修群各类报修并做好相关记录,并及时报告上级，安排相应维修人员进行维修；做好库房维修材料的管理出入库和每月材料的申报。</w:t>
            </w:r>
            <w:r/>
          </w:p>
        </w:tc>
        <w:tc>
          <w:tcPr>
            <w:tcMar>
              <w:left w:w="0" w:type="dxa"/>
              <w:top w:w="0" w:type="dxa"/>
              <w:right w:w="0" w:type="dxa"/>
              <w:bottom w:w="0" w:type="dxa"/>
            </w:tcMar>
            <w:tcW w:w="1560"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（8:00-18:00）</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每周工作不低于5日（以工作日为主）</w:t>
            </w:r>
            <w:r/>
          </w:p>
        </w:tc>
      </w:tr>
      <w:tr>
        <w:trPr>
          <w:jc w:val="center"/>
        </w:trPr>
        <w:tc>
          <w:tcPr>
            <w:tcMar>
              <w:left w:w="0" w:type="dxa"/>
              <w:top w:w="0" w:type="dxa"/>
              <w:right w:w="0" w:type="dxa"/>
              <w:bottom w:w="0" w:type="dxa"/>
            </w:tcMar>
            <w:tcW w:w="750"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供热通风空调系统运维</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人员需要持有：制冷与空调设备运行操作作业证</w:t>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综合楼地源热泵空调系统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螺杆式地源热泵机组：制热量1213kW、制冷量1211kW。</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螺杆式水冷冷水机组：制冷量1404KW。方形冷却塔两台。</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每日空调主机房、冷却塔、采暖设备、巡检及数据抄录，空调系统、采暖系统开关机，机房卫生打扫，设备除尘，协助维保做好科室维修、楼层新风机房巡检、排风机房的值班运行、科室测温</w:t>
            </w:r>
            <w:r/>
          </w:p>
        </w:tc>
        <w:tc>
          <w:tcPr>
            <w:tcMar>
              <w:left w:w="0" w:type="dxa"/>
              <w:top w:w="0" w:type="dxa"/>
              <w:right w:w="0" w:type="dxa"/>
              <w:bottom w:w="0" w:type="dxa"/>
            </w:tcMar>
            <w:tcW w:w="1560" w:type="dxa"/>
            <w:vAlign w:val="center"/>
            <w:vMerge w:val="restart"/>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老大楼启用前每日岗位数</w:t>
            </w:r>
            <w:r/>
          </w:p>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3岗</w:t>
            </w:r>
            <w:r/>
          </w:p>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（07:00-19:00）</w:t>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老大楼启用后每日岗位数增加1岗</w:t>
            </w:r>
            <w:r/>
          </w:p>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（07:00-19:00）</w:t>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综合楼VRV系统（12-16F）</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室外机5台，总制冷量425kW、制热量470KW，室内机95台。</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restart"/>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供应室、门诊手术室空调系统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室外机3台，总制冷量269kW、制热量301.5KW，室内机15台。</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综合楼新风机组+风机盘管</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各类空调器（冷凝热回收型、加湿型等）28台、风机盘管514台</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送、排风</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设有机械排烟系统</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老大楼四管制中央空调系统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四管制模块式变频风冷热泵机组四台：总制冷量520kW、总制热量368kW(-4.1℃)</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老大楼空气源中央空调系统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模块式风冷热泵机组18台：总制冷量2754kW、总制热量2160kW(-4.1℃)</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老大楼空调机组+风机盘管</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各类空调新风机组（四管制、两管制、直膨式等）24台、风机盘管297台</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老大楼VRV空调系统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室外机4台，总制冷量320KW，室内机40台</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老大楼数据机房空调系统（15F）</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数据机房专用列间空调3台：总制冷量120kW。</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1H/次</w:t>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Borders>
              <w:bottom w:val="single" w:color="auto" w:sz="6" w:space="0"/>
            </w:tcBorders>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Mar>
              <w:left w:w="0" w:type="dxa"/>
              <w:top w:w="0" w:type="dxa"/>
              <w:right w:w="0" w:type="dxa"/>
              <w:bottom w:w="0" w:type="dxa"/>
            </w:tcMar>
            <w:tcW w:w="750" w:type="dxa"/>
            <w:vAlign w:val="center"/>
            <w:vMerge w:val="restart"/>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p>
            <w:pPr>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水电气系统</w:t>
            </w:r>
            <w:r>
              <w:rPr>
                <w:rFonts w:hint="eastAsia" w:ascii="仿宋" w:hAnsi="仿宋" w:eastAsia="仿宋" w:cs="仿宋"/>
                <w:b/>
                <w:color w:val="auto"/>
                <w:highlight w:val="none"/>
                <w:lang w:val="en-US" w:eastAsia="zh-CN"/>
              </w:rPr>
              <w:t xml:space="preserve">运维</w:t>
            </w:r>
            <w:r>
              <w:rPr>
                <w:rFonts w:hint="eastAsia" w:ascii="仿宋" w:hAnsi="仿宋" w:eastAsia="仿宋" w:cs="仿宋"/>
                <w:b/>
                <w:color w:val="auto"/>
                <w:highlight w:val="none"/>
              </w:rPr>
              <w:t xml:space="preserve">、正负压及医用气体系统</w:t>
            </w:r>
            <w:r>
              <w:rPr>
                <w:rFonts w:hint="eastAsia" w:ascii="仿宋" w:hAnsi="仿宋" w:eastAsia="仿宋" w:cs="仿宋"/>
                <w:b/>
                <w:color w:val="auto"/>
                <w:highlight w:val="none"/>
                <w:lang w:val="en-US" w:eastAsia="zh-CN"/>
              </w:rPr>
              <w:t xml:space="preserve">巡检</w:t>
            </w:r>
            <w:r>
              <w:rPr>
                <w:rFonts w:hint="eastAsia" w:ascii="仿宋" w:hAnsi="仿宋" w:eastAsia="仿宋" w:cs="仿宋"/>
                <w:b/>
                <w:color w:val="auto"/>
                <w:highlight w:val="none"/>
              </w:rPr>
              <w:t xml:space="preserve">及特种设备</w:t>
            </w:r>
            <w:r>
              <w:rPr>
                <w:rFonts w:hint="eastAsia" w:ascii="仿宋" w:hAnsi="仿宋" w:eastAsia="仿宋" w:cs="仿宋"/>
                <w:b/>
                <w:color w:val="auto"/>
                <w:highlight w:val="none"/>
                <w:lang w:val="en-US" w:eastAsia="zh-CN"/>
              </w:rPr>
              <w:t xml:space="preserve">巡检</w:t>
            </w:r>
            <w:r/>
          </w:p>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综合楼供水系统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-3～2层由市政供水管路直接供给；3～10层由低区变频供水设备增压供水；10层以上由高区变频供水设备增压供水，设有水泵房。</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太阳能的值班运行巡检，水泵房的值班运行巡检，集水井的值班巡检。检查纯水设备运行压力，观察泵体与管路有无渗漏，常用耗材使用情况，记录运行参数，确保供水稳定达标。</w:t>
            </w:r>
            <w:r/>
          </w:p>
        </w:tc>
        <w:tc>
          <w:tcPr>
            <w:tcMar>
              <w:left w:w="0" w:type="dxa"/>
              <w:top w:w="0" w:type="dxa"/>
              <w:right w:w="0" w:type="dxa"/>
              <w:bottom w:w="0" w:type="dxa"/>
            </w:tcMar>
            <w:tcW w:w="1560"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老大楼启用前每日岗位数3岗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（06:30-18:30,1岗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08:00-17:30，1岗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07:00-19:00，1岗）</w:t>
            </w:r>
            <w:r/>
          </w:p>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老大楼启用后每日岗位数增加1岗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(7:00-19:00)</w:t>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综合楼热交换站</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诊室及厨房生活用热水采用集中热水供应系统，以蒸汽作为热媒，采用4台汽水半容积式换热器换热。</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综合楼太阳能系统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太阳能集热面积261平方米，设集热器34组，自动控制运行。</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Height w:val="2780"/>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综合楼纯水机房</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设有牙科综合治疗椅、供应室、检验科、手术室用净水处理系统一套，机房在地下室夹层内，水处理量8T/小时。</w:t>
            </w:r>
            <w:r/>
          </w:p>
        </w:tc>
        <w:tc>
          <w:tcPr>
            <w:tcW w:w="1597"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老大楼供水系统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1层及地下室用水由市政自来水管网直供，2层以上增压供给，2至7层为增压一区，8至15层为增压二区。地下一层设置有生活泵房。</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老大楼热水系统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门诊和病房采用集中热水系统，采用空气源热泵热水闭式系统。热水机房设置在六层裙房屋顶。4台空气源热泵设置于机房屋面。</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Height w:val="2810"/>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老大楼纯水机房</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设有急诊牙椅、消毒供应中心、实验室用净水处理系统一套，机房设在六层裙房屋顶，水处理量4T/小时。</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Height w:val="920"/>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集水坑</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地下室集水坑若干</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1次/天</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Height w:val="312"/>
        </w:trPr>
        <w:tc>
          <w:tcPr>
            <w:tcBorders>
              <w:top w:val="single" w:color="auto" w:sz="4" w:space="0"/>
            </w:tcBorders>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tcBorders>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综合楼供氧、笑气系</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设四个氧气/笑气站点，存储氧气、笑气罐，供应一—九楼约</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30个局部诊室、用气点设备带。</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老大楼正负压机房</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1.共有2台压缩空气（单台功率：11kW)、2台医用气体净化装置、1套控制系统柜；2台一体式小型压缩空气机组（单台功率：8.8kW)；</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2.2台真空机组（单台功率：5.5kW)、2套细菌过滤器、2台高温杀菌装置（单台功率：3kW)、1台PLC控制柜</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老大楼制氧机房</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暂无</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老大楼汇流排系统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一套应急备用全自动切换氧气汇流排</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Mar>
              <w:left w:w="0" w:type="dxa"/>
              <w:top w:w="0" w:type="dxa"/>
              <w:right w:w="0" w:type="dxa"/>
              <w:bottom w:w="0" w:type="dxa"/>
            </w:tcMar>
            <w:tcW w:w="750" w:type="dxa"/>
            <w:vAlign w:val="center"/>
            <w:vMerge w:val="continue"/>
            <w:textDirection w:val="lrTb"/>
            <w:noWrap w:val="false"/>
          </w:tcPr>
          <w:p>
            <w:pPr>
              <w:jc w:val="center"/>
              <w:spacing w:line="440" w:lineRule="exact"/>
              <w:widowControl/>
              <w:rPr>
                <w:rFonts w:ascii="仿宋" w:hAnsi="仿宋" w:eastAsia="仿宋" w:cs="仿宋"/>
                <w:b/>
                <w:color w:val="auto"/>
                <w:highlight w:val="none"/>
              </w:rPr>
            </w:pPr>
            <w:r>
              <w:rPr>
                <w:rFonts w:ascii="仿宋" w:hAnsi="仿宋" w:eastAsia="仿宋" w:cs="仿宋"/>
                <w:b/>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氮气、二氧化碳汇流排系统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设有1套全自动切换氮气汇流排、1套全自动切换二氧化碳汇流排</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56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Mar>
              <w:left w:w="0" w:type="dxa"/>
              <w:top w:w="0" w:type="dxa"/>
              <w:right w:w="0" w:type="dxa"/>
              <w:bottom w:w="0" w:type="dxa"/>
            </w:tcMar>
            <w:tcW w:w="750" w:type="dxa"/>
            <w:vAlign w:val="center"/>
            <w:vMerge w:val="continue"/>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杜瓦罐汇流排系统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设有1套全自动切换氧气汇流排，杜瓦罐气瓶6瓶，汽化器2台（汽化量：150m³/h）</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56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Mar>
              <w:left w:w="0" w:type="dxa"/>
              <w:top w:w="0" w:type="dxa"/>
              <w:right w:w="0" w:type="dxa"/>
              <w:bottom w:w="0" w:type="dxa"/>
            </w:tcMar>
            <w:tcW w:w="750" w:type="dxa"/>
            <w:vAlign w:val="center"/>
            <w:vMerge w:val="continue"/>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6" w:space="0"/>
            </w:tcBorders>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医用气体中央监控系统</w:t>
            </w:r>
            <w:r/>
          </w:p>
        </w:tc>
        <w:tc>
          <w:tcPr>
            <w:tcBorders>
              <w:top w:val="single" w:color="auto" w:sz="6" w:space="0"/>
            </w:tcBorders>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设有一套医用气体中央监控系统</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56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Mar>
              <w:left w:w="0" w:type="dxa"/>
              <w:top w:w="0" w:type="dxa"/>
              <w:right w:w="0" w:type="dxa"/>
              <w:bottom w:w="0" w:type="dxa"/>
            </w:tcMar>
            <w:tcW w:w="750" w:type="dxa"/>
            <w:vAlign w:val="center"/>
            <w:vMerge w:val="continue"/>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电力系统</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楼宇内每层设1个强电间，投标人提供巡检管理。</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1次/天</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检查强电间设备运行有无异常，打扫环境卫生</w:t>
            </w:r>
            <w:r/>
          </w:p>
        </w:tc>
        <w:tc>
          <w:tcPr>
            <w:tcW w:w="156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Mar>
              <w:left w:w="0" w:type="dxa"/>
              <w:top w:w="0" w:type="dxa"/>
              <w:right w:w="0" w:type="dxa"/>
              <w:bottom w:w="0" w:type="dxa"/>
            </w:tcMar>
            <w:tcW w:w="750" w:type="dxa"/>
            <w:vAlign w:val="center"/>
            <w:vMerge w:val="continue"/>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综合楼</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电梯13台，压力容器18台，起重机械作业区14车区，压力管道2根；人防工程风机2台</w:t>
            </w:r>
            <w:r/>
          </w:p>
        </w:tc>
        <w:tc>
          <w:tcPr>
            <w:tcW w:w="1597"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1次/天</w:t>
            </w:r>
            <w:r/>
          </w:p>
        </w:tc>
        <w:tc>
          <w:tcPr>
            <w:tcW w:w="1681"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对特种设备、人防工程风机设备进行巡检并且形成检查记录，按照规定报告特种设备事故，参加特种设备演练及事故救援。</w:t>
            </w:r>
            <w:r/>
          </w:p>
        </w:tc>
        <w:tc>
          <w:tcPr>
            <w:tcW w:w="156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Borders>
              <w:top w:val="none" w:color="000000" w:sz="4" w:space="0"/>
            </w:tcBorders>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597"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681"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Borders>
              <w:bottom w:val="single" w:color="auto" w:sz="6" w:space="0"/>
            </w:tcBorders>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jc w:val="center"/>
        </w:trPr>
        <w:tc>
          <w:tcPr>
            <w:tcMar>
              <w:left w:w="0" w:type="dxa"/>
              <w:top w:w="0" w:type="dxa"/>
              <w:right w:w="0" w:type="dxa"/>
              <w:bottom w:w="0" w:type="dxa"/>
            </w:tcMar>
            <w:tcW w:w="750"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夜间运维</w:t>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全院</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夜间全院还在运行的空调系统、水系统、医用气体、强电、特种设备及人防工程</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2H/次</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老大楼启用后，负责夜间全院还在运行的空调系统、水系统、医用气体、强电、特种设备及人防工程的全部运维巡检和应急处置</w:t>
            </w:r>
            <w:r/>
          </w:p>
        </w:tc>
        <w:tc>
          <w:tcPr>
            <w:tcBorders>
              <w:top w:val="single" w:color="auto" w:sz="6" w:space="0"/>
              <w:right w:val="single" w:color="auto" w:sz="6" w:space="0"/>
            </w:tcBorders>
            <w:tcMar>
              <w:left w:w="0" w:type="dxa"/>
              <w:top w:w="0" w:type="dxa"/>
              <w:right w:w="0" w:type="dxa"/>
              <w:bottom w:w="0" w:type="dxa"/>
            </w:tcMar>
            <w:tcW w:w="1560" w:type="dxa"/>
            <w:vAlign w:val="center"/>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1岗</w:t>
            </w:r>
            <w:r/>
          </w:p>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（19:00-次日7:00）</w:t>
            </w:r>
            <w:r/>
          </w:p>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每日岗位数</w:t>
            </w:r>
            <w:r/>
          </w:p>
        </w:tc>
      </w:tr>
      <w:tr>
        <w:trPr>
          <w:jc w:val="center"/>
        </w:trPr>
        <w:tc>
          <w:tcPr>
            <w:tcMar>
              <w:left w:w="0" w:type="dxa"/>
              <w:top w:w="0" w:type="dxa"/>
              <w:right w:w="0" w:type="dxa"/>
              <w:bottom w:w="0" w:type="dxa"/>
            </w:tcMar>
            <w:tcW w:w="750" w:type="dxa"/>
            <w:vAlign w:val="center"/>
            <w:vMerge w:val="restart"/>
            <w:textDirection w:val="lrTb"/>
            <w:noWrap w:val="false"/>
          </w:tcPr>
          <w:p>
            <w:pPr>
              <w:spacing w:line="440" w:lineRule="exact"/>
              <w:rPr>
                <w:rFonts w:ascii="仿宋" w:hAnsi="仿宋" w:eastAsia="仿宋" w:cs="仿宋"/>
                <w:b/>
                <w:color w:val="auto"/>
                <w:highlight w:val="none"/>
              </w:rPr>
            </w:pPr>
            <w:r>
              <w:rPr>
                <w:rFonts w:ascii="仿宋" w:hAnsi="仿宋" w:eastAsia="仿宋" w:cs="仿宋"/>
                <w:b/>
                <w:color w:val="auto"/>
                <w:highlight w:val="none"/>
              </w:rPr>
            </w:r>
            <w:r/>
          </w:p>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零星维修</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人员需要持有：电工作业特种作业操作证、焊接与热切割作业操作证</w:t>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持有证书人数要求：</w:t>
            </w:r>
            <w:r>
              <w:rPr>
                <w:rFonts w:hint="eastAsia" w:ascii="仿宋" w:hAnsi="仿宋" w:eastAsia="仿宋" w:cs="仿宋"/>
                <w:color w:val="auto"/>
                <w:highlight w:val="none"/>
              </w:rPr>
              <w:t xml:space="preserve">电工证≥4个；焊工证≥1个</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负责综合楼、老大楼、行政楼、研究所、图书馆、3D打印中心、院外门诊部、集体宿舍的水、电、木工、瓦工、油漆工、电焊工等日常维修、简单组装及搬运。维修人员须持有相应工种的有效证件，其中至少4人持有电工证、至少1人持有焊工证</w:t>
            </w:r>
            <w:r/>
          </w:p>
        </w:tc>
        <w:tc>
          <w:tcPr>
            <w:tcW w:w="1597"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白班1次/周</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夜班1次/天</w:t>
            </w:r>
            <w:r/>
          </w:p>
        </w:tc>
        <w:tc>
          <w:tcPr>
            <w:tcW w:w="1681"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负责全院零星维修，接到报修后紧急维修10分钟到达现场，一般事项15分钟内到达现场，院外门诊部2个小时到达现场，遵守安全生产要求，按操作规程处置常见故障，持证上岗</w:t>
            </w:r>
            <w:r/>
          </w:p>
        </w:tc>
        <w:tc>
          <w:tcPr>
            <w:tcMar>
              <w:left w:w="0" w:type="dxa"/>
              <w:top w:w="0" w:type="dxa"/>
              <w:right w:w="0" w:type="dxa"/>
              <w:bottom w:w="0" w:type="dxa"/>
            </w:tcMar>
            <w:tcW w:w="1560"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老大楼启用前每日岗位数</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4岗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7:00-16:30(1岗)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7:00-19:00(1岗)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8:00-17:30(2岗)</w:t>
            </w:r>
            <w:r/>
          </w:p>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p>
            <w:pPr>
              <w:pStyle w:val="752"/>
              <w:rPr>
                <w:color w:val="auto"/>
                <w:highlight w:val="none"/>
              </w:rPr>
            </w:pPr>
            <w:r>
              <w:rPr>
                <w:color w:val="auto"/>
                <w:highlight w:val="none"/>
              </w:rPr>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老大楼启用后每日岗位数增加4岗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8:00-16:00(1岗)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8:00-17:30(1岗)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7:00-19:00(1岗)</w:t>
            </w:r>
            <w:r/>
          </w:p>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19:00-次日7：00(1岗)</w:t>
            </w:r>
            <w:r/>
          </w:p>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3300"/>
        </w:trPr>
        <w:tc>
          <w:tcPr>
            <w:tcW w:w="750"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Mar>
              <w:left w:w="0" w:type="dxa"/>
              <w:top w:w="0" w:type="dxa"/>
              <w:right w:w="0" w:type="dxa"/>
              <w:bottom w:w="0" w:type="dxa"/>
            </w:tcMar>
            <w:tcW w:w="966"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电工证≥3个</w:t>
            </w:r>
            <w:r/>
          </w:p>
        </w:tc>
        <w:tc>
          <w:tcPr>
            <w:tcMar>
              <w:left w:w="0" w:type="dxa"/>
              <w:top w:w="0" w:type="dxa"/>
              <w:right w:w="0" w:type="dxa"/>
              <w:bottom w:w="0" w:type="dxa"/>
            </w:tcMar>
            <w:tcW w:w="2314"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老大楼启用后，纳入维修班组负责老大楼、综合楼、行政楼、研究所、科教楼、3D打印中心、院外门诊部、集体宿舍的水、电、木工、瓦工、油漆工、电焊工等日常维修、简单组装及搬运。维修人员须持有相应工种的有效证件，其中至少3人持有电工证。夜间需接报修工单。</w:t>
            </w:r>
            <w:r/>
          </w:p>
        </w:tc>
        <w:tc>
          <w:tcPr>
            <w:tcW w:w="1597" w:type="dxa"/>
            <w:vAlign w:val="center"/>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681" w:type="dxa"/>
            <w:vAlign w:val="center"/>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1560" w:type="dxa"/>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bl>
    <w:p>
      <w:pPr>
        <w:ind w:firstLine="482"/>
        <w:spacing w:line="440" w:lineRule="exact"/>
        <w:rPr>
          <w:rFonts w:ascii="仿宋" w:hAnsi="仿宋" w:eastAsia="仿宋" w:cs="仿宋"/>
          <w:b/>
          <w:bCs/>
          <w:i/>
          <w:color w:val="auto"/>
          <w:highlight w:val="none"/>
          <w:u w:val="single"/>
        </w:rPr>
      </w:pPr>
      <w:r>
        <w:rPr>
          <w:rFonts w:hint="eastAsia" w:ascii="仿宋" w:hAnsi="仿宋" w:eastAsia="仿宋" w:cs="仿宋"/>
          <w:b/>
          <w:bCs/>
          <w:i/>
          <w:color w:val="auto"/>
          <w:highlight w:val="none"/>
          <w:u w:val="single"/>
        </w:rPr>
        <w:t xml:space="preserve">备注：1.合同到期时，投标人必须支持采购人工作，协助做好新旧两家服务单位的平稳过渡和交接工作。</w:t>
      </w:r>
      <w:r/>
    </w:p>
    <w:p>
      <w:pPr>
        <w:numPr>
          <w:ilvl w:val="0"/>
          <w:numId w:val="4"/>
        </w:numPr>
        <w:ind w:firstLine="482"/>
        <w:spacing w:line="440" w:lineRule="exact"/>
        <w:rPr>
          <w:rFonts w:hint="eastAsia" w:ascii="仿宋" w:hAnsi="仿宋" w:eastAsia="仿宋" w:cs="仿宋"/>
          <w:b/>
          <w:bCs/>
          <w:i/>
          <w:color w:val="auto"/>
          <w:highlight w:val="none"/>
          <w:u w:val="single"/>
        </w:rPr>
      </w:pPr>
      <w:r>
        <w:rPr>
          <w:rFonts w:hint="eastAsia" w:ascii="仿宋" w:hAnsi="仿宋" w:eastAsia="仿宋" w:cs="仿宋"/>
          <w:b/>
          <w:bCs/>
          <w:i/>
          <w:color w:val="auto"/>
          <w:highlight w:val="none"/>
          <w:u w:val="single"/>
        </w:rPr>
        <w:t xml:space="preserve">合计人数不得低于23人，所有运维服务人员，必须符合采购人招标文件中的各项要求，包含但不限于电工需持有国家相关机构颁发的有效电工作业上岗证件，供热通风空调系统运维人员需持有国家相关机构颁发的有效制冷与空调设备运行操作作业证。</w:t>
      </w:r>
      <w:r/>
    </w:p>
    <w:p>
      <w:pPr>
        <w:numPr>
          <w:ilvl w:val="0"/>
          <w:numId w:val="4"/>
        </w:numPr>
        <w:ind w:firstLine="482"/>
        <w:spacing w:line="440" w:lineRule="exact"/>
        <w:rPr>
          <w:rFonts w:ascii="仿宋" w:hAnsi="仿宋" w:eastAsia="仿宋" w:cs="仿宋"/>
          <w:b/>
          <w:bCs/>
          <w:i/>
          <w:color w:val="auto"/>
          <w:highlight w:val="none"/>
          <w:u w:val="single"/>
        </w:rPr>
      </w:pPr>
      <w:r>
        <w:rPr>
          <w:rFonts w:hint="eastAsia" w:ascii="仿宋" w:hAnsi="仿宋" w:eastAsia="仿宋" w:cs="仿宋"/>
          <w:b/>
          <w:bCs/>
          <w:i/>
          <w:iCs/>
          <w:color w:val="auto"/>
          <w:highlight w:val="none"/>
          <w:u w:val="single"/>
        </w:rPr>
        <w:t xml:space="preserve">表格中所列人数为每个岗位的最低要求，供应商根据对采购人现场情况及项目的理解，自行安排各岗位拟派人员数量。采购人对岗位调整有要求时，供应商应予配合。</w:t>
      </w:r>
      <w:r/>
    </w:p>
    <w:p>
      <w:pPr>
        <w:ind w:firstLine="482"/>
        <w:spacing w:line="440" w:lineRule="exact"/>
        <w:rPr>
          <w:rFonts w:ascii="仿宋" w:hAnsi="仿宋" w:eastAsia="仿宋" w:cs="仿宋"/>
          <w:b/>
          <w:color w:val="auto"/>
          <w:highlight w:val="none"/>
        </w:rPr>
      </w:pPr>
      <w:r>
        <w:rPr>
          <w:rFonts w:ascii="仿宋" w:hAnsi="仿宋" w:eastAsia="仿宋" w:cs="仿宋"/>
          <w:b/>
          <w:color w:val="auto"/>
          <w:highlight w:val="none"/>
        </w:rPr>
      </w:r>
      <w:r/>
    </w:p>
    <w:p>
      <w:pP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（三）本项目实施过程中，采购人对服务供应商实施考核。</w:t>
      </w:r>
      <w:r/>
    </w:p>
    <w:p>
      <w:pPr>
        <w:ind w:firstLine="482"/>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南京医科大学附属口腔医院后勤运维服务考核标准</w:t>
      </w:r>
      <w:r/>
    </w:p>
    <w:p>
      <w:pPr>
        <w:ind w:firstLine="482"/>
        <w:spacing w:line="440" w:lineRule="exact"/>
        <w:rPr>
          <w:rFonts w:ascii="仿宋" w:hAnsi="仿宋" w:eastAsia="仿宋" w:cs="仿宋"/>
          <w:b/>
          <w:color w:val="auto"/>
          <w:highlight w:val="none"/>
          <w:u w:val="single"/>
        </w:rPr>
      </w:pPr>
      <w:r>
        <w:rPr>
          <w:rFonts w:hint="eastAsia" w:ascii="仿宋" w:hAnsi="仿宋" w:eastAsia="仿宋" w:cs="仿宋"/>
          <w:b/>
          <w:color w:val="auto"/>
          <w:highlight w:val="none"/>
        </w:rPr>
        <w:t xml:space="preserve">考核人：                 考核时间：                    得分：</w:t>
      </w:r>
      <w:r/>
    </w:p>
    <w:tbl>
      <w:tblPr>
        <w:tblStyle w:val="743"/>
        <w:tblW w:w="86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5390"/>
        <w:gridCol w:w="766"/>
        <w:gridCol w:w="1407"/>
      </w:tblGrid>
      <w:tr>
        <w:trPr>
          <w:trHeight w:val="54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440" w:lineRule="exact"/>
              <w:widowControl/>
              <w:rPr>
                <w:rFonts w:ascii="仿宋" w:hAnsi="仿宋" w:eastAsia="仿宋" w:cs="仿宋"/>
                <w:color w:val="auto"/>
                <w:highlight w:val="none"/>
              </w:rPr>
            </w:pPr>
            <w:r/>
            <w:bookmarkStart w:id="64" w:name="OLE_LINK2"/>
            <w:r/>
            <w:bookmarkStart w:id="65" w:name="OLE_LINK1"/>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jc w:val="center"/>
              <w:spacing w:line="440" w:lineRule="exact"/>
              <w:widowControl/>
              <w:rPr>
                <w:rFonts w:ascii="仿宋" w:hAnsi="仿宋" w:eastAsia="仿宋" w:cs="仿宋"/>
                <w:b/>
                <w:color w:val="auto"/>
                <w:highlight w:val="none"/>
              </w:rPr>
            </w:pPr>
            <w:r>
              <w:rPr>
                <w:rFonts w:hint="eastAsia" w:ascii="仿宋" w:hAnsi="仿宋" w:eastAsia="仿宋" w:cs="仿宋"/>
                <w:b/>
                <w:color w:val="auto"/>
                <w:highlight w:val="none"/>
              </w:rPr>
              <w:t xml:space="preserve">考核内容</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b/>
                <w:color w:val="auto"/>
                <w:highlight w:val="none"/>
              </w:rPr>
            </w:pPr>
            <w:r>
              <w:rPr>
                <w:rFonts w:hint="eastAsia" w:ascii="仿宋" w:hAnsi="仿宋" w:eastAsia="仿宋" w:cs="仿宋"/>
                <w:b/>
                <w:color w:val="auto"/>
                <w:highlight w:val="none"/>
              </w:rPr>
              <w:t xml:space="preserve">得分 </w:t>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扣分原因</w:t>
            </w:r>
            <w:r/>
          </w:p>
        </w:tc>
      </w:tr>
      <w:tr>
        <w:trPr>
          <w:trHeight w:val="303"/>
        </w:trPr>
        <w:tc>
          <w:tcPr>
            <w:tcBorders>
              <w:top w:val="none" w:color="000000"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工作完成情况（25分）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1.空调、正负压、氧气站、冷热水系统、维修等各类运维岗位按要求配置，按国家相关规定要求配备相应证件，人证相符，无缺岗缺人现象。（15分）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2.根据我院设备、设施运行和安全生产的要求，制定设备、设施运行管理的岗位职责、巡检、保养计划，建立档案等管理制度，各类政策、制度上墙明示。</w:t>
            </w:r>
            <w:bookmarkStart w:id="66" w:name="OLE_LINK7"/>
            <w:r>
              <w:rPr>
                <w:rFonts w:hint="eastAsia" w:ascii="仿宋" w:hAnsi="仿宋" w:eastAsia="仿宋" w:cs="仿宋"/>
                <w:color w:val="auto"/>
                <w:highlight w:val="none"/>
              </w:rPr>
              <w:t xml:space="preserve">（2分）</w:t>
            </w:r>
            <w:bookmarkEnd w:id="66"/>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932"/>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3.及时配合、完成医院大型活动和会议以及临时分配的工作，不推诿。（2分）</w:t>
            </w:r>
            <w:r/>
          </w:p>
        </w:tc>
        <w:tc>
          <w:tcPr>
            <w:tcBorders>
              <w:top w:val="single" w:color="auto" w:sz="4" w:space="0"/>
              <w:left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4.服从我院管理部门的监督，及时落实提出的整改意见。（6分）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运维落实与维修响应（25分）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5.保障运维管理范围内水、电、气等基础设备、设施报修响应及时率，采取科学、有效、合理的节能、节水措施。（3分）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0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6.日常巡检、设备保养、报修响应按计划执行，确保各类报修故障一次性解决率高，不出现重复报修现象，各类维修耗材、配件使用合理，无浪费。</w:t>
            </w:r>
            <w:bookmarkStart w:id="67" w:name="OLE_LINK4"/>
            <w:r/>
            <w:bookmarkStart w:id="68" w:name="OLE_LINK5"/>
            <w:r>
              <w:rPr>
                <w:rFonts w:hint="eastAsia" w:ascii="仿宋" w:hAnsi="仿宋" w:eastAsia="仿宋" w:cs="仿宋"/>
                <w:color w:val="auto"/>
                <w:highlight w:val="none"/>
              </w:rPr>
              <w:t xml:space="preserve">（10分）</w:t>
            </w:r>
            <w:bookmarkEnd w:id="67"/>
            <w:r/>
            <w:bookmarkEnd w:id="68"/>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401"/>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7.故障处理规范、记录完整，与临床科室、医护人员沟通态度良好，无投诉情况（5分）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8.做好重点区域、各机房、楼层配电间等部位管线、管井的管理和防护，保证管线、管井干净整洁、无破损、无渗水、无漏电、无腐蚀现象。（2分）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9.投标人负责医院后勤设备的日常运行操作、巡视、保养、维护，并做好相关记录，保障设备、设施运行完好，夜间/节假日应急值守到位。（5分）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11"/>
        </w:trPr>
        <w:tc>
          <w:tcPr>
            <w:tcBorders>
              <w:top w:val="none" w:color="000000"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设备与安全管理（20分）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10.按照各种设备运行的基本流程、规范进行日常操作，设备台账、巡检记录、维修记录完整规范。（5分）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11.严格执行系统设备安全运行和安全生产，定时巡视设备机房和设备运行情况，用电、用水、特种设备安全合规，做好相关记录。（10分）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12.机房环境整洁、无杂物、无灰尘，做好各种安全用具、设备物品及工具的管理。（5分）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服务与协作（15分）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13.由采购人指定的第三方单位对投标人管理的设备、设施进行维修、保养、改造、施工时，投标人负责协调、配合和现场监督，并配合采购人和第三方单位进行相关工作的验收。（5分）</w:t>
            </w:r>
            <w:r/>
          </w:p>
        </w:tc>
        <w:tc>
          <w:tcPr>
            <w:tcBorders>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14.对设备或系统出现重大故障、事故，应合规合法安全妥善处置，并有应急措施。（5分）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none" w:color="000000" w:sz="4" w:space="0"/>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15.遇到突发重大事件（防汛、防疫等），需要主动提交应急预案，与采购人沟通后认真落实完成。响应时间要符合上级管理部门的有关规范和医院基础管理规定的要求。</w:t>
            </w:r>
            <w:bookmarkStart w:id="69" w:name="OLE_LINK6"/>
            <w:r/>
            <w:bookmarkStart w:id="70" w:name="OLE_LINK8"/>
            <w:r>
              <w:rPr>
                <w:rFonts w:hint="eastAsia" w:ascii="仿宋" w:hAnsi="仿宋" w:eastAsia="仿宋" w:cs="仿宋"/>
                <w:color w:val="auto"/>
                <w:highlight w:val="none"/>
              </w:rPr>
              <w:t xml:space="preserve">（5分）</w:t>
            </w:r>
            <w:bookmarkEnd w:id="69"/>
            <w:r/>
            <w:bookmarkEnd w:id="70"/>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top w:val="single" w:color="auto" w:sz="4" w:space="0"/>
              <w:left w:val="single" w:color="auto" w:sz="4" w:space="0"/>
              <w:right w:val="single" w:color="auto" w:sz="4" w:space="0"/>
            </w:tcBorders>
            <w:tcW w:w="1135" w:type="dxa"/>
            <w:vAlign w:val="center"/>
            <w:vMerge w:val="restart"/>
            <w:textDirection w:val="lrTb"/>
            <w:noWrap w:val="false"/>
          </w:tcPr>
          <w:p>
            <w:pPr>
              <w:jc w:val="left"/>
              <w:spacing w:line="44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人员管理（15分）</w:t>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16.按规定要求，提交各岗位的月度值班表，出勤考核等表格资料，遵守医院规章制度。（5分）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left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17.合理排班，不得迟到、早退，不串岗、脱岗、离岗、不干私活、不聊天。不玩手机、不看报纸杂志、不抽烟等，精神饱满。（5分）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389"/>
        </w:trPr>
        <w:tc>
          <w:tcPr>
            <w:tcBorders>
              <w:left w:val="single" w:color="auto" w:sz="4" w:space="0"/>
              <w:bottom w:val="single" w:color="auto" w:sz="4" w:space="0"/>
              <w:right w:val="single" w:color="auto" w:sz="4" w:space="0"/>
            </w:tcBorders>
            <w:tcW w:w="1135" w:type="dxa"/>
            <w:vAlign w:val="center"/>
            <w:vMerge w:val="continue"/>
            <w:textDirection w:val="lrTb"/>
            <w:noWrap w:val="false"/>
          </w:tcPr>
          <w:p>
            <w:pPr>
              <w:jc w:val="left"/>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5390"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18.员工进行岗前培训和安全教育，每月至少对员工进行一次岗位培训，并有记录。（5分）</w:t>
            </w:r>
            <w:r/>
          </w:p>
        </w:tc>
        <w:tc>
          <w:tcPr>
            <w:tcBorders>
              <w:top w:val="single" w:color="auto" w:sz="4" w:space="0"/>
              <w:left w:val="single" w:color="auto" w:sz="4" w:space="0"/>
              <w:bottom w:val="single" w:color="auto" w:sz="4" w:space="0"/>
              <w:right w:val="single" w:color="auto" w:sz="4" w:space="0"/>
            </w:tcBorders>
            <w:tcW w:w="766"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jc w:val="center"/>
              <w:spacing w:line="440" w:lineRule="exact"/>
              <w:widowControl/>
              <w:rPr>
                <w:rFonts w:ascii="仿宋" w:hAnsi="仿宋" w:eastAsia="仿宋" w:cs="仿宋"/>
                <w:color w:val="auto"/>
                <w:highlight w:val="none"/>
              </w:rPr>
            </w:pPr>
            <w:r>
              <w:rPr>
                <w:rFonts w:ascii="仿宋" w:hAnsi="仿宋" w:eastAsia="仿宋" w:cs="仿宋"/>
                <w:color w:val="auto"/>
                <w:highlight w:val="none"/>
              </w:rPr>
            </w:r>
            <w:bookmarkEnd w:id="64"/>
            <w:r/>
            <w:bookmarkEnd w:id="65"/>
            <w:r/>
            <w:r/>
          </w:p>
        </w:tc>
      </w:tr>
    </w:tbl>
    <w:p>
      <w:pPr>
        <w:ind w:firstLine="480"/>
        <w:spacing w:line="440" w:lineRule="exact"/>
        <w:rPr>
          <w:rFonts w:ascii="仿宋" w:hAnsi="仿宋" w:eastAsia="仿宋" w:cs="仿宋"/>
          <w:bCs/>
          <w:color w:val="auto"/>
          <w:highlight w:val="none"/>
        </w:rPr>
      </w:pPr>
      <w:r>
        <w:rPr>
          <w:rFonts w:ascii="仿宋" w:hAnsi="仿宋" w:eastAsia="仿宋" w:cs="仿宋"/>
          <w:bCs/>
          <w:color w:val="auto"/>
          <w:highlight w:val="none"/>
        </w:rPr>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三、商务要求</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（一）到岗时间</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合同签订后，按照采购人对各类人员的具体需求，7天内到岗。</w:t>
      </w:r>
      <w:r/>
    </w:p>
    <w:p>
      <w:pPr>
        <w:numPr>
          <w:ilvl w:val="0"/>
          <w:numId w:val="0"/>
        </w:numPr>
        <w:ind w:firstLine="482"/>
        <w:spacing w:line="440" w:lineRule="exact"/>
        <w:rPr>
          <w:rFonts w:hint="eastAsia" w:ascii="仿宋" w:hAnsi="仿宋" w:eastAsia="仿宋" w:cs="仿宋"/>
          <w:b/>
          <w:i/>
          <w:iCs/>
          <w:color w:val="auto"/>
          <w:highlight w:val="none"/>
          <w:u w:val="single"/>
        </w:rPr>
      </w:pPr>
      <w:r>
        <w:rPr>
          <w:rFonts w:hint="eastAsia" w:ascii="仿宋" w:hAnsi="仿宋" w:eastAsia="仿宋" w:cs="仿宋"/>
          <w:b/>
          <w:i/>
          <w:iCs/>
          <w:color w:val="auto"/>
          <w:sz w:val="24"/>
          <w:szCs w:val="24"/>
          <w:highlight w:val="none"/>
          <w:lang w:val="en-US" w:eastAsia="zh-CN" w:bidi="ar-SA"/>
        </w:rPr>
        <w:t xml:space="preserve">（二）</w:t>
      </w:r>
      <w:r>
        <w:rPr>
          <w:rFonts w:hint="eastAsia" w:ascii="仿宋" w:hAnsi="仿宋" w:eastAsia="仿宋" w:cs="仿宋"/>
          <w:b/>
          <w:i/>
          <w:iCs/>
          <w:color w:val="auto"/>
          <w:highlight w:val="none"/>
          <w:u w:val="single"/>
        </w:rPr>
        <w:t xml:space="preserve">服务费的结算：</w:t>
      </w:r>
      <w:r/>
    </w:p>
    <w:p>
      <w:pPr>
        <w:numPr>
          <w:ilvl w:val="0"/>
          <w:numId w:val="0"/>
        </w:numPr>
        <w:ind w:firstLine="482"/>
        <w:spacing w:line="440" w:lineRule="exact"/>
        <w:rPr>
          <w:rFonts w:hint="eastAsia"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无论市场价格如何变化，人员综合单价固定，合同周期内不予调整，故合同总价在合同周期内不予调整，除非根据实际需要，</w:t>
      </w:r>
      <w:r>
        <w:rPr>
          <w:rFonts w:hint="eastAsia" w:ascii="仿宋" w:hAnsi="仿宋" w:eastAsia="仿宋" w:cs="仿宋"/>
          <w:b/>
          <w:i/>
          <w:iCs/>
          <w:color w:val="auto"/>
          <w:highlight w:val="none"/>
          <w:u w:val="single"/>
          <w:lang w:val="en-US" w:eastAsia="zh-CN"/>
        </w:rPr>
        <w:t xml:space="preserve">采购人</w:t>
      </w:r>
      <w:r>
        <w:rPr>
          <w:rFonts w:hint="eastAsia" w:ascii="仿宋" w:hAnsi="仿宋" w:eastAsia="仿宋" w:cs="仿宋"/>
          <w:b/>
          <w:i/>
          <w:iCs/>
          <w:color w:val="auto"/>
          <w:highlight w:val="none"/>
          <w:u w:val="single"/>
        </w:rPr>
        <w:t xml:space="preserve">增加或减少服务区域、项目、岗位，采购人审核同意后方可作相应调整。调整日期从实际调整执行之日起执行。</w:t>
      </w:r>
      <w:r/>
    </w:p>
    <w:p>
      <w:pPr>
        <w:ind w:firstLine="482"/>
        <w:spacing w:line="440" w:lineRule="exact"/>
        <w:rPr>
          <w:rFonts w:hint="eastAsia" w:ascii="仿宋" w:hAnsi="仿宋" w:eastAsia="仿宋" w:cs="仿宋"/>
          <w:b/>
          <w:i/>
          <w:iCs/>
          <w:color w:val="auto"/>
          <w:szCs w:val="24"/>
          <w:highlight w:val="none"/>
          <w:u w:val="single"/>
        </w:rPr>
      </w:pPr>
      <w:r>
        <w:rPr>
          <w:rFonts w:hint="eastAsia" w:ascii="仿宋" w:hAnsi="仿宋" w:eastAsia="仿宋" w:cs="仿宋"/>
          <w:b/>
          <w:i/>
          <w:iCs/>
          <w:color w:val="auto"/>
          <w:highlight w:val="none"/>
          <w:u w:val="single"/>
        </w:rPr>
        <w:t xml:space="preserve">为约束投标人严格执行相关要求，服务费支付采用月度考核评价后按月支付的方式，</w:t>
      </w:r>
      <w:bookmarkStart w:id="71" w:name="OLE_LINK25"/>
      <w:r/>
      <w:bookmarkStart w:id="72" w:name="OLE_LINK24"/>
      <w:r>
        <w:rPr>
          <w:rFonts w:hint="eastAsia" w:ascii="仿宋" w:hAnsi="仿宋" w:eastAsia="仿宋" w:cs="仿宋"/>
          <w:b/>
          <w:i/>
          <w:iCs/>
          <w:color w:val="auto"/>
          <w:highlight w:val="none"/>
          <w:u w:val="single"/>
        </w:rPr>
        <w:t xml:space="preserve">月度考核评价</w:t>
      </w:r>
      <w:bookmarkEnd w:id="71"/>
      <w:r/>
      <w:bookmarkEnd w:id="72"/>
      <w:r>
        <w:rPr>
          <w:rFonts w:hint="eastAsia" w:ascii="仿宋" w:hAnsi="仿宋" w:eastAsia="仿宋" w:cs="仿宋"/>
          <w:b/>
          <w:i/>
          <w:iCs/>
          <w:color w:val="auto"/>
          <w:highlight w:val="none"/>
          <w:u w:val="single"/>
        </w:rPr>
        <w:t xml:space="preserve">90（含）-100分付月度服务费用的100%；</w:t>
      </w:r>
      <w:r>
        <w:rPr>
          <w:rFonts w:hint="eastAsia" w:ascii="仿宋" w:hAnsi="仿宋" w:eastAsia="仿宋" w:cs="仿宋"/>
          <w:b/>
          <w:i/>
          <w:iCs/>
          <w:color w:val="auto"/>
          <w:highlight w:val="none"/>
          <w:u w:val="single"/>
          <w:lang w:val="en-US" w:eastAsia="zh-CN"/>
        </w:rPr>
        <w:t xml:space="preserve">8</w:t>
      </w:r>
      <w:r>
        <w:rPr>
          <w:rFonts w:hint="eastAsia" w:ascii="仿宋" w:hAnsi="仿宋" w:eastAsia="仿宋" w:cs="仿宋"/>
          <w:b/>
          <w:i/>
          <w:iCs/>
          <w:color w:val="auto"/>
          <w:highlight w:val="none"/>
          <w:u w:val="single"/>
        </w:rPr>
        <w:t xml:space="preserve">5（含）-90分月度服务费扣除</w:t>
      </w:r>
      <w:r>
        <w:rPr>
          <w:rFonts w:hint="eastAsia" w:ascii="仿宋" w:hAnsi="仿宋" w:eastAsia="仿宋" w:cs="仿宋"/>
          <w:b/>
          <w:i/>
          <w:iCs/>
          <w:color w:val="auto"/>
          <w:highlight w:val="none"/>
          <w:u w:val="single"/>
          <w:lang w:val="en-US" w:eastAsia="zh-CN"/>
        </w:rPr>
        <w:t xml:space="preserve">2</w:t>
      </w:r>
      <w:r>
        <w:rPr>
          <w:rFonts w:hint="eastAsia" w:ascii="仿宋" w:hAnsi="仿宋" w:eastAsia="仿宋" w:cs="仿宋"/>
          <w:b/>
          <w:i/>
          <w:iCs/>
          <w:color w:val="auto"/>
          <w:highlight w:val="none"/>
          <w:u w:val="single"/>
        </w:rPr>
        <w:t xml:space="preserve">000元；</w:t>
      </w:r>
      <w:r>
        <w:rPr>
          <w:rFonts w:hint="eastAsia" w:ascii="仿宋" w:hAnsi="仿宋" w:eastAsia="仿宋" w:cs="仿宋"/>
          <w:b/>
          <w:i/>
          <w:iCs/>
          <w:color w:val="auto"/>
          <w:szCs w:val="24"/>
          <w:highlight w:val="none"/>
          <w:u w:val="single"/>
          <w:lang w:val="en-US" w:eastAsia="zh-CN"/>
        </w:rPr>
        <w:t xml:space="preserve">85分以下的，在</w:t>
      </w:r>
      <w:r>
        <w:rPr>
          <w:rFonts w:hint="eastAsia" w:ascii="仿宋" w:hAnsi="仿宋" w:eastAsia="仿宋" w:cs="仿宋"/>
          <w:b/>
          <w:i/>
          <w:iCs/>
          <w:color w:val="auto"/>
          <w:szCs w:val="24"/>
          <w:highlight w:val="none"/>
          <w:u w:val="single"/>
        </w:rPr>
        <w:t xml:space="preserve">月度服务费扣除2000元</w:t>
      </w:r>
      <w:r>
        <w:rPr>
          <w:rFonts w:hint="eastAsia" w:ascii="仿宋" w:hAnsi="仿宋" w:eastAsia="仿宋" w:cs="仿宋"/>
          <w:b/>
          <w:i/>
          <w:iCs/>
          <w:color w:val="auto"/>
          <w:szCs w:val="24"/>
          <w:highlight w:val="none"/>
          <w:u w:val="single"/>
          <w:lang w:val="en-US" w:eastAsia="zh-CN"/>
        </w:rPr>
        <w:t xml:space="preserve">基础上，每低1分，扣罚1000元；</w:t>
      </w:r>
      <w:r>
        <w:rPr>
          <w:rFonts w:hint="eastAsia" w:ascii="仿宋" w:hAnsi="仿宋" w:eastAsia="仿宋" w:cs="仿宋"/>
          <w:b/>
          <w:bCs w:val="0"/>
          <w:i/>
          <w:iCs/>
          <w:color w:val="auto"/>
          <w:szCs w:val="24"/>
          <w:highlight w:val="none"/>
          <w:u w:val="single"/>
        </w:rPr>
        <w:t xml:space="preserve">考核分值低于60分</w:t>
      </w:r>
      <w:r>
        <w:rPr>
          <w:rFonts w:hint="eastAsia" w:ascii="仿宋" w:hAnsi="仿宋" w:eastAsia="仿宋" w:cs="仿宋"/>
          <w:b/>
          <w:bCs w:val="0"/>
          <w:i/>
          <w:iCs/>
          <w:color w:val="auto"/>
          <w:szCs w:val="24"/>
          <w:highlight w:val="none"/>
          <w:u w:val="single"/>
          <w:lang w:eastAsia="zh-Hans"/>
        </w:rPr>
        <w:t xml:space="preserve">的</w:t>
      </w:r>
      <w:r>
        <w:rPr>
          <w:rFonts w:hint="eastAsia" w:ascii="仿宋" w:hAnsi="仿宋" w:eastAsia="仿宋" w:cs="仿宋"/>
          <w:b/>
          <w:bCs w:val="0"/>
          <w:i/>
          <w:iCs/>
          <w:color w:val="auto"/>
          <w:szCs w:val="24"/>
          <w:highlight w:val="none"/>
          <w:u w:val="single"/>
        </w:rPr>
        <w:t xml:space="preserve">，甲方有权停止支付一切款项，投标人应在15日内进行整改</w:t>
      </w:r>
      <w:r>
        <w:rPr>
          <w:rFonts w:hint="eastAsia" w:ascii="仿宋" w:hAnsi="仿宋" w:eastAsia="仿宋" w:cs="仿宋"/>
          <w:b/>
          <w:bCs w:val="0"/>
          <w:i/>
          <w:iCs/>
          <w:color w:val="auto"/>
          <w:szCs w:val="24"/>
          <w:highlight w:val="none"/>
          <w:u w:val="single"/>
          <w:lang w:eastAsia="zh-CN"/>
        </w:rPr>
        <w:t xml:space="preserve">，</w:t>
      </w:r>
      <w:r>
        <w:rPr>
          <w:rFonts w:hint="eastAsia" w:ascii="仿宋" w:hAnsi="仿宋" w:eastAsia="仿宋" w:cs="仿宋"/>
          <w:b/>
          <w:bCs w:val="0"/>
          <w:i/>
          <w:iCs/>
          <w:color w:val="auto"/>
          <w:szCs w:val="24"/>
          <w:highlight w:val="none"/>
          <w:u w:val="single"/>
          <w:lang w:val="en-US" w:eastAsia="zh-CN"/>
        </w:rPr>
        <w:t xml:space="preserve">整改</w:t>
      </w:r>
      <w:r>
        <w:rPr>
          <w:rFonts w:hint="eastAsia" w:ascii="仿宋" w:hAnsi="仿宋" w:eastAsia="仿宋" w:cs="仿宋"/>
          <w:b/>
          <w:bCs w:val="0"/>
          <w:i/>
          <w:iCs/>
          <w:color w:val="auto"/>
          <w:szCs w:val="24"/>
          <w:highlight w:val="none"/>
          <w:u w:val="single"/>
        </w:rPr>
        <w:t xml:space="preserve">达标</w:t>
      </w:r>
      <w:r>
        <w:rPr>
          <w:rFonts w:hint="eastAsia" w:ascii="仿宋" w:hAnsi="仿宋" w:eastAsia="仿宋" w:cs="仿宋"/>
          <w:b/>
          <w:bCs w:val="0"/>
          <w:i/>
          <w:iCs/>
          <w:color w:val="auto"/>
          <w:szCs w:val="24"/>
          <w:highlight w:val="none"/>
          <w:u w:val="single"/>
          <w:lang w:val="en-US" w:eastAsia="zh-CN"/>
        </w:rPr>
        <w:t xml:space="preserve">后，月度服务费扣除5000元</w:t>
      </w:r>
      <w:r>
        <w:rPr>
          <w:rFonts w:hint="eastAsia" w:ascii="仿宋" w:hAnsi="仿宋" w:eastAsia="仿宋" w:cs="仿宋"/>
          <w:b/>
          <w:bCs w:val="0"/>
          <w:i/>
          <w:iCs/>
          <w:color w:val="auto"/>
          <w:szCs w:val="24"/>
          <w:highlight w:val="none"/>
          <w:u w:val="single"/>
        </w:rPr>
        <w:t xml:space="preserve">，如未及时整改</w:t>
      </w:r>
      <w:r>
        <w:rPr>
          <w:rFonts w:hint="eastAsia" w:ascii="仿宋" w:hAnsi="仿宋" w:eastAsia="仿宋" w:cs="仿宋"/>
          <w:b/>
          <w:bCs w:val="0"/>
          <w:i/>
          <w:iCs/>
          <w:color w:val="auto"/>
          <w:szCs w:val="24"/>
          <w:highlight w:val="none"/>
          <w:u w:val="single"/>
          <w:lang w:eastAsia="zh-Hans"/>
        </w:rPr>
        <w:t xml:space="preserve">或未达标的</w:t>
      </w:r>
      <w:r>
        <w:rPr>
          <w:rFonts w:hint="eastAsia" w:ascii="仿宋" w:hAnsi="仿宋" w:eastAsia="仿宋" w:cs="仿宋"/>
          <w:b/>
          <w:bCs w:val="0"/>
          <w:i/>
          <w:iCs/>
          <w:color w:val="auto"/>
          <w:szCs w:val="24"/>
          <w:highlight w:val="none"/>
          <w:u w:val="single"/>
        </w:rPr>
        <w:t xml:space="preserve">，甲方有权随时终止合同。</w:t>
      </w:r>
      <w:r/>
    </w:p>
    <w:p>
      <w:pPr>
        <w:ind w:firstLine="482"/>
        <w:spacing w:line="440" w:lineRule="exact"/>
        <w:rPr>
          <w:rFonts w:ascii="仿宋" w:hAnsi="仿宋" w:eastAsia="仿宋" w:cs="仿宋"/>
          <w:b/>
          <w:i/>
          <w:color w:val="auto"/>
          <w:highlight w:val="none"/>
          <w:u w:val="single"/>
        </w:rPr>
      </w:pPr>
      <w:r>
        <w:rPr>
          <w:rFonts w:hint="eastAsia" w:ascii="仿宋" w:hAnsi="仿宋" w:eastAsia="仿宋" w:cs="仿宋"/>
          <w:b/>
          <w:i/>
          <w:iCs/>
          <w:color w:val="auto"/>
          <w:highlight w:val="none"/>
          <w:u w:val="single"/>
        </w:rPr>
        <w:t xml:space="preserve">合同到期时，投标人必须支持采购人工作，协助做好新旧两家服务单位的平稳过渡和交接工作。合同结束交接顺利完成后十五天内，无息退还履约保证金。合同到期进行交接手续时，投标人不进行合同交接或为合同交接增加不合理条件的，履约保证金不予退还。给采购人造成的损失超过履约保证金数额的，还应当对超过部分予以赔偿。</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投标人须根据本项目服务人员配置表在投标文件中提供详细的服务人员有关情况，且服务人员中已包含做六休一替岗人员。</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lang w:val="en-US" w:eastAsia="zh-CN"/>
        </w:rPr>
        <w:t xml:space="preserve">采购人有权对投标人服务人员考勤随机抽查，</w:t>
      </w:r>
      <w:r>
        <w:rPr>
          <w:rFonts w:hint="eastAsia" w:ascii="仿宋" w:hAnsi="仿宋" w:eastAsia="仿宋" w:cs="仿宋"/>
          <w:b/>
          <w:i/>
          <w:iCs/>
          <w:color w:val="auto"/>
          <w:highlight w:val="none"/>
          <w:u w:val="single"/>
        </w:rPr>
        <w:t xml:space="preserve">若投标人出现服务人员缺岗，采购人根据缺岗人员情况及缺岗时间扣除相应费用，老大楼启用后根据实际提供岗位支付。</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（四）合同周期内采购人根据一年内月度考核均分≥8</w:t>
      </w:r>
      <w:r>
        <w:rPr>
          <w:rFonts w:hint="eastAsia" w:ascii="仿宋" w:hAnsi="仿宋" w:eastAsia="仿宋" w:cs="仿宋"/>
          <w:b/>
          <w:i/>
          <w:iCs/>
          <w:color w:val="auto"/>
          <w:highlight w:val="none"/>
          <w:u w:val="single"/>
          <w:lang w:val="en-US" w:eastAsia="zh-CN"/>
        </w:rPr>
        <w:t xml:space="preserve">5</w:t>
      </w:r>
      <w:r>
        <w:rPr>
          <w:rFonts w:hint="eastAsia" w:ascii="仿宋" w:hAnsi="仿宋" w:eastAsia="仿宋" w:cs="仿宋"/>
          <w:b/>
          <w:i/>
          <w:iCs/>
          <w:color w:val="auto"/>
          <w:highlight w:val="none"/>
          <w:u w:val="single"/>
        </w:rPr>
        <w:t xml:space="preserve">分，可履行下一年度合同，一年内月度考核均分&lt;8</w:t>
      </w:r>
      <w:r>
        <w:rPr>
          <w:rFonts w:hint="eastAsia" w:ascii="仿宋" w:hAnsi="仿宋" w:eastAsia="仿宋" w:cs="仿宋"/>
          <w:b/>
          <w:i/>
          <w:iCs/>
          <w:color w:val="auto"/>
          <w:highlight w:val="none"/>
          <w:u w:val="single"/>
          <w:lang w:val="en-US" w:eastAsia="zh-CN"/>
        </w:rPr>
        <w:t xml:space="preserve">5</w:t>
      </w:r>
      <w:r>
        <w:rPr>
          <w:rFonts w:hint="eastAsia" w:ascii="仿宋" w:hAnsi="仿宋" w:eastAsia="仿宋" w:cs="仿宋"/>
          <w:b/>
          <w:i/>
          <w:iCs/>
          <w:color w:val="auto"/>
          <w:highlight w:val="none"/>
          <w:u w:val="single"/>
        </w:rPr>
        <w:t xml:space="preserve">分，</w:t>
      </w:r>
      <w:r>
        <w:rPr>
          <w:rFonts w:hint="eastAsia" w:ascii="仿宋" w:hAnsi="仿宋" w:eastAsia="仿宋" w:cs="仿宋"/>
          <w:b/>
          <w:i/>
          <w:iCs/>
          <w:color w:val="auto"/>
          <w:szCs w:val="24"/>
          <w:highlight w:val="none"/>
          <w:u w:val="single"/>
        </w:rPr>
        <w:t xml:space="preserve">1个月整改</w:t>
      </w:r>
      <w:r>
        <w:rPr>
          <w:rFonts w:hint="eastAsia" w:ascii="仿宋" w:hAnsi="仿宋" w:eastAsia="仿宋" w:cs="仿宋"/>
          <w:b/>
          <w:i/>
          <w:iCs/>
          <w:color w:val="auto"/>
          <w:szCs w:val="24"/>
          <w:highlight w:val="none"/>
          <w:u w:val="single"/>
          <w:lang w:val="en-US" w:eastAsia="zh-CN"/>
        </w:rPr>
        <w:t xml:space="preserve">期经考核</w:t>
      </w:r>
      <w:r>
        <w:rPr>
          <w:rFonts w:hint="eastAsia" w:ascii="仿宋" w:hAnsi="仿宋" w:eastAsia="仿宋" w:cs="仿宋"/>
          <w:b/>
          <w:i/>
          <w:iCs/>
          <w:color w:val="auto"/>
          <w:szCs w:val="24"/>
          <w:highlight w:val="none"/>
          <w:u w:val="single"/>
        </w:rPr>
        <w:t xml:space="preserve">仍不到位</w:t>
      </w:r>
      <w:r>
        <w:rPr>
          <w:rFonts w:hint="eastAsia" w:ascii="仿宋" w:hAnsi="仿宋" w:eastAsia="仿宋" w:cs="仿宋"/>
          <w:b/>
          <w:i/>
          <w:iCs/>
          <w:color w:val="auto"/>
          <w:szCs w:val="24"/>
          <w:highlight w:val="none"/>
          <w:u w:val="single"/>
          <w:lang w:eastAsia="zh-CN"/>
        </w:rPr>
        <w:t xml:space="preserve">，</w:t>
      </w:r>
      <w:r>
        <w:rPr>
          <w:rFonts w:hint="eastAsia" w:ascii="仿宋" w:hAnsi="仿宋" w:eastAsia="仿宋" w:cs="仿宋"/>
          <w:b/>
          <w:i/>
          <w:iCs/>
          <w:color w:val="auto"/>
          <w:highlight w:val="none"/>
          <w:u w:val="single"/>
        </w:rPr>
        <w:t xml:space="preserve">采购人有权终止合同；若所在公司托管范围发生重大责任事故的，终止合同。</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lang w:bidi="zh-CN"/>
        </w:rPr>
        <w:t xml:space="preserve">（五）</w:t>
      </w:r>
      <w:r>
        <w:rPr>
          <w:rFonts w:hint="eastAsia" w:ascii="仿宋" w:hAnsi="仿宋" w:eastAsia="仿宋" w:cs="仿宋"/>
          <w:b/>
          <w:i/>
          <w:iCs/>
          <w:color w:val="auto"/>
          <w:highlight w:val="none"/>
          <w:u w:val="single"/>
        </w:rPr>
        <w:t xml:space="preserve">采购人对投标人进行月度考核，若月度考核评分&lt;60分，或投标单位人员发生打架斗殴、10人以上群体性罢工、聚众闹事等，或因投标人工作失职的原因，发生重、特大安全责任事故，或造成其他刑事或重大民事案件，除赔偿损失外，采购人有权终止合同。</w:t>
      </w:r>
      <w:r/>
    </w:p>
    <w:p>
      <w:pPr>
        <w:ind w:firstLine="482"/>
        <w:spacing w:line="440" w:lineRule="exact"/>
        <w:rPr>
          <w:rFonts w:ascii="仿宋" w:hAnsi="仿宋" w:eastAsia="仿宋" w:cs="仿宋"/>
          <w:b/>
          <w:i/>
          <w:iCs/>
          <w:color w:val="auto"/>
          <w:highlight w:val="none"/>
          <w:u w:val="single"/>
        </w:rPr>
      </w:pPr>
      <w:r>
        <w:rPr>
          <w:rFonts w:hint="eastAsia" w:ascii="仿宋" w:hAnsi="仿宋" w:eastAsia="仿宋" w:cs="仿宋"/>
          <w:b/>
          <w:i/>
          <w:iCs/>
          <w:color w:val="auto"/>
          <w:highlight w:val="none"/>
          <w:u w:val="single"/>
        </w:rPr>
        <w:t xml:space="preserve">（六）服务人员具体进场时间按采购人要求执行。</w:t>
      </w:r>
      <w:r/>
    </w:p>
    <w:p>
      <w:pPr>
        <w:ind w:firstLine="482"/>
        <w:spacing w:line="440" w:lineRule="exact"/>
        <w:rPr>
          <w:rFonts w:ascii="仿宋" w:hAnsi="仿宋" w:eastAsia="仿宋" w:cs="仿宋"/>
          <w:b/>
          <w:i/>
          <w:iCs/>
          <w:color w:val="auto"/>
          <w:highlight w:val="none"/>
          <w:u w:val="single"/>
          <w:lang w:bidi="zh-CN"/>
        </w:rPr>
      </w:pPr>
      <w:r>
        <w:rPr>
          <w:rFonts w:hint="eastAsia" w:ascii="仿宋" w:hAnsi="仿宋" w:eastAsia="仿宋" w:cs="仿宋"/>
          <w:b/>
          <w:i/>
          <w:iCs/>
          <w:color w:val="auto"/>
          <w:highlight w:val="none"/>
          <w:u w:val="single"/>
          <w:lang w:bidi="zh-CN"/>
        </w:rPr>
        <w:t xml:space="preserve">（七）付款方式</w:t>
      </w:r>
      <w:r/>
    </w:p>
    <w:p>
      <w:pPr>
        <w:numPr>
          <w:ilvl w:val="255"/>
          <w:numId w:val="0"/>
        </w:numPr>
        <w:ind w:firstLine="482"/>
        <w:spacing w:line="440" w:lineRule="exact"/>
        <w:rPr>
          <w:rFonts w:ascii="仿宋" w:hAnsi="仿宋" w:eastAsia="仿宋" w:cs="仿宋"/>
          <w:b/>
          <w:i/>
          <w:iCs/>
          <w:color w:val="auto"/>
          <w:highlight w:val="none"/>
          <w:u w:val="single"/>
          <w:lang w:bidi="zh-CN"/>
        </w:rPr>
      </w:pPr>
      <w:r/>
      <w:bookmarkStart w:id="73" w:name="OLE_LINK26"/>
      <w:r/>
      <w:bookmarkStart w:id="74" w:name="OLE_LINK29"/>
      <w:r>
        <w:rPr>
          <w:rFonts w:hint="eastAsia" w:ascii="仿宋" w:hAnsi="仿宋" w:eastAsia="仿宋" w:cs="仿宋"/>
          <w:b/>
          <w:i/>
          <w:iCs/>
          <w:color w:val="auto"/>
          <w:highlight w:val="none"/>
          <w:u w:val="single"/>
          <w:lang w:bidi="zh-CN"/>
        </w:rPr>
        <w:t xml:space="preserve">服务费按照实际到岗人数计算,采购人每月支付金额为扣减考核扣款之后的结算款。于每月月底前支付上个月服务费，银行汇款至投标人指定账户。（采购人老大楼暂未投入使用，进场时间及服务人员根据实际投用时间及实际到岗人数计算；）</w:t>
      </w:r>
      <w:bookmarkEnd w:id="73"/>
      <w:r/>
      <w:bookmarkEnd w:id="74"/>
      <w:r/>
      <w:r/>
    </w:p>
    <w:p>
      <w:pPr>
        <w:numPr>
          <w:ilvl w:val="255"/>
          <w:numId w:val="0"/>
        </w:numPr>
        <w:ind w:firstLine="482"/>
        <w:spacing w:line="440" w:lineRule="exact"/>
        <w:rPr>
          <w:rFonts w:ascii="仿宋" w:hAnsi="仿宋" w:eastAsia="仿宋" w:cs="仿宋"/>
          <w:b/>
          <w:i/>
          <w:iCs/>
          <w:color w:val="auto"/>
          <w:highlight w:val="none"/>
          <w:u w:val="single"/>
          <w:lang w:bidi="zh-CN"/>
        </w:rPr>
      </w:pPr>
      <w:r>
        <w:rPr>
          <w:rFonts w:hint="eastAsia" w:ascii="仿宋" w:hAnsi="仿宋" w:eastAsia="仿宋" w:cs="仿宋"/>
          <w:b/>
          <w:i/>
          <w:iCs/>
          <w:color w:val="auto"/>
          <w:highlight w:val="none"/>
          <w:u w:val="single"/>
          <w:lang w:bidi="zh-CN"/>
        </w:rPr>
        <w:t xml:space="preserve">（八）报价要求</w:t>
      </w:r>
      <w:r/>
    </w:p>
    <w:p>
      <w:pPr>
        <w:ind w:firstLine="482"/>
        <w:jc w:val="left"/>
        <w:spacing w:line="440" w:lineRule="exact"/>
        <w:widowControl/>
        <w:rPr>
          <w:rFonts w:ascii="仿宋" w:hAnsi="仿宋" w:eastAsia="仿宋" w:cs="仿宋"/>
          <w:b/>
          <w:bCs/>
          <w:i/>
          <w:iCs/>
          <w:color w:val="auto"/>
          <w:highlight w:val="none"/>
          <w:u w:val="single"/>
        </w:rPr>
      </w:pPr>
      <w:r>
        <w:rPr>
          <w:rFonts w:hint="eastAsia" w:ascii="仿宋" w:hAnsi="仿宋" w:eastAsia="仿宋" w:cs="仿宋"/>
          <w:b/>
          <w:i/>
          <w:iCs/>
          <w:color w:val="auto"/>
          <w:highlight w:val="none"/>
          <w:u w:val="single"/>
        </w:rPr>
        <w:t xml:space="preserve">本合同价款包含所有投标人提供合同约定产品和服务的报酬及投标人提供合同中产品和服务所支出的投标人向采购人提供服务的所有费用（包括但不限于管理佣金、人员工资、福利、工具、培训、服装、税金、设备巡检维护所需的登高工具和安全防护用品等所</w:t>
      </w:r>
      <w:r>
        <w:rPr>
          <w:rFonts w:hint="eastAsia" w:ascii="仿宋" w:hAnsi="仿宋" w:eastAsia="仿宋" w:cs="仿宋"/>
          <w:b/>
          <w:i/>
          <w:iCs/>
          <w:color w:val="auto"/>
          <w:highlight w:val="none"/>
          <w:u w:val="single"/>
        </w:rPr>
        <w:t xml:space="preserve">有费用，服务中损坏赔偿费由中标人承担）；人员单价为综合单价，包干使用，已含基本工资、五险一金、福利（含高温补贴、考核奖、年终奖、各类带薪休假补贴等）、加班费、人员服装等、上述综合单价的管理费和税金等费用及所有因服务需要的各类费用。人员增减，该综合单价将延用；如履约时录用人员存在协保、农保或其他情况依法不需要缴纳保险费用的情况，由采购人负责审查并按实际情况扣减并签订补充协议。如服务周期内人员配备未达到本项目各岗位人员要求的人数，采购人有权责令期限整改或终止合同，采购人在上述合同价款之外不向投标人支付任何费用。</w:t>
      </w:r>
      <w:r>
        <w:rPr>
          <w:rFonts w:hint="eastAsia" w:ascii="仿宋" w:hAnsi="仿宋" w:eastAsia="仿宋" w:cs="仿宋"/>
          <w:b/>
          <w:bCs/>
          <w:i/>
          <w:iCs/>
          <w:color w:val="auto"/>
          <w:highlight w:val="none"/>
          <w:u w:val="single"/>
        </w:rPr>
        <w:t xml:space="preserve">员工工资、工作时间不得低于江苏省、南京市对于最低工资标准、每月最高工作时间的相关规定，所有工作人员必须缴纳包括养老、工伤、失业、生育、医疗等在内的社会保险及公积金、法定节日加班按照国家规定计算并支付的超时工资和加班工资、特定岗位的高温费、应休未休假补贴、福利、年度绩效等。报价还应考虑合同周期内国家最低基本工资和社保、公积金基数调整的费用，不得因国家政策上调要求采购人另外支付费用。</w:t>
      </w:r>
      <w:r/>
    </w:p>
    <w:p>
      <w:pPr>
        <w:pStyle w:val="752"/>
        <w:ind w:firstLine="482"/>
        <w:spacing w:line="440" w:lineRule="exact"/>
        <w:rPr>
          <w:rFonts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所有服务人员按照国家规定缴纳社保、公积金，费用包含在投标报价中。报价的人员费用中未包含社保、公积金或低于江苏省、南京市最低工资标准的，将作无效投标处理。合同周期内，投标人应依法确定员工上岗时间，按时足额发放员工工资、缴纳保险、保障员工福利。若因投标人未按规定及时发放工资，由此引发的用工劳务纠纷，采购人不承担任何责任，所有责任由投标人全部承担。投标人派出的服务人员必须为专职人员，不得兼职，不得将派往采购人的人员同时派至其他单位。</w:t>
      </w:r>
      <w:r/>
    </w:p>
    <w:p>
      <w:pPr>
        <w:ind w:firstLine="482"/>
        <w:jc w:val="left"/>
        <w:spacing w:line="440" w:lineRule="exact"/>
        <w:widowControl/>
        <w:rPr>
          <w:rFonts w:ascii="仿宋" w:hAnsi="仿宋" w:eastAsia="仿宋" w:cs="仿宋"/>
          <w:b/>
          <w:bCs/>
          <w:i/>
          <w:iCs/>
          <w:color w:val="auto"/>
          <w:highlight w:val="none"/>
          <w:u w:val="single"/>
        </w:rPr>
      </w:pPr>
      <w:r>
        <w:rPr>
          <w:rFonts w:ascii="仿宋" w:hAnsi="仿宋" w:eastAsia="仿宋" w:cs="仿宋"/>
          <w:b/>
          <w:bCs/>
          <w:i/>
          <w:iCs/>
          <w:color w:val="auto"/>
          <w:highlight w:val="none"/>
          <w:u w:val="single"/>
        </w:rPr>
      </w:r>
      <w:r/>
    </w:p>
    <w:p>
      <w:pPr>
        <w:ind w:firstLine="482"/>
        <w:spacing w:line="440" w:lineRule="exact"/>
        <w:rPr>
          <w:rFonts w:ascii="仿宋" w:hAnsi="仿宋" w:eastAsia="仿宋" w:cs="仿宋"/>
          <w:color w:val="auto"/>
          <w:highlight w:val="none"/>
        </w:rPr>
      </w:pPr>
      <w:r>
        <w:rPr>
          <w:rFonts w:hint="eastAsia" w:ascii="仿宋" w:hAnsi="仿宋" w:eastAsia="仿宋" w:cs="仿宋"/>
          <w:b/>
          <w:bCs/>
          <w:color w:val="auto"/>
          <w:highlight w:val="none"/>
          <w:lang w:bidi="zh-CN"/>
        </w:rPr>
        <w:t xml:space="preserve">四、其他</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1.总体服务方案</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根据本项目需求并结合本项目特点，提供针对本项目的总体服务方案，包括但不限于服务管理工作目标定位实施方案、各项目岗位职责制度、工作秩序、进退场交接方案，符合各岗位的运维保障措施，老楼投入使用前的人员储备、岗位设置及投用即运维的针对性措施等内容。方案内容表述完整，方案表述清晰，岗位职责制度健全，工作秩序严谨，进退场交接方案具备可操作性，流程严谨，运维措施全面。</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2.拟派人员的管理制度及安全管理方案</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根据本项目需求并结合本项目特点提供拟派人员的管理制度及安全管理方案，包括但不限于管理制度、人员培训、人员资质、人员安排、人员服务能力、人员安全管理的方案、考核办法等。方案的内容完善，人员安排合理，分工明确，人员管理措施有效，人员具备资质和服务经验，定期进行人员培训，具备人员安全保障能力，具备人员考核办法。</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3.零星维修耗材管理方案</w:t>
      </w:r>
      <w:r/>
    </w:p>
    <w:p>
      <w:pPr>
        <w:ind w:firstLine="480"/>
        <w:spacing w:line="440" w:lineRule="exact"/>
        <w:rPr>
          <w:rFonts w:ascii="仿宋" w:hAnsi="仿宋" w:eastAsia="仿宋" w:cs="仿宋"/>
          <w:color w:val="auto"/>
          <w:highlight w:val="none"/>
        </w:rPr>
      </w:pPr>
      <w:r>
        <w:rPr>
          <w:rFonts w:ascii="仿宋" w:hAnsi="仿宋" w:eastAsia="仿宋" w:cs="仿宋"/>
          <w:color w:val="auto"/>
          <w:highlight w:val="none"/>
        </w:rPr>
        <w:t xml:space="preserve">根据本项目需求并结合本项目特点提供零星维修耗材管理方案，包括但不限于管理制度与组织职责、耗材分类与管理、零星维修耗材使用、申请和登记等。方案内容</w:t>
      </w:r>
      <w:r>
        <w:rPr>
          <w:rFonts w:hint="eastAsia" w:ascii="仿宋" w:hAnsi="仿宋" w:eastAsia="仿宋" w:cs="仿宋"/>
          <w:color w:val="auto"/>
          <w:highlight w:val="none"/>
        </w:rPr>
        <w:t xml:space="preserve">完善</w:t>
      </w:r>
      <w:r>
        <w:rPr>
          <w:rFonts w:ascii="仿宋" w:hAnsi="仿宋" w:eastAsia="仿宋" w:cs="仿宋"/>
          <w:color w:val="auto"/>
          <w:highlight w:val="none"/>
        </w:rPr>
        <w:t xml:space="preserve">，</w:t>
      </w:r>
      <w:r>
        <w:rPr>
          <w:rFonts w:hint="eastAsia" w:ascii="仿宋" w:hAnsi="仿宋" w:eastAsia="仿宋" w:cs="仿宋"/>
          <w:color w:val="auto"/>
          <w:highlight w:val="none"/>
        </w:rPr>
        <w:t xml:space="preserve">具备</w:t>
      </w:r>
      <w:r>
        <w:rPr>
          <w:rFonts w:ascii="仿宋" w:hAnsi="仿宋" w:eastAsia="仿宋" w:cs="仿宋"/>
          <w:color w:val="auto"/>
          <w:highlight w:val="none"/>
        </w:rPr>
        <w:t xml:space="preserve">管理制度</w:t>
      </w:r>
      <w:r>
        <w:rPr>
          <w:rFonts w:hint="eastAsia" w:ascii="仿宋" w:hAnsi="仿宋" w:eastAsia="仿宋" w:cs="仿宋"/>
          <w:color w:val="auto"/>
          <w:highlight w:val="none"/>
        </w:rPr>
        <w:t xml:space="preserve">，</w:t>
      </w:r>
      <w:r>
        <w:rPr>
          <w:rFonts w:ascii="仿宋" w:hAnsi="仿宋" w:eastAsia="仿宋" w:cs="仿宋"/>
          <w:color w:val="auto"/>
          <w:highlight w:val="none"/>
        </w:rPr>
        <w:t xml:space="preserve">组织职责权责清晰，耗材分类与管理规范</w:t>
      </w:r>
      <w:r>
        <w:rPr>
          <w:rFonts w:hint="eastAsia" w:ascii="仿宋" w:hAnsi="仿宋" w:eastAsia="仿宋" w:cs="仿宋"/>
          <w:color w:val="auto"/>
          <w:highlight w:val="none"/>
        </w:rPr>
        <w:t xml:space="preserve">，</w:t>
      </w:r>
      <w:r>
        <w:rPr>
          <w:rFonts w:ascii="仿宋" w:hAnsi="仿宋" w:eastAsia="仿宋" w:cs="仿宋"/>
          <w:color w:val="auto"/>
          <w:highlight w:val="none"/>
        </w:rPr>
        <w:t xml:space="preserve">耗材使用、申请和登记流程严谨</w:t>
      </w:r>
      <w:r>
        <w:rPr>
          <w:rFonts w:hint="eastAsia" w:ascii="仿宋" w:hAnsi="仿宋" w:eastAsia="仿宋" w:cs="仿宋"/>
          <w:color w:val="auto"/>
          <w:highlight w:val="none"/>
        </w:rPr>
        <w:t xml:space="preserve">。</w:t>
      </w:r>
      <w:r/>
    </w:p>
    <w:p>
      <w:pPr>
        <w:ind w:firstLine="452"/>
        <w:spacing w:line="440" w:lineRule="exact"/>
        <w:rPr>
          <w:rFonts w:ascii="仿宋" w:hAnsi="仿宋" w:eastAsia="仿宋" w:cs="仿宋"/>
          <w:color w:val="auto"/>
          <w:spacing w:val="-7"/>
          <w:highlight w:val="none"/>
        </w:rPr>
      </w:pPr>
      <w:r>
        <w:rPr>
          <w:rFonts w:hint="eastAsia" w:ascii="仿宋" w:hAnsi="仿宋" w:eastAsia="仿宋" w:cs="仿宋"/>
          <w:color w:val="auto"/>
          <w:spacing w:val="-7"/>
          <w:highlight w:val="none"/>
        </w:rPr>
        <w:t xml:space="preserve">4.重点、难点把控方案</w:t>
      </w:r>
      <w:r/>
    </w:p>
    <w:p>
      <w:pPr>
        <w:ind w:firstLine="452"/>
        <w:spacing w:line="440" w:lineRule="exact"/>
        <w:rPr>
          <w:rFonts w:ascii="仿宋" w:hAnsi="仿宋" w:eastAsia="仿宋" w:cs="仿宋"/>
          <w:color w:val="auto"/>
          <w:spacing w:val="-7"/>
          <w:highlight w:val="none"/>
        </w:rPr>
      </w:pPr>
      <w:r>
        <w:rPr>
          <w:rFonts w:hint="eastAsia" w:ascii="仿宋" w:hAnsi="仿宋" w:eastAsia="仿宋" w:cs="仿宋"/>
          <w:color w:val="auto"/>
          <w:spacing w:val="-7"/>
          <w:highlight w:val="none"/>
        </w:rPr>
        <w:t xml:space="preserve">根据本项目需求并结合本项目特点提供针对本项目的重点、难点把控方案，包括但不限于对本项目重点、难点把控等情况的分析、服务设想及策划、管理理念、管理工作目标、项目服务定位等。对本项目重点、难点分析全面，服务设想及策划思路清晰、具有针对性，管理理念科学，管理工作目标清晰，项目服务定位切合实际。</w:t>
      </w:r>
      <w:r/>
    </w:p>
    <w:p>
      <w:pPr>
        <w:ind w:firstLine="452"/>
        <w:spacing w:line="440" w:lineRule="exact"/>
        <w:rPr>
          <w:rFonts w:ascii="仿宋" w:hAnsi="仿宋" w:eastAsia="仿宋" w:cs="仿宋"/>
          <w:color w:val="auto"/>
          <w:highlight w:val="none"/>
        </w:rPr>
      </w:pPr>
      <w:r>
        <w:rPr>
          <w:rFonts w:hint="eastAsia" w:ascii="仿宋" w:hAnsi="仿宋" w:eastAsia="仿宋" w:cs="仿宋"/>
          <w:color w:val="auto"/>
          <w:spacing w:val="-7"/>
          <w:highlight w:val="none"/>
        </w:rPr>
        <w:t xml:space="preserve">5.</w:t>
      </w:r>
      <w:r>
        <w:rPr>
          <w:rFonts w:hint="eastAsia" w:ascii="仿宋" w:hAnsi="仿宋" w:eastAsia="仿宋" w:cs="仿宋"/>
          <w:color w:val="auto"/>
          <w:highlight w:val="none"/>
        </w:rPr>
        <w:t xml:space="preserve">稳定员工队伍措施方案</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根据本项目需求并结合本项目特点提供稳定员工队伍措施方案，包括但不限于薪酬体系设计、绩效和激励、个人职业发展规划、职业上升通道、人文关怀方案等。方案科学合理，具有实用性，薪酬体系设计细致，绩效和激励有效，个人职业发展规划完备，职业上升通道全面，人文关怀方案温馨务实。</w:t>
      </w:r>
      <w:r/>
    </w:p>
    <w:p>
      <w:pPr>
        <w:ind w:firstLine="452"/>
        <w:spacing w:line="440" w:lineRule="exact"/>
        <w:rPr>
          <w:rFonts w:ascii="仿宋" w:hAnsi="仿宋" w:eastAsia="仿宋" w:cs="仿宋"/>
          <w:color w:val="auto"/>
          <w:spacing w:val="-7"/>
          <w:highlight w:val="none"/>
        </w:rPr>
      </w:pPr>
      <w:r>
        <w:rPr>
          <w:rFonts w:hint="eastAsia" w:ascii="仿宋" w:hAnsi="仿宋" w:eastAsia="仿宋" w:cs="仿宋"/>
          <w:color w:val="auto"/>
          <w:spacing w:val="-7"/>
          <w:highlight w:val="none"/>
        </w:rPr>
        <w:t xml:space="preserve">6.应急方案</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根据本项目需求并结合本项目特点提供应急方案，包括但不限于应急预案、应急处理、应急人员安排、时效性、与采购人配合应急处理措施等方面，对紧急事故做出快速、正确的反应、应急处理后确保工作正常开展的方案等。应急预案全面，应急处理迅速有效，应急人员安排充分，时效性短，与采购人配合应急处理措施科学有效，对紧急事故能够做出快速、正确的反应，应急处理后完全能确保工作的正常开展。</w:t>
      </w:r>
      <w:r/>
    </w:p>
    <w:p>
      <w:pPr>
        <w:ind w:firstLine="482"/>
        <w:spacing w:line="440" w:lineRule="exact"/>
        <w:rPr>
          <w:rFonts w:ascii="仿宋" w:hAnsi="仿宋" w:eastAsia="仿宋" w:cs="仿宋"/>
          <w:b/>
          <w:bCs/>
          <w:color w:val="auto"/>
          <w:highlight w:val="none"/>
        </w:rPr>
      </w:pPr>
      <w:r>
        <w:rPr>
          <w:rFonts w:ascii="仿宋" w:hAnsi="仿宋" w:eastAsia="仿宋" w:cs="仿宋"/>
          <w:b/>
          <w:bCs/>
          <w:color w:val="auto"/>
          <w:highlight w:val="none"/>
        </w:rPr>
      </w:r>
      <w:bookmarkEnd w:id="50"/>
      <w:r/>
      <w:r/>
    </w:p>
    <w:p>
      <w:pPr>
        <w:rPr>
          <w:color w:val="auto"/>
          <w:highlight w:val="none"/>
        </w:rPr>
      </w:pPr>
      <w:r/>
      <w:bookmarkStart w:id="75" w:name="_Toc26884"/>
      <w:r>
        <w:rPr>
          <w:rFonts w:hint="eastAsia"/>
          <w:color w:val="auto"/>
          <w:highlight w:val="none"/>
        </w:rPr>
        <w:br w:type="page" w:clear="all"/>
      </w:r>
      <w:r/>
    </w:p>
    <w:p>
      <w:pPr>
        <w:pStyle w:val="939"/>
        <w:jc w:val="center"/>
        <w:spacing w:line="240" w:lineRule="auto"/>
        <w:rPr>
          <w:color w:val="auto"/>
          <w:highlight w:val="none"/>
        </w:rPr>
      </w:pPr>
      <w:r>
        <w:rPr>
          <w:rFonts w:hint="eastAsia"/>
          <w:color w:val="auto"/>
          <w:highlight w:val="none"/>
        </w:rPr>
        <w:t xml:space="preserve">第五部分  </w:t>
      </w:r>
      <w:bookmarkEnd w:id="44"/>
      <w:r>
        <w:rPr>
          <w:rFonts w:hint="eastAsia"/>
          <w:color w:val="auto"/>
          <w:highlight w:val="none"/>
        </w:rPr>
        <w:t xml:space="preserve">评标方法和标准</w:t>
      </w:r>
      <w:bookmarkEnd w:id="75"/>
      <w:r/>
      <w:r/>
    </w:p>
    <w:p>
      <w:pPr>
        <w:spacing w:line="4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5"/>
        </w:numPr>
        <w:ind w:firstLine="482"/>
        <w:jc w:val="left"/>
        <w:spacing w:line="460" w:lineRule="exact"/>
        <w:rPr>
          <w:rFonts w:ascii="仿宋" w:hAnsi="仿宋" w:eastAsia="仿宋" w:cs="仿宋"/>
          <w:b/>
          <w:color w:val="auto"/>
          <w:highlight w:val="none"/>
        </w:rPr>
      </w:pPr>
      <w:r/>
      <w:bookmarkStart w:id="76" w:name="EB1a5d8b2c3833482f95a1f101c76adb9d"/>
      <w:r>
        <w:rPr>
          <w:rFonts w:hint="eastAsia" w:ascii="仿宋" w:hAnsi="仿宋" w:eastAsia="仿宋" w:cs="仿宋"/>
          <w:b/>
          <w:color w:val="auto"/>
          <w:highlight w:val="none"/>
        </w:rPr>
        <w:t xml:space="preserve">资格性审查</w:t>
      </w:r>
      <w:r/>
    </w:p>
    <w:p>
      <w:pPr>
        <w:ind w:firstLine="480"/>
        <w:jc w:val="left"/>
        <w:spacing w:line="46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采购人或采购代理机构按照招标文件第一部分《招标公告》申请人的资格要求，对各投标人进行资格性审查，未通过评审的为无效标，不再参与评审。</w:t>
      </w:r>
      <w:r/>
    </w:p>
    <w:p>
      <w:pPr>
        <w:numPr>
          <w:ilvl w:val="0"/>
          <w:numId w:val="5"/>
        </w:numPr>
        <w:ind w:firstLine="482"/>
        <w:jc w:val="left"/>
        <w:spacing w:line="46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6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评标委员会按照下列指标对各投标人进行符合性审查，未通过评审的为无效标，不再参与评审。</w:t>
      </w:r>
      <w:bookmarkEnd w:id="76"/>
      <w:r/>
      <w:r/>
    </w:p>
    <w:tbl>
      <w:tblPr>
        <w:tblStyle w:val="743"/>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jc w:val="center"/>
              <w:spacing w:line="460" w:lineRule="exact"/>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符合性要求</w:t>
            </w:r>
            <w:r/>
          </w:p>
        </w:tc>
        <w:tc>
          <w:tcPr>
            <w:tcW w:w="2799" w:type="dxa"/>
            <w:vAlign w:val="center"/>
            <w:textDirection w:val="lrTb"/>
            <w:noWrap w:val="false"/>
          </w:tcPr>
          <w:p>
            <w:pPr>
              <w:jc w:val="center"/>
              <w:spacing w:line="460" w:lineRule="exact"/>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48" w:type="dxa"/>
            <w:vAlign w:val="center"/>
            <w:textDirection w:val="lrTb"/>
            <w:noWrap w:val="false"/>
          </w:tcPr>
          <w:p>
            <w:pPr>
              <w:jc w:val="center"/>
              <w:spacing w:line="460" w:lineRule="exact"/>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95"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报价要求</w:t>
            </w:r>
            <w:r/>
          </w:p>
        </w:tc>
        <w:tc>
          <w:tcPr>
            <w:shd w:val="clear" w:color="auto" w:fill="auto"/>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开标一览表及报价</w:t>
            </w:r>
            <w:r/>
          </w:p>
        </w:tc>
        <w:tc>
          <w:tcPr>
            <w:shd w:val="clear" w:color="auto" w:fill="auto"/>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商务要求</w:t>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rPr>
              <w:t xml:space="preserve">签章/签字</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color w:val="auto"/>
                <w:sz w:val="21"/>
                <w:szCs w:val="22"/>
                <w:highlight w:val="none"/>
              </w:rPr>
            </w:pPr>
            <w:r>
              <w:rPr>
                <w:rFonts w:ascii="仿宋" w:hAnsi="仿宋" w:eastAsia="仿宋" w:cs="仿宋"/>
                <w:color w:val="auto"/>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法定代表人身份证明或法定代表人授权书</w:t>
            </w:r>
            <w:r/>
          </w:p>
        </w:tc>
        <w:tc>
          <w:tcPr>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rPr>
              <w:t xml:space="preserve">签章/签字</w:t>
            </w:r>
            <w:r/>
          </w:p>
        </w:tc>
      </w:tr>
      <w:tr>
        <w:trPr>
          <w:trHeight w:val="599"/>
        </w:trPr>
        <w:tc>
          <w:tcPr>
            <w:tcW w:w="1395" w:type="dxa"/>
            <w:vAlign w:val="center"/>
            <w:vMerge w:val="continue"/>
            <w:textDirection w:val="lrTb"/>
            <w:noWrap w:val="false"/>
          </w:tcPr>
          <w:p>
            <w:pPr>
              <w:jc w:val="center"/>
              <w:spacing w:line="460" w:lineRule="exact"/>
              <w:rPr>
                <w:rFonts w:ascii="仿宋" w:hAnsi="仿宋" w:eastAsia="仿宋" w:cs="仿宋"/>
                <w:color w:val="auto"/>
                <w:sz w:val="21"/>
                <w:szCs w:val="22"/>
                <w:highlight w:val="none"/>
              </w:rPr>
            </w:pPr>
            <w:r>
              <w:rPr>
                <w:rFonts w:ascii="仿宋" w:hAnsi="仿宋" w:eastAsia="仿宋" w:cs="仿宋"/>
                <w:color w:val="auto"/>
                <w:sz w:val="21"/>
                <w:szCs w:val="22"/>
                <w:highlight w:val="none"/>
              </w:rPr>
            </w:r>
            <w:r/>
          </w:p>
        </w:tc>
        <w:tc>
          <w:tcPr>
            <w:shd w:val="clear" w:color="auto" w:fill="auto"/>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48" w:type="dxa"/>
            <w:vAlign w:val="center"/>
            <w:textDirection w:val="lrTb"/>
            <w:noWrap w:val="false"/>
          </w:tcPr>
          <w:p>
            <w:pP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color w:val="auto"/>
                <w:sz w:val="21"/>
                <w:szCs w:val="22"/>
                <w:highlight w:val="none"/>
              </w:rPr>
            </w:pPr>
            <w:r>
              <w:rPr>
                <w:rFonts w:ascii="仿宋" w:hAnsi="仿宋" w:eastAsia="仿宋" w:cs="仿宋"/>
                <w:color w:val="auto"/>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联合体投标</w:t>
            </w:r>
            <w:r/>
          </w:p>
        </w:tc>
        <w:tc>
          <w:tcPr>
            <w:tcW w:w="4848" w:type="dxa"/>
            <w:vAlign w:val="center"/>
            <w:textDirection w:val="lrTb"/>
            <w:noWrap w:val="false"/>
          </w:tcPr>
          <w:p>
            <w:pP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本项目不接受联合体投标，投标人不存在联合体</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color w:val="auto"/>
                <w:sz w:val="21"/>
                <w:szCs w:val="22"/>
                <w:highlight w:val="none"/>
              </w:rPr>
            </w:pPr>
            <w:r>
              <w:rPr>
                <w:rFonts w:ascii="仿宋" w:hAnsi="仿宋" w:eastAsia="仿宋" w:cs="仿宋"/>
                <w:color w:val="auto"/>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color w:val="auto"/>
                <w:sz w:val="21"/>
                <w:szCs w:val="22"/>
                <w:highlight w:val="none"/>
              </w:rPr>
            </w:pPr>
            <w:r>
              <w:rPr>
                <w:rFonts w:ascii="仿宋" w:hAnsi="仿宋" w:eastAsia="仿宋" w:cs="仿宋"/>
                <w:color w:val="auto"/>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商务要求响应</w:t>
            </w:r>
            <w:r/>
          </w:p>
        </w:tc>
        <w:tc>
          <w:tcPr>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技术要求</w:t>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技术要求响应</w:t>
            </w:r>
            <w:r/>
          </w:p>
        </w:tc>
        <w:tc>
          <w:tcPr>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jc w:val="center"/>
              <w:spacing w:line="460" w:lineRule="exact"/>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tcW w:w="2799" w:type="dxa"/>
            <w:vAlign w:val="center"/>
            <w:textDirection w:val="lrTb"/>
            <w:noWrap w:val="false"/>
          </w:tcPr>
          <w:p>
            <w:pPr>
              <w:jc w:val="center"/>
              <w:spacing w:line="460" w:lineRule="exact"/>
              <w:rPr>
                <w:rFonts w:ascii="仿宋" w:hAnsi="仿宋" w:eastAsia="仿宋" w:cs="仿宋"/>
                <w:color w:val="auto"/>
                <w:sz w:val="21"/>
                <w:szCs w:val="22"/>
                <w:highlight w:val="none"/>
              </w:rPr>
            </w:pPr>
            <w:r>
              <w:rPr>
                <w:rFonts w:ascii="仿宋" w:hAnsi="仿宋" w:eastAsia="仿宋" w:cs="仿宋"/>
                <w:color w:val="auto"/>
                <w:sz w:val="21"/>
                <w:szCs w:val="22"/>
                <w:highlight w:val="none"/>
              </w:rPr>
              <w:t xml:space="preserve">对实质性条款的响应性</w:t>
            </w:r>
            <w:r/>
          </w:p>
        </w:tc>
        <w:tc>
          <w:tcPr>
            <w:tcW w:w="4848" w:type="dxa"/>
            <w:vAlign w:val="center"/>
            <w:textDirection w:val="lrTb"/>
            <w:noWrap w:val="false"/>
          </w:tcPr>
          <w:p>
            <w:pPr>
              <w:jc w:val="left"/>
              <w:spacing w:line="460" w:lineRule="exact"/>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符合招标文件要求，并且不存在重大偏离</w:t>
            </w:r>
            <w:r/>
          </w:p>
        </w:tc>
      </w:tr>
    </w:tbl>
    <w:p>
      <w:pPr>
        <w:numPr>
          <w:ilvl w:val="0"/>
          <w:numId w:val="5"/>
        </w:numPr>
        <w:ind w:firstLine="482"/>
        <w:jc w:val="left"/>
        <w:spacing w:line="46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60" w:lineRule="exact"/>
        <w:rPr>
          <w:rFonts w:ascii="仿宋" w:hAnsi="仿宋" w:eastAsia="仿宋" w:cs="仿宋"/>
          <w:color w:val="auto"/>
          <w:highlight w:val="none"/>
        </w:rPr>
      </w:pPr>
      <w:r>
        <w:rPr>
          <w:rFonts w:hint="eastAsia" w:ascii="仿宋" w:hAnsi="仿宋" w:eastAsia="仿宋" w:cs="仿宋"/>
          <w:color w:val="auto"/>
          <w:highlight w:val="none"/>
        </w:rPr>
        <w:t xml:space="preserve">1.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ascii="仿宋" w:hAnsi="仿宋" w:eastAsia="仿宋" w:cs="仿宋"/>
          <w:b/>
          <w:color w:val="auto"/>
          <w:highlight w:val="none"/>
        </w:rPr>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4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18分</w:t>
            </w:r>
            <w:r/>
          </w:p>
        </w:tc>
        <w:tc>
          <w:tcPr>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综合评分法中的价格分采用低价优先法计算，即满足招标文件要求且价格最低的报价为评标基准价，其价格分为满分。其他投标人的价格分统一按照下列公式计算：报价得分= （评标基准价／报价）×18。</w:t>
            </w:r>
            <w:r/>
          </w:p>
        </w:tc>
      </w:tr>
      <w:tr>
        <w:trPr>
          <w:jc w:val="center"/>
          <w:trHeight w:val="788"/>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21分</w:t>
            </w:r>
            <w:r/>
          </w:p>
        </w:tc>
        <w:tc>
          <w:tcPr>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完全满足招标文件第四部分采购需求二、服务要求基本需求的得满分，</w:t>
            </w:r>
            <w:r>
              <w:rPr>
                <w:rFonts w:hint="eastAsia" w:ascii="仿宋" w:hAnsi="仿宋" w:eastAsia="仿宋" w:cs="仿宋"/>
                <w:b/>
                <w:bCs/>
                <w:i/>
                <w:iCs/>
                <w:color w:val="auto"/>
                <w:highlight w:val="none"/>
                <w:u w:val="single"/>
              </w:rPr>
              <w:t xml:space="preserve">斜体加粗下划线部分为实质性参数</w:t>
            </w:r>
            <w:r>
              <w:rPr>
                <w:rFonts w:hint="eastAsia" w:ascii="仿宋" w:hAnsi="仿宋" w:eastAsia="仿宋" w:cs="仿宋"/>
                <w:color w:val="auto"/>
                <w:highlight w:val="none"/>
              </w:rPr>
              <w:t xml:space="preserve">，不允许负偏离，否则视为无效文件；其余参数为一般参数，每负偏离一项扣0.7分，扣完为止。</w:t>
            </w:r>
            <w:r/>
          </w:p>
          <w:p>
            <w:pPr>
              <w:rPr>
                <w:rFonts w:ascii="仿宋" w:hAnsi="仿宋" w:eastAsia="仿宋" w:cs="仿宋"/>
                <w:color w:val="auto"/>
                <w:highlight w:val="none"/>
              </w:rPr>
            </w:pPr>
            <w:r>
              <w:rPr>
                <w:rFonts w:hint="eastAsia" w:ascii="仿宋" w:hAnsi="仿宋" w:eastAsia="仿宋" w:cs="仿宋"/>
                <w:color w:val="auto"/>
                <w:highlight w:val="none"/>
              </w:rPr>
              <w:t xml:space="preserve">注：</w:t>
            </w:r>
            <w:r/>
          </w:p>
          <w:p>
            <w:pPr>
              <w:rPr>
                <w:rFonts w:ascii="仿宋" w:hAnsi="仿宋" w:eastAsia="仿宋" w:cs="仿宋"/>
                <w:color w:val="auto"/>
                <w:highlight w:val="none"/>
              </w:rPr>
            </w:pPr>
            <w:r>
              <w:rPr>
                <w:rFonts w:hint="eastAsia" w:ascii="仿宋" w:hAnsi="仿宋" w:eastAsia="仿宋" w:cs="仿宋"/>
                <w:color w:val="auto"/>
                <w:highlight w:val="none"/>
              </w:rPr>
              <w:t xml:space="preserve">1.每个序号内的完整内容为“一项”（标题不计），每个表格内的全部内容为“一项”。</w:t>
            </w:r>
            <w:r/>
          </w:p>
          <w:p>
            <w:pPr>
              <w:rPr>
                <w:rFonts w:ascii="仿宋" w:hAnsi="仿宋" w:eastAsia="仿宋" w:cs="仿宋"/>
                <w:color w:val="auto"/>
                <w:highlight w:val="none"/>
              </w:rPr>
            </w:pPr>
            <w:r>
              <w:rPr>
                <w:rFonts w:hint="eastAsia" w:ascii="仿宋" w:hAnsi="仿宋" w:eastAsia="仿宋" w:cs="仿宋"/>
                <w:color w:val="auto"/>
                <w:highlight w:val="none"/>
              </w:rPr>
              <w:t xml:space="preserve">2.技术参数须按要求在响应文件中提供证明文件等相关材料，且均需在技术响应偏差表详尽真实地提供偏差情况及证明材料页码，否则视为负偏离。</w:t>
            </w:r>
            <w:r/>
          </w:p>
        </w:tc>
      </w:tr>
      <w:tr>
        <w:trPr>
          <w:jc w:val="center"/>
          <w:trHeight w:val="767"/>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总体服务方案</w:t>
            </w:r>
            <w:r/>
          </w:p>
        </w:tc>
        <w:tc>
          <w:tcPr>
            <w:shd w:val="clear" w:color="auto" w:fill="auto"/>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shd w:val="clear" w:color="auto" w:fill="auto"/>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投标人应根据本项目需求并结合本项目特点，提供针对本项目的总体服务方案。方案优于招标文件要求的得6分；完全符合招标要求文件的得4分；不完全符合招标要求文件要求的得1分；其他或未提供的不得分。</w:t>
            </w:r>
            <w:r/>
          </w:p>
        </w:tc>
      </w:tr>
      <w:tr>
        <w:trPr>
          <w:jc w:val="center"/>
          <w:trHeight w:val="580"/>
        </w:trPr>
        <w:tc>
          <w:tcPr>
            <w:shd w:val="clear" w:color="auto" w:fill="auto"/>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拟派人员的管理制度及安全管理方案</w:t>
            </w:r>
            <w:r/>
          </w:p>
        </w:tc>
        <w:tc>
          <w:tcPr>
            <w:shd w:val="clear" w:color="auto" w:fill="auto"/>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shd w:val="clear" w:color="auto" w:fill="auto"/>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投标人根据本项目需求并结合本项目特点提供拟派人员的管理制度及安全管理方案。方案优于招标文件要求的得6分；完全符合招标要求文件的得4分；不完全符合招标要求文件要求的得1分；其他或未提供的不得分。</w:t>
            </w:r>
            <w:r/>
          </w:p>
        </w:tc>
      </w:tr>
      <w:tr>
        <w:trPr>
          <w:jc w:val="center"/>
          <w:trHeight w:val="580"/>
        </w:trPr>
        <w:tc>
          <w:tcPr>
            <w:shd w:val="clear" w:color="auto" w:fill="auto"/>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零星维修耗材管理方案</w:t>
            </w:r>
            <w:r/>
          </w:p>
        </w:tc>
        <w:tc>
          <w:tcPr>
            <w:shd w:val="clear" w:color="auto" w:fill="auto"/>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shd w:val="clear" w:color="auto" w:fill="auto"/>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投标人根据本项目需求并结合本项目特点提供零星维修耗材管理方案。方案优于招标文件要求的得6分；完全符合招标要求文件的得4分；不完全符合招标要求文件要求的得1分；其他或未提供的不得分。</w:t>
            </w:r>
            <w:r/>
          </w:p>
        </w:tc>
      </w:tr>
      <w:tr>
        <w:trPr>
          <w:jc w:val="center"/>
          <w:trHeight w:val="633"/>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重点、难点把控方案</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投标人根据本项目需求并结合本项目特点提供针对本项目的重点、难点把控方案。方案优于招标文件要求的得6分；完全符合招标要求文件的得4分；不完全符合招标要求文件要求的得1分；其他或未提供的不得分。</w:t>
            </w:r>
            <w:r/>
          </w:p>
        </w:tc>
      </w:tr>
      <w:tr>
        <w:trPr>
          <w:jc w:val="center"/>
          <w:trHeight w:val="633"/>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稳定员工队伍措施方案</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投标人根据本项目需求并结合本项目特点提供稳定员工队伍措施方案。方案优于招标文件要求的得6分；完全符合招标要求文件的得4分；不完全符合招标要求文件要求的得1分；其他或未提供的不得分。</w:t>
            </w:r>
            <w:r/>
          </w:p>
        </w:tc>
      </w:tr>
      <w:tr>
        <w:trPr>
          <w:jc w:val="center"/>
          <w:trHeight w:val="90"/>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应急方案</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投标人根据本项目需求并结合本项目特点提供应急方案。方案优于招标文件要求的得6分；完全符合招标要求文件的得4分；不完全符合招标要求文件要求的得1分；其他或未提供的不得分。</w:t>
            </w:r>
            <w:r/>
          </w:p>
        </w:tc>
      </w:tr>
      <w:tr>
        <w:trPr>
          <w:jc w:val="center"/>
          <w:trHeight w:val="633"/>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9</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项目经理</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6分</w:t>
            </w:r>
            <w:r/>
          </w:p>
        </w:tc>
        <w:tc>
          <w:tcPr>
            <w:tcW w:w="6075"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1.具有本科及以上学历，得2分,（提供证书复印件并加盖公章）；</w:t>
            </w:r>
            <w:r/>
          </w:p>
          <w:p>
            <w:pPr>
              <w:rPr>
                <w:rFonts w:ascii="仿宋" w:hAnsi="仿宋" w:eastAsia="仿宋" w:cs="仿宋"/>
                <w:color w:val="auto"/>
                <w:highlight w:val="none"/>
              </w:rPr>
            </w:pPr>
            <w:r>
              <w:rPr>
                <w:rFonts w:hint="eastAsia" w:ascii="仿宋" w:hAnsi="仿宋" w:eastAsia="仿宋" w:cs="仿宋"/>
                <w:color w:val="auto"/>
                <w:highlight w:val="none"/>
              </w:rPr>
              <w:t xml:space="preserve">2.具有中级职称得1分，高级职称得2分（提供证书复印件并加盖公章）；</w:t>
            </w:r>
            <w:r/>
          </w:p>
          <w:p>
            <w:pPr>
              <w:rPr>
                <w:rFonts w:ascii="仿宋" w:hAnsi="仿宋" w:eastAsia="仿宋" w:cs="仿宋"/>
                <w:color w:val="auto"/>
                <w:highlight w:val="none"/>
              </w:rPr>
            </w:pPr>
            <w:r>
              <w:rPr>
                <w:rFonts w:hint="eastAsia" w:ascii="仿宋" w:hAnsi="仿宋" w:eastAsia="仿宋" w:cs="仿宋"/>
                <w:color w:val="auto"/>
                <w:highlight w:val="none"/>
              </w:rPr>
              <w:t xml:space="preserve">3.在同类运维服务项目（涉及通风空调、水电气）中担任项目经理工作经验累计≥5年（即60个月），得2分；</w:t>
            </w:r>
            <w:r/>
          </w:p>
          <w:p>
            <w:pPr>
              <w:rPr>
                <w:rFonts w:ascii="仿宋" w:hAnsi="仿宋" w:eastAsia="仿宋" w:cs="仿宋"/>
                <w:color w:val="auto"/>
                <w:highlight w:val="none"/>
              </w:rPr>
            </w:pPr>
            <w:r>
              <w:rPr>
                <w:rFonts w:hint="eastAsia" w:ascii="仿宋" w:hAnsi="仿宋" w:eastAsia="仿宋" w:cs="仿宋"/>
                <w:color w:val="auto"/>
                <w:highlight w:val="none"/>
              </w:rPr>
              <w:t xml:space="preserve">注：①项目经理工作经验需提供采购单位出具的担任项目经理的职务证明（证明材料须具有通风空调、水电气等工作内容文字表述，且有用户单位公章或主管部门章，注明服务年限（精确到月份）、用户单位联系人及电话）或合同证明材料（提供合同复印件加盖公章，合同须体现项目经理姓名及服务期限并有双方清晰盖章）。</w:t>
            </w:r>
            <w:r/>
          </w:p>
          <w:p>
            <w:pPr>
              <w:rPr>
                <w:rFonts w:ascii="仿宋" w:hAnsi="仿宋" w:eastAsia="仿宋" w:cs="仿宋"/>
                <w:color w:val="auto"/>
                <w:highlight w:val="none"/>
              </w:rPr>
            </w:pPr>
            <w:r>
              <w:rPr>
                <w:rFonts w:hint="eastAsia" w:ascii="仿宋" w:hAnsi="仿宋" w:eastAsia="仿宋" w:cs="仿宋"/>
                <w:color w:val="auto"/>
                <w:highlight w:val="none"/>
              </w:rPr>
              <w:t xml:space="preserve">②投标人提供在投标前6个月任意一个月为其缴纳的社保证明材料，复印件加盖公章，不提供以上均不得分。</w:t>
            </w:r>
            <w:r/>
          </w:p>
        </w:tc>
      </w:tr>
      <w:tr>
        <w:trPr>
          <w:jc w:val="center"/>
          <w:trHeight w:val="633"/>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10</w:t>
            </w:r>
            <w:r/>
          </w:p>
        </w:tc>
        <w:tc>
          <w:tcPr>
            <w:shd w:val="clear" w:color="auto" w:fill="auto"/>
            <w:tcW w:w="1506"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履约能力</w:t>
            </w:r>
            <w:r/>
          </w:p>
        </w:tc>
        <w:tc>
          <w:tcPr>
            <w:tcW w:w="875"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3分</w:t>
            </w:r>
            <w:r/>
          </w:p>
        </w:tc>
        <w:tc>
          <w:tcPr>
            <w:tcW w:w="6075" w:type="dxa"/>
            <w:vAlign w:val="center"/>
            <w:textDirection w:val="lrTb"/>
            <w:noWrap w:val="false"/>
          </w:tcPr>
          <w:p>
            <w:pPr>
              <w:numPr>
                <w:ilvl w:val="255"/>
                <w:numId w:val="0"/>
              </w:numPr>
              <w:rPr>
                <w:rFonts w:ascii="仿宋" w:hAnsi="仿宋" w:eastAsia="仿宋" w:cs="仿宋"/>
                <w:color w:val="auto"/>
                <w:highlight w:val="none"/>
              </w:rPr>
            </w:pPr>
            <w:r>
              <w:rPr>
                <w:rFonts w:hint="eastAsia" w:ascii="仿宋" w:hAnsi="仿宋" w:eastAsia="仿宋" w:cs="仿宋"/>
                <w:color w:val="auto"/>
                <w:highlight w:val="none"/>
              </w:rPr>
              <w:t xml:space="preserve">投标人具有有效ISO9001质量管理体系认证证书、ISO14001环境管理体系认证证书、ISO45001职业健康安全管理体系认证证书，每提供一个得1分，最高得3分。</w:t>
            </w:r>
            <w:r/>
          </w:p>
          <w:p>
            <w:pPr>
              <w:numPr>
                <w:ilvl w:val="255"/>
                <w:numId w:val="0"/>
              </w:numPr>
              <w:rPr>
                <w:rFonts w:ascii="仿宋" w:hAnsi="仿宋" w:eastAsia="仿宋" w:cs="仿宋"/>
                <w:color w:val="auto"/>
                <w:highlight w:val="none"/>
              </w:rPr>
            </w:pPr>
            <w:r>
              <w:rPr>
                <w:rFonts w:hint="eastAsia" w:ascii="仿宋" w:hAnsi="仿宋" w:eastAsia="仿宋" w:cs="仿宋"/>
                <w:color w:val="auto"/>
                <w:highlight w:val="none"/>
              </w:rPr>
              <w:t xml:space="preserve">注：提供证书及对应“全国认证认可信息公共服务平台http://cx.cnca.cn/CertECloud/index/index/page”查询页面截图复印件加盖公章，不提供或不符合要求不得分。</w:t>
            </w:r>
            <w:r/>
          </w:p>
        </w:tc>
      </w:tr>
      <w:tr>
        <w:trPr>
          <w:jc w:val="center"/>
          <w:trHeight w:val="692"/>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11</w:t>
            </w:r>
            <w:r/>
          </w:p>
        </w:tc>
        <w:tc>
          <w:tcPr>
            <w:shd w:val="clear" w:color="auto" w:fill="auto"/>
            <w:tcW w:w="1506" w:type="dxa"/>
            <w:vAlign w:val="center"/>
            <w:textDirection w:val="lrTb"/>
            <w:noWrap w:val="false"/>
          </w:tcPr>
          <w:p>
            <w:pPr>
              <w:jc w:val="center"/>
              <w:widowControl/>
              <w:rPr>
                <w:rFonts w:ascii="仿宋" w:hAnsi="仿宋" w:eastAsia="仿宋" w:cs="仿宋"/>
                <w:color w:val="auto"/>
                <w:highlight w:val="none"/>
                <w:lang w:bidi="ar"/>
              </w:rPr>
            </w:pPr>
            <w:r>
              <w:rPr>
                <w:rFonts w:ascii="仿宋" w:hAnsi="仿宋" w:eastAsia="仿宋" w:cs="仿宋"/>
                <w:color w:val="auto"/>
                <w:highlight w:val="none"/>
                <w:lang w:bidi="ar"/>
              </w:rPr>
              <w:t xml:space="preserve">业绩</w:t>
            </w:r>
            <w:r/>
          </w:p>
        </w:tc>
        <w:tc>
          <w:tcPr>
            <w:shd w:val="clear" w:color="auto" w:fill="auto"/>
            <w:tcW w:w="875" w:type="dxa"/>
            <w:vAlign w:val="center"/>
            <w:textDirection w:val="lrTb"/>
            <w:noWrap w:val="false"/>
          </w:tcPr>
          <w:p>
            <w:pPr>
              <w:jc w:val="center"/>
              <w:widowControl/>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10分</w:t>
            </w:r>
            <w:r/>
          </w:p>
        </w:tc>
        <w:tc>
          <w:tcPr>
            <w:shd w:val="clear" w:color="auto" w:fill="auto"/>
            <w:tcW w:w="6075" w:type="dxa"/>
            <w:vAlign w:val="center"/>
            <w:textDirection w:val="lrTb"/>
            <w:noWrap w:val="false"/>
          </w:tcPr>
          <w:p>
            <w:pPr>
              <w:jc w:val="left"/>
              <w:widowControl/>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2023年1月1日起至投标截止时间（以合同签订时间为准），投标人具有同类运维服务项目的业绩（一份业绩合同内至少包含暖通/冷热源/空调系统、变配电系统/配电房、给排水系统、供气系统，单个合同应包含以上四项中至少三项），每提供一个业绩证明材料得2分，本项得分最高为10分。</w:t>
            </w:r>
            <w:r/>
          </w:p>
          <w:p>
            <w:pPr>
              <w:jc w:val="left"/>
              <w:widowControl/>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注：投标文件中须提供合同、服务期限内的至少任意一个月发票复印件及与发票对应的银行收款凭证复印件</w:t>
            </w:r>
            <w:r>
              <w:rPr>
                <w:rFonts w:hint="eastAsia" w:ascii="仿宋" w:hAnsi="仿宋" w:eastAsia="仿宋" w:cs="仿宋"/>
                <w:color w:val="auto"/>
                <w:highlight w:val="none"/>
                <w:lang w:val="en-US" w:eastAsia="zh-CN" w:bidi="ar"/>
              </w:rPr>
              <w:t xml:space="preserve">并</w:t>
            </w:r>
            <w:r>
              <w:rPr>
                <w:rFonts w:hint="eastAsia" w:ascii="仿宋" w:hAnsi="仿宋" w:eastAsia="仿宋" w:cs="仿宋"/>
                <w:color w:val="auto"/>
                <w:highlight w:val="none"/>
                <w:lang w:bidi="ar"/>
              </w:rPr>
              <w:t xml:space="preserve">加盖公章，合同须有双方清晰盖章，证明材料内容能反映评审要求要素（日期、服务内容等），提供不全不得分。</w:t>
            </w:r>
            <w:bookmarkStart w:id="77" w:name="OLE_LINK20"/>
            <w:r/>
            <w:bookmarkStart w:id="78" w:name="OLE_LINK21"/>
            <w:r>
              <w:rPr>
                <w:rFonts w:hint="eastAsia" w:ascii="仿宋" w:hAnsi="仿宋" w:eastAsia="仿宋" w:cs="仿宋"/>
                <w:color w:val="auto"/>
                <w:highlight w:val="none"/>
                <w:lang w:bidi="ar"/>
              </w:rPr>
              <w:t xml:space="preserve">同一单位</w:t>
            </w:r>
            <w:bookmarkEnd w:id="77"/>
            <w:r/>
            <w:bookmarkEnd w:id="78"/>
            <w:r>
              <w:rPr>
                <w:rFonts w:hint="eastAsia" w:ascii="仿宋" w:hAnsi="仿宋" w:eastAsia="仿宋" w:cs="仿宋"/>
                <w:color w:val="auto"/>
                <w:highlight w:val="none"/>
                <w:lang w:val="en-US" w:eastAsia="zh-CN" w:bidi="ar"/>
              </w:rPr>
              <w:t xml:space="preserve">业绩不重复得分</w:t>
            </w:r>
            <w:r>
              <w:rPr>
                <w:rFonts w:hint="eastAsia" w:ascii="仿宋" w:hAnsi="仿宋" w:eastAsia="仿宋" w:cs="仿宋"/>
                <w:color w:val="auto"/>
                <w:highlight w:val="none"/>
                <w:lang w:bidi="ar"/>
              </w:rPr>
              <w:t xml:space="preserve">。</w:t>
            </w:r>
            <w:r/>
          </w:p>
        </w:tc>
      </w:tr>
      <w:tr>
        <w:trPr>
          <w:jc w:val="center"/>
          <w:trHeight w:val="692"/>
        </w:trPr>
        <w:tc>
          <w:tcPr>
            <w:tcW w:w="750"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12</w:t>
            </w:r>
            <w:r/>
          </w:p>
        </w:tc>
        <w:tc>
          <w:tcPr>
            <w:shd w:val="clear" w:color="auto" w:fill="auto"/>
            <w:tcW w:w="1506" w:type="dxa"/>
            <w:vAlign w:val="center"/>
            <w:textDirection w:val="lrTb"/>
            <w:noWrap w:val="false"/>
          </w:tcPr>
          <w:p>
            <w:pPr>
              <w:jc w:val="center"/>
              <w:widowControl/>
              <w:rPr>
                <w:rFonts w:ascii="仿宋" w:hAnsi="仿宋" w:eastAsia="仿宋" w:cs="仿宋"/>
                <w:color w:val="auto"/>
                <w:highlight w:val="none"/>
                <w:lang w:bidi="ar"/>
              </w:rPr>
            </w:pPr>
            <w:r>
              <w:rPr>
                <w:rFonts w:ascii="仿宋" w:hAnsi="仿宋" w:eastAsia="仿宋" w:cs="仿宋"/>
                <w:color w:val="auto"/>
                <w:highlight w:val="none"/>
                <w:lang w:bidi="ar"/>
              </w:rPr>
              <w:t xml:space="preserve">用户评价</w:t>
            </w:r>
            <w:r/>
          </w:p>
        </w:tc>
        <w:tc>
          <w:tcPr>
            <w:shd w:val="clear" w:color="auto" w:fill="auto"/>
            <w:tcW w:w="875" w:type="dxa"/>
            <w:vAlign w:val="center"/>
            <w:textDirection w:val="lrTb"/>
            <w:noWrap w:val="false"/>
          </w:tcPr>
          <w:p>
            <w:pPr>
              <w:jc w:val="center"/>
              <w:widowControl/>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6分</w:t>
            </w:r>
            <w:r/>
          </w:p>
        </w:tc>
        <w:tc>
          <w:tcPr>
            <w:shd w:val="clear" w:color="auto" w:fill="auto"/>
            <w:tcW w:w="6075" w:type="dxa"/>
            <w:vAlign w:val="center"/>
            <w:textDirection w:val="lrTb"/>
            <w:noWrap w:val="false"/>
          </w:tcPr>
          <w:p>
            <w:pPr>
              <w:jc w:val="left"/>
              <w:widowControl/>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投标人具有与业绩证明材料对应的运维服务项目用户评价（评价为优秀或满意类似表述），每提供一个满意度证明和服务时间证明的得2分，最高得6分。</w:t>
            </w:r>
            <w:r/>
          </w:p>
          <w:p>
            <w:pPr>
              <w:jc w:val="left"/>
              <w:widowControl/>
              <w:rPr>
                <w:rFonts w:ascii="仿宋" w:hAnsi="仿宋" w:eastAsia="仿宋" w:cs="仿宋"/>
                <w:color w:val="auto"/>
                <w:highlight w:val="none"/>
                <w:lang w:bidi="ar"/>
              </w:rPr>
            </w:pPr>
            <w:r>
              <w:rPr>
                <w:rFonts w:hint="eastAsia" w:ascii="仿宋" w:hAnsi="仿宋" w:eastAsia="仿宋" w:cs="仿宋"/>
                <w:color w:val="auto"/>
                <w:highlight w:val="none"/>
                <w:lang w:bidi="ar"/>
              </w:rPr>
              <w:t xml:space="preserve">注：提供用户单位出具的证明材料复印件，需具有用户单位联系人和电话，并加盖用户单位公章或主管部门章；同一单位</w:t>
            </w:r>
            <w:r>
              <w:rPr>
                <w:rFonts w:hint="eastAsia" w:ascii="仿宋" w:hAnsi="仿宋" w:eastAsia="仿宋" w:cs="仿宋"/>
                <w:color w:val="auto"/>
                <w:highlight w:val="none"/>
                <w:lang w:val="en-US" w:eastAsia="zh-CN" w:bidi="ar"/>
              </w:rPr>
              <w:t xml:space="preserve">业绩不重复得分</w:t>
            </w:r>
            <w:r>
              <w:rPr>
                <w:rFonts w:hint="eastAsia" w:ascii="仿宋" w:hAnsi="仿宋" w:eastAsia="仿宋" w:cs="仿宋"/>
                <w:color w:val="auto"/>
                <w:highlight w:val="none"/>
                <w:lang w:bidi="ar"/>
              </w:rPr>
              <w:t xml:space="preserve">；未提供相关证明文件或证明文件体现满意度为一般或者差的不得分。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2.3监狱企业标准请参照《关于政府采购支持监狱企业发展有关问题的通知》（财库〔2014〕68号）。</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4.监狱企业、残疾人福利单位属于小型、微型企业的，不重复享受政策。</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5.专门面向中小企业采购的项目，不再执行价格评审优惠的扶持政策。</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6.实质性要求不得负偏离；否则，按照无效投标处理。</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评标委员会按照本评标方法和标准规定推荐中标候选人，并形成评标报告。</w:t>
      </w:r>
      <w:r/>
    </w:p>
    <w:p>
      <w:pPr>
        <w:rPr>
          <w:color w:val="auto"/>
          <w:highlight w:val="none"/>
        </w:rPr>
      </w:pPr>
      <w:r>
        <w:rPr>
          <w:color w:val="auto"/>
          <w:highlight w:val="none"/>
        </w:rPr>
      </w:r>
      <w:r/>
    </w:p>
    <w:p>
      <w:pPr>
        <w:rPr>
          <w:color w:val="auto"/>
          <w:highlight w:val="none"/>
        </w:rPr>
      </w:pPr>
      <w:r/>
      <w:bookmarkStart w:id="79" w:name="_Toc24782"/>
      <w:r/>
      <w:bookmarkStart w:id="80" w:name="_Toc1493"/>
      <w:r/>
      <w:bookmarkStart w:id="81" w:name="_Toc477287606"/>
      <w:r>
        <w:rPr>
          <w:rFonts w:hint="eastAsia"/>
          <w:color w:val="auto"/>
          <w:highlight w:val="none"/>
        </w:rPr>
        <w:br w:type="page" w:clear="all"/>
      </w:r>
      <w:r/>
    </w:p>
    <w:p>
      <w:pPr>
        <w:pStyle w:val="939"/>
        <w:jc w:val="center"/>
        <w:spacing w:line="240" w:lineRule="auto"/>
        <w:rPr>
          <w:color w:val="auto"/>
          <w:highlight w:val="none"/>
        </w:rPr>
      </w:pPr>
      <w:r>
        <w:rPr>
          <w:rFonts w:hint="eastAsia"/>
          <w:color w:val="auto"/>
          <w:highlight w:val="none"/>
        </w:rPr>
        <w:t xml:space="preserve">第六部分  投标文件格式</w:t>
      </w:r>
      <w:bookmarkEnd w:id="79"/>
      <w:r/>
      <w:bookmarkEnd w:id="80"/>
      <w:r/>
      <w:bookmarkEnd w:id="81"/>
      <w:r/>
      <w:r/>
    </w:p>
    <w:p>
      <w:pPr>
        <w:rPr>
          <w:rFonts w:ascii="仿宋" w:hAnsi="仿宋" w:eastAsia="仿宋" w:cs="仿宋"/>
          <w:color w:val="auto"/>
          <w:highlight w:val="none"/>
        </w:rPr>
      </w:pPr>
      <w:r/>
      <w:bookmarkStart w:id="82" w:name="_Toc8423"/>
      <w:r/>
      <w:r/>
    </w:p>
    <w:p>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投标文件格式使用注意事项：</w:t>
      </w:r>
      <w:r/>
    </w:p>
    <w:p>
      <w:pPr>
        <w:numPr>
          <w:ilvl w:val="0"/>
          <w:numId w:val="6"/>
        </w:numPr>
        <w:ind w:firstLine="0"/>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投标文件编制时应使用的模板已在本部分列明，招标文件要求提供但未提供模板的，格式自拟。</w:t>
      </w:r>
      <w:r/>
    </w:p>
    <w:p>
      <w:pPr>
        <w:numPr>
          <w:ilvl w:val="0"/>
          <w:numId w:val="6"/>
        </w:numPr>
        <w:ind w:firstLine="0"/>
        <w:rPr>
          <w:b/>
          <w:bCs/>
          <w:color w:val="auto"/>
          <w:sz w:val="32"/>
          <w:szCs w:val="32"/>
          <w:highlight w:val="none"/>
        </w:rPr>
      </w:pPr>
      <w:r>
        <w:rPr>
          <w:rFonts w:hint="eastAsia" w:ascii="仿宋" w:hAnsi="仿宋" w:eastAsia="仿宋" w:cs="仿宋"/>
          <w:b/>
          <w:bCs/>
          <w:color w:val="auto"/>
          <w:sz w:val="32"/>
          <w:szCs w:val="32"/>
          <w:highlight w:val="none"/>
        </w:rPr>
        <w:t xml:space="preserve">模板没有先后顺序，在使用模板时模板名称对应苏采云系统目录名称。</w:t>
      </w:r>
      <w:r/>
    </w:p>
    <w:p>
      <w:pPr>
        <w:pStyle w:val="749"/>
        <w:numPr>
          <w:ilvl w:val="0"/>
          <w:numId w:val="6"/>
        </w:numPr>
        <w:ind w:firstLine="0"/>
        <w:rPr>
          <w:rFonts w:ascii="仿宋" w:hAnsi="仿宋" w:eastAsia="仿宋" w:cs="仿宋"/>
          <w:b/>
          <w:bCs/>
          <w:color w:val="auto"/>
          <w:szCs w:val="32"/>
          <w:highlight w:val="none"/>
        </w:rPr>
      </w:pPr>
      <w:r>
        <w:rPr>
          <w:rFonts w:hint="eastAsia" w:ascii="仿宋" w:hAnsi="仿宋" w:eastAsia="仿宋" w:cs="仿宋"/>
          <w:b/>
          <w:bCs/>
          <w:color w:val="auto"/>
          <w:szCs w:val="32"/>
          <w:highlight w:val="none"/>
        </w:rPr>
        <w:t xml:space="preserve">模板中左上角的名称是为了投标人方便识别和查找，制作投标文件时可以无需使用，例如“（一）基本目录”“封面”等。</w:t>
      </w:r>
      <w:r/>
    </w:p>
    <w:p>
      <w:pPr>
        <w:pStyle w:val="749"/>
        <w:numPr>
          <w:ilvl w:val="0"/>
          <w:numId w:val="6"/>
        </w:numPr>
        <w:ind w:firstLine="0"/>
        <w:rPr>
          <w:rFonts w:ascii="仿宋" w:hAnsi="仿宋" w:eastAsia="仿宋" w:cs="仿宋"/>
          <w:b/>
          <w:bCs/>
          <w:color w:val="auto"/>
          <w:szCs w:val="32"/>
          <w:highlight w:val="none"/>
        </w:rPr>
      </w:pPr>
      <w:r>
        <w:rPr>
          <w:rFonts w:hint="eastAsia" w:ascii="仿宋" w:hAnsi="仿宋" w:eastAsia="仿宋" w:cs="仿宋"/>
          <w:b/>
          <w:bCs/>
          <w:color w:val="auto"/>
          <w:szCs w:val="32"/>
          <w:highlight w:val="none"/>
        </w:rPr>
        <w:t xml:space="preserve">招标文件中提供的投标文件格式与苏采云系统内不一致的，以苏采云系统的格式为准。</w:t>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1035"/>
        <w:rPr>
          <w:rFonts w:ascii="仿宋" w:hAnsi="仿宋" w:eastAsia="仿宋" w:cs="仿宋"/>
          <w:color w:val="auto"/>
          <w:highlight w:val="none"/>
        </w:rPr>
        <w:outlineLvl w:val="1"/>
      </w:pPr>
      <w:r/>
      <w:bookmarkStart w:id="83" w:name="_Toc5114"/>
      <w:r/>
      <w:bookmarkStart w:id="84" w:name="_Toc1654"/>
      <w:r/>
      <w:bookmarkStart w:id="85" w:name="_Toc11830"/>
      <w:r/>
      <w:bookmarkStart w:id="86" w:name="_Toc19636"/>
      <w:r>
        <w:rPr>
          <w:rFonts w:hint="eastAsia" w:ascii="仿宋" w:hAnsi="仿宋" w:eastAsia="仿宋" w:cs="仿宋"/>
          <w:color w:val="auto"/>
          <w:highlight w:val="none"/>
        </w:rPr>
        <w:t xml:space="preserve">（一）基本目录</w:t>
      </w:r>
      <w:bookmarkEnd w:id="83"/>
      <w:r/>
      <w:bookmarkEnd w:id="84"/>
      <w:r/>
      <w:bookmarkEnd w:id="85"/>
      <w:r/>
      <w:bookmarkEnd w:id="86"/>
      <w:r/>
      <w:r/>
    </w:p>
    <w:p>
      <w:pPr>
        <w:pStyle w:val="1024"/>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25"/>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25"/>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67"/>
        <w:jc w:val="center"/>
        <w:spacing w:beforeAutospacing="0" w:afterAutospacing="0"/>
        <w:widowControl/>
        <w:rPr>
          <w:color w:val="auto"/>
          <w:highlight w:val="none"/>
        </w:rPr>
      </w:pPr>
      <w:r>
        <w:rPr>
          <w:rFonts w:ascii="宋体" w:hAnsi="宋体" w:eastAsia="宋体" w:cs="宋体"/>
          <w:b/>
          <w:bCs/>
          <w:color w:val="auto"/>
          <w:sz w:val="72"/>
          <w:szCs w:val="72"/>
          <w:highlight w:val="none"/>
        </w:rPr>
        <w:t xml:space="preserve">投标文件</w:t>
      </w:r>
      <w:r/>
    </w:p>
    <w:p>
      <w:pPr>
        <w:pStyle w:val="767"/>
        <w:jc w:val="center"/>
        <w:spacing w:beforeAutospacing="0" w:afterAutospacing="0"/>
        <w:widowControl/>
        <w:rPr>
          <w:color w:val="auto"/>
          <w:highlight w:val="none"/>
        </w:rPr>
      </w:pPr>
      <w:r>
        <w:rPr>
          <w:rFonts w:ascii="宋体" w:hAnsi="宋体" w:eastAsia="宋体" w:cs="宋体"/>
          <w:b/>
          <w:bCs/>
          <w:color w:val="auto"/>
          <w:sz w:val="72"/>
          <w:szCs w:val="72"/>
          <w:highlight w:val="none"/>
        </w:rPr>
        <w:t xml:space="preserve"> </w:t>
      </w:r>
      <w:r/>
    </w:p>
    <w:p>
      <w:pPr>
        <w:pStyle w:val="767"/>
        <w:jc w:val="center"/>
        <w:spacing w:beforeAutospacing="0" w:afterAutospacing="0"/>
        <w:widowControl/>
        <w:rPr>
          <w:color w:val="auto"/>
          <w:highlight w:val="none"/>
        </w:rPr>
      </w:pPr>
      <w:r>
        <w:rPr>
          <w:rFonts w:ascii="宋体" w:hAnsi="宋体" w:eastAsia="宋体" w:cs="宋体"/>
          <w:b/>
          <w:bCs/>
          <w:color w:val="auto"/>
          <w:sz w:val="72"/>
          <w:szCs w:val="72"/>
          <w:highlight w:val="none"/>
        </w:rPr>
        <w:t xml:space="preserve"> </w:t>
      </w:r>
      <w:r/>
    </w:p>
    <w:p>
      <w:pPr>
        <w:pStyle w:val="767"/>
        <w:jc w:val="center"/>
        <w:spacing w:beforeAutospacing="0" w:afterAutospacing="0"/>
        <w:widowControl/>
        <w:rPr>
          <w:color w:val="auto"/>
          <w:highlight w:val="none"/>
        </w:rPr>
      </w:pPr>
      <w:r>
        <w:rPr>
          <w:rFonts w:ascii="宋体" w:hAnsi="宋体" w:eastAsia="宋体" w:cs="宋体"/>
          <w:b/>
          <w:bCs/>
          <w:color w:val="auto"/>
          <w:sz w:val="36"/>
          <w:szCs w:val="36"/>
          <w:highlight w:val="none"/>
        </w:rPr>
        <w:t xml:space="preserve"> </w:t>
      </w:r>
      <w:r/>
    </w:p>
    <w:p>
      <w:pPr>
        <w:pStyle w:val="767"/>
        <w:jc w:val="center"/>
        <w:spacing w:beforeAutospacing="0" w:afterAutospacing="0"/>
        <w:widowControl/>
        <w:rPr>
          <w:color w:val="auto"/>
          <w:highlight w:val="none"/>
        </w:rPr>
      </w:pPr>
      <w:r>
        <w:rPr>
          <w:rFonts w:ascii="宋体" w:hAnsi="宋体" w:eastAsia="宋体" w:cs="宋体"/>
          <w:b/>
          <w:bCs/>
          <w:color w:val="auto"/>
          <w:sz w:val="36"/>
          <w:szCs w:val="36"/>
          <w:highlight w:val="none"/>
        </w:rPr>
        <w:t xml:space="preserve"> </w:t>
      </w:r>
      <w:r/>
    </w:p>
    <w:p>
      <w:pPr>
        <w:pStyle w:val="767"/>
        <w:jc w:val="center"/>
        <w:spacing w:beforeAutospacing="0" w:afterAutospacing="0"/>
        <w:widowControl/>
        <w:rPr>
          <w:color w:val="auto"/>
          <w:highlight w:val="none"/>
        </w:rPr>
      </w:pPr>
      <w:r>
        <w:rPr>
          <w:rFonts w:ascii="宋体" w:hAnsi="宋体" w:eastAsia="宋体" w:cs="宋体"/>
          <w:b/>
          <w:bCs/>
          <w:color w:val="auto"/>
          <w:sz w:val="36"/>
          <w:szCs w:val="36"/>
          <w:highlight w:val="none"/>
        </w:rPr>
        <w:t xml:space="preserve"> </w:t>
      </w:r>
      <w:r/>
    </w:p>
    <w:p>
      <w:pPr>
        <w:pStyle w:val="767"/>
        <w:jc w:val="both"/>
        <w:spacing w:beforeAutospacing="0" w:afterAutospacing="0"/>
        <w:widowControl/>
        <w:rPr>
          <w:color w:val="auto"/>
          <w:highlight w:val="none"/>
        </w:rPr>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767"/>
        <w:jc w:val="both"/>
        <w:spacing w:beforeAutospacing="0" w:afterAutospacing="0"/>
        <w:widowControl/>
        <w:rPr>
          <w:color w:val="auto"/>
          <w:highlight w:val="none"/>
        </w:rPr>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767"/>
        <w:jc w:val="both"/>
        <w:spacing w:beforeAutospacing="0" w:afterAutospacing="0"/>
        <w:widowControl/>
        <w:rPr>
          <w:rFonts w:eastAsia="宋体"/>
          <w:color w:val="auto"/>
          <w:highlight w:val="none"/>
        </w:rPr>
      </w:pPr>
      <w:r>
        <w:rPr>
          <w:rFonts w:ascii="宋体" w:hAnsi="宋体" w:eastAsia="宋体" w:cs="宋体"/>
          <w:b/>
          <w:bCs/>
          <w:color w:val="auto"/>
          <w:spacing w:val="18"/>
          <w:sz w:val="36"/>
          <w:szCs w:val="36"/>
          <w:highlight w:val="none"/>
        </w:rPr>
        <w:t xml:space="preserve">投标人名称</w:t>
      </w:r>
      <w:r>
        <w:rPr>
          <w:rFonts w:ascii="宋体" w:hAnsi="宋体" w:eastAsia="宋体" w:cs="宋体"/>
          <w:b/>
          <w:bCs/>
          <w:color w:val="auto"/>
          <w:sz w:val="36"/>
          <w:szCs w:val="36"/>
          <w:highlight w:val="none"/>
        </w:rPr>
        <w:t xml:space="preserve">：</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rPr>
        <w:t xml:space="preserve">           </w:t>
      </w:r>
      <w:r/>
    </w:p>
    <w:p>
      <w:pPr>
        <w:pStyle w:val="767"/>
        <w:jc w:val="both"/>
        <w:spacing w:beforeAutospacing="0" w:afterAutospacing="0"/>
        <w:widowControl/>
        <w:rPr>
          <w:color w:val="auto"/>
          <w:highlight w:val="none"/>
        </w:rPr>
      </w:pPr>
      <w:r>
        <w:rPr>
          <w:rFonts w:ascii="宋体" w:hAnsi="宋体" w:eastAsia="宋体" w:cs="宋体"/>
          <w:b/>
          <w:bCs/>
          <w:color w:val="auto"/>
          <w:sz w:val="36"/>
          <w:szCs w:val="36"/>
          <w:highlight w:val="none"/>
        </w:rPr>
        <w:t xml:space="preserve">日  </w:t>
      </w:r>
      <w:r>
        <w:rPr>
          <w:rFonts w:hint="eastAsia" w:ascii="宋体" w:hAnsi="宋体" w:eastAsia="宋体" w:cs="宋体"/>
          <w:b/>
          <w:bCs/>
          <w:color w:val="auto"/>
          <w:sz w:val="36"/>
          <w:szCs w:val="36"/>
          <w:highlight w:val="none"/>
        </w:rPr>
        <w:t xml:space="preserve"> </w:t>
      </w:r>
      <w:r>
        <w:rPr>
          <w:rFonts w:ascii="宋体" w:hAnsi="宋体" w:eastAsia="宋体" w:cs="宋体"/>
          <w:b/>
          <w:bCs/>
          <w:color w:val="auto"/>
          <w:sz w:val="36"/>
          <w:szCs w:val="36"/>
          <w:highlight w:val="none"/>
        </w:rPr>
        <w:t xml:space="preserve"> 期：</w:t>
      </w:r>
      <w:r>
        <w:rPr>
          <w:rFonts w:ascii="宋体" w:hAnsi="宋体" w:eastAsia="宋体" w:cs="宋体"/>
          <w:b/>
          <w:bCs/>
          <w:color w:val="auto"/>
          <w:sz w:val="36"/>
          <w:szCs w:val="36"/>
          <w:highlight w:val="none"/>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26"/>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38"/>
        <w:rPr>
          <w:rFonts w:ascii="仿宋" w:hAnsi="仿宋" w:eastAsia="仿宋" w:cs="仿宋"/>
          <w:b/>
          <w:color w:val="auto"/>
          <w:sz w:val="32"/>
          <w:szCs w:val="24"/>
          <w:highlight w:val="none"/>
        </w:rPr>
        <w:outlineLvl w:val="2"/>
      </w:pPr>
      <w:r/>
      <w:bookmarkStart w:id="87"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ascii="仿宋" w:hAnsi="仿宋" w:eastAsia="仿宋" w:cs="仿宋"/>
          <w:color w:val="auto"/>
          <w:highlight w:val="none"/>
        </w:rPr>
      </w:pPr>
      <w:r>
        <w:rPr>
          <w:rFonts w:hint="eastAsia" w:ascii="仿宋" w:hAnsi="仿宋" w:eastAsia="仿宋" w:cs="仿宋"/>
          <w:b/>
          <w:color w:val="auto"/>
          <w:sz w:val="32"/>
          <w:highlight w:val="none"/>
        </w:rPr>
        <w:t xml:space="preserve">开标一览表（总价）</w:t>
      </w:r>
      <w:r/>
    </w:p>
    <w:p>
      <w:pPr>
        <w:jc w:val="left"/>
        <w:spacing w:beforeAutospacing="1" w:afterAutospacing="1"/>
        <w:widowControl/>
        <w:rPr>
          <w:rFonts w:ascii="仿宋" w:hAnsi="仿宋" w:eastAsia="仿宋" w:cs="仿宋"/>
          <w:color w:val="auto"/>
          <w:highlight w:val="none"/>
        </w:rPr>
      </w:pPr>
      <w:r>
        <w:rPr>
          <w:rFonts w:hint="eastAsia" w:ascii="仿宋" w:hAnsi="仿宋" w:eastAsia="仿宋" w:cs="仿宋"/>
          <w:color w:val="auto"/>
          <w:highlight w:val="none"/>
        </w:rPr>
        <w:t xml:space="preserve">投标人全称（CA公章）：</w:t>
      </w:r>
      <w:r/>
    </w:p>
    <w:p>
      <w:pPr>
        <w:jc w:val="left"/>
        <w:spacing w:beforeAutospacing="1" w:afterAutospacing="1"/>
        <w:widowControl/>
        <w:rPr>
          <w:rFonts w:ascii="仿宋" w:hAnsi="仿宋" w:eastAsia="仿宋" w:cs="仿宋"/>
          <w:color w:val="auto"/>
          <w:highlight w:val="none"/>
        </w:rPr>
      </w:pPr>
      <w:r>
        <w:rPr>
          <w:rFonts w:hint="eastAsia" w:ascii="仿宋" w:hAnsi="仿宋" w:eastAsia="仿宋" w:cs="仿宋"/>
          <w:color w:val="auto"/>
          <w:highlight w:val="none"/>
        </w:rPr>
        <w:t xml:space="preserve">项目名称：</w:t>
      </w:r>
      <w:r/>
    </w:p>
    <w:p>
      <w:pPr>
        <w:jc w:val="left"/>
        <w:spacing w:beforeAutospacing="1" w:afterAutospacing="1"/>
        <w:widowControl/>
        <w:rPr>
          <w:rFonts w:ascii="仿宋" w:hAnsi="仿宋" w:eastAsia="仿宋" w:cs="仿宋"/>
          <w:color w:val="auto"/>
          <w:highlight w:val="none"/>
        </w:rPr>
      </w:pPr>
      <w:r>
        <w:rPr>
          <w:rFonts w:hint="eastAsia" w:ascii="仿宋" w:hAnsi="仿宋" w:eastAsia="仿宋" w:cs="仿宋"/>
          <w:color w:val="auto"/>
          <w:highlight w:val="none"/>
        </w:rPr>
        <w:t xml:space="preserve">项目编号： </w:t>
      </w:r>
      <w:r/>
    </w:p>
    <w:p>
      <w:pPr>
        <w:jc w:val="left"/>
        <w:spacing w:beforeAutospacing="1" w:afterAutospacing="1"/>
        <w:widowControl/>
        <w:rPr>
          <w:rFonts w:ascii="仿宋" w:hAnsi="仿宋" w:eastAsia="仿宋" w:cs="仿宋"/>
          <w:color w:val="auto"/>
          <w:highlight w:val="none"/>
        </w:rPr>
      </w:pPr>
      <w:r>
        <w:rPr>
          <w:rFonts w:hint="eastAsia" w:ascii="仿宋" w:hAnsi="仿宋" w:eastAsia="仿宋" w:cs="仿宋"/>
          <w:color w:val="auto"/>
          <w:highlight w:val="none"/>
        </w:rPr>
        <w:t xml:space="preserve">分包号：</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5"/>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投标服务名称</w:t>
            </w:r>
            <w:r/>
          </w:p>
        </w:tc>
        <w:tc>
          <w:tcPr>
            <w:tcMar>
              <w:top w:w="100" w:type="dxa"/>
              <w:bottom w:w="100" w:type="dxa"/>
            </w:tcMar>
            <w:tcW w:w="5587" w:type="dxa"/>
            <w:vAlign w:val="center"/>
            <w:textDirection w:val="lrTb"/>
            <w:noWrap w:val="false"/>
          </w:tcPr>
          <w:p>
            <w:pPr>
              <w:pStyle w:val="1045"/>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总价</w:t>
            </w:r>
            <w:r>
              <w:rPr>
                <w:rFonts w:hint="eastAsia" w:ascii="仿宋" w:hAnsi="仿宋" w:eastAsia="仿宋" w:cs="仿宋"/>
                <w:b/>
                <w:color w:val="auto"/>
                <w:highlight w:val="none"/>
                <w:lang w:eastAsia="zh-CN"/>
              </w:rPr>
              <w:t xml:space="preserve">（元）</w:t>
            </w:r>
            <w:r/>
          </w:p>
        </w:tc>
      </w:tr>
      <w:tr>
        <w:trPr>
          <w:trHeight w:val="1264"/>
          <w:tblHeader/>
        </w:trPr>
        <w:tc>
          <w:tcPr>
            <w:tcMar>
              <w:top w:w="100" w:type="dxa"/>
              <w:bottom w:w="100" w:type="dxa"/>
            </w:tcMar>
            <w:tcW w:w="3473" w:type="dxa"/>
            <w:vAlign w:val="center"/>
            <w:textDirection w:val="lrTb"/>
            <w:noWrap w:val="false"/>
          </w:tcPr>
          <w:p>
            <w:pPr>
              <w:pStyle w:val="1045"/>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（投标服务名称）</w:t>
            </w:r>
            <w:r/>
          </w:p>
        </w:tc>
        <w:tc>
          <w:tcPr>
            <w:tcMar>
              <w:top w:w="100" w:type="dxa"/>
              <w:bottom w:w="100" w:type="dxa"/>
            </w:tcMar>
            <w:tcW w:w="5587" w:type="dxa"/>
            <w:vAlign w:val="center"/>
            <w:textDirection w:val="lrTb"/>
            <w:noWrap w:val="false"/>
          </w:tcPr>
          <w:p>
            <w:pPr>
              <w:pStyle w:val="1045"/>
              <w:spacing w:line="440" w:lineRule="exact"/>
              <w:rPr>
                <w:rFonts w:hint="eastAsia" w:ascii="仿宋" w:hAnsi="仿宋" w:eastAsia="仿宋" w:cs="仿宋"/>
                <w:bCs/>
                <w:color w:val="auto"/>
                <w:highlight w:val="none"/>
                <w:lang w:val="en-US" w:eastAsia="zh-CN"/>
              </w:rPr>
            </w:pPr>
            <w:r>
              <w:rPr>
                <w:rFonts w:hint="eastAsia" w:ascii="仿宋" w:hAnsi="仿宋" w:eastAsia="仿宋" w:cs="仿宋"/>
                <w:bCs/>
                <w:color w:val="auto"/>
                <w:highlight w:val="none"/>
                <w:u w:val="single"/>
                <w:lang w:val="en-US" w:eastAsia="zh-CN"/>
              </w:rPr>
              <w:t xml:space="preserve">小写：</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rPr>
              <w:t xml:space="preserve">元</w:t>
            </w:r>
            <w:r/>
          </w:p>
          <w:p>
            <w:pPr>
              <w:pStyle w:val="1045"/>
              <w:ind w:firstLine="0"/>
              <w:spacing w:line="44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u w:val="single"/>
                <w:lang w:val="en-US" w:eastAsia="zh-CN"/>
              </w:rPr>
              <w:t xml:space="preserve">大写：</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5"/>
              <w:ind w:firstLine="0"/>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注：1.本开标一览表的格式以苏采云系统中为准。</w:t>
            </w:r>
            <w:r/>
          </w:p>
          <w:p>
            <w:pPr>
              <w:pStyle w:val="1045"/>
              <w:ind w:firstLine="0"/>
              <w:spacing w:line="44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lang w:val="en-US" w:eastAsia="zh-CN"/>
              </w:rPr>
              <w:t xml:space="preserve">    </w:t>
            </w:r>
            <w:r>
              <w:rPr>
                <w:rFonts w:hint="eastAsia" w:ascii="仿宋" w:hAnsi="仿宋" w:eastAsia="仿宋" w:cs="仿宋"/>
                <w:b/>
                <w:color w:val="auto"/>
                <w:sz w:val="28"/>
                <w:szCs w:val="28"/>
                <w:highlight w:val="none"/>
              </w:rPr>
              <w:t xml:space="preserve">2.以上价格指三年服务总价。</w:t>
            </w:r>
            <w:r/>
          </w:p>
        </w:tc>
      </w:tr>
    </w:tbl>
    <w:p>
      <w:pPr>
        <w:rPr>
          <w:rFonts w:ascii="仿宋" w:hAnsi="仿宋" w:eastAsia="仿宋" w:cs="仿宋"/>
          <w:color w:val="auto"/>
          <w:sz w:val="21"/>
          <w:szCs w:val="22"/>
          <w:highlight w:val="none"/>
        </w:rPr>
      </w:pPr>
      <w:r>
        <w:rPr>
          <w:rFonts w:ascii="仿宋" w:hAnsi="仿宋" w:eastAsia="仿宋" w:cs="仿宋"/>
          <w:color w:val="auto"/>
          <w:sz w:val="21"/>
          <w:szCs w:val="22"/>
          <w:highlight w:val="none"/>
        </w:rPr>
      </w:r>
      <w:r/>
    </w:p>
    <w:p>
      <w:pPr>
        <w:pStyle w:val="1045"/>
        <w:ind w:firstLine="964"/>
        <w:spacing w:line="520" w:lineRule="exact"/>
        <w:rPr>
          <w:rFonts w:ascii="仿宋" w:hAnsi="仿宋" w:eastAsia="仿宋" w:cs="仿宋"/>
          <w:b/>
          <w:color w:val="auto"/>
          <w:szCs w:val="20"/>
          <w:highlight w:val="none"/>
        </w:rPr>
      </w:pPr>
      <w:r>
        <w:rPr>
          <w:rFonts w:ascii="仿宋" w:hAnsi="仿宋" w:eastAsia="仿宋" w:cs="仿宋"/>
          <w:b/>
          <w:color w:val="auto"/>
          <w:szCs w:val="20"/>
          <w:highlight w:val="none"/>
        </w:rPr>
      </w:r>
      <w:r/>
    </w:p>
    <w:p>
      <w:pPr>
        <w:pStyle w:val="1038"/>
        <w:jc w:val="right"/>
        <w:spacing w:line="580" w:lineRule="exact"/>
        <w:tabs>
          <w:tab w:val="left" w:pos="1498" w:leader="none"/>
        </w:tabs>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年    月    日</w:t>
      </w:r>
      <w:r/>
    </w:p>
    <w:p>
      <w:pPr>
        <w:pStyle w:val="1038"/>
        <w:jc w:val="left"/>
        <w:spacing w:line="580" w:lineRule="exact"/>
        <w:tabs>
          <w:tab w:val="left" w:pos="1498" w:leader="none"/>
        </w:tabs>
        <w:rPr>
          <w:rFonts w:ascii="仿宋" w:hAnsi="仿宋" w:eastAsia="仿宋" w:cs="仿宋"/>
          <w:b/>
          <w:color w:val="auto"/>
          <w:sz w:val="24"/>
          <w:szCs w:val="20"/>
          <w:highlight w:val="none"/>
        </w:rPr>
      </w:pPr>
      <w:r>
        <w:rPr>
          <w:rFonts w:ascii="仿宋" w:hAnsi="仿宋" w:eastAsia="仿宋" w:cs="仿宋"/>
          <w:b/>
          <w:color w:val="auto"/>
          <w:sz w:val="24"/>
          <w:szCs w:val="20"/>
          <w:highlight w:val="none"/>
        </w:rPr>
      </w:r>
      <w:r/>
    </w:p>
    <w:p>
      <w:pPr>
        <w:pStyle w:val="1038"/>
        <w:jc w:val="left"/>
        <w:spacing w:line="580" w:lineRule="exact"/>
        <w:tabs>
          <w:tab w:val="left" w:pos="1498" w:leader="none"/>
        </w:tabs>
        <w:rPr>
          <w:rFonts w:ascii="仿宋" w:hAnsi="仿宋" w:eastAsia="仿宋" w:cs="仿宋"/>
          <w:b/>
          <w:color w:val="auto"/>
          <w:sz w:val="24"/>
          <w:szCs w:val="20"/>
          <w:highlight w:val="none"/>
        </w:rPr>
      </w:pPr>
      <w:r>
        <w:rPr>
          <w:rFonts w:ascii="仿宋" w:hAnsi="仿宋" w:eastAsia="仿宋" w:cs="仿宋"/>
          <w:b/>
          <w:color w:val="auto"/>
          <w:sz w:val="24"/>
          <w:szCs w:val="20"/>
          <w:highlight w:val="none"/>
        </w:rPr>
      </w:r>
      <w:r/>
    </w:p>
    <w:p>
      <w:pPr>
        <w:pStyle w:val="1038"/>
        <w:jc w:val="left"/>
        <w:spacing w:line="580" w:lineRule="exact"/>
        <w:tabs>
          <w:tab w:val="left" w:pos="1498" w:leader="none"/>
        </w:tabs>
        <w:rPr>
          <w:rFonts w:ascii="仿宋" w:hAnsi="仿宋" w:eastAsia="仿宋" w:cs="仿宋"/>
          <w:b/>
          <w:color w:val="auto"/>
          <w:sz w:val="24"/>
          <w:szCs w:val="20"/>
          <w:highlight w:val="none"/>
        </w:rPr>
      </w:pPr>
      <w:r>
        <w:rPr>
          <w:rFonts w:ascii="仿宋" w:hAnsi="仿宋" w:eastAsia="仿宋" w:cs="仿宋"/>
          <w:b/>
          <w:color w:val="auto"/>
          <w:sz w:val="24"/>
          <w:szCs w:val="20"/>
          <w:highlight w:val="none"/>
        </w:rPr>
      </w:r>
      <w:bookmarkEnd w:id="87"/>
      <w:r/>
      <w:r/>
    </w:p>
    <w:p>
      <w:pPr>
        <w:rPr>
          <w:rFonts w:ascii="仿宋" w:hAnsi="仿宋" w:eastAsia="仿宋" w:cs="仿宋"/>
          <w:b/>
          <w:color w:val="auto"/>
          <w:sz w:val="32"/>
          <w:highlight w:val="none"/>
        </w:rPr>
      </w:pPr>
      <w:r>
        <w:rPr>
          <w:rFonts w:hint="eastAsia" w:ascii="仿宋" w:hAnsi="仿宋" w:eastAsia="仿宋" w:cs="仿宋"/>
          <w:b/>
          <w:color w:val="auto"/>
          <w:sz w:val="32"/>
          <w:highlight w:val="none"/>
        </w:rPr>
        <w:br w:type="page" w:clear="all"/>
      </w:r>
      <w:r/>
    </w:p>
    <w:p>
      <w:pPr>
        <w:pStyle w:val="1045"/>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43"/>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851"/>
        <w:gridCol w:w="1559"/>
        <w:gridCol w:w="1134"/>
        <w:gridCol w:w="1373"/>
        <w:gridCol w:w="1134"/>
        <w:gridCol w:w="1276"/>
        <w:gridCol w:w="1036"/>
      </w:tblGrid>
      <w:tr>
        <w:trPr>
          <w:trHeight w:val="678"/>
        </w:trPr>
        <w:tc>
          <w:tcPr>
            <w:gridSpan w:val="8"/>
            <w:tcW w:w="907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南京医科大学附属口腔医院后勤运维服务</w:t>
            </w:r>
            <w:r/>
          </w:p>
        </w:tc>
      </w:tr>
      <w:tr>
        <w:trPr/>
        <w:tc>
          <w:tcPr>
            <w:tcW w:w="708" w:type="dxa"/>
            <w:vAlign w:val="center"/>
            <w:vMerge w:val="restart"/>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851" w:type="dxa"/>
            <w:vAlign w:val="center"/>
            <w:vMerge w:val="restart"/>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岗位名称</w:t>
            </w:r>
            <w:r/>
          </w:p>
        </w:tc>
        <w:tc>
          <w:tcPr>
            <w:gridSpan w:val="3"/>
            <w:tcW w:w="4066"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岗位要求</w:t>
            </w:r>
            <w:r/>
          </w:p>
        </w:tc>
        <w:tc>
          <w:tcPr>
            <w:tcW w:w="1134" w:type="dxa"/>
            <w:vAlign w:val="center"/>
            <w:vMerge w:val="restart"/>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投标响应人数</w:t>
            </w:r>
            <w:r/>
          </w:p>
        </w:tc>
        <w:tc>
          <w:tcPr>
            <w:tcW w:w="1276" w:type="dxa"/>
            <w:vAlign w:val="center"/>
            <w:vMerge w:val="restart"/>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单价</w:t>
            </w:r>
            <w:r/>
          </w:p>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（元/人/月）</w:t>
            </w:r>
            <w:r/>
          </w:p>
        </w:tc>
        <w:tc>
          <w:tcPr>
            <w:tcW w:w="1036" w:type="dxa"/>
            <w:vAlign w:val="center"/>
            <w:vMerge w:val="restart"/>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合计</w:t>
            </w:r>
            <w:r/>
          </w:p>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（元/年）</w:t>
            </w:r>
            <w:r/>
          </w:p>
        </w:tc>
      </w:tr>
      <w:tr>
        <w:trPr/>
        <w:tc>
          <w:tcPr>
            <w:tcW w:w="708" w:type="dxa"/>
            <w:vAlign w:val="center"/>
            <w:vMerge w:val="continue"/>
            <w:textDirection w:val="lrTb"/>
            <w:noWrap w:val="false"/>
          </w:tcPr>
          <w:p>
            <w:pPr>
              <w:jc w:val="center"/>
              <w:spacing w:line="440" w:lineRule="exact"/>
              <w:widowControl/>
              <w:rPr>
                <w:rFonts w:ascii="仿宋" w:hAnsi="仿宋" w:eastAsia="仿宋" w:cs="仿宋"/>
                <w:b/>
                <w:color w:val="auto"/>
                <w:highlight w:val="none"/>
              </w:rPr>
            </w:pPr>
            <w:r>
              <w:rPr>
                <w:rFonts w:ascii="仿宋" w:hAnsi="仿宋" w:eastAsia="仿宋" w:cs="仿宋"/>
                <w:b/>
                <w:color w:val="auto"/>
                <w:highlight w:val="none"/>
              </w:rPr>
            </w:r>
            <w:r/>
          </w:p>
        </w:tc>
        <w:tc>
          <w:tcPr>
            <w:tcW w:w="851" w:type="dxa"/>
            <w:vAlign w:val="center"/>
            <w:vMerge w:val="continue"/>
            <w:textDirection w:val="lrTb"/>
            <w:noWrap w:val="false"/>
          </w:tcPr>
          <w:p>
            <w:pPr>
              <w:jc w:val="center"/>
              <w:spacing w:line="440" w:lineRule="exact"/>
              <w:widowControl/>
              <w:rPr>
                <w:rFonts w:ascii="仿宋" w:hAnsi="仿宋" w:eastAsia="仿宋" w:cs="仿宋"/>
                <w:b/>
                <w:color w:val="auto"/>
                <w:highlight w:val="none"/>
              </w:rPr>
            </w:pPr>
            <w:r>
              <w:rPr>
                <w:rFonts w:ascii="仿宋" w:hAnsi="仿宋" w:eastAsia="仿宋" w:cs="仿宋"/>
                <w:b/>
                <w:color w:val="auto"/>
                <w:highlight w:val="none"/>
              </w:rPr>
            </w:r>
            <w:r/>
          </w:p>
        </w:tc>
        <w:tc>
          <w:tcPr>
            <w:tcW w:w="1559"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综合楼</w:t>
            </w:r>
            <w:r/>
          </w:p>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（老大楼启用前）</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w:t>
            </w:r>
            <w:r/>
          </w:p>
        </w:tc>
        <w:tc>
          <w:tcPr>
            <w:tcW w:w="1373"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老大楼启用后增加</w:t>
            </w:r>
            <w:r/>
          </w:p>
        </w:tc>
        <w:tc>
          <w:tcPr>
            <w:tcW w:w="1134" w:type="dxa"/>
            <w:vAlign w:val="center"/>
            <w:vMerge w:val="continue"/>
            <w:textDirection w:val="lrTb"/>
            <w:noWrap w:val="false"/>
          </w:tcPr>
          <w:p>
            <w:pPr>
              <w:jc w:val="center"/>
              <w:spacing w:line="440" w:lineRule="exact"/>
              <w:widowControl/>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vMerge w:val="continue"/>
            <w:textDirection w:val="lrTb"/>
            <w:noWrap w:val="false"/>
          </w:tcPr>
          <w:p>
            <w:pPr>
              <w:jc w:val="center"/>
              <w:spacing w:line="440" w:lineRule="exact"/>
              <w:widowControl/>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vMerge w:val="continue"/>
            <w:textDirection w:val="lrTb"/>
            <w:noWrap w:val="false"/>
          </w:tcPr>
          <w:p>
            <w:pPr>
              <w:jc w:val="center"/>
              <w:spacing w:line="440" w:lineRule="exact"/>
              <w:widowControl/>
              <w:rPr>
                <w:rFonts w:ascii="仿宋" w:hAnsi="仿宋" w:eastAsia="仿宋" w:cs="仿宋"/>
                <w:b/>
                <w:color w:val="auto"/>
                <w:highlight w:val="none"/>
              </w:rPr>
            </w:pPr>
            <w:r>
              <w:rPr>
                <w:rFonts w:ascii="仿宋" w:hAnsi="仿宋" w:eastAsia="仿宋" w:cs="仿宋"/>
                <w:b/>
                <w:color w:val="auto"/>
                <w:highlight w:val="none"/>
              </w:rPr>
            </w:r>
            <w:r/>
          </w:p>
        </w:tc>
      </w:tr>
      <w:tr>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1</w:t>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项目经理</w:t>
            </w:r>
            <w:r/>
          </w:p>
        </w:tc>
        <w:tc>
          <w:tcPr>
            <w:gridSpan w:val="3"/>
            <w:tcW w:w="4066" w:type="dxa"/>
            <w:vAlign w:val="center"/>
            <w:textDirection w:val="lrTb"/>
            <w:noWrap w:val="false"/>
          </w:tcPr>
          <w:p>
            <w:pPr>
              <w:jc w:val="center"/>
              <w:rPr>
                <w:rFonts w:ascii="仿宋" w:hAnsi="仿宋" w:eastAsia="仿宋" w:cs="仿宋"/>
                <w:bCs/>
                <w:color w:val="auto"/>
                <w:highlight w:val="none"/>
              </w:rPr>
            </w:pPr>
            <w:r>
              <w:rPr>
                <w:rFonts w:hint="eastAsia" w:ascii="仿宋" w:hAnsi="仿宋" w:eastAsia="仿宋" w:cs="仿宋"/>
                <w:color w:val="auto"/>
                <w:highlight w:val="none"/>
              </w:rPr>
              <w:t xml:space="preserve">岗位数：</w:t>
            </w:r>
            <w:r>
              <w:rPr>
                <w:rFonts w:hint="eastAsia" w:ascii="仿宋" w:hAnsi="仿宋" w:eastAsia="仿宋" w:cs="仿宋"/>
                <w:bCs/>
                <w:color w:val="auto"/>
                <w:highlight w:val="none"/>
              </w:rPr>
              <w:t xml:space="preserve">1</w:t>
            </w:r>
            <w:r>
              <w:rPr>
                <w:rFonts w:hint="eastAsia" w:ascii="仿宋" w:hAnsi="仿宋" w:eastAsia="仿宋" w:cs="仿宋"/>
                <w:color w:val="auto"/>
                <w:highlight w:val="none"/>
              </w:rPr>
              <w:t xml:space="preserve">每周工作不低于5日（以工作日为主）</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rHeight w:val="1731"/>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2</w:t>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文员</w:t>
            </w:r>
            <w:r/>
          </w:p>
          <w:p>
            <w:pPr>
              <w:spacing w:line="440" w:lineRule="exact"/>
              <w:rPr>
                <w:rFonts w:ascii="仿宋" w:hAnsi="仿宋" w:eastAsia="仿宋" w:cs="仿宋"/>
                <w:color w:val="auto"/>
                <w:highlight w:val="none"/>
              </w:rPr>
            </w:pPr>
            <w:r>
              <w:rPr>
                <w:rFonts w:hint="eastAsia" w:ascii="仿宋" w:hAnsi="仿宋" w:eastAsia="仿宋" w:cs="仿宋"/>
                <w:b/>
                <w:bCs/>
                <w:color w:val="auto"/>
                <w:highlight w:val="none"/>
              </w:rPr>
              <w:t xml:space="preserve">（楼控、调度）</w:t>
            </w:r>
            <w:r/>
          </w:p>
        </w:tc>
        <w:tc>
          <w:tcPr>
            <w:gridSpan w:val="3"/>
            <w:tcW w:w="4066" w:type="dxa"/>
            <w:vAlign w:val="center"/>
            <w:textDirection w:val="lrTb"/>
            <w:noWrap w:val="false"/>
          </w:tcPr>
          <w:p>
            <w:pPr>
              <w:jc w:val="center"/>
              <w:rPr>
                <w:rFonts w:ascii="仿宋" w:hAnsi="仿宋" w:eastAsia="仿宋" w:cs="仿宋"/>
                <w:bCs/>
                <w:color w:val="auto"/>
                <w:highlight w:val="none"/>
              </w:rPr>
            </w:pPr>
            <w:r>
              <w:rPr>
                <w:rFonts w:hint="eastAsia" w:ascii="仿宋" w:hAnsi="仿宋" w:eastAsia="仿宋" w:cs="仿宋"/>
                <w:color w:val="auto"/>
                <w:highlight w:val="none"/>
              </w:rPr>
              <w:t xml:space="preserve">岗位数：</w:t>
            </w:r>
            <w:r>
              <w:rPr>
                <w:rFonts w:hint="eastAsia" w:ascii="仿宋" w:hAnsi="仿宋" w:eastAsia="仿宋" w:cs="仿宋"/>
                <w:bCs/>
                <w:color w:val="auto"/>
                <w:highlight w:val="none"/>
              </w:rPr>
              <w:t xml:space="preserve">1</w:t>
            </w:r>
            <w:r>
              <w:rPr>
                <w:rFonts w:hint="eastAsia" w:ascii="仿宋" w:hAnsi="仿宋" w:eastAsia="仿宋" w:cs="仿宋"/>
                <w:color w:val="auto"/>
                <w:highlight w:val="none"/>
              </w:rPr>
              <w:t xml:space="preserve">每周工作不低于5日（以工作日为主）</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559"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综合楼</w:t>
            </w:r>
            <w:r/>
          </w:p>
          <w:p>
            <w:pPr>
              <w:jc w:val="cente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（1号楼）</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投标响应人数</w:t>
            </w:r>
            <w:r/>
          </w:p>
        </w:tc>
        <w:tc>
          <w:tcPr>
            <w:tcW w:w="1373"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老大楼</w:t>
            </w:r>
            <w:r/>
          </w:p>
          <w:p>
            <w:pPr>
              <w:jc w:val="cente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（2号楼）</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投标响应人数</w:t>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供热通风空调系统运维</w:t>
            </w:r>
            <w:r/>
          </w:p>
        </w:tc>
        <w:tc>
          <w:tcPr>
            <w:tcW w:w="1559"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每日岗位数：3</w:t>
            </w:r>
            <w:r/>
          </w:p>
        </w:tc>
        <w:tc>
          <w:tcPr>
            <w:tcW w:w="1134"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373"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每日岗位数：1</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4</w:t>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水电气、正负压、医用气体系统及特种设备运维</w:t>
            </w:r>
            <w:r/>
          </w:p>
        </w:tc>
        <w:tc>
          <w:tcPr>
            <w:tcW w:w="1559"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每日岗位数：3</w:t>
            </w:r>
            <w:r/>
          </w:p>
        </w:tc>
        <w:tc>
          <w:tcPr>
            <w:tcW w:w="1134"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373"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每日岗位数：1</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5</w:t>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零星维修</w:t>
            </w:r>
            <w:r/>
          </w:p>
        </w:tc>
        <w:tc>
          <w:tcPr>
            <w:tcW w:w="1559"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每日岗位数：4</w:t>
            </w:r>
            <w:r/>
          </w:p>
        </w:tc>
        <w:tc>
          <w:tcPr>
            <w:tcW w:w="1134" w:type="dxa"/>
            <w:vAlign w:val="center"/>
            <w:textDirection w:val="lrTb"/>
            <w:noWrap w:val="false"/>
          </w:tcPr>
          <w:p>
            <w:pPr>
              <w:jc w:val="center"/>
              <w:spacing w:line="440" w:lineRule="exact"/>
              <w:rPr>
                <w:rFonts w:ascii="仿宋" w:hAnsi="仿宋" w:eastAsia="仿宋" w:cs="仿宋"/>
                <w:color w:val="auto"/>
                <w:highlight w:val="none"/>
              </w:rPr>
            </w:pPr>
            <w:r>
              <w:rPr>
                <w:rFonts w:ascii="仿宋" w:hAnsi="仿宋" w:eastAsia="仿宋" w:cs="仿宋"/>
                <w:color w:val="auto"/>
                <w:highlight w:val="none"/>
              </w:rPr>
            </w:r>
            <w:r/>
          </w:p>
        </w:tc>
        <w:tc>
          <w:tcPr>
            <w:tcW w:w="1373"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每日岗位数：4</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6</w:t>
            </w:r>
            <w:r/>
          </w:p>
        </w:tc>
        <w:tc>
          <w:tcPr>
            <w:tcW w:w="851"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夜间运维</w:t>
            </w:r>
            <w:r/>
          </w:p>
        </w:tc>
        <w:tc>
          <w:tcPr>
            <w:tcW w:w="1559"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Cs/>
                <w:color w:val="auto"/>
                <w:highlight w:val="none"/>
              </w:rPr>
              <w:t xml:space="preserve">/</w:t>
            </w:r>
            <w:r/>
          </w:p>
        </w:tc>
        <w:tc>
          <w:tcPr>
            <w:tcW w:w="1134" w:type="dxa"/>
            <w:vAlign w:val="center"/>
            <w:textDirection w:val="lrTb"/>
            <w:noWrap w:val="false"/>
          </w:tcPr>
          <w:p>
            <w:pPr>
              <w:jc w:val="center"/>
              <w:spacing w:line="440" w:lineRule="exact"/>
              <w:tabs>
                <w:tab w:val="right" w:pos="-607" w:leader="none"/>
              </w:tabs>
              <w:rPr>
                <w:rFonts w:ascii="仿宋" w:hAnsi="仿宋" w:eastAsia="仿宋" w:cs="仿宋"/>
                <w:color w:val="auto"/>
                <w:highlight w:val="none"/>
              </w:rPr>
            </w:pPr>
            <w:r>
              <w:rPr>
                <w:rFonts w:hint="eastAsia" w:ascii="仿宋" w:hAnsi="仿宋" w:eastAsia="仿宋" w:cs="仿宋"/>
                <w:color w:val="auto"/>
                <w:highlight w:val="none"/>
              </w:rPr>
              <w:t xml:space="preserve">/</w:t>
            </w:r>
            <w:r/>
          </w:p>
        </w:tc>
        <w:tc>
          <w:tcPr>
            <w:tcW w:w="1373" w:type="dxa"/>
            <w:vAlign w:val="center"/>
            <w:textDirection w:val="lrTb"/>
            <w:noWrap w:val="false"/>
          </w:tcPr>
          <w:p>
            <w:pPr>
              <w:jc w:val="center"/>
              <w:spacing w:line="440" w:lineRule="exact"/>
              <w:tabs>
                <w:tab w:val="right" w:pos="-607" w:leader="none"/>
              </w:tabs>
              <w:rPr>
                <w:rFonts w:ascii="仿宋" w:hAnsi="仿宋" w:eastAsia="仿宋" w:cs="仿宋"/>
                <w:b/>
                <w:color w:val="auto"/>
                <w:highlight w:val="none"/>
              </w:rPr>
            </w:pPr>
            <w:r>
              <w:rPr>
                <w:rFonts w:hint="eastAsia" w:ascii="仿宋" w:hAnsi="仿宋" w:eastAsia="仿宋" w:cs="仿宋"/>
                <w:color w:val="auto"/>
                <w:highlight w:val="none"/>
              </w:rPr>
              <w:t xml:space="preserve">每日岗位数：</w:t>
            </w:r>
            <w:r>
              <w:rPr>
                <w:rFonts w:hint="eastAsia" w:ascii="仿宋" w:hAnsi="仿宋" w:eastAsia="仿宋" w:cs="仿宋"/>
                <w:bCs/>
                <w:color w:val="auto"/>
                <w:highlight w:val="none"/>
              </w:rPr>
              <w:t xml:space="preserve">1</w:t>
            </w:r>
            <w:r/>
          </w:p>
        </w:tc>
        <w:tc>
          <w:tcPr>
            <w:tcW w:w="1134"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27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c>
          <w:tcPr>
            <w:tcW w:w="1036" w:type="dxa"/>
            <w:vAlign w:val="center"/>
            <w:textDirection w:val="lrTb"/>
            <w:noWrap w:val="false"/>
          </w:tcPr>
          <w:p>
            <w:pPr>
              <w:jc w:val="center"/>
              <w:spacing w:line="440" w:lineRule="exact"/>
              <w:rPr>
                <w:rFonts w:ascii="仿宋" w:hAnsi="仿宋" w:eastAsia="仿宋" w:cs="仿宋"/>
                <w:b/>
                <w:color w:val="auto"/>
                <w:highlight w:val="none"/>
              </w:rPr>
            </w:pPr>
            <w:r>
              <w:rPr>
                <w:rFonts w:ascii="仿宋" w:hAnsi="仿宋" w:eastAsia="仿宋" w:cs="仿宋"/>
                <w:b/>
                <w:color w:val="auto"/>
                <w:highlight w:val="none"/>
              </w:rPr>
            </w:r>
            <w:r/>
          </w:p>
        </w:tc>
      </w:tr>
      <w:tr>
        <w:trPr>
          <w:trHeight w:val="1103"/>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合计人数</w:t>
            </w:r>
            <w:r/>
          </w:p>
        </w:tc>
        <w:tc>
          <w:tcPr>
            <w:gridSpan w:val="7"/>
            <w:tcW w:w="8363" w:type="dxa"/>
            <w:vAlign w:val="center"/>
            <w:textDirection w:val="lrTb"/>
            <w:noWrap w:val="false"/>
          </w:tcPr>
          <w:p>
            <w:pPr>
              <w:jc w:val="left"/>
              <w:spacing w:line="440" w:lineRule="exact"/>
              <w:widowControl/>
              <w:rPr>
                <w:rFonts w:ascii="仿宋" w:hAnsi="仿宋" w:eastAsia="仿宋" w:cs="仿宋"/>
                <w:b/>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b/>
                <w:color w:val="auto"/>
                <w:highlight w:val="none"/>
              </w:rPr>
              <w:t xml:space="preserve">人</w:t>
            </w:r>
            <w:r/>
          </w:p>
        </w:tc>
      </w:tr>
      <w:tr>
        <w:trPr>
          <w:trHeight w:val="1103"/>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一年合计金额</w:t>
            </w:r>
            <w:r/>
          </w:p>
        </w:tc>
        <w:tc>
          <w:tcPr>
            <w:gridSpan w:val="7"/>
            <w:tcW w:w="8363" w:type="dxa"/>
            <w:vAlign w:val="center"/>
            <w:textDirection w:val="lrTb"/>
            <w:noWrap w:val="false"/>
          </w:tcPr>
          <w:p>
            <w:pPr>
              <w:spacing w:line="500" w:lineRule="exact"/>
              <w:rPr>
                <w:rFonts w:ascii="仿宋" w:hAnsi="仿宋" w:eastAsia="仿宋" w:cs="仿宋"/>
                <w:b/>
                <w:bCs/>
                <w:color w:val="auto"/>
                <w:szCs w:val="22"/>
                <w:highlight w:val="none"/>
              </w:rPr>
            </w:pPr>
            <w:r>
              <w:rPr>
                <w:rFonts w:hint="eastAsia" w:ascii="仿宋" w:hAnsi="仿宋" w:eastAsia="仿宋" w:cs="仿宋"/>
                <w:b/>
                <w:bCs/>
                <w:color w:val="auto"/>
                <w:highlight w:val="none"/>
              </w:rPr>
              <w:t xml:space="preserve">￥</w:t>
            </w:r>
            <w:r>
              <w:rPr>
                <w:rFonts w:hint="eastAsia" w:ascii="仿宋" w:hAnsi="仿宋" w:eastAsia="仿宋" w:cs="仿宋"/>
                <w:color w:val="auto"/>
                <w:highlight w:val="non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r/>
          </w:p>
          <w:p>
            <w:pPr>
              <w:spacing w:line="440" w:lineRule="exact"/>
              <w:widowControl/>
              <w:rPr>
                <w:rFonts w:ascii="仿宋" w:hAnsi="仿宋" w:eastAsia="仿宋" w:cs="仿宋"/>
                <w:b/>
                <w:color w:val="auto"/>
                <w:highlight w:val="none"/>
              </w:rPr>
            </w:pPr>
            <w:r>
              <w:rPr>
                <w:rFonts w:hint="eastAsia" w:ascii="仿宋" w:hAnsi="仿宋" w:eastAsia="仿宋" w:cs="仿宋"/>
                <w:b/>
                <w:bCs/>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佰</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拾</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 万</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仟</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佰</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拾</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元</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角</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分</w:t>
            </w:r>
            <w:r/>
          </w:p>
        </w:tc>
      </w:tr>
      <w:tr>
        <w:trPr>
          <w:trHeight w:val="1103"/>
        </w:trPr>
        <w:tc>
          <w:tcPr>
            <w:tcW w:w="708" w:type="dxa"/>
            <w:vAlign w:val="center"/>
            <w:textDirection w:val="lrTb"/>
            <w:noWrap w:val="false"/>
          </w:tcPr>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三年合计金额</w:t>
            </w:r>
            <w:r/>
          </w:p>
        </w:tc>
        <w:tc>
          <w:tcPr>
            <w:gridSpan w:val="7"/>
            <w:tcW w:w="8363" w:type="dxa"/>
            <w:vAlign w:val="center"/>
            <w:textDirection w:val="lrTb"/>
            <w:noWrap w:val="false"/>
          </w:tcPr>
          <w:p>
            <w:pPr>
              <w:spacing w:line="500" w:lineRule="exact"/>
              <w:rPr>
                <w:rFonts w:ascii="仿宋" w:hAnsi="仿宋" w:eastAsia="仿宋" w:cs="仿宋"/>
                <w:b/>
                <w:bCs/>
                <w:color w:val="auto"/>
                <w:szCs w:val="22"/>
                <w:highlight w:val="none"/>
              </w:rPr>
            </w:pPr>
            <w:r>
              <w:rPr>
                <w:rFonts w:hint="eastAsia" w:ascii="仿宋" w:hAnsi="仿宋" w:eastAsia="仿宋" w:cs="仿宋"/>
                <w:b/>
                <w:bCs/>
                <w:color w:val="auto"/>
                <w:highlight w:val="none"/>
              </w:rPr>
              <w:t xml:space="preserve">￥</w:t>
            </w:r>
            <w:r>
              <w:rPr>
                <w:rFonts w:hint="eastAsia" w:ascii="仿宋" w:hAnsi="仿宋" w:eastAsia="仿宋" w:cs="仿宋"/>
                <w:color w:val="auto"/>
                <w:highlight w:val="non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r/>
          </w:p>
          <w:p>
            <w:pPr>
              <w:spacing w:line="440" w:lineRule="exact"/>
              <w:widowControl/>
              <w:rPr>
                <w:rFonts w:ascii="仿宋" w:hAnsi="仿宋" w:eastAsia="仿宋" w:cs="仿宋"/>
                <w:b/>
                <w:bCs/>
                <w:color w:val="auto"/>
                <w:highlight w:val="none"/>
              </w:rPr>
            </w:pPr>
            <w:r>
              <w:rPr>
                <w:rFonts w:hint="eastAsia" w:ascii="仿宋" w:hAnsi="仿宋" w:eastAsia="仿宋" w:cs="仿宋"/>
                <w:b/>
                <w:bCs/>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佰</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拾</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 万</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仟</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佰</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拾</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元</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角</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rPr>
              <w:t xml:space="preserve">分</w:t>
            </w:r>
            <w:r/>
          </w:p>
        </w:tc>
      </w:tr>
    </w:tbl>
    <w:p>
      <w:pPr>
        <w:ind w:firstLine="480"/>
        <w:jc w:val="left"/>
        <w:spacing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注：1.采购人单位后勤运维服务全年无休，请投标人认真测算，项目实施过程中所需的采购文件中未列出的相关运维服务等其他一切费用应由投标人在报价时一并考虑。项目实施过程中不再单独结算。</w:t>
      </w:r>
      <w:r/>
    </w:p>
    <w:p>
      <w:pPr>
        <w:ind w:firstLine="480"/>
        <w:jc w:val="left"/>
        <w:spacing w:line="4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2.投标人为本项目建立的服务团队不得少于23人，否则为无效投标文件。供应商根据对采购人及项目的理解，自行安排各岗位拟派人员数量。采购人对岗位调整有要求时，供应商应予配合。</w:t>
      </w:r>
      <w:r/>
    </w:p>
    <w:p>
      <w:pPr>
        <w:ind w:firstLine="480"/>
        <w:jc w:val="left"/>
        <w:spacing w:line="400" w:lineRule="exact"/>
        <w:widowControl/>
        <w:rPr>
          <w:rFonts w:ascii="仿宋" w:hAnsi="仿宋" w:eastAsia="仿宋" w:cs="仿宋"/>
          <w:b/>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szCs w:val="30"/>
          <w:highlight w:val="none"/>
        </w:rPr>
        <w:t xml:space="preserve">投标人应分项进行填报，表中表格行数可自行添加。报价应包含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p>
    <w:p>
      <w:pPr>
        <w:pStyle w:val="1034"/>
        <w:spacing w:line="440" w:lineRule="exact"/>
        <w:rPr>
          <w:rFonts w:ascii="仿宋" w:hAnsi="仿宋" w:eastAsia="仿宋" w:cs="仿宋"/>
          <w:b/>
          <w:color w:val="auto"/>
          <w:sz w:val="24"/>
          <w:szCs w:val="20"/>
          <w:highlight w:val="none"/>
        </w:rPr>
      </w:pPr>
      <w:r>
        <w:rPr>
          <w:rFonts w:ascii="仿宋" w:hAnsi="仿宋" w:eastAsia="仿宋" w:cs="仿宋"/>
          <w:b/>
          <w:color w:val="auto"/>
          <w:sz w:val="24"/>
          <w:szCs w:val="20"/>
          <w:highlight w:val="none"/>
        </w:rPr>
      </w:r>
      <w:r/>
    </w:p>
    <w:p>
      <w:pPr>
        <w:pStyle w:val="1034"/>
        <w:spacing w:line="44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44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法定代表人（或授权代表）：</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（签字/签章）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pStyle w:val="1042"/>
        <w:spacing w:line="44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                     </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jc w:val="center"/>
        <w:spacing w:line="48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投标报价测算表</w:t>
      </w:r>
      <w:r/>
    </w:p>
    <w:tbl>
      <w:tblPr>
        <w:tblStyle w:val="743"/>
        <w:tblW w:w="51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375"/>
        <w:gridCol w:w="569"/>
        <w:gridCol w:w="899"/>
        <w:gridCol w:w="913"/>
        <w:gridCol w:w="893"/>
        <w:gridCol w:w="1186"/>
        <w:gridCol w:w="2897"/>
      </w:tblGrid>
      <w:tr>
        <w:trPr>
          <w:jc w:val="center"/>
          <w:trHeight w:val="619"/>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序号</w:t>
            </w:r>
            <w:r/>
          </w:p>
        </w:tc>
        <w:tc>
          <w:tcPr>
            <w:tcW w:w="1375"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分项名称</w:t>
            </w:r>
            <w:r/>
          </w:p>
        </w:tc>
        <w:tc>
          <w:tcPr>
            <w:tcW w:w="569"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人数</w:t>
            </w:r>
            <w:r/>
          </w:p>
        </w:tc>
        <w:tc>
          <w:tcPr>
            <w:tcW w:w="899"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单价</w:t>
            </w:r>
            <w:r>
              <w:rPr>
                <w:rFonts w:hint="eastAsia" w:ascii="仿宋" w:hAnsi="仿宋" w:eastAsia="仿宋" w:cs="仿宋"/>
                <w:b/>
                <w:bCs/>
                <w:color w:val="auto"/>
                <w:sz w:val="18"/>
                <w:szCs w:val="18"/>
                <w:highlight w:val="none"/>
                <w:lang w:bidi="en-US"/>
              </w:rPr>
              <w:br w:type="textWrapping" w:clear="all"/>
            </w:r>
            <w:r>
              <w:rPr>
                <w:rFonts w:hint="eastAsia" w:ascii="仿宋" w:hAnsi="仿宋" w:eastAsia="仿宋" w:cs="仿宋"/>
                <w:b/>
                <w:bCs/>
                <w:color w:val="auto"/>
                <w:sz w:val="18"/>
                <w:szCs w:val="18"/>
                <w:highlight w:val="none"/>
                <w:lang w:bidi="en-US"/>
              </w:rPr>
              <w:t xml:space="preserve">（元/人*月）</w:t>
            </w:r>
            <w:r/>
          </w:p>
        </w:tc>
        <w:tc>
          <w:tcPr>
            <w:tcW w:w="913" w:type="dxa"/>
            <w:vAlign w:val="center"/>
            <w:textDirection w:val="lrTb"/>
            <w:noWrap w:val="false"/>
          </w:tcPr>
          <w:p>
            <w:pPr>
              <w:jc w:val="center"/>
              <w:widowControl/>
              <w:rPr>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rPr>
              <w:t xml:space="preserve">月数</w:t>
            </w:r>
            <w:r/>
          </w:p>
        </w:tc>
        <w:tc>
          <w:tcPr>
            <w:tcW w:w="893"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分项小计</w:t>
            </w:r>
            <w:r>
              <w:rPr>
                <w:rFonts w:hint="eastAsia" w:ascii="仿宋" w:hAnsi="仿宋" w:eastAsia="仿宋" w:cs="仿宋"/>
                <w:b/>
                <w:bCs/>
                <w:color w:val="auto"/>
                <w:sz w:val="18"/>
                <w:szCs w:val="18"/>
                <w:highlight w:val="none"/>
                <w:lang w:bidi="en-US"/>
              </w:rPr>
              <w:br w:type="textWrapping" w:clear="all"/>
            </w:r>
            <w:r>
              <w:rPr>
                <w:rFonts w:hint="eastAsia" w:ascii="仿宋" w:hAnsi="仿宋" w:eastAsia="仿宋" w:cs="仿宋"/>
                <w:b/>
                <w:bCs/>
                <w:color w:val="auto"/>
                <w:sz w:val="18"/>
                <w:szCs w:val="18"/>
                <w:highlight w:val="none"/>
                <w:lang w:bidi="en-US"/>
              </w:rPr>
              <w:t xml:space="preserve">（元）</w:t>
            </w:r>
            <w:r/>
          </w:p>
        </w:tc>
        <w:tc>
          <w:tcPr>
            <w:tcW w:w="1186" w:type="dxa"/>
            <w:vAlign w:val="center"/>
            <w:textDirection w:val="lrTb"/>
            <w:noWrap w:val="false"/>
          </w:tcPr>
          <w:p>
            <w:pPr>
              <w:jc w:val="center"/>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费用计算公式</w:t>
            </w:r>
            <w:r/>
          </w:p>
        </w:tc>
        <w:tc>
          <w:tcPr>
            <w:tcW w:w="2897"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备注</w:t>
            </w:r>
            <w:r/>
          </w:p>
        </w:tc>
      </w:tr>
      <w:tr>
        <w:trPr>
          <w:jc w:val="center"/>
          <w:trHeight w:val="352"/>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1</w:t>
            </w:r>
            <w:r/>
          </w:p>
        </w:tc>
        <w:tc>
          <w:tcPr>
            <w:gridSpan w:val="6"/>
            <w:tcW w:w="583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人员工资</w:t>
            </w:r>
            <w:r/>
          </w:p>
        </w:tc>
        <w:tc>
          <w:tcPr>
            <w:tcW w:w="2897" w:type="dxa"/>
            <w:vAlign w:val="center"/>
            <w:vMerge w:val="restart"/>
            <w:textDirection w:val="lrTb"/>
            <w:noWrap w:val="false"/>
          </w:tcPr>
          <w:p>
            <w:pPr>
              <w:jc w:val="left"/>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拟投入的人员不得低于</w:t>
            </w:r>
            <w:r>
              <w:rPr>
                <w:rFonts w:hint="eastAsia" w:ascii="仿宋" w:hAnsi="仿宋" w:eastAsia="仿宋" w:cs="仿宋"/>
                <w:b/>
                <w:bCs/>
                <w:color w:val="auto"/>
                <w:sz w:val="18"/>
                <w:szCs w:val="18"/>
                <w:highlight w:val="none"/>
              </w:rPr>
              <w:t xml:space="preserve">23</w:t>
            </w:r>
            <w:r>
              <w:rPr>
                <w:rFonts w:hint="eastAsia" w:ascii="仿宋" w:hAnsi="仿宋" w:eastAsia="仿宋" w:cs="仿宋"/>
                <w:b/>
                <w:bCs/>
                <w:color w:val="auto"/>
                <w:sz w:val="18"/>
                <w:szCs w:val="18"/>
                <w:highlight w:val="none"/>
                <w:lang w:bidi="en-US"/>
              </w:rPr>
              <w:t xml:space="preserve">人</w:t>
            </w:r>
            <w:r>
              <w:rPr>
                <w:rFonts w:hint="eastAsia" w:ascii="仿宋" w:hAnsi="仿宋" w:eastAsia="仿宋" w:cs="仿宋"/>
                <w:color w:val="auto"/>
                <w:sz w:val="18"/>
                <w:szCs w:val="18"/>
                <w:highlight w:val="none"/>
                <w:lang w:bidi="en-US"/>
              </w:rPr>
              <w:t xml:space="preserve">，人员工资不得低于江苏省、南京市最低工资标准，供应商须在《投标报价明细表》中按照采购需求中人员岗位分别填报员工工资，否则做无效投标处理。</w:t>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（1）</w:t>
            </w:r>
            <w:r/>
          </w:p>
        </w:tc>
        <w:tc>
          <w:tcPr>
            <w:tcW w:w="137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项目经理</w:t>
            </w:r>
            <w:r/>
          </w:p>
        </w:tc>
        <w:tc>
          <w:tcPr>
            <w:tcW w:w="56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89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913" w:type="dxa"/>
            <w:vAlign w:val="center"/>
            <w:textDirection w:val="lrTb"/>
            <w:noWrap w:val="false"/>
          </w:tcPr>
          <w:p>
            <w:pPr>
              <w:jc w:val="center"/>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36</w:t>
            </w:r>
            <w:r/>
          </w:p>
        </w:tc>
        <w:tc>
          <w:tcPr>
            <w:tcW w:w="893"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1186" w:type="dxa"/>
            <w:vAlign w:val="center"/>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2897" w:type="dxa"/>
            <w:vAlign w:val="center"/>
            <w:vMerge w:val="continue"/>
            <w:textDirection w:val="lrTb"/>
            <w:noWrap w:val="false"/>
          </w:tcPr>
          <w:p>
            <w:pPr>
              <w:jc w:val="left"/>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shd w:val="clear" w:color="auto" w:fill="auto"/>
            <w:tcW w:w="684" w:type="dxa"/>
            <w:vAlign w:val="center"/>
            <w:textDirection w:val="lrTb"/>
            <w:noWrap w:val="false"/>
          </w:tcPr>
          <w:p>
            <w:pPr>
              <w:jc w:val="center"/>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（2）</w:t>
            </w:r>
            <w:r/>
          </w:p>
        </w:tc>
        <w:tc>
          <w:tcPr>
            <w:tcW w:w="137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文员</w:t>
            </w:r>
            <w:r/>
          </w:p>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（楼控、调度）</w:t>
            </w:r>
            <w:r/>
          </w:p>
        </w:tc>
        <w:tc>
          <w:tcPr>
            <w:tcW w:w="56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89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913" w:type="dxa"/>
            <w:vAlign w:val="center"/>
            <w:textDirection w:val="lrTb"/>
            <w:noWrap w:val="false"/>
          </w:tcPr>
          <w:p>
            <w:pPr>
              <w:jc w:val="center"/>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36</w:t>
            </w:r>
            <w:r/>
          </w:p>
        </w:tc>
        <w:tc>
          <w:tcPr>
            <w:tcW w:w="893"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1186" w:type="dxa"/>
            <w:vAlign w:val="center"/>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2897" w:type="dxa"/>
            <w:vAlign w:val="center"/>
            <w:vMerge w:val="continue"/>
            <w:textDirection w:val="lrTb"/>
            <w:noWrap w:val="false"/>
          </w:tcPr>
          <w:p>
            <w:pPr>
              <w:jc w:val="left"/>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shd w:val="clear" w:color="auto" w:fill="auto"/>
            <w:tcW w:w="684" w:type="dxa"/>
            <w:vAlign w:val="center"/>
            <w:textDirection w:val="lrTb"/>
            <w:noWrap w:val="false"/>
          </w:tcPr>
          <w:p>
            <w:pPr>
              <w:jc w:val="center"/>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（3）</w:t>
            </w:r>
            <w:r/>
          </w:p>
        </w:tc>
        <w:tc>
          <w:tcPr>
            <w:tcW w:w="137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供热通风空调系统运维</w:t>
            </w:r>
            <w:r/>
          </w:p>
        </w:tc>
        <w:tc>
          <w:tcPr>
            <w:tcW w:w="56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89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913" w:type="dxa"/>
            <w:vAlign w:val="center"/>
            <w:textDirection w:val="lrTb"/>
            <w:noWrap w:val="false"/>
          </w:tcPr>
          <w:p>
            <w:pPr>
              <w:jc w:val="center"/>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36</w:t>
            </w:r>
            <w:r/>
          </w:p>
        </w:tc>
        <w:tc>
          <w:tcPr>
            <w:tcW w:w="893"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1186" w:type="dxa"/>
            <w:vAlign w:val="center"/>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2897" w:type="dxa"/>
            <w:vAlign w:val="center"/>
            <w:vMerge w:val="continue"/>
            <w:textDirection w:val="lrTb"/>
            <w:noWrap w:val="false"/>
          </w:tcPr>
          <w:p>
            <w:pPr>
              <w:jc w:val="left"/>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tcW w:w="684"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lang w:bidi="en-US"/>
              </w:rPr>
              <w:t xml:space="preserve">（4）</w:t>
            </w:r>
            <w:r/>
          </w:p>
        </w:tc>
        <w:tc>
          <w:tcPr>
            <w:tcW w:w="137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水电气、正负压、医用气体系统及特种设备运维</w:t>
            </w:r>
            <w:r/>
          </w:p>
        </w:tc>
        <w:tc>
          <w:tcPr>
            <w:tcW w:w="56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89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913" w:type="dxa"/>
            <w:vAlign w:val="center"/>
            <w:textDirection w:val="lrTb"/>
            <w:noWrap w:val="false"/>
          </w:tcPr>
          <w:p>
            <w:pPr>
              <w:jc w:val="center"/>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36</w:t>
            </w:r>
            <w:r/>
          </w:p>
        </w:tc>
        <w:tc>
          <w:tcPr>
            <w:tcW w:w="893"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1186" w:type="dxa"/>
            <w:vAlign w:val="center"/>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2897" w:type="dxa"/>
            <w:vAlign w:val="center"/>
            <w:vMerge w:val="continue"/>
            <w:textDirection w:val="lrTb"/>
            <w:noWrap w:val="false"/>
          </w:tcPr>
          <w:p>
            <w:pPr>
              <w:jc w:val="left"/>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tcW w:w="684"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lang w:bidi="en-US"/>
              </w:rPr>
              <w:t xml:space="preserve">（5）</w:t>
            </w:r>
            <w:r/>
          </w:p>
        </w:tc>
        <w:tc>
          <w:tcPr>
            <w:tcW w:w="137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零星维修</w:t>
            </w:r>
            <w:r/>
          </w:p>
        </w:tc>
        <w:tc>
          <w:tcPr>
            <w:tcW w:w="56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89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913" w:type="dxa"/>
            <w:vAlign w:val="center"/>
            <w:textDirection w:val="lrTb"/>
            <w:noWrap w:val="false"/>
          </w:tcPr>
          <w:p>
            <w:pPr>
              <w:jc w:val="center"/>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36</w:t>
            </w:r>
            <w:r/>
          </w:p>
        </w:tc>
        <w:tc>
          <w:tcPr>
            <w:tcW w:w="893"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1186" w:type="dxa"/>
            <w:vAlign w:val="center"/>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2897" w:type="dxa"/>
            <w:vAlign w:val="center"/>
            <w:vMerge w:val="continue"/>
            <w:textDirection w:val="lrTb"/>
            <w:noWrap w:val="false"/>
          </w:tcPr>
          <w:p>
            <w:pPr>
              <w:jc w:val="left"/>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Style w:val="1364"/>
                <w:rFonts w:hint="eastAsia" w:ascii="仿宋" w:hAnsi="仿宋" w:eastAsia="仿宋" w:cs="仿宋"/>
                <w:color w:val="auto"/>
                <w:sz w:val="18"/>
                <w:szCs w:val="18"/>
                <w:highlight w:val="none"/>
              </w:rPr>
              <w:t xml:space="preserve">（6）</w:t>
            </w:r>
            <w:r/>
          </w:p>
        </w:tc>
        <w:tc>
          <w:tcPr>
            <w:tcW w:w="1375" w:type="dxa"/>
            <w:vAlign w:val="center"/>
            <w:textDirection w:val="lrTb"/>
            <w:noWrap w:val="false"/>
          </w:tcPr>
          <w:p>
            <w:pPr>
              <w:jc w:val="left"/>
              <w:widowControl/>
              <w:rPr>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夜间运维</w:t>
            </w:r>
            <w:r/>
          </w:p>
        </w:tc>
        <w:tc>
          <w:tcPr>
            <w:tcW w:w="56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899"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913" w:type="dxa"/>
            <w:vAlign w:val="center"/>
            <w:textDirection w:val="lrTb"/>
            <w:noWrap w:val="false"/>
          </w:tcPr>
          <w:p>
            <w:pPr>
              <w:jc w:val="center"/>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36</w:t>
            </w:r>
            <w:r/>
          </w:p>
        </w:tc>
        <w:tc>
          <w:tcPr>
            <w:tcW w:w="893"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c>
          <w:tcPr>
            <w:tcW w:w="1186" w:type="dxa"/>
            <w:vAlign w:val="center"/>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2897" w:type="dxa"/>
            <w:vAlign w:val="center"/>
            <w:vMerge w:val="continue"/>
            <w:textDirection w:val="lrTb"/>
            <w:noWrap w:val="false"/>
          </w:tcPr>
          <w:p>
            <w:pPr>
              <w:jc w:val="left"/>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90"/>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2</w:t>
            </w:r>
            <w:r/>
          </w:p>
        </w:tc>
        <w:tc>
          <w:tcPr>
            <w:gridSpan w:val="6"/>
            <w:tcW w:w="5835" w:type="dxa"/>
            <w:vAlign w:val="center"/>
            <w:textDirection w:val="lrTb"/>
            <w:noWrap w:val="false"/>
          </w:tcPr>
          <w:p>
            <w:pPr>
              <w:jc w:val="left"/>
              <w:rPr>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lang w:bidi="en-US"/>
              </w:rPr>
              <w:t xml:space="preserve">社保公积金</w:t>
            </w:r>
            <w:r/>
          </w:p>
        </w:tc>
        <w:tc>
          <w:tcPr>
            <w:tcW w:w="2897" w:type="dxa"/>
            <w:vAlign w:val="center"/>
            <w:textDirection w:val="lrTb"/>
            <w:noWrap w:val="false"/>
          </w:tcPr>
          <w:p>
            <w:pPr>
              <w:jc w:val="left"/>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供应商须在《投标报价明细表》中按照采购文件采购需求中服务人员岗位分别填报员工社保和公积金费用，且须满足采购文件采购需求中的“报价要求”，否则做无效投标处理。</w:t>
            </w:r>
            <w:r/>
          </w:p>
          <w:p>
            <w:pPr>
              <w:jc w:val="left"/>
              <w:widowControl/>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供应商为投入本项目服务人员均应缴纳社保和公积金（享受社保公积金减免政策人员等除外）</w:t>
            </w:r>
            <w:r/>
          </w:p>
        </w:tc>
      </w:tr>
      <w:tr>
        <w:trPr>
          <w:jc w:val="center"/>
          <w:trHeight w:val="427"/>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2.1</w:t>
            </w:r>
            <w:r/>
          </w:p>
        </w:tc>
        <w:tc>
          <w:tcPr>
            <w:gridSpan w:val="6"/>
            <w:tcW w:w="5835"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hint="eastAsia" w:ascii="仿宋" w:hAnsi="仿宋" w:eastAsia="仿宋" w:cs="仿宋"/>
                <w:b/>
                <w:bCs/>
                <w:color w:val="auto"/>
                <w:sz w:val="18"/>
                <w:szCs w:val="18"/>
                <w:highlight w:val="none"/>
                <w:lang w:bidi="en-US"/>
              </w:rPr>
              <w:t xml:space="preserve">社会保险</w:t>
            </w:r>
            <w:r/>
          </w:p>
        </w:tc>
        <w:tc>
          <w:tcPr>
            <w:tcW w:w="2897" w:type="dxa"/>
            <w:vAlign w:val="center"/>
            <w:vMerge w:val="restart"/>
            <w:textDirection w:val="lrTb"/>
            <w:noWrap w:val="false"/>
          </w:tcPr>
          <w:p>
            <w:pPr>
              <w:jc w:val="left"/>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社保费用不得低于南京市最低标准，否则做无效投标处理。</w:t>
            </w:r>
            <w:r/>
          </w:p>
        </w:tc>
      </w:tr>
      <w:tr>
        <w:trPr>
          <w:jc w:val="center"/>
          <w:trHeight w:val="499"/>
        </w:trPr>
        <w:tc>
          <w:tcPr>
            <w:tcW w:w="684"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rPr>
              <w:t xml:space="preserve">（1）</w:t>
            </w:r>
            <w:r/>
          </w:p>
        </w:tc>
        <w:tc>
          <w:tcPr>
            <w:tcW w:w="1375"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499"/>
        </w:trPr>
        <w:tc>
          <w:tcPr>
            <w:tcW w:w="684"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rPr>
              <w:t xml:space="preserve">（2）</w:t>
            </w:r>
            <w:r/>
          </w:p>
        </w:tc>
        <w:tc>
          <w:tcPr>
            <w:tcW w:w="1375"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499"/>
        </w:trPr>
        <w:tc>
          <w:tcPr>
            <w:tcW w:w="684"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rPr>
              <w:t xml:space="preserve">（3）</w:t>
            </w:r>
            <w:r/>
          </w:p>
        </w:tc>
        <w:tc>
          <w:tcPr>
            <w:tcW w:w="1375"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436"/>
        </w:trPr>
        <w:tc>
          <w:tcPr>
            <w:tcW w:w="684"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rPr>
              <w:t xml:space="preserve">...</w:t>
            </w:r>
            <w:r/>
          </w:p>
        </w:tc>
        <w:tc>
          <w:tcPr>
            <w:tcW w:w="1375" w:type="dxa"/>
            <w:vAlign w:val="center"/>
            <w:textDirection w:val="lrTb"/>
            <w:noWrap w:val="false"/>
          </w:tcPr>
          <w:p>
            <w:pPr>
              <w:jc w:val="center"/>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377"/>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Style w:val="1364"/>
                <w:rFonts w:hint="eastAsia" w:ascii="仿宋" w:hAnsi="仿宋" w:eastAsia="仿宋" w:cs="仿宋"/>
                <w:b/>
                <w:bCs/>
                <w:color w:val="auto"/>
                <w:sz w:val="18"/>
                <w:szCs w:val="18"/>
                <w:highlight w:val="none"/>
              </w:rPr>
              <w:t xml:space="preserve">2.2</w:t>
            </w:r>
            <w:r/>
          </w:p>
        </w:tc>
        <w:tc>
          <w:tcPr>
            <w:gridSpan w:val="6"/>
            <w:tcW w:w="5835"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hint="eastAsia" w:ascii="仿宋" w:hAnsi="仿宋" w:eastAsia="仿宋" w:cs="仿宋"/>
                <w:b/>
                <w:bCs/>
                <w:color w:val="auto"/>
                <w:sz w:val="18"/>
                <w:szCs w:val="18"/>
                <w:highlight w:val="none"/>
                <w:lang w:bidi="en-US"/>
              </w:rPr>
              <w:t xml:space="preserve">公积金</w:t>
            </w:r>
            <w:r/>
          </w:p>
        </w:tc>
        <w:tc>
          <w:tcPr>
            <w:tcW w:w="2897" w:type="dxa"/>
            <w:vAlign w:val="center"/>
            <w:vMerge w:val="restart"/>
            <w:textDirection w:val="lrTb"/>
            <w:noWrap w:val="false"/>
          </w:tcPr>
          <w:p>
            <w:pPr>
              <w:jc w:val="left"/>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公积金不得低于南京市最低标准，且最低工资不包含劳动者按下限缴存的住房公积金，由用人单位按规定另行支付，须测算在公积金报价中，否则做无效投标处理。</w:t>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color w:val="auto"/>
                <w:sz w:val="18"/>
                <w:szCs w:val="18"/>
                <w:highlight w:val="none"/>
              </w:rPr>
              <w:t xml:space="preserve">（1）</w:t>
            </w:r>
            <w:r/>
          </w:p>
        </w:tc>
        <w:tc>
          <w:tcPr>
            <w:tcW w:w="1375" w:type="dxa"/>
            <w:vAlign w:val="center"/>
            <w:textDirection w:val="lrTb"/>
            <w:noWrap w:val="false"/>
          </w:tcPr>
          <w:p>
            <w:pPr>
              <w:jc w:val="center"/>
              <w:widowControl/>
              <w:rPr>
                <w:rFonts w:ascii="仿宋" w:hAnsi="仿宋" w:eastAsia="仿宋" w:cs="仿宋"/>
                <w:b/>
                <w:bCs/>
                <w:color w:val="auto"/>
                <w:sz w:val="18"/>
                <w:szCs w:val="18"/>
                <w:highlight w:val="none"/>
                <w:lang w:bidi="en-US"/>
              </w:rPr>
            </w:pPr>
            <w:r>
              <w:rPr>
                <w:rFonts w:ascii="仿宋" w:hAnsi="仿宋" w:eastAsia="仿宋" w:cs="仿宋"/>
                <w:b/>
                <w:bCs/>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color w:val="auto"/>
                <w:sz w:val="18"/>
                <w:szCs w:val="18"/>
                <w:highlight w:val="none"/>
              </w:rPr>
              <w:t xml:space="preserve">（2）</w:t>
            </w:r>
            <w:r/>
          </w:p>
        </w:tc>
        <w:tc>
          <w:tcPr>
            <w:tcW w:w="1375" w:type="dxa"/>
            <w:vAlign w:val="center"/>
            <w:textDirection w:val="lrTb"/>
            <w:noWrap w:val="false"/>
          </w:tcPr>
          <w:p>
            <w:pPr>
              <w:jc w:val="center"/>
              <w:widowControl/>
              <w:rPr>
                <w:rFonts w:ascii="仿宋" w:hAnsi="仿宋" w:eastAsia="仿宋" w:cs="仿宋"/>
                <w:b/>
                <w:bCs/>
                <w:color w:val="auto"/>
                <w:sz w:val="18"/>
                <w:szCs w:val="18"/>
                <w:highlight w:val="none"/>
                <w:lang w:bidi="en-US"/>
              </w:rPr>
            </w:pPr>
            <w:r>
              <w:rPr>
                <w:rFonts w:ascii="仿宋" w:hAnsi="仿宋" w:eastAsia="仿宋" w:cs="仿宋"/>
                <w:b/>
                <w:bCs/>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color w:val="auto"/>
                <w:sz w:val="18"/>
                <w:szCs w:val="18"/>
                <w:highlight w:val="none"/>
              </w:rPr>
              <w:t xml:space="preserve">（3）</w:t>
            </w:r>
            <w:r/>
          </w:p>
        </w:tc>
        <w:tc>
          <w:tcPr>
            <w:tcW w:w="1375" w:type="dxa"/>
            <w:vAlign w:val="center"/>
            <w:textDirection w:val="lrTb"/>
            <w:noWrap w:val="false"/>
          </w:tcPr>
          <w:p>
            <w:pPr>
              <w:jc w:val="center"/>
              <w:widowControl/>
              <w:rPr>
                <w:rFonts w:ascii="仿宋" w:hAnsi="仿宋" w:eastAsia="仿宋" w:cs="仿宋"/>
                <w:b/>
                <w:bCs/>
                <w:color w:val="auto"/>
                <w:sz w:val="18"/>
                <w:szCs w:val="18"/>
                <w:highlight w:val="none"/>
                <w:lang w:bidi="en-US"/>
              </w:rPr>
            </w:pPr>
            <w:r>
              <w:rPr>
                <w:rFonts w:ascii="仿宋" w:hAnsi="仿宋" w:eastAsia="仿宋" w:cs="仿宋"/>
                <w:b/>
                <w:bCs/>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440"/>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color w:val="auto"/>
                <w:sz w:val="18"/>
                <w:szCs w:val="18"/>
                <w:highlight w:val="none"/>
              </w:rPr>
              <w:t xml:space="preserve">...</w:t>
            </w:r>
            <w:r/>
          </w:p>
        </w:tc>
        <w:tc>
          <w:tcPr>
            <w:tcW w:w="1375" w:type="dxa"/>
            <w:vAlign w:val="center"/>
            <w:textDirection w:val="lrTb"/>
            <w:noWrap w:val="false"/>
          </w:tcPr>
          <w:p>
            <w:pPr>
              <w:jc w:val="center"/>
              <w:widowControl/>
              <w:rPr>
                <w:rFonts w:ascii="仿宋" w:hAnsi="仿宋" w:eastAsia="仿宋" w:cs="仿宋"/>
                <w:b/>
                <w:bCs/>
                <w:color w:val="auto"/>
                <w:sz w:val="18"/>
                <w:szCs w:val="18"/>
                <w:highlight w:val="none"/>
                <w:lang w:bidi="en-US"/>
              </w:rPr>
            </w:pPr>
            <w:r>
              <w:rPr>
                <w:rFonts w:ascii="仿宋" w:hAnsi="仿宋" w:eastAsia="仿宋" w:cs="仿宋"/>
                <w:b/>
                <w:bCs/>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continue"/>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r>
      <w:tr>
        <w:trPr>
          <w:jc w:val="center"/>
          <w:trHeight w:val="90"/>
        </w:trPr>
        <w:tc>
          <w:tcPr>
            <w:tcW w:w="684" w:type="dxa"/>
            <w:vAlign w:val="center"/>
            <w:vMerge w:val="restart"/>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3</w:t>
            </w:r>
            <w:r/>
          </w:p>
        </w:tc>
        <w:tc>
          <w:tcPr>
            <w:tcW w:w="1375" w:type="dxa"/>
            <w:vAlign w:val="center"/>
            <w:vMerge w:val="restart"/>
            <w:textDirection w:val="lrTb"/>
            <w:noWrap w:val="false"/>
          </w:tcPr>
          <w:p>
            <w:pPr>
              <w:jc w:val="center"/>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法定节假日人员加班费</w:t>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Style w:val="1364"/>
                <w:rFonts w:hint="eastAsia" w:ascii="仿宋" w:hAnsi="仿宋" w:eastAsia="仿宋" w:cs="仿宋"/>
                <w:color w:val="auto"/>
                <w:sz w:val="18"/>
                <w:szCs w:val="18"/>
                <w:highlight w:val="none"/>
              </w:rPr>
              <w:t xml:space="preserve">人数</w:t>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人员工资</w:t>
            </w:r>
            <w:r>
              <w:rPr>
                <w:rFonts w:hint="eastAsia" w:ascii="仿宋" w:hAnsi="仿宋" w:eastAsia="仿宋" w:cs="仿宋"/>
                <w:color w:val="auto"/>
                <w:sz w:val="18"/>
                <w:szCs w:val="18"/>
                <w:highlight w:val="none"/>
              </w:rPr>
              <w:br w:type="textWrapping" w:clear="all"/>
            </w:r>
            <w:r>
              <w:rPr>
                <w:rFonts w:hint="eastAsia" w:ascii="仿宋" w:hAnsi="仿宋" w:eastAsia="仿宋" w:cs="仿宋"/>
                <w:color w:val="auto"/>
                <w:sz w:val="18"/>
                <w:szCs w:val="18"/>
                <w:highlight w:val="none"/>
              </w:rPr>
              <w:t xml:space="preserve">（元/人*月）</w:t>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法定节假日天数</w:t>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Style w:val="1364"/>
                <w:rFonts w:hint="eastAsia" w:ascii="仿宋" w:hAnsi="仿宋" w:eastAsia="仿宋" w:cs="仿宋"/>
                <w:color w:val="auto"/>
                <w:sz w:val="18"/>
                <w:szCs w:val="18"/>
                <w:highlight w:val="none"/>
              </w:rPr>
              <w:t xml:space="preserve">分项小计（元）</w:t>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rPr>
              <w:t xml:space="preserve">费用计算公式</w:t>
            </w:r>
            <w:r/>
          </w:p>
        </w:tc>
        <w:tc>
          <w:tcPr>
            <w:tcW w:w="2897" w:type="dxa"/>
            <w:vAlign w:val="center"/>
            <w:textDirection w:val="lrTb"/>
            <w:noWrap w:val="false"/>
          </w:tcPr>
          <w:p>
            <w:pPr>
              <w:pStyle w:val="747"/>
              <w:rPr>
                <w:rStyle w:val="1364"/>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lang w:bidi="en-US"/>
              </w:rPr>
              <w:t xml:space="preserve">法定节假日安排劳动者工作的，支付不低于正常工资的百分之三百的工资报酬。本项目管理服务法定节假日在岗</w:t>
            </w:r>
            <w:r>
              <w:rPr>
                <w:rFonts w:hint="eastAsia" w:ascii="仿宋" w:hAnsi="仿宋" w:eastAsia="仿宋" w:cs="仿宋"/>
                <w:color w:val="auto"/>
                <w:sz w:val="18"/>
                <w:szCs w:val="18"/>
                <w:highlight w:val="none"/>
                <w:lang w:val="en-US" w:eastAsia="zh-CN" w:bidi="en-US"/>
              </w:rPr>
              <w:t xml:space="preserve">除项目经理和文员，其余每天不少于17个岗位，</w:t>
            </w:r>
            <w:r>
              <w:rPr>
                <w:rFonts w:hint="eastAsia" w:ascii="仿宋" w:hAnsi="仿宋" w:eastAsia="仿宋" w:cs="仿宋"/>
                <w:color w:val="auto"/>
                <w:sz w:val="18"/>
                <w:szCs w:val="18"/>
                <w:highlight w:val="none"/>
                <w:lang w:bidi="en-US"/>
              </w:rPr>
              <w:t xml:space="preserve">报价中的“法定节假日人员加班费”不得低于上述要求，并按照本项目合同履行期内的法定节假日天数进行测算，否则做无效投标处理。</w:t>
            </w:r>
            <w:r/>
          </w:p>
        </w:tc>
      </w:tr>
      <w:tr>
        <w:trPr>
          <w:jc w:val="center"/>
          <w:trHeight w:val="534"/>
        </w:trPr>
        <w:tc>
          <w:tcPr>
            <w:tcW w:w="684" w:type="dxa"/>
            <w:vAlign w:val="center"/>
            <w:vMerge w:val="continue"/>
            <w:textDirection w:val="lrTb"/>
            <w:noWrap w:val="false"/>
          </w:tcPr>
          <w:p>
            <w:pPr>
              <w:jc w:val="center"/>
              <w:widowControl/>
              <w:rPr>
                <w:rFonts w:ascii="仿宋" w:hAnsi="仿宋" w:eastAsia="仿宋" w:cs="仿宋"/>
                <w:b/>
                <w:bCs/>
                <w:color w:val="auto"/>
                <w:sz w:val="18"/>
                <w:szCs w:val="18"/>
                <w:highlight w:val="none"/>
                <w:lang w:bidi="en-US"/>
              </w:rPr>
            </w:pPr>
            <w:r>
              <w:rPr>
                <w:rFonts w:ascii="仿宋" w:hAnsi="仿宋" w:eastAsia="仿宋" w:cs="仿宋"/>
                <w:b/>
                <w:bCs/>
                <w:color w:val="auto"/>
                <w:sz w:val="18"/>
                <w:szCs w:val="18"/>
                <w:highlight w:val="none"/>
                <w:lang w:bidi="en-US"/>
              </w:rPr>
            </w:r>
            <w:r/>
          </w:p>
        </w:tc>
        <w:tc>
          <w:tcPr>
            <w:tcW w:w="1375" w:type="dxa"/>
            <w:vAlign w:val="center"/>
            <w:vMerge w:val="continue"/>
            <w:textDirection w:val="lrTb"/>
            <w:noWrap w:val="false"/>
          </w:tcPr>
          <w:p>
            <w:pPr>
              <w:jc w:val="center"/>
              <w:widowControl/>
              <w:rPr>
                <w:rFonts w:ascii="仿宋" w:hAnsi="仿宋" w:eastAsia="仿宋" w:cs="仿宋"/>
                <w:b/>
                <w:bCs/>
                <w:color w:val="auto"/>
                <w:sz w:val="18"/>
                <w:szCs w:val="18"/>
                <w:highlight w:val="none"/>
                <w:lang w:bidi="en-US"/>
              </w:rPr>
            </w:pPr>
            <w:r>
              <w:rPr>
                <w:rFonts w:ascii="仿宋" w:hAnsi="仿宋" w:eastAsia="仿宋" w:cs="仿宋"/>
                <w:b/>
                <w:bCs/>
                <w:color w:val="auto"/>
                <w:sz w:val="18"/>
                <w:szCs w:val="18"/>
                <w:highlight w:val="none"/>
                <w:lang w:bidi="en-US"/>
              </w:rPr>
            </w:r>
            <w:r/>
          </w:p>
        </w:tc>
        <w:tc>
          <w:tcPr>
            <w:tcW w:w="56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9"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91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893"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186"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rPr>
              <w:t xml:space="preserve">参考计算公式：人员工资÷21.75天（平均月计薪天数）×3×人数×合同履行期内法定节假日天数</w:t>
            </w:r>
            <w:r>
              <w:rPr>
                <w:rFonts w:hint="eastAsia" w:ascii="仿宋" w:hAnsi="仿宋" w:eastAsia="仿宋" w:cs="仿宋"/>
                <w:b/>
                <w:bCs/>
                <w:color w:val="auto"/>
                <w:sz w:val="18"/>
                <w:szCs w:val="18"/>
                <w:highlight w:val="none"/>
              </w:rPr>
              <w:t xml:space="preserve">（13天）</w:t>
            </w:r>
            <w:r/>
          </w:p>
        </w:tc>
      </w:tr>
      <w:tr>
        <w:trPr>
          <w:jc w:val="center"/>
          <w:trHeight w:val="424"/>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lang w:bidi="en-US"/>
              </w:rPr>
            </w:pPr>
            <w:r>
              <w:rPr>
                <w:rFonts w:hint="eastAsia" w:ascii="仿宋" w:hAnsi="仿宋" w:eastAsia="仿宋" w:cs="仿宋"/>
                <w:b/>
                <w:bCs/>
                <w:color w:val="auto"/>
                <w:sz w:val="18"/>
                <w:szCs w:val="18"/>
                <w:highlight w:val="none"/>
                <w:lang w:bidi="en-US"/>
              </w:rPr>
              <w:t xml:space="preserve">4</w:t>
            </w:r>
            <w:r/>
          </w:p>
        </w:tc>
        <w:tc>
          <w:tcPr>
            <w:gridSpan w:val="7"/>
            <w:tcW w:w="8732" w:type="dxa"/>
            <w:vAlign w:val="center"/>
            <w:textDirection w:val="lrTb"/>
            <w:noWrap w:val="false"/>
          </w:tcPr>
          <w:p>
            <w:pPr>
              <w:jc w:val="left"/>
              <w:widowControl/>
              <w:rPr>
                <w:rStyle w:val="1364"/>
                <w:rFonts w:ascii="仿宋" w:hAnsi="仿宋" w:eastAsia="仿宋" w:cs="仿宋"/>
                <w:color w:val="auto"/>
                <w:sz w:val="18"/>
                <w:szCs w:val="18"/>
                <w:highlight w:val="none"/>
                <w:lang w:bidi="en-US"/>
              </w:rPr>
            </w:pPr>
            <w:r>
              <w:rPr>
                <w:rFonts w:hint="eastAsia" w:ascii="仿宋" w:hAnsi="仿宋" w:eastAsia="仿宋" w:cs="仿宋"/>
                <w:b/>
                <w:bCs/>
                <w:color w:val="auto"/>
                <w:sz w:val="18"/>
                <w:szCs w:val="18"/>
                <w:highlight w:val="none"/>
                <w:lang w:bidi="en-US"/>
              </w:rPr>
              <w:t xml:space="preserve">其他待遇费用</w:t>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（1）</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人员福利</w:t>
            </w:r>
            <w:r/>
          </w:p>
        </w:tc>
        <w:tc>
          <w:tcPr>
            <w:gridSpan w:val="5"/>
            <w:tcW w:w="4460"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textDirection w:val="lrTb"/>
            <w:noWrap w:val="false"/>
          </w:tcPr>
          <w:p>
            <w:pPr>
              <w:jc w:val="left"/>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国家强制性要求缴纳的或员工必须享有的福利待遇。</w:t>
            </w:r>
            <w:r/>
          </w:p>
        </w:tc>
      </w:tr>
      <w:tr>
        <w:trPr>
          <w:jc w:val="center"/>
          <w:trHeight w:val="424"/>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5</w:t>
            </w:r>
            <w:r/>
          </w:p>
        </w:tc>
        <w:tc>
          <w:tcPr>
            <w:gridSpan w:val="7"/>
            <w:tcW w:w="8732" w:type="dxa"/>
            <w:vAlign w:val="center"/>
            <w:textDirection w:val="lrTb"/>
            <w:noWrap w:val="false"/>
          </w:tcPr>
          <w:p>
            <w:pPr>
              <w:jc w:val="left"/>
              <w:rPr>
                <w:rStyle w:val="1364"/>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lang w:bidi="en-US"/>
              </w:rPr>
              <w:t xml:space="preserve">行政办公费</w:t>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（1）</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办公用品费</w:t>
            </w:r>
            <w:r/>
          </w:p>
        </w:tc>
        <w:tc>
          <w:tcPr>
            <w:gridSpan w:val="5"/>
            <w:tcW w:w="4460" w:type="dxa"/>
            <w:vAlign w:val="center"/>
            <w:textDirection w:val="lrTb"/>
            <w:noWrap w:val="false"/>
          </w:tcPr>
          <w:p>
            <w:pPr>
              <w:jc w:val="cente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vMerge w:val="restart"/>
            <w:textDirection w:val="lrTb"/>
            <w:noWrap w:val="false"/>
          </w:tcPr>
          <w:p>
            <w:pP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根据采购需求自行测算</w:t>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（2）</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培训费</w:t>
            </w:r>
            <w:r/>
          </w:p>
        </w:tc>
        <w:tc>
          <w:tcPr>
            <w:gridSpan w:val="5"/>
            <w:tcW w:w="4460" w:type="dxa"/>
            <w:vAlign w:val="center"/>
            <w:textDirection w:val="lrTb"/>
            <w:noWrap w:val="false"/>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vMerge w:val="continue"/>
            <w:textDirection w:val="lrTb"/>
            <w:noWrap/>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（3）</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交通费</w:t>
            </w:r>
            <w:r/>
          </w:p>
        </w:tc>
        <w:tc>
          <w:tcPr>
            <w:gridSpan w:val="5"/>
            <w:tcW w:w="4460" w:type="dxa"/>
            <w:vAlign w:val="center"/>
            <w:textDirection w:val="lrTb"/>
            <w:noWrap w:val="false"/>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vMerge w:val="continue"/>
            <w:textDirection w:val="lrTb"/>
            <w:noWrap/>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（4）</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通讯费</w:t>
            </w:r>
            <w:r/>
          </w:p>
        </w:tc>
        <w:tc>
          <w:tcPr>
            <w:gridSpan w:val="5"/>
            <w:tcW w:w="4460" w:type="dxa"/>
            <w:vAlign w:val="center"/>
            <w:textDirection w:val="lrTb"/>
            <w:noWrap w:val="false"/>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vMerge w:val="continue"/>
            <w:textDirection w:val="lrTb"/>
            <w:noWrap/>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（5）</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服装费</w:t>
            </w:r>
            <w:r/>
          </w:p>
        </w:tc>
        <w:tc>
          <w:tcPr>
            <w:gridSpan w:val="5"/>
            <w:tcW w:w="4460" w:type="dxa"/>
            <w:vAlign w:val="center"/>
            <w:textDirection w:val="lrTb"/>
            <w:noWrap w:val="false"/>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vMerge w:val="continue"/>
            <w:textDirection w:val="lrTb"/>
            <w:noWrap/>
          </w:tcPr>
          <w:p>
            <w:pP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526"/>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6</w:t>
            </w:r>
            <w:r/>
          </w:p>
        </w:tc>
        <w:tc>
          <w:tcPr>
            <w:gridSpan w:val="7"/>
            <w:tcW w:w="8732" w:type="dxa"/>
            <w:vAlign w:val="center"/>
            <w:textDirection w:val="lrTb"/>
            <w:noWrap w:val="false"/>
          </w:tcPr>
          <w:p>
            <w:pPr>
              <w:jc w:val="left"/>
              <w:rPr>
                <w:rStyle w:val="1364"/>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lang w:bidi="en-US"/>
              </w:rPr>
              <w:t xml:space="preserve">工具耗材及物资装备折旧费</w:t>
            </w:r>
            <w:r/>
          </w:p>
        </w:tc>
      </w:tr>
      <w:tr>
        <w:trPr>
          <w:jc w:val="center"/>
          <w:trHeight w:val="970"/>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lang w:bidi="en-US"/>
              </w:rPr>
              <w:t xml:space="preserve">（1）</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lang w:bidi="en-US"/>
              </w:rPr>
            </w:pPr>
            <w:r>
              <w:rPr>
                <w:rFonts w:hint="eastAsia" w:ascii="仿宋" w:hAnsi="仿宋" w:eastAsia="仿宋" w:cs="仿宋"/>
                <w:color w:val="auto"/>
                <w:sz w:val="18"/>
                <w:szCs w:val="18"/>
                <w:highlight w:val="none"/>
                <w:lang w:bidi="en-US"/>
              </w:rPr>
              <w:t xml:space="preserve">工具耗材、绿化用品费</w:t>
            </w:r>
            <w:r/>
          </w:p>
        </w:tc>
        <w:tc>
          <w:tcPr>
            <w:gridSpan w:val="5"/>
            <w:tcW w:w="4460" w:type="dxa"/>
            <w:vAlign w:val="center"/>
            <w:textDirection w:val="lrTb"/>
            <w:noWrap w:val="false"/>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vMerge w:val="restart"/>
            <w:textDirection w:val="lrTb"/>
            <w:noWrap w:val="false"/>
          </w:tcPr>
          <w:p>
            <w:pPr>
              <w:jc w:val="left"/>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根据采购需求自行测算</w:t>
            </w:r>
            <w:r/>
          </w:p>
        </w:tc>
      </w:tr>
      <w:tr>
        <w:trPr>
          <w:jc w:val="center"/>
          <w:trHeight w:val="499"/>
        </w:trPr>
        <w:tc>
          <w:tcPr>
            <w:tcW w:w="684"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（2）</w:t>
            </w:r>
            <w:r/>
          </w:p>
        </w:tc>
        <w:tc>
          <w:tcPr>
            <w:tcW w:w="1375" w:type="dxa"/>
            <w:vAlign w:val="center"/>
            <w:textDirection w:val="lrTb"/>
            <w:noWrap w:val="false"/>
          </w:tcPr>
          <w:p>
            <w:pPr>
              <w:jc w:val="center"/>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物资装备折旧费</w:t>
            </w:r>
            <w:r/>
          </w:p>
        </w:tc>
        <w:tc>
          <w:tcPr>
            <w:gridSpan w:val="5"/>
            <w:tcW w:w="4460" w:type="dxa"/>
            <w:vAlign w:val="center"/>
            <w:textDirection w:val="lrTb"/>
            <w:noWrap w:val="false"/>
          </w:tcPr>
          <w:p>
            <w:pPr>
              <w:jc w:val="cente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vMerge w:val="continue"/>
            <w:textDirection w:val="lrTb"/>
            <w:noWrap w:val="false"/>
          </w:tcPr>
          <w:p>
            <w:pPr>
              <w:jc w:val="cente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24"/>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7</w:t>
            </w:r>
            <w:r/>
          </w:p>
        </w:tc>
        <w:tc>
          <w:tcPr>
            <w:tcW w:w="1375"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管理费</w:t>
            </w:r>
            <w:r/>
          </w:p>
        </w:tc>
        <w:tc>
          <w:tcPr>
            <w:gridSpan w:val="5"/>
            <w:tcW w:w="4460" w:type="dxa"/>
            <w:vAlign w:val="center"/>
            <w:textDirection w:val="lrTb"/>
            <w:noWrap w:val="false"/>
          </w:tcPr>
          <w:p>
            <w:pP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textDirection w:val="lrTb"/>
            <w:noWrap w:val="false"/>
          </w:tcPr>
          <w:p>
            <w:pP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24"/>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8</w:t>
            </w:r>
            <w:r/>
          </w:p>
        </w:tc>
        <w:tc>
          <w:tcPr>
            <w:tcW w:w="1375"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利润</w:t>
            </w:r>
            <w:r/>
          </w:p>
        </w:tc>
        <w:tc>
          <w:tcPr>
            <w:gridSpan w:val="5"/>
            <w:tcW w:w="4460" w:type="dxa"/>
            <w:vAlign w:val="center"/>
            <w:textDirection w:val="lrTb"/>
            <w:noWrap/>
          </w:tcPr>
          <w:p>
            <w:pP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textDirection w:val="lrTb"/>
            <w:noWrap/>
          </w:tcPr>
          <w:p>
            <w:pPr>
              <w:widowControl/>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jc w:val="center"/>
          <w:trHeight w:val="452"/>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9</w:t>
            </w:r>
            <w:r/>
          </w:p>
        </w:tc>
        <w:tc>
          <w:tcPr>
            <w:tcW w:w="1375"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法定税费</w:t>
            </w:r>
            <w:r/>
          </w:p>
        </w:tc>
        <w:tc>
          <w:tcPr>
            <w:gridSpan w:val="5"/>
            <w:tcW w:w="4460" w:type="dxa"/>
            <w:vAlign w:val="center"/>
            <w:textDirection w:val="lrTb"/>
            <w:noWrap/>
          </w:tcPr>
          <w:p>
            <w:pPr>
              <w:jc w:val="left"/>
              <w:widowControl/>
              <w:rPr>
                <w:rFonts w:ascii="仿宋" w:hAnsi="仿宋" w:eastAsia="仿宋" w:cs="仿宋"/>
                <w:color w:val="auto"/>
                <w:sz w:val="18"/>
                <w:szCs w:val="18"/>
                <w:highlight w:val="none"/>
                <w:lang w:bidi="en-US"/>
              </w:rPr>
            </w:pPr>
            <w:r>
              <w:rPr>
                <w:rFonts w:ascii="仿宋" w:hAnsi="仿宋" w:eastAsia="仿宋" w:cs="仿宋"/>
                <w:color w:val="auto"/>
                <w:sz w:val="18"/>
                <w:szCs w:val="18"/>
                <w:highlight w:val="none"/>
                <w:lang w:bidi="en-US"/>
              </w:rPr>
            </w:r>
            <w:r/>
          </w:p>
        </w:tc>
        <w:tc>
          <w:tcPr>
            <w:tcW w:w="2897" w:type="dxa"/>
            <w:vAlign w:val="center"/>
            <w:textDirection w:val="lrTb"/>
            <w:noWrap/>
          </w:tcPr>
          <w:p>
            <w:pPr>
              <w:jc w:val="left"/>
              <w:widowControl/>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lang w:bidi="en-US"/>
              </w:rPr>
              <w:t xml:space="preserve">填报税费</w:t>
            </w:r>
            <w:r/>
          </w:p>
        </w:tc>
      </w:tr>
      <w:tr>
        <w:trPr>
          <w:jc w:val="center"/>
          <w:trHeight w:val="424"/>
        </w:trPr>
        <w:tc>
          <w:tcPr>
            <w:tcW w:w="684" w:type="dxa"/>
            <w:vAlign w:val="center"/>
            <w:textDirection w:val="lrTb"/>
            <w:noWrap w:val="false"/>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bidi="en-US"/>
              </w:rPr>
              <w:t xml:space="preserve">10</w:t>
            </w:r>
            <w:r/>
          </w:p>
        </w:tc>
        <w:tc>
          <w:tcPr>
            <w:tcW w:w="1375" w:type="dxa"/>
            <w:vAlign w:val="center"/>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其他费用</w:t>
            </w:r>
            <w:r/>
          </w:p>
        </w:tc>
        <w:tc>
          <w:tcPr>
            <w:gridSpan w:val="5"/>
            <w:tcW w:w="4460" w:type="dxa"/>
            <w:vAlign w:val="center"/>
            <w:textDirection w:val="lrTb"/>
            <w:noWrap/>
          </w:tcPr>
          <w:p>
            <w:pPr>
              <w:jc w:val="left"/>
              <w:widowControl/>
              <w:rPr>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2897" w:type="dxa"/>
            <w:vAlign w:val="center"/>
            <w:textDirection w:val="lrTb"/>
            <w:noWrap/>
          </w:tcPr>
          <w:p>
            <w:pPr>
              <w:jc w:val="left"/>
              <w:widowControl/>
              <w:rPr>
                <w:rStyle w:val="1364"/>
                <w:rFonts w:ascii="仿宋" w:hAnsi="仿宋" w:eastAsia="仿宋" w:cs="仿宋"/>
                <w:b/>
                <w:bCs/>
                <w:color w:val="auto"/>
                <w:sz w:val="18"/>
                <w:szCs w:val="18"/>
                <w:highlight w:val="none"/>
                <w:lang w:bidi="en-US"/>
              </w:rPr>
            </w:pPr>
            <w:r>
              <w:rPr>
                <w:rFonts w:hint="eastAsia" w:ascii="仿宋" w:hAnsi="仿宋" w:eastAsia="仿宋" w:cs="仿宋"/>
                <w:color w:val="auto"/>
                <w:sz w:val="18"/>
                <w:szCs w:val="18"/>
                <w:highlight w:val="none"/>
              </w:rPr>
              <w:t xml:space="preserve">供应商认为可能发生的其他费用。</w:t>
            </w:r>
            <w:r/>
          </w:p>
        </w:tc>
      </w:tr>
      <w:tr>
        <w:trPr>
          <w:jc w:val="center"/>
          <w:trHeight w:val="707"/>
        </w:trPr>
        <w:tc>
          <w:tcPr>
            <w:tcW w:w="684" w:type="dxa"/>
            <w:vAlign w:val="center"/>
            <w:textDirection w:val="lrTb"/>
            <w:noWrap w:val="false"/>
          </w:tcPr>
          <w:p>
            <w:pPr>
              <w:jc w:val="center"/>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11</w:t>
            </w:r>
            <w:r/>
          </w:p>
        </w:tc>
        <w:tc>
          <w:tcPr>
            <w:tcW w:w="1375" w:type="dxa"/>
            <w:vAlign w:val="center"/>
            <w:textDirection w:val="lrTb"/>
            <w:noWrap w:val="false"/>
          </w:tcPr>
          <w:p>
            <w:pPr>
              <w:jc w:val="center"/>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投标报价（元）</w:t>
            </w:r>
            <w:r/>
          </w:p>
        </w:tc>
        <w:tc>
          <w:tcPr>
            <w:gridSpan w:val="6"/>
            <w:tcW w:w="7357" w:type="dxa"/>
            <w:vAlign w:val="center"/>
            <w:textDirection w:val="lrTb"/>
            <w:noWrap w:val="false"/>
          </w:tcPr>
          <w:p>
            <w:pPr>
              <w:jc w:val="center"/>
              <w:rPr>
                <w:rStyle w:val="1364"/>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tc>
      </w:tr>
      <w:tr>
        <w:trPr>
          <w:jc w:val="center"/>
          <w:trHeight w:val="1082"/>
        </w:trPr>
        <w:tc>
          <w:tcPr>
            <w:gridSpan w:val="8"/>
            <w:tcW w:w="9416" w:type="dxa"/>
            <w:vAlign w:val="center"/>
            <w:textDirection w:val="lrTb"/>
            <w:noWrap w:val="false"/>
          </w:tcPr>
          <w:p>
            <w:pPr>
              <w:jc w:val="left"/>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注：（1）此表为样表，行数可自行添加，但表式不变。如有其他费用，供应商自行计算填列。（2）报价中的各分项报价均不得为“零”或负数（其他费用可以为“零”但不得为负数），否则做无效投标处理。（3）《投标报价明细表》“投标报价（元）”应当与《开标一览表》中“投标总报价”一致。（4）此表中所有数值保留小数点后两位进行计算。</w:t>
            </w:r>
            <w:r/>
          </w:p>
        </w:tc>
      </w:tr>
    </w:tbl>
    <w:p>
      <w:pPr>
        <w:jc w:val="left"/>
        <w:spacing w:line="360" w:lineRule="auto"/>
        <w:rPr>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p>
      <w:pPr>
        <w:jc w:val="left"/>
        <w:spacing w:line="360" w:lineRule="auto"/>
        <w:rPr>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r>
      <w:r/>
    </w:p>
    <w:p>
      <w:pPr>
        <w:jc w:val="left"/>
        <w:spacing w:line="360" w:lineRule="auto"/>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附：最低工资标准、社保及公积金相关规定</w:t>
      </w:r>
      <w:r/>
    </w:p>
    <w:p>
      <w:pPr>
        <w:ind w:firstLine="422"/>
        <w:jc w:val="left"/>
        <w:spacing w:line="360" w:lineRule="auto"/>
        <w:rPr>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p>
    <w:p>
      <w:pPr>
        <w:jc w:val="left"/>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表1：最低工资标准、社会保险及公积金（参考）</w:t>
      </w:r>
      <w:r/>
    </w:p>
    <w:tbl>
      <w:tblPr>
        <w:tblStyle w:val="743"/>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466"/>
        <w:gridCol w:w="4209"/>
        <w:gridCol w:w="1311"/>
        <w:gridCol w:w="2183"/>
      </w:tblGrid>
      <w:tr>
        <w:trPr>
          <w:trHeight w:val="597" w:hRule="exact"/>
        </w:trPr>
        <w:tc>
          <w:tcPr>
            <w:tcW w:w="736" w:type="dxa"/>
            <w:vAlign w:val="center"/>
            <w:textDirection w:val="lrTb"/>
            <w:noWrap/>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序号</w:t>
            </w:r>
            <w:r/>
          </w:p>
        </w:tc>
        <w:tc>
          <w:tcPr>
            <w:tcW w:w="1466" w:type="dxa"/>
            <w:vAlign w:val="center"/>
            <w:textDirection w:val="lrTb"/>
            <w:noWrap/>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名称</w:t>
            </w:r>
            <w:r/>
          </w:p>
        </w:tc>
        <w:tc>
          <w:tcPr>
            <w:tcW w:w="4209" w:type="dxa"/>
            <w:vAlign w:val="center"/>
            <w:textDirection w:val="lrTb"/>
            <w:noWrap/>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计算公式</w:t>
            </w:r>
            <w:r/>
          </w:p>
        </w:tc>
        <w:tc>
          <w:tcPr>
            <w:tcW w:w="1311" w:type="dxa"/>
            <w:vAlign w:val="center"/>
            <w:textDirection w:val="lrTb"/>
            <w:noWrap/>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金额（元/月）</w:t>
            </w:r>
            <w:r/>
          </w:p>
        </w:tc>
        <w:tc>
          <w:tcPr>
            <w:tcW w:w="2183" w:type="dxa"/>
            <w:vAlign w:val="center"/>
            <w:textDirection w:val="lrTb"/>
            <w:noWrap/>
          </w:tcPr>
          <w:p>
            <w:pPr>
              <w:jc w:val="center"/>
              <w:widowControl/>
              <w:rPr>
                <w:rStyle w:val="1364"/>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备注</w:t>
            </w:r>
            <w:r/>
          </w:p>
        </w:tc>
      </w:tr>
      <w:tr>
        <w:trPr>
          <w:trHeight w:val="591" w:hRule="exact"/>
        </w:trPr>
        <w:tc>
          <w:tcPr>
            <w:tcW w:w="73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tcW w:w="146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最低工资标准</w:t>
            </w:r>
            <w:r/>
          </w:p>
        </w:tc>
        <w:tc>
          <w:tcPr>
            <w:tcW w:w="4209"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1311"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2660</w:t>
            </w:r>
            <w:r/>
          </w:p>
        </w:tc>
        <w:tc>
          <w:tcPr>
            <w:tcW w:w="2183" w:type="dxa"/>
            <w:vAlign w:val="center"/>
            <w:textDirection w:val="lrTb"/>
            <w:noWrap/>
          </w:tcPr>
          <w:p>
            <w:pPr>
              <w:jc w:val="cente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trHeight w:val="868" w:hRule="exact"/>
        </w:trPr>
        <w:tc>
          <w:tcPr>
            <w:tcW w:w="73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tcW w:w="146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社保单位计提费用</w:t>
            </w:r>
            <w:r/>
          </w:p>
        </w:tc>
        <w:tc>
          <w:tcPr>
            <w:tcW w:w="4209"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缴费基数（≥4952）*缴费比例（≥24.7%）</w:t>
            </w:r>
            <w:r/>
          </w:p>
        </w:tc>
        <w:tc>
          <w:tcPr>
            <w:tcW w:w="1311"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≥1223.144</w:t>
            </w:r>
            <w:r/>
          </w:p>
        </w:tc>
        <w:tc>
          <w:tcPr>
            <w:tcW w:w="2183" w:type="dxa"/>
            <w:vAlign w:val="center"/>
            <w:textDirection w:val="lrTb"/>
            <w:noWrap/>
          </w:tcPr>
          <w:p>
            <w:pPr>
              <w:jc w:val="left"/>
              <w:rPr>
                <w:rStyle w:val="1364"/>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rPr>
              <w:t xml:space="preserve">保留小数点后两位测算，金额≥1223.15</w:t>
            </w:r>
            <w:r/>
          </w:p>
        </w:tc>
      </w:tr>
      <w:tr>
        <w:trPr>
          <w:trHeight w:val="732" w:hRule="exact"/>
        </w:trPr>
        <w:tc>
          <w:tcPr>
            <w:tcW w:w="73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tcW w:w="146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公积金单位计提费用</w:t>
            </w:r>
            <w:r/>
          </w:p>
        </w:tc>
        <w:tc>
          <w:tcPr>
            <w:tcW w:w="4209"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缴存基数（≥2660）*缴存比例（≥5%）</w:t>
            </w:r>
            <w:r/>
          </w:p>
        </w:tc>
        <w:tc>
          <w:tcPr>
            <w:tcW w:w="1311"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≥133</w:t>
            </w:r>
            <w:r/>
          </w:p>
        </w:tc>
        <w:tc>
          <w:tcPr>
            <w:tcW w:w="2183" w:type="dxa"/>
            <w:vAlign w:val="center"/>
            <w:textDirection w:val="lrTb"/>
            <w:noWrap/>
          </w:tcPr>
          <w:p>
            <w:pPr>
              <w:jc w:val="center"/>
              <w:rPr>
                <w:rStyle w:val="1364"/>
                <w:rFonts w:ascii="仿宋" w:hAnsi="仿宋" w:eastAsia="仿宋" w:cs="仿宋"/>
                <w:color w:val="auto"/>
                <w:sz w:val="18"/>
                <w:szCs w:val="18"/>
                <w:highlight w:val="none"/>
              </w:rPr>
            </w:pPr>
            <w:r>
              <w:rPr>
                <w:rFonts w:ascii="仿宋" w:hAnsi="仿宋" w:eastAsia="仿宋" w:cs="仿宋"/>
                <w:color w:val="auto"/>
                <w:sz w:val="18"/>
                <w:szCs w:val="18"/>
                <w:highlight w:val="none"/>
              </w:rPr>
            </w:r>
            <w:r/>
          </w:p>
        </w:tc>
      </w:tr>
      <w:tr>
        <w:trPr>
          <w:trHeight w:val="1741" w:hRule="exact"/>
        </w:trPr>
        <w:tc>
          <w:tcPr>
            <w:tcW w:w="73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w:t>
            </w:r>
            <w:r/>
          </w:p>
        </w:tc>
        <w:tc>
          <w:tcPr>
            <w:tcW w:w="1466"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公积金个人计提费用</w:t>
            </w:r>
            <w:r/>
          </w:p>
        </w:tc>
        <w:tc>
          <w:tcPr>
            <w:tcW w:w="4209"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缴存基数（≥2660）*缴存比例（≥5%）</w:t>
            </w:r>
            <w:r/>
          </w:p>
        </w:tc>
        <w:tc>
          <w:tcPr>
            <w:tcW w:w="1311" w:type="dxa"/>
            <w:vAlign w:val="center"/>
            <w:textDirection w:val="lrTb"/>
            <w:noWrap/>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≥133</w:t>
            </w:r>
            <w:r/>
          </w:p>
        </w:tc>
        <w:tc>
          <w:tcPr>
            <w:tcW w:w="2183" w:type="dxa"/>
            <w:vAlign w:val="center"/>
            <w:textDirection w:val="lrTb"/>
            <w:noWrap/>
          </w:tcPr>
          <w:p>
            <w:pPr>
              <w:jc w:val="left"/>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最低工资不包含劳动者按下限缴存的住房公积金，由用人单位按规定另行支付。</w:t>
            </w:r>
            <w:r/>
          </w:p>
        </w:tc>
      </w:tr>
      <w:tr>
        <w:trPr>
          <w:trHeight w:val="1163" w:hRule="exact"/>
        </w:trPr>
        <w:tc>
          <w:tcPr>
            <w:tcW w:w="736" w:type="dxa"/>
            <w:vAlign w:val="center"/>
            <w:vMerge w:val="restart"/>
            <w:textDirection w:val="lrTb"/>
            <w:noWrap/>
          </w:tcPr>
          <w:p>
            <w:pPr>
              <w:jc w:val="cente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w:t>
            </w:r>
            <w:r/>
          </w:p>
        </w:tc>
        <w:tc>
          <w:tcPr>
            <w:tcW w:w="1466" w:type="dxa"/>
            <w:vAlign w:val="center"/>
            <w:textDirection w:val="lrTb"/>
            <w:noWrap/>
          </w:tcPr>
          <w:p>
            <w:pPr>
              <w:jc w:val="cente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企业用人成本1</w:t>
            </w:r>
            <w:r/>
          </w:p>
        </w:tc>
        <w:tc>
          <w:tcPr>
            <w:tcW w:w="4209" w:type="dxa"/>
            <w:vAlign w:val="center"/>
            <w:textDirection w:val="lrTb"/>
            <w:noWrap/>
          </w:tcPr>
          <w:p>
            <w:pPr>
              <w:jc w:val="cente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序号1+2+3+4</w:t>
            </w:r>
            <w:r/>
          </w:p>
        </w:tc>
        <w:tc>
          <w:tcPr>
            <w:tcW w:w="1311" w:type="dxa"/>
            <w:vAlign w:val="center"/>
            <w:textDirection w:val="lrTb"/>
            <w:noWrap/>
          </w:tcPr>
          <w:p>
            <w:pPr>
              <w:jc w:val="cente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≥4149.144</w:t>
            </w:r>
            <w:r/>
          </w:p>
        </w:tc>
        <w:tc>
          <w:tcPr>
            <w:tcW w:w="2183" w:type="dxa"/>
            <w:vAlign w:val="center"/>
            <w:textDirection w:val="lrTb"/>
            <w:noWrap/>
          </w:tcPr>
          <w:p>
            <w:pPr>
              <w:jc w:val="left"/>
              <w:rPr>
                <w:rFonts w:ascii="仿宋" w:hAnsi="仿宋" w:eastAsia="仿宋" w:cs="仿宋"/>
                <w:color w:val="auto"/>
                <w:sz w:val="18"/>
                <w:szCs w:val="18"/>
                <w:highlight w:val="none"/>
                <w:lang w:bidi="ar"/>
              </w:rPr>
            </w:pPr>
            <w:r>
              <w:rPr>
                <w:rFonts w:hint="eastAsia" w:ascii="仿宋" w:hAnsi="仿宋" w:eastAsia="仿宋" w:cs="仿宋"/>
                <w:color w:val="auto"/>
                <w:sz w:val="18"/>
                <w:szCs w:val="18"/>
                <w:highlight w:val="none"/>
                <w:lang w:bidi="ar"/>
              </w:rPr>
              <w:t xml:space="preserve">普通人员</w:t>
            </w:r>
            <w:r/>
          </w:p>
          <w:p>
            <w:pPr>
              <w:jc w:val="left"/>
              <w:rPr>
                <w:rFonts w:ascii="仿宋" w:hAnsi="仿宋" w:eastAsia="仿宋" w:cs="仿宋"/>
                <w:color w:val="auto"/>
                <w:sz w:val="18"/>
                <w:szCs w:val="18"/>
                <w:highlight w:val="none"/>
              </w:rPr>
            </w:pPr>
            <w:r>
              <w:rPr>
                <w:rFonts w:hint="eastAsia" w:ascii="仿宋" w:hAnsi="仿宋" w:eastAsia="仿宋" w:cs="仿宋"/>
                <w:b/>
                <w:bCs/>
                <w:color w:val="auto"/>
                <w:sz w:val="18"/>
                <w:szCs w:val="18"/>
                <w:highlight w:val="none"/>
              </w:rPr>
              <w:t xml:space="preserve">保留小数点后两位测算，金额≥4149.15</w:t>
            </w:r>
            <w:r/>
          </w:p>
        </w:tc>
      </w:tr>
      <w:tr>
        <w:trPr>
          <w:trHeight w:val="1196" w:hRule="exact"/>
        </w:trPr>
        <w:tc>
          <w:tcPr>
            <w:tcW w:w="736" w:type="dxa"/>
            <w:vAlign w:val="center"/>
            <w:vMerge w:val="continue"/>
            <w:textDirection w:val="lrTb"/>
            <w:noWrap/>
          </w:tcPr>
          <w:p>
            <w:pPr>
              <w:jc w:val="center"/>
              <w:rPr>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466" w:type="dxa"/>
            <w:vAlign w:val="center"/>
            <w:textDirection w:val="lrTb"/>
            <w:noWrap/>
          </w:tcPr>
          <w:p>
            <w:pPr>
              <w:jc w:val="cente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企业用人成本2</w:t>
            </w:r>
            <w:r/>
          </w:p>
        </w:tc>
        <w:tc>
          <w:tcPr>
            <w:tcW w:w="4209" w:type="dxa"/>
            <w:vAlign w:val="center"/>
            <w:textDirection w:val="lrTb"/>
            <w:noWrap/>
          </w:tcPr>
          <w:p>
            <w:pPr>
              <w:jc w:val="cente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序号1</w:t>
            </w:r>
            <w:r/>
          </w:p>
        </w:tc>
        <w:tc>
          <w:tcPr>
            <w:tcW w:w="1311" w:type="dxa"/>
            <w:vAlign w:val="center"/>
            <w:textDirection w:val="lrTb"/>
            <w:noWrap/>
          </w:tcPr>
          <w:p>
            <w:pPr>
              <w:ind w:firstLine="21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≥2660</w:t>
            </w:r>
            <w:r/>
          </w:p>
        </w:tc>
        <w:tc>
          <w:tcPr>
            <w:tcW w:w="2183" w:type="dxa"/>
            <w:vAlign w:val="center"/>
            <w:textDirection w:val="lrTb"/>
            <w:noWrap/>
          </w:tcPr>
          <w:p>
            <w:pPr>
              <w:jc w:val="left"/>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享受社保公积金减免政策人员</w:t>
            </w:r>
            <w:r/>
          </w:p>
        </w:tc>
      </w:tr>
    </w:tbl>
    <w:p>
      <w:pPr>
        <w:ind w:firstLine="420"/>
        <w:jc w:val="left"/>
        <w:rPr>
          <w:rFonts w:ascii="仿宋" w:hAnsi="仿宋" w:eastAsia="仿宋" w:cs="仿宋"/>
          <w:color w:val="auto"/>
          <w:sz w:val="18"/>
          <w:szCs w:val="18"/>
          <w:highlight w:val="none"/>
        </w:rPr>
      </w:pPr>
      <w:r>
        <w:rPr>
          <w:rFonts w:ascii="仿宋" w:hAnsi="仿宋" w:eastAsia="仿宋" w:cs="仿宋"/>
          <w:color w:val="auto"/>
          <w:sz w:val="18"/>
          <w:szCs w:val="18"/>
          <w:highlight w:val="none"/>
        </w:rPr>
      </w:r>
      <w:r/>
    </w:p>
    <w:p>
      <w:pPr>
        <w:jc w:val="left"/>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表2：社会保险最低缴费比例（参考）</w:t>
      </w:r>
      <w:r/>
    </w:p>
    <w:tbl>
      <w:tblPr>
        <w:tblStyle w:val="1365"/>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2387"/>
        <w:gridCol w:w="3138"/>
        <w:gridCol w:w="2839"/>
      </w:tblGrid>
      <w:tr>
        <w:trPr/>
        <w:tc>
          <w:tcPr>
            <w:tcW w:w="773" w:type="dxa"/>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序号</w:t>
            </w:r>
            <w:r/>
          </w:p>
        </w:tc>
        <w:tc>
          <w:tcPr>
            <w:tcW w:w="2595" w:type="dxa"/>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险种</w:t>
            </w:r>
            <w:r/>
          </w:p>
        </w:tc>
        <w:tc>
          <w:tcPr>
            <w:tcW w:w="3406" w:type="dxa"/>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单位缴纳比例</w:t>
            </w:r>
            <w:r/>
          </w:p>
        </w:tc>
        <w:tc>
          <w:tcPr>
            <w:tcW w:w="3074" w:type="dxa"/>
            <w:textDirection w:val="lrTb"/>
            <w:noWrap w:val="false"/>
          </w:tcPr>
          <w:p>
            <w:pPr>
              <w:jc w:val="center"/>
              <w:widowControl/>
              <w:rPr>
                <w:rStyle w:val="1364"/>
                <w:rFonts w:ascii="仿宋" w:hAnsi="仿宋" w:eastAsia="仿宋" w:cs="仿宋"/>
                <w:b/>
                <w:bCs/>
                <w:color w:val="auto"/>
                <w:sz w:val="18"/>
                <w:szCs w:val="18"/>
                <w:highlight w:val="none"/>
                <w:lang w:bidi="en-US"/>
              </w:rPr>
            </w:pPr>
            <w:r>
              <w:rPr>
                <w:rFonts w:hint="eastAsia" w:ascii="仿宋" w:hAnsi="仿宋" w:eastAsia="仿宋" w:cs="仿宋"/>
                <w:b/>
                <w:bCs/>
                <w:color w:val="auto"/>
                <w:sz w:val="18"/>
                <w:szCs w:val="18"/>
                <w:highlight w:val="none"/>
                <w:lang w:bidi="en-US"/>
              </w:rPr>
              <w:t xml:space="preserve">个人缴纳比例及金额</w:t>
            </w:r>
            <w:r/>
          </w:p>
        </w:tc>
      </w:tr>
      <w:tr>
        <w:trPr/>
        <w:tc>
          <w:tcPr>
            <w:tcW w:w="773"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tcW w:w="2595"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养老保险</w:t>
            </w:r>
            <w:r/>
          </w:p>
        </w:tc>
        <w:tc>
          <w:tcPr>
            <w:tcW w:w="3406"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16%</w:t>
            </w:r>
            <w:r/>
          </w:p>
        </w:tc>
        <w:tc>
          <w:tcPr>
            <w:tcW w:w="3074"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8%</w:t>
            </w:r>
            <w:r/>
          </w:p>
        </w:tc>
      </w:tr>
      <w:tr>
        <w:trPr/>
        <w:tc>
          <w:tcPr>
            <w:tcW w:w="773"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tcW w:w="2595"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医疗保险</w:t>
            </w:r>
            <w:r/>
          </w:p>
        </w:tc>
        <w:tc>
          <w:tcPr>
            <w:tcW w:w="3406"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7%   </w:t>
            </w:r>
            <w:r/>
          </w:p>
        </w:tc>
        <w:tc>
          <w:tcPr>
            <w:tcW w:w="3074"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r>
      <w:tr>
        <w:trPr/>
        <w:tc>
          <w:tcPr>
            <w:tcW w:w="773"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tcW w:w="2595"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工伤保险</w:t>
            </w:r>
            <w:r/>
          </w:p>
        </w:tc>
        <w:tc>
          <w:tcPr>
            <w:tcW w:w="3406"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0.4%</w:t>
            </w:r>
            <w:r/>
          </w:p>
        </w:tc>
        <w:tc>
          <w:tcPr>
            <w:tcW w:w="3074"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r>
      <w:tr>
        <w:trPr/>
        <w:tc>
          <w:tcPr>
            <w:tcW w:w="773"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w:t>
            </w:r>
            <w:r/>
          </w:p>
        </w:tc>
        <w:tc>
          <w:tcPr>
            <w:tcW w:w="2595"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失业保险</w:t>
            </w:r>
            <w:r/>
          </w:p>
        </w:tc>
        <w:tc>
          <w:tcPr>
            <w:tcW w:w="3406"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0.5%</w:t>
            </w:r>
            <w:r/>
          </w:p>
        </w:tc>
        <w:tc>
          <w:tcPr>
            <w:tcW w:w="3074"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0.5%</w:t>
            </w:r>
            <w:r/>
          </w:p>
        </w:tc>
      </w:tr>
      <w:tr>
        <w:trPr/>
        <w:tc>
          <w:tcPr>
            <w:tcW w:w="773"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w:t>
            </w:r>
            <w:r/>
          </w:p>
        </w:tc>
        <w:tc>
          <w:tcPr>
            <w:tcW w:w="2595"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生育保险</w:t>
            </w:r>
            <w:r/>
          </w:p>
        </w:tc>
        <w:tc>
          <w:tcPr>
            <w:tcW w:w="3406"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0.8%</w:t>
            </w:r>
            <w:r/>
          </w:p>
        </w:tc>
        <w:tc>
          <w:tcPr>
            <w:tcW w:w="3074"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r>
      <w:tr>
        <w:trPr/>
        <w:tc>
          <w:tcPr>
            <w:tcW w:w="773"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tcW w:w="2595"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大病医疗救助</w:t>
            </w:r>
            <w:r/>
          </w:p>
        </w:tc>
        <w:tc>
          <w:tcPr>
            <w:tcW w:w="3406"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w:t>
            </w:r>
            <w:r/>
          </w:p>
        </w:tc>
        <w:tc>
          <w:tcPr>
            <w:tcW w:w="3074" w:type="dxa"/>
            <w:textDirection w:val="lrTb"/>
            <w:noWrap w:val="false"/>
          </w:tcPr>
          <w:p>
            <w:pPr>
              <w:jc w:val="center"/>
              <w:rPr>
                <w:rStyle w:val="1364"/>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10元/月</w:t>
            </w:r>
            <w:r/>
          </w:p>
        </w:tc>
      </w:tr>
    </w:tbl>
    <w:p>
      <w:pPr>
        <w:pStyle w:val="1021"/>
        <w:rPr>
          <w:rFonts w:ascii="仿宋" w:hAnsi="仿宋" w:eastAsia="仿宋" w:cs="仿宋"/>
          <w:color w:val="auto"/>
          <w:sz w:val="18"/>
          <w:szCs w:val="18"/>
          <w:highlight w:val="none"/>
        </w:rPr>
      </w:pPr>
      <w:r>
        <w:rPr>
          <w:rFonts w:ascii="仿宋" w:hAnsi="仿宋" w:eastAsia="仿宋" w:cs="仿宋"/>
          <w:color w:val="auto"/>
          <w:sz w:val="18"/>
          <w:szCs w:val="18"/>
          <w:highlight w:val="none"/>
        </w:rPr>
      </w:r>
      <w:r/>
    </w:p>
    <w:p>
      <w:pPr>
        <w:jc w:val="left"/>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相关说明、证明材料（供应商自行提供）</w:t>
      </w:r>
      <w:r/>
    </w:p>
    <w:p>
      <w:pPr>
        <w:ind w:firstLine="480"/>
        <w:spacing w:line="480" w:lineRule="exact"/>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1.供应商拟投入本项目的服务人员中，依法享受社保、住房公积金等缴纳减免政策的说明材料。</w:t>
      </w:r>
      <w:r/>
    </w:p>
    <w:p>
      <w:pPr>
        <w:pStyle w:val="1034"/>
        <w:spacing w:line="440" w:lineRule="exact"/>
        <w:rPr>
          <w:rFonts w:ascii="仿宋" w:hAnsi="仿宋" w:eastAsia="仿宋" w:cs="仿宋"/>
          <w:b/>
          <w:color w:val="auto"/>
          <w:sz w:val="18"/>
          <w:szCs w:val="18"/>
          <w:highlight w:val="none"/>
        </w:rPr>
      </w:pPr>
      <w:r>
        <w:rPr>
          <w:rFonts w:ascii="仿宋" w:hAnsi="仿宋" w:eastAsia="仿宋" w:cs="仿宋"/>
          <w:b/>
          <w:color w:val="auto"/>
          <w:sz w:val="18"/>
          <w:szCs w:val="18"/>
          <w:highlight w:val="none"/>
        </w:rPr>
      </w:r>
      <w:r/>
    </w:p>
    <w:p>
      <w:pPr>
        <w:pStyle w:val="1034"/>
        <w:spacing w:line="440" w:lineRule="exact"/>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 xml:space="preserve">单位名称：</w:t>
      </w:r>
      <w:r>
        <w:rPr>
          <w:rFonts w:hint="eastAsia" w:ascii="仿宋" w:hAnsi="仿宋" w:eastAsia="仿宋" w:cs="仿宋"/>
          <w:color w:val="auto"/>
          <w:sz w:val="18"/>
          <w:szCs w:val="18"/>
          <w:highlight w:val="none"/>
          <w:u w:val="single"/>
        </w:rPr>
        <w:t xml:space="preserve">                 </w:t>
      </w:r>
      <w:r>
        <w:rPr>
          <w:rFonts w:hint="eastAsia" w:ascii="仿宋" w:hAnsi="仿宋" w:eastAsia="仿宋" w:cs="仿宋"/>
          <w:b/>
          <w:color w:val="auto"/>
          <w:sz w:val="18"/>
          <w:szCs w:val="18"/>
          <w:highlight w:val="none"/>
        </w:rPr>
        <w:t xml:space="preserve">（签章）</w:t>
      </w:r>
      <w:r>
        <w:rPr>
          <w:rFonts w:hint="eastAsia" w:ascii="仿宋" w:hAnsi="仿宋" w:eastAsia="仿宋" w:cs="仿宋"/>
          <w:color w:val="auto"/>
          <w:sz w:val="18"/>
          <w:szCs w:val="18"/>
          <w:highlight w:val="none"/>
        </w:rPr>
        <w:t xml:space="preserve"> </w:t>
      </w:r>
      <w:r>
        <w:rPr>
          <w:rFonts w:hint="eastAsia" w:ascii="仿宋" w:hAnsi="仿宋" w:eastAsia="仿宋" w:cs="仿宋"/>
          <w:b/>
          <w:color w:val="auto"/>
          <w:sz w:val="18"/>
          <w:szCs w:val="18"/>
          <w:highlight w:val="none"/>
        </w:rPr>
        <w:t xml:space="preserve">                   </w:t>
      </w:r>
      <w:r/>
    </w:p>
    <w:p>
      <w:pPr>
        <w:spacing w:line="440" w:lineRule="exact"/>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 xml:space="preserve">法定代表人（或授权代表）：</w:t>
      </w:r>
      <w:r>
        <w:rPr>
          <w:rFonts w:hint="eastAsia" w:ascii="仿宋" w:hAnsi="仿宋" w:eastAsia="仿宋" w:cs="仿宋"/>
          <w:color w:val="auto"/>
          <w:sz w:val="18"/>
          <w:szCs w:val="18"/>
          <w:highlight w:val="none"/>
          <w:u w:val="single"/>
        </w:rPr>
        <w:t xml:space="preserve">                 </w:t>
      </w:r>
      <w:r>
        <w:rPr>
          <w:rFonts w:hint="eastAsia" w:ascii="仿宋" w:hAnsi="仿宋" w:eastAsia="仿宋" w:cs="仿宋"/>
          <w:b/>
          <w:color w:val="auto"/>
          <w:sz w:val="18"/>
          <w:szCs w:val="18"/>
          <w:highlight w:val="none"/>
        </w:rPr>
        <w:t xml:space="preserve">（签字/签章）</w:t>
      </w:r>
      <w:r>
        <w:rPr>
          <w:rFonts w:hint="eastAsia" w:ascii="仿宋" w:hAnsi="仿宋" w:eastAsia="仿宋" w:cs="仿宋"/>
          <w:color w:val="auto"/>
          <w:sz w:val="18"/>
          <w:szCs w:val="18"/>
          <w:highlight w:val="none"/>
        </w:rPr>
        <w:t xml:space="preserve"> </w:t>
      </w:r>
      <w:r>
        <w:rPr>
          <w:rFonts w:hint="eastAsia" w:ascii="仿宋" w:hAnsi="仿宋" w:eastAsia="仿宋" w:cs="仿宋"/>
          <w:b/>
          <w:color w:val="auto"/>
          <w:sz w:val="18"/>
          <w:szCs w:val="18"/>
          <w:highlight w:val="none"/>
        </w:rPr>
        <w:t xml:space="preserve">  </w:t>
      </w:r>
      <w:r/>
    </w:p>
    <w:p>
      <w:pPr>
        <w:pStyle w:val="1042"/>
        <w:spacing w:line="440" w:lineRule="exact"/>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 xml:space="preserve">日期：</w:t>
      </w:r>
      <w:r>
        <w:rPr>
          <w:rFonts w:hint="eastAsia" w:ascii="仿宋" w:hAnsi="仿宋" w:eastAsia="仿宋" w:cs="仿宋"/>
          <w:b/>
          <w:color w:val="auto"/>
          <w:sz w:val="18"/>
          <w:szCs w:val="18"/>
          <w:highlight w:val="none"/>
          <w:u w:val="single"/>
        </w:rPr>
        <w:t xml:space="preserve">        </w:t>
      </w:r>
      <w:r>
        <w:rPr>
          <w:rFonts w:hint="eastAsia" w:ascii="仿宋" w:hAnsi="仿宋" w:eastAsia="仿宋" w:cs="仿宋"/>
          <w:b/>
          <w:color w:val="auto"/>
          <w:sz w:val="18"/>
          <w:szCs w:val="18"/>
          <w:highlight w:val="none"/>
        </w:rPr>
        <w:t xml:space="preserve">年</w:t>
      </w:r>
      <w:r>
        <w:rPr>
          <w:rFonts w:hint="eastAsia" w:ascii="仿宋" w:hAnsi="仿宋" w:eastAsia="仿宋" w:cs="仿宋"/>
          <w:b/>
          <w:color w:val="auto"/>
          <w:sz w:val="18"/>
          <w:szCs w:val="18"/>
          <w:highlight w:val="none"/>
          <w:u w:val="single"/>
        </w:rPr>
        <w:t xml:space="preserve">    </w:t>
      </w:r>
      <w:r>
        <w:rPr>
          <w:rFonts w:hint="eastAsia" w:ascii="仿宋" w:hAnsi="仿宋" w:eastAsia="仿宋" w:cs="仿宋"/>
          <w:b/>
          <w:color w:val="auto"/>
          <w:sz w:val="18"/>
          <w:szCs w:val="18"/>
          <w:highlight w:val="none"/>
        </w:rPr>
        <w:t xml:space="preserve">月</w:t>
      </w:r>
      <w:r>
        <w:rPr>
          <w:rFonts w:hint="eastAsia" w:ascii="仿宋" w:hAnsi="仿宋" w:eastAsia="仿宋" w:cs="仿宋"/>
          <w:b/>
          <w:color w:val="auto"/>
          <w:sz w:val="18"/>
          <w:szCs w:val="18"/>
          <w:highlight w:val="none"/>
          <w:u w:val="single"/>
        </w:rPr>
        <w:t xml:space="preserve">    </w:t>
      </w:r>
      <w:r>
        <w:rPr>
          <w:rFonts w:hint="eastAsia" w:ascii="仿宋" w:hAnsi="仿宋" w:eastAsia="仿宋" w:cs="仿宋"/>
          <w:b/>
          <w:color w:val="auto"/>
          <w:sz w:val="18"/>
          <w:szCs w:val="18"/>
          <w:highlight w:val="none"/>
        </w:rPr>
        <w:t xml:space="preserve">日                     </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1035"/>
        <w:rPr>
          <w:rFonts w:ascii="仿宋" w:hAnsi="仿宋" w:eastAsia="仿宋" w:cs="仿宋"/>
          <w:color w:val="auto"/>
          <w:highlight w:val="none"/>
        </w:rPr>
        <w:outlineLvl w:val="2"/>
      </w:pPr>
      <w:r>
        <w:rPr>
          <w:rFonts w:hint="eastAsia" w:ascii="仿宋" w:hAnsi="仿宋" w:eastAsia="仿宋" w:cs="仿宋"/>
          <w:color w:val="auto"/>
          <w:highlight w:val="none"/>
        </w:rPr>
        <w:t xml:space="preserve">投标人基本信息</w:t>
      </w:r>
      <w:r/>
    </w:p>
    <w:p>
      <w:pPr>
        <w:pStyle w:val="1036"/>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投标人基本情况表</w:t>
      </w:r>
      <w:r/>
    </w:p>
    <w:tbl>
      <w:tblPr>
        <w:tblStyle w:val="74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w:t>
            </w:r>
            <w:r/>
          </w:p>
        </w:tc>
        <w:tc>
          <w:tcPr>
            <w:gridSpan w:val="3"/>
            <w:tcW w:w="685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（国有、民营等）</w:t>
            </w:r>
            <w:r/>
          </w:p>
        </w:tc>
      </w:tr>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3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36"/>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36"/>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36"/>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36"/>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1065"/>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65"/>
        <w:rPr>
          <w:rFonts w:ascii="仿宋" w:hAnsi="仿宋" w:eastAsia="仿宋" w:cs="仿宋"/>
          <w:color w:val="auto"/>
          <w:highlight w:val="none"/>
        </w:rPr>
      </w:pPr>
      <w:r>
        <w:rPr>
          <w:rFonts w:ascii="仿宋" w:hAnsi="仿宋" w:eastAsia="仿宋" w:cs="仿宋"/>
          <w:color w:val="auto"/>
          <w:highlight w:val="none"/>
        </w:rPr>
      </w:r>
      <w:r/>
    </w:p>
    <w:p>
      <w:pPr>
        <w:pStyle w:val="1065"/>
        <w:rPr>
          <w:rFonts w:ascii="仿宋" w:hAnsi="仿宋" w:eastAsia="仿宋" w:cs="仿宋"/>
          <w:color w:val="auto"/>
          <w:highlight w:val="none"/>
        </w:rPr>
      </w:pPr>
      <w:r>
        <w:rPr>
          <w:rFonts w:hint="eastAsia" w:ascii="仿宋" w:hAnsi="仿宋" w:eastAsia="仿宋" w:cs="仿宋"/>
          <w:color w:val="auto"/>
          <w:highlight w:val="none"/>
        </w:rPr>
        <w:t xml:space="preserve">请在此处中增加投标所需其他相关内容（招标要求的及其他投标人认为有必要提供的资料），如没有请空置。</w:t>
      </w:r>
      <w:r/>
    </w:p>
    <w:p>
      <w:pPr>
        <w:pStyle w:val="1065"/>
        <w:rPr>
          <w:rFonts w:ascii="仿宋" w:hAnsi="仿宋" w:eastAsia="仿宋" w:cs="仿宋"/>
          <w:color w:val="auto"/>
          <w:highlight w:val="none"/>
        </w:rPr>
      </w:pPr>
      <w:r>
        <w:rPr>
          <w:rFonts w:ascii="仿宋" w:hAnsi="仿宋" w:eastAsia="仿宋" w:cs="仿宋"/>
          <w:color w:val="auto"/>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5"/>
        <w:rPr>
          <w:rFonts w:ascii="仿宋" w:hAnsi="仿宋" w:eastAsia="仿宋" w:cs="仿宋"/>
          <w:color w:val="auto"/>
          <w:highlight w:val="none"/>
        </w:rPr>
        <w:outlineLvl w:val="1"/>
      </w:pPr>
      <w:r>
        <w:rPr>
          <w:rFonts w:hint="eastAsia" w:ascii="仿宋" w:hAnsi="仿宋" w:eastAsia="仿宋" w:cs="仿宋"/>
          <w:bCs/>
          <w:color w:val="auto"/>
          <w:sz w:val="28"/>
          <w:szCs w:val="28"/>
          <w:highlight w:val="none"/>
        </w:rPr>
        <w:br w:type="page" w:clear="all"/>
      </w:r>
      <w:bookmarkStart w:id="88" w:name="_Toc10009"/>
      <w:r/>
      <w:bookmarkStart w:id="89" w:name="_Toc11658"/>
      <w:r/>
      <w:bookmarkStart w:id="90" w:name="_Toc14673"/>
      <w:r/>
      <w:bookmarkStart w:id="91" w:name="_Toc27368"/>
      <w:r>
        <w:rPr>
          <w:rFonts w:hint="eastAsia" w:ascii="仿宋" w:hAnsi="仿宋" w:eastAsia="仿宋" w:cs="仿宋"/>
          <w:color w:val="auto"/>
          <w:highlight w:val="none"/>
        </w:rPr>
        <w:t xml:space="preserve">（二）资格条件</w:t>
      </w:r>
      <w:bookmarkEnd w:id="88"/>
      <w:r/>
      <w:bookmarkEnd w:id="89"/>
      <w:r/>
      <w:bookmarkEnd w:id="90"/>
      <w:r/>
      <w:bookmarkEnd w:id="91"/>
      <w:r/>
      <w:r/>
    </w:p>
    <w:p>
      <w:pPr>
        <w:pStyle w:val="1037"/>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投标人资质（按资格要求提供）</w:t>
      </w:r>
      <w:r/>
    </w:p>
    <w:p>
      <w:pPr>
        <w:jc w:val="left"/>
        <w:spacing w:line="580" w:lineRule="exact"/>
        <w:tabs>
          <w:tab w:val="left" w:pos="1498" w:leader="none"/>
        </w:tabs>
        <w:rPr>
          <w:rFonts w:ascii="仿宋" w:hAnsi="仿宋" w:eastAsia="仿宋" w:cs="仿宋"/>
          <w:bCs/>
          <w:color w:val="auto"/>
          <w:sz w:val="28"/>
          <w:szCs w:val="28"/>
          <w:highlight w:val="none"/>
        </w:rPr>
      </w:pPr>
      <w:r/>
      <w:bookmarkStart w:id="92" w:name="_Toc17048"/>
      <w:r>
        <w:rPr>
          <w:rFonts w:hint="eastAsia" w:ascii="仿宋" w:hAnsi="仿宋" w:eastAsia="仿宋" w:cs="仿宋"/>
          <w:bCs/>
          <w:color w:val="auto"/>
          <w:sz w:val="28"/>
          <w:szCs w:val="28"/>
          <w:highlight w:val="none"/>
        </w:rPr>
        <w:t xml:space="preserve">(1)具有独立承担民事责任的能力（法人或者其他组织的营业执照等证明文件，投标人为自然人的，提供其身份证）</w:t>
      </w:r>
      <w:r/>
    </w:p>
    <w:p>
      <w:pP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具有良好的商业信誉和健全的财务会计制度（提供2024年度或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rPr>
        <w:br w:type="page" w:clear="all"/>
      </w:r>
      <w:r/>
    </w:p>
    <w:p>
      <w:pPr>
        <w:jc w:val="left"/>
        <w:spacing w:line="6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(3)具有履行合同所必需的设备和专业技术能力（投标人根据履行采购项目合同需要，提供履行合同所必需的设备和专业技术能力的证明材料）</w:t>
      </w:r>
      <w:r/>
    </w:p>
    <w:p>
      <w:pPr>
        <w:jc w:val="left"/>
        <w:spacing w:line="60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jc w:val="center"/>
        <w:spacing w:line="600" w:lineRule="exact"/>
        <w:rPr>
          <w:rFonts w:ascii="仿宋" w:hAnsi="仿宋" w:eastAsia="仿宋" w:cs="仿宋"/>
          <w:b/>
          <w:color w:val="auto"/>
          <w:sz w:val="32"/>
          <w:highlight w:val="none"/>
        </w:rPr>
      </w:pPr>
      <w:r>
        <w:rPr>
          <w:rFonts w:hint="eastAsia" w:ascii="仿宋" w:hAnsi="仿宋" w:eastAsia="仿宋" w:cs="仿宋"/>
          <w:b/>
          <w:color w:val="auto"/>
          <w:sz w:val="32"/>
          <w:highlight w:val="none"/>
        </w:rPr>
        <w:t xml:space="preserve">具备履行合同所必需的设备和专业技术能力的声明</w:t>
      </w:r>
      <w:r/>
    </w:p>
    <w:p>
      <w:pPr>
        <w:spacing w:line="600" w:lineRule="exact"/>
        <w:rPr>
          <w:rFonts w:ascii="仿宋" w:hAnsi="仿宋" w:eastAsia="仿宋" w:cs="仿宋"/>
          <w:color w:val="auto"/>
          <w:szCs w:val="22"/>
          <w:highlight w:val="none"/>
          <w:u w:val="single"/>
        </w:rPr>
      </w:pPr>
      <w:r>
        <w:rPr>
          <w:rFonts w:ascii="仿宋" w:hAnsi="仿宋" w:eastAsia="仿宋" w:cs="仿宋"/>
          <w:color w:val="auto"/>
          <w:szCs w:val="22"/>
          <w:highlight w:val="none"/>
          <w:u w:val="single"/>
        </w:rPr>
      </w:r>
      <w:r/>
    </w:p>
    <w:p>
      <w:pPr>
        <w:spacing w:line="600" w:lineRule="exact"/>
        <w:rPr>
          <w:rFonts w:ascii="仿宋" w:hAnsi="仿宋" w:eastAsia="仿宋" w:cs="仿宋"/>
          <w:bCs/>
          <w:color w:val="auto"/>
          <w:szCs w:val="20"/>
          <w:highlight w:val="none"/>
        </w:rPr>
      </w:pPr>
      <w:r>
        <w:rPr>
          <w:rFonts w:hint="eastAsia" w:ascii="仿宋" w:hAnsi="仿宋" w:eastAsia="仿宋" w:cs="仿宋"/>
          <w:color w:val="auto"/>
          <w:highlight w:val="none"/>
          <w:u w:val="single"/>
        </w:rPr>
        <w:t xml:space="preserve">（采购人/采购代理机构）</w:t>
      </w:r>
      <w:r>
        <w:rPr>
          <w:rFonts w:hint="eastAsia" w:ascii="仿宋" w:hAnsi="仿宋" w:eastAsia="仿宋" w:cs="仿宋"/>
          <w:bCs/>
          <w:color w:val="auto"/>
          <w:szCs w:val="20"/>
          <w:highlight w:val="none"/>
        </w:rPr>
        <w:t xml:space="preserve">：</w:t>
      </w:r>
      <w:r/>
    </w:p>
    <w:p>
      <w:pPr>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   我公司具备履行编号为</w:t>
      </w:r>
      <w:r>
        <w:rPr>
          <w:rFonts w:hint="eastAsia" w:ascii="仿宋" w:hAnsi="仿宋" w:eastAsia="仿宋" w:cs="仿宋"/>
          <w:bCs/>
          <w:color w:val="auto"/>
          <w:szCs w:val="20"/>
          <w:highlight w:val="none"/>
          <w:u w:val="single"/>
        </w:rPr>
        <w:t xml:space="preserve">       号           </w:t>
      </w:r>
      <w:r>
        <w:rPr>
          <w:rFonts w:hint="eastAsia" w:ascii="仿宋" w:hAnsi="仿宋" w:eastAsia="仿宋" w:cs="仿宋"/>
          <w:bCs/>
          <w:color w:val="auto"/>
          <w:szCs w:val="20"/>
          <w:highlight w:val="none"/>
        </w:rPr>
        <w:t xml:space="preserve">项目合同的设备和专业技术能力。</w:t>
      </w:r>
      <w:r/>
    </w:p>
    <w:p>
      <w:pPr>
        <w:ind w:firstLine="48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特此声明。</w:t>
      </w:r>
      <w:r/>
    </w:p>
    <w:p>
      <w:pPr>
        <w:ind w:firstLine="480"/>
        <w:spacing w:line="600" w:lineRule="exact"/>
        <w:rPr>
          <w:rFonts w:ascii="仿宋" w:hAnsi="仿宋" w:eastAsia="仿宋" w:cs="仿宋"/>
          <w:bCs/>
          <w:color w:val="auto"/>
          <w:szCs w:val="20"/>
          <w:highlight w:val="none"/>
        </w:rPr>
      </w:pPr>
      <w:r>
        <w:rPr>
          <w:rFonts w:ascii="仿宋" w:hAnsi="仿宋" w:eastAsia="仿宋" w:cs="仿宋"/>
          <w:bCs/>
          <w:color w:val="auto"/>
          <w:szCs w:val="20"/>
          <w:highlight w:val="none"/>
        </w:rPr>
      </w:r>
      <w:r/>
    </w:p>
    <w:p>
      <w:pPr>
        <w:jc w:val="center"/>
        <w:spacing w:line="6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单位名称：</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法定代表人（或授权代表）：</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（签字/签章）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ind w:firstLine="723"/>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     年      月      日</w:t>
      </w:r>
      <w:r/>
    </w:p>
    <w:p>
      <w:pPr>
        <w:ind w:firstLine="48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注：可后附佐证材料</w:t>
      </w:r>
      <w:r/>
    </w:p>
    <w:p>
      <w:pP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color w:val="auto"/>
          <w:sz w:val="28"/>
          <w:szCs w:val="28"/>
          <w:highlight w:val="none"/>
        </w:rPr>
        <w:t xml:space="preserve">(4)有依法缴纳税收和社会保障资金的良好记录（2025年10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Cs/>
          <w:color w:val="auto"/>
          <w:sz w:val="28"/>
          <w:szCs w:val="28"/>
          <w:highlight w:val="none"/>
        </w:rPr>
        <w:t xml:space="preserve">(5)参加本项目采购活动前三年内，在经营活动中没有重大违法记录</w:t>
      </w:r>
      <w:r/>
    </w:p>
    <w:p>
      <w:pPr>
        <w:jc w:val="center"/>
        <w:spacing w:line="580" w:lineRule="exact"/>
        <w:tabs>
          <w:tab w:val="left" w:pos="1498" w:leader="none"/>
        </w:tabs>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无重大违法行为声明</w:t>
      </w:r>
      <w:r/>
    </w:p>
    <w:p>
      <w:pPr>
        <w:spacing w:line="580" w:lineRule="exact"/>
        <w:tabs>
          <w:tab w:val="left" w:pos="1498" w:leader="none"/>
        </w:tabs>
        <w:rPr>
          <w:rFonts w:ascii="仿宋" w:hAnsi="仿宋" w:eastAsia="仿宋" w:cs="仿宋"/>
          <w:bCs/>
          <w:color w:val="auto"/>
          <w:szCs w:val="20"/>
          <w:highlight w:val="none"/>
        </w:rPr>
      </w:pPr>
      <w:r>
        <w:rPr>
          <w:rFonts w:hint="eastAsia" w:ascii="仿宋" w:hAnsi="仿宋" w:eastAsia="仿宋" w:cs="仿宋"/>
          <w:color w:val="auto"/>
          <w:highlight w:val="none"/>
          <w:u w:val="single"/>
        </w:rPr>
        <w:t xml:space="preserve">（采购人/采购代理机构）</w:t>
      </w:r>
      <w:r>
        <w:rPr>
          <w:rFonts w:hint="eastAsia" w:ascii="仿宋" w:hAnsi="仿宋" w:eastAsia="仿宋" w:cs="仿宋"/>
          <w:bCs/>
          <w:color w:val="auto"/>
          <w:szCs w:val="20"/>
          <w:highlight w:val="none"/>
          <w:u w:val="single"/>
        </w:rPr>
        <w:t xml:space="preserve"> </w:t>
      </w:r>
      <w:r>
        <w:rPr>
          <w:rFonts w:hint="eastAsia" w:ascii="仿宋" w:hAnsi="仿宋" w:eastAsia="仿宋" w:cs="仿宋"/>
          <w:bCs/>
          <w:color w:val="auto"/>
          <w:szCs w:val="20"/>
          <w:highlight w:val="none"/>
        </w:rPr>
        <w:t xml:space="preserve">：</w:t>
      </w:r>
      <w:r/>
    </w:p>
    <w:p>
      <w:pPr>
        <w:ind w:firstLine="60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我公司在参加编号为</w:t>
      </w:r>
      <w:r>
        <w:rPr>
          <w:rFonts w:hint="eastAsia" w:ascii="仿宋" w:hAnsi="仿宋" w:eastAsia="仿宋" w:cs="仿宋"/>
          <w:bCs/>
          <w:color w:val="auto"/>
          <w:szCs w:val="20"/>
          <w:highlight w:val="none"/>
          <w:u w:val="single"/>
        </w:rPr>
        <w:t xml:space="preserve">            号                     </w:t>
      </w:r>
      <w:r>
        <w:rPr>
          <w:rFonts w:hint="eastAsia" w:ascii="仿宋" w:hAnsi="仿宋" w:eastAsia="仿宋" w:cs="仿宋"/>
          <w:bCs/>
          <w:color w:val="auto"/>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特此声明。</w:t>
      </w:r>
      <w:r/>
    </w:p>
    <w:p>
      <w:pPr>
        <w:ind w:firstLine="60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（说明：重大违法记录是指投标人因违法经营受到刑事处罚或者责令停产停业、吊销许可证或者执照、较大数额罚款等行政处罚， 其中较大数额罚款指200万元以上的罚款。）</w:t>
      </w:r>
      <w:r/>
    </w:p>
    <w:p>
      <w:pPr>
        <w:ind w:firstLine="600"/>
        <w:spacing w:line="600" w:lineRule="exact"/>
        <w:rPr>
          <w:rFonts w:ascii="仿宋" w:hAnsi="仿宋" w:eastAsia="仿宋" w:cs="仿宋"/>
          <w:color w:val="auto"/>
          <w:szCs w:val="22"/>
          <w:highlight w:val="none"/>
        </w:rPr>
      </w:pPr>
      <w:r>
        <w:rPr>
          <w:rFonts w:ascii="仿宋" w:hAnsi="仿宋" w:eastAsia="仿宋" w:cs="仿宋"/>
          <w:color w:val="auto"/>
          <w:szCs w:val="22"/>
          <w:highlight w:val="none"/>
        </w:rPr>
      </w:r>
      <w:r/>
    </w:p>
    <w:p>
      <w:pPr>
        <w:ind w:firstLine="600"/>
        <w:spacing w:line="600" w:lineRule="exact"/>
        <w:rPr>
          <w:rFonts w:ascii="仿宋" w:hAnsi="仿宋" w:eastAsia="仿宋" w:cs="仿宋"/>
          <w:color w:val="auto"/>
          <w:szCs w:val="22"/>
          <w:highlight w:val="none"/>
        </w:rPr>
      </w:pPr>
      <w:r>
        <w:rPr>
          <w:rFonts w:ascii="仿宋" w:hAnsi="仿宋" w:eastAsia="仿宋" w:cs="仿宋"/>
          <w:color w:val="auto"/>
          <w:szCs w:val="22"/>
          <w:highlight w:val="none"/>
        </w:rPr>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单位名称：</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法定代表人（或授权代表）：</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（签字/签章）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日期：      年      月      日</w:t>
      </w:r>
      <w:r/>
    </w:p>
    <w:p>
      <w:pPr>
        <w:spacing w:line="50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rPr>
          <w:color w:val="auto"/>
          <w:highlight w:val="none"/>
        </w:rPr>
      </w:pPr>
      <w:r>
        <w:rPr>
          <w:rFonts w:hint="eastAsia" w:ascii="仿宋" w:hAnsi="仿宋" w:eastAsia="仿宋" w:cs="仿宋"/>
          <w:bCs/>
          <w:color w:val="auto"/>
          <w:sz w:val="28"/>
          <w:szCs w:val="28"/>
          <w:highlight w:val="none"/>
        </w:rPr>
        <w:br w:type="page" w:clear="all"/>
      </w:r>
      <w:r/>
    </w:p>
    <w:p>
      <w:pPr>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（6）法律、行政法规规定的其他条件</w:t>
      </w:r>
      <w:r/>
    </w:p>
    <w:p>
      <w:pPr>
        <w:rPr>
          <w:rFonts w:ascii="仿宋" w:hAnsi="仿宋" w:eastAsia="仿宋" w:cs="仿宋"/>
          <w:color w:val="auto"/>
          <w:highlight w:val="none"/>
        </w:rPr>
      </w:pPr>
      <w:r>
        <w:rPr>
          <w:rFonts w:ascii="仿宋" w:hAnsi="仿宋" w:eastAsia="仿宋" w:cs="仿宋"/>
          <w:color w:val="auto"/>
          <w:highlight w:val="none"/>
        </w:rPr>
        <w:br w:type="page" w:clear="all"/>
      </w:r>
      <w:r/>
    </w:p>
    <w:p>
      <w:pPr>
        <w:numPr>
          <w:ilvl w:val="0"/>
          <w:numId w:val="7"/>
        </w:numP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本项目的其他资格要求</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color w:val="auto"/>
          <w:szCs w:val="22"/>
          <w:highlight w:val="none"/>
        </w:rPr>
        <w:br w:type="page" w:clear="all"/>
      </w:r>
      <w:r/>
    </w:p>
    <w:p>
      <w:pPr>
        <w:pStyle w:val="1028"/>
        <w:rPr>
          <w:rFonts w:ascii="仿宋" w:hAnsi="仿宋" w:eastAsia="仿宋" w:cs="仿宋"/>
          <w:color w:val="auto"/>
          <w:highlight w:val="none"/>
        </w:rPr>
        <w:outlineLvl w:val="1"/>
      </w:pPr>
      <w:r/>
      <w:bookmarkStart w:id="93" w:name="_Toc6023"/>
      <w:r/>
      <w:bookmarkStart w:id="94" w:name="_Toc31024"/>
      <w:r/>
      <w:bookmarkStart w:id="95" w:name="_Toc25637"/>
      <w:r/>
      <w:bookmarkStart w:id="96" w:name="_Toc31622"/>
      <w:r>
        <w:rPr>
          <w:rFonts w:hint="eastAsia" w:ascii="仿宋" w:hAnsi="仿宋" w:eastAsia="仿宋" w:cs="仿宋"/>
          <w:color w:val="auto"/>
          <w:highlight w:val="none"/>
        </w:rPr>
        <w:t xml:space="preserve">（三）符合条件</w:t>
      </w:r>
      <w:bookmarkEnd w:id="93"/>
      <w:r/>
      <w:bookmarkEnd w:id="94"/>
      <w:r/>
      <w:bookmarkEnd w:id="95"/>
      <w:r/>
      <w:bookmarkEnd w:id="96"/>
      <w:r/>
      <w:r/>
    </w:p>
    <w:p>
      <w:pPr>
        <w:pStyle w:val="1038"/>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开标一览表及报价</w:t>
      </w:r>
      <w:r/>
    </w:p>
    <w:p>
      <w:pPr>
        <w:rPr>
          <w:color w:val="auto"/>
          <w:highlight w:val="none"/>
        </w:rPr>
      </w:pPr>
      <w:r>
        <w:rPr>
          <w:color w:val="auto"/>
          <w:highlight w:val="none"/>
        </w:rPr>
      </w:r>
      <w:r/>
    </w:p>
    <w:p>
      <w:pPr>
        <w:rPr>
          <w:color w:val="auto"/>
          <w:highlight w:val="none"/>
        </w:rPr>
      </w:pPr>
      <w:r>
        <w:rPr>
          <w:color w:val="auto"/>
          <w:highlight w:val="none"/>
        </w:rPr>
      </w:r>
      <w:r/>
    </w:p>
    <w:p>
      <w:pPr>
        <w:pStyle w:val="103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开标一览表及报价的声明</w:t>
      </w:r>
      <w:r/>
    </w:p>
    <w:p>
      <w:pPr>
        <w:pStyle w:val="103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rPr>
        <w:t xml:space="preserve">（采购人/采购代理机构）</w:t>
      </w:r>
      <w:r>
        <w:rPr>
          <w:rFonts w:hint="eastAsia" w:ascii="仿宋" w:hAnsi="仿宋" w:eastAsia="仿宋" w:cs="仿宋"/>
          <w:bCs/>
          <w:color w:val="auto"/>
          <w:sz w:val="24"/>
          <w:szCs w:val="20"/>
          <w:highlight w:val="none"/>
        </w:rPr>
        <w:t xml:space="preserve">：</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项目，开标一览表格式、填写要求符合招标文件规定，报价未超过预算或最高限价，具体报价内容详见开标一览表。</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39"/>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                     </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1028"/>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29"/>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29"/>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（采购人/采购代理机构）：</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投标人的法定代表人或委托代理人无夫妻、直系血亲关系；我方与参与本次采购活动的其他投标人的负责人不是同一人，也不存在直接控股、管理关系。 </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投标人不足三家，或在评审期间出现符合专业条件的投标人或对招标文件作出实质响应的投标人不足三家情形的，我们酌情决定是否参加当场变更的竞争性谈判采购或单一来源方式采购。</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29"/>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29"/>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方决不提供虚假材料谋取中标（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十一、我单位未组成联合体投标，</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十二、我方同意采购人、采购代理机构将本声明及承诺函上网公开。</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十三、与本招标有关的正式联系方式为： </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2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29"/>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                     </w:t>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29"/>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color w:val="auto"/>
          <w:highlight w:val="none"/>
        </w:rPr>
        <w:br w:type="page" w:clear="all"/>
      </w:r>
      <w:r/>
    </w:p>
    <w:p>
      <w:pPr>
        <w:pStyle w:val="1030"/>
        <w:rPr>
          <w:rFonts w:ascii="仿宋" w:hAnsi="仿宋" w:eastAsia="仿宋" w:cs="仿宋"/>
          <w:color w:val="auto"/>
          <w:highlight w:val="none"/>
        </w:rPr>
        <w:outlineLvl w:val="2"/>
      </w:pPr>
      <w:r>
        <w:rPr>
          <w:rFonts w:hint="eastAsia" w:ascii="仿宋" w:hAnsi="仿宋" w:eastAsia="仿宋" w:cs="仿宋"/>
          <w:color w:val="auto"/>
          <w:highlight w:val="none"/>
        </w:rPr>
        <w:t xml:space="preserve">法定代表人身份证明或法定代表人授权委托书</w:t>
      </w:r>
      <w:r/>
    </w:p>
    <w:p>
      <w:pPr>
        <w:pStyle w:val="1031"/>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31"/>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32"/>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投标人名称：</w:t>
      </w:r>
      <w:r>
        <w:rPr>
          <w:rFonts w:hint="eastAsia" w:ascii="仿宋" w:hAnsi="仿宋" w:eastAsia="仿宋" w:cs="仿宋"/>
          <w:color w:val="auto"/>
          <w:sz w:val="24"/>
          <w:szCs w:val="20"/>
          <w:highlight w:val="none"/>
          <w:u w:val="single"/>
        </w:rPr>
        <w:t xml:space="preserve">                             </w:t>
      </w:r>
      <w:r/>
    </w:p>
    <w:p>
      <w:pPr>
        <w:pStyle w:val="1032"/>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3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3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32"/>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3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3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（投标人名称）的法定代表人。</w:t>
      </w:r>
      <w:r/>
    </w:p>
    <w:p>
      <w:pPr>
        <w:pStyle w:val="1032"/>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32"/>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33"/>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（法定代表人直接参与的提供，未直接参与可不提供。附法定代表人身份证复印件）</w:t>
      </w:r>
      <w:r/>
    </w:p>
    <w:p>
      <w:pPr>
        <w:pStyle w:val="1034"/>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4"/>
        <w:spacing w:line="520" w:lineRule="exact"/>
        <w:rPr>
          <w:rFonts w:ascii="仿宋" w:hAnsi="仿宋" w:eastAsia="仿宋" w:cs="仿宋"/>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w:t>
      </w:r>
      <w:r/>
    </w:p>
    <w:p>
      <w:pPr>
        <w:pStyle w:val="1031"/>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34"/>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pStyle w:val="1034"/>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pStyle w:val="103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（采购人/采购代理机构）</w:t>
      </w:r>
      <w:r>
        <w:rPr>
          <w:rFonts w:hint="eastAsia" w:ascii="仿宋" w:hAnsi="仿宋" w:eastAsia="仿宋" w:cs="仿宋"/>
          <w:color w:val="auto"/>
          <w:sz w:val="24"/>
          <w:szCs w:val="24"/>
          <w:highlight w:val="none"/>
        </w:rPr>
        <w:t xml:space="preserve">：</w:t>
      </w:r>
      <w:r/>
    </w:p>
    <w:p>
      <w:pPr>
        <w:pStyle w:val="1034"/>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rPr>
        <w:t xml:space="preserve">投标活动的一切事宜。</w:t>
      </w:r>
      <w:r/>
    </w:p>
    <w:p>
      <w:pPr>
        <w:pStyle w:val="1034"/>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34"/>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4"/>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4"/>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rPr>
        <w:t xml:space="preserve">参与的</w:t>
      </w:r>
      <w:r>
        <w:rPr>
          <w:rFonts w:hint="eastAsia" w:ascii="仿宋" w:hAnsi="仿宋" w:eastAsia="仿宋" w:cs="仿宋"/>
          <w:b/>
          <w:bCs/>
          <w:color w:val="auto"/>
          <w:sz w:val="24"/>
          <w:szCs w:val="24"/>
          <w:highlight w:val="none"/>
        </w:rPr>
        <w:t xml:space="preserve">提供，附法定代表人及被授权人身份证复印件）</w:t>
      </w:r>
      <w:r/>
    </w:p>
    <w:p>
      <w:pPr>
        <w:pStyle w:val="1034"/>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w:t>
      </w:r>
      <w:r/>
    </w:p>
    <w:p>
      <w:pPr>
        <w:pStyle w:val="1038"/>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投标文件签署、盖章齐全完整</w:t>
      </w:r>
      <w:r/>
    </w:p>
    <w:p>
      <w:pPr>
        <w:rPr>
          <w:color w:val="auto"/>
          <w:highlight w:val="none"/>
        </w:rPr>
      </w:pPr>
      <w:r>
        <w:rPr>
          <w:color w:val="auto"/>
          <w:highlight w:val="none"/>
        </w:rPr>
      </w:r>
      <w:r/>
    </w:p>
    <w:p>
      <w:pPr>
        <w:rPr>
          <w:color w:val="auto"/>
          <w:highlight w:val="none"/>
        </w:rPr>
      </w:pPr>
      <w:r>
        <w:rPr>
          <w:color w:val="auto"/>
          <w:highlight w:val="none"/>
        </w:rPr>
      </w:r>
      <w:r/>
    </w:p>
    <w:p>
      <w:pPr>
        <w:pStyle w:val="103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投标文件签署、盖章的声明</w:t>
      </w:r>
      <w:r/>
    </w:p>
    <w:p>
      <w:pPr>
        <w:pStyle w:val="103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rPr>
        <w:t xml:space="preserve">（采购人/采购代理机构）</w:t>
      </w:r>
      <w:r>
        <w:rPr>
          <w:rFonts w:hint="eastAsia" w:ascii="仿宋" w:hAnsi="仿宋" w:eastAsia="仿宋" w:cs="仿宋"/>
          <w:bCs/>
          <w:color w:val="auto"/>
          <w:sz w:val="24"/>
          <w:szCs w:val="20"/>
          <w:highlight w:val="none"/>
        </w:rPr>
        <w:t xml:space="preserve">：</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项目，我司投标文件签署、盖章符合招标文件规定，具体报价内容详见投标文件。</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（我司知晓下列处理原则：已提供本声明但投标文件中签署、盖章不符合招标文件规定的，本声明无效，并可能做不符性处理。）</w:t>
      </w:r>
      <w:r/>
    </w:p>
    <w:p>
      <w:pPr>
        <w:pStyle w:val="1039"/>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3"/>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w:t>
      </w:r>
      <w:r>
        <w:rPr>
          <w:rFonts w:hint="eastAsia" w:ascii="仿宋" w:hAnsi="仿宋" w:eastAsia="仿宋" w:cs="仿宋"/>
          <w:color w:val="auto"/>
          <w:highlight w:val="none"/>
        </w:rPr>
        <w:br w:type="page" w:clear="all"/>
      </w:r>
      <w:r/>
    </w:p>
    <w:p>
      <w:pPr>
        <w:rPr>
          <w:color w:val="auto"/>
          <w:highlight w:val="none"/>
        </w:rPr>
        <w:outlineLvl w:val="2"/>
      </w:pPr>
      <w:r>
        <w:rPr>
          <w:rFonts w:hint="eastAsia" w:ascii="仿宋" w:hAnsi="仿宋" w:eastAsia="仿宋" w:cs="仿宋"/>
          <w:b/>
          <w:color w:val="auto"/>
          <w:sz w:val="32"/>
          <w:highlight w:val="none"/>
        </w:rPr>
        <w:t xml:space="preserve">联合体投标</w:t>
      </w:r>
      <w:r/>
    </w:p>
    <w:p>
      <w:pPr>
        <w:rPr>
          <w:color w:val="auto"/>
          <w:highlight w:val="none"/>
        </w:rPr>
      </w:pPr>
      <w:r>
        <w:rPr>
          <w:color w:val="auto"/>
          <w:highlight w:val="none"/>
        </w:rPr>
      </w:r>
      <w:r/>
    </w:p>
    <w:p>
      <w:pPr>
        <w:pStyle w:val="103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非联合体声明</w:t>
      </w:r>
      <w:r/>
    </w:p>
    <w:p>
      <w:pPr>
        <w:pStyle w:val="103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rPr>
        <w:t xml:space="preserve">（采购人/采购代理机构）</w:t>
      </w:r>
      <w:r>
        <w:rPr>
          <w:rFonts w:hint="eastAsia" w:ascii="仿宋" w:hAnsi="仿宋" w:eastAsia="仿宋" w:cs="仿宋"/>
          <w:bCs/>
          <w:color w:val="auto"/>
          <w:sz w:val="24"/>
          <w:szCs w:val="20"/>
          <w:highlight w:val="none"/>
        </w:rPr>
        <w:t xml:space="preserve">：</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项目，我司参与本项目不存在联合体投标。</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9"/>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4"/>
        <w:spacing w:line="520" w:lineRule="exact"/>
        <w:rPr>
          <w:rFonts w:ascii="仿宋" w:hAnsi="仿宋" w:eastAsia="仿宋" w:cs="仿宋"/>
          <w:color w:val="auto"/>
          <w:highlight w:val="none"/>
        </w:rPr>
      </w:pPr>
      <w:r>
        <w:rPr>
          <w:rFonts w:hint="eastAsia" w:ascii="仿宋" w:hAnsi="仿宋" w:eastAsia="仿宋" w:cs="仿宋"/>
          <w:color w:val="auto"/>
          <w:sz w:val="24"/>
          <w:szCs w:val="20"/>
          <w:highlight w:val="none"/>
        </w:rPr>
        <w:t xml:space="preserve">日期：</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rPr>
          <w:color w:val="auto"/>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highlight w:val="none"/>
        </w:rPr>
        <w:t xml:space="preserve">投标有效期</w:t>
      </w:r>
      <w:r/>
    </w:p>
    <w:p>
      <w:pPr>
        <w:pStyle w:val="103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投标有效期声明</w:t>
      </w:r>
      <w:r/>
    </w:p>
    <w:p>
      <w:pPr>
        <w:pStyle w:val="103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rPr>
        <w:t xml:space="preserve">（采购人/采购代理机构）</w:t>
      </w:r>
      <w:r>
        <w:rPr>
          <w:rFonts w:hint="eastAsia" w:ascii="仿宋" w:hAnsi="仿宋" w:eastAsia="仿宋" w:cs="仿宋"/>
          <w:bCs/>
          <w:color w:val="auto"/>
          <w:sz w:val="24"/>
          <w:szCs w:val="20"/>
          <w:highlight w:val="none"/>
        </w:rPr>
        <w:t xml:space="preserve">：</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项目，我司承诺我司投标文件的投标有效期为</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日（从提交投标文件截止之日起算）。</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9"/>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日期：</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年</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月</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日                 </w:t>
      </w:r>
      <w:r/>
    </w:p>
    <w:p>
      <w:pPr>
        <w:pStyle w:val="973"/>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26"/>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商务响应偏离表</w:t>
      </w:r>
      <w:r/>
    </w:p>
    <w:p>
      <w:pPr>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jc w:val="left"/>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3632" w:type="dxa"/>
            <w:vAlign w:val="center"/>
            <w:textDirection w:val="lrTb"/>
            <w:noWrap w:val="false"/>
          </w:tcPr>
          <w:p>
            <w:pPr>
              <w:jc w:val="left"/>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863"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r>
      <w:tr>
        <w:trPr>
          <w:jc w:val="center"/>
          <w:trHeight w:val="672"/>
        </w:trPr>
        <w:tc>
          <w:tcPr>
            <w:tcW w:w="301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363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363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363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3632"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rPr>
          <w:rFonts w:ascii="仿宋" w:hAnsi="仿宋" w:eastAsia="仿宋" w:cs="仿宋"/>
          <w:b/>
          <w:bCs/>
          <w:color w:val="auto"/>
          <w:szCs w:val="28"/>
          <w:highlight w:val="none"/>
        </w:rPr>
      </w:pPr>
      <w:r>
        <w:rPr>
          <w:rFonts w:ascii="仿宋" w:hAnsi="仿宋" w:eastAsia="仿宋" w:cs="仿宋"/>
          <w:b/>
          <w:bCs/>
          <w:color w:val="auto"/>
          <w:szCs w:val="28"/>
          <w:highlight w:val="none"/>
        </w:rPr>
      </w:r>
      <w:r/>
    </w:p>
    <w:p>
      <w:pPr>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2.行数不够请自行添加</w:t>
      </w:r>
      <w:r/>
    </w:p>
    <w:p>
      <w:pPr>
        <w:rPr>
          <w:rFonts w:ascii="仿宋" w:hAnsi="仿宋" w:eastAsia="仿宋" w:cs="仿宋"/>
          <w:b/>
          <w:bCs/>
          <w:color w:val="auto"/>
          <w:szCs w:val="28"/>
          <w:highlight w:val="none"/>
        </w:rPr>
      </w:pPr>
      <w:r>
        <w:rPr>
          <w:rFonts w:ascii="仿宋" w:hAnsi="仿宋" w:eastAsia="仿宋" w:cs="仿宋"/>
          <w:b/>
          <w:bCs/>
          <w:color w:val="auto"/>
          <w:szCs w:val="28"/>
          <w:highlight w:val="none"/>
        </w:rPr>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单位名称：</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法定代表人（或授权代表）：</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（签字/签章）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jc w:val="left"/>
        <w:spacing w:line="520" w:lineRule="exact"/>
        <w:rPr>
          <w:rFonts w:ascii="仿宋" w:hAnsi="仿宋" w:eastAsia="仿宋" w:cs="仿宋"/>
          <w:b/>
          <w:bCs/>
          <w:color w:val="auto"/>
          <w:szCs w:val="28"/>
          <w:highlight w:val="none"/>
        </w:rPr>
      </w:pPr>
      <w:r>
        <w:rPr>
          <w:rFonts w:hint="eastAsia" w:ascii="仿宋" w:hAnsi="仿宋" w:eastAsia="仿宋" w:cs="仿宋"/>
          <w:b/>
          <w:color w:val="auto"/>
          <w:szCs w:val="20"/>
          <w:highlight w:val="none"/>
        </w:rPr>
        <w:t xml:space="preserve">日期：</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年</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月</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日     </w:t>
      </w:r>
      <w:r/>
    </w:p>
    <w:p>
      <w:pPr>
        <w:rPr>
          <w:rFonts w:ascii="仿宋" w:hAnsi="仿宋" w:eastAsia="仿宋" w:cs="仿宋"/>
          <w:b/>
          <w:color w:val="auto"/>
          <w:sz w:val="32"/>
          <w:highlight w:val="none"/>
        </w:rPr>
      </w:pPr>
      <w:r>
        <w:rPr>
          <w:rFonts w:hint="eastAsia" w:ascii="仿宋" w:hAnsi="仿宋" w:eastAsia="仿宋" w:cs="仿宋"/>
          <w:b/>
          <w:bCs/>
          <w:color w:val="auto"/>
          <w:szCs w:val="28"/>
          <w:highlight w:val="none"/>
        </w:rPr>
        <w:br w:type="page" w:clear="all"/>
      </w:r>
      <w:r/>
    </w:p>
    <w:p>
      <w:pPr>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技术要求响应</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600" w:lineRule="exact"/>
        <w:rPr>
          <w:rFonts w:ascii="仿宋" w:hAnsi="仿宋" w:eastAsia="仿宋" w:cs="仿宋"/>
          <w:b/>
          <w:color w:val="auto"/>
          <w:sz w:val="32"/>
          <w:highlight w:val="none"/>
        </w:rPr>
      </w:pPr>
      <w:r>
        <w:rPr>
          <w:rFonts w:hint="eastAsia" w:ascii="仿宋" w:hAnsi="仿宋" w:eastAsia="仿宋" w:cs="仿宋"/>
          <w:b/>
          <w:color w:val="auto"/>
          <w:sz w:val="32"/>
          <w:highlight w:val="none"/>
        </w:rPr>
        <w:t xml:space="preserve">技术要求响应的声明</w:t>
      </w:r>
      <w:r/>
    </w:p>
    <w:p>
      <w:pPr>
        <w:spacing w:line="600" w:lineRule="exact"/>
        <w:rPr>
          <w:rFonts w:ascii="仿宋" w:hAnsi="仿宋" w:eastAsia="仿宋" w:cs="仿宋"/>
          <w:color w:val="auto"/>
          <w:szCs w:val="22"/>
          <w:highlight w:val="none"/>
          <w:u w:val="single"/>
        </w:rPr>
      </w:pPr>
      <w:r>
        <w:rPr>
          <w:rFonts w:ascii="仿宋" w:hAnsi="仿宋" w:eastAsia="仿宋" w:cs="仿宋"/>
          <w:color w:val="auto"/>
          <w:szCs w:val="22"/>
          <w:highlight w:val="none"/>
          <w:u w:val="single"/>
        </w:rPr>
      </w:r>
      <w:r/>
    </w:p>
    <w:p>
      <w:pPr>
        <w:spacing w:line="600" w:lineRule="exact"/>
        <w:rPr>
          <w:rFonts w:ascii="仿宋" w:hAnsi="仿宋" w:eastAsia="仿宋" w:cs="仿宋"/>
          <w:bCs/>
          <w:color w:val="auto"/>
          <w:szCs w:val="20"/>
          <w:highlight w:val="none"/>
        </w:rPr>
      </w:pPr>
      <w:r>
        <w:rPr>
          <w:rFonts w:hint="eastAsia" w:ascii="仿宋" w:hAnsi="仿宋" w:eastAsia="仿宋" w:cs="仿宋"/>
          <w:color w:val="auto"/>
          <w:highlight w:val="none"/>
          <w:u w:val="single"/>
        </w:rPr>
        <w:t xml:space="preserve">（采购人/采购代理机构）</w:t>
      </w:r>
      <w:r>
        <w:rPr>
          <w:rFonts w:hint="eastAsia" w:ascii="仿宋" w:hAnsi="仿宋" w:eastAsia="仿宋" w:cs="仿宋"/>
          <w:bCs/>
          <w:color w:val="auto"/>
          <w:szCs w:val="20"/>
          <w:highlight w:val="none"/>
        </w:rPr>
        <w:t xml:space="preserve">：</w:t>
      </w:r>
      <w:r/>
    </w:p>
    <w:p>
      <w:pPr>
        <w:ind w:firstLine="48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我司在参加编号为</w:t>
      </w:r>
      <w:r>
        <w:rPr>
          <w:rFonts w:hint="eastAsia" w:ascii="仿宋" w:hAnsi="仿宋" w:eastAsia="仿宋" w:cs="仿宋"/>
          <w:bCs/>
          <w:color w:val="auto"/>
          <w:szCs w:val="20"/>
          <w:highlight w:val="none"/>
          <w:u w:val="single"/>
        </w:rPr>
        <w:t xml:space="preserve">            号                     </w:t>
      </w:r>
      <w:r>
        <w:rPr>
          <w:rFonts w:hint="eastAsia" w:ascii="仿宋" w:hAnsi="仿宋" w:eastAsia="仿宋" w:cs="仿宋"/>
          <w:bCs/>
          <w:color w:val="auto"/>
          <w:szCs w:val="20"/>
          <w:highlight w:val="none"/>
        </w:rPr>
        <w:t xml:space="preserve">项目，我司投标文件填写符合招标文件要求，具体内容详见技术响应偏离表。</w:t>
      </w:r>
      <w:r/>
    </w:p>
    <w:p>
      <w:pPr>
        <w:ind w:firstLine="48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特此声明</w:t>
      </w:r>
      <w:r/>
    </w:p>
    <w:p>
      <w:pPr>
        <w:ind w:firstLine="480"/>
        <w:spacing w:line="600" w:lineRule="exact"/>
        <w:rPr>
          <w:rFonts w:ascii="仿宋" w:hAnsi="仿宋" w:eastAsia="仿宋" w:cs="仿宋"/>
          <w:bCs/>
          <w:color w:val="auto"/>
          <w:szCs w:val="20"/>
          <w:highlight w:val="none"/>
        </w:rPr>
      </w:pPr>
      <w:r>
        <w:rPr>
          <w:rFonts w:hint="eastAsia" w:ascii="仿宋" w:hAnsi="仿宋" w:eastAsia="仿宋" w:cs="仿宋"/>
          <w:bCs/>
          <w:color w:val="auto"/>
          <w:szCs w:val="20"/>
          <w:highlight w:val="none"/>
        </w:rPr>
        <w:t xml:space="preserve">（我司知晓下列处理原则：已提供本声明但投标文件中技术响应偏离表填写不符合招标文件要求的，本声明无效，并可能做不符性处理。）</w:t>
      </w:r>
      <w:r/>
    </w:p>
    <w:p>
      <w:pPr>
        <w:ind w:firstLine="480"/>
        <w:spacing w:line="600" w:lineRule="exact"/>
        <w:rPr>
          <w:rFonts w:ascii="仿宋" w:hAnsi="仿宋" w:eastAsia="仿宋" w:cs="仿宋"/>
          <w:bCs/>
          <w:color w:val="auto"/>
          <w:szCs w:val="20"/>
          <w:highlight w:val="none"/>
        </w:rPr>
      </w:pPr>
      <w:r>
        <w:rPr>
          <w:rFonts w:ascii="仿宋" w:hAnsi="仿宋" w:eastAsia="仿宋" w:cs="仿宋"/>
          <w:bCs/>
          <w:color w:val="auto"/>
          <w:szCs w:val="20"/>
          <w:highlight w:val="none"/>
        </w:rPr>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单位名称：</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法定代表人（或授权代表）：</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（签字/签章）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spacing w:line="52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日期：</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年</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月</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日                     </w:t>
      </w:r>
      <w:r/>
    </w:p>
    <w:p>
      <w:pPr>
        <w:rPr>
          <w:rFonts w:ascii="仿宋" w:hAnsi="仿宋" w:eastAsia="仿宋" w:cs="仿宋"/>
          <w:b/>
          <w:color w:val="auto"/>
          <w:sz w:val="32"/>
          <w:highlight w:val="none"/>
        </w:rPr>
      </w:pPr>
      <w:r>
        <w:rPr>
          <w:rFonts w:hint="eastAsia" w:ascii="仿宋" w:hAnsi="仿宋" w:eastAsia="仿宋" w:cs="仿宋"/>
          <w:b/>
          <w:color w:val="auto"/>
          <w:sz w:val="32"/>
          <w:highlight w:val="none"/>
        </w:rPr>
        <w:br w:type="page" w:clear="all"/>
      </w:r>
      <w:r/>
    </w:p>
    <w:p>
      <w:pPr>
        <w:pStyle w:val="1038"/>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对实质性条款的响应性</w:t>
      </w:r>
      <w:r/>
    </w:p>
    <w:p>
      <w:pPr>
        <w:rPr>
          <w:color w:val="auto"/>
          <w:highlight w:val="none"/>
        </w:rPr>
      </w:pPr>
      <w:r>
        <w:rPr>
          <w:color w:val="auto"/>
          <w:highlight w:val="none"/>
        </w:rPr>
      </w:r>
      <w:r/>
    </w:p>
    <w:p>
      <w:pPr>
        <w:rPr>
          <w:color w:val="auto"/>
          <w:highlight w:val="none"/>
        </w:rPr>
      </w:pPr>
      <w:r>
        <w:rPr>
          <w:color w:val="auto"/>
          <w:highlight w:val="none"/>
        </w:rPr>
      </w:r>
      <w:r/>
    </w:p>
    <w:p>
      <w:pPr>
        <w:pStyle w:val="103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对实质性条款的响应的声明</w:t>
      </w:r>
      <w:r/>
    </w:p>
    <w:p>
      <w:pPr>
        <w:pStyle w:val="103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rPr>
        <w:t xml:space="preserve">（采购人/采购代理机构）</w:t>
      </w:r>
      <w:r>
        <w:rPr>
          <w:rFonts w:hint="eastAsia" w:ascii="仿宋" w:hAnsi="仿宋" w:eastAsia="仿宋" w:cs="仿宋"/>
          <w:bCs/>
          <w:color w:val="auto"/>
          <w:sz w:val="24"/>
          <w:szCs w:val="20"/>
          <w:highlight w:val="none"/>
        </w:rPr>
        <w:t xml:space="preserve">：</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项目，我司投标文件符合招标文件要求，对实质性条款完全响应并且不存在重大偏离，具体内容详见投标文件。</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（我司知晓下列处理原则：已提供本声明但投标文件不符合招标文件要求或存在重大偏离的，本声明无效，并可能做不符性处理。）</w:t>
      </w:r>
      <w:r/>
    </w:p>
    <w:p>
      <w:pPr>
        <w:pStyle w:val="1039"/>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ascii="仿宋" w:hAnsi="仿宋" w:eastAsia="仿宋" w:cs="仿宋"/>
          <w:color w:val="auto"/>
          <w:highlight w:val="none"/>
        </w:rPr>
      </w:pPr>
      <w:r>
        <w:rPr>
          <w:rFonts w:hint="eastAsia" w:ascii="仿宋" w:hAnsi="仿宋" w:eastAsia="仿宋" w:cs="仿宋"/>
          <w:b/>
          <w:color w:val="auto"/>
          <w:szCs w:val="20"/>
          <w:highlight w:val="none"/>
        </w:rPr>
        <w:t xml:space="preserve">日期：</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年</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月</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日</w:t>
      </w:r>
      <w:r>
        <w:rPr>
          <w:rFonts w:hint="eastAsia" w:ascii="仿宋" w:hAnsi="仿宋" w:eastAsia="仿宋" w:cs="仿宋"/>
          <w:color w:val="auto"/>
          <w:highlight w:val="none"/>
        </w:rPr>
        <w:br w:type="page" w:clear="all"/>
      </w:r>
      <w:r/>
    </w:p>
    <w:p>
      <w:pPr>
        <w:pStyle w:val="1035"/>
        <w:rPr>
          <w:rFonts w:ascii="仿宋" w:hAnsi="仿宋" w:eastAsia="仿宋" w:cs="仿宋"/>
          <w:color w:val="auto"/>
          <w:highlight w:val="none"/>
        </w:rPr>
        <w:outlineLvl w:val="1"/>
      </w:pPr>
      <w:r/>
      <w:bookmarkStart w:id="97" w:name="_Toc10675"/>
      <w:r/>
      <w:bookmarkStart w:id="98" w:name="_Toc9717"/>
      <w:r/>
      <w:bookmarkStart w:id="99" w:name="_Toc13606"/>
      <w:r/>
      <w:bookmarkStart w:id="100" w:name="_Toc24919"/>
      <w:r>
        <w:rPr>
          <w:rFonts w:hint="eastAsia" w:ascii="仿宋" w:hAnsi="仿宋" w:eastAsia="仿宋" w:cs="仿宋"/>
          <w:color w:val="auto"/>
          <w:highlight w:val="none"/>
        </w:rPr>
        <w:t xml:space="preserve">（四）综合评审评分项</w:t>
      </w:r>
      <w:bookmarkEnd w:id="92"/>
      <w:r/>
      <w:bookmarkEnd w:id="97"/>
      <w:r/>
      <w:bookmarkEnd w:id="98"/>
      <w:r/>
      <w:bookmarkEnd w:id="99"/>
      <w:r/>
      <w:bookmarkEnd w:id="100"/>
      <w:r/>
      <w:bookmarkEnd w:id="82"/>
      <w:r/>
      <w:r/>
    </w:p>
    <w:p>
      <w:pPr>
        <w:pStyle w:val="1048"/>
        <w:rPr>
          <w:rFonts w:ascii="仿宋" w:hAnsi="仿宋" w:eastAsia="仿宋" w:cs="仿宋"/>
          <w:color w:val="auto"/>
          <w:highlight w:val="none"/>
        </w:rPr>
        <w:outlineLvl w:val="2"/>
      </w:pPr>
      <w:r>
        <w:rPr>
          <w:rFonts w:hint="eastAsia" w:ascii="仿宋" w:hAnsi="仿宋" w:eastAsia="仿宋" w:cs="仿宋"/>
          <w:color w:val="auto"/>
          <w:highlight w:val="none"/>
        </w:rPr>
        <w:t xml:space="preserve">需求响应</w:t>
      </w:r>
      <w:r/>
    </w:p>
    <w:p>
      <w:pPr>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ind w:firstLine="480"/>
        <w:rPr>
          <w:rFonts w:ascii="仿宋" w:hAnsi="仿宋" w:eastAsia="仿宋" w:cs="仿宋"/>
          <w:color w:val="auto"/>
          <w:szCs w:val="20"/>
          <w:highlight w:val="none"/>
        </w:rPr>
      </w:pPr>
      <w:r>
        <w:rPr>
          <w:rFonts w:ascii="仿宋" w:hAnsi="仿宋" w:eastAsia="仿宋" w:cs="仿宋"/>
          <w:color w:val="auto"/>
          <w:szCs w:val="20"/>
          <w:highlight w:val="none"/>
        </w:rPr>
      </w:r>
      <w:r/>
    </w:p>
    <w:tbl>
      <w:tblPr>
        <w:tblStyle w:val="74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ind w:firstLine="420"/>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650"/>
        </w:trPr>
        <w:tc>
          <w:tcPr>
            <w:tcW w:w="2390" w:type="dxa"/>
            <w:vAlign w:val="center"/>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67"/>
        </w:trPr>
        <w:tc>
          <w:tcPr>
            <w:tcW w:w="2390" w:type="dxa"/>
            <w:vAlign w:val="center"/>
            <w:textDirection w:val="lrTb"/>
            <w:noWrap w:val="false"/>
          </w:tcPr>
          <w:p>
            <w:pPr>
              <w:spacing w:line="360" w:lineRule="auto"/>
              <w:rPr>
                <w:rFonts w:ascii="仿宋" w:hAnsi="仿宋" w:eastAsia="仿宋" w:cs="仿宋"/>
                <w:color w:val="auto"/>
                <w:szCs w:val="22"/>
                <w:highlight w:val="none"/>
              </w:rPr>
            </w:pPr>
            <w:r>
              <w:rPr>
                <w:rFonts w:ascii="仿宋" w:hAnsi="仿宋" w:eastAsia="仿宋" w:cs="仿宋"/>
                <w:color w:val="auto"/>
                <w:szCs w:val="22"/>
                <w:highlight w:val="none"/>
              </w:rPr>
            </w:r>
            <w:r/>
          </w:p>
        </w:tc>
        <w:tc>
          <w:tcPr>
            <w:shd w:val="clear" w:color="auto" w:fill="auto"/>
            <w:tcW w:w="2452" w:type="dxa"/>
            <w:vAlign w:val="center"/>
            <w:textDirection w:val="lrTb"/>
            <w:noWrap w:val="false"/>
          </w:tcPr>
          <w:p>
            <w:pPr>
              <w:spacing w:line="360" w:lineRule="auto"/>
              <w:rPr>
                <w:rFonts w:ascii="仿宋" w:hAnsi="仿宋" w:eastAsia="仿宋" w:cs="仿宋"/>
                <w:color w:val="auto"/>
                <w:szCs w:val="22"/>
                <w:highlight w:val="none"/>
              </w:rPr>
            </w:pPr>
            <w:r>
              <w:rPr>
                <w:rFonts w:ascii="仿宋" w:hAnsi="仿宋" w:eastAsia="仿宋" w:cs="仿宋"/>
                <w:color w:val="auto"/>
                <w:szCs w:val="22"/>
                <w:highlight w:val="none"/>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shd w:val="clear" w:color="auto" w:fill="auto"/>
            <w:tcW w:w="1900"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900"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1900" w:type="dxa"/>
            <w:vAlign w:val="center"/>
            <w:textDirection w:val="lrTb"/>
            <w:noWrap w:val="false"/>
          </w:tcPr>
          <w:p>
            <w:pPr>
              <w:jc w:val="center"/>
              <w:spacing w:line="560" w:lineRule="exact"/>
              <w:rPr>
                <w:rFonts w:ascii="仿宋" w:hAnsi="仿宋" w:eastAsia="仿宋" w:cs="仿宋"/>
                <w:color w:val="auto"/>
                <w:szCs w:val="22"/>
                <w:highlight w:val="none"/>
              </w:rPr>
            </w:pPr>
            <w:r>
              <w:rPr>
                <w:rFonts w:ascii="仿宋" w:hAnsi="仿宋" w:eastAsia="仿宋" w:cs="仿宋"/>
                <w:color w:val="auto"/>
                <w:szCs w:val="22"/>
                <w:highlight w:val="none"/>
              </w:rPr>
            </w:r>
            <w:r/>
          </w:p>
        </w:tc>
      </w:tr>
    </w:tbl>
    <w:p>
      <w:pPr>
        <w:spacing w:line="700" w:lineRule="exact"/>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单位名称：</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（签章）</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rPr>
          <w:rFonts w:ascii="仿宋" w:hAnsi="仿宋" w:eastAsia="仿宋" w:cs="仿宋"/>
          <w:b/>
          <w:color w:val="auto"/>
          <w:szCs w:val="20"/>
          <w:highlight w:val="none"/>
        </w:rPr>
      </w:pPr>
      <w:r>
        <w:rPr>
          <w:rFonts w:hint="eastAsia" w:ascii="仿宋" w:hAnsi="仿宋" w:eastAsia="仿宋" w:cs="仿宋"/>
          <w:b/>
          <w:color w:val="auto"/>
          <w:szCs w:val="20"/>
          <w:highlight w:val="none"/>
        </w:rPr>
        <w:t xml:space="preserve">法定代表人（或授权代表）：</w:t>
      </w:r>
      <w:r>
        <w:rPr>
          <w:rFonts w:hint="eastAsia" w:ascii="仿宋" w:hAnsi="仿宋" w:eastAsia="仿宋" w:cs="仿宋"/>
          <w:color w:val="auto"/>
          <w:szCs w:val="20"/>
          <w:highlight w:val="none"/>
          <w:u w:val="single"/>
        </w:rPr>
        <w:t xml:space="preserve">                 </w:t>
      </w:r>
      <w:r>
        <w:rPr>
          <w:rFonts w:hint="eastAsia" w:ascii="仿宋" w:hAnsi="仿宋" w:eastAsia="仿宋" w:cs="仿宋"/>
          <w:b/>
          <w:color w:val="auto"/>
          <w:szCs w:val="20"/>
          <w:highlight w:val="none"/>
        </w:rPr>
        <w:t xml:space="preserve">（签字）</w:t>
      </w:r>
      <w:r>
        <w:rPr>
          <w:rFonts w:hint="eastAsia" w:ascii="仿宋" w:hAnsi="仿宋" w:eastAsia="仿宋" w:cs="仿宋"/>
          <w:color w:val="auto"/>
          <w:szCs w:val="20"/>
          <w:highlight w:val="none"/>
        </w:rPr>
        <w:t xml:space="preserve"> </w:t>
      </w:r>
      <w:r>
        <w:rPr>
          <w:rFonts w:hint="eastAsia" w:ascii="仿宋" w:hAnsi="仿宋" w:eastAsia="仿宋" w:cs="仿宋"/>
          <w:b/>
          <w:color w:val="auto"/>
          <w:szCs w:val="20"/>
          <w:highlight w:val="none"/>
        </w:rPr>
        <w:t xml:space="preserve">                   </w:t>
      </w:r>
      <w:r/>
    </w:p>
    <w:p>
      <w:pPr>
        <w:rPr>
          <w:rFonts w:ascii="仿宋" w:hAnsi="仿宋" w:eastAsia="仿宋" w:cs="仿宋"/>
          <w:b/>
          <w:bCs/>
          <w:color w:val="auto"/>
          <w:szCs w:val="28"/>
          <w:highlight w:val="none"/>
        </w:rPr>
      </w:pPr>
      <w:r>
        <w:rPr>
          <w:rFonts w:ascii="仿宋" w:hAnsi="仿宋" w:eastAsia="仿宋" w:cs="仿宋"/>
          <w:b/>
          <w:bCs/>
          <w:color w:val="auto"/>
          <w:szCs w:val="28"/>
          <w:highlight w:val="none"/>
        </w:rPr>
        <w:t xml:space="preserve">1</w:t>
      </w:r>
      <w:r>
        <w:rPr>
          <w:rFonts w:hint="eastAsia" w:ascii="仿宋" w:hAnsi="仿宋" w:eastAsia="仿宋" w:cs="仿宋"/>
          <w:b/>
          <w:bCs/>
          <w:color w:val="auto"/>
          <w:szCs w:val="28"/>
          <w:highlight w:val="none"/>
        </w:rPr>
        <w:t xml:space="preserve">.招标文件第四部分采购需求中二、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2.应后附详细说明及技术资料，并注明投标文件中对应的页码范围。</w:t>
      </w:r>
      <w:r/>
    </w:p>
    <w:p>
      <w:pPr>
        <w:jc w:val="left"/>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3.响应内容不得完全复制采购需求的内容，须投标人自行进行响应。</w:t>
      </w:r>
      <w:r/>
    </w:p>
    <w:p>
      <w:pPr>
        <w:jc w:val="left"/>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4.行数不够请自行添加。</w:t>
      </w:r>
      <w:r/>
    </w:p>
    <w:p>
      <w:pPr>
        <w:rPr>
          <w:rFonts w:ascii="仿宋" w:hAnsi="仿宋" w:eastAsia="仿宋" w:cs="仿宋"/>
          <w:b/>
          <w:color w:val="auto"/>
          <w:szCs w:val="20"/>
          <w:highlight w:val="none"/>
        </w:rPr>
      </w:pPr>
      <w:r>
        <w:rPr>
          <w:rFonts w:hint="eastAsia" w:ascii="仿宋" w:hAnsi="仿宋" w:eastAsia="仿宋" w:cs="仿宋"/>
          <w:b/>
          <w:color w:val="auto"/>
          <w:szCs w:val="20"/>
          <w:highlight w:val="none"/>
        </w:rPr>
        <w:br w:type="page" w:clear="all"/>
      </w:r>
      <w:r/>
    </w:p>
    <w:p>
      <w:pPr>
        <w:pStyle w:val="1063"/>
        <w:rPr>
          <w:rFonts w:ascii="仿宋" w:hAnsi="仿宋" w:eastAsia="仿宋" w:cs="仿宋"/>
          <w:color w:val="auto"/>
          <w:highlight w:val="none"/>
        </w:rPr>
        <w:outlineLvl w:val="2"/>
      </w:pPr>
      <w:r>
        <w:rPr>
          <w:rFonts w:hint="eastAsia" w:ascii="仿宋" w:hAnsi="仿宋" w:eastAsia="仿宋" w:cs="仿宋"/>
          <w:color w:val="auto"/>
          <w:highlight w:val="none"/>
        </w:rPr>
        <w:t xml:space="preserve">业绩一览表</w:t>
      </w:r>
      <w:r/>
    </w:p>
    <w:p>
      <w:pPr>
        <w:pStyle w:val="1064"/>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4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6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6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6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6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62"/>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62"/>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注：按招标文件要求附证明材料，如文件还需提供其他信息可以自行扩充表格列数。</w:t>
      </w:r>
      <w:r/>
    </w:p>
    <w:p>
      <w:pPr>
        <w:pStyle w:val="1034"/>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spacing w:line="52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rPr>
          <w:rFonts w:ascii="仿宋" w:hAnsi="仿宋" w:eastAsia="仿宋" w:cs="仿宋"/>
          <w:color w:val="auto"/>
          <w:highlight w:val="none"/>
        </w:rPr>
      </w:pPr>
      <w:r>
        <w:rPr>
          <w:rFonts w:hint="eastAsia" w:ascii="仿宋" w:hAnsi="仿宋" w:eastAsia="仿宋" w:cs="仿宋"/>
          <w:b/>
          <w:color w:val="auto"/>
          <w:szCs w:val="20"/>
          <w:highlight w:val="none"/>
        </w:rPr>
        <w:t xml:space="preserve">日期：</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年</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月</w:t>
      </w:r>
      <w:r>
        <w:rPr>
          <w:rFonts w:hint="eastAsia" w:ascii="仿宋" w:hAnsi="仿宋" w:eastAsia="仿宋" w:cs="仿宋"/>
          <w:b/>
          <w:color w:val="auto"/>
          <w:szCs w:val="20"/>
          <w:highlight w:val="none"/>
          <w:u w:val="single"/>
        </w:rPr>
        <w:t xml:space="preserve">    </w:t>
      </w:r>
      <w:r>
        <w:rPr>
          <w:rFonts w:hint="eastAsia" w:ascii="仿宋" w:hAnsi="仿宋" w:eastAsia="仿宋" w:cs="仿宋"/>
          <w:b/>
          <w:color w:val="auto"/>
          <w:szCs w:val="20"/>
          <w:highlight w:val="none"/>
        </w:rPr>
        <w:t xml:space="preserve">日</w:t>
      </w:r>
      <w:r>
        <w:rPr>
          <w:rFonts w:hint="eastAsia" w:ascii="仿宋" w:hAnsi="仿宋" w:eastAsia="仿宋" w:cs="仿宋"/>
          <w:color w:val="auto"/>
          <w:highlight w:val="none"/>
        </w:rPr>
        <w:br w:type="page" w:clear="all"/>
      </w:r>
      <w:r/>
    </w:p>
    <w:p>
      <w:pPr>
        <w:pStyle w:val="1035"/>
        <w:rPr>
          <w:rFonts w:ascii="仿宋" w:hAnsi="仿宋" w:eastAsia="仿宋" w:cs="仿宋"/>
          <w:color w:val="auto"/>
          <w:highlight w:val="none"/>
        </w:rPr>
        <w:outlineLvl w:val="1"/>
      </w:pPr>
      <w:r/>
      <w:bookmarkStart w:id="101" w:name="_Toc8473"/>
      <w:r/>
      <w:bookmarkStart w:id="102" w:name="_Toc25990"/>
      <w:r/>
      <w:bookmarkStart w:id="103" w:name="_Toc1610"/>
      <w:r/>
      <w:bookmarkStart w:id="104" w:name="_Toc7030"/>
      <w:r>
        <w:rPr>
          <w:rFonts w:hint="eastAsia" w:ascii="仿宋" w:hAnsi="仿宋" w:eastAsia="仿宋" w:cs="仿宋"/>
          <w:color w:val="auto"/>
          <w:highlight w:val="none"/>
        </w:rPr>
        <w:t xml:space="preserve">（五）企业报价折扣证明</w:t>
      </w:r>
      <w:bookmarkEnd w:id="101"/>
      <w:r/>
      <w:bookmarkEnd w:id="102"/>
      <w:r/>
      <w:bookmarkEnd w:id="103"/>
      <w:r/>
      <w:bookmarkEnd w:id="104"/>
      <w:r/>
      <w:r/>
    </w:p>
    <w:p>
      <w:pPr>
        <w:jc w:val="center"/>
        <w:widowControl/>
        <w:rPr>
          <w:color w:val="auto"/>
          <w:highlight w:val="none"/>
        </w:rPr>
      </w:pPr>
      <w:r>
        <w:rPr>
          <w:rFonts w:hint="eastAsia" w:ascii="宋体" w:hAnsi="宋体" w:eastAsia="宋体" w:cs="宋体"/>
          <w:b/>
          <w:bCs/>
          <w:color w:val="auto"/>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本公司（联合体）郑重声明，根据《政府采购促进中小企业发展管理办法》（财库﹝2020﹞46 号）的规定，本公司（联合体）参加</w:t>
      </w:r>
      <w:r>
        <w:rPr>
          <w:rFonts w:hint="eastAsia" w:ascii="仿宋" w:hAnsi="仿宋" w:eastAsia="仿宋" w:cs="仿宋"/>
          <w:i/>
          <w:iCs/>
          <w:color w:val="auto"/>
          <w:highlight w:val="none"/>
          <w:u w:val="single"/>
          <w:lang w:bidi="ar"/>
        </w:rPr>
        <w:t xml:space="preserve">（单位名称）</w:t>
      </w:r>
      <w:r>
        <w:rPr>
          <w:rFonts w:hint="eastAsia" w:ascii="仿宋" w:hAnsi="仿宋" w:eastAsia="仿宋" w:cs="仿宋"/>
          <w:color w:val="auto"/>
          <w:highlight w:val="none"/>
          <w:lang w:bidi="ar"/>
        </w:rPr>
        <w:t xml:space="preserve">的</w:t>
      </w:r>
      <w:r>
        <w:rPr>
          <w:rFonts w:hint="eastAsia" w:ascii="仿宋" w:hAnsi="仿宋" w:eastAsia="仿宋" w:cs="仿宋"/>
          <w:i/>
          <w:iCs/>
          <w:color w:val="auto"/>
          <w:highlight w:val="none"/>
          <w:u w:val="single"/>
          <w:lang w:bidi="ar"/>
        </w:rPr>
        <w:t xml:space="preserve">（项目名称）</w:t>
      </w:r>
      <w:r>
        <w:rPr>
          <w:rFonts w:hint="eastAsia" w:ascii="仿宋" w:hAnsi="仿宋" w:eastAsia="仿宋" w:cs="仿宋"/>
          <w:color w:val="auto"/>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1. </w:t>
      </w:r>
      <w:r>
        <w:rPr>
          <w:rFonts w:hint="eastAsia" w:ascii="仿宋" w:hAnsi="仿宋" w:eastAsia="仿宋" w:cs="仿宋"/>
          <w:i/>
          <w:iCs/>
          <w:color w:val="auto"/>
          <w:highlight w:val="none"/>
          <w:u w:val="single"/>
          <w:lang w:bidi="ar"/>
        </w:rPr>
        <w:t xml:space="preserve">（标的名称） </w:t>
      </w:r>
      <w:r>
        <w:rPr>
          <w:rFonts w:hint="eastAsia" w:ascii="仿宋" w:hAnsi="仿宋" w:eastAsia="仿宋" w:cs="仿宋"/>
          <w:color w:val="auto"/>
          <w:highlight w:val="none"/>
          <w:lang w:bidi="ar"/>
        </w:rPr>
        <w:t xml:space="preserve">，属于</w:t>
      </w:r>
      <w:r>
        <w:rPr>
          <w:rFonts w:hint="eastAsia" w:ascii="仿宋" w:hAnsi="仿宋" w:eastAsia="仿宋" w:cs="仿宋"/>
          <w:i/>
          <w:iCs/>
          <w:color w:val="auto"/>
          <w:highlight w:val="none"/>
          <w:u w:val="single"/>
          <w:lang w:bidi="ar"/>
        </w:rPr>
        <w:t xml:space="preserve">（采购文件中明确的所属行业）</w:t>
      </w:r>
      <w:r>
        <w:rPr>
          <w:rFonts w:hint="eastAsia" w:ascii="仿宋" w:hAnsi="仿宋" w:eastAsia="仿宋" w:cs="仿宋"/>
          <w:color w:val="auto"/>
          <w:highlight w:val="none"/>
          <w:lang w:bidi="ar"/>
        </w:rPr>
        <w:t xml:space="preserve">；承建（承接）企业为</w:t>
      </w:r>
      <w:r>
        <w:rPr>
          <w:rFonts w:hint="eastAsia" w:ascii="仿宋" w:hAnsi="仿宋" w:eastAsia="仿宋" w:cs="仿宋"/>
          <w:i/>
          <w:iCs/>
          <w:color w:val="auto"/>
          <w:highlight w:val="none"/>
          <w:lang w:bidi="ar"/>
        </w:rPr>
        <w:t xml:space="preserve">（企业名称）</w:t>
      </w:r>
      <w:r>
        <w:rPr>
          <w:rFonts w:hint="eastAsia" w:ascii="仿宋" w:hAnsi="仿宋" w:eastAsia="仿宋" w:cs="仿宋"/>
          <w:color w:val="auto"/>
          <w:highlight w:val="none"/>
          <w:lang w:bidi="ar"/>
        </w:rPr>
        <w:t xml:space="preserve">，从业人员</w:t>
      </w:r>
      <w:r>
        <w:rPr>
          <w:rFonts w:hint="eastAsia" w:ascii="仿宋" w:hAnsi="仿宋" w:eastAsia="仿宋" w:cs="仿宋"/>
          <w:color w:val="auto"/>
          <w:highlight w:val="none"/>
          <w:u w:val="single"/>
          <w:lang w:bidi="ar"/>
        </w:rPr>
        <w:t xml:space="preserve">   </w:t>
      </w:r>
      <w:r>
        <w:rPr>
          <w:rFonts w:hint="eastAsia" w:ascii="仿宋" w:hAnsi="仿宋" w:eastAsia="仿宋" w:cs="仿宋"/>
          <w:color w:val="auto"/>
          <w:highlight w:val="none"/>
          <w:lang w:bidi="ar"/>
        </w:rPr>
        <w:t xml:space="preserve">人，营业收入为</w:t>
      </w:r>
      <w:r>
        <w:rPr>
          <w:rFonts w:hint="eastAsia" w:ascii="仿宋" w:hAnsi="仿宋" w:eastAsia="仿宋" w:cs="仿宋"/>
          <w:color w:val="auto"/>
          <w:highlight w:val="none"/>
          <w:u w:val="single"/>
          <w:lang w:bidi="ar"/>
        </w:rPr>
        <w:t xml:space="preserve">    </w:t>
      </w:r>
      <w:r>
        <w:rPr>
          <w:rFonts w:hint="eastAsia" w:ascii="仿宋" w:hAnsi="仿宋" w:eastAsia="仿宋" w:cs="仿宋"/>
          <w:color w:val="auto"/>
          <w:highlight w:val="none"/>
          <w:lang w:bidi="ar"/>
        </w:rPr>
        <w:t xml:space="preserve">万元，资产总额为</w:t>
      </w:r>
      <w:r>
        <w:rPr>
          <w:rFonts w:hint="eastAsia" w:ascii="仿宋" w:hAnsi="仿宋" w:eastAsia="仿宋" w:cs="仿宋"/>
          <w:color w:val="auto"/>
          <w:highlight w:val="none"/>
          <w:u w:val="single"/>
          <w:lang w:bidi="ar"/>
        </w:rPr>
        <w:t xml:space="preserve">   </w:t>
      </w:r>
      <w:r>
        <w:rPr>
          <w:rFonts w:hint="eastAsia" w:ascii="仿宋" w:hAnsi="仿宋" w:eastAsia="仿宋" w:cs="仿宋"/>
          <w:color w:val="auto"/>
          <w:highlight w:val="none"/>
          <w:lang w:bidi="ar"/>
        </w:rPr>
        <w:t xml:space="preserve">万元</w:t>
      </w:r>
      <w:r>
        <w:rPr>
          <w:rStyle w:val="776"/>
          <w:rFonts w:hint="eastAsia" w:ascii="仿宋" w:hAnsi="仿宋" w:eastAsia="仿宋" w:cs="仿宋"/>
          <w:color w:val="auto"/>
          <w:highlight w:val="none"/>
          <w:lang w:bidi="ar"/>
        </w:rPr>
        <w:footnoteReference w:id="2"/>
      </w:r>
      <w:r>
        <w:rPr>
          <w:rFonts w:hint="eastAsia" w:ascii="仿宋" w:hAnsi="仿宋" w:eastAsia="仿宋" w:cs="仿宋"/>
          <w:color w:val="auto"/>
          <w:highlight w:val="none"/>
          <w:lang w:bidi="ar"/>
        </w:rPr>
        <w:t xml:space="preserve">，属于</w:t>
      </w:r>
      <w:r>
        <w:rPr>
          <w:rFonts w:hint="eastAsia" w:ascii="仿宋" w:hAnsi="仿宋" w:eastAsia="仿宋" w:cs="仿宋"/>
          <w:i/>
          <w:iCs/>
          <w:color w:val="auto"/>
          <w:highlight w:val="none"/>
          <w:u w:val="single"/>
          <w:lang w:bidi="ar"/>
        </w:rPr>
        <w:t xml:space="preserve">（中型企业、小型企业、微型企业）</w:t>
      </w:r>
      <w:r>
        <w:rPr>
          <w:rFonts w:hint="eastAsia" w:ascii="仿宋" w:hAnsi="仿宋" w:eastAsia="仿宋" w:cs="仿宋"/>
          <w:color w:val="auto"/>
          <w:highlight w:val="none"/>
          <w:lang w:bidi="ar"/>
        </w:rPr>
        <w:t xml:space="preserve">； </w:t>
      </w:r>
      <w:r/>
    </w:p>
    <w:p>
      <w:pPr>
        <w:ind w:firstLine="480"/>
        <w:jc w:val="left"/>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2. </w:t>
      </w:r>
      <w:r>
        <w:rPr>
          <w:rFonts w:hint="eastAsia" w:ascii="仿宋" w:hAnsi="仿宋" w:eastAsia="仿宋" w:cs="仿宋"/>
          <w:i/>
          <w:iCs/>
          <w:color w:val="auto"/>
          <w:highlight w:val="none"/>
          <w:u w:val="single"/>
          <w:lang w:bidi="ar"/>
        </w:rPr>
        <w:t xml:space="preserve">（标的名称） </w:t>
      </w:r>
      <w:r>
        <w:rPr>
          <w:rFonts w:hint="eastAsia" w:ascii="仿宋" w:hAnsi="仿宋" w:eastAsia="仿宋" w:cs="仿宋"/>
          <w:color w:val="auto"/>
          <w:highlight w:val="none"/>
          <w:lang w:bidi="ar"/>
        </w:rPr>
        <w:t xml:space="preserve">，属于</w:t>
      </w:r>
      <w:r>
        <w:rPr>
          <w:rFonts w:hint="eastAsia" w:ascii="仿宋" w:hAnsi="仿宋" w:eastAsia="仿宋" w:cs="仿宋"/>
          <w:i/>
          <w:iCs/>
          <w:color w:val="auto"/>
          <w:highlight w:val="none"/>
          <w:u w:val="single"/>
          <w:lang w:bidi="ar"/>
        </w:rPr>
        <w:t xml:space="preserve">（采购文件中明确的所属行业）</w:t>
      </w:r>
      <w:r>
        <w:rPr>
          <w:rFonts w:hint="eastAsia" w:ascii="仿宋" w:hAnsi="仿宋" w:eastAsia="仿宋" w:cs="仿宋"/>
          <w:color w:val="auto"/>
          <w:highlight w:val="none"/>
          <w:lang w:bidi="ar"/>
        </w:rPr>
        <w:t xml:space="preserve">；承建（承接）企业为</w:t>
      </w:r>
      <w:r>
        <w:rPr>
          <w:rFonts w:hint="eastAsia" w:ascii="仿宋" w:hAnsi="仿宋" w:eastAsia="仿宋" w:cs="仿宋"/>
          <w:i/>
          <w:iCs/>
          <w:color w:val="auto"/>
          <w:highlight w:val="none"/>
          <w:lang w:bidi="ar"/>
        </w:rPr>
        <w:t xml:space="preserve">（企业名称）</w:t>
      </w:r>
      <w:r>
        <w:rPr>
          <w:rFonts w:hint="eastAsia" w:ascii="仿宋" w:hAnsi="仿宋" w:eastAsia="仿宋" w:cs="仿宋"/>
          <w:color w:val="auto"/>
          <w:highlight w:val="none"/>
          <w:lang w:bidi="ar"/>
        </w:rPr>
        <w:t xml:space="preserve">，从业人员</w:t>
      </w:r>
      <w:r>
        <w:rPr>
          <w:rFonts w:hint="eastAsia" w:ascii="仿宋" w:hAnsi="仿宋" w:eastAsia="仿宋" w:cs="仿宋"/>
          <w:color w:val="auto"/>
          <w:highlight w:val="none"/>
          <w:u w:val="single"/>
          <w:lang w:bidi="ar"/>
        </w:rPr>
        <w:t xml:space="preserve">   </w:t>
      </w:r>
      <w:r>
        <w:rPr>
          <w:rFonts w:hint="eastAsia" w:ascii="仿宋" w:hAnsi="仿宋" w:eastAsia="仿宋" w:cs="仿宋"/>
          <w:color w:val="auto"/>
          <w:highlight w:val="none"/>
          <w:lang w:bidi="ar"/>
        </w:rPr>
        <w:t xml:space="preserve">人，营业收入为</w:t>
      </w:r>
      <w:r>
        <w:rPr>
          <w:rFonts w:hint="eastAsia" w:ascii="仿宋" w:hAnsi="仿宋" w:eastAsia="仿宋" w:cs="仿宋"/>
          <w:color w:val="auto"/>
          <w:highlight w:val="none"/>
          <w:u w:val="single"/>
          <w:lang w:bidi="ar"/>
        </w:rPr>
        <w:t xml:space="preserve">    </w:t>
      </w:r>
      <w:r>
        <w:rPr>
          <w:rFonts w:hint="eastAsia" w:ascii="仿宋" w:hAnsi="仿宋" w:eastAsia="仿宋" w:cs="仿宋"/>
          <w:color w:val="auto"/>
          <w:highlight w:val="none"/>
          <w:lang w:bidi="ar"/>
        </w:rPr>
        <w:t xml:space="preserve">万元，资产总额为</w:t>
      </w:r>
      <w:r>
        <w:rPr>
          <w:rFonts w:hint="eastAsia" w:ascii="仿宋" w:hAnsi="仿宋" w:eastAsia="仿宋" w:cs="仿宋"/>
          <w:color w:val="auto"/>
          <w:highlight w:val="none"/>
          <w:u w:val="single"/>
          <w:lang w:bidi="ar"/>
        </w:rPr>
        <w:t xml:space="preserve">   </w:t>
      </w:r>
      <w:r>
        <w:rPr>
          <w:rFonts w:hint="eastAsia" w:ascii="仿宋" w:hAnsi="仿宋" w:eastAsia="仿宋" w:cs="仿宋"/>
          <w:color w:val="auto"/>
          <w:highlight w:val="none"/>
          <w:lang w:bidi="ar"/>
        </w:rPr>
        <w:t xml:space="preserve">万元，属于</w:t>
      </w:r>
      <w:r>
        <w:rPr>
          <w:rFonts w:hint="eastAsia" w:ascii="仿宋" w:hAnsi="仿宋" w:eastAsia="仿宋" w:cs="仿宋"/>
          <w:i/>
          <w:iCs/>
          <w:color w:val="auto"/>
          <w:highlight w:val="none"/>
          <w:u w:val="single"/>
          <w:lang w:bidi="ar"/>
        </w:rPr>
        <w:t xml:space="preserve">（中型企业、小型企业、微型企业）</w:t>
      </w:r>
      <w:r>
        <w:rPr>
          <w:rFonts w:hint="eastAsia" w:ascii="仿宋" w:hAnsi="仿宋" w:eastAsia="仿宋" w:cs="仿宋"/>
          <w:color w:val="auto"/>
          <w:highlight w:val="none"/>
          <w:lang w:bidi="ar"/>
        </w:rPr>
        <w:t xml:space="preserve">；</w:t>
      </w:r>
      <w:r/>
    </w:p>
    <w:p>
      <w:pPr>
        <w:ind w:firstLine="480"/>
        <w:jc w:val="left"/>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 </w:t>
      </w:r>
      <w:r/>
    </w:p>
    <w:p>
      <w:pPr>
        <w:ind w:firstLine="480"/>
        <w:jc w:val="left"/>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                    企业名称（盖章）：</w:t>
      </w:r>
      <w:r/>
    </w:p>
    <w:p>
      <w:pPr>
        <w:jc w:val="center"/>
        <w:spacing w:line="56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                日 期：</w:t>
      </w:r>
      <w:r/>
    </w:p>
    <w:p>
      <w:pPr>
        <w:pStyle w:val="1026"/>
        <w:ind w:firstLine="6120"/>
        <w:spacing w:line="560" w:lineRule="exact"/>
        <w:rPr>
          <w:rStyle w:val="947"/>
          <w:rFonts w:ascii="仿宋" w:hAnsi="仿宋" w:eastAsia="仿宋" w:cs="仿宋"/>
          <w:color w:val="auto"/>
          <w:sz w:val="18"/>
          <w:szCs w:val="18"/>
          <w:highlight w:val="none"/>
        </w:rPr>
      </w:pPr>
      <w:r>
        <w:rPr>
          <w:rFonts w:ascii="仿宋" w:hAnsi="仿宋" w:eastAsia="仿宋" w:cs="仿宋"/>
          <w:color w:val="auto"/>
          <w:sz w:val="18"/>
          <w:szCs w:val="18"/>
          <w:highlight w:val="none"/>
        </w:rPr>
      </w:r>
      <w:r/>
    </w:p>
    <w:p>
      <w:pPr>
        <w:pStyle w:val="1026"/>
        <w:jc w:val="center"/>
        <w:spacing w:before="151" w:after="151" w:line="600" w:lineRule="exact"/>
        <w:rPr>
          <w:rStyle w:val="947"/>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35"/>
        <w:ind w:firstLine="445"/>
        <w:spacing w:before="151" w:after="151" w:line="240" w:lineRule="atLeast"/>
        <w:rPr>
          <w:rStyle w:val="947"/>
          <w:rFonts w:ascii="仿宋" w:hAnsi="仿宋" w:eastAsia="仿宋" w:cs="仿宋"/>
          <w:color w:val="auto"/>
          <w:sz w:val="24"/>
          <w:highlight w:val="none"/>
        </w:rPr>
      </w:pPr>
      <w:r>
        <w:rPr>
          <w:rFonts w:hint="eastAsia" w:hAnsi="宋体"/>
          <w:color w:val="auto"/>
          <w:szCs w:val="24"/>
          <w:highlight w:val="none"/>
        </w:rPr>
        <w:br w:type="page" w:clear="all"/>
      </w:r>
      <w:r>
        <w:rPr>
          <w:rStyle w:val="947"/>
          <w:rFonts w:hint="eastAsia" w:ascii="仿宋" w:hAnsi="仿宋" w:eastAsia="仿宋" w:cs="仿宋"/>
          <w:color w:val="auto"/>
          <w:sz w:val="24"/>
          <w:highlight w:val="none"/>
        </w:rPr>
        <w:t xml:space="preserve">根据投标人和产品本身提供相关材料，不适用的无需提供</w:t>
      </w:r>
      <w:r/>
    </w:p>
    <w:p>
      <w:pPr>
        <w:ind w:left="100"/>
        <w:jc w:val="left"/>
        <w:spacing w:before="50" w:line="360" w:lineRule="auto"/>
        <w:rPr>
          <w:rStyle w:val="947"/>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35"/>
        <w:jc w:val="center"/>
        <w:spacing w:before="151" w:after="151" w:line="600" w:lineRule="exact"/>
        <w:rPr>
          <w:rStyle w:val="947"/>
          <w:rFonts w:ascii="仿宋" w:hAnsi="仿宋" w:eastAsia="仿宋" w:cs="仿宋"/>
          <w:b/>
          <w:bCs/>
          <w:color w:val="auto"/>
          <w:sz w:val="32"/>
          <w:szCs w:val="32"/>
          <w:highlight w:val="none"/>
        </w:rPr>
      </w:pPr>
      <w:r>
        <w:rPr>
          <w:rStyle w:val="947"/>
          <w:rFonts w:hint="eastAsia" w:ascii="仿宋" w:hAnsi="仿宋" w:eastAsia="仿宋" w:cs="仿宋"/>
          <w:b/>
          <w:bCs/>
          <w:color w:val="auto"/>
          <w:sz w:val="32"/>
          <w:szCs w:val="32"/>
          <w:highlight w:val="none"/>
        </w:rPr>
        <w:t xml:space="preserve">残疾人福利性单位声明函</w:t>
      </w:r>
      <w:r/>
    </w:p>
    <w:p>
      <w:pPr>
        <w:pStyle w:val="1336"/>
        <w:spacing w:line="588" w:lineRule="exact"/>
        <w:rPr>
          <w:rStyle w:val="947"/>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35"/>
        <w:ind w:firstLine="480"/>
        <w:spacing w:line="500" w:lineRule="exact"/>
        <w:rPr>
          <w:rStyle w:val="947"/>
          <w:rFonts w:ascii="仿宋" w:hAnsi="仿宋" w:eastAsia="仿宋" w:cs="仿宋"/>
          <w:color w:val="auto"/>
          <w:sz w:val="24"/>
          <w:highlight w:val="none"/>
        </w:rPr>
      </w:pPr>
      <w:r>
        <w:rPr>
          <w:rStyle w:val="947"/>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7"/>
          <w:rFonts w:hint="eastAsia" w:ascii="仿宋" w:hAnsi="仿宋" w:eastAsia="仿宋" w:cs="仿宋"/>
          <w:color w:val="auto"/>
          <w:sz w:val="24"/>
          <w:highlight w:val="none"/>
          <w:u w:val="single"/>
        </w:rPr>
        <w:t xml:space="preserve">          </w:t>
      </w:r>
      <w:r>
        <w:rPr>
          <w:rStyle w:val="947"/>
          <w:rFonts w:hint="eastAsia" w:ascii="仿宋" w:hAnsi="仿宋" w:eastAsia="仿宋" w:cs="仿宋"/>
          <w:color w:val="auto"/>
          <w:sz w:val="24"/>
          <w:highlight w:val="none"/>
        </w:rPr>
        <w:t xml:space="preserve">的</w:t>
      </w:r>
      <w:r>
        <w:rPr>
          <w:rStyle w:val="947"/>
          <w:rFonts w:hint="eastAsia" w:ascii="仿宋" w:hAnsi="仿宋" w:eastAsia="仿宋" w:cs="仿宋"/>
          <w:color w:val="auto"/>
          <w:sz w:val="24"/>
          <w:highlight w:val="none"/>
          <w:u w:val="single"/>
        </w:rPr>
        <w:t xml:space="preserve">                  </w:t>
      </w:r>
      <w:r>
        <w:rPr>
          <w:rStyle w:val="947"/>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5"/>
        <w:ind w:firstLine="480"/>
        <w:spacing w:line="500" w:lineRule="exact"/>
        <w:rPr>
          <w:rStyle w:val="947"/>
          <w:rFonts w:ascii="仿宋" w:hAnsi="仿宋" w:eastAsia="仿宋" w:cs="仿宋"/>
          <w:color w:val="auto"/>
          <w:sz w:val="24"/>
          <w:highlight w:val="none"/>
        </w:rPr>
      </w:pPr>
      <w:r>
        <w:rPr>
          <w:rStyle w:val="947"/>
          <w:rFonts w:hint="eastAsia" w:ascii="仿宋" w:hAnsi="仿宋" w:eastAsia="仿宋" w:cs="仿宋"/>
          <w:color w:val="auto"/>
          <w:sz w:val="24"/>
          <w:highlight w:val="none"/>
        </w:rPr>
        <w:t xml:space="preserve">本单位对上述声明的真实性负责。如有虚假，将依法承担相应责任。</w:t>
      </w:r>
      <w:r/>
    </w:p>
    <w:p>
      <w:pPr>
        <w:pStyle w:val="1337"/>
        <w:ind w:firstLine="3810"/>
        <w:spacing w:line="500" w:lineRule="exact"/>
        <w:rPr>
          <w:rStyle w:val="947"/>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37"/>
        <w:ind w:firstLine="3628"/>
        <w:jc w:val="left"/>
        <w:spacing w:line="500" w:lineRule="exact"/>
        <w:rPr>
          <w:rStyle w:val="947"/>
          <w:rFonts w:ascii="仿宋" w:hAnsi="仿宋" w:eastAsia="仿宋" w:cs="仿宋"/>
          <w:color w:val="auto"/>
          <w:sz w:val="24"/>
          <w:highlight w:val="none"/>
        </w:rPr>
      </w:pPr>
      <w:r>
        <w:rPr>
          <w:rFonts w:ascii="仿宋" w:hAnsi="仿宋" w:eastAsia="仿宋" w:cs="仿宋"/>
          <w:color w:val="auto"/>
          <w:sz w:val="24"/>
          <w:highlight w:val="none"/>
        </w:rPr>
      </w:r>
      <w:r/>
    </w:p>
    <w:p>
      <w:pPr>
        <w:pStyle w:val="1337"/>
        <w:ind w:firstLine="480"/>
        <w:jc w:val="left"/>
        <w:spacing w:line="500" w:lineRule="exact"/>
        <w:rPr>
          <w:rStyle w:val="947"/>
          <w:rFonts w:ascii="仿宋" w:hAnsi="仿宋" w:eastAsia="仿宋" w:cs="仿宋"/>
          <w:color w:val="auto"/>
          <w:sz w:val="24"/>
          <w:highlight w:val="none"/>
        </w:rPr>
      </w:pPr>
      <w:r>
        <w:rPr>
          <w:rStyle w:val="947"/>
          <w:rFonts w:hint="eastAsia" w:ascii="仿宋" w:hAnsi="仿宋" w:eastAsia="仿宋" w:cs="仿宋"/>
          <w:color w:val="auto"/>
          <w:sz w:val="24"/>
          <w:highlight w:val="none"/>
        </w:rPr>
        <w:t xml:space="preserve">单位名称：</w:t>
      </w:r>
      <w:r>
        <w:rPr>
          <w:rStyle w:val="947"/>
          <w:rFonts w:hint="eastAsia" w:ascii="仿宋" w:hAnsi="仿宋" w:eastAsia="仿宋" w:cs="仿宋"/>
          <w:color w:val="auto"/>
          <w:sz w:val="24"/>
          <w:highlight w:val="none"/>
          <w:u w:val="single"/>
        </w:rPr>
        <w:t xml:space="preserve">              </w:t>
      </w:r>
      <w:r>
        <w:rPr>
          <w:rStyle w:val="947"/>
          <w:rFonts w:hint="eastAsia" w:ascii="仿宋" w:hAnsi="仿宋" w:eastAsia="仿宋" w:cs="仿宋"/>
          <w:color w:val="auto"/>
          <w:sz w:val="24"/>
          <w:highlight w:val="none"/>
        </w:rPr>
        <w:t xml:space="preserve">（签章）</w:t>
      </w:r>
      <w:r/>
    </w:p>
    <w:p>
      <w:pPr>
        <w:pStyle w:val="1026"/>
        <w:ind w:firstLine="480"/>
        <w:jc w:val="left"/>
        <w:spacing w:line="500" w:lineRule="exact"/>
        <w:rPr>
          <w:rStyle w:val="947"/>
          <w:rFonts w:ascii="仿宋" w:hAnsi="仿宋" w:eastAsia="仿宋" w:cs="仿宋"/>
          <w:color w:val="auto"/>
          <w:sz w:val="24"/>
          <w:szCs w:val="20"/>
          <w:highlight w:val="none"/>
        </w:rPr>
      </w:pPr>
      <w:r>
        <w:rPr>
          <w:rStyle w:val="947"/>
          <w:rFonts w:hint="eastAsia" w:ascii="仿宋" w:hAnsi="仿宋" w:eastAsia="仿宋" w:cs="仿宋"/>
          <w:color w:val="auto"/>
          <w:sz w:val="24"/>
          <w:szCs w:val="20"/>
          <w:highlight w:val="none"/>
        </w:rPr>
        <w:t xml:space="preserve">日期：  年  月  日</w:t>
      </w:r>
      <w:r/>
    </w:p>
    <w:p>
      <w:pPr>
        <w:pStyle w:val="1338"/>
        <w:ind w:firstLine="0"/>
        <w:spacing w:line="500" w:lineRule="exact"/>
        <w:rPr>
          <w:rStyle w:val="947"/>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rPr>
        <w:t xml:space="preserve">（</w:t>
      </w:r>
      <w:r>
        <w:rPr>
          <w:rFonts w:hint="eastAsia" w:hAnsi="宋体"/>
          <w:color w:val="auto"/>
          <w:highlight w:val="none"/>
        </w:rPr>
        <w:t xml:space="preserve">含新疆生产建设兵团</w:t>
      </w:r>
      <w:r>
        <w:rPr>
          <w:rFonts w:hint="eastAsia" w:hAnsi="宋体" w:eastAsia="宋体"/>
          <w:color w:val="auto"/>
          <w:highlight w:val="none"/>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pStyle w:val="1065"/>
        <w:rPr>
          <w:rFonts w:ascii="仿宋" w:hAnsi="仿宋" w:eastAsia="仿宋" w:cs="仿宋"/>
          <w:color w:val="auto"/>
          <w:highlight w:val="none"/>
        </w:rPr>
      </w:pPr>
      <w:r/>
      <w:bookmarkStart w:id="105" w:name="_GoBack"/>
      <w:r/>
      <w:bookmarkEnd w:id="105"/>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Style w:val="1012"/>
      </w:rPr>
      <w:framePr w:wrap="around" w:vAnchor="text" w:hAnchor="margin" w:xAlign="right" w:y="1"/>
    </w:pPr>
    <w:r/>
    <w:r/>
  </w:p>
  <w:p>
    <w:pPr>
      <w:pStyle w:val="98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Style w:val="10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p>
    <w:pPr>
      <w:pStyle w:val="9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2"/>
      </w:pPr>
      <w:r>
        <w:rPr>
          <w:rStyle w:val="776"/>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4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2">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9">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0">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1">
    <w:name w:val="TOC Heading"/>
    <w:uiPriority w:val="39"/>
    <w:unhideWhenUsed/>
  </w:style>
  <w:style w:type="paragraph" w:styleId="732"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3">
    <w:name w:val="Heading 1"/>
    <w:basedOn w:val="732"/>
    <w:next w:val="732"/>
    <w:link w:val="816"/>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817"/>
    <w:uiPriority w:val="0"/>
    <w:unhideWhenUsed/>
    <w:qFormat/>
    <w:pPr>
      <w:keepLines/>
      <w:keepNext/>
      <w:spacing w:before="320" w:after="200"/>
      <w:outlineLvl w:val="4"/>
    </w:pPr>
    <w:rPr>
      <w:rFonts w:ascii="Arial" w:hAnsi="Arial" w:eastAsia="Arial" w:cs="Arial"/>
      <w:b/>
      <w:bCs/>
    </w:rPr>
  </w:style>
  <w:style w:type="paragraph" w:styleId="738">
    <w:name w:val="Heading 6"/>
    <w:basedOn w:val="732"/>
    <w:next w:val="732"/>
    <w:link w:val="818"/>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20"/>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21"/>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spacing w:after="57"/>
    </w:pPr>
  </w:style>
  <w:style w:type="paragraph" w:styleId="745">
    <w:name w:val="Normal Indent"/>
    <w:basedOn w:val="732"/>
    <w:uiPriority w:val="0"/>
    <w:qFormat/>
    <w:pPr>
      <w:ind w:firstLine="420"/>
    </w:pPr>
    <w:rPr>
      <w:rFonts w:ascii="宋体"/>
      <w:color w:val="000000"/>
      <w:szCs w:val="20"/>
    </w:r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2"/>
    <w:link w:val="1351"/>
    <w:uiPriority w:val="0"/>
    <w:unhideWhenUsed/>
    <w:qFormat/>
    <w:pPr>
      <w:jc w:val="left"/>
    </w:pPr>
  </w:style>
  <w:style w:type="paragraph" w:styleId="748">
    <w:name w:val="Body Text"/>
    <w:basedOn w:val="732"/>
    <w:next w:val="732"/>
    <w:uiPriority w:val="0"/>
    <w:qFormat/>
    <w:pPr>
      <w:ind w:firstLine="482"/>
      <w:jc w:val="center"/>
    </w:pPr>
    <w:rPr>
      <w:rFonts w:hAnsi="宋体"/>
      <w:color w:val="000000"/>
      <w:lang w:val="zh-CN"/>
    </w:rPr>
  </w:style>
  <w:style w:type="paragraph" w:styleId="749">
    <w:name w:val="Body Text Indent"/>
    <w:basedOn w:val="732"/>
    <w:uiPriority w:val="0"/>
    <w:qFormat/>
    <w:pPr>
      <w:ind w:firstLine="225"/>
    </w:pPr>
    <w:rPr>
      <w:rFonts w:ascii="仿宋_GB2312" w:eastAsia="仿宋_GB2312"/>
      <w:sz w:val="32"/>
    </w:rPr>
  </w:style>
  <w:style w:type="paragraph" w:styleId="750">
    <w:name w:val="toc 5"/>
    <w:basedOn w:val="732"/>
    <w:next w:val="732"/>
    <w:uiPriority w:val="39"/>
    <w:unhideWhenUsed/>
    <w:qFormat/>
    <w:pPr>
      <w:ind w:left="1134"/>
      <w:spacing w:after="57"/>
    </w:pPr>
  </w:style>
  <w:style w:type="paragraph" w:styleId="751">
    <w:name w:val="toc 3"/>
    <w:basedOn w:val="732"/>
    <w:next w:val="732"/>
    <w:uiPriority w:val="39"/>
    <w:unhideWhenUsed/>
    <w:qFormat/>
    <w:pPr>
      <w:ind w:left="567"/>
      <w:spacing w:after="57"/>
    </w:pPr>
  </w:style>
  <w:style w:type="paragraph" w:styleId="752">
    <w:name w:val="Plain Text"/>
    <w:basedOn w:val="732"/>
    <w:uiPriority w:val="0"/>
    <w:qFormat/>
    <w:rPr>
      <w:rFonts w:ascii="宋体" w:cs="Courier New"/>
    </w:rPr>
  </w:style>
  <w:style w:type="paragraph" w:styleId="753">
    <w:name w:val="toc 8"/>
    <w:basedOn w:val="732"/>
    <w:next w:val="732"/>
    <w:uiPriority w:val="39"/>
    <w:unhideWhenUsed/>
    <w:qFormat/>
    <w:pPr>
      <w:ind w:left="1984"/>
      <w:spacing w:after="57"/>
    </w:pPr>
  </w:style>
  <w:style w:type="paragraph" w:styleId="754">
    <w:name w:val="endnote text"/>
    <w:basedOn w:val="732"/>
    <w:link w:val="937"/>
    <w:uiPriority w:val="99"/>
    <w:semiHidden/>
    <w:unhideWhenUsed/>
    <w:qFormat/>
    <w:rPr>
      <w:sz w:val="20"/>
    </w:rPr>
  </w:style>
  <w:style w:type="paragraph" w:styleId="755">
    <w:name w:val="Balloon Text"/>
    <w:basedOn w:val="732"/>
    <w:link w:val="1350"/>
    <w:uiPriority w:val="0"/>
    <w:unhideWhenUsed/>
    <w:qFormat/>
    <w:rPr>
      <w:sz w:val="18"/>
      <w:szCs w:val="18"/>
    </w:rPr>
  </w:style>
  <w:style w:type="paragraph" w:styleId="756">
    <w:name w:val="Footer"/>
    <w:basedOn w:val="732"/>
    <w:link w:val="829"/>
    <w:uiPriority w:val="0"/>
    <w:unhideWhenUsed/>
    <w:qFormat/>
    <w:pPr>
      <w:tabs>
        <w:tab w:val="center" w:pos="7143" w:leader="none"/>
        <w:tab w:val="right" w:pos="14287" w:leader="none"/>
      </w:tabs>
    </w:pPr>
  </w:style>
  <w:style w:type="paragraph" w:styleId="757">
    <w:name w:val="envelope return"/>
    <w:basedOn w:val="732"/>
    <w:uiPriority w:val="99"/>
    <w:unhideWhenUsed/>
    <w:qFormat/>
    <w:rPr>
      <w:rFonts w:ascii="Arial" w:hAnsi="Arial"/>
    </w:rPr>
  </w:style>
  <w:style w:type="paragraph" w:styleId="758">
    <w:name w:val="Header"/>
    <w:basedOn w:val="732"/>
    <w:link w:val="1363"/>
    <w:uiPriority w:val="0"/>
    <w:unhideWhenUsed/>
    <w:qFormat/>
    <w:pPr>
      <w:tabs>
        <w:tab w:val="center" w:pos="7143" w:leader="none"/>
        <w:tab w:val="right" w:pos="14287" w:leader="none"/>
      </w:tabs>
    </w:pPr>
  </w:style>
  <w:style w:type="paragraph" w:styleId="759">
    <w:name w:val="toc 1"/>
    <w:basedOn w:val="732"/>
    <w:next w:val="732"/>
    <w:uiPriority w:val="39"/>
    <w:unhideWhenUsed/>
    <w:qFormat/>
    <w:pPr>
      <w:spacing w:after="57"/>
    </w:pPr>
  </w:style>
  <w:style w:type="paragraph" w:styleId="760">
    <w:name w:val="toc 4"/>
    <w:basedOn w:val="732"/>
    <w:next w:val="732"/>
    <w:uiPriority w:val="39"/>
    <w:unhideWhenUsed/>
    <w:qFormat/>
    <w:pPr>
      <w:ind w:left="850"/>
      <w:spacing w:after="57"/>
    </w:pPr>
  </w:style>
  <w:style w:type="paragraph" w:styleId="761">
    <w:name w:val="Subtitle"/>
    <w:basedOn w:val="732"/>
    <w:next w:val="732"/>
    <w:link w:val="824"/>
    <w:uiPriority w:val="11"/>
    <w:qFormat/>
    <w:pPr>
      <w:spacing w:before="200" w:after="200"/>
    </w:pPr>
  </w:style>
  <w:style w:type="paragraph" w:styleId="762">
    <w:name w:val="footnote text"/>
    <w:basedOn w:val="732"/>
    <w:link w:val="936"/>
    <w:uiPriority w:val="99"/>
    <w:semiHidden/>
    <w:unhideWhenUsed/>
    <w:qFormat/>
    <w:pPr>
      <w:spacing w:after="40"/>
    </w:pPr>
    <w:rPr>
      <w:sz w:val="18"/>
    </w:rPr>
  </w:style>
  <w:style w:type="paragraph" w:styleId="763">
    <w:name w:val="toc 6"/>
    <w:basedOn w:val="732"/>
    <w:next w:val="732"/>
    <w:uiPriority w:val="39"/>
    <w:unhideWhenUsed/>
    <w:qFormat/>
    <w:pPr>
      <w:ind w:left="1417"/>
      <w:spacing w:after="57"/>
    </w:pPr>
  </w:style>
  <w:style w:type="paragraph" w:styleId="764">
    <w:name w:val="table of figures"/>
    <w:basedOn w:val="732"/>
    <w:next w:val="732"/>
    <w:uiPriority w:val="99"/>
    <w:unhideWhenUsed/>
    <w:qFormat/>
  </w:style>
  <w:style w:type="paragraph" w:styleId="765">
    <w:name w:val="toc 2"/>
    <w:basedOn w:val="732"/>
    <w:next w:val="732"/>
    <w:uiPriority w:val="39"/>
    <w:unhideWhenUsed/>
    <w:qFormat/>
    <w:pPr>
      <w:ind w:left="283"/>
      <w:spacing w:after="57"/>
    </w:pPr>
  </w:style>
  <w:style w:type="paragraph" w:styleId="766">
    <w:name w:val="toc 9"/>
    <w:basedOn w:val="732"/>
    <w:next w:val="732"/>
    <w:uiPriority w:val="39"/>
    <w:unhideWhenUsed/>
    <w:qFormat/>
    <w:pPr>
      <w:ind w:left="2268"/>
      <w:spacing w:after="57"/>
    </w:pPr>
  </w:style>
  <w:style w:type="paragraph" w:styleId="767">
    <w:name w:val="Normal (Web)"/>
    <w:basedOn w:val="732"/>
    <w:uiPriority w:val="99"/>
    <w:semiHidden/>
    <w:unhideWhenUsed/>
    <w:qFormat/>
    <w:pPr>
      <w:jc w:val="left"/>
      <w:spacing w:beforeAutospacing="1" w:afterAutospacing="1"/>
    </w:pPr>
  </w:style>
  <w:style w:type="paragraph" w:styleId="768">
    <w:name w:val="Title"/>
    <w:basedOn w:val="732"/>
    <w:next w:val="732"/>
    <w:link w:val="823"/>
    <w:uiPriority w:val="10"/>
    <w:qFormat/>
    <w:pPr>
      <w:contextualSpacing/>
      <w:spacing w:before="300" w:after="200"/>
    </w:pPr>
    <w:rPr>
      <w:sz w:val="48"/>
      <w:szCs w:val="48"/>
    </w:rPr>
  </w:style>
  <w:style w:type="paragraph" w:styleId="769">
    <w:name w:val="annotation subject"/>
    <w:basedOn w:val="747"/>
    <w:next w:val="747"/>
    <w:link w:val="1352"/>
    <w:uiPriority w:val="99"/>
    <w:semiHidden/>
    <w:unhideWhenUsed/>
    <w:qFormat/>
    <w:rPr>
      <w:b/>
      <w:bCs/>
    </w:rPr>
  </w:style>
  <w:style w:type="paragraph" w:styleId="770">
    <w:name w:val="Body Text First Indent 2"/>
    <w:basedOn w:val="749"/>
    <w:uiPriority w:val="0"/>
    <w:qFormat/>
    <w:pPr>
      <w:ind w:left="200" w:firstLine="200"/>
      <w:spacing w:after="120"/>
    </w:pPr>
    <w:rPr>
      <w:rFonts w:ascii="Times New Roman"/>
      <w:sz w:val="24"/>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page number"/>
    <w:uiPriority w:val="0"/>
    <w:qFormat/>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42"/>
    <w:uiPriority w:val="0"/>
    <w:unhideWhenUsed/>
    <w:qFormat/>
    <w:rPr>
      <w:sz w:val="21"/>
      <w:szCs w:val="21"/>
    </w:rPr>
  </w:style>
  <w:style w:type="character" w:styleId="776">
    <w:name w:val="footnote reference"/>
    <w:basedOn w:val="742"/>
    <w:uiPriority w:val="99"/>
    <w:unhideWhenUsed/>
    <w:qFormat/>
    <w:rPr>
      <w:vertAlign w:val="superscript"/>
    </w:rPr>
  </w:style>
  <w:style w:type="table" w:styleId="777"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4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4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4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rPr>
      <w:rFonts w:ascii="Times New Roman" w:hAnsi="Times New Roman" w:eastAsia="宋体" w:cs="Times New Roman"/>
      <w:lang w:val="en-US" w:eastAsia="zh-CN" w:bidi="ar-SA"/>
    </w:rPr>
  </w:style>
  <w:style w:type="paragraph" w:styleId="797" w:customStyle="1">
    <w:name w:val="BodyText"/>
    <w:basedOn w:val="732"/>
    <w:next w:val="798"/>
    <w:uiPriority w:val="0"/>
    <w:qFormat/>
    <w:pPr>
      <w:spacing w:line="360" w:lineRule="exact"/>
    </w:pPr>
  </w:style>
  <w:style w:type="paragraph" w:styleId="798" w:customStyle="1">
    <w:name w:val="UserStyle_6"/>
    <w:basedOn w:val="799"/>
    <w:next w:val="800"/>
    <w:uiPriority w:val="0"/>
    <w:qFormat/>
    <w:pPr>
      <w:ind w:left="420"/>
      <w:spacing w:line="240" w:lineRule="auto"/>
    </w:pPr>
  </w:style>
  <w:style w:type="paragraph" w:styleId="799" w:customStyle="1">
    <w:name w:val="UserStyle_7"/>
    <w:next w:val="732"/>
    <w:uiPriority w:val="0"/>
    <w:qFormat/>
    <w:pPr>
      <w:jc w:val="both"/>
      <w:spacing w:line="360" w:lineRule="auto"/>
    </w:pPr>
    <w:rPr>
      <w:rFonts w:ascii="黑体" w:hAnsi="等线" w:eastAsia="黑体" w:cs="等线"/>
      <w:sz w:val="21"/>
      <w:szCs w:val="21"/>
      <w:lang w:val="en-US" w:eastAsia="zh-CN" w:bidi="ar-SA"/>
    </w:rPr>
  </w:style>
  <w:style w:type="paragraph" w:styleId="800" w:customStyle="1">
    <w:name w:val="UserStyle_8"/>
    <w:next w:val="732"/>
    <w:uiPriority w:val="0"/>
    <w:qFormat/>
    <w:pPr>
      <w:ind w:firstLine="200"/>
      <w:jc w:val="both"/>
    </w:pPr>
    <w:rPr>
      <w:rFonts w:ascii="宋体" w:hAnsi="等线" w:eastAsia="等线" w:cs="等线"/>
      <w:sz w:val="21"/>
      <w:szCs w:val="21"/>
      <w:lang w:val="en-US" w:eastAsia="zh-CN" w:bidi="ar-SA"/>
    </w:rPr>
  </w:style>
  <w:style w:type="paragraph" w:styleId="801" w:customStyle="1">
    <w:name w:val="标题 31"/>
    <w:basedOn w:val="732"/>
    <w:next w:val="732"/>
    <w:link w:val="949"/>
    <w:uiPriority w:val="0"/>
    <w:qFormat/>
    <w:pPr>
      <w:keepLines/>
      <w:keepNext/>
      <w:spacing w:before="260" w:after="260" w:line="413" w:lineRule="auto"/>
      <w:outlineLvl w:val="2"/>
    </w:pPr>
    <w:rPr>
      <w:rFonts w:eastAsia="宋体"/>
      <w:b/>
      <w:sz w:val="32"/>
      <w:szCs w:val="20"/>
    </w:rPr>
  </w:style>
  <w:style w:type="character" w:styleId="802" w:customStyle="1">
    <w:name w:val="Heading 1 Char"/>
    <w:basedOn w:val="742"/>
    <w:uiPriority w:val="9"/>
    <w:qFormat/>
    <w:rPr>
      <w:rFonts w:ascii="Arial" w:hAnsi="Arial" w:eastAsia="Arial" w:cs="Arial"/>
      <w:sz w:val="40"/>
      <w:szCs w:val="40"/>
    </w:rPr>
  </w:style>
  <w:style w:type="character" w:styleId="803" w:customStyle="1">
    <w:name w:val="Heading 5 Char"/>
    <w:basedOn w:val="742"/>
    <w:uiPriority w:val="9"/>
    <w:qFormat/>
    <w:rPr>
      <w:rFonts w:ascii="Arial" w:hAnsi="Arial" w:eastAsia="Arial" w:cs="Arial"/>
      <w:b/>
      <w:bCs/>
      <w:sz w:val="24"/>
      <w:szCs w:val="24"/>
    </w:rPr>
  </w:style>
  <w:style w:type="character" w:styleId="804" w:customStyle="1">
    <w:name w:val="Heading 6 Char"/>
    <w:basedOn w:val="742"/>
    <w:uiPriority w:val="9"/>
    <w:qFormat/>
    <w:rPr>
      <w:rFonts w:ascii="Arial" w:hAnsi="Arial" w:eastAsia="Arial" w:cs="Arial"/>
      <w:b/>
      <w:bCs/>
      <w:sz w:val="22"/>
      <w:szCs w:val="22"/>
    </w:rPr>
  </w:style>
  <w:style w:type="character" w:styleId="805" w:customStyle="1">
    <w:name w:val="Heading 7 Char"/>
    <w:basedOn w:val="742"/>
    <w:uiPriority w:val="9"/>
    <w:qFormat/>
    <w:rPr>
      <w:rFonts w:ascii="Arial" w:hAnsi="Arial" w:eastAsia="Arial" w:cs="Arial"/>
      <w:b/>
      <w:bCs/>
      <w:i/>
      <w:iCs/>
      <w:sz w:val="22"/>
      <w:szCs w:val="22"/>
    </w:rPr>
  </w:style>
  <w:style w:type="character" w:styleId="806" w:customStyle="1">
    <w:name w:val="Heading 8 Char"/>
    <w:basedOn w:val="742"/>
    <w:uiPriority w:val="9"/>
    <w:qFormat/>
    <w:rPr>
      <w:rFonts w:ascii="Arial" w:hAnsi="Arial" w:eastAsia="Arial" w:cs="Arial"/>
      <w:i/>
      <w:iCs/>
      <w:sz w:val="22"/>
      <w:szCs w:val="22"/>
    </w:rPr>
  </w:style>
  <w:style w:type="character" w:styleId="807" w:customStyle="1">
    <w:name w:val="Heading 9 Char"/>
    <w:basedOn w:val="742"/>
    <w:uiPriority w:val="9"/>
    <w:qFormat/>
    <w:rPr>
      <w:rFonts w:ascii="Arial" w:hAnsi="Arial" w:eastAsia="Arial" w:cs="Arial"/>
      <w:i/>
      <w:iCs/>
      <w:sz w:val="21"/>
      <w:szCs w:val="21"/>
    </w:rPr>
  </w:style>
  <w:style w:type="character" w:styleId="808" w:customStyle="1">
    <w:name w:val="Title Char"/>
    <w:basedOn w:val="742"/>
    <w:uiPriority w:val="10"/>
    <w:qFormat/>
    <w:rPr>
      <w:sz w:val="48"/>
      <w:szCs w:val="48"/>
    </w:rPr>
  </w:style>
  <w:style w:type="character" w:styleId="809" w:customStyle="1">
    <w:name w:val="Subtitle Char"/>
    <w:basedOn w:val="742"/>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1"/>
    <w:uiPriority w:val="39"/>
    <w:unhideWhenUsed/>
    <w:qFormat/>
    <w:rPr>
      <w:rFonts w:ascii="Times New Roman" w:hAnsi="Times New Roman" w:eastAsia="宋体" w:cs="Times New Roman"/>
      <w:lang w:val="en-US" w:eastAsia="zh-CN" w:bidi="ar-SA"/>
    </w:rPr>
  </w:style>
  <w:style w:type="character" w:styleId="816" w:customStyle="1">
    <w:name w:val="标题 1 Char1"/>
    <w:link w:val="733"/>
    <w:uiPriority w:val="9"/>
    <w:qFormat/>
    <w:rPr>
      <w:rFonts w:ascii="Arial" w:hAnsi="Arial" w:eastAsia="Arial" w:cs="Arial"/>
      <w:sz w:val="40"/>
      <w:szCs w:val="40"/>
    </w:rPr>
  </w:style>
  <w:style w:type="character" w:styleId="817" w:customStyle="1">
    <w:name w:val="标题 5 Char"/>
    <w:link w:val="737"/>
    <w:uiPriority w:val="0"/>
    <w:qFormat/>
    <w:rPr>
      <w:rFonts w:ascii="Arial" w:hAnsi="Arial" w:eastAsia="Arial" w:cs="Arial"/>
      <w:b/>
      <w:bCs/>
      <w:sz w:val="24"/>
      <w:szCs w:val="24"/>
    </w:rPr>
  </w:style>
  <w:style w:type="character" w:styleId="818" w:customStyle="1">
    <w:name w:val="标题 6 Char"/>
    <w:link w:val="738"/>
    <w:uiPriority w:val="9"/>
    <w:qFormat/>
    <w:rPr>
      <w:rFonts w:ascii="Arial" w:hAnsi="Arial" w:eastAsia="Arial" w:cs="Arial"/>
      <w:b/>
      <w:bCs/>
      <w:sz w:val="22"/>
      <w:szCs w:val="22"/>
    </w:rPr>
  </w:style>
  <w:style w:type="character" w:styleId="819" w:customStyle="1">
    <w:name w:val="标题 7 Char"/>
    <w:link w:val="739"/>
    <w:uiPriority w:val="9"/>
    <w:qFormat/>
    <w:rPr>
      <w:rFonts w:ascii="Arial" w:hAnsi="Arial" w:eastAsia="Arial" w:cs="Arial"/>
      <w:b/>
      <w:bCs/>
      <w:i/>
      <w:iCs/>
      <w:sz w:val="22"/>
      <w:szCs w:val="22"/>
    </w:rPr>
  </w:style>
  <w:style w:type="character" w:styleId="820" w:customStyle="1">
    <w:name w:val="标题 8 Char"/>
    <w:link w:val="740"/>
    <w:uiPriority w:val="9"/>
    <w:qFormat/>
    <w:rPr>
      <w:rFonts w:ascii="Arial" w:hAnsi="Arial" w:eastAsia="Arial" w:cs="Arial"/>
      <w:i/>
      <w:iCs/>
      <w:sz w:val="22"/>
      <w:szCs w:val="22"/>
    </w:rPr>
  </w:style>
  <w:style w:type="character" w:styleId="821" w:customStyle="1">
    <w:name w:val="标题 9 Char"/>
    <w:link w:val="741"/>
    <w:uiPriority w:val="9"/>
    <w:qFormat/>
    <w:rPr>
      <w:rFonts w:ascii="Arial" w:hAnsi="Arial" w:eastAsia="Arial" w:cs="Arial"/>
      <w:i/>
      <w:iCs/>
      <w:sz w:val="21"/>
      <w:szCs w:val="21"/>
    </w:rPr>
  </w:style>
  <w:style w:type="paragraph" w:styleId="822">
    <w:name w:val="No Spacing"/>
    <w:uiPriority w:val="1"/>
    <w:qFormat/>
    <w:rPr>
      <w:rFonts w:ascii="Times New Roman" w:hAnsi="Times New Roman" w:eastAsia="宋体" w:cs="Times New Roman"/>
      <w:lang w:val="en-US" w:eastAsia="zh-CN" w:bidi="ar-SA"/>
    </w:rPr>
  </w:style>
  <w:style w:type="character" w:styleId="823" w:customStyle="1">
    <w:name w:val="标题 Char"/>
    <w:link w:val="768"/>
    <w:uiPriority w:val="10"/>
    <w:qFormat/>
    <w:rPr>
      <w:sz w:val="48"/>
      <w:szCs w:val="48"/>
    </w:rPr>
  </w:style>
  <w:style w:type="character" w:styleId="824" w:customStyle="1">
    <w:name w:val="副标题 Char"/>
    <w:link w:val="761"/>
    <w:uiPriority w:val="11"/>
    <w:qFormat/>
    <w:rPr>
      <w:sz w:val="24"/>
      <w:szCs w:val="24"/>
    </w:rPr>
  </w:style>
  <w:style w:type="paragraph" w:styleId="825">
    <w:name w:val="Quote"/>
    <w:basedOn w:val="732"/>
    <w:next w:val="732"/>
    <w:link w:val="826"/>
    <w:uiPriority w:val="29"/>
    <w:qFormat/>
    <w:pPr>
      <w:ind w:left="720" w:right="720"/>
    </w:pPr>
    <w:rPr>
      <w:i/>
    </w:rPr>
  </w:style>
  <w:style w:type="character" w:styleId="826" w:customStyle="1">
    <w:name w:val="引用 Char"/>
    <w:link w:val="825"/>
    <w:uiPriority w:val="29"/>
    <w:qFormat/>
    <w:rPr>
      <w:i/>
    </w:rPr>
  </w:style>
  <w:style w:type="paragraph" w:styleId="827">
    <w:name w:val="Intense Quote"/>
    <w:basedOn w:val="732"/>
    <w:next w:val="732"/>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Char"/>
    <w:link w:val="827"/>
    <w:uiPriority w:val="30"/>
    <w:qFormat/>
    <w:rPr>
      <w:i/>
    </w:rPr>
  </w:style>
  <w:style w:type="character" w:styleId="829" w:customStyle="1">
    <w:name w:val="页脚 Char"/>
    <w:link w:val="756"/>
    <w:uiPriority w:val="0"/>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Char"/>
    <w:link w:val="762"/>
    <w:uiPriority w:val="99"/>
    <w:qFormat/>
    <w:rPr>
      <w:sz w:val="18"/>
    </w:rPr>
  </w:style>
  <w:style w:type="character" w:styleId="937" w:customStyle="1">
    <w:name w:val="尾注文本 Char"/>
    <w:link w:val="754"/>
    <w:uiPriority w:val="99"/>
    <w:qFormat/>
    <w:rPr>
      <w:sz w:val="20"/>
    </w:rPr>
  </w:style>
  <w:style w:type="paragraph" w:styleId="938" w:customStyle="1">
    <w:name w:val="TOC 标题11"/>
    <w:uiPriority w:val="39"/>
    <w:unhideWhenUsed/>
    <w:qFormat/>
    <w:rPr>
      <w:rFonts w:ascii="Times New Roman" w:hAnsi="Times New Roman" w:eastAsia="宋体" w:cs="Times New Roman"/>
      <w:lang w:val="en-US" w:eastAsia="zh-CN" w:bidi="ar-SA"/>
    </w:rPr>
  </w:style>
  <w:style w:type="paragraph" w:styleId="939" w:customStyle="1">
    <w:name w:val="标题 11"/>
    <w:basedOn w:val="732"/>
    <w:next w:val="732"/>
    <w:link w:val="950"/>
    <w:uiPriority w:val="0"/>
    <w:qFormat/>
    <w:pPr>
      <w:keepLines/>
      <w:keepNext/>
      <w:spacing w:before="340" w:after="330" w:line="576" w:lineRule="auto"/>
      <w:outlineLvl w:val="0"/>
    </w:pPr>
    <w:rPr>
      <w:rFonts w:eastAsia="宋体"/>
      <w:b/>
      <w:sz w:val="44"/>
      <w:szCs w:val="20"/>
    </w:rPr>
  </w:style>
  <w:style w:type="paragraph" w:styleId="940" w:customStyle="1">
    <w:name w:val="标题 21"/>
    <w:basedOn w:val="732"/>
    <w:next w:val="732"/>
    <w:link w:val="951"/>
    <w:uiPriority w:val="0"/>
    <w:qFormat/>
    <w:pPr>
      <w:keepLines/>
      <w:keepNext/>
      <w:spacing w:before="260" w:after="260" w:line="413" w:lineRule="auto"/>
      <w:outlineLvl w:val="1"/>
    </w:pPr>
    <w:rPr>
      <w:rFonts w:ascii="Arial" w:hAnsi="Arial" w:eastAsia="黑体"/>
      <w:b/>
      <w:sz w:val="32"/>
      <w:szCs w:val="20"/>
    </w:rPr>
  </w:style>
  <w:style w:type="paragraph" w:styleId="941" w:customStyle="1">
    <w:name w:val="标题 41"/>
    <w:basedOn w:val="732"/>
    <w:next w:val="732"/>
    <w:link w:val="952"/>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2" w:customStyle="1">
    <w:name w:val="标题 51"/>
    <w:basedOn w:val="732"/>
    <w:next w:val="73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3" w:customStyle="1">
    <w:name w:val="标题 61"/>
    <w:basedOn w:val="732"/>
    <w:next w:val="73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4" w:customStyle="1">
    <w:name w:val="标题 71"/>
    <w:basedOn w:val="732"/>
    <w:next w:val="73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5" w:customStyle="1">
    <w:name w:val="标题 81"/>
    <w:basedOn w:val="732"/>
    <w:next w:val="73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6" w:customStyle="1">
    <w:name w:val="标题 91"/>
    <w:basedOn w:val="732"/>
    <w:next w:val="732"/>
    <w:uiPriority w:val="0"/>
    <w:qFormat/>
    <w:pPr>
      <w:jc w:val="center"/>
      <w:keepNext/>
      <w:spacing w:line="600" w:lineRule="exact"/>
      <w:outlineLvl w:val="8"/>
    </w:pPr>
    <w:rPr>
      <w:rFonts w:ascii="仿宋_GB2312" w:eastAsia="仿宋_GB2312"/>
      <w:sz w:val="32"/>
    </w:rPr>
  </w:style>
  <w:style w:type="character" w:styleId="947" w:customStyle="1">
    <w:name w:val="默认段落字体1"/>
    <w:uiPriority w:val="0"/>
    <w:qFormat/>
    <w:rPr>
      <w:rFonts w:ascii="Times New Roman" w:hAnsi="Times New Roman" w:eastAsia="宋体" w:cs="Times New Roman"/>
    </w:rPr>
  </w:style>
  <w:style w:type="table" w:styleId="948" w:customStyle="1">
    <w:name w:val="普通表格1"/>
    <w:uiPriority w:val="0"/>
    <w:qFormat/>
    <w:tblPr>
      <w:tblCellMar>
        <w:left w:w="0" w:type="dxa"/>
        <w:top w:w="0" w:type="dxa"/>
        <w:right w:w="0" w:type="dxa"/>
        <w:bottom w:w="0" w:type="dxa"/>
      </w:tblCellMar>
    </w:tblPr>
  </w:style>
  <w:style w:type="character" w:styleId="949" w:customStyle="1">
    <w:name w:val="标题 3 Char"/>
    <w:link w:val="801"/>
    <w:uiPriority w:val="0"/>
    <w:qFormat/>
    <w:rPr>
      <w:rFonts w:ascii="Times New Roman" w:hAnsi="Times New Roman" w:eastAsia="宋体" w:cs="Times New Roman"/>
      <w:b/>
      <w:sz w:val="32"/>
    </w:rPr>
  </w:style>
  <w:style w:type="character" w:styleId="950" w:customStyle="1">
    <w:name w:val="标题 1 Char"/>
    <w:link w:val="939"/>
    <w:uiPriority w:val="0"/>
    <w:qFormat/>
    <w:rPr>
      <w:rFonts w:ascii="Times New Roman" w:hAnsi="Times New Roman" w:eastAsia="宋体" w:cs="Times New Roman"/>
      <w:b/>
      <w:sz w:val="44"/>
    </w:rPr>
  </w:style>
  <w:style w:type="character" w:styleId="951" w:customStyle="1">
    <w:name w:val="标题 2 Char"/>
    <w:link w:val="940"/>
    <w:uiPriority w:val="0"/>
    <w:qFormat/>
    <w:rPr>
      <w:rFonts w:ascii="Arial" w:hAnsi="Arial" w:eastAsia="黑体" w:cs="Times New Roman"/>
      <w:b/>
      <w:sz w:val="32"/>
    </w:rPr>
  </w:style>
  <w:style w:type="character" w:styleId="952" w:customStyle="1">
    <w:name w:val="标题 4 Char"/>
    <w:link w:val="941"/>
    <w:uiPriority w:val="0"/>
    <w:qFormat/>
    <w:rPr>
      <w:rFonts w:ascii="宋体" w:hAnsi="Times New Roman" w:eastAsia="宋体" w:cs="Times New Roman"/>
      <w:color w:val="800000"/>
      <w:sz w:val="28"/>
      <w:lang w:val="en-US" w:eastAsia="zh-CN" w:bidi="ar-SA"/>
    </w:rPr>
  </w:style>
  <w:style w:type="paragraph" w:styleId="953" w:customStyle="1">
    <w:name w:val="目录 71"/>
    <w:basedOn w:val="732"/>
    <w:next w:val="732"/>
    <w:uiPriority w:val="0"/>
    <w:qFormat/>
    <w:pPr>
      <w:ind w:left="1260"/>
      <w:jc w:val="left"/>
    </w:pPr>
    <w:rPr>
      <w:rFonts w:ascii="Calibri" w:hAnsi="Calibri" w:eastAsia="宋体" w:cs="Calibri"/>
      <w:sz w:val="18"/>
      <w:szCs w:val="18"/>
    </w:rPr>
  </w:style>
  <w:style w:type="paragraph" w:styleId="954" w:customStyle="1">
    <w:name w:val="列表项目符号 41"/>
    <w:basedOn w:val="732"/>
    <w:uiPriority w:val="0"/>
    <w:qFormat/>
    <w:pPr>
      <w:ind w:left="360" w:hanging="360"/>
      <w:spacing w:line="380" w:lineRule="exact"/>
      <w:tabs>
        <w:tab w:val="left" w:pos="360" w:leader="none"/>
      </w:tabs>
    </w:pPr>
    <w:rPr>
      <w:rFonts w:ascii="Calibri" w:hAnsi="Calibri" w:eastAsia="宋体"/>
      <w:sz w:val="28"/>
      <w:szCs w:val="22"/>
    </w:rPr>
  </w:style>
  <w:style w:type="paragraph" w:styleId="955" w:customStyle="1">
    <w:name w:val="索引 81"/>
    <w:basedOn w:val="732"/>
    <w:next w:val="732"/>
    <w:uiPriority w:val="0"/>
    <w:qFormat/>
    <w:pPr>
      <w:ind w:left="1400"/>
    </w:pPr>
    <w:rPr>
      <w:rFonts w:ascii="Calibri" w:hAnsi="Calibri" w:eastAsia="宋体"/>
      <w:szCs w:val="22"/>
    </w:rPr>
  </w:style>
  <w:style w:type="paragraph" w:styleId="956" w:customStyle="1">
    <w:name w:val="列表编号1"/>
    <w:basedOn w:val="732"/>
    <w:uiPriority w:val="0"/>
    <w:qFormat/>
    <w:pPr>
      <w:spacing w:line="360" w:lineRule="auto"/>
      <w:tabs>
        <w:tab w:val="left" w:pos="0" w:leader="none"/>
        <w:tab w:val="left" w:pos="840" w:leader="none"/>
      </w:tabs>
    </w:pPr>
    <w:rPr>
      <w:rFonts w:eastAsia="宋体"/>
    </w:rPr>
  </w:style>
  <w:style w:type="paragraph" w:styleId="957" w:customStyle="1">
    <w:name w:val="正文缩进1"/>
    <w:basedOn w:val="732"/>
    <w:uiPriority w:val="0"/>
    <w:qFormat/>
    <w:pPr>
      <w:ind w:firstLine="420"/>
    </w:pPr>
    <w:rPr>
      <w:rFonts w:ascii="宋体" w:eastAsia="宋体"/>
      <w:color w:val="000000"/>
      <w:szCs w:val="20"/>
    </w:rPr>
  </w:style>
  <w:style w:type="paragraph" w:styleId="958" w:customStyle="1">
    <w:name w:val="题注1"/>
    <w:basedOn w:val="732"/>
    <w:next w:val="732"/>
    <w:link w:val="959"/>
    <w:uiPriority w:val="0"/>
    <w:qFormat/>
    <w:pPr>
      <w:spacing w:line="360" w:lineRule="auto"/>
      <w:tabs>
        <w:tab w:val="left" w:pos="0" w:leader="none"/>
      </w:tabs>
    </w:pPr>
    <w:rPr>
      <w:rFonts w:ascii="Arial" w:hAnsi="Arial" w:eastAsia="黑体"/>
      <w:sz w:val="20"/>
      <w:szCs w:val="20"/>
    </w:rPr>
  </w:style>
  <w:style w:type="character" w:styleId="959" w:customStyle="1">
    <w:name w:val="题注 Char"/>
    <w:link w:val="958"/>
    <w:uiPriority w:val="0"/>
    <w:qFormat/>
    <w:rPr>
      <w:rFonts w:ascii="Arial" w:hAnsi="Arial" w:eastAsia="黑体" w:cs="Arial"/>
    </w:rPr>
  </w:style>
  <w:style w:type="paragraph" w:styleId="960" w:customStyle="1">
    <w:name w:val="索引 51"/>
    <w:basedOn w:val="732"/>
    <w:next w:val="732"/>
    <w:uiPriority w:val="0"/>
    <w:qFormat/>
    <w:pPr>
      <w:ind w:left="800"/>
    </w:pPr>
    <w:rPr>
      <w:rFonts w:ascii="Calibri" w:hAnsi="Calibri" w:eastAsia="宋体"/>
      <w:szCs w:val="22"/>
    </w:rPr>
  </w:style>
  <w:style w:type="paragraph" w:styleId="961" w:customStyle="1">
    <w:name w:val="列表项目符号1"/>
    <w:basedOn w:val="732"/>
    <w:uiPriority w:val="0"/>
    <w:qFormat/>
    <w:pPr>
      <w:ind w:left="962" w:hanging="480"/>
      <w:spacing w:line="360" w:lineRule="auto"/>
      <w:tabs>
        <w:tab w:val="left" w:pos="840" w:leader="none"/>
      </w:tabs>
    </w:pPr>
    <w:rPr>
      <w:rFonts w:eastAsia="宋体"/>
    </w:rPr>
  </w:style>
  <w:style w:type="paragraph" w:styleId="962" w:customStyle="1">
    <w:name w:val="文档结构图1"/>
    <w:basedOn w:val="732"/>
    <w:uiPriority w:val="0"/>
    <w:qFormat/>
    <w:pPr>
      <w:shd w:val="clear" w:color="auto" w:fill="000080"/>
    </w:pPr>
    <w:rPr>
      <w:rFonts w:eastAsia="宋体"/>
    </w:rPr>
  </w:style>
  <w:style w:type="paragraph" w:styleId="963" w:customStyle="1">
    <w:name w:val="批注文字1"/>
    <w:basedOn w:val="732"/>
    <w:link w:val="964"/>
    <w:uiPriority w:val="0"/>
    <w:qFormat/>
    <w:pPr>
      <w:jc w:val="left"/>
    </w:pPr>
    <w:rPr>
      <w:rFonts w:eastAsia="宋体"/>
      <w:szCs w:val="20"/>
    </w:rPr>
  </w:style>
  <w:style w:type="character" w:styleId="964" w:customStyle="1">
    <w:name w:val="批注文字 Char"/>
    <w:link w:val="963"/>
    <w:uiPriority w:val="0"/>
    <w:qFormat/>
    <w:rPr>
      <w:rFonts w:ascii="Calibri" w:hAnsi="Calibri" w:eastAsia="宋体" w:cs="Times New Roman"/>
      <w:sz w:val="21"/>
    </w:rPr>
  </w:style>
  <w:style w:type="paragraph" w:styleId="965" w:customStyle="1">
    <w:name w:val="索引 61"/>
    <w:basedOn w:val="732"/>
    <w:next w:val="732"/>
    <w:uiPriority w:val="0"/>
    <w:qFormat/>
    <w:pPr>
      <w:ind w:left="1000"/>
    </w:pPr>
    <w:rPr>
      <w:rFonts w:ascii="Calibri" w:hAnsi="Calibri" w:eastAsia="宋体"/>
      <w:szCs w:val="22"/>
    </w:rPr>
  </w:style>
  <w:style w:type="paragraph" w:styleId="966" w:customStyle="1">
    <w:name w:val="正文文本 31"/>
    <w:basedOn w:val="732"/>
    <w:uiPriority w:val="0"/>
    <w:qFormat/>
    <w:rPr>
      <w:rFonts w:eastAsia="宋体"/>
      <w:color w:val="000000"/>
    </w:rPr>
  </w:style>
  <w:style w:type="paragraph" w:styleId="967" w:customStyle="1">
    <w:name w:val="列表项目符号 31"/>
    <w:basedOn w:val="732"/>
    <w:uiPriority w:val="0"/>
    <w:qFormat/>
    <w:pPr>
      <w:ind w:left="1200" w:hanging="360"/>
      <w:spacing w:line="380" w:lineRule="exact"/>
      <w:tabs>
        <w:tab w:val="left" w:pos="1200" w:leader="none"/>
      </w:tabs>
    </w:pPr>
    <w:rPr>
      <w:rFonts w:ascii="Calibri" w:hAnsi="Calibri" w:eastAsia="宋体"/>
      <w:sz w:val="28"/>
      <w:szCs w:val="22"/>
    </w:rPr>
  </w:style>
  <w:style w:type="paragraph" w:styleId="968" w:customStyle="1">
    <w:name w:val="正文文本11"/>
    <w:basedOn w:val="732"/>
    <w:uiPriority w:val="0"/>
    <w:qFormat/>
    <w:pPr>
      <w:spacing w:line="60" w:lineRule="auto"/>
    </w:pPr>
    <w:rPr>
      <w:rFonts w:ascii="仿宋_GB2312" w:eastAsia="仿宋_GB2312"/>
      <w:sz w:val="32"/>
    </w:rPr>
  </w:style>
  <w:style w:type="paragraph" w:styleId="969" w:customStyle="1">
    <w:name w:val="正文文本缩进1"/>
    <w:basedOn w:val="732"/>
    <w:uiPriority w:val="0"/>
    <w:qFormat/>
    <w:pPr>
      <w:ind w:firstLine="225"/>
    </w:pPr>
    <w:rPr>
      <w:rFonts w:ascii="仿宋_GB2312" w:eastAsia="仿宋_GB2312"/>
      <w:sz w:val="32"/>
    </w:rPr>
  </w:style>
  <w:style w:type="paragraph" w:styleId="970" w:customStyle="1">
    <w:name w:val="文本块1"/>
    <w:basedOn w:val="732"/>
    <w:uiPriority w:val="0"/>
    <w:qFormat/>
    <w:pPr>
      <w:ind w:left="1548" w:right="12" w:hanging="2405"/>
      <w:spacing w:line="360" w:lineRule="exact"/>
    </w:pPr>
    <w:rPr>
      <w:rFonts w:ascii="宋体" w:eastAsia="宋体"/>
      <w:bCs/>
      <w:sz w:val="28"/>
      <w:szCs w:val="22"/>
    </w:rPr>
  </w:style>
  <w:style w:type="paragraph" w:styleId="971" w:customStyle="1">
    <w:name w:val="列表项目符号 21"/>
    <w:basedOn w:val="732"/>
    <w:uiPriority w:val="0"/>
    <w:qFormat/>
    <w:pPr>
      <w:ind w:left="720" w:hanging="360"/>
      <w:spacing w:line="360" w:lineRule="auto"/>
      <w:tabs>
        <w:tab w:val="left" w:pos="720" w:leader="none"/>
      </w:tabs>
    </w:pPr>
    <w:rPr>
      <w:rFonts w:eastAsia="宋体"/>
    </w:rPr>
  </w:style>
  <w:style w:type="paragraph" w:styleId="972" w:customStyle="1">
    <w:name w:val="HTML 地址1"/>
    <w:basedOn w:val="732"/>
    <w:uiPriority w:val="0"/>
    <w:qFormat/>
    <w:rPr>
      <w:rFonts w:eastAsia="宋体"/>
      <w:i/>
      <w:iCs/>
    </w:rPr>
  </w:style>
  <w:style w:type="paragraph" w:styleId="973" w:customStyle="1">
    <w:name w:val="索引 411"/>
    <w:basedOn w:val="732"/>
    <w:next w:val="732"/>
    <w:uiPriority w:val="0"/>
    <w:qFormat/>
    <w:pPr>
      <w:ind w:left="600"/>
    </w:pPr>
    <w:rPr>
      <w:rFonts w:ascii="Calibri" w:hAnsi="Calibri" w:eastAsia="宋体"/>
      <w:szCs w:val="22"/>
    </w:rPr>
  </w:style>
  <w:style w:type="paragraph" w:styleId="974" w:customStyle="1">
    <w:name w:val="目录 51"/>
    <w:basedOn w:val="732"/>
    <w:next w:val="732"/>
    <w:uiPriority w:val="0"/>
    <w:qFormat/>
    <w:pPr>
      <w:ind w:left="840"/>
      <w:jc w:val="left"/>
    </w:pPr>
    <w:rPr>
      <w:rFonts w:ascii="Calibri" w:hAnsi="Calibri" w:eastAsia="宋体" w:cs="Calibri"/>
      <w:sz w:val="18"/>
      <w:szCs w:val="18"/>
    </w:rPr>
  </w:style>
  <w:style w:type="paragraph" w:styleId="975" w:customStyle="1">
    <w:name w:val="目录 31"/>
    <w:basedOn w:val="732"/>
    <w:next w:val="732"/>
    <w:uiPriority w:val="0"/>
    <w:qFormat/>
    <w:pPr>
      <w:ind w:left="420"/>
      <w:jc w:val="left"/>
    </w:pPr>
    <w:rPr>
      <w:rFonts w:ascii="Calibri" w:hAnsi="Calibri" w:eastAsia="宋体" w:cs="Calibri"/>
      <w:i/>
      <w:iCs/>
      <w:sz w:val="20"/>
      <w:szCs w:val="20"/>
    </w:rPr>
  </w:style>
  <w:style w:type="paragraph" w:styleId="976" w:customStyle="1">
    <w:name w:val="纯文本1"/>
    <w:basedOn w:val="732"/>
    <w:link w:val="977"/>
    <w:uiPriority w:val="0"/>
    <w:qFormat/>
    <w:rPr>
      <w:rFonts w:ascii="宋体" w:eastAsia="宋体"/>
      <w:szCs w:val="21"/>
    </w:rPr>
  </w:style>
  <w:style w:type="character" w:styleId="977" w:customStyle="1">
    <w:name w:val="纯文本 Char1"/>
    <w:link w:val="976"/>
    <w:uiPriority w:val="0"/>
    <w:qFormat/>
    <w:rPr>
      <w:rFonts w:ascii="宋体" w:hAnsi="Calibri" w:eastAsia="宋体" w:cs="Times New Roman"/>
      <w:sz w:val="21"/>
      <w:szCs w:val="21"/>
      <w:lang w:val="en-US" w:eastAsia="zh-CN" w:bidi="ar-SA"/>
    </w:rPr>
  </w:style>
  <w:style w:type="paragraph" w:styleId="978" w:customStyle="1">
    <w:name w:val="列表项目符号 51"/>
    <w:basedOn w:val="732"/>
    <w:uiPriority w:val="0"/>
    <w:qFormat/>
    <w:pPr>
      <w:ind w:left="720" w:hanging="360"/>
      <w:spacing w:line="380" w:lineRule="exact"/>
      <w:tabs>
        <w:tab w:val="left" w:pos="720" w:leader="none"/>
      </w:tabs>
    </w:pPr>
    <w:rPr>
      <w:rFonts w:ascii="Calibri" w:hAnsi="Calibri" w:eastAsia="宋体"/>
      <w:sz w:val="28"/>
      <w:szCs w:val="22"/>
    </w:rPr>
  </w:style>
  <w:style w:type="paragraph" w:styleId="979" w:customStyle="1">
    <w:name w:val="目录 81"/>
    <w:basedOn w:val="732"/>
    <w:next w:val="732"/>
    <w:uiPriority w:val="0"/>
    <w:qFormat/>
    <w:pPr>
      <w:ind w:left="1470"/>
      <w:jc w:val="left"/>
    </w:pPr>
    <w:rPr>
      <w:rFonts w:ascii="Calibri" w:hAnsi="Calibri" w:eastAsia="宋体" w:cs="Calibri"/>
      <w:sz w:val="18"/>
      <w:szCs w:val="18"/>
    </w:rPr>
  </w:style>
  <w:style w:type="paragraph" w:styleId="980" w:customStyle="1">
    <w:name w:val="索引 31"/>
    <w:basedOn w:val="732"/>
    <w:next w:val="732"/>
    <w:uiPriority w:val="0"/>
    <w:qFormat/>
    <w:pPr>
      <w:ind w:left="400"/>
    </w:pPr>
    <w:rPr>
      <w:rFonts w:ascii="Calibri" w:hAnsi="Calibri" w:eastAsia="宋体"/>
      <w:szCs w:val="22"/>
    </w:rPr>
  </w:style>
  <w:style w:type="paragraph" w:styleId="981" w:customStyle="1">
    <w:name w:val="日期1"/>
    <w:basedOn w:val="732"/>
    <w:next w:val="732"/>
    <w:uiPriority w:val="0"/>
    <w:qFormat/>
    <w:pPr>
      <w:ind w:left="2500"/>
    </w:pPr>
    <w:rPr>
      <w:rFonts w:eastAsia="宋体"/>
    </w:rPr>
  </w:style>
  <w:style w:type="paragraph" w:styleId="982" w:customStyle="1">
    <w:name w:val="正文文本缩进 21"/>
    <w:basedOn w:val="732"/>
    <w:uiPriority w:val="0"/>
    <w:qFormat/>
    <w:pPr>
      <w:ind w:firstLine="225"/>
      <w:jc w:val="left"/>
      <w:spacing w:line="540" w:lineRule="exact"/>
    </w:pPr>
    <w:rPr>
      <w:rFonts w:ascii="仿宋_GB2312" w:eastAsia="仿宋_GB2312"/>
      <w:sz w:val="32"/>
    </w:rPr>
  </w:style>
  <w:style w:type="paragraph" w:styleId="983" w:customStyle="1">
    <w:name w:val="尾注文本1"/>
    <w:basedOn w:val="732"/>
    <w:uiPriority w:val="0"/>
    <w:qFormat/>
    <w:pPr>
      <w:jc w:val="left"/>
      <w:widowControl/>
    </w:pPr>
    <w:rPr>
      <w:rFonts w:ascii="宋体" w:eastAsia="宋体"/>
      <w:bCs/>
      <w:szCs w:val="21"/>
    </w:rPr>
  </w:style>
  <w:style w:type="paragraph" w:styleId="984" w:customStyle="1">
    <w:name w:val="批注框文本1"/>
    <w:basedOn w:val="732"/>
    <w:uiPriority w:val="0"/>
    <w:qFormat/>
    <w:rPr>
      <w:rFonts w:eastAsia="宋体"/>
      <w:sz w:val="18"/>
      <w:szCs w:val="20"/>
    </w:rPr>
  </w:style>
  <w:style w:type="paragraph" w:styleId="985" w:customStyle="1">
    <w:name w:val="页脚1"/>
    <w:basedOn w:val="732"/>
    <w:uiPriority w:val="0"/>
    <w:qFormat/>
    <w:pPr>
      <w:jc w:val="left"/>
      <w:tabs>
        <w:tab w:val="center" w:pos="4153" w:leader="none"/>
        <w:tab w:val="right" w:pos="8306" w:leader="none"/>
      </w:tabs>
    </w:pPr>
    <w:rPr>
      <w:rFonts w:eastAsia="宋体"/>
      <w:sz w:val="18"/>
      <w:szCs w:val="18"/>
    </w:rPr>
  </w:style>
  <w:style w:type="paragraph" w:styleId="986" w:customStyle="1">
    <w:name w:val="页眉1"/>
    <w:basedOn w:val="73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7" w:customStyle="1">
    <w:name w:val="目录 11"/>
    <w:basedOn w:val="732"/>
    <w:next w:val="732"/>
    <w:uiPriority w:val="0"/>
    <w:qFormat/>
    <w:pPr>
      <w:jc w:val="left"/>
      <w:spacing w:before="120" w:after="120"/>
    </w:pPr>
    <w:rPr>
      <w:rFonts w:ascii="Calibri" w:hAnsi="Calibri" w:eastAsia="宋体" w:cs="Calibri"/>
      <w:b/>
      <w:bCs/>
      <w:caps/>
      <w:sz w:val="20"/>
      <w:szCs w:val="20"/>
    </w:rPr>
  </w:style>
  <w:style w:type="paragraph" w:styleId="988" w:customStyle="1">
    <w:name w:val="目录 41"/>
    <w:basedOn w:val="732"/>
    <w:next w:val="732"/>
    <w:uiPriority w:val="0"/>
    <w:qFormat/>
    <w:pPr>
      <w:ind w:left="630"/>
      <w:jc w:val="left"/>
    </w:pPr>
    <w:rPr>
      <w:rFonts w:ascii="Calibri" w:hAnsi="Calibri" w:eastAsia="宋体" w:cs="Calibri"/>
      <w:sz w:val="18"/>
      <w:szCs w:val="18"/>
    </w:rPr>
  </w:style>
  <w:style w:type="paragraph" w:styleId="989" w:customStyle="1">
    <w:name w:val="索引标题1"/>
    <w:basedOn w:val="732"/>
    <w:next w:val="990"/>
    <w:uiPriority w:val="0"/>
    <w:qFormat/>
    <w:rPr>
      <w:rFonts w:ascii="Calibri" w:hAnsi="Calibri" w:eastAsia="宋体"/>
      <w:szCs w:val="22"/>
    </w:rPr>
  </w:style>
  <w:style w:type="paragraph" w:styleId="990" w:customStyle="1">
    <w:name w:val="索引 11"/>
    <w:basedOn w:val="732"/>
    <w:next w:val="732"/>
    <w:uiPriority w:val="0"/>
    <w:qFormat/>
    <w:rPr>
      <w:rFonts w:ascii="Calibri" w:hAnsi="Calibri" w:eastAsia="宋体"/>
      <w:szCs w:val="22"/>
    </w:rPr>
  </w:style>
  <w:style w:type="paragraph" w:styleId="991" w:customStyle="1">
    <w:name w:val="脚注文本1"/>
    <w:basedOn w:val="732"/>
    <w:uiPriority w:val="0"/>
    <w:qFormat/>
    <w:pPr>
      <w:jc w:val="left"/>
    </w:pPr>
    <w:rPr>
      <w:rFonts w:ascii="宋体" w:eastAsia="宋体"/>
      <w:bCs/>
      <w:sz w:val="18"/>
      <w:szCs w:val="18"/>
    </w:rPr>
  </w:style>
  <w:style w:type="paragraph" w:styleId="992" w:customStyle="1">
    <w:name w:val="目录 61"/>
    <w:basedOn w:val="732"/>
    <w:next w:val="732"/>
    <w:uiPriority w:val="0"/>
    <w:qFormat/>
    <w:pPr>
      <w:ind w:left="1050"/>
      <w:jc w:val="left"/>
    </w:pPr>
    <w:rPr>
      <w:rFonts w:ascii="Calibri" w:hAnsi="Calibri" w:eastAsia="宋体" w:cs="Calibri"/>
      <w:sz w:val="18"/>
      <w:szCs w:val="18"/>
    </w:rPr>
  </w:style>
  <w:style w:type="paragraph" w:styleId="993" w:customStyle="1">
    <w:name w:val="正文文本缩进 31"/>
    <w:basedOn w:val="732"/>
    <w:uiPriority w:val="0"/>
    <w:qFormat/>
    <w:pPr>
      <w:ind w:firstLine="213"/>
    </w:pPr>
    <w:rPr>
      <w:rFonts w:ascii="仿宋_GB2312" w:eastAsia="仿宋_GB2312"/>
      <w:sz w:val="30"/>
    </w:rPr>
  </w:style>
  <w:style w:type="paragraph" w:styleId="994" w:customStyle="1">
    <w:name w:val="索引 71"/>
    <w:basedOn w:val="732"/>
    <w:next w:val="732"/>
    <w:uiPriority w:val="0"/>
    <w:qFormat/>
    <w:pPr>
      <w:ind w:left="1200"/>
    </w:pPr>
    <w:rPr>
      <w:rFonts w:ascii="Calibri" w:hAnsi="Calibri" w:eastAsia="宋体"/>
      <w:szCs w:val="22"/>
    </w:rPr>
  </w:style>
  <w:style w:type="paragraph" w:styleId="995" w:customStyle="1">
    <w:name w:val="索引 91"/>
    <w:basedOn w:val="732"/>
    <w:next w:val="732"/>
    <w:uiPriority w:val="0"/>
    <w:qFormat/>
    <w:pPr>
      <w:ind w:left="1600"/>
    </w:pPr>
    <w:rPr>
      <w:rFonts w:ascii="Calibri" w:hAnsi="Calibri" w:eastAsia="宋体"/>
      <w:szCs w:val="22"/>
    </w:rPr>
  </w:style>
  <w:style w:type="paragraph" w:styleId="996" w:customStyle="1">
    <w:name w:val="图表目录11"/>
    <w:basedOn w:val="732"/>
    <w:next w:val="732"/>
    <w:uiPriority w:val="0"/>
    <w:qFormat/>
    <w:pPr>
      <w:ind w:left="400" w:hanging="200"/>
      <w:jc w:val="left"/>
      <w:widowControl/>
    </w:pPr>
    <w:rPr>
      <w:rFonts w:ascii="宋体" w:eastAsia="宋体"/>
      <w:bCs/>
      <w:szCs w:val="21"/>
    </w:rPr>
  </w:style>
  <w:style w:type="paragraph" w:styleId="997" w:customStyle="1">
    <w:name w:val="目录 21"/>
    <w:basedOn w:val="732"/>
    <w:next w:val="732"/>
    <w:uiPriority w:val="0"/>
    <w:qFormat/>
    <w:pPr>
      <w:ind w:left="210"/>
      <w:jc w:val="left"/>
    </w:pPr>
    <w:rPr>
      <w:rFonts w:ascii="Calibri" w:hAnsi="Calibri" w:eastAsia="宋体" w:cs="Calibri"/>
      <w:smallCaps/>
      <w:sz w:val="20"/>
      <w:szCs w:val="20"/>
    </w:rPr>
  </w:style>
  <w:style w:type="paragraph" w:styleId="998" w:customStyle="1">
    <w:name w:val="目录 91"/>
    <w:basedOn w:val="732"/>
    <w:next w:val="732"/>
    <w:uiPriority w:val="0"/>
    <w:qFormat/>
    <w:pPr>
      <w:ind w:left="1680"/>
      <w:jc w:val="left"/>
    </w:pPr>
    <w:rPr>
      <w:rFonts w:ascii="Calibri" w:hAnsi="Calibri" w:eastAsia="宋体" w:cs="Calibri"/>
      <w:sz w:val="18"/>
      <w:szCs w:val="18"/>
    </w:rPr>
  </w:style>
  <w:style w:type="paragraph" w:styleId="999" w:customStyle="1">
    <w:name w:val="正文文本 21"/>
    <w:basedOn w:val="732"/>
    <w:uiPriority w:val="0"/>
    <w:qFormat/>
    <w:pPr>
      <w:spacing w:line="560" w:lineRule="exact"/>
    </w:pPr>
    <w:rPr>
      <w:rFonts w:ascii="仿宋_GB2312" w:eastAsia="仿宋_GB2312"/>
      <w:sz w:val="28"/>
      <w:szCs w:val="30"/>
    </w:rPr>
  </w:style>
  <w:style w:type="paragraph" w:styleId="1000" w:customStyle="1">
    <w:name w:val="列表接续 21"/>
    <w:basedOn w:val="732"/>
    <w:next w:val="988"/>
    <w:uiPriority w:val="0"/>
    <w:qFormat/>
    <w:pPr>
      <w:ind w:left="840"/>
      <w:spacing w:after="120"/>
    </w:pPr>
    <w:rPr>
      <w:rFonts w:eastAsia="宋体"/>
    </w:rPr>
  </w:style>
  <w:style w:type="paragraph" w:styleId="1001"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2" w:customStyle="1">
    <w:name w:val="普通(网站)1"/>
    <w:basedOn w:val="732"/>
    <w:uiPriority w:val="0"/>
    <w:qFormat/>
    <w:pPr>
      <w:jc w:val="left"/>
      <w:spacing w:before="100" w:beforeAutospacing="1" w:after="100" w:afterAutospacing="1"/>
      <w:widowControl/>
    </w:pPr>
    <w:rPr>
      <w:rFonts w:ascii="宋体" w:eastAsia="宋体"/>
      <w:szCs w:val="20"/>
    </w:rPr>
  </w:style>
  <w:style w:type="paragraph" w:styleId="1003" w:customStyle="1">
    <w:name w:val="索引 21"/>
    <w:basedOn w:val="732"/>
    <w:next w:val="732"/>
    <w:uiPriority w:val="0"/>
    <w:qFormat/>
    <w:pPr>
      <w:ind w:left="200"/>
    </w:pPr>
    <w:rPr>
      <w:rFonts w:ascii="Calibri" w:hAnsi="Calibri" w:eastAsia="宋体"/>
      <w:szCs w:val="22"/>
    </w:rPr>
  </w:style>
  <w:style w:type="paragraph" w:styleId="1004" w:customStyle="1">
    <w:name w:val="标题1"/>
    <w:basedOn w:val="732"/>
    <w:uiPriority w:val="0"/>
    <w:qFormat/>
    <w:pPr>
      <w:jc w:val="center"/>
      <w:spacing w:before="240" w:after="60"/>
      <w:outlineLvl w:val="0"/>
    </w:pPr>
    <w:rPr>
      <w:rFonts w:ascii="Cambria" w:hAnsi="Cambria" w:eastAsia="宋体"/>
      <w:b/>
      <w:bCs/>
      <w:sz w:val="32"/>
      <w:szCs w:val="32"/>
    </w:rPr>
  </w:style>
  <w:style w:type="paragraph" w:styleId="1005" w:customStyle="1">
    <w:name w:val="批注主题1"/>
    <w:basedOn w:val="963"/>
    <w:next w:val="963"/>
    <w:uiPriority w:val="0"/>
    <w:qFormat/>
    <w:rPr>
      <w:b/>
    </w:rPr>
  </w:style>
  <w:style w:type="paragraph" w:styleId="1006" w:customStyle="1">
    <w:name w:val="正文首行缩进1"/>
    <w:basedOn w:val="968"/>
    <w:uiPriority w:val="0"/>
    <w:qFormat/>
    <w:pPr>
      <w:ind w:firstLine="100"/>
      <w:spacing w:after="120" w:line="240" w:lineRule="auto"/>
    </w:pPr>
    <w:rPr>
      <w:rFonts w:ascii="Times New Roman" w:eastAsia="宋体"/>
      <w:sz w:val="21"/>
    </w:rPr>
  </w:style>
  <w:style w:type="paragraph" w:styleId="1007" w:customStyle="1">
    <w:name w:val="正文首行缩进 21"/>
    <w:basedOn w:val="969"/>
    <w:link w:val="1008"/>
    <w:uiPriority w:val="0"/>
    <w:qFormat/>
    <w:pPr>
      <w:ind w:left="200" w:firstLine="200"/>
      <w:spacing w:after="120"/>
    </w:pPr>
    <w:rPr>
      <w:rFonts w:ascii="Times New Roman" w:eastAsia="宋体"/>
      <w:sz w:val="24"/>
    </w:rPr>
  </w:style>
  <w:style w:type="character" w:styleId="1008" w:customStyle="1">
    <w:name w:val="正文首行缩进 2 Char"/>
    <w:link w:val="1007"/>
    <w:uiPriority w:val="0"/>
    <w:qFormat/>
    <w:rPr>
      <w:rFonts w:ascii="Times New Roman" w:hAnsi="Times New Roman" w:eastAsia="仿宋_GB2312" w:cs="Times New Roman"/>
      <w:sz w:val="24"/>
      <w:szCs w:val="24"/>
      <w:lang w:bidi="ar-SA"/>
    </w:rPr>
  </w:style>
  <w:style w:type="table" w:styleId="1009" w:customStyle="1">
    <w:name w:val="网格型1"/>
    <w:basedOn w:val="948"/>
    <w:uiPriority w:val="0"/>
    <w:qFormat/>
    <w:tblPr/>
  </w:style>
  <w:style w:type="character" w:styleId="1010" w:customStyle="1">
    <w:name w:val="要点1"/>
    <w:uiPriority w:val="0"/>
    <w:qFormat/>
    <w:rPr>
      <w:rFonts w:ascii="Times New Roman" w:hAnsi="Times New Roman" w:eastAsia="宋体" w:cs="Times New Roman"/>
      <w:b/>
    </w:rPr>
  </w:style>
  <w:style w:type="character" w:styleId="1011" w:customStyle="1">
    <w:name w:val="尾注引用1"/>
    <w:uiPriority w:val="0"/>
    <w:qFormat/>
    <w:rPr>
      <w:rFonts w:ascii="Times New Roman" w:hAnsi="Times New Roman" w:eastAsia="宋体" w:cs="Times New Roman"/>
      <w:vertAlign w:val="superscript"/>
    </w:rPr>
  </w:style>
  <w:style w:type="character" w:styleId="1012" w:customStyle="1">
    <w:name w:val="页码1"/>
    <w:basedOn w:val="947"/>
    <w:uiPriority w:val="0"/>
    <w:qFormat/>
    <w:rPr>
      <w:rFonts w:ascii="Times New Roman" w:hAnsi="Times New Roman" w:eastAsia="宋体" w:cs="Times New Roman"/>
    </w:rPr>
  </w:style>
  <w:style w:type="character" w:styleId="1013" w:customStyle="1">
    <w:name w:val="已访问的超链接1"/>
    <w:uiPriority w:val="0"/>
    <w:qFormat/>
    <w:rPr>
      <w:rFonts w:ascii="Times New Roman" w:hAnsi="Times New Roman" w:eastAsia="宋体" w:cs="Times New Roman"/>
      <w:color w:val="800080"/>
      <w:u w:val="single"/>
    </w:rPr>
  </w:style>
  <w:style w:type="character" w:styleId="1014" w:customStyle="1">
    <w:name w:val="强调1"/>
    <w:uiPriority w:val="0"/>
    <w:qFormat/>
    <w:rPr>
      <w:rFonts w:ascii="Times New Roman" w:hAnsi="Times New Roman" w:eastAsia="宋体" w:cs="Times New Roman"/>
      <w:color w:val="cc0033"/>
    </w:rPr>
  </w:style>
  <w:style w:type="character" w:styleId="1015" w:customStyle="1">
    <w:name w:val="HTML 打字机1"/>
    <w:uiPriority w:val="0"/>
    <w:qFormat/>
    <w:rPr>
      <w:rFonts w:ascii="宋体" w:hAnsi="Times New Roman" w:eastAsia="宋体" w:cs="宋体"/>
      <w:sz w:val="24"/>
      <w:szCs w:val="24"/>
      <w:lang w:bidi="ar-SA"/>
    </w:rPr>
  </w:style>
  <w:style w:type="character" w:styleId="1016" w:customStyle="1">
    <w:name w:val="超链接1"/>
    <w:uiPriority w:val="0"/>
    <w:qFormat/>
    <w:rPr>
      <w:rFonts w:ascii="Times New Roman" w:hAnsi="Times New Roman" w:eastAsia="宋体" w:cs="Times New Roman"/>
      <w:color w:val="0000ff"/>
      <w:u w:val="single"/>
    </w:rPr>
  </w:style>
  <w:style w:type="character" w:styleId="1017" w:customStyle="1">
    <w:name w:val="批注引用1"/>
    <w:uiPriority w:val="0"/>
    <w:qFormat/>
    <w:rPr>
      <w:rFonts w:ascii="Times New Roman" w:hAnsi="Times New Roman" w:eastAsia="宋体" w:cs="Times New Roman"/>
      <w:sz w:val="21"/>
    </w:rPr>
  </w:style>
  <w:style w:type="character" w:styleId="1018" w:customStyle="1">
    <w:name w:val="脚注引用1"/>
    <w:uiPriority w:val="0"/>
    <w:qFormat/>
    <w:rPr>
      <w:rFonts w:ascii="Times New Roman" w:hAnsi="Times New Roman" w:eastAsia="宋体" w:cs="Times New Roman"/>
      <w:vertAlign w:val="superscript"/>
    </w:rPr>
  </w:style>
  <w:style w:type="paragraph" w:styleId="1019" w:customStyle="1">
    <w:name w:val="标题二、"/>
    <w:basedOn w:val="732"/>
    <w:uiPriority w:val="0"/>
    <w:qFormat/>
    <w:pPr>
      <w:ind w:firstLine="200"/>
      <w:spacing w:line="360" w:lineRule="auto"/>
      <w:outlineLvl w:val="2"/>
    </w:pPr>
    <w:rPr>
      <w:rFonts w:ascii="宋体" w:hAnsi="宋体" w:eastAsia="微软雅黑"/>
      <w:b/>
      <w:szCs w:val="21"/>
    </w:rPr>
  </w:style>
  <w:style w:type="paragraph" w:styleId="1020" w:customStyle="1">
    <w:name w:val="Normal_0"/>
    <w:uiPriority w:val="0"/>
    <w:qFormat/>
    <w:rPr>
      <w:rFonts w:ascii="黑体" w:hAnsi="黑体" w:eastAsia="黑体" w:cs="Times New Roman"/>
      <w:b/>
      <w:sz w:val="32"/>
      <w:szCs w:val="24"/>
      <w:lang w:val="en-US" w:eastAsia="zh-CN" w:bidi="ar-SA"/>
    </w:rPr>
  </w:style>
  <w:style w:type="paragraph" w:styleId="1021" w:customStyle="1">
    <w:name w:val="索引 41"/>
    <w:basedOn w:val="732"/>
    <w:next w:val="732"/>
    <w:uiPriority w:val="0"/>
    <w:qFormat/>
    <w:pPr>
      <w:ind w:left="600"/>
    </w:pPr>
    <w:rPr>
      <w:rFonts w:ascii="Verdana" w:hAnsi="Verdana" w:eastAsia="宋体"/>
      <w:szCs w:val="20"/>
    </w:rPr>
  </w:style>
  <w:style w:type="paragraph" w:styleId="1022" w:customStyle="1">
    <w:name w:val="列出段落1"/>
    <w:basedOn w:val="732"/>
    <w:uiPriority w:val="0"/>
    <w:qFormat/>
    <w:pPr>
      <w:ind w:firstLine="420"/>
    </w:pPr>
    <w:rPr>
      <w:rFonts w:eastAsia="宋体"/>
    </w:rPr>
  </w:style>
  <w:style w:type="character" w:styleId="1023" w:customStyle="1">
    <w:name w:val="fontstyle01"/>
    <w:uiPriority w:val="0"/>
    <w:qFormat/>
    <w:rPr>
      <w:rFonts w:hint="eastAsia" w:ascii="宋体" w:hAnsi="宋体" w:eastAsia="宋体" w:cs="Times New Roman"/>
      <w:color w:val="000000"/>
      <w:sz w:val="24"/>
      <w:szCs w:val="24"/>
    </w:rPr>
  </w:style>
  <w:style w:type="paragraph" w:styleId="1024" w:customStyle="1">
    <w:name w:val="Normal_0_3"/>
    <w:uiPriority w:val="0"/>
    <w:qFormat/>
    <w:rPr>
      <w:rFonts w:ascii="黑体" w:hAnsi="黑体" w:eastAsia="黑体" w:cs="黑体"/>
      <w:b/>
      <w:sz w:val="32"/>
      <w:szCs w:val="24"/>
      <w:lang w:val="en-US" w:eastAsia="zh-CN" w:bidi="ar-SA"/>
    </w:rPr>
  </w:style>
  <w:style w:type="paragraph" w:styleId="1025"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7" w:customStyle="1">
    <w:name w:val="Normal_1_2"/>
    <w:uiPriority w:val="0"/>
    <w:qFormat/>
    <w:rPr>
      <w:rFonts w:ascii="Times New Roman" w:hAnsi="Times New Roman" w:eastAsia="Times New Roman" w:cs="Times New Roman"/>
      <w:sz w:val="24"/>
      <w:szCs w:val="24"/>
      <w:lang w:val="en-US" w:eastAsia="zh-CN" w:bidi="ar-SA"/>
    </w:rPr>
  </w:style>
  <w:style w:type="paragraph" w:styleId="1028" w:customStyle="1">
    <w:name w:val="Normal_0_1"/>
    <w:uiPriority w:val="0"/>
    <w:qFormat/>
    <w:rPr>
      <w:rFonts w:ascii="黑体" w:hAnsi="黑体" w:eastAsia="黑体" w:cs="黑体"/>
      <w:b/>
      <w:sz w:val="32"/>
      <w:szCs w:val="24"/>
      <w:lang w:val="en-US" w:eastAsia="zh-CN" w:bidi="ar-SA"/>
    </w:rPr>
  </w:style>
  <w:style w:type="paragraph" w:styleId="1029"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30" w:customStyle="1">
    <w:name w:val="Normal_2_0"/>
    <w:uiPriority w:val="0"/>
    <w:qFormat/>
    <w:rPr>
      <w:rFonts w:ascii="黑体" w:hAnsi="黑体" w:eastAsia="黑体" w:cs="黑体"/>
      <w:b/>
      <w:sz w:val="32"/>
      <w:szCs w:val="24"/>
      <w:lang w:val="en-US" w:eastAsia="zh-CN" w:bidi="ar-SA"/>
    </w:rPr>
  </w:style>
  <w:style w:type="paragraph" w:styleId="103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4"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Normal_3_0"/>
    <w:uiPriority w:val="0"/>
    <w:qFormat/>
    <w:rPr>
      <w:rFonts w:ascii="黑体" w:hAnsi="黑体" w:eastAsia="黑体" w:cs="黑体"/>
      <w:b/>
      <w:sz w:val="32"/>
      <w:szCs w:val="24"/>
      <w:lang w:val="en-US" w:eastAsia="zh-CN" w:bidi="ar-SA"/>
    </w:rPr>
  </w:style>
  <w:style w:type="paragraph" w:styleId="103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1" w:customStyle="1">
    <w:name w:val="纯文本 Char_0_0"/>
    <w:link w:val="1042"/>
    <w:uiPriority w:val="0"/>
    <w:qFormat/>
    <w:rPr>
      <w:rFonts w:ascii="宋体" w:hAnsi="Courier New" w:eastAsia="宋体" w:cs="Times New Roman"/>
      <w:sz w:val="21"/>
      <w:szCs w:val="21"/>
    </w:rPr>
  </w:style>
  <w:style w:type="paragraph" w:styleId="1042" w:customStyle="1">
    <w:name w:val="纯文本_0_0"/>
    <w:basedOn w:val="1040"/>
    <w:link w:val="1041"/>
    <w:uiPriority w:val="0"/>
    <w:qFormat/>
    <w:rPr>
      <w:rFonts w:ascii="宋体" w:hAnsi="Courier New"/>
      <w:szCs w:val="21"/>
    </w:rPr>
  </w:style>
  <w:style w:type="paragraph" w:styleId="1043"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4" w:customStyle="1">
    <w:name w:val="Normal_3_0_0"/>
    <w:uiPriority w:val="0"/>
    <w:qFormat/>
    <w:rPr>
      <w:rFonts w:ascii="黑体" w:hAnsi="黑体" w:eastAsia="黑体" w:cs="Times New Roman"/>
      <w:b/>
      <w:sz w:val="32"/>
      <w:szCs w:val="24"/>
      <w:lang w:val="en-US" w:eastAsia="zh-CN" w:bidi="ar-SA"/>
    </w:rPr>
  </w:style>
  <w:style w:type="paragraph" w:styleId="1045" w:customStyle="1">
    <w:name w:val="Normal_9_0"/>
    <w:uiPriority w:val="0"/>
    <w:qFormat/>
    <w:rPr>
      <w:rFonts w:ascii="Times New Roman" w:hAnsi="Times New Roman" w:eastAsia="Times New Roman" w:cs="Times New Roman"/>
      <w:sz w:val="24"/>
      <w:szCs w:val="24"/>
      <w:lang w:val="en-US" w:eastAsia="zh-CN" w:bidi="ar-SA"/>
    </w:rPr>
  </w:style>
  <w:style w:type="paragraph" w:styleId="1046"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7" w:customStyle="1">
    <w:name w:val="Normal_8_0"/>
    <w:uiPriority w:val="0"/>
    <w:qFormat/>
    <w:rPr>
      <w:rFonts w:ascii="黑体" w:hAnsi="黑体" w:eastAsia="黑体" w:cs="黑体"/>
      <w:b/>
      <w:sz w:val="32"/>
      <w:szCs w:val="24"/>
      <w:lang w:val="en-US" w:eastAsia="zh-CN" w:bidi="ar-SA"/>
    </w:rPr>
  </w:style>
  <w:style w:type="paragraph" w:styleId="1048" w:customStyle="1">
    <w:name w:val="Normal_12_0"/>
    <w:uiPriority w:val="0"/>
    <w:qFormat/>
    <w:rPr>
      <w:rFonts w:ascii="黑体" w:hAnsi="黑体" w:eastAsia="黑体" w:cs="黑体"/>
      <w:b/>
      <w:sz w:val="32"/>
      <w:szCs w:val="24"/>
      <w:lang w:val="en-US" w:eastAsia="zh-CN" w:bidi="ar-SA"/>
    </w:rPr>
  </w:style>
  <w:style w:type="paragraph" w:styleId="1049"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50" w:customStyle="1">
    <w:name w:val="正文缩进 Char1_0_0"/>
    <w:link w:val="1051"/>
    <w:uiPriority w:val="0"/>
    <w:qFormat/>
    <w:rPr>
      <w:rFonts w:ascii="Times New Roman" w:hAnsi="Times New Roman" w:eastAsia="宋体" w:cs="Times New Roman"/>
      <w:sz w:val="21"/>
      <w:szCs w:val="22"/>
    </w:rPr>
  </w:style>
  <w:style w:type="paragraph" w:styleId="1051" w:customStyle="1">
    <w:name w:val="正文缩进_0_0"/>
    <w:basedOn w:val="1049"/>
    <w:link w:val="1050"/>
    <w:uiPriority w:val="0"/>
    <w:qFormat/>
    <w:pPr>
      <w:ind w:firstLine="420"/>
    </w:pPr>
    <w:rPr>
      <w:rFonts w:ascii="Calibri" w:hAnsi="Calibri"/>
      <w:szCs w:val="22"/>
    </w:rPr>
  </w:style>
  <w:style w:type="paragraph" w:styleId="105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Normal_14_0"/>
    <w:uiPriority w:val="0"/>
    <w:qFormat/>
    <w:rPr>
      <w:rFonts w:ascii="黑体" w:hAnsi="黑体" w:eastAsia="黑体" w:cs="黑体"/>
      <w:b/>
      <w:sz w:val="32"/>
      <w:szCs w:val="24"/>
      <w:lang w:val="en-US" w:eastAsia="zh-CN" w:bidi="ar-SA"/>
    </w:rPr>
  </w:style>
  <w:style w:type="paragraph" w:styleId="105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6" w:customStyle="1">
    <w:name w:val="Normal_15_0"/>
    <w:uiPriority w:val="0"/>
    <w:qFormat/>
    <w:rPr>
      <w:rFonts w:ascii="黑体" w:hAnsi="黑体" w:eastAsia="黑体" w:cs="黑体"/>
      <w:b/>
      <w:sz w:val="32"/>
      <w:szCs w:val="24"/>
      <w:lang w:val="en-US" w:eastAsia="zh-CN" w:bidi="ar-SA"/>
    </w:rPr>
  </w:style>
  <w:style w:type="paragraph" w:styleId="1057"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Normal_17_0"/>
    <w:uiPriority w:val="0"/>
    <w:qFormat/>
    <w:rPr>
      <w:rFonts w:ascii="黑体" w:hAnsi="黑体" w:eastAsia="黑体" w:cs="黑体"/>
      <w:b/>
      <w:sz w:val="32"/>
      <w:szCs w:val="24"/>
      <w:lang w:val="en-US" w:eastAsia="zh-CN" w:bidi="ar-SA"/>
    </w:rPr>
  </w:style>
  <w:style w:type="paragraph" w:styleId="105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Normal_14_0_0"/>
    <w:uiPriority w:val="0"/>
    <w:qFormat/>
    <w:rPr>
      <w:rFonts w:ascii="黑体" w:hAnsi="黑体" w:eastAsia="黑体" w:cs="Times New Roman"/>
      <w:b/>
      <w:sz w:val="32"/>
      <w:szCs w:val="24"/>
      <w:lang w:val="en-US" w:eastAsia="zh-CN" w:bidi="ar-SA"/>
    </w:rPr>
  </w:style>
  <w:style w:type="paragraph" w:styleId="106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3" w:customStyle="1">
    <w:name w:val="Normal_18_0"/>
    <w:uiPriority w:val="0"/>
    <w:qFormat/>
    <w:rPr>
      <w:rFonts w:ascii="黑体" w:hAnsi="黑体" w:eastAsia="黑体" w:cs="黑体"/>
      <w:b/>
      <w:sz w:val="32"/>
      <w:szCs w:val="24"/>
      <w:lang w:val="en-US" w:eastAsia="zh-CN" w:bidi="ar-SA"/>
    </w:rPr>
  </w:style>
  <w:style w:type="paragraph" w:styleId="106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7" w:customStyle="1">
    <w:name w:val="正文文本1"/>
    <w:basedOn w:val="732"/>
    <w:next w:val="1066"/>
    <w:uiPriority w:val="0"/>
    <w:qFormat/>
    <w:pPr>
      <w:spacing w:before="120" w:line="22" w:lineRule="atLeast"/>
      <w:tabs>
        <w:tab w:val="left" w:pos="567" w:leader="none"/>
      </w:tabs>
    </w:pPr>
    <w:rPr>
      <w:rFonts w:ascii="宋体" w:hAnsi="宋体" w:eastAsia="宋体" w:cs="宋体"/>
    </w:rPr>
  </w:style>
  <w:style w:type="character" w:styleId="1068" w:customStyle="1">
    <w:name w:val="正文（标记） Char2"/>
    <w:link w:val="1069"/>
    <w:uiPriority w:val="0"/>
    <w:qFormat/>
    <w:rPr>
      <w:rFonts w:ascii="Times New Roman" w:hAnsi="Times New Roman" w:eastAsia="宋体" w:cs="Times New Roman"/>
      <w:sz w:val="24"/>
      <w:szCs w:val="24"/>
    </w:rPr>
  </w:style>
  <w:style w:type="paragraph" w:styleId="1069" w:customStyle="1">
    <w:name w:val="正文（标记）"/>
    <w:basedOn w:val="732"/>
    <w:link w:val="1068"/>
    <w:uiPriority w:val="0"/>
    <w:qFormat/>
    <w:pPr>
      <w:spacing w:before="50" w:after="50"/>
      <w:tabs>
        <w:tab w:val="left" w:pos="0" w:leader="none"/>
        <w:tab w:val="left" w:pos="840" w:leader="none"/>
      </w:tabs>
    </w:pPr>
    <w:rPr>
      <w:rFonts w:eastAsia="宋体"/>
    </w:rPr>
  </w:style>
  <w:style w:type="character" w:styleId="1070" w:customStyle="1">
    <w:name w:val="Char Char2"/>
    <w:uiPriority w:val="0"/>
    <w:qFormat/>
    <w:rPr>
      <w:rFonts w:ascii="Times New Roman" w:hAnsi="Times New Roman" w:eastAsia="宋体" w:cs="Times New Roman"/>
      <w:sz w:val="18"/>
      <w:szCs w:val="18"/>
    </w:rPr>
  </w:style>
  <w:style w:type="character" w:styleId="1071" w:customStyle="1">
    <w:name w:val="maywed421"/>
    <w:uiPriority w:val="0"/>
    <w:qFormat/>
    <w:rPr>
      <w:rFonts w:ascii="Times New Roman" w:hAnsi="Times New Roman" w:eastAsia="宋体" w:cs="Times New Roman"/>
      <w:color w:val="366fb6"/>
      <w:u w:val="none"/>
    </w:rPr>
  </w:style>
  <w:style w:type="paragraph" w:styleId="1072"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4" w:customStyle="1">
    <w:name w:val="Comment Text Char"/>
    <w:uiPriority w:val="0"/>
    <w:qFormat/>
    <w:rPr>
      <w:rFonts w:ascii="Times New Roman" w:hAnsi="Times New Roman" w:eastAsia="宋体" w:cs="Times New Roman"/>
      <w:sz w:val="21"/>
      <w:szCs w:val="21"/>
      <w:lang w:bidi="ar-SA"/>
    </w:rPr>
  </w:style>
  <w:style w:type="character" w:styleId="1075" w:customStyle="1">
    <w:name w:val="Footer Char"/>
    <w:uiPriority w:val="0"/>
    <w:qFormat/>
    <w:rPr>
      <w:rFonts w:ascii="Times New Roman" w:hAnsi="Times New Roman" w:eastAsia="宋体" w:cs="Times New Roman"/>
      <w:sz w:val="18"/>
      <w:lang w:val="en-US" w:eastAsia="zh-CN"/>
    </w:rPr>
  </w:style>
  <w:style w:type="character" w:styleId="1076" w:customStyle="1">
    <w:name w:val="ca-41"/>
    <w:uiPriority w:val="0"/>
    <w:qFormat/>
    <w:rPr>
      <w:rFonts w:ascii="宋体" w:hAnsi="Times New Roman" w:eastAsia="宋体" w:cs="Times New Roman"/>
      <w:b/>
      <w:bCs/>
      <w:color w:val="000000"/>
      <w:spacing w:val="-20"/>
      <w:sz w:val="21"/>
      <w:szCs w:val="21"/>
    </w:rPr>
  </w:style>
  <w:style w:type="character" w:styleId="1077" w:customStyle="1">
    <w:name w:val="ca-1"/>
    <w:basedOn w:val="947"/>
    <w:uiPriority w:val="0"/>
    <w:qFormat/>
    <w:rPr>
      <w:rFonts w:ascii="Times New Roman" w:hAnsi="Times New Roman" w:eastAsia="宋体" w:cs="Times New Roman"/>
    </w:rPr>
  </w:style>
  <w:style w:type="character" w:styleId="1078" w:customStyle="1">
    <w:name w:val="Plain Text Char"/>
    <w:uiPriority w:val="0"/>
    <w:qFormat/>
    <w:rPr>
      <w:rFonts w:ascii="宋体" w:hAnsi="Times New Roman" w:eastAsia="宋体" w:cs="Times New Roman"/>
      <w:sz w:val="21"/>
      <w:lang w:val="en-US" w:eastAsia="zh-CN"/>
    </w:rPr>
  </w:style>
  <w:style w:type="character" w:styleId="1079" w:customStyle="1">
    <w:name w:val="Header Char"/>
    <w:uiPriority w:val="0"/>
    <w:qFormat/>
    <w:rPr>
      <w:rFonts w:ascii="Times New Roman" w:hAnsi="Times New Roman" w:eastAsia="宋体" w:cs="Times New Roman"/>
      <w:sz w:val="18"/>
      <w:lang w:val="en-US" w:eastAsia="zh-CN"/>
    </w:rPr>
  </w:style>
  <w:style w:type="character" w:styleId="1080" w:customStyle="1">
    <w:name w:val="marklong"/>
    <w:basedOn w:val="947"/>
    <w:uiPriority w:val="0"/>
    <w:qFormat/>
    <w:rPr>
      <w:rFonts w:ascii="Times New Roman" w:hAnsi="Times New Roman" w:eastAsia="宋体" w:cs="Times New Roman"/>
    </w:rPr>
  </w:style>
  <w:style w:type="character" w:styleId="1081" w:customStyle="1">
    <w:name w:val="普通文字1 Char"/>
    <w:uiPriority w:val="0"/>
    <w:qFormat/>
    <w:rPr>
      <w:rFonts w:ascii="宋体" w:hAnsi="Times New Roman" w:eastAsia="宋体" w:cs="Courier New"/>
      <w:sz w:val="21"/>
      <w:szCs w:val="21"/>
      <w:lang w:val="en-US" w:eastAsia="zh-CN" w:bidi="ar-SA"/>
    </w:rPr>
  </w:style>
  <w:style w:type="character" w:styleId="1082" w:customStyle="1">
    <w:name w:val="ca-21"/>
    <w:uiPriority w:val="0"/>
    <w:qFormat/>
    <w:rPr>
      <w:rFonts w:ascii="宋体" w:hAnsi="Times New Roman" w:eastAsia="宋体" w:cs="Times New Roman"/>
      <w:sz w:val="21"/>
    </w:rPr>
  </w:style>
  <w:style w:type="paragraph" w:styleId="1083" w:customStyle="1">
    <w:name w:val="正文（缩进）"/>
    <w:basedOn w:val="732"/>
    <w:uiPriority w:val="0"/>
    <w:qFormat/>
    <w:pPr>
      <w:ind w:firstLine="200"/>
      <w:spacing w:before="50" w:after="50" w:line="360" w:lineRule="auto"/>
    </w:pPr>
    <w:rPr>
      <w:rFonts w:eastAsia="宋体"/>
    </w:rPr>
  </w:style>
  <w:style w:type="character" w:styleId="1084" w:customStyle="1">
    <w:name w:val="Heading 3 Char"/>
    <w:uiPriority w:val="0"/>
    <w:qFormat/>
    <w:rPr>
      <w:rFonts w:ascii="Times New Roman" w:hAnsi="Times New Roman" w:eastAsia="宋体" w:cs="Times New Roman"/>
      <w:b/>
      <w:bCs/>
      <w:sz w:val="32"/>
      <w:szCs w:val="32"/>
      <w:lang w:bidi="ar-SA"/>
    </w:rPr>
  </w:style>
  <w:style w:type="character" w:styleId="1085" w:customStyle="1">
    <w:name w:val="z12 style23"/>
    <w:basedOn w:val="947"/>
    <w:uiPriority w:val="0"/>
    <w:qFormat/>
    <w:rPr>
      <w:rFonts w:ascii="Times New Roman" w:hAnsi="Times New Roman" w:eastAsia="宋体" w:cs="Times New Roman"/>
    </w:rPr>
  </w:style>
  <w:style w:type="paragraph" w:styleId="1086" w:customStyle="1">
    <w:name w:val="Indent Normal"/>
    <w:basedOn w:val="732"/>
    <w:uiPriority w:val="0"/>
    <w:qFormat/>
    <w:pPr>
      <w:ind w:firstLine="150"/>
    </w:pPr>
    <w:rPr>
      <w:rFonts w:eastAsia="宋体"/>
      <w:szCs w:val="20"/>
    </w:rPr>
  </w:style>
  <w:style w:type="character" w:styleId="1087" w:customStyle="1">
    <w:name w:val="Char Char21"/>
    <w:uiPriority w:val="0"/>
    <w:qFormat/>
    <w:rPr>
      <w:rFonts w:ascii="Times New Roman" w:hAnsi="Times New Roman" w:eastAsia="宋体" w:cs="Times New Roman"/>
      <w:sz w:val="18"/>
      <w:szCs w:val="18"/>
    </w:rPr>
  </w:style>
  <w:style w:type="character" w:styleId="1088" w:customStyle="1">
    <w:name w:val="ca-31"/>
    <w:uiPriority w:val="0"/>
    <w:qFormat/>
    <w:rPr>
      <w:rFonts w:ascii="宋体" w:hAnsi="Times New Roman" w:eastAsia="宋体" w:cs="Times New Roman"/>
      <w:color w:val="000000"/>
      <w:sz w:val="21"/>
      <w:szCs w:val="21"/>
    </w:rPr>
  </w:style>
  <w:style w:type="character" w:styleId="1089" w:customStyle="1">
    <w:name w:val="apple-converted-space"/>
    <w:basedOn w:val="947"/>
    <w:uiPriority w:val="0"/>
    <w:qFormat/>
    <w:rPr>
      <w:rFonts w:ascii="Times New Roman" w:hAnsi="Times New Roman" w:eastAsia="宋体" w:cs="Times New Roman"/>
    </w:rPr>
  </w:style>
  <w:style w:type="character" w:styleId="1090" w:customStyle="1">
    <w:name w:val="Char Char1"/>
    <w:uiPriority w:val="0"/>
    <w:qFormat/>
    <w:rPr>
      <w:rFonts w:ascii="宋体" w:hAnsi="Times New Roman" w:eastAsia="宋体" w:cs="Times New Roman"/>
      <w:sz w:val="21"/>
      <w:lang w:val="en-US" w:eastAsia="zh-CN"/>
    </w:rPr>
  </w:style>
  <w:style w:type="character" w:styleId="1091" w:customStyle="1">
    <w:name w:val="font21"/>
    <w:uiPriority w:val="0"/>
    <w:qFormat/>
    <w:rPr>
      <w:rFonts w:ascii="Times New Roman" w:hAnsi="Times New Roman" w:eastAsia="宋体" w:cs="Times New Roman"/>
      <w:color w:val="000000"/>
      <w:sz w:val="20"/>
      <w:u w:val="none"/>
    </w:rPr>
  </w:style>
  <w:style w:type="character" w:styleId="1092" w:customStyle="1">
    <w:name w:val="ca-01"/>
    <w:uiPriority w:val="0"/>
    <w:qFormat/>
    <w:rPr>
      <w:rFonts w:ascii="宋体" w:hAnsi="Times New Roman" w:eastAsia="宋体" w:cs="Times New Roman"/>
      <w:b/>
      <w:bCs/>
      <w:spacing w:val="-20"/>
      <w:sz w:val="24"/>
      <w:szCs w:val="24"/>
    </w:rPr>
  </w:style>
  <w:style w:type="character" w:styleId="1093" w:customStyle="1">
    <w:name w:val="Char Char23"/>
    <w:uiPriority w:val="0"/>
    <w:qFormat/>
    <w:rPr>
      <w:rFonts w:ascii="Times New Roman" w:hAnsi="Times New Roman" w:eastAsia="宋体" w:cs="Times New Roman"/>
      <w:sz w:val="24"/>
      <w:szCs w:val="21"/>
      <w:lang w:bidi="ar-SA"/>
    </w:rPr>
  </w:style>
  <w:style w:type="character" w:styleId="1094" w:customStyle="1">
    <w:name w:val="Char Char"/>
    <w:uiPriority w:val="0"/>
    <w:qFormat/>
    <w:rPr>
      <w:rFonts w:ascii="Times New Roman" w:hAnsi="Times New Roman" w:eastAsia="宋体" w:cs="Times New Roman"/>
      <w:sz w:val="18"/>
      <w:lang w:val="en-US" w:eastAsia="zh-CN"/>
    </w:rPr>
  </w:style>
  <w:style w:type="character" w:styleId="1095" w:customStyle="1">
    <w:name w:val="Char Char3"/>
    <w:uiPriority w:val="0"/>
    <w:qFormat/>
    <w:rPr>
      <w:rFonts w:ascii="宋体" w:hAnsi="Times New Roman" w:eastAsia="宋体" w:cs="Times New Roman"/>
      <w:sz w:val="18"/>
      <w:szCs w:val="18"/>
      <w:lang w:val="en-US" w:eastAsia="zh-CN" w:bidi="ar-SA"/>
    </w:rPr>
  </w:style>
  <w:style w:type="paragraph" w:styleId="1096"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7" w:customStyle="1">
    <w:name w:val="Heading 4 Char"/>
    <w:uiPriority w:val="0"/>
    <w:qFormat/>
    <w:rPr>
      <w:rFonts w:ascii="Cambria" w:hAnsi="Cambria" w:eastAsia="宋体" w:cs="Cambria"/>
      <w:b/>
      <w:bCs/>
      <w:sz w:val="28"/>
      <w:szCs w:val="28"/>
      <w:lang w:bidi="ar-SA"/>
    </w:rPr>
  </w:style>
  <w:style w:type="character" w:styleId="1098" w:customStyle="1">
    <w:name w:val="Header Char1"/>
    <w:uiPriority w:val="0"/>
    <w:qFormat/>
    <w:rPr>
      <w:rFonts w:ascii="Times New Roman" w:hAnsi="Times New Roman" w:eastAsia="宋体" w:cs="Times New Roman"/>
      <w:sz w:val="18"/>
      <w:szCs w:val="18"/>
      <w:lang w:bidi="ar-SA"/>
    </w:rPr>
  </w:style>
  <w:style w:type="character" w:styleId="1099" w:customStyle="1">
    <w:name w:val="Footer Char1"/>
    <w:uiPriority w:val="0"/>
    <w:qFormat/>
    <w:rPr>
      <w:rFonts w:ascii="Times New Roman" w:hAnsi="Times New Roman" w:eastAsia="宋体" w:cs="Times New Roman"/>
      <w:sz w:val="18"/>
      <w:szCs w:val="18"/>
      <w:lang w:bidi="ar-SA"/>
    </w:rPr>
  </w:style>
  <w:style w:type="character" w:styleId="1100" w:customStyle="1">
    <w:name w:val="wj1"/>
    <w:uiPriority w:val="0"/>
    <w:qFormat/>
    <w:rPr>
      <w:rFonts w:ascii="Times New Roman" w:hAnsi="Times New Roman" w:eastAsia="宋体" w:cs="Times New Roman"/>
      <w:color w:val="000000"/>
      <w:sz w:val="18"/>
      <w:szCs w:val="18"/>
      <w:u w:val="none"/>
    </w:rPr>
  </w:style>
  <w:style w:type="character" w:styleId="1101" w:customStyle="1">
    <w:name w:val="ca-11"/>
    <w:uiPriority w:val="0"/>
    <w:qFormat/>
    <w:rPr>
      <w:rFonts w:ascii="宋体" w:hAnsi="Times New Roman" w:eastAsia="宋体" w:cs="Times New Roman"/>
      <w:b/>
      <w:bCs/>
      <w:color w:val="000000"/>
      <w:spacing w:val="-20"/>
      <w:sz w:val="28"/>
      <w:szCs w:val="28"/>
    </w:rPr>
  </w:style>
  <w:style w:type="paragraph" w:styleId="1102"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3" w:customStyle="1">
    <w:name w:val="Plain Text Char1"/>
    <w:uiPriority w:val="0"/>
    <w:qFormat/>
    <w:rPr>
      <w:rFonts w:ascii="宋体" w:hAnsi="Times New Roman" w:eastAsia="宋体" w:cs="Times New Roman"/>
      <w:sz w:val="21"/>
      <w:szCs w:val="21"/>
      <w:lang w:val="en-US" w:eastAsia="zh-CN" w:bidi="ar-SA"/>
    </w:rPr>
  </w:style>
  <w:style w:type="character" w:styleId="1104" w:customStyle="1">
    <w:name w:val="段落 Char"/>
    <w:uiPriority w:val="0"/>
    <w:qFormat/>
    <w:rPr>
      <w:rFonts w:ascii="仿宋_GB2312" w:hAnsi="Times New Roman" w:eastAsia="仿宋_GB2312" w:cs="Times New Roman"/>
      <w:sz w:val="24"/>
      <w:szCs w:val="24"/>
      <w:lang w:val="en-US" w:eastAsia="zh-CN" w:bidi="ar-SA"/>
    </w:rPr>
  </w:style>
  <w:style w:type="character" w:styleId="1105" w:customStyle="1">
    <w:name w:val="Heading 2 Char"/>
    <w:uiPriority w:val="0"/>
    <w:qFormat/>
    <w:rPr>
      <w:rFonts w:ascii="Arial" w:hAnsi="Arial" w:eastAsia="黑体" w:cs="Times New Roman"/>
      <w:b/>
      <w:bCs/>
      <w:sz w:val="32"/>
      <w:szCs w:val="32"/>
      <w:lang w:val="en-US" w:eastAsia="zh-CN" w:bidi="ar-SA"/>
    </w:rPr>
  </w:style>
  <w:style w:type="paragraph" w:styleId="1106"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7" w:customStyle="1">
    <w:name w:val="Char Char31"/>
    <w:uiPriority w:val="0"/>
    <w:qFormat/>
    <w:rPr>
      <w:rFonts w:ascii="Arial" w:hAnsi="Arial" w:eastAsia="黑体" w:cs="Times New Roman"/>
      <w:b/>
      <w:bCs/>
      <w:sz w:val="32"/>
      <w:szCs w:val="32"/>
      <w:lang w:val="en-US" w:eastAsia="zh-CN" w:bidi="ar-SA"/>
    </w:rPr>
  </w:style>
  <w:style w:type="paragraph" w:styleId="1108" w:customStyle="1">
    <w:name w:val="正文（黑体）"/>
    <w:basedOn w:val="732"/>
    <w:next w:val="732"/>
    <w:uiPriority w:val="0"/>
    <w:qFormat/>
    <w:pPr>
      <w:ind w:firstLine="200"/>
      <w:spacing w:before="50" w:after="50" w:line="360" w:lineRule="auto"/>
    </w:pPr>
    <w:rPr>
      <w:rFonts w:ascii="黑体" w:eastAsia="黑体"/>
      <w:color w:val="000080"/>
    </w:rPr>
  </w:style>
  <w:style w:type="character" w:styleId="1109" w:customStyle="1">
    <w:name w:val="ca-51"/>
    <w:uiPriority w:val="0"/>
    <w:qFormat/>
    <w:rPr>
      <w:rFonts w:ascii="楷体_GB2312" w:hAnsi="Times New Roman" w:eastAsia="楷体_GB2312" w:cs="Times New Roman"/>
      <w:b/>
      <w:bCs/>
      <w:spacing w:val="-20"/>
      <w:sz w:val="24"/>
      <w:szCs w:val="24"/>
    </w:rPr>
  </w:style>
  <w:style w:type="paragraph" w:styleId="1110" w:customStyle="1">
    <w:name w:val="加点正文缩进"/>
    <w:basedOn w:val="732"/>
    <w:uiPriority w:val="0"/>
    <w:qFormat/>
    <w:pPr>
      <w:ind w:left="962" w:hanging="480"/>
      <w:spacing w:line="300" w:lineRule="auto"/>
      <w:tabs>
        <w:tab w:val="left" w:pos="840" w:leader="none"/>
      </w:tabs>
    </w:pPr>
    <w:rPr>
      <w:rFonts w:eastAsia="宋体"/>
    </w:rPr>
  </w:style>
  <w:style w:type="paragraph" w:styleId="1111" w:customStyle="1">
    <w:name w:val="默认段落字体 Para Char Char Char Char Char Char Char Char Char Char Char Char Char Char"/>
    <w:basedOn w:val="962"/>
    <w:uiPriority w:val="0"/>
    <w:qFormat/>
    <w:rPr>
      <w:rFonts w:ascii="Tahoma" w:hAnsi="Tahoma"/>
    </w:rPr>
  </w:style>
  <w:style w:type="paragraph" w:styleId="1112">
    <w:name w:val="List Paragraph"/>
    <w:basedOn w:val="732"/>
    <w:uiPriority w:val="34"/>
    <w:qFormat/>
    <w:pPr>
      <w:ind w:firstLine="200"/>
    </w:pPr>
    <w:rPr>
      <w:rFonts w:ascii="Calibri" w:hAnsi="Calibri" w:eastAsia="宋体"/>
      <w:szCs w:val="22"/>
    </w:rPr>
  </w:style>
  <w:style w:type="paragraph" w:styleId="1113" w:customStyle="1">
    <w:name w:val="序号"/>
    <w:next w:val="732"/>
    <w:uiPriority w:val="0"/>
    <w:qFormat/>
    <w:pPr>
      <w:jc w:val="center"/>
    </w:pPr>
    <w:rPr>
      <w:rFonts w:ascii="Times New Roman" w:hAnsi="Times New Roman" w:eastAsia="仿宋_GB2312" w:cs="Times New Roman"/>
      <w:bCs/>
      <w:sz w:val="21"/>
      <w:szCs w:val="44"/>
      <w:lang w:val="en-US" w:eastAsia="zh-CN" w:bidi="ar-SA"/>
    </w:rPr>
  </w:style>
  <w:style w:type="paragraph" w:styleId="1114" w:customStyle="1">
    <w:name w:val="Char"/>
    <w:basedOn w:val="732"/>
    <w:uiPriority w:val="0"/>
    <w:qFormat/>
    <w:pPr>
      <w:tabs>
        <w:tab w:val="left" w:pos="360" w:leader="none"/>
      </w:tabs>
    </w:pPr>
    <w:rPr>
      <w:rFonts w:ascii="仿宋_GB2312" w:eastAsia="仿宋_GB2312"/>
      <w:b/>
    </w:rPr>
  </w:style>
  <w:style w:type="paragraph" w:styleId="1115"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6" w:customStyle="1">
    <w:name w:val="xl36"/>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7" w:customStyle="1">
    <w:name w:val="Char Char Char"/>
    <w:basedOn w:val="732"/>
    <w:uiPriority w:val="0"/>
    <w:qFormat/>
    <w:rPr>
      <w:rFonts w:ascii="Tahoma" w:hAnsi="Tahoma" w:eastAsia="宋体"/>
      <w:szCs w:val="20"/>
    </w:rPr>
  </w:style>
  <w:style w:type="paragraph" w:styleId="1118" w:customStyle="1">
    <w:name w:val="Char12"/>
    <w:basedOn w:val="732"/>
    <w:uiPriority w:val="0"/>
    <w:qFormat/>
    <w:pPr>
      <w:ind w:left="360" w:right="202" w:firstLine="360"/>
      <w:spacing w:line="480" w:lineRule="auto"/>
      <w:tabs>
        <w:tab w:val="left" w:pos="360" w:leader="none"/>
      </w:tabs>
    </w:pPr>
    <w:rPr>
      <w:rFonts w:eastAsia="宋体"/>
    </w:rPr>
  </w:style>
  <w:style w:type="paragraph" w:styleId="1119" w:customStyle="1">
    <w:name w:val="Char Char Char Char Char Char Char Char Char Char"/>
    <w:basedOn w:val="732"/>
    <w:uiPriority w:val="0"/>
    <w:qFormat/>
    <w:rPr>
      <w:rFonts w:ascii="Tahoma" w:hAnsi="Tahoma" w:eastAsia="宋体"/>
      <w:szCs w:val="20"/>
    </w:rPr>
  </w:style>
  <w:style w:type="paragraph" w:styleId="1120" w:customStyle="1">
    <w:name w:val="正文段"/>
    <w:basedOn w:val="732"/>
    <w:uiPriority w:val="0"/>
    <w:qFormat/>
    <w:pPr>
      <w:ind w:firstLine="425"/>
      <w:spacing w:after="240" w:line="240" w:lineRule="atLeast"/>
      <w:widowControl/>
    </w:pPr>
    <w:rPr>
      <w:rFonts w:eastAsia="宋体"/>
      <w:szCs w:val="20"/>
    </w:rPr>
  </w:style>
  <w:style w:type="paragraph" w:styleId="1121" w:customStyle="1">
    <w:name w:val="段"/>
    <w:uiPriority w:val="0"/>
    <w:qFormat/>
    <w:pPr>
      <w:ind w:firstLine="200"/>
      <w:jc w:val="both"/>
    </w:pPr>
    <w:rPr>
      <w:rFonts w:ascii="宋体" w:hAnsi="Times New Roman" w:eastAsia="宋体" w:cs="Times New Roman"/>
      <w:sz w:val="21"/>
      <w:lang w:val="en-US" w:eastAsia="zh-CN" w:bidi="ar-SA"/>
    </w:rPr>
  </w:style>
  <w:style w:type="paragraph" w:styleId="1122" w:customStyle="1">
    <w:name w:val="Char Char Char Char Char Char Char Char Char Char1"/>
    <w:basedOn w:val="732"/>
    <w:uiPriority w:val="0"/>
    <w:qFormat/>
    <w:rPr>
      <w:rFonts w:ascii="Tahoma" w:hAnsi="Tahoma" w:eastAsia="宋体" w:cs="Tahoma"/>
    </w:rPr>
  </w:style>
  <w:style w:type="paragraph" w:styleId="1123" w:customStyle="1">
    <w:name w:val="xl34"/>
    <w:basedOn w:val="732"/>
    <w:uiPriority w:val="0"/>
    <w:qFormat/>
    <w:pPr>
      <w:jc w:val="center"/>
      <w:spacing w:before="100" w:beforeAutospacing="1" w:after="100" w:afterAutospacing="1"/>
      <w:widowControl/>
    </w:pPr>
    <w:rPr>
      <w:rFonts w:ascii="Arial Unicode MS" w:hAnsi="Arial Unicode MS" w:eastAsia="Arial Unicode MS"/>
    </w:rPr>
  </w:style>
  <w:style w:type="paragraph" w:styleId="1124" w:customStyle="1">
    <w:name w:val="前言、引言标题"/>
    <w:next w:val="73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5" w:customStyle="1">
    <w:name w:val="Char Char Char Char Char Char 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26" w:customStyle="1">
    <w:name w:val="pa-0"/>
    <w:basedOn w:val="732"/>
    <w:uiPriority w:val="0"/>
    <w:qFormat/>
    <w:pPr>
      <w:ind w:firstLine="480"/>
      <w:spacing w:line="360" w:lineRule="atLeast"/>
      <w:widowControl/>
    </w:pPr>
    <w:rPr>
      <w:rFonts w:ascii="宋体" w:eastAsia="宋体" w:cs="宋体"/>
    </w:rPr>
  </w:style>
  <w:style w:type="paragraph" w:styleId="1127" w:customStyle="1">
    <w:name w:val="Char111"/>
    <w:basedOn w:val="732"/>
    <w:uiPriority w:val="0"/>
    <w:qFormat/>
    <w:pPr>
      <w:jc w:val="left"/>
      <w:spacing w:after="160" w:line="240" w:lineRule="exact"/>
      <w:widowControl/>
    </w:pPr>
    <w:rPr>
      <w:rFonts w:ascii="Verdana" w:hAnsi="Verdana" w:eastAsia="宋体"/>
      <w:sz w:val="20"/>
      <w:szCs w:val="20"/>
      <w:lang w:eastAsia="en-US"/>
    </w:rPr>
  </w:style>
  <w:style w:type="paragraph" w:styleId="1128" w:customStyle="1">
    <w:name w:val="一级条标题"/>
    <w:next w:val="1121"/>
    <w:uiPriority w:val="0"/>
    <w:qFormat/>
    <w:pPr>
      <w:outlineLvl w:val="2"/>
    </w:pPr>
    <w:rPr>
      <w:rFonts w:ascii="Times New Roman" w:hAnsi="Times New Roman" w:eastAsia="黑体" w:cs="Times New Roman"/>
      <w:sz w:val="21"/>
      <w:lang w:val="en-US" w:eastAsia="zh-CN" w:bidi="ar-SA"/>
    </w:rPr>
  </w:style>
  <w:style w:type="paragraph" w:styleId="1129" w:customStyle="1">
    <w:name w:val="二级条标题"/>
    <w:basedOn w:val="1128"/>
    <w:next w:val="1121"/>
    <w:uiPriority w:val="0"/>
    <w:qFormat/>
    <w:pPr>
      <w:ind w:left="360"/>
      <w:outlineLvl w:val="3"/>
    </w:pPr>
    <w:rPr>
      <w:rFonts w:eastAsia="宋体"/>
    </w:rPr>
  </w:style>
  <w:style w:type="paragraph" w:styleId="1130" w:customStyle="1">
    <w:name w:val="三级条标题"/>
    <w:basedOn w:val="1129"/>
    <w:next w:val="1121"/>
    <w:uiPriority w:val="0"/>
    <w:qFormat/>
    <w:pPr>
      <w:ind w:left="1050"/>
      <w:outlineLvl w:val="4"/>
    </w:pPr>
  </w:style>
  <w:style w:type="paragraph" w:styleId="1131" w:customStyle="1">
    <w:name w:val="FA正文+标号"/>
    <w:basedOn w:val="73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2" w:customStyle="1">
    <w:name w:val="表文1"/>
    <w:basedOn w:val="732"/>
    <w:uiPriority w:val="0"/>
    <w:qFormat/>
    <w:pPr>
      <w:ind w:firstLine="196"/>
      <w:spacing w:line="360" w:lineRule="auto"/>
      <w:widowControl/>
    </w:pPr>
    <w:rPr>
      <w:rFonts w:ascii="宋体" w:eastAsia="宋体"/>
    </w:rPr>
  </w:style>
  <w:style w:type="paragraph" w:styleId="1133" w:customStyle="1">
    <w:name w:val="正文1"/>
    <w:basedOn w:val="732"/>
    <w:uiPriority w:val="0"/>
    <w:qFormat/>
    <w:pPr>
      <w:ind w:left="357" w:firstLine="420"/>
      <w:jc w:val="left"/>
      <w:spacing w:line="360" w:lineRule="auto"/>
      <w:widowControl/>
    </w:pPr>
    <w:rPr>
      <w:rFonts w:eastAsia="宋体" w:cs="Arial"/>
      <w:szCs w:val="20"/>
    </w:rPr>
  </w:style>
  <w:style w:type="paragraph" w:styleId="1134" w:customStyle="1">
    <w:name w:val="表内容"/>
    <w:basedOn w:val="1133"/>
    <w:uiPriority w:val="0"/>
    <w:qFormat/>
    <w:pPr>
      <w:ind w:left="0" w:firstLine="0"/>
      <w:spacing w:line="320" w:lineRule="exact"/>
    </w:pPr>
    <w:rPr>
      <w:rFonts w:cs="Times New Roman"/>
      <w:sz w:val="20"/>
    </w:rPr>
  </w:style>
  <w:style w:type="paragraph" w:styleId="1135" w:customStyle="1">
    <w:name w:val="Char Char1 Char Char Char Char Char Char"/>
    <w:basedOn w:val="732"/>
    <w:uiPriority w:val="0"/>
    <w:qFormat/>
    <w:pPr>
      <w:jc w:val="center"/>
      <w:widowControl/>
    </w:pPr>
    <w:rPr>
      <w:rFonts w:eastAsia="宋体"/>
      <w:szCs w:val="20"/>
    </w:rPr>
  </w:style>
  <w:style w:type="paragraph" w:styleId="1136" w:customStyle="1">
    <w:name w:val="xl2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7" w:customStyle="1">
    <w:name w:val="普通正文"/>
    <w:basedOn w:val="732"/>
    <w:uiPriority w:val="0"/>
    <w:qFormat/>
    <w:pPr>
      <w:ind w:firstLine="425"/>
      <w:jc w:val="left"/>
    </w:pPr>
    <w:rPr>
      <w:rFonts w:ascii="宋体" w:eastAsia="宋体"/>
      <w:sz w:val="20"/>
      <w:szCs w:val="20"/>
    </w:rPr>
  </w:style>
  <w:style w:type="paragraph" w:styleId="113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9" w:customStyle="1">
    <w:name w:val="附图标题"/>
    <w:basedOn w:val="958"/>
    <w:next w:val="957"/>
    <w:uiPriority w:val="0"/>
    <w:qFormat/>
    <w:pPr>
      <w:ind w:left="780" w:hanging="480"/>
      <w:jc w:val="center"/>
      <w:spacing w:after="100"/>
      <w:tabs>
        <w:tab w:val="left" w:pos="780" w:leader="none"/>
      </w:tabs>
    </w:pPr>
    <w:rPr>
      <w:rFonts w:ascii="Times New Roman" w:hAnsi="Times New Roman" w:eastAsia="宋体"/>
      <w:b/>
      <w:sz w:val="21"/>
    </w:rPr>
  </w:style>
  <w:style w:type="paragraph" w:styleId="1140" w:customStyle="1">
    <w:name w:val="图号"/>
    <w:basedOn w:val="73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1" w:customStyle="1">
    <w:name w:val="xl40"/>
    <w:basedOn w:val="73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2" w:customStyle="1">
    <w:name w:val="缩进正文"/>
    <w:basedOn w:val="732"/>
    <w:uiPriority w:val="0"/>
    <w:qFormat/>
    <w:pPr>
      <w:ind w:left="1418" w:firstLine="425"/>
      <w:jc w:val="left"/>
      <w:spacing w:after="200" w:line="400" w:lineRule="exact"/>
      <w:widowControl/>
    </w:pPr>
    <w:rPr>
      <w:rFonts w:ascii="宋体" w:eastAsia="宋体"/>
      <w:szCs w:val="20"/>
    </w:rPr>
  </w:style>
  <w:style w:type="paragraph" w:styleId="1143"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4"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5" w:customStyle="1">
    <w:name w:val="Char1"/>
    <w:basedOn w:val="732"/>
    <w:uiPriority w:val="0"/>
    <w:qFormat/>
    <w:pPr>
      <w:ind w:left="360" w:right="202" w:firstLine="360"/>
      <w:spacing w:line="480" w:lineRule="auto"/>
      <w:tabs>
        <w:tab w:val="left" w:pos="360" w:leader="none"/>
      </w:tabs>
    </w:pPr>
    <w:rPr>
      <w:rFonts w:eastAsia="宋体"/>
    </w:rPr>
  </w:style>
  <w:style w:type="paragraph" w:styleId="1146" w:customStyle="1">
    <w:name w:val="首页标题"/>
    <w:uiPriority w:val="0"/>
    <w:qFormat/>
    <w:pPr>
      <w:jc w:val="center"/>
    </w:pPr>
    <w:rPr>
      <w:rFonts w:ascii="宋体" w:hAnsi="Times New Roman" w:eastAsia="宋体" w:cs="宋体"/>
      <w:sz w:val="72"/>
      <w:szCs w:val="72"/>
      <w:lang w:val="en-US" w:eastAsia="zh-CN" w:bidi="ar-SA"/>
    </w:rPr>
  </w:style>
  <w:style w:type="paragraph" w:styleId="1147" w:customStyle="1">
    <w:name w:val="pa-10"/>
    <w:basedOn w:val="732"/>
    <w:uiPriority w:val="0"/>
    <w:qFormat/>
    <w:pPr>
      <w:spacing w:line="240" w:lineRule="atLeast"/>
      <w:widowControl/>
    </w:pPr>
    <w:rPr>
      <w:rFonts w:ascii="宋体" w:eastAsia="宋体" w:cs="宋体"/>
    </w:rPr>
  </w:style>
  <w:style w:type="paragraph" w:styleId="1148" w:customStyle="1">
    <w:name w:val="特点"/>
    <w:basedOn w:val="732"/>
    <w:next w:val="732"/>
    <w:uiPriority w:val="0"/>
    <w:qFormat/>
    <w:pPr>
      <w:jc w:val="center"/>
      <w:spacing w:line="360" w:lineRule="auto"/>
    </w:pPr>
    <w:rPr>
      <w:rFonts w:ascii="Arial" w:hAnsi="Arial" w:eastAsia="宋体"/>
      <w:szCs w:val="20"/>
    </w:rPr>
  </w:style>
  <w:style w:type="paragraph" w:styleId="1149" w:customStyle="1">
    <w:name w:val="pa-4"/>
    <w:basedOn w:val="732"/>
    <w:uiPriority w:val="0"/>
    <w:qFormat/>
    <w:pPr>
      <w:jc w:val="center"/>
      <w:spacing w:line="280" w:lineRule="atLeast"/>
      <w:widowControl/>
    </w:pPr>
    <w:rPr>
      <w:rFonts w:ascii="宋体" w:eastAsia="宋体" w:cs="宋体"/>
    </w:rPr>
  </w:style>
  <w:style w:type="paragraph" w:styleId="1150" w:customStyle="1">
    <w:name w:val="编号"/>
    <w:basedOn w:val="732"/>
    <w:next w:val="1096"/>
    <w:uiPriority w:val="0"/>
    <w:qFormat/>
    <w:pPr>
      <w:ind w:left="420" w:right="-136" w:hanging="420"/>
      <w:widowControl/>
      <w:tabs>
        <w:tab w:val="left" w:pos="420" w:leader="none"/>
      </w:tabs>
    </w:pPr>
    <w:rPr>
      <w:rFonts w:ascii="仿宋_GB2312" w:eastAsia="仿宋_GB2312"/>
      <w:b/>
      <w:bCs/>
      <w:szCs w:val="21"/>
    </w:rPr>
  </w:style>
  <w:style w:type="paragraph" w:styleId="1151"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2" w:customStyle="1">
    <w:name w:val="xl33"/>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编号1"/>
    <w:next w:val="1096"/>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4"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CM17"/>
    <w:basedOn w:val="732"/>
    <w:next w:val="732"/>
    <w:uiPriority w:val="0"/>
    <w:qFormat/>
    <w:pPr>
      <w:jc w:val="left"/>
      <w:spacing w:after="273" w:line="360" w:lineRule="auto"/>
    </w:pPr>
    <w:rPr>
      <w:rFonts w:ascii="宋体" w:eastAsia="宋体"/>
    </w:rPr>
  </w:style>
  <w:style w:type="paragraph" w:styleId="1156" w:customStyle="1">
    <w:name w:val="xl38"/>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7" w:customStyle="1">
    <w:name w:val="参考资料清单+倾斜+蓝色"/>
    <w:basedOn w:val="732"/>
    <w:uiPriority w:val="0"/>
    <w:qFormat/>
    <w:pPr>
      <w:spacing w:line="360" w:lineRule="auto"/>
    </w:pPr>
    <w:rPr>
      <w:rFonts w:ascii="Arial" w:hAnsi="Arial" w:eastAsia="宋体"/>
      <w:i/>
      <w:iCs/>
      <w:color w:val="0000ff"/>
      <w:szCs w:val="21"/>
    </w:rPr>
  </w:style>
  <w:style w:type="paragraph" w:styleId="115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9" w:customStyle="1">
    <w:name w:val="pa-8"/>
    <w:basedOn w:val="732"/>
    <w:uiPriority w:val="0"/>
    <w:qFormat/>
    <w:pPr>
      <w:ind w:firstLine="480"/>
      <w:spacing w:line="280" w:lineRule="atLeast"/>
      <w:widowControl/>
    </w:pPr>
    <w:rPr>
      <w:rFonts w:ascii="宋体" w:eastAsia="宋体" w:cs="宋体"/>
    </w:rPr>
  </w:style>
  <w:style w:type="paragraph" w:styleId="1160" w:customStyle="1">
    <w:name w:val="标书2"/>
    <w:next w:val="1096"/>
    <w:uiPriority w:val="0"/>
    <w:qFormat/>
    <w:rPr>
      <w:rFonts w:ascii="Times New Roman" w:hAnsi="Times New Roman" w:eastAsia="黑体" w:cs="宋体"/>
      <w:b/>
      <w:sz w:val="44"/>
      <w:lang w:val="en-US" w:eastAsia="zh-CN" w:bidi="ar-SA"/>
    </w:rPr>
  </w:style>
  <w:style w:type="paragraph" w:styleId="1161" w:customStyle="1">
    <w:name w:val="表格文字"/>
    <w:basedOn w:val="732"/>
    <w:uiPriority w:val="0"/>
    <w:qFormat/>
    <w:pPr>
      <w:jc w:val="left"/>
    </w:pPr>
    <w:rPr>
      <w:rFonts w:eastAsia="宋体"/>
      <w:sz w:val="18"/>
    </w:rPr>
  </w:style>
  <w:style w:type="paragraph" w:styleId="1162" w:customStyle="1">
    <w:name w:val="首页空格"/>
    <w:uiPriority w:val="0"/>
    <w:qFormat/>
    <w:pPr>
      <w:jc w:val="center"/>
    </w:pPr>
    <w:rPr>
      <w:rFonts w:ascii="Times New Roman" w:hAnsi="Times New Roman" w:eastAsia="宋体" w:cs="宋体"/>
      <w:sz w:val="72"/>
      <w:lang w:val="en-US" w:eastAsia="zh-CN" w:bidi="ar-SA"/>
    </w:rPr>
  </w:style>
  <w:style w:type="paragraph" w:styleId="1163" w:customStyle="1">
    <w:name w:val="保密事宜格式"/>
    <w:basedOn w:val="9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4"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5" w:customStyle="1">
    <w:name w:val="È±Ê¡ÎÄ±¾"/>
    <w:basedOn w:val="732"/>
    <w:uiPriority w:val="0"/>
    <w:qFormat/>
    <w:pPr>
      <w:jc w:val="left"/>
      <w:spacing w:line="360" w:lineRule="auto"/>
      <w:widowControl/>
    </w:pPr>
    <w:rPr>
      <w:rFonts w:eastAsia="宋体"/>
      <w:szCs w:val="20"/>
    </w:rPr>
  </w:style>
  <w:style w:type="paragraph" w:styleId="1166" w:customStyle="1">
    <w:name w:val="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67"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8" w:customStyle="1">
    <w:name w:val="附图居中"/>
    <w:basedOn w:val="732"/>
    <w:next w:val="1139"/>
    <w:uiPriority w:val="0"/>
    <w:qFormat/>
    <w:pPr>
      <w:ind w:left="1271" w:hanging="420"/>
      <w:jc w:val="center"/>
      <w:keepNext/>
      <w:spacing w:line="360" w:lineRule="auto"/>
      <w:tabs>
        <w:tab w:val="left" w:pos="0" w:leader="none"/>
      </w:tabs>
    </w:pPr>
    <w:rPr>
      <w:rFonts w:eastAsia="宋体"/>
      <w:caps/>
    </w:rPr>
  </w:style>
  <w:style w:type="paragraph" w:styleId="1169" w:customStyle="1">
    <w:name w:val="pa-6"/>
    <w:basedOn w:val="732"/>
    <w:uiPriority w:val="0"/>
    <w:qFormat/>
    <w:pPr>
      <w:spacing w:line="360" w:lineRule="atLeast"/>
      <w:widowControl/>
    </w:pPr>
    <w:rPr>
      <w:rFonts w:ascii="宋体" w:eastAsia="宋体"/>
      <w:szCs w:val="20"/>
    </w:rPr>
  </w:style>
  <w:style w:type="paragraph" w:styleId="1170" w:customStyle="1">
    <w:name w:val="规范正文"/>
    <w:basedOn w:val="732"/>
    <w:uiPriority w:val="0"/>
    <w:qFormat/>
    <w:pPr>
      <w:ind w:left="480"/>
      <w:spacing w:line="360" w:lineRule="auto"/>
    </w:pPr>
    <w:rPr>
      <w:rFonts w:eastAsia="宋体"/>
      <w:szCs w:val="20"/>
    </w:rPr>
  </w:style>
  <w:style w:type="paragraph" w:styleId="1171" w:customStyle="1">
    <w:name w:val="font7"/>
    <w:basedOn w:val="732"/>
    <w:uiPriority w:val="0"/>
    <w:qFormat/>
    <w:pPr>
      <w:jc w:val="left"/>
      <w:spacing w:before="100" w:beforeAutospacing="1" w:after="100" w:afterAutospacing="1"/>
      <w:widowControl/>
    </w:pPr>
    <w:rPr>
      <w:rFonts w:ascii="宋体" w:eastAsia="宋体"/>
      <w:sz w:val="20"/>
      <w:szCs w:val="20"/>
    </w:rPr>
  </w:style>
  <w:style w:type="paragraph" w:styleId="1172" w:customStyle="1">
    <w:name w:val="缺省文本"/>
    <w:basedOn w:val="732"/>
    <w:uiPriority w:val="0"/>
    <w:qFormat/>
    <w:pPr>
      <w:jc w:val="left"/>
    </w:pPr>
    <w:rPr>
      <w:rFonts w:eastAsia="宋体"/>
      <w:szCs w:val="20"/>
    </w:rPr>
  </w:style>
  <w:style w:type="paragraph" w:styleId="1173" w:customStyle="1">
    <w:name w:val="序号-----------"/>
    <w:basedOn w:val="732"/>
    <w:uiPriority w:val="0"/>
    <w:qFormat/>
    <w:pPr>
      <w:jc w:val="left"/>
      <w:widowControl/>
    </w:pPr>
    <w:rPr>
      <w:rFonts w:ascii="宋体" w:eastAsia="宋体"/>
      <w:bCs/>
      <w:szCs w:val="21"/>
    </w:rPr>
  </w:style>
  <w:style w:type="paragraph" w:styleId="1174" w:customStyle="1">
    <w:name w:val="font8"/>
    <w:basedOn w:val="73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5" w:customStyle="1">
    <w:name w:val="表格标题"/>
    <w:basedOn w:val="732"/>
    <w:uiPriority w:val="0"/>
    <w:qFormat/>
    <w:pPr>
      <w:jc w:val="center"/>
    </w:pPr>
    <w:rPr>
      <w:rFonts w:eastAsia="宋体"/>
      <w:b/>
    </w:rPr>
  </w:style>
  <w:style w:type="paragraph" w:styleId="1176" w:customStyle="1">
    <w:name w:val="章标题"/>
    <w:next w:val="1121"/>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7" w:customStyle="1">
    <w:name w:val="首页单位日期"/>
    <w:basedOn w:val="732"/>
    <w:uiPriority w:val="0"/>
    <w:qFormat/>
    <w:pPr>
      <w:jc w:val="center"/>
      <w:widowControl/>
    </w:pPr>
    <w:rPr>
      <w:rFonts w:ascii="宋体" w:eastAsia="宋体" w:cs="宋体"/>
      <w:bCs/>
      <w:sz w:val="28"/>
      <w:szCs w:val="20"/>
    </w:rPr>
  </w:style>
  <w:style w:type="paragraph" w:styleId="1178" w:customStyle="1">
    <w:name w:val="样式 正文缩进 + (中文) 仿宋_GB2312 小四 Char"/>
    <w:basedOn w:val="957"/>
    <w:uiPriority w:val="0"/>
    <w:qFormat/>
    <w:pPr>
      <w:ind w:firstLine="200"/>
      <w:spacing w:line="360" w:lineRule="auto"/>
    </w:pPr>
    <w:rPr>
      <w:szCs w:val="24"/>
    </w:rPr>
  </w:style>
  <w:style w:type="paragraph" w:styleId="1179" w:customStyle="1">
    <w:name w:val="项目"/>
    <w:basedOn w:val="732"/>
    <w:uiPriority w:val="0"/>
    <w:qFormat/>
    <w:pPr>
      <w:ind w:left="840" w:hanging="420"/>
      <w:spacing w:before="60" w:after="60" w:line="360" w:lineRule="auto"/>
      <w:tabs>
        <w:tab w:val="left" w:pos="840" w:leader="none"/>
      </w:tabs>
    </w:pPr>
    <w:rPr>
      <w:rFonts w:ascii="宋体" w:eastAsia="宋体"/>
      <w:szCs w:val="20"/>
    </w:rPr>
  </w:style>
  <w:style w:type="paragraph" w:styleId="1180" w:customStyle="1">
    <w:name w:val="默认段落字体 Para Char"/>
    <w:basedOn w:val="732"/>
    <w:uiPriority w:val="0"/>
    <w:qFormat/>
    <w:rPr>
      <w:rFonts w:ascii="宋体" w:eastAsia="宋体"/>
      <w:b/>
      <w:sz w:val="28"/>
      <w:szCs w:val="28"/>
    </w:rPr>
  </w:style>
  <w:style w:type="paragraph" w:styleId="1181" w:customStyle="1">
    <w:name w:val="篇名"/>
    <w:next w:val="93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2" w:customStyle="1">
    <w:name w:val="Char13"/>
    <w:basedOn w:val="732"/>
    <w:uiPriority w:val="0"/>
    <w:qFormat/>
    <w:rPr>
      <w:rFonts w:eastAsia="宋体"/>
    </w:rPr>
  </w:style>
  <w:style w:type="paragraph" w:styleId="1183" w:customStyle="1">
    <w:name w:val="表头"/>
    <w:basedOn w:val="1133"/>
    <w:uiPriority w:val="0"/>
    <w:qFormat/>
    <w:pPr>
      <w:ind w:left="0" w:firstLine="0"/>
      <w:spacing w:line="240" w:lineRule="auto"/>
    </w:pPr>
    <w:rPr>
      <w:rFonts w:cs="Times New Roman"/>
      <w:sz w:val="20"/>
    </w:rPr>
  </w:style>
  <w:style w:type="paragraph" w:styleId="1184" w:customStyle="1">
    <w:name w:val="表格序号"/>
    <w:uiPriority w:val="0"/>
    <w:qFormat/>
    <w:rPr>
      <w:rFonts w:ascii="Times New Roman" w:hAnsi="Times New Roman" w:eastAsia="仿宋_GB2312" w:cs="宋体"/>
      <w:sz w:val="21"/>
      <w:lang w:val="en-US" w:eastAsia="zh-CN" w:bidi="ar-SA"/>
    </w:rPr>
  </w:style>
  <w:style w:type="paragraph" w:styleId="1185" w:customStyle="1">
    <w:name w:val="Char Char Char Char1"/>
    <w:basedOn w:val="732"/>
    <w:uiPriority w:val="0"/>
    <w:qFormat/>
    <w:pPr>
      <w:ind w:firstLine="200"/>
      <w:spacing w:line="360" w:lineRule="auto"/>
    </w:pPr>
    <w:rPr>
      <w:rFonts w:eastAsia="宋体"/>
      <w:szCs w:val="20"/>
    </w:rPr>
  </w:style>
  <w:style w:type="paragraph" w:styleId="1186" w:customStyle="1">
    <w:name w:val="标书3"/>
    <w:next w:val="1096"/>
    <w:uiPriority w:val="0"/>
    <w:qFormat/>
    <w:pPr>
      <w:jc w:val="center"/>
      <w:widowControl w:val="off"/>
    </w:pPr>
    <w:rPr>
      <w:rFonts w:ascii="Times New Roman" w:hAnsi="Times New Roman" w:eastAsia="黑体" w:cs="Times New Roman"/>
      <w:b/>
      <w:sz w:val="44"/>
      <w:szCs w:val="24"/>
      <w:lang w:val="en-US" w:eastAsia="zh-CN" w:bidi="ar-SA"/>
    </w:rPr>
  </w:style>
  <w:style w:type="paragraph" w:styleId="1187" w:customStyle="1">
    <w:name w:val="首页小标题"/>
    <w:next w:val="1162"/>
    <w:uiPriority w:val="0"/>
    <w:qFormat/>
    <w:pPr>
      <w:jc w:val="center"/>
    </w:pPr>
    <w:rPr>
      <w:rFonts w:ascii="Times New Roman" w:hAnsi="Times New Roman" w:eastAsia="宋体" w:cs="宋体"/>
      <w:sz w:val="44"/>
      <w:lang w:val="en-US" w:eastAsia="zh-CN" w:bidi="ar-SA"/>
    </w:rPr>
  </w:style>
  <w:style w:type="paragraph" w:styleId="1188" w:customStyle="1">
    <w:name w:val="新段落缩进"/>
    <w:basedOn w:val="732"/>
    <w:uiPriority w:val="0"/>
    <w:qFormat/>
    <w:pPr>
      <w:ind w:firstLine="200"/>
      <w:spacing w:line="400" w:lineRule="exact"/>
    </w:pPr>
    <w:rPr>
      <w:rFonts w:ascii="仿宋_GB2312" w:eastAsia="仿宋_GB2312"/>
    </w:rPr>
  </w:style>
  <w:style w:type="paragraph" w:styleId="1189" w:customStyle="1">
    <w:name w:val="pa-2"/>
    <w:basedOn w:val="732"/>
    <w:uiPriority w:val="0"/>
    <w:qFormat/>
    <w:pPr>
      <w:spacing w:line="360" w:lineRule="atLeast"/>
      <w:widowControl/>
    </w:pPr>
    <w:rPr>
      <w:rFonts w:ascii="宋体" w:eastAsia="宋体" w:cs="宋体"/>
    </w:rPr>
  </w:style>
  <w:style w:type="paragraph" w:styleId="1190" w:customStyle="1">
    <w:name w:val="四级条标题"/>
    <w:basedOn w:val="1130"/>
    <w:next w:val="1121"/>
    <w:uiPriority w:val="0"/>
    <w:qFormat/>
    <w:pPr>
      <w:ind w:left="0"/>
      <w:outlineLvl w:val="5"/>
    </w:pPr>
  </w:style>
  <w:style w:type="paragraph" w:styleId="1191" w:customStyle="1">
    <w:name w:val="保密事宜内容"/>
    <w:basedOn w:val="73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2" w:customStyle="1">
    <w:name w:val="xl3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3" w:customStyle="1">
    <w:name w:val="Char1 Char Char Char"/>
    <w:basedOn w:val="732"/>
    <w:uiPriority w:val="0"/>
    <w:qFormat/>
    <w:rPr>
      <w:rFonts w:eastAsia="宋体"/>
      <w:szCs w:val="20"/>
    </w:rPr>
  </w:style>
  <w:style w:type="paragraph" w:styleId="1194" w:customStyle="1">
    <w:name w:val="正文 + 宋体"/>
    <w:basedOn w:val="732"/>
    <w:uiPriority w:val="0"/>
    <w:qFormat/>
    <w:pPr>
      <w:ind w:firstLine="250"/>
    </w:pPr>
    <w:rPr>
      <w:rFonts w:ascii="宋体" w:eastAsia="宋体"/>
      <w:szCs w:val="21"/>
    </w:rPr>
  </w:style>
  <w:style w:type="paragraph" w:styleId="1195" w:customStyle="1">
    <w:name w:val="xl31"/>
    <w:basedOn w:val="73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6" w:customStyle="1">
    <w:name w:val="pbody"/>
    <w:basedOn w:val="732"/>
    <w:uiPriority w:val="0"/>
    <w:qFormat/>
    <w:pPr>
      <w:jc w:val="left"/>
      <w:spacing w:before="100" w:beforeAutospacing="1" w:after="100" w:afterAutospacing="1" w:line="360" w:lineRule="auto"/>
      <w:widowControl/>
    </w:pPr>
    <w:rPr>
      <w:rFonts w:ascii="宋体" w:eastAsia="宋体" w:cs="宋体"/>
    </w:rPr>
  </w:style>
  <w:style w:type="paragraph" w:styleId="1197" w:customStyle="1">
    <w:name w:val="xl42"/>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8" w:customStyle="1">
    <w:name w:val="txt"/>
    <w:basedOn w:val="732"/>
    <w:uiPriority w:val="0"/>
    <w:qFormat/>
    <w:pPr>
      <w:jc w:val="left"/>
      <w:spacing w:before="100" w:beforeAutospacing="1" w:after="100" w:afterAutospacing="1"/>
      <w:widowControl/>
    </w:pPr>
    <w:rPr>
      <w:rFonts w:ascii="宋体" w:eastAsia="宋体" w:cs="宋体"/>
    </w:rPr>
  </w:style>
  <w:style w:type="paragraph" w:styleId="1199" w:customStyle="1">
    <w:name w:val="样式1"/>
    <w:basedOn w:val="956"/>
    <w:next w:val="732"/>
    <w:uiPriority w:val="0"/>
    <w:qFormat/>
    <w:rPr>
      <w:rFonts w:ascii="Arial" w:hAnsi="Arial" w:eastAsia="幼圆" w:cs="Arial"/>
      <w:szCs w:val="20"/>
    </w:rPr>
  </w:style>
  <w:style w:type="paragraph" w:styleId="1200" w:customStyle="1">
    <w:name w:val="xl37"/>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2" w:customStyle="1">
    <w:name w:val="样式 序号----------- + 仿宋_GB2312"/>
    <w:basedOn w:val="1173"/>
    <w:uiPriority w:val="0"/>
    <w:qFormat/>
    <w:pPr>
      <w:ind w:firstLine="200"/>
      <w:spacing w:line="360" w:lineRule="auto"/>
    </w:pPr>
    <w:rPr>
      <w:rFonts w:ascii="仿宋_GB2312" w:eastAsia="仿宋_GB2312"/>
      <w:bCs w:val="0"/>
    </w:rPr>
  </w:style>
  <w:style w:type="paragraph" w:styleId="1203" w:customStyle="1">
    <w:name w:val="xl41"/>
    <w:basedOn w:val="73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4" w:customStyle="1">
    <w:name w:val="Char11"/>
    <w:basedOn w:val="732"/>
    <w:uiPriority w:val="0"/>
    <w:qFormat/>
    <w:rPr>
      <w:rFonts w:eastAsia="宋体"/>
      <w:szCs w:val="21"/>
    </w:rPr>
  </w:style>
  <w:style w:type="paragraph" w:styleId="1205" w:customStyle="1">
    <w:name w:val="样式 序号----------- + 仿宋_GB23121"/>
    <w:basedOn w:val="1173"/>
    <w:uiPriority w:val="0"/>
    <w:qFormat/>
    <w:pPr>
      <w:spacing w:line="360" w:lineRule="auto"/>
    </w:pPr>
    <w:rPr>
      <w:rFonts w:ascii="仿宋_GB2312" w:eastAsia="仿宋_GB2312"/>
      <w:bCs w:val="0"/>
    </w:rPr>
  </w:style>
  <w:style w:type="paragraph" w:styleId="1206" w:customStyle="1">
    <w:name w:val="pa-9"/>
    <w:basedOn w:val="732"/>
    <w:uiPriority w:val="0"/>
    <w:qFormat/>
    <w:pPr>
      <w:jc w:val="center"/>
      <w:spacing w:line="360" w:lineRule="atLeast"/>
      <w:widowControl/>
    </w:pPr>
    <w:rPr>
      <w:rFonts w:ascii="宋体" w:eastAsia="宋体" w:cs="宋体"/>
    </w:rPr>
  </w:style>
  <w:style w:type="paragraph" w:styleId="1207" w:customStyle="1">
    <w:name w:val="pa-3"/>
    <w:basedOn w:val="732"/>
    <w:uiPriority w:val="0"/>
    <w:qFormat/>
    <w:pPr>
      <w:jc w:val="left"/>
      <w:spacing w:before="150" w:after="150"/>
      <w:widowControl/>
    </w:pPr>
    <w:rPr>
      <w:rFonts w:ascii="宋体" w:eastAsia="宋体" w:cs="宋体"/>
    </w:rPr>
  </w:style>
  <w:style w:type="paragraph" w:styleId="1208" w:customStyle="1">
    <w:name w:val="font5"/>
    <w:basedOn w:val="732"/>
    <w:uiPriority w:val="0"/>
    <w:qFormat/>
    <w:pPr>
      <w:jc w:val="left"/>
      <w:spacing w:before="100" w:beforeAutospacing="1" w:after="100" w:afterAutospacing="1"/>
      <w:widowControl/>
    </w:pPr>
    <w:rPr>
      <w:rFonts w:ascii="宋体" w:eastAsia="宋体"/>
      <w:sz w:val="18"/>
      <w:szCs w:val="18"/>
    </w:rPr>
  </w:style>
  <w:style w:type="paragraph" w:styleId="1209" w:customStyle="1">
    <w:name w:val="pa-5"/>
    <w:basedOn w:val="732"/>
    <w:uiPriority w:val="0"/>
    <w:qFormat/>
    <w:pPr>
      <w:spacing w:line="280" w:lineRule="atLeast"/>
      <w:widowControl/>
    </w:pPr>
    <w:rPr>
      <w:rFonts w:ascii="宋体" w:eastAsia="宋体" w:cs="宋体"/>
    </w:rPr>
  </w:style>
  <w:style w:type="paragraph" w:styleId="1210" w:customStyle="1">
    <w:name w:val="xl39"/>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1" w:customStyle="1">
    <w:name w:val="font6"/>
    <w:basedOn w:val="732"/>
    <w:uiPriority w:val="0"/>
    <w:qFormat/>
    <w:pPr>
      <w:jc w:val="left"/>
      <w:spacing w:before="100" w:beforeAutospacing="1" w:after="100" w:afterAutospacing="1"/>
      <w:widowControl/>
    </w:pPr>
    <w:rPr>
      <w:rFonts w:eastAsia="宋体"/>
      <w:sz w:val="20"/>
      <w:szCs w:val="20"/>
    </w:rPr>
  </w:style>
  <w:style w:type="paragraph" w:styleId="1212" w:customStyle="1">
    <w:name w:val="font9"/>
    <w:basedOn w:val="732"/>
    <w:uiPriority w:val="0"/>
    <w:qFormat/>
    <w:pPr>
      <w:jc w:val="left"/>
      <w:spacing w:before="100" w:beforeAutospacing="1" w:after="100" w:afterAutospacing="1"/>
      <w:widowControl/>
    </w:pPr>
    <w:rPr>
      <w:rFonts w:ascii="宋体" w:eastAsia="宋体"/>
      <w:color w:val="000000"/>
      <w:sz w:val="18"/>
      <w:szCs w:val="18"/>
    </w:rPr>
  </w:style>
  <w:style w:type="paragraph" w:styleId="1213" w:customStyle="1">
    <w:name w:val="列出段落11"/>
    <w:basedOn w:val="732"/>
    <w:uiPriority w:val="0"/>
    <w:qFormat/>
    <w:pPr>
      <w:ind w:firstLine="200"/>
    </w:pPr>
    <w:rPr>
      <w:rFonts w:ascii="Calibri" w:hAnsi="Calibri" w:eastAsia="宋体"/>
      <w:szCs w:val="22"/>
    </w:rPr>
  </w:style>
  <w:style w:type="paragraph" w:styleId="1214" w:customStyle="1">
    <w:name w:val="p0"/>
    <w:basedOn w:val="732"/>
    <w:uiPriority w:val="0"/>
    <w:qFormat/>
    <w:pPr>
      <w:widowControl/>
    </w:pPr>
    <w:rPr>
      <w:rFonts w:eastAsia="宋体"/>
      <w:szCs w:val="21"/>
    </w:rPr>
  </w:style>
  <w:style w:type="paragraph" w:styleId="1215" w:customStyle="1">
    <w:name w:val="Char Char Char Char Char Char Char Char Char Char21"/>
    <w:basedOn w:val="732"/>
    <w:uiPriority w:val="0"/>
    <w:qFormat/>
    <w:rPr>
      <w:rFonts w:ascii="Tahoma" w:hAnsi="Tahoma" w:eastAsia="宋体"/>
      <w:szCs w:val="20"/>
    </w:rPr>
  </w:style>
  <w:style w:type="paragraph" w:styleId="121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7" w:customStyle="1">
    <w:name w:val="表格正文"/>
    <w:basedOn w:val="732"/>
    <w:uiPriority w:val="0"/>
    <w:qFormat/>
    <w:pPr>
      <w:spacing w:line="300" w:lineRule="auto"/>
      <w:tabs>
        <w:tab w:val="left" w:pos="420" w:leader="none"/>
      </w:tabs>
    </w:pPr>
    <w:rPr>
      <w:rFonts w:eastAsia="宋体"/>
    </w:rPr>
  </w:style>
  <w:style w:type="paragraph" w:styleId="1218" w:customStyle="1">
    <w:name w:val="首页标题小初"/>
    <w:uiPriority w:val="0"/>
    <w:qFormat/>
    <w:pPr>
      <w:jc w:val="center"/>
    </w:pPr>
    <w:rPr>
      <w:rFonts w:ascii="黑体" w:hAnsi="Times New Roman" w:eastAsia="黑体" w:cs="宋体"/>
      <w:sz w:val="72"/>
      <w:lang w:val="en-US" w:eastAsia="zh-CN" w:bidi="ar-SA"/>
    </w:rPr>
  </w:style>
  <w:style w:type="paragraph" w:styleId="1219" w:customStyle="1">
    <w:name w:val="五级条标题"/>
    <w:basedOn w:val="1190"/>
    <w:next w:val="1121"/>
    <w:uiPriority w:val="0"/>
    <w:qFormat/>
    <w:pPr>
      <w:outlineLvl w:val="6"/>
    </w:pPr>
  </w:style>
  <w:style w:type="paragraph" w:styleId="1220" w:customStyle="1">
    <w:name w:val="Char Char Char Char Char Char Char1"/>
    <w:basedOn w:val="732"/>
    <w:uiPriority w:val="0"/>
    <w:qFormat/>
    <w:pPr>
      <w:jc w:val="left"/>
      <w:spacing w:after="160" w:line="240" w:lineRule="exact"/>
      <w:widowControl/>
    </w:pPr>
    <w:rPr>
      <w:rFonts w:ascii="Verdana" w:hAnsi="Verdana" w:eastAsia="宋体"/>
      <w:sz w:val="20"/>
      <w:szCs w:val="20"/>
      <w:lang w:eastAsia="en-US"/>
    </w:rPr>
  </w:style>
  <w:style w:type="paragraph" w:styleId="1221" w:customStyle="1">
    <w:name w:val="ibm-list-next"/>
    <w:basedOn w:val="732"/>
    <w:uiPriority w:val="0"/>
    <w:qFormat/>
    <w:pPr>
      <w:jc w:val="left"/>
      <w:spacing w:before="100" w:beforeAutospacing="1" w:after="100" w:afterAutospacing="1"/>
      <w:widowControl/>
    </w:pPr>
    <w:rPr>
      <w:rFonts w:ascii="宋体" w:eastAsia="宋体" w:cs="宋体"/>
    </w:rPr>
  </w:style>
  <w:style w:type="paragraph" w:styleId="1222" w:customStyle="1">
    <w:name w:val="首页标题 一号"/>
    <w:basedOn w:val="1218"/>
    <w:uiPriority w:val="0"/>
    <w:qFormat/>
    <w:rPr>
      <w:rFonts w:ascii="Times New Roman" w:eastAsia="宋体" w:cs="Times New Roman"/>
      <w:sz w:val="52"/>
    </w:rPr>
  </w:style>
  <w:style w:type="paragraph" w:styleId="1223" w:customStyle="1">
    <w:name w:val="Char Char Char Char Char Char Char Char Char Char2"/>
    <w:basedOn w:val="732"/>
    <w:uiPriority w:val="0"/>
    <w:qFormat/>
    <w:rPr>
      <w:rFonts w:ascii="Tahoma" w:hAnsi="Tahoma" w:eastAsia="宋体"/>
      <w:szCs w:val="20"/>
    </w:rPr>
  </w:style>
  <w:style w:type="character" w:styleId="1224" w:customStyle="1">
    <w:name w:val="正文（编号） Char Char"/>
    <w:link w:val="1225"/>
    <w:uiPriority w:val="0"/>
    <w:qFormat/>
    <w:rPr>
      <w:rFonts w:ascii="Times New Roman" w:hAnsi="Times New Roman" w:eastAsia="宋体" w:cs="Times New Roman"/>
      <w:sz w:val="24"/>
      <w:szCs w:val="24"/>
    </w:rPr>
  </w:style>
  <w:style w:type="paragraph" w:styleId="1225" w:customStyle="1">
    <w:name w:val="正文（编号）"/>
    <w:basedOn w:val="1083"/>
    <w:link w:val="1224"/>
    <w:uiPriority w:val="0"/>
    <w:qFormat/>
    <w:pPr>
      <w:ind w:left="720" w:firstLine="0"/>
      <w:tabs>
        <w:tab w:val="left" w:pos="720" w:leader="none"/>
        <w:tab w:val="left" w:pos="780" w:leader="none"/>
      </w:tabs>
    </w:pPr>
  </w:style>
  <w:style w:type="paragraph" w:styleId="1226" w:customStyle="1">
    <w:name w:val="表格"/>
    <w:basedOn w:val="732"/>
    <w:uiPriority w:val="0"/>
    <w:qFormat/>
    <w:pPr>
      <w:ind w:firstLine="21"/>
    </w:pPr>
    <w:rPr>
      <w:rFonts w:ascii="宋体" w:eastAsia="宋体"/>
      <w:szCs w:val="20"/>
    </w:rPr>
  </w:style>
  <w:style w:type="character" w:styleId="1227" w:customStyle="1">
    <w:name w:val="正文（缩进） Char Char"/>
    <w:uiPriority w:val="0"/>
    <w:qFormat/>
    <w:rPr>
      <w:rFonts w:ascii="Times New Roman" w:hAnsi="Times New Roman" w:eastAsia="宋体" w:cs="Times New Roman"/>
      <w:sz w:val="24"/>
      <w:szCs w:val="24"/>
      <w:lang w:val="en-US" w:eastAsia="zh-CN" w:bidi="ar-SA"/>
    </w:rPr>
  </w:style>
  <w:style w:type="paragraph" w:styleId="1228" w:customStyle="1">
    <w:name w:val="Char Char Char1"/>
    <w:basedOn w:val="732"/>
    <w:uiPriority w:val="0"/>
    <w:qFormat/>
    <w:rPr>
      <w:rFonts w:ascii="Calibri" w:hAnsi="Calibri" w:eastAsia="宋体"/>
      <w:szCs w:val="21"/>
    </w:rPr>
  </w:style>
  <w:style w:type="paragraph" w:styleId="1229" w:customStyle="1">
    <w:name w:val="样式 正文2 + 首行缩进:  0 厘米 段后: 1.5 行"/>
    <w:basedOn w:val="73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0" w:customStyle="1">
    <w:name w:val="表中文字"/>
    <w:basedOn w:val="732"/>
    <w:uiPriority w:val="0"/>
    <w:qFormat/>
    <w:pPr>
      <w:widowControl/>
    </w:pPr>
    <w:rPr>
      <w:rFonts w:ascii="Calibri" w:hAnsi="Calibri" w:eastAsia="宋体"/>
      <w:szCs w:val="20"/>
    </w:rPr>
  </w:style>
  <w:style w:type="character" w:styleId="1231" w:customStyle="1">
    <w:name w:val="z1"/>
    <w:basedOn w:val="947"/>
    <w:uiPriority w:val="0"/>
    <w:qFormat/>
    <w:rPr>
      <w:rFonts w:ascii="Times New Roman" w:hAnsi="Times New Roman" w:eastAsia="宋体" w:cs="Times New Roman"/>
    </w:rPr>
  </w:style>
  <w:style w:type="paragraph" w:styleId="1232" w:customStyle="1">
    <w:name w:val="a1"/>
    <w:basedOn w:val="732"/>
    <w:uiPriority w:val="0"/>
    <w:qFormat/>
    <w:pPr>
      <w:jc w:val="left"/>
      <w:spacing w:before="100" w:beforeAutospacing="1" w:after="100" w:afterAutospacing="1"/>
      <w:widowControl/>
    </w:pPr>
    <w:rPr>
      <w:rFonts w:ascii="宋体" w:eastAsia="宋体"/>
      <w:szCs w:val="22"/>
    </w:rPr>
  </w:style>
  <w:style w:type="paragraph" w:styleId="1233" w:customStyle="1">
    <w:name w:val="a0"/>
    <w:basedOn w:val="732"/>
    <w:uiPriority w:val="0"/>
    <w:qFormat/>
    <w:pPr>
      <w:jc w:val="left"/>
      <w:spacing w:before="100" w:beforeAutospacing="1" w:after="100" w:afterAutospacing="1"/>
      <w:widowControl/>
    </w:pPr>
    <w:rPr>
      <w:rFonts w:ascii="宋体" w:eastAsia="宋体"/>
      <w:szCs w:val="22"/>
    </w:rPr>
  </w:style>
  <w:style w:type="paragraph" w:styleId="1234" w:customStyle="1">
    <w:name w:val="tabletext"/>
    <w:basedOn w:val="732"/>
    <w:uiPriority w:val="0"/>
    <w:qFormat/>
    <w:pPr>
      <w:jc w:val="left"/>
      <w:spacing w:before="100" w:beforeAutospacing="1" w:after="100" w:afterAutospacing="1"/>
      <w:widowControl/>
    </w:pPr>
    <w:rPr>
      <w:rFonts w:ascii="宋体" w:eastAsia="宋体"/>
      <w:szCs w:val="22"/>
    </w:rPr>
  </w:style>
  <w:style w:type="paragraph" w:styleId="1235" w:customStyle="1">
    <w:name w:val="我的样式"/>
    <w:basedOn w:val="732"/>
    <w:uiPriority w:val="0"/>
    <w:qFormat/>
    <w:pPr>
      <w:ind w:firstLine="420"/>
      <w:jc w:val="left"/>
      <w:spacing w:after="120"/>
      <w:widowControl/>
    </w:pPr>
    <w:rPr>
      <w:rFonts w:ascii="宋体" w:eastAsia="宋体"/>
      <w:color w:val="000000"/>
      <w:szCs w:val="16"/>
    </w:rPr>
  </w:style>
  <w:style w:type="paragraph" w:styleId="1236" w:customStyle="1">
    <w:name w:val="Figure and Table Title"/>
    <w:basedOn w:val="732"/>
    <w:uiPriority w:val="0"/>
    <w:qFormat/>
    <w:pPr>
      <w:ind w:left="2160"/>
      <w:jc w:val="left"/>
      <w:widowControl/>
    </w:pPr>
    <w:rPr>
      <w:rFonts w:ascii="Helvetica-Light" w:hAnsi="Helvetica-Light" w:eastAsia="宋体"/>
      <w:b/>
      <w:bCs/>
      <w:sz w:val="20"/>
      <w:szCs w:val="22"/>
      <w:lang w:eastAsia="en-US"/>
    </w:rPr>
  </w:style>
  <w:style w:type="paragraph" w:styleId="1237" w:customStyle="1">
    <w:name w:val="Table Text/Title"/>
    <w:basedOn w:val="732"/>
    <w:uiPriority w:val="0"/>
    <w:qFormat/>
    <w:pPr>
      <w:jc w:val="left"/>
      <w:widowControl/>
    </w:pPr>
    <w:rPr>
      <w:rFonts w:ascii="宋体" w:eastAsia="宋体"/>
      <w:b/>
      <w:bCs/>
      <w:sz w:val="20"/>
      <w:szCs w:val="20"/>
      <w:lang w:eastAsia="en-US"/>
    </w:rPr>
  </w:style>
  <w:style w:type="paragraph" w:styleId="1238" w:customStyle="1">
    <w:name w:val="Sourcetext bullet"/>
    <w:basedOn w:val="73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9" w:customStyle="1">
    <w:name w:val="无标题正文 Char Char Char Char Char Char Char Char Char Char Char Char Char Char Char Char Char Char Char Char Char Char Char Char Char Char Char1 Char"/>
    <w:basedOn w:val="732"/>
    <w:uiPriority w:val="0"/>
    <w:qFormat/>
    <w:pPr>
      <w:jc w:val="center"/>
      <w:spacing w:after="160" w:line="240" w:lineRule="exact"/>
      <w:widowControl/>
    </w:pPr>
    <w:rPr>
      <w:rFonts w:ascii="Arial" w:hAnsi="Arial" w:eastAsia="宋体"/>
      <w:sz w:val="20"/>
      <w:szCs w:val="20"/>
      <w:lang w:eastAsia="en-US"/>
    </w:rPr>
  </w:style>
  <w:style w:type="paragraph" w:styleId="1240" w:customStyle="1">
    <w:name w:val="Char Char Char Char"/>
    <w:basedOn w:val="732"/>
    <w:uiPriority w:val="0"/>
    <w:qFormat/>
    <w:pPr>
      <w:ind w:left="560" w:firstLine="200"/>
      <w:jc w:val="left"/>
      <w:spacing w:after="120" w:line="360" w:lineRule="auto"/>
      <w:widowControl/>
    </w:pPr>
    <w:rPr>
      <w:rFonts w:ascii="Verdana" w:hAnsi="Verdana" w:eastAsia="宋体"/>
      <w:szCs w:val="22"/>
    </w:rPr>
  </w:style>
  <w:style w:type="character" w:styleId="1241" w:customStyle="1">
    <w:name w:val="style91"/>
    <w:uiPriority w:val="0"/>
    <w:qFormat/>
    <w:rPr>
      <w:rFonts w:ascii="Times New Roman" w:hAnsi="Times New Roman" w:eastAsia="宋体" w:cs="Times New Roman"/>
      <w:color w:val="2060c0"/>
      <w:sz w:val="24"/>
      <w:szCs w:val="24"/>
    </w:rPr>
  </w:style>
  <w:style w:type="paragraph" w:styleId="1242" w:customStyle="1">
    <w:name w:val="标准小四"/>
    <w:basedOn w:val="732"/>
    <w:uiPriority w:val="0"/>
    <w:qFormat/>
    <w:pPr>
      <w:ind w:firstLine="200"/>
      <w:spacing w:line="360" w:lineRule="auto"/>
    </w:pPr>
    <w:rPr>
      <w:rFonts w:ascii="Arial" w:hAnsi="Arial" w:eastAsia="宋体"/>
      <w:szCs w:val="21"/>
    </w:rPr>
  </w:style>
  <w:style w:type="paragraph" w:styleId="1243" w:customStyle="1">
    <w:name w:val="样式 正文首行缩进 + 宋体 首行缩进:  0.74 厘米"/>
    <w:basedOn w:val="1006"/>
    <w:uiPriority w:val="0"/>
    <w:qFormat/>
    <w:pPr>
      <w:ind w:firstLine="210"/>
      <w:spacing w:before="120" w:after="0" w:line="380" w:lineRule="exact"/>
    </w:pPr>
    <w:rPr>
      <w:rFonts w:ascii="宋体" w:cs="宋体"/>
      <w:sz w:val="24"/>
      <w:szCs w:val="20"/>
    </w:rPr>
  </w:style>
  <w:style w:type="paragraph" w:styleId="1244" w:customStyle="1">
    <w:name w:val="默认段落字体 Para Char Char Char Char Char Char Char Char Char1"/>
    <w:basedOn w:val="732"/>
    <w:uiPriority w:val="0"/>
    <w:qFormat/>
    <w:rPr>
      <w:rFonts w:ascii="Tahoma" w:hAnsi="Tahoma" w:eastAsia="宋体"/>
      <w:szCs w:val="20"/>
    </w:rPr>
  </w:style>
  <w:style w:type="paragraph" w:styleId="1245" w:customStyle="1">
    <w:name w:val="正文小四"/>
    <w:basedOn w:val="732"/>
    <w:uiPriority w:val="0"/>
    <w:qFormat/>
    <w:pPr>
      <w:spacing w:line="312" w:lineRule="auto"/>
    </w:pPr>
    <w:rPr>
      <w:rFonts w:ascii="Calibri" w:hAnsi="Calibri" w:eastAsia="宋体"/>
      <w:szCs w:val="22"/>
    </w:rPr>
  </w:style>
  <w:style w:type="paragraph" w:styleId="1246" w:customStyle="1">
    <w:name w:val="ul"/>
    <w:basedOn w:val="73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7" w:customStyle="1">
    <w:name w:val="Bullet"/>
    <w:basedOn w:val="73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8" w:customStyle="1">
    <w:name w:val="正文（首行缩进）"/>
    <w:basedOn w:val="732"/>
    <w:uiPriority w:val="0"/>
    <w:qFormat/>
    <w:pPr>
      <w:ind w:firstLine="482"/>
      <w:spacing w:before="120" w:line="360" w:lineRule="auto"/>
      <w:widowControl/>
    </w:pPr>
    <w:rPr>
      <w:rFonts w:ascii="Calibri" w:hAnsi="Calibri" w:eastAsia="宋体"/>
      <w:szCs w:val="20"/>
    </w:rPr>
  </w:style>
  <w:style w:type="character" w:styleId="1249" w:customStyle="1">
    <w:name w:val="style161"/>
    <w:uiPriority w:val="0"/>
    <w:qFormat/>
    <w:rPr>
      <w:rFonts w:ascii="Verdana" w:hAnsi="Verdana" w:eastAsia="宋体" w:cs="Times New Roman"/>
      <w:b/>
      <w:color w:val="0a246a"/>
      <w:sz w:val="24"/>
      <w:szCs w:val="24"/>
      <w:lang w:val="en-US" w:eastAsia="zh-CN" w:bidi="ar-SA"/>
    </w:rPr>
  </w:style>
  <w:style w:type="paragraph" w:styleId="1250" w:customStyle="1">
    <w:name w:val="正文（首行缩进两字）"/>
    <w:basedOn w:val="732"/>
    <w:uiPriority w:val="0"/>
    <w:qFormat/>
    <w:pPr>
      <w:spacing w:line="312" w:lineRule="auto"/>
    </w:pPr>
    <w:rPr>
      <w:rFonts w:ascii="宋体" w:eastAsia="宋体" w:cs="宋体"/>
      <w:szCs w:val="22"/>
    </w:rPr>
  </w:style>
  <w:style w:type="paragraph" w:styleId="1251" w:customStyle="1">
    <w:name w:val="正文文字缩进 3"/>
    <w:basedOn w:val="732"/>
    <w:uiPriority w:val="0"/>
    <w:qFormat/>
    <w:pPr>
      <w:ind w:left="420" w:firstLine="420"/>
      <w:spacing w:line="312" w:lineRule="auto"/>
    </w:pPr>
    <w:rPr>
      <w:rFonts w:ascii="黑体" w:hAnsi="黑体" w:eastAsia="宋体" w:cs="宋体"/>
      <w:bCs/>
      <w:color w:val="000000"/>
      <w:szCs w:val="22"/>
    </w:rPr>
  </w:style>
  <w:style w:type="paragraph" w:styleId="1252" w:customStyle="1">
    <w:name w:val="技术方案3"/>
    <w:basedOn w:val="732"/>
    <w:uiPriority w:val="0"/>
    <w:qFormat/>
    <w:pPr>
      <w:spacing w:line="360" w:lineRule="auto"/>
    </w:pPr>
    <w:rPr>
      <w:rFonts w:ascii="宋体" w:eastAsia="宋体"/>
      <w:b/>
      <w:bCs/>
      <w:sz w:val="32"/>
      <w:szCs w:val="22"/>
    </w:rPr>
  </w:style>
  <w:style w:type="paragraph" w:styleId="1253" w:customStyle="1">
    <w:name w:val="技术方案2"/>
    <w:basedOn w:val="732"/>
    <w:uiPriority w:val="0"/>
    <w:qFormat/>
    <w:pPr>
      <w:spacing w:line="480" w:lineRule="auto"/>
    </w:pPr>
    <w:rPr>
      <w:rFonts w:ascii="宋体" w:eastAsia="宋体"/>
      <w:b/>
      <w:bCs/>
      <w:sz w:val="36"/>
      <w:szCs w:val="22"/>
    </w:rPr>
  </w:style>
  <w:style w:type="paragraph" w:styleId="1254" w:customStyle="1">
    <w:name w:val="技术方案正文"/>
    <w:basedOn w:val="732"/>
    <w:uiPriority w:val="0"/>
    <w:qFormat/>
    <w:pPr>
      <w:ind w:firstLine="480"/>
      <w:spacing w:line="360" w:lineRule="auto"/>
    </w:pPr>
    <w:rPr>
      <w:rFonts w:ascii="宋体" w:eastAsia="宋体"/>
      <w:szCs w:val="22"/>
    </w:rPr>
  </w:style>
  <w:style w:type="paragraph" w:styleId="1255" w:customStyle="1">
    <w:name w:val="Normal Paragraph"/>
    <w:basedOn w:val="732"/>
    <w:uiPriority w:val="0"/>
    <w:qFormat/>
    <w:pPr>
      <w:ind w:firstLine="425"/>
      <w:spacing w:before="120" w:line="360" w:lineRule="auto"/>
      <w:widowControl/>
    </w:pPr>
    <w:rPr>
      <w:rFonts w:ascii="Calibri" w:hAnsi="Calibri" w:eastAsia="宋体"/>
      <w:szCs w:val="20"/>
    </w:rPr>
  </w:style>
  <w:style w:type="paragraph" w:styleId="1256" w:customStyle="1">
    <w:name w:val="Normal Paragraph Char"/>
    <w:basedOn w:val="732"/>
    <w:uiPriority w:val="0"/>
    <w:qFormat/>
    <w:pPr>
      <w:ind w:firstLine="425"/>
      <w:spacing w:before="120" w:line="360" w:lineRule="auto"/>
      <w:widowControl/>
    </w:pPr>
    <w:rPr>
      <w:rFonts w:ascii="Calibri" w:hAnsi="Calibri" w:eastAsia="宋体"/>
      <w:szCs w:val="22"/>
    </w:rPr>
  </w:style>
  <w:style w:type="paragraph" w:styleId="1257" w:customStyle="1">
    <w:name w:val="文档正文"/>
    <w:basedOn w:val="732"/>
    <w:uiPriority w:val="0"/>
    <w:qFormat/>
    <w:rPr>
      <w:rFonts w:ascii="宋体" w:eastAsia="宋体"/>
      <w:szCs w:val="20"/>
    </w:rPr>
  </w:style>
  <w:style w:type="paragraph" w:styleId="1258" w:customStyle="1">
    <w:name w:val="默认段落字体 Para Char Char Char Char Char"/>
    <w:basedOn w:val="73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9" w:customStyle="1">
    <w:name w:val="标题2"/>
    <w:basedOn w:val="732"/>
    <w:uiPriority w:val="0"/>
    <w:qFormat/>
    <w:pPr>
      <w:tabs>
        <w:tab w:val="left" w:pos="0" w:leader="none"/>
      </w:tabs>
    </w:pPr>
    <w:rPr>
      <w:rFonts w:ascii="黑体" w:eastAsia="黑体"/>
      <w:szCs w:val="22"/>
    </w:rPr>
  </w:style>
  <w:style w:type="paragraph" w:styleId="1260" w:customStyle="1">
    <w:name w:val="Char Char Char Char Char Char Char Char Char Char Char Char Char1"/>
    <w:basedOn w:val="732"/>
    <w:uiPriority w:val="0"/>
    <w:qFormat/>
    <w:pPr>
      <w:jc w:val="left"/>
      <w:spacing w:after="160" w:line="240" w:lineRule="exact"/>
      <w:widowControl/>
    </w:pPr>
    <w:rPr>
      <w:rFonts w:ascii="Arial" w:hAnsi="Arial" w:cs="Verdana"/>
      <w:b/>
      <w:szCs w:val="32"/>
      <w:lang w:eastAsia="en-US"/>
    </w:rPr>
  </w:style>
  <w:style w:type="paragraph" w:styleId="1261" w:customStyle="1">
    <w:name w:val="样式2"/>
    <w:basedOn w:val="801"/>
    <w:uiPriority w:val="0"/>
    <w:qFormat/>
    <w:pPr>
      <w:spacing w:line="415" w:lineRule="auto"/>
    </w:pPr>
    <w:rPr>
      <w:rFonts w:ascii="Calibri" w:hAnsi="Calibri"/>
      <w:bCs/>
      <w:color w:val="000000"/>
      <w:sz w:val="28"/>
      <w:szCs w:val="28"/>
    </w:rPr>
  </w:style>
  <w:style w:type="paragraph" w:styleId="1262" w:customStyle="1">
    <w:name w:val="样式3"/>
    <w:basedOn w:val="801"/>
    <w:uiPriority w:val="0"/>
    <w:qFormat/>
    <w:pPr>
      <w:spacing w:line="415" w:lineRule="auto"/>
    </w:pPr>
    <w:rPr>
      <w:rFonts w:ascii="Calibri" w:hAnsi="Calibri"/>
      <w:bCs/>
      <w:color w:val="000000"/>
      <w:sz w:val="28"/>
      <w:szCs w:val="28"/>
    </w:rPr>
  </w:style>
  <w:style w:type="paragraph" w:styleId="1263" w:customStyle="1">
    <w:name w:val="样式4"/>
    <w:basedOn w:val="801"/>
    <w:uiPriority w:val="0"/>
    <w:qFormat/>
    <w:pPr>
      <w:spacing w:line="415" w:lineRule="auto"/>
    </w:pPr>
    <w:rPr>
      <w:rFonts w:ascii="Calibri" w:hAnsi="Calibri"/>
      <w:bCs/>
      <w:color w:val="000000"/>
      <w:sz w:val="28"/>
      <w:szCs w:val="28"/>
    </w:rPr>
  </w:style>
  <w:style w:type="paragraph" w:styleId="1264" w:customStyle="1">
    <w:name w:val="样式5"/>
    <w:basedOn w:val="801"/>
    <w:uiPriority w:val="0"/>
    <w:qFormat/>
    <w:pPr>
      <w:spacing w:line="415" w:lineRule="auto"/>
    </w:pPr>
    <w:rPr>
      <w:rFonts w:ascii="Calibri" w:hAnsi="Calibri"/>
      <w:bCs/>
      <w:color w:val="000000"/>
      <w:sz w:val="28"/>
      <w:szCs w:val="28"/>
    </w:rPr>
  </w:style>
  <w:style w:type="paragraph" w:styleId="1265" w:customStyle="1">
    <w:name w:val="样式6"/>
    <w:basedOn w:val="119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6" w:customStyle="1">
    <w:name w:val="大汉方案正文 Char"/>
    <w:basedOn w:val="732"/>
    <w:uiPriority w:val="0"/>
    <w:qFormat/>
    <w:pPr>
      <w:ind w:firstLine="200"/>
      <w:spacing w:line="360" w:lineRule="auto"/>
    </w:pPr>
    <w:rPr>
      <w:rFonts w:ascii="Arial" w:hAnsi="Arial" w:eastAsia="宋体"/>
      <w:szCs w:val="22"/>
    </w:rPr>
  </w:style>
  <w:style w:type="character" w:styleId="1267" w:customStyle="1">
    <w:name w:val="标题 2 Char Char Char"/>
    <w:uiPriority w:val="0"/>
    <w:qFormat/>
    <w:rPr>
      <w:rFonts w:ascii="Arial" w:hAnsi="Arial" w:eastAsia="宋体" w:cs="Arial"/>
      <w:b/>
      <w:bCs/>
      <w:i/>
      <w:iCs/>
      <w:sz w:val="28"/>
      <w:szCs w:val="28"/>
      <w:lang w:val="en-US" w:eastAsia="zh-CN" w:bidi="ar-SA"/>
    </w:rPr>
  </w:style>
  <w:style w:type="character" w:styleId="1268" w:customStyle="1">
    <w:name w:val="question-title"/>
    <w:basedOn w:val="947"/>
    <w:uiPriority w:val="0"/>
    <w:qFormat/>
    <w:rPr>
      <w:rFonts w:ascii="Times New Roman" w:hAnsi="Times New Roman" w:eastAsia="宋体" w:cs="Times New Roman"/>
    </w:rPr>
  </w:style>
  <w:style w:type="paragraph" w:styleId="1269" w:customStyle="1">
    <w:name w:val="说明书3级标题"/>
    <w:basedOn w:val="732"/>
    <w:next w:val="732"/>
    <w:uiPriority w:val="0"/>
    <w:qFormat/>
    <w:pPr>
      <w:numPr>
        <w:ilvl w:val="2"/>
        <w:numId w:val="2"/>
      </w:numPr>
      <w:spacing w:line="360" w:lineRule="auto"/>
    </w:pPr>
    <w:rPr>
      <w:rFonts w:ascii="Calibri" w:hAnsi="Calibri" w:eastAsia="黑体"/>
      <w:szCs w:val="22"/>
    </w:rPr>
  </w:style>
  <w:style w:type="paragraph" w:styleId="1270" w:customStyle="1">
    <w:name w:val="说明书2级标题"/>
    <w:basedOn w:val="732"/>
    <w:next w:val="1269"/>
    <w:uiPriority w:val="0"/>
    <w:qFormat/>
    <w:pPr>
      <w:numPr>
        <w:ilvl w:val="2"/>
        <w:numId w:val="3"/>
      </w:numPr>
      <w:spacing w:before="100"/>
    </w:pPr>
    <w:rPr>
      <w:rFonts w:ascii="Calibri" w:hAnsi="Calibri" w:eastAsia="黑体"/>
      <w:sz w:val="28"/>
      <w:szCs w:val="28"/>
    </w:rPr>
  </w:style>
  <w:style w:type="character" w:styleId="1271" w:customStyle="1">
    <w:name w:val="style15"/>
    <w:basedOn w:val="947"/>
    <w:uiPriority w:val="0"/>
    <w:qFormat/>
    <w:rPr>
      <w:rFonts w:ascii="Times New Roman" w:hAnsi="Times New Roman" w:eastAsia="宋体" w:cs="Times New Roman"/>
    </w:rPr>
  </w:style>
  <w:style w:type="paragraph" w:styleId="1272" w:customStyle="1">
    <w:name w:val="列出段落[858D7CFB-ED40-4347-BF05-701D383B685F][858D7CFB-ED40-4347-BF05-701D383B685F]"/>
    <w:basedOn w:val="732"/>
    <w:uiPriority w:val="0"/>
    <w:qFormat/>
    <w:pPr>
      <w:ind w:firstLine="200"/>
    </w:pPr>
    <w:rPr>
      <w:rFonts w:ascii="Calibri" w:hAnsi="Calibri" w:eastAsia="宋体"/>
      <w:szCs w:val="22"/>
    </w:rPr>
  </w:style>
  <w:style w:type="paragraph" w:styleId="1273" w:customStyle="1">
    <w:name w:val="默认段落字体 Para Char Char Char Char Char Char Char Char Char1 Char Char Char Char Char Char Char Char"/>
    <w:basedOn w:val="962"/>
    <w:uiPriority w:val="0"/>
    <w:qFormat/>
    <w:rPr>
      <w:rFonts w:ascii="Calibri" w:hAnsi="Calibri"/>
      <w:szCs w:val="22"/>
    </w:rPr>
  </w:style>
  <w:style w:type="paragraph" w:styleId="1274" w:customStyle="1">
    <w:name w:val="style42"/>
    <w:basedOn w:val="732"/>
    <w:uiPriority w:val="0"/>
    <w:qFormat/>
    <w:pPr>
      <w:jc w:val="left"/>
      <w:spacing w:before="100" w:beforeAutospacing="1" w:after="100" w:afterAutospacing="1"/>
      <w:widowControl/>
    </w:pPr>
    <w:rPr>
      <w:rFonts w:ascii="宋体" w:eastAsia="宋体" w:cs="宋体"/>
      <w:color w:val="000000"/>
      <w:sz w:val="15"/>
      <w:szCs w:val="15"/>
    </w:rPr>
  </w:style>
  <w:style w:type="paragraph" w:styleId="1275" w:customStyle="1">
    <w:name w:val="Char Char1 Char Char Char Char Char Char Char Char"/>
    <w:basedOn w:val="732"/>
    <w:uiPriority w:val="0"/>
    <w:qFormat/>
    <w:pPr>
      <w:jc w:val="left"/>
      <w:spacing w:after="160" w:line="240" w:lineRule="exact"/>
      <w:widowControl/>
    </w:pPr>
    <w:rPr>
      <w:rFonts w:eastAsia="宋体"/>
    </w:rPr>
  </w:style>
  <w:style w:type="paragraph" w:styleId="1276" w:customStyle="1">
    <w:name w:val="技术方案正文样式"/>
    <w:basedOn w:val="732"/>
    <w:uiPriority w:val="0"/>
    <w:qFormat/>
    <w:pPr>
      <w:ind w:firstLine="200"/>
      <w:spacing w:line="400" w:lineRule="exact"/>
    </w:pPr>
    <w:rPr>
      <w:rFonts w:ascii="宋体" w:eastAsia="宋体" w:cs="宋体"/>
      <w:szCs w:val="21"/>
    </w:rPr>
  </w:style>
  <w:style w:type="paragraph" w:styleId="1277" w:customStyle="1">
    <w:name w:val="修订1"/>
    <w:uiPriority w:val="0"/>
    <w:qFormat/>
    <w:rPr>
      <w:rFonts w:ascii="Times New Roman" w:hAnsi="Times New Roman" w:eastAsia="宋体" w:cs="Times New Roman"/>
      <w:sz w:val="21"/>
      <w:szCs w:val="24"/>
      <w:lang w:val="en-US" w:eastAsia="zh-CN" w:bidi="ar-SA"/>
    </w:rPr>
  </w:style>
  <w:style w:type="paragraph" w:styleId="1278" w:customStyle="1">
    <w:name w:val="D&amp;L"/>
    <w:basedOn w:val="986"/>
    <w:uiPriority w:val="0"/>
    <w:qFormat/>
    <w:pPr>
      <w:spacing w:line="240" w:lineRule="atLeast"/>
      <w:pBdr>
        <w:bottom w:val="single" w:color="000000" w:sz="18" w:space="1"/>
      </w:pBdr>
    </w:pPr>
    <w:rPr>
      <w:sz w:val="24"/>
      <w:szCs w:val="20"/>
    </w:rPr>
  </w:style>
  <w:style w:type="paragraph" w:styleId="1279" w:customStyle="1">
    <w:name w:val="样式 标题 2 + Times New Roman 四号 非加粗 段前: 5 磅 段后: 0 磅 行距: 固定值 20..."/>
    <w:basedOn w:val="940"/>
    <w:uiPriority w:val="0"/>
    <w:qFormat/>
    <w:pPr>
      <w:spacing w:before="100" w:after="0" w:line="400" w:lineRule="exact"/>
    </w:pPr>
    <w:rPr>
      <w:rFonts w:ascii="Times New Roman" w:hAnsi="Times New Roman" w:eastAsia="宋体" w:cs="宋体"/>
      <w:b w:val="0"/>
      <w:sz w:val="28"/>
    </w:rPr>
  </w:style>
  <w:style w:type="paragraph" w:styleId="1280" w:customStyle="1">
    <w:name w:val="Char Char Char Char Char Char Char1 Char"/>
    <w:basedOn w:val="732"/>
    <w:uiPriority w:val="0"/>
    <w:qFormat/>
    <w:rPr>
      <w:rFonts w:ascii="Tahoma" w:hAnsi="Tahoma" w:eastAsia="宋体"/>
      <w:szCs w:val="20"/>
    </w:rPr>
  </w:style>
  <w:style w:type="paragraph" w:styleId="1281" w:customStyle="1">
    <w:name w:val="TOC 标题2"/>
    <w:basedOn w:val="939"/>
    <w:next w:val="732"/>
    <w:uiPriority w:val="0"/>
    <w:qFormat/>
    <w:pPr>
      <w:spacing w:before="480" w:after="0" w:line="276" w:lineRule="auto"/>
      <w:widowControl/>
      <w:outlineLvl w:val="9"/>
    </w:pPr>
    <w:rPr>
      <w:rFonts w:ascii="Cambria" w:hAnsi="Cambria"/>
      <w:color w:val="365f91"/>
      <w:sz w:val="28"/>
    </w:rPr>
  </w:style>
  <w:style w:type="character" w:styleId="1282" w:customStyle="1">
    <w:name w:val="无间隔 Char"/>
    <w:link w:val="1283"/>
    <w:uiPriority w:val="0"/>
    <w:qFormat/>
    <w:rPr>
      <w:rFonts w:ascii="Calibri" w:hAnsi="Calibri" w:eastAsia="宋体" w:cs="Times New Roman"/>
      <w:sz w:val="22"/>
      <w:lang w:bidi="ar-SA"/>
    </w:rPr>
  </w:style>
  <w:style w:type="paragraph" w:styleId="1283" w:customStyle="1">
    <w:name w:val="无间隔1"/>
    <w:link w:val="1282"/>
    <w:uiPriority w:val="0"/>
    <w:qFormat/>
    <w:rPr>
      <w:rFonts w:ascii="Calibri" w:hAnsi="Calibri" w:eastAsia="宋体" w:cs="Times New Roman"/>
      <w:sz w:val="22"/>
      <w:lang w:val="en-US" w:eastAsia="zh-CN" w:bidi="ar-SA"/>
    </w:rPr>
  </w:style>
  <w:style w:type="paragraph" w:styleId="128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Normal_1"/>
    <w:uiPriority w:val="0"/>
    <w:qFormat/>
    <w:rPr>
      <w:rFonts w:ascii="黑体" w:hAnsi="黑体" w:eastAsia="黑体" w:cs="Times New Roman"/>
      <w:b/>
      <w:sz w:val="32"/>
      <w:szCs w:val="24"/>
      <w:lang w:val="en-US" w:eastAsia="zh-CN" w:bidi="ar-SA"/>
    </w:rPr>
  </w:style>
  <w:style w:type="paragraph" w:styleId="128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2"/>
    <w:uiPriority w:val="0"/>
    <w:qFormat/>
    <w:rPr>
      <w:rFonts w:ascii="黑体" w:hAnsi="黑体" w:eastAsia="黑体" w:cs="Times New Roman"/>
      <w:b/>
      <w:sz w:val="32"/>
      <w:szCs w:val="24"/>
      <w:lang w:val="en-US" w:eastAsia="zh-CN" w:bidi="ar-SA"/>
    </w:rPr>
  </w:style>
  <w:style w:type="paragraph" w:styleId="129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Normal_3"/>
    <w:uiPriority w:val="0"/>
    <w:qFormat/>
    <w:rPr>
      <w:rFonts w:ascii="黑体" w:hAnsi="黑体" w:eastAsia="黑体" w:cs="Times New Roman"/>
      <w:b/>
      <w:sz w:val="32"/>
      <w:szCs w:val="24"/>
      <w:lang w:val="en-US" w:eastAsia="zh-CN" w:bidi="ar-SA"/>
    </w:rPr>
  </w:style>
  <w:style w:type="paragraph" w:styleId="1292" w:customStyle="1">
    <w:name w:val="Normal_4"/>
    <w:uiPriority w:val="0"/>
    <w:qFormat/>
    <w:rPr>
      <w:rFonts w:ascii="黑体" w:hAnsi="黑体" w:eastAsia="黑体" w:cs="Times New Roman"/>
      <w:b/>
      <w:sz w:val="32"/>
      <w:szCs w:val="24"/>
      <w:lang w:val="en-US" w:eastAsia="zh-CN" w:bidi="ar-SA"/>
    </w:rPr>
  </w:style>
  <w:style w:type="paragraph" w:styleId="1293" w:customStyle="1">
    <w:name w:val="Normal_5"/>
    <w:uiPriority w:val="0"/>
    <w:qFormat/>
    <w:rPr>
      <w:rFonts w:ascii="黑体" w:hAnsi="黑体" w:eastAsia="黑体" w:cs="Times New Roman"/>
      <w:b/>
      <w:sz w:val="32"/>
      <w:szCs w:val="24"/>
      <w:lang w:val="en-US" w:eastAsia="zh-CN" w:bidi="ar-SA"/>
    </w:rPr>
  </w:style>
  <w:style w:type="paragraph" w:styleId="129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Normal_6"/>
    <w:uiPriority w:val="0"/>
    <w:qFormat/>
    <w:rPr>
      <w:rFonts w:ascii="黑体" w:hAnsi="黑体" w:eastAsia="黑体" w:cs="Times New Roman"/>
      <w:b/>
      <w:sz w:val="32"/>
      <w:szCs w:val="24"/>
      <w:lang w:val="en-US" w:eastAsia="zh-CN" w:bidi="ar-SA"/>
    </w:rPr>
  </w:style>
  <w:style w:type="paragraph" w:styleId="129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7" w:customStyle="1">
    <w:name w:val="Normal_7"/>
    <w:uiPriority w:val="0"/>
    <w:qFormat/>
    <w:rPr>
      <w:rFonts w:ascii="黑体" w:hAnsi="黑体" w:eastAsia="黑体" w:cs="Times New Roman"/>
      <w:b/>
      <w:sz w:val="32"/>
      <w:szCs w:val="24"/>
      <w:lang w:val="en-US" w:eastAsia="zh-CN" w:bidi="ar-SA"/>
    </w:rPr>
  </w:style>
  <w:style w:type="paragraph" w:styleId="1298" w:customStyle="1">
    <w:name w:val="Normal_8"/>
    <w:uiPriority w:val="0"/>
    <w:qFormat/>
    <w:rPr>
      <w:rFonts w:ascii="Times New Roman" w:hAnsi="Times New Roman" w:eastAsia="Times New Roman" w:cs="Times New Roman"/>
      <w:sz w:val="24"/>
      <w:szCs w:val="24"/>
      <w:lang w:val="en-US" w:eastAsia="zh-CN" w:bidi="ar-SA"/>
    </w:rPr>
  </w:style>
  <w:style w:type="paragraph" w:styleId="1299" w:customStyle="1">
    <w:name w:val="Normal_9"/>
    <w:uiPriority w:val="0"/>
    <w:qFormat/>
    <w:rPr>
      <w:rFonts w:ascii="黑体" w:hAnsi="黑体" w:eastAsia="黑体" w:cs="Times New Roman"/>
      <w:b/>
      <w:sz w:val="32"/>
      <w:szCs w:val="24"/>
      <w:lang w:val="en-US" w:eastAsia="zh-CN" w:bidi="ar-SA"/>
    </w:rPr>
  </w:style>
  <w:style w:type="paragraph" w:styleId="130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1" w:customStyle="1">
    <w:name w:val="Normal_10"/>
    <w:uiPriority w:val="0"/>
    <w:qFormat/>
    <w:rPr>
      <w:rFonts w:ascii="黑体" w:hAnsi="黑体" w:eastAsia="黑体" w:cs="Times New Roman"/>
      <w:b/>
      <w:sz w:val="32"/>
      <w:szCs w:val="24"/>
      <w:lang w:val="en-US" w:eastAsia="zh-CN" w:bidi="ar-SA"/>
    </w:rPr>
  </w:style>
  <w:style w:type="paragraph" w:styleId="1302"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3" w:customStyle="1">
    <w:name w:val="正文缩进 Char1_0"/>
    <w:link w:val="1304"/>
    <w:uiPriority w:val="0"/>
    <w:qFormat/>
    <w:rPr>
      <w:rFonts w:ascii="Times New Roman" w:hAnsi="Times New Roman" w:eastAsia="宋体" w:cs="Times New Roman"/>
      <w:sz w:val="21"/>
      <w:szCs w:val="22"/>
    </w:rPr>
  </w:style>
  <w:style w:type="paragraph" w:styleId="1304" w:customStyle="1">
    <w:name w:val="正文缩进_0"/>
    <w:basedOn w:val="1302"/>
    <w:link w:val="1303"/>
    <w:uiPriority w:val="0"/>
    <w:qFormat/>
    <w:pPr>
      <w:ind w:firstLine="420"/>
    </w:pPr>
    <w:rPr>
      <w:szCs w:val="22"/>
    </w:rPr>
  </w:style>
  <w:style w:type="character" w:styleId="1305" w:customStyle="1">
    <w:name w:val="纯文本 Char_0"/>
    <w:link w:val="1306"/>
    <w:uiPriority w:val="0"/>
    <w:qFormat/>
    <w:rPr>
      <w:rFonts w:ascii="宋体" w:hAnsi="Courier New" w:eastAsia="宋体" w:cs="Courier New"/>
      <w:sz w:val="21"/>
      <w:szCs w:val="21"/>
    </w:rPr>
  </w:style>
  <w:style w:type="paragraph" w:styleId="1306" w:customStyle="1">
    <w:name w:val="纯文本_0"/>
    <w:basedOn w:val="1302"/>
    <w:link w:val="1305"/>
    <w:uiPriority w:val="0"/>
    <w:qFormat/>
    <w:rPr>
      <w:rFonts w:ascii="宋体" w:hAnsi="Courier New"/>
      <w:szCs w:val="21"/>
    </w:rPr>
  </w:style>
  <w:style w:type="paragraph" w:styleId="1307" w:customStyle="1">
    <w:name w:val="Normal_11"/>
    <w:uiPriority w:val="0"/>
    <w:qFormat/>
    <w:rPr>
      <w:rFonts w:ascii="黑体" w:hAnsi="黑体" w:eastAsia="黑体" w:cs="Times New Roman"/>
      <w:b/>
      <w:sz w:val="32"/>
      <w:szCs w:val="24"/>
      <w:lang w:val="en-US" w:eastAsia="zh-CN" w:bidi="ar-SA"/>
    </w:rPr>
  </w:style>
  <w:style w:type="paragraph" w:styleId="130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12"/>
    <w:uiPriority w:val="0"/>
    <w:qFormat/>
    <w:rPr>
      <w:rFonts w:ascii="黑体" w:hAnsi="黑体" w:eastAsia="黑体" w:cs="Times New Roman"/>
      <w:b/>
      <w:sz w:val="32"/>
      <w:szCs w:val="24"/>
      <w:lang w:val="en-US" w:eastAsia="zh-CN" w:bidi="ar-SA"/>
    </w:rPr>
  </w:style>
  <w:style w:type="paragraph" w:styleId="131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3"/>
    <w:uiPriority w:val="0"/>
    <w:qFormat/>
    <w:rPr>
      <w:rFonts w:ascii="黑体" w:hAnsi="黑体" w:eastAsia="黑体" w:cs="Times New Roman"/>
      <w:b/>
      <w:sz w:val="32"/>
      <w:szCs w:val="24"/>
      <w:lang w:val="en-US" w:eastAsia="zh-CN" w:bidi="ar-SA"/>
    </w:rPr>
  </w:style>
  <w:style w:type="paragraph" w:styleId="131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4"/>
    <w:uiPriority w:val="0"/>
    <w:qFormat/>
    <w:rPr>
      <w:rFonts w:ascii="黑体" w:hAnsi="黑体" w:eastAsia="黑体" w:cs="Times New Roman"/>
      <w:b/>
      <w:sz w:val="32"/>
      <w:szCs w:val="24"/>
      <w:lang w:val="en-US" w:eastAsia="zh-CN" w:bidi="ar-SA"/>
    </w:rPr>
  </w:style>
  <w:style w:type="paragraph" w:styleId="131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5"/>
    <w:uiPriority w:val="0"/>
    <w:qFormat/>
    <w:rPr>
      <w:rFonts w:ascii="黑体" w:hAnsi="黑体" w:eastAsia="黑体" w:cs="Times New Roman"/>
      <w:b/>
      <w:sz w:val="32"/>
      <w:szCs w:val="24"/>
      <w:lang w:val="en-US" w:eastAsia="zh-CN" w:bidi="ar-SA"/>
    </w:rPr>
  </w:style>
  <w:style w:type="paragraph" w:styleId="131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Normal_16"/>
    <w:uiPriority w:val="0"/>
    <w:qFormat/>
    <w:rPr>
      <w:rFonts w:ascii="黑体" w:hAnsi="黑体" w:eastAsia="黑体" w:cs="Times New Roman"/>
      <w:b/>
      <w:sz w:val="32"/>
      <w:szCs w:val="24"/>
      <w:lang w:val="en-US" w:eastAsia="zh-CN" w:bidi="ar-SA"/>
    </w:rPr>
  </w:style>
  <w:style w:type="paragraph" w:styleId="131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Normal_17"/>
    <w:uiPriority w:val="0"/>
    <w:qFormat/>
    <w:rPr>
      <w:rFonts w:ascii="黑体" w:hAnsi="黑体" w:eastAsia="黑体" w:cs="Times New Roman"/>
      <w:b/>
      <w:sz w:val="32"/>
      <w:szCs w:val="24"/>
      <w:lang w:val="en-US" w:eastAsia="zh-CN" w:bidi="ar-SA"/>
    </w:rPr>
  </w:style>
  <w:style w:type="paragraph" w:styleId="1321" w:customStyle="1">
    <w:name w:val="Normal_18"/>
    <w:uiPriority w:val="0"/>
    <w:qFormat/>
    <w:rPr>
      <w:rFonts w:ascii="黑体" w:hAnsi="黑体" w:eastAsia="黑体" w:cs="Times New Roman"/>
      <w:b/>
      <w:sz w:val="32"/>
      <w:szCs w:val="24"/>
      <w:lang w:val="en-US" w:eastAsia="zh-CN" w:bidi="ar-SA"/>
    </w:rPr>
  </w:style>
  <w:style w:type="paragraph" w:styleId="1322"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3" w:customStyle="1">
    <w:name w:val="Normal_0_0"/>
    <w:uiPriority w:val="0"/>
    <w:qFormat/>
    <w:rPr>
      <w:rFonts w:ascii="黑体" w:hAnsi="黑体" w:eastAsia="黑体" w:cs="Times New Roman"/>
      <w:b/>
      <w:sz w:val="40"/>
      <w:szCs w:val="24"/>
      <w:lang w:val="en-US" w:eastAsia="zh-CN" w:bidi="ar-SA"/>
    </w:rPr>
  </w:style>
  <w:style w:type="paragraph" w:styleId="1324" w:customStyle="1">
    <w:name w:val="Normal_1_0"/>
    <w:uiPriority w:val="0"/>
    <w:qFormat/>
    <w:rPr>
      <w:rFonts w:ascii="Times New Roman" w:hAnsi="Times New Roman" w:eastAsia="Times New Roman" w:cs="Times New Roman"/>
      <w:sz w:val="24"/>
      <w:szCs w:val="24"/>
      <w:lang w:val="en-US" w:eastAsia="zh-CN" w:bidi="ar-SA"/>
    </w:rPr>
  </w:style>
  <w:style w:type="paragraph" w:styleId="1325" w:customStyle="1">
    <w:name w:val="Normal1"/>
    <w:uiPriority w:val="0"/>
    <w:qFormat/>
    <w:rPr>
      <w:rFonts w:ascii="Times New Roman" w:hAnsi="Times New Roman" w:eastAsia="Times New Roman" w:cs="Times New Roman"/>
      <w:sz w:val="24"/>
      <w:szCs w:val="24"/>
      <w:lang w:val="en-US" w:eastAsia="zh-CN" w:bidi="ar-SA"/>
    </w:rPr>
  </w:style>
  <w:style w:type="paragraph" w:styleId="1326"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Normal_19"/>
    <w:uiPriority w:val="0"/>
    <w:qFormat/>
    <w:rPr>
      <w:rFonts w:ascii="Times New Roman" w:hAnsi="Times New Roman" w:eastAsia="Times New Roman" w:cs="Times New Roman"/>
      <w:sz w:val="24"/>
      <w:szCs w:val="24"/>
      <w:lang w:val="en-US" w:eastAsia="zh-CN" w:bidi="ar-SA"/>
    </w:rPr>
  </w:style>
  <w:style w:type="paragraph" w:styleId="1329" w:customStyle="1">
    <w:name w:val="Normal_5_0"/>
    <w:uiPriority w:val="0"/>
    <w:qFormat/>
    <w:rPr>
      <w:rFonts w:ascii="黑体" w:hAnsi="黑体" w:eastAsia="黑体" w:cs="黑体"/>
      <w:b/>
      <w:sz w:val="32"/>
      <w:szCs w:val="24"/>
      <w:lang w:val="en-US" w:eastAsia="zh-CN" w:bidi="ar-SA"/>
    </w:rPr>
  </w:style>
  <w:style w:type="paragraph" w:styleId="1330" w:customStyle="1">
    <w:name w:val="Normal_6_0"/>
    <w:uiPriority w:val="0"/>
    <w:qFormat/>
    <w:rPr>
      <w:rFonts w:ascii="黑体" w:hAnsi="黑体" w:eastAsia="黑体" w:cs="黑体"/>
      <w:b/>
      <w:sz w:val="32"/>
      <w:szCs w:val="24"/>
      <w:lang w:val="en-US" w:eastAsia="zh-CN" w:bidi="ar-SA"/>
    </w:rPr>
  </w:style>
  <w:style w:type="paragraph" w:styleId="1331" w:customStyle="1">
    <w:name w:val="Normal_10_0"/>
    <w:uiPriority w:val="0"/>
    <w:qFormat/>
    <w:rPr>
      <w:rFonts w:ascii="Times New Roman" w:hAnsi="Times New Roman" w:eastAsia="Times New Roman" w:cs="Times New Roman"/>
      <w:sz w:val="24"/>
      <w:szCs w:val="24"/>
      <w:lang w:val="en-US" w:eastAsia="zh-CN" w:bidi="ar-SA"/>
    </w:rPr>
  </w:style>
  <w:style w:type="paragraph" w:styleId="1332" w:customStyle="1">
    <w:name w:val="Normal_11_0"/>
    <w:uiPriority w:val="0"/>
    <w:qFormat/>
    <w:rPr>
      <w:rFonts w:ascii="黑体" w:hAnsi="黑体" w:eastAsia="黑体" w:cs="黑体"/>
      <w:b/>
      <w:sz w:val="32"/>
      <w:szCs w:val="24"/>
      <w:lang w:val="en-US" w:eastAsia="zh-CN" w:bidi="ar-SA"/>
    </w:rPr>
  </w:style>
  <w:style w:type="paragraph" w:styleId="1333"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8" w:customStyle="1">
    <w:name w:val="列出段落_2"/>
    <w:basedOn w:val="1336"/>
    <w:uiPriority w:val="0"/>
    <w:qFormat/>
    <w:pPr>
      <w:ind w:firstLine="420"/>
    </w:pPr>
  </w:style>
  <w:style w:type="paragraph" w:styleId="133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40" w:customStyle="1">
    <w:name w:val="Normal_16_0"/>
    <w:uiPriority w:val="0"/>
    <w:qFormat/>
    <w:rPr>
      <w:rFonts w:ascii="黑体" w:hAnsi="黑体" w:eastAsia="黑体" w:cs="黑体"/>
      <w:b/>
      <w:sz w:val="32"/>
      <w:szCs w:val="24"/>
      <w:lang w:val="en-US" w:eastAsia="zh-CN" w:bidi="ar-SA"/>
    </w:rPr>
  </w:style>
  <w:style w:type="paragraph" w:styleId="1341"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Normal_19_0"/>
    <w:uiPriority w:val="0"/>
    <w:qFormat/>
    <w:rPr>
      <w:rFonts w:ascii="黑体" w:hAnsi="黑体" w:eastAsia="黑体" w:cs="黑体"/>
      <w:b/>
      <w:sz w:val="32"/>
      <w:szCs w:val="24"/>
      <w:lang w:val="en-US" w:eastAsia="zh-CN" w:bidi="ar-SA"/>
    </w:rPr>
  </w:style>
  <w:style w:type="paragraph" w:styleId="1344"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Normal_20"/>
    <w:uiPriority w:val="0"/>
    <w:qFormat/>
    <w:rPr>
      <w:rFonts w:ascii="黑体" w:hAnsi="黑体" w:eastAsia="黑体" w:cs="黑体"/>
      <w:b/>
      <w:sz w:val="32"/>
      <w:szCs w:val="24"/>
      <w:lang w:val="en-US" w:eastAsia="zh-CN" w:bidi="ar-SA"/>
    </w:rPr>
  </w:style>
  <w:style w:type="paragraph" w:styleId="1346" w:customStyle="1">
    <w:name w:val="Normal_21"/>
    <w:uiPriority w:val="0"/>
    <w:qFormat/>
    <w:rPr>
      <w:rFonts w:ascii="黑体" w:hAnsi="黑体" w:eastAsia="黑体" w:cs="黑体"/>
      <w:b/>
      <w:sz w:val="32"/>
      <w:szCs w:val="24"/>
      <w:lang w:val="en-US" w:eastAsia="zh-CN" w:bidi="ar-SA"/>
    </w:rPr>
  </w:style>
  <w:style w:type="paragraph" w:styleId="1347" w:customStyle="1">
    <w:name w:val="Normal_0_2"/>
    <w:uiPriority w:val="0"/>
    <w:qFormat/>
    <w:rPr>
      <w:rFonts w:ascii="黑体" w:hAnsi="黑体" w:eastAsia="黑体" w:cs="黑体"/>
      <w:b/>
      <w:sz w:val="32"/>
      <w:szCs w:val="24"/>
      <w:lang w:val="en-US" w:eastAsia="zh-CN" w:bidi="ar-SA"/>
    </w:rPr>
  </w:style>
  <w:style w:type="paragraph" w:styleId="1348" w:customStyle="1">
    <w:name w:val="首行缩进"/>
    <w:basedOn w:val="732"/>
    <w:uiPriority w:val="0"/>
    <w:qFormat/>
    <w:pPr>
      <w:ind w:firstLine="480"/>
    </w:pPr>
    <w:rPr>
      <w:rFonts w:eastAsia="宋体"/>
      <w:szCs w:val="20"/>
      <w:lang w:val="zh-CN"/>
    </w:rPr>
  </w:style>
  <w:style w:type="paragraph" w:styleId="1349" w:customStyle="1">
    <w:name w:val="列出段落2"/>
    <w:basedOn w:val="732"/>
    <w:uiPriority w:val="0"/>
    <w:qFormat/>
    <w:pPr>
      <w:widowControl/>
    </w:pPr>
    <w:rPr>
      <w:rFonts w:eastAsia="宋体"/>
      <w:szCs w:val="20"/>
      <w:lang w:eastAsia="ar-SA"/>
    </w:rPr>
  </w:style>
  <w:style w:type="character" w:styleId="1350" w:customStyle="1">
    <w:name w:val="批注框文本 Char"/>
    <w:basedOn w:val="742"/>
    <w:link w:val="755"/>
    <w:uiPriority w:val="0"/>
    <w:qFormat/>
    <w:rPr>
      <w:rFonts w:eastAsia="Times New Roman"/>
      <w:sz w:val="18"/>
      <w:szCs w:val="18"/>
    </w:rPr>
  </w:style>
  <w:style w:type="character" w:styleId="1351" w:customStyle="1">
    <w:name w:val="批注文字 Char1"/>
    <w:basedOn w:val="742"/>
    <w:link w:val="747"/>
    <w:uiPriority w:val="99"/>
    <w:semiHidden/>
    <w:qFormat/>
    <w:rPr>
      <w:rFonts w:eastAsia="Times New Roman"/>
      <w:sz w:val="24"/>
      <w:szCs w:val="24"/>
    </w:rPr>
  </w:style>
  <w:style w:type="character" w:styleId="1352" w:customStyle="1">
    <w:name w:val="批注主题 Char"/>
    <w:basedOn w:val="1351"/>
    <w:link w:val="769"/>
    <w:uiPriority w:val="0"/>
    <w:qFormat/>
    <w:rPr>
      <w:rFonts w:eastAsia="Times New Roman"/>
      <w:sz w:val="24"/>
      <w:szCs w:val="24"/>
    </w:rPr>
  </w:style>
  <w:style w:type="paragraph" w:styleId="1353" w:customStyle="1">
    <w:name w:val="WPSOffice手动目录 1"/>
    <w:uiPriority w:val="0"/>
    <w:qFormat/>
    <w:rPr>
      <w:rFonts w:ascii="Times New Roman" w:hAnsi="Times New Roman" w:eastAsia="宋体" w:cs="Times New Roman"/>
      <w:lang w:val="en-US" w:eastAsia="zh-CN" w:bidi="ar-SA"/>
    </w:rPr>
  </w:style>
  <w:style w:type="character" w:styleId="1354" w:customStyle="1">
    <w:name w:val="15"/>
    <w:basedOn w:val="742"/>
    <w:uiPriority w:val="0"/>
    <w:qFormat/>
    <w:rPr>
      <w:rFonts w:hint="default" w:ascii="Times New Roman" w:hAnsi="Times New Roman" w:cs="Times New Roman"/>
    </w:rPr>
  </w:style>
  <w:style w:type="paragraph" w:styleId="1355" w:customStyle="1">
    <w:name w:val="Table Text"/>
    <w:basedOn w:val="732"/>
    <w:uiPriority w:val="0"/>
    <w:semiHidden/>
    <w:qFormat/>
    <w:rPr>
      <w:rFonts w:ascii="宋体" w:hAnsi="宋体" w:eastAsia="宋体" w:cs="宋体"/>
      <w:lang w:eastAsia="en-US"/>
    </w:rPr>
  </w:style>
  <w:style w:type="table" w:styleId="1356" w:customStyle="1">
    <w:name w:val="Table Normal"/>
    <w:uiPriority w:val="0"/>
    <w:semiHidden/>
    <w:unhideWhenUsed/>
    <w:qFormat/>
    <w:tblPr>
      <w:tblCellMar>
        <w:left w:w="0" w:type="dxa"/>
        <w:top w:w="0" w:type="dxa"/>
        <w:right w:w="0" w:type="dxa"/>
        <w:bottom w:w="0" w:type="dxa"/>
      </w:tblCellMar>
    </w:tblPr>
  </w:style>
  <w:style w:type="character" w:styleId="1357" w:customStyle="1">
    <w:name w:val="16"/>
    <w:basedOn w:val="742"/>
    <w:uiPriority w:val="0"/>
    <w:qFormat/>
    <w:rPr>
      <w:rFonts w:hint="default" w:ascii="Times New Roman" w:hAnsi="Times New Roman" w:eastAsia="宋体" w:cs="Times New Roman"/>
    </w:rPr>
  </w:style>
  <w:style w:type="character" w:styleId="1358" w:customStyle="1">
    <w:name w:val="font11"/>
    <w:basedOn w:val="742"/>
    <w:uiPriority w:val="0"/>
    <w:qFormat/>
    <w:rPr>
      <w:rFonts w:hint="default" w:ascii="GE Inspira Sans" w:hAnsi="GE Inspira Sans" w:eastAsia="GE Inspira Sans" w:cs="GE Inspira Sans"/>
      <w:color w:val="000000"/>
      <w:sz w:val="20"/>
      <w:szCs w:val="20"/>
      <w:u w:val="none"/>
    </w:rPr>
  </w:style>
  <w:style w:type="character" w:styleId="1359" w:customStyle="1">
    <w:name w:val="font71"/>
    <w:basedOn w:val="742"/>
    <w:uiPriority w:val="0"/>
    <w:qFormat/>
    <w:rPr>
      <w:rFonts w:ascii="等线" w:hAnsi="等线" w:eastAsia="等线" w:cs="等线"/>
      <w:color w:val="000000"/>
      <w:sz w:val="20"/>
      <w:szCs w:val="20"/>
      <w:u w:val="none"/>
    </w:rPr>
  </w:style>
  <w:style w:type="character" w:styleId="1360" w:customStyle="1">
    <w:name w:val="font81"/>
    <w:basedOn w:val="742"/>
    <w:uiPriority w:val="0"/>
    <w:qFormat/>
    <w:rPr>
      <w:rFonts w:hint="eastAsia" w:ascii="等线" w:hAnsi="等线" w:eastAsia="等线" w:cs="等线"/>
      <w:color w:val="000000"/>
      <w:sz w:val="20"/>
      <w:szCs w:val="20"/>
      <w:u w:val="none"/>
    </w:rPr>
  </w:style>
  <w:style w:type="character" w:styleId="1361" w:customStyle="1">
    <w:name w:val="font31"/>
    <w:basedOn w:val="742"/>
    <w:uiPriority w:val="0"/>
    <w:qFormat/>
    <w:rPr>
      <w:rFonts w:hint="default" w:ascii="Arial" w:hAnsi="Arial" w:cs="Arial"/>
      <w:color w:val="000000"/>
      <w:sz w:val="20"/>
      <w:szCs w:val="20"/>
      <w:u w:val="none"/>
    </w:rPr>
  </w:style>
  <w:style w:type="character" w:styleId="1362" w:customStyle="1">
    <w:name w:val="font91"/>
    <w:basedOn w:val="742"/>
    <w:uiPriority w:val="0"/>
    <w:qFormat/>
    <w:rPr>
      <w:rFonts w:ascii="微软雅黑" w:hAnsi="微软雅黑" w:eastAsia="微软雅黑" w:cs="微软雅黑"/>
      <w:color w:val="000000"/>
      <w:sz w:val="20"/>
      <w:szCs w:val="20"/>
      <w:u w:val="none"/>
    </w:rPr>
  </w:style>
  <w:style w:type="character" w:styleId="1363" w:customStyle="1">
    <w:name w:val="页眉 Char"/>
    <w:basedOn w:val="742"/>
    <w:link w:val="758"/>
    <w:uiPriority w:val="0"/>
    <w:qFormat/>
    <w:rPr>
      <w:rFonts w:eastAsia="Times New Roman"/>
      <w:sz w:val="24"/>
      <w:szCs w:val="24"/>
    </w:rPr>
  </w:style>
  <w:style w:type="character" w:styleId="1364" w:customStyle="1">
    <w:name w:val="默认段落字体11"/>
    <w:uiPriority w:val="1"/>
    <w:unhideWhenUsed/>
    <w:qFormat/>
    <w:rPr>
      <w:rFonts w:ascii="Times New Roman" w:hAnsi="Times New Roman" w:eastAsia="Times New Roman" w:cs="Times New Roman"/>
      <w:sz w:val="24"/>
      <w:szCs w:val="24"/>
      <w:lang w:val="en-US" w:eastAsia="zh-CN" w:bidi="ar-SA"/>
    </w:rPr>
  </w:style>
  <w:style w:type="table" w:styleId="1365" w:customStyle="1">
    <w:name w:val="网格型12"/>
    <w:uiPriority w:val="59"/>
    <w:qFormat/>
    <w:tblPr>
      <w:tblCellMar>
        <w:left w:w="0" w:type="dxa"/>
        <w:top w:w="0" w:type="dxa"/>
        <w:right w:w="0" w:type="dxa"/>
        <w:bottom w:w="0" w:type="dxa"/>
      </w:tblCellMar>
    </w:tblPr>
  </w:style>
  <w:style w:type="numbering" w:styleId="13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de9c72bb-bed0-48fe-9431-86ee8b681e7d</errorID>
      <errorWord> </errorWord>
      <group>L1_AI</group>
      <groupName>深度校对</groupName>
      <ability>L2_AI_Punc</ability>
      <abilityName>标点纠错</abilityName>
      <candidateList>
        <item/>
      </candidateList>
      <explain>此处空格冗余，建议删除。</explain>
      <paraID>5738C053</paraID>
      <start>7</start>
      <end>8</end>
      <status>unmodified</status>
      <modifiedWord/>
      <trackRevisions>false</trackRevisions>
    </reviewItem>
    <reviewItem>
      <errorID>d20f601a-e23a-47a1-840d-82cdfb0d4570</errorID>
      <errorWord> </errorWord>
      <group>L1_AI</group>
      <groupName>深度校对</groupName>
      <ability>L2_AI_Punc</ability>
      <abilityName>标点纠错</abilityName>
      <candidateList>
        <item/>
      </candidateList>
      <explain>此处空格冗余，建议删除。</explain>
      <paraID>5738C053</paraID>
      <start>9</start>
      <end>10</end>
      <status>unmodified</status>
      <modifiedWord/>
      <trackRevisions>false</trackRevisions>
    </reviewItem>
    <reviewItem>
      <errorID>27370dd0-072f-486d-a1b1-8a56a7795d56</errorID>
      <errorWord>JSZC-320***** </errorWord>
      <group>L1_AI</group>
      <groupName>深度校对</groupName>
      <ability>L2_AI_Punc</ability>
      <abilityName>标点纠错</abilityName>
      <candidateList>
        <item>（JSZC-320*****）</item>
      </candidateList>
      <explain/>
      <paraID>3509235F</paraID>
      <start>18</start>
      <end>32</end>
      <status>unmodified</status>
      <modifiedWord/>
      <trackRevisions>false</trackRevisions>
    </reviewItem>
    <reviewItem>
      <errorID>4484e585-6f9d-4237-af60-892282580750</errorID>
      <errorWord>）获取招标文件</errorWord>
      <group>L1_AI</group>
      <groupName>深度校对</groupName>
      <ability>L2_AI_Grammar</ability>
      <abilityName>语法纠错</abilityName>
      <candidateList>
        <item>）</item>
      </candidateList>
      <explain/>
      <paraID>3509235F</paraID>
      <start>86</start>
      <end>93</end>
      <status>unmodified</status>
      <modifiedWord/>
      <trackRevisions>false</trackRevisions>
    </reviewItem>
    <reviewItem>
      <errorID>84f98e48-9685-4430-bcae-f1792219c1be</errorID>
      <errorWord>―</errorWord>
      <group>L1_AI</group>
      <groupName>深度校对</groupName>
      <ability>L2_AI_Word</ability>
      <abilityName>字词纠错</abilityName>
      <candidateList>
        <item>——</item>
      </candidateList>
      <explain/>
      <paraID>  6F61EA</paraID>
      <start>99</start>
      <end>100</end>
      <status>unmodified</status>
      <modifiedWord/>
      <trackRevisions>false</trackRevisions>
    </reviewItem>
    <reviewItem>
      <errorID>bce5315e-8208-4980-94ea-63079b1252eb</errorID>
      <errorWord>-</errorWord>
      <group>L1_AI</group>
      <groupName>深度校对</groupName>
      <ability>L2_AI_Punc</ability>
      <abilityName>标点纠错</abilityName>
      <candidateList>
        <item>——</item>
      </candidateList>
      <explain/>
      <paraID>  6F61EA</paraID>
      <start>104</start>
      <end>105</end>
      <status>unmodified</status>
      <modifiedWord/>
      <trackRevisions>false</trackRevisions>
    </reviewItem>
    <reviewItem>
      <errorID>d0a1f5c6-2e3e-45da-93c0-5225bdaa512c</errorID>
      <errorWord>-</errorWord>
      <group>L1_Format</group>
      <groupName>格式问题</groupName>
      <ability>L2_HalfPunc</ability>
      <abilityName>全半角检查</abilityName>
      <candidateList>
        <item>－</item>
      </candidateList>
      <explain>文本全半角错误。</explain>
      <paraID>1591C049</paraID>
      <start>40</start>
      <end>41</end>
      <status>unmodified</status>
      <modifiedWord/>
      <trackRevisions>false</trackRevisions>
    </reviewItem>
    <reviewItem>
      <errorID>67f7e330-1e34-4f79-970d-66755591ec37</errorID>
      <errorWord>-</errorWord>
      <group>L1_Format</group>
      <groupName>格式问题</groupName>
      <ability>L2_HalfPunc</ability>
      <abilityName>全半角检查</abilityName>
      <candidateList>
        <item>－</item>
      </candidateList>
      <explain>文本全半角错误。</explain>
      <paraID>1591C049</paraID>
      <start>41</start>
      <end>42</end>
      <status>unmodified</status>
      <modifiedWord/>
      <trackRevisions>false</trackRevisions>
    </reviewItem>
    <reviewItem>
      <errorID>e01a5844-267a-4848-bc41-93443207be78</errorID>
      <errorWord>-</errorWord>
      <group>L1_Format</group>
      <groupName>格式问题</groupName>
      <ability>L2_HalfPunc</ability>
      <abilityName>全半角检查</abilityName>
      <candidateList>
        <item>－</item>
      </candidateList>
      <explain>文本全半角错误。</explain>
      <paraID>1591C049</paraID>
      <start>67</start>
      <end>68</end>
      <status>unmodified</status>
      <modifiedWord/>
      <trackRevisions>false</trackRevisions>
    </reviewItem>
    <reviewItem>
      <errorID>a0b1ae72-0de0-48ba-872c-b183d58922a0</errorID>
      <errorWord>-</errorWord>
      <group>L1_Format</group>
      <groupName>格式问题</groupName>
      <ability>L2_HalfPunc</ability>
      <abilityName>全半角检查</abilityName>
      <candidateList>
        <item>－</item>
      </candidateList>
      <explain>文本全半角错误。</explain>
      <paraID>1591C049</paraID>
      <start>68</start>
      <end>69</end>
      <status>unmodified</status>
      <modifiedWord/>
      <trackRevisions>false</trackRevisions>
    </reviewItem>
    <reviewItem>
      <errorID>7152c7e1-d648-4ac8-b0c7-5a78d2df6295</errorID>
      <errorWord>-</errorWord>
      <group>L1_Format</group>
      <groupName>格式问题</groupName>
      <ability>L2_HalfPunc</ability>
      <abilityName>全半角检查</abilityName>
      <candidateList>
        <item>－</item>
      </candidateList>
      <explain>文本全半角错误。</explain>
      <paraID>1591C049</paraID>
      <start>118</start>
      <end>119</end>
      <status>unmodified</status>
      <modifiedWord/>
      <trackRevisions>false</trackRevisions>
    </reviewItem>
    <reviewItem>
      <errorID>59fa3b23-fa00-4839-87b2-8ca3c607795d</errorID>
      <errorWord>-</errorWord>
      <group>L1_Format</group>
      <groupName>格式问题</groupName>
      <ability>L2_HalfPunc</ability>
      <abilityName>全半角检查</abilityName>
      <candidateList>
        <item>－</item>
      </candidateList>
      <explain>文本全半角错误。</explain>
      <paraID>1591C049</paraID>
      <start>119</start>
      <end>120</end>
      <status>unmodified</status>
      <modifiedWord/>
      <trackRevisions>false</trackRevisions>
    </reviewItem>
    <reviewItem>
      <errorID>0b69dd77-78d1-4991-b7c9-96660bfa1acf</errorID>
      <errorWord>-</errorWord>
      <group>L1_Format</group>
      <groupName>格式问题</groupName>
      <ability>L2_HalfPunc</ability>
      <abilityName>全半角检查</abilityName>
      <candidateList>
        <item>－</item>
      </candidateList>
      <explain>文本全半角错误。</explain>
      <paraID>1591C049</paraID>
      <start>126</start>
      <end>127</end>
      <status>unmodified</status>
      <modifiedWord/>
      <trackRevisions>false</trackRevisions>
    </reviewItem>
    <reviewItem>
      <errorID>a2375349-b34d-4724-bc19-be03b23b2f9a</errorID>
      <errorWord>-</errorWord>
      <group>L1_Format</group>
      <groupName>格式问题</groupName>
      <ability>L2_HalfPunc</ability>
      <abilityName>全半角检查</abilityName>
      <candidateList>
        <item>－</item>
      </candidateList>
      <explain>文本全半角错误。</explain>
      <paraID>1591C049</paraID>
      <start>127</start>
      <end>128</end>
      <status>unmodified</status>
      <modifiedWord/>
      <trackRevisions>false</trackRevisions>
    </reviewItem>
    <reviewItem>
      <errorID>dbdbb4c3-0ab6-4dd5-8a29-6dc978a5d1d0</errorID>
      <errorWord>--</errorWord>
      <group>L1_AI</group>
      <groupName>深度校对</groupName>
      <ability>L2_AI_Punc</ability>
      <abilityName>标点纠错</abilityName>
      <candidateList>
        <item>——</item>
      </candidateList>
      <explain/>
      <paraID>705639A9</paraID>
      <start>49</start>
      <end>51</end>
      <status>unmodified</status>
      <modifiedWord/>
      <trackRevisions>false</trackRevisions>
    </reviewItem>
    <reviewItem>
      <errorID>7d9f16f2-59de-4d7c-9c3d-306a9a3c582d</errorID>
      <errorWord>--</errorWord>
      <group>L1_AI</group>
      <groupName>深度校对</groupName>
      <ability>L2_AI_Punc</ability>
      <abilityName>标点纠错</abilityName>
      <candidateList>
        <item>——</item>
      </candidateList>
      <explain/>
      <paraID>705639A9</paraID>
      <start>56</start>
      <end>58</end>
      <status>unmodified</status>
      <modifiedWord/>
      <trackRevisions>false</trackRevisions>
    </reviewItem>
    <reviewItem>
      <errorID>6f9d294f-496e-4e62-be5c-64d793fee127</errorID>
      <errorWord>苏采云</errorWord>
      <group>L1_AI</group>
      <groupName>深度校对</groupName>
      <ability>L2_AI_Punc</ability>
      <abilityName>标点纠错</abilityName>
      <candidateList>
        <item>使用“苏采云”</item>
      </candidateList>
      <explain/>
      <paraID>747CAD2D</paraID>
      <start>3</start>
      <end>6</end>
      <status>unmodified</status>
      <modifiedWord/>
      <trackRevisions>false</trackRevisions>
    </reviewItem>
    <reviewItem>
      <errorID>61686906-e002-4f3a-b211-89d59cbc09f9</errorID>
      <errorWord>使用</errorWord>
      <group>L1_AI</group>
      <groupName>深度校对</groupName>
      <ability>L2_AI_Grammar</ability>
      <abilityName>语法纠错</abilityName>
      <candidateList>
        <item>时，需用</item>
      </candidateList>
      <explain/>
      <paraID>747CAD2D</paraID>
      <start>8</start>
      <end>10</end>
      <status>unmodified</status>
      <modifiedWord/>
      <trackRevisions>false</trackRevisions>
    </reviewItem>
    <reviewItem>
      <errorID>18600768-9917-4340-a22d-aa20ce717fd7</errorID>
      <errorWord>按</errorWord>
      <group>L1_AI</group>
      <groupName>深度校对</groupName>
      <ability>L2_AI_Word</ability>
      <abilityName>字词纠错</abilityName>
      <candidateList>
        <item>以</item>
      </candidateList>
      <explain/>
      <paraID>596DE751</paraID>
      <start>19</start>
      <end>20</end>
      <status>unmodified</status>
      <modifiedWord/>
      <trackRevisions>false</trackRevisions>
    </reviewItem>
    <reviewItem>
      <errorID>0b558ec4-987a-4ec6-a484-be1565256d6a</errorID>
      <errorWord>[2002]1980号</errorWord>
      <group>L1_Knowledge</group>
      <groupName>知识性问题</groupName>
      <ability>L2_Knowledge</ability>
      <abilityName>其他知识</abilityName>
      <candidateList>
        <item>〔2002〕1980号</item>
      </candidateList>
      <explain>发文字号格式错误。</explain>
      <paraID>596DE751</paraID>
      <start>39</start>
      <end>50</end>
      <status>modified</status>
      <modifiedWord>〔2002〕1980号</modifiedWord>
      <trackRevisions>false</trackRevisions>
    </reviewItem>
    <reviewItem>
      <errorID>293acfc2-139d-4cdd-901a-ae7c70f111c0</errorID>
      <errorWord>[2003]857号</errorWord>
      <group>L1_Knowledge</group>
      <groupName>知识性问题</groupName>
      <ability>L2_Knowledge</ability>
      <abilityName>其他知识</abilityName>
      <candidateList>
        <item>〔2003〕857号</item>
      </candidateList>
      <explain>发文字号格式错误。</explain>
      <paraID>596DE751</paraID>
      <start>56</start>
      <end>66</end>
      <status>modified</status>
      <modifiedWord>〔2003〕857号</modifiedWord>
      <trackRevisions>false</trackRevisions>
    </reviewItem>
    <reviewItem>
      <errorID>3fb0cc35-8a63-4ef7-808b-c11d9e0cca7d</errorID>
      <errorWord>本</errorWord>
      <group>L1_AI</group>
      <groupName>深度校对</groupName>
      <ability>L2_AI_Punc</ability>
      <abilityName>标点纠错</abilityName>
      <candidateList>
        <item>，本</item>
      </candidateList>
      <explain/>
      <paraID>2536EF98</paraID>
      <start>2</start>
      <end>3</end>
      <status>unmodified</status>
      <modifiedWord/>
      <trackRevisions>false</trackRevisions>
    </reviewItem>
    <reviewItem>
      <errorID>82b1c5ec-41bb-4c92-a050-371dc244fd69</errorID>
      <errorWord>【2026】1号</errorWord>
      <group>L1_Knowledge</group>
      <groupName>知识性问题</groupName>
      <ability>L2_Knowledge</ability>
      <abilityName>其他知识</abilityName>
      <candidateList>
        <item>〔2026〕1号</item>
      </candidateList>
      <explain>发文字号格式错误。</explain>
      <paraID>2536EF98</paraID>
      <start>36</start>
      <end>44</end>
      <status>modified</status>
      <modifiedWord>〔2026〕1号</modifiedWord>
      <trackRevisions>false</trackRevisions>
    </reviewItem>
    <reviewItem>
      <errorID>b6efd32b-c69b-4538-9725-d5b4a34a75cd</errorID>
      <errorWord> 一、</errorWord>
      <group>L1_AI</group>
      <groupName>深度校对</groupName>
      <ability>L2_AI_Title</ability>
      <abilityName>标题检查</abilityName>
      <candidateList>
        <item>三、</item>
      </candidateList>
      <explain>标题顺序错误，请检查标题顺序是否合理。</explain>
      <paraID> 4BC121E</paraID>
      <start>0</start>
      <end>3</end>
      <status>unmodified</status>
      <modifiedWord/>
      <trackRevisions>false</trackRevisions>
    </reviewItem>
    <reviewItem>
      <errorID>30de393b-1fdc-487c-95ab-8068c087b460</errorID>
      <errorWord>其他经济</errorWord>
      <group>L1_AI</group>
      <groupName>深度校对</groupName>
      <ability>L2_AI_Grammar</ability>
      <abilityName>语法纠错</abilityName>
      <candidateList>
        <item>其他</item>
      </candidateList>
      <explain/>
      <paraID>637CC6A1</paraID>
      <start>55</start>
      <end>59</end>
      <status>unmodified</status>
      <modifiedWord/>
      <trackRevisions>false</trackRevisions>
    </reviewItem>
    <reviewItem>
      <errorID>db6a5723-814c-4723-abe1-44fb845ed0e1</errorID>
      <errorWord>涉及到</errorWord>
      <group>L1_Grammar</group>
      <groupName>语法问题</groupName>
      <ability>L2_Grammar</ability>
      <abilityName>语法错误</abilityName>
      <candidateList>
        <item>涉及</item>
      </candidateList>
      <explain>〈动〉牵涉到；关联到：案子～好几个人｜这个问题～面很广。</explain>
      <paraID>28A9CB01</paraID>
      <start>47</start>
      <end>50</end>
      <status>unmodified</status>
      <modifiedWord/>
      <trackRevisions>false</trackRevisions>
    </reviewItem>
    <reviewItem>
      <errorID>fb0045b9-e3d2-453e-880c-53df8a174386</errorID>
      <errorWord>，</errorWord>
      <group>L1_Word</group>
      <groupName>字词问题</groupName>
      <ability>L2_Typo</ability>
      <abilityName>字词错误</abilityName>
      <candidateList>
        <item>，并</item>
      </candidateList>
      <explain/>
      <paraID>246B7CD9</paraID>
      <start>54</start>
      <end>55</end>
      <status>unmodified</status>
      <modifiedWord/>
      <trackRevisions>false</trackRevisions>
    </reviewItem>
    <reviewItem>
      <errorID>be46e6da-40a9-4c89-b00b-447194a711c5</errorID>
      <errorWord>国家发改委</errorWord>
      <group>L1_Knowledge</group>
      <groupName>知识性问题</groupName>
      <ability>L2_Knowledge</ability>
      <abilityName>其他知识</abilityName>
      <candidateList>
        <item>国家发展改革委</item>
      </candidateList>
      <explain/>
      <paraID>36ED78EF</paraID>
      <start>18</start>
      <end>23</end>
      <status>unmodified</status>
      <modifiedWord/>
      <trackRevisions>false</trackRevisions>
    </reviewItem>
    <reviewItem>
      <errorID>65058dd4-96ef-408e-ae29-5c4ed01c00a4</errorID>
      <errorWord>过程中涉及到</errorWord>
      <group>L1_Word</group>
      <groupName>字词问题</groupName>
      <ability>L2_Typo</ability>
      <abilityName>字词错误</abilityName>
      <candidateList>
        <item>过程中涉及</item>
      </candidateList>
      <explain/>
      <paraID>40293ECE</paraID>
      <start>10</start>
      <end>16</end>
      <status>unmodified</status>
      <modifiedWord/>
      <trackRevisions>false</trackRevisions>
    </reviewItem>
    <reviewItem>
      <errorID>5ce205e4-f646-4185-8308-0c038e348689</errorID>
      <errorWord>保持通讯畅通</errorWord>
      <group>L1_Word</group>
      <groupName>字词问题</groupName>
      <ability>L2_Typo</ability>
      <abilityName>字词错误</abilityName>
      <candidateList>
        <item>保持通信畅通</item>
      </candidateList>
      <explain/>
      <paraID>66DFF740</paraID>
      <start>13</start>
      <end>19</end>
      <status>unmodified</status>
      <modifiedWord/>
      <trackRevisions>false</trackRevisions>
    </reviewItem>
    <reviewItem>
      <errorID>e66908df-61bd-4fd5-98ce-5bb785a5f065</errorID>
      <errorWord>，</errorWord>
      <group>L1_Word</group>
      <groupName>字词问题</groupName>
      <ability>L2_Typo</ability>
      <abilityName>字词错误</abilityName>
      <candidateList>
        <item>，由</item>
      </candidateList>
      <explain/>
      <paraID>7C75254D</paraID>
      <start>85</start>
      <end>86</end>
      <status>unmodified</status>
      <modifiedWord/>
      <trackRevisions>false</trackRevisions>
    </reviewItem>
    <reviewItem>
      <errorID>e60df666-fcc4-4e78-8fd2-f9cfab12502d</errorID>
      <errorWord>（</errorWord>
      <group>L1_Word</group>
      <groupName>字词问题</groupName>
      <ability>L2_Typo</ability>
      <abilityName>字词错误</abilityName>
      <candidateList>
        <item>（在</item>
      </candidateList>
      <explain/>
      <paraID>7291651B</paraID>
      <start>119</start>
      <end>120</end>
      <status>unmodified</status>
      <modifiedWord/>
      <trackRevisions>false</trackRevisions>
    </reviewItem>
    <reviewItem>
      <errorID>9b9bf32c-27da-47ec-a5fc-4d2da89e922b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738CADBB</paraID>
      <start>67</start>
      <end>68</end>
      <status>unmodified</status>
      <modifiedWord/>
      <trackRevisions>false</trackRevisions>
    </reviewItem>
    <reviewItem>
      <errorID>d141e09e-41db-4108-8d95-e2ef234b3449</errorID>
      <errorWord>&lt;</errorWord>
      <group>L1_Format</group>
      <groupName>格式问题</groupName>
      <ability>L2_HalfPunc</ability>
      <abilityName>全半角检查</abilityName>
      <candidateList>
        <item>〈</item>
      </candidateList>
      <explain>文本全半角错误。</explain>
      <paraID>375E39D3</paraID>
      <start>121</start>
      <end>122</end>
      <status>unmodified</status>
      <modifiedWord/>
      <trackRevisions>false</trackRevisions>
    </reviewItem>
    <reviewItem>
      <errorID>da265a30-9dbd-4733-8a5b-748ee3acb076</errorID>
      <errorWord>&gt;</errorWord>
      <group>L1_Format</group>
      <groupName>格式问题</groupName>
      <ability>L2_HalfPunc</ability>
      <abilityName>全半角检查</abilityName>
      <candidateList>
        <item>〉</item>
      </candidateList>
      <explain>文本全半角错误。</explain>
      <paraID>375E39D3</paraID>
      <start>139</start>
      <end>140</end>
      <status>unmodified</status>
      <modifiedWord/>
      <trackRevisions>false</trackRevisions>
    </reviewItem>
    <reviewItem>
      <errorID>72f60a8e-5dd9-459e-9883-40d81ab4ab3b</errorID>
      <errorWord>重、特大</errorWord>
      <group>L1_Punc</group>
      <groupName>标点问题</groupName>
      <ability>L2_Punc</ability>
      <abilityName>标点符号检查</abilityName>
      <candidateList>
        <item>重特大</item>
      </candidateList>
      <explain/>
      <paraID>2ED7FE98</paraID>
      <start>72</start>
      <end>76</end>
      <status>unmodified</status>
      <modifiedWord/>
      <trackRevisions>false</trackRevisions>
    </reviewItem>
    <reviewItem>
      <errorID>2b1a7702-993a-4101-9a6e-4e5871d3ae6d</errorID>
      <errorWord>延用</errorWord>
      <group>L1_Word</group>
      <groupName>字词问题</groupName>
      <ability>L2_Typo</ability>
      <abilityName>字词错误</abilityName>
      <candidateList>
        <item>沿用</item>
      </candidateList>
      <explain>〈动〉继续使用（过去的方法、制度、法令等）：～原来的名称。</explain>
      <paraID>7C3AE125</paraID>
      <start>349</start>
      <end>351</end>
      <status>unmodified</status>
      <modifiedWord/>
      <trackRevisions>false</trackRevisions>
    </reviewItem>
    <reviewItem>
      <errorID>5ae655c5-4963-44e3-9230-8e8659f7fe5a</errorID>
      <errorWord>期限</errorWord>
      <group>L1_Word</group>
      <groupName>字词问题</groupName>
      <ability>L2_Typo</ability>
      <abilityName>字词错误</abilityName>
      <candidateList>
        <item>限期</item>
      </candidateList>
      <explain/>
      <paraID>7C3AE125</paraID>
      <start>442</start>
      <end>444</end>
      <status>unmodified</status>
      <modifiedWord/>
      <trackRevisions>false</trackRevisions>
    </reviewItem>
    <reviewItem>
      <errorID>7d720654-6227-4d1b-88f7-f8f79fb56008</errorID>
      <errorWord>,</errorWord>
      <group>L1_Format</group>
      <groupName>格式问题</groupName>
      <ability>L2_HalfPunc</ability>
      <abilityName>全半角检查</abilityName>
      <candidateList>
        <item>，</item>
      </candidateList>
      <explain>文本全半角错误。</explain>
      <paraID>3BED3383</paraID>
      <start>68</start>
      <end>69</end>
      <status>unmodified</status>
      <modifiedWord/>
      <trackRevisions>false</trackRevisions>
    </reviewItem>
    <reviewItem>
      <errorID>1b6ffd25-e054-4541-b60f-bbf66abd1159</errorID>
      <errorWord>,</errorWord>
      <group>L1_Format</group>
      <groupName>格式问题</groupName>
      <ability>L2_HalfPunc</ability>
      <abilityName>全半角检查</abilityName>
      <candidateList>
        <item>，</item>
      </candidateList>
      <explain>文本全半角错误。</explain>
      <paraID>239A808F</paraID>
      <start>26</start>
      <end>27</end>
      <status>unmodified</status>
      <modifiedWord/>
      <trackRevisions>false</trackRevisions>
    </reviewItem>
    <reviewItem>
      <errorID>5f0fd5b3-09d5-48ef-aee2-47b5ece1e8d3</errorID>
      <errorWord>伍份</errorWord>
      <group>L1_Word</group>
      <groupName>字词问题</groupName>
      <ability>L2_Typo</ability>
      <abilityName>字词错误</abilityName>
      <candidateList>
        <item>五份</item>
      </candidateList>
      <explain>存在发音相同字词的误用。</explain>
      <paraID>339711A7</paraID>
      <start>12</start>
      <end>14</end>
      <status>unmodified</status>
      <modifiedWord/>
      <trackRevisions>false</trackRevisions>
    </reviewItem>
    <reviewItem>
      <errorID>84da6f3e-a280-4aa5-a5ba-a79c52f9b5fa</errorID>
      <errorWord>重、特大</errorWord>
      <group>L1_Punc</group>
      <groupName>标点问题</groupName>
      <ability>L2_Punc</ability>
      <abilityName>标点符号检查</abilityName>
      <candidateList>
        <item>重特大</item>
      </candidateList>
      <explain/>
      <paraID>48D845FB</paraID>
      <start>72</start>
      <end>76</end>
      <status>unmodified</status>
      <modifiedWord/>
      <trackRevisions>false</trackRevisions>
    </reviewItem>
    <reviewItem>
      <errorID>ea4512ea-90b7-4a61-92b3-7c638640650e</errorID>
      <errorWord>(</errorWord>
      <group>L1_Format</group>
      <groupName>格式问题</groupName>
      <ability>L2_HalfPunc</ability>
      <abilityName>全半角检查</abilityName>
      <candidateList>
        <item>（</item>
      </candidateList>
      <explain>文本全半角错误。</explain>
      <paraID>2A2DBF45</paraID>
      <start>14</start>
      <end>15</end>
      <status>unmodified</status>
      <modifiedWord/>
      <trackRevisions>false</trackRevisions>
    </reviewItem>
    <reviewItem>
      <errorID>a79c80f2-843d-42de-93af-9d0e53df70ca</errorID>
      <errorWord>)</errorWord>
      <group>L1_Format</group>
      <groupName>格式问题</groupName>
      <ability>L2_HalfPunc</ability>
      <abilityName>全半角检查</abilityName>
      <candidateList>
        <item>）</item>
      </candidateList>
      <explain>文本全半角错误。</explain>
      <paraID>2A2DBF45</paraID>
      <start>18</start>
      <end>19</end>
      <status>unmodified</status>
      <modifiedWord/>
      <trackRevisions>false</trackRevisions>
    </reviewItem>
    <reviewItem>
      <errorID>ab0aecc7-92ce-43a8-b9b4-7df61470ec4b</errorID>
      <errorWord>(</errorWord>
      <group>L1_Format</group>
      <groupName>格式问题</groupName>
      <ability>L2_HalfPunc</ability>
      <abilityName>全半角检查</abilityName>
      <candidateList>
        <item>（</item>
      </candidateList>
      <explain>文本全半角错误。</explain>
      <paraID>2A2DBF45</paraID>
      <start>23</start>
      <end>24</end>
      <status>unmodified</status>
      <modifiedWord/>
      <trackRevisions>false</trackRevisions>
    </reviewItem>
    <reviewItem>
      <errorID>659c0582-0662-4e9f-8789-9ee53815845f</errorID>
      <errorWord>)</errorWord>
      <group>L1_Format</group>
      <groupName>格式问题</groupName>
      <ability>L2_HalfPunc</ability>
      <abilityName>全半角检查</abilityName>
      <candidateList>
        <item>）</item>
      </candidateList>
      <explain>文本全半角错误。</explain>
      <paraID>2A2DBF45</paraID>
      <start>27</start>
      <end>28</end>
      <status>unmodified</status>
      <modifiedWord/>
      <trackRevisions>false</trackRevisions>
    </reviewItem>
    <reviewItem>
      <errorID>89045586-f0aa-43c1-8e25-d747c395d890</errorID>
      <errorWord>(</errorWord>
      <group>L1_Format</group>
      <groupName>格式问题</groupName>
      <ability>L2_HalfPunc</ability>
      <abilityName>全半角检查</abilityName>
      <candidateList>
        <item>（</item>
      </candidateList>
      <explain>文本全半角错误。</explain>
      <paraID>2A2DBF45</paraID>
      <start>32</start>
      <end>33</end>
      <status>unmodified</status>
      <modifiedWord/>
      <trackRevisions>false</trackRevisions>
    </reviewItem>
    <reviewItem>
      <errorID>fb1f741f-40fd-4b92-ba87-b2f827793794</errorID>
      <errorWord>)</errorWord>
      <group>L1_Format</group>
      <groupName>格式问题</groupName>
      <ability>L2_HalfPunc</ability>
      <abilityName>全半角检查</abilityName>
      <candidateList>
        <item>）</item>
      </candidateList>
      <explain>文本全半角错误。</explain>
      <paraID>2A2DBF45</paraID>
      <start>36</start>
      <end>37</end>
      <status>unmodified</status>
      <modifiedWord/>
      <trackRevisions>false</trackRevisions>
    </reviewItem>
    <reviewItem>
      <errorID>25e23b60-0fb8-41c4-863d-3c94d30120e1</errorID>
      <errorWord>重、特大</errorWord>
      <group>L1_Punc</group>
      <groupName>标点问题</groupName>
      <ability>L2_Punc</ability>
      <abilityName>标点符号检查</abilityName>
      <candidateList>
        <item>重特大</item>
      </candidateList>
      <explain/>
      <paraID>5EC45F82</paraID>
      <start>73</start>
      <end>77</end>
      <status>unmodified</status>
      <modifiedWord/>
      <trackRevisions>false</trackRevisions>
    </reviewItem>
    <reviewItem>
      <errorID>10982538-26eb-4b43-94f5-bd5d52fb9433</errorID>
      <errorWord>；</errorWord>
      <group>L1_Word</group>
      <groupName>字词问题</groupName>
      <ability>L2_Typo</ability>
      <abilityName>字词错误</abilityName>
      <candidateList>
        <item>；有</item>
      </candidateList>
      <explain/>
      <paraID>74A5BBAB</paraID>
      <start>35</start>
      <end>36</end>
      <status>unmodified</status>
      <modifiedWord/>
      <trackRevisions>false</trackRevisions>
    </reviewItem>
    <reviewItem>
      <errorID>6e697275-2573-43b4-a5d3-28a54f5058b9</errorID>
      <errorWord>,</errorWord>
      <group>L1_Format</group>
      <groupName>格式问题</groupName>
      <ability>L2_HalfPunc</ability>
      <abilityName>全半角检查</abilityName>
      <candidateList>
        <item>，</item>
      </candidateList>
      <explain>文本全半角错误。</explain>
      <paraID>1D34C1AB</paraID>
      <start>23</start>
      <end>24</end>
      <status>unmodified</status>
      <modifiedWord/>
      <trackRevisions>false</trackRevisions>
    </reviewItem>
    <reviewItem>
      <errorID>f2836ef7-44e0-4695-912b-236ff6f23b7e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1DBF1EB8</paraID>
      <start>18</start>
      <end>20</end>
      <status>unmodified</status>
      <modifiedWord/>
      <trackRevisions>false</trackRevisions>
    </reviewItem>
    <reviewItem>
      <errorID>3196cb92-b3ab-40c6-960c-faf0093631e6</errorID>
      <errorWord>捷</errorWord>
      <group>L1_Word</group>
      <groupName>字词问题</groupName>
      <ability>L2_Typo</ability>
      <abilityName>字词错误</abilityName>
      <candidateList>
        <item>捷地</item>
      </candidateList>
      <explain/>
      <paraID>5825E81D</paraID>
      <start>19</start>
      <end>20</end>
      <status>unmodified</status>
      <modifiedWord/>
      <trackRevisions>false</trackRevisions>
    </reviewItem>
    <reviewItem>
      <errorID>e3cec678-ce4d-4f07-88b7-6b24a558fdbe</errorID>
      <errorWord>,</errorWord>
      <group>L1_Format</group>
      <groupName>格式问题</groupName>
      <ability>L2_HalfPunc</ability>
      <abilityName>全半角检查</abilityName>
      <candidateList>
        <item>，</item>
      </candidateList>
      <explain>文本全半角错误。</explain>
      <paraID>2B5F2F89</paraID>
      <start>68</start>
      <end>69</end>
      <status>unmodified</status>
      <modifiedWord/>
      <trackRevisions>false</trackRevisions>
    </reviewItem>
    <reviewItem>
      <errorID>e3850744-e177-4fb5-99f7-0644211f331f</errorID>
      <errorWord>，</errorWord>
      <group>L1_Word</group>
      <groupName>字词问题</groupName>
      <ability>L2_Typo</ability>
      <abilityName>字词错误</abilityName>
      <candidateList>
        <item>，由</item>
      </candidateList>
      <explain/>
      <paraID>1251DFA5</paraID>
      <start>27</start>
      <end>28</end>
      <status>unmodified</status>
      <modifiedWord/>
      <trackRevisions>false</trackRevisions>
    </reviewItem>
    <reviewItem>
      <errorID>6a646c2d-16b7-4d43-8f9f-61bb944db868</errorID>
      <errorWord>》</errorWord>
      <group>L1_Word</group>
      <groupName>字词问题</groupName>
      <ability>L2_Typo</ability>
      <abilityName>字词错误</abilityName>
      <candidateList>
        <item>》等</item>
      </candidateList>
      <explain/>
      <paraID> F104516</paraID>
      <start>38</start>
      <end>39</end>
      <status>unmodified</status>
      <modifiedWord/>
      <trackRevisions>false</trackRevisions>
    </reviewItem>
    <reviewItem>
      <errorID>a2ceaa70-088e-4e1b-a1e1-330da8111552</errorID>
      <errorWord>（</errorWord>
      <group>L1_Punc</group>
      <groupName>标点问题</groupName>
      <ability>L2_Punc</ability>
      <abilityName>标点符号检查</abilityName>
      <candidateList>
        <item/>
      </candidateList>
      <explain>同一形式括号套用。</explain>
      <paraID>740814E3</paraID>
      <start>73</start>
      <end>74</end>
      <status>unmodified</status>
      <modifiedWord/>
      <trackRevisions>false</trackRevisions>
    </reviewItem>
    <reviewItem>
      <errorID>a718a58e-edec-41ed-a93a-e0c480ad5910</errorID>
      <errorWord>(</errorWord>
      <group>L1_Punc</group>
      <groupName>标点问题</groupName>
      <ability>L2_Punc</ability>
      <abilityName>标点符号检查</abilityName>
      <candidateList/>
      <explain>同一形式括号套用。</explain>
      <paraID>740814E3</paraID>
      <start>79</start>
      <end>80</end>
      <status>unmodified</status>
      <modifiedWord/>
      <trackRevisions>false</trackRevisions>
    </reviewItem>
    <reviewItem>
      <errorID>f4900f4f-f5f3-4918-b905-097166d25095</errorID>
      <errorWord>)</errorWord>
      <group>L1_Punc</group>
      <groupName>标点问题</groupName>
      <ability>L2_Punc</ability>
      <abilityName>标点符号检查</abilityName>
      <candidateList/>
      <explain>同一形式括号套用。</explain>
      <paraID>740814E3</paraID>
      <start>83</start>
      <end>84</end>
      <status>unmodified</status>
      <modifiedWord/>
      <trackRevisions>false</trackRevisions>
    </reviewItem>
    <reviewItem>
      <errorID>150200d9-8554-49a3-bbd6-db7c3bfcc068</errorID>
      <errorWord>(</errorWord>
      <group>L1_Punc</group>
      <groupName>标点问题</groupName>
      <ability>L2_Punc</ability>
      <abilityName>标点符号检查</abilityName>
      <candidateList/>
      <explain>同一形式括号套用。</explain>
      <paraID>740814E3</paraID>
      <start>88</start>
      <end>89</end>
      <status>unmodified</status>
      <modifiedWord/>
      <trackRevisions>false</trackRevisions>
    </reviewItem>
    <reviewItem>
      <errorID>47ef56df-4a3f-4b3f-b975-1231c07a019e</errorID>
      <errorWord>)</errorWord>
      <group>L1_Punc</group>
      <groupName>标点问题</groupName>
      <ability>L2_Punc</ability>
      <abilityName>标点符号检查</abilityName>
      <candidateList/>
      <explain>同一形式括号套用。</explain>
      <paraID>740814E3</paraID>
      <start>92</start>
      <end>93</end>
      <status>unmodified</status>
      <modifiedWord/>
      <trackRevisions>false</trackRevisions>
    </reviewItem>
    <reviewItem>
      <errorID>beccae68-99f4-42be-8c36-56f6fede6c3e</errorID>
      <errorWord>(</errorWord>
      <group>L1_Punc</group>
      <groupName>标点问题</groupName>
      <ability>L2_Punc</ability>
      <abilityName>标点符号检查</abilityName>
      <candidateList/>
      <explain>同一形式括号套用。</explain>
      <paraID>740814E3</paraID>
      <start>97</start>
      <end>98</end>
      <status>unmodified</status>
      <modifiedWord/>
      <trackRevisions>false</trackRevisions>
    </reviewItem>
    <reviewItem>
      <errorID>64bec60c-d05c-4d06-b90a-bf7c557f8bda</errorID>
      <errorWord>)</errorWord>
      <group>L1_Punc</group>
      <groupName>标点问题</groupName>
      <ability>L2_Punc</ability>
      <abilityName>标点符号检查</abilityName>
      <candidateList/>
      <explain>同一形式括号套用。</explain>
      <paraID>740814E3</paraID>
      <start>101</start>
      <end>102</end>
      <status>unmodified</status>
      <modifiedWord/>
      <trackRevisions>false</trackRevisions>
    </reviewItem>
    <reviewItem>
      <errorID>4d99ef58-66d5-459b-bd25-fe8d97ad7fe7</errorID>
      <errorWord>）</errorWord>
      <group>L1_Punc</group>
      <groupName>标点问题</groupName>
      <ability>L2_Punc</ability>
      <abilityName>标点符号检查</abilityName>
      <candidateList/>
      <explain>同一形式括号套用。</explain>
      <paraID>740814E3</paraID>
      <start>137</start>
      <end>138</end>
      <status>unmodified</status>
      <modifiedWord/>
      <trackRevisions>false</trackRevisions>
    </reviewItem>
    <reviewItem>
      <errorID>cddf7691-788a-4e38-ad12-ded473dc1139</errorID>
      <errorWord>；</errorWord>
      <group>L1_Word</group>
      <groupName>字词问题</groupName>
      <ability>L2_Typo</ability>
      <abilityName>字词错误</abilityName>
      <candidateList>
        <item>；有</item>
      </candidateList>
      <explain/>
      <paraID>74E8C601</paraID>
      <start>34</start>
      <end>35</end>
      <status>unmodified</status>
      <modifiedWord/>
      <trackRevisions>false</trackRevisions>
    </reviewItem>
    <reviewItem>
      <errorID>ae629ec6-4067-431a-8312-7e3538cf396e</errorID>
      <errorWord>、等</errorWord>
      <group>L1_Punc</group>
      <groupName>标点问题</groupName>
      <ability>L2_Punc</ability>
      <abilityName>标点符号检查</abilityName>
      <candidateList>
        <item>等</item>
      </candidateList>
      <explain>“及”“和”“等”连词前不宜使用顿号，建议删除（或使用逗号）。</explain>
      <paraID>199BC4F7</paraID>
      <start>29</start>
      <end>31</end>
      <status>unmodified</status>
      <modifiedWord/>
      <trackRevisions>false</trackRevisions>
    </reviewItem>
    <reviewItem>
      <errorID>ca5f00e5-f60e-4e47-9593-acf2f1d716a5</errorID>
      <errorWord>（</errorWord>
      <group>L1_Format</group>
      <groupName>格式问题</groupName>
      <ability>L2_HalfPunc</ability>
      <abilityName>全半角检查</abilityName>
      <candidateList>
        <item>(</item>
      </candidateList>
      <explain>文本全半角错误。</explain>
      <paraID> F8029E1</paraID>
      <start>0</start>
      <end>1</end>
      <status>unmodified</status>
      <modifiedWord/>
      <trackRevisions>false</trackRevisions>
    </reviewItem>
    <reviewItem>
      <errorID>e3b84981-cde0-4471-ab70-654b34de168e</errorID>
      <errorWord>）</errorWord>
      <group>L1_Format</group>
      <groupName>格式问题</groupName>
      <ability>L2_HalfPunc</ability>
      <abilityName>全半角检查</abilityName>
      <candidateList>
        <item>)</item>
      </candidateList>
      <explain>文本全半角错误。</explain>
      <paraID> F8029E1</paraID>
      <start>11</start>
      <end>12</end>
      <status>unmodified</status>
      <modifiedWord/>
      <trackRevisions>false</trackRevisions>
    </reviewItem>
    <reviewItem>
      <errorID>3d9a6a51-0c6c-4a33-a7b0-3b9f0a958325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5CE6E3FE</paraID>
      <start>0</start>
      <end>2</end>
      <status>unmodified</status>
      <modifiedWord/>
      <trackRevisions>false</trackRevisions>
    </reviewItem>
    <reviewItem>
      <errorID>838fb440-92b5-4a21-b1e6-fd747ef8022e</errorID>
      <errorWord>,</errorWord>
      <group>L1_Format</group>
      <groupName>格式问题</groupName>
      <ability>L2_HalfPunc</ability>
      <abilityName>全半角检查</abilityName>
      <candidateList>
        <item>，</item>
      </candidateList>
      <explain>文本全半角错误。</explain>
      <paraID>56612828</paraID>
      <start>23</start>
      <end>24</end>
      <status>unmodified</status>
      <modifiedWord/>
      <trackRevisions>false</trackRevisions>
    </reviewItem>
    <reviewItem>
      <errorID>4be7dfd6-7b5e-462d-9870-22076224472e</errorID>
      <errorWord>（</errorWord>
      <group>L1_Format</group>
      <groupName>格式问题</groupName>
      <ability>L2_HalfPunc</ability>
      <abilityName>全半角检查</abilityName>
      <candidateList>
        <item>(</item>
      </candidateList>
      <explain>文本全半角错误。</explain>
      <paraID>7A7A5E6D</paraID>
      <start>0</start>
      <end>1</end>
      <status>unmodified</status>
      <modifiedWord/>
      <trackRevisions>false</trackRevisions>
    </reviewItem>
    <reviewItem>
      <errorID>e7ea11f1-2a5f-4edf-a92b-bf2e340c8144</errorID>
      <errorWord>）</errorWord>
      <group>L1_Format</group>
      <groupName>格式问题</groupName>
      <ability>L2_HalfPunc</ability>
      <abilityName>全半角检查</abilityName>
      <candidateList>
        <item>)</item>
      </candidateList>
      <explain>文本全半角错误。</explain>
      <paraID>7A7A5E6D</paraID>
      <start>11</start>
      <end>12</end>
      <status>unmodified</status>
      <modifiedWord/>
      <trackRevisions>false</trackRevisions>
    </reviewItem>
    <reviewItem>
      <errorID>630c7154-c03c-476c-b1ba-074470ae4ac0</errorID>
      <errorWord>（</errorWord>
      <group>L1_Format</group>
      <groupName>格式问题</groupName>
      <ability>L2_HalfPunc</ability>
      <abilityName>全半角检查</abilityName>
      <candidateList>
        <item>(</item>
      </candidateList>
      <explain>文本全半角错误。</explain>
      <paraID> 56F67DA</paraID>
      <start>0</start>
      <end>1</end>
      <status>unmodified</status>
      <modifiedWord/>
      <trackRevisions>false</trackRevisions>
    </reviewItem>
    <reviewItem>
      <errorID>3f50ba11-aa8d-41fa-90ca-a1f282bb0364</errorID>
      <errorWord>）</errorWord>
      <group>L1_Format</group>
      <groupName>格式问题</groupName>
      <ability>L2_HalfPunc</ability>
      <abilityName>全半角检查</abilityName>
      <candidateList>
        <item>)</item>
      </candidateList>
      <explain>文本全半角错误。</explain>
      <paraID> 56F67DA</paraID>
      <start>12</start>
      <end>13</end>
      <status>unmodified</status>
      <modifiedWord/>
      <trackRevisions>false</trackRevisions>
    </reviewItem>
    <reviewItem>
      <errorID>1d0b6908-61da-462b-96f1-a6679e507482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3A9471FC</paraID>
      <start>11</start>
      <end>12</end>
      <status>unmodified</status>
      <modifiedWord/>
      <trackRevisions>false</trackRevisions>
    </reviewItem>
    <reviewItem>
      <errorID>a26e8f84-6a70-47c2-97cc-b795a1ed9975</errorID>
      <errorWord>（</errorWord>
      <group>L1_Format</group>
      <groupName>格式问题</groupName>
      <ability>L2_HalfPunc</ability>
      <abilityName>全半角检查</abilityName>
      <candidateList>
        <item>(</item>
      </candidateList>
      <explain>文本全半角错误。</explain>
      <paraID> 9B759F6</paraID>
      <start>0</start>
      <end>1</end>
      <status>unmodified</status>
      <modifiedWord/>
      <trackRevisions>false</trackRevisions>
    </reviewItem>
    <reviewItem>
      <errorID>2aa6bb55-b004-451c-a1af-13b983454e6f</errorID>
      <errorWord>）</errorWord>
      <group>L1_Format</group>
      <groupName>格式问题</groupName>
      <ability>L2_HalfPunc</ability>
      <abilityName>全半角检查</abilityName>
      <candidateList>
        <item>)</item>
      </candidateList>
      <explain>文本全半角错误。</explain>
      <paraID> 9B759F6</paraID>
      <start>12</start>
      <end>13</end>
      <status>unmodified</status>
      <modifiedWord/>
      <trackRevisions>false</trackRevisions>
    </reviewItem>
    <reviewItem>
      <errorID>d0275f46-335f-49df-ac2f-c1c8dfa701bf</errorID>
      <errorWord>)</errorWord>
      <group>L1_Format</group>
      <groupName>格式问题</groupName>
      <ability>L2_HalfPunc</ability>
      <abilityName>全半角检查</abilityName>
      <candidateList>
        <item>）</item>
      </candidateList>
      <explain>文本全半角错误。</explain>
      <paraID> A53D2EF</paraID>
      <start>20</start>
      <end>21</end>
      <status>unmodified</status>
      <modifiedWord/>
      <trackRevisions>false</trackRevisions>
    </reviewItem>
    <reviewItem>
      <errorID>b0fbc259-cfd2-42d6-860e-7a37bd6df6d8</errorID>
      <errorWord>)</errorWord>
      <group>L1_Format</group>
      <groupName>格式问题</groupName>
      <ability>L2_HalfPunc</ability>
      <abilityName>全半角检查</abilityName>
      <candidateList>
        <item>）</item>
      </candidateList>
      <explain>文本全半角错误。</explain>
      <paraID> A53D2EF</paraID>
      <start>65</start>
      <end>66</end>
      <status>unmodified</status>
      <modifiedWord/>
      <trackRevisions>false</trackRevisions>
    </reviewItem>
    <reviewItem>
      <errorID>3183204c-e2c6-466d-9fa8-eccb50703442</errorID>
      <errorWord>)</errorWord>
      <group>L1_Format</group>
      <groupName>格式问题</groupName>
      <ability>L2_HalfPunc</ability>
      <abilityName>全半角检查</abilityName>
      <candidateList>
        <item>）</item>
      </candidateList>
      <explain>文本全半角错误。</explain>
      <paraID>5C93E75F</paraID>
      <start>19</start>
      <end>20</end>
      <status>unmodified</status>
      <modifiedWord/>
      <trackRevisions>false</trackRevisions>
    </reviewItem>
    <reviewItem>
      <errorID>b4b2597b-3187-48da-8b0b-9578f1b4ebf0</errorID>
      <errorWord>)</errorWord>
      <group>L1_Format</group>
      <groupName>格式问题</groupName>
      <ability>L2_HalfPunc</ability>
      <abilityName>全半角检查</abilityName>
      <candidateList>
        <item>）</item>
      </candidateList>
      <explain>文本全半角错误。</explain>
      <paraID>5C93E75F</paraID>
      <start>46</start>
      <end>47</end>
      <status>unmodified</status>
      <modifiedWord/>
      <trackRevisions>false</trackRevisions>
    </reviewItem>
    <reviewItem>
      <errorID>77fa66e6-fd74-427d-adcc-95a3fe9f9d55</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4CFF68E3</paraID>
      <start>18</start>
      <end>20</end>
      <status>unmodified</status>
      <modifiedWord/>
      <trackRevisions>false</trackRevisions>
    </reviewItem>
    <reviewItem>
      <errorID>3d8426e8-6ea1-4385-a0ab-bf65dd7bfa2f</errorID>
      <errorWord>-</errorWord>
      <group>L1_Format</group>
      <groupName>格式问题</groupName>
      <ability>L2_HalfPunc</ability>
      <abilityName>全半角检查</abilityName>
      <candidateList>
        <item>－</item>
      </candidateList>
      <explain>文本全半角错误。</explain>
      <paraID>37DA6047</paraID>
      <start>6</start>
      <end>7</end>
      <status>unmodified</status>
      <modifiedWord/>
      <trackRevisions>false</trackRevisions>
    </reviewItem>
    <reviewItem>
      <errorID>e61d5541-dc23-42ea-9744-4e2f77ae3640</errorID>
      <errorWord>)</errorWord>
      <group>L1_Format</group>
      <groupName>格式问题</groupName>
      <ability>L2_HalfPunc</ability>
      <abilityName>全半角检查</abilityName>
      <candidateList>
        <item>）</item>
      </candidateList>
      <explain>文本全半角错误。</explain>
      <paraID> 87A600F</paraID>
      <start>13</start>
      <end>14</end>
      <status>unmodified</status>
      <modifiedWord/>
      <trackRevisions>false</trackRevisions>
    </reviewItem>
    <reviewItem>
      <errorID>2bc27d96-3e67-4c2b-b2b0-b87e8717ca1a</errorID>
      <errorWord>)</errorWord>
      <group>L1_Format</group>
      <groupName>格式问题</groupName>
      <ability>L2_HalfPunc</ability>
      <abilityName>全半角检查</abilityName>
      <candidateList>
        <item>）</item>
      </candidateList>
      <explain>文本全半角错误。</explain>
      <paraID>76FCD0E9</paraID>
      <start>13</start>
      <end>14</end>
      <status>unmodified</status>
      <modifiedWord/>
      <trackRevisions>false</trackRevisions>
    </reviewItem>
    <reviewItem>
      <errorID>e778e236-63ad-4ad7-af76-fb28523ae323</errorID>
      <errorWord>)</errorWord>
      <group>L1_Format</group>
      <groupName>格式问题</groupName>
      <ability>L2_HalfPunc</ability>
      <abilityName>全半角检查</abilityName>
      <candidateList>
        <item>）</item>
      </candidateList>
      <explain>文本全半角错误。</explain>
      <paraID>6CC77BB0</paraID>
      <start>13</start>
      <end>14</end>
      <status>unmodified</status>
      <modifiedWord/>
      <trackRevisions>false</trackRevisions>
    </reviewItem>
    <reviewItem>
      <errorID>95ae669d-3235-42df-b3ac-62da32a664b4</errorID>
      <errorWord>)</errorWord>
      <group>L1_Format</group>
      <groupName>格式问题</groupName>
      <ability>L2_HalfPunc</ability>
      <abilityName>全半角检查</abilityName>
      <candidateList>
        <item>）</item>
      </candidateList>
      <explain>文本全半角错误。</explain>
      <paraID> 1E65649</paraID>
      <start>13</start>
      <end>14</end>
      <status>unmodified</status>
      <modifiedWord/>
      <trackRevisions>false</trackRevisions>
    </reviewItem>
    <reviewItem>
      <errorID>d4a6eee0-0b6f-46c2-b4bc-0351105e6e9c</errorID>
      <errorWord>)</errorWord>
      <group>L1_Format</group>
      <groupName>格式问题</groupName>
      <ability>L2_HalfPunc</ability>
      <abilityName>全半角检查</abilityName>
      <candidateList>
        <item>）</item>
      </candidateList>
      <explain>文本全半角错误。</explain>
      <paraID>3191B36B</paraID>
      <start>13</start>
      <end>14</end>
      <status>unmodified</status>
      <modifiedWord/>
      <trackRevisions>false</trackRevisions>
    </reviewItem>
    <reviewItem>
      <errorID>99a1595a-4286-45a4-9dfe-7b0f081b3707</errorID>
      <errorWord>)</errorWord>
      <group>L1_Format</group>
      <groupName>格式问题</groupName>
      <ability>L2_HalfPunc</ability>
      <abilityName>全半角检查</abilityName>
      <candidateList>
        <item>）</item>
      </candidateList>
      <explain>文本全半角错误。</explain>
      <paraID>75514BB0</paraID>
      <start>13</start>
      <end>14</end>
      <status>unmodified</status>
      <modifiedWord/>
      <trackRevisions>false</trackRevisions>
    </reviewItem>
    <reviewItem>
      <errorID>752761aa-3893-46fd-a7a2-8cf6718f5ebc</errorID>
      <errorWord>-</errorWord>
      <group>L1_Format</group>
      <groupName>格式问题</groupName>
      <ability>L2_HalfPunc</ability>
      <abilityName>全半角检查</abilityName>
      <candidateList>
        <item>－</item>
      </candidateList>
      <explain>文本全半角错误。</explain>
      <paraID>55C04ED6</paraID>
      <start>5</start>
      <end>6</end>
      <status>unmodified</status>
      <modifiedWord/>
      <trackRevisions>false</trackRevisions>
    </reviewItem>
    <reviewItem>
      <errorID>bca6e2ba-5e2f-45c4-b78c-fff41dd225e9</errorID>
      <errorWord>：</errorWord>
      <group>L1_Format</group>
      <groupName>格式问题</groupName>
      <ability>L2_HalfPunc</ability>
      <abilityName>全半角检查</abilityName>
      <candidateList>
        <item>:</item>
      </candidateList>
      <explain>文本全半角错误。</explain>
      <paraID>55C04ED6</paraID>
      <start>9</start>
      <end>10</end>
      <status>unmodified</status>
      <modifiedWord/>
      <trackRevisions>false</trackRevisions>
    </reviewItem>
    <reviewItem>
      <errorID>5eb823ce-6dee-49f5-9597-6b0422d4d943</errorID>
      <errorWord>)</errorWord>
      <group>L1_Format</group>
      <groupName>格式问题</groupName>
      <ability>L2_HalfPunc</ability>
      <abilityName>全半角检查</abilityName>
      <candidateList>
        <item>）</item>
      </candidateList>
      <explain>文本全半角错误。</explain>
      <paraID>55C04ED6</paraID>
      <start>15</start>
      <end>16</end>
      <status>unmodified</status>
      <modifiedWord/>
      <trackRevisions>false</trackRevisions>
    </reviewItem>
    <reviewItem>
      <errorID>f32e8a01-33b4-431f-b230-f2a0a6549873</errorID>
      <errorWord>分</errorWord>
      <group>L1_Word</group>
      <groupName>字词问题</groupName>
      <ability>L2_Typo</ability>
      <abilityName>字词错误</abilityName>
      <candidateList>
        <item>分支</item>
      </candidateList>
      <explain/>
      <paraID>3E865C60</paraID>
      <start>52</start>
      <end>53</end>
      <status>unmodified</status>
      <modifiedWord/>
      <trackRevisions>false</trackRevisions>
    </reviewItem>
    <reviewItem>
      <errorID>10315f10-cb9d-41c0-bf89-838c65cfcc73</errorID>
      <errorWord>延用</errorWord>
      <group>L1_Word</group>
      <groupName>字词问题</groupName>
      <ability>L2_Typo</ability>
      <abilityName>字词错误</abilityName>
      <candidateList>
        <item>沿用</item>
      </candidateList>
      <explain>〈动〉继续使用（过去的方法、制度、法令等）：～原来的名称。</explain>
      <paraID> D782823</paraID>
      <start>201</start>
      <end>203</end>
      <status>unmodified</status>
      <modifiedWord/>
      <trackRevisions>false</trackRevisions>
    </reviewItem>
    <reviewItem>
      <errorID>f12d16dc-538d-4066-b8b3-d984c24bf486</errorID>
      <errorWord>;</errorWord>
      <group>L1_Format</group>
      <groupName>格式问题</groupName>
      <ability>L2_HalfPunc</ability>
      <abilityName>全半角检查</abilityName>
      <candidateList>
        <item>；</item>
      </candidateList>
      <explain>文本全半角错误。</explain>
      <paraID>58504203</paraID>
      <start>98</start>
      <end>99</end>
      <status>unmodified</status>
      <modifiedWord/>
      <trackRevisions>false</trackRevisions>
    </reviewItem>
    <reviewItem>
      <errorID>f4d3430e-dd8f-432c-8083-7393e2fc5521</errorID>
      <errorWord>;</errorWord>
      <group>L1_Format</group>
      <groupName>格式问题</groupName>
      <ability>L2_HalfPunc</ability>
      <abilityName>全半角检查</abilityName>
      <candidateList>
        <item>；</item>
      </candidateList>
      <explain>文本全半角错误。</explain>
      <paraID>58504203</paraID>
      <start>173</start>
      <end>174</end>
      <status>unmodified</status>
      <modifiedWord/>
      <trackRevisions>false</trackRevisions>
    </reviewItem>
    <reviewItem>
      <errorID>3c6d06bf-c699-41c3-9a47-f52a6c73bb62</errorID>
      <errorWord>;</errorWord>
      <group>L1_Format</group>
      <groupName>格式问题</groupName>
      <ability>L2_HalfPunc</ability>
      <abilityName>全半角检查</abilityName>
      <candidateList>
        <item>；</item>
      </candidateList>
      <explain>文本全半角错误。</explain>
      <paraID>58504203</paraID>
      <start>255</start>
      <end>256</end>
      <status>unmodified</status>
      <modifiedWord/>
      <trackRevisions>false</trackRevisions>
    </reviewItem>
    <reviewItem>
      <errorID>30f1996c-5b23-4a3e-96a0-717804f0b922</errorID>
      <errorWord>,</errorWord>
      <group>L1_Format</group>
      <groupName>格式问题</groupName>
      <ability>L2_HalfPunc</ability>
      <abilityName>全半角检查</abilityName>
      <candidateList>
        <item>，</item>
      </candidateList>
      <explain>文本全半角错误。</explain>
      <paraID>54CA4EC3</paraID>
      <start>15</start>
      <end>16</end>
      <status>unmodified</status>
      <modifiedWord/>
      <trackRevisions>false</trackRevisions>
    </reviewItem>
    <reviewItem>
      <errorID>2ab42aa7-5dfb-4920-8fd1-386001031283</errorID>
      <errorWord>（</errorWord>
      <group>L1_Punc</group>
      <groupName>标点问题</groupName>
      <ability>L2_Punc</ability>
      <abilityName>标点符号检查</abilityName>
      <candidateList/>
      <explain>同一形式括号套用。</explain>
      <paraID>35E64B10</paraID>
      <start>58</start>
      <end>59</end>
      <status>unmodified</status>
      <modifiedWord/>
      <trackRevisions>false</trackRevisions>
    </reviewItem>
    <reviewItem>
      <errorID>63422556-02d8-4141-b415-8cad29666cb8</errorID>
      <errorWord>）</errorWord>
      <group>L1_Punc</group>
      <groupName>标点问题</groupName>
      <ability>L2_Punc</ability>
      <abilityName>标点符号检查</abilityName>
      <candidateList/>
      <explain>同一形式括号套用。</explain>
      <paraID>35E64B10</paraID>
      <start>64</start>
      <end>65</end>
      <status>unmodified</status>
      <modifiedWord/>
      <trackRevisions>false</trackRevisions>
    </reviewItem>
    <reviewItem>
      <errorID>1c49361f-c706-4b1b-9324-b52e6707840f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76BD4BF1</paraID>
      <start>17</start>
      <end>20</end>
      <status>unmodified</status>
      <modifiedWord/>
      <trackRevisions>false</trackRevisions>
    </reviewItem>
    <reviewItem>
      <errorID>5a47636f-0d70-427e-8ff2-c62c5cc3a768</errorID>
      <errorWord>（</errorWord>
      <group>L1_Format</group>
      <groupName>格式问题</groupName>
      <ability>L2_HalfPunc</ability>
      <abilityName>全半角检查</abilityName>
      <candidateList>
        <item>(</item>
      </candidateList>
      <explain>文本全半角错误。</explain>
      <paraID>30DBE770</paraID>
      <start>0</start>
      <end>1</end>
      <status>unmodified</status>
      <modifiedWord/>
      <trackRevisions>false</trackRevisions>
    </reviewItem>
    <reviewItem>
      <errorID>5e02282d-a54a-4c77-b1dd-d5918b492d29</errorID>
      <errorWord>）</errorWord>
      <group>L1_Format</group>
      <groupName>格式问题</groupName>
      <ability>L2_HalfPunc</ability>
      <abilityName>全半角检查</abilityName>
      <candidateList>
        <item>)</item>
      </candidateList>
      <explain>文本全半角错误。</explain>
      <paraID>30DBE770</paraID>
      <start>12</start>
      <end>13</end>
      <status>unmodified</status>
      <modifiedWord/>
      <trackRevisions>false</trackRevisions>
    </reviewItem>
    <reviewItem>
      <errorID>2b31314b-0d39-4551-9992-f829a8ef69a4</errorID>
      <errorWord>-</errorWord>
      <group>L1_Format</group>
      <groupName>格式问题</groupName>
      <ability>L2_HalfPunc</ability>
      <abilityName>全半角检查</abilityName>
      <candidateList>
        <item>－</item>
      </candidateList>
      <explain>文本全半角错误。</explain>
      <paraID> 6F2DBB5</paraID>
      <start>5</start>
      <end>6</end>
      <status>unmodified</status>
      <modifiedWord/>
      <trackRevisions>false</trackRevisions>
    </reviewItem>
    <reviewItem>
      <errorID>d2f50432-bb8c-4d54-8595-29bf95e954a6</errorID>
      <errorWord>-</errorWord>
      <group>L1_Format</group>
      <groupName>格式问题</groupName>
      <ability>L2_HalfPunc</ability>
      <abilityName>全半角检查</abilityName>
      <candidateList>
        <item>－</item>
      </candidateList>
      <explain>文本全半角错误。</explain>
      <paraID>6D95B248</paraID>
      <start>5</start>
      <end>6</end>
      <status>unmodified</status>
      <modifiedWord/>
      <trackRevisions>false</trackRevisions>
    </reviewItem>
    <reviewItem>
      <errorID>26844beb-caa9-402e-9de1-fab1ace07d49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3FC64A22</paraID>
      <start>0</start>
      <end>3</end>
      <status>unmodified</status>
      <modifiedWord/>
      <trackRevisions>false</trackRevisions>
    </reviewItem>
    <reviewItem>
      <errorID>5b6906cf-30ba-43ea-849f-6f06c9847f2f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1F568430</paraID>
      <start>0</start>
      <end>3</end>
      <status>unmodified</status>
      <modifiedWord/>
      <trackRevisions>false</trackRevisions>
    </reviewItem>
    <reviewItem>
      <errorID>87fec709-639c-4324-9d4d-6f805b1b8c7c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3CE26142</paraID>
      <start>0</start>
      <end>3</end>
      <status>unmodified</status>
      <modifiedWord/>
      <trackRevisions>false</trackRevisions>
    </reviewItem>
    <reviewItem>
      <errorID>2ca14943-de46-43b1-9303-352b14ed7058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53709338</paraID>
      <start>1</start>
      <end>4</end>
      <status>unmodified</status>
      <modifiedWord/>
      <trackRevisions>false</trackRevisions>
    </reviewItem>
    <reviewItem>
      <errorID>223f2933-6bac-4e72-8ef4-9d624715dcbd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12C1747D</paraID>
      <start>0</start>
      <end>3</end>
      <status>unmodified</status>
      <modifiedWord/>
      <trackRevisions>false</trackRevisions>
    </reviewItem>
    <reviewItem>
      <errorID>a36f8a26-a464-462f-bc41-40293cd653c1</errorID>
      <errorWord>按《中华人民共和国</errorWord>
      <group>L1_Word</group>
      <groupName>字词问题</groupName>
      <ability>L2_Typo</ability>
      <abilityName>字词错误</abilityName>
      <candidateList>
        <item>按照《中华人民共和国</item>
      </candidateList>
      <explain/>
      <paraID>7C8A953F</paraID>
      <start>18</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F07386-1587-42FA-8AE3-8CDDBDE5856A}"/>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63</cp:revision>
  <dcterms:created xsi:type="dcterms:W3CDTF">2025-02-17T02:07:00Z</dcterms:created>
  <dcterms:modified xsi:type="dcterms:W3CDTF">2026-05-19T06:45:28Z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EDBB97C93BC646FE80F3756BBD819A07_13</vt:lpwstr>
  </property>
  <property fmtid="{D5CDD505-2E9C-101B-9397-08002B2CF9AE}" pid="4" name="KSOTemplateDocerSaveRecord">
    <vt:lpwstr>eyJoZGlkIjoiMjYyZmZlM2RiNzNkODYzMmRmMzE4MjFlOTcxMTVjYTIiLCJ1c2VySWQiOiIzMDIxMTIwMyJ9</vt:lpwstr>
  </property>
</Properties>
</file>