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b/>
          <w:bCs/>
          <w:sz w:val="52"/>
          <w:szCs w:val="52"/>
        </w:rPr>
      </w:pPr>
      <w:r>
        <w:rPr>
          <w:rFonts w:hint="eastAsia" w:ascii="宋体" w:hAnsi="宋体"/>
          <w:b/>
          <w:bCs/>
          <w:sz w:val="52"/>
          <w:szCs w:val="52"/>
        </w:rPr>
      </w:r>
      <w:r/>
    </w:p>
    <w:p>
      <w:pPr>
        <w:jc w:val="left"/>
        <w:rPr>
          <w:rFonts w:hint="eastAsia" w:ascii="宋体" w:hAnsi="宋体"/>
          <w:b/>
          <w:bCs/>
          <w:sz w:val="52"/>
          <w:szCs w:val="52"/>
        </w:rPr>
      </w:pPr>
      <w:r>
        <w:rPr>
          <w:rFonts w:hint="eastAsia" w:ascii="宋体" w:hAnsi="宋体"/>
          <w:b/>
          <w:bCs/>
          <w:sz w:val="52"/>
          <w:szCs w:val="52"/>
        </w:rPr>
      </w:r>
      <w:r/>
    </w:p>
    <w:p>
      <w:pPr>
        <w:jc w:val="center"/>
        <w:rPr>
          <w:rFonts w:hint="eastAsia" w:ascii="宋体" w:hAnsi="宋体"/>
          <w:b/>
          <w:bCs/>
          <w:sz w:val="52"/>
          <w:szCs w:val="52"/>
        </w:rPr>
      </w:pPr>
      <w:r>
        <w:rPr>
          <w:rFonts w:hint="eastAsia" w:ascii="宋体" w:hAnsi="宋体"/>
          <w:b/>
          <w:bCs/>
          <w:sz w:val="52"/>
          <w:szCs w:val="52"/>
        </w:rPr>
        <w:t xml:space="preserve">苏 州 市 政 府 采 购</w:t>
      </w:r>
      <w:r/>
    </w:p>
    <w:p>
      <w:pPr>
        <w:jc w:val="center"/>
        <w:rPr>
          <w:rFonts w:hint="eastAsia" w:ascii="宋体" w:hAnsi="宋体"/>
          <w:b/>
          <w:sz w:val="52"/>
          <w:szCs w:val="52"/>
        </w:rPr>
      </w:pPr>
      <w:r>
        <w:rPr>
          <w:rFonts w:hint="eastAsia" w:ascii="宋体" w:hAnsi="宋体"/>
          <w:b/>
          <w:bCs/>
          <w:sz w:val="52"/>
          <w:szCs w:val="52"/>
        </w:rPr>
        <w:t xml:space="preserve">竞争性磋商文件</w:t>
      </w:r>
      <w:r/>
    </w:p>
    <w:p>
      <w:pPr>
        <w:jc w:val="left"/>
        <w:rPr>
          <w:rFonts w:hint="eastAsia" w:ascii="宋体" w:hAnsi="宋体"/>
          <w:b/>
          <w:bCs/>
          <w:sz w:val="52"/>
          <w:szCs w:val="52"/>
        </w:rPr>
      </w:pPr>
      <w:r>
        <w:rPr>
          <w:rFonts w:hint="eastAsia" w:ascii="宋体" w:hAnsi="宋体"/>
          <w:b/>
          <w:bCs/>
          <w:sz w:val="52"/>
          <w:szCs w:val="52"/>
        </w:rPr>
      </w:r>
      <w:r/>
    </w:p>
    <w:p>
      <w:pPr>
        <w:jc w:val="left"/>
        <w:rPr>
          <w:rFonts w:hint="eastAsia" w:ascii="宋体" w:hAnsi="宋体"/>
          <w:b/>
          <w:bCs/>
          <w:sz w:val="52"/>
          <w:szCs w:val="52"/>
        </w:rPr>
      </w:pPr>
      <w:r>
        <w:rPr>
          <w:rFonts w:hint="eastAsia" w:ascii="宋体" w:hAnsi="宋体"/>
          <w:b/>
          <w:bCs/>
          <w:sz w:val="52"/>
          <w:szCs w:val="52"/>
        </w:rPr>
      </w:r>
      <w:r/>
    </w:p>
    <w:p>
      <w:pPr>
        <w:jc w:val="center"/>
        <w:rPr>
          <w:rFonts w:hint="eastAsia" w:ascii="宋体" w:hAnsi="宋体"/>
          <w:b/>
          <w:bCs/>
          <w:sz w:val="52"/>
          <w:szCs w:val="52"/>
        </w:rPr>
      </w:pPr>
      <w:r>
        <w:rPr>
          <w:rFonts w:ascii="宋体" w:hAnsi="宋体" w:cs="宋体"/>
          <w:b/>
          <w:spacing w:val="-26"/>
          <w:sz w:val="24"/>
        </w:rPr>
        <mc:AlternateContent>
          <mc:Choice Requires="wpg">
            <w:drawing>
              <wp:inline xmlns:wp="http://schemas.openxmlformats.org/drawingml/2006/wordprocessingDrawing" distT="0" distB="0" distL="0" distR="0">
                <wp:extent cx="2400300" cy="22479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2400300" cy="2247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9.0pt;height:177.0pt;mso-wrap-distance-left:0.0pt;mso-wrap-distance-top:0.0pt;mso-wrap-distance-right:0.0pt;mso-wrap-distance-bottom:0.0pt;" stroked="f">
                <v:path textboxrect="0,0,0,0"/>
                <v:imagedata r:id="rId10" o:title=""/>
              </v:shape>
            </w:pict>
          </mc:Fallback>
        </mc:AlternateContent>
      </w:r>
      <w:r/>
    </w:p>
    <w:tbl>
      <w:tblPr>
        <w:tblW w:w="10021" w:type="dxa"/>
        <w:tblCellMar>
          <w:left w:w="0" w:type="dxa"/>
          <w:right w:w="0" w:type="dxa"/>
        </w:tblCellMar>
        <w:tblLook w:val="04A0" w:firstRow="1" w:lastRow="0" w:firstColumn="1" w:lastColumn="0" w:noHBand="0" w:noVBand="1"/>
      </w:tblPr>
      <w:tblGrid>
        <w:gridCol w:w="2424"/>
        <w:gridCol w:w="7597"/>
      </w:tblGrid>
      <w:tr>
        <w:trPr>
          <w:trHeight w:val="652"/>
        </w:trPr>
        <w:tc>
          <w:tcPr>
            <w:tcW w:w="2424" w:type="dxa"/>
            <w:vAlign w:val="center"/>
            <w:textDirection w:val="lrTb"/>
            <w:noWrap w:val="false"/>
          </w:tcPr>
          <w:p>
            <w:pPr>
              <w:jc w:val="right"/>
              <w:rPr>
                <w:rFonts w:hint="eastAsia" w:ascii="宋体" w:hAnsi="宋体"/>
                <w:b/>
                <w:bCs/>
                <w:sz w:val="52"/>
                <w:szCs w:val="52"/>
              </w:rPr>
            </w:pPr>
            <w:r>
              <w:rPr>
                <w:rFonts w:hint="eastAsia" w:ascii="宋体" w:hAnsi="宋体"/>
                <w:b/>
                <w:sz w:val="32"/>
                <w:szCs w:val="32"/>
              </w:rPr>
              <w:t xml:space="preserve">采购编号：</w:t>
            </w:r>
            <w:r/>
          </w:p>
        </w:tc>
        <w:tc>
          <w:tcPr>
            <w:tcW w:w="7597" w:type="dxa"/>
            <w:vAlign w:val="center"/>
            <w:textDirection w:val="lrTb"/>
            <w:noWrap w:val="false"/>
          </w:tcPr>
          <w:p>
            <w:pPr>
              <w:rPr>
                <w:rFonts w:hint="eastAsia" w:ascii="宋体" w:hAnsi="宋体"/>
                <w:b/>
                <w:bCs/>
                <w:sz w:val="52"/>
                <w:szCs w:val="52"/>
              </w:rPr>
            </w:pPr>
            <w:r>
              <w:rPr>
                <w:rFonts w:hint="eastAsia" w:ascii="宋体" w:hAnsi="宋体"/>
                <w:b/>
                <w:sz w:val="32"/>
                <w:szCs w:val="32"/>
              </w:rPr>
              <w:t xml:space="preserve">JSZC-320505-RQZB-C2026-0004</w:t>
            </w:r>
            <w:r/>
          </w:p>
        </w:tc>
      </w:tr>
      <w:tr>
        <w:trPr>
          <w:trHeight w:val="629"/>
        </w:trPr>
        <w:tc>
          <w:tcPr>
            <w:tcW w:w="2424" w:type="dxa"/>
            <w:vAlign w:val="center"/>
            <w:textDirection w:val="lrTb"/>
            <w:noWrap w:val="false"/>
          </w:tcPr>
          <w:p>
            <w:pPr>
              <w:jc w:val="right"/>
              <w:rPr>
                <w:rFonts w:hint="eastAsia" w:ascii="宋体" w:hAnsi="宋体"/>
                <w:b/>
                <w:sz w:val="32"/>
                <w:szCs w:val="32"/>
              </w:rPr>
            </w:pPr>
            <w:r>
              <w:rPr>
                <w:rFonts w:hint="eastAsia" w:ascii="宋体" w:hAnsi="宋体"/>
                <w:b/>
                <w:sz w:val="32"/>
                <w:szCs w:val="32"/>
              </w:rPr>
              <w:t xml:space="preserve">采购单位：</w:t>
            </w:r>
            <w:r/>
          </w:p>
        </w:tc>
        <w:tc>
          <w:tcPr>
            <w:tcW w:w="7597" w:type="dxa"/>
            <w:vAlign w:val="center"/>
            <w:textDirection w:val="lrTb"/>
            <w:noWrap w:val="false"/>
          </w:tcPr>
          <w:p>
            <w:pPr>
              <w:rPr>
                <w:rFonts w:hint="eastAsia" w:ascii="宋体" w:hAnsi="宋体"/>
                <w:b/>
                <w:sz w:val="32"/>
                <w:szCs w:val="32"/>
              </w:rPr>
            </w:pPr>
            <w:r>
              <w:rPr>
                <w:rFonts w:hint="eastAsia" w:ascii="宋体" w:hAnsi="宋体"/>
                <w:b/>
                <w:sz w:val="32"/>
                <w:szCs w:val="32"/>
              </w:rPr>
              <w:t xml:space="preserve">苏州高新区实验小学校</w:t>
            </w:r>
            <w:r/>
          </w:p>
        </w:tc>
      </w:tr>
      <w:tr>
        <w:trPr>
          <w:trHeight w:val="652"/>
        </w:trPr>
        <w:tc>
          <w:tcPr>
            <w:tcW w:w="2424" w:type="dxa"/>
            <w:vAlign w:val="center"/>
            <w:textDirection w:val="lrTb"/>
            <w:noWrap w:val="false"/>
          </w:tcPr>
          <w:p>
            <w:pPr>
              <w:jc w:val="right"/>
              <w:rPr>
                <w:rFonts w:hint="eastAsia" w:ascii="宋体" w:hAnsi="宋体"/>
                <w:b/>
                <w:sz w:val="32"/>
                <w:szCs w:val="32"/>
              </w:rPr>
            </w:pPr>
            <w:r>
              <w:rPr>
                <w:rFonts w:hint="eastAsia" w:ascii="宋体" w:hAnsi="宋体"/>
                <w:b/>
                <w:sz w:val="32"/>
                <w:szCs w:val="32"/>
              </w:rPr>
              <w:t xml:space="preserve">采购内容：</w:t>
            </w:r>
            <w:r/>
          </w:p>
        </w:tc>
        <w:tc>
          <w:tcPr>
            <w:tcW w:w="7597" w:type="dxa"/>
            <w:vAlign w:val="center"/>
            <w:textDirection w:val="lrTb"/>
            <w:noWrap w:val="false"/>
          </w:tcPr>
          <w:p>
            <w:pPr>
              <w:rPr>
                <w:rFonts w:hint="eastAsia" w:ascii="宋体" w:hAnsi="宋体"/>
                <w:b/>
                <w:sz w:val="32"/>
                <w:szCs w:val="32"/>
              </w:rPr>
            </w:pPr>
            <w:r>
              <w:rPr>
                <w:rFonts w:hint="eastAsia" w:ascii="宋体" w:hAnsi="宋体"/>
                <w:b/>
                <w:sz w:val="32"/>
                <w:szCs w:val="32"/>
              </w:rPr>
              <w:t xml:space="preserve">2026年苏州高新区实验小学校教职工体检服务</w:t>
            </w:r>
            <w:r/>
          </w:p>
        </w:tc>
      </w:tr>
      <w:tr>
        <w:trPr>
          <w:trHeight w:val="652"/>
        </w:trPr>
        <w:tc>
          <w:tcPr>
            <w:tcW w:w="2424" w:type="dxa"/>
            <w:vAlign w:val="center"/>
            <w:textDirection w:val="lrTb"/>
            <w:noWrap w:val="false"/>
          </w:tcPr>
          <w:p>
            <w:pPr>
              <w:jc w:val="right"/>
              <w:rPr>
                <w:rFonts w:hint="eastAsia" w:ascii="宋体" w:hAnsi="宋体"/>
                <w:b/>
                <w:sz w:val="32"/>
                <w:szCs w:val="32"/>
              </w:rPr>
            </w:pPr>
            <w:r>
              <w:rPr>
                <w:rFonts w:hint="eastAsia" w:ascii="宋体" w:hAnsi="宋体"/>
                <w:b/>
                <w:sz w:val="32"/>
                <w:szCs w:val="32"/>
              </w:rPr>
              <w:t xml:space="preserve">项目类别：</w:t>
            </w:r>
            <w:r/>
          </w:p>
        </w:tc>
        <w:tc>
          <w:tcPr>
            <w:tcW w:w="7597" w:type="dxa"/>
            <w:vAlign w:val="center"/>
            <w:textDirection w:val="lrTb"/>
            <w:noWrap w:val="false"/>
          </w:tcPr>
          <w:p>
            <w:pPr>
              <w:rPr>
                <w:rFonts w:hint="eastAsia" w:ascii="宋体" w:hAnsi="宋体"/>
                <w:b/>
                <w:sz w:val="32"/>
                <w:szCs w:val="32"/>
              </w:rPr>
            </w:pPr>
            <w:r>
              <w:rPr>
                <w:rFonts w:hint="eastAsia" w:ascii="宋体" w:hAnsi="宋体"/>
                <w:b/>
                <w:sz w:val="32"/>
                <w:szCs w:val="32"/>
              </w:rPr>
              <w:t xml:space="preserve">服务类</w:t>
            </w:r>
            <w:r/>
          </w:p>
        </w:tc>
      </w:tr>
    </w:tbl>
    <w:p>
      <w:pPr>
        <w:jc w:val="left"/>
        <w:rPr>
          <w:rFonts w:hint="eastAsia" w:ascii="宋体" w:hAnsi="宋体"/>
          <w:b/>
          <w:bCs/>
          <w:sz w:val="52"/>
          <w:szCs w:val="52"/>
        </w:rPr>
      </w:pPr>
      <w:r>
        <w:rPr>
          <w:rFonts w:hint="eastAsia" w:ascii="宋体" w:hAnsi="宋体"/>
          <w:b/>
          <w:bCs/>
          <w:sz w:val="52"/>
          <w:szCs w:val="52"/>
        </w:rPr>
      </w:r>
      <w:r/>
    </w:p>
    <w:p>
      <w:pPr>
        <w:jc w:val="left"/>
        <w:rPr>
          <w:rFonts w:hint="eastAsia" w:ascii="宋体" w:hAnsi="宋体"/>
          <w:b/>
          <w:bCs/>
          <w:sz w:val="52"/>
          <w:szCs w:val="52"/>
        </w:rPr>
      </w:pPr>
      <w:r>
        <w:rPr>
          <w:rFonts w:hint="eastAsia" w:ascii="宋体" w:hAnsi="宋体"/>
          <w:b/>
          <w:bCs/>
          <w:sz w:val="52"/>
          <w:szCs w:val="52"/>
        </w:rPr>
      </w:r>
      <w:r/>
    </w:p>
    <w:p>
      <w:pPr>
        <w:jc w:val="left"/>
        <w:rPr>
          <w:rFonts w:hint="eastAsia" w:ascii="宋体" w:hAnsi="宋体"/>
          <w:b/>
          <w:bCs/>
          <w:sz w:val="52"/>
          <w:szCs w:val="52"/>
        </w:rPr>
      </w:pPr>
      <w:r>
        <w:rPr>
          <w:rFonts w:hint="eastAsia" w:ascii="宋体" w:hAnsi="宋体"/>
          <w:b/>
          <w:bCs/>
          <w:sz w:val="52"/>
          <w:szCs w:val="52"/>
        </w:rPr>
      </w:r>
      <w:r/>
    </w:p>
    <w:p>
      <w:pPr>
        <w:ind w:right="-506"/>
        <w:jc w:val="center"/>
        <w:spacing w:line="360" w:lineRule="auto"/>
        <w:rPr>
          <w:rFonts w:hint="eastAsia" w:ascii="宋体" w:hAnsi="宋体"/>
          <w:b/>
          <w:sz w:val="32"/>
          <w:szCs w:val="32"/>
        </w:rPr>
      </w:pPr>
      <w:r>
        <w:rPr>
          <w:rFonts w:hint="eastAsia" w:ascii="宋体" w:hAnsi="宋体"/>
          <w:b/>
          <w:sz w:val="32"/>
          <w:szCs w:val="32"/>
        </w:rPr>
        <w:t xml:space="preserve">苏州</w:t>
      </w:r>
      <w:r>
        <w:rPr>
          <w:rFonts w:hint="eastAsia" w:ascii="宋体" w:hAnsi="宋体"/>
          <w:b/>
          <w:sz w:val="32"/>
          <w:szCs w:val="32"/>
        </w:rPr>
        <w:t xml:space="preserve">润启招</w:t>
      </w:r>
      <w:r>
        <w:rPr>
          <w:rFonts w:hint="eastAsia" w:ascii="宋体" w:hAnsi="宋体"/>
          <w:b/>
          <w:sz w:val="32"/>
          <w:szCs w:val="32"/>
        </w:rPr>
        <w:t xml:space="preserve">投标咨询服务有限公司</w:t>
      </w:r>
      <w:r/>
    </w:p>
    <w:p>
      <w:pPr>
        <w:ind w:right="-506"/>
        <w:jc w:val="center"/>
        <w:spacing w:line="360" w:lineRule="auto"/>
        <w:rPr>
          <w:rFonts w:hint="eastAsia" w:ascii="宋体" w:hAnsi="宋体"/>
          <w:b/>
          <w:sz w:val="32"/>
          <w:szCs w:val="32"/>
        </w:rPr>
      </w:pPr>
      <w:r>
        <w:rPr>
          <w:rFonts w:hint="eastAsia" w:ascii="宋体" w:hAnsi="宋体"/>
          <w:b/>
          <w:sz w:val="32"/>
          <w:szCs w:val="32"/>
        </w:rPr>
        <w:t xml:space="preserve">二零二六年</w:t>
      </w:r>
      <w:r>
        <w:rPr>
          <w:rFonts w:hint="eastAsia" w:ascii="宋体" w:hAnsi="宋体"/>
          <w:b/>
          <w:sz w:val="32"/>
          <w:szCs w:val="32"/>
        </w:rPr>
        <w:t xml:space="preserve">四</w:t>
      </w:r>
      <w:r>
        <w:rPr>
          <w:rFonts w:hint="eastAsia" w:ascii="宋体" w:hAnsi="宋体"/>
          <w:b/>
          <w:sz w:val="32"/>
          <w:szCs w:val="32"/>
        </w:rPr>
        <w:t xml:space="preserve">月</w:t>
      </w:r>
      <w:r/>
    </w:p>
    <w:p>
      <w:pPr>
        <w:jc w:val="left"/>
        <w:spacing w:line="480" w:lineRule="auto"/>
        <w:rPr>
          <w:rFonts w:hint="eastAsia" w:ascii="宋体" w:hAnsi="宋体"/>
          <w:b/>
          <w:sz w:val="30"/>
          <w:szCs w:val="30"/>
        </w:rPr>
      </w:pPr>
      <w:r>
        <w:rPr>
          <w:rFonts w:hint="eastAsia" w:ascii="宋体" w:hAnsi="宋体"/>
          <w:b/>
          <w:bCs/>
          <w:sz w:val="52"/>
          <w:szCs w:val="52"/>
        </w:rPr>
        <w:br w:type="page" w:clear="all"/>
      </w:r>
      <w:r>
        <w:rPr>
          <w:rFonts w:hint="eastAsia" w:ascii="宋体" w:hAnsi="宋体"/>
          <w:b/>
          <w:sz w:val="30"/>
          <w:szCs w:val="30"/>
        </w:rPr>
        <w:t xml:space="preserve">目 录</w:t>
      </w:r>
      <w:r/>
    </w:p>
    <w:p>
      <w:pPr>
        <w:jc w:val="left"/>
        <w:spacing w:line="480" w:lineRule="auto"/>
        <w:tabs>
          <w:tab w:val="left" w:pos="315" w:leader="none"/>
          <w:tab w:val="center" w:pos="4153" w:leader="none"/>
        </w:tabs>
        <w:rPr>
          <w:rFonts w:hint="eastAsia" w:ascii="宋体" w:hAnsi="宋体"/>
          <w:b/>
          <w:sz w:val="30"/>
          <w:szCs w:val="30"/>
        </w:rPr>
      </w:pPr>
      <w:r>
        <w:rPr>
          <w:rFonts w:hint="eastAsia" w:ascii="宋体" w:hAnsi="宋体"/>
          <w:b/>
          <w:sz w:val="30"/>
          <w:szCs w:val="30"/>
        </w:rPr>
        <w:t xml:space="preserve">第一章 磋商公告</w:t>
      </w:r>
      <w:r/>
    </w:p>
    <w:p>
      <w:pPr>
        <w:jc w:val="left"/>
        <w:spacing w:line="480" w:lineRule="auto"/>
        <w:tabs>
          <w:tab w:val="left" w:pos="315" w:leader="none"/>
          <w:tab w:val="center" w:pos="4153" w:leader="none"/>
        </w:tabs>
        <w:rPr>
          <w:rFonts w:hint="eastAsia" w:ascii="宋体" w:hAnsi="宋体"/>
          <w:b/>
          <w:sz w:val="30"/>
          <w:szCs w:val="30"/>
        </w:rPr>
      </w:pPr>
      <w:r>
        <w:rPr>
          <w:rFonts w:hint="eastAsia" w:ascii="宋体" w:hAnsi="宋体"/>
          <w:b/>
          <w:sz w:val="30"/>
          <w:szCs w:val="30"/>
        </w:rPr>
        <w:t xml:space="preserve">第二章 竞争性磋商文件</w:t>
      </w:r>
      <w:r/>
    </w:p>
    <w:p>
      <w:pPr>
        <w:jc w:val="left"/>
        <w:spacing w:line="480" w:lineRule="auto"/>
        <w:tabs>
          <w:tab w:val="left" w:pos="315" w:leader="none"/>
          <w:tab w:val="center" w:pos="4153" w:leader="none"/>
        </w:tabs>
        <w:rPr>
          <w:rFonts w:hint="eastAsia" w:ascii="宋体" w:hAnsi="宋体"/>
          <w:b/>
          <w:sz w:val="30"/>
          <w:szCs w:val="30"/>
        </w:rPr>
      </w:pPr>
      <w:r>
        <w:rPr>
          <w:rFonts w:hint="eastAsia" w:ascii="宋体" w:hAnsi="宋体"/>
          <w:b/>
          <w:sz w:val="30"/>
          <w:szCs w:val="30"/>
        </w:rPr>
        <w:t xml:space="preserve">第三章 评审方法及评分标准</w:t>
      </w:r>
      <w:r/>
    </w:p>
    <w:p>
      <w:pPr>
        <w:jc w:val="left"/>
        <w:spacing w:line="480" w:lineRule="auto"/>
        <w:tabs>
          <w:tab w:val="left" w:pos="315" w:leader="none"/>
          <w:tab w:val="center" w:pos="4153" w:leader="none"/>
        </w:tabs>
        <w:rPr>
          <w:rFonts w:hint="eastAsia" w:ascii="宋体" w:hAnsi="宋体"/>
          <w:b/>
          <w:sz w:val="30"/>
          <w:szCs w:val="30"/>
        </w:rPr>
      </w:pPr>
      <w:r>
        <w:rPr>
          <w:rFonts w:hint="eastAsia" w:ascii="宋体" w:hAnsi="宋体"/>
          <w:b/>
          <w:sz w:val="30"/>
          <w:szCs w:val="30"/>
        </w:rPr>
        <w:t xml:space="preserve">第四章 合同主要条款</w:t>
      </w:r>
      <w:r/>
    </w:p>
    <w:p>
      <w:pPr>
        <w:jc w:val="left"/>
        <w:spacing w:line="360" w:lineRule="auto"/>
        <w:rPr>
          <w:rFonts w:ascii="宋体" w:hAnsi="宋体"/>
        </w:rPr>
      </w:pPr>
      <w:r>
        <w:rPr>
          <w:rFonts w:hint="eastAsia" w:ascii="宋体" w:hAnsi="宋体" w:cs="宋体"/>
          <w:b/>
          <w:sz w:val="30"/>
          <w:szCs w:val="30"/>
        </w:rPr>
        <w:t xml:space="preserve">第五章 </w:t>
      </w:r>
      <w:r>
        <w:rPr>
          <w:rFonts w:ascii="宋体" w:hAnsi="宋体" w:cs="宋体"/>
          <w:b/>
          <w:sz w:val="30"/>
          <w:szCs w:val="30"/>
        </w:rPr>
        <w:t xml:space="preserve">响应文件格式（部分）</w:t>
      </w:r>
      <w:r/>
    </w:p>
    <w:p>
      <w:pPr>
        <w:jc w:val="center"/>
        <w:rPr>
          <w:rStyle w:val="810"/>
          <w:rFonts w:hint="eastAsia" w:ascii="宋体" w:hAnsi="宋体" w:cs="宋体"/>
          <w:sz w:val="24"/>
          <w:szCs w:val="24"/>
        </w:rPr>
      </w:pPr>
      <w:r>
        <w:rPr>
          <w:rStyle w:val="810"/>
          <w:rFonts w:hint="eastAsia" w:ascii="宋体" w:hAnsi="宋体" w:cs="宋体"/>
          <w:sz w:val="43"/>
          <w:szCs w:val="43"/>
        </w:rPr>
        <w:br w:type="page" w:clear="all"/>
      </w:r>
      <w:r>
        <w:rPr>
          <w:rStyle w:val="810"/>
          <w:rFonts w:hint="eastAsia" w:ascii="宋体" w:hAnsi="宋体" w:cs="宋体"/>
          <w:sz w:val="24"/>
          <w:szCs w:val="24"/>
        </w:rPr>
        <w:t xml:space="preserve">第一章 磋商公告</w:t>
      </w:r>
      <w:r/>
    </w:p>
    <w:p>
      <w:pPr>
        <w:spacing w:line="360" w:lineRule="auto"/>
        <w:rPr>
          <w:rFonts w:hint="eastAsia" w:ascii="宋体" w:hAnsi="宋体"/>
          <w:b/>
          <w:sz w:val="24"/>
          <w:szCs w:val="24"/>
        </w:rPr>
      </w:pPr>
      <w:r>
        <w:rPr>
          <w:rFonts w:hint="eastAsia" w:ascii="宋体" w:hAnsi="宋体"/>
          <w:b/>
          <w:sz w:val="24"/>
          <w:szCs w:val="24"/>
          <w:lang w:val="zh-CN"/>
        </w:rPr>
        <w:t xml:space="preserve">项目概况</w:t>
      </w:r>
      <w:r/>
    </w:p>
    <w:p>
      <w:pPr>
        <w:jc w:val="left"/>
        <w:spacing w:line="360" w:lineRule="auto"/>
        <w:rPr>
          <w:rFonts w:hint="eastAsia" w:ascii="宋体" w:hAnsi="宋体"/>
          <w:sz w:val="24"/>
          <w:szCs w:val="24"/>
        </w:rPr>
      </w:pPr>
      <w:r>
        <w:rPr>
          <w:rFonts w:hint="eastAsia" w:ascii="宋体" w:hAnsi="宋体"/>
          <w:sz w:val="24"/>
          <w:szCs w:val="24"/>
          <w:lang w:val="zh-CN"/>
        </w:rPr>
        <w:t xml:space="preserve">    </w:t>
      </w:r>
      <w:r>
        <w:rPr>
          <w:rFonts w:hint="eastAsia" w:ascii="宋体" w:hAnsi="宋体"/>
          <w:b/>
          <w:bCs/>
          <w:sz w:val="24"/>
          <w:szCs w:val="24"/>
          <w:u w:val="single"/>
          <w:lang w:val="zh-CN"/>
        </w:rPr>
        <w:t xml:space="preserve">2026年苏州高新区实验小学校教职工体检服务</w:t>
      </w:r>
      <w:r>
        <w:rPr>
          <w:rFonts w:hint="eastAsia" w:ascii="宋体" w:hAnsi="宋体"/>
          <w:bCs/>
          <w:sz w:val="24"/>
          <w:szCs w:val="24"/>
          <w:lang w:val="zh-CN"/>
        </w:rPr>
        <w:t xml:space="preserve">采购</w:t>
      </w:r>
      <w:r>
        <w:rPr>
          <w:rFonts w:hint="eastAsia" w:ascii="宋体" w:hAnsi="宋体"/>
          <w:sz w:val="24"/>
          <w:szCs w:val="24"/>
          <w:lang w:val="zh-CN"/>
        </w:rPr>
        <w:t xml:space="preserve">项目的潜在</w:t>
      </w:r>
      <w:r>
        <w:rPr>
          <w:rFonts w:hint="eastAsia" w:ascii="宋体" w:hAnsi="宋体"/>
          <w:sz w:val="24"/>
          <w:szCs w:val="24"/>
          <w:lang w:val="zh-CN"/>
        </w:rPr>
        <w:t xml:space="preserve">响应单位</w:t>
      </w:r>
      <w:r>
        <w:rPr>
          <w:rFonts w:hint="eastAsia" w:ascii="宋体" w:hAnsi="宋体"/>
          <w:sz w:val="24"/>
          <w:szCs w:val="24"/>
          <w:lang w:val="zh-CN"/>
        </w:rPr>
        <w:t xml:space="preserve">应在</w:t>
      </w:r>
      <w:r>
        <w:rPr>
          <w:rFonts w:hint="eastAsia" w:ascii="宋体" w:hAnsi="宋体" w:cs="宋体"/>
          <w:sz w:val="24"/>
          <w:u w:val="single"/>
        </w:rPr>
        <w:t xml:space="preserve">“苏</w:t>
      </w:r>
      <w:r>
        <w:rPr>
          <w:rFonts w:hint="eastAsia" w:ascii="宋体" w:hAnsi="宋体" w:cs="宋体"/>
          <w:sz w:val="24"/>
          <w:u w:val="single"/>
        </w:rPr>
        <w:t xml:space="preserve">采云</w:t>
      </w:r>
      <w:r>
        <w:rPr>
          <w:rFonts w:hint="eastAsia" w:ascii="宋体" w:hAnsi="宋体" w:cs="宋体"/>
          <w:sz w:val="24"/>
          <w:u w:val="single"/>
        </w:rPr>
        <w:t xml:space="preserve">”政府采购交易系统</w:t>
      </w:r>
      <w:r>
        <w:rPr>
          <w:rFonts w:hint="eastAsia" w:ascii="宋体" w:hAnsi="宋体"/>
          <w:sz w:val="24"/>
          <w:szCs w:val="24"/>
          <w:lang w:val="zh-CN"/>
        </w:rPr>
        <w:t xml:space="preserve">获取采购文件，并于</w:t>
      </w:r>
      <w:r>
        <w:rPr>
          <w:rFonts w:hint="eastAsia" w:ascii="宋体" w:hAnsi="宋体"/>
          <w:b/>
          <w:bCs/>
          <w:sz w:val="24"/>
          <w:szCs w:val="24"/>
          <w:u w:val="single"/>
          <w:lang w:val="zh-CN"/>
        </w:rPr>
        <w:t xml:space="preserve">2026年</w:t>
      </w:r>
      <w:r>
        <w:rPr>
          <w:rFonts w:hint="eastAsia" w:ascii="宋体" w:hAnsi="宋体"/>
          <w:b/>
          <w:bCs/>
          <w:sz w:val="24"/>
          <w:szCs w:val="24"/>
          <w:u w:val="single"/>
          <w:lang w:val="zh-CN"/>
        </w:rPr>
        <w:t xml:space="preserve">5</w:t>
      </w:r>
      <w:r>
        <w:rPr>
          <w:rFonts w:hint="eastAsia" w:ascii="宋体" w:hAnsi="宋体"/>
          <w:b/>
          <w:bCs/>
          <w:sz w:val="24"/>
          <w:szCs w:val="24"/>
          <w:u w:val="single"/>
          <w:lang w:val="zh-CN"/>
        </w:rPr>
        <w:t xml:space="preserve">月9日9:30</w:t>
      </w:r>
      <w:r>
        <w:rPr>
          <w:rFonts w:hint="eastAsia" w:ascii="宋体" w:hAnsi="宋体"/>
          <w:sz w:val="24"/>
          <w:szCs w:val="24"/>
          <w:lang w:val="zh-CN"/>
        </w:rPr>
        <w:t xml:space="preserve">（北京时间）前提交响应文件。</w:t>
      </w:r>
      <w:r/>
    </w:p>
    <w:p>
      <w:pPr>
        <w:spacing w:line="360" w:lineRule="auto"/>
        <w:rPr>
          <w:rFonts w:hint="eastAsia" w:ascii="宋体" w:hAnsi="宋体"/>
          <w:b/>
          <w:sz w:val="24"/>
          <w:szCs w:val="24"/>
        </w:rPr>
      </w:pPr>
      <w:r>
        <w:rPr>
          <w:rFonts w:hint="eastAsia" w:ascii="宋体" w:hAnsi="宋体"/>
          <w:b/>
          <w:sz w:val="24"/>
          <w:szCs w:val="24"/>
          <w:lang w:val="zh-CN"/>
        </w:rPr>
        <w:t xml:space="preserve">一、项目基本情况</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项目编号：</w:t>
      </w:r>
      <w:r>
        <w:rPr>
          <w:rFonts w:hint="eastAsia" w:ascii="宋体" w:hAnsi="宋体"/>
          <w:sz w:val="24"/>
          <w:szCs w:val="24"/>
          <w:lang w:val="zh-CN"/>
        </w:rPr>
        <w:t xml:space="preserve">JSZC-320505-RQZB-C2026-0004</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项目名称：</w:t>
      </w:r>
      <w:r>
        <w:rPr>
          <w:rFonts w:hint="eastAsia" w:ascii="宋体" w:hAnsi="宋体"/>
          <w:sz w:val="24"/>
          <w:szCs w:val="24"/>
          <w:lang w:val="zh-CN"/>
        </w:rPr>
        <w:t xml:space="preserve">2026年苏州高新区实验小学校教职工体检服务</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采购方式：竞争性磋商</w:t>
      </w:r>
      <w:r/>
    </w:p>
    <w:p>
      <w:pPr>
        <w:ind w:firstLine="42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bookmarkStart w:id="0" w:name="OLE_LINK33"/>
      <w:r/>
      <w:bookmarkStart w:id="1" w:name="OLE_LINK10"/>
      <w:r/>
      <w:bookmarkStart w:id="2" w:name="OLE_LINK11"/>
      <w:r/>
      <w:bookmarkStart w:id="3" w:name="OLE_LINK23"/>
      <w:r>
        <w:rPr>
          <w:rFonts w:ascii="宋体" w:hAnsi="宋体" w:cs="宋体"/>
          <w:sz w:val="24"/>
        </w:rPr>
        <w:t xml:space="preserve">预算金额：</w:t>
      </w:r>
      <w:r>
        <w:rPr>
          <w:rFonts w:hint="eastAsia" w:ascii="宋体" w:hAnsi="宋体" w:cs="宋体"/>
          <w:sz w:val="24"/>
        </w:rPr>
        <w:t xml:space="preserve">人民币</w:t>
      </w:r>
      <w:r>
        <w:rPr>
          <w:rFonts w:ascii="宋体" w:hAnsi="宋体" w:cs="宋体"/>
          <w:sz w:val="24"/>
        </w:rPr>
        <w:t xml:space="preserve">壹佰</w:t>
      </w:r>
      <w:r>
        <w:rPr>
          <w:rFonts w:hint="eastAsia" w:ascii="宋体" w:hAnsi="宋体" w:cs="宋体"/>
          <w:sz w:val="24"/>
        </w:rPr>
        <w:t xml:space="preserve">叁</w:t>
      </w:r>
      <w:r>
        <w:rPr>
          <w:rFonts w:hint="eastAsia" w:ascii="宋体" w:hAnsi="宋体" w:cs="宋体"/>
          <w:sz w:val="24"/>
        </w:rPr>
        <w:t xml:space="preserve">拾</w:t>
      </w:r>
      <w:r>
        <w:rPr>
          <w:rFonts w:ascii="宋体" w:hAnsi="宋体" w:cs="宋体"/>
          <w:sz w:val="24"/>
        </w:rPr>
        <w:t xml:space="preserve">万元整（¥</w:t>
      </w:r>
      <w:r>
        <w:rPr>
          <w:rFonts w:hint="eastAsia" w:ascii="宋体" w:hAnsi="宋体" w:cs="宋体"/>
          <w:sz w:val="24"/>
        </w:rPr>
        <w:t xml:space="preserve">1</w:t>
      </w:r>
      <w:r>
        <w:rPr>
          <w:rFonts w:hint="eastAsia" w:ascii="宋体" w:hAnsi="宋体" w:cs="宋体"/>
          <w:sz w:val="24"/>
        </w:rPr>
        <w:t xml:space="preserve">3</w:t>
      </w:r>
      <w:r>
        <w:rPr>
          <w:rFonts w:hint="eastAsia" w:ascii="宋体" w:hAnsi="宋体" w:cs="宋体"/>
          <w:sz w:val="24"/>
        </w:rPr>
        <w:t xml:space="preserve">0</w:t>
      </w:r>
      <w:r>
        <w:rPr>
          <w:rFonts w:hint="eastAsia" w:ascii="宋体" w:hAnsi="宋体" w:cs="宋体"/>
          <w:sz w:val="24"/>
        </w:rPr>
        <w:t xml:space="preserve">0000.00元</w:t>
      </w:r>
      <w:r>
        <w:rPr>
          <w:rFonts w:ascii="宋体" w:hAnsi="宋体" w:cs="宋体"/>
          <w:sz w:val="24"/>
        </w:rPr>
        <w:t xml:space="preserve">）；</w:t>
      </w:r>
      <w:bookmarkEnd w:id="0"/>
      <w:r/>
      <w:bookmarkEnd w:id="1"/>
      <w:r/>
      <w:bookmarkEnd w:id="2"/>
      <w:r/>
      <w:bookmarkEnd w:id="3"/>
      <w:r/>
      <w:r/>
    </w:p>
    <w:p>
      <w:pPr>
        <w:ind w:firstLine="42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采购需求：</w:t>
      </w:r>
      <w:r>
        <w:rPr>
          <w:rFonts w:hint="eastAsia" w:ascii="宋体" w:hAnsi="宋体"/>
          <w:sz w:val="24"/>
          <w:szCs w:val="24"/>
          <w:lang w:val="zh-CN"/>
        </w:rPr>
        <w:t xml:space="preserve">2026年苏州高新区实验小学校教职工体检服务</w:t>
      </w:r>
      <w:r>
        <w:rPr>
          <w:rFonts w:hint="eastAsia" w:ascii="宋体" w:hAnsi="宋体"/>
          <w:sz w:val="24"/>
          <w:szCs w:val="24"/>
          <w:lang w:val="zh-CN"/>
        </w:rPr>
        <w:t xml:space="preserve">，</w:t>
      </w:r>
      <w:r>
        <w:rPr>
          <w:rFonts w:hint="eastAsia" w:ascii="宋体" w:hAnsi="宋体"/>
          <w:bCs/>
          <w:sz w:val="24"/>
        </w:rPr>
        <w:t xml:space="preserve">合计约85</w:t>
      </w:r>
      <w:r>
        <w:rPr>
          <w:rFonts w:hint="eastAsia" w:ascii="宋体" w:hAnsi="宋体"/>
          <w:bCs/>
          <w:sz w:val="24"/>
        </w:rPr>
        <w:t xml:space="preserve">4</w:t>
      </w:r>
      <w:r>
        <w:rPr>
          <w:rFonts w:hint="eastAsia" w:ascii="宋体" w:hAnsi="宋体"/>
          <w:bCs/>
          <w:sz w:val="24"/>
        </w:rPr>
        <w:t xml:space="preserve">人，</w:t>
      </w:r>
      <w:r>
        <w:rPr>
          <w:rFonts w:hint="eastAsia" w:ascii="宋体" w:hAnsi="宋体"/>
          <w:sz w:val="24"/>
          <w:szCs w:val="24"/>
          <w:shd w:val="clear" w:color="auto" w:fill="ffffff"/>
        </w:rPr>
        <w:t xml:space="preserve">其中退休教职工暂估为4</w:t>
      </w:r>
      <w:r>
        <w:rPr>
          <w:rFonts w:hint="eastAsia" w:ascii="宋体" w:hAnsi="宋体"/>
          <w:sz w:val="24"/>
          <w:szCs w:val="24"/>
          <w:shd w:val="clear" w:color="auto" w:fill="ffffff"/>
        </w:rPr>
        <w:t xml:space="preserve">2</w:t>
      </w:r>
      <w:r>
        <w:rPr>
          <w:rFonts w:hint="eastAsia" w:ascii="宋体" w:hAnsi="宋体"/>
          <w:sz w:val="24"/>
          <w:szCs w:val="24"/>
          <w:shd w:val="clear" w:color="auto" w:fill="ffffff"/>
        </w:rPr>
        <w:t xml:space="preserve">人，在职职工暂估为7</w:t>
      </w:r>
      <w:r>
        <w:rPr>
          <w:rFonts w:hint="eastAsia" w:ascii="宋体" w:hAnsi="宋体"/>
          <w:sz w:val="24"/>
          <w:szCs w:val="24"/>
          <w:shd w:val="clear" w:color="auto" w:fill="ffffff"/>
        </w:rPr>
        <w:t xml:space="preserve">50</w:t>
      </w:r>
      <w:r>
        <w:rPr>
          <w:rFonts w:hint="eastAsia" w:ascii="宋体" w:hAnsi="宋体"/>
          <w:sz w:val="24"/>
          <w:szCs w:val="24"/>
          <w:shd w:val="clear" w:color="auto" w:fill="ffffff"/>
        </w:rPr>
        <w:t xml:space="preserve">人，后勤人员暂估为6</w:t>
      </w:r>
      <w:r>
        <w:rPr>
          <w:rFonts w:hint="eastAsia" w:ascii="宋体" w:hAnsi="宋体"/>
          <w:sz w:val="24"/>
          <w:szCs w:val="24"/>
          <w:shd w:val="clear" w:color="auto" w:fill="ffffff"/>
        </w:rPr>
        <w:t xml:space="preserve">2</w:t>
      </w:r>
      <w:r>
        <w:rPr>
          <w:rFonts w:hint="eastAsia" w:ascii="宋体" w:hAnsi="宋体"/>
          <w:sz w:val="24"/>
          <w:szCs w:val="24"/>
          <w:shd w:val="clear" w:color="auto" w:fill="ffffff"/>
        </w:rPr>
        <w:t xml:space="preserve">人（</w:t>
      </w:r>
      <w:r>
        <w:rPr>
          <w:rFonts w:hint="eastAsia" w:ascii="宋体" w:hAnsi="宋体"/>
          <w:bCs/>
          <w:sz w:val="24"/>
        </w:rPr>
        <w:t xml:space="preserve">服务人数以实际体检人数为准，最终按实际体检人数、体检项目结算），</w:t>
      </w:r>
      <w:r>
        <w:rPr>
          <w:rFonts w:hint="eastAsia" w:ascii="宋体" w:hAnsi="宋体"/>
          <w:sz w:val="24"/>
          <w:szCs w:val="24"/>
          <w:lang w:val="zh-CN"/>
        </w:rPr>
        <w:t xml:space="preserve">详见采购文件</w:t>
      </w:r>
      <w:r/>
    </w:p>
    <w:p>
      <w:pPr>
        <w:ind w:firstLine="420"/>
        <w:spacing w:line="360" w:lineRule="auto"/>
        <w:rPr>
          <w:rFonts w:hint="eastAsia"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合同履行期限：</w:t>
      </w:r>
      <w:r>
        <w:rPr>
          <w:rFonts w:hint="eastAsia" w:ascii="宋体" w:hAnsi="宋体"/>
          <w:sz w:val="24"/>
          <w:szCs w:val="24"/>
        </w:rPr>
        <w:t xml:space="preserve">一年（</w:t>
      </w:r>
      <w:r>
        <w:rPr>
          <w:rFonts w:hint="eastAsia" w:ascii="宋体" w:hAnsi="宋体"/>
          <w:sz w:val="24"/>
          <w:szCs w:val="24"/>
        </w:rPr>
        <w:t xml:space="preserve">具体开始时间根据采购单位要求</w:t>
      </w:r>
      <w:r>
        <w:rPr>
          <w:rFonts w:hint="eastAsia" w:ascii="宋体" w:hAnsi="宋体"/>
          <w:sz w:val="24"/>
          <w:szCs w:val="24"/>
        </w:rPr>
        <w:t xml:space="preserve">）</w:t>
      </w:r>
      <w:r/>
    </w:p>
    <w:p>
      <w:pPr>
        <w:ind w:firstLine="42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本项目不接受联合体投标</w:t>
      </w:r>
      <w:r>
        <w:rPr>
          <w:rFonts w:hint="eastAsia" w:ascii="宋体" w:hAnsi="宋体" w:cs="宋体"/>
          <w:sz w:val="24"/>
          <w:szCs w:val="24"/>
        </w:rPr>
        <w:t xml:space="preserve">，不得转包、分包本项目。</w:t>
      </w:r>
      <w:r/>
    </w:p>
    <w:p>
      <w:pPr>
        <w:spacing w:line="360" w:lineRule="auto"/>
        <w:rPr>
          <w:rFonts w:hint="eastAsia" w:ascii="宋体" w:hAnsi="宋体"/>
          <w:b/>
          <w:sz w:val="24"/>
          <w:szCs w:val="24"/>
        </w:rPr>
      </w:pPr>
      <w:r>
        <w:rPr>
          <w:rFonts w:hint="eastAsia" w:ascii="宋体" w:hAnsi="宋体"/>
          <w:b/>
          <w:sz w:val="24"/>
          <w:szCs w:val="24"/>
          <w:lang w:val="zh-CN"/>
        </w:rPr>
        <w:t xml:space="preserve">二、申请人的资格要求：</w:t>
      </w:r>
      <w:r/>
    </w:p>
    <w:p>
      <w:pPr>
        <w:ind w:firstLine="480"/>
        <w:spacing w:line="360" w:lineRule="auto"/>
        <w:rPr>
          <w:rFonts w:hint="eastAsia" w:ascii="宋体" w:hAnsi="宋体"/>
          <w:sz w:val="24"/>
          <w:szCs w:val="24"/>
        </w:rPr>
      </w:pPr>
      <w:r>
        <w:rPr>
          <w:rFonts w:hint="eastAsia" w:ascii="宋体" w:hAnsi="宋体"/>
          <w:sz w:val="24"/>
          <w:szCs w:val="24"/>
          <w:lang w:val="zh-CN"/>
        </w:rPr>
        <w:t xml:space="preserve">1、</w:t>
      </w:r>
      <w:bookmarkStart w:id="4" w:name="OLE_LINK12"/>
      <w:r/>
      <w:bookmarkStart w:id="5" w:name="OLE_LINK28"/>
      <w:r/>
      <w:bookmarkStart w:id="6" w:name="OLE_LINK36"/>
      <w:r>
        <w:rPr>
          <w:rFonts w:hint="eastAsia" w:ascii="宋体" w:hAnsi="宋体"/>
          <w:sz w:val="24"/>
          <w:szCs w:val="24"/>
          <w:lang w:val="zh-CN"/>
        </w:rPr>
        <w:t xml:space="preserve">满足《中华人民共和国政府采购法》第二十二条规定</w:t>
      </w:r>
      <w:bookmarkEnd w:id="4"/>
      <w:r/>
      <w:bookmarkEnd w:id="5"/>
      <w:r/>
      <w:bookmarkEnd w:id="6"/>
      <w:r>
        <w:rPr>
          <w:rFonts w:hint="eastAsia" w:ascii="宋体" w:hAnsi="宋体"/>
          <w:sz w:val="24"/>
          <w:szCs w:val="24"/>
          <w:lang w:val="zh-CN"/>
        </w:rPr>
        <w:t xml:space="preserve">：</w:t>
      </w:r>
      <w:r/>
    </w:p>
    <w:p>
      <w:pPr>
        <w:ind w:firstLine="480"/>
        <w:spacing w:line="360" w:lineRule="auto"/>
        <w:rPr>
          <w:rFonts w:hint="eastAsia" w:ascii="宋体" w:hAnsi="宋体"/>
          <w:sz w:val="24"/>
          <w:szCs w:val="24"/>
        </w:rPr>
      </w:pPr>
      <w:r>
        <w:rPr>
          <w:rFonts w:hint="eastAsia" w:ascii="宋体" w:hAnsi="宋体"/>
          <w:sz w:val="24"/>
          <w:szCs w:val="24"/>
          <w:lang w:val="zh-CN"/>
        </w:rPr>
        <w:t xml:space="preserve">（1）具有独立承担民事责任的能力；</w:t>
      </w:r>
      <w:r/>
    </w:p>
    <w:p>
      <w:pPr>
        <w:ind w:firstLine="480"/>
        <w:spacing w:line="360" w:lineRule="auto"/>
        <w:rPr>
          <w:rFonts w:hint="eastAsia" w:ascii="宋体" w:hAnsi="宋体"/>
          <w:sz w:val="24"/>
          <w:szCs w:val="24"/>
        </w:rPr>
      </w:pPr>
      <w:r>
        <w:rPr>
          <w:rFonts w:hint="eastAsia" w:ascii="宋体" w:hAnsi="宋体"/>
          <w:sz w:val="24"/>
          <w:szCs w:val="24"/>
          <w:lang w:val="zh-CN"/>
        </w:rPr>
        <w:t xml:space="preserve">（2）具有良好的商业信誉和健全的财务会计制度；</w:t>
      </w:r>
      <w:r/>
    </w:p>
    <w:p>
      <w:pPr>
        <w:ind w:firstLine="480"/>
        <w:spacing w:line="360" w:lineRule="auto"/>
        <w:rPr>
          <w:rFonts w:hint="eastAsia" w:ascii="宋体" w:hAnsi="宋体"/>
          <w:sz w:val="24"/>
          <w:szCs w:val="24"/>
        </w:rPr>
      </w:pPr>
      <w:r>
        <w:rPr>
          <w:rFonts w:hint="eastAsia" w:ascii="宋体" w:hAnsi="宋体"/>
          <w:sz w:val="24"/>
          <w:szCs w:val="24"/>
          <w:lang w:val="zh-CN"/>
        </w:rPr>
        <w:t xml:space="preserve">（3）具有履行合同所必须的设备和专业技术能力；</w:t>
      </w:r>
      <w:r/>
    </w:p>
    <w:p>
      <w:pPr>
        <w:ind w:firstLine="480"/>
        <w:spacing w:line="360" w:lineRule="auto"/>
        <w:rPr>
          <w:rFonts w:hint="eastAsia" w:ascii="宋体" w:hAnsi="宋体"/>
          <w:sz w:val="24"/>
          <w:szCs w:val="24"/>
        </w:rPr>
      </w:pPr>
      <w:r>
        <w:rPr>
          <w:rFonts w:hint="eastAsia" w:ascii="宋体" w:hAnsi="宋体"/>
          <w:sz w:val="24"/>
          <w:szCs w:val="24"/>
          <w:lang w:val="zh-CN"/>
        </w:rPr>
        <w:t xml:space="preserve">（4）有依法缴纳税收和社会保障资金的良好记录；</w:t>
      </w:r>
      <w:r/>
    </w:p>
    <w:p>
      <w:pPr>
        <w:ind w:firstLine="480"/>
        <w:spacing w:line="360" w:lineRule="auto"/>
        <w:rPr>
          <w:rFonts w:hint="eastAsia" w:ascii="宋体" w:hAnsi="宋体"/>
          <w:sz w:val="24"/>
          <w:szCs w:val="24"/>
        </w:rPr>
      </w:pPr>
      <w:r>
        <w:rPr>
          <w:rFonts w:hint="eastAsia" w:ascii="宋体" w:hAnsi="宋体"/>
          <w:sz w:val="24"/>
          <w:szCs w:val="24"/>
          <w:lang w:val="zh-CN"/>
        </w:rPr>
        <w:t xml:space="preserve">（5）参加政府采购活动前三年内，在经营活动中没有重大违法记录；</w:t>
      </w:r>
      <w:r/>
    </w:p>
    <w:p>
      <w:pPr>
        <w:ind w:firstLine="480"/>
        <w:spacing w:line="360" w:lineRule="auto"/>
        <w:rPr>
          <w:rFonts w:hint="eastAsia" w:ascii="宋体" w:hAnsi="宋体"/>
          <w:sz w:val="24"/>
          <w:szCs w:val="24"/>
        </w:rPr>
      </w:pPr>
      <w:r>
        <w:rPr>
          <w:rFonts w:hint="eastAsia" w:ascii="宋体" w:hAnsi="宋体"/>
          <w:sz w:val="24"/>
          <w:szCs w:val="24"/>
          <w:lang w:val="zh-CN"/>
        </w:rPr>
        <w:t xml:space="preserve">（6）法律、行政法规规定的其他条件；</w:t>
      </w:r>
      <w:r/>
    </w:p>
    <w:p>
      <w:pPr>
        <w:ind w:firstLine="480"/>
        <w:spacing w:line="360" w:lineRule="auto"/>
        <w:rPr>
          <w:rFonts w:hint="eastAsia" w:ascii="宋体" w:hAnsi="宋体"/>
          <w:b/>
          <w:sz w:val="24"/>
          <w:szCs w:val="24"/>
        </w:rPr>
      </w:pPr>
      <w:r>
        <w:rPr>
          <w:rFonts w:hint="eastAsia" w:ascii="宋体" w:hAnsi="宋体"/>
          <w:b/>
          <w:sz w:val="24"/>
          <w:szCs w:val="24"/>
          <w:lang w:val="zh-CN"/>
        </w:rPr>
        <w:t xml:space="preserve">2、落实政府采购政策需满足的资格要求：</w:t>
      </w:r>
      <w:r/>
    </w:p>
    <w:p>
      <w:pPr>
        <w:ind w:firstLine="480"/>
        <w:spacing w:line="360" w:lineRule="auto"/>
        <w:rPr>
          <w:rFonts w:hint="eastAsia" w:ascii="宋体" w:hAnsi="宋体"/>
          <w:sz w:val="24"/>
          <w:szCs w:val="24"/>
        </w:rPr>
      </w:pPr>
      <w:r>
        <w:rPr>
          <w:rFonts w:hint="eastAsia" w:ascii="宋体" w:hAnsi="宋体"/>
          <w:sz w:val="24"/>
          <w:szCs w:val="24"/>
          <w:lang w:val="zh-CN"/>
        </w:rPr>
        <w:t xml:space="preserve">本项目专门面向中小企业采购，</w:t>
      </w:r>
      <w:r>
        <w:rPr>
          <w:rFonts w:ascii="宋体" w:hAnsi="宋体"/>
          <w:sz w:val="24"/>
          <w:szCs w:val="24"/>
          <w:lang w:val="zh-CN"/>
        </w:rPr>
        <w:t xml:space="preserve">所属行业为</w:t>
      </w:r>
      <w:bookmarkStart w:id="7" w:name="OLE_LINK25"/>
      <w:r>
        <w:rPr>
          <w:rFonts w:ascii="宋体" w:hAnsi="宋体" w:cs="宋体"/>
          <w:b/>
          <w:bCs/>
          <w:sz w:val="24"/>
        </w:rPr>
        <w:t xml:space="preserve">其他未列明行业</w:t>
      </w:r>
      <w:r>
        <w:rPr>
          <w:rFonts w:hint="eastAsia" w:ascii="宋体" w:hAnsi="宋体"/>
          <w:sz w:val="24"/>
          <w:szCs w:val="24"/>
          <w:lang w:val="zh-CN"/>
        </w:rPr>
        <w:t xml:space="preserve">。</w:t>
      </w:r>
      <w:bookmarkStart w:id="8" w:name="OLE_LINK38"/>
      <w:r/>
      <w:bookmarkStart w:id="9" w:name="OLE_LINK39"/>
      <w:r/>
      <w:bookmarkEnd w:id="7"/>
      <w:r>
        <w:rPr>
          <w:rFonts w:ascii="宋体" w:hAnsi="宋体"/>
          <w:sz w:val="24"/>
          <w:szCs w:val="24"/>
          <w:lang w:val="zh-CN"/>
        </w:rPr>
        <w:t xml:space="preserve">响应单位</w:t>
      </w:r>
      <w:r>
        <w:rPr>
          <w:rFonts w:ascii="宋体" w:hAnsi="宋体"/>
          <w:sz w:val="24"/>
          <w:szCs w:val="24"/>
          <w:lang w:val="zh-CN"/>
        </w:rPr>
        <w:t xml:space="preserve">须提供</w:t>
      </w:r>
      <w:bookmarkStart w:id="10" w:name="OLE_LINK16"/>
      <w:r>
        <w:rPr>
          <w:rFonts w:ascii="宋体" w:hAnsi="宋体"/>
          <w:sz w:val="24"/>
          <w:szCs w:val="24"/>
          <w:lang w:val="zh-CN"/>
        </w:rPr>
        <w:t xml:space="preserve">《中小企业声明函》或《残疾人福利性单位声明函》或由省级</w:t>
      </w:r>
      <w:r>
        <w:rPr>
          <w:rFonts w:ascii="宋体" w:hAnsi="宋体" w:cs="宋体"/>
          <w:sz w:val="24"/>
        </w:rPr>
        <w:t xml:space="preserve">以上监狱管理局、戒毒管理局（含新疆生产建设兵团）出具的属于监狱企业的证明文件。</w:t>
      </w:r>
      <w:bookmarkEnd w:id="8"/>
      <w:r/>
      <w:bookmarkEnd w:id="9"/>
      <w:r/>
      <w:bookmarkEnd w:id="10"/>
      <w:r/>
      <w:r/>
    </w:p>
    <w:p>
      <w:pPr>
        <w:ind w:firstLine="480"/>
        <w:spacing w:line="360" w:lineRule="auto"/>
        <w:rPr>
          <w:rFonts w:hint="eastAsia" w:ascii="宋体" w:hAnsi="宋体"/>
          <w:b/>
          <w:sz w:val="24"/>
          <w:szCs w:val="24"/>
        </w:rPr>
      </w:pPr>
      <w:r>
        <w:rPr>
          <w:rFonts w:hint="eastAsia" w:ascii="宋体" w:hAnsi="宋体"/>
          <w:b/>
          <w:sz w:val="24"/>
          <w:szCs w:val="24"/>
          <w:lang w:val="zh-CN"/>
        </w:rPr>
        <w:t xml:space="preserve">3、本项目的特定资格要求：</w:t>
      </w:r>
      <w:r/>
    </w:p>
    <w:p>
      <w:pPr>
        <w:ind w:firstLine="480"/>
        <w:jc w:val="left"/>
        <w:spacing w:line="360" w:lineRule="auto"/>
        <w:rPr>
          <w:rFonts w:hint="eastAsia" w:ascii="宋体" w:hAnsi="宋体" w:cs="宋体"/>
          <w:sz w:val="24"/>
        </w:rPr>
      </w:pPr>
      <w:r>
        <w:rPr>
          <w:rFonts w:hint="eastAsia" w:ascii="宋体" w:hAnsi="宋体" w:cs="宋体"/>
          <w:sz w:val="24"/>
        </w:rPr>
        <w:t xml:space="preserve">3.1具有有效的《医疗机构执业许可证》；</w:t>
      </w:r>
      <w:r/>
    </w:p>
    <w:p>
      <w:pPr>
        <w:ind w:firstLine="480"/>
        <w:spacing w:line="360" w:lineRule="auto"/>
        <w:rPr>
          <w:rFonts w:hint="eastAsia" w:ascii="宋体" w:hAnsi="宋体" w:cs="宋体"/>
          <w:sz w:val="24"/>
          <w:szCs w:val="24"/>
        </w:rPr>
      </w:pPr>
      <w:r/>
      <w:bookmarkStart w:id="11" w:name="OLE_LINK43"/>
      <w:r/>
      <w:bookmarkStart w:id="12" w:name="OLE_LINK29"/>
      <w:r>
        <w:rPr>
          <w:rFonts w:hint="eastAsia" w:ascii="宋体" w:hAnsi="宋体"/>
          <w:sz w:val="24"/>
          <w:szCs w:val="24"/>
          <w:lang w:val="zh-CN"/>
        </w:rPr>
        <w:t xml:space="preserve">3.2</w:t>
      </w:r>
      <w:r>
        <w:rPr>
          <w:rFonts w:hint="eastAsia" w:ascii="宋体" w:hAnsi="宋体" w:cs="宋体"/>
          <w:sz w:val="24"/>
          <w:szCs w:val="24"/>
          <w:lang w:val="zh-CN"/>
        </w:rPr>
        <w:t xml:space="preserve">单位负责人为同一人或者存在直接控股、管理关系的</w:t>
      </w:r>
      <w:r>
        <w:rPr>
          <w:rFonts w:hint="eastAsia" w:ascii="宋体" w:hAnsi="宋体" w:cs="宋体"/>
          <w:sz w:val="24"/>
          <w:szCs w:val="24"/>
          <w:lang w:val="zh-CN"/>
        </w:rPr>
        <w:t xml:space="preserve">不同</w:t>
      </w:r>
      <w:r>
        <w:rPr>
          <w:rFonts w:hint="eastAsia" w:ascii="宋体" w:hAnsi="宋体" w:cs="宋体"/>
          <w:sz w:val="24"/>
          <w:szCs w:val="24"/>
          <w:lang w:val="zh-CN"/>
        </w:rPr>
        <w:t xml:space="preserve">响应</w:t>
      </w:r>
      <w:r>
        <w:rPr>
          <w:rFonts w:hint="eastAsia" w:ascii="宋体" w:hAnsi="宋体" w:cs="宋体"/>
          <w:sz w:val="24"/>
          <w:szCs w:val="24"/>
          <w:lang w:val="zh-CN"/>
        </w:rPr>
        <w:t xml:space="preserve">单位</w:t>
      </w:r>
      <w:r>
        <w:rPr>
          <w:rFonts w:hint="eastAsia" w:ascii="宋体" w:hAnsi="宋体" w:cs="宋体"/>
          <w:sz w:val="24"/>
          <w:szCs w:val="24"/>
          <w:lang w:val="zh-CN"/>
        </w:rPr>
        <w:t xml:space="preserve">（包含法定代表人为同一个人的两个及两个以上法人，母公司、全资子公司及其控股公司），不得参加同一合同项下的政府采购活动</w:t>
      </w:r>
      <w:bookmarkEnd w:id="11"/>
      <w:r>
        <w:rPr>
          <w:rFonts w:hint="eastAsia" w:ascii="宋体" w:hAnsi="宋体" w:cs="宋体"/>
          <w:sz w:val="24"/>
          <w:szCs w:val="24"/>
          <w:lang w:val="zh-CN"/>
        </w:rPr>
        <w:t xml:space="preserve">；</w:t>
      </w:r>
      <w:bookmarkEnd w:id="12"/>
      <w:r/>
      <w:r/>
    </w:p>
    <w:p>
      <w:pPr>
        <w:ind w:firstLine="480"/>
        <w:spacing w:line="360" w:lineRule="auto"/>
        <w:rPr>
          <w:rFonts w:hint="eastAsia" w:ascii="宋体" w:hAnsi="宋体"/>
          <w:sz w:val="24"/>
          <w:szCs w:val="24"/>
        </w:rPr>
      </w:pPr>
      <w:r/>
      <w:bookmarkStart w:id="13" w:name="OLE_LINK18"/>
      <w:r/>
      <w:bookmarkStart w:id="14" w:name="OLE_LINK19"/>
      <w:r/>
      <w:bookmarkStart w:id="15" w:name="OLE_LINK44"/>
      <w:r/>
      <w:bookmarkStart w:id="16" w:name="OLE_LINK30"/>
      <w:r/>
      <w:bookmarkStart w:id="17" w:name="OLE_LINK31"/>
      <w:r>
        <w:rPr>
          <w:rFonts w:hint="eastAsia" w:ascii="宋体" w:hAnsi="宋体" w:cs="宋体"/>
          <w:sz w:val="24"/>
          <w:szCs w:val="24"/>
        </w:rPr>
        <w:t xml:space="preserve">3.3</w:t>
      </w:r>
      <w:r>
        <w:rPr>
          <w:rFonts w:hint="eastAsia" w:ascii="宋体" w:hAnsi="宋体"/>
          <w:sz w:val="24"/>
          <w:lang w:val="zh-CN"/>
        </w:rPr>
        <w:t xml:space="preserve">未被</w:t>
      </w:r>
      <w:r>
        <w:rPr>
          <w:rFonts w:hint="eastAsia" w:ascii="宋体" w:hAnsi="宋体"/>
          <w:sz w:val="24"/>
        </w:rPr>
        <w:t xml:space="preserve">“</w:t>
      </w:r>
      <w:r>
        <w:rPr>
          <w:rFonts w:hint="eastAsia" w:ascii="宋体" w:hAnsi="宋体"/>
          <w:sz w:val="24"/>
          <w:lang w:val="zh-CN"/>
        </w:rPr>
        <w:t xml:space="preserve">信用中国</w:t>
      </w:r>
      <w:r>
        <w:rPr>
          <w:rFonts w:hint="eastAsia" w:ascii="宋体" w:hAnsi="宋体"/>
          <w:sz w:val="24"/>
        </w:rPr>
        <w:t xml:space="preserve">”</w:t>
      </w:r>
      <w:r>
        <w:rPr>
          <w:rFonts w:hint="eastAsia" w:ascii="宋体" w:hAnsi="宋体"/>
          <w:sz w:val="24"/>
          <w:lang w:val="zh-CN"/>
        </w:rPr>
        <w:t xml:space="preserve">网站</w:t>
      </w:r>
      <w:r>
        <w:rPr>
          <w:rFonts w:hint="eastAsia" w:ascii="宋体" w:hAnsi="宋体"/>
          <w:sz w:val="24"/>
        </w:rPr>
        <w:t xml:space="preserve">（www.creditchina.gov.cn）</w:t>
      </w:r>
      <w:r>
        <w:rPr>
          <w:rFonts w:hint="eastAsia" w:ascii="宋体" w:hAnsi="宋体"/>
          <w:sz w:val="24"/>
          <w:lang w:val="zh-CN"/>
        </w:rPr>
        <w:t xml:space="preserve">或</w:t>
      </w:r>
      <w:r>
        <w:rPr>
          <w:rFonts w:hint="eastAsia" w:ascii="宋体" w:hAnsi="宋体"/>
          <w:sz w:val="24"/>
        </w:rPr>
        <w:t xml:space="preserve">“</w:t>
      </w:r>
      <w:r>
        <w:rPr>
          <w:rFonts w:hint="eastAsia" w:ascii="宋体" w:hAnsi="宋体"/>
          <w:sz w:val="24"/>
          <w:lang w:val="zh-CN"/>
        </w:rPr>
        <w:t xml:space="preserve">中国政府采购网</w:t>
      </w:r>
      <w:r>
        <w:rPr>
          <w:rFonts w:hint="eastAsia" w:ascii="宋体" w:hAnsi="宋体"/>
          <w:sz w:val="24"/>
        </w:rPr>
        <w:t xml:space="preserve">”</w:t>
      </w:r>
      <w:r>
        <w:rPr>
          <w:rFonts w:hint="eastAsia" w:ascii="宋体" w:hAnsi="宋体"/>
          <w:sz w:val="24"/>
          <w:lang w:val="zh-CN"/>
        </w:rPr>
        <w:t xml:space="preserve">网站</w:t>
      </w:r>
      <w:r>
        <w:rPr>
          <w:rFonts w:hint="eastAsia" w:ascii="宋体" w:hAnsi="宋体"/>
          <w:sz w:val="24"/>
        </w:rPr>
        <w:t xml:space="preserve">（www.ccgp.gov.cn）</w:t>
      </w:r>
      <w:r>
        <w:rPr>
          <w:rFonts w:hint="eastAsia" w:ascii="宋体" w:hAnsi="宋体"/>
          <w:sz w:val="24"/>
          <w:lang w:val="zh-CN"/>
        </w:rPr>
        <w:t xml:space="preserve">列入失信被执行人、重大税收违法案件当事人名单、政府采购严重失信行为记录名单</w:t>
      </w:r>
      <w:bookmarkEnd w:id="13"/>
      <w:r/>
      <w:bookmarkEnd w:id="14"/>
      <w:r/>
      <w:bookmarkEnd w:id="15"/>
      <w:r>
        <w:rPr>
          <w:rFonts w:hint="eastAsia" w:ascii="宋体" w:hAnsi="宋体"/>
          <w:sz w:val="24"/>
          <w:szCs w:val="24"/>
          <w:lang w:val="zh-CN"/>
        </w:rPr>
        <w:t xml:space="preserve">。</w:t>
      </w:r>
      <w:bookmarkEnd w:id="16"/>
      <w:r/>
      <w:bookmarkEnd w:id="17"/>
      <w:r/>
      <w:r/>
    </w:p>
    <w:p>
      <w:pPr>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b/>
          <w:sz w:val="24"/>
          <w:szCs w:val="24"/>
          <w:lang w:val="zh-CN"/>
        </w:rPr>
        <w:t xml:space="preserve">三、</w:t>
      </w:r>
      <w:r>
        <w:rPr>
          <w:rFonts w:ascii="宋体" w:hAnsi="宋体" w:cs="宋体"/>
          <w:b/>
          <w:sz w:val="24"/>
        </w:rPr>
        <w:t xml:space="preserve">获取采购文件 </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时间：自磋商公告发布之日起5个工作日。</w:t>
      </w:r>
      <w:r/>
    </w:p>
    <w:p>
      <w:pPr>
        <w:ind w:firstLine="42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地点：“苏</w:t>
      </w:r>
      <w:r>
        <w:rPr>
          <w:rFonts w:ascii="宋体" w:hAnsi="宋体" w:cs="宋体"/>
          <w:sz w:val="24"/>
        </w:rPr>
        <w:t xml:space="preserve">采云</w:t>
      </w:r>
      <w:r>
        <w:rPr>
          <w:rFonts w:ascii="宋体" w:hAnsi="宋体" w:cs="宋体"/>
          <w:sz w:val="24"/>
        </w:rPr>
        <w:t xml:space="preserve">”系统</w:t>
      </w:r>
      <w:r/>
    </w:p>
    <w:p>
      <w:pPr>
        <w:ind w:firstLine="42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方式：线上获取</w:t>
      </w:r>
      <w:r/>
    </w:p>
    <w:p>
      <w:pPr>
        <w:spacing w:line="360" w:lineRule="auto"/>
        <w:rPr>
          <w:rFonts w:hint="eastAsia"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四、响应文件提交：</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截止时间：2026年</w:t>
      </w:r>
      <w:r>
        <w:rPr>
          <w:rFonts w:hint="eastAsia" w:ascii="宋体" w:hAnsi="宋体" w:cs="宋体"/>
          <w:sz w:val="24"/>
        </w:rPr>
        <w:t xml:space="preserve">5</w:t>
      </w:r>
      <w:r>
        <w:rPr>
          <w:rFonts w:hint="eastAsia" w:ascii="宋体" w:hAnsi="宋体" w:cs="宋体"/>
          <w:sz w:val="24"/>
        </w:rPr>
        <w:t xml:space="preserve">月9日9:30（北京时间）</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地点：苏</w:t>
      </w:r>
      <w:r>
        <w:rPr>
          <w:rFonts w:hint="eastAsia" w:ascii="宋体" w:hAnsi="宋体" w:cs="宋体"/>
          <w:sz w:val="24"/>
        </w:rPr>
        <w:t xml:space="preserve">采云</w:t>
      </w:r>
      <w:r/>
    </w:p>
    <w:p>
      <w:pPr>
        <w:spacing w:line="360" w:lineRule="auto"/>
        <w:rPr>
          <w:rFonts w:hint="eastAsia"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五、开启：</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2026年</w:t>
      </w:r>
      <w:r>
        <w:rPr>
          <w:rFonts w:hint="eastAsia" w:ascii="宋体" w:hAnsi="宋体" w:cs="宋体"/>
          <w:sz w:val="24"/>
        </w:rPr>
        <w:t xml:space="preserve">5</w:t>
      </w:r>
      <w:r>
        <w:rPr>
          <w:rFonts w:hint="eastAsia" w:ascii="宋体" w:hAnsi="宋体" w:cs="宋体"/>
          <w:sz w:val="24"/>
        </w:rPr>
        <w:t xml:space="preserve">月9日9:30（北京时间）</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地点：苏</w:t>
      </w:r>
      <w:r>
        <w:rPr>
          <w:rFonts w:hint="eastAsia" w:ascii="宋体" w:hAnsi="宋体" w:cs="宋体"/>
          <w:sz w:val="24"/>
        </w:rPr>
        <w:t xml:space="preserve">采云</w:t>
      </w:r>
      <w:r/>
    </w:p>
    <w:p>
      <w:pPr>
        <w:spacing w:line="360" w:lineRule="auto"/>
        <w:rPr>
          <w:rFonts w:hint="eastAsia"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六、公告期限：</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自本公告发布之日起3个工作日。</w:t>
      </w:r>
      <w:r/>
    </w:p>
    <w:p>
      <w:pPr>
        <w:spacing w:line="360" w:lineRule="auto"/>
        <w:rPr>
          <w:rFonts w:hint="eastAsia"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七、其他补充事宜：</w:t>
      </w:r>
      <w:r/>
    </w:p>
    <w:p>
      <w:pPr>
        <w:ind w:firstLine="482"/>
        <w:spacing w:line="360" w:lineRule="auto"/>
        <w:rPr>
          <w:rFonts w:hint="eastAsia"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1、</w:t>
      </w:r>
      <w:r>
        <w:rPr>
          <w:rFonts w:ascii="宋体" w:hAnsi="宋体" w:cs="宋体"/>
          <w:b/>
          <w:sz w:val="24"/>
        </w:rPr>
        <w:t xml:space="preserve">CA证书办理：</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响应单位参与政府采购活动需办理江苏省电子政务证书认证中心CA证书和方正国际软件（北京）有限公司电子签章。CA证书及电子签章的办理方法详见苏州市政府采购网</w:t>
      </w:r>
      <w:r>
        <w:rPr>
          <w:rFonts w:ascii="宋体" w:hAnsi="宋体" w:cs="宋体"/>
          <w:sz w:val="24"/>
        </w:rPr>
        <w:t xml:space="preserve">—法规</w:t>
      </w:r>
      <w:r>
        <w:rPr>
          <w:rFonts w:ascii="宋体" w:hAnsi="宋体" w:cs="宋体"/>
          <w:sz w:val="24"/>
        </w:rPr>
        <w:t xml:space="preserve">政策--《转发省财政厅关于更换全省政府采购交易系统CA数字证书和电子签章的通知》或者“苏</w:t>
      </w:r>
      <w:r>
        <w:rPr>
          <w:rFonts w:ascii="宋体" w:hAnsi="宋体" w:cs="宋体"/>
          <w:sz w:val="24"/>
        </w:rPr>
        <w:t xml:space="preserve">采云</w:t>
      </w:r>
      <w:r>
        <w:rPr>
          <w:rFonts w:ascii="宋体" w:hAnsi="宋体" w:cs="宋体"/>
          <w:sz w:val="24"/>
        </w:rPr>
        <w:t xml:space="preserve">”系统登录界面中的“新CA办理指南”。</w:t>
      </w:r>
      <w:r/>
    </w:p>
    <w:p>
      <w:pPr>
        <w:ind w:firstLine="480"/>
        <w:spacing w:line="360" w:lineRule="auto"/>
        <w:rPr>
          <w:rFonts w:hint="eastAsia"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“苏</w:t>
      </w:r>
      <w:r>
        <w:rPr>
          <w:rFonts w:ascii="宋体" w:hAnsi="宋体" w:cs="宋体"/>
          <w:sz w:val="24"/>
        </w:rPr>
        <w:t xml:space="preserve">采云</w:t>
      </w:r>
      <w:r>
        <w:rPr>
          <w:rFonts w:ascii="宋体" w:hAnsi="宋体" w:cs="宋体"/>
          <w:sz w:val="24"/>
        </w:rPr>
        <w:t xml:space="preserve">”系统目前仅支持“苏</w:t>
      </w:r>
      <w:r>
        <w:rPr>
          <w:rFonts w:ascii="宋体" w:hAnsi="宋体" w:cs="宋体"/>
          <w:sz w:val="24"/>
        </w:rPr>
        <w:t xml:space="preserve">采云</w:t>
      </w:r>
      <w:r>
        <w:rPr>
          <w:rFonts w:ascii="宋体" w:hAnsi="宋体" w:cs="宋体"/>
          <w:sz w:val="24"/>
        </w:rPr>
        <w:t xml:space="preserve">”系统下的政务CA证书，江苏省内各地区办理的“苏</w:t>
      </w:r>
      <w:r>
        <w:rPr>
          <w:rFonts w:ascii="宋体" w:hAnsi="宋体" w:cs="宋体"/>
          <w:sz w:val="24"/>
        </w:rPr>
        <w:t xml:space="preserve">采云</w:t>
      </w:r>
      <w:r>
        <w:rPr>
          <w:rFonts w:ascii="宋体" w:hAnsi="宋体" w:cs="宋体"/>
          <w:sz w:val="24"/>
        </w:rPr>
        <w:t xml:space="preserve">”系统下的政务CA证书全省通用。</w:t>
      </w:r>
      <w:r>
        <w:rPr>
          <w:rFonts w:ascii="宋体" w:hAnsi="宋体" w:cs="宋体"/>
          <w:b/>
          <w:sz w:val="24"/>
        </w:rPr>
        <w:t xml:space="preserve">苏州现场办理地址：苏州市高新区邓尉路105号狮山科技馆1楼</w:t>
      </w:r>
      <w:r>
        <w:rPr>
          <w:rFonts w:hint="eastAsia" w:ascii="宋体" w:hAnsi="宋体" w:cs="宋体"/>
          <w:b/>
          <w:sz w:val="24"/>
        </w:rPr>
        <w:t xml:space="preserve">服务</w:t>
      </w:r>
      <w:r>
        <w:rPr>
          <w:rFonts w:ascii="宋体" w:hAnsi="宋体" w:cs="宋体"/>
          <w:b/>
          <w:sz w:val="24"/>
        </w:rPr>
        <w:t xml:space="preserve">大厅，联系电话：</w:t>
      </w:r>
      <w:r>
        <w:rPr>
          <w:rFonts w:hint="eastAsia" w:ascii="宋体" w:hAnsi="宋体" w:cs="宋体"/>
          <w:b/>
          <w:sz w:val="24"/>
        </w:rPr>
        <w:t xml:space="preserve">0512-65737699</w:t>
      </w:r>
      <w:r>
        <w:rPr>
          <w:rFonts w:ascii="宋体" w:hAnsi="宋体" w:cs="宋体"/>
          <w:b/>
          <w:sz w:val="24"/>
        </w:rPr>
        <w:t xml:space="preserve">。</w:t>
      </w:r>
      <w:r/>
    </w:p>
    <w:p>
      <w:pPr>
        <w:ind w:firstLine="482"/>
        <w:spacing w:line="360" w:lineRule="auto"/>
        <w:rPr>
          <w:rFonts w:hint="eastAsia" w:ascii="宋体" w:hAnsi="宋体"/>
          <w:b/>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2、</w:t>
      </w:r>
      <w:r>
        <w:rPr>
          <w:rFonts w:ascii="宋体" w:hAnsi="宋体" w:cs="宋体"/>
          <w:b/>
          <w:sz w:val="24"/>
        </w:rPr>
        <w:t xml:space="preserve">参与采购活动：</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响应单位插入CA证书登录“苏</w:t>
      </w:r>
      <w:r>
        <w:rPr>
          <w:rFonts w:ascii="宋体" w:hAnsi="宋体" w:cs="宋体"/>
          <w:sz w:val="24"/>
        </w:rPr>
        <w:t xml:space="preserve">采云</w:t>
      </w:r>
      <w:r>
        <w:rPr>
          <w:rFonts w:ascii="宋体" w:hAnsi="宋体" w:cs="宋体"/>
          <w:sz w:val="24"/>
        </w:rPr>
        <w:t xml:space="preserve">”系统后选择具体项目，点击“我要参与”并签章提交《投标响应单位确认函》，提交《投标响应单位确认函》日期视同为依法获取采购文件日期。响应单位须打印、保留《投标响应单位确认函》，质疑时《投标响应单位确认函》与质疑函一并提交；未依照采购公告要求提交《投标响应单位确认函》的响应单位，视为未参与该项政府采购活动，不具备对该政府采购项目提出质疑的法定权利，但因响应单位资格条件或获取采购文件时间设定不符合有关法律法规规定等原因使响应单位权益受损的除外。</w:t>
      </w:r>
      <w:r/>
    </w:p>
    <w:p>
      <w:pPr>
        <w:ind w:firstLine="482"/>
        <w:spacing w:line="360" w:lineRule="auto"/>
        <w:rPr>
          <w:rFonts w:hint="eastAsia" w:ascii="宋体" w:hAnsi="宋体"/>
          <w:b/>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3、</w:t>
      </w:r>
      <w:r>
        <w:rPr>
          <w:rFonts w:ascii="宋体" w:hAnsi="宋体" w:cs="宋体"/>
          <w:b/>
          <w:sz w:val="24"/>
        </w:rPr>
        <w:t xml:space="preserve">电子投标准备：</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响应单位在“苏</w:t>
      </w:r>
      <w:r>
        <w:rPr>
          <w:rFonts w:ascii="宋体" w:hAnsi="宋体" w:cs="宋体"/>
          <w:sz w:val="24"/>
        </w:rPr>
        <w:t xml:space="preserve">采云</w:t>
      </w:r>
      <w:r>
        <w:rPr>
          <w:rFonts w:ascii="宋体" w:hAnsi="宋体" w:cs="宋体"/>
          <w:sz w:val="24"/>
        </w:rPr>
        <w:t xml:space="preserve">”系统中操作参与项目后，必须在“已参与项目”界面中下载电子采购文件（后缀名为“.</w:t>
      </w:r>
      <w:r>
        <w:rPr>
          <w:rFonts w:ascii="宋体" w:hAnsi="宋体" w:cs="宋体"/>
          <w:sz w:val="24"/>
        </w:rPr>
        <w:t xml:space="preserve">kedt</w:t>
      </w:r>
      <w:r>
        <w:rPr>
          <w:rFonts w:ascii="宋体" w:hAnsi="宋体" w:cs="宋体"/>
          <w:sz w:val="24"/>
        </w:rPr>
        <w:t xml:space="preserve">”）并导入政府采购客户端工具后方可进行响应文件制作和提交</w:t>
      </w:r>
      <w:r>
        <w:rPr>
          <w:rFonts w:ascii="宋体" w:hAnsi="宋体" w:cs="宋体"/>
          <w:b/>
          <w:sz w:val="24"/>
        </w:rPr>
        <w:t xml:space="preserve">（具体详见《苏</w:t>
      </w:r>
      <w:r>
        <w:rPr>
          <w:rFonts w:ascii="宋体" w:hAnsi="宋体" w:cs="宋体"/>
          <w:b/>
          <w:sz w:val="24"/>
        </w:rPr>
        <w:t xml:space="preserve">采云</w:t>
      </w:r>
      <w:r>
        <w:rPr>
          <w:rFonts w:ascii="宋体" w:hAnsi="宋体" w:cs="宋体"/>
          <w:b/>
          <w:sz w:val="24"/>
        </w:rPr>
        <w:t xml:space="preserve">系统响应单位操作手册》，网址链接https://czju.suzhou.gov.cn/zfcg/html/content/20231220161910031.shtml）</w:t>
      </w:r>
      <w:r>
        <w:rPr>
          <w:rFonts w:ascii="宋体" w:hAnsi="宋体" w:cs="宋体"/>
          <w:sz w:val="24"/>
        </w:rPr>
        <w:t xml:space="preserve">。</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在系统操作过程中如有疑问，请按以下方式联系：</w:t>
      </w:r>
      <w:r/>
    </w:p>
    <w:p>
      <w:pPr>
        <w:ind w:firstLine="480"/>
        <w:spacing w:line="360" w:lineRule="auto"/>
        <w:rPr>
          <w:rFonts w:hint="eastAsia" w:ascii="宋体" w:hAnsi="宋体" w:cs="宋体"/>
          <w:sz w:val="24"/>
        </w:rPr>
      </w:pPr>
      <w:r>
        <w:rPr>
          <w:rFonts w:hint="eastAsia" w:ascii="宋体" w:hAnsi="宋体" w:cs="宋体"/>
          <w:sz w:val="24"/>
        </w:rPr>
        <w:t xml:space="preserve">注册咨询：18261002950；CA技术咨询电话：400-608-6099；</w:t>
      </w:r>
      <w:r/>
    </w:p>
    <w:p>
      <w:pPr>
        <w:ind w:firstLine="480"/>
        <w:spacing w:line="360" w:lineRule="auto"/>
        <w:rPr>
          <w:rFonts w:hint="eastAsia" w:ascii="宋体" w:hAnsi="宋体" w:cs="宋体"/>
          <w:sz w:val="24"/>
        </w:rPr>
      </w:pPr>
      <w:r>
        <w:rPr>
          <w:rFonts w:hint="eastAsia" w:ascii="宋体" w:hAnsi="宋体" w:cs="宋体"/>
          <w:sz w:val="24"/>
        </w:rPr>
        <w:t xml:space="preserve">签章使用问题：025-83633811、025-83633812、15380932027、15371015030；</w:t>
      </w:r>
      <w:r/>
    </w:p>
    <w:p>
      <w:pPr>
        <w:ind w:firstLine="42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系统使用指导与咨询：联系电话：18261002950；</w:t>
      </w:r>
      <w:r/>
    </w:p>
    <w:p>
      <w:pPr>
        <w:ind w:firstLine="42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QQ：3048755361、1315179389、895706745。</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智能客服：登录苏</w:t>
      </w:r>
      <w:r>
        <w:rPr>
          <w:rFonts w:ascii="宋体" w:hAnsi="宋体" w:cs="宋体"/>
          <w:sz w:val="24"/>
        </w:rPr>
        <w:t xml:space="preserve">采云</w:t>
      </w:r>
      <w:r>
        <w:rPr>
          <w:rFonts w:ascii="宋体" w:hAnsi="宋体" w:cs="宋体"/>
          <w:sz w:val="24"/>
        </w:rPr>
        <w:t xml:space="preserve">系统后，联系系统右下方智能客服图标进行咨询。</w:t>
      </w:r>
      <w:r/>
    </w:p>
    <w:p>
      <w:pPr>
        <w:ind w:firstLine="482"/>
        <w:spacing w:line="360" w:lineRule="auto"/>
        <w:rPr>
          <w:rFonts w:hint="eastAsia"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4、</w:t>
      </w:r>
      <w:r>
        <w:rPr>
          <w:rFonts w:ascii="宋体" w:hAnsi="宋体" w:cs="宋体"/>
          <w:sz w:val="24"/>
        </w:rPr>
        <w:t xml:space="preserve">本项目采用电子招投标形式，请</w:t>
      </w:r>
      <w:r>
        <w:rPr>
          <w:rFonts w:ascii="宋体" w:hAnsi="宋体" w:cs="宋体"/>
          <w:sz w:val="24"/>
        </w:rPr>
        <w:t xml:space="preserve">响应单位</w:t>
      </w:r>
      <w:r>
        <w:rPr>
          <w:rFonts w:ascii="宋体" w:hAnsi="宋体" w:cs="宋体"/>
          <w:sz w:val="24"/>
        </w:rPr>
        <w:t xml:space="preserve">按照《苏</w:t>
      </w:r>
      <w:r>
        <w:rPr>
          <w:rFonts w:ascii="宋体" w:hAnsi="宋体" w:cs="宋体"/>
          <w:sz w:val="24"/>
        </w:rPr>
        <w:t xml:space="preserve">采云</w:t>
      </w:r>
      <w:r>
        <w:rPr>
          <w:rFonts w:ascii="宋体" w:hAnsi="宋体" w:cs="宋体"/>
          <w:sz w:val="24"/>
        </w:rPr>
        <w:t xml:space="preserve">系统</w:t>
      </w:r>
      <w:r>
        <w:rPr>
          <w:rFonts w:ascii="宋体" w:hAnsi="宋体" w:cs="宋体"/>
          <w:sz w:val="24"/>
        </w:rPr>
        <w:t xml:space="preserve">响应单位</w:t>
      </w:r>
      <w:r>
        <w:rPr>
          <w:rFonts w:ascii="宋体" w:hAnsi="宋体" w:cs="宋体"/>
          <w:sz w:val="24"/>
        </w:rPr>
        <w:t xml:space="preserve">操作手册》进行制作、上传电子响应文件。电子响应文件制作完成后请于响应文件递交截止时间前成功上传至“苏</w:t>
      </w:r>
      <w:r>
        <w:rPr>
          <w:rFonts w:ascii="宋体" w:hAnsi="宋体" w:cs="宋体"/>
          <w:sz w:val="24"/>
        </w:rPr>
        <w:t xml:space="preserve">采云</w:t>
      </w:r>
      <w:r>
        <w:rPr>
          <w:rFonts w:ascii="宋体" w:hAnsi="宋体" w:cs="宋体"/>
          <w:sz w:val="24"/>
        </w:rPr>
        <w:t xml:space="preserve">”系统，否则视为放弃参加该采购项目。</w:t>
      </w:r>
      <w:r>
        <w:rPr>
          <w:rFonts w:ascii="宋体" w:hAnsi="宋体" w:cs="宋体"/>
          <w:b/>
          <w:sz w:val="24"/>
        </w:rPr>
        <w:t xml:space="preserve">响应单位</w:t>
      </w:r>
      <w:r>
        <w:rPr>
          <w:rFonts w:ascii="宋体" w:hAnsi="宋体" w:cs="宋体"/>
          <w:b/>
          <w:sz w:val="24"/>
        </w:rPr>
        <w:t xml:space="preserve">应充分考虑网络环境、网络带宽等风险因素，如因</w:t>
      </w:r>
      <w:r>
        <w:rPr>
          <w:rFonts w:ascii="宋体" w:hAnsi="宋体" w:cs="宋体"/>
          <w:b/>
          <w:sz w:val="24"/>
        </w:rPr>
        <w:t xml:space="preserve">响应单位</w:t>
      </w:r>
      <w:r>
        <w:rPr>
          <w:rFonts w:ascii="宋体" w:hAnsi="宋体" w:cs="宋体"/>
          <w:b/>
          <w:sz w:val="24"/>
        </w:rPr>
        <w:t xml:space="preserve">自身原因造成的电子响应文件上传不成功由</w:t>
      </w:r>
      <w:r>
        <w:rPr>
          <w:rFonts w:ascii="宋体" w:hAnsi="宋体" w:cs="宋体"/>
          <w:b/>
          <w:sz w:val="24"/>
        </w:rPr>
        <w:t xml:space="preserve">响应单位</w:t>
      </w:r>
      <w:r>
        <w:rPr>
          <w:rFonts w:ascii="宋体" w:hAnsi="宋体" w:cs="宋体"/>
          <w:b/>
          <w:sz w:val="24"/>
        </w:rPr>
        <w:t xml:space="preserve">自行承担全部责任。</w:t>
      </w:r>
      <w:r/>
    </w:p>
    <w:p>
      <w:pPr>
        <w:ind w:firstLine="42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w:t>
      </w:r>
      <w:r>
        <w:rPr>
          <w:rFonts w:ascii="宋体" w:hAnsi="宋体" w:cs="宋体"/>
          <w:sz w:val="24"/>
        </w:rPr>
        <w:t xml:space="preserve">本项目获取采购文件截止日期之后仍可以下载采购文件，但截止日期之后下载的采购文件，视为非有效方式且不作为</w:t>
      </w:r>
      <w:r>
        <w:rPr>
          <w:rFonts w:ascii="宋体" w:hAnsi="宋体" w:cs="宋体"/>
          <w:sz w:val="24"/>
        </w:rPr>
        <w:t xml:space="preserve">响应单位</w:t>
      </w:r>
      <w:r>
        <w:rPr>
          <w:rFonts w:ascii="宋体" w:hAnsi="宋体" w:cs="宋体"/>
          <w:sz w:val="24"/>
        </w:rPr>
        <w:t xml:space="preserve">权益受到损害的证明材料和依据。</w:t>
      </w:r>
      <w:r/>
    </w:p>
    <w:p>
      <w:pPr>
        <w:ind w:firstLine="42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6、</w:t>
      </w:r>
      <w:r>
        <w:rPr>
          <w:rFonts w:ascii="宋体" w:hAnsi="宋体" w:cs="宋体"/>
          <w:sz w:val="24"/>
        </w:rPr>
        <w:t xml:space="preserve">政府采购监管电话：</w:t>
      </w:r>
      <w:r>
        <w:rPr>
          <w:rFonts w:hint="eastAsia" w:ascii="宋体" w:hAnsi="宋体" w:cs="宋体"/>
          <w:sz w:val="24"/>
        </w:rPr>
        <w:t xml:space="preserve">0512-68751335</w:t>
      </w:r>
      <w:r/>
    </w:p>
    <w:p>
      <w:pPr>
        <w:ind w:firstLine="420"/>
        <w:spacing w:line="360" w:lineRule="auto"/>
        <w:rPr>
          <w:rFonts w:hint="eastAsia"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7、</w:t>
      </w:r>
      <w:r>
        <w:rPr>
          <w:rFonts w:ascii="宋体" w:hAnsi="宋体" w:cs="宋体"/>
          <w:b/>
          <w:sz w:val="24"/>
        </w:rPr>
        <w:t xml:space="preserve">本项目为不</w:t>
      </w:r>
      <w:r>
        <w:rPr>
          <w:rFonts w:ascii="宋体" w:hAnsi="宋体" w:cs="宋体"/>
          <w:b/>
          <w:sz w:val="24"/>
        </w:rPr>
        <w:t xml:space="preserve">见面磋商</w:t>
      </w:r>
      <w:r>
        <w:rPr>
          <w:rFonts w:ascii="宋体" w:hAnsi="宋体" w:cs="宋体"/>
          <w:b/>
          <w:sz w:val="24"/>
        </w:rPr>
        <w:t xml:space="preserve">项目，开启阶段</w:t>
      </w:r>
      <w:r>
        <w:rPr>
          <w:rFonts w:ascii="宋体" w:hAnsi="宋体" w:cs="宋体"/>
          <w:b/>
          <w:sz w:val="24"/>
        </w:rPr>
        <w:t xml:space="preserve">响应单位</w:t>
      </w:r>
      <w:r>
        <w:rPr>
          <w:rFonts w:ascii="宋体" w:hAnsi="宋体" w:cs="宋体"/>
          <w:b/>
          <w:sz w:val="24"/>
        </w:rPr>
        <w:t xml:space="preserve">在【</w:t>
      </w:r>
      <w:r>
        <w:rPr>
          <w:rFonts w:ascii="宋体" w:hAnsi="宋体" w:cs="宋体"/>
          <w:b/>
          <w:sz w:val="24"/>
        </w:rPr>
        <w:t xml:space="preserve">响应单位</w:t>
      </w:r>
      <w:r>
        <w:rPr>
          <w:rFonts w:ascii="宋体" w:hAnsi="宋体" w:cs="宋体"/>
          <w:b/>
          <w:sz w:val="24"/>
        </w:rPr>
        <w:t xml:space="preserve">解密】环节必须使用 CA证书解密电子响应文件，如在系统规定的解密时间（响应文件提交截止时间后 30 分钟）内未能完成解密的视为放弃参与本项目。请</w:t>
      </w:r>
      <w:r>
        <w:rPr>
          <w:rFonts w:ascii="宋体" w:hAnsi="宋体" w:cs="宋体"/>
          <w:b/>
          <w:sz w:val="24"/>
        </w:rPr>
        <w:t xml:space="preserve">响应单位</w:t>
      </w:r>
      <w:r>
        <w:rPr>
          <w:rFonts w:ascii="宋体" w:hAnsi="宋体" w:cs="宋体"/>
          <w:b/>
          <w:sz w:val="24"/>
        </w:rPr>
        <w:t xml:space="preserve">确保电脑、系统及其他设备（视频输入输出设备等）无误，且开启直至项目结束始终保持系统在线状态。</w:t>
      </w:r>
      <w:r/>
    </w:p>
    <w:p>
      <w:pPr>
        <w:ind w:firstLine="420"/>
        <w:spacing w:line="360" w:lineRule="auto"/>
        <w:rPr>
          <w:rFonts w:hint="eastAsia" w:ascii="宋体" w:hAnsi="宋体"/>
          <w:b/>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8、</w:t>
      </w:r>
      <w:r>
        <w:rPr>
          <w:rFonts w:ascii="宋体" w:hAnsi="宋体" w:cs="宋体"/>
          <w:sz w:val="24"/>
        </w:rPr>
        <w:t xml:space="preserve">根据苏州市财政局《关于深入开展苏州市政府采购合同信用融资业务的通知》相关要求，本项目支持政府采购合同信用融资。</w:t>
      </w:r>
      <w:r/>
    </w:p>
    <w:p>
      <w:pPr>
        <w:spacing w:line="360" w:lineRule="auto"/>
        <w:rPr>
          <w:rFonts w:hint="eastAsia" w:ascii="宋体" w:hAnsi="宋体"/>
          <w:b/>
          <w:sz w:val="24"/>
          <w:szCs w:val="24"/>
        </w:rPr>
      </w:pPr>
      <w:r>
        <w:rPr>
          <w:rFonts w:hint="eastAsia" w:ascii="宋体" w:hAnsi="宋体"/>
          <w:b/>
          <w:sz w:val="24"/>
          <w:szCs w:val="24"/>
          <w:lang w:val="zh-CN"/>
        </w:rPr>
        <w:t xml:space="preserve">八、对本次采购提出询问，请按以下方式联系。</w:t>
      </w:r>
      <w:r/>
    </w:p>
    <w:p>
      <w:pPr>
        <w:ind w:firstLine="480"/>
        <w:spacing w:line="360" w:lineRule="auto"/>
        <w:rPr>
          <w:rFonts w:hint="eastAsia" w:ascii="宋体" w:hAnsi="宋体"/>
          <w:sz w:val="24"/>
          <w:szCs w:val="24"/>
          <w:lang w:val="zh-CN"/>
        </w:rPr>
      </w:pPr>
      <w:r>
        <w:rPr>
          <w:rFonts w:hint="eastAsia" w:ascii="宋体" w:hAnsi="宋体"/>
          <w:sz w:val="24"/>
          <w:szCs w:val="24"/>
          <w:lang w:val="zh-CN"/>
        </w:rPr>
        <w:t xml:space="preserve">1、采购人：</w:t>
      </w:r>
      <w:r>
        <w:rPr>
          <w:rFonts w:hint="eastAsia" w:ascii="宋体" w:hAnsi="宋体"/>
          <w:sz w:val="24"/>
          <w:szCs w:val="24"/>
          <w:lang w:val="zh-CN"/>
        </w:rPr>
        <w:t xml:space="preserve">苏州高新区实验小学校</w:t>
      </w:r>
      <w:r/>
    </w:p>
    <w:p>
      <w:pPr>
        <w:ind w:firstLine="720"/>
        <w:spacing w:line="360" w:lineRule="auto"/>
        <w:rPr>
          <w:rFonts w:hint="eastAsia" w:ascii="宋体" w:hAnsi="宋体"/>
        </w:rPr>
      </w:pPr>
      <w:r>
        <w:rPr>
          <w:rFonts w:hint="eastAsia" w:ascii="宋体" w:hAnsi="宋体"/>
          <w:sz w:val="24"/>
          <w:szCs w:val="24"/>
          <w:lang w:val="zh-CN"/>
        </w:rPr>
        <w:t xml:space="preserve">地 </w:t>
      </w:r>
      <w:r>
        <w:rPr>
          <w:rFonts w:hint="eastAsia" w:ascii="宋体" w:hAnsi="宋体"/>
          <w:sz w:val="24"/>
          <w:szCs w:val="24"/>
          <w:lang w:val="zh-CN"/>
        </w:rPr>
        <w:t xml:space="preserve"> </w:t>
      </w:r>
      <w:r>
        <w:rPr>
          <w:rFonts w:hint="eastAsia" w:ascii="宋体" w:hAnsi="宋体"/>
          <w:sz w:val="24"/>
          <w:szCs w:val="24"/>
          <w:lang w:val="zh-CN"/>
        </w:rPr>
        <w:t xml:space="preserve">址：</w:t>
      </w:r>
      <w:r>
        <w:rPr>
          <w:rFonts w:hint="eastAsia" w:ascii="宋体" w:hAnsi="宋体" w:cs="宋体"/>
          <w:sz w:val="24"/>
        </w:rPr>
        <w:t xml:space="preserve">苏州高新区狮山街道珠江路158号</w:t>
      </w:r>
      <w:r/>
    </w:p>
    <w:p>
      <w:pPr>
        <w:ind w:firstLine="720"/>
        <w:spacing w:line="360" w:lineRule="auto"/>
        <w:rPr>
          <w:rFonts w:hint="eastAsia" w:ascii="宋体" w:hAnsi="宋体"/>
          <w:sz w:val="24"/>
          <w:szCs w:val="24"/>
          <w:lang w:val="zh-CN"/>
        </w:rPr>
      </w:pPr>
      <w:r>
        <w:rPr>
          <w:rFonts w:hint="eastAsia" w:ascii="宋体" w:hAnsi="宋体"/>
          <w:sz w:val="24"/>
          <w:szCs w:val="24"/>
          <w:lang w:val="zh-CN"/>
        </w:rPr>
        <w:t xml:space="preserve">联系人：</w:t>
      </w:r>
      <w:r>
        <w:rPr>
          <w:rFonts w:hint="eastAsia" w:ascii="宋体" w:hAnsi="宋体" w:cs="宋体"/>
          <w:sz w:val="24"/>
        </w:rPr>
        <w:t xml:space="preserve">张峰</w:t>
      </w:r>
      <w:r/>
    </w:p>
    <w:p>
      <w:pPr>
        <w:ind w:firstLine="720"/>
        <w:spacing w:line="360" w:lineRule="auto"/>
        <w:rPr>
          <w:rFonts w:hint="eastAsia" w:ascii="宋体" w:hAnsi="宋体" w:cs="宋体"/>
          <w:sz w:val="24"/>
          <w:szCs w:val="24"/>
        </w:rPr>
      </w:pPr>
      <w:r>
        <w:rPr>
          <w:rFonts w:hint="eastAsia" w:ascii="宋体" w:hAnsi="宋体"/>
          <w:sz w:val="24"/>
          <w:szCs w:val="24"/>
          <w:lang w:val="zh-CN"/>
        </w:rPr>
        <w:t xml:space="preserve">电 话：</w:t>
      </w:r>
      <w:r>
        <w:rPr>
          <w:rFonts w:hint="eastAsia" w:ascii="宋体" w:hAnsi="宋体" w:cs="宋体"/>
          <w:sz w:val="24"/>
        </w:rPr>
        <w:t xml:space="preserve">0512-68033090</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lang w:val="zh-CN"/>
        </w:rPr>
        <w:t xml:space="preserve">2、采购代理机构：苏州</w:t>
      </w:r>
      <w:r>
        <w:rPr>
          <w:rFonts w:hint="eastAsia" w:ascii="宋体" w:hAnsi="宋体"/>
          <w:sz w:val="24"/>
          <w:szCs w:val="24"/>
          <w:lang w:val="zh-CN"/>
        </w:rPr>
        <w:t xml:space="preserve">润启招</w:t>
      </w:r>
      <w:r>
        <w:rPr>
          <w:rFonts w:hint="eastAsia" w:ascii="宋体" w:hAnsi="宋体"/>
          <w:sz w:val="24"/>
          <w:szCs w:val="24"/>
          <w:lang w:val="zh-CN"/>
        </w:rPr>
        <w:t xml:space="preserve">投标咨询服务有限公司</w:t>
      </w:r>
      <w:r/>
    </w:p>
    <w:p>
      <w:pPr>
        <w:ind w:firstLine="480"/>
        <w:spacing w:line="360" w:lineRule="auto"/>
        <w:rPr>
          <w:rFonts w:hint="eastAsia" w:ascii="宋体" w:hAnsi="宋体"/>
          <w:sz w:val="24"/>
          <w:szCs w:val="24"/>
        </w:rPr>
      </w:pPr>
      <w:r>
        <w:rPr>
          <w:rFonts w:hint="eastAsia" w:ascii="宋体" w:hAnsi="宋体"/>
          <w:sz w:val="24"/>
          <w:szCs w:val="24"/>
          <w:lang w:val="zh-CN"/>
        </w:rPr>
        <w:t xml:space="preserve">联系地址：</w:t>
      </w:r>
      <w:bookmarkStart w:id="18" w:name="OLE_LINK40"/>
      <w:r>
        <w:rPr>
          <w:rFonts w:hint="eastAsia" w:ascii="宋体" w:hAnsi="宋体"/>
          <w:sz w:val="24"/>
          <w:szCs w:val="24"/>
          <w:lang w:val="zh-CN"/>
        </w:rPr>
        <w:t xml:space="preserve">苏州市高</w:t>
      </w:r>
      <w:r>
        <w:rPr>
          <w:rFonts w:hint="eastAsia" w:ascii="宋体" w:hAnsi="宋体"/>
          <w:sz w:val="24"/>
          <w:szCs w:val="24"/>
          <w:lang w:val="zh-CN"/>
        </w:rPr>
        <w:t xml:space="preserve">新区何</w:t>
      </w:r>
      <w:r>
        <w:rPr>
          <w:rFonts w:hint="eastAsia" w:ascii="宋体" w:hAnsi="宋体"/>
          <w:sz w:val="24"/>
          <w:szCs w:val="24"/>
          <w:lang w:val="zh-CN"/>
        </w:rPr>
        <w:t xml:space="preserve">山路211号万道长江大厦809室</w:t>
      </w:r>
      <w:bookmarkEnd w:id="18"/>
      <w:r/>
      <w:r/>
    </w:p>
    <w:p>
      <w:pPr>
        <w:ind w:firstLine="480"/>
        <w:spacing w:line="360" w:lineRule="auto"/>
        <w:rPr>
          <w:rFonts w:hint="eastAsia" w:ascii="宋体" w:hAnsi="宋体"/>
          <w:sz w:val="24"/>
          <w:szCs w:val="24"/>
        </w:rPr>
      </w:pPr>
      <w:r>
        <w:rPr>
          <w:rFonts w:hint="eastAsia" w:ascii="宋体" w:hAnsi="宋体"/>
          <w:sz w:val="24"/>
          <w:szCs w:val="24"/>
          <w:lang w:val="zh-CN"/>
        </w:rPr>
        <w:t xml:space="preserve">联系人：</w:t>
      </w:r>
      <w:r>
        <w:rPr>
          <w:rFonts w:hint="eastAsia" w:ascii="宋体" w:hAnsi="宋体"/>
          <w:sz w:val="24"/>
          <w:szCs w:val="24"/>
          <w:lang w:val="zh-CN"/>
        </w:rPr>
        <w:t xml:space="preserve">王长林、</w:t>
      </w:r>
      <w:r>
        <w:rPr>
          <w:rFonts w:hint="eastAsia" w:ascii="宋体" w:hAnsi="宋体"/>
          <w:sz w:val="24"/>
          <w:szCs w:val="24"/>
          <w:lang w:val="zh-CN"/>
        </w:rPr>
        <w:t xml:space="preserve">胡嫣婷、史云路</w:t>
      </w:r>
      <w:r/>
    </w:p>
    <w:p>
      <w:pPr>
        <w:ind w:firstLine="480"/>
        <w:spacing w:line="360" w:lineRule="auto"/>
        <w:rPr>
          <w:rFonts w:hint="eastAsia" w:ascii="宋体" w:hAnsi="宋体"/>
          <w:sz w:val="24"/>
          <w:szCs w:val="24"/>
        </w:rPr>
      </w:pPr>
      <w:r>
        <w:rPr>
          <w:rFonts w:hint="eastAsia" w:ascii="宋体" w:hAnsi="宋体"/>
          <w:sz w:val="24"/>
          <w:szCs w:val="24"/>
          <w:lang w:val="zh-CN"/>
        </w:rPr>
        <w:t xml:space="preserve">联系电话：1</w:t>
      </w:r>
      <w:r>
        <w:rPr>
          <w:rFonts w:hint="eastAsia" w:ascii="宋体" w:hAnsi="宋体"/>
          <w:sz w:val="24"/>
          <w:szCs w:val="24"/>
          <w:lang w:val="zh-CN"/>
        </w:rPr>
        <w:t xml:space="preserve">8913212630</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cs="宋体"/>
          <w:sz w:val="24"/>
          <w:szCs w:val="24"/>
        </w:rPr>
      </w:pPr>
      <w:r>
        <w:rPr>
          <w:rFonts w:hint="eastAsia" w:ascii="宋体" w:hAnsi="宋体"/>
          <w:sz w:val="24"/>
          <w:szCs w:val="24"/>
          <w:lang w:val="zh-CN"/>
        </w:rPr>
        <w:t xml:space="preserve">3、</w:t>
      </w:r>
      <w:r>
        <w:rPr>
          <w:rFonts w:hint="eastAsia" w:ascii="宋体" w:hAnsi="宋体" w:cs="宋体"/>
          <w:sz w:val="24"/>
          <w:szCs w:val="24"/>
        </w:rPr>
        <w:t xml:space="preserve">项目联系方式 </w:t>
      </w:r>
      <w:r/>
    </w:p>
    <w:p>
      <w:pPr>
        <w:ind w:firstLine="480"/>
        <w:spacing w:line="360" w:lineRule="auto"/>
        <w:rPr>
          <w:rFonts w:hint="eastAsia" w:ascii="宋体" w:hAnsi="宋体"/>
          <w:sz w:val="24"/>
          <w:szCs w:val="24"/>
        </w:rPr>
      </w:pPr>
      <w:r>
        <w:rPr>
          <w:rFonts w:hint="eastAsia" w:ascii="宋体" w:hAnsi="宋体" w:cs="宋体"/>
          <w:sz w:val="24"/>
          <w:szCs w:val="24"/>
        </w:rPr>
        <w:t xml:space="preserve">项目联系人：</w:t>
      </w:r>
      <w:r>
        <w:rPr>
          <w:rFonts w:hint="eastAsia" w:ascii="宋体" w:hAnsi="宋体"/>
          <w:sz w:val="24"/>
          <w:szCs w:val="24"/>
          <w:lang w:val="zh-CN"/>
        </w:rPr>
        <w:t xml:space="preserve">王长林、</w:t>
      </w:r>
      <w:r>
        <w:rPr>
          <w:rFonts w:hint="eastAsia" w:ascii="宋体" w:hAnsi="宋体"/>
          <w:sz w:val="24"/>
          <w:szCs w:val="24"/>
          <w:lang w:val="zh-CN"/>
        </w:rPr>
        <w:t xml:space="preserve">胡嫣婷、史云路</w:t>
      </w:r>
      <w:r/>
    </w:p>
    <w:p>
      <w:pPr>
        <w:ind w:firstLine="480"/>
        <w:jc w:val="left"/>
        <w:spacing w:line="360" w:lineRule="auto"/>
        <w:rPr>
          <w:rFonts w:hint="eastAsia" w:ascii="宋体" w:hAnsi="宋体"/>
          <w:sz w:val="24"/>
          <w:szCs w:val="24"/>
        </w:rPr>
      </w:pPr>
      <w:r>
        <w:rPr>
          <w:rFonts w:hint="eastAsia" w:ascii="宋体" w:hAnsi="宋体"/>
          <w:sz w:val="24"/>
          <w:szCs w:val="24"/>
          <w:lang w:val="zh-CN"/>
        </w:rPr>
        <w:t xml:space="preserve">联系电话：1</w:t>
      </w:r>
      <w:r>
        <w:rPr>
          <w:rFonts w:hint="eastAsia" w:ascii="宋体" w:hAnsi="宋体"/>
          <w:sz w:val="24"/>
          <w:szCs w:val="24"/>
          <w:lang w:val="zh-CN"/>
        </w:rPr>
        <w:t xml:space="preserve">8913212630</w:t>
      </w:r>
      <w:r/>
    </w:p>
    <w:p>
      <w:pPr>
        <w:jc w:val="center"/>
        <w:spacing w:line="360" w:lineRule="auto"/>
        <w:rPr>
          <w:rFonts w:hint="eastAsia" w:ascii="宋体" w:hAnsi="宋体"/>
        </w:rPr>
      </w:pPr>
      <w:r>
        <w:rPr>
          <w:rFonts w:ascii="宋体" w:hAnsi="宋体" w:cs="宋体"/>
          <w:b/>
          <w:sz w:val="24"/>
        </w:rPr>
        <w:br w:type="page" w:clear="all"/>
      </w:r>
      <w:r>
        <w:rPr>
          <w:rFonts w:ascii="宋体" w:hAnsi="宋体" w:cs="宋体"/>
          <w:b/>
          <w:sz w:val="24"/>
        </w:rPr>
        <w:t xml:space="preserve">第二章 </w:t>
      </w:r>
      <w:bookmarkStart w:id="19" w:name="OLE_LINK20"/>
      <w:r/>
      <w:bookmarkStart w:id="20" w:name="OLE_LINK21"/>
      <w:r>
        <w:rPr>
          <w:rFonts w:ascii="宋体" w:hAnsi="宋体" w:cs="宋体"/>
          <w:b/>
          <w:sz w:val="24"/>
        </w:rPr>
        <w:t xml:space="preserve">竞争性磋商文件</w:t>
      </w:r>
      <w:bookmarkEnd w:id="19"/>
      <w:r/>
      <w:bookmarkEnd w:id="20"/>
      <w:r/>
      <w:r/>
    </w:p>
    <w:p>
      <w:pPr>
        <w:jc w:val="center"/>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采购编号：</w:t>
      </w:r>
      <w:r>
        <w:rPr>
          <w:rFonts w:ascii="宋体" w:hAnsi="宋体" w:cs="宋体"/>
          <w:b/>
          <w:sz w:val="24"/>
        </w:rPr>
        <w:t xml:space="preserve">JSZC-320505-RQZB-C2026-0004</w:t>
      </w:r>
      <w:r/>
    </w:p>
    <w:p>
      <w:pPr>
        <w:jc w:val="center"/>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项目类别：服务类</w:t>
      </w:r>
      <w:r/>
    </w:p>
    <w:p>
      <w:pPr>
        <w:jc w:val="left"/>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u w:val="single"/>
        </w:rPr>
        <w:t xml:space="preserve">         </w:t>
      </w:r>
      <w:r>
        <w:rPr>
          <w:rFonts w:ascii="宋体" w:hAnsi="宋体" w:cs="宋体"/>
          <w:sz w:val="24"/>
        </w:rPr>
        <w:t xml:space="preserve">：</w:t>
      </w:r>
      <w:r/>
    </w:p>
    <w:p>
      <w:pPr>
        <w:ind w:firstLine="540"/>
        <w:jc w:val="left"/>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15"/>
          <w:sz w:val="24"/>
        </w:rPr>
        <w:t xml:space="preserve">受</w:t>
      </w:r>
      <w:r>
        <w:rPr>
          <w:rFonts w:ascii="宋体" w:hAnsi="宋体" w:cs="宋体"/>
          <w:b/>
          <w:sz w:val="24"/>
        </w:rPr>
        <w:t xml:space="preserve">苏州高新区实验小学校</w:t>
      </w:r>
      <w:r>
        <w:rPr>
          <w:rFonts w:ascii="宋体" w:hAnsi="宋体" w:cs="宋体"/>
          <w:spacing w:val="15"/>
          <w:sz w:val="24"/>
        </w:rPr>
        <w:t xml:space="preserve">委托，对其要求采购的</w:t>
      </w:r>
      <w:r>
        <w:rPr>
          <w:rFonts w:ascii="宋体" w:hAnsi="宋体" w:cs="宋体"/>
          <w:b/>
          <w:sz w:val="24"/>
        </w:rPr>
        <w:t xml:space="preserve">2026年苏州高新区实验小学校教职工体检服务</w:t>
      </w:r>
      <w:r>
        <w:rPr>
          <w:rFonts w:ascii="宋体" w:hAnsi="宋体" w:cs="宋体"/>
          <w:spacing w:val="15"/>
          <w:sz w:val="24"/>
        </w:rPr>
        <w:t xml:space="preserve">进行竞争性磋商采购，欢迎具有独立承担民事责任能力及履约能力的</w:t>
      </w:r>
      <w:r>
        <w:rPr>
          <w:rFonts w:hint="eastAsia" w:ascii="宋体" w:hAnsi="宋体" w:cs="宋体"/>
          <w:spacing w:val="15"/>
          <w:sz w:val="24"/>
        </w:rPr>
        <w:t xml:space="preserve">响应单位</w:t>
      </w:r>
      <w:r>
        <w:rPr>
          <w:rFonts w:ascii="宋体" w:hAnsi="宋体" w:cs="宋体"/>
          <w:spacing w:val="15"/>
          <w:sz w:val="24"/>
        </w:rPr>
        <w:t xml:space="preserve">参与竞争，以期采购到合格的</w:t>
      </w:r>
      <w:r>
        <w:rPr>
          <w:rFonts w:hint="eastAsia" w:ascii="宋体" w:hAnsi="宋体" w:cs="宋体"/>
          <w:spacing w:val="15"/>
          <w:sz w:val="24"/>
        </w:rPr>
        <w:t xml:space="preserve">服务</w:t>
      </w:r>
      <w:r>
        <w:rPr>
          <w:rFonts w:ascii="宋体" w:hAnsi="宋体" w:cs="宋体"/>
          <w:spacing w:val="15"/>
          <w:sz w:val="24"/>
        </w:rPr>
        <w:t xml:space="preserve">。</w:t>
      </w:r>
      <w:r/>
    </w:p>
    <w:p>
      <w:pPr>
        <w:jc w:val="left"/>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一、采购编号：</w:t>
      </w:r>
      <w:r>
        <w:rPr>
          <w:rFonts w:ascii="宋体" w:hAnsi="宋体" w:cs="宋体"/>
          <w:b/>
          <w:sz w:val="24"/>
        </w:rPr>
        <w:t xml:space="preserve">JSZC-320505-RQZB-C2026-0004</w:t>
      </w:r>
      <w:r/>
    </w:p>
    <w:p>
      <w:pPr>
        <w:jc w:val="left"/>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二、项目名称：</w:t>
      </w:r>
      <w:r>
        <w:rPr>
          <w:rFonts w:ascii="宋体" w:hAnsi="宋体" w:cs="宋体"/>
          <w:b/>
          <w:sz w:val="24"/>
        </w:rPr>
        <w:t xml:space="preserve">2026年苏州高新区实验小学校教职工体检服务</w:t>
      </w:r>
      <w:r/>
    </w:p>
    <w:p>
      <w:pPr>
        <w:jc w:val="left"/>
        <w:spacing w:line="360" w:lineRule="auto"/>
        <w:rPr>
          <w:rFonts w:hint="eastAsia"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三、</w:t>
      </w:r>
      <w:r>
        <w:rPr>
          <w:rFonts w:hint="eastAsia" w:ascii="宋体" w:hAnsi="宋体" w:cs="宋体"/>
          <w:b/>
          <w:sz w:val="24"/>
        </w:rPr>
        <w:t xml:space="preserve">预算金额：</w:t>
      </w:r>
      <w:r>
        <w:rPr>
          <w:rFonts w:hint="eastAsia" w:ascii="宋体" w:hAnsi="宋体" w:cs="宋体"/>
          <w:b/>
          <w:sz w:val="24"/>
        </w:rPr>
        <w:t xml:space="preserve">人民币</w:t>
      </w:r>
      <w:r>
        <w:rPr>
          <w:rFonts w:hint="eastAsia" w:ascii="宋体" w:hAnsi="宋体" w:cs="宋体"/>
          <w:b/>
          <w:sz w:val="24"/>
        </w:rPr>
        <w:t xml:space="preserve">壹佰</w:t>
      </w:r>
      <w:r>
        <w:rPr>
          <w:rFonts w:hint="eastAsia" w:ascii="宋体" w:hAnsi="宋体" w:cs="宋体"/>
          <w:b/>
          <w:sz w:val="24"/>
        </w:rPr>
        <w:t xml:space="preserve">叁</w:t>
      </w:r>
      <w:r>
        <w:rPr>
          <w:rFonts w:hint="eastAsia" w:ascii="宋体" w:hAnsi="宋体" w:cs="宋体"/>
          <w:b/>
          <w:sz w:val="24"/>
        </w:rPr>
        <w:t xml:space="preserve">拾</w:t>
      </w:r>
      <w:r>
        <w:rPr>
          <w:rFonts w:hint="eastAsia" w:ascii="宋体" w:hAnsi="宋体" w:cs="宋体"/>
          <w:b/>
          <w:sz w:val="24"/>
        </w:rPr>
        <w:t xml:space="preserve">万元整（¥1</w:t>
      </w:r>
      <w:r>
        <w:rPr>
          <w:rFonts w:hint="eastAsia" w:ascii="宋体" w:hAnsi="宋体" w:cs="宋体"/>
          <w:b/>
          <w:sz w:val="24"/>
        </w:rPr>
        <w:t xml:space="preserve">3</w:t>
      </w:r>
      <w:r>
        <w:rPr>
          <w:rFonts w:hint="eastAsia" w:ascii="宋体" w:hAnsi="宋体" w:cs="宋体"/>
          <w:b/>
          <w:sz w:val="24"/>
        </w:rPr>
        <w:t xml:space="preserve">0</w:t>
      </w:r>
      <w:r>
        <w:rPr>
          <w:rFonts w:hint="eastAsia" w:ascii="宋体" w:hAnsi="宋体" w:cs="宋体"/>
          <w:b/>
          <w:sz w:val="24"/>
        </w:rPr>
        <w:t xml:space="preserve">0000.00元）</w:t>
      </w:r>
      <w:r/>
    </w:p>
    <w:p>
      <w:pPr>
        <w:spacing w:line="360" w:lineRule="auto"/>
        <w:rPr>
          <w:rFonts w:hint="eastAsia" w:ascii="宋体" w:hAnsi="宋体" w:cs="宋体"/>
          <w:b/>
          <w:sz w:val="24"/>
          <w:szCs w:val="24"/>
        </w:rPr>
      </w:pPr>
      <w:r>
        <w:rPr>
          <w:rFonts w:hint="eastAsia" w:ascii="宋体" w:hAnsi="宋体" w:cs="宋体"/>
          <w:b/>
          <w:sz w:val="24"/>
          <w:szCs w:val="24"/>
        </w:rPr>
        <w:t xml:space="preserve">四、</w:t>
      </w:r>
      <w:r>
        <w:rPr>
          <w:rFonts w:hint="eastAsia" w:ascii="宋体" w:hAnsi="宋体" w:cs="宋体"/>
          <w:b/>
          <w:sz w:val="24"/>
        </w:rPr>
        <w:t xml:space="preserve">服务期限：</w:t>
      </w:r>
      <w:bookmarkStart w:id="21" w:name="OLE_LINK1"/>
      <w:r>
        <w:rPr>
          <w:rFonts w:hint="eastAsia" w:ascii="宋体" w:hAnsi="宋体" w:cs="宋体"/>
          <w:b/>
          <w:sz w:val="24"/>
        </w:rPr>
        <w:t xml:space="preserve">一年（</w:t>
      </w:r>
      <w:r>
        <w:rPr>
          <w:rFonts w:hint="eastAsia" w:ascii="宋体" w:hAnsi="宋体" w:cs="宋体"/>
          <w:b/>
          <w:sz w:val="24"/>
        </w:rPr>
        <w:t xml:space="preserve">具体开始时间根据采购单位要求</w:t>
      </w:r>
      <w:r>
        <w:rPr>
          <w:rFonts w:hint="eastAsia" w:ascii="宋体" w:hAnsi="宋体" w:cs="宋体"/>
          <w:b/>
          <w:sz w:val="24"/>
        </w:rPr>
        <w:t xml:space="preserve">）</w:t>
      </w:r>
      <w:r>
        <w:rPr>
          <w:rFonts w:hint="eastAsia" w:ascii="宋体" w:hAnsi="宋体" w:cs="宋体"/>
          <w:b/>
          <w:sz w:val="24"/>
        </w:rPr>
        <w:t xml:space="preserve">。</w:t>
      </w:r>
      <w:bookmarkEnd w:id="21"/>
      <w:r/>
      <w:r/>
    </w:p>
    <w:p>
      <w:pPr>
        <w:jc w:val="left"/>
        <w:spacing w:line="360" w:lineRule="auto"/>
        <w:rPr>
          <w:rFonts w:hint="eastAsia"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sz w:val="24"/>
          <w:szCs w:val="24"/>
        </w:rPr>
        <w:t xml:space="preserve">五</w:t>
      </w:r>
      <w:r>
        <w:rPr>
          <w:rFonts w:ascii="宋体" w:hAnsi="宋体" w:cs="宋体"/>
          <w:b/>
          <w:sz w:val="24"/>
          <w:szCs w:val="24"/>
        </w:rPr>
        <w:t xml:space="preserve">、</w:t>
      </w:r>
      <w:r>
        <w:rPr>
          <w:rFonts w:hint="eastAsia" w:ascii="宋体" w:hAnsi="宋体" w:cs="宋体"/>
          <w:b/>
          <w:sz w:val="24"/>
          <w:szCs w:val="24"/>
        </w:rPr>
        <w:t xml:space="preserve">采购</w:t>
      </w:r>
      <w:r>
        <w:rPr>
          <w:rFonts w:ascii="宋体" w:hAnsi="宋体" w:cs="宋体"/>
          <w:b/>
          <w:sz w:val="24"/>
          <w:szCs w:val="24"/>
        </w:rPr>
        <w:t xml:space="preserve">内容：</w:t>
      </w:r>
      <w:r/>
    </w:p>
    <w:p>
      <w:pPr>
        <w:spacing w:line="360" w:lineRule="auto"/>
        <w:rPr>
          <w:rFonts w:hint="eastAsia" w:ascii="宋体" w:hAnsi="宋体" w:cs="宋体"/>
          <w:b/>
          <w:bCs/>
          <w:sz w:val="24"/>
          <w:szCs w:val="24"/>
        </w:rPr>
      </w:pPr>
      <w:r/>
      <w:bookmarkStart w:id="22" w:name="OLE_LINK161"/>
      <w:r>
        <w:rPr>
          <w:rFonts w:hint="eastAsia" w:ascii="宋体" w:hAnsi="宋体" w:cs="宋体"/>
          <w:b/>
          <w:bCs/>
          <w:sz w:val="24"/>
          <w:szCs w:val="24"/>
        </w:rPr>
        <w:t xml:space="preserve">（一）项目概况：</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本项目为</w:t>
      </w:r>
      <w:r>
        <w:rPr>
          <w:rFonts w:hint="eastAsia" w:ascii="宋体" w:hAnsi="宋体" w:cs="宋体"/>
          <w:sz w:val="24"/>
          <w:szCs w:val="24"/>
        </w:rPr>
        <w:t xml:space="preserve">2026年苏州高新区实验小学校教职工体检服务</w:t>
      </w:r>
      <w:r>
        <w:rPr>
          <w:rFonts w:hint="eastAsia" w:ascii="宋体" w:hAnsi="宋体" w:cs="宋体"/>
          <w:sz w:val="24"/>
          <w:szCs w:val="24"/>
        </w:rPr>
        <w:t xml:space="preserve">项目，</w:t>
      </w:r>
      <w:r>
        <w:rPr>
          <w:rFonts w:hint="eastAsia" w:ascii="宋体" w:hAnsi="宋体"/>
          <w:bCs/>
          <w:sz w:val="24"/>
        </w:rPr>
        <w:t xml:space="preserve">合计约85</w:t>
      </w:r>
      <w:r>
        <w:rPr>
          <w:rFonts w:hint="eastAsia" w:ascii="宋体" w:hAnsi="宋体"/>
          <w:bCs/>
          <w:sz w:val="24"/>
        </w:rPr>
        <w:t xml:space="preserve">4</w:t>
      </w:r>
      <w:r>
        <w:rPr>
          <w:rFonts w:hint="eastAsia" w:ascii="宋体" w:hAnsi="宋体"/>
          <w:bCs/>
          <w:sz w:val="24"/>
        </w:rPr>
        <w:t xml:space="preserve">人，</w:t>
      </w:r>
      <w:r>
        <w:rPr>
          <w:rFonts w:hint="eastAsia" w:ascii="宋体" w:hAnsi="宋体"/>
          <w:sz w:val="24"/>
          <w:szCs w:val="24"/>
          <w:shd w:val="clear" w:color="auto" w:fill="ffffff"/>
        </w:rPr>
        <w:t xml:space="preserve">其中退休教职工暂估为4</w:t>
      </w:r>
      <w:r>
        <w:rPr>
          <w:rFonts w:hint="eastAsia" w:ascii="宋体" w:hAnsi="宋体"/>
          <w:sz w:val="24"/>
          <w:szCs w:val="24"/>
          <w:shd w:val="clear" w:color="auto" w:fill="ffffff"/>
        </w:rPr>
        <w:t xml:space="preserve">2</w:t>
      </w:r>
      <w:r>
        <w:rPr>
          <w:rFonts w:hint="eastAsia" w:ascii="宋体" w:hAnsi="宋体"/>
          <w:sz w:val="24"/>
          <w:szCs w:val="24"/>
          <w:shd w:val="clear" w:color="auto" w:fill="ffffff"/>
        </w:rPr>
        <w:t xml:space="preserve">人，在职职工暂估为7</w:t>
      </w:r>
      <w:r>
        <w:rPr>
          <w:rFonts w:hint="eastAsia" w:ascii="宋体" w:hAnsi="宋体"/>
          <w:sz w:val="24"/>
          <w:szCs w:val="24"/>
          <w:shd w:val="clear" w:color="auto" w:fill="ffffff"/>
        </w:rPr>
        <w:t xml:space="preserve">50</w:t>
      </w:r>
      <w:r>
        <w:rPr>
          <w:rFonts w:hint="eastAsia" w:ascii="宋体" w:hAnsi="宋体"/>
          <w:sz w:val="24"/>
          <w:szCs w:val="24"/>
          <w:shd w:val="clear" w:color="auto" w:fill="ffffff"/>
        </w:rPr>
        <w:t xml:space="preserve">人，后勤人员暂估为6</w:t>
      </w:r>
      <w:r>
        <w:rPr>
          <w:rFonts w:hint="eastAsia" w:ascii="宋体" w:hAnsi="宋体"/>
          <w:sz w:val="24"/>
          <w:szCs w:val="24"/>
          <w:shd w:val="clear" w:color="auto" w:fill="ffffff"/>
        </w:rPr>
        <w:t xml:space="preserve">2</w:t>
      </w:r>
      <w:r>
        <w:rPr>
          <w:rFonts w:hint="eastAsia" w:ascii="宋体" w:hAnsi="宋体"/>
          <w:sz w:val="24"/>
          <w:szCs w:val="24"/>
          <w:shd w:val="clear" w:color="auto" w:fill="ffffff"/>
        </w:rPr>
        <w:t xml:space="preserve">人。（</w:t>
      </w:r>
      <w:r>
        <w:rPr>
          <w:rFonts w:hint="eastAsia" w:ascii="宋体" w:hAnsi="宋体"/>
          <w:bCs/>
          <w:sz w:val="24"/>
        </w:rPr>
        <w:t xml:space="preserve">服务人数以实际体检人数为准，最终按实际体检人数、体检项目结算）</w:t>
      </w:r>
      <w:r>
        <w:rPr>
          <w:rFonts w:hint="eastAsia" w:ascii="宋体" w:hAnsi="宋体" w:cs="宋体"/>
          <w:sz w:val="24"/>
        </w:rPr>
        <w:t xml:space="preserve">。</w:t>
      </w:r>
      <w:bookmarkEnd w:id="22"/>
      <w:r/>
      <w:r/>
    </w:p>
    <w:p>
      <w:pPr>
        <w:pStyle w:val="793"/>
        <w:spacing w:after="0" w:line="360" w:lineRule="auto"/>
        <w:rPr>
          <w:rFonts w:hint="eastAsia" w:ascii="宋体" w:hAnsi="宋体"/>
          <w:bCs/>
          <w:sz w:val="24"/>
          <w:lang w:eastAsia="zh-CN"/>
        </w:rPr>
      </w:pPr>
      <w:r>
        <w:rPr>
          <w:rFonts w:hint="eastAsia" w:ascii="宋体" w:hAnsi="宋体" w:cs="宋体"/>
          <w:b/>
          <w:bCs/>
          <w:sz w:val="24"/>
          <w:lang w:eastAsia="zh-CN"/>
        </w:rPr>
        <w:t xml:space="preserve">（二）</w:t>
      </w:r>
      <w:r>
        <w:rPr>
          <w:rFonts w:hint="eastAsia" w:ascii="宋体" w:hAnsi="宋体"/>
          <w:b/>
          <w:sz w:val="24"/>
          <w:lang w:eastAsia="zh-CN"/>
        </w:rPr>
        <w:t xml:space="preserve">体检项目：</w:t>
      </w:r>
      <w:r>
        <w:rPr>
          <w:rFonts w:hint="eastAsia" w:ascii="宋体" w:hAnsi="宋体"/>
          <w:bCs/>
          <w:sz w:val="24"/>
          <w:lang w:eastAsia="zh-CN"/>
        </w:rPr>
        <w:t xml:space="preserve">包括生化全套，甲状腺功能，胃功能，肿瘤标志物，彩超（肝、胆、脾、胰、双肾、甲状腺），肺部CT等。</w:t>
      </w:r>
      <w:r/>
    </w:p>
    <w:p>
      <w:pPr>
        <w:pStyle w:val="793"/>
        <w:spacing w:after="0" w:line="360" w:lineRule="auto"/>
        <w:rPr>
          <w:rFonts w:hint="eastAsia" w:ascii="宋体" w:hAnsi="宋体"/>
          <w:b/>
          <w:bCs/>
          <w:sz w:val="24"/>
          <w:lang w:eastAsia="zh-CN"/>
        </w:rPr>
      </w:pPr>
      <w:r>
        <w:rPr>
          <w:rFonts w:hint="eastAsia" w:ascii="宋体" w:hAnsi="宋体"/>
          <w:b/>
          <w:bCs/>
          <w:sz w:val="24"/>
          <w:lang w:eastAsia="zh-CN"/>
        </w:rPr>
        <w:t xml:space="preserve">（三）</w:t>
      </w:r>
      <w:r>
        <w:rPr>
          <w:rFonts w:hint="eastAsia" w:ascii="宋体" w:hAnsi="宋体"/>
          <w:b/>
          <w:bCs/>
          <w:sz w:val="24"/>
          <w:lang w:eastAsia="zh-CN"/>
        </w:rPr>
        <w:t xml:space="preserve">检查</w:t>
      </w:r>
      <w:r>
        <w:rPr>
          <w:rFonts w:hint="eastAsia" w:ascii="宋体" w:hAnsi="宋体"/>
          <w:b/>
          <w:bCs/>
          <w:sz w:val="24"/>
          <w:lang w:eastAsia="zh-CN"/>
        </w:rPr>
        <w:t xml:space="preserve">内容：</w:t>
      </w:r>
      <w:r/>
    </w:p>
    <w:p>
      <w:pPr>
        <w:ind w:firstLine="482"/>
        <w:spacing w:line="360" w:lineRule="auto"/>
        <w:widowControl/>
        <w:rPr>
          <w:rFonts w:hint="eastAsia" w:ascii="宋体" w:hAnsi="宋体"/>
          <w:b/>
          <w:sz w:val="24"/>
        </w:rPr>
        <w:outlineLvl w:val="0"/>
      </w:pPr>
      <w:r>
        <w:rPr>
          <w:rFonts w:hint="eastAsia" w:ascii="宋体" w:hAnsi="宋体"/>
          <w:b/>
          <w:sz w:val="24"/>
        </w:rPr>
        <w:t xml:space="preserve">1、退休教职工</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ook w:val="04A0" w:firstRow="1" w:lastRow="0" w:firstColumn="1" w:lastColumn="0" w:noHBand="0" w:noVBand="1"/>
      </w:tblPr>
      <w:tblGrid>
        <w:gridCol w:w="530"/>
        <w:gridCol w:w="1155"/>
        <w:gridCol w:w="2407"/>
        <w:gridCol w:w="3815"/>
        <w:gridCol w:w="685"/>
        <w:gridCol w:w="685"/>
        <w:gridCol w:w="685"/>
      </w:tblGrid>
      <w:tr>
        <w:trPr>
          <w:trHeight w:val="20"/>
        </w:trPr>
        <w:tc>
          <w:tcPr>
            <w:gridSpan w:val="7"/>
            <w:shd w:val="clear" w:color="auto" w:fill="ffffff"/>
            <w:tcW w:w="5000"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         2026年新区实小退休教师体检套餐 （心脑血管筛查）</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　</w:t>
            </w:r>
            <w:r/>
          </w:p>
        </w:tc>
        <w:tc>
          <w:tcPr>
            <w:shd w:val="clear" w:color="auto" w:fill="ffffff"/>
            <w:tcW w:w="572"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项目</w:t>
            </w:r>
            <w:r/>
          </w:p>
        </w:tc>
        <w:tc>
          <w:tcPr>
            <w:shd w:val="clear" w:color="auto" w:fill="ffffff"/>
            <w:tcW w:w="1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指标</w:t>
            </w:r>
            <w:r/>
          </w:p>
        </w:tc>
        <w:tc>
          <w:tcPr>
            <w:shd w:val="clear" w:color="auto" w:fill="ffffff"/>
            <w:tcW w:w="1979"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  </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男</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未婚女</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已婚女</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序号</w:t>
            </w:r>
            <w:r/>
          </w:p>
        </w:tc>
        <w:tc>
          <w:tcPr>
            <w:gridSpan w:val="6"/>
            <w:shd w:val="clear" w:color="auto" w:fill="ffffff"/>
            <w:tcW w:w="4759"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临床检查项目</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w:t>
            </w:r>
            <w:r/>
          </w:p>
        </w:tc>
        <w:tc>
          <w:tcPr>
            <w:shd w:val="clear" w:color="auto" w:fill="ffffff"/>
            <w:tcW w:w="572"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一般检查A</w:t>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身高</w:t>
            </w:r>
            <w:r/>
          </w:p>
        </w:tc>
        <w:tc>
          <w:tcPr>
            <w:shd w:val="clear" w:color="auto" w:fill="ffffff"/>
            <w:tcW w:w="1979"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通过仪器测量人体身高、体重及血压，科学判断体重是否标准、血压是否正常，并且为相关科室的诊断提供重要的依据。</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体重</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体重指数BMI</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血压</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w:t>
            </w:r>
            <w:r/>
          </w:p>
        </w:tc>
        <w:tc>
          <w:tcPr>
            <w:shd w:val="clear" w:color="auto" w:fill="ffffff"/>
            <w:tcW w:w="572"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外科检查A      </w:t>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皮肤</w:t>
            </w:r>
            <w:r/>
          </w:p>
        </w:tc>
        <w:tc>
          <w:tcPr>
            <w:shd w:val="clear" w:color="auto" w:fill="ffffff"/>
            <w:tcW w:w="1979"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通过体格检查，检查皮肤,浅表淋巴结,甲状腺,脊柱,四肢关节，乳房等脏器基本情况，发现常见外科疾病的相关征兆，或初步排除外科常见疾病。</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浅表淋巴结</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甲状腺</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脊柱</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四肢关节</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乳房</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11</w:t>
            </w:r>
            <w:r/>
          </w:p>
        </w:tc>
        <w:tc>
          <w:tcPr>
            <w:shd w:val="clear" w:color="auto" w:fill="ffffff"/>
            <w:tcW w:w="572"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内科检查A</w:t>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营养</w:t>
            </w:r>
            <w:r/>
          </w:p>
        </w:tc>
        <w:tc>
          <w:tcPr>
            <w:shd w:val="clear" w:color="auto" w:fill="ffffff"/>
            <w:tcW w:w="1979"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通过体格检查，检查心、肺、腹部等器官及部位的基本状况,发现常见疾病的相关征兆或初步排除常见疾病。</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12</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面容</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13</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心脏</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14</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胸廓</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15</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肺部</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16</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腹部</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17</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肝脏</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18</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脾脏</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19</w:t>
            </w:r>
            <w:r/>
          </w:p>
        </w:tc>
        <w:tc>
          <w:tcPr>
            <w:shd w:val="clear" w:color="auto" w:fill="ffffff"/>
            <w:tcW w:w="572"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眼科检查</w:t>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视力</w:t>
            </w:r>
            <w:r/>
          </w:p>
        </w:tc>
        <w:tc>
          <w:tcPr>
            <w:shd w:val="clear" w:color="auto" w:fill="ffffff"/>
            <w:tcW w:w="1979"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了解视力状况,检查眼睑、泪囊、结膜、眼球是否存在异常情况.通过眼底镜检查眼底视网膜、视神经乳头和视网膜中央血管等有无异常情况。通过裂隙灯检查巩膜、虹膜、角膜、瞳孔、玻璃体等有无异常情况。</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20</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外眼</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21</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眼底镜</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22</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裂隙灯检查</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23</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眼压检查</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青光眼等眼压异常疾病筛查。</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24</w:t>
            </w:r>
            <w:r/>
          </w:p>
        </w:tc>
        <w:tc>
          <w:tcPr>
            <w:shd w:val="clear" w:color="auto" w:fill="ffffff"/>
            <w:tcW w:w="572"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口腔科检查</w:t>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牙体</w:t>
            </w:r>
            <w:r/>
          </w:p>
        </w:tc>
        <w:tc>
          <w:tcPr>
            <w:shd w:val="clear" w:color="auto" w:fill="ffffff"/>
            <w:tcW w:w="1979"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主要检查有无牙周病、牙结石、龋齿、缺牙等口腔疾病。</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25</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牙周</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26</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口腔粘膜</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27</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颌</w:t>
            </w:r>
            <w:r>
              <w:rPr>
                <w:rFonts w:hint="eastAsia" w:ascii="宋体" w:hAnsi="宋体" w:cs="Arial"/>
                <w:sz w:val="24"/>
                <w:szCs w:val="24"/>
              </w:rPr>
              <w:t xml:space="preserve">面部</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28</w:t>
            </w:r>
            <w:r/>
          </w:p>
        </w:tc>
        <w:tc>
          <w:tcPr>
            <w:shd w:val="clear" w:color="auto" w:fill="ffffff"/>
            <w:tcW w:w="572"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耳鼻</w:t>
            </w:r>
            <w:r>
              <w:rPr>
                <w:rFonts w:hint="eastAsia" w:ascii="宋体" w:hAnsi="宋体" w:cs="Arial"/>
                <w:sz w:val="24"/>
                <w:szCs w:val="24"/>
              </w:rPr>
              <w:t xml:space="preserve">喉</w:t>
            </w:r>
            <w:r>
              <w:rPr>
                <w:rFonts w:hint="eastAsia" w:ascii="宋体" w:hAnsi="宋体" w:cs="Arial"/>
                <w:sz w:val="24"/>
                <w:szCs w:val="24"/>
              </w:rPr>
              <w:t xml:space="preserve">检查</w:t>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鼻咽</w:t>
            </w:r>
            <w:r/>
          </w:p>
        </w:tc>
        <w:tc>
          <w:tcPr>
            <w:shd w:val="clear" w:color="auto" w:fill="ffffff"/>
            <w:tcW w:w="1979"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通过对耳、鼻、咽、扁桃体的常规检查，初步筛查相关常见疾病。</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29</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耳</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30</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喉</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序号</w:t>
            </w:r>
            <w:r/>
          </w:p>
        </w:tc>
        <w:tc>
          <w:tcPr>
            <w:gridSpan w:val="6"/>
            <w:shd w:val="clear" w:color="auto" w:fill="ffffff"/>
            <w:tcW w:w="4759"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实验室检查项目</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w:t>
            </w:r>
            <w:r/>
          </w:p>
        </w:tc>
        <w:tc>
          <w:tcPr>
            <w:shd w:val="clear" w:color="auto" w:fill="ffffff"/>
            <w:tcW w:w="572"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血液常规（22项，五分类）</w:t>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白细胞</w:t>
            </w:r>
            <w:r/>
          </w:p>
        </w:tc>
        <w:tc>
          <w:tcPr>
            <w:shd w:val="clear" w:color="auto" w:fill="ffffff"/>
            <w:tcW w:w="1979"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通过血液常规检测，检查白细胞、红细胞、血色素、血小板等指标来反映身体状况，如：贫血、感染、血液系统疾病、物理化学因素损伤等。</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中性细胞百分比</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淋巴细胞百分比</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中间细胞百分比</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嗜酸性粒细胞百分比</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嗜碱性粒细胞百分比</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中性粒细胞数</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淋巴细胞数</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中间细胞计数</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嗜酸性粒细胞</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11</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嗜碱性粒细胞</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12</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红细胞</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13</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血红蛋白</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14</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红细胞压积</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15</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平均红细胞体积</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16</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平均血红蛋白量</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17</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平均血红蛋白浓度</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18</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红细胞分布宽度</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19</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血小板</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20</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血小板平均体机</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21</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血小板分布宽度</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22</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血小板容积</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23</w:t>
            </w:r>
            <w:r/>
          </w:p>
        </w:tc>
        <w:tc>
          <w:tcPr>
            <w:shd w:val="clear" w:color="auto" w:fill="ffffff"/>
            <w:tcW w:w="572"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尿常规（15项）</w:t>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尿胆原</w:t>
            </w:r>
            <w:r/>
          </w:p>
        </w:tc>
        <w:tc>
          <w:tcPr>
            <w:shd w:val="clear" w:color="auto" w:fill="ffffff"/>
            <w:tcW w:w="1979"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是筛查泌尿系统疾病如泌尿系统感染、肿瘤、结石等的一种简单、常用的方法。对于某些全身性病变以及身体其他脏器影响尿液改变的疾病如糖尿病、血液病、肝胆疾患等的诊断，也有很重要的参考价值。</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24</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胆红素</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25</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尿酮体</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26</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隐血</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27</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尿蛋白</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28</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亚硝酸盐</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29</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尿白细胞</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30</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尿糖</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31</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尿比重</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32</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酸碱度</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33</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维生素C</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34</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镜检白细胞</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35</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镜检红细胞</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36</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镜检管型</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37</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镜检结晶</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38</w:t>
            </w:r>
            <w:r/>
          </w:p>
        </w:tc>
        <w:tc>
          <w:tcPr>
            <w:shd w:val="clear" w:color="auto" w:fill="ffffff"/>
            <w:tcW w:w="572"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肾功4项</w:t>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血尿素氮（BUN)</w:t>
            </w:r>
            <w:r/>
          </w:p>
        </w:tc>
        <w:tc>
          <w:tcPr>
            <w:shd w:val="clear" w:color="auto" w:fill="ffffff"/>
            <w:tcW w:w="1979"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用于诊断肾功能异常，痛风，高尿酸血症等。</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39</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血肌酸酐（CR)</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40</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血清尿酸检测（UA)</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41</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尿微量白蛋白与尿肌</w:t>
            </w:r>
            <w:r>
              <w:rPr>
                <w:rFonts w:hint="eastAsia" w:ascii="宋体" w:hAnsi="宋体" w:cs="Arial"/>
                <w:sz w:val="24"/>
                <w:szCs w:val="24"/>
              </w:rPr>
              <w:t xml:space="preserve">酐</w:t>
            </w:r>
            <w:r>
              <w:rPr>
                <w:rFonts w:hint="eastAsia" w:ascii="宋体" w:hAnsi="宋体" w:cs="Arial"/>
                <w:sz w:val="24"/>
                <w:szCs w:val="24"/>
              </w:rPr>
              <w:t xml:space="preserve">比值测定</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对早期筛查及诊断各种原因引起的早期肾损伤有重要的意义，适用于糖尿病肾病，高血压受检者，心血管和肾病高风险人群及健康人群肾病早期筛查。</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42</w:t>
            </w:r>
            <w:r/>
          </w:p>
        </w:tc>
        <w:tc>
          <w:tcPr>
            <w:shd w:val="clear" w:color="auto" w:fill="ffffff"/>
            <w:tcW w:w="572"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心血管检测</w:t>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超敏C反应蛋白（</w:t>
            </w:r>
            <w:r>
              <w:rPr>
                <w:rFonts w:hint="eastAsia" w:ascii="宋体" w:hAnsi="宋体" w:cs="Arial"/>
                <w:sz w:val="24"/>
                <w:szCs w:val="24"/>
              </w:rPr>
              <w:t xml:space="preserve">hs</w:t>
            </w:r>
            <w:r>
              <w:rPr>
                <w:rFonts w:hint="eastAsia" w:ascii="宋体" w:hAnsi="宋体" w:cs="Arial"/>
                <w:sz w:val="24"/>
                <w:szCs w:val="24"/>
              </w:rPr>
              <w:t xml:space="preserve">-CRP）</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是判断组织损伤的敏感指标，也是心血管炎症病变的生物标志物。在冠心病、脑卒中、周围血管栓塞等疾病的诊断和预测中发挥重要的作用。</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43</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同型半胱氨酸（HCY）</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与动脉粥样硬化性心脑血管疾病密切相关，是心脑血管疾病的独立风险因子。</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44</w:t>
            </w:r>
            <w:r/>
          </w:p>
        </w:tc>
        <w:tc>
          <w:tcPr>
            <w:shd w:val="clear" w:color="auto" w:fill="ffffff"/>
            <w:tcW w:w="572"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肝功能十五项</w:t>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1.腺苷脱氨酶（ADA）</w:t>
            </w:r>
            <w:r/>
          </w:p>
        </w:tc>
        <w:tc>
          <w:tcPr>
            <w:shd w:val="clear" w:color="auto" w:fill="ffffff"/>
            <w:tcW w:w="1979"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可较全面地了解肝脏功能状况。可提示肝胆系统疾病：急性传染性肝炎，中毒性肝炎，脂肪肝，胆管炎，胆囊炎，药物中毒性肝炎，酒精性肝炎和黄疸等。</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45</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2.乳酸脱氢酶（LDH）</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46</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3.血清γ-谷氨酰基转移酶（GGT）</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47</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4.血清胆碱酯酶测定（CHE）</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48</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5.血清碱性磷酸酶（ALP）</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49</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6.血清间接胆红素（IBIL）</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50</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7.血清直接胆红素（DBIL）</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51</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8.血清总胆红素（TBIL）</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52</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9.谷草/谷丙（AST/ALT）</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53</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10.血清天冬氨酸氨基转移酶（AST）</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54</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11.血清丙氨酸氨基转移酶（ALT）</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55</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12.白蛋白/球蛋白（A/G）</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56</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13.血清球蛋白（GLB）</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57</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14.血清白蛋白（ALB）</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58</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15.血清总蛋白（TP）</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59</w:t>
            </w:r>
            <w:r/>
          </w:p>
        </w:tc>
        <w:tc>
          <w:tcPr>
            <w:shd w:val="clear" w:color="auto" w:fill="ffffff"/>
            <w:tcW w:w="572"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免疫测定</w:t>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类风湿因子测定（RF）</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是诊断类风湿关节炎的重要血清学指标之一。也可见于某些感染性疾病，如结核、感染性心内膜炎等。</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60</w:t>
            </w:r>
            <w:r/>
          </w:p>
        </w:tc>
        <w:tc>
          <w:tcPr>
            <w:shd w:val="clear" w:color="auto" w:fill="ffffff"/>
            <w:tcW w:w="572"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血粘度15项</w:t>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全血粘度切变率</w:t>
            </w:r>
            <w:r/>
          </w:p>
        </w:tc>
        <w:tc>
          <w:tcPr>
            <w:shd w:val="clear" w:color="auto" w:fill="ffffff"/>
            <w:tcW w:w="1979"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主要反映血液流动性、凝滞性和血液粘度的变化。适用于高血压、动脉硬化、脑中风、糖尿病及血脂异常等疾患的检查。</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61</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全血粘度检测5中切</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62</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全血粘度检测中切</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63</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全血粘度</w:t>
            </w:r>
            <w:r>
              <w:rPr>
                <w:rFonts w:hint="eastAsia" w:ascii="宋体" w:hAnsi="宋体" w:cs="Arial"/>
                <w:sz w:val="24"/>
                <w:szCs w:val="24"/>
              </w:rPr>
              <w:t xml:space="preserve">检测高切</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64</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血浆粘度</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65</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红细胞压积</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66</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红细胞聚集指数</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67</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红细胞变形指数</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68</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红细胞刚性指数</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69</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卡松粘度</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70</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全血低切还原</w:t>
            </w:r>
            <w:r>
              <w:rPr>
                <w:rFonts w:hint="eastAsia" w:ascii="宋体" w:hAnsi="宋体" w:cs="Arial"/>
                <w:sz w:val="24"/>
                <w:szCs w:val="24"/>
              </w:rPr>
              <w:t xml:space="preserve">粘度</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71</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全血</w:t>
            </w:r>
            <w:r>
              <w:rPr>
                <w:rFonts w:hint="eastAsia" w:ascii="宋体" w:hAnsi="宋体" w:cs="Arial"/>
                <w:sz w:val="24"/>
                <w:szCs w:val="24"/>
              </w:rPr>
              <w:t xml:space="preserve">高切相对</w:t>
            </w:r>
            <w:r>
              <w:rPr>
                <w:rFonts w:hint="eastAsia" w:ascii="宋体" w:hAnsi="宋体" w:cs="Arial"/>
                <w:sz w:val="24"/>
                <w:szCs w:val="24"/>
              </w:rPr>
              <w:t xml:space="preserve">指数</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72</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全血</w:t>
            </w:r>
            <w:r>
              <w:rPr>
                <w:rFonts w:hint="eastAsia" w:ascii="宋体" w:hAnsi="宋体" w:cs="Arial"/>
                <w:sz w:val="24"/>
                <w:szCs w:val="24"/>
              </w:rPr>
              <w:t xml:space="preserve">低切相对</w:t>
            </w:r>
            <w:r>
              <w:rPr>
                <w:rFonts w:hint="eastAsia" w:ascii="宋体" w:hAnsi="宋体" w:cs="Arial"/>
                <w:sz w:val="24"/>
                <w:szCs w:val="24"/>
              </w:rPr>
              <w:t xml:space="preserve">指数</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73</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全血高切还原</w:t>
            </w:r>
            <w:r>
              <w:rPr>
                <w:rFonts w:hint="eastAsia" w:ascii="宋体" w:hAnsi="宋体" w:cs="Arial"/>
                <w:sz w:val="24"/>
                <w:szCs w:val="24"/>
              </w:rPr>
              <w:t xml:space="preserve">粘度</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74</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红细胞沉降率</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75</w:t>
            </w:r>
            <w:r/>
          </w:p>
        </w:tc>
        <w:tc>
          <w:tcPr>
            <w:shd w:val="clear" w:color="auto" w:fill="ffffff"/>
            <w:tcW w:w="572"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 甲状腺功能3项</w:t>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TSH</w:t>
            </w:r>
            <w:r/>
          </w:p>
        </w:tc>
        <w:tc>
          <w:tcPr>
            <w:shd w:val="clear" w:color="auto" w:fill="ffffff"/>
            <w:tcW w:w="1979"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用于诊断甲亢、甲减，并作为甲状腺肿瘤术后治疗监测。抗体检测有助于判断有无自身免疫性甲状腺疾病。</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76</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T3</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77</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T4</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78</w:t>
            </w:r>
            <w:r/>
          </w:p>
        </w:tc>
        <w:tc>
          <w:tcPr>
            <w:shd w:val="clear" w:color="auto" w:fill="ffffff"/>
            <w:tcW w:w="572"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心肌酶谱</w:t>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磷酸肌酸激酶(CK)</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CK测定主要用于心肌梗死的诊断，对其他系统疾病的诊疗也具有一定意义</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79</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磷酸肌酸激酶同工酶</w:t>
            </w:r>
            <w:r>
              <w:rPr>
                <w:rFonts w:hint="eastAsia" w:ascii="宋体" w:hAnsi="宋体" w:cs="Arial"/>
                <w:sz w:val="24"/>
                <w:szCs w:val="24"/>
              </w:rPr>
              <w:t xml:space="preserve">(CK-MB)</w:t>
            </w:r>
            <w:r/>
          </w:p>
        </w:tc>
        <w:tc>
          <w:tcPr>
            <w:shd w:val="clear" w:color="auto" w:fill="ffffff"/>
            <w:tcW w:w="1979"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血清CK-MB测定的最重要意义在</w:t>
            </w:r>
            <w:r>
              <w:rPr>
                <w:rFonts w:hint="eastAsia" w:ascii="宋体" w:hAnsi="宋体" w:cs="Arial"/>
                <w:sz w:val="24"/>
                <w:szCs w:val="24"/>
              </w:rPr>
              <w:t xml:space="preserve">于诊断急性心肌梗塞</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80</w:t>
            </w:r>
            <w:r/>
          </w:p>
        </w:tc>
        <w:tc>
          <w:tcPr>
            <w:shd w:val="clear" w:color="auto" w:fill="ffffff"/>
            <w:tcW w:w="572"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血糖检测</w:t>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空腹血糖</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评价人体空腹状态下血糖水平是否正常，评估糖尿病受检者空腹血糖控制是否达标。空腹血糖是评估糖代谢紊乱的常用和重要指标。</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81</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糖化血红蛋白(HbA1C)</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糖化血红蛋白浓度可有效地反映过去8~12周平均血糖水平，用于筛检糖尿病、评价糖尿病血糖控制情况。</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82</w:t>
            </w:r>
            <w:r/>
          </w:p>
        </w:tc>
        <w:tc>
          <w:tcPr>
            <w:shd w:val="clear" w:color="auto" w:fill="ffffff"/>
            <w:tcW w:w="572"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血脂</w:t>
            </w:r>
            <w:r>
              <w:rPr>
                <w:rFonts w:hint="eastAsia" w:ascii="宋体" w:hAnsi="宋体" w:cs="Arial"/>
                <w:sz w:val="24"/>
                <w:szCs w:val="24"/>
              </w:rPr>
              <w:t xml:space="preserve">检测</w:t>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总胆固醇(TC)</w:t>
            </w:r>
            <w:r/>
          </w:p>
        </w:tc>
        <w:tc>
          <w:tcPr>
            <w:shd w:val="clear" w:color="auto" w:fill="ffffff"/>
            <w:tcW w:w="1979"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可筛查高脂血症、动脉粥样硬化、冠心病、严重肝脏损坏等疾病。</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83</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甘油三酯(TG)</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84</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高密度脂蛋白胆固醇(HDL-C)</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对血管有保护作用。血中含量低则易患血管硬化。</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85</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低密度脂蛋白胆固醇(LDL-C)</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越高越不好。是检测动脉粥样硬化的重要指标。</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86</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动脉硬化指数监测（AI）</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≥4异常。数值越大动脉硬化的程度越重，发生心脑血管的危险性越高。</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87</w:t>
            </w:r>
            <w:r/>
          </w:p>
        </w:tc>
        <w:tc>
          <w:tcPr>
            <w:shd w:val="clear" w:color="auto" w:fill="ffffff"/>
            <w:tcW w:w="572"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肿瘤标志（男13项，女12项）</w:t>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1.甲型胎儿蛋白（AFP）  </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原发性肝癌的诊断、疗效监测。</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88</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2.癌症胚胎抗原（CEA）  </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肺、结直肠、乳腺、胃、胰腺、胆管等肿瘤的辅助诊断及疗效的判断。</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89</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3.胰腺癌肿瘤筛检（CA199）   </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胰腺癌、胆道恶性肿瘤的诊断及胃肠道、甲状腺肿瘤的诊断和疗效监测。</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90</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4.神经元特异性烯醇化酶（NSE）</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小细胞肺癌重要标志物之一，可用于鉴别诊断，监测小细胞肺癌。</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91</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5.多种肿瘤标记筛查(CA50)</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胰腺、肝、卵巢、肺等多种肿瘤的诊断和疗效监测。</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92</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6.乳腺癌肿瘤筛检（CA153）</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乳腺癌、转移性乳腺癌的诊断及疗效监测。还可以辅助诊断肝癌、卵巢癌、胰腺癌、肺癌等。</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93</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7.前列腺特异性抗原（TPSA）（男性项目）</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用于检测前列腺疾病、前列腺癌的诊断及疗效监测</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94</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8.游离前列腺特异性抗原（F-PSA）（男性项目）</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前列腺疾病、前列腺癌的辅助诊断及疗效监测</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95</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9.游离前列腺特异性抗原与前列腺特异性抗原的比值（f-PSA/t-PSA）</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评估患者患有前列腺癌风险</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96</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10.卵巢癌肿瘤筛检（CA125）（女性项目）</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卵巢、子宫内膜癌的诊断和疗效监测。</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97</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11.人绒毛膜促性腺激素（β-HCG）（女性项目）</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用于绒癌、恶性葡萄胎等肿瘤的筛查</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98</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12.胃癌肿瘤抗原（CA724）</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胃癌首选的肿瘤标志物筛查，与CEA联合检测，可以提高判断胃癌的敏感性和特异性。</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99</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13.血清糖类抗原测定(CA242)</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直结肠癌的肿瘤标志物。</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100</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14.血清铁蛋白测定（SF）</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在临床上常用于缺铁性贫血及恶性血液系统疾病，如白血病、淋巴瘤、多发性骨髓瘤</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101</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15.鳞状上皮细胞癌抗原 SCC</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主要针对肺鳞癌、头颈部癌、 皮肤癌的检测</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102</w:t>
            </w:r>
            <w:r/>
          </w:p>
        </w:tc>
        <w:tc>
          <w:tcPr>
            <w:shd w:val="clear" w:color="auto" w:fill="ffffff"/>
            <w:tcW w:w="572"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胃功能检查</w:t>
            </w:r>
            <w:r>
              <w:rPr>
                <w:rFonts w:hint="eastAsia" w:ascii="宋体" w:hAnsi="宋体" w:cs="Arial"/>
                <w:sz w:val="24"/>
                <w:szCs w:val="24"/>
              </w:rPr>
              <w:br/>
              <w:t xml:space="preserve">（胃癌早筛）</w:t>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幽门螺杆</w:t>
            </w:r>
            <w:r>
              <w:rPr>
                <w:rFonts w:hint="eastAsia" w:ascii="宋体" w:hAnsi="宋体" w:cs="Arial"/>
                <w:sz w:val="24"/>
                <w:szCs w:val="24"/>
              </w:rPr>
              <w:t xml:space="preserve">菌</w:t>
            </w:r>
            <w:r>
              <w:rPr>
                <w:rFonts w:hint="eastAsia" w:ascii="宋体" w:hAnsi="宋体" w:cs="Arial"/>
                <w:sz w:val="24"/>
                <w:szCs w:val="24"/>
              </w:rPr>
              <w:t xml:space="preserve">检测（C13呼气试验）</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呼气试验阳性示胃幽门螺杆</w:t>
            </w:r>
            <w:r>
              <w:rPr>
                <w:rFonts w:hint="eastAsia" w:ascii="宋体" w:hAnsi="宋体" w:cs="Arial"/>
                <w:sz w:val="24"/>
                <w:szCs w:val="24"/>
              </w:rPr>
              <w:t xml:space="preserve">菌</w:t>
            </w:r>
            <w:r>
              <w:rPr>
                <w:rFonts w:hint="eastAsia" w:ascii="宋体" w:hAnsi="宋体" w:cs="Arial"/>
                <w:sz w:val="24"/>
                <w:szCs w:val="24"/>
              </w:rPr>
              <w:t xml:space="preserve">感染情况，它与胃部炎症、消化性溃疡、胃癌的发生密切关联。该方法具有无痛、快速、准确的特点。</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103</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胃蛋白酶原PG-Ⅰ</w:t>
            </w:r>
            <w:r/>
          </w:p>
        </w:tc>
        <w:tc>
          <w:tcPr>
            <w:shd w:val="clear" w:color="auto" w:fill="ffffff"/>
            <w:tcW w:w="1979"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主要针对慢性胃炎、溃疡病、幽门螺杆</w:t>
            </w:r>
            <w:r>
              <w:rPr>
                <w:rFonts w:hint="eastAsia" w:ascii="宋体" w:hAnsi="宋体" w:cs="Arial"/>
                <w:sz w:val="24"/>
                <w:szCs w:val="24"/>
              </w:rPr>
              <w:t xml:space="preserve">菌</w:t>
            </w:r>
            <w:r>
              <w:rPr>
                <w:rFonts w:hint="eastAsia" w:ascii="宋体" w:hAnsi="宋体" w:cs="Arial"/>
                <w:sz w:val="24"/>
                <w:szCs w:val="24"/>
              </w:rPr>
              <w:t xml:space="preserve">感染的检测</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104</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胃蛋白酶原PG-Ⅱ</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105</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PGⅠ/ PGⅡ比值测定</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用于胃癌、胃溃疡、萎缩性胃炎的初筛</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序号</w:t>
            </w:r>
            <w:r/>
          </w:p>
        </w:tc>
        <w:tc>
          <w:tcPr>
            <w:gridSpan w:val="6"/>
            <w:shd w:val="clear" w:color="auto" w:fill="ffffff"/>
            <w:tcW w:w="4759"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器材检查项目</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w:t>
            </w:r>
            <w:r/>
          </w:p>
        </w:tc>
        <w:tc>
          <w:tcPr>
            <w:shd w:val="clear" w:color="auto" w:fill="ffffff"/>
            <w:tcW w:w="572"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彩超检查</w:t>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肝部彩超</w:t>
            </w:r>
            <w:r/>
          </w:p>
        </w:tc>
        <w:tc>
          <w:tcPr>
            <w:shd w:val="clear" w:color="auto" w:fill="ffffff"/>
            <w:tcW w:w="1979"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通过彩色超声仪器对人体肝脏、胆囊、脾脏、胰脏、双肾进行检测,是否有无形态学改变及占位性病变（肿瘤，结石，炎症等）。</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胆囊彩超</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脾脏彩超</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胰脏彩超</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双肾彩超</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甲状腺彩超</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通过彩色超声仪器对人体甲状腺进行检测,是否有无形态学改变及占位性病变（肿大、结节、腺瘤及肿瘤等）。</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男科前列腺超声波检查（男）        </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通过彩色超声波仪器检测前列腺有无肿块及其他病变。</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乳房超声检查（女）         </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通过彩色超声波仪器检测乳腺有无肿块及其他病变。</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妇科腹部超声检查（女未婚）</w:t>
            </w:r>
            <w:r/>
          </w:p>
        </w:tc>
        <w:tc>
          <w:tcPr>
            <w:shd w:val="clear" w:color="auto" w:fill="ffffff"/>
            <w:tcW w:w="1979"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通过彩色超声波仪器检测子宫及附件有无病变。</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妇科阴道超声检查（女已婚）</w:t>
            </w:r>
            <w:r/>
          </w:p>
        </w:tc>
        <w:tc>
          <w:tcPr>
            <w:shd w:val="clear" w:color="auto" w:fill="ffffff"/>
            <w:tcW w:w="197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11</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颈动脉彩超</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彩色超声仪器采用无创性检查方法，检测颈动脉结构和动脉粥样硬化斑形态、范围、性质、动脉狭窄程度等；早期发现动脉血管病变，为有效预防和减少冠心病、缺血性脑血管病等心脑血管疾病发病提供客观的血流动力学依据。</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12</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心脏彩超</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可动态观察心脏结构与功能，实时显示心内血流状态。对心脏瓣膜、心肌结构、心肌运动的异常及心脏功能进行初步评判。</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13</w:t>
            </w:r>
            <w:r/>
          </w:p>
        </w:tc>
        <w:tc>
          <w:tcPr>
            <w:shd w:val="clear" w:color="auto" w:fill="ffffff"/>
            <w:tcW w:w="572"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低剂量螺旋CT （不出片）</w:t>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肺部（低剂量）</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低剂量螺旋CT(简称LDCT)扫描方案是通过优化扫描参数，改变管电流、管电压和螺距等来降低辐射剂量，胸部扫描辐射剂量仅为常规CT的20％左右。低剂量螺旋CT对肺部筛查有助于发现早期肺癌，特别是周围型肺癌，其诊出率约为胸片的10倍。因其较少的辐射剂量，有效的降低了医源性辐射引起的恶性病变的风险。</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14</w:t>
            </w:r>
            <w:r/>
          </w:p>
        </w:tc>
        <w:tc>
          <w:tcPr>
            <w:shd w:val="clear" w:color="auto" w:fill="ffffff"/>
            <w:tcW w:w="572"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磁共振扫描（MRI）</w:t>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头颅MRI</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对常见的颅脑血管疾病、颅内肿瘤等进行初步筛查，头颅MRI检查一般无颅骨伪影，脑</w:t>
            </w:r>
            <w:r>
              <w:rPr>
                <w:rFonts w:hint="eastAsia" w:ascii="宋体" w:hAnsi="宋体" w:cs="Arial"/>
                <w:sz w:val="24"/>
                <w:szCs w:val="24"/>
              </w:rPr>
              <w:t xml:space="preserve">灰白质</w:t>
            </w:r>
            <w:r>
              <w:rPr>
                <w:rFonts w:hint="eastAsia" w:ascii="宋体" w:hAnsi="宋体" w:cs="Arial"/>
                <w:sz w:val="24"/>
                <w:szCs w:val="24"/>
              </w:rPr>
              <w:t xml:space="preserve">信号对比度高，使得头颅MRI检查优于CT。</w:t>
            </w:r>
            <w:r/>
          </w:p>
        </w:tc>
        <w:tc>
          <w:tcPr>
            <w:shd w:val="clear" w:color="auto" w:fill="ffffff"/>
            <w:tcW w:w="324"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二选</w:t>
            </w:r>
            <w:r>
              <w:rPr>
                <w:rFonts w:hint="eastAsia" w:ascii="宋体" w:hAnsi="宋体" w:cs="Arial"/>
                <w:sz w:val="24"/>
                <w:szCs w:val="24"/>
              </w:rPr>
              <w:t xml:space="preserve">一</w:t>
            </w:r>
            <w:r/>
          </w:p>
        </w:tc>
        <w:tc>
          <w:tcPr>
            <w:shd w:val="clear" w:color="auto" w:fill="ffffff"/>
            <w:tcW w:w="324"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二选</w:t>
            </w:r>
            <w:r>
              <w:rPr>
                <w:rFonts w:hint="eastAsia" w:ascii="宋体" w:hAnsi="宋体" w:cs="Arial"/>
                <w:sz w:val="24"/>
                <w:szCs w:val="24"/>
              </w:rPr>
              <w:t xml:space="preserve">一</w:t>
            </w:r>
            <w:r/>
          </w:p>
        </w:tc>
        <w:tc>
          <w:tcPr>
            <w:shd w:val="clear" w:color="auto" w:fill="ffffff"/>
            <w:tcW w:w="324"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二选</w:t>
            </w:r>
            <w:r>
              <w:rPr>
                <w:rFonts w:hint="eastAsia" w:ascii="宋体" w:hAnsi="宋体" w:cs="Arial"/>
                <w:sz w:val="24"/>
                <w:szCs w:val="24"/>
              </w:rPr>
              <w:t xml:space="preserve">一</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15</w:t>
            </w:r>
            <w:r/>
          </w:p>
        </w:tc>
        <w:tc>
          <w:tcPr>
            <w:shd w:val="clear" w:color="auto" w:fill="ffffff"/>
            <w:tcW w:w="572"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上腹部CT（平扫）</w:t>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上腹部</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了解上腹部区域，包括肝、胆、胰、脾、胃及周围腹腔结构有无感染性疾病、占位、畸形、结石、梗阻、穿孔、积液等情况。</w:t>
            </w:r>
            <w:r/>
          </w:p>
        </w:tc>
        <w:tc>
          <w:tcPr>
            <w:shd w:val="clear" w:color="auto" w:fill="ffffff"/>
            <w:tcW w:w="324"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324"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16</w:t>
            </w:r>
            <w:r/>
          </w:p>
        </w:tc>
        <w:tc>
          <w:tcPr>
            <w:shd w:val="clear" w:color="auto" w:fill="ffffff"/>
            <w:tcW w:w="572"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心电图</w:t>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心电图</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通过在体表特定部位同步记录和分析心脏每一个心动周期所产生电活动变化的曲线图形，为心脏疾病诊断、疗效评价、预后评估提供重要的依据。</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17</w:t>
            </w:r>
            <w:r/>
          </w:p>
        </w:tc>
        <w:tc>
          <w:tcPr>
            <w:shd w:val="clear" w:color="auto" w:fill="ffffff"/>
            <w:tcW w:w="572"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骨密度</w:t>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骨密度检测（经脚踝）</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通过骨密度仪检查骨质密度，早期发现骨量减少及估计骨质疏松的程度，及时进行有效防治。</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18</w:t>
            </w:r>
            <w:r/>
          </w:p>
        </w:tc>
        <w:tc>
          <w:tcPr>
            <w:shd w:val="clear" w:color="auto" w:fill="ffffff"/>
            <w:tcW w:w="572"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VBP-9动脉硬化检测</w:t>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动脉硬化</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通过测量四肢血压及相关计算，早期判断动脉硬化、下肢动脉狭窄和闭塞以及静脉曲张，也可辅助检查周围血管中的血栓情况。</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序号</w:t>
            </w:r>
            <w:r/>
          </w:p>
        </w:tc>
        <w:tc>
          <w:tcPr>
            <w:gridSpan w:val="6"/>
            <w:shd w:val="clear" w:color="auto" w:fill="ffffff"/>
            <w:tcW w:w="4759"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已婚女性附加项目</w:t>
            </w:r>
            <w:r/>
          </w:p>
        </w:tc>
      </w:tr>
      <w:tr>
        <w:trPr>
          <w:trHeight w:val="20"/>
        </w:trPr>
        <w:tc>
          <w:tcPr>
            <w:shd w:val="clear" w:color="auto" w:fill="ffffff"/>
            <w:tcW w:w="24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w:t>
            </w:r>
            <w:r/>
          </w:p>
        </w:tc>
        <w:tc>
          <w:tcPr>
            <w:shd w:val="clear" w:color="auto" w:fill="ffffff"/>
            <w:tcW w:w="572"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妇科检</w:t>
            </w:r>
            <w:r>
              <w:rPr>
                <w:rFonts w:hint="eastAsia" w:ascii="宋体" w:hAnsi="宋体" w:cs="Arial"/>
                <w:sz w:val="24"/>
                <w:szCs w:val="24"/>
              </w:rPr>
              <w:t xml:space="preserve">查</w:t>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妇科内诊</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通过妇科体格检查，检查阴道、</w:t>
            </w:r>
            <w:r>
              <w:rPr>
                <w:rFonts w:hint="eastAsia" w:ascii="宋体" w:hAnsi="宋体" w:cs="Arial"/>
                <w:sz w:val="24"/>
                <w:szCs w:val="24"/>
              </w:rPr>
              <w:t xml:space="preserve">子宫、附件、盆腔等脏器基本情况，发现常见妇科疾病的相关征兆，或初步排除妇科常见疾病。</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白带常规</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白带常规检查能够快速、方便、高效的反映阴道酸碱度、清洁度以及有无感染等的情况，因而是妇科体检中简便易行的常规项目之一。</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w:t>
            </w:r>
            <w:r/>
          </w:p>
        </w:tc>
        <w:tc>
          <w:tcPr>
            <w:shd w:val="clear" w:color="auto" w:fill="ffffff"/>
            <w:tcW w:w="572"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宫颈癌筛查</w:t>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子宫颈抹片检查（</w:t>
            </w:r>
            <w:r>
              <w:rPr>
                <w:rFonts w:hint="eastAsia" w:ascii="宋体" w:hAnsi="宋体" w:cs="Arial"/>
                <w:sz w:val="24"/>
                <w:szCs w:val="24"/>
              </w:rPr>
              <w:t xml:space="preserve">液基超薄</w:t>
            </w:r>
            <w:r>
              <w:rPr>
                <w:rFonts w:hint="eastAsia" w:ascii="宋体" w:hAnsi="宋体" w:cs="Arial"/>
                <w:sz w:val="24"/>
                <w:szCs w:val="24"/>
              </w:rPr>
              <w:t xml:space="preserve">细胞检测,TCT）</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筛查宫颈早期病变较先进的检测方法，同时还能发现部分微生物感染如假丝酵母菌、滴虫等。</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4</w:t>
            </w:r>
            <w:r/>
          </w:p>
        </w:tc>
        <w:tc>
          <w:tcPr>
            <w:shd w:val="clear" w:color="auto" w:fill="ffffff"/>
            <w:tcW w:w="572"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234"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人乳头瘤病毒分析全套检测（共23型）HPV</w:t>
            </w:r>
            <w:r/>
          </w:p>
        </w:tc>
        <w:tc>
          <w:tcPr>
            <w:shd w:val="clear" w:color="auto" w:fill="ffffff"/>
            <w:tcW w:w="1979"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高危</w:t>
            </w:r>
            <w:r>
              <w:rPr>
                <w:rFonts w:hint="eastAsia" w:ascii="宋体" w:hAnsi="宋体" w:cs="Arial"/>
                <w:sz w:val="24"/>
                <w:szCs w:val="24"/>
              </w:rPr>
              <w:t xml:space="preserve">和低危人</w:t>
            </w:r>
            <w:r>
              <w:rPr>
                <w:rFonts w:hint="eastAsia" w:ascii="宋体" w:hAnsi="宋体" w:cs="Arial"/>
                <w:sz w:val="24"/>
                <w:szCs w:val="24"/>
              </w:rPr>
              <w:t xml:space="preserve">乳头瘤病毒感染诊断。</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序号</w:t>
            </w:r>
            <w:r/>
          </w:p>
        </w:tc>
        <w:tc>
          <w:tcPr>
            <w:gridSpan w:val="6"/>
            <w:shd w:val="clear" w:color="auto" w:fill="ffffff"/>
            <w:tcW w:w="4759"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其他附加项目</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w:t>
            </w:r>
            <w:r/>
          </w:p>
        </w:tc>
        <w:tc>
          <w:tcPr>
            <w:gridSpan w:val="3"/>
            <w:shd w:val="clear" w:color="auto" w:fill="ffffff"/>
            <w:tcW w:w="3785"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健康餐营养早餐</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24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w:t>
            </w:r>
            <w:r/>
          </w:p>
        </w:tc>
        <w:tc>
          <w:tcPr>
            <w:gridSpan w:val="3"/>
            <w:shd w:val="clear" w:color="auto" w:fill="ffffff"/>
            <w:tcW w:w="3785"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个人健康电子档案/建立终身的健康电子档案</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32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bl>
    <w:p>
      <w:pPr>
        <w:ind w:firstLine="482"/>
        <w:spacing w:line="360" w:lineRule="auto"/>
        <w:widowControl/>
        <w:rPr>
          <w:rFonts w:hint="eastAsia" w:ascii="宋体" w:hAnsi="宋体" w:cs="宋体"/>
          <w:b/>
          <w:bCs/>
          <w:sz w:val="24"/>
        </w:rPr>
        <w:outlineLvl w:val="0"/>
      </w:pPr>
      <w:r>
        <w:rPr>
          <w:rFonts w:hint="eastAsia" w:ascii="宋体" w:hAnsi="宋体"/>
          <w:b/>
          <w:sz w:val="24"/>
        </w:rPr>
        <w:t xml:space="preserve">2、</w:t>
      </w:r>
      <w:r>
        <w:rPr>
          <w:rFonts w:hint="eastAsia" w:ascii="宋体" w:hAnsi="宋体" w:cs="宋体"/>
          <w:b/>
          <w:bCs/>
          <w:sz w:val="24"/>
          <w:lang w:val="zh-CN"/>
        </w:rPr>
        <w:t xml:space="preserve">在职人员体检项目</w:t>
      </w:r>
      <w:r/>
    </w:p>
    <w:p>
      <w:pPr>
        <w:ind w:firstLine="482"/>
        <w:spacing w:line="360" w:lineRule="auto"/>
        <w:widowControl/>
        <w:rPr>
          <w:rFonts w:hint="eastAsia" w:ascii="宋体" w:hAnsi="宋体"/>
          <w:b/>
          <w:sz w:val="24"/>
        </w:rPr>
        <w:outlineLvl w:val="0"/>
      </w:pPr>
      <w:r>
        <w:rPr>
          <w:rFonts w:hint="eastAsia" w:ascii="宋体" w:hAnsi="宋体" w:cs="宋体"/>
          <w:b/>
          <w:bCs/>
          <w:sz w:val="24"/>
        </w:rPr>
        <w:t xml:space="preserve">（1）套餐一</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Look w:val="04A0" w:firstRow="1" w:lastRow="0" w:firstColumn="1" w:lastColumn="0" w:noHBand="0" w:noVBand="1"/>
      </w:tblPr>
      <w:tblGrid>
        <w:gridCol w:w="706"/>
        <w:gridCol w:w="1174"/>
        <w:gridCol w:w="2032"/>
        <w:gridCol w:w="3170"/>
        <w:gridCol w:w="958"/>
        <w:gridCol w:w="958"/>
        <w:gridCol w:w="964"/>
      </w:tblGrid>
      <w:tr>
        <w:trPr>
          <w:trHeight w:val="20"/>
        </w:trPr>
        <w:tc>
          <w:tcPr>
            <w:gridSpan w:val="7"/>
            <w:shd w:val="clear" w:color="auto" w:fill="ffffff"/>
            <w:tcW w:w="5000"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  2026年新区实小在职教师体检套餐 1（代谢性疾病筛查）</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　</w:t>
            </w:r>
            <w:r/>
          </w:p>
        </w:tc>
        <w:tc>
          <w:tcPr>
            <w:shd w:val="clear" w:color="auto" w:fill="ffffff"/>
            <w:tcW w:w="589"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项目</w:t>
            </w:r>
            <w:r/>
          </w:p>
        </w:tc>
        <w:tc>
          <w:tcPr>
            <w:shd w:val="clear" w:color="auto" w:fill="ffffff"/>
            <w:tcW w:w="1020"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指标</w:t>
            </w:r>
            <w:r/>
          </w:p>
        </w:tc>
        <w:tc>
          <w:tcPr>
            <w:shd w:val="clear" w:color="auto" w:fill="ffffff"/>
            <w:tcW w:w="1590"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男</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未婚女</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已婚女</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序号</w:t>
            </w:r>
            <w:r/>
          </w:p>
        </w:tc>
        <w:tc>
          <w:tcPr>
            <w:gridSpan w:val="6"/>
            <w:shd w:val="clear" w:color="auto" w:fill="ffffff"/>
            <w:tcW w:w="464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临床检查项目</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w:t>
            </w:r>
            <w:r/>
          </w:p>
        </w:tc>
        <w:tc>
          <w:tcPr>
            <w:shd w:val="clear" w:color="auto" w:fill="ffffff"/>
            <w:tcW w:w="589"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一般检查A</w:t>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身高</w:t>
            </w:r>
            <w:r/>
          </w:p>
        </w:tc>
        <w:tc>
          <w:tcPr>
            <w:shd w:val="clear" w:color="auto" w:fill="ffffff"/>
            <w:tcW w:w="1590"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通过仪器测量人体身高、体重及血压，科学判断体重是否标准、血压是否正常，并且为相关科室的诊断提供重要的依据。</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体重</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体重指数BMI</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血压</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w:t>
            </w:r>
            <w:r/>
          </w:p>
        </w:tc>
        <w:tc>
          <w:tcPr>
            <w:shd w:val="clear" w:color="auto" w:fill="ffffff"/>
            <w:tcW w:w="589"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外科检查A      </w:t>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皮肤</w:t>
            </w:r>
            <w:r/>
          </w:p>
        </w:tc>
        <w:tc>
          <w:tcPr>
            <w:shd w:val="clear" w:color="auto" w:fill="ffffff"/>
            <w:tcW w:w="1590"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通过体格检查，检查皮肤,浅表淋巴结,甲状腺,脊柱,四肢关节，乳房等脏器基本情况，发现常见外科疾病的相关征兆，或初步排除外科常见疾病。</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浅表淋巴结</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甲状腺</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脊柱</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四肢关节</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乳房</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11</w:t>
            </w:r>
            <w:r/>
          </w:p>
        </w:tc>
        <w:tc>
          <w:tcPr>
            <w:shd w:val="clear" w:color="auto" w:fill="ffffff"/>
            <w:tcW w:w="589"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内科检查A</w:t>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营养</w:t>
            </w:r>
            <w:r/>
          </w:p>
        </w:tc>
        <w:tc>
          <w:tcPr>
            <w:shd w:val="clear" w:color="auto" w:fill="ffffff"/>
            <w:tcW w:w="1590"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通过体格检查，检查心、肺、腹部等器官及部位的基本状况,发现常见疾病的相关征兆或初步排除常见疾病。</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12</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面容</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13</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心脏</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14</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胸廓</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15</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肺部</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16</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腹部</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17</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肝脏</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18</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脾脏</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19</w:t>
            </w:r>
            <w:r/>
          </w:p>
        </w:tc>
        <w:tc>
          <w:tcPr>
            <w:shd w:val="clear" w:color="auto" w:fill="ffffff"/>
            <w:tcW w:w="589"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眼科检查</w:t>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视力</w:t>
            </w:r>
            <w:r/>
          </w:p>
        </w:tc>
        <w:tc>
          <w:tcPr>
            <w:shd w:val="clear" w:color="auto" w:fill="ffffff"/>
            <w:tcW w:w="1590"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了解视力状况,检查眼睑、泪囊、结膜、眼球是否存在</w:t>
            </w:r>
            <w:r>
              <w:rPr>
                <w:rFonts w:hint="eastAsia" w:ascii="宋体" w:hAnsi="宋体" w:cs="Arial"/>
                <w:sz w:val="24"/>
                <w:szCs w:val="24"/>
              </w:rPr>
              <w:t xml:space="preserve">异常情况.通过眼底镜检查眼底视网膜、视神经乳头和视网膜中央血管等有无异常情况。通过裂隙灯检查巩膜、虹膜、角膜、瞳孔、玻璃体等有无异常情况。</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20</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外眼</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21</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眼底镜</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22</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裂隙灯检查</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23</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眼压检查</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青光眼等眼压异常疾病筛查。</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24</w:t>
            </w:r>
            <w:r/>
          </w:p>
        </w:tc>
        <w:tc>
          <w:tcPr>
            <w:shd w:val="clear" w:color="auto" w:fill="ffffff"/>
            <w:tcW w:w="589"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口腔科检查</w:t>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牙体</w:t>
            </w:r>
            <w:r/>
          </w:p>
        </w:tc>
        <w:tc>
          <w:tcPr>
            <w:shd w:val="clear" w:color="auto" w:fill="ffffff"/>
            <w:tcW w:w="1590"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主要检查有无牙周病、牙结石、龋齿、缺牙等口腔疾病。</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25</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牙周</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26</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口腔粘膜</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27</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颌</w:t>
            </w:r>
            <w:r>
              <w:rPr>
                <w:rFonts w:hint="eastAsia" w:ascii="宋体" w:hAnsi="宋体" w:cs="Arial"/>
                <w:sz w:val="24"/>
                <w:szCs w:val="24"/>
              </w:rPr>
              <w:t xml:space="preserve">面部</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28</w:t>
            </w:r>
            <w:r/>
          </w:p>
        </w:tc>
        <w:tc>
          <w:tcPr>
            <w:shd w:val="clear" w:color="auto" w:fill="ffffff"/>
            <w:tcW w:w="589"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耳鼻</w:t>
            </w:r>
            <w:r>
              <w:rPr>
                <w:rFonts w:hint="eastAsia" w:ascii="宋体" w:hAnsi="宋体" w:cs="Arial"/>
                <w:sz w:val="24"/>
                <w:szCs w:val="24"/>
              </w:rPr>
              <w:t xml:space="preserve">喉</w:t>
            </w:r>
            <w:r>
              <w:rPr>
                <w:rFonts w:hint="eastAsia" w:ascii="宋体" w:hAnsi="宋体" w:cs="Arial"/>
                <w:sz w:val="24"/>
                <w:szCs w:val="24"/>
              </w:rPr>
              <w:t xml:space="preserve">检查</w:t>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鼻咽</w:t>
            </w:r>
            <w:r/>
          </w:p>
        </w:tc>
        <w:tc>
          <w:tcPr>
            <w:shd w:val="clear" w:color="auto" w:fill="ffffff"/>
            <w:tcW w:w="1590"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通过对耳、鼻、咽、扁桃体的常规检查，初步筛查相关常见疾病。</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29</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耳</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30</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喉</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序号</w:t>
            </w:r>
            <w:r/>
          </w:p>
        </w:tc>
        <w:tc>
          <w:tcPr>
            <w:gridSpan w:val="6"/>
            <w:shd w:val="clear" w:color="auto" w:fill="ffffff"/>
            <w:tcW w:w="464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实验室检查项目</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w:t>
            </w:r>
            <w:r/>
          </w:p>
        </w:tc>
        <w:tc>
          <w:tcPr>
            <w:shd w:val="clear" w:color="auto" w:fill="ffffff"/>
            <w:tcW w:w="589"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血液常规（22项，五分类）</w:t>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白细胞</w:t>
            </w:r>
            <w:r/>
          </w:p>
        </w:tc>
        <w:tc>
          <w:tcPr>
            <w:shd w:val="clear" w:color="auto" w:fill="ffffff"/>
            <w:tcW w:w="1590"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通过血液常规检测，检查白细胞、红细胞、血色素、血小板等指标来反映身体状况，如：贫血、感染、血液系统疾病、物理化学因素损伤等。</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中性细胞百分比</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淋巴细胞百分比</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中间细胞百分比</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嗜酸性粒细胞百分比</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嗜碱性粒细胞百分比</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中性粒细胞数</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淋巴细胞数</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中间细胞计数</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嗜酸性粒细胞</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11</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嗜碱性粒细胞</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12</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红细胞</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13</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血红蛋白</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14</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红细胞压积</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15</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平均红细胞体积</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16</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平均血红蛋白量</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17</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平均血红蛋白浓度</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18</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红细胞分布宽度</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19</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血小板</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20</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血小板平均体机</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21</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血小板分布宽度</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22</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血小板容积</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23</w:t>
            </w:r>
            <w:r/>
          </w:p>
        </w:tc>
        <w:tc>
          <w:tcPr>
            <w:shd w:val="clear" w:color="auto" w:fill="ffffff"/>
            <w:tcW w:w="589"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尿常规（15项）</w:t>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尿胆原</w:t>
            </w:r>
            <w:r/>
          </w:p>
        </w:tc>
        <w:tc>
          <w:tcPr>
            <w:shd w:val="clear" w:color="auto" w:fill="ffffff"/>
            <w:tcW w:w="1590"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是筛查泌尿系统疾病如泌尿系统感染、肿瘤、结石等的一种简单、常用的方法。对于某些全身性病变以及身体</w:t>
            </w:r>
            <w:r>
              <w:rPr>
                <w:rFonts w:hint="eastAsia" w:ascii="宋体" w:hAnsi="宋体" w:cs="Arial"/>
                <w:sz w:val="24"/>
                <w:szCs w:val="24"/>
              </w:rPr>
              <w:t xml:space="preserve">其他脏器影响尿液改变的疾病如糖尿病、血液病、肝胆疾患等的诊断，也有很重要的参考价值。</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24</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胆红素</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25</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尿酮体</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26</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隐血</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27</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尿蛋白</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28</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亚硝酸盐</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29</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尿白细胞</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30</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尿糖</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31</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尿比重</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32</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酸碱度</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33</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维生素C</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34</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镜检白细胞</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35</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镜检红细胞</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36</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镜检管型</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37</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镜检结晶</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38</w:t>
            </w:r>
            <w:r/>
          </w:p>
        </w:tc>
        <w:tc>
          <w:tcPr>
            <w:shd w:val="clear" w:color="auto" w:fill="ffffff"/>
            <w:tcW w:w="589"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肾功4项</w:t>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血尿素氮（BUN)</w:t>
            </w:r>
            <w:r/>
          </w:p>
        </w:tc>
        <w:tc>
          <w:tcPr>
            <w:shd w:val="clear" w:color="auto" w:fill="ffffff"/>
            <w:tcW w:w="1590"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用于诊断肾功能异常，痛风，高尿酸血症等。</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39</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血肌酸酐（CR)</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40</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血清尿酸检测（UA)</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41</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尿微量白蛋白与尿肌</w:t>
            </w:r>
            <w:r>
              <w:rPr>
                <w:rFonts w:hint="eastAsia" w:ascii="宋体" w:hAnsi="宋体" w:cs="Arial"/>
                <w:sz w:val="24"/>
                <w:szCs w:val="24"/>
              </w:rPr>
              <w:t xml:space="preserve">酐</w:t>
            </w:r>
            <w:r>
              <w:rPr>
                <w:rFonts w:hint="eastAsia" w:ascii="宋体" w:hAnsi="宋体" w:cs="Arial"/>
                <w:sz w:val="24"/>
                <w:szCs w:val="24"/>
              </w:rPr>
              <w:t xml:space="preserve">比值测定</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对早期筛查及诊断各种原因引起的早期肾损伤有重要的意义，适用于糖尿病肾病，高血压受检者，心血管和肾病高风险人群及健康人群肾病早期筛查。</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42</w:t>
            </w:r>
            <w:r/>
          </w:p>
        </w:tc>
        <w:tc>
          <w:tcPr>
            <w:shd w:val="clear" w:color="auto" w:fill="ffffff"/>
            <w:tcW w:w="589"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心血管检测</w:t>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超敏C反应蛋白（</w:t>
            </w:r>
            <w:r>
              <w:rPr>
                <w:rFonts w:hint="eastAsia" w:ascii="宋体" w:hAnsi="宋体" w:cs="Arial"/>
                <w:sz w:val="24"/>
                <w:szCs w:val="24"/>
              </w:rPr>
              <w:t xml:space="preserve">hs</w:t>
            </w:r>
            <w:r>
              <w:rPr>
                <w:rFonts w:hint="eastAsia" w:ascii="宋体" w:hAnsi="宋体" w:cs="Arial"/>
                <w:sz w:val="24"/>
                <w:szCs w:val="24"/>
              </w:rPr>
              <w:t xml:space="preserve">-CRP）</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是判断组织损伤的敏感指标，也是心血管炎症病变的生物标志物。在冠心病、脑卒中、周围血管栓塞等疾病的诊断和预测中发挥重要的作用。</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43</w:t>
            </w:r>
            <w:r/>
          </w:p>
        </w:tc>
        <w:tc>
          <w:tcPr>
            <w:shd w:val="clear" w:color="auto" w:fill="ffffff"/>
            <w:tcW w:w="589"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肝功能十五项</w:t>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1.腺苷脱氨酶（ADA）</w:t>
            </w:r>
            <w:r/>
          </w:p>
        </w:tc>
        <w:tc>
          <w:tcPr>
            <w:shd w:val="clear" w:color="auto" w:fill="ffffff"/>
            <w:tcW w:w="1590"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可较全面地了解肝脏功能状况。可提示肝胆系统疾病：急性传染性肝炎，中毒性肝炎，脂肪肝，胆管炎，胆囊炎，药物中毒性肝炎，酒精性肝炎和黄疸等。</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44</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2.乳酸脱氢酶（LDH）</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45</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3.血清γ-谷氨酰基转移酶（GGT）</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46</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4.血清胆碱酯酶测定（CHE）</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47</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5.血清碱性磷酸酶（ALP）</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48</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6.血清间接胆红素（IBIL）</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49</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7.血清直接胆红素（DBIL）</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50</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8.血清总胆红素（TBIL）</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51</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9.谷草/谷丙（AST/ALT）</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52</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10.血清天冬氨酸氨基转移酶（AST）</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53</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11.血清丙氨酸氨基转移酶（ALT）</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54</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12.白蛋白/球蛋白（A/G）</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55</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13.血清球蛋白（GLB）</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56</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14.血清白蛋白（ALB）</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57</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15.血清总蛋白（TP）</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58</w:t>
            </w:r>
            <w:r/>
          </w:p>
        </w:tc>
        <w:tc>
          <w:tcPr>
            <w:shd w:val="clear" w:color="auto" w:fill="ffffff"/>
            <w:tcW w:w="589"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血粘度15项</w:t>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全血粘度切变率</w:t>
            </w:r>
            <w:r/>
          </w:p>
        </w:tc>
        <w:tc>
          <w:tcPr>
            <w:shd w:val="clear" w:color="auto" w:fill="ffffff"/>
            <w:tcW w:w="1590"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主要反映血液流动性、凝滞性和血液粘度的变化。适用于高血压、动脉硬化、脑中风、糖尿病及血脂异常等疾患的检查。</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59</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全血粘度检测5中切</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60</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全血粘度检测中切</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61</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全血粘度</w:t>
            </w:r>
            <w:r>
              <w:rPr>
                <w:rFonts w:hint="eastAsia" w:ascii="宋体" w:hAnsi="宋体" w:cs="Arial"/>
                <w:sz w:val="24"/>
                <w:szCs w:val="24"/>
              </w:rPr>
              <w:t xml:space="preserve">检测高切</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62</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血浆粘度</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63</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红细胞压积</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64</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红细胞聚集指数</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65</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红细胞变形指数</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66</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红细胞刚性指数</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67</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卡松粘度</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68</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全血低切还原</w:t>
            </w:r>
            <w:r>
              <w:rPr>
                <w:rFonts w:hint="eastAsia" w:ascii="宋体" w:hAnsi="宋体" w:cs="Arial"/>
                <w:sz w:val="24"/>
                <w:szCs w:val="24"/>
              </w:rPr>
              <w:t xml:space="preserve">粘度</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69</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全血</w:t>
            </w:r>
            <w:r>
              <w:rPr>
                <w:rFonts w:hint="eastAsia" w:ascii="宋体" w:hAnsi="宋体" w:cs="Arial"/>
                <w:sz w:val="24"/>
                <w:szCs w:val="24"/>
              </w:rPr>
              <w:t xml:space="preserve">高切相对</w:t>
            </w:r>
            <w:r>
              <w:rPr>
                <w:rFonts w:hint="eastAsia" w:ascii="宋体" w:hAnsi="宋体" w:cs="Arial"/>
                <w:sz w:val="24"/>
                <w:szCs w:val="24"/>
              </w:rPr>
              <w:t xml:space="preserve">指数</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70</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全血</w:t>
            </w:r>
            <w:r>
              <w:rPr>
                <w:rFonts w:hint="eastAsia" w:ascii="宋体" w:hAnsi="宋体" w:cs="Arial"/>
                <w:sz w:val="24"/>
                <w:szCs w:val="24"/>
              </w:rPr>
              <w:t xml:space="preserve">低切相对</w:t>
            </w:r>
            <w:r>
              <w:rPr>
                <w:rFonts w:hint="eastAsia" w:ascii="宋体" w:hAnsi="宋体" w:cs="Arial"/>
                <w:sz w:val="24"/>
                <w:szCs w:val="24"/>
              </w:rPr>
              <w:t xml:space="preserve">指数</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71</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全血高切还原</w:t>
            </w:r>
            <w:r>
              <w:rPr>
                <w:rFonts w:hint="eastAsia" w:ascii="宋体" w:hAnsi="宋体" w:cs="Arial"/>
                <w:sz w:val="24"/>
                <w:szCs w:val="24"/>
              </w:rPr>
              <w:t xml:space="preserve">粘度</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72</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红细胞沉降率</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73</w:t>
            </w:r>
            <w:r/>
          </w:p>
        </w:tc>
        <w:tc>
          <w:tcPr>
            <w:shd w:val="clear" w:color="auto" w:fill="ffffff"/>
            <w:tcW w:w="589"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 甲状腺功能五项</w:t>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游离甲状腺素（FT4）</w:t>
            </w:r>
            <w:r/>
          </w:p>
        </w:tc>
        <w:tc>
          <w:tcPr>
            <w:shd w:val="clear" w:color="auto" w:fill="ffffff"/>
            <w:tcW w:w="1590"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更全面评价甲状腺功能的指标，如甲亢、甲</w:t>
            </w:r>
            <w:r>
              <w:rPr>
                <w:rFonts w:hint="eastAsia" w:ascii="宋体" w:hAnsi="宋体" w:cs="Arial"/>
                <w:sz w:val="24"/>
                <w:szCs w:val="24"/>
              </w:rPr>
              <w:t xml:space="preserve">减或者</w:t>
            </w:r>
            <w:r>
              <w:rPr>
                <w:rFonts w:hint="eastAsia" w:ascii="宋体" w:hAnsi="宋体" w:cs="Arial"/>
                <w:sz w:val="24"/>
                <w:szCs w:val="24"/>
              </w:rPr>
              <w:t xml:space="preserve">治疗过程中指标的动态监测。</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74</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离三碘甲状腺原氨酸（FT3）</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75</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甲状腺素（T4）</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76</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三碘甲状腺原氨酸（T3）</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77</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促甲状腺激素（TSH）</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78</w:t>
            </w:r>
            <w:r/>
          </w:p>
        </w:tc>
        <w:tc>
          <w:tcPr>
            <w:shd w:val="clear" w:color="auto" w:fill="ffffff"/>
            <w:tcW w:w="589"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心肌功</w:t>
            </w:r>
            <w:r>
              <w:rPr>
                <w:rFonts w:hint="eastAsia" w:ascii="宋体" w:hAnsi="宋体" w:cs="Arial"/>
                <w:sz w:val="24"/>
                <w:szCs w:val="24"/>
              </w:rPr>
              <w:t xml:space="preserve">能</w:t>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血清肌钙蛋白I</w:t>
            </w:r>
            <w:r>
              <w:rPr>
                <w:rFonts w:hint="eastAsia" w:ascii="宋体" w:hAnsi="宋体" w:cs="Arial"/>
                <w:sz w:val="24"/>
                <w:szCs w:val="24"/>
              </w:rPr>
              <w:t xml:space="preserve">测定（</w:t>
            </w:r>
            <w:r>
              <w:rPr>
                <w:rFonts w:hint="eastAsia" w:ascii="宋体" w:hAnsi="宋体" w:cs="Arial"/>
                <w:sz w:val="24"/>
                <w:szCs w:val="24"/>
              </w:rPr>
              <w:t xml:space="preserve">cTnI</w:t>
            </w:r>
            <w:r>
              <w:rPr>
                <w:rFonts w:hint="eastAsia" w:ascii="宋体" w:hAnsi="宋体" w:cs="Arial"/>
                <w:sz w:val="24"/>
                <w:szCs w:val="24"/>
              </w:rPr>
              <w:t xml:space="preserve">）</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是心肌损伤的特异性指标，</w:t>
            </w:r>
            <w:r>
              <w:rPr>
                <w:rFonts w:hint="eastAsia" w:ascii="宋体" w:hAnsi="宋体" w:cs="Arial"/>
                <w:sz w:val="24"/>
                <w:szCs w:val="24"/>
              </w:rPr>
              <w:t xml:space="preserve">对诊断心肌梗死灵敏度高、特异性好。</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79</w:t>
            </w:r>
            <w:r/>
          </w:p>
        </w:tc>
        <w:tc>
          <w:tcPr>
            <w:shd w:val="clear" w:color="auto" w:fill="ffffff"/>
            <w:tcW w:w="589"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免疫测定</w:t>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类风湿因子测定（RF）</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是诊断类风湿关节炎的重要血清学指标之一。也可见于某些感染性疾病，如结核、感染性心内膜炎等。</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80</w:t>
            </w:r>
            <w:r/>
          </w:p>
        </w:tc>
        <w:tc>
          <w:tcPr>
            <w:shd w:val="clear" w:color="auto" w:fill="ffffff"/>
            <w:tcW w:w="589"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心肌酶谱</w:t>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磷酸肌酸激酶(CK)</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CK测定主要用于心肌梗死的诊断，对其他系统疾病的诊疗也具有一定意义</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81</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磷酸肌酸激酶同工酶(CK-MB)</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血清CK-MB测定的最重要意义在于诊断急性心肌梗塞</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82</w:t>
            </w:r>
            <w:r/>
          </w:p>
        </w:tc>
        <w:tc>
          <w:tcPr>
            <w:shd w:val="clear" w:color="auto" w:fill="ffffff"/>
            <w:tcW w:w="589"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血糖检测</w:t>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空腹血糖</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评价人体空腹状态下血糖水平是否正常，评估糖尿病受检者空腹血糖控制是否达标。空腹血糖是评估糖代谢紊乱的常用和重要指标。</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83</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糖化血红蛋白(HbA1C)</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糖化血红蛋白浓度可有效地反映过去8~12周平均血糖水平，用于筛检糖尿病、评价糖尿病血糖控制情况。</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84</w:t>
            </w:r>
            <w:r/>
          </w:p>
        </w:tc>
        <w:tc>
          <w:tcPr>
            <w:shd w:val="clear" w:color="auto" w:fill="ffffff"/>
            <w:tcW w:w="589"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血脂</w:t>
            </w:r>
            <w:r>
              <w:rPr>
                <w:rFonts w:hint="eastAsia" w:ascii="宋体" w:hAnsi="宋体" w:cs="Arial"/>
                <w:sz w:val="24"/>
                <w:szCs w:val="24"/>
              </w:rPr>
              <w:t xml:space="preserve">检测</w:t>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总胆固醇(TC)</w:t>
            </w:r>
            <w:r/>
          </w:p>
        </w:tc>
        <w:tc>
          <w:tcPr>
            <w:shd w:val="clear" w:color="auto" w:fill="ffffff"/>
            <w:tcW w:w="1590"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可筛查高脂血症、动脉粥样硬化、冠心病、严重肝脏损坏等疾病。</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85</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甘油三酯(TG)</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86</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高密度脂蛋白胆固醇(HDL-C)</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对血管有保护作用。血中含量低则易患血管硬化。</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87</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低密度脂蛋白胆固醇(LDL-C)</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越高越不好。是检测动脉粥样硬化的重要指标。</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88</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动脉硬化指数监测（AI）</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≥4异常。数值越大动脉硬化的程度越重，发生心脑血管的危险性越高。</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89</w:t>
            </w:r>
            <w:r/>
          </w:p>
        </w:tc>
        <w:tc>
          <w:tcPr>
            <w:shd w:val="clear" w:color="auto" w:fill="ffffff"/>
            <w:tcW w:w="589"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肿瘤标志（男13项，女12项）</w:t>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1.甲型胎儿蛋白（AFP）  </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原发性肝癌的诊断、疗效监测。</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90</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2.癌症胚胎抗原（CEA）  </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肺、结直肠、乳腺、胃、胰腺、胆管等肿瘤的辅助诊断及疗效的判断。</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91</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3.胰腺癌肿瘤筛检（CA199）   </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胰腺癌、胆道恶性肿瘤的诊断及胃肠道、甲状腺肿瘤的诊断和疗效监测。</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92</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4.神经元特异性烯醇化酶（NSE）</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小细胞肺癌重要标志物之一，可用于鉴别诊断，监测小细胞肺癌。</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93</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5.多种肿瘤标记筛查(CA50)</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胰腺、肝、卵巢、肺等多种肿瘤的诊断和疗效监测。</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94</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6.乳腺癌肿瘤筛检（CA153）</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乳腺癌、转移性乳腺癌的诊断及疗效监测。还可以辅助诊断肝癌、卵巢癌、胰腺</w:t>
            </w:r>
            <w:r>
              <w:rPr>
                <w:rFonts w:hint="eastAsia" w:ascii="宋体" w:hAnsi="宋体" w:cs="Arial"/>
                <w:sz w:val="24"/>
                <w:szCs w:val="24"/>
              </w:rPr>
              <w:t xml:space="preserve">癌、肺癌等。</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95</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7.前列腺特异性抗原（TPSA）（男性项目）</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用于检测前列腺疾病、前列腺癌的诊断及疗效监测</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96</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8.游离前列腺特异性抗原（F-PSA）（男性项目）</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前列腺疾病、前列腺癌的辅助诊断及疗效监测</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97</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9.游离前列腺特异性抗原与前列腺特异性抗原的比值（f-PSA/t-PSA）</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评估患者患有前列腺癌风险</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98</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10.卵巢癌肿瘤筛检（CA125）（女性项目）</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卵巢、子宫内膜癌的诊断和疗效监测。</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99</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11.人绒毛膜促性腺激素（β-HCG）（女性项目）</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用于绒癌、恶性葡萄胎等肿瘤的筛查</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100</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12.胃癌肿瘤抗原（CA724）</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胃癌首选的肿瘤标志物筛查，与CEA联合检测，可以提高判断胃癌的敏感性和特异性。</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101</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13.血清糖类抗原测定(CA242)</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直结肠癌的肿瘤标志物。</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102</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14.血清铁蛋白测定（SF）</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在临床上常用于缺铁性贫血及恶性血液系统疾病，如白血病、淋巴瘤、多发性骨髓瘤</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103</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15.鳞状上皮细胞癌抗原 SCC</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主要针对肺鳞癌、头颈部癌、 皮肤癌的检测</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104</w:t>
            </w:r>
            <w:r/>
          </w:p>
        </w:tc>
        <w:tc>
          <w:tcPr>
            <w:shd w:val="clear" w:color="auto" w:fill="ffffff"/>
            <w:tcW w:w="589"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胃功能检查</w:t>
            </w:r>
            <w:r>
              <w:rPr>
                <w:rFonts w:hint="eastAsia" w:ascii="宋体" w:hAnsi="宋体" w:cs="Arial"/>
                <w:sz w:val="24"/>
                <w:szCs w:val="24"/>
              </w:rPr>
              <w:br/>
              <w:t xml:space="preserve">（胃癌早筛）</w:t>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幽门螺杆</w:t>
            </w:r>
            <w:r>
              <w:rPr>
                <w:rFonts w:hint="eastAsia" w:ascii="宋体" w:hAnsi="宋体" w:cs="Arial"/>
                <w:sz w:val="24"/>
                <w:szCs w:val="24"/>
              </w:rPr>
              <w:t xml:space="preserve">菌</w:t>
            </w:r>
            <w:r>
              <w:rPr>
                <w:rFonts w:hint="eastAsia" w:ascii="宋体" w:hAnsi="宋体" w:cs="Arial"/>
                <w:sz w:val="24"/>
                <w:szCs w:val="24"/>
              </w:rPr>
              <w:t xml:space="preserve">检测（C13呼气试验）</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呼气试验阳性示胃幽门螺杆</w:t>
            </w:r>
            <w:r>
              <w:rPr>
                <w:rFonts w:hint="eastAsia" w:ascii="宋体" w:hAnsi="宋体" w:cs="Arial"/>
                <w:sz w:val="24"/>
                <w:szCs w:val="24"/>
              </w:rPr>
              <w:t xml:space="preserve">菌</w:t>
            </w:r>
            <w:r>
              <w:rPr>
                <w:rFonts w:hint="eastAsia" w:ascii="宋体" w:hAnsi="宋体" w:cs="Arial"/>
                <w:sz w:val="24"/>
                <w:szCs w:val="24"/>
              </w:rPr>
              <w:t xml:space="preserve">感染情况，它与胃部炎症、消化性溃疡、胃癌的发生密切关联。该方法具有无痛、快速、准确的特点。</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105</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胃蛋白酶原PG-Ⅰ</w:t>
            </w:r>
            <w:r/>
          </w:p>
        </w:tc>
        <w:tc>
          <w:tcPr>
            <w:shd w:val="clear" w:color="auto" w:fill="ffffff"/>
            <w:tcW w:w="1590"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主要针对慢性胃炎、溃疡病、幽门螺杆</w:t>
            </w:r>
            <w:r>
              <w:rPr>
                <w:rFonts w:hint="eastAsia" w:ascii="宋体" w:hAnsi="宋体" w:cs="Arial"/>
                <w:sz w:val="24"/>
                <w:szCs w:val="24"/>
              </w:rPr>
              <w:t xml:space="preserve">菌</w:t>
            </w:r>
            <w:r>
              <w:rPr>
                <w:rFonts w:hint="eastAsia" w:ascii="宋体" w:hAnsi="宋体" w:cs="Arial"/>
                <w:sz w:val="24"/>
                <w:szCs w:val="24"/>
              </w:rPr>
              <w:t xml:space="preserve">感染的检测</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106</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胃蛋白酶原PG-Ⅱ</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107</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PGⅠ/ PGⅡ比值测定</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用于胃癌、胃溃疡、萎缩性胃炎的初筛</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序号</w:t>
            </w:r>
            <w:r/>
          </w:p>
        </w:tc>
        <w:tc>
          <w:tcPr>
            <w:gridSpan w:val="6"/>
            <w:shd w:val="clear" w:color="auto" w:fill="ffffff"/>
            <w:tcW w:w="464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器材检查项目</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w:t>
            </w:r>
            <w:r/>
          </w:p>
        </w:tc>
        <w:tc>
          <w:tcPr>
            <w:shd w:val="clear" w:color="auto" w:fill="ffffff"/>
            <w:tcW w:w="589"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彩超检查</w:t>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肝部彩超</w:t>
            </w:r>
            <w:r/>
          </w:p>
        </w:tc>
        <w:tc>
          <w:tcPr>
            <w:shd w:val="clear" w:color="auto" w:fill="ffffff"/>
            <w:tcW w:w="1590"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通过彩色超声仪器对人体肝脏、胆囊、脾脏、胰脏、双</w:t>
            </w:r>
            <w:r>
              <w:rPr>
                <w:rFonts w:hint="eastAsia" w:ascii="宋体" w:hAnsi="宋体" w:cs="Arial"/>
                <w:sz w:val="24"/>
                <w:szCs w:val="24"/>
              </w:rPr>
              <w:t xml:space="preserve">肾进行检测,是否有无形态学改变及占位性病变（肿瘤，结石，炎症等）。</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胆囊彩超</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脾脏彩超</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胰脏彩超</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双肾彩超</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甲状腺彩超</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通过彩色超声仪器对人体甲状腺进行检测,是否有无形态学改变及占位性病变（肿大、结节、腺瘤及肿瘤等）。</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男科前列腺超声波检查（男）        </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通过彩色超声波仪器检测前列腺有无肿块及其他病变。</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乳房超声检查（女）         </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通过彩色超声波仪器检测乳腺有无肿块及其他病变。</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妇科腹部超声检查（女未婚）</w:t>
            </w:r>
            <w:r/>
          </w:p>
        </w:tc>
        <w:tc>
          <w:tcPr>
            <w:shd w:val="clear" w:color="auto" w:fill="ffffff"/>
            <w:tcW w:w="1590"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通过彩色超声波仪器检测子宫及附件有无病变。</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妇科阴道超声检查（女已婚）</w:t>
            </w:r>
            <w:r/>
          </w:p>
        </w:tc>
        <w:tc>
          <w:tcPr>
            <w:shd w:val="clear" w:color="auto" w:fill="ffffff"/>
            <w:tcW w:w="1590"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11</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颈动脉彩超</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彩色超声仪器采用无创性检查方法，检测颈动脉结构和动脉粥样硬化斑形态、范围、性质、动脉狭窄程度等；早期发现动脉血管病变，为有效预防和减少冠心病、缺血性脑血管病等心脑血管疾病发病提供客观的血流动力学依据。</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12</w:t>
            </w:r>
            <w:r/>
          </w:p>
        </w:tc>
        <w:tc>
          <w:tcPr>
            <w:shd w:val="clear" w:color="auto" w:fill="ffffff"/>
            <w:tcW w:w="589"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　</w:t>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腋下淋巴彩超</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了解腋下淋巴结是否有异常,可以观察大小、结构以及血流的一种常规检查方法。</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13</w:t>
            </w:r>
            <w:r/>
          </w:p>
        </w:tc>
        <w:tc>
          <w:tcPr>
            <w:shd w:val="clear" w:color="auto" w:fill="ffffff"/>
            <w:tcW w:w="589"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低剂量螺旋CT （不出片）</w:t>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肺部（低剂量）</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低剂量螺旋CT(简称LDCT)扫描方案是通过优化扫描参数，改变管电流、管电压和螺距等来降低辐射剂量，胸部扫描辐射剂量仅为常规CT的20％左右。低剂量螺旋CT对肺部筛查有助于发现早期肺癌，特别是周围型肺癌，其诊出率约为胸片的10倍。因其较少的辐射剂量，有效的降低了医源性辐射引起的恶性病变的风险。</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14</w:t>
            </w:r>
            <w:r/>
          </w:p>
        </w:tc>
        <w:tc>
          <w:tcPr>
            <w:shd w:val="clear" w:color="auto" w:fill="ffffff"/>
            <w:tcW w:w="589"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磁共振扫描（MRI）</w:t>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头颅MRI</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对常见的颅脑血管疾病、颅内肿瘤等进行初步筛查，头颅MRI检查一般无颅骨伪影，脑</w:t>
            </w:r>
            <w:r>
              <w:rPr>
                <w:rFonts w:hint="eastAsia" w:ascii="宋体" w:hAnsi="宋体" w:cs="Arial"/>
                <w:sz w:val="24"/>
                <w:szCs w:val="24"/>
              </w:rPr>
              <w:t xml:space="preserve">灰白质</w:t>
            </w:r>
            <w:r>
              <w:rPr>
                <w:rFonts w:hint="eastAsia" w:ascii="宋体" w:hAnsi="宋体" w:cs="Arial"/>
                <w:sz w:val="24"/>
                <w:szCs w:val="24"/>
              </w:rPr>
              <w:t xml:space="preserve">信号对比度高，使得头颅MRI检查优于</w:t>
            </w:r>
            <w:r>
              <w:rPr>
                <w:rFonts w:hint="eastAsia" w:ascii="宋体" w:hAnsi="宋体" w:cs="Arial"/>
                <w:sz w:val="24"/>
                <w:szCs w:val="24"/>
              </w:rPr>
              <w:t xml:space="preserve">CT。</w:t>
            </w:r>
            <w:r/>
          </w:p>
        </w:tc>
        <w:tc>
          <w:tcPr>
            <w:shd w:val="clear" w:color="auto" w:fill="ffffff"/>
            <w:tcW w:w="481"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二选</w:t>
            </w:r>
            <w:r>
              <w:rPr>
                <w:rFonts w:hint="eastAsia" w:ascii="宋体" w:hAnsi="宋体" w:cs="Arial"/>
                <w:sz w:val="24"/>
                <w:szCs w:val="24"/>
              </w:rPr>
              <w:t xml:space="preserve">一</w:t>
            </w:r>
            <w:r/>
          </w:p>
        </w:tc>
        <w:tc>
          <w:tcPr>
            <w:shd w:val="clear" w:color="auto" w:fill="ffffff"/>
            <w:tcW w:w="481"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二选</w:t>
            </w:r>
            <w:r>
              <w:rPr>
                <w:rFonts w:hint="eastAsia" w:ascii="宋体" w:hAnsi="宋体" w:cs="Arial"/>
                <w:sz w:val="24"/>
                <w:szCs w:val="24"/>
              </w:rPr>
              <w:t xml:space="preserve">一</w:t>
            </w:r>
            <w:r/>
          </w:p>
        </w:tc>
        <w:tc>
          <w:tcPr>
            <w:shd w:val="clear" w:color="auto" w:fill="ffffff"/>
            <w:tcW w:w="484"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二选</w:t>
            </w:r>
            <w:r>
              <w:rPr>
                <w:rFonts w:hint="eastAsia" w:ascii="宋体" w:hAnsi="宋体" w:cs="Arial"/>
                <w:sz w:val="24"/>
                <w:szCs w:val="24"/>
              </w:rPr>
              <w:t xml:space="preserve">一</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15</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下腹部MRI</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检查部位包括肠、子宫、卵巢、前列腺等，是男女生殖系统疾病主要影像学检查技术，是盆腔肿瘤、炎症、子宫内膜异位症、转移癌等病变的最佳影像学检查手段，对前列腺癌和膀胱癌向外侵犯情况优于CT。</w:t>
            </w:r>
            <w:r/>
          </w:p>
        </w:tc>
        <w:tc>
          <w:tcPr>
            <w:shd w:val="clear" w:color="auto" w:fill="ffffff"/>
            <w:tcW w:w="481"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1"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484"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16</w:t>
            </w:r>
            <w:r/>
          </w:p>
        </w:tc>
        <w:tc>
          <w:tcPr>
            <w:shd w:val="clear" w:color="auto" w:fill="ffffff"/>
            <w:tcW w:w="589"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心电图</w:t>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心电图</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通过在体表特定部位同步记录和分析心脏每一个心动周期所产生电活动变化的曲线图形，为心脏疾病诊断、疗效评价、预后评估提供重要的依据。</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17</w:t>
            </w:r>
            <w:r/>
          </w:p>
        </w:tc>
        <w:tc>
          <w:tcPr>
            <w:shd w:val="clear" w:color="auto" w:fill="ffffff"/>
            <w:tcW w:w="589"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亚健康分析</w:t>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人体成分分析</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测量人体成分：体脂肪、肌肉、水分、矿物质、体重、BMI（身体质量指数）、非脂肪量等各项健康指数,有效指示客人的身体健康状况。</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18</w:t>
            </w:r>
            <w:r/>
          </w:p>
        </w:tc>
        <w:tc>
          <w:tcPr>
            <w:shd w:val="clear" w:color="auto" w:fill="ffffff"/>
            <w:tcW w:w="589"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骨密度</w:t>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骨密度检测（经脚踝）</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通过骨密度仪检查骨质密度，早期发现骨量减少及估计骨质疏松的程度，及时进行有效防治。</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19</w:t>
            </w:r>
            <w:r/>
          </w:p>
        </w:tc>
        <w:tc>
          <w:tcPr>
            <w:shd w:val="clear" w:color="auto" w:fill="ffffff"/>
            <w:tcW w:w="589"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VBP-9动脉硬化检测</w:t>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动脉硬化</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为临床动脉硬化、动脉炎、血管闭塞和糖尿病足等提供可靠检查方法，也可辅助检查周身血管中的血栓情况。</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序号</w:t>
            </w:r>
            <w:r/>
          </w:p>
        </w:tc>
        <w:tc>
          <w:tcPr>
            <w:gridSpan w:val="6"/>
            <w:shd w:val="clear" w:color="auto" w:fill="ffffff"/>
            <w:tcW w:w="464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已婚女性附加项目</w:t>
            </w:r>
            <w:r/>
          </w:p>
        </w:tc>
      </w:tr>
      <w:tr>
        <w:trPr>
          <w:trHeight w:val="20"/>
        </w:trPr>
        <w:tc>
          <w:tcPr>
            <w:shd w:val="clear" w:color="auto" w:fill="ffffff"/>
            <w:tcW w:w="35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w:t>
            </w:r>
            <w:r/>
          </w:p>
        </w:tc>
        <w:tc>
          <w:tcPr>
            <w:shd w:val="clear" w:color="auto" w:fill="ffffff"/>
            <w:tcW w:w="589"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妇科检查</w:t>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妇科内诊</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通过妇科体格检查，检查阴道、子宫、附件、盆腔等脏器基本情况，发现常见妇科疾病的相关征兆，或初步排除妇科常见疾病。</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白带常规</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白带常规检查能够快速、方便、高效的反映阴道酸碱度、清洁度以及有无感染等的情况，因而是妇科体检中简便易行的常规项目之一。</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宫颈抹片检查（</w:t>
            </w:r>
            <w:r>
              <w:rPr>
                <w:rFonts w:hint="eastAsia" w:ascii="宋体" w:hAnsi="宋体" w:cs="Arial"/>
                <w:sz w:val="24"/>
                <w:szCs w:val="24"/>
              </w:rPr>
              <w:t xml:space="preserve">液基超薄</w:t>
            </w:r>
            <w:r>
              <w:rPr>
                <w:rFonts w:hint="eastAsia" w:ascii="宋体" w:hAnsi="宋体" w:cs="Arial"/>
                <w:sz w:val="24"/>
                <w:szCs w:val="24"/>
              </w:rPr>
              <w:t xml:space="preserve">细胞检测,TCT）</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筛查宫颈早期病变较先进的检测方法，同时还能发现部分癌前病变，微生物感染如假丝酵母菌、滴虫、病毒、衣原体、人乳头瘤病毒等。比普通宫颈刮片更准确、更</w:t>
            </w:r>
            <w:r>
              <w:rPr>
                <w:rFonts w:hint="eastAsia" w:ascii="宋体" w:hAnsi="宋体" w:cs="Arial"/>
                <w:sz w:val="24"/>
                <w:szCs w:val="24"/>
              </w:rPr>
              <w:t xml:space="preserve">及时有效.</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4</w:t>
            </w:r>
            <w:r/>
          </w:p>
        </w:tc>
        <w:tc>
          <w:tcPr>
            <w:shd w:val="clear" w:color="auto" w:fill="ffffff"/>
            <w:tcW w:w="589"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肿瘤标记</w:t>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人乳头瘤病毒（HPV16/18）定性</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16型和18型高危型人乳头瘤病毒感染的辅助诊断，发现宫颈癌的高危人群。</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人附睾蛋白4（HE4）检测</w:t>
            </w:r>
            <w:r/>
          </w:p>
        </w:tc>
        <w:tc>
          <w:tcPr>
            <w:shd w:val="clear" w:color="auto" w:fill="ffffff"/>
            <w:tcW w:w="159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HE4在卵巢上皮性肿瘤筛查中有重要意义,与CA125（套餐内含）二者联合检测对卵巢癌的检出有较高的敏感度。</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gridSpan w:val="7"/>
            <w:shd w:val="clear" w:color="auto" w:fill="ffffff"/>
            <w:tcW w:w="500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项目注释：女已婚HPV检测：(1)HPV有200多种分型，其中16/18型与宫颈</w:t>
            </w:r>
            <w:r>
              <w:rPr>
                <w:rFonts w:hint="eastAsia" w:ascii="宋体" w:hAnsi="宋体" w:cs="Arial"/>
                <w:sz w:val="24"/>
                <w:szCs w:val="24"/>
              </w:rPr>
              <w:t xml:space="preserve">癌关系</w:t>
            </w:r>
            <w:r>
              <w:rPr>
                <w:rFonts w:hint="eastAsia" w:ascii="宋体" w:hAnsi="宋体" w:cs="Arial"/>
                <w:sz w:val="24"/>
                <w:szCs w:val="24"/>
              </w:rPr>
              <w:t xml:space="preserve">最为密切，筛查16/18即可识别大部分宫颈癌风险，16/18用于定性检测是专家共识，能在有限的医疗资源下，实现宫颈癌高效预防；(2)HPV感染非常普遍，全球大约有80%的女性查出HPV阳性，其中大部分可以自限性地消除，只有1%左右会进展成为子宫颈癌。检测所有型别并不能显著提高对宫颈癌的筛查效率和准确性；(3)HPV全套检测可能会导致过度医疗，一些</w:t>
            </w:r>
            <w:r>
              <w:rPr>
                <w:rFonts w:hint="eastAsia" w:ascii="宋体" w:hAnsi="宋体" w:cs="Arial"/>
                <w:sz w:val="24"/>
                <w:szCs w:val="24"/>
              </w:rPr>
              <w:t xml:space="preserve">低危型</w:t>
            </w:r>
            <w:r>
              <w:rPr>
                <w:rFonts w:hint="eastAsia" w:ascii="宋体" w:hAnsi="宋体" w:cs="Arial"/>
                <w:sz w:val="24"/>
                <w:szCs w:val="24"/>
              </w:rPr>
              <w:t xml:space="preserve">HPV感染大多可自愈，但检测出后可能会引发不必要的治疗，如过度使用抗病毒药物，进行不必要的阴道镜检查等，这不仅增加了患者的痛苦和经济负担，还可能对患者的生殖健康造成潜在风险；(4)HPV检测结果可能会给患者带来心理压力。如果检测出HPV阳性，即使是一过性感染，患者也可能会过度担心和焦虑，影响日常生活和工作。而HPV全套检测可能会增加阳性结果的概率，进一步加重患者的焦虑情绪；(5)HPV病毒有多种亚型，其中</w:t>
            </w:r>
            <w:r>
              <w:rPr>
                <w:rFonts w:hint="eastAsia" w:ascii="宋体" w:hAnsi="宋体" w:cs="Arial"/>
                <w:sz w:val="24"/>
                <w:szCs w:val="24"/>
              </w:rPr>
              <w:t xml:space="preserve">低危型</w:t>
            </w:r>
            <w:r>
              <w:rPr>
                <w:rFonts w:hint="eastAsia" w:ascii="宋体" w:hAnsi="宋体" w:cs="Arial"/>
                <w:sz w:val="24"/>
                <w:szCs w:val="24"/>
              </w:rPr>
              <w:t xml:space="preserve">HPV一般与尖锐湿疣或低级别鳞状上皮内病变相关，但无法起到宫颈癌筛查作用。高危型分型检测更精准：宫颈癌最主要的致病因素是HPV的感染，在85%左右宫颈癌中可检测出高危型HPV，而在众多高危型中，HPV16及18型是全世界范围内宫颈</w:t>
            </w:r>
            <w:r>
              <w:rPr>
                <w:rFonts w:hint="eastAsia" w:ascii="宋体" w:hAnsi="宋体" w:cs="Arial"/>
                <w:sz w:val="24"/>
                <w:szCs w:val="24"/>
              </w:rPr>
              <w:t xml:space="preserve">癌感染</w:t>
            </w:r>
            <w:r>
              <w:rPr>
                <w:rFonts w:hint="eastAsia" w:ascii="宋体" w:hAnsi="宋体" w:cs="Arial"/>
                <w:sz w:val="24"/>
                <w:szCs w:val="24"/>
              </w:rPr>
              <w:t xml:space="preserve">的最主要类型。</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序号</w:t>
            </w:r>
            <w:r/>
          </w:p>
        </w:tc>
        <w:tc>
          <w:tcPr>
            <w:gridSpan w:val="6"/>
            <w:shd w:val="clear" w:color="auto" w:fill="ffffff"/>
            <w:tcW w:w="464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其他附加项目</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w:t>
            </w:r>
            <w:r/>
          </w:p>
        </w:tc>
        <w:tc>
          <w:tcPr>
            <w:gridSpan w:val="3"/>
            <w:shd w:val="clear" w:color="auto" w:fill="ffffff"/>
            <w:tcW w:w="320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健康餐营养早餐</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w:t>
            </w:r>
            <w:r/>
          </w:p>
        </w:tc>
        <w:tc>
          <w:tcPr>
            <w:gridSpan w:val="3"/>
            <w:shd w:val="clear" w:color="auto" w:fill="ffffff"/>
            <w:tcW w:w="320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个人健康电子档案/建立终身的健康电子档案</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bl>
    <w:p>
      <w:pPr>
        <w:ind w:firstLine="482"/>
        <w:spacing w:line="360" w:lineRule="auto"/>
        <w:widowControl/>
        <w:rPr>
          <w:rFonts w:hint="eastAsia" w:ascii="宋体" w:hAnsi="宋体"/>
          <w:b/>
          <w:sz w:val="24"/>
        </w:rPr>
        <w:outlineLvl w:val="0"/>
      </w:pPr>
      <w:r>
        <w:rPr>
          <w:rFonts w:hint="eastAsia" w:ascii="宋体" w:hAnsi="宋体" w:cs="宋体"/>
          <w:b/>
          <w:bCs/>
          <w:sz w:val="24"/>
        </w:rPr>
        <w:t xml:space="preserve">（2）套餐二</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Look w:val="04A0" w:firstRow="1" w:lastRow="0" w:firstColumn="1" w:lastColumn="0" w:noHBand="0" w:noVBand="1"/>
      </w:tblPr>
      <w:tblGrid>
        <w:gridCol w:w="705"/>
        <w:gridCol w:w="1174"/>
        <w:gridCol w:w="2176"/>
        <w:gridCol w:w="3521"/>
        <w:gridCol w:w="466"/>
        <w:gridCol w:w="958"/>
        <w:gridCol w:w="962"/>
      </w:tblGrid>
      <w:tr>
        <w:trPr>
          <w:trHeight w:val="720"/>
        </w:trPr>
        <w:tc>
          <w:tcPr>
            <w:gridSpan w:val="7"/>
            <w:shd w:val="clear" w:color="auto" w:fill="ffffff"/>
            <w:tcW w:w="5000"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    2026年新区实小在职教师体检套餐 2（胃肠道风险筛查）</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　</w:t>
            </w:r>
            <w:r/>
          </w:p>
        </w:tc>
        <w:tc>
          <w:tcPr>
            <w:shd w:val="clear" w:color="auto" w:fill="ffffff"/>
            <w:tcW w:w="589"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项目</w:t>
            </w:r>
            <w:r/>
          </w:p>
        </w:tc>
        <w:tc>
          <w:tcPr>
            <w:shd w:val="clear" w:color="auto" w:fill="ffffff"/>
            <w:tcW w:w="1092"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指标</w:t>
            </w:r>
            <w:r/>
          </w:p>
        </w:tc>
        <w:tc>
          <w:tcPr>
            <w:shd w:val="clear" w:color="auto" w:fill="ffffff"/>
            <w:tcW w:w="176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  </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男</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未婚女</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已婚女</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序号</w:t>
            </w:r>
            <w:r/>
          </w:p>
        </w:tc>
        <w:tc>
          <w:tcPr>
            <w:gridSpan w:val="6"/>
            <w:shd w:val="clear" w:color="auto" w:fill="ffffff"/>
            <w:tcW w:w="464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临床检查项目</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w:t>
            </w:r>
            <w:r/>
          </w:p>
        </w:tc>
        <w:tc>
          <w:tcPr>
            <w:shd w:val="clear" w:color="auto" w:fill="ffffff"/>
            <w:tcW w:w="589"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一般检查A</w:t>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身高</w:t>
            </w:r>
            <w:r/>
          </w:p>
        </w:tc>
        <w:tc>
          <w:tcPr>
            <w:shd w:val="clear" w:color="auto" w:fill="ffffff"/>
            <w:tcW w:w="1766"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通过仪器测量人体身高、体重及血压，科学判断体重是否标准、血压是否正常，并且为相关科室的诊断提供重要的依据。</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体重</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体重指数BMI</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血压</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w:t>
            </w:r>
            <w:r/>
          </w:p>
        </w:tc>
        <w:tc>
          <w:tcPr>
            <w:shd w:val="clear" w:color="auto" w:fill="ffffff"/>
            <w:tcW w:w="589"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外科检查A      </w:t>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皮肤</w:t>
            </w:r>
            <w:r/>
          </w:p>
        </w:tc>
        <w:tc>
          <w:tcPr>
            <w:shd w:val="clear" w:color="auto" w:fill="ffffff"/>
            <w:tcW w:w="1766"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通过体格检查，检查皮肤,浅表淋巴结,甲状腺,脊柱,四肢关节，乳房等脏器基本情况，发现常见外科疾病的相关征兆，或初步排除外科常见疾病。</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浅表淋巴结</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甲状腺</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脊柱</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四肢关节</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乳房</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11</w:t>
            </w:r>
            <w:r/>
          </w:p>
        </w:tc>
        <w:tc>
          <w:tcPr>
            <w:shd w:val="clear" w:color="auto" w:fill="ffffff"/>
            <w:tcW w:w="589"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内科检查A</w:t>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营养</w:t>
            </w:r>
            <w:r/>
          </w:p>
        </w:tc>
        <w:tc>
          <w:tcPr>
            <w:shd w:val="clear" w:color="auto" w:fill="ffffff"/>
            <w:tcW w:w="1766"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通过体格检查，检查心、肺、腹部等器官及部位的基本状况,发现常见疾病的相关征兆或初步排除常见疾病。</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12</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面容</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13</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心脏</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14</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胸廓</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15</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肺部</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16</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腹部</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17</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肝脏</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18</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脾脏</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19</w:t>
            </w:r>
            <w:r/>
          </w:p>
        </w:tc>
        <w:tc>
          <w:tcPr>
            <w:shd w:val="clear" w:color="auto" w:fill="ffffff"/>
            <w:tcW w:w="589"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眼科检查</w:t>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视力</w:t>
            </w:r>
            <w:r/>
          </w:p>
        </w:tc>
        <w:tc>
          <w:tcPr>
            <w:shd w:val="clear" w:color="auto" w:fill="ffffff"/>
            <w:tcW w:w="1766"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了解视力状况,检查眼睑、泪囊、结膜、眼球是否存在异常情况.通过眼底镜检查眼底视网膜、视神经乳头和视网膜中央血管等有无异常情况。通过裂隙灯检查巩膜、虹膜、角膜、瞳孔、玻璃体等有无异常情况。</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20</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外眼</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21</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眼底镜</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2"/>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22</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裂隙灯检查</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4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23</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眼压检查</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青光眼等眼压异常疾病筛查。</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24</w:t>
            </w:r>
            <w:r/>
          </w:p>
        </w:tc>
        <w:tc>
          <w:tcPr>
            <w:shd w:val="clear" w:color="auto" w:fill="ffffff"/>
            <w:tcW w:w="589"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口腔科检查</w:t>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牙体</w:t>
            </w:r>
            <w:r/>
          </w:p>
        </w:tc>
        <w:tc>
          <w:tcPr>
            <w:shd w:val="clear" w:color="auto" w:fill="ffffff"/>
            <w:tcW w:w="1766"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主要检查有无牙周病、牙结石、龋齿、缺牙等口腔疾病。</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25</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牙周</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26</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口腔粘膜</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27</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颌</w:t>
            </w:r>
            <w:r>
              <w:rPr>
                <w:rFonts w:hint="eastAsia" w:ascii="宋体" w:hAnsi="宋体" w:cs="Arial"/>
                <w:sz w:val="24"/>
                <w:szCs w:val="24"/>
              </w:rPr>
              <w:t xml:space="preserve">面部</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28</w:t>
            </w:r>
            <w:r/>
          </w:p>
        </w:tc>
        <w:tc>
          <w:tcPr>
            <w:shd w:val="clear" w:color="auto" w:fill="ffffff"/>
            <w:tcW w:w="589"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耳鼻</w:t>
            </w:r>
            <w:r>
              <w:rPr>
                <w:rFonts w:hint="eastAsia" w:ascii="宋体" w:hAnsi="宋体" w:cs="Arial"/>
                <w:sz w:val="24"/>
                <w:szCs w:val="24"/>
              </w:rPr>
              <w:t xml:space="preserve">喉</w:t>
            </w:r>
            <w:r>
              <w:rPr>
                <w:rFonts w:hint="eastAsia" w:ascii="宋体" w:hAnsi="宋体" w:cs="Arial"/>
                <w:sz w:val="24"/>
                <w:szCs w:val="24"/>
              </w:rPr>
              <w:t xml:space="preserve">检查</w:t>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鼻咽</w:t>
            </w:r>
            <w:r/>
          </w:p>
        </w:tc>
        <w:tc>
          <w:tcPr>
            <w:shd w:val="clear" w:color="auto" w:fill="ffffff"/>
            <w:tcW w:w="1766"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通过对耳、鼻、咽、扁桃体的常规检查，初步筛查相关常见疾病。</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29</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耳</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30</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喉</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序号</w:t>
            </w:r>
            <w:r/>
          </w:p>
        </w:tc>
        <w:tc>
          <w:tcPr>
            <w:gridSpan w:val="6"/>
            <w:shd w:val="clear" w:color="auto" w:fill="ffffff"/>
            <w:tcW w:w="464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实验室检查项目</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w:t>
            </w:r>
            <w:r/>
          </w:p>
        </w:tc>
        <w:tc>
          <w:tcPr>
            <w:shd w:val="clear" w:color="auto" w:fill="ffffff"/>
            <w:tcW w:w="589"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血液常规（22项，五分类）</w:t>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白细胞</w:t>
            </w:r>
            <w:r/>
          </w:p>
        </w:tc>
        <w:tc>
          <w:tcPr>
            <w:shd w:val="clear" w:color="auto" w:fill="ffffff"/>
            <w:tcW w:w="1766"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通过血液常规检测，检查白细胞、红细胞、血色素、血小板等指标来反映身体状况，如：贫血、感染、血液系统疾病、物理化学因素损伤等。</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中性细胞百分比</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淋巴细胞百分比</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中间细胞百分比</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嗜酸性粒细胞百分比</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嗜碱性粒细胞百分比</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中性粒细胞数</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淋巴细胞数</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中间细胞计数</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嗜酸性粒细胞</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11</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嗜碱性粒细胞</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12</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红细胞</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13</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血红蛋白</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14</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红细胞压积</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15</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平均红细胞体积</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16</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平均血红蛋白量</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17</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平均血红蛋白浓度</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18</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红细胞分布宽度</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19</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血小板</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20</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血小板平均体机</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21</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血小板分布宽度</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22</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血小板容积</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23</w:t>
            </w:r>
            <w:r/>
          </w:p>
        </w:tc>
        <w:tc>
          <w:tcPr>
            <w:shd w:val="clear" w:color="auto" w:fill="ffffff"/>
            <w:tcW w:w="589"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尿常规（15项）</w:t>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尿胆原</w:t>
            </w:r>
            <w:r/>
          </w:p>
        </w:tc>
        <w:tc>
          <w:tcPr>
            <w:shd w:val="clear" w:color="auto" w:fill="ffffff"/>
            <w:tcW w:w="1766"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是筛查泌尿系统疾病如泌尿系统感染、肿瘤、结石等的一种简单、常用的方法。对于某些全身性病变以及身体其他脏器影响尿液改变的疾病如糖尿病、血液病、肝胆疾患等的诊断，也有很重要的参考价值。</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24</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胆红素</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25</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尿酮体</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26</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隐血</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27</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尿蛋白</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28</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亚硝酸盐</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29</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尿白细胞</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30</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尿糖</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31</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尿比重</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32</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酸碱度</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33</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维生素C</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34</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镜检白细胞</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35</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镜检红细胞</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36</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镜检管型</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37</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镜检结晶</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38</w:t>
            </w:r>
            <w:r/>
          </w:p>
        </w:tc>
        <w:tc>
          <w:tcPr>
            <w:shd w:val="clear" w:color="auto" w:fill="ffffff"/>
            <w:tcW w:w="589"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肾功4项</w:t>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血尿素氮（BUN)</w:t>
            </w:r>
            <w:r/>
          </w:p>
        </w:tc>
        <w:tc>
          <w:tcPr>
            <w:shd w:val="clear" w:color="auto" w:fill="ffffff"/>
            <w:tcW w:w="1766"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用于诊断肾功能异常，痛风，高尿酸血症等。</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39</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血肌酸酐（CR)</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40</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血清尿酸检测（UA)</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96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41</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尿微量白蛋白与尿肌</w:t>
            </w:r>
            <w:r>
              <w:rPr>
                <w:rFonts w:hint="eastAsia" w:ascii="宋体" w:hAnsi="宋体" w:cs="Arial"/>
                <w:sz w:val="24"/>
                <w:szCs w:val="24"/>
              </w:rPr>
              <w:t xml:space="preserve">酐</w:t>
            </w:r>
            <w:r>
              <w:rPr>
                <w:rFonts w:hint="eastAsia" w:ascii="宋体" w:hAnsi="宋体" w:cs="Arial"/>
                <w:sz w:val="24"/>
                <w:szCs w:val="24"/>
              </w:rPr>
              <w:t xml:space="preserve">比值测定</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对早期筛查及诊断各种原因引起的早期肾损伤有重要的意义，适用于糖尿病肾病，高血压受检者，心血管和肾病高风险人群及健康人群肾病早期筛查。</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85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42</w:t>
            </w:r>
            <w:r/>
          </w:p>
        </w:tc>
        <w:tc>
          <w:tcPr>
            <w:shd w:val="clear" w:color="auto" w:fill="ffffff"/>
            <w:tcW w:w="589"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心血管检测</w:t>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超敏C反应蛋白（</w:t>
            </w:r>
            <w:r>
              <w:rPr>
                <w:rFonts w:hint="eastAsia" w:ascii="宋体" w:hAnsi="宋体" w:cs="Arial"/>
                <w:sz w:val="24"/>
                <w:szCs w:val="24"/>
              </w:rPr>
              <w:t xml:space="preserve">hs</w:t>
            </w:r>
            <w:r>
              <w:rPr>
                <w:rFonts w:hint="eastAsia" w:ascii="宋体" w:hAnsi="宋体" w:cs="Arial"/>
                <w:sz w:val="24"/>
                <w:szCs w:val="24"/>
              </w:rPr>
              <w:t xml:space="preserve">-CRP）</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是判断组织损伤的敏感指标，也是心血管炎症病变的生物标志物。在冠心病、脑卒中、周围血管栓塞等疾病的诊断和预测中发挥重要的作用。</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4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43</w:t>
            </w:r>
            <w:r/>
          </w:p>
        </w:tc>
        <w:tc>
          <w:tcPr>
            <w:shd w:val="clear" w:color="auto" w:fill="ffffff"/>
            <w:tcW w:w="589"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肝功能十五项</w:t>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1.腺苷脱氨酶（ADA）</w:t>
            </w:r>
            <w:r/>
          </w:p>
        </w:tc>
        <w:tc>
          <w:tcPr>
            <w:shd w:val="clear" w:color="auto" w:fill="ffffff"/>
            <w:tcW w:w="1766"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可较全面地了解肝脏功能状况。可提示肝胆系统疾病：急性传染性肝炎，中毒性肝炎，脂肪肝，胆管炎，胆囊炎，药物中毒性肝炎，酒精性肝炎和黄疸等。</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44</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2.乳酸脱氢酶（LDH）</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60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45</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3.血清γ-谷氨酰基转移酶（GGT）</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342"/>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46</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4.血清胆碱酯酶测定（CHE）</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47</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5.血清碱性磷酸酶（ALP）</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36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48</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6.血清间接胆红素（IBIL）</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49</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7.血清直接胆红素（DBIL）</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379"/>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50</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8.血清总胆红素</w:t>
            </w:r>
            <w:r>
              <w:rPr>
                <w:rFonts w:hint="eastAsia" w:ascii="宋体" w:hAnsi="宋体" w:cs="Arial"/>
                <w:sz w:val="24"/>
                <w:szCs w:val="24"/>
              </w:rPr>
              <w:t xml:space="preserve">（TBIL）</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51</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9.谷草/谷丙（AST/ALT）</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48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52</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10.血清天冬氨酸氨基转移酶（AST）</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7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53</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11.血清丙氨酸氨基转移酶（ALT）</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402"/>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54</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12.白蛋白/球蛋白（A/G）</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55</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13.血清球蛋白（GLB）</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319"/>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56</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14.血清白蛋白（ALB）</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57</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15.血清总蛋白（TP）</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319"/>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58</w:t>
            </w:r>
            <w:r/>
          </w:p>
        </w:tc>
        <w:tc>
          <w:tcPr>
            <w:shd w:val="clear" w:color="auto" w:fill="ffffff"/>
            <w:tcW w:w="589"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血粘度15项</w:t>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全血粘度切变率</w:t>
            </w:r>
            <w:r/>
          </w:p>
        </w:tc>
        <w:tc>
          <w:tcPr>
            <w:shd w:val="clear" w:color="auto" w:fill="ffffff"/>
            <w:tcW w:w="1766"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主要反映血液流动性、凝滞性和血液粘度的变化。适用于高血压、动脉硬化、脑中风、糖尿病及血脂异常等疾患的检查。</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59</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全血粘度检测5中切</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30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60</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全血粘度检测中切</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61</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全血粘度</w:t>
            </w:r>
            <w:r>
              <w:rPr>
                <w:rFonts w:hint="eastAsia" w:ascii="宋体" w:hAnsi="宋体" w:cs="Arial"/>
                <w:sz w:val="24"/>
                <w:szCs w:val="24"/>
              </w:rPr>
              <w:t xml:space="preserve">检测高切</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62</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血浆粘度</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30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63</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红细胞压积</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64</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红细胞聚集指数</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342"/>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65</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红细胞变形指数</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66</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红细胞刚性指数</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67</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卡松粘度</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4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68</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全血低切还原</w:t>
            </w:r>
            <w:r>
              <w:rPr>
                <w:rFonts w:hint="eastAsia" w:ascii="宋体" w:hAnsi="宋体" w:cs="Arial"/>
                <w:sz w:val="24"/>
                <w:szCs w:val="24"/>
              </w:rPr>
              <w:t xml:space="preserve">粘度</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69</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全血</w:t>
            </w:r>
            <w:r>
              <w:rPr>
                <w:rFonts w:hint="eastAsia" w:ascii="宋体" w:hAnsi="宋体" w:cs="Arial"/>
                <w:sz w:val="24"/>
                <w:szCs w:val="24"/>
              </w:rPr>
              <w:t xml:space="preserve">高切相对</w:t>
            </w:r>
            <w:r>
              <w:rPr>
                <w:rFonts w:hint="eastAsia" w:ascii="宋体" w:hAnsi="宋体" w:cs="Arial"/>
                <w:sz w:val="24"/>
                <w:szCs w:val="24"/>
              </w:rPr>
              <w:t xml:space="preserve">指数</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36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70</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全血</w:t>
            </w:r>
            <w:r>
              <w:rPr>
                <w:rFonts w:hint="eastAsia" w:ascii="宋体" w:hAnsi="宋体" w:cs="Arial"/>
                <w:sz w:val="24"/>
                <w:szCs w:val="24"/>
              </w:rPr>
              <w:t xml:space="preserve">低切相对</w:t>
            </w:r>
            <w:r>
              <w:rPr>
                <w:rFonts w:hint="eastAsia" w:ascii="宋体" w:hAnsi="宋体" w:cs="Arial"/>
                <w:sz w:val="24"/>
                <w:szCs w:val="24"/>
              </w:rPr>
              <w:t xml:space="preserve">指数</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71</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全血高切还原</w:t>
            </w:r>
            <w:r>
              <w:rPr>
                <w:rFonts w:hint="eastAsia" w:ascii="宋体" w:hAnsi="宋体" w:cs="Arial"/>
                <w:sz w:val="24"/>
                <w:szCs w:val="24"/>
              </w:rPr>
              <w:t xml:space="preserve">粘度</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30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72</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红细胞沉降率</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73</w:t>
            </w:r>
            <w:r/>
          </w:p>
        </w:tc>
        <w:tc>
          <w:tcPr>
            <w:shd w:val="clear" w:color="auto" w:fill="ffffff"/>
            <w:tcW w:w="589"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 甲状腺功能五项</w:t>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游离甲状腺素（FT4）</w:t>
            </w:r>
            <w:r/>
          </w:p>
        </w:tc>
        <w:tc>
          <w:tcPr>
            <w:shd w:val="clear" w:color="auto" w:fill="ffffff"/>
            <w:tcW w:w="1766"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更全面评价甲状腺功能的指标，如甲亢、甲</w:t>
            </w:r>
            <w:r>
              <w:rPr>
                <w:rFonts w:hint="eastAsia" w:ascii="宋体" w:hAnsi="宋体" w:cs="Arial"/>
                <w:sz w:val="24"/>
                <w:szCs w:val="24"/>
              </w:rPr>
              <w:t xml:space="preserve">减或者</w:t>
            </w:r>
            <w:r>
              <w:rPr>
                <w:rFonts w:hint="eastAsia" w:ascii="宋体" w:hAnsi="宋体" w:cs="Arial"/>
                <w:sz w:val="24"/>
                <w:szCs w:val="24"/>
              </w:rPr>
              <w:t xml:space="preserve">治疗过程中指标的动态监测。</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4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74</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离三碘甲状腺原氨酸（FT3）</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75</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甲状腺素（T4）</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36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76</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三碘甲状腺原氨酸（T3）</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77</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促甲状腺激素（TSH）</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59"/>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78</w:t>
            </w:r>
            <w:r/>
          </w:p>
        </w:tc>
        <w:tc>
          <w:tcPr>
            <w:shd w:val="clear" w:color="auto" w:fill="ffffff"/>
            <w:tcW w:w="589"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心肌功能</w:t>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血清肌钙蛋白I测定（</w:t>
            </w:r>
            <w:r>
              <w:rPr>
                <w:rFonts w:hint="eastAsia" w:ascii="宋体" w:hAnsi="宋体" w:cs="Arial"/>
                <w:sz w:val="24"/>
                <w:szCs w:val="24"/>
              </w:rPr>
              <w:t xml:space="preserve">cTnI</w:t>
            </w:r>
            <w:r>
              <w:rPr>
                <w:rFonts w:hint="eastAsia" w:ascii="宋体" w:hAnsi="宋体" w:cs="Arial"/>
                <w:sz w:val="24"/>
                <w:szCs w:val="24"/>
              </w:rPr>
              <w:t xml:space="preserve">）</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是心肌损伤的特异性指标，对诊断心肌梗死灵敏度高、特异性好。</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82"/>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79</w:t>
            </w:r>
            <w:r/>
          </w:p>
        </w:tc>
        <w:tc>
          <w:tcPr>
            <w:shd w:val="clear" w:color="auto" w:fill="ffffff"/>
            <w:tcW w:w="589"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免疫测定</w:t>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类风湿因子测定（RF）</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是诊断类风湿关节炎的重要血清学指标之一。也可见于某些感染性疾病，如结核、感染性心内膜炎等。</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4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80</w:t>
            </w:r>
            <w:r/>
          </w:p>
        </w:tc>
        <w:tc>
          <w:tcPr>
            <w:shd w:val="clear" w:color="auto" w:fill="ffffff"/>
            <w:tcW w:w="589"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心肌酶谱</w:t>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磷酸肌酸激酶(CK)</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CK测定主要用于心肌梗死的诊断，对其他系统疾病的诊疗也具有一定意义</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499"/>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81</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磷酸肌酸激酶同工酶(CK-MB)</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血清CK-MB测定的最重要意义在于诊断急性心肌梗塞</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85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82</w:t>
            </w:r>
            <w:r/>
          </w:p>
        </w:tc>
        <w:tc>
          <w:tcPr>
            <w:shd w:val="clear" w:color="auto" w:fill="ffffff"/>
            <w:tcW w:w="589"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血糖检测</w:t>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空腹血糖</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评价人体空腹状态下血糖水平是否正常，评估糖尿病受检者空腹血糖控制是否达标。空腹血糖是评估糖代谢紊乱的常用和重要指标。</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7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83</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糖化血红蛋白(HbA1C)</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糖化血红蛋白浓度可有效地反映过去8~12周平均血糖水平，用于筛检糖尿病、评价糖尿病血糖控制情况。</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319"/>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84</w:t>
            </w:r>
            <w:r/>
          </w:p>
        </w:tc>
        <w:tc>
          <w:tcPr>
            <w:shd w:val="clear" w:color="auto" w:fill="ffffff"/>
            <w:tcW w:w="589"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血脂</w:t>
            </w:r>
            <w:r>
              <w:rPr>
                <w:rFonts w:hint="eastAsia" w:ascii="宋体" w:hAnsi="宋体" w:cs="Arial"/>
                <w:sz w:val="24"/>
                <w:szCs w:val="24"/>
              </w:rPr>
              <w:t xml:space="preserve">检测</w:t>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总胆固醇(TC)</w:t>
            </w:r>
            <w:r/>
          </w:p>
        </w:tc>
        <w:tc>
          <w:tcPr>
            <w:shd w:val="clear" w:color="auto" w:fill="ffffff"/>
            <w:tcW w:w="1766"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可筛查高脂血症、动脉粥样硬化、冠心病、严重肝脏损坏等疾病。</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36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85</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甘油三酯(TG)</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319"/>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86</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高密度脂蛋白胆固醇(HDL-C)</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对血管有保护作用。血中含量低则易患血管硬化。</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59"/>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87</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低密度脂蛋白胆固醇(LDL-C)</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越高越不好。是检测动脉粥样硬化的重要指标。</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7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88</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动脉硬化指数监测（AI）</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≥4异常。数值越大动脉硬化的程度越重，发生心脑血管的危险性越高。</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402"/>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89</w:t>
            </w:r>
            <w:r/>
          </w:p>
        </w:tc>
        <w:tc>
          <w:tcPr>
            <w:shd w:val="clear" w:color="auto" w:fill="ffffff"/>
            <w:tcW w:w="589"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肿瘤标志（男13项，女12项）</w:t>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1.甲型胎儿蛋白（AFP）  </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原发性肝癌的诊断、疗效监测。</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7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90</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2.癌症胚胎抗原（CEA）  </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肺、结直肠、乳腺、胃、胰腺、胆管等肿瘤的辅助诊断及疗效的判断。</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59"/>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91</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3.胰腺癌肿瘤筛检（CA199）   </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胰腺癌、胆道恶性肿瘤的诊断及胃肠道、甲状腺肿瘤的诊断和疗效监测。</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7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92</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4.神经元特异性烯醇化酶（NSE）</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小细胞肺癌重要标志物之一，可用于鉴别诊断，监测小细胞肺癌。</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499"/>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93</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5.多种肿瘤标记筛查(CA50)</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胰腺、肝、卵巢、肺等多种肿瘤的诊断和疗效监测。</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7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94</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6.乳腺癌肿瘤筛检（CA153）</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乳腺癌、转移性乳腺癌的诊断及疗效监测。还可以辅助诊断肝癌、卵巢癌、胰腺癌、肺癌等。</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22"/>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95</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7.前列腺特异性抗原（TPSA）（男性项目）</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用于检测前列腺疾病、前列腺癌的诊断及疗效监测</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7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96</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8.游离前列腺特异性抗原（F-PSA）（男性项目）</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前列腺疾病、前列腺癌的辅助诊断及疗效监测</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799"/>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97</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9.游离前列腺特异性抗原与前列腺特异性抗原的比值（f-PSA/t-PSA）</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评估患者患有前列腺癌风险</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7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98</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10.卵巢癌肿瘤筛检（CA125）（女性项目）</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卵巢、子宫内膜癌的诊断和疗效监测。</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59"/>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99</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11.人绒毛膜促性腺激素（β-HCG）（女性项目）</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用于绒癌、恶性葡萄胎等肿瘤的筛查</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7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100</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12.胃癌肿瘤抗原（CA724）</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胃癌首选的肿瘤标志物筛查，与CEA联合检测，可以提高判断胃癌的敏感性和特异性。</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48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101</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13.血清糖类抗原测定(CA242)</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直结肠癌的肿瘤标志物。</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7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102</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14.血清铁蛋白测定（SF）</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在临床上常用于缺铁性贫血及恶性血液系统疾病，如白血病、淋巴瘤、多发性骨髓瘤</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4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103</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15.鳞状上皮细胞癌抗原 SCC</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主要针对肺鳞癌、头颈部癌、 皮肤癌的检测</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85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104</w:t>
            </w:r>
            <w:r/>
          </w:p>
        </w:tc>
        <w:tc>
          <w:tcPr>
            <w:shd w:val="clear" w:color="auto" w:fill="ffffff"/>
            <w:tcW w:w="589"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胃功能检查</w:t>
            </w:r>
            <w:r>
              <w:rPr>
                <w:rFonts w:hint="eastAsia" w:ascii="宋体" w:hAnsi="宋体" w:cs="Arial"/>
                <w:sz w:val="24"/>
                <w:szCs w:val="24"/>
              </w:rPr>
              <w:br/>
              <w:t xml:space="preserve">（胃癌早筛）</w:t>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幽门螺杆</w:t>
            </w:r>
            <w:r>
              <w:rPr>
                <w:rFonts w:hint="eastAsia" w:ascii="宋体" w:hAnsi="宋体" w:cs="Arial"/>
                <w:sz w:val="24"/>
                <w:szCs w:val="24"/>
              </w:rPr>
              <w:t xml:space="preserve">菌</w:t>
            </w:r>
            <w:r>
              <w:rPr>
                <w:rFonts w:hint="eastAsia" w:ascii="宋体" w:hAnsi="宋体" w:cs="Arial"/>
                <w:sz w:val="24"/>
                <w:szCs w:val="24"/>
              </w:rPr>
              <w:t xml:space="preserve">检测（C13呼气试验）</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呼气试验阳性示胃幽门螺杆</w:t>
            </w:r>
            <w:r>
              <w:rPr>
                <w:rFonts w:hint="eastAsia" w:ascii="宋体" w:hAnsi="宋体" w:cs="Arial"/>
                <w:sz w:val="24"/>
                <w:szCs w:val="24"/>
              </w:rPr>
              <w:t xml:space="preserve">菌</w:t>
            </w:r>
            <w:r>
              <w:rPr>
                <w:rFonts w:hint="eastAsia" w:ascii="宋体" w:hAnsi="宋体" w:cs="Arial"/>
                <w:sz w:val="24"/>
                <w:szCs w:val="24"/>
              </w:rPr>
              <w:t xml:space="preserve">感染情况，它与胃部炎症、消化性溃疡、胃癌的发生密切关联。该方法具有无痛、快速、准确的特点。</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96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105</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胃泌素-17（G-17）</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高G-17分泌在胃癌发展过程中起重要促进作用，结合PGⅠ、PG</w:t>
            </w:r>
            <w:r>
              <w:rPr>
                <w:rFonts w:hint="eastAsia" w:ascii="宋体" w:hAnsi="宋体" w:cs="Arial"/>
                <w:sz w:val="24"/>
                <w:szCs w:val="24"/>
              </w:rPr>
              <w:t xml:space="preserve">Ⅱ判断胃</w:t>
            </w:r>
            <w:r>
              <w:rPr>
                <w:rFonts w:hint="eastAsia" w:ascii="宋体" w:hAnsi="宋体" w:cs="Arial"/>
                <w:sz w:val="24"/>
                <w:szCs w:val="24"/>
              </w:rPr>
              <w:t xml:space="preserve">萎缩的部位和萎缩程度，以及胃癌的早期发现和预警有非常重要的意义。</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106</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胃蛋白酶原PG-Ⅰ</w:t>
            </w:r>
            <w:r/>
          </w:p>
        </w:tc>
        <w:tc>
          <w:tcPr>
            <w:shd w:val="clear" w:color="auto" w:fill="ffffff"/>
            <w:tcW w:w="1766"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主要针对慢性胃炎、溃疡病、幽门螺杆</w:t>
            </w:r>
            <w:r>
              <w:rPr>
                <w:rFonts w:hint="eastAsia" w:ascii="宋体" w:hAnsi="宋体" w:cs="Arial"/>
                <w:sz w:val="24"/>
                <w:szCs w:val="24"/>
              </w:rPr>
              <w:t xml:space="preserve">菌</w:t>
            </w:r>
            <w:r>
              <w:rPr>
                <w:rFonts w:hint="eastAsia" w:ascii="宋体" w:hAnsi="宋体" w:cs="Arial"/>
                <w:sz w:val="24"/>
                <w:szCs w:val="24"/>
              </w:rPr>
              <w:t xml:space="preserve">感染的检测</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2"/>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107</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胃蛋白酶原PG-Ⅱ</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42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108</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PGⅠ/ PGⅡ比值测定</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用于胃癌、胃溃疡、萎缩性胃炎的初筛</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序号</w:t>
            </w:r>
            <w:r/>
          </w:p>
        </w:tc>
        <w:tc>
          <w:tcPr>
            <w:gridSpan w:val="6"/>
            <w:shd w:val="clear" w:color="auto" w:fill="ffffff"/>
            <w:tcW w:w="464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器材检查项目</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w:t>
            </w:r>
            <w:r/>
          </w:p>
        </w:tc>
        <w:tc>
          <w:tcPr>
            <w:shd w:val="clear" w:color="auto" w:fill="ffffff"/>
            <w:tcW w:w="589"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彩超检查</w:t>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肝部彩超</w:t>
            </w:r>
            <w:r/>
          </w:p>
        </w:tc>
        <w:tc>
          <w:tcPr>
            <w:shd w:val="clear" w:color="auto" w:fill="ffffff"/>
            <w:tcW w:w="1766"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通过彩色超声仪器对人体肝脏、胆囊、脾脏、胰脏、双肾进行检测,是否有无形态学改变及占位性病变（肿瘤，结石，炎症等）。</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胆囊彩超</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脾脏彩超</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胰腺彩超</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双肾彩超</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799"/>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男科前列腺超声波检查（男）</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在膀胱充盈时通过彩色超声仪器检查。更清晰地观察前列腺大小、形态、结构等情况，判断有无前列腺增大、囊肿、结石，恶性病变等。</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36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妇科腹部超声检查（女未婚）</w:t>
            </w:r>
            <w:r/>
          </w:p>
        </w:tc>
        <w:tc>
          <w:tcPr>
            <w:shd w:val="clear" w:color="auto" w:fill="ffffff"/>
            <w:tcW w:w="1766"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通过彩色超声波仪器检测子宫及附件有无病变。</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36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妇科阴道超声检查（女已婚）</w:t>
            </w:r>
            <w:r/>
          </w:p>
        </w:tc>
        <w:tc>
          <w:tcPr>
            <w:shd w:val="clear" w:color="auto" w:fill="ffffff"/>
            <w:tcW w:w="176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379"/>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乳房超声检查（女）         </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通过彩色超声波仪器检测乳腺有无肿块及其他病变。</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882"/>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甲状腺彩超</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通过彩色超声仪器对人体甲状腺进行检测,是否有无形态学改变及占位性病变（肿大、结节、腺瘤及肿瘤等）。</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142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11</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颈动脉彩超</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彩色超声仪器采用无创性检查方法，检测颈动脉结构和动脉粥样硬化斑形态、范围、性质、动脉狭窄程度等；早期发现动脉血管病变，为有效预防和减少冠心病、缺血性脑血管病等心脑血管疾病发病提供客观的血流动力学依据。</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186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12</w:t>
            </w:r>
            <w:r/>
          </w:p>
        </w:tc>
        <w:tc>
          <w:tcPr>
            <w:shd w:val="clear" w:color="auto" w:fill="ffffff"/>
            <w:tcW w:w="589"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低剂量螺旋CT （不出片）</w:t>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肺部（低剂量）</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低剂量螺旋CT(简称LDCT)扫描方案是通过优化扫描参数，改变管电流、管电压和螺距等来降低辐射剂量，胸部扫描辐射剂量仅为常规CT的20％左右。低剂量螺旋CT对肺部筛查有助于发现早期肺癌，特别是周围型肺癌，其诊出率约为胸片的10倍。因其较少的辐射剂量，有效的降低了医源性辐射引起的恶性病变的风险。</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882"/>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13</w:t>
            </w:r>
            <w:r/>
          </w:p>
        </w:tc>
        <w:tc>
          <w:tcPr>
            <w:shd w:val="clear" w:color="auto" w:fill="ffffff"/>
            <w:tcW w:w="589"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上腹部CT（平扫）</w:t>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上腹部</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了解上腹部区域，包括肝、胆、胰、脾、胃及周围腹腔结构有无感染性疾病、占位、畸形、结石、梗阻、穿孔、积液等情况。</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942"/>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14</w:t>
            </w:r>
            <w:r/>
          </w:p>
        </w:tc>
        <w:tc>
          <w:tcPr>
            <w:shd w:val="clear" w:color="auto" w:fill="ffffff"/>
            <w:tcW w:w="589"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心电图</w:t>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心电图</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通过在体表特定部位同步记录和分析心脏每一个心动周期所产生电活动变化的曲线图形，为心脏疾病诊断、疗效评价、预后评估提供重要的依据。</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85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15</w:t>
            </w:r>
            <w:r/>
          </w:p>
        </w:tc>
        <w:tc>
          <w:tcPr>
            <w:shd w:val="clear" w:color="auto" w:fill="ffffff"/>
            <w:tcW w:w="589"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亚健康分析</w:t>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人体成分分析</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测量人体成分：体脂肪、肌肉、水分、矿物质、体重、BMI（身体质量指数）、非脂肪量等各项健康指数,有效指示客人的身体健康状况。</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642"/>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16</w:t>
            </w:r>
            <w:r/>
          </w:p>
        </w:tc>
        <w:tc>
          <w:tcPr>
            <w:shd w:val="clear" w:color="auto" w:fill="ffffff"/>
            <w:tcW w:w="589"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脑血管血流检测</w:t>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经颅多普勒(TCD）</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检测脑部供血状况。</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600"/>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17</w:t>
            </w:r>
            <w:r/>
          </w:p>
        </w:tc>
        <w:tc>
          <w:tcPr>
            <w:shd w:val="clear" w:color="auto" w:fill="ffffff"/>
            <w:tcW w:w="589"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骨密度</w:t>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骨密度检测（经脚踝）</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通过骨密度仪检查骨质密度，早期发现骨量减少及估计骨质疏松的程度，及时进行有效防治。</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882"/>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18</w:t>
            </w:r>
            <w:r/>
          </w:p>
        </w:tc>
        <w:tc>
          <w:tcPr>
            <w:shd w:val="clear" w:color="auto" w:fill="ffffff"/>
            <w:tcW w:w="589"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VBP-9动脉硬化检测</w:t>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动脉硬化</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为临床动脉硬化、动脉炎、血管闭塞和糖尿病足等提供可靠检查方法，也可辅助检查周身血管中的血栓情况。</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序号</w:t>
            </w:r>
            <w:r/>
          </w:p>
        </w:tc>
        <w:tc>
          <w:tcPr>
            <w:gridSpan w:val="6"/>
            <w:shd w:val="clear" w:color="auto" w:fill="ffffff"/>
            <w:tcW w:w="464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已婚女性附加项目</w:t>
            </w:r>
            <w:r/>
          </w:p>
        </w:tc>
      </w:tr>
      <w:tr>
        <w:trPr>
          <w:trHeight w:val="882"/>
        </w:trPr>
        <w:tc>
          <w:tcPr>
            <w:shd w:val="clear" w:color="auto" w:fill="ffffff"/>
            <w:tcW w:w="35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w:t>
            </w:r>
            <w:r/>
          </w:p>
        </w:tc>
        <w:tc>
          <w:tcPr>
            <w:shd w:val="clear" w:color="auto" w:fill="ffffff"/>
            <w:tcW w:w="589"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妇科检查</w:t>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妇科内诊</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通过妇科体格检查，检查阴道、子宫、附件、盆腔等脏器基本情况，发现常见妇科疾病的相关征兆，或初步排除妇科常见疾病。</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900"/>
        </w:trPr>
        <w:tc>
          <w:tcPr>
            <w:shd w:val="clear" w:color="auto" w:fill="ffffff"/>
            <w:tcW w:w="35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白带常规</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白带常规检查能够快速、方便、高效的反映阴道酸碱度、清洁度以及有无感染等的情况，因而是妇科体检中简便易行的常规项目之一。</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1140"/>
        </w:trPr>
        <w:tc>
          <w:tcPr>
            <w:shd w:val="clear" w:color="auto" w:fill="ffffff"/>
            <w:tcW w:w="35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w:t>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宫颈抹片检查（</w:t>
            </w:r>
            <w:r>
              <w:rPr>
                <w:rFonts w:hint="eastAsia" w:ascii="宋体" w:hAnsi="宋体" w:cs="Arial"/>
                <w:sz w:val="24"/>
                <w:szCs w:val="24"/>
              </w:rPr>
              <w:t xml:space="preserve">液基超薄</w:t>
            </w:r>
            <w:r>
              <w:rPr>
                <w:rFonts w:hint="eastAsia" w:ascii="宋体" w:hAnsi="宋体" w:cs="Arial"/>
                <w:sz w:val="24"/>
                <w:szCs w:val="24"/>
              </w:rPr>
              <w:t xml:space="preserve">细胞检测,TCT）</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筛查宫颈早期病变较先进的检测方法，同时还能发现部分癌前病变，微生物感染如假丝酵母菌、滴虫、病毒、衣原体、人乳头瘤病毒等。比普通宫颈刮片更准确、更及时有效.</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679"/>
        </w:trPr>
        <w:tc>
          <w:tcPr>
            <w:shd w:val="clear" w:color="auto" w:fill="ffffff"/>
            <w:tcW w:w="354"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4</w:t>
            </w:r>
            <w:r/>
          </w:p>
        </w:tc>
        <w:tc>
          <w:tcPr>
            <w:shd w:val="clear" w:color="auto" w:fill="ffffff"/>
            <w:tcW w:w="589"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肿瘤标记</w:t>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人乳头瘤病毒（HPV16/18）定性</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16型和18型高危型人乳头瘤病毒感染的辅助诊断，发现宫颈癌的高危人群。</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855"/>
        </w:trPr>
        <w:tc>
          <w:tcPr>
            <w:shd w:val="clear" w:color="auto" w:fill="ffffff"/>
            <w:tcW w:w="354"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589"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92"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人附睾蛋白4（HE4）检测</w:t>
            </w:r>
            <w:r/>
          </w:p>
        </w:tc>
        <w:tc>
          <w:tcPr>
            <w:shd w:val="clear" w:color="auto" w:fill="ffffff"/>
            <w:tcW w:w="176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HE4在卵巢上皮性肿瘤筛查中有重要意义,与CA125（套餐内含）二者联合检测对卵巢癌的检出有较高的敏感度。</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460"/>
        </w:trPr>
        <w:tc>
          <w:tcPr>
            <w:gridSpan w:val="7"/>
            <w:shd w:val="clear" w:color="auto" w:fill="ffffff"/>
            <w:tcW w:w="5000"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项目注释：女已婚HPV检测：(1)HPV有200多种分型，其中16/18型与宫颈</w:t>
            </w:r>
            <w:r>
              <w:rPr>
                <w:rFonts w:hint="eastAsia" w:ascii="宋体" w:hAnsi="宋体" w:cs="Arial"/>
                <w:sz w:val="24"/>
                <w:szCs w:val="24"/>
              </w:rPr>
              <w:t xml:space="preserve">癌关系</w:t>
            </w:r>
            <w:r>
              <w:rPr>
                <w:rFonts w:hint="eastAsia" w:ascii="宋体" w:hAnsi="宋体" w:cs="Arial"/>
                <w:sz w:val="24"/>
                <w:szCs w:val="24"/>
              </w:rPr>
              <w:t xml:space="preserve">最为密切，筛查16/18即可识别大部分宫颈癌风险，16/18用于定性检测是专家共识，能在有限的医疗资源下，实现宫颈癌高效预防；(2)HPV感染非常普遍，全球大约有80%的女性查出HPV阳性，其中大部分可以自限性地消除，只有1%左右会进展成为子宫颈癌。检测所有型别并不能显著提高对宫颈癌的筛查效率和准确性；(3)HPV全套检测可能会导致过度医疗，一些</w:t>
            </w:r>
            <w:r>
              <w:rPr>
                <w:rFonts w:hint="eastAsia" w:ascii="宋体" w:hAnsi="宋体" w:cs="Arial"/>
                <w:sz w:val="24"/>
                <w:szCs w:val="24"/>
              </w:rPr>
              <w:t xml:space="preserve">低危型</w:t>
            </w:r>
            <w:r>
              <w:rPr>
                <w:rFonts w:hint="eastAsia" w:ascii="宋体" w:hAnsi="宋体" w:cs="Arial"/>
                <w:sz w:val="24"/>
                <w:szCs w:val="24"/>
              </w:rPr>
              <w:t xml:space="preserve">HPV感染大多可自愈，但检测出后可能会引发不必要的治疗，如过度使用抗病毒药物，进行不必要的阴道镜检查等，这不仅增加了患者的痛苦和经济负担，还可能对患者的生殖健康造成潜在风险；(4)HPV检测结果可能会给患者带来心理压力。如果检测出HPV阳性，即使是一过性感染，患者也可能会过度担心和焦虑，影响日常生活和工作。而HPV全套检测可能会增加阳性结果的概率，进一步加重患者的焦虑情绪；(5)HPV病毒有多种亚型，其中</w:t>
            </w:r>
            <w:r>
              <w:rPr>
                <w:rFonts w:hint="eastAsia" w:ascii="宋体" w:hAnsi="宋体" w:cs="Arial"/>
                <w:sz w:val="24"/>
                <w:szCs w:val="24"/>
              </w:rPr>
              <w:t xml:space="preserve">低危型</w:t>
            </w:r>
            <w:r>
              <w:rPr>
                <w:rFonts w:hint="eastAsia" w:ascii="宋体" w:hAnsi="宋体" w:cs="Arial"/>
                <w:sz w:val="24"/>
                <w:szCs w:val="24"/>
              </w:rPr>
              <w:t xml:space="preserve">HPV一般与尖锐湿疣或低级别鳞状上皮内病变相关，但无法起到宫颈癌筛查作用。高危型分型检测更精准：宫颈癌最主要的致病因素是HPV的感染，在85%左右宫颈癌中可检测出高危型HPV，而在众多高危型中，HPV16及18型是全世界范围内宫颈</w:t>
            </w:r>
            <w:r>
              <w:rPr>
                <w:rFonts w:hint="eastAsia" w:ascii="宋体" w:hAnsi="宋体" w:cs="Arial"/>
                <w:sz w:val="24"/>
                <w:szCs w:val="24"/>
              </w:rPr>
              <w:t xml:space="preserve">癌感染</w:t>
            </w:r>
            <w:r>
              <w:rPr>
                <w:rFonts w:hint="eastAsia" w:ascii="宋体" w:hAnsi="宋体" w:cs="Arial"/>
                <w:sz w:val="24"/>
                <w:szCs w:val="24"/>
              </w:rPr>
              <w:t xml:space="preserve">的最主要类型。</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序号</w:t>
            </w:r>
            <w:r/>
          </w:p>
        </w:tc>
        <w:tc>
          <w:tcPr>
            <w:gridSpan w:val="6"/>
            <w:shd w:val="clear" w:color="auto" w:fill="ffffff"/>
            <w:tcW w:w="464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其他附加项目</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w:t>
            </w:r>
            <w:r/>
          </w:p>
        </w:tc>
        <w:tc>
          <w:tcPr>
            <w:gridSpan w:val="3"/>
            <w:shd w:val="clear" w:color="auto" w:fill="ffffff"/>
            <w:tcW w:w="344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健康餐营养早餐</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w:t>
            </w:r>
            <w:r/>
          </w:p>
        </w:tc>
        <w:tc>
          <w:tcPr>
            <w:gridSpan w:val="3"/>
            <w:shd w:val="clear" w:color="auto" w:fill="ffffff"/>
            <w:tcW w:w="344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个人健康电子档案/建立终身的健康电子档案</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bl>
    <w:p>
      <w:pPr>
        <w:ind w:firstLine="482"/>
        <w:spacing w:line="360" w:lineRule="auto"/>
        <w:widowControl/>
        <w:rPr>
          <w:rFonts w:hint="eastAsia" w:ascii="宋体" w:hAnsi="宋体"/>
          <w:b/>
          <w:sz w:val="24"/>
        </w:rPr>
        <w:outlineLvl w:val="0"/>
      </w:pPr>
      <w:r>
        <w:rPr>
          <w:rFonts w:hint="eastAsia" w:ascii="宋体" w:hAnsi="宋体" w:cs="宋体"/>
          <w:b/>
          <w:bCs/>
          <w:sz w:val="24"/>
        </w:rPr>
        <w:t xml:space="preserve">（3）套餐三</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Look w:val="04A0" w:firstRow="1" w:lastRow="0" w:firstColumn="1" w:lastColumn="0" w:noHBand="0" w:noVBand="1"/>
      </w:tblPr>
      <w:tblGrid>
        <w:gridCol w:w="710"/>
        <w:gridCol w:w="1606"/>
        <w:gridCol w:w="2028"/>
        <w:gridCol w:w="3234"/>
        <w:gridCol w:w="466"/>
        <w:gridCol w:w="958"/>
        <w:gridCol w:w="960"/>
      </w:tblGrid>
      <w:tr>
        <w:trPr>
          <w:trHeight w:val="702"/>
        </w:trPr>
        <w:tc>
          <w:tcPr>
            <w:gridSpan w:val="7"/>
            <w:shd w:val="clear" w:color="auto" w:fill="ffffff"/>
            <w:tcW w:w="5000"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    2026年新区实小在职教师体检套餐 3（肿瘤风险筛查）</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　</w:t>
            </w:r>
            <w:r/>
          </w:p>
        </w:tc>
        <w:tc>
          <w:tcPr>
            <w:shd w:val="clear" w:color="auto" w:fill="ffffff"/>
            <w:tcW w:w="80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项目</w:t>
            </w:r>
            <w:r/>
          </w:p>
        </w:tc>
        <w:tc>
          <w:tcPr>
            <w:shd w:val="clear" w:color="auto" w:fill="ffffff"/>
            <w:tcW w:w="1018"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指标</w:t>
            </w:r>
            <w:r/>
          </w:p>
        </w:tc>
        <w:tc>
          <w:tcPr>
            <w:shd w:val="clear" w:color="auto" w:fill="ffffff"/>
            <w:tcW w:w="1623"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                                                                                                                                                                                                                                                                </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男</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未婚女</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已婚女</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序号</w:t>
            </w:r>
            <w:r/>
          </w:p>
        </w:tc>
        <w:tc>
          <w:tcPr>
            <w:gridSpan w:val="6"/>
            <w:shd w:val="clear" w:color="auto" w:fill="ffffff"/>
            <w:tcW w:w="464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临床检查项目</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w:t>
            </w:r>
            <w:r/>
          </w:p>
        </w:tc>
        <w:tc>
          <w:tcPr>
            <w:shd w:val="clear" w:color="auto" w:fill="ffffff"/>
            <w:tcW w:w="806"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一般检查A</w:t>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身高</w:t>
            </w:r>
            <w:r/>
          </w:p>
        </w:tc>
        <w:tc>
          <w:tcPr>
            <w:shd w:val="clear" w:color="auto" w:fill="ffffff"/>
            <w:tcW w:w="1623"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通过仪器测量人体身高、体重及血压，科学判断体重是否标准、血压是否正常，并且为相关科室的诊断提供重要的依据。</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体重</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体重指数BMI</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血压</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w:t>
            </w:r>
            <w:r/>
          </w:p>
        </w:tc>
        <w:tc>
          <w:tcPr>
            <w:shd w:val="clear" w:color="auto" w:fill="ffffff"/>
            <w:tcW w:w="806"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外科检查A      </w:t>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皮肤</w:t>
            </w:r>
            <w:r/>
          </w:p>
        </w:tc>
        <w:tc>
          <w:tcPr>
            <w:shd w:val="clear" w:color="auto" w:fill="ffffff"/>
            <w:tcW w:w="1623"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通过体格检查，检查皮肤,浅表淋巴结,甲状腺,脊柱,四肢关节，乳房等脏器基本情况，发现常见外科疾病的相关征兆，或初步排除外科常见疾病。</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浅表淋巴结</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甲状腺</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脊柱</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四肢关节</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乳房</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11</w:t>
            </w:r>
            <w:r/>
          </w:p>
        </w:tc>
        <w:tc>
          <w:tcPr>
            <w:shd w:val="clear" w:color="auto" w:fill="ffffff"/>
            <w:tcW w:w="806"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内科检查A</w:t>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营养</w:t>
            </w:r>
            <w:r/>
          </w:p>
        </w:tc>
        <w:tc>
          <w:tcPr>
            <w:shd w:val="clear" w:color="auto" w:fill="ffffff"/>
            <w:tcW w:w="1623"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通过体格检查，检查心、肺、腹部等器官及部位的基本状况,发现常见疾病的相关征兆或初步排除常见疾病。</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12</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面容</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13</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心脏</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14</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胸廓</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15</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肺部</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16</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腹部</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17</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肝脏</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18</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脾脏</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19</w:t>
            </w:r>
            <w:r/>
          </w:p>
        </w:tc>
        <w:tc>
          <w:tcPr>
            <w:shd w:val="clear" w:color="auto" w:fill="ffffff"/>
            <w:tcW w:w="806"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眼科检查</w:t>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视力</w:t>
            </w:r>
            <w:r/>
          </w:p>
        </w:tc>
        <w:tc>
          <w:tcPr>
            <w:shd w:val="clear" w:color="auto" w:fill="ffffff"/>
            <w:tcW w:w="1623"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了解视力状况,检查眼睑、泪囊、结膜、眼球是否存在异常情况.通过眼底镜检查眼底视网膜、视神经乳头和视网膜中央血管等有无异常情</w:t>
            </w:r>
            <w:r>
              <w:rPr>
                <w:rFonts w:hint="eastAsia" w:ascii="宋体" w:hAnsi="宋体" w:cs="Arial"/>
                <w:sz w:val="24"/>
                <w:szCs w:val="24"/>
              </w:rPr>
              <w:t xml:space="preserve">况。通过裂隙灯检查巩膜、虹膜、角膜、瞳孔、玻璃体等有无异常情况。</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20</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外眼</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21</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眼底镜</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342"/>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22</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裂隙灯检查</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402"/>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23</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眼压检查</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青光眼等眼压异常疾病筛查。</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24</w:t>
            </w:r>
            <w:r/>
          </w:p>
        </w:tc>
        <w:tc>
          <w:tcPr>
            <w:shd w:val="clear" w:color="auto" w:fill="ffffff"/>
            <w:tcW w:w="806"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口腔科检查</w:t>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牙体</w:t>
            </w:r>
            <w:r/>
          </w:p>
        </w:tc>
        <w:tc>
          <w:tcPr>
            <w:shd w:val="clear" w:color="auto" w:fill="ffffff"/>
            <w:tcW w:w="1623"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主要检查有无牙周病、牙结石、龋齿、缺牙等口腔疾病。</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25</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牙周</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26</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口腔粘膜</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27</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颌</w:t>
            </w:r>
            <w:r>
              <w:rPr>
                <w:rFonts w:hint="eastAsia" w:ascii="宋体" w:hAnsi="宋体" w:cs="Arial"/>
                <w:sz w:val="24"/>
                <w:szCs w:val="24"/>
              </w:rPr>
              <w:t xml:space="preserve">面部</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28</w:t>
            </w:r>
            <w:r/>
          </w:p>
        </w:tc>
        <w:tc>
          <w:tcPr>
            <w:shd w:val="clear" w:color="auto" w:fill="ffffff"/>
            <w:tcW w:w="806"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耳鼻</w:t>
            </w:r>
            <w:r>
              <w:rPr>
                <w:rFonts w:hint="eastAsia" w:ascii="宋体" w:hAnsi="宋体" w:cs="Arial"/>
                <w:sz w:val="24"/>
                <w:szCs w:val="24"/>
              </w:rPr>
              <w:t xml:space="preserve">喉</w:t>
            </w:r>
            <w:r>
              <w:rPr>
                <w:rFonts w:hint="eastAsia" w:ascii="宋体" w:hAnsi="宋体" w:cs="Arial"/>
                <w:sz w:val="24"/>
                <w:szCs w:val="24"/>
              </w:rPr>
              <w:t xml:space="preserve">检查</w:t>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鼻咽</w:t>
            </w:r>
            <w:r/>
          </w:p>
        </w:tc>
        <w:tc>
          <w:tcPr>
            <w:shd w:val="clear" w:color="auto" w:fill="ffffff"/>
            <w:tcW w:w="1623"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通过对耳、鼻、咽、扁桃体的常规检查，初步筛查相关常见疾病。</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29</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耳</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30</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喉</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序号</w:t>
            </w:r>
            <w:r/>
          </w:p>
        </w:tc>
        <w:tc>
          <w:tcPr>
            <w:gridSpan w:val="6"/>
            <w:shd w:val="clear" w:color="auto" w:fill="ffffff"/>
            <w:tcW w:w="464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实验室检查项目</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w:t>
            </w:r>
            <w:r/>
          </w:p>
        </w:tc>
        <w:tc>
          <w:tcPr>
            <w:shd w:val="clear" w:color="auto" w:fill="ffffff"/>
            <w:tcW w:w="806"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血液常规（22项，五分类）</w:t>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白细胞</w:t>
            </w:r>
            <w:r/>
          </w:p>
        </w:tc>
        <w:tc>
          <w:tcPr>
            <w:shd w:val="clear" w:color="auto" w:fill="ffffff"/>
            <w:tcW w:w="1623"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通过血液常规检测，检查白细胞、红细胞、血色素、血小板等指标来反映身体状况，如：贫血、感染、血液系统疾病、物理化学因素损伤等。</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中性细胞百分比</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淋巴细胞百分比</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中间细胞百分比</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嗜酸性粒细胞百分比</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嗜碱性粒细胞百分比</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中性粒细胞数</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淋巴细胞数</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中间细胞计数</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嗜酸性粒细胞</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11</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嗜碱性粒细胞</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12</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红细胞</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13</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血红蛋白</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14</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红细胞压积</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15</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平均红细胞体积</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16</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平均血红蛋白量</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17</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平均血红蛋白浓度</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18</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红细胞分布宽度</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19</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血小板</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20</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血小板平均体机</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21</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血小板分布宽度</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22</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血小板容积</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23</w:t>
            </w:r>
            <w:r/>
          </w:p>
        </w:tc>
        <w:tc>
          <w:tcPr>
            <w:shd w:val="clear" w:color="auto" w:fill="ffffff"/>
            <w:tcW w:w="806"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尿常规（15项）</w:t>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尿胆原</w:t>
            </w:r>
            <w:r/>
          </w:p>
        </w:tc>
        <w:tc>
          <w:tcPr>
            <w:shd w:val="clear" w:color="auto" w:fill="ffffff"/>
            <w:tcW w:w="1623"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是筛查泌尿系统疾病如泌尿系统感染、肿瘤、结石等的一种简单、常用的方法。对于某些全身性病变以及身体其他脏器影响尿液改变的疾病如糖尿病、血液病、肝胆疾患等的诊断，也有很重要</w:t>
            </w:r>
            <w:r>
              <w:rPr>
                <w:rFonts w:hint="eastAsia" w:ascii="宋体" w:hAnsi="宋体" w:cs="Arial"/>
                <w:sz w:val="24"/>
                <w:szCs w:val="24"/>
              </w:rPr>
              <w:t xml:space="preserve">的参考价值。</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24</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胆红素</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25</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尿酮体</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26</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隐血</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27</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尿蛋白</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28</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亚硝酸盐</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29</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尿白细胞</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30</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尿糖</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31</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尿比重</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32</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酸碱度</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33</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维生素C</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34</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镜检白细胞</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35</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镜检红细胞</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36</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镜检管型</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37</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镜检结晶</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38</w:t>
            </w:r>
            <w:r/>
          </w:p>
        </w:tc>
        <w:tc>
          <w:tcPr>
            <w:shd w:val="clear" w:color="auto" w:fill="ffffff"/>
            <w:tcW w:w="806"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肾功4项</w:t>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血尿素氮（BUN)</w:t>
            </w:r>
            <w:r/>
          </w:p>
        </w:tc>
        <w:tc>
          <w:tcPr>
            <w:shd w:val="clear" w:color="auto" w:fill="ffffff"/>
            <w:tcW w:w="1623"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用于诊断肾功能异常，痛风，高尿酸血症等。</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39</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血肌酸酐（CR)</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40</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血清尿酸检测（UA)</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84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41</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尿微量白蛋白与尿肌</w:t>
            </w:r>
            <w:r>
              <w:rPr>
                <w:rFonts w:hint="eastAsia" w:ascii="宋体" w:hAnsi="宋体" w:cs="Arial"/>
                <w:sz w:val="24"/>
                <w:szCs w:val="24"/>
              </w:rPr>
              <w:t xml:space="preserve">酐</w:t>
            </w:r>
            <w:r>
              <w:rPr>
                <w:rFonts w:hint="eastAsia" w:ascii="宋体" w:hAnsi="宋体" w:cs="Arial"/>
                <w:sz w:val="24"/>
                <w:szCs w:val="24"/>
              </w:rPr>
              <w:t xml:space="preserve">比值测定</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对早期筛查及诊断各种原因引起的早期肾损伤有重要的意义，适用于糖尿病肾病，高血压受检者，心血管和肾病高风险人群及健康人群肾病早期筛查。</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85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42</w:t>
            </w:r>
            <w:r/>
          </w:p>
        </w:tc>
        <w:tc>
          <w:tcPr>
            <w:shd w:val="clear" w:color="auto" w:fill="ffffff"/>
            <w:tcW w:w="80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心血管检测</w:t>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超敏C反应蛋白（</w:t>
            </w:r>
            <w:r>
              <w:rPr>
                <w:rFonts w:hint="eastAsia" w:ascii="宋体" w:hAnsi="宋体" w:cs="Arial"/>
                <w:sz w:val="24"/>
                <w:szCs w:val="24"/>
              </w:rPr>
              <w:t xml:space="preserve">hs</w:t>
            </w:r>
            <w:r>
              <w:rPr>
                <w:rFonts w:hint="eastAsia" w:ascii="宋体" w:hAnsi="宋体" w:cs="Arial"/>
                <w:sz w:val="24"/>
                <w:szCs w:val="24"/>
              </w:rPr>
              <w:t xml:space="preserve">-CRP）</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是判断组织损伤的敏感指标，也是心血管炎症病变的生物标志物。在冠心病、脑卒中、周围血管栓塞等疾病的诊断和预测中发挥重要的作用。</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462"/>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43</w:t>
            </w:r>
            <w:r/>
          </w:p>
        </w:tc>
        <w:tc>
          <w:tcPr>
            <w:shd w:val="clear" w:color="auto" w:fill="ffffff"/>
            <w:tcW w:w="806"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肝功能十五项</w:t>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1.腺苷脱氨酶（ADA）</w:t>
            </w:r>
            <w:r/>
          </w:p>
        </w:tc>
        <w:tc>
          <w:tcPr>
            <w:shd w:val="clear" w:color="auto" w:fill="ffffff"/>
            <w:tcW w:w="1623"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可较全面地了解肝脏功能状况。可提示肝胆系统疾病：急性传染性肝炎，中毒性肝炎，脂肪肝，胆管炎，胆囊炎，药物中毒性肝炎，酒精性肝炎和黄疸等。</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44</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2.乳酸脱氢酶（LDH）</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60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45</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3.血清γ-谷氨酰基转移酶（GGT）</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46</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4.血清胆碱酯酶测定（CHE）</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402"/>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47</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5.血清碱性磷酸酶（ALP）</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48</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6.血清间接胆红素（IBIL）</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379"/>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49</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7.血清直接胆红素（DBIL）</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50</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8.血清总胆红素（TBIL）</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439"/>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51</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9.谷草/谷丙（AST/ALT）</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7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52</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10.血清天冬氨酸氨基转移酶（AST）</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82"/>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53</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11.血清丙氨酸氨基转移酶（ALT）</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54</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12.白蛋白/球蛋白（A/G）</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379"/>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55</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13.血清球蛋白（GLB）</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56</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14.血清白蛋白（ALB）</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379"/>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57</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15.血清总蛋白（TP）</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58</w:t>
            </w:r>
            <w:r/>
          </w:p>
        </w:tc>
        <w:tc>
          <w:tcPr>
            <w:shd w:val="clear" w:color="auto" w:fill="ffffff"/>
            <w:tcW w:w="806"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血粘度15项</w:t>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全血粘度切变率</w:t>
            </w:r>
            <w:r/>
          </w:p>
        </w:tc>
        <w:tc>
          <w:tcPr>
            <w:shd w:val="clear" w:color="auto" w:fill="ffffff"/>
            <w:tcW w:w="1623"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主要反映血液流动性、凝滞性和血液粘度的变化。适用于高血压、动脉硬化、脑中风、糖尿病及血脂异常等疾患的检查。</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59</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全血粘度检测5中切</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42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60</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全血粘度检测中切</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61</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全血粘度</w:t>
            </w:r>
            <w:r>
              <w:rPr>
                <w:rFonts w:hint="eastAsia" w:ascii="宋体" w:hAnsi="宋体" w:cs="Arial"/>
                <w:sz w:val="24"/>
                <w:szCs w:val="24"/>
              </w:rPr>
              <w:t xml:space="preserve">检测高切</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62</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血浆粘度</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42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63</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红细胞压积</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64</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红细胞聚集指数</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402"/>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65</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红细胞变形指数</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66</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红细胞刚性指数</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67</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卡松粘度</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42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68</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全血低切还原</w:t>
            </w:r>
            <w:r>
              <w:rPr>
                <w:rFonts w:hint="eastAsia" w:ascii="宋体" w:hAnsi="宋体" w:cs="Arial"/>
                <w:sz w:val="24"/>
                <w:szCs w:val="24"/>
              </w:rPr>
              <w:t xml:space="preserve">粘度</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69</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全血</w:t>
            </w:r>
            <w:r>
              <w:rPr>
                <w:rFonts w:hint="eastAsia" w:ascii="宋体" w:hAnsi="宋体" w:cs="Arial"/>
                <w:sz w:val="24"/>
                <w:szCs w:val="24"/>
              </w:rPr>
              <w:t xml:space="preserve">高切相对</w:t>
            </w:r>
            <w:r>
              <w:rPr>
                <w:rFonts w:hint="eastAsia" w:ascii="宋体" w:hAnsi="宋体" w:cs="Arial"/>
                <w:sz w:val="24"/>
                <w:szCs w:val="24"/>
              </w:rPr>
              <w:t xml:space="preserve">指数</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70</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全血</w:t>
            </w:r>
            <w:r>
              <w:rPr>
                <w:rFonts w:hint="eastAsia" w:ascii="宋体" w:hAnsi="宋体" w:cs="Arial"/>
                <w:sz w:val="24"/>
                <w:szCs w:val="24"/>
              </w:rPr>
              <w:t xml:space="preserve">低切相对</w:t>
            </w:r>
            <w:r>
              <w:rPr>
                <w:rFonts w:hint="eastAsia" w:ascii="宋体" w:hAnsi="宋体" w:cs="Arial"/>
                <w:sz w:val="24"/>
                <w:szCs w:val="24"/>
              </w:rPr>
              <w:t xml:space="preserve">指数</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42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71</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全血高切还原</w:t>
            </w:r>
            <w:r>
              <w:rPr>
                <w:rFonts w:hint="eastAsia" w:ascii="宋体" w:hAnsi="宋体" w:cs="Arial"/>
                <w:sz w:val="24"/>
                <w:szCs w:val="24"/>
              </w:rPr>
              <w:t xml:space="preserve">粘度</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72</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红细胞沉降率</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73</w:t>
            </w:r>
            <w:r/>
          </w:p>
        </w:tc>
        <w:tc>
          <w:tcPr>
            <w:shd w:val="clear" w:color="auto" w:fill="ffffff"/>
            <w:tcW w:w="806"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 甲状腺功能七项</w:t>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TSH</w:t>
            </w:r>
            <w:r/>
          </w:p>
        </w:tc>
        <w:tc>
          <w:tcPr>
            <w:shd w:val="clear" w:color="auto" w:fill="ffffff"/>
            <w:tcW w:w="1623"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用于诊断甲亢、甲减，并作为甲状腺肿瘤术后治疗监测。抗体检测有助于判断有无自身免疫性甲状腺疾病。</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74</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T3</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75</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T4</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76</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FT3</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77</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FT4</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78</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TG-Ab</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79</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TPO-Ab</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66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80</w:t>
            </w:r>
            <w:r/>
          </w:p>
        </w:tc>
        <w:tc>
          <w:tcPr>
            <w:shd w:val="clear" w:color="auto" w:fill="ffffff"/>
            <w:tcW w:w="80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免疫测定</w:t>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类风湿因子测定（RF）</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是诊断类风湿关节炎的重要血清学指标之一。也可见于某些感染性疾病，如结核、感染性心内膜炎等。</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7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81</w:t>
            </w:r>
            <w:r/>
          </w:p>
        </w:tc>
        <w:tc>
          <w:tcPr>
            <w:shd w:val="clear" w:color="auto" w:fill="ffffff"/>
            <w:tcW w:w="806"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心肌酶谱</w:t>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磷酸肌酸激酶(CK)</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CK测定主要用于心肌梗死的诊断，对其他系统疾病的诊</w:t>
            </w:r>
            <w:r>
              <w:rPr>
                <w:rFonts w:hint="eastAsia" w:ascii="宋体" w:hAnsi="宋体" w:cs="Arial"/>
                <w:sz w:val="24"/>
                <w:szCs w:val="24"/>
              </w:rPr>
              <w:t xml:space="preserve">疗也具有一定意义</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679"/>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82</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磷酸肌酸激酶同工酶(CK-MB)</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血清CK-MB测定的最重要意义在于诊断急性心肌梗塞</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85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83</w:t>
            </w:r>
            <w:r/>
          </w:p>
        </w:tc>
        <w:tc>
          <w:tcPr>
            <w:shd w:val="clear" w:color="auto" w:fill="ffffff"/>
            <w:tcW w:w="806"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血糖检测</w:t>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空腹血糖</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评价人体空腹状态下血糖水平是否正常，评估糖尿病受检者空腹血糖控制是否达标。空腹血糖是评估糖代谢紊乱的常用和重要指标。</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679"/>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84</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糖化血红蛋白(HbA1C)</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糖化血红蛋白浓度可有效地反映过去8~12周平均血糖水平，用于筛检糖尿病、评价糖尿病血糖控制情况。</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85</w:t>
            </w:r>
            <w:r/>
          </w:p>
        </w:tc>
        <w:tc>
          <w:tcPr>
            <w:shd w:val="clear" w:color="auto" w:fill="ffffff"/>
            <w:tcW w:w="806"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血脂</w:t>
            </w:r>
            <w:r>
              <w:rPr>
                <w:rFonts w:hint="eastAsia" w:ascii="宋体" w:hAnsi="宋体" w:cs="Arial"/>
                <w:sz w:val="24"/>
                <w:szCs w:val="24"/>
              </w:rPr>
              <w:t xml:space="preserve">检测</w:t>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总胆固醇(TC)</w:t>
            </w:r>
            <w:r/>
          </w:p>
        </w:tc>
        <w:tc>
          <w:tcPr>
            <w:shd w:val="clear" w:color="auto" w:fill="ffffff"/>
            <w:tcW w:w="1623"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可筛查高脂血症、动脉粥样硬化、冠心病、严重肝脏损坏等疾病。</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379"/>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86</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甘油三酯(TG)</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36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87</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高密度脂蛋白胆固醇(HDL-C)</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对血管有保护作用。血中含量低则易患血管硬化。</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402"/>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88</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低密度脂蛋白胆固醇(LDL-C)</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越高越不好。是检测动脉粥样硬化的重要指标。</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7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89</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动脉硬化指数监测（AI）</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≥4异常。数值越大动脉硬化的程度越重，发生心脑血管的危险性越高。</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462"/>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90</w:t>
            </w:r>
            <w:r/>
          </w:p>
        </w:tc>
        <w:tc>
          <w:tcPr>
            <w:shd w:val="clear" w:color="auto" w:fill="ffffff"/>
            <w:tcW w:w="806"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肿瘤标志（男19项，女18项）</w:t>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1.甲型胎儿蛋白（AFP）  </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原发性肝癌的诊断、疗效监测。</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7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91</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2.癌症胚胎抗原（CEA）  </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肺、结直肠、乳腺、胃、胰腺、胆管等肿瘤的辅助诊断及疗效的判断。</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619"/>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92</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3.胰腺癌肿瘤筛检（CA199）   </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胰腺癌、胆道恶性肿瘤的诊断及胃肠道、甲状腺肿瘤的诊断和疗效监测。</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7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93</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4.神经元特异性烯醇化酶（NSE）</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小细胞肺癌重要标志物之一，可用于鉴别诊断，监测小细胞肺癌。</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4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94</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5.多种肿瘤标记筛查(CA50)</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胰腺、肝、卵巢、肺等多种肿瘤的诊断和疗效监测。</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7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95</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6.乳腺癌肿瘤筛检（CA153）</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乳腺癌、转移性乳腺癌的诊断及疗效监测。还可以辅助诊断肝癌、卵巢癌、胰腺癌、肺癌等。</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619"/>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96</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7.前列腺特异性抗原（TPSA）（男性项目）</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用于检测前列腺疾病、前列腺癌的诊断及疗效监测</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7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97</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8.游离前列腺特异性抗原（F-PSA）（男性项</w:t>
            </w:r>
            <w:r>
              <w:rPr>
                <w:rFonts w:hint="eastAsia" w:ascii="宋体" w:hAnsi="宋体" w:cs="Arial"/>
                <w:sz w:val="24"/>
                <w:szCs w:val="24"/>
              </w:rPr>
              <w:t xml:space="preserve">目）</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前列腺疾病、前列腺癌的辅助诊断及疗效监测</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90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98</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9.游离前列腺特异性抗原与前列腺特异性抗原的比值（f-PSA/t-PSA）</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评估患者患有前列腺癌风险</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7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99</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10.卵巢癌肿瘤筛检（CA125）（女性项目）</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卵巢、子宫内膜癌的诊断和疗效监测。</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4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100</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11.人绒毛膜促性腺激素（β-HCG）（女性项目）</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用于绒癌、恶性葡萄胎等肿瘤的筛查</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7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101</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12.肺细胞角蛋白抗原21-1（CYF21-1）</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非小细胞肺癌肿瘤标志物，尤其适用于肺鳞癌</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642"/>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102</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13.胃癌肿瘤抗原（CA724）</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胃癌首选的肿瘤标志物筛查，与CEA联合检测，可以提高判断胃癌的敏感性和特异性。</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342"/>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103</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14.血清糖类抗原测定(CA242)</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直结肠癌的肿瘤标志物。</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7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104</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15.血清铁蛋白测定（SF）</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在临床上常用于缺铁性贫血及恶性血液系统疾病，如白血病、淋巴瘤、多发性骨髓瘤</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22"/>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105</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16.鳞状上皮细胞癌抗原 SCC</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主要针对肺鳞癌、头颈部癌、 皮肤癌的检测</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106</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17.α-L-岩藻糖</w:t>
            </w:r>
            <w:r>
              <w:rPr>
                <w:rFonts w:hint="eastAsia" w:ascii="宋体" w:hAnsi="宋体" w:cs="Arial"/>
                <w:sz w:val="24"/>
                <w:szCs w:val="24"/>
              </w:rPr>
              <w:t xml:space="preserve">苷</w:t>
            </w:r>
            <w:r>
              <w:rPr>
                <w:rFonts w:hint="eastAsia" w:ascii="宋体" w:hAnsi="宋体" w:cs="Arial"/>
                <w:sz w:val="24"/>
                <w:szCs w:val="24"/>
              </w:rPr>
              <w:t xml:space="preserve">酶 AFU</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与AFP配合检测肝癌最佳</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642"/>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107</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18.EB病毒衣壳抗原IgA抗体 </w:t>
            </w:r>
            <w:r>
              <w:rPr>
                <w:rFonts w:hint="eastAsia" w:ascii="宋体" w:hAnsi="宋体" w:cs="Arial"/>
                <w:sz w:val="24"/>
                <w:szCs w:val="24"/>
              </w:rPr>
              <w:t xml:space="preserve">EBVIgA</w:t>
            </w:r>
            <w:r>
              <w:rPr>
                <w:rFonts w:hint="eastAsia" w:ascii="宋体" w:hAnsi="宋体" w:cs="Arial"/>
                <w:sz w:val="24"/>
                <w:szCs w:val="24"/>
              </w:rPr>
              <w:t xml:space="preserve">/VCA</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主要针对鼻咽癌的检测</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36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108</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19.血清降钙素 CT</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主要针对甲状腺髓样癌的检测</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7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109</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20.β2微球蛋白 β2-MG</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主要针对恶性淋巴瘤、慢性淋巴细胞性白血病、非霍奇金淋巴瘤、多发性骨髓瘤的检测</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439"/>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110</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21.人生长激素 HGH</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辅助对胃、肾、肺等器官肿瘤的检测</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85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111</w:t>
            </w:r>
            <w:r/>
          </w:p>
        </w:tc>
        <w:tc>
          <w:tcPr>
            <w:shd w:val="clear" w:color="auto" w:fill="ffffff"/>
            <w:tcW w:w="806"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胃功能检查</w:t>
            </w:r>
            <w:r>
              <w:rPr>
                <w:rFonts w:hint="eastAsia" w:ascii="宋体" w:hAnsi="宋体" w:cs="Arial"/>
                <w:sz w:val="24"/>
                <w:szCs w:val="24"/>
              </w:rPr>
              <w:br/>
              <w:t xml:space="preserve">（胃癌早筛）</w:t>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幽门螺杆</w:t>
            </w:r>
            <w:r>
              <w:rPr>
                <w:rFonts w:hint="eastAsia" w:ascii="宋体" w:hAnsi="宋体" w:cs="Arial"/>
                <w:sz w:val="24"/>
                <w:szCs w:val="24"/>
              </w:rPr>
              <w:t xml:space="preserve">菌</w:t>
            </w:r>
            <w:r>
              <w:rPr>
                <w:rFonts w:hint="eastAsia" w:ascii="宋体" w:hAnsi="宋体" w:cs="Arial"/>
                <w:sz w:val="24"/>
                <w:szCs w:val="24"/>
              </w:rPr>
              <w:t xml:space="preserve">检测（C13呼气试验）</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呼气试验阳性示胃幽门螺杆</w:t>
            </w:r>
            <w:r>
              <w:rPr>
                <w:rFonts w:hint="eastAsia" w:ascii="宋体" w:hAnsi="宋体" w:cs="Arial"/>
                <w:sz w:val="24"/>
                <w:szCs w:val="24"/>
              </w:rPr>
              <w:t xml:space="preserve">菌</w:t>
            </w:r>
            <w:r>
              <w:rPr>
                <w:rFonts w:hint="eastAsia" w:ascii="宋体" w:hAnsi="宋体" w:cs="Arial"/>
                <w:sz w:val="24"/>
                <w:szCs w:val="24"/>
              </w:rPr>
              <w:t xml:space="preserve">感染情况，它与胃部炎症、消化性溃疡、胃癌的发生密切关联。该方法具有无</w:t>
            </w:r>
            <w:r>
              <w:rPr>
                <w:rFonts w:hint="eastAsia" w:ascii="宋体" w:hAnsi="宋体" w:cs="Arial"/>
                <w:sz w:val="24"/>
                <w:szCs w:val="24"/>
              </w:rPr>
              <w:t xml:space="preserve">痛、快速、准确的特点。</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942"/>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112</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胃泌素-17（G-17）</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高G-17分泌在胃癌发展过程中起重要促进作用，结合PGⅠ、PG</w:t>
            </w:r>
            <w:r>
              <w:rPr>
                <w:rFonts w:hint="eastAsia" w:ascii="宋体" w:hAnsi="宋体" w:cs="Arial"/>
                <w:sz w:val="24"/>
                <w:szCs w:val="24"/>
              </w:rPr>
              <w:t xml:space="preserve">Ⅱ判断胃</w:t>
            </w:r>
            <w:r>
              <w:rPr>
                <w:rFonts w:hint="eastAsia" w:ascii="宋体" w:hAnsi="宋体" w:cs="Arial"/>
                <w:sz w:val="24"/>
                <w:szCs w:val="24"/>
              </w:rPr>
              <w:t xml:space="preserve">萎缩的部位和萎缩程度，以及胃癌的早期发现和预警有非常重要的意义。</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113</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胃蛋白酶原PG-Ⅰ</w:t>
            </w:r>
            <w:r/>
          </w:p>
        </w:tc>
        <w:tc>
          <w:tcPr>
            <w:shd w:val="clear" w:color="auto" w:fill="ffffff"/>
            <w:tcW w:w="1623"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主要针对慢性胃炎、溃疡病、幽门螺杆</w:t>
            </w:r>
            <w:r>
              <w:rPr>
                <w:rFonts w:hint="eastAsia" w:ascii="宋体" w:hAnsi="宋体" w:cs="Arial"/>
                <w:sz w:val="24"/>
                <w:szCs w:val="24"/>
              </w:rPr>
              <w:t xml:space="preserve">菌</w:t>
            </w:r>
            <w:r>
              <w:rPr>
                <w:rFonts w:hint="eastAsia" w:ascii="宋体" w:hAnsi="宋体" w:cs="Arial"/>
                <w:sz w:val="24"/>
                <w:szCs w:val="24"/>
              </w:rPr>
              <w:t xml:space="preserve">感染的检测</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36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114</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胃蛋白酶原PG-Ⅱ</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439"/>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115</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PGⅠ/ PGⅡ比值测定</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用于胃癌、胃溃疡、萎缩性胃炎的初筛</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序号</w:t>
            </w:r>
            <w:r/>
          </w:p>
        </w:tc>
        <w:tc>
          <w:tcPr>
            <w:gridSpan w:val="6"/>
            <w:shd w:val="clear" w:color="auto" w:fill="ffffff"/>
            <w:tcW w:w="464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器材检查项目</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w:t>
            </w:r>
            <w:r/>
          </w:p>
        </w:tc>
        <w:tc>
          <w:tcPr>
            <w:shd w:val="clear" w:color="auto" w:fill="ffffff"/>
            <w:tcW w:w="806"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彩超检查</w:t>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肝部彩超</w:t>
            </w:r>
            <w:r/>
          </w:p>
        </w:tc>
        <w:tc>
          <w:tcPr>
            <w:shd w:val="clear" w:color="auto" w:fill="ffffff"/>
            <w:tcW w:w="1623"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通过彩色超声仪器对人体肝脏、胆囊、脾脏、胰脏、双肾进行检测,是否有无形态学改变及占位性病变（肿瘤，结石，炎症等）。</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胆囊彩超</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脾脏彩超</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胰脏彩超</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双肾彩超</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859"/>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甲状腺彩超</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通过彩色超声仪器对人体甲状腺进行检测,是否有无形态学改变及占位性病变（肿大、结节、腺瘤及肿瘤等）。</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7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男科前列腺超声波检查（男）        </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通过彩色超声波仪器检测前列腺有无肿块及其他病变。</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60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乳房超声检查（女）         </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通过彩色超声波仪器检测乳腺有无肿块及其他病变。</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42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妇科腹部超声检查（女未婚）</w:t>
            </w:r>
            <w:r/>
          </w:p>
        </w:tc>
        <w:tc>
          <w:tcPr>
            <w:shd w:val="clear" w:color="auto" w:fill="ffffff"/>
            <w:tcW w:w="1623"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通过彩色超声波仪器检测子宫及附件有无病变。</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48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妇科阴道超声检查（女已婚）</w:t>
            </w:r>
            <w:r/>
          </w:p>
        </w:tc>
        <w:tc>
          <w:tcPr>
            <w:shd w:val="clear" w:color="auto" w:fill="ffffff"/>
            <w:tcW w:w="1623"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142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11</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颈动脉彩超</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彩色超声仪器采用无创性检查方法，检测颈动脉结构和动脉粥样硬化斑形态、范围、性质、动脉狭窄程度等；早期发现动脉血管病变，为有效预防和减少冠心病、缺血性脑血管病等心脑血管疾病发病提供客观的血流动力学依据。</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919"/>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12</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心脏彩超</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可动态观察心脏结构与功能，实时显示心内血流状态。对心脏瓣膜、心肌结</w:t>
            </w:r>
            <w:r>
              <w:rPr>
                <w:rFonts w:hint="eastAsia" w:ascii="宋体" w:hAnsi="宋体" w:cs="Arial"/>
                <w:sz w:val="24"/>
                <w:szCs w:val="24"/>
              </w:rPr>
              <w:t xml:space="preserve">构、心肌运动的异常及心脏功能进行初步评判。</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838"/>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13</w:t>
            </w:r>
            <w:r/>
          </w:p>
        </w:tc>
        <w:tc>
          <w:tcPr>
            <w:shd w:val="clear" w:color="auto" w:fill="ffffff"/>
            <w:tcW w:w="806"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低剂量螺旋CT （不出片）</w:t>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肺部（低剂量）</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低剂量螺旋CT(简称LDCT)扫描方案是通过优化扫描参数，改变管电流、管电压和螺距等来降低辐射剂量，胸部扫描辐射剂量仅为常规CT的20％左右。低剂量螺旋CT对肺部筛查有助于发现早期肺癌，特别是周围型肺癌，其诊出率约为胸片的10倍。因其较少的辐射剂量，有效的降低了医源性辐射引起的恶性病变的风险。</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859"/>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14</w:t>
            </w:r>
            <w:r/>
          </w:p>
        </w:tc>
        <w:tc>
          <w:tcPr>
            <w:shd w:val="clear" w:color="auto" w:fill="ffffff"/>
            <w:tcW w:w="806"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DR摄影检查</w:t>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腰椎X光摄影检查（侧位）</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通过DR数码摄片来判断椎体有无骨质增生、先天性畸形,血管有无压迫、椎间是否狭窄，常用于筛查颈椎病等。</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90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15</w:t>
            </w:r>
            <w:r/>
          </w:p>
        </w:tc>
        <w:tc>
          <w:tcPr>
            <w:shd w:val="clear" w:color="auto" w:fill="ffffff"/>
            <w:tcW w:w="80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心电图</w:t>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心电图</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通过在体表特定部位同步记录和分析心脏每一个心动周期所产生电活动变化的曲线图形，为心脏疾病诊断、疗效评价、预后评估提供重要的依据。</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1062"/>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16</w:t>
            </w:r>
            <w:r/>
          </w:p>
        </w:tc>
        <w:tc>
          <w:tcPr>
            <w:shd w:val="clear" w:color="auto" w:fill="ffffff"/>
            <w:tcW w:w="80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亚健康分析</w:t>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人体成分分析</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测量人体成分：体脂肪、肌肉、水分、矿物质、体重、BMI（身体质量指数）、非脂肪量等各项健康指数,有效指示客人的身体健康状况。</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4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17</w:t>
            </w:r>
            <w:r/>
          </w:p>
        </w:tc>
        <w:tc>
          <w:tcPr>
            <w:shd w:val="clear" w:color="auto" w:fill="ffffff"/>
            <w:tcW w:w="806"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脑血管血流检测</w:t>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经颅多普勒(TCD）</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检测脑部供血状况。</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642"/>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18</w:t>
            </w:r>
            <w:r/>
          </w:p>
        </w:tc>
        <w:tc>
          <w:tcPr>
            <w:shd w:val="clear" w:color="auto" w:fill="ffffff"/>
            <w:tcW w:w="806"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骨密度</w:t>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骨密度检测（经脚踝）</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通过骨密度仪检查骨质密度，早期发现骨量减少及估计骨质疏松的程度，及时进行有效防治。</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799"/>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19</w:t>
            </w:r>
            <w:r/>
          </w:p>
        </w:tc>
        <w:tc>
          <w:tcPr>
            <w:shd w:val="clear" w:color="auto" w:fill="ffffff"/>
            <w:tcW w:w="806"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VBP-9动脉硬化检测</w:t>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动脉硬化</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为临床动脉硬化、动脉炎、血管闭塞和糖尿病足等提供可靠检查方法，也可辅助检查周身血管中的血栓情况。</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序号</w:t>
            </w:r>
            <w:r/>
          </w:p>
        </w:tc>
        <w:tc>
          <w:tcPr>
            <w:gridSpan w:val="6"/>
            <w:shd w:val="clear" w:color="auto" w:fill="ffffff"/>
            <w:tcW w:w="464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已婚女性附加项目</w:t>
            </w:r>
            <w:r/>
          </w:p>
        </w:tc>
      </w:tr>
      <w:tr>
        <w:trPr>
          <w:trHeight w:val="90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w:t>
            </w:r>
            <w:r/>
          </w:p>
        </w:tc>
        <w:tc>
          <w:tcPr>
            <w:shd w:val="clear" w:color="auto" w:fill="ffffff"/>
            <w:tcW w:w="806"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妇科检查</w:t>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妇科内诊</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通过妇科体格检查，检查阴道、子宫、附件、盆腔等脏器基本情况，发现常见妇科疾病的相关征兆，或初步排除妇科常见疾病。</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882"/>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白带常规</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白带常规检查能够快速、方便、高效的反映阴道酸碱度、清洁度以及有无感染等的情况，因而是妇科体检中简便易行的常规项目之一。</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859"/>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w:t>
            </w:r>
            <w:r/>
          </w:p>
        </w:tc>
        <w:tc>
          <w:tcPr>
            <w:shd w:val="clear" w:color="auto" w:fill="ffffff"/>
            <w:tcW w:w="806"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宫颈癌筛查</w:t>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子宫颈抹片检查（</w:t>
            </w:r>
            <w:r>
              <w:rPr>
                <w:rFonts w:hint="eastAsia" w:ascii="宋体" w:hAnsi="宋体" w:cs="Arial"/>
                <w:sz w:val="24"/>
                <w:szCs w:val="24"/>
              </w:rPr>
              <w:t xml:space="preserve">液基超薄</w:t>
            </w:r>
            <w:r>
              <w:rPr>
                <w:rFonts w:hint="eastAsia" w:ascii="宋体" w:hAnsi="宋体" w:cs="Arial"/>
                <w:sz w:val="24"/>
                <w:szCs w:val="24"/>
              </w:rPr>
              <w:t xml:space="preserve">细胞检测,TCT）</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筛查宫颈早期病变较先进的检测方法，同时还能发现部分微生物感染如假丝酵母菌、滴虫等。</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642"/>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w:t>
            </w:r>
            <w:r/>
          </w:p>
        </w:tc>
        <w:tc>
          <w:tcPr>
            <w:shd w:val="clear" w:color="auto" w:fill="ffffff"/>
            <w:tcW w:w="80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18"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人乳头瘤病毒分析全套检测（共23型）HPV</w:t>
            </w:r>
            <w:r/>
          </w:p>
        </w:tc>
        <w:tc>
          <w:tcPr>
            <w:shd w:val="clear" w:color="auto" w:fill="ffffff"/>
            <w:tcW w:w="1623"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高危</w:t>
            </w:r>
            <w:r>
              <w:rPr>
                <w:rFonts w:hint="eastAsia" w:ascii="宋体" w:hAnsi="宋体" w:cs="Arial"/>
                <w:sz w:val="24"/>
                <w:szCs w:val="24"/>
              </w:rPr>
              <w:t xml:space="preserve">和低危人</w:t>
            </w:r>
            <w:r>
              <w:rPr>
                <w:rFonts w:hint="eastAsia" w:ascii="宋体" w:hAnsi="宋体" w:cs="Arial"/>
                <w:sz w:val="24"/>
                <w:szCs w:val="24"/>
              </w:rPr>
              <w:t xml:space="preserve">乳头瘤病毒感染诊断。</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序号</w:t>
            </w:r>
            <w:r/>
          </w:p>
        </w:tc>
        <w:tc>
          <w:tcPr>
            <w:gridSpan w:val="6"/>
            <w:shd w:val="clear" w:color="auto" w:fill="ffffff"/>
            <w:tcW w:w="464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其他附加项目</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w:t>
            </w:r>
            <w:r/>
          </w:p>
        </w:tc>
        <w:tc>
          <w:tcPr>
            <w:gridSpan w:val="3"/>
            <w:shd w:val="clear" w:color="auto" w:fill="ffffff"/>
            <w:tcW w:w="3447"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健康餐营养早餐</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w:t>
            </w:r>
            <w:r/>
          </w:p>
        </w:tc>
        <w:tc>
          <w:tcPr>
            <w:gridSpan w:val="3"/>
            <w:shd w:val="clear" w:color="auto" w:fill="ffffff"/>
            <w:tcW w:w="3447"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个人健康电子档案/建立终身的健康电子档案</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bl>
    <w:p>
      <w:pPr>
        <w:ind w:firstLine="482"/>
        <w:spacing w:line="360" w:lineRule="auto"/>
        <w:widowControl/>
        <w:rPr>
          <w:rFonts w:hint="eastAsia" w:ascii="宋体" w:hAnsi="宋体"/>
          <w:b/>
          <w:sz w:val="24"/>
        </w:rPr>
        <w:outlineLvl w:val="0"/>
      </w:pPr>
      <w:r>
        <w:rPr>
          <w:rFonts w:hint="eastAsia" w:ascii="宋体" w:hAnsi="宋体"/>
          <w:b/>
          <w:sz w:val="24"/>
        </w:rPr>
        <w:t xml:space="preserve">3、</w:t>
      </w:r>
      <w:r>
        <w:rPr>
          <w:rFonts w:hint="eastAsia" w:ascii="宋体" w:hAnsi="宋体" w:cs="宋体"/>
          <w:b/>
          <w:bCs/>
          <w:sz w:val="24"/>
        </w:rPr>
        <w:t xml:space="preserve">后勤</w:t>
      </w:r>
      <w:r>
        <w:rPr>
          <w:rFonts w:hint="eastAsia" w:ascii="宋体" w:hAnsi="宋体" w:cs="宋体"/>
          <w:b/>
          <w:bCs/>
          <w:sz w:val="24"/>
          <w:lang w:val="zh-CN"/>
        </w:rPr>
        <w:t xml:space="preserve">人员体检项目</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Look w:val="04A0" w:firstRow="1" w:lastRow="0" w:firstColumn="1" w:lastColumn="0" w:noHBand="0" w:noVBand="1"/>
      </w:tblPr>
      <w:tblGrid>
        <w:gridCol w:w="710"/>
        <w:gridCol w:w="1449"/>
        <w:gridCol w:w="2044"/>
        <w:gridCol w:w="3377"/>
        <w:gridCol w:w="466"/>
        <w:gridCol w:w="958"/>
        <w:gridCol w:w="958"/>
      </w:tblGrid>
      <w:tr>
        <w:trPr>
          <w:trHeight w:val="702"/>
        </w:trPr>
        <w:tc>
          <w:tcPr>
            <w:gridSpan w:val="7"/>
            <w:shd w:val="clear" w:color="auto" w:fill="ffffff"/>
            <w:tcW w:w="5000"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2026年后勤福利体检套餐</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　</w:t>
            </w:r>
            <w:r/>
          </w:p>
        </w:tc>
        <w:tc>
          <w:tcPr>
            <w:shd w:val="clear" w:color="auto" w:fill="ffffff"/>
            <w:tcW w:w="727"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项目</w:t>
            </w:r>
            <w:r/>
          </w:p>
        </w:tc>
        <w:tc>
          <w:tcPr>
            <w:shd w:val="clear" w:color="auto" w:fill="ffffff"/>
            <w:tcW w:w="102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指标</w:t>
            </w:r>
            <w:r/>
          </w:p>
        </w:tc>
        <w:tc>
          <w:tcPr>
            <w:shd w:val="clear" w:color="auto" w:fill="ffffff"/>
            <w:tcW w:w="1695"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  </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男</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未婚女</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已婚女</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序号</w:t>
            </w:r>
            <w:r/>
          </w:p>
        </w:tc>
        <w:tc>
          <w:tcPr>
            <w:gridSpan w:val="6"/>
            <w:shd w:val="clear" w:color="auto" w:fill="ffffff"/>
            <w:tcW w:w="464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临床检查项目</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w:t>
            </w:r>
            <w:r/>
          </w:p>
        </w:tc>
        <w:tc>
          <w:tcPr>
            <w:shd w:val="clear" w:color="auto" w:fill="ffffff"/>
            <w:tcW w:w="727"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一般检查A</w:t>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身高</w:t>
            </w:r>
            <w:r/>
          </w:p>
        </w:tc>
        <w:tc>
          <w:tcPr>
            <w:shd w:val="clear" w:color="auto" w:fill="ffffff"/>
            <w:tcW w:w="1695"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通过仪器测量人体身高、体重及血压，科学判断体重是否标准、血压是否正常，并且为相关科室的诊断提供重要的依据。</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体重</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体重指数BMI</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血压</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w:t>
            </w:r>
            <w:r/>
          </w:p>
        </w:tc>
        <w:tc>
          <w:tcPr>
            <w:shd w:val="clear" w:color="auto" w:fill="ffffff"/>
            <w:tcW w:w="727"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外科检查A           </w:t>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皮肤</w:t>
            </w:r>
            <w:r/>
          </w:p>
        </w:tc>
        <w:tc>
          <w:tcPr>
            <w:shd w:val="clear" w:color="auto" w:fill="ffffff"/>
            <w:tcW w:w="1695"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通过体格检查，检查皮肤,浅表淋巴结,甲状腺,脊柱,四肢关节，乳房等脏器基本情况，发现常见外科疾病的相关征兆，或初步排除外科常见疾病。</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浅表淋巴结</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甲状腺</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脊柱</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四肢关节</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乳房</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11</w:t>
            </w:r>
            <w:r/>
          </w:p>
        </w:tc>
        <w:tc>
          <w:tcPr>
            <w:shd w:val="clear" w:color="auto" w:fill="ffffff"/>
            <w:tcW w:w="727"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内科检查A</w:t>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营养</w:t>
            </w:r>
            <w:r/>
          </w:p>
        </w:tc>
        <w:tc>
          <w:tcPr>
            <w:shd w:val="clear" w:color="auto" w:fill="ffffff"/>
            <w:tcW w:w="1695"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通过体格检查，检查心、肺、腹部等器官及部位的基本状况,发现常见疾病的相关征兆或初步排除常见疾病。</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12</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面容</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13</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心脏</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14</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胸廓</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15</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肺部</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16</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腹部</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17</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肝脏</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18</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脾脏</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342"/>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19</w:t>
            </w:r>
            <w:r/>
          </w:p>
        </w:tc>
        <w:tc>
          <w:tcPr>
            <w:shd w:val="clear" w:color="auto" w:fill="ffffff"/>
            <w:tcW w:w="727"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眼科检查</w:t>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视力</w:t>
            </w:r>
            <w:r/>
          </w:p>
        </w:tc>
        <w:tc>
          <w:tcPr>
            <w:shd w:val="clear" w:color="auto" w:fill="ffffff"/>
            <w:tcW w:w="1695"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了解视力状况,眼外观是否正常，通过眼底镜检查眼底视网膜、视神经、视乳头和视网膜中央血管等有无异常情况，通过裂隙灯检查巩膜、虹膜、角膜、瞳孔、玻璃体、晶体等有</w:t>
            </w:r>
            <w:r>
              <w:rPr>
                <w:rFonts w:hint="eastAsia" w:ascii="宋体" w:hAnsi="宋体" w:cs="Arial"/>
                <w:sz w:val="24"/>
                <w:szCs w:val="24"/>
              </w:rPr>
              <w:t xml:space="preserve">无异常情况。</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42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20</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外眼</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48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21</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眼底镜</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22</w:t>
            </w:r>
            <w:r/>
          </w:p>
        </w:tc>
        <w:tc>
          <w:tcPr>
            <w:shd w:val="clear" w:color="auto" w:fill="ffffff"/>
            <w:tcW w:w="727"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耳鼻</w:t>
            </w:r>
            <w:r>
              <w:rPr>
                <w:rFonts w:hint="eastAsia" w:ascii="宋体" w:hAnsi="宋体" w:cs="Arial"/>
                <w:sz w:val="24"/>
                <w:szCs w:val="24"/>
              </w:rPr>
              <w:t xml:space="preserve">喉</w:t>
            </w:r>
            <w:r>
              <w:rPr>
                <w:rFonts w:hint="eastAsia" w:ascii="宋体" w:hAnsi="宋体" w:cs="Arial"/>
                <w:sz w:val="24"/>
                <w:szCs w:val="24"/>
              </w:rPr>
              <w:t xml:space="preserve">检查</w:t>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鼻咽</w:t>
            </w:r>
            <w:r/>
          </w:p>
        </w:tc>
        <w:tc>
          <w:tcPr>
            <w:shd w:val="clear" w:color="auto" w:fill="ffffff"/>
            <w:tcW w:w="1695"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通过对耳、鼻、咽、扁桃体的常规检查，初步筛查相关常见疾病。</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23</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耳</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24</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喉</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序号</w:t>
            </w:r>
            <w:r/>
          </w:p>
        </w:tc>
        <w:tc>
          <w:tcPr>
            <w:gridSpan w:val="6"/>
            <w:shd w:val="clear" w:color="auto" w:fill="ffffff"/>
            <w:tcW w:w="464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实验室检查项目</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w:t>
            </w:r>
            <w:r/>
          </w:p>
        </w:tc>
        <w:tc>
          <w:tcPr>
            <w:shd w:val="clear" w:color="auto" w:fill="ffffff"/>
            <w:tcW w:w="727"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血液常规（23项，五分类）</w:t>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白细胞</w:t>
            </w:r>
            <w:r/>
          </w:p>
        </w:tc>
        <w:tc>
          <w:tcPr>
            <w:shd w:val="clear" w:color="auto" w:fill="ffffff"/>
            <w:tcW w:w="1695"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通过血液常规检测，检查白细胞、红细胞、血色素、血小板等指标来反映身体状况，如：贫血、感染、血液系统疾病、物理化学因素损伤等。</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中性细胞百分比</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淋巴细胞百分比</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中间细胞百分比</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嗜酸性粒细胞百分比</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嗜碱性粒细胞百分比</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中性粒细胞数</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淋巴细胞数</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中间细胞计数</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嗜酸性粒细胞</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11</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嗜碱性粒细胞</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12</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红细胞</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13</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血红蛋白</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14</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红细胞压积</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15</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平均红细胞体积</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16</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平均血红蛋白量</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17</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平均血红蛋白浓度</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18</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红细胞分布宽度</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19</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血小板</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20</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血小板平均体机</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21</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血小板分布宽度</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22</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血小板容积</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23</w:t>
            </w:r>
            <w:r/>
          </w:p>
        </w:tc>
        <w:tc>
          <w:tcPr>
            <w:shd w:val="clear" w:color="auto" w:fill="ffffff"/>
            <w:tcW w:w="727"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尿常规（15项）</w:t>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尿胆原</w:t>
            </w:r>
            <w:r/>
          </w:p>
        </w:tc>
        <w:tc>
          <w:tcPr>
            <w:shd w:val="clear" w:color="auto" w:fill="ffffff"/>
            <w:tcW w:w="1695"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是筛查泌尿系统疾病如泌尿系统感染、肿瘤、结石等的一种简单、常用的方法。对于某些全身性病变以及身体其他脏器影响尿液改变的疾病如糖尿病、血液病、肝胆疾患等的诊断，也有很重要的参考价值。</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24</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胆红素</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25</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尿酮体</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26</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隐血</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27</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尿蛋白</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28</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亚硝酸盐</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29</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尿白细胞</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30</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尿糖</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31</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尿比重</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32</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酸碱度</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33</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维生素C</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34</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镜检白细胞</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35</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镜检红细胞</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36</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镜检管型</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37</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镜检结晶</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38</w:t>
            </w:r>
            <w:r/>
          </w:p>
        </w:tc>
        <w:tc>
          <w:tcPr>
            <w:shd w:val="clear" w:color="auto" w:fill="ffffff"/>
            <w:tcW w:w="727"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肾功3项</w:t>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血尿素氮（BUN)</w:t>
            </w:r>
            <w:r/>
          </w:p>
        </w:tc>
        <w:tc>
          <w:tcPr>
            <w:shd w:val="clear" w:color="auto" w:fill="ffffff"/>
            <w:tcW w:w="1695"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用于诊断肾功能异常，痛风，高尿酸血症等。</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39</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血肌酸酐（CR)</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40</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血清尿酸检测（UA)</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60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41</w:t>
            </w:r>
            <w:r/>
          </w:p>
        </w:tc>
        <w:tc>
          <w:tcPr>
            <w:shd w:val="clear" w:color="auto" w:fill="ffffff"/>
            <w:tcW w:w="727"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肝功4 项</w:t>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血清丙氨酸氨基转移酶（ALT）   </w:t>
            </w:r>
            <w:r/>
          </w:p>
        </w:tc>
        <w:tc>
          <w:tcPr>
            <w:shd w:val="clear" w:color="auto" w:fill="ffffff"/>
            <w:tcW w:w="1695"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是肝细胞受损最敏感的指标，升高可提示肝胆系统疾病。</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36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42</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血清天门冬氨酸氨基转移酶（AST）</w:t>
            </w:r>
            <w:r/>
          </w:p>
        </w:tc>
        <w:tc>
          <w:tcPr>
            <w:shd w:val="clear" w:color="auto" w:fill="ffffff"/>
            <w:tcW w:w="1695"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肝脏、肌肉及心肌损害时升高。</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85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43</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谷草/谷丙（AST/ALT）</w:t>
            </w:r>
            <w:r/>
          </w:p>
        </w:tc>
        <w:tc>
          <w:tcPr>
            <w:shd w:val="clear" w:color="auto" w:fill="ffffff"/>
            <w:tcW w:w="1695"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反映肝细胞的损害情况。降低见于急性肝炎和轻症的慢性肝炎；升高见于慢性肝炎的后期,肝硬化和肝癌。</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619"/>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44</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tcPr>
          <w:p>
            <w:pPr>
              <w:widowControl/>
              <w:rPr>
                <w:rFonts w:hint="eastAsia" w:ascii="宋体" w:hAnsi="宋体" w:cs="Arial"/>
                <w:sz w:val="24"/>
                <w:szCs w:val="24"/>
              </w:rPr>
            </w:pPr>
            <w:r>
              <w:rPr>
                <w:rFonts w:hint="eastAsia" w:ascii="宋体" w:hAnsi="宋体" w:cs="Arial"/>
                <w:sz w:val="24"/>
                <w:szCs w:val="24"/>
              </w:rPr>
              <w:t xml:space="preserve">血清γ-谷氨酰转移酶（GGT）</w:t>
            </w:r>
            <w:r/>
          </w:p>
        </w:tc>
        <w:tc>
          <w:tcPr>
            <w:shd w:val="clear" w:color="auto" w:fill="ffffff"/>
            <w:tcW w:w="1695"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最常用于筛检肝脏机能障碍，当肝内合成亢进或胆汁排出受阻时，血清中GGT增高。</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85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45</w:t>
            </w:r>
            <w:r/>
          </w:p>
        </w:tc>
        <w:tc>
          <w:tcPr>
            <w:shd w:val="clear" w:color="auto" w:fill="ffffff"/>
            <w:tcW w:w="727"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血糖检测</w:t>
            </w:r>
            <w:r/>
          </w:p>
        </w:tc>
        <w:tc>
          <w:tcPr>
            <w:shd w:val="clear" w:color="auto" w:fill="ffffff"/>
            <w:tcW w:w="102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空腹血糖</w:t>
            </w:r>
            <w:r/>
          </w:p>
        </w:tc>
        <w:tc>
          <w:tcPr>
            <w:shd w:val="clear" w:color="auto" w:fill="ffffff"/>
            <w:tcW w:w="1695"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评价人体空腹状态下血糖水平是否正常，评估糖尿病受检者空腹血糖控制是否达标。空腹血糖是评估糖代谢紊乱的常用和重要指标。</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46</w:t>
            </w:r>
            <w:r/>
          </w:p>
        </w:tc>
        <w:tc>
          <w:tcPr>
            <w:shd w:val="clear" w:color="auto" w:fill="ffffff"/>
            <w:tcW w:w="727"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血脂</w:t>
            </w:r>
            <w:r>
              <w:rPr>
                <w:rFonts w:hint="eastAsia" w:ascii="宋体" w:hAnsi="宋体" w:cs="Arial"/>
                <w:sz w:val="24"/>
                <w:szCs w:val="24"/>
              </w:rPr>
              <w:t xml:space="preserve">检测</w:t>
            </w:r>
            <w:r/>
          </w:p>
        </w:tc>
        <w:tc>
          <w:tcPr>
            <w:shd w:val="clear" w:color="auto" w:fill="ffffff"/>
            <w:tcW w:w="102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总胆固醇(TC)</w:t>
            </w:r>
            <w:r/>
          </w:p>
        </w:tc>
        <w:tc>
          <w:tcPr>
            <w:shd w:val="clear" w:color="auto" w:fill="ffffff"/>
            <w:tcW w:w="1695"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可筛查高脂血症、动脉粥样硬化、冠心病、严重肝脏损坏等疾病。</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47</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甘油三酯(TG)</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1039"/>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48</w:t>
            </w:r>
            <w:r/>
          </w:p>
        </w:tc>
        <w:tc>
          <w:tcPr>
            <w:shd w:val="clear" w:color="auto" w:fill="ffffff"/>
            <w:tcW w:w="727" w:type="pct"/>
            <w:vAlign w:val="center"/>
            <w:vMerge w:val="restart"/>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肿瘤标志</w:t>
            </w:r>
            <w:r/>
          </w:p>
        </w:tc>
        <w:tc>
          <w:tcPr>
            <w:shd w:val="clear" w:color="auto" w:fill="ffffff"/>
            <w:tcW w:w="102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癌胚抗原（CEA，发光法）    </w:t>
            </w:r>
            <w:r/>
          </w:p>
        </w:tc>
        <w:tc>
          <w:tcPr>
            <w:shd w:val="clear" w:color="auto" w:fill="ffffff"/>
            <w:tcW w:w="1695"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是广谱性肿瘤标志物，对大肠癌、胰腺癌的筛查、疗效观察和预后评估有重要的临床意义。在胃、乳腺、肺癌等也可升高。</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822"/>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49</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甲胎蛋白（AFP，发光法）  </w:t>
            </w:r>
            <w:r/>
          </w:p>
        </w:tc>
        <w:tc>
          <w:tcPr>
            <w:shd w:val="clear" w:color="auto" w:fill="ffffff"/>
            <w:tcW w:w="1695"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对原发性肝癌的诊断、疗效观察和预后评估有重要的临床意义。在卵巢、胃、胰腺癌、睾丸癌等肿瘤及妊娠、胎儿畸形肝炎、肝硬化等疾病也有辅助诊断。</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序号</w:t>
            </w:r>
            <w:r/>
          </w:p>
        </w:tc>
        <w:tc>
          <w:tcPr>
            <w:gridSpan w:val="6"/>
            <w:shd w:val="clear" w:color="auto" w:fill="ffffff"/>
            <w:tcW w:w="464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器材检查项目</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w:t>
            </w:r>
            <w:r/>
          </w:p>
        </w:tc>
        <w:tc>
          <w:tcPr>
            <w:shd w:val="clear" w:color="auto" w:fill="ffffff"/>
            <w:tcW w:w="727"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彩超检查</w:t>
            </w:r>
            <w:r/>
          </w:p>
        </w:tc>
        <w:tc>
          <w:tcPr>
            <w:shd w:val="clear" w:color="auto" w:fill="ffffff"/>
            <w:tcW w:w="102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肝部彩超</w:t>
            </w:r>
            <w:r/>
          </w:p>
        </w:tc>
        <w:tc>
          <w:tcPr>
            <w:shd w:val="clear" w:color="auto" w:fill="ffffff"/>
            <w:tcW w:w="1695"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通过彩色超声仪器对人体肝脏、胆囊、脾脏、胰脏、双肾进行检测,是否有无形态学改变及占位性病变（肿瘤，结石，炎症等）。</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胆囊彩超</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3</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脾脏彩超</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4</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胰脏彩超</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5</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双肾彩超</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882"/>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6</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男科前列腺超声波检查（男）</w:t>
            </w:r>
            <w:r/>
          </w:p>
        </w:tc>
        <w:tc>
          <w:tcPr>
            <w:shd w:val="clear" w:color="auto" w:fill="ffffff"/>
            <w:tcW w:w="1695"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在膀胱充盈时通过彩色超声仪器检查。更清晰地观察前列腺大小、形态、结构等情况，判断有无前列腺增大、囊肿、结</w:t>
            </w:r>
            <w:r>
              <w:rPr>
                <w:rFonts w:hint="eastAsia" w:ascii="宋体" w:hAnsi="宋体" w:cs="Arial"/>
                <w:sz w:val="24"/>
                <w:szCs w:val="24"/>
              </w:rPr>
              <w:t xml:space="preserve">石，恶性病变等。</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439"/>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7</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乳房超声检查（女）         </w:t>
            </w:r>
            <w:r/>
          </w:p>
        </w:tc>
        <w:tc>
          <w:tcPr>
            <w:shd w:val="clear" w:color="auto" w:fill="ffffff"/>
            <w:tcW w:w="1695"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通过彩色超声波仪器检测乳腺有无肿块及其他病变。</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36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8</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妇科腹部超声检查（女未婚）</w:t>
            </w:r>
            <w:r/>
          </w:p>
        </w:tc>
        <w:tc>
          <w:tcPr>
            <w:shd w:val="clear" w:color="auto" w:fill="ffffff"/>
            <w:tcW w:w="1695" w:type="pct"/>
            <w:vAlign w:val="center"/>
            <w:vMerge w:val="restart"/>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通过彩色超声波仪器检测子宫及附件有无病变。</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559"/>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9</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妇科阴道超声检查（女已婚）</w:t>
            </w:r>
            <w:r/>
          </w:p>
        </w:tc>
        <w:tc>
          <w:tcPr>
            <w:shd w:val="clear" w:color="auto" w:fill="ffffff"/>
            <w:tcW w:w="1695"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85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10</w:t>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颈动脉超声检查</w:t>
            </w:r>
            <w:r/>
          </w:p>
        </w:tc>
        <w:tc>
          <w:tcPr>
            <w:shd w:val="clear" w:color="auto" w:fill="ffffff"/>
            <w:tcW w:w="1695"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颈动脉超声检查可对颈部血管病变（扩张，狭窄以及斑块形成等）的范围、部位、严重程度及颅外脑循环异常</w:t>
            </w:r>
            <w:r>
              <w:rPr>
                <w:rFonts w:hint="eastAsia" w:ascii="宋体" w:hAnsi="宋体" w:cs="Arial"/>
                <w:sz w:val="24"/>
                <w:szCs w:val="24"/>
              </w:rPr>
              <w:t xml:space="preserve">作客</w:t>
            </w:r>
            <w:r>
              <w:rPr>
                <w:rFonts w:hint="eastAsia" w:ascii="宋体" w:hAnsi="宋体" w:cs="Arial"/>
                <w:sz w:val="24"/>
                <w:szCs w:val="24"/>
              </w:rPr>
              <w:t xml:space="preserve">观评估。</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72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11</w:t>
            </w:r>
            <w:r/>
          </w:p>
        </w:tc>
        <w:tc>
          <w:tcPr>
            <w:shd w:val="clear" w:color="auto" w:fill="ffffff"/>
            <w:tcW w:w="727"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DR摄影检查</w:t>
            </w:r>
            <w:r/>
          </w:p>
        </w:tc>
        <w:tc>
          <w:tcPr>
            <w:shd w:val="clear" w:color="auto" w:fill="ffffff"/>
            <w:tcW w:w="102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胸部X光摄影检查（正位片）</w:t>
            </w:r>
            <w:r/>
          </w:p>
        </w:tc>
        <w:tc>
          <w:tcPr>
            <w:shd w:val="clear" w:color="auto" w:fill="ffffff"/>
            <w:tcW w:w="1695"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通过DR数码摄片检查两肺、心脏、</w:t>
            </w:r>
            <w:r>
              <w:rPr>
                <w:rFonts w:hint="eastAsia" w:ascii="宋体" w:hAnsi="宋体" w:cs="Arial"/>
                <w:sz w:val="24"/>
                <w:szCs w:val="24"/>
              </w:rPr>
              <w:t xml:space="preserve">纵隔</w:t>
            </w:r>
            <w:r>
              <w:rPr>
                <w:rFonts w:hint="eastAsia" w:ascii="宋体" w:hAnsi="宋体" w:cs="Arial"/>
                <w:sz w:val="24"/>
                <w:szCs w:val="24"/>
              </w:rPr>
              <w:t xml:space="preserve">、胸膜，判断有无炎症、肿瘤等。</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900"/>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12</w:t>
            </w:r>
            <w:r/>
          </w:p>
        </w:tc>
        <w:tc>
          <w:tcPr>
            <w:shd w:val="clear" w:color="auto" w:fill="ffffff"/>
            <w:tcW w:w="727"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心电图</w:t>
            </w:r>
            <w:r/>
          </w:p>
        </w:tc>
        <w:tc>
          <w:tcPr>
            <w:shd w:val="clear" w:color="auto" w:fill="ffffff"/>
            <w:tcW w:w="102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心电图</w:t>
            </w:r>
            <w:r/>
          </w:p>
        </w:tc>
        <w:tc>
          <w:tcPr>
            <w:shd w:val="clear" w:color="auto" w:fill="ffffff"/>
            <w:tcW w:w="1695"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通过在体表特定部位同步记录和分析心脏每一个心动周期所产生电活动变化的曲线图形，为心脏疾病诊断、疗效评价、预后评估提供重要的依据。</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序号</w:t>
            </w:r>
            <w:r/>
          </w:p>
        </w:tc>
        <w:tc>
          <w:tcPr>
            <w:gridSpan w:val="6"/>
            <w:shd w:val="clear" w:color="auto" w:fill="ffffff"/>
            <w:tcW w:w="464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已婚女性附加项目</w:t>
            </w:r>
            <w:r/>
          </w:p>
        </w:tc>
      </w:tr>
      <w:tr>
        <w:trPr>
          <w:trHeight w:val="719"/>
        </w:trPr>
        <w:tc>
          <w:tcPr>
            <w:shd w:val="clear" w:color="auto" w:fill="ffffff"/>
            <w:tcW w:w="356"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w:t>
            </w:r>
            <w:r/>
          </w:p>
        </w:tc>
        <w:tc>
          <w:tcPr>
            <w:shd w:val="clear" w:color="auto" w:fill="ffffff"/>
            <w:tcW w:w="727" w:type="pct"/>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妇科检查</w:t>
            </w:r>
            <w:r/>
          </w:p>
        </w:tc>
        <w:tc>
          <w:tcPr>
            <w:shd w:val="clear" w:color="auto" w:fill="ffffff"/>
            <w:tcW w:w="102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妇科会诊</w:t>
            </w:r>
            <w:r/>
          </w:p>
        </w:tc>
        <w:tc>
          <w:tcPr>
            <w:shd w:val="clear" w:color="auto" w:fill="ffffff"/>
            <w:tcW w:w="1695"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通过检查发现外阴皮肤有无异常；阴道有无出血、溃疡；宫颈有无充血和异常分泌物等；子宫有无异常；双侧附件有无肿块及压痛等</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900"/>
        </w:trPr>
        <w:tc>
          <w:tcPr>
            <w:shd w:val="clear" w:color="auto" w:fill="ffffff"/>
            <w:tcW w:w="35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白带常规</w:t>
            </w:r>
            <w:r/>
          </w:p>
        </w:tc>
        <w:tc>
          <w:tcPr>
            <w:shd w:val="clear" w:color="auto" w:fill="ffffff"/>
            <w:tcW w:w="1695"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白带常规检查能够快速、方便、高效的反映阴道酸碱度、清洁度以及有无感染等的情况，因而是妇科体检中简便易行的常规项目之一。</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762"/>
        </w:trPr>
        <w:tc>
          <w:tcPr>
            <w:shd w:val="clear" w:color="auto" w:fill="ffffff"/>
            <w:tcW w:w="356"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727" w:type="pct"/>
            <w:vAlign w:val="center"/>
            <w:vMerge w:val="continue"/>
            <w:textDirection w:val="lrTb"/>
            <w:noWrap w:val="false"/>
          </w:tcPr>
          <w:p>
            <w:pPr>
              <w:widowControl/>
              <w:rPr>
                <w:rFonts w:hint="eastAsia" w:ascii="宋体" w:hAnsi="宋体" w:cs="Arial"/>
                <w:sz w:val="24"/>
                <w:szCs w:val="24"/>
              </w:rPr>
            </w:pPr>
            <w:r>
              <w:rPr>
                <w:rFonts w:hint="eastAsia" w:ascii="宋体" w:hAnsi="宋体" w:cs="Arial"/>
                <w:sz w:val="24"/>
                <w:szCs w:val="24"/>
              </w:rPr>
            </w:r>
            <w:r/>
          </w:p>
        </w:tc>
        <w:tc>
          <w:tcPr>
            <w:shd w:val="clear" w:color="auto" w:fill="ffffff"/>
            <w:tcW w:w="1026"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子宫颈刮片检查（普通细胞学检测）</w:t>
            </w:r>
            <w:r/>
          </w:p>
        </w:tc>
        <w:tc>
          <w:tcPr>
            <w:shd w:val="clear" w:color="auto" w:fill="ffffff"/>
            <w:tcW w:w="1695"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是一种简单的初筛宫颈病变的方法。</w:t>
            </w:r>
            <w:r/>
          </w:p>
        </w:tc>
        <w:tc>
          <w:tcPr>
            <w:shd w:val="clear" w:color="auto" w:fill="ffffff"/>
            <w:tcW w:w="234"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序号</w:t>
            </w:r>
            <w:r/>
          </w:p>
        </w:tc>
        <w:tc>
          <w:tcPr>
            <w:gridSpan w:val="6"/>
            <w:shd w:val="clear" w:color="auto" w:fill="ffffff"/>
            <w:tcW w:w="464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其他附加项目</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1</w:t>
            </w:r>
            <w:r/>
          </w:p>
        </w:tc>
        <w:tc>
          <w:tcPr>
            <w:gridSpan w:val="3"/>
            <w:shd w:val="clear" w:color="auto" w:fill="ffffff"/>
            <w:tcW w:w="3447"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健康餐营养早餐</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r>
        <w:trPr>
          <w:trHeight w:val="285"/>
        </w:trPr>
        <w:tc>
          <w:tcPr>
            <w:shd w:val="clear" w:color="auto" w:fill="ffffff"/>
            <w:tcW w:w="356"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2</w:t>
            </w:r>
            <w:r/>
          </w:p>
        </w:tc>
        <w:tc>
          <w:tcPr>
            <w:gridSpan w:val="3"/>
            <w:shd w:val="clear" w:color="auto" w:fill="ffffff"/>
            <w:tcW w:w="3447" w:type="pct"/>
            <w:vAlign w:val="center"/>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个人健康电子档案/建立终身的健康电子档案</w:t>
            </w:r>
            <w:r/>
          </w:p>
        </w:tc>
        <w:tc>
          <w:tcPr>
            <w:shd w:val="clear" w:color="auto" w:fill="ffffff"/>
            <w:tcW w:w="234"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c>
          <w:tcPr>
            <w:shd w:val="clear" w:color="auto" w:fill="ffffff"/>
            <w:tcW w:w="481" w:type="pct"/>
            <w:vAlign w:val="center"/>
            <w:textDirection w:val="lrTb"/>
            <w:noWrap/>
          </w:tcPr>
          <w:p>
            <w:pPr>
              <w:jc w:val="center"/>
              <w:widowControl/>
              <w:rPr>
                <w:rFonts w:hint="eastAsia" w:ascii="宋体" w:hAnsi="宋体" w:cs="Arial"/>
                <w:sz w:val="24"/>
                <w:szCs w:val="24"/>
              </w:rPr>
            </w:pPr>
            <w:r>
              <w:rPr>
                <w:rFonts w:hint="eastAsia" w:ascii="宋体" w:hAnsi="宋体" w:cs="Arial"/>
                <w:sz w:val="24"/>
                <w:szCs w:val="24"/>
              </w:rPr>
              <w:t xml:space="preserve">★</w:t>
            </w:r>
            <w:r/>
          </w:p>
        </w:tc>
      </w:tr>
    </w:tbl>
    <w:p>
      <w:pPr>
        <w:spacing w:line="360" w:lineRule="auto"/>
        <w:rPr>
          <w:rFonts w:hint="eastAsia" w:ascii="宋体" w:hAnsi="宋体" w:cs="宋体"/>
          <w:b/>
          <w:bCs/>
          <w:sz w:val="24"/>
        </w:rPr>
      </w:pPr>
      <w:r>
        <w:rPr>
          <w:rFonts w:hint="eastAsia" w:ascii="宋体" w:hAnsi="宋体" w:cs="宋体"/>
          <w:b/>
          <w:bCs/>
          <w:sz w:val="24"/>
          <w:lang w:val="zh-CN"/>
        </w:rPr>
        <w:t xml:space="preserve">注：</w:t>
      </w:r>
      <w:r>
        <w:rPr>
          <w:rFonts w:hint="eastAsia" w:ascii="宋体" w:hAnsi="宋体" w:cs="宋体"/>
          <w:b/>
          <w:bCs/>
          <w:sz w:val="24"/>
        </w:rPr>
        <w:t xml:space="preserve">1）成交后，根据采购单位要求，可删减或更换体检项目。</w:t>
      </w:r>
      <w:r/>
    </w:p>
    <w:p>
      <w:pPr>
        <w:ind w:firstLine="482"/>
        <w:spacing w:line="360" w:lineRule="auto"/>
        <w:rPr>
          <w:rFonts w:hint="eastAsia" w:ascii="宋体" w:hAnsi="宋体" w:cs="等线"/>
          <w:sz w:val="24"/>
          <w:szCs w:val="24"/>
        </w:rPr>
      </w:pPr>
      <w:r>
        <w:rPr>
          <w:rFonts w:hint="eastAsia" w:ascii="宋体" w:hAnsi="宋体" w:cs="宋体"/>
          <w:b/>
          <w:bCs/>
          <w:sz w:val="24"/>
        </w:rPr>
        <w:t xml:space="preserve">2）</w:t>
      </w:r>
      <w:r>
        <w:rPr>
          <w:rFonts w:hint="eastAsia" w:ascii="宋体" w:hAnsi="宋体" w:cs="宋体"/>
          <w:b/>
          <w:bCs/>
          <w:sz w:val="24"/>
          <w:lang w:val="zh-CN"/>
        </w:rPr>
        <w:t xml:space="preserve">结算时，按照实际体检人数*成交结算单价，最终结算总额不得超过成交总金额。</w:t>
      </w:r>
      <w:r/>
    </w:p>
    <w:p>
      <w:pPr>
        <w:ind w:firstLine="480"/>
        <w:spacing w:line="360" w:lineRule="auto"/>
        <w:rPr>
          <w:rFonts w:hint="eastAsia" w:ascii="宋体" w:hAnsi="宋体" w:cs="等线"/>
          <w:sz w:val="24"/>
          <w:szCs w:val="24"/>
        </w:rPr>
      </w:pPr>
      <w:r>
        <w:rPr>
          <w:rFonts w:hint="eastAsia" w:ascii="宋体" w:hAnsi="宋体" w:cs="等线"/>
          <w:sz w:val="24"/>
          <w:szCs w:val="24"/>
        </w:rPr>
        <w:t xml:space="preserve">（四）服务要求</w:t>
      </w:r>
      <w:r/>
    </w:p>
    <w:p>
      <w:pPr>
        <w:ind w:firstLine="480"/>
        <w:spacing w:line="360" w:lineRule="auto"/>
        <w:rPr>
          <w:rFonts w:hint="eastAsia" w:ascii="宋体" w:hAnsi="宋体" w:cs="等线"/>
          <w:sz w:val="24"/>
          <w:szCs w:val="24"/>
        </w:rPr>
      </w:pPr>
      <w:r>
        <w:rPr>
          <w:rFonts w:hint="eastAsia" w:ascii="宋体" w:hAnsi="宋体" w:cs="等线"/>
          <w:sz w:val="24"/>
          <w:szCs w:val="24"/>
        </w:rPr>
        <w:t xml:space="preserve">1、</w:t>
      </w:r>
      <w:r>
        <w:rPr>
          <w:rFonts w:hint="eastAsia" w:ascii="宋体" w:hAnsi="宋体" w:cs="等线"/>
          <w:sz w:val="24"/>
          <w:szCs w:val="24"/>
          <w:lang w:val="zh-CN"/>
        </w:rPr>
        <w:t xml:space="preserve">根据采购单位的通知，</w:t>
      </w:r>
      <w:r>
        <w:rPr>
          <w:rFonts w:hint="eastAsia" w:ascii="宋体" w:hAnsi="宋体" w:cs="等线"/>
          <w:sz w:val="24"/>
          <w:szCs w:val="24"/>
        </w:rPr>
        <w:t xml:space="preserve">在指定时间内</w:t>
      </w:r>
      <w:r>
        <w:rPr>
          <w:rFonts w:hint="eastAsia" w:ascii="宋体" w:hAnsi="宋体" w:cs="等线"/>
          <w:sz w:val="24"/>
          <w:szCs w:val="24"/>
          <w:lang w:val="zh-CN"/>
        </w:rPr>
        <w:t xml:space="preserve">安排进行集中体检，安排导</w:t>
      </w:r>
      <w:r>
        <w:rPr>
          <w:rFonts w:hint="eastAsia" w:ascii="宋体" w:hAnsi="宋体" w:cs="等线"/>
          <w:sz w:val="24"/>
          <w:szCs w:val="24"/>
          <w:lang w:val="zh-CN"/>
        </w:rPr>
        <w:t xml:space="preserve">医</w:t>
      </w:r>
      <w:r>
        <w:rPr>
          <w:rFonts w:hint="eastAsia" w:ascii="宋体" w:hAnsi="宋体" w:cs="等线"/>
          <w:sz w:val="24"/>
          <w:szCs w:val="24"/>
          <w:lang w:val="zh-CN"/>
        </w:rPr>
        <w:t xml:space="preserve">引导，确保员工体检流程顺畅</w:t>
      </w:r>
      <w:r>
        <w:rPr>
          <w:rFonts w:hint="eastAsia" w:ascii="宋体" w:hAnsi="宋体" w:cs="等线"/>
          <w:sz w:val="24"/>
          <w:szCs w:val="24"/>
        </w:rPr>
        <w:t xml:space="preserve">。</w:t>
      </w:r>
      <w:r/>
    </w:p>
    <w:p>
      <w:pPr>
        <w:ind w:firstLine="480"/>
        <w:spacing w:line="360" w:lineRule="auto"/>
        <w:rPr>
          <w:rFonts w:hint="eastAsia" w:ascii="宋体" w:hAnsi="宋体" w:cs="等线"/>
          <w:sz w:val="24"/>
          <w:szCs w:val="24"/>
        </w:rPr>
      </w:pPr>
      <w:r>
        <w:rPr>
          <w:rFonts w:hint="eastAsia" w:ascii="宋体" w:hAnsi="宋体" w:cs="等线"/>
          <w:sz w:val="24"/>
          <w:szCs w:val="24"/>
        </w:rPr>
        <w:t xml:space="preserve">2、体检全部结束后，建立</w:t>
      </w:r>
      <w:r>
        <w:rPr>
          <w:rFonts w:hint="eastAsia" w:ascii="宋体" w:hAnsi="宋体" w:cs="宋体"/>
          <w:sz w:val="24"/>
          <w:szCs w:val="24"/>
          <w:lang w:bidi="ar"/>
        </w:rPr>
        <w:t xml:space="preserve">个人健康电子档案/终身的健康电子档案，</w:t>
      </w:r>
      <w:r>
        <w:rPr>
          <w:rFonts w:hint="eastAsia" w:ascii="宋体" w:hAnsi="宋体" w:cs="等线"/>
          <w:sz w:val="24"/>
          <w:szCs w:val="24"/>
        </w:rPr>
        <w:t xml:space="preserve">及时保质保量的提供纸质体检报告及数字化体检报告；体检人员不慎遗失体检表或因工作调动等原因造成采购单位漏报体检人员，成交单位应予及时补发。</w:t>
      </w:r>
      <w:r/>
    </w:p>
    <w:p>
      <w:pPr>
        <w:ind w:firstLine="480"/>
        <w:spacing w:line="360" w:lineRule="auto"/>
        <w:rPr>
          <w:rFonts w:hint="eastAsia" w:ascii="宋体" w:hAnsi="宋体" w:cs="等线"/>
          <w:sz w:val="24"/>
          <w:szCs w:val="24"/>
        </w:rPr>
      </w:pPr>
      <w:r>
        <w:rPr>
          <w:rFonts w:hint="eastAsia" w:ascii="宋体" w:hAnsi="宋体" w:cs="等线"/>
          <w:sz w:val="24"/>
          <w:szCs w:val="24"/>
        </w:rPr>
        <w:t xml:space="preserve">3、为体检对象提供体检之日的免费</w:t>
      </w:r>
      <w:r>
        <w:rPr>
          <w:rFonts w:hint="eastAsia" w:ascii="宋体" w:hAnsi="宋体" w:cs="宋体"/>
          <w:sz w:val="24"/>
          <w:szCs w:val="24"/>
          <w:lang w:bidi="ar"/>
        </w:rPr>
        <w:t xml:space="preserve">健康餐（营养早餐）</w:t>
      </w:r>
      <w:r>
        <w:rPr>
          <w:rFonts w:hint="eastAsia" w:ascii="宋体" w:hAnsi="宋体" w:cs="等线"/>
          <w:sz w:val="24"/>
          <w:szCs w:val="24"/>
        </w:rPr>
        <w:t xml:space="preserve">和免费停车服务。</w:t>
      </w:r>
      <w:r/>
    </w:p>
    <w:p>
      <w:pPr>
        <w:ind w:firstLine="480"/>
        <w:spacing w:line="360" w:lineRule="auto"/>
        <w:rPr>
          <w:rFonts w:hint="eastAsia" w:ascii="宋体" w:hAnsi="宋体" w:cs="等线"/>
          <w:sz w:val="24"/>
          <w:szCs w:val="24"/>
        </w:rPr>
      </w:pPr>
      <w:r>
        <w:rPr>
          <w:rFonts w:hint="eastAsia" w:ascii="宋体" w:hAnsi="宋体" w:cs="等线"/>
          <w:sz w:val="24"/>
          <w:szCs w:val="24"/>
        </w:rPr>
        <w:t xml:space="preserve">4、对体检中发现的问题按照疾病分类，进行详细的分析并提出预防、干预、治疗等意见。</w:t>
      </w:r>
      <w:r/>
    </w:p>
    <w:p>
      <w:pPr>
        <w:ind w:firstLine="480"/>
        <w:spacing w:line="360" w:lineRule="auto"/>
        <w:rPr>
          <w:rFonts w:hint="eastAsia" w:ascii="宋体" w:hAnsi="宋体" w:cs="等线"/>
          <w:sz w:val="24"/>
          <w:szCs w:val="24"/>
        </w:rPr>
      </w:pPr>
      <w:r>
        <w:rPr>
          <w:rFonts w:hint="eastAsia" w:ascii="宋体" w:hAnsi="宋体" w:cs="等线"/>
          <w:sz w:val="24"/>
          <w:szCs w:val="24"/>
        </w:rPr>
        <w:t xml:space="preserve">5、针对检查结果中出现的需要进一步就医检查、定期复查的项目及时通知到位，保证受检人员疾病得到及时诊治；并安排体检异常人员的复检及提供绿色通道，复检费用自理。</w:t>
      </w:r>
      <w:r/>
    </w:p>
    <w:p>
      <w:pPr>
        <w:ind w:firstLine="480"/>
        <w:spacing w:line="360" w:lineRule="auto"/>
        <w:rPr>
          <w:rFonts w:hint="eastAsia" w:ascii="宋体" w:hAnsi="宋体" w:cs="等线"/>
          <w:sz w:val="24"/>
          <w:szCs w:val="24"/>
        </w:rPr>
      </w:pPr>
      <w:r>
        <w:rPr>
          <w:rFonts w:hint="eastAsia" w:ascii="宋体" w:hAnsi="宋体" w:cs="等线"/>
          <w:sz w:val="24"/>
          <w:szCs w:val="24"/>
        </w:rPr>
        <w:t xml:space="preserve">6、设立服务质量投诉电话和征求意见薄，对有关问题及时答复和采取相应的改进措施。</w:t>
      </w:r>
      <w:r/>
    </w:p>
    <w:p>
      <w:pPr>
        <w:ind w:firstLine="480"/>
        <w:spacing w:line="360" w:lineRule="auto"/>
        <w:rPr>
          <w:rFonts w:hint="eastAsia" w:ascii="宋体" w:hAnsi="宋体" w:cs="等线"/>
          <w:sz w:val="24"/>
          <w:szCs w:val="24"/>
        </w:rPr>
      </w:pPr>
      <w:r>
        <w:rPr>
          <w:rFonts w:hint="eastAsia" w:ascii="宋体" w:hAnsi="宋体" w:cs="等线"/>
          <w:sz w:val="24"/>
          <w:szCs w:val="24"/>
        </w:rPr>
        <w:t xml:space="preserve">7、检查过程中因成交单位因素导致重大漏诊及误诊的情形，依照医疗相关法律条款处置。</w:t>
      </w:r>
      <w:r/>
    </w:p>
    <w:p>
      <w:pPr>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六</w:t>
      </w:r>
      <w:r>
        <w:rPr>
          <w:rFonts w:ascii="宋体" w:hAnsi="宋体" w:cs="宋体"/>
          <w:b/>
          <w:sz w:val="24"/>
        </w:rPr>
        <w:t xml:space="preserve">、综合说明：</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1、响应单位所提供的服务能够至少达到以上要求，同时明确详细的服务方案。</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w:t>
      </w:r>
      <w:r>
        <w:rPr>
          <w:rFonts w:ascii="宋体" w:hAnsi="宋体" w:cs="宋体"/>
          <w:sz w:val="24"/>
        </w:rPr>
        <w:t xml:space="preserve">本项目以第二次报价为最终报价，</w:t>
      </w:r>
      <w:r>
        <w:rPr>
          <w:rFonts w:hint="eastAsia" w:ascii="宋体" w:hAnsi="宋体" w:cs="宋体"/>
          <w:sz w:val="24"/>
        </w:rPr>
        <w:t xml:space="preserve">响应单位须对所要采购的全部内容进行报价，只</w:t>
      </w:r>
      <w:r>
        <w:rPr>
          <w:rFonts w:hint="eastAsia" w:ascii="宋体" w:hAnsi="宋体" w:cs="宋体"/>
          <w:sz w:val="24"/>
        </w:rPr>
        <w:t xml:space="preserve">投其中</w:t>
      </w:r>
      <w:r>
        <w:rPr>
          <w:rFonts w:hint="eastAsia" w:ascii="宋体" w:hAnsi="宋体" w:cs="宋体"/>
          <w:sz w:val="24"/>
        </w:rPr>
        <w:t xml:space="preserve">部分内容者，其响应文件将被拒绝，采购人除支付本次采购项目的成交金额</w:t>
      </w:r>
      <w:r>
        <w:rPr>
          <w:rFonts w:hint="eastAsia" w:ascii="宋体" w:hAnsi="宋体" w:cs="宋体"/>
          <w:sz w:val="24"/>
        </w:rPr>
        <w:t xml:space="preserve">外不再</w:t>
      </w:r>
      <w:r>
        <w:rPr>
          <w:rFonts w:hint="eastAsia" w:ascii="宋体" w:hAnsi="宋体" w:cs="宋体"/>
          <w:sz w:val="24"/>
        </w:rPr>
        <w:t xml:space="preserve">承担其他任何费用。</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w:t>
      </w:r>
      <w:r>
        <w:rPr>
          <w:rFonts w:hint="eastAsia" w:ascii="宋体" w:hAnsi="宋体" w:cs="宋体"/>
          <w:sz w:val="24"/>
        </w:rPr>
        <w:t xml:space="preserve">响应单位</w:t>
      </w:r>
      <w:r>
        <w:rPr>
          <w:rFonts w:hint="eastAsia" w:ascii="宋体" w:hAnsi="宋体" w:cs="宋体"/>
          <w:sz w:val="24"/>
        </w:rPr>
        <w:t xml:space="preserve">必须说明其是否响应采购文件中提出的全部服务内容与要求，如果以其中某些条款不响应时，应在文件中逐条列出，未列出的视同响应。</w:t>
      </w:r>
      <w:r/>
    </w:p>
    <w:p>
      <w:pPr>
        <w:ind w:firstLine="480"/>
        <w:spacing w:line="360" w:lineRule="auto"/>
        <w:rPr>
          <w:rFonts w:hint="eastAsia" w:ascii="宋体" w:hAnsi="宋体" w:cs="等线"/>
          <w:sz w:val="24"/>
          <w:szCs w:val="24"/>
        </w:rPr>
      </w:pPr>
      <w:r>
        <w:rPr>
          <w:rFonts w:hint="eastAsia" w:ascii="宋体" w:hAnsi="宋体" w:cs="等线"/>
          <w:sz w:val="24"/>
          <w:szCs w:val="24"/>
        </w:rPr>
        <w:t xml:space="preserve">4、报价</w:t>
      </w:r>
      <w:bookmarkStart w:id="23" w:name="OLE_LINK2"/>
      <w:r>
        <w:rPr>
          <w:rFonts w:hint="eastAsia" w:ascii="宋体" w:hAnsi="宋体" w:cs="等线"/>
          <w:sz w:val="24"/>
          <w:szCs w:val="24"/>
        </w:rPr>
        <w:t xml:space="preserve">完成全部体检服务工作（含停车、就餐等采购文件中明确的相关配套服务）、人工、管理、设备、各种税费、社保、利润、代理服务费、政策性文件规定及合同包含的所有风险、责任等各项应有费用</w:t>
      </w:r>
      <w:bookmarkEnd w:id="23"/>
      <w:r>
        <w:rPr>
          <w:rFonts w:hint="eastAsia" w:ascii="宋体" w:hAnsi="宋体" w:cs="等线"/>
          <w:sz w:val="24"/>
          <w:szCs w:val="24"/>
        </w:rPr>
        <w:t xml:space="preserve">。</w:t>
      </w:r>
      <w:r/>
    </w:p>
    <w:p>
      <w:pPr>
        <w:ind w:firstLine="480"/>
        <w:spacing w:line="360" w:lineRule="auto"/>
        <w:rPr>
          <w:rFonts w:hint="eastAsia" w:ascii="宋体" w:hAnsi="宋体" w:cs="等线"/>
          <w:sz w:val="24"/>
          <w:szCs w:val="24"/>
          <w:lang w:val="zh-CN"/>
        </w:rPr>
      </w:pPr>
      <w:r>
        <w:rPr>
          <w:rFonts w:hint="eastAsia" w:ascii="宋体" w:hAnsi="宋体" w:cs="等线"/>
          <w:sz w:val="24"/>
          <w:szCs w:val="24"/>
        </w:rPr>
        <w:t xml:space="preserve">5</w:t>
      </w:r>
      <w:r>
        <w:rPr>
          <w:rFonts w:hint="eastAsia" w:ascii="宋体" w:hAnsi="宋体" w:cs="等线"/>
          <w:sz w:val="24"/>
          <w:szCs w:val="24"/>
          <w:lang w:val="zh-CN"/>
        </w:rPr>
        <w:t xml:space="preserve">、</w:t>
      </w:r>
      <w:bookmarkStart w:id="24" w:name="OLE_LINK3"/>
      <w:r>
        <w:rPr>
          <w:rFonts w:hint="eastAsia" w:ascii="宋体" w:hAnsi="宋体" w:cs="等线"/>
          <w:sz w:val="24"/>
          <w:szCs w:val="24"/>
        </w:rPr>
        <w:t xml:space="preserve">成交单位在项目服务过程中取得的相关信息，服务人员必须严格保密，不得外泄，否则在结算款中扣罚2万元，并追究其相应的法律责任。</w:t>
      </w:r>
      <w:bookmarkEnd w:id="24"/>
      <w:r/>
      <w:r/>
    </w:p>
    <w:p>
      <w:pPr>
        <w:ind w:firstLine="480"/>
        <w:spacing w:line="360" w:lineRule="auto"/>
        <w:rPr>
          <w:rFonts w:hint="eastAsia" w:ascii="宋体" w:hAnsi="宋体" w:cs="等线"/>
          <w:sz w:val="24"/>
          <w:szCs w:val="24"/>
        </w:rPr>
      </w:pPr>
      <w:r>
        <w:rPr>
          <w:rFonts w:hint="eastAsia" w:ascii="宋体" w:hAnsi="宋体" w:cs="等线"/>
          <w:sz w:val="24"/>
          <w:szCs w:val="24"/>
        </w:rPr>
        <w:t xml:space="preserve">6、知识产权：</w:t>
      </w:r>
      <w:r>
        <w:rPr>
          <w:rFonts w:hint="eastAsia" w:ascii="宋体" w:hAnsi="宋体" w:cs="等线"/>
          <w:sz w:val="24"/>
          <w:szCs w:val="24"/>
        </w:rPr>
        <w:t xml:space="preserve">响应单位</w:t>
      </w:r>
      <w:r>
        <w:rPr>
          <w:rFonts w:hint="eastAsia" w:ascii="宋体" w:hAnsi="宋体" w:cs="等线"/>
          <w:sz w:val="24"/>
          <w:szCs w:val="24"/>
        </w:rPr>
        <w:t xml:space="preserve">应保证采购单位免除且承担由于采购单位在其本国使用该项目或项目任何一部分时而引起第三方提出的侵犯专利权、商标权或工业设计权的起诉、行动、行政程序索赔、请求等以及采购人为此而产生的损失和损害、费用和支出（包括律师费）。</w:t>
      </w:r>
      <w:r/>
    </w:p>
    <w:p>
      <w:pPr>
        <w:ind w:firstLine="480"/>
        <w:spacing w:line="360" w:lineRule="auto"/>
        <w:rPr>
          <w:rFonts w:hint="eastAsia" w:ascii="宋体" w:hAnsi="宋体" w:cs="等线"/>
          <w:sz w:val="24"/>
          <w:szCs w:val="24"/>
          <w:lang w:val="zh-CN"/>
        </w:rPr>
      </w:pPr>
      <w:r>
        <w:rPr>
          <w:rFonts w:hint="eastAsia" w:ascii="宋体" w:hAnsi="宋体" w:cs="等线"/>
          <w:sz w:val="24"/>
          <w:szCs w:val="24"/>
        </w:rPr>
        <w:t xml:space="preserve">7、</w:t>
      </w:r>
      <w:r>
        <w:rPr>
          <w:rFonts w:hint="eastAsia" w:ascii="宋体" w:hAnsi="宋体" w:cs="等线"/>
          <w:sz w:val="24"/>
          <w:szCs w:val="24"/>
          <w:lang w:val="zh-CN"/>
        </w:rPr>
        <w:t xml:space="preserve">服务期限：一年（</w:t>
      </w:r>
      <w:r>
        <w:rPr>
          <w:rFonts w:hint="eastAsia" w:ascii="宋体" w:hAnsi="宋体" w:cs="等线"/>
          <w:sz w:val="24"/>
          <w:szCs w:val="24"/>
          <w:lang w:val="zh-CN"/>
        </w:rPr>
        <w:t xml:space="preserve">具体开始时间根据采购单位要求</w:t>
      </w:r>
      <w:r>
        <w:rPr>
          <w:rFonts w:hint="eastAsia" w:ascii="宋体" w:hAnsi="宋体" w:cs="等线"/>
          <w:sz w:val="24"/>
          <w:szCs w:val="24"/>
          <w:lang w:val="zh-CN"/>
        </w:rPr>
        <w:t xml:space="preserve">）。</w:t>
      </w:r>
      <w:r/>
    </w:p>
    <w:p>
      <w:pPr>
        <w:ind w:firstLine="480"/>
        <w:spacing w:line="360" w:lineRule="auto"/>
        <w:rPr>
          <w:rFonts w:hint="eastAsia" w:ascii="宋体" w:hAnsi="宋体" w:cs="等线"/>
          <w:sz w:val="24"/>
          <w:szCs w:val="24"/>
        </w:rPr>
      </w:pPr>
      <w:r>
        <w:rPr>
          <w:rFonts w:hint="eastAsia" w:ascii="宋体" w:hAnsi="宋体" w:cs="等线"/>
          <w:sz w:val="24"/>
          <w:szCs w:val="24"/>
        </w:rPr>
        <w:t xml:space="preserve">8、服务地点：采购单位指定地点。</w:t>
      </w:r>
      <w:r/>
    </w:p>
    <w:p>
      <w:pPr>
        <w:ind w:firstLine="480"/>
        <w:spacing w:line="360" w:lineRule="auto"/>
        <w:rPr>
          <w:rFonts w:hint="eastAsia"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9</w:t>
      </w:r>
      <w:r>
        <w:rPr>
          <w:rFonts w:ascii="宋体" w:hAnsi="宋体" w:cs="宋体"/>
          <w:sz w:val="24"/>
        </w:rPr>
        <w:t xml:space="preserve">、根据《政府采购促进中小企业发展管理办法》（财库〔2020〕46号）及《中小企业划型标准规定》（工信部联企业〔2011〕300号），本项目中小企业划分标准所属行业为：</w:t>
      </w:r>
      <w:r>
        <w:rPr>
          <w:rFonts w:ascii="宋体" w:hAnsi="宋体" w:cs="宋体"/>
          <w:b/>
          <w:bCs/>
          <w:sz w:val="24"/>
        </w:rPr>
        <w:t xml:space="preserve">其他未列明行业</w:t>
      </w:r>
      <w:r>
        <w:rPr>
          <w:rFonts w:ascii="宋体" w:hAnsi="宋体" w:cs="宋体"/>
          <w:b/>
          <w:sz w:val="24"/>
        </w:rPr>
        <w:t xml:space="preserve">。</w:t>
      </w:r>
      <w:r/>
    </w:p>
    <w:p>
      <w:pPr>
        <w:ind w:firstLine="480"/>
        <w:spacing w:line="360" w:lineRule="auto"/>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1</w:t>
      </w:r>
      <w:r>
        <w:rPr>
          <w:rFonts w:hint="eastAsia" w:ascii="宋体" w:hAnsi="宋体" w:cs="宋体"/>
          <w:sz w:val="24"/>
          <w:szCs w:val="24"/>
        </w:rPr>
        <w:t xml:space="preserve">0</w:t>
      </w:r>
      <w:r>
        <w:rPr>
          <w:rFonts w:hint="eastAsia" w:ascii="宋体" w:hAnsi="宋体" w:cs="宋体"/>
          <w:sz w:val="24"/>
          <w:szCs w:val="24"/>
        </w:rPr>
        <w:t xml:space="preserve">、凡涉及采购文件的补充说明或修正，均以苏州市政府采购网上信息公告为准。</w:t>
      </w:r>
      <w:r/>
    </w:p>
    <w:p>
      <w:pPr>
        <w:spacing w:line="360" w:lineRule="auto"/>
        <w:rPr>
          <w:rFonts w:hint="eastAsia" w:ascii="宋体" w:hAnsi="宋体" w:cs="宋体"/>
          <w:b/>
          <w:bCs/>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八</w:t>
      </w:r>
      <w:r>
        <w:rPr>
          <w:rFonts w:ascii="宋体" w:hAnsi="宋体" w:cs="宋体"/>
          <w:b/>
          <w:sz w:val="24"/>
        </w:rPr>
        <w:t xml:space="preserve">、</w:t>
      </w:r>
      <w:r>
        <w:rPr>
          <w:rFonts w:hint="eastAsia" w:ascii="宋体" w:hAnsi="宋体" w:cs="宋体"/>
          <w:b/>
          <w:bCs/>
          <w:sz w:val="24"/>
          <w:szCs w:val="24"/>
        </w:rPr>
        <w:t xml:space="preserve">政府采购政策：</w:t>
      </w:r>
      <w:r/>
    </w:p>
    <w:p>
      <w:pPr>
        <w:ind w:firstLine="420"/>
        <w:spacing w:line="360" w:lineRule="auto"/>
        <w:tabs>
          <w:tab w:val="left" w:pos="567" w:leader="none"/>
        </w:tabs>
        <w:rPr>
          <w:rFonts w:hint="eastAsia" w:ascii="宋体" w:hAnsi="宋体" w:cs="宋体"/>
          <w:b/>
          <w:sz w:val="24"/>
          <w:szCs w:val="24"/>
        </w:rPr>
      </w:pPr>
      <w:r>
        <w:rPr>
          <w:rFonts w:hint="eastAsia" w:ascii="宋体" w:hAnsi="宋体" w:cs="宋体"/>
          <w:b/>
          <w:sz w:val="24"/>
          <w:szCs w:val="24"/>
        </w:rPr>
        <w:t xml:space="preserve">1、中小微企业：</w:t>
      </w:r>
      <w:r/>
    </w:p>
    <w:p>
      <w:pPr>
        <w:ind w:firstLine="420"/>
        <w:spacing w:line="360" w:lineRule="auto"/>
        <w:tabs>
          <w:tab w:val="left" w:pos="567" w:leader="none"/>
        </w:tabs>
        <w:rPr>
          <w:rFonts w:hint="eastAsia" w:ascii="宋体" w:hAnsi="宋体"/>
          <w:sz w:val="24"/>
          <w:szCs w:val="24"/>
        </w:rPr>
      </w:pPr>
      <w:r>
        <w:rPr>
          <w:rFonts w:hint="eastAsia" w:ascii="宋体" w:hAnsi="宋体"/>
          <w:sz w:val="24"/>
          <w:szCs w:val="24"/>
        </w:rPr>
        <w:t xml:space="preserve">根据《政府采购促进中小企业发展管理办法》（财库〔2020〕46号）、《关于印发&lt;苏州市政府采购促进中小企业发展实施意见&gt;的通知》（</w:t>
      </w:r>
      <w:r>
        <w:rPr>
          <w:rFonts w:hint="eastAsia" w:ascii="宋体" w:hAnsi="宋体"/>
          <w:sz w:val="24"/>
          <w:szCs w:val="24"/>
        </w:rPr>
        <w:t xml:space="preserve">苏财购〔2022〕</w:t>
      </w:r>
      <w:r>
        <w:rPr>
          <w:rFonts w:hint="eastAsia" w:ascii="宋体" w:hAnsi="宋体"/>
          <w:sz w:val="24"/>
          <w:szCs w:val="24"/>
        </w:rPr>
        <w:t xml:space="preserve">16号）的相关规定，如</w:t>
      </w:r>
      <w:r>
        <w:rPr>
          <w:rFonts w:hint="eastAsia" w:ascii="宋体" w:hAnsi="宋体"/>
          <w:sz w:val="24"/>
          <w:szCs w:val="24"/>
        </w:rPr>
        <w:t xml:space="preserve">响应单位</w:t>
      </w:r>
      <w:r>
        <w:rPr>
          <w:rFonts w:hint="eastAsia" w:ascii="宋体" w:hAnsi="宋体"/>
          <w:sz w:val="24"/>
          <w:szCs w:val="24"/>
        </w:rPr>
        <w:t xml:space="preserve">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hint="eastAsia" w:ascii="宋体" w:hAnsi="宋体"/>
          <w:sz w:val="24"/>
          <w:szCs w:val="24"/>
        </w:rPr>
      </w:pPr>
      <w:r>
        <w:rPr>
          <w:rFonts w:hint="eastAsia" w:ascii="宋体" w:hAnsi="宋体"/>
          <w:sz w:val="24"/>
          <w:szCs w:val="24"/>
        </w:rPr>
        <w:t xml:space="preserve">在政府采购活动中，</w:t>
      </w:r>
      <w:r>
        <w:rPr>
          <w:rFonts w:hint="eastAsia" w:ascii="宋体" w:hAnsi="宋体"/>
          <w:sz w:val="24"/>
          <w:szCs w:val="24"/>
        </w:rPr>
        <w:t xml:space="preserve">响应单位</w:t>
      </w:r>
      <w:r>
        <w:rPr>
          <w:rFonts w:hint="eastAsia" w:ascii="宋体" w:hAnsi="宋体"/>
          <w:sz w:val="24"/>
          <w:szCs w:val="24"/>
        </w:rPr>
        <w:t xml:space="preserve">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4"/>
          <w:szCs w:val="24"/>
        </w:rPr>
        <w:t xml:space="preserve">服务类项目中</w:t>
      </w:r>
      <w:r>
        <w:rPr>
          <w:rFonts w:hint="eastAsia" w:ascii="宋体" w:hAnsi="宋体"/>
          <w:b/>
          <w:sz w:val="24"/>
          <w:szCs w:val="24"/>
        </w:rPr>
        <w:t xml:space="preserve">响应单位</w:t>
      </w:r>
      <w:r>
        <w:rPr>
          <w:rFonts w:hint="eastAsia" w:ascii="宋体" w:hAnsi="宋体"/>
          <w:b/>
          <w:sz w:val="24"/>
          <w:szCs w:val="24"/>
        </w:rPr>
        <w:t xml:space="preserve">若使用退休人员，将不享受相关扶持政策。</w:t>
      </w:r>
      <w:r/>
    </w:p>
    <w:p>
      <w:pPr>
        <w:ind w:firstLine="480"/>
        <w:spacing w:line="360" w:lineRule="auto"/>
        <w:tabs>
          <w:tab w:val="left" w:pos="851" w:leader="none"/>
        </w:tabs>
        <w:rPr>
          <w:rFonts w:hint="eastAsia" w:ascii="宋体" w:hAnsi="宋体" w:cs="宋体"/>
          <w:b/>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根据《政府采购促进中小企业发展管理办法》（财库〔2020〕46号）及《中小企业划型标准规定》（工信部联企业〔2011〕300号），本项目中小企业划分标准所属行业为：</w:t>
      </w:r>
      <w:r>
        <w:rPr>
          <w:rFonts w:ascii="宋体" w:hAnsi="宋体" w:cs="宋体"/>
          <w:b/>
          <w:bCs/>
          <w:sz w:val="24"/>
        </w:rPr>
        <w:t xml:space="preserve">其他未列明行业</w:t>
      </w:r>
      <w:r>
        <w:rPr>
          <w:rFonts w:hint="eastAsia" w:ascii="宋体" w:hAnsi="宋体"/>
          <w:sz w:val="24"/>
          <w:szCs w:val="24"/>
          <w:lang w:val="zh-CN"/>
        </w:rPr>
        <w:t xml:space="preserve">。</w:t>
      </w:r>
      <w:r/>
    </w:p>
    <w:p>
      <w:pPr>
        <w:ind w:firstLine="420"/>
        <w:spacing w:line="360" w:lineRule="auto"/>
        <w:tabs>
          <w:tab w:val="left" w:pos="567" w:leader="none"/>
        </w:tabs>
        <w:rPr>
          <w:rFonts w:hint="eastAsia" w:ascii="宋体" w:hAnsi="宋体"/>
          <w:b/>
          <w:sz w:val="24"/>
          <w:szCs w:val="24"/>
        </w:rPr>
      </w:pPr>
      <w:r>
        <w:rPr>
          <w:rFonts w:hint="eastAsia" w:ascii="宋体" w:hAnsi="宋体"/>
          <w:b/>
          <w:sz w:val="24"/>
          <w:szCs w:val="24"/>
        </w:rPr>
        <w:t xml:space="preserve">2、残疾人福利性单位：</w:t>
      </w:r>
      <w:r/>
    </w:p>
    <w:p>
      <w:pPr>
        <w:ind w:firstLine="420"/>
        <w:spacing w:line="360" w:lineRule="auto"/>
        <w:tabs>
          <w:tab w:val="left" w:pos="567" w:leader="none"/>
        </w:tabs>
        <w:rPr>
          <w:rFonts w:hint="eastAsia" w:ascii="宋体" w:hAnsi="宋体"/>
          <w:sz w:val="24"/>
          <w:szCs w:val="24"/>
        </w:rPr>
      </w:pPr>
      <w:r>
        <w:rPr>
          <w:rFonts w:hint="eastAsia" w:ascii="宋体" w:hAnsi="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hint="eastAsia" w:ascii="宋体" w:hAnsi="宋体"/>
          <w:b/>
          <w:sz w:val="24"/>
          <w:szCs w:val="24"/>
        </w:rPr>
      </w:pPr>
      <w:r>
        <w:rPr>
          <w:rFonts w:hint="eastAsia" w:ascii="宋体" w:hAnsi="宋体"/>
          <w:b/>
          <w:sz w:val="24"/>
          <w:szCs w:val="24"/>
        </w:rPr>
        <w:t xml:space="preserve">3、监狱企业：</w:t>
      </w:r>
      <w:r/>
    </w:p>
    <w:p>
      <w:pPr>
        <w:ind w:firstLine="420"/>
        <w:spacing w:line="360" w:lineRule="auto"/>
        <w:tabs>
          <w:tab w:val="left" w:pos="567" w:leader="none"/>
        </w:tabs>
        <w:rPr>
          <w:rFonts w:hint="eastAsia" w:ascii="宋体" w:hAnsi="宋体"/>
          <w:sz w:val="24"/>
          <w:szCs w:val="24"/>
        </w:rPr>
      </w:pPr>
      <w:r>
        <w:rPr>
          <w:rFonts w:hint="eastAsia" w:ascii="宋体" w:hAnsi="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hint="eastAsia" w:ascii="宋体" w:hAnsi="宋体" w:cs="宋体"/>
          <w:b/>
          <w:sz w:val="24"/>
          <w:szCs w:val="24"/>
        </w:rPr>
      </w:pPr>
      <w:r>
        <w:rPr>
          <w:rFonts w:hint="eastAsia" w:ascii="宋体" w:hAnsi="宋体" w:cs="宋体"/>
          <w:b/>
          <w:sz w:val="24"/>
          <w:szCs w:val="24"/>
        </w:rPr>
        <w:t xml:space="preserve">4、绿色采购：</w:t>
      </w:r>
      <w:r/>
    </w:p>
    <w:p>
      <w:pPr>
        <w:ind w:firstLine="420"/>
        <w:spacing w:line="360" w:lineRule="auto"/>
        <w:tabs>
          <w:tab w:val="left" w:pos="567" w:leader="none"/>
        </w:tabs>
        <w:rPr>
          <w:rFonts w:hint="eastAsia" w:ascii="宋体" w:hAnsi="宋体"/>
          <w:sz w:val="24"/>
          <w:szCs w:val="24"/>
        </w:rPr>
      </w:pPr>
      <w:r>
        <w:rPr>
          <w:rFonts w:hint="eastAsia" w:ascii="宋体" w:hAnsi="宋体"/>
          <w:sz w:val="24"/>
          <w:szCs w:val="24"/>
        </w:rPr>
        <w:t xml:space="preserve">（1）根据《关于调整优化节能产品、环境标志产品政府采购执行机制的通知》（财库</w:t>
      </w:r>
      <w:r>
        <w:rPr>
          <w:rFonts w:hint="eastAsia" w:ascii="宋体" w:hAnsi="宋体"/>
          <w:sz w:val="24"/>
          <w:szCs w:val="24"/>
        </w:rPr>
        <w:t xml:space="preserve">〔</w:t>
      </w:r>
      <w:r>
        <w:rPr>
          <w:rFonts w:ascii="宋体" w:hAnsi="宋体"/>
          <w:sz w:val="24"/>
          <w:szCs w:val="24"/>
        </w:rPr>
        <w:t xml:space="preserve">2019</w:t>
      </w: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号）等相关文件的规定，</w:t>
      </w:r>
      <w:r>
        <w:rPr>
          <w:rFonts w:hint="eastAsia" w:ascii="宋体" w:hAnsi="宋体"/>
          <w:b/>
          <w:sz w:val="24"/>
          <w:szCs w:val="24"/>
        </w:rPr>
        <w:t xml:space="preserve">对属于《节能产品政府采购品目清单》中强制采购范围内产品的，</w:t>
      </w:r>
      <w:r>
        <w:rPr>
          <w:rFonts w:hint="eastAsia" w:ascii="宋体" w:hAnsi="宋体"/>
          <w:b/>
          <w:sz w:val="24"/>
          <w:szCs w:val="24"/>
        </w:rPr>
        <w:t xml:space="preserve">响应单位</w:t>
      </w:r>
      <w:r>
        <w:rPr>
          <w:rFonts w:hint="eastAsia" w:ascii="宋体" w:hAnsi="宋体"/>
          <w:b/>
          <w:sz w:val="24"/>
          <w:szCs w:val="24"/>
        </w:rPr>
        <w:t xml:space="preserve">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hint="eastAsia" w:ascii="宋体" w:hAnsi="宋体"/>
          <w:sz w:val="24"/>
          <w:szCs w:val="24"/>
        </w:rPr>
      </w:pPr>
      <w:r>
        <w:rPr>
          <w:rFonts w:hint="eastAsia" w:ascii="宋体" w:hAnsi="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w:t>
      </w:r>
      <w:r>
        <w:rPr>
          <w:rFonts w:hint="eastAsia" w:ascii="宋体" w:hAnsi="宋体"/>
          <w:sz w:val="24"/>
          <w:szCs w:val="24"/>
        </w:rPr>
        <w:t xml:space="preserve">响应单位</w:t>
      </w:r>
      <w:r>
        <w:rPr>
          <w:rFonts w:hint="eastAsia" w:ascii="宋体" w:hAnsi="宋体"/>
          <w:sz w:val="24"/>
          <w:szCs w:val="24"/>
        </w:rPr>
        <w:t xml:space="preserve">应提供符合标准要求的设备或服务。</w:t>
      </w:r>
      <w:r/>
    </w:p>
    <w:p>
      <w:pPr>
        <w:ind w:firstLine="480"/>
        <w:spacing w:line="360" w:lineRule="auto"/>
        <w:tabs>
          <w:tab w:val="left" w:pos="851" w:leader="none"/>
        </w:tabs>
        <w:rPr>
          <w:rFonts w:hint="eastAsia"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号文）文件规定，</w:t>
      </w:r>
      <w:r>
        <w:rPr>
          <w:rFonts w:hint="eastAsia" w:ascii="宋体" w:hAnsi="宋体"/>
          <w:sz w:val="24"/>
          <w:szCs w:val="24"/>
        </w:rPr>
        <w:t xml:space="preserve">响应单位</w:t>
      </w:r>
      <w:r>
        <w:rPr>
          <w:rFonts w:hint="eastAsia" w:ascii="宋体" w:hAnsi="宋体"/>
          <w:sz w:val="24"/>
          <w:szCs w:val="24"/>
        </w:rPr>
        <w:t xml:space="preserve">提供产品及相关快递服务的包装应符合标准要求。</w:t>
      </w:r>
      <w:r/>
    </w:p>
    <w:p>
      <w:pPr>
        <w:ind w:firstLine="420"/>
        <w:spacing w:line="360" w:lineRule="auto"/>
        <w:rPr>
          <w:rFonts w:hint="eastAsia" w:ascii="宋体" w:hAnsi="宋体" w:cs="宋体"/>
          <w:b/>
          <w:sz w:val="24"/>
          <w:szCs w:val="24"/>
          <w:u w:val="single"/>
        </w:rPr>
      </w:pPr>
      <w:r>
        <w:rPr>
          <w:rFonts w:hint="eastAsia" w:ascii="宋体" w:hAnsi="宋体"/>
          <w:b/>
          <w:sz w:val="24"/>
          <w:szCs w:val="24"/>
        </w:rPr>
        <w:t xml:space="preserve">5、</w:t>
      </w:r>
      <w:r>
        <w:rPr>
          <w:rFonts w:hint="eastAsia" w:ascii="宋体" w:hAnsi="宋体" w:cs="宋体"/>
          <w:b/>
          <w:sz w:val="24"/>
          <w:szCs w:val="24"/>
          <w:u w:val="single"/>
        </w:rPr>
        <w:t xml:space="preserve">根据《</w:t>
      </w:r>
      <w:r>
        <w:rPr>
          <w:rFonts w:ascii="宋体" w:hAnsi="宋体" w:cs="宋体"/>
          <w:b/>
          <w:sz w:val="24"/>
          <w:szCs w:val="24"/>
          <w:u w:val="single"/>
        </w:rPr>
        <w:t xml:space="preserve">关于推动解决政府采购异常低价问题相关工作的通知</w:t>
      </w:r>
      <w:r>
        <w:rPr>
          <w:rFonts w:hint="eastAsia" w:ascii="宋体" w:hAnsi="宋体" w:cs="宋体"/>
          <w:b/>
          <w:sz w:val="24"/>
          <w:szCs w:val="24"/>
          <w:u w:val="single"/>
        </w:rPr>
        <w:t xml:space="preserve">》：</w:t>
      </w:r>
      <w:r/>
    </w:p>
    <w:p>
      <w:pPr>
        <w:pStyle w:val="1004"/>
        <w:ind w:firstLine="482"/>
        <w:jc w:val="left"/>
        <w:spacing w:line="360" w:lineRule="auto"/>
        <w:rPr>
          <w:rFonts w:hint="eastAsia" w:ascii="宋体" w:hAnsi="宋体" w:cs="宋体"/>
          <w:b/>
          <w:sz w:val="24"/>
          <w:lang w:val="en-US"/>
        </w:rPr>
      </w:pPr>
      <w:r>
        <w:rPr>
          <w:rFonts w:hint="eastAsia" w:ascii="宋体" w:hAnsi="宋体" w:cs="宋体"/>
          <w:b/>
          <w:sz w:val="24"/>
          <w:lang w:val="en-US"/>
        </w:rPr>
        <w:t xml:space="preserve">5.1评标过程中出现下列情形之一的，评标委员会应当启动异常低价投标审查程序：</w:t>
      </w:r>
      <w:r/>
    </w:p>
    <w:p>
      <w:pPr>
        <w:pStyle w:val="1004"/>
        <w:jc w:val="left"/>
        <w:spacing w:line="360" w:lineRule="auto"/>
        <w:rPr>
          <w:rFonts w:hint="eastAsia" w:ascii="宋体" w:hAnsi="宋体" w:cs="宋体"/>
          <w:sz w:val="24"/>
          <w:lang w:val="en-US"/>
        </w:rPr>
      </w:pPr>
      <w:r>
        <w:rPr>
          <w:rFonts w:hint="eastAsia" w:ascii="宋体" w:hAnsi="宋体" w:cs="宋体"/>
          <w:sz w:val="24"/>
          <w:lang w:val="en-US"/>
        </w:rPr>
        <w:t xml:space="preserve">1）投标报价低于全部通过符合性审查</w:t>
      </w:r>
      <w:r>
        <w:rPr>
          <w:rFonts w:hint="eastAsia" w:ascii="宋体" w:hAnsi="宋体" w:cs="宋体"/>
          <w:sz w:val="24"/>
          <w:lang w:val="en-US"/>
        </w:rPr>
        <w:t xml:space="preserve">响应单位</w:t>
      </w:r>
      <w:r>
        <w:rPr>
          <w:rFonts w:hint="eastAsia" w:ascii="宋体" w:hAnsi="宋体" w:cs="宋体"/>
          <w:sz w:val="24"/>
          <w:lang w:val="en-US"/>
        </w:rPr>
        <w:t xml:space="preserve">投标报价平均值50%的，即投标报价&lt;全部通过符合性审查</w:t>
      </w:r>
      <w:r>
        <w:rPr>
          <w:rFonts w:hint="eastAsia" w:ascii="宋体" w:hAnsi="宋体" w:cs="宋体"/>
          <w:sz w:val="24"/>
          <w:lang w:val="en-US"/>
        </w:rPr>
        <w:t xml:space="preserve">响应单位</w:t>
      </w:r>
      <w:r>
        <w:rPr>
          <w:rFonts w:hint="eastAsia" w:ascii="宋体" w:hAnsi="宋体" w:cs="宋体"/>
          <w:sz w:val="24"/>
          <w:lang w:val="en-US"/>
        </w:rPr>
        <w:t xml:space="preserve">投标报价平均值×50%；</w:t>
      </w:r>
      <w:r/>
    </w:p>
    <w:p>
      <w:pPr>
        <w:pStyle w:val="1004"/>
        <w:jc w:val="left"/>
        <w:spacing w:line="360" w:lineRule="auto"/>
        <w:rPr>
          <w:rFonts w:hint="eastAsia" w:ascii="宋体" w:hAnsi="宋体" w:cs="宋体"/>
          <w:sz w:val="24"/>
          <w:lang w:val="en-US"/>
        </w:rPr>
      </w:pPr>
      <w:r>
        <w:rPr>
          <w:rFonts w:hint="eastAsia" w:ascii="宋体" w:hAnsi="宋体" w:cs="宋体"/>
          <w:sz w:val="24"/>
          <w:lang w:val="en-US"/>
        </w:rPr>
        <w:t xml:space="preserve">2）投标报价低于通过符合性审查的次低报价</w:t>
      </w:r>
      <w:r>
        <w:rPr>
          <w:rFonts w:hint="eastAsia" w:ascii="宋体" w:hAnsi="宋体" w:cs="宋体"/>
          <w:sz w:val="24"/>
          <w:lang w:val="en-US"/>
        </w:rPr>
        <w:t xml:space="preserve">响应单位</w:t>
      </w:r>
      <w:r>
        <w:rPr>
          <w:rFonts w:hint="eastAsia" w:ascii="宋体" w:hAnsi="宋体" w:cs="宋体"/>
          <w:sz w:val="24"/>
          <w:lang w:val="en-US"/>
        </w:rPr>
        <w:t xml:space="preserve">投标报价50%的，即投标报价&lt;通过符合性审查的次低报价</w:t>
      </w:r>
      <w:r>
        <w:rPr>
          <w:rFonts w:hint="eastAsia" w:ascii="宋体" w:hAnsi="宋体" w:cs="宋体"/>
          <w:sz w:val="24"/>
          <w:lang w:val="en-US"/>
        </w:rPr>
        <w:t xml:space="preserve">响应单位</w:t>
      </w:r>
      <w:r>
        <w:rPr>
          <w:rFonts w:hint="eastAsia" w:ascii="宋体" w:hAnsi="宋体" w:cs="宋体"/>
          <w:sz w:val="24"/>
          <w:lang w:val="en-US"/>
        </w:rPr>
        <w:t xml:space="preserve">投标报价×50%；</w:t>
      </w:r>
      <w:r/>
    </w:p>
    <w:p>
      <w:pPr>
        <w:pStyle w:val="1004"/>
        <w:jc w:val="left"/>
        <w:spacing w:line="360" w:lineRule="auto"/>
        <w:rPr>
          <w:rFonts w:hint="eastAsia" w:ascii="宋体" w:hAnsi="宋体" w:cs="宋体"/>
          <w:sz w:val="24"/>
          <w:lang w:val="en-US"/>
        </w:rPr>
      </w:pPr>
      <w:r>
        <w:rPr>
          <w:rFonts w:hint="eastAsia" w:ascii="宋体" w:hAnsi="宋体" w:cs="宋体"/>
          <w:sz w:val="24"/>
          <w:lang w:val="en-US"/>
        </w:rPr>
        <w:t xml:space="preserve">3）投标报价低于采购项目最高限价45%的，即投标报价&lt;采购项目最高限价×45%；</w:t>
      </w:r>
      <w:r/>
    </w:p>
    <w:p>
      <w:pPr>
        <w:pStyle w:val="1004"/>
        <w:ind w:firstLine="420"/>
        <w:jc w:val="left"/>
        <w:spacing w:line="360" w:lineRule="auto"/>
        <w:rPr>
          <w:rFonts w:hint="eastAsia" w:ascii="宋体" w:hAnsi="宋体" w:cs="宋体"/>
          <w:sz w:val="24"/>
          <w:lang w:val="en-US"/>
        </w:rPr>
      </w:pPr>
      <w:r>
        <w:rPr>
          <w:rFonts w:hint="eastAsia" w:ascii="宋体" w:hAnsi="宋体" w:cs="宋体"/>
          <w:sz w:val="24"/>
          <w:lang w:val="en-US"/>
        </w:rPr>
        <w:t xml:space="preserve">4）评标委员会基于专业判断，认为</w:t>
      </w:r>
      <w:r>
        <w:rPr>
          <w:rFonts w:hint="eastAsia" w:ascii="宋体" w:hAnsi="宋体" w:cs="宋体"/>
          <w:sz w:val="24"/>
          <w:lang w:val="en-US"/>
        </w:rPr>
        <w:t xml:space="preserve">响应单位</w:t>
      </w:r>
      <w:r>
        <w:rPr>
          <w:rFonts w:hint="eastAsia" w:ascii="宋体" w:hAnsi="宋体" w:cs="宋体"/>
          <w:sz w:val="24"/>
          <w:lang w:val="en-US"/>
        </w:rPr>
        <w:t xml:space="preserve">报价过低，有可能影响产品质量或者不能诚信履约的其他情形。</w:t>
      </w:r>
      <w:r/>
    </w:p>
    <w:p>
      <w:pPr>
        <w:pStyle w:val="1004"/>
        <w:ind w:firstLine="420"/>
        <w:jc w:val="left"/>
        <w:spacing w:line="360" w:lineRule="auto"/>
        <w:rPr>
          <w:rFonts w:hint="eastAsia" w:ascii="宋体" w:hAnsi="宋体" w:cs="宋体"/>
          <w:sz w:val="24"/>
          <w:lang w:val="en-US"/>
        </w:rPr>
      </w:pPr>
      <w:r>
        <w:rPr>
          <w:rFonts w:hint="eastAsia" w:ascii="宋体" w:hAnsi="宋体" w:cs="宋体"/>
          <w:sz w:val="24"/>
          <w:lang w:val="en-US"/>
        </w:rPr>
        <w:t xml:space="preserve">5.2启动异常低价投标审查后，评标委员会应当要求相关</w:t>
      </w:r>
      <w:r>
        <w:rPr>
          <w:rFonts w:hint="eastAsia" w:ascii="宋体" w:hAnsi="宋体" w:cs="宋体"/>
          <w:sz w:val="24"/>
          <w:lang w:val="en-US"/>
        </w:rPr>
        <w:t xml:space="preserve">响应单位</w:t>
      </w:r>
      <w:r>
        <w:rPr>
          <w:rFonts w:hint="eastAsia" w:ascii="宋体" w:hAnsi="宋体" w:cs="宋体"/>
          <w:sz w:val="24"/>
          <w:lang w:val="en-US"/>
        </w:rPr>
        <w:t xml:space="preserve">在评标现场合理的时间内对投标价格</w:t>
      </w:r>
      <w:r>
        <w:rPr>
          <w:rFonts w:hint="eastAsia" w:ascii="宋体" w:hAnsi="宋体" w:cs="宋体"/>
          <w:sz w:val="24"/>
          <w:lang w:val="en-US"/>
        </w:rPr>
        <w:t xml:space="preserve">作出</w:t>
      </w:r>
      <w:r>
        <w:rPr>
          <w:rFonts w:hint="eastAsia" w:ascii="宋体" w:hAnsi="宋体" w:cs="宋体"/>
          <w:sz w:val="24"/>
          <w:lang w:val="en-US"/>
        </w:rPr>
        <w:t xml:space="preserve">解释，提供项目具体成本测算等与报价合理性相关的书面说明及相关证明材料，包括但不限于原材料成本、人工成本、制造费用等，给予相关</w:t>
      </w:r>
      <w:r>
        <w:rPr>
          <w:rFonts w:hint="eastAsia" w:ascii="宋体" w:hAnsi="宋体" w:cs="宋体"/>
          <w:sz w:val="24"/>
          <w:lang w:val="en-US"/>
        </w:rPr>
        <w:t xml:space="preserve">响应单位</w:t>
      </w:r>
      <w:r>
        <w:rPr>
          <w:rFonts w:hint="eastAsia" w:ascii="宋体" w:hAnsi="宋体" w:cs="宋体"/>
          <w:sz w:val="24"/>
          <w:lang w:val="en-US"/>
        </w:rPr>
        <w:t xml:space="preserve">的合理时间一般不少于30分钟。其中，属于5.1第（三）项情形，</w:t>
      </w:r>
      <w:r>
        <w:rPr>
          <w:rFonts w:hint="eastAsia" w:ascii="宋体" w:hAnsi="宋体" w:cs="宋体"/>
          <w:sz w:val="24"/>
          <w:lang w:val="en-US"/>
        </w:rPr>
        <w:t xml:space="preserve">响应单位</w:t>
      </w:r>
      <w:r>
        <w:rPr>
          <w:rFonts w:hint="eastAsia" w:ascii="宋体" w:hAnsi="宋体" w:cs="宋体"/>
          <w:sz w:val="24"/>
          <w:lang w:val="en-US"/>
        </w:rPr>
        <w:t xml:space="preserve">已随投标文件一并提交相关书面说明及必要的证明材料的，在评审现场可不再重复提交。</w:t>
      </w:r>
      <w:r/>
    </w:p>
    <w:p>
      <w:pPr>
        <w:pStyle w:val="1004"/>
        <w:ind w:firstLine="420"/>
        <w:jc w:val="left"/>
        <w:spacing w:line="360" w:lineRule="auto"/>
        <w:rPr>
          <w:rFonts w:hint="eastAsia" w:ascii="宋体" w:hAnsi="宋体" w:cs="宋体"/>
          <w:sz w:val="24"/>
          <w:lang w:val="en-US"/>
        </w:rPr>
      </w:pPr>
      <w:r>
        <w:rPr>
          <w:rFonts w:hint="eastAsia" w:ascii="宋体" w:hAnsi="宋体" w:cs="宋体"/>
          <w:sz w:val="24"/>
          <w:lang w:val="en-US"/>
        </w:rPr>
        <w:t xml:space="preserve">5.3评标委员会依据专业经验，参考同类项目中标价格、类似产品市场价格水平、行业人工费用标准、国家有关部门指导行业协会发布的行业平均成本等情况，对报价合理性进行判断。投标</w:t>
      </w:r>
      <w:r>
        <w:rPr>
          <w:rFonts w:hint="eastAsia" w:ascii="宋体" w:hAnsi="宋体" w:cs="宋体"/>
          <w:sz w:val="24"/>
          <w:lang w:val="en-US"/>
        </w:rPr>
        <w:t xml:space="preserve">响应单位</w:t>
      </w:r>
      <w:r>
        <w:rPr>
          <w:rFonts w:hint="eastAsia" w:ascii="宋体" w:hAnsi="宋体" w:cs="宋体"/>
          <w:sz w:val="24"/>
          <w:lang w:val="en-US"/>
        </w:rPr>
        <w:t xml:space="preserve">不能提供书面说明、证明材料，或者提供的书面说明、证明材料不能证明其报价合理性的，评标委员会应当将其作为无效投标处理。</w:t>
      </w:r>
      <w:r/>
    </w:p>
    <w:p>
      <w:pPr>
        <w:pStyle w:val="1004"/>
        <w:ind w:firstLine="420"/>
        <w:jc w:val="left"/>
        <w:spacing w:line="360" w:lineRule="auto"/>
        <w:rPr>
          <w:rFonts w:hint="eastAsia" w:ascii="宋体" w:hAnsi="宋体" w:cs="宋体"/>
          <w:sz w:val="24"/>
          <w:lang w:val="en-US"/>
        </w:rPr>
      </w:pPr>
      <w:r>
        <w:rPr>
          <w:rFonts w:hint="eastAsia" w:ascii="宋体" w:hAnsi="宋体" w:cs="宋体"/>
          <w:sz w:val="24"/>
          <w:lang w:val="en-US"/>
        </w:rPr>
        <w:t xml:space="preserve">5.4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04"/>
        <w:ind w:firstLine="420"/>
        <w:jc w:val="left"/>
        <w:spacing w:line="360" w:lineRule="auto"/>
        <w:rPr>
          <w:rFonts w:hint="eastAsia" w:ascii="宋体" w:hAnsi="宋体" w:cs="宋体"/>
          <w:sz w:val="24"/>
          <w:lang w:val="en-US"/>
        </w:rPr>
      </w:pPr>
      <w:r>
        <w:rPr>
          <w:rFonts w:hint="eastAsia" w:ascii="宋体" w:hAnsi="宋体" w:cs="宋体"/>
          <w:sz w:val="24"/>
          <w:lang w:val="en-US"/>
        </w:rPr>
        <w:t xml:space="preserve">异常低价投标（响应）审查的启动原因、审查意见和审查结果应当在评审报告中记录，并随</w:t>
      </w:r>
      <w:r>
        <w:rPr>
          <w:rFonts w:hint="eastAsia" w:ascii="宋体" w:hAnsi="宋体" w:cs="宋体"/>
          <w:sz w:val="24"/>
          <w:lang w:val="en-US"/>
        </w:rPr>
        <w:t xml:space="preserve">响应单位</w:t>
      </w:r>
      <w:r>
        <w:rPr>
          <w:rFonts w:hint="eastAsia" w:ascii="宋体" w:hAnsi="宋体" w:cs="宋体"/>
          <w:sz w:val="24"/>
          <w:lang w:val="en-US"/>
        </w:rPr>
        <w:t xml:space="preserve">提供的相关书面说明及证明材料，以及评标委员会有关互联网浏览、查询历史一并归档。</w:t>
      </w:r>
      <w:r/>
    </w:p>
    <w:p>
      <w:pPr>
        <w:ind w:firstLine="422"/>
        <w:spacing w:line="360" w:lineRule="auto"/>
        <w:tabs>
          <w:tab w:val="left" w:pos="567" w:leader="none"/>
        </w:tabs>
        <w:rPr>
          <w:rFonts w:hint="eastAsia" w:ascii="宋体" w:hAnsi="宋体" w:cs="宋体"/>
          <w:b/>
          <w:bCs/>
          <w:sz w:val="24"/>
          <w:szCs w:val="24"/>
        </w:rPr>
      </w:pPr>
      <w:r>
        <w:rPr>
          <w:rFonts w:hint="eastAsia" w:ascii="宋体" w:hAnsi="宋体"/>
          <w:b/>
          <w:sz w:val="24"/>
          <w:szCs w:val="24"/>
        </w:rPr>
        <w:t xml:space="preserve">6、</w:t>
      </w:r>
      <w:r>
        <w:rPr>
          <w:rFonts w:hint="eastAsia" w:ascii="宋体" w:hAnsi="宋体" w:cs="宋体"/>
          <w:b/>
          <w:bCs/>
          <w:sz w:val="24"/>
          <w:szCs w:val="24"/>
        </w:rPr>
        <w:t xml:space="preserve">政府采购中实施本国产品标准及相关政策</w:t>
      </w:r>
      <w:r/>
    </w:p>
    <w:p>
      <w:pPr>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6.1本项目对采购本国产品给予政策支持：</w:t>
      </w:r>
      <w:r/>
    </w:p>
    <w:p>
      <w:pPr>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（2）当采购项目或者采购包中含有多种产品，</w:t>
      </w:r>
      <w:r>
        <w:rPr>
          <w:rFonts w:hint="eastAsia" w:ascii="宋体" w:hAnsi="宋体" w:cs="宋体"/>
          <w:sz w:val="24"/>
          <w:szCs w:val="24"/>
        </w:rPr>
        <w:t xml:space="preserve">响应单位</w:t>
      </w:r>
      <w:r>
        <w:rPr>
          <w:rFonts w:hint="eastAsia" w:ascii="宋体" w:hAnsi="宋体" w:cs="宋体"/>
          <w:sz w:val="24"/>
          <w:szCs w:val="24"/>
        </w:rPr>
        <w:t xml:space="preserve">为该采购项目或者采购包提供的符合本国产品标准的产品成本之和占该</w:t>
      </w:r>
      <w:r>
        <w:rPr>
          <w:rFonts w:hint="eastAsia" w:ascii="宋体" w:hAnsi="宋体" w:cs="宋体"/>
          <w:sz w:val="24"/>
          <w:szCs w:val="24"/>
        </w:rPr>
        <w:t xml:space="preserve">响应单位</w:t>
      </w:r>
      <w:r>
        <w:rPr>
          <w:rFonts w:hint="eastAsia" w:ascii="宋体" w:hAnsi="宋体" w:cs="宋体"/>
          <w:sz w:val="24"/>
          <w:szCs w:val="24"/>
        </w:rPr>
        <w:t xml:space="preserve">提供的全部产品成本之和的比例达到80%以上时（</w:t>
      </w:r>
      <w:r>
        <w:rPr>
          <w:rFonts w:hint="eastAsia" w:ascii="宋体" w:hAnsi="宋体" w:cs="宋体"/>
          <w:sz w:val="24"/>
          <w:szCs w:val="24"/>
        </w:rPr>
        <w:t xml:space="preserve">响应单位</w:t>
      </w:r>
      <w:r>
        <w:rPr>
          <w:rFonts w:hint="eastAsia" w:ascii="宋体" w:hAnsi="宋体" w:cs="宋体"/>
          <w:sz w:val="24"/>
          <w:szCs w:val="24"/>
        </w:rPr>
        <w:t xml:space="preserve">需在“投标文件格式”的“附件：投标分项报价表”中填写比例数值），依法对该</w:t>
      </w:r>
      <w:r>
        <w:rPr>
          <w:rFonts w:hint="eastAsia" w:ascii="宋体" w:hAnsi="宋体" w:cs="宋体"/>
          <w:sz w:val="24"/>
          <w:szCs w:val="24"/>
        </w:rPr>
        <w:t xml:space="preserve">响应单位</w:t>
      </w:r>
      <w:r>
        <w:rPr>
          <w:rFonts w:hint="eastAsia" w:ascii="宋体" w:hAnsi="宋体" w:cs="宋体"/>
          <w:sz w:val="24"/>
          <w:szCs w:val="24"/>
        </w:rPr>
        <w:t xml:space="preserve">提供的全部产品给予价格评审优惠，即对该</w:t>
      </w:r>
      <w:r>
        <w:rPr>
          <w:rFonts w:hint="eastAsia" w:ascii="宋体" w:hAnsi="宋体" w:cs="宋体"/>
          <w:sz w:val="24"/>
          <w:szCs w:val="24"/>
        </w:rPr>
        <w:t xml:space="preserve">响应单位</w:t>
      </w:r>
      <w:r>
        <w:rPr>
          <w:rFonts w:hint="eastAsia" w:ascii="宋体" w:hAnsi="宋体" w:cs="宋体"/>
          <w:sz w:val="24"/>
          <w:szCs w:val="24"/>
        </w:rPr>
        <w:t xml:space="preserve">提供的全部产品的总报价给予20%的价格扣除，用扣除后的价格参与评审。</w:t>
      </w:r>
      <w:r>
        <w:rPr>
          <w:rFonts w:hint="eastAsia" w:ascii="宋体" w:hAnsi="宋体" w:cs="宋体"/>
          <w:sz w:val="24"/>
          <w:szCs w:val="24"/>
        </w:rPr>
        <w:t xml:space="preserve">响应单位</w:t>
      </w:r>
      <w:r>
        <w:rPr>
          <w:rFonts w:hint="eastAsia" w:ascii="宋体" w:hAnsi="宋体" w:cs="宋体"/>
          <w:sz w:val="24"/>
          <w:szCs w:val="24"/>
        </w:rPr>
        <w:t xml:space="preserve">未填写比例数值，或比例数值未达到80%的，将不享受本国产品价格评审优惠。</w:t>
      </w:r>
      <w:r/>
    </w:p>
    <w:p>
      <w:pPr>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响应单位</w:t>
      </w:r>
      <w:r>
        <w:rPr>
          <w:rFonts w:hint="eastAsia" w:ascii="宋体" w:hAnsi="宋体" w:cs="宋体"/>
          <w:sz w:val="24"/>
          <w:szCs w:val="24"/>
        </w:rPr>
        <w:t xml:space="preserve">需按照招标文件的要求提供《关于符合本国产品标准的声明函》（以下简称《声明函》），如不提供将不享受本国产品价格评审优惠。</w:t>
      </w:r>
      <w:r/>
    </w:p>
    <w:p>
      <w:pPr>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响应单位</w:t>
      </w:r>
      <w:r>
        <w:rPr>
          <w:rFonts w:hint="eastAsia" w:ascii="宋体" w:hAnsi="宋体" w:cs="宋体"/>
          <w:sz w:val="24"/>
          <w:szCs w:val="24"/>
        </w:rPr>
        <w:t xml:space="preserve">需在《声明函》中逐一、准确填写产品名称、厂名、生产厂址三项信息（《声明函》中用</w:t>
      </w:r>
      <w:r>
        <w:rPr>
          <w:rFonts w:hint="eastAsia" w:ascii="宋体" w:hAnsi="宋体" w:cs="宋体"/>
          <w:sz w:val="24"/>
          <w:szCs w:val="24"/>
        </w:rPr>
        <w:t xml:space="preserve">斜线划除的</w:t>
      </w:r>
      <w:r>
        <w:rPr>
          <w:rFonts w:hint="eastAsia" w:ascii="宋体" w:hAnsi="宋体" w:cs="宋体"/>
          <w:sz w:val="24"/>
          <w:szCs w:val="24"/>
        </w:rPr>
        <w:t xml:space="preserve">地方无需填写），三项信息中任意一项未填写的视为该项产品不符合本国产品标准，不享受本国产品价格评审优惠。</w:t>
      </w:r>
      <w:r/>
    </w:p>
    <w:p>
      <w:pPr>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（5）评标过程中，如发现</w:t>
      </w:r>
      <w:r>
        <w:rPr>
          <w:rFonts w:hint="eastAsia" w:ascii="宋体" w:hAnsi="宋体" w:cs="宋体"/>
          <w:sz w:val="24"/>
          <w:szCs w:val="24"/>
        </w:rPr>
        <w:t xml:space="preserve">响应单位</w:t>
      </w:r>
      <w:r>
        <w:rPr>
          <w:rFonts w:hint="eastAsia" w:ascii="宋体" w:hAnsi="宋体" w:cs="宋体"/>
          <w:sz w:val="24"/>
          <w:szCs w:val="24"/>
        </w:rPr>
        <w:t xml:space="preserve">在《声明函》内容含义不明确、同类事项与投标（响应）文件表述不一致或者有明显文字错误等情况的，评标委员会应当以书面形式要求</w:t>
      </w:r>
      <w:r>
        <w:rPr>
          <w:rFonts w:hint="eastAsia" w:ascii="宋体" w:hAnsi="宋体" w:cs="宋体"/>
          <w:sz w:val="24"/>
          <w:szCs w:val="24"/>
        </w:rPr>
        <w:t xml:space="preserve">响应单位</w:t>
      </w:r>
      <w:r>
        <w:rPr>
          <w:rFonts w:hint="eastAsia" w:ascii="宋体" w:hAnsi="宋体" w:cs="宋体"/>
          <w:sz w:val="24"/>
          <w:szCs w:val="24"/>
        </w:rPr>
        <w:t xml:space="preserve">作出</w:t>
      </w:r>
      <w:r>
        <w:rPr>
          <w:rFonts w:hint="eastAsia" w:ascii="宋体" w:hAnsi="宋体" w:cs="宋体"/>
          <w:sz w:val="24"/>
          <w:szCs w:val="24"/>
        </w:rPr>
        <w:t xml:space="preserve">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cs="宋体"/>
          <w:sz w:val="24"/>
          <w:szCs w:val="24"/>
        </w:rPr>
        <w:t xml:space="preserve">响应单位</w:t>
      </w:r>
      <w:r>
        <w:rPr>
          <w:rFonts w:hint="eastAsia" w:ascii="宋体" w:hAnsi="宋体" w:cs="宋体"/>
          <w:sz w:val="24"/>
          <w:szCs w:val="24"/>
        </w:rPr>
        <w:t xml:space="preserve">提供的相关产品视为不符合本国产品标准。</w:t>
      </w:r>
      <w:r/>
    </w:p>
    <w:p>
      <w:pPr>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6.2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04"/>
        <w:ind w:firstLine="420"/>
        <w:jc w:val="left"/>
        <w:spacing w:line="360" w:lineRule="auto"/>
        <w:rPr>
          <w:rFonts w:hint="eastAsia" w:ascii="宋体" w:hAnsi="宋体" w:cs="宋体"/>
          <w:sz w:val="24"/>
          <w:lang w:val="en-US"/>
        </w:rPr>
      </w:pPr>
      <w:r>
        <w:rPr>
          <w:rFonts w:hint="eastAsia" w:ascii="宋体" w:hAnsi="宋体" w:cs="宋体"/>
          <w:sz w:val="24"/>
        </w:rPr>
        <w:t xml:space="preserve">6.3本国产品应当在中国境内生产，即在中华人民共和国关境内实现从原材料、组件到产</w:t>
      </w:r>
      <w:r>
        <w:rPr>
          <w:rFonts w:hint="eastAsia" w:ascii="宋体" w:hAnsi="宋体" w:cs="宋体"/>
          <w:sz w:val="24"/>
        </w:rPr>
        <w:t xml:space="preserve">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九</w:t>
      </w:r>
      <w:r>
        <w:rPr>
          <w:rFonts w:ascii="宋体" w:hAnsi="宋体" w:cs="宋体"/>
          <w:b/>
          <w:sz w:val="24"/>
        </w:rPr>
        <w:t xml:space="preserve">、磋商须知：</w:t>
      </w:r>
      <w:r/>
    </w:p>
    <w:p>
      <w:pPr>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（一）响应文件组成及要求</w:t>
      </w:r>
      <w:r/>
    </w:p>
    <w:p>
      <w:pPr>
        <w:ind w:firstLine="482"/>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1、封面</w:t>
      </w:r>
      <w:r/>
    </w:p>
    <w:p>
      <w:pPr>
        <w:ind w:firstLine="482"/>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2、开标一览表</w:t>
      </w:r>
      <w:r/>
    </w:p>
    <w:p>
      <w:pPr>
        <w:ind w:firstLine="482"/>
        <w:spacing w:line="360" w:lineRule="auto"/>
        <w:rPr>
          <w:rFonts w:hint="eastAsia" w:ascii="宋体" w:hAnsi="宋体" w:cs="宋体"/>
          <w:b/>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3、</w:t>
      </w:r>
      <w:r>
        <w:rPr>
          <w:rFonts w:hint="eastAsia" w:ascii="宋体" w:hAnsi="宋体" w:cs="宋体"/>
          <w:b/>
          <w:sz w:val="24"/>
          <w:szCs w:val="24"/>
        </w:rPr>
        <w:t xml:space="preserve">分项报价明细表</w:t>
      </w:r>
      <w:r/>
    </w:p>
    <w:p>
      <w:pPr>
        <w:ind w:firstLine="482"/>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24"/>
          <w:szCs w:val="24"/>
        </w:rPr>
        <w:t xml:space="preserve">4、</w:t>
      </w:r>
      <w:r>
        <w:rPr>
          <w:rFonts w:ascii="宋体" w:hAnsi="宋体" w:cs="宋体"/>
          <w:b/>
          <w:sz w:val="24"/>
        </w:rPr>
        <w:t xml:space="preserve">资格审查响应文件</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w:t>
      </w:r>
      <w:r>
        <w:rPr>
          <w:rFonts w:ascii="宋体" w:hAnsi="宋体" w:cs="宋体"/>
          <w:sz w:val="24"/>
        </w:rPr>
        <w:t xml:space="preserve">.1关于资格文件的声明函；</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w:t>
      </w:r>
      <w:r>
        <w:rPr>
          <w:rFonts w:ascii="宋体" w:hAnsi="宋体" w:cs="宋体"/>
          <w:sz w:val="24"/>
        </w:rPr>
        <w:t xml:space="preserve">.2响应单位基本情况表；</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w:t>
      </w:r>
      <w:r>
        <w:rPr>
          <w:rFonts w:ascii="宋体" w:hAnsi="宋体" w:cs="宋体"/>
          <w:sz w:val="24"/>
        </w:rPr>
        <w:t xml:space="preserve">.3响应单位法定代表人身份证</w:t>
      </w:r>
      <w:r>
        <w:rPr>
          <w:rFonts w:hint="eastAsia" w:ascii="宋体" w:hAnsi="宋体" w:cs="宋体"/>
          <w:sz w:val="24"/>
        </w:rPr>
        <w:t xml:space="preserve">扫描件</w:t>
      </w:r>
      <w:r>
        <w:rPr>
          <w:rFonts w:ascii="宋体" w:hAnsi="宋体" w:cs="宋体"/>
          <w:sz w:val="24"/>
        </w:rPr>
        <w:t xml:space="preserve">；</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w:t>
      </w:r>
      <w:r>
        <w:rPr>
          <w:rFonts w:ascii="宋体" w:hAnsi="宋体" w:cs="宋体"/>
          <w:sz w:val="24"/>
        </w:rPr>
        <w:t xml:space="preserve">.4响应单位法定代表人授权委托书及响应单位授权代理人身份证扫描件（如有授权）；</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合格</w:t>
      </w:r>
      <w:r>
        <w:rPr>
          <w:rFonts w:ascii="宋体" w:hAnsi="宋体" w:cs="宋体"/>
          <w:sz w:val="24"/>
        </w:rPr>
        <w:t xml:space="preserve">响应单位</w:t>
      </w:r>
      <w:r>
        <w:rPr>
          <w:rFonts w:ascii="宋体" w:hAnsi="宋体" w:cs="宋体"/>
          <w:sz w:val="24"/>
        </w:rPr>
        <w:t xml:space="preserve">的基本条件：</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.1具有独立承担民事责任的能力证明。包括法人或者其他组织的营业执照等证明文件，自然人的身份证明；</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.2具有良好的商业信誉和健全的财务会计制度证明</w:t>
      </w:r>
      <w:r>
        <w:rPr>
          <w:rFonts w:ascii="宋体" w:hAnsi="宋体" w:cs="宋体"/>
          <w:b/>
          <w:sz w:val="24"/>
        </w:rPr>
        <w:t xml:space="preserve">（法人应提供最近一期财务审计报告或最近一期财务报表，其他组织、自然人及成立未满一年的法人应提供银行出具的资信证明）</w:t>
      </w:r>
      <w:r>
        <w:rPr>
          <w:rFonts w:ascii="宋体" w:hAnsi="宋体" w:cs="宋体"/>
          <w:sz w:val="24"/>
        </w:rPr>
        <w:t xml:space="preserve">；</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.3履行合同所必需的设备和专业技术能力的证明材料或承诺；</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.4有依法缴纳税收和社会保障资金的良好记录</w:t>
      </w:r>
      <w:r>
        <w:rPr>
          <w:rFonts w:ascii="宋体" w:hAnsi="宋体" w:cs="宋体"/>
          <w:b/>
          <w:sz w:val="24"/>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ascii="宋体" w:hAnsi="宋体" w:cs="宋体"/>
          <w:sz w:val="24"/>
        </w:rPr>
        <w:t xml:space="preserve">；</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.5参加政府采购活动前三年内在经营活动中没有重大违法记录的书面声明函；</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6</w:t>
      </w:r>
      <w:r>
        <w:rPr>
          <w:rFonts w:ascii="宋体" w:hAnsi="宋体" w:cs="宋体"/>
          <w:sz w:val="24"/>
        </w:rPr>
        <w:t xml:space="preserve">《中小企业声明函》或《残疾人福利性单位声明函》或由省级以上监狱管理局、戒毒管理局（含新疆生产建设兵团）出具的属于监狱企业的证明文件（</w:t>
      </w:r>
      <w:r>
        <w:rPr>
          <w:rFonts w:hint="eastAsia" w:ascii="宋体" w:hAnsi="宋体" w:cs="宋体"/>
          <w:sz w:val="24"/>
        </w:rPr>
        <w:t xml:space="preserve">上传至“企业报价折扣证明”模块</w:t>
      </w:r>
      <w:r>
        <w:rPr>
          <w:rFonts w:ascii="宋体" w:hAnsi="宋体" w:cs="宋体"/>
          <w:sz w:val="24"/>
        </w:rPr>
        <w:t xml:space="preserve">）；</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7</w:t>
      </w:r>
      <w:r>
        <w:rPr>
          <w:rFonts w:ascii="宋体" w:hAnsi="宋体" w:cs="宋体"/>
          <w:sz w:val="24"/>
        </w:rPr>
        <w:t xml:space="preserve">其它有关资格证明的文件（如有）。</w:t>
      </w:r>
      <w:r/>
    </w:p>
    <w:p>
      <w:pPr>
        <w:ind w:firstLine="482"/>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5</w:t>
      </w:r>
      <w:r>
        <w:rPr>
          <w:rFonts w:ascii="宋体" w:hAnsi="宋体" w:cs="宋体"/>
          <w:b/>
          <w:sz w:val="24"/>
        </w:rPr>
        <w:t xml:space="preserve">、符合性审查响应文件</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w:t>
      </w:r>
      <w:r>
        <w:rPr>
          <w:rFonts w:ascii="宋体" w:hAnsi="宋体" w:cs="宋体"/>
          <w:sz w:val="24"/>
        </w:rPr>
        <w:t xml:space="preserve">.1磋商响应函；</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w:t>
      </w:r>
      <w:r>
        <w:rPr>
          <w:rFonts w:ascii="宋体" w:hAnsi="宋体" w:cs="宋体"/>
          <w:sz w:val="24"/>
        </w:rPr>
        <w:t xml:space="preserve">.2偏离表；</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w:t>
      </w:r>
      <w:r>
        <w:rPr>
          <w:rFonts w:ascii="宋体" w:hAnsi="宋体" w:cs="宋体"/>
          <w:sz w:val="24"/>
        </w:rPr>
        <w:t xml:space="preserve">.3</w:t>
      </w:r>
      <w:r>
        <w:rPr>
          <w:rFonts w:hint="eastAsia" w:ascii="宋体" w:hAnsi="宋体" w:cs="宋体"/>
          <w:sz w:val="24"/>
        </w:rPr>
        <w:t xml:space="preserve">响应保证承诺书；</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w:t>
      </w:r>
      <w:r>
        <w:rPr>
          <w:rFonts w:ascii="宋体" w:hAnsi="宋体" w:cs="宋体"/>
          <w:sz w:val="24"/>
        </w:rPr>
        <w:t xml:space="preserve">.4 响应单位情况表；</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5.5</w:t>
      </w:r>
      <w:r>
        <w:rPr>
          <w:rFonts w:ascii="宋体" w:hAnsi="宋体" w:cs="宋体"/>
          <w:sz w:val="24"/>
        </w:rPr>
        <w:t xml:space="preserve">其他有关符合性证明的文件（如有）；</w:t>
      </w:r>
      <w:r/>
    </w:p>
    <w:p>
      <w:pPr>
        <w:ind w:firstLine="482"/>
        <w:spacing w:line="360" w:lineRule="auto"/>
        <w:rPr>
          <w:rFonts w:hint="eastAsia"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sz w:val="24"/>
          <w:szCs w:val="24"/>
        </w:rPr>
        <w:t xml:space="preserve">6</w:t>
      </w:r>
      <w:r>
        <w:rPr>
          <w:rFonts w:ascii="宋体" w:hAnsi="宋体" w:cs="宋体"/>
          <w:b/>
          <w:sz w:val="24"/>
          <w:szCs w:val="24"/>
        </w:rPr>
        <w:t xml:space="preserve">、综合评审响应文件</w:t>
      </w:r>
      <w:r>
        <w:rPr>
          <w:rFonts w:hint="eastAsia" w:ascii="宋体" w:hAnsi="宋体" w:cs="宋体"/>
          <w:b/>
          <w:sz w:val="24"/>
          <w:szCs w:val="24"/>
        </w:rPr>
        <w:t xml:space="preserve">（具体模块以系统生成为准）</w:t>
      </w:r>
      <w:r/>
    </w:p>
    <w:p>
      <w:pPr>
        <w:ind w:firstLine="480"/>
        <w:spacing w:line="360" w:lineRule="auto"/>
        <w:rPr>
          <w:rFonts w:hint="eastAsia"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6</w:t>
      </w:r>
      <w:r>
        <w:rPr>
          <w:rFonts w:ascii="宋体" w:hAnsi="宋体" w:cs="宋体"/>
          <w:sz w:val="24"/>
          <w:szCs w:val="24"/>
        </w:rPr>
        <w:t xml:space="preserve">.1</w:t>
      </w:r>
      <w:r>
        <w:rPr>
          <w:rFonts w:hint="eastAsia" w:ascii="宋体" w:hAnsi="宋体" w:cs="宋体"/>
          <w:sz w:val="24"/>
          <w:szCs w:val="24"/>
        </w:rPr>
        <w:t xml:space="preserve">项目服务方案</w:t>
      </w:r>
      <w:r>
        <w:rPr>
          <w:rFonts w:ascii="宋体" w:hAnsi="宋体" w:cs="宋体"/>
          <w:sz w:val="24"/>
          <w:szCs w:val="24"/>
        </w:rPr>
        <w:t xml:space="preserve">；</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6</w:t>
      </w:r>
      <w:r>
        <w:rPr>
          <w:rFonts w:ascii="宋体" w:hAnsi="宋体" w:cs="宋体"/>
          <w:sz w:val="24"/>
        </w:rPr>
        <w:t xml:space="preserve">.2类似项目业绩；</w:t>
      </w:r>
      <w:r/>
    </w:p>
    <w:p>
      <w:pPr>
        <w:ind w:firstLine="480"/>
        <w:spacing w:line="360" w:lineRule="auto"/>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6</w:t>
      </w:r>
      <w:r>
        <w:rPr>
          <w:rFonts w:ascii="宋体" w:hAnsi="宋体" w:cs="宋体"/>
          <w:sz w:val="24"/>
          <w:szCs w:val="24"/>
        </w:rPr>
        <w:t xml:space="preserve">.3</w:t>
      </w:r>
      <w:r>
        <w:rPr>
          <w:rFonts w:ascii="宋体" w:hAnsi="宋体" w:cs="宋体"/>
          <w:sz w:val="24"/>
        </w:rPr>
        <w:t xml:space="preserve">项目服务人员配置表；</w:t>
      </w:r>
      <w:r/>
    </w:p>
    <w:p>
      <w:pPr>
        <w:ind w:firstLine="480"/>
        <w:spacing w:line="360" w:lineRule="auto"/>
        <w:rPr>
          <w:rFonts w:hint="eastAsia"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6.4评分标准中所涉及到的其他材料</w:t>
      </w:r>
      <w:r>
        <w:rPr>
          <w:rFonts w:ascii="宋体" w:hAnsi="宋体" w:cs="宋体"/>
          <w:sz w:val="24"/>
          <w:szCs w:val="24"/>
        </w:rPr>
        <w:t xml:space="preserve">；</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7</w:t>
      </w:r>
      <w:r>
        <w:rPr>
          <w:rFonts w:ascii="宋体" w:hAnsi="宋体" w:cs="宋体"/>
          <w:b/>
          <w:sz w:val="24"/>
        </w:rPr>
        <w:t xml:space="preserve">、</w:t>
      </w:r>
      <w:r>
        <w:rPr>
          <w:rFonts w:ascii="宋体" w:hAnsi="宋体" w:cs="宋体"/>
          <w:sz w:val="24"/>
        </w:rPr>
        <w:t xml:space="preserve">对属于《节能产品政府采购品目清单》政府强制采购产品的，需提供该产品有效期内的认证等相关证明材料</w:t>
      </w:r>
      <w:bookmarkStart w:id="25" w:name="OLE_LINK9"/>
      <w:r/>
      <w:bookmarkStart w:id="26" w:name="OLE_LINK26"/>
      <w:r>
        <w:rPr>
          <w:rFonts w:ascii="宋体" w:hAnsi="宋体" w:cs="宋体"/>
          <w:sz w:val="24"/>
        </w:rPr>
        <w:t xml:space="preserve">（如有）</w:t>
      </w:r>
      <w:bookmarkEnd w:id="25"/>
      <w:r/>
      <w:bookmarkEnd w:id="26"/>
      <w:r>
        <w:rPr>
          <w:rFonts w:ascii="宋体" w:hAnsi="宋体" w:cs="宋体"/>
          <w:sz w:val="24"/>
        </w:rPr>
        <w:t xml:space="preserve">。</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8、</w:t>
      </w:r>
      <w:r>
        <w:rPr>
          <w:rFonts w:hint="eastAsia" w:ascii="宋体" w:hAnsi="宋体" w:cs="宋体"/>
          <w:sz w:val="24"/>
        </w:rPr>
        <w:t xml:space="preserve">响应单位对其提供的产品出具《关于符合本国产品标准的声明函》（以下简称《声明函》）或财政部会同有关部门规定的有关证明文件。如不提供将不享受本国产品价格评审优惠</w:t>
      </w:r>
      <w:r>
        <w:rPr>
          <w:rFonts w:ascii="宋体" w:hAnsi="宋体" w:cs="宋体"/>
          <w:sz w:val="24"/>
        </w:rPr>
        <w:t xml:space="preserve">（如有）</w:t>
      </w:r>
      <w:r>
        <w:rPr>
          <w:rFonts w:hint="eastAsia" w:ascii="宋体" w:hAnsi="宋体" w:cs="宋体"/>
          <w:sz w:val="24"/>
        </w:rPr>
        <w:t xml:space="preserve">。</w:t>
      </w:r>
      <w:r/>
    </w:p>
    <w:p>
      <w:pPr>
        <w:ind w:firstLine="482"/>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注：</w:t>
      </w:r>
      <w:r/>
    </w:p>
    <w:p>
      <w:pPr>
        <w:ind w:firstLine="482"/>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（1）以上</w:t>
      </w:r>
      <w:r>
        <w:rPr>
          <w:rFonts w:hint="eastAsia" w:ascii="宋体" w:hAnsi="宋体" w:cs="宋体"/>
          <w:b/>
          <w:sz w:val="24"/>
        </w:rPr>
        <w:t xml:space="preserve">4</w:t>
      </w:r>
      <w:r>
        <w:rPr>
          <w:rFonts w:ascii="宋体" w:hAnsi="宋体" w:cs="宋体"/>
          <w:b/>
          <w:sz w:val="24"/>
        </w:rPr>
        <w:t xml:space="preserve">.1-</w:t>
      </w:r>
      <w:r>
        <w:rPr>
          <w:rFonts w:hint="eastAsia" w:ascii="宋体" w:hAnsi="宋体" w:cs="宋体"/>
          <w:b/>
          <w:sz w:val="24"/>
        </w:rPr>
        <w:t xml:space="preserve">4</w:t>
      </w:r>
      <w:r>
        <w:rPr>
          <w:rFonts w:ascii="宋体" w:hAnsi="宋体" w:cs="宋体"/>
          <w:b/>
          <w:sz w:val="24"/>
        </w:rPr>
        <w:t xml:space="preserve">.</w:t>
      </w:r>
      <w:r>
        <w:rPr>
          <w:rFonts w:hint="eastAsia" w:ascii="宋体" w:hAnsi="宋体" w:cs="宋体"/>
          <w:b/>
          <w:sz w:val="24"/>
        </w:rPr>
        <w:t xml:space="preserve">7</w:t>
      </w:r>
      <w:r>
        <w:rPr>
          <w:rFonts w:hint="eastAsia" w:ascii="宋体" w:hAnsi="宋体" w:cs="宋体"/>
          <w:b/>
          <w:sz w:val="24"/>
        </w:rPr>
        <w:t xml:space="preserve">为</w:t>
      </w:r>
      <w:r>
        <w:rPr>
          <w:rFonts w:ascii="宋体" w:hAnsi="宋体" w:cs="宋体"/>
          <w:b/>
          <w:sz w:val="24"/>
        </w:rPr>
        <w:t xml:space="preserve">资格审查要求提供的材料，是作为对</w:t>
      </w:r>
      <w:r>
        <w:rPr>
          <w:rFonts w:ascii="宋体" w:hAnsi="宋体" w:cs="宋体"/>
          <w:b/>
          <w:sz w:val="24"/>
        </w:rPr>
        <w:t xml:space="preserve">响应单位</w:t>
      </w:r>
      <w:r>
        <w:rPr>
          <w:rFonts w:ascii="宋体" w:hAnsi="宋体" w:cs="宋体"/>
          <w:b/>
          <w:sz w:val="24"/>
        </w:rPr>
        <w:t xml:space="preserve">资格审查、质疑身份认定的依据，响应</w:t>
      </w:r>
      <w:r>
        <w:rPr>
          <w:rFonts w:hint="eastAsia" w:ascii="宋体" w:hAnsi="宋体" w:cs="宋体"/>
          <w:b/>
          <w:sz w:val="24"/>
        </w:rPr>
        <w:t xml:space="preserve">单位</w:t>
      </w:r>
      <w:r>
        <w:rPr>
          <w:rFonts w:ascii="宋体" w:hAnsi="宋体" w:cs="宋体"/>
          <w:b/>
          <w:sz w:val="24"/>
        </w:rPr>
        <w:t xml:space="preserve">必须提供并加盖电子公章。否则，响应文件将被认定为不符合资格审查要求。</w:t>
      </w:r>
      <w:r/>
    </w:p>
    <w:p>
      <w:pPr>
        <w:ind w:firstLine="482"/>
        <w:spacing w:line="360" w:lineRule="auto"/>
        <w:rPr>
          <w:rFonts w:hint="eastAsia"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（2）以上</w:t>
      </w:r>
      <w:r>
        <w:rPr>
          <w:rFonts w:hint="eastAsia" w:ascii="宋体" w:hAnsi="宋体" w:cs="宋体"/>
          <w:b/>
          <w:sz w:val="24"/>
        </w:rPr>
        <w:t xml:space="preserve">5</w:t>
      </w:r>
      <w:r>
        <w:rPr>
          <w:rFonts w:ascii="宋体" w:hAnsi="宋体" w:cs="宋体"/>
          <w:b/>
          <w:sz w:val="24"/>
        </w:rPr>
        <w:t xml:space="preserve">.1-</w:t>
      </w:r>
      <w:r>
        <w:rPr>
          <w:rFonts w:hint="eastAsia" w:ascii="宋体" w:hAnsi="宋体" w:cs="宋体"/>
          <w:b/>
          <w:sz w:val="24"/>
        </w:rPr>
        <w:t xml:space="preserve">5</w:t>
      </w:r>
      <w:r>
        <w:rPr>
          <w:rFonts w:ascii="宋体" w:hAnsi="宋体" w:cs="宋体"/>
          <w:b/>
          <w:sz w:val="24"/>
        </w:rPr>
        <w:t xml:space="preserve">.</w:t>
      </w:r>
      <w:r>
        <w:rPr>
          <w:rFonts w:hint="eastAsia" w:ascii="宋体" w:hAnsi="宋体" w:cs="宋体"/>
          <w:b/>
          <w:sz w:val="24"/>
        </w:rPr>
        <w:t xml:space="preserve">5</w:t>
      </w:r>
      <w:r>
        <w:rPr>
          <w:rFonts w:ascii="宋体" w:hAnsi="宋体" w:cs="宋体"/>
          <w:b/>
          <w:sz w:val="24"/>
        </w:rPr>
        <w:t xml:space="preserve">为符合性审查须提供的资料，响应</w:t>
      </w:r>
      <w:r>
        <w:rPr>
          <w:rFonts w:hint="eastAsia" w:ascii="宋体" w:hAnsi="宋体" w:cs="宋体"/>
          <w:b/>
          <w:sz w:val="24"/>
        </w:rPr>
        <w:t xml:space="preserve">单位</w:t>
      </w:r>
      <w:r>
        <w:rPr>
          <w:rFonts w:ascii="宋体" w:hAnsi="宋体" w:cs="宋体"/>
          <w:b/>
          <w:sz w:val="24"/>
        </w:rPr>
        <w:t xml:space="preserve">必须提供并加盖电子公章。否则，磋商响应文件将被认定为未实质性响应。</w:t>
      </w:r>
      <w:r/>
    </w:p>
    <w:p>
      <w:pPr>
        <w:ind w:firstLine="482"/>
        <w:spacing w:line="360" w:lineRule="auto"/>
        <w:rPr>
          <w:rFonts w:hint="eastAsia"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sz w:val="24"/>
          <w:szCs w:val="24"/>
        </w:rPr>
        <w:t xml:space="preserve">（3）</w:t>
      </w:r>
      <w:r>
        <w:rPr>
          <w:rFonts w:hint="eastAsia" w:ascii="宋体" w:hAnsi="宋体" w:cs="宋体"/>
          <w:b/>
          <w:bCs/>
          <w:sz w:val="24"/>
          <w:szCs w:val="24"/>
        </w:rPr>
        <w:t xml:space="preserve">制作电子响应文件时必须与投标文件制作软件目录一一对应，将相关资料上传至相应模块。</w:t>
      </w:r>
      <w:r>
        <w:rPr>
          <w:rFonts w:hint="eastAsia" w:ascii="宋体" w:hAnsi="宋体" w:cs="宋体"/>
          <w:sz w:val="24"/>
          <w:szCs w:val="24"/>
        </w:rPr>
        <w:t xml:space="preserve">注意不要漏项。如有不确定上传的位置的，可以上传至“响应文件中要求提供的其他证明材料”</w:t>
      </w:r>
      <w:r>
        <w:rPr>
          <w:rFonts w:hint="eastAsia" w:ascii="宋体" w:hAnsi="宋体" w:cs="宋体"/>
          <w:bCs/>
          <w:sz w:val="24"/>
          <w:szCs w:val="24"/>
          <w:lang w:val="zh-CN"/>
        </w:rPr>
        <w:t xml:space="preserve">。</w:t>
      </w:r>
      <w:r/>
    </w:p>
    <w:p>
      <w:pPr>
        <w:spacing w:line="360" w:lineRule="auto"/>
        <w:tabs>
          <w:tab w:val="left" w:pos="993" w:leader="none"/>
        </w:tabs>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（二）</w:t>
      </w:r>
      <w:r>
        <w:rPr>
          <w:rFonts w:ascii="宋体" w:hAnsi="宋体" w:cs="宋体"/>
          <w:b/>
          <w:sz w:val="24"/>
        </w:rPr>
        <w:t xml:space="preserve">响应单位</w:t>
      </w:r>
      <w:r>
        <w:rPr>
          <w:rFonts w:ascii="宋体" w:hAnsi="宋体" w:cs="宋体"/>
          <w:b/>
          <w:sz w:val="24"/>
        </w:rPr>
        <w:t xml:space="preserve">信用记录：</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1、采购代理机构会在接收响应文件截止时间后，在苏</w:t>
      </w:r>
      <w:r>
        <w:rPr>
          <w:rFonts w:ascii="宋体" w:hAnsi="宋体" w:cs="宋体"/>
          <w:sz w:val="24"/>
        </w:rPr>
        <w:t xml:space="preserve">采云</w:t>
      </w:r>
      <w:r>
        <w:rPr>
          <w:rFonts w:ascii="宋体" w:hAnsi="宋体" w:cs="宋体"/>
          <w:sz w:val="24"/>
        </w:rPr>
        <w:t xml:space="preserve">平台查询</w:t>
      </w:r>
      <w:r>
        <w:rPr>
          <w:rFonts w:ascii="宋体" w:hAnsi="宋体" w:cs="宋体"/>
          <w:sz w:val="24"/>
        </w:rPr>
        <w:t xml:space="preserve">响应单位</w:t>
      </w:r>
      <w:r>
        <w:rPr>
          <w:rFonts w:ascii="宋体" w:hAnsi="宋体" w:cs="宋体"/>
          <w:sz w:val="24"/>
        </w:rPr>
        <w:t xml:space="preserve">的信用记录，并将查询结果递交评审小组。“</w:t>
      </w:r>
      <w:r>
        <w:rPr>
          <w:rFonts w:ascii="宋体" w:hAnsi="宋体" w:cs="宋体"/>
          <w:sz w:val="24"/>
        </w:rPr>
        <w:t xml:space="preserve">响应单位</w:t>
      </w:r>
      <w:r>
        <w:rPr>
          <w:rFonts w:ascii="宋体" w:hAnsi="宋体" w:cs="宋体"/>
          <w:sz w:val="24"/>
        </w:rPr>
        <w:t xml:space="preserve">信用查询”提供来自中国政府采购网、信用中国、信用江苏、信用苏州网站的相关主体信用记录。</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2、采购过程中将对</w:t>
      </w:r>
      <w:r>
        <w:rPr>
          <w:rFonts w:ascii="宋体" w:hAnsi="宋体" w:cs="宋体"/>
          <w:sz w:val="24"/>
        </w:rPr>
        <w:t xml:space="preserve">响应单位</w:t>
      </w:r>
      <w:r>
        <w:rPr>
          <w:rFonts w:ascii="宋体" w:hAnsi="宋体" w:cs="宋体"/>
          <w:sz w:val="24"/>
        </w:rPr>
        <w:t xml:space="preserve">信用记录进行甄别，对列入失信被执行人、重大税收违法案件当事人名单、政府采购严重违法失信行为记录名单及其他不符合《中华人民共和国政府采</w:t>
      </w:r>
      <w:r>
        <w:rPr>
          <w:rFonts w:ascii="宋体" w:hAnsi="宋体" w:cs="宋体"/>
          <w:sz w:val="24"/>
        </w:rPr>
        <w:t xml:space="preserve">购法》第二十二条规定条件的</w:t>
      </w:r>
      <w:r>
        <w:rPr>
          <w:rFonts w:ascii="宋体" w:hAnsi="宋体" w:cs="宋体"/>
          <w:sz w:val="24"/>
        </w:rPr>
        <w:t xml:space="preserve">响应单位</w:t>
      </w:r>
      <w:r>
        <w:rPr>
          <w:rFonts w:ascii="宋体" w:hAnsi="宋体" w:cs="宋体"/>
          <w:sz w:val="24"/>
        </w:rPr>
        <w:t xml:space="preserve">，应当拒绝其参与政府采购活动。</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rPr>
          <w:rFonts w:ascii="宋体" w:hAnsi="宋体" w:cs="宋体"/>
          <w:sz w:val="24"/>
        </w:rPr>
        <w:t xml:space="preserve">响应单位</w:t>
      </w:r>
      <w:r>
        <w:rPr>
          <w:rFonts w:ascii="宋体" w:hAnsi="宋体" w:cs="宋体"/>
          <w:sz w:val="24"/>
        </w:rPr>
        <w:t xml:space="preserve">若在经营活动中受到罚款的，请携带相关地方、部门对较大数额认定标准的证明材料，与响应文件一并提交。若无法提供，则可能承担响应无效等相应不利后果。</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4、对存在失信信息的</w:t>
      </w:r>
      <w:r>
        <w:rPr>
          <w:rFonts w:ascii="宋体" w:hAnsi="宋体" w:cs="宋体"/>
          <w:sz w:val="24"/>
        </w:rPr>
        <w:t xml:space="preserve">响应单位</w:t>
      </w:r>
      <w:r>
        <w:rPr>
          <w:rFonts w:ascii="宋体" w:hAnsi="宋体" w:cs="宋体"/>
          <w:sz w:val="24"/>
        </w:rPr>
        <w:t xml:space="preserve">，由失信</w:t>
      </w:r>
      <w:r>
        <w:rPr>
          <w:rFonts w:ascii="宋体" w:hAnsi="宋体" w:cs="宋体"/>
          <w:sz w:val="24"/>
        </w:rPr>
        <w:t xml:space="preserve">响应单位</w:t>
      </w:r>
      <w:r>
        <w:rPr>
          <w:rFonts w:ascii="宋体" w:hAnsi="宋体" w:cs="宋体"/>
          <w:sz w:val="24"/>
        </w:rPr>
        <w:t xml:space="preserve">应签名确认。同时，采购代理机构工作人员应根据评审小组确认的失信信息，登陆到相关来源网站页面进行复核并打印，作为证据留存。</w:t>
      </w:r>
      <w:r/>
    </w:p>
    <w:p>
      <w:pPr>
        <w:spacing w:line="360" w:lineRule="auto"/>
        <w:tabs>
          <w:tab w:val="left" w:pos="993" w:leader="none"/>
        </w:tabs>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（三）成交服务费：</w:t>
      </w:r>
      <w:r/>
    </w:p>
    <w:p>
      <w:pPr>
        <w:ind w:firstLine="480"/>
        <w:spacing w:line="360" w:lineRule="auto"/>
        <w:tabs>
          <w:tab w:val="left" w:pos="993" w:leader="none"/>
          <w:tab w:val="left" w:pos="7371" w:leader="none"/>
        </w:tabs>
        <w:rPr>
          <w:rFonts w:hint="eastAsia" w:ascii="宋体" w:hAnsi="宋体"/>
        </w:rPr>
        <w:pBdr>
          <w:top w:val="none" w:color="000000" w:sz="4" w:space="0"/>
          <w:left w:val="none" w:color="000000" w:sz="4" w:space="0"/>
          <w:bottom w:val="none" w:color="000000" w:sz="4" w:space="0"/>
          <w:right w:val="none" w:color="000000" w:sz="4" w:space="0"/>
        </w:pBdr>
      </w:pPr>
      <w:r/>
      <w:bookmarkStart w:id="27" w:name="OLE_LINK67"/>
      <w:r>
        <w:rPr>
          <w:rFonts w:ascii="宋体" w:hAnsi="宋体" w:cs="宋体"/>
          <w:sz w:val="24"/>
        </w:rPr>
        <w:t xml:space="preserve">成交单位在领取成交通知书时向采购代理机构一次性付清。</w:t>
      </w:r>
      <w:bookmarkStart w:id="28" w:name="OLE_LINK158"/>
      <w:r>
        <w:rPr>
          <w:rFonts w:ascii="宋体" w:hAnsi="宋体" w:cs="宋体"/>
          <w:sz w:val="24"/>
        </w:rPr>
        <w:t xml:space="preserve">按照预算金额的如下比例进行计算：即100万元以内1.5%、100～500万元以1.1%、500~1000万元以0.8%，差额定率累进法计算并支付成交服务费。本项目代理服务费：</w:t>
      </w:r>
      <w:r>
        <w:rPr>
          <w:rFonts w:hint="eastAsia" w:ascii="宋体" w:hAnsi="宋体" w:cs="宋体"/>
          <w:sz w:val="24"/>
        </w:rPr>
        <w:t xml:space="preserve">183</w:t>
      </w:r>
      <w:r>
        <w:rPr>
          <w:rFonts w:hint="eastAsia" w:ascii="宋体" w:hAnsi="宋体" w:cs="宋体"/>
          <w:sz w:val="24"/>
        </w:rPr>
        <w:t xml:space="preserve">00</w:t>
      </w:r>
      <w:r>
        <w:rPr>
          <w:rFonts w:ascii="宋体" w:hAnsi="宋体" w:cs="宋体"/>
          <w:sz w:val="24"/>
        </w:rPr>
        <w:t xml:space="preserve">元。</w:t>
      </w:r>
      <w:bookmarkEnd w:id="27"/>
      <w:r/>
      <w:bookmarkEnd w:id="28"/>
      <w:r/>
      <w:r/>
    </w:p>
    <w:p>
      <w:pPr>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（四）电子响应文件制作要求：</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制作电子响应文件时与响应文件制作软件目录一一对应，将相关资料上传至相应模块。</w:t>
      </w:r>
      <w:r>
        <w:rPr>
          <w:rFonts w:ascii="宋体" w:hAnsi="宋体" w:cs="宋体"/>
          <w:b/>
          <w:sz w:val="24"/>
        </w:rPr>
        <w:t xml:space="preserve">磋商过程中如有问题采购代理机构工作人员会及时通知《投标</w:t>
      </w:r>
      <w:r>
        <w:rPr>
          <w:rFonts w:ascii="宋体" w:hAnsi="宋体" w:cs="宋体"/>
          <w:b/>
          <w:sz w:val="24"/>
        </w:rPr>
        <w:t xml:space="preserve">响应单位</w:t>
      </w:r>
      <w:r>
        <w:rPr>
          <w:rFonts w:ascii="宋体" w:hAnsi="宋体" w:cs="宋体"/>
          <w:b/>
          <w:sz w:val="24"/>
        </w:rPr>
        <w:t xml:space="preserve">确认函》留存的手机号与</w:t>
      </w:r>
      <w:r>
        <w:rPr>
          <w:rFonts w:hint="eastAsia" w:ascii="宋体" w:hAnsi="宋体" w:cs="宋体"/>
          <w:b/>
          <w:sz w:val="24"/>
        </w:rPr>
        <w:t xml:space="preserve">响应单位</w:t>
      </w:r>
      <w:r>
        <w:rPr>
          <w:rFonts w:ascii="宋体" w:hAnsi="宋体" w:cs="宋体"/>
          <w:b/>
          <w:sz w:val="24"/>
        </w:rPr>
        <w:t xml:space="preserve">联系。请</w:t>
      </w:r>
      <w:r>
        <w:rPr>
          <w:rFonts w:hint="eastAsia" w:ascii="宋体" w:hAnsi="宋体" w:cs="宋体"/>
          <w:b/>
          <w:sz w:val="24"/>
        </w:rPr>
        <w:t xml:space="preserve">各响应单位</w:t>
      </w:r>
      <w:r>
        <w:rPr>
          <w:rFonts w:ascii="宋体" w:hAnsi="宋体" w:cs="宋体"/>
          <w:b/>
          <w:sz w:val="24"/>
        </w:rPr>
        <w:t xml:space="preserve">确保该手机号磋商当日通讯畅通，</w:t>
      </w:r>
      <w:r>
        <w:rPr>
          <w:rFonts w:ascii="宋体" w:hAnsi="宋体" w:cs="宋体"/>
          <w:b/>
          <w:sz w:val="24"/>
        </w:rPr>
        <w:t xml:space="preserve">否则导致</w:t>
      </w:r>
      <w:r>
        <w:rPr>
          <w:rFonts w:ascii="宋体" w:hAnsi="宋体" w:cs="宋体"/>
          <w:b/>
          <w:sz w:val="24"/>
        </w:rPr>
        <w:t xml:space="preserve">的对</w:t>
      </w:r>
      <w:r>
        <w:rPr>
          <w:rFonts w:hint="eastAsia" w:ascii="宋体" w:hAnsi="宋体" w:cs="宋体"/>
          <w:b/>
          <w:sz w:val="24"/>
        </w:rPr>
        <w:t xml:space="preserve">响应单位</w:t>
      </w:r>
      <w:r>
        <w:rPr>
          <w:rFonts w:ascii="宋体" w:hAnsi="宋体" w:cs="宋体"/>
          <w:b/>
          <w:sz w:val="24"/>
        </w:rPr>
        <w:t xml:space="preserve">不利的后果由各</w:t>
      </w:r>
      <w:r>
        <w:rPr>
          <w:rFonts w:hint="eastAsia" w:ascii="宋体" w:hAnsi="宋体" w:cs="宋体"/>
          <w:b/>
          <w:sz w:val="24"/>
        </w:rPr>
        <w:t xml:space="preserve">响应单位</w:t>
      </w:r>
      <w:r>
        <w:rPr>
          <w:rFonts w:ascii="宋体" w:hAnsi="宋体" w:cs="宋体"/>
          <w:b/>
          <w:sz w:val="24"/>
        </w:rPr>
        <w:t xml:space="preserve">自行承担。</w:t>
      </w:r>
      <w:r/>
    </w:p>
    <w:p>
      <w:pPr>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（五）响应文件要求：</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1、磋商响应文件编制要求：本项目采用电子招投标形式，请</w:t>
      </w:r>
      <w:r>
        <w:rPr>
          <w:rFonts w:ascii="宋体" w:hAnsi="宋体" w:cs="宋体"/>
          <w:sz w:val="24"/>
        </w:rPr>
        <w:t xml:space="preserve">响应单位</w:t>
      </w:r>
      <w:r>
        <w:rPr>
          <w:rFonts w:ascii="宋体" w:hAnsi="宋体" w:cs="宋体"/>
          <w:sz w:val="24"/>
        </w:rPr>
        <w:t xml:space="preserve">按照《苏</w:t>
      </w:r>
      <w:r>
        <w:rPr>
          <w:rFonts w:ascii="宋体" w:hAnsi="宋体" w:cs="宋体"/>
          <w:sz w:val="24"/>
        </w:rPr>
        <w:t xml:space="preserve">采云</w:t>
      </w:r>
      <w:r>
        <w:rPr>
          <w:rFonts w:ascii="宋体" w:hAnsi="宋体" w:cs="宋体"/>
          <w:sz w:val="24"/>
        </w:rPr>
        <w:t xml:space="preserve">系统</w:t>
      </w:r>
      <w:r>
        <w:rPr>
          <w:rFonts w:ascii="宋体" w:hAnsi="宋体" w:cs="宋体"/>
          <w:sz w:val="24"/>
        </w:rPr>
        <w:t xml:space="preserve">响应单位</w:t>
      </w:r>
      <w:r>
        <w:rPr>
          <w:rFonts w:ascii="宋体" w:hAnsi="宋体" w:cs="宋体"/>
          <w:sz w:val="24"/>
        </w:rPr>
        <w:t xml:space="preserve">操作手册》进行制作、上传电子响应文件。电子响应文件制作完成后请于响应文件递交截止时间前成功上传至“苏</w:t>
      </w:r>
      <w:r>
        <w:rPr>
          <w:rFonts w:ascii="宋体" w:hAnsi="宋体" w:cs="宋体"/>
          <w:sz w:val="24"/>
        </w:rPr>
        <w:t xml:space="preserve">采云</w:t>
      </w:r>
      <w:r>
        <w:rPr>
          <w:rFonts w:ascii="宋体" w:hAnsi="宋体" w:cs="宋体"/>
          <w:sz w:val="24"/>
        </w:rPr>
        <w:t xml:space="preserve">”系统，否则视为放弃参加该采购项目。</w:t>
      </w:r>
      <w:r>
        <w:rPr>
          <w:rFonts w:ascii="宋体" w:hAnsi="宋体" w:cs="宋体"/>
          <w:sz w:val="24"/>
        </w:rPr>
        <w:t xml:space="preserve">响应单位</w:t>
      </w:r>
      <w:r>
        <w:rPr>
          <w:rFonts w:ascii="宋体" w:hAnsi="宋体" w:cs="宋体"/>
          <w:sz w:val="24"/>
        </w:rPr>
        <w:t xml:space="preserve">应充分考虑到网络环境、网络带宽等风险因素，如因</w:t>
      </w:r>
      <w:r>
        <w:rPr>
          <w:rFonts w:ascii="宋体" w:hAnsi="宋体" w:cs="宋体"/>
          <w:sz w:val="24"/>
        </w:rPr>
        <w:t xml:space="preserve">响应单位</w:t>
      </w:r>
      <w:r>
        <w:rPr>
          <w:rFonts w:ascii="宋体" w:hAnsi="宋体" w:cs="宋体"/>
          <w:sz w:val="24"/>
        </w:rPr>
        <w:t xml:space="preserve">自身原因造成的电子响应文件上传不成功由</w:t>
      </w:r>
      <w:r>
        <w:rPr>
          <w:rFonts w:ascii="宋体" w:hAnsi="宋体" w:cs="宋体"/>
          <w:sz w:val="24"/>
        </w:rPr>
        <w:t xml:space="preserve">响应单位</w:t>
      </w:r>
      <w:r>
        <w:rPr>
          <w:rFonts w:ascii="宋体" w:hAnsi="宋体" w:cs="宋体"/>
          <w:sz w:val="24"/>
        </w:rPr>
        <w:t xml:space="preserve">自行承担全部责任。</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2、电子响应文件中的资料应按要求加盖电子印章或加盖响应</w:t>
      </w:r>
      <w:r>
        <w:rPr>
          <w:rFonts w:ascii="宋体" w:hAnsi="宋体" w:cs="宋体"/>
          <w:sz w:val="24"/>
        </w:rPr>
        <w:t xml:space="preserve">响应单位</w:t>
      </w:r>
      <w:r>
        <w:rPr>
          <w:rFonts w:ascii="宋体" w:hAnsi="宋体" w:cs="宋体"/>
          <w:sz w:val="24"/>
        </w:rPr>
        <w:t xml:space="preserve">公章上传。</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3、磋商截止时间：</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3.1响应</w:t>
      </w:r>
      <w:r>
        <w:rPr>
          <w:rFonts w:ascii="宋体" w:hAnsi="宋体" w:cs="宋体"/>
          <w:sz w:val="24"/>
        </w:rPr>
        <w:t xml:space="preserve">响应单位</w:t>
      </w:r>
      <w:r>
        <w:rPr>
          <w:rFonts w:ascii="宋体" w:hAnsi="宋体" w:cs="宋体"/>
          <w:sz w:val="24"/>
        </w:rPr>
        <w:t xml:space="preserve">应当在采购文件要求提交响应文件的截止时间前，将响应文件上传系统。</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3.2采购单位或者采购代理机构</w:t>
      </w:r>
      <w:r>
        <w:rPr>
          <w:rFonts w:ascii="宋体" w:hAnsi="宋体" w:cs="宋体"/>
          <w:sz w:val="24"/>
        </w:rPr>
        <w:t xml:space="preserve">推迟磋商</w:t>
      </w:r>
      <w:r>
        <w:rPr>
          <w:rFonts w:ascii="宋体" w:hAnsi="宋体" w:cs="宋体"/>
          <w:sz w:val="24"/>
        </w:rPr>
        <w:t xml:space="preserve">截止时间时的，应以网上补充公告形式通知所有响应</w:t>
      </w:r>
      <w:r>
        <w:rPr>
          <w:rFonts w:ascii="宋体" w:hAnsi="宋体" w:cs="宋体"/>
          <w:sz w:val="24"/>
        </w:rPr>
        <w:t xml:space="preserve">响应单位</w:t>
      </w:r>
      <w:r>
        <w:rPr>
          <w:rFonts w:ascii="宋体" w:hAnsi="宋体" w:cs="宋体"/>
          <w:sz w:val="24"/>
        </w:rPr>
        <w:t xml:space="preserve">。在这种情况下，采购单位或者采购代理机构和响应</w:t>
      </w:r>
      <w:r>
        <w:rPr>
          <w:rFonts w:ascii="宋体" w:hAnsi="宋体" w:cs="宋体"/>
          <w:sz w:val="24"/>
        </w:rPr>
        <w:t xml:space="preserve">响应单位</w:t>
      </w:r>
      <w:r>
        <w:rPr>
          <w:rFonts w:ascii="宋体" w:hAnsi="宋体" w:cs="宋体"/>
          <w:sz w:val="24"/>
        </w:rPr>
        <w:t xml:space="preserve">的权利和义务将受到新的截止期的约束。</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4、响应文件的修改和撤回：响应</w:t>
      </w:r>
      <w:r>
        <w:rPr>
          <w:rFonts w:ascii="宋体" w:hAnsi="宋体" w:cs="宋体"/>
          <w:sz w:val="24"/>
        </w:rPr>
        <w:t xml:space="preserve">响应单位</w:t>
      </w:r>
      <w:r>
        <w:rPr>
          <w:rFonts w:ascii="宋体" w:hAnsi="宋体" w:cs="宋体"/>
          <w:sz w:val="24"/>
        </w:rPr>
        <w:t xml:space="preserve">在磋商截止时间前，可以对所递交的响应文件进行补充、修改或者撤回，并书面通知采购单位或者采购代理机构。补充、修改的内容应当按照采购文件要求签署、盖章、密封后，作为响应文件的组成部分。</w:t>
      </w:r>
      <w:r/>
    </w:p>
    <w:p>
      <w:pPr>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（六）磋商采购程序</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1、采购代理机构按本须知规定的时间、地点主持磋商采购活动。</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ascii="宋体" w:hAnsi="宋体" w:cs="宋体"/>
          <w:sz w:val="24"/>
        </w:rPr>
        <w:t xml:space="preserve">响应单位</w:t>
      </w:r>
      <w:r>
        <w:rPr>
          <w:rFonts w:ascii="宋体" w:hAnsi="宋体" w:cs="宋体"/>
          <w:sz w:val="24"/>
        </w:rPr>
        <w:t xml:space="preserve">通过“苏</w:t>
      </w:r>
      <w:r>
        <w:rPr>
          <w:rFonts w:ascii="宋体" w:hAnsi="宋体" w:cs="宋体"/>
          <w:sz w:val="24"/>
        </w:rPr>
        <w:t xml:space="preserve">采云</w:t>
      </w:r>
      <w:r>
        <w:rPr>
          <w:rFonts w:ascii="宋体" w:hAnsi="宋体" w:cs="宋体"/>
          <w:sz w:val="24"/>
        </w:rPr>
        <w:t xml:space="preserve">”系统在线参与磋商活动。</w:t>
      </w:r>
      <w:r>
        <w:rPr>
          <w:rFonts w:ascii="宋体" w:hAnsi="宋体" w:cs="宋体"/>
          <w:sz w:val="24"/>
        </w:rPr>
        <w:t xml:space="preserve">响应单位</w:t>
      </w:r>
      <w:r>
        <w:rPr>
          <w:rFonts w:ascii="宋体" w:hAnsi="宋体" w:cs="宋体"/>
          <w:sz w:val="24"/>
        </w:rPr>
        <w:t xml:space="preserve">应当按照《苏</w:t>
      </w:r>
      <w:r>
        <w:rPr>
          <w:rFonts w:ascii="宋体" w:hAnsi="宋体" w:cs="宋体"/>
          <w:sz w:val="24"/>
        </w:rPr>
        <w:t xml:space="preserve">采云</w:t>
      </w:r>
      <w:r>
        <w:rPr>
          <w:rFonts w:ascii="宋体" w:hAnsi="宋体" w:cs="宋体"/>
          <w:sz w:val="24"/>
        </w:rPr>
        <w:t xml:space="preserve">系统</w:t>
      </w:r>
      <w:r>
        <w:rPr>
          <w:rFonts w:ascii="宋体" w:hAnsi="宋体" w:cs="宋体"/>
          <w:sz w:val="24"/>
        </w:rPr>
        <w:t xml:space="preserve">响应单位</w:t>
      </w:r>
      <w:r>
        <w:rPr>
          <w:rFonts w:ascii="宋体" w:hAnsi="宋体" w:cs="宋体"/>
          <w:sz w:val="24"/>
        </w:rPr>
        <w:t xml:space="preserve">操作手册》规定在 “苏</w:t>
      </w:r>
      <w:r>
        <w:rPr>
          <w:rFonts w:ascii="宋体" w:hAnsi="宋体" w:cs="宋体"/>
          <w:sz w:val="24"/>
        </w:rPr>
        <w:t xml:space="preserve">采云</w:t>
      </w:r>
      <w:r>
        <w:rPr>
          <w:rFonts w:ascii="宋体" w:hAnsi="宋体" w:cs="宋体"/>
          <w:sz w:val="24"/>
        </w:rPr>
        <w:t xml:space="preserve">”系统规定的时间内对响应文件进行解密。</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3、在磋商响应文件网上递交截止时间</w:t>
      </w:r>
      <w:r>
        <w:rPr>
          <w:rFonts w:ascii="宋体" w:hAnsi="宋体" w:cs="宋体"/>
          <w:sz w:val="24"/>
        </w:rPr>
        <w:t xml:space="preserve">止</w:t>
      </w:r>
      <w:r>
        <w:rPr>
          <w:rFonts w:ascii="宋体" w:hAnsi="宋体" w:cs="宋体"/>
          <w:sz w:val="24"/>
        </w:rPr>
        <w:t xml:space="preserve">成功解密的磋商</w:t>
      </w:r>
      <w:r>
        <w:rPr>
          <w:rFonts w:ascii="宋体" w:hAnsi="宋体" w:cs="宋体"/>
          <w:sz w:val="24"/>
        </w:rPr>
        <w:t xml:space="preserve">响应单位</w:t>
      </w:r>
      <w:r>
        <w:rPr>
          <w:rFonts w:ascii="宋体" w:hAnsi="宋体" w:cs="宋体"/>
          <w:sz w:val="24"/>
        </w:rPr>
        <w:t xml:space="preserve">少于三家，则本次采购失败。</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4、由磋商小组审查</w:t>
      </w:r>
      <w:r>
        <w:rPr>
          <w:rFonts w:ascii="宋体" w:hAnsi="宋体" w:cs="宋体"/>
          <w:sz w:val="24"/>
        </w:rPr>
        <w:t xml:space="preserve">响应单位</w:t>
      </w:r>
      <w:r>
        <w:rPr>
          <w:rFonts w:ascii="宋体" w:hAnsi="宋体" w:cs="宋体"/>
          <w:sz w:val="24"/>
        </w:rPr>
        <w:t xml:space="preserve">解密的响应文件。</w:t>
      </w:r>
      <w:r/>
    </w:p>
    <w:p>
      <w:pPr>
        <w:ind w:firstLine="420"/>
        <w:spacing w:line="360" w:lineRule="auto"/>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由磋商小组对各响应单位的资格进行审查。资格审查内容包括：</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响应单位</w:t>
      </w:r>
      <w:r>
        <w:rPr>
          <w:rFonts w:hint="eastAsia" w:ascii="宋体" w:hAnsi="宋体" w:cs="宋体"/>
          <w:sz w:val="24"/>
          <w:szCs w:val="24"/>
        </w:rPr>
        <w:t xml:space="preserve">是否满足《中华人民共和国政府采购法》第二十二条规定的基本条件；</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（2）通过公共资源交易系统进行信用查询等方式，现场审查</w:t>
      </w:r>
      <w:r>
        <w:rPr>
          <w:rFonts w:hint="eastAsia" w:ascii="宋体" w:hAnsi="宋体" w:cs="宋体"/>
          <w:sz w:val="24"/>
          <w:szCs w:val="24"/>
        </w:rPr>
        <w:t xml:space="preserve">响应单位</w:t>
      </w:r>
      <w:r>
        <w:rPr>
          <w:rFonts w:hint="eastAsia" w:ascii="宋体" w:hAnsi="宋体" w:cs="宋体"/>
          <w:sz w:val="24"/>
          <w:szCs w:val="24"/>
        </w:rPr>
        <w:t xml:space="preserve">是否在参加政府采购活动前三年内，在经营活动中没有重大违法记录；</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（3）专门面向中小企业的项目，应当在资格审查环节对</w:t>
      </w:r>
      <w:r>
        <w:rPr>
          <w:rFonts w:hint="eastAsia" w:ascii="宋体" w:hAnsi="宋体" w:cs="宋体"/>
          <w:sz w:val="24"/>
          <w:szCs w:val="24"/>
        </w:rPr>
        <w:t xml:space="preserve">响应单位</w:t>
      </w:r>
      <w:r>
        <w:rPr>
          <w:rFonts w:hint="eastAsia" w:ascii="宋体" w:hAnsi="宋体" w:cs="宋体"/>
          <w:sz w:val="24"/>
          <w:szCs w:val="24"/>
        </w:rPr>
        <w:t xml:space="preserve">出具的《中小企业声明函》进行审查；</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（4）接受联合体投标的项目，联合体各方是否满足采购文件规定并提交相应证明文件；</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响应单位</w:t>
      </w:r>
      <w:r>
        <w:rPr>
          <w:rFonts w:hint="eastAsia" w:ascii="宋体" w:hAnsi="宋体" w:cs="宋体"/>
          <w:sz w:val="24"/>
          <w:szCs w:val="24"/>
        </w:rPr>
        <w:t xml:space="preserve">是否满足采购文件规定的其他特定条件；</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响应单位</w:t>
      </w:r>
      <w:r>
        <w:rPr>
          <w:rFonts w:hint="eastAsia" w:ascii="宋体" w:hAnsi="宋体" w:cs="宋体"/>
          <w:sz w:val="24"/>
          <w:szCs w:val="24"/>
        </w:rPr>
        <w:t xml:space="preserve">是否存在其他不得参与该政府采购项目的情形。</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资格审查责任主体应按照采购文件的要求对投标（响应）</w:t>
      </w:r>
      <w:r>
        <w:rPr>
          <w:rFonts w:hint="eastAsia" w:ascii="宋体" w:hAnsi="宋体" w:cs="宋体"/>
          <w:sz w:val="24"/>
          <w:szCs w:val="24"/>
        </w:rPr>
        <w:t xml:space="preserve">响应单位</w:t>
      </w:r>
      <w:r>
        <w:rPr>
          <w:rFonts w:hint="eastAsia" w:ascii="宋体" w:hAnsi="宋体" w:cs="宋体"/>
          <w:sz w:val="24"/>
          <w:szCs w:val="24"/>
        </w:rPr>
        <w:t xml:space="preserve">提供的资格审查文件独立进行资格审查并提交资格审查结果。</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6、</w:t>
      </w:r>
      <w:r>
        <w:rPr>
          <w:rFonts w:ascii="宋体" w:hAnsi="宋体" w:cs="宋体"/>
          <w:sz w:val="24"/>
        </w:rPr>
        <w:t xml:space="preserve">磋商小组在对响应文件的有效性、完整性和响应程度进行审查时，可以要求</w:t>
      </w:r>
      <w:r>
        <w:rPr>
          <w:rFonts w:ascii="宋体" w:hAnsi="宋体" w:cs="宋体"/>
          <w:sz w:val="24"/>
        </w:rPr>
        <w:t xml:space="preserve">响应单位</w:t>
      </w:r>
      <w:r>
        <w:rPr>
          <w:rFonts w:ascii="宋体" w:hAnsi="宋体" w:cs="宋体"/>
          <w:sz w:val="24"/>
        </w:rPr>
        <w:t xml:space="preserve">对响应文件中含义不明确、同类问题表述不一致或者有明显文字和计算错误的内容等做出必要的澄清、说明或者更正。</w:t>
      </w:r>
      <w:r>
        <w:rPr>
          <w:rFonts w:ascii="宋体" w:hAnsi="宋体" w:cs="宋体"/>
          <w:sz w:val="24"/>
        </w:rPr>
        <w:t xml:space="preserve">响应单位</w:t>
      </w:r>
      <w:r>
        <w:rPr>
          <w:rFonts w:ascii="宋体" w:hAnsi="宋体" w:cs="宋体"/>
          <w:sz w:val="24"/>
        </w:rPr>
        <w:t xml:space="preserve">的澄清、说明或者更正不得超出响应文件的范围或者改变响应文件的实质性内容。</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7</w:t>
      </w:r>
      <w:r>
        <w:rPr>
          <w:rFonts w:ascii="宋体" w:hAnsi="宋体" w:cs="宋体"/>
          <w:sz w:val="24"/>
        </w:rPr>
        <w:t xml:space="preserve">、磋商小组要求</w:t>
      </w:r>
      <w:r>
        <w:rPr>
          <w:rFonts w:ascii="宋体" w:hAnsi="宋体" w:cs="宋体"/>
          <w:sz w:val="24"/>
        </w:rPr>
        <w:t xml:space="preserve">响应单位</w:t>
      </w:r>
      <w:r>
        <w:rPr>
          <w:rFonts w:ascii="宋体" w:hAnsi="宋体" w:cs="宋体"/>
          <w:sz w:val="24"/>
        </w:rPr>
        <w:t xml:space="preserve">澄清、说明或者更正响应文件应当以书面形式做出。</w:t>
      </w:r>
      <w:r>
        <w:rPr>
          <w:rFonts w:ascii="宋体" w:hAnsi="宋体" w:cs="宋体"/>
          <w:sz w:val="24"/>
        </w:rPr>
        <w:t xml:space="preserve">响应单位</w:t>
      </w:r>
      <w:r>
        <w:rPr>
          <w:rFonts w:ascii="宋体" w:hAnsi="宋体" w:cs="宋体"/>
          <w:sz w:val="24"/>
        </w:rPr>
        <w:t xml:space="preserve">的澄清、说明或者更正应当由其单位加盖电子公章。</w:t>
      </w:r>
      <w:r/>
    </w:p>
    <w:p>
      <w:pPr>
        <w:ind w:firstLine="482"/>
        <w:jc w:val="left"/>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本项目</w:t>
      </w:r>
      <w:r>
        <w:rPr>
          <w:rFonts w:ascii="宋体" w:hAnsi="宋体" w:cs="宋体"/>
          <w:b/>
          <w:sz w:val="24"/>
        </w:rPr>
        <w:t xml:space="preserve">响应单位</w:t>
      </w:r>
      <w:r>
        <w:rPr>
          <w:rFonts w:ascii="宋体" w:hAnsi="宋体" w:cs="宋体"/>
          <w:b/>
          <w:sz w:val="24"/>
        </w:rPr>
        <w:t xml:space="preserve">的澄清、说明或者补正采用线上澄清：磋商小组将通过“苏</w:t>
      </w:r>
      <w:r>
        <w:rPr>
          <w:rFonts w:ascii="宋体" w:hAnsi="宋体" w:cs="宋体"/>
          <w:b/>
          <w:sz w:val="24"/>
        </w:rPr>
        <w:t xml:space="preserve">采云</w:t>
      </w:r>
      <w:r>
        <w:rPr>
          <w:rFonts w:ascii="宋体" w:hAnsi="宋体" w:cs="宋体"/>
          <w:b/>
          <w:sz w:val="24"/>
        </w:rPr>
        <w:t xml:space="preserve">”系统向</w:t>
      </w:r>
      <w:r>
        <w:rPr>
          <w:rFonts w:ascii="宋体" w:hAnsi="宋体" w:cs="宋体"/>
          <w:b/>
          <w:sz w:val="24"/>
        </w:rPr>
        <w:t xml:space="preserve">响应单位</w:t>
      </w:r>
      <w:r>
        <w:rPr>
          <w:rFonts w:ascii="宋体" w:hAnsi="宋体" w:cs="宋体"/>
          <w:b/>
          <w:sz w:val="24"/>
        </w:rPr>
        <w:t xml:space="preserve">发布“澄清要求函”，接到“澄清要求函”的</w:t>
      </w:r>
      <w:r>
        <w:rPr>
          <w:rFonts w:ascii="宋体" w:hAnsi="宋体" w:cs="宋体"/>
          <w:b/>
          <w:sz w:val="24"/>
        </w:rPr>
        <w:t xml:space="preserve">响应单位</w:t>
      </w:r>
      <w:r>
        <w:rPr>
          <w:rFonts w:ascii="宋体" w:hAnsi="宋体" w:cs="宋体"/>
          <w:b/>
          <w:sz w:val="24"/>
        </w:rPr>
        <w:t xml:space="preserve">应当按要求在规定时间内通过“苏</w:t>
      </w:r>
      <w:r>
        <w:rPr>
          <w:rFonts w:ascii="宋体" w:hAnsi="宋体" w:cs="宋体"/>
          <w:b/>
          <w:sz w:val="24"/>
        </w:rPr>
        <w:t xml:space="preserve">采云</w:t>
      </w:r>
      <w:r>
        <w:rPr>
          <w:rFonts w:ascii="宋体" w:hAnsi="宋体" w:cs="宋体"/>
          <w:b/>
          <w:sz w:val="24"/>
        </w:rPr>
        <w:t xml:space="preserve">”系统提交“澄清响应函”并加盖CA电子公章，澄清、说明和补充的内容作为响应文件的补充部分。</w:t>
      </w:r>
      <w:r>
        <w:rPr>
          <w:rFonts w:ascii="宋体" w:hAnsi="宋体" w:cs="宋体"/>
          <w:sz w:val="24"/>
        </w:rPr>
        <w:t xml:space="preserve">(</w:t>
      </w:r>
      <w:r>
        <w:rPr>
          <w:rFonts w:ascii="宋体" w:hAnsi="宋体" w:cs="宋体"/>
          <w:b/>
          <w:sz w:val="24"/>
        </w:rPr>
        <w:t xml:space="preserve">此处规定时间的计算以系统中的倒计时间为准，</w:t>
      </w:r>
      <w:r>
        <w:rPr>
          <w:rFonts w:ascii="宋体" w:hAnsi="宋体" w:cs="宋体"/>
          <w:b/>
          <w:sz w:val="24"/>
        </w:rPr>
        <w:t xml:space="preserve">响应单位</w:t>
      </w:r>
      <w:r>
        <w:rPr>
          <w:rFonts w:ascii="宋体" w:hAnsi="宋体" w:cs="宋体"/>
          <w:b/>
          <w:sz w:val="24"/>
        </w:rPr>
        <w:t xml:space="preserve">应随时保持系统在线，如因</w:t>
      </w:r>
      <w:r>
        <w:rPr>
          <w:rFonts w:ascii="宋体" w:hAnsi="宋体" w:cs="宋体"/>
          <w:b/>
          <w:sz w:val="24"/>
        </w:rPr>
        <w:t xml:space="preserve">响应单位</w:t>
      </w:r>
      <w:r>
        <w:rPr>
          <w:rFonts w:ascii="宋体" w:hAnsi="宋体" w:cs="宋体"/>
          <w:b/>
          <w:sz w:val="24"/>
        </w:rPr>
        <w:t xml:space="preserve">自身原因未在规定时间内提交澄清确认资料的，导致的不利后果由</w:t>
      </w:r>
      <w:r>
        <w:rPr>
          <w:rFonts w:ascii="宋体" w:hAnsi="宋体" w:cs="宋体"/>
          <w:b/>
          <w:sz w:val="24"/>
        </w:rPr>
        <w:t xml:space="preserve">响应单位</w:t>
      </w:r>
      <w:r>
        <w:rPr>
          <w:rFonts w:ascii="宋体" w:hAnsi="宋体" w:cs="宋体"/>
          <w:b/>
          <w:sz w:val="24"/>
        </w:rPr>
        <w:t xml:space="preserve">自行承担。</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8</w:t>
      </w:r>
      <w:r>
        <w:rPr>
          <w:rFonts w:ascii="宋体" w:hAnsi="宋体" w:cs="宋体"/>
          <w:sz w:val="24"/>
        </w:rPr>
        <w:t xml:space="preserve">、对于通过资格审查和符合性审查的</w:t>
      </w:r>
      <w:r>
        <w:rPr>
          <w:rFonts w:ascii="宋体" w:hAnsi="宋体" w:cs="宋体"/>
          <w:sz w:val="24"/>
        </w:rPr>
        <w:t xml:space="preserve">响应单位</w:t>
      </w:r>
      <w:r>
        <w:rPr>
          <w:rFonts w:ascii="宋体" w:hAnsi="宋体" w:cs="宋体"/>
          <w:sz w:val="24"/>
        </w:rPr>
        <w:t xml:space="preserve">，磋商小组所有成员集中与单一</w:t>
      </w:r>
      <w:r>
        <w:rPr>
          <w:rFonts w:ascii="宋体" w:hAnsi="宋体" w:cs="宋体"/>
          <w:sz w:val="24"/>
        </w:rPr>
        <w:t xml:space="preserve">响应单位</w:t>
      </w:r>
      <w:r>
        <w:rPr>
          <w:rFonts w:ascii="宋体" w:hAnsi="宋体" w:cs="宋体"/>
          <w:sz w:val="24"/>
        </w:rPr>
        <w:t xml:space="preserve">分别进行磋商，并给予所有参加磋商的</w:t>
      </w:r>
      <w:r>
        <w:rPr>
          <w:rFonts w:ascii="宋体" w:hAnsi="宋体" w:cs="宋体"/>
          <w:sz w:val="24"/>
        </w:rPr>
        <w:t xml:space="preserve">响应单位</w:t>
      </w:r>
      <w:r>
        <w:rPr>
          <w:rFonts w:ascii="宋体" w:hAnsi="宋体" w:cs="宋体"/>
          <w:sz w:val="24"/>
        </w:rPr>
        <w:t xml:space="preserve">平等的磋商机会。</w:t>
      </w:r>
      <w:r>
        <w:rPr>
          <w:rFonts w:ascii="宋体" w:hAnsi="宋体" w:cs="宋体"/>
          <w:b/>
          <w:sz w:val="24"/>
        </w:rPr>
        <w:t xml:space="preserve">磋商小组通过“苏</w:t>
      </w:r>
      <w:r>
        <w:rPr>
          <w:rFonts w:ascii="宋体" w:hAnsi="宋体" w:cs="宋体"/>
          <w:b/>
          <w:sz w:val="24"/>
        </w:rPr>
        <w:t xml:space="preserve">采云</w:t>
      </w:r>
      <w:r>
        <w:rPr>
          <w:rFonts w:ascii="宋体" w:hAnsi="宋体" w:cs="宋体"/>
          <w:b/>
          <w:sz w:val="24"/>
        </w:rPr>
        <w:t xml:space="preserve">”系统向</w:t>
      </w:r>
      <w:r>
        <w:rPr>
          <w:rFonts w:ascii="宋体" w:hAnsi="宋体" w:cs="宋体"/>
          <w:b/>
          <w:sz w:val="24"/>
        </w:rPr>
        <w:t xml:space="preserve">响应单位</w:t>
      </w:r>
      <w:r>
        <w:rPr>
          <w:rFonts w:ascii="宋体" w:hAnsi="宋体" w:cs="宋体"/>
          <w:b/>
          <w:sz w:val="24"/>
        </w:rPr>
        <w:t xml:space="preserve">发布“磋商函”，</w:t>
      </w:r>
      <w:r>
        <w:rPr>
          <w:rFonts w:ascii="宋体" w:hAnsi="宋体" w:cs="宋体"/>
          <w:b/>
          <w:sz w:val="24"/>
        </w:rPr>
        <w:t xml:space="preserve">响应单位</w:t>
      </w:r>
      <w:r>
        <w:rPr>
          <w:rFonts w:ascii="宋体" w:hAnsi="宋体" w:cs="宋体"/>
          <w:b/>
          <w:sz w:val="24"/>
        </w:rPr>
        <w:t xml:space="preserve">应当按照要求在“苏</w:t>
      </w:r>
      <w:r>
        <w:rPr>
          <w:rFonts w:ascii="宋体" w:hAnsi="宋体" w:cs="宋体"/>
          <w:b/>
          <w:sz w:val="24"/>
        </w:rPr>
        <w:t xml:space="preserve">采云</w:t>
      </w:r>
      <w:r>
        <w:rPr>
          <w:rFonts w:ascii="宋体" w:hAnsi="宋体" w:cs="宋体"/>
          <w:b/>
          <w:sz w:val="24"/>
        </w:rPr>
        <w:t xml:space="preserve">”系统提交“磋商响应函”并加盖CA电子公章。</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9</w:t>
      </w:r>
      <w:r>
        <w:rPr>
          <w:rFonts w:ascii="宋体" w:hAnsi="宋体" w:cs="宋体"/>
          <w:sz w:val="24"/>
        </w:rPr>
        <w:t xml:space="preserve">、在磋商过程中，磋商小组可以根据采购文件和磋商情况实质性变动采购需求中的技术、服务要求以及合同草案条款。对采购文件做出的实质性变动是采购文件的有效组成部分，磋商小组将在“苏</w:t>
      </w:r>
      <w:r>
        <w:rPr>
          <w:rFonts w:ascii="宋体" w:hAnsi="宋体" w:cs="宋体"/>
          <w:sz w:val="24"/>
        </w:rPr>
        <w:t xml:space="preserve">采云</w:t>
      </w:r>
      <w:r>
        <w:rPr>
          <w:rFonts w:ascii="宋体" w:hAnsi="宋体" w:cs="宋体"/>
          <w:sz w:val="24"/>
        </w:rPr>
        <w:t xml:space="preserve">”系统中同时通知所有参加磋商的</w:t>
      </w:r>
      <w:r>
        <w:rPr>
          <w:rFonts w:ascii="宋体" w:hAnsi="宋体" w:cs="宋体"/>
          <w:sz w:val="24"/>
        </w:rPr>
        <w:t xml:space="preserve">响应单位</w:t>
      </w:r>
      <w:r>
        <w:rPr>
          <w:rFonts w:ascii="宋体" w:hAnsi="宋体" w:cs="宋体"/>
          <w:sz w:val="24"/>
        </w:rPr>
        <w:t xml:space="preserve">，</w:t>
      </w:r>
      <w:r>
        <w:rPr>
          <w:rFonts w:ascii="宋体" w:hAnsi="宋体" w:cs="宋体"/>
          <w:sz w:val="24"/>
        </w:rPr>
        <w:t xml:space="preserve">响应单位</w:t>
      </w:r>
      <w:r>
        <w:rPr>
          <w:rFonts w:ascii="宋体" w:hAnsi="宋体" w:cs="宋体"/>
          <w:sz w:val="24"/>
        </w:rPr>
        <w:t xml:space="preserve">应当按照磋商文件的变动情况和磋商小组的要求在“苏</w:t>
      </w:r>
      <w:r>
        <w:rPr>
          <w:rFonts w:ascii="宋体" w:hAnsi="宋体" w:cs="宋体"/>
          <w:sz w:val="24"/>
        </w:rPr>
        <w:t xml:space="preserve">采云</w:t>
      </w:r>
      <w:r>
        <w:rPr>
          <w:rFonts w:ascii="宋体" w:hAnsi="宋体" w:cs="宋体"/>
          <w:sz w:val="24"/>
        </w:rPr>
        <w:t xml:space="preserve">”系统中重新提交响应文件，并加盖CA电子公章。</w:t>
      </w:r>
      <w:r/>
    </w:p>
    <w:p>
      <w:pPr>
        <w:ind w:firstLine="482"/>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10</w:t>
      </w:r>
      <w:r>
        <w:rPr>
          <w:rFonts w:ascii="宋体" w:hAnsi="宋体" w:cs="宋体"/>
          <w:b/>
          <w:sz w:val="24"/>
        </w:rPr>
        <w:t xml:space="preserve">、磋商结束后，磋商小组将在“苏</w:t>
      </w:r>
      <w:r>
        <w:rPr>
          <w:rFonts w:ascii="宋体" w:hAnsi="宋体" w:cs="宋体"/>
          <w:b/>
          <w:sz w:val="24"/>
        </w:rPr>
        <w:t xml:space="preserve">采云</w:t>
      </w:r>
      <w:r>
        <w:rPr>
          <w:rFonts w:ascii="宋体" w:hAnsi="宋体" w:cs="宋体"/>
          <w:b/>
          <w:sz w:val="24"/>
        </w:rPr>
        <w:t xml:space="preserve">”系统向所有实质性响应的</w:t>
      </w:r>
      <w:r>
        <w:rPr>
          <w:rFonts w:ascii="宋体" w:hAnsi="宋体" w:cs="宋体"/>
          <w:b/>
          <w:sz w:val="24"/>
        </w:rPr>
        <w:t xml:space="preserve">响应单位</w:t>
      </w:r>
      <w:r>
        <w:rPr>
          <w:rFonts w:ascii="宋体" w:hAnsi="宋体" w:cs="宋体"/>
          <w:b/>
          <w:sz w:val="24"/>
        </w:rPr>
        <w:t xml:space="preserve">发布“最后报价要求函”及最后报价格式表，要求所有实质性响应的</w:t>
      </w:r>
      <w:r>
        <w:rPr>
          <w:rFonts w:ascii="宋体" w:hAnsi="宋体" w:cs="宋体"/>
          <w:b/>
          <w:sz w:val="24"/>
        </w:rPr>
        <w:t xml:space="preserve">响应单位</w:t>
      </w:r>
      <w:r>
        <w:rPr>
          <w:rFonts w:ascii="宋体" w:hAnsi="宋体" w:cs="宋体"/>
          <w:b/>
          <w:sz w:val="24"/>
        </w:rPr>
        <w:t xml:space="preserve">在规定时间内提交最后报价。</w:t>
      </w:r>
      <w:r/>
    </w:p>
    <w:p>
      <w:pPr>
        <w:ind w:firstLine="482"/>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11</w:t>
      </w:r>
      <w:r>
        <w:rPr>
          <w:rFonts w:ascii="宋体" w:hAnsi="宋体" w:cs="宋体"/>
          <w:b/>
          <w:sz w:val="24"/>
        </w:rPr>
        <w:t xml:space="preserve">、</w:t>
      </w:r>
      <w:r>
        <w:rPr>
          <w:rFonts w:ascii="宋体" w:hAnsi="宋体" w:cs="宋体"/>
          <w:b/>
          <w:sz w:val="24"/>
        </w:rPr>
        <w:t xml:space="preserve">响应单位</w:t>
      </w:r>
      <w:r>
        <w:rPr>
          <w:rFonts w:ascii="宋体" w:hAnsi="宋体" w:cs="宋体"/>
          <w:b/>
          <w:sz w:val="24"/>
        </w:rPr>
        <w:t xml:space="preserve">未在磋商小组规定的时间内在“苏</w:t>
      </w:r>
      <w:r>
        <w:rPr>
          <w:rFonts w:ascii="宋体" w:hAnsi="宋体" w:cs="宋体"/>
          <w:b/>
          <w:sz w:val="24"/>
        </w:rPr>
        <w:t xml:space="preserve">采云</w:t>
      </w:r>
      <w:r>
        <w:rPr>
          <w:rFonts w:ascii="宋体" w:hAnsi="宋体" w:cs="宋体"/>
          <w:b/>
          <w:sz w:val="24"/>
        </w:rPr>
        <w:t xml:space="preserve">”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w:t>
      </w:r>
      <w:r>
        <w:rPr>
          <w:rFonts w:ascii="宋体" w:hAnsi="宋体" w:cs="宋体"/>
          <w:b/>
          <w:sz w:val="24"/>
        </w:rPr>
        <w:t xml:space="preserve">响应单位</w:t>
      </w:r>
      <w:r>
        <w:rPr>
          <w:rFonts w:ascii="宋体" w:hAnsi="宋体" w:cs="宋体"/>
          <w:b/>
          <w:sz w:val="24"/>
        </w:rPr>
        <w:t xml:space="preserve">慎重提交）</w:t>
      </w:r>
      <w:r/>
    </w:p>
    <w:p>
      <w:pPr>
        <w:ind w:firstLine="482"/>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已提交响应文件的</w:t>
      </w:r>
      <w:r>
        <w:rPr>
          <w:rFonts w:ascii="宋体" w:hAnsi="宋体" w:cs="宋体"/>
          <w:sz w:val="24"/>
        </w:rPr>
        <w:t xml:space="preserve">响应单位</w:t>
      </w:r>
      <w:r>
        <w:rPr>
          <w:rFonts w:ascii="宋体" w:hAnsi="宋体" w:cs="宋体"/>
          <w:sz w:val="24"/>
        </w:rPr>
        <w:t xml:space="preserve">，在提交最后报价之前，可以根据磋商情况退出磋商，并在“苏</w:t>
      </w:r>
      <w:r>
        <w:rPr>
          <w:rFonts w:ascii="宋体" w:hAnsi="宋体" w:cs="宋体"/>
          <w:sz w:val="24"/>
        </w:rPr>
        <w:t xml:space="preserve">采云</w:t>
      </w:r>
      <w:r>
        <w:rPr>
          <w:rFonts w:ascii="宋体" w:hAnsi="宋体" w:cs="宋体"/>
          <w:sz w:val="24"/>
        </w:rPr>
        <w:t xml:space="preserve">”系统中提交“退出磋商函”并加盖CA电子公章。</w:t>
      </w:r>
      <w:r/>
    </w:p>
    <w:p>
      <w:pPr>
        <w:ind w:firstLine="482"/>
        <w:spacing w:line="360" w:lineRule="auto"/>
        <w:rPr>
          <w:rFonts w:hint="eastAsia"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w:t>
      </w:r>
      <w:r>
        <w:rPr>
          <w:rFonts w:ascii="宋体" w:hAnsi="宋体" w:cs="宋体"/>
          <w:b/>
          <w:sz w:val="24"/>
        </w:rPr>
        <w:t xml:space="preserve">进入项目评审流程后，建议各</w:t>
      </w:r>
      <w:r>
        <w:rPr>
          <w:rFonts w:ascii="宋体" w:hAnsi="宋体" w:cs="宋体"/>
          <w:b/>
          <w:sz w:val="24"/>
        </w:rPr>
        <w:t xml:space="preserve">响应单位</w:t>
      </w:r>
      <w:r>
        <w:rPr>
          <w:rFonts w:ascii="宋体" w:hAnsi="宋体" w:cs="宋体"/>
          <w:b/>
          <w:sz w:val="24"/>
        </w:rPr>
        <w:t xml:space="preserve">法定代表人或授权委托人始终保持通讯顺畅，时刻关注不见面开标大厅，不离开不见面开标大厅</w:t>
      </w:r>
      <w:r>
        <w:rPr>
          <w:rFonts w:hint="eastAsia" w:ascii="宋体" w:hAnsi="宋体" w:cs="宋体"/>
          <w:b/>
          <w:sz w:val="24"/>
        </w:rPr>
        <w:t xml:space="preserve">，及时登录苏</w:t>
      </w:r>
      <w:r>
        <w:rPr>
          <w:rFonts w:hint="eastAsia" w:ascii="宋体" w:hAnsi="宋体" w:cs="宋体"/>
          <w:b/>
          <w:sz w:val="24"/>
        </w:rPr>
        <w:t xml:space="preserve">采云</w:t>
      </w:r>
      <w:r>
        <w:rPr>
          <w:rFonts w:hint="eastAsia" w:ascii="宋体" w:hAnsi="宋体" w:cs="宋体"/>
          <w:b/>
          <w:sz w:val="24"/>
        </w:rPr>
        <w:t xml:space="preserve">系统查阅、答复相关信息</w:t>
      </w:r>
      <w:r>
        <w:rPr>
          <w:rFonts w:ascii="宋体" w:hAnsi="宋体" w:cs="宋体"/>
          <w:b/>
          <w:sz w:val="24"/>
        </w:rPr>
        <w:t xml:space="preserve">。</w:t>
      </w:r>
      <w:r/>
    </w:p>
    <w:p>
      <w:pPr>
        <w:ind w:firstLine="482"/>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12</w:t>
      </w:r>
      <w:r>
        <w:rPr>
          <w:rFonts w:ascii="宋体" w:hAnsi="宋体" w:cs="宋体"/>
          <w:sz w:val="24"/>
        </w:rPr>
        <w:t xml:space="preserve">、经磋商确定最终采购需求和提交最后报价的</w:t>
      </w:r>
      <w:r>
        <w:rPr>
          <w:rFonts w:ascii="宋体" w:hAnsi="宋体" w:cs="宋体"/>
          <w:sz w:val="24"/>
        </w:rPr>
        <w:t xml:space="preserve">响应单位</w:t>
      </w:r>
      <w:r>
        <w:rPr>
          <w:rFonts w:ascii="宋体" w:hAnsi="宋体" w:cs="宋体"/>
          <w:sz w:val="24"/>
        </w:rPr>
        <w:t xml:space="preserve">后，由磋商小组采用综合评分法对提交最后报价的</w:t>
      </w:r>
      <w:r>
        <w:rPr>
          <w:rFonts w:ascii="宋体" w:hAnsi="宋体" w:cs="宋体"/>
          <w:sz w:val="24"/>
        </w:rPr>
        <w:t xml:space="preserve">响应单位</w:t>
      </w:r>
      <w:r>
        <w:rPr>
          <w:rFonts w:ascii="宋体" w:hAnsi="宋体" w:cs="宋体"/>
          <w:sz w:val="24"/>
        </w:rPr>
        <w:t xml:space="preserve">的响应文件和最后报价进行综合评分。</w:t>
      </w:r>
      <w:r/>
    </w:p>
    <w:p>
      <w:pPr>
        <w:ind w:firstLine="482"/>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13</w:t>
      </w:r>
      <w:r>
        <w:rPr>
          <w:rFonts w:ascii="宋体" w:hAnsi="宋体" w:cs="宋体"/>
          <w:sz w:val="24"/>
        </w:rPr>
        <w:t xml:space="preserve">、磋商小组根据磋商成交原则确定成交</w:t>
      </w:r>
      <w:r>
        <w:rPr>
          <w:rFonts w:ascii="宋体" w:hAnsi="宋体" w:cs="宋体"/>
          <w:sz w:val="24"/>
        </w:rPr>
        <w:t xml:space="preserve">响应单位</w:t>
      </w:r>
      <w:r>
        <w:rPr>
          <w:rFonts w:ascii="宋体" w:hAnsi="宋体" w:cs="宋体"/>
          <w:sz w:val="24"/>
        </w:rPr>
        <w:t xml:space="preserve">，并将结果通知所有参加磋商的</w:t>
      </w:r>
      <w:r>
        <w:rPr>
          <w:rFonts w:ascii="宋体" w:hAnsi="宋体" w:cs="宋体"/>
          <w:sz w:val="24"/>
        </w:rPr>
        <w:t xml:space="preserve">响应单位</w:t>
      </w:r>
      <w:r>
        <w:rPr>
          <w:rFonts w:ascii="宋体" w:hAnsi="宋体" w:cs="宋体"/>
          <w:sz w:val="24"/>
        </w:rPr>
        <w:t xml:space="preserve">。</w:t>
      </w:r>
      <w:r/>
    </w:p>
    <w:p>
      <w:pPr>
        <w:ind w:firstLine="482"/>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hint="eastAsia" w:ascii="宋体" w:hAnsi="宋体" w:cs="宋体"/>
          <w:sz w:val="24"/>
        </w:rPr>
        <w:t xml:space="preserve">4</w:t>
      </w:r>
      <w:r>
        <w:rPr>
          <w:rFonts w:ascii="宋体" w:hAnsi="宋体" w:cs="宋体"/>
          <w:sz w:val="24"/>
        </w:rPr>
        <w:t xml:space="preserve">、如磋商过程中出现本采购文件未尽事宜，由磋商小组根据政府采购有关法律、法规讨论决定。</w:t>
      </w:r>
      <w:r/>
    </w:p>
    <w:p>
      <w:pPr>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（七）询问及质疑处理</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ascii="宋体" w:hAnsi="宋体" w:cs="宋体"/>
          <w:sz w:val="24"/>
        </w:rPr>
        <w:t xml:space="preserve">响应单位</w:t>
      </w:r>
      <w:r>
        <w:rPr>
          <w:rFonts w:ascii="宋体" w:hAnsi="宋体" w:cs="宋体"/>
          <w:sz w:val="24"/>
        </w:rPr>
        <w:t xml:space="preserve">对本次采购有疑问的，可通过联系电话或苏州市政府采购网“网上报名”系统向代理机构进行询问。</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ascii="宋体" w:hAnsi="宋体" w:cs="宋体"/>
          <w:sz w:val="24"/>
        </w:rPr>
        <w:t xml:space="preserve">响应单位</w:t>
      </w:r>
      <w:r>
        <w:rPr>
          <w:rFonts w:ascii="宋体" w:hAnsi="宋体" w:cs="宋体"/>
          <w:sz w:val="24"/>
        </w:rPr>
        <w:t xml:space="preserve">认为采购文件、采购过程或成交结果使自己的权益受到损害的，可以在知道或者应知其权益受到损害之日起7个工作日内，以书面形式向采购单位、采购代理机构提出</w:t>
      </w:r>
      <w:r>
        <w:rPr>
          <w:rFonts w:ascii="宋体" w:hAnsi="宋体" w:cs="宋体"/>
          <w:sz w:val="24"/>
        </w:rPr>
        <w:t xml:space="preserve">质疑。采购代理机构应当在收到</w:t>
      </w:r>
      <w:r>
        <w:rPr>
          <w:rFonts w:ascii="宋体" w:hAnsi="宋体" w:cs="宋体"/>
          <w:sz w:val="24"/>
        </w:rPr>
        <w:t xml:space="preserve">响应单位</w:t>
      </w:r>
      <w:r>
        <w:rPr>
          <w:rFonts w:ascii="宋体" w:hAnsi="宋体" w:cs="宋体"/>
          <w:sz w:val="24"/>
        </w:rPr>
        <w:t xml:space="preserve">书面质疑后7个工作日内</w:t>
      </w:r>
      <w:r>
        <w:rPr>
          <w:rFonts w:ascii="宋体" w:hAnsi="宋体" w:cs="宋体"/>
          <w:sz w:val="24"/>
        </w:rPr>
        <w:t xml:space="preserve">作出</w:t>
      </w:r>
      <w:r>
        <w:rPr>
          <w:rFonts w:ascii="宋体" w:hAnsi="宋体" w:cs="宋体"/>
          <w:sz w:val="24"/>
        </w:rPr>
        <w:t xml:space="preserve">答复。</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3、本次采购文件要求</w:t>
      </w:r>
      <w:r>
        <w:rPr>
          <w:rFonts w:ascii="宋体" w:hAnsi="宋体" w:cs="宋体"/>
          <w:sz w:val="24"/>
        </w:rPr>
        <w:t xml:space="preserve">响应单位</w:t>
      </w:r>
      <w:r>
        <w:rPr>
          <w:rFonts w:ascii="宋体" w:hAnsi="宋体" w:cs="宋体"/>
          <w:sz w:val="24"/>
        </w:rPr>
        <w:t xml:space="preserve">在法定质疑期内一次性提出针对同一采购程序环节的质疑，否则不予受理。</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w:t>
      </w:r>
      <w:r>
        <w:rPr>
          <w:rFonts w:ascii="宋体" w:hAnsi="宋体" w:cs="宋体"/>
          <w:sz w:val="24"/>
        </w:rPr>
        <w:t xml:space="preserve">响应单位</w:t>
      </w:r>
      <w:r>
        <w:rPr>
          <w:rFonts w:ascii="宋体" w:hAnsi="宋体" w:cs="宋体"/>
          <w:sz w:val="24"/>
        </w:rPr>
        <w:t xml:space="preserve">提出质疑应当提交质疑函和必要的证明材料，质疑</w:t>
      </w:r>
      <w:r>
        <w:rPr>
          <w:rFonts w:ascii="宋体" w:hAnsi="宋体" w:cs="宋体"/>
          <w:sz w:val="24"/>
        </w:rPr>
        <w:t xml:space="preserve">函应当</w:t>
      </w:r>
      <w:r>
        <w:rPr>
          <w:rFonts w:ascii="宋体" w:hAnsi="宋体" w:cs="宋体"/>
          <w:sz w:val="24"/>
        </w:rPr>
        <w:t xml:space="preserve">包括下列内容：</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ascii="宋体" w:hAnsi="宋体" w:cs="宋体"/>
          <w:sz w:val="24"/>
        </w:rPr>
        <w:t xml:space="preserve">响应单位</w:t>
      </w:r>
      <w:r>
        <w:rPr>
          <w:rFonts w:ascii="宋体" w:hAnsi="宋体" w:cs="宋体"/>
          <w:sz w:val="24"/>
        </w:rPr>
        <w:t xml:space="preserve">的姓名或者名称（以提供的营业执照副本扫描件为准）、地址、邮编、联系人及联系电话；（2）质疑项目的名称、编号；（3）具体、明确的质疑事项和与质疑事项相关的请求；（4）事实依据；（5）必要的法律依据；（6）提出质疑的日期。</w:t>
      </w:r>
      <w:r/>
    </w:p>
    <w:p>
      <w:pPr>
        <w:ind w:firstLine="420"/>
        <w:jc w:val="left"/>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响应单位为自然人的，应当由本人签字；响应单位为法人或者其他组织的，应当由法定代表人、主要负责人，或者其授权代表签字或者盖章，并加盖公章。响应单位委托代理进行质疑的，其</w:t>
      </w:r>
      <w:r>
        <w:rPr>
          <w:rFonts w:ascii="宋体" w:hAnsi="宋体" w:cs="宋体"/>
          <w:b/>
          <w:sz w:val="24"/>
        </w:rPr>
        <w:t xml:space="preserve">授权委托书</w:t>
      </w:r>
      <w:r>
        <w:rPr>
          <w:rFonts w:ascii="宋体" w:hAnsi="宋体" w:cs="宋体"/>
          <w:sz w:val="24"/>
        </w:rPr>
        <w:t xml:space="preserve">上应当载明代理人的姓名或者名称、代理事项、具体权限、期限和相关事项。</w:t>
      </w:r>
      <w:r>
        <w:rPr>
          <w:rFonts w:ascii="宋体" w:hAnsi="宋体" w:cs="宋体"/>
          <w:b/>
          <w:sz w:val="24"/>
        </w:rPr>
        <w:t xml:space="preserve">响应单位提交的质疑</w:t>
      </w:r>
      <w:r>
        <w:rPr>
          <w:rFonts w:ascii="宋体" w:hAnsi="宋体" w:cs="宋体"/>
          <w:b/>
          <w:sz w:val="24"/>
        </w:rPr>
        <w:t xml:space="preserve">函必须</w:t>
      </w:r>
      <w:r>
        <w:rPr>
          <w:rFonts w:ascii="宋体" w:hAnsi="宋体" w:cs="宋体"/>
          <w:b/>
          <w:sz w:val="24"/>
        </w:rPr>
        <w:t xml:space="preserve">按照《政府采购响应单位质疑函范本》要求的格式和内容进行填写，质疑函范本下载网址详见链接：https://czju.suzhou.gov.cn/zfcg/html/content/20180305093615738.shtml</w:t>
      </w:r>
      <w:r>
        <w:rPr>
          <w:rFonts w:ascii="宋体" w:hAnsi="宋体" w:cs="宋体"/>
          <w:sz w:val="24"/>
        </w:rPr>
        <w:t xml:space="preserve">。</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w:t>
      </w:r>
      <w:r>
        <w:rPr>
          <w:rFonts w:ascii="宋体" w:hAnsi="宋体" w:cs="宋体"/>
          <w:sz w:val="24"/>
        </w:rPr>
        <w:t xml:space="preserve">、根据《政府采购质疑和投诉办法》（财政部第94号令）第十一条规定，提出质疑的</w:t>
      </w:r>
      <w:r>
        <w:rPr>
          <w:rFonts w:ascii="宋体" w:hAnsi="宋体" w:cs="宋体"/>
          <w:sz w:val="24"/>
        </w:rPr>
        <w:t xml:space="preserve">响应单位</w:t>
      </w:r>
      <w:r>
        <w:rPr>
          <w:rFonts w:ascii="宋体" w:hAnsi="宋体" w:cs="宋体"/>
          <w:sz w:val="24"/>
        </w:rPr>
        <w:t xml:space="preserve">应当是参与所质疑项目采购活动的</w:t>
      </w:r>
      <w:r>
        <w:rPr>
          <w:rFonts w:ascii="宋体" w:hAnsi="宋体" w:cs="宋体"/>
          <w:sz w:val="24"/>
        </w:rPr>
        <w:t xml:space="preserve">响应单位</w:t>
      </w:r>
      <w:r>
        <w:rPr>
          <w:rFonts w:ascii="宋体" w:hAnsi="宋体" w:cs="宋体"/>
          <w:sz w:val="24"/>
        </w:rPr>
        <w:t xml:space="preserve">。因此凡是对采购文件提出质疑的</w:t>
      </w:r>
      <w:r>
        <w:rPr>
          <w:rFonts w:ascii="宋体" w:hAnsi="宋体" w:cs="宋体"/>
          <w:sz w:val="24"/>
        </w:rPr>
        <w:t xml:space="preserve">响应单位</w:t>
      </w:r>
      <w:r>
        <w:rPr>
          <w:rFonts w:ascii="宋体" w:hAnsi="宋体" w:cs="宋体"/>
          <w:sz w:val="24"/>
        </w:rPr>
        <w:t xml:space="preserve">，必须是依法获取采购文件，请将合法获取采购文件的证明材料（即</w:t>
      </w:r>
      <w:r>
        <w:rPr>
          <w:rFonts w:ascii="宋体" w:hAnsi="宋体" w:cs="宋体"/>
          <w:b/>
          <w:sz w:val="24"/>
        </w:rPr>
        <w:t xml:space="preserve">《投标</w:t>
      </w:r>
      <w:r>
        <w:rPr>
          <w:rFonts w:ascii="宋体" w:hAnsi="宋体" w:cs="宋体"/>
          <w:b/>
          <w:sz w:val="24"/>
        </w:rPr>
        <w:t xml:space="preserve">响应单位</w:t>
      </w:r>
      <w:r>
        <w:rPr>
          <w:rFonts w:ascii="宋体" w:hAnsi="宋体" w:cs="宋体"/>
          <w:b/>
          <w:sz w:val="24"/>
        </w:rPr>
        <w:t xml:space="preserve">确认函》</w:t>
      </w:r>
      <w:r>
        <w:rPr>
          <w:rFonts w:ascii="宋体" w:hAnsi="宋体" w:cs="宋体"/>
          <w:sz w:val="24"/>
        </w:rPr>
        <w:t xml:space="preserve">）与质疑</w:t>
      </w:r>
      <w:r>
        <w:rPr>
          <w:rFonts w:ascii="宋体" w:hAnsi="宋体" w:cs="宋体"/>
          <w:sz w:val="24"/>
        </w:rPr>
        <w:t xml:space="preserve">函一起</w:t>
      </w:r>
      <w:r>
        <w:rPr>
          <w:rFonts w:ascii="宋体" w:hAnsi="宋体" w:cs="宋体"/>
          <w:sz w:val="24"/>
        </w:rPr>
        <w:t xml:space="preserve">递交，否则不予受理。</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6</w:t>
      </w:r>
      <w:r>
        <w:rPr>
          <w:rFonts w:ascii="宋体" w:hAnsi="宋体" w:cs="宋体"/>
          <w:sz w:val="24"/>
        </w:rPr>
        <w:t xml:space="preserve">、接收质疑函的方式：书面形式（当场送达或邮寄方式）</w:t>
      </w:r>
      <w:r/>
    </w:p>
    <w:p>
      <w:pPr>
        <w:ind w:firstLine="42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质疑联系人：</w:t>
      </w:r>
      <w:r>
        <w:rPr>
          <w:rFonts w:hint="eastAsia" w:ascii="宋体" w:hAnsi="宋体" w:cs="宋体"/>
          <w:sz w:val="24"/>
        </w:rPr>
        <w:t xml:space="preserve">王长林</w:t>
      </w:r>
      <w:r>
        <w:rPr>
          <w:rFonts w:ascii="宋体" w:hAnsi="宋体" w:cs="宋体"/>
          <w:sz w:val="24"/>
        </w:rPr>
        <w:t xml:space="preserve">；</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联系电话：1</w:t>
      </w:r>
      <w:r>
        <w:rPr>
          <w:rFonts w:hint="eastAsia" w:ascii="宋体" w:hAnsi="宋体" w:cs="宋体"/>
          <w:sz w:val="24"/>
        </w:rPr>
        <w:t xml:space="preserve">8913212630</w:t>
      </w:r>
      <w:r>
        <w:rPr>
          <w:rFonts w:ascii="宋体" w:hAnsi="宋体" w:cs="宋体"/>
          <w:sz w:val="24"/>
        </w:rPr>
        <w:t xml:space="preserve">；</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现场/邮寄地址：苏州市高</w:t>
      </w:r>
      <w:r>
        <w:rPr>
          <w:rFonts w:ascii="宋体" w:hAnsi="宋体" w:cs="宋体"/>
          <w:sz w:val="24"/>
        </w:rPr>
        <w:t xml:space="preserve">新区何</w:t>
      </w:r>
      <w:r>
        <w:rPr>
          <w:rFonts w:ascii="宋体" w:hAnsi="宋体" w:cs="宋体"/>
          <w:sz w:val="24"/>
        </w:rPr>
        <w:t xml:space="preserve">山路211号万道长江大厦809室</w:t>
      </w:r>
      <w:r/>
    </w:p>
    <w:p>
      <w:pPr>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（八）项目的终止：</w:t>
      </w:r>
      <w:r>
        <w:rPr>
          <w:rFonts w:ascii="宋体" w:hAnsi="宋体" w:cs="宋体"/>
          <w:sz w:val="24"/>
        </w:rPr>
        <w:t xml:space="preserve">出现下列情形之一的，将终止竞争性磋商采购活动：</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1、因情况变化，不再符合规定的竞争性磋商采购方式适用情形的；</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2、出现影响采购公正的违法、违规行为的；</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3、在采购活动中因重大变故，采购任务取消的。</w:t>
      </w:r>
      <w:r/>
    </w:p>
    <w:p>
      <w:pPr>
        <w:ind w:firstLine="482"/>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注：采用竞争性磋商采购方式采购的政府购买服务项目，在采购过程中符合要求的</w:t>
      </w:r>
      <w:r>
        <w:rPr>
          <w:rFonts w:ascii="宋体" w:hAnsi="宋体" w:cs="宋体"/>
          <w:b/>
          <w:sz w:val="24"/>
        </w:rPr>
        <w:t xml:space="preserve">响应单位</w:t>
      </w:r>
      <w:r>
        <w:rPr>
          <w:rFonts w:ascii="宋体" w:hAnsi="宋体" w:cs="宋体"/>
          <w:b/>
          <w:sz w:val="24"/>
        </w:rPr>
        <w:t xml:space="preserve">只有两家的，竞争性磋商采购活动可以继续进行。</w:t>
      </w:r>
      <w:r/>
    </w:p>
    <w:p>
      <w:pPr>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十</w:t>
      </w:r>
      <w:r>
        <w:rPr>
          <w:rFonts w:ascii="宋体" w:hAnsi="宋体" w:cs="宋体"/>
          <w:b/>
          <w:sz w:val="24"/>
        </w:rPr>
        <w:t xml:space="preserve">、其它要求：</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bookmarkStart w:id="29" w:name="OLE_LINK63"/>
      <w:r/>
      <w:bookmarkStart w:id="30" w:name="OLE_LINK64"/>
      <w:r/>
      <w:bookmarkStart w:id="31" w:name="OLE_LINK66"/>
      <w:r>
        <w:rPr>
          <w:rFonts w:ascii="宋体" w:hAnsi="宋体" w:cs="宋体"/>
          <w:sz w:val="24"/>
        </w:rPr>
        <w:t xml:space="preserve">1、不符合</w:t>
      </w:r>
      <w:r>
        <w:rPr>
          <w:rFonts w:ascii="宋体" w:hAnsi="宋体" w:cs="宋体"/>
          <w:sz w:val="24"/>
        </w:rPr>
        <w:t xml:space="preserve">响应单位</w:t>
      </w:r>
      <w:r>
        <w:rPr>
          <w:rFonts w:ascii="宋体" w:hAnsi="宋体" w:cs="宋体"/>
          <w:sz w:val="24"/>
        </w:rPr>
        <w:t xml:space="preserve">资格要求的响应文件将被认定为无效响应；</w:t>
      </w:r>
      <w:r/>
    </w:p>
    <w:p>
      <w:pPr>
        <w:ind w:firstLine="482"/>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2、在机器码检查中，出现</w:t>
      </w:r>
      <w:r>
        <w:rPr>
          <w:rFonts w:ascii="宋体" w:hAnsi="宋体" w:cs="宋体"/>
          <w:b/>
          <w:sz w:val="24"/>
        </w:rPr>
        <w:t xml:space="preserve">不同</w:t>
      </w:r>
      <w:r>
        <w:rPr>
          <w:rFonts w:ascii="宋体" w:hAnsi="宋体" w:cs="宋体"/>
          <w:b/>
          <w:sz w:val="24"/>
        </w:rPr>
        <w:t xml:space="preserve">响应</w:t>
      </w:r>
      <w:r>
        <w:rPr>
          <w:rFonts w:ascii="宋体" w:hAnsi="宋体" w:cs="宋体"/>
          <w:b/>
          <w:sz w:val="24"/>
        </w:rPr>
        <w:t xml:space="preserve">单位</w:t>
      </w:r>
      <w:r>
        <w:rPr>
          <w:rFonts w:ascii="宋体" w:hAnsi="宋体" w:cs="宋体"/>
          <w:b/>
          <w:sz w:val="24"/>
        </w:rPr>
        <w:t xml:space="preserve">响应文件机器码一致情形的，响应文件将被认定为无效响应；</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bookmarkStart w:id="32" w:name="OLE_LINK61"/>
      <w:r/>
      <w:bookmarkStart w:id="33" w:name="OLE_LINK62"/>
      <w:r>
        <w:rPr>
          <w:rFonts w:hint="eastAsia" w:ascii="宋体" w:hAnsi="宋体" w:cs="宋体"/>
          <w:sz w:val="24"/>
        </w:rPr>
        <w:t xml:space="preserve">3、响应单位的首轮报价超采购预算（或最高限价）或经评审小组评定为无效报价；</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w:t>
      </w:r>
      <w:r>
        <w:rPr>
          <w:rFonts w:ascii="宋体" w:hAnsi="宋体" w:cs="宋体"/>
          <w:sz w:val="24"/>
        </w:rPr>
        <w:t xml:space="preserve">、</w:t>
      </w:r>
      <w:bookmarkEnd w:id="32"/>
      <w:r/>
      <w:bookmarkEnd w:id="33"/>
      <w:r>
        <w:rPr>
          <w:rFonts w:hint="eastAsia" w:ascii="宋体" w:hAnsi="宋体" w:cs="宋体"/>
          <w:sz w:val="24"/>
        </w:rPr>
        <w:t xml:space="preserve">最终报价超过采购预算或最高限价的不能成交，评审委员会认为响应单位的报价明显低于其他通过符合性审查响应单位的报价，有可能影响产品或服务质量或者不能诚信履约的，应当要求其在合理的时间内提供书面说明，必要时提交相关证明材料；响应单位不能证明其报价合理性的，评审委员会应当将其作为无效响应处理；</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w:t>
      </w:r>
      <w:r>
        <w:rPr>
          <w:rFonts w:ascii="宋体" w:hAnsi="宋体" w:cs="宋体"/>
          <w:sz w:val="24"/>
        </w:rPr>
        <w:t xml:space="preserve">、</w:t>
      </w:r>
      <w:r>
        <w:rPr>
          <w:rFonts w:ascii="宋体" w:hAnsi="宋体" w:cs="宋体"/>
          <w:sz w:val="24"/>
        </w:rPr>
        <w:t xml:space="preserve">不</w:t>
      </w:r>
      <w:r>
        <w:rPr>
          <w:rFonts w:ascii="宋体" w:hAnsi="宋体" w:cs="宋体"/>
          <w:sz w:val="24"/>
        </w:rPr>
        <w:t xml:space="preserve">实质性响应采购文件的不能成交。</w:t>
      </w:r>
      <w:bookmarkEnd w:id="29"/>
      <w:r/>
      <w:bookmarkEnd w:id="30"/>
      <w:r/>
      <w:bookmarkEnd w:id="31"/>
      <w:r/>
      <w:r/>
    </w:p>
    <w:p>
      <w:pPr>
        <w:spacing w:line="360" w:lineRule="auto"/>
        <w:tabs>
          <w:tab w:val="left" w:pos="420" w:leader="none"/>
        </w:tabs>
        <w:rPr>
          <w:rStyle w:val="810"/>
          <w:rFonts w:hint="eastAsia" w:ascii="宋体" w:hAnsi="宋体" w:cs="宋体"/>
          <w:bCs/>
        </w:rPr>
        <w:pBdr>
          <w:top w:val="none" w:color="000000" w:sz="4" w:space="0"/>
          <w:left w:val="none" w:color="000000" w:sz="4" w:space="0"/>
          <w:bottom w:val="none" w:color="000000" w:sz="4" w:space="0"/>
          <w:right w:val="none" w:color="000000" w:sz="4" w:space="0"/>
        </w:pBdr>
      </w:pPr>
      <w:r/>
      <w:bookmarkStart w:id="34" w:name="OLE_LINK65"/>
      <w:r>
        <w:rPr>
          <w:rFonts w:hint="eastAsia" w:ascii="宋体" w:hAnsi="宋体" w:cs="宋体"/>
          <w:b/>
          <w:bCs/>
          <w:sz w:val="24"/>
        </w:rPr>
        <w:t xml:space="preserve">十一</w:t>
      </w:r>
      <w:r>
        <w:rPr>
          <w:rFonts w:ascii="宋体" w:hAnsi="宋体" w:cs="宋体"/>
          <w:b/>
          <w:bCs/>
          <w:sz w:val="24"/>
        </w:rPr>
        <w:t xml:space="preserve">、凡涉及采购文件的补充说明和修改，均以苏州市政府采购</w:t>
      </w:r>
      <w:r>
        <w:rPr>
          <w:rFonts w:ascii="宋体" w:hAnsi="宋体" w:cs="宋体"/>
          <w:b/>
          <w:bCs/>
          <w:sz w:val="24"/>
        </w:rPr>
        <w:t xml:space="preserve">网最</w:t>
      </w:r>
      <w:r>
        <w:rPr>
          <w:rFonts w:hint="eastAsia" w:ascii="宋体" w:hAnsi="宋体" w:cs="宋体"/>
          <w:b/>
          <w:bCs/>
          <w:sz w:val="24"/>
        </w:rPr>
        <w:t xml:space="preserve">新</w:t>
      </w:r>
      <w:r>
        <w:rPr>
          <w:rFonts w:ascii="宋体" w:hAnsi="宋体" w:cs="宋体"/>
          <w:b/>
          <w:bCs/>
          <w:sz w:val="24"/>
        </w:rPr>
        <w:t xml:space="preserve">发布的内容为准。</w:t>
      </w:r>
      <w:bookmarkEnd w:id="34"/>
      <w:r/>
      <w:r/>
    </w:p>
    <w:p>
      <w:pPr>
        <w:pStyle w:val="805"/>
        <w:jc w:val="center"/>
        <w:spacing w:beforeAutospacing="0" w:afterAutospacing="0" w:line="360" w:lineRule="auto"/>
        <w:widowControl/>
        <w:rPr>
          <w:rStyle w:val="810"/>
          <w:rFonts w:hint="eastAsia" w:ascii="宋体" w:hAnsi="宋体" w:cs="sans-serif"/>
          <w:b w:val="0"/>
        </w:rPr>
      </w:pPr>
      <w:r>
        <w:rPr>
          <w:rStyle w:val="810"/>
          <w:rFonts w:ascii="宋体" w:hAnsi="宋体" w:cs="宋体"/>
        </w:rPr>
        <w:br w:type="page" w:clear="all"/>
      </w:r>
      <w:r>
        <w:rPr>
          <w:rStyle w:val="810"/>
          <w:rFonts w:hint="eastAsia" w:ascii="宋体" w:hAnsi="宋体" w:cs="宋体"/>
        </w:rPr>
        <w:t xml:space="preserve">第三章 </w:t>
      </w:r>
      <w:bookmarkStart w:id="35" w:name="OLE_LINK14"/>
      <w:r/>
      <w:bookmarkStart w:id="36" w:name="OLE_LINK15"/>
      <w:r>
        <w:rPr>
          <w:rStyle w:val="810"/>
          <w:rFonts w:hint="eastAsia" w:ascii="宋体" w:hAnsi="宋体" w:cs="宋体"/>
        </w:rPr>
        <w:t xml:space="preserve">评审方法及评分标准</w:t>
      </w:r>
      <w:bookmarkEnd w:id="35"/>
      <w:r/>
      <w:bookmarkEnd w:id="36"/>
      <w:r/>
      <w:r/>
    </w:p>
    <w:p>
      <w:pPr>
        <w:spacing w:line="360" w:lineRule="auto"/>
        <w:rPr>
          <w:rFonts w:hint="eastAsia" w:ascii="宋体" w:hAnsi="宋体"/>
          <w:b/>
          <w:bCs/>
          <w:sz w:val="24"/>
          <w:szCs w:val="24"/>
        </w:rPr>
      </w:pPr>
      <w:r>
        <w:rPr>
          <w:rFonts w:hint="eastAsia" w:ascii="宋体" w:hAnsi="宋体"/>
          <w:b/>
          <w:bCs/>
          <w:sz w:val="24"/>
          <w:szCs w:val="24"/>
        </w:rPr>
        <w:t xml:space="preserve">一、评审办法</w:t>
      </w:r>
      <w:r/>
    </w:p>
    <w:p>
      <w:pPr>
        <w:ind w:firstLine="480"/>
        <w:spacing w:line="360" w:lineRule="auto"/>
        <w:rPr>
          <w:rFonts w:hint="eastAsia" w:ascii="宋体" w:hAnsi="宋体"/>
          <w:bCs/>
          <w:sz w:val="24"/>
          <w:szCs w:val="24"/>
        </w:rPr>
      </w:pPr>
      <w:r>
        <w:rPr>
          <w:rFonts w:hint="eastAsia" w:ascii="宋体" w:hAnsi="宋体"/>
          <w:bCs/>
          <w:sz w:val="24"/>
          <w:szCs w:val="24"/>
        </w:rPr>
        <w:t xml:space="preserve">1、本次磋商采用综合评分法，即在响应文件满足采购文件全部实质性要求且按评审因素的量化指标评审得分最高的</w:t>
      </w:r>
      <w:r>
        <w:rPr>
          <w:rFonts w:hint="eastAsia" w:ascii="宋体" w:hAnsi="宋体"/>
          <w:bCs/>
          <w:sz w:val="24"/>
          <w:szCs w:val="24"/>
        </w:rPr>
        <w:t xml:space="preserve">响应单位</w:t>
      </w:r>
      <w:r>
        <w:rPr>
          <w:rFonts w:hint="eastAsia" w:ascii="宋体" w:hAnsi="宋体"/>
          <w:bCs/>
          <w:sz w:val="24"/>
          <w:szCs w:val="24"/>
        </w:rPr>
        <w:t xml:space="preserve">为成交候选</w:t>
      </w:r>
      <w:r>
        <w:rPr>
          <w:rFonts w:hint="eastAsia" w:ascii="宋体" w:hAnsi="宋体"/>
          <w:bCs/>
          <w:sz w:val="24"/>
          <w:szCs w:val="24"/>
        </w:rPr>
        <w:t xml:space="preserve">响应单位</w:t>
      </w:r>
      <w:r>
        <w:rPr>
          <w:rFonts w:hint="eastAsia" w:ascii="宋体" w:hAnsi="宋体"/>
          <w:bCs/>
          <w:sz w:val="24"/>
          <w:szCs w:val="24"/>
        </w:rPr>
        <w:t xml:space="preserve">。采购单位书面</w:t>
      </w:r>
      <w:r>
        <w:rPr>
          <w:rFonts w:hint="eastAsia" w:ascii="宋体" w:hAnsi="宋体"/>
          <w:bCs/>
          <w:sz w:val="24"/>
          <w:szCs w:val="24"/>
        </w:rPr>
        <w:t xml:space="preserve">授权磋商</w:t>
      </w:r>
      <w:r>
        <w:rPr>
          <w:rFonts w:hint="eastAsia" w:ascii="宋体" w:hAnsi="宋体"/>
          <w:bCs/>
          <w:sz w:val="24"/>
          <w:szCs w:val="24"/>
        </w:rPr>
        <w:t xml:space="preserve">小组直接确定成交</w:t>
      </w:r>
      <w:r>
        <w:rPr>
          <w:rFonts w:hint="eastAsia" w:ascii="宋体" w:hAnsi="宋体"/>
          <w:bCs/>
          <w:sz w:val="24"/>
          <w:szCs w:val="24"/>
        </w:rPr>
        <w:t xml:space="preserve">响应单位</w:t>
      </w:r>
      <w:r>
        <w:rPr>
          <w:rFonts w:hint="eastAsia" w:ascii="宋体" w:hAnsi="宋体"/>
          <w:bCs/>
          <w:sz w:val="24"/>
          <w:szCs w:val="24"/>
        </w:rPr>
        <w:t xml:space="preserve">。</w:t>
      </w:r>
      <w:r/>
    </w:p>
    <w:p>
      <w:pPr>
        <w:ind w:firstLine="480"/>
        <w:spacing w:line="360" w:lineRule="auto"/>
        <w:rPr>
          <w:rFonts w:hint="eastAsia" w:ascii="宋体" w:hAnsi="宋体"/>
          <w:sz w:val="24"/>
          <w:szCs w:val="24"/>
        </w:rPr>
      </w:pPr>
      <w:r>
        <w:rPr>
          <w:rFonts w:hint="eastAsia" w:ascii="宋体" w:hAnsi="宋体"/>
          <w:bCs/>
          <w:sz w:val="24"/>
          <w:szCs w:val="24"/>
        </w:rPr>
        <w:t xml:space="preserve">2、评审小组各成员独立对每个进入打分程序的有效磋商</w:t>
      </w:r>
      <w:r>
        <w:rPr>
          <w:rFonts w:hint="eastAsia" w:ascii="宋体" w:hAnsi="宋体"/>
          <w:bCs/>
          <w:sz w:val="24"/>
          <w:szCs w:val="24"/>
        </w:rPr>
        <w:t xml:space="preserve">响应单位</w:t>
      </w:r>
      <w:r>
        <w:rPr>
          <w:rFonts w:hint="eastAsia" w:ascii="宋体" w:hAnsi="宋体"/>
          <w:bCs/>
          <w:sz w:val="24"/>
          <w:szCs w:val="24"/>
        </w:rPr>
        <w:t xml:space="preserve">的响应文件技术和资质部分以打分的形式进行评审和评价。 </w:t>
      </w:r>
      <w:r/>
    </w:p>
    <w:p>
      <w:pPr>
        <w:ind w:firstLine="480"/>
        <w:spacing w:line="360" w:lineRule="auto"/>
        <w:rPr>
          <w:rFonts w:hint="eastAsia" w:ascii="宋体" w:hAnsi="宋体"/>
          <w:bCs/>
          <w:sz w:val="24"/>
          <w:szCs w:val="24"/>
        </w:rPr>
      </w:pPr>
      <w:r>
        <w:rPr>
          <w:rFonts w:hint="eastAsia" w:ascii="宋体" w:hAnsi="宋体"/>
          <w:bCs/>
          <w:sz w:val="24"/>
          <w:szCs w:val="24"/>
        </w:rPr>
        <w:t xml:space="preserve">3、对评委的评分进行统计汇总，直接算术平均计算得分，计算出每个磋商</w:t>
      </w:r>
      <w:r>
        <w:rPr>
          <w:rFonts w:hint="eastAsia" w:ascii="宋体" w:hAnsi="宋体"/>
          <w:bCs/>
          <w:sz w:val="24"/>
          <w:szCs w:val="24"/>
        </w:rPr>
        <w:t xml:space="preserve">响应单位</w:t>
      </w:r>
      <w:r>
        <w:rPr>
          <w:rFonts w:hint="eastAsia" w:ascii="宋体" w:hAnsi="宋体"/>
          <w:bCs/>
          <w:sz w:val="24"/>
          <w:szCs w:val="24"/>
        </w:rPr>
        <w:t xml:space="preserve">的得分，加上价格得分即为每个磋商</w:t>
      </w:r>
      <w:r>
        <w:rPr>
          <w:rFonts w:hint="eastAsia" w:ascii="宋体" w:hAnsi="宋体"/>
          <w:bCs/>
          <w:sz w:val="24"/>
          <w:szCs w:val="24"/>
        </w:rPr>
        <w:t xml:space="preserve">响应单位</w:t>
      </w:r>
      <w:r>
        <w:rPr>
          <w:rFonts w:hint="eastAsia" w:ascii="宋体" w:hAnsi="宋体"/>
          <w:bCs/>
          <w:sz w:val="24"/>
          <w:szCs w:val="24"/>
        </w:rPr>
        <w:t xml:space="preserve">的综合得分。 </w:t>
      </w:r>
      <w:r/>
    </w:p>
    <w:p>
      <w:pPr>
        <w:ind w:firstLine="480"/>
        <w:spacing w:line="360" w:lineRule="auto"/>
        <w:rPr>
          <w:rFonts w:hint="eastAsia" w:ascii="宋体" w:hAnsi="宋体"/>
          <w:bCs/>
          <w:sz w:val="24"/>
          <w:szCs w:val="24"/>
        </w:rPr>
      </w:pPr>
      <w:r>
        <w:rPr>
          <w:rFonts w:hint="eastAsia" w:ascii="宋体" w:hAnsi="宋体"/>
          <w:bCs/>
          <w:sz w:val="24"/>
          <w:szCs w:val="24"/>
        </w:rPr>
        <w:t xml:space="preserve">4、如出现评审总得分最高的磋商</w:t>
      </w:r>
      <w:r>
        <w:rPr>
          <w:rFonts w:hint="eastAsia" w:ascii="宋体" w:hAnsi="宋体"/>
          <w:bCs/>
          <w:sz w:val="24"/>
          <w:szCs w:val="24"/>
        </w:rPr>
        <w:t xml:space="preserve">响应单位</w:t>
      </w:r>
      <w:r>
        <w:rPr>
          <w:rFonts w:hint="eastAsia" w:ascii="宋体" w:hAnsi="宋体"/>
          <w:bCs/>
          <w:sz w:val="24"/>
          <w:szCs w:val="24"/>
        </w:rPr>
        <w:t xml:space="preserve">有两个或两个以上的，以磋商报价较低者优先作为成交候选人，如果磋商报价也相同的，则由采购单位组织以抽签方式确定成交候选人。</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5、根据政府采购法及相关法规，以及苏州市财政局《关于印发苏州市市级政府采购信用记录查询和使用工作试行办法的通知》（苏财购（2017）11号）文件的规定，将对</w:t>
      </w:r>
      <w:r>
        <w:rPr>
          <w:rFonts w:hint="eastAsia" w:ascii="宋体" w:hAnsi="宋体" w:cs="宋体"/>
          <w:sz w:val="24"/>
          <w:szCs w:val="24"/>
        </w:rPr>
        <w:t xml:space="preserve">响应单位</w:t>
      </w:r>
      <w:r>
        <w:rPr>
          <w:rFonts w:hint="eastAsia" w:ascii="宋体" w:hAnsi="宋体" w:cs="宋体"/>
          <w:sz w:val="24"/>
          <w:szCs w:val="24"/>
        </w:rPr>
        <w:t xml:space="preserve">进行信用查询，凡经评审小组确认不符合政府采购相关法律法规规定的，将拒绝其参与政府采购活动。</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（1）查询时间：响应文件递交截止时间。</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（2）查询渠道：统一登录苏州市政府采购网的“</w:t>
      </w:r>
      <w:r>
        <w:rPr>
          <w:rFonts w:hint="eastAsia" w:ascii="宋体" w:hAnsi="宋体" w:cs="宋体"/>
          <w:sz w:val="24"/>
          <w:szCs w:val="24"/>
        </w:rPr>
        <w:t xml:space="preserve">响应单位</w:t>
      </w:r>
      <w:r>
        <w:rPr>
          <w:rFonts w:hint="eastAsia" w:ascii="宋体" w:hAnsi="宋体" w:cs="宋体"/>
          <w:sz w:val="24"/>
          <w:szCs w:val="24"/>
        </w:rPr>
        <w:t xml:space="preserve">信用查询”系统查询</w:t>
      </w:r>
      <w:r>
        <w:rPr>
          <w:rFonts w:hint="eastAsia" w:ascii="宋体" w:hAnsi="宋体" w:cs="宋体"/>
          <w:sz w:val="24"/>
          <w:szCs w:val="24"/>
        </w:rPr>
        <w:t xml:space="preserve">响应单位</w:t>
      </w:r>
      <w:r>
        <w:rPr>
          <w:rFonts w:hint="eastAsia" w:ascii="宋体" w:hAnsi="宋体" w:cs="宋体"/>
          <w:sz w:val="24"/>
          <w:szCs w:val="24"/>
        </w:rPr>
        <w:t xml:space="preserve">的信用记录。苏州市政府采购网“</w:t>
      </w:r>
      <w:r>
        <w:rPr>
          <w:rFonts w:hint="eastAsia" w:ascii="宋体" w:hAnsi="宋体" w:cs="宋体"/>
          <w:sz w:val="24"/>
          <w:szCs w:val="24"/>
        </w:rPr>
        <w:t xml:space="preserve">响应单位</w:t>
      </w:r>
      <w:r>
        <w:rPr>
          <w:rFonts w:hint="eastAsia" w:ascii="宋体" w:hAnsi="宋体" w:cs="宋体"/>
          <w:sz w:val="24"/>
          <w:szCs w:val="24"/>
        </w:rPr>
        <w:t xml:space="preserve">信用查询”系统实时提供来自中国政府采购网、信用中国、信用江苏、诚信苏州网站的相关主体信用记录。</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   （3）查询证据留存方式：对存在失信信息的</w:t>
      </w:r>
      <w:r>
        <w:rPr>
          <w:rFonts w:hint="eastAsia" w:ascii="宋体" w:hAnsi="宋体" w:cs="宋体"/>
          <w:sz w:val="24"/>
          <w:szCs w:val="24"/>
        </w:rPr>
        <w:t xml:space="preserve">响应单位</w:t>
      </w:r>
      <w:r>
        <w:rPr>
          <w:rFonts w:hint="eastAsia" w:ascii="宋体" w:hAnsi="宋体" w:cs="宋体"/>
          <w:sz w:val="24"/>
          <w:szCs w:val="24"/>
        </w:rPr>
        <w:t xml:space="preserve">，评审小组应填写《苏州市级政府采购</w:t>
      </w:r>
      <w:r>
        <w:rPr>
          <w:rFonts w:hint="eastAsia" w:ascii="宋体" w:hAnsi="宋体" w:cs="宋体"/>
          <w:sz w:val="24"/>
          <w:szCs w:val="24"/>
        </w:rPr>
        <w:t xml:space="preserve">响应单位</w:t>
      </w:r>
      <w:r>
        <w:rPr>
          <w:rFonts w:hint="eastAsia" w:ascii="宋体" w:hAnsi="宋体" w:cs="宋体"/>
          <w:sz w:val="24"/>
          <w:szCs w:val="24"/>
        </w:rPr>
        <w:t xml:space="preserve">失信信息确认函》，由失信</w:t>
      </w:r>
      <w:r>
        <w:rPr>
          <w:rFonts w:hint="eastAsia" w:ascii="宋体" w:hAnsi="宋体" w:cs="宋体"/>
          <w:sz w:val="24"/>
          <w:szCs w:val="24"/>
        </w:rPr>
        <w:t xml:space="preserve">响应单位</w:t>
      </w:r>
      <w:r>
        <w:rPr>
          <w:rFonts w:hint="eastAsia" w:ascii="宋体" w:hAnsi="宋体" w:cs="宋体"/>
          <w:sz w:val="24"/>
          <w:szCs w:val="24"/>
        </w:rPr>
        <w:t xml:space="preserve">应签名确认。同时，采购代理机构工作人员应根据评审小组确认的失信信息，登陆到来源网站页面进行复核并打印，作为证据留存。</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   （4）信用记录使用规则：评审小组在对</w:t>
      </w:r>
      <w:r>
        <w:rPr>
          <w:rFonts w:hint="eastAsia" w:ascii="宋体" w:hAnsi="宋体" w:cs="宋体"/>
          <w:sz w:val="24"/>
          <w:szCs w:val="24"/>
        </w:rPr>
        <w:t xml:space="preserve">响应单位</w:t>
      </w:r>
      <w:r>
        <w:rPr>
          <w:rFonts w:hint="eastAsia" w:ascii="宋体" w:hAnsi="宋体" w:cs="宋体"/>
          <w:sz w:val="24"/>
          <w:szCs w:val="24"/>
        </w:rPr>
        <w:t xml:space="preserve">进行资格性审查时，应根据查询结果对</w:t>
      </w:r>
      <w:r>
        <w:rPr>
          <w:rFonts w:hint="eastAsia" w:ascii="宋体" w:hAnsi="宋体" w:cs="宋体"/>
          <w:sz w:val="24"/>
          <w:szCs w:val="24"/>
        </w:rPr>
        <w:t xml:space="preserve">响应单位</w:t>
      </w:r>
      <w:r>
        <w:rPr>
          <w:rFonts w:hint="eastAsia" w:ascii="宋体" w:hAnsi="宋体" w:cs="宋体"/>
          <w:sz w:val="24"/>
          <w:szCs w:val="24"/>
        </w:rPr>
        <w:t xml:space="preserve">的不良信用记录逐项甄别确认。</w:t>
      </w:r>
      <w:r/>
    </w:p>
    <w:p>
      <w:pPr>
        <w:spacing w:line="360" w:lineRule="auto"/>
        <w:rPr>
          <w:rFonts w:hint="eastAsia" w:ascii="宋体" w:hAnsi="宋体"/>
          <w:b/>
          <w:sz w:val="24"/>
          <w:szCs w:val="24"/>
        </w:rPr>
      </w:pPr>
      <w:r>
        <w:rPr>
          <w:rFonts w:hint="eastAsia" w:ascii="宋体" w:hAnsi="宋体"/>
          <w:b/>
          <w:sz w:val="24"/>
          <w:szCs w:val="24"/>
        </w:rPr>
        <w:t xml:space="preserve">一、</w:t>
      </w:r>
      <w:r>
        <w:rPr>
          <w:rFonts w:ascii="宋体" w:hAnsi="宋体"/>
          <w:b/>
          <w:sz w:val="24"/>
          <w:szCs w:val="24"/>
        </w:rPr>
        <w:t xml:space="preserve">价格分</w:t>
      </w:r>
      <w:r>
        <w:rPr>
          <w:rFonts w:hint="eastAsia" w:ascii="宋体" w:hAnsi="宋体"/>
          <w:b/>
          <w:sz w:val="24"/>
          <w:szCs w:val="24"/>
        </w:rPr>
        <w:t xml:space="preserve">  10分</w:t>
      </w:r>
      <w:r/>
    </w:p>
    <w:p>
      <w:pPr>
        <w:ind w:firstLine="480"/>
        <w:spacing w:line="360" w:lineRule="auto"/>
        <w:rPr>
          <w:rFonts w:hint="eastAsia" w:ascii="宋体" w:hAnsi="宋体" w:cs="方正楷体_GBK"/>
          <w:sz w:val="24"/>
        </w:rPr>
      </w:pPr>
      <w:r>
        <w:rPr>
          <w:rFonts w:hint="eastAsia" w:ascii="宋体" w:hAnsi="宋体" w:cs="方正楷体_GBK"/>
          <w:sz w:val="24"/>
        </w:rPr>
        <w:t xml:space="preserve">1、价格</w:t>
      </w:r>
      <w:r>
        <w:rPr>
          <w:rFonts w:hint="eastAsia" w:ascii="宋体" w:hAnsi="宋体" w:cs="方正楷体_GBK"/>
          <w:sz w:val="24"/>
        </w:rPr>
        <w:t xml:space="preserve">分统一</w:t>
      </w:r>
      <w:r>
        <w:rPr>
          <w:rFonts w:hint="eastAsia" w:ascii="宋体" w:hAnsi="宋体" w:cs="方正楷体_GBK"/>
          <w:sz w:val="24"/>
        </w:rPr>
        <w:t xml:space="preserve">采用低价优先法计算，即满足磋商文件要求且最后报价最低（未超采购预算）的响应单位的价格为磋商基准价，其价格分为满分10分。</w:t>
      </w:r>
      <w:r/>
    </w:p>
    <w:p>
      <w:pPr>
        <w:ind w:right="-34" w:firstLine="480"/>
        <w:spacing w:line="360" w:lineRule="auto"/>
        <w:rPr>
          <w:rFonts w:hint="eastAsia" w:ascii="宋体" w:hAnsi="宋体" w:cs="方正楷体_GBK"/>
          <w:sz w:val="24"/>
        </w:rPr>
      </w:pPr>
      <w:r>
        <w:rPr>
          <w:rFonts w:hint="eastAsia" w:ascii="宋体" w:hAnsi="宋体" w:cs="方正楷体_GBK"/>
          <w:sz w:val="24"/>
        </w:rPr>
        <w:t xml:space="preserve">其他响应单位的价格</w:t>
      </w:r>
      <w:r>
        <w:rPr>
          <w:rFonts w:hint="eastAsia" w:ascii="宋体" w:hAnsi="宋体" w:cs="方正楷体_GBK"/>
          <w:sz w:val="24"/>
        </w:rPr>
        <w:t xml:space="preserve">分统一</w:t>
      </w:r>
      <w:r>
        <w:rPr>
          <w:rFonts w:hint="eastAsia" w:ascii="宋体" w:hAnsi="宋体" w:cs="方正楷体_GBK"/>
          <w:sz w:val="24"/>
        </w:rPr>
        <w:t xml:space="preserve">按照下列公式计算：磋商报价得分=（磋商基准价/最终磋商报价）×</w:t>
      </w:r>
      <w:r>
        <w:rPr>
          <w:rFonts w:hint="eastAsia" w:ascii="宋体" w:hAnsi="宋体" w:cs="方正楷体_GBK"/>
          <w:sz w:val="24"/>
        </w:rPr>
        <w:t xml:space="preserve">价格权</w:t>
      </w:r>
      <w:r>
        <w:rPr>
          <w:rFonts w:hint="eastAsia" w:ascii="宋体" w:hAnsi="宋体" w:cs="方正楷体_GBK"/>
          <w:sz w:val="24"/>
        </w:rPr>
        <w:t xml:space="preserve">值×100（</w:t>
      </w:r>
      <w:r>
        <w:rPr>
          <w:rFonts w:hint="eastAsia" w:ascii="宋体" w:hAnsi="宋体" w:cs="方正楷体_GBK"/>
          <w:sz w:val="24"/>
        </w:rPr>
        <w:t xml:space="preserve">价格权</w:t>
      </w:r>
      <w:r>
        <w:rPr>
          <w:rFonts w:hint="eastAsia" w:ascii="宋体" w:hAnsi="宋体" w:cs="方正楷体_GBK"/>
          <w:sz w:val="24"/>
        </w:rPr>
        <w:t xml:space="preserve">值为10%）。</w:t>
      </w:r>
      <w:r/>
    </w:p>
    <w:p>
      <w:pPr>
        <w:ind w:firstLine="480"/>
        <w:spacing w:line="360" w:lineRule="auto"/>
        <w:rPr>
          <w:rFonts w:hint="eastAsia" w:ascii="宋体" w:hAnsi="宋体"/>
          <w:bCs/>
          <w:sz w:val="24"/>
          <w:szCs w:val="24"/>
        </w:rPr>
      </w:pPr>
      <w:r>
        <w:rPr>
          <w:rFonts w:hint="eastAsia" w:ascii="宋体" w:hAnsi="宋体" w:cs="方正楷体_GBK"/>
          <w:sz w:val="24"/>
        </w:rPr>
        <w:t xml:space="preserve">2、评定内容还包括</w:t>
      </w:r>
      <w:r>
        <w:rPr>
          <w:rFonts w:hint="eastAsia" w:ascii="宋体" w:hAnsi="宋体" w:cs="方正楷体_GBK"/>
          <w:sz w:val="24"/>
        </w:rPr>
        <w:t xml:space="preserve">分析总</w:t>
      </w:r>
      <w:r>
        <w:rPr>
          <w:rFonts w:hint="eastAsia" w:ascii="宋体" w:hAnsi="宋体" w:cs="方正楷体_GBK"/>
          <w:sz w:val="24"/>
        </w:rPr>
        <w:t xml:space="preserve">报价及各个分项报价是否合理，报价范围是否完整，有否重大错漏项，如果某响应单位的响应报价中有漏项，则该的响应价格评审时需加上漏项部分，漏</w:t>
      </w:r>
      <w:r>
        <w:rPr>
          <w:rFonts w:hint="eastAsia" w:ascii="宋体" w:hAnsi="宋体" w:cs="方正楷体_GBK"/>
          <w:sz w:val="24"/>
        </w:rPr>
        <w:t xml:space="preserve">项部分的价格按所有参加磋商的响应单位中相应部分所报的最高价格计算，如果该响应单位成交，则其成交总价不能调整，漏项部分的</w:t>
      </w:r>
      <w:r>
        <w:rPr>
          <w:rFonts w:hint="eastAsia" w:ascii="宋体" w:hAnsi="宋体" w:cs="方正楷体_GBK"/>
          <w:sz w:val="24"/>
        </w:rPr>
        <w:t xml:space="preserve">价格需该磋商</w:t>
      </w:r>
      <w:r>
        <w:rPr>
          <w:rFonts w:hint="eastAsia" w:ascii="宋体" w:hAnsi="宋体" w:cs="方正楷体_GBK"/>
          <w:sz w:val="24"/>
        </w:rPr>
        <w:t xml:space="preserve">响应单位自行消化，如漏</w:t>
      </w:r>
      <w:r>
        <w:rPr>
          <w:rFonts w:hint="eastAsia" w:ascii="宋体" w:hAnsi="宋体" w:cs="方正楷体_GBK"/>
          <w:sz w:val="24"/>
        </w:rPr>
        <w:t xml:space="preserve">项构成未</w:t>
      </w:r>
      <w:r>
        <w:rPr>
          <w:rFonts w:hint="eastAsia" w:ascii="宋体" w:hAnsi="宋体" w:cs="方正楷体_GBK"/>
          <w:sz w:val="24"/>
        </w:rPr>
        <w:t xml:space="preserve">实质性响应磋商文件要求的，将不得成交。</w:t>
      </w:r>
      <w:r/>
    </w:p>
    <w:p>
      <w:pPr>
        <w:spacing w:line="360" w:lineRule="auto"/>
        <w:rPr>
          <w:rFonts w:hint="eastAsia" w:ascii="宋体" w:hAnsi="宋体"/>
          <w:b/>
          <w:sz w:val="24"/>
          <w:szCs w:val="24"/>
        </w:rPr>
      </w:pPr>
      <w:r>
        <w:rPr>
          <w:rFonts w:hint="eastAsia" w:ascii="宋体" w:hAnsi="宋体"/>
          <w:b/>
          <w:sz w:val="24"/>
          <w:szCs w:val="24"/>
        </w:rPr>
        <w:t xml:space="preserve">二、针对本项目的服务方案比较  6</w:t>
      </w:r>
      <w:r>
        <w:rPr>
          <w:rFonts w:hint="eastAsia" w:ascii="宋体" w:hAnsi="宋体"/>
          <w:b/>
          <w:sz w:val="24"/>
          <w:szCs w:val="24"/>
        </w:rPr>
        <w:t xml:space="preserve">0</w:t>
      </w:r>
      <w:r>
        <w:rPr>
          <w:rFonts w:hint="eastAsia" w:ascii="宋体" w:hAnsi="宋体"/>
          <w:b/>
          <w:sz w:val="24"/>
          <w:szCs w:val="24"/>
        </w:rPr>
        <w:t xml:space="preserve">分</w:t>
      </w:r>
      <w:r/>
    </w:p>
    <w:p>
      <w:pPr>
        <w:pStyle w:val="1035"/>
        <w:ind w:firstLine="480"/>
        <w:spacing w:line="360" w:lineRule="auto"/>
        <w:rPr>
          <w:rFonts w:hint="eastAsia" w:hAnsi="宋体" w:cs="宋体"/>
          <w:sz w:val="24"/>
          <w:szCs w:val="24"/>
        </w:rPr>
        <w:outlineLvl w:val="0"/>
      </w:pPr>
      <w:r>
        <w:rPr>
          <w:rFonts w:hint="eastAsia" w:hAnsi="宋体" w:cs="宋体"/>
          <w:b/>
          <w:bCs/>
          <w:sz w:val="24"/>
          <w:szCs w:val="24"/>
        </w:rPr>
        <w:t xml:space="preserve">1、</w:t>
      </w:r>
      <w:r>
        <w:rPr>
          <w:rFonts w:hint="eastAsia" w:hAnsi="宋体" w:cs="宋体"/>
          <w:b/>
          <w:bCs/>
          <w:sz w:val="24"/>
          <w:szCs w:val="24"/>
        </w:rPr>
        <w:t xml:space="preserve">体检服务方案  </w:t>
      </w:r>
      <w:r>
        <w:rPr>
          <w:rFonts w:hAnsi="宋体" w:cs="宋体"/>
          <w:b/>
          <w:bCs/>
          <w:sz w:val="24"/>
          <w:szCs w:val="24"/>
        </w:rPr>
        <w:t xml:space="preserve">10</w:t>
      </w:r>
      <w:r>
        <w:rPr>
          <w:rFonts w:hint="eastAsia" w:hAnsi="宋体" w:cs="宋体"/>
          <w:b/>
          <w:bCs/>
          <w:sz w:val="24"/>
          <w:szCs w:val="24"/>
        </w:rPr>
        <w:t xml:space="preserve">分  </w:t>
      </w:r>
      <w:r>
        <w:rPr>
          <w:rFonts w:hint="eastAsia" w:hAnsi="宋体" w:cs="宋体"/>
          <w:sz w:val="24"/>
          <w:szCs w:val="24"/>
        </w:rPr>
        <w:t xml:space="preserve">评委根据</w:t>
      </w:r>
      <w:r>
        <w:rPr>
          <w:rFonts w:hint="eastAsia" w:hAnsi="宋体" w:cs="宋体"/>
          <w:sz w:val="24"/>
          <w:szCs w:val="24"/>
        </w:rPr>
        <w:t xml:space="preserve">响应单位</w:t>
      </w:r>
      <w:r>
        <w:rPr>
          <w:rFonts w:hint="eastAsia" w:hAnsi="宋体" w:cs="宋体"/>
          <w:sz w:val="24"/>
          <w:szCs w:val="24"/>
        </w:rPr>
        <w:t xml:space="preserve">提供</w:t>
      </w:r>
      <w:r>
        <w:rPr>
          <w:rFonts w:hint="eastAsia" w:hAnsi="宋体" w:cs="宋体"/>
          <w:sz w:val="24"/>
          <w:szCs w:val="24"/>
        </w:rPr>
        <w:t xml:space="preserve">体检服务方案</w:t>
      </w:r>
      <w:r>
        <w:rPr>
          <w:rFonts w:hint="eastAsia" w:hAnsi="宋体" w:cs="宋体"/>
          <w:sz w:val="24"/>
          <w:szCs w:val="24"/>
        </w:rPr>
        <w:t xml:space="preserve">进行综合比较打分。</w:t>
      </w:r>
      <w:r>
        <w:rPr>
          <w:rFonts w:hint="eastAsia" w:hAnsi="宋体" w:cs="宋体"/>
          <w:sz w:val="24"/>
          <w:szCs w:val="24"/>
        </w:rPr>
        <w:t xml:space="preserve">体检方案详尽、科学合理、可行性强的得10分；体检方案较简单、科学合理性较好、具备可行性得7分；体检方案较简单、科学合理性一般、可行性一般得4分； </w:t>
      </w:r>
      <w:r>
        <w:rPr>
          <w:rFonts w:hint="eastAsia" w:hAnsi="宋体" w:cs="宋体"/>
          <w:sz w:val="24"/>
          <w:szCs w:val="24"/>
        </w:rPr>
        <w:t xml:space="preserve">方案差或未提供相应内容的不得分。</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2、</w:t>
      </w:r>
      <w:r>
        <w:rPr>
          <w:rFonts w:hint="eastAsia" w:ascii="宋体" w:hAnsi="宋体" w:cs="宋体"/>
          <w:b/>
          <w:sz w:val="24"/>
          <w:szCs w:val="24"/>
        </w:rPr>
        <w:t xml:space="preserve">工作流程、服务标准、服务质量措施  </w:t>
      </w:r>
      <w:r>
        <w:rPr>
          <w:rFonts w:ascii="宋体" w:hAnsi="宋体" w:cs="宋体"/>
          <w:b/>
          <w:sz w:val="24"/>
          <w:szCs w:val="24"/>
        </w:rPr>
        <w:t xml:space="preserve">10</w:t>
      </w:r>
      <w:r>
        <w:rPr>
          <w:rFonts w:hint="eastAsia" w:ascii="宋体" w:hAnsi="宋体" w:cs="宋体"/>
          <w:b/>
          <w:sz w:val="24"/>
          <w:szCs w:val="24"/>
        </w:rPr>
        <w:t xml:space="preserve">分  </w:t>
      </w:r>
      <w:r>
        <w:rPr>
          <w:rFonts w:hint="eastAsia" w:ascii="宋体" w:hAnsi="宋体" w:cs="宋体"/>
          <w:sz w:val="24"/>
          <w:szCs w:val="24"/>
        </w:rPr>
        <w:t xml:space="preserve">评委根据</w:t>
      </w:r>
      <w:r>
        <w:rPr>
          <w:rFonts w:hint="eastAsia" w:ascii="宋体" w:hAnsi="宋体" w:cs="宋体"/>
          <w:sz w:val="24"/>
          <w:szCs w:val="24"/>
        </w:rPr>
        <w:t xml:space="preserve">响应单位</w:t>
      </w:r>
      <w:r>
        <w:rPr>
          <w:rFonts w:hint="eastAsia" w:ascii="宋体" w:hAnsi="宋体" w:cs="宋体"/>
          <w:sz w:val="24"/>
          <w:szCs w:val="24"/>
        </w:rPr>
        <w:t xml:space="preserve">针对本项目提供的</w:t>
      </w:r>
      <w:r>
        <w:rPr>
          <w:rFonts w:hint="eastAsia" w:ascii="宋体" w:hAnsi="宋体" w:cs="宋体"/>
          <w:sz w:val="24"/>
          <w:szCs w:val="24"/>
        </w:rPr>
        <w:t xml:space="preserve">工作流程、服务标准、服务质量措施</w:t>
      </w:r>
      <w:r>
        <w:rPr>
          <w:rFonts w:hint="eastAsia" w:ascii="宋体" w:hAnsi="宋体" w:cs="宋体"/>
          <w:sz w:val="24"/>
          <w:szCs w:val="24"/>
        </w:rPr>
        <w:t xml:space="preserve">进行综合比较打分。</w:t>
      </w:r>
      <w:r>
        <w:rPr>
          <w:rFonts w:hint="eastAsia" w:ascii="宋体" w:hAnsi="宋体" w:cs="宋体"/>
          <w:sz w:val="24"/>
          <w:szCs w:val="24"/>
        </w:rPr>
        <w:t xml:space="preserve">体检工作流程及服务标准全面、科学合理、制度完善得10分；体检工作流程及服务标准较全面、较科学合理、制度较完善得7分；体检工作流程及服务标准基本满足采购要求得4分；</w:t>
      </w:r>
      <w:r>
        <w:rPr>
          <w:rFonts w:hint="eastAsia" w:ascii="宋体" w:hAnsi="宋体" w:cs="宋体"/>
          <w:sz w:val="24"/>
          <w:szCs w:val="24"/>
        </w:rPr>
        <w:t xml:space="preserve">方案差或未提供相应内容的不得分。</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3、</w:t>
      </w:r>
      <w:r>
        <w:rPr>
          <w:rFonts w:hint="eastAsia" w:ascii="宋体" w:hAnsi="宋体" w:cs="宋体"/>
          <w:b/>
          <w:sz w:val="24"/>
          <w:szCs w:val="24"/>
        </w:rPr>
        <w:t xml:space="preserve">体检时间进度计划方案  </w:t>
      </w:r>
      <w:r>
        <w:rPr>
          <w:rFonts w:ascii="宋体" w:hAnsi="宋体" w:cs="宋体"/>
          <w:b/>
          <w:sz w:val="24"/>
          <w:szCs w:val="24"/>
        </w:rPr>
        <w:t xml:space="preserve">10</w:t>
      </w:r>
      <w:r>
        <w:rPr>
          <w:rFonts w:hint="eastAsia" w:ascii="宋体" w:hAnsi="宋体" w:cs="宋体"/>
          <w:b/>
          <w:sz w:val="24"/>
          <w:szCs w:val="24"/>
        </w:rPr>
        <w:t xml:space="preserve">分  </w:t>
      </w:r>
      <w:r>
        <w:rPr>
          <w:rFonts w:hint="eastAsia" w:ascii="宋体" w:hAnsi="宋体" w:cs="宋体"/>
          <w:sz w:val="24"/>
          <w:szCs w:val="24"/>
        </w:rPr>
        <w:t xml:space="preserve">评委根据</w:t>
      </w:r>
      <w:r>
        <w:rPr>
          <w:rFonts w:hint="eastAsia" w:ascii="宋体" w:hAnsi="宋体" w:cs="宋体"/>
          <w:sz w:val="24"/>
          <w:szCs w:val="24"/>
        </w:rPr>
        <w:t xml:space="preserve">响应单位</w:t>
      </w:r>
      <w:r>
        <w:rPr>
          <w:rFonts w:hint="eastAsia" w:ascii="宋体" w:hAnsi="宋体" w:cs="宋体"/>
          <w:sz w:val="24"/>
          <w:szCs w:val="24"/>
        </w:rPr>
        <w:t xml:space="preserve">提供针对本项目的</w:t>
      </w:r>
      <w:r>
        <w:rPr>
          <w:rFonts w:hint="eastAsia" w:ascii="宋体" w:hAnsi="宋体" w:cs="宋体"/>
          <w:sz w:val="24"/>
          <w:szCs w:val="24"/>
        </w:rPr>
        <w:t xml:space="preserve">体检时间进度计划方案</w:t>
      </w:r>
      <w:r>
        <w:rPr>
          <w:rFonts w:hint="eastAsia" w:ascii="宋体" w:hAnsi="宋体" w:cs="宋体"/>
          <w:sz w:val="24"/>
          <w:szCs w:val="24"/>
        </w:rPr>
        <w:t xml:space="preserve">进行综合比较打分。</w:t>
      </w:r>
      <w:r>
        <w:rPr>
          <w:rFonts w:hint="eastAsia" w:ascii="宋体" w:hAnsi="宋体" w:cs="宋体"/>
          <w:sz w:val="24"/>
          <w:szCs w:val="24"/>
        </w:rPr>
        <w:t xml:space="preserve">进度计划</w:t>
      </w:r>
      <w:r>
        <w:rPr>
          <w:rFonts w:hint="eastAsia" w:ascii="宋体" w:hAnsi="宋体" w:cs="宋体"/>
          <w:sz w:val="24"/>
          <w:szCs w:val="24"/>
        </w:rPr>
        <w:t xml:space="preserve">内容全面、科学合理、可行性强，能够满足采购要求得10分；进度计划内容较合理、可行性较强，较能满足采购要求得7分；进度计划内容简单、可行性一般，基本满足采购要求得4分；</w:t>
      </w:r>
      <w:r>
        <w:rPr>
          <w:rFonts w:hint="eastAsia" w:ascii="宋体" w:hAnsi="宋体" w:cs="宋体"/>
          <w:sz w:val="24"/>
          <w:szCs w:val="24"/>
        </w:rPr>
        <w:t xml:space="preserve">方案差或未提供相应内容的不得分。</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4、</w:t>
      </w:r>
      <w:r>
        <w:rPr>
          <w:rFonts w:hint="eastAsia" w:ascii="宋体" w:hAnsi="宋体" w:cs="宋体"/>
          <w:b/>
          <w:bCs/>
          <w:sz w:val="24"/>
          <w:szCs w:val="24"/>
        </w:rPr>
        <w:t xml:space="preserve">体检报告情况</w:t>
      </w:r>
      <w:r>
        <w:rPr>
          <w:rFonts w:hint="eastAsia" w:ascii="宋体" w:hAnsi="宋体" w:cs="宋体"/>
          <w:b/>
          <w:sz w:val="24"/>
          <w:szCs w:val="24"/>
        </w:rPr>
        <w:t xml:space="preserve">  </w:t>
      </w:r>
      <w:r>
        <w:rPr>
          <w:rFonts w:ascii="宋体" w:hAnsi="宋体" w:cs="宋体"/>
          <w:b/>
          <w:sz w:val="24"/>
          <w:szCs w:val="24"/>
        </w:rPr>
        <w:t xml:space="preserve">10</w:t>
      </w:r>
      <w:r>
        <w:rPr>
          <w:rFonts w:hint="eastAsia" w:ascii="宋体" w:hAnsi="宋体" w:cs="宋体"/>
          <w:b/>
          <w:sz w:val="24"/>
          <w:szCs w:val="24"/>
        </w:rPr>
        <w:t xml:space="preserve">分  </w:t>
      </w:r>
      <w:r>
        <w:rPr>
          <w:rFonts w:hint="eastAsia" w:ascii="宋体" w:hAnsi="宋体" w:cs="宋体"/>
          <w:sz w:val="24"/>
          <w:szCs w:val="24"/>
        </w:rPr>
        <w:t xml:space="preserve">评委根据</w:t>
      </w:r>
      <w:r>
        <w:rPr>
          <w:rFonts w:hint="eastAsia" w:ascii="宋体" w:hAnsi="宋体" w:cs="宋体"/>
          <w:sz w:val="24"/>
          <w:szCs w:val="24"/>
        </w:rPr>
        <w:t xml:space="preserve">响应单位</w:t>
      </w:r>
      <w:r>
        <w:rPr>
          <w:rFonts w:hint="eastAsia" w:ascii="宋体" w:hAnsi="宋体" w:cs="宋体"/>
          <w:sz w:val="24"/>
          <w:szCs w:val="24"/>
        </w:rPr>
        <w:t xml:space="preserve">针对本项目提供的</w:t>
      </w:r>
      <w:r>
        <w:rPr>
          <w:rFonts w:hint="eastAsia" w:ascii="宋体" w:hAnsi="宋体" w:cs="宋体"/>
          <w:sz w:val="24"/>
          <w:szCs w:val="24"/>
        </w:rPr>
        <w:t xml:space="preserve">体检报告情况</w:t>
      </w:r>
      <w:r>
        <w:rPr>
          <w:rFonts w:hint="eastAsia" w:ascii="宋体" w:hAnsi="宋体" w:cs="宋体"/>
          <w:sz w:val="24"/>
          <w:szCs w:val="24"/>
        </w:rPr>
        <w:t xml:space="preserve">（</w:t>
      </w:r>
      <w:r>
        <w:rPr>
          <w:rFonts w:hint="eastAsia" w:ascii="宋体" w:hAnsi="宋体" w:cs="宋体"/>
          <w:sz w:val="24"/>
          <w:szCs w:val="24"/>
        </w:rPr>
        <w:t xml:space="preserve">包括但不限于报告的解读、体检结果分析、治疗建议及健康评估与干预等</w:t>
      </w:r>
      <w:r>
        <w:rPr>
          <w:rFonts w:hint="eastAsia" w:ascii="宋体" w:hAnsi="宋体" w:cs="宋体"/>
          <w:sz w:val="24"/>
          <w:szCs w:val="24"/>
        </w:rPr>
        <w:t xml:space="preserve">方面）进行综合比较打分。</w:t>
      </w:r>
      <w:r>
        <w:rPr>
          <w:rFonts w:hint="eastAsia" w:ascii="宋体" w:hAnsi="宋体" w:cs="宋体"/>
          <w:sz w:val="24"/>
          <w:szCs w:val="24"/>
        </w:rPr>
        <w:t xml:space="preserve">体检后出具详细个人体检报告，并进行深入细致诊断分析得10分；出具较详细个人体检报告，并进行较深入的诊断分析得7分；出具简单个人体检报告和健康管理报告得4分；</w:t>
      </w:r>
      <w:r>
        <w:rPr>
          <w:rFonts w:hint="eastAsia" w:ascii="宋体" w:hAnsi="宋体" w:cs="宋体"/>
          <w:sz w:val="24"/>
          <w:szCs w:val="24"/>
        </w:rPr>
        <w:t xml:space="preserve">方案差或未提供相应内容的不得分。</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5、</w:t>
      </w:r>
      <w:r>
        <w:rPr>
          <w:rFonts w:hint="eastAsia" w:ascii="宋体" w:hAnsi="宋体" w:cs="宋体"/>
          <w:b/>
          <w:sz w:val="24"/>
          <w:szCs w:val="24"/>
        </w:rPr>
        <w:t xml:space="preserve">突发应急预案  </w:t>
      </w:r>
      <w:r>
        <w:rPr>
          <w:rFonts w:ascii="宋体" w:hAnsi="宋体" w:cs="宋体"/>
          <w:b/>
          <w:sz w:val="24"/>
          <w:szCs w:val="24"/>
        </w:rPr>
        <w:t xml:space="preserve">10</w:t>
      </w:r>
      <w:r>
        <w:rPr>
          <w:rFonts w:hint="eastAsia" w:ascii="宋体" w:hAnsi="宋体" w:cs="宋体"/>
          <w:b/>
          <w:sz w:val="24"/>
          <w:szCs w:val="24"/>
        </w:rPr>
        <w:t xml:space="preserve">分  </w:t>
      </w:r>
      <w:r>
        <w:rPr>
          <w:rFonts w:hint="eastAsia" w:ascii="宋体" w:hAnsi="宋体" w:cs="宋体"/>
          <w:sz w:val="24"/>
          <w:szCs w:val="24"/>
        </w:rPr>
        <w:t xml:space="preserve">评委根据</w:t>
      </w:r>
      <w:r>
        <w:rPr>
          <w:rFonts w:hint="eastAsia" w:ascii="宋体" w:hAnsi="宋体" w:cs="宋体"/>
          <w:sz w:val="24"/>
          <w:szCs w:val="24"/>
        </w:rPr>
        <w:t xml:space="preserve">响应单位</w:t>
      </w:r>
      <w:r>
        <w:rPr>
          <w:rFonts w:hint="eastAsia" w:ascii="宋体" w:hAnsi="宋体" w:cs="宋体"/>
          <w:sz w:val="24"/>
          <w:szCs w:val="24"/>
        </w:rPr>
        <w:t xml:space="preserve">针对本项目提供的</w:t>
      </w:r>
      <w:r>
        <w:rPr>
          <w:rFonts w:hint="eastAsia" w:ascii="宋体" w:hAnsi="宋体" w:cs="宋体"/>
          <w:sz w:val="24"/>
          <w:szCs w:val="24"/>
        </w:rPr>
        <w:t xml:space="preserve">突发应急预案</w:t>
      </w:r>
      <w:r>
        <w:rPr>
          <w:rFonts w:hint="eastAsia" w:ascii="宋体" w:hAnsi="宋体" w:cs="宋体"/>
          <w:sz w:val="24"/>
          <w:szCs w:val="24"/>
        </w:rPr>
        <w:t xml:space="preserve">进行综合比较打分。</w:t>
      </w:r>
      <w:r>
        <w:rPr>
          <w:rFonts w:hint="eastAsia" w:ascii="宋体" w:hAnsi="宋体" w:cs="宋体"/>
          <w:sz w:val="24"/>
          <w:szCs w:val="24"/>
        </w:rPr>
        <w:t xml:space="preserve">突发应急预案详尽、合理、可行性强，能够满足采购要求得10分；突发应急预案较合理、可行性较强，较能满足采购要求得7分；突发应急预案简单、可行性一般，基本满足采购要求的得4分；</w:t>
      </w:r>
      <w:r>
        <w:rPr>
          <w:rFonts w:hint="eastAsia" w:ascii="宋体" w:hAnsi="宋体" w:cs="宋体"/>
          <w:sz w:val="24"/>
          <w:szCs w:val="24"/>
        </w:rPr>
        <w:t xml:space="preserve">方案差或未提供相应内容的不得分。</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6、</w:t>
      </w:r>
      <w:r>
        <w:rPr>
          <w:rFonts w:hint="eastAsia" w:ascii="宋体" w:hAnsi="宋体" w:cs="宋体"/>
          <w:b/>
          <w:sz w:val="24"/>
          <w:szCs w:val="24"/>
        </w:rPr>
        <w:t xml:space="preserve">体检后续服务</w:t>
      </w:r>
      <w:r>
        <w:rPr>
          <w:rFonts w:hint="eastAsia" w:ascii="宋体" w:hAnsi="宋体" w:cs="宋体"/>
          <w:b/>
          <w:sz w:val="24"/>
          <w:szCs w:val="24"/>
        </w:rPr>
        <w:t xml:space="preserve">方案  </w:t>
      </w:r>
      <w:r>
        <w:rPr>
          <w:rFonts w:ascii="宋体" w:hAnsi="宋体" w:cs="宋体"/>
          <w:b/>
          <w:sz w:val="24"/>
          <w:szCs w:val="24"/>
        </w:rPr>
        <w:t xml:space="preserve">10</w:t>
      </w:r>
      <w:r>
        <w:rPr>
          <w:rFonts w:hint="eastAsia" w:ascii="宋体" w:hAnsi="宋体" w:cs="宋体"/>
          <w:b/>
          <w:sz w:val="24"/>
          <w:szCs w:val="24"/>
        </w:rPr>
        <w:t xml:space="preserve">分  </w:t>
      </w:r>
      <w:r>
        <w:rPr>
          <w:rFonts w:hint="eastAsia" w:ascii="宋体" w:hAnsi="宋体" w:cs="宋体"/>
          <w:sz w:val="24"/>
          <w:szCs w:val="24"/>
        </w:rPr>
        <w:t xml:space="preserve">评委根据</w:t>
      </w:r>
      <w:r>
        <w:rPr>
          <w:rFonts w:hint="eastAsia" w:ascii="宋体" w:hAnsi="宋体" w:cs="宋体"/>
          <w:sz w:val="24"/>
          <w:szCs w:val="24"/>
        </w:rPr>
        <w:t xml:space="preserve">响应单位</w:t>
      </w:r>
      <w:r>
        <w:rPr>
          <w:rFonts w:hint="eastAsia" w:ascii="宋体" w:hAnsi="宋体" w:cs="宋体"/>
          <w:sz w:val="24"/>
          <w:szCs w:val="24"/>
        </w:rPr>
        <w:t xml:space="preserve">提供针对本项目的</w:t>
      </w:r>
      <w:r>
        <w:rPr>
          <w:rFonts w:hint="eastAsia" w:ascii="宋体" w:hAnsi="宋体" w:cs="宋体"/>
          <w:sz w:val="24"/>
          <w:szCs w:val="24"/>
        </w:rPr>
        <w:t xml:space="preserve">体检后续服务</w:t>
      </w:r>
      <w:r>
        <w:rPr>
          <w:rFonts w:hint="eastAsia" w:ascii="宋体" w:hAnsi="宋体" w:cs="宋体"/>
          <w:sz w:val="24"/>
          <w:szCs w:val="24"/>
        </w:rPr>
        <w:t xml:space="preserve">方案（包括但不限于</w:t>
      </w:r>
      <w:r>
        <w:rPr>
          <w:rFonts w:hint="eastAsia" w:ascii="宋体" w:hAnsi="宋体" w:cs="宋体"/>
          <w:sz w:val="24"/>
          <w:szCs w:val="24"/>
        </w:rPr>
        <w:t xml:space="preserve">提供异常人员的复检或指导就诊，体检后的健康咨询</w:t>
      </w:r>
      <w:r>
        <w:rPr>
          <w:rFonts w:hint="eastAsia" w:ascii="宋体" w:hAnsi="宋体" w:cs="宋体"/>
          <w:sz w:val="24"/>
          <w:szCs w:val="24"/>
        </w:rPr>
        <w:t xml:space="preserve">等方面）进行综合比较打分。</w:t>
      </w:r>
      <w:bookmarkStart w:id="37" w:name="OLE_LINK4"/>
      <w:r>
        <w:rPr>
          <w:rFonts w:hint="eastAsia" w:ascii="宋体" w:hAnsi="宋体" w:cs="宋体"/>
          <w:sz w:val="24"/>
          <w:szCs w:val="24"/>
        </w:rPr>
        <w:t xml:space="preserve">整体方案</w:t>
      </w:r>
      <w:bookmarkEnd w:id="37"/>
      <w:r>
        <w:rPr>
          <w:rFonts w:hint="eastAsia" w:ascii="宋体" w:hAnsi="宋体" w:cs="宋体"/>
          <w:sz w:val="24"/>
          <w:szCs w:val="24"/>
        </w:rPr>
        <w:t xml:space="preserve">详细可行，</w:t>
      </w:r>
      <w:bookmarkStart w:id="38" w:name="OLE_LINK7"/>
      <w:r>
        <w:rPr>
          <w:rFonts w:hint="eastAsia" w:ascii="宋体" w:hAnsi="宋体" w:cs="宋体"/>
          <w:sz w:val="24"/>
          <w:szCs w:val="24"/>
        </w:rPr>
        <w:t xml:space="preserve">健康咨询全面完善、针对性强</w:t>
      </w:r>
      <w:bookmarkEnd w:id="38"/>
      <w:r>
        <w:rPr>
          <w:rFonts w:hint="eastAsia" w:ascii="宋体" w:hAnsi="宋体" w:cs="宋体"/>
          <w:sz w:val="24"/>
          <w:szCs w:val="24"/>
        </w:rPr>
        <w:t xml:space="preserve">，能提供异常人员专科会诊服务的得10分；整体方案较全面，</w:t>
      </w:r>
      <w:bookmarkStart w:id="39" w:name="OLE_LINK6"/>
      <w:r/>
      <w:bookmarkStart w:id="40" w:name="OLE_LINK5"/>
      <w:r>
        <w:rPr>
          <w:rFonts w:hint="eastAsia" w:ascii="宋体" w:hAnsi="宋体" w:cs="宋体"/>
          <w:sz w:val="24"/>
          <w:szCs w:val="24"/>
        </w:rPr>
        <w:t xml:space="preserve">可行性</w:t>
      </w:r>
      <w:bookmarkEnd w:id="39"/>
      <w:r>
        <w:rPr>
          <w:rFonts w:hint="eastAsia" w:ascii="宋体" w:hAnsi="宋体" w:cs="宋体"/>
          <w:sz w:val="24"/>
          <w:szCs w:val="24"/>
        </w:rPr>
        <w:t xml:space="preserve">较强，健康咨询较全面完善、针对性较强，有接续服务途径</w:t>
      </w:r>
      <w:bookmarkEnd w:id="40"/>
      <w:r>
        <w:rPr>
          <w:rFonts w:hint="eastAsia" w:ascii="宋体" w:hAnsi="宋体" w:cs="宋体"/>
          <w:sz w:val="24"/>
          <w:szCs w:val="24"/>
        </w:rPr>
        <w:t xml:space="preserve">的得7分；整体方案简单，可行性一般，健康咨询简单、针对性一般，缺乏与体检配合的</w:t>
      </w:r>
      <w:r>
        <w:rPr>
          <w:rFonts w:hint="eastAsia" w:ascii="宋体" w:hAnsi="宋体" w:cs="宋体"/>
          <w:sz w:val="24"/>
          <w:szCs w:val="24"/>
        </w:rPr>
        <w:t xml:space="preserve">得4分；</w:t>
      </w:r>
      <w:r>
        <w:rPr>
          <w:rFonts w:hint="eastAsia" w:ascii="宋体" w:hAnsi="宋体" w:cs="宋体"/>
          <w:sz w:val="24"/>
          <w:szCs w:val="24"/>
        </w:rPr>
        <w:t xml:space="preserve">方案差或未提供相应内容的不得分。</w:t>
      </w:r>
      <w:r/>
    </w:p>
    <w:p>
      <w:pPr>
        <w:spacing w:line="360" w:lineRule="auto"/>
        <w:rPr>
          <w:rFonts w:hint="eastAsia" w:ascii="宋体" w:hAnsi="宋体"/>
          <w:b/>
          <w:sz w:val="24"/>
          <w:szCs w:val="24"/>
        </w:rPr>
      </w:pPr>
      <w:r>
        <w:rPr>
          <w:rFonts w:hint="eastAsia" w:ascii="宋体" w:hAnsi="宋体"/>
          <w:b/>
          <w:sz w:val="24"/>
          <w:szCs w:val="24"/>
        </w:rPr>
        <w:t xml:space="preserve">三、</w:t>
      </w:r>
      <w:r>
        <w:rPr>
          <w:rFonts w:hint="eastAsia" w:ascii="宋体" w:hAnsi="宋体"/>
          <w:b/>
          <w:sz w:val="24"/>
          <w:szCs w:val="24"/>
        </w:rPr>
        <w:t xml:space="preserve">场地</w:t>
      </w:r>
      <w:r>
        <w:rPr>
          <w:rFonts w:hint="eastAsia" w:ascii="宋体" w:hAnsi="宋体"/>
          <w:b/>
          <w:sz w:val="24"/>
          <w:szCs w:val="24"/>
        </w:rPr>
        <w:t xml:space="preserve">、人员</w:t>
      </w:r>
      <w:r>
        <w:rPr>
          <w:rFonts w:hint="eastAsia" w:ascii="宋体" w:hAnsi="宋体"/>
          <w:b/>
          <w:sz w:val="24"/>
          <w:szCs w:val="24"/>
        </w:rPr>
        <w:t xml:space="preserve">及</w:t>
      </w:r>
      <w:r>
        <w:rPr>
          <w:rFonts w:hint="eastAsia" w:ascii="宋体" w:hAnsi="宋体"/>
          <w:b/>
          <w:sz w:val="24"/>
          <w:szCs w:val="24"/>
        </w:rPr>
        <w:t xml:space="preserve">投入</w:t>
      </w:r>
      <w:r>
        <w:rPr>
          <w:rFonts w:hint="eastAsia" w:ascii="宋体" w:hAnsi="宋体"/>
          <w:b/>
          <w:sz w:val="24"/>
          <w:szCs w:val="24"/>
        </w:rPr>
        <w:t xml:space="preserve">设备情况比较</w:t>
      </w:r>
      <w:r>
        <w:rPr>
          <w:rFonts w:hint="eastAsia" w:ascii="宋体" w:hAnsi="宋体"/>
          <w:b/>
          <w:sz w:val="24"/>
          <w:szCs w:val="24"/>
        </w:rPr>
        <w:t xml:space="preserve">  1</w:t>
      </w:r>
      <w:r>
        <w:rPr>
          <w:rFonts w:hint="eastAsia" w:ascii="宋体" w:hAnsi="宋体"/>
          <w:b/>
          <w:sz w:val="24"/>
          <w:szCs w:val="24"/>
        </w:rPr>
        <w:t xml:space="preserve">8</w:t>
      </w:r>
      <w:r>
        <w:rPr>
          <w:rFonts w:hint="eastAsia" w:ascii="宋体" w:hAnsi="宋体"/>
          <w:b/>
          <w:sz w:val="24"/>
          <w:szCs w:val="24"/>
        </w:rPr>
        <w:t xml:space="preserve">分</w:t>
      </w:r>
      <w:r/>
    </w:p>
    <w:p>
      <w:pPr>
        <w:contextualSpacing/>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1、响应单位</w:t>
      </w:r>
      <w:r>
        <w:rPr>
          <w:rFonts w:hint="eastAsia" w:ascii="宋体" w:hAnsi="宋体" w:cs="宋体"/>
          <w:b/>
          <w:bCs/>
          <w:sz w:val="24"/>
          <w:szCs w:val="24"/>
        </w:rPr>
        <w:t xml:space="preserve">场地便利性</w:t>
      </w:r>
      <w:r>
        <w:rPr>
          <w:rFonts w:hint="eastAsia" w:ascii="宋体" w:hAnsi="宋体" w:cs="宋体"/>
          <w:b/>
          <w:bCs/>
          <w:sz w:val="24"/>
          <w:szCs w:val="24"/>
        </w:rPr>
        <w:t xml:space="preserve">情况</w:t>
      </w:r>
      <w:r>
        <w:rPr>
          <w:rFonts w:hint="eastAsia" w:ascii="宋体" w:hAnsi="宋体" w:cs="宋体"/>
          <w:b/>
          <w:bCs/>
          <w:sz w:val="24"/>
          <w:szCs w:val="24"/>
        </w:rPr>
        <w:t xml:space="preserve">比较</w:t>
      </w:r>
      <w:r>
        <w:rPr>
          <w:rFonts w:hint="eastAsia" w:ascii="宋体" w:hAnsi="宋体" w:cs="宋体"/>
          <w:b/>
          <w:bCs/>
          <w:sz w:val="24"/>
          <w:szCs w:val="24"/>
        </w:rPr>
        <w:t xml:space="preserve">  </w:t>
      </w:r>
      <w:r>
        <w:rPr>
          <w:rFonts w:hint="eastAsia" w:ascii="宋体" w:hAnsi="宋体" w:cs="宋体"/>
          <w:b/>
          <w:bCs/>
          <w:sz w:val="24"/>
          <w:szCs w:val="24"/>
        </w:rPr>
        <w:t xml:space="preserve">6</w:t>
      </w:r>
      <w:r>
        <w:rPr>
          <w:rFonts w:hint="eastAsia" w:ascii="宋体" w:hAnsi="宋体" w:cs="宋体"/>
          <w:b/>
          <w:bCs/>
          <w:sz w:val="24"/>
          <w:szCs w:val="24"/>
        </w:rPr>
        <w:t xml:space="preserve">分 </w:t>
      </w:r>
      <w:r>
        <w:rPr>
          <w:rFonts w:hint="eastAsia" w:ascii="宋体" w:hAnsi="宋体" w:cs="宋体"/>
          <w:sz w:val="24"/>
          <w:szCs w:val="24"/>
        </w:rPr>
        <w:t xml:space="preserve"> </w:t>
      </w:r>
      <w:r>
        <w:rPr>
          <w:rFonts w:hint="eastAsia" w:ascii="宋体" w:hAnsi="宋体" w:cs="宋体"/>
          <w:sz w:val="24"/>
          <w:szCs w:val="24"/>
        </w:rPr>
        <w:t xml:space="preserve">评委根据</w:t>
      </w:r>
      <w:r>
        <w:rPr>
          <w:rFonts w:hint="eastAsia" w:ascii="宋体" w:hAnsi="宋体" w:cs="宋体"/>
          <w:sz w:val="24"/>
          <w:szCs w:val="24"/>
        </w:rPr>
        <w:t xml:space="preserve">响应单位</w:t>
      </w:r>
      <w:r>
        <w:rPr>
          <w:rFonts w:hint="eastAsia" w:ascii="宋体" w:hAnsi="宋体" w:cs="宋体"/>
          <w:sz w:val="24"/>
          <w:szCs w:val="24"/>
        </w:rPr>
        <w:t xml:space="preserve">针对本项目拟投入的</w:t>
      </w:r>
      <w:r>
        <w:rPr>
          <w:rFonts w:hint="eastAsia" w:ascii="宋体" w:hAnsi="宋体" w:cs="宋体"/>
          <w:sz w:val="24"/>
          <w:szCs w:val="24"/>
        </w:rPr>
        <w:t xml:space="preserve">体检</w:t>
      </w:r>
      <w:r>
        <w:rPr>
          <w:rFonts w:hint="eastAsia" w:ascii="宋体" w:hAnsi="宋体" w:cs="宋体"/>
          <w:sz w:val="24"/>
          <w:szCs w:val="24"/>
        </w:rPr>
        <w:t xml:space="preserve">场地</w:t>
      </w:r>
      <w:r>
        <w:rPr>
          <w:rFonts w:hint="eastAsia" w:ascii="宋体" w:hAnsi="宋体" w:cs="宋体"/>
          <w:sz w:val="24"/>
          <w:szCs w:val="24"/>
        </w:rPr>
        <w:t xml:space="preserve">与采购单位之间的交通情况及停车环境进行综合比较打分</w:t>
      </w:r>
      <w:r>
        <w:rPr>
          <w:rFonts w:hint="eastAsia" w:ascii="宋体" w:hAnsi="宋体" w:cs="宋体"/>
          <w:sz w:val="24"/>
          <w:szCs w:val="24"/>
        </w:rPr>
        <w:t xml:space="preserve">。</w:t>
      </w:r>
      <w:r>
        <w:rPr>
          <w:rFonts w:hint="eastAsia" w:ascii="宋体" w:hAnsi="宋体" w:cs="宋体"/>
          <w:sz w:val="24"/>
          <w:szCs w:val="24"/>
        </w:rPr>
        <w:t xml:space="preserve">交通便利、停车方便、的得6分；交通较便利、停车较方便的得4分；交通较不便、停车较不便的得2分；未作任何说明的不得分。</w:t>
      </w:r>
      <w:r>
        <w:rPr>
          <w:rFonts w:hint="eastAsia" w:ascii="宋体" w:hAnsi="宋体" w:cs="宋体"/>
          <w:sz w:val="24"/>
          <w:szCs w:val="24"/>
        </w:rPr>
        <w:t xml:space="preserve">【响应文件中须提供</w:t>
      </w:r>
      <w:r>
        <w:rPr>
          <w:rFonts w:hint="eastAsia" w:ascii="宋体" w:hAnsi="宋体" w:cs="宋体"/>
          <w:sz w:val="24"/>
        </w:rPr>
        <w:t xml:space="preserve">体检场所位置与采购单位交通路线规划图，场所停车场现场图片及体现车位数量的相关证明材料</w:t>
      </w:r>
      <w:r>
        <w:rPr>
          <w:rFonts w:hint="eastAsia" w:ascii="宋体" w:hAnsi="宋体" w:cs="宋体"/>
          <w:sz w:val="24"/>
          <w:szCs w:val="24"/>
        </w:rPr>
        <w:t xml:space="preserve">，未提供不得分。】</w:t>
      </w:r>
      <w:r/>
    </w:p>
    <w:p>
      <w:pPr>
        <w:ind w:firstLine="482"/>
        <w:spacing w:line="360" w:lineRule="auto"/>
        <w:rPr>
          <w:rFonts w:hint="eastAsia" w:ascii="宋体" w:hAnsi="宋体"/>
          <w:bCs/>
          <w:sz w:val="24"/>
          <w:lang w:val="zh-CN"/>
        </w:rPr>
      </w:pPr>
      <w:r>
        <w:rPr>
          <w:rFonts w:hint="eastAsia" w:ascii="宋体" w:hAnsi="宋体"/>
          <w:b/>
          <w:sz w:val="24"/>
          <w:lang w:val="zh-CN"/>
        </w:rPr>
        <w:t xml:space="preserve">2、参检人员情况比较 </w:t>
      </w:r>
      <w:r>
        <w:rPr>
          <w:rFonts w:hint="eastAsia" w:ascii="宋体" w:hAnsi="宋体"/>
          <w:b/>
          <w:sz w:val="24"/>
        </w:rPr>
        <w:t xml:space="preserve">6</w:t>
      </w:r>
      <w:r>
        <w:rPr>
          <w:rFonts w:hint="eastAsia" w:ascii="宋体" w:hAnsi="宋体"/>
          <w:b/>
          <w:sz w:val="24"/>
          <w:lang w:val="zh-CN"/>
        </w:rPr>
        <w:t xml:space="preserve">分 </w:t>
      </w:r>
      <w:r>
        <w:rPr>
          <w:rFonts w:hint="eastAsia" w:ascii="宋体" w:hAnsi="宋体"/>
          <w:bCs/>
          <w:sz w:val="24"/>
          <w:lang w:val="zh-CN"/>
        </w:rPr>
        <w:t xml:space="preserve">响应单位针对本项目投入的参检人员具有医师资格证或执业医师证的有一个得</w:t>
      </w:r>
      <w:r>
        <w:rPr>
          <w:rFonts w:hint="eastAsia" w:ascii="宋体" w:hAnsi="宋体"/>
          <w:bCs/>
          <w:sz w:val="24"/>
          <w:lang w:val="zh-CN"/>
        </w:rPr>
        <w:t xml:space="preserve">1</w:t>
      </w:r>
      <w:r>
        <w:rPr>
          <w:rFonts w:hint="eastAsia" w:ascii="宋体" w:hAnsi="宋体"/>
          <w:bCs/>
          <w:sz w:val="24"/>
          <w:lang w:val="zh-CN"/>
        </w:rPr>
        <w:t xml:space="preserve">分；本项最高</w:t>
      </w:r>
      <w:r>
        <w:rPr>
          <w:rFonts w:hint="eastAsia" w:ascii="宋体" w:hAnsi="宋体"/>
          <w:bCs/>
          <w:sz w:val="24"/>
          <w:lang w:val="zh-CN"/>
        </w:rPr>
        <w:t xml:space="preserve">6</w:t>
      </w:r>
      <w:r>
        <w:rPr>
          <w:rFonts w:hint="eastAsia" w:ascii="宋体" w:hAnsi="宋体"/>
          <w:bCs/>
          <w:sz w:val="24"/>
          <w:lang w:val="zh-CN"/>
        </w:rPr>
        <w:t xml:space="preserve">分。（</w:t>
      </w:r>
      <w:r>
        <w:rPr>
          <w:rFonts w:hint="eastAsia" w:ascii="宋体" w:hAnsi="宋体"/>
          <w:b/>
          <w:sz w:val="24"/>
          <w:lang w:val="zh-CN"/>
        </w:rPr>
        <w:t xml:space="preserve">响应文件中提供相关证书扫描件及响应单位为其缴纳的最新一期</w:t>
      </w:r>
      <w:r>
        <w:rPr>
          <w:rFonts w:hint="eastAsia" w:ascii="宋体" w:hAnsi="宋体"/>
          <w:b/>
          <w:sz w:val="24"/>
          <w:lang w:val="zh-CN"/>
        </w:rPr>
        <w:t xml:space="preserve">社保证明</w:t>
      </w:r>
      <w:r>
        <w:rPr>
          <w:rFonts w:hint="eastAsia" w:ascii="宋体" w:hAnsi="宋体"/>
          <w:b/>
          <w:sz w:val="24"/>
          <w:lang w:val="zh-CN"/>
        </w:rPr>
        <w:t xml:space="preserve">扫描件，否则不得分。）</w:t>
      </w:r>
      <w:r/>
    </w:p>
    <w:p>
      <w:pPr>
        <w:contextualSpacing/>
        <w:ind w:firstLine="482"/>
        <w:spacing w:line="360" w:lineRule="auto"/>
        <w:rPr>
          <w:rFonts w:hint="eastAsia" w:ascii="宋体" w:hAnsi="宋体"/>
          <w:sz w:val="24"/>
        </w:rPr>
      </w:pPr>
      <w:r>
        <w:rPr>
          <w:rFonts w:hint="eastAsia" w:ascii="宋体" w:hAnsi="宋体" w:cs="宋体"/>
          <w:b/>
          <w:bCs/>
          <w:sz w:val="24"/>
          <w:szCs w:val="24"/>
        </w:rPr>
        <w:t xml:space="preserve">3</w:t>
      </w:r>
      <w:r>
        <w:rPr>
          <w:rFonts w:hint="eastAsia" w:ascii="宋体" w:hAnsi="宋体" w:cs="宋体"/>
          <w:b/>
          <w:bCs/>
          <w:sz w:val="24"/>
          <w:szCs w:val="24"/>
        </w:rPr>
        <w:t xml:space="preserve">、响应单位具备的设备情况  </w:t>
      </w:r>
      <w:r>
        <w:rPr>
          <w:rFonts w:hint="eastAsia" w:ascii="宋体" w:hAnsi="宋体" w:cs="宋体"/>
          <w:b/>
          <w:bCs/>
          <w:sz w:val="24"/>
          <w:szCs w:val="24"/>
        </w:rPr>
        <w:t xml:space="preserve">6</w:t>
      </w:r>
      <w:r>
        <w:rPr>
          <w:rFonts w:hint="eastAsia" w:ascii="宋体" w:hAnsi="宋体" w:cs="宋体"/>
          <w:b/>
          <w:bCs/>
          <w:sz w:val="24"/>
          <w:szCs w:val="24"/>
        </w:rPr>
        <w:t xml:space="preserve">分</w:t>
      </w:r>
      <w:r>
        <w:rPr>
          <w:rFonts w:hint="eastAsia" w:ascii="宋体" w:hAnsi="宋体"/>
          <w:sz w:val="24"/>
        </w:rPr>
        <w:t xml:space="preserve">  </w:t>
      </w:r>
      <w:r>
        <w:rPr>
          <w:rFonts w:hint="eastAsia" w:ascii="宋体" w:hAnsi="宋体" w:cs="宋体"/>
          <w:sz w:val="24"/>
          <w:szCs w:val="24"/>
        </w:rPr>
        <w:t xml:space="preserve">响应单位</w:t>
      </w:r>
      <w:r>
        <w:rPr>
          <w:rFonts w:hint="eastAsia" w:ascii="宋体" w:hAnsi="宋体" w:cs="宋体"/>
          <w:sz w:val="24"/>
          <w:szCs w:val="24"/>
        </w:rPr>
        <w:t xml:space="preserve">针对本项目投入</w:t>
      </w:r>
      <w:r>
        <w:rPr>
          <w:rFonts w:hint="eastAsia" w:ascii="宋体" w:hAnsi="宋体" w:cs="宋体"/>
          <w:sz w:val="24"/>
          <w:szCs w:val="24"/>
        </w:rPr>
        <w:t xml:space="preserve">仪器设备完善、先进的得6分；仪器设备能满足本项目需求、且具有先进性的得4分；仪器设备一般、先进性一般的得2分；未作任何说明的不得分。</w:t>
      </w:r>
      <w:r>
        <w:rPr>
          <w:rFonts w:hint="eastAsia" w:ascii="宋体" w:hAnsi="宋体" w:cs="宋体"/>
          <w:sz w:val="24"/>
          <w:szCs w:val="24"/>
        </w:rPr>
        <w:t xml:space="preserve">【</w:t>
      </w:r>
      <w:r>
        <w:rPr>
          <w:rFonts w:hint="eastAsia" w:ascii="宋体" w:hAnsi="宋体" w:cs="宋体"/>
          <w:sz w:val="24"/>
          <w:szCs w:val="24"/>
        </w:rPr>
        <w:t xml:space="preserve">提供相应证明材料：包括但不限于设备截图、图片、发票,</w:t>
      </w:r>
      <w:r>
        <w:rPr>
          <w:rFonts w:hint="eastAsia" w:ascii="宋体" w:hAnsi="宋体" w:cs="宋体"/>
          <w:sz w:val="24"/>
          <w:szCs w:val="24"/>
        </w:rPr>
        <w:t xml:space="preserve">否则不得分。】</w:t>
      </w:r>
      <w:r/>
    </w:p>
    <w:p>
      <w:pPr>
        <w:spacing w:line="360" w:lineRule="auto"/>
        <w:rPr>
          <w:rFonts w:hint="eastAsia" w:ascii="宋体" w:hAnsi="宋体"/>
          <w:b/>
          <w:sz w:val="24"/>
          <w:szCs w:val="24"/>
        </w:rPr>
      </w:pPr>
      <w:r>
        <w:rPr>
          <w:rFonts w:hint="eastAsia" w:ascii="宋体" w:hAnsi="宋体"/>
          <w:b/>
          <w:sz w:val="24"/>
          <w:szCs w:val="24"/>
        </w:rPr>
        <w:t xml:space="preserve">四、响应单位综合实力比较  1</w:t>
      </w:r>
      <w:r>
        <w:rPr>
          <w:rFonts w:hint="eastAsia" w:ascii="宋体" w:hAnsi="宋体"/>
          <w:b/>
          <w:sz w:val="24"/>
          <w:szCs w:val="24"/>
        </w:rPr>
        <w:t xml:space="preserve">2</w:t>
      </w:r>
      <w:r>
        <w:rPr>
          <w:rFonts w:hint="eastAsia" w:ascii="宋体" w:hAnsi="宋体"/>
          <w:b/>
          <w:sz w:val="24"/>
          <w:szCs w:val="24"/>
        </w:rPr>
        <w:t xml:space="preserve">分</w:t>
      </w:r>
      <w:r/>
    </w:p>
    <w:p>
      <w:pPr>
        <w:pStyle w:val="986"/>
        <w:ind w:firstLine="482"/>
        <w:spacing w:line="360" w:lineRule="auto"/>
        <w:rPr>
          <w:rFonts w:hAnsi="宋体" w:eastAsia="宋体" w:cs="宋体"/>
          <w:sz w:val="24"/>
          <w:szCs w:val="24"/>
          <w:lang w:eastAsia="zh-CN"/>
        </w:rPr>
      </w:pPr>
      <w:r>
        <w:rPr>
          <w:rFonts w:hint="eastAsia" w:hAnsi="宋体" w:eastAsia="宋体" w:cs="宋体"/>
          <w:b/>
          <w:bCs/>
          <w:sz w:val="24"/>
          <w:szCs w:val="24"/>
          <w:lang w:eastAsia="zh-CN"/>
        </w:rPr>
        <w:t xml:space="preserve">1、体系认证证书情况比较  2分</w:t>
      </w:r>
      <w:r>
        <w:rPr>
          <w:rFonts w:hint="eastAsia" w:hAnsi="宋体" w:eastAsia="宋体" w:cs="宋体"/>
          <w:sz w:val="24"/>
          <w:szCs w:val="24"/>
          <w:lang w:eastAsia="zh-CN"/>
        </w:rPr>
        <w:t xml:space="preserve">  响应单位具有有效期内的质量管理体系认证的，得2分。（</w:t>
      </w:r>
      <w:r>
        <w:rPr>
          <w:rFonts w:hint="eastAsia" w:hAnsi="宋体" w:eastAsia="宋体" w:cs="宋体"/>
          <w:b/>
          <w:bCs/>
          <w:sz w:val="24"/>
          <w:szCs w:val="24"/>
          <w:lang w:eastAsia="zh-CN"/>
        </w:rPr>
        <w:t xml:space="preserve">响应文件中需提供对应要求的证书复印件和国家认证认可监督管理委员会-全国认证认可信息公共服务平台网站查询证书截图，未提供的不得分</w:t>
      </w:r>
      <w:r>
        <w:rPr>
          <w:rFonts w:hint="eastAsia" w:hAnsi="宋体" w:eastAsia="宋体" w:cs="宋体"/>
          <w:sz w:val="24"/>
          <w:szCs w:val="24"/>
          <w:lang w:eastAsia="zh-CN"/>
        </w:rPr>
        <w:t xml:space="preserve">）。</w:t>
      </w:r>
      <w:r/>
    </w:p>
    <w:p>
      <w:pPr>
        <w:ind w:firstLine="482"/>
        <w:spacing w:line="360" w:lineRule="auto"/>
        <w:rPr>
          <w:rFonts w:hint="eastAsia" w:ascii="宋体" w:hAnsi="宋体"/>
          <w:sz w:val="24"/>
          <w:szCs w:val="24"/>
        </w:rPr>
      </w:pPr>
      <w:r>
        <w:rPr>
          <w:rFonts w:hint="eastAsia" w:ascii="宋体" w:hAnsi="宋体"/>
          <w:b/>
          <w:sz w:val="24"/>
          <w:szCs w:val="24"/>
        </w:rPr>
        <w:t xml:space="preserve">2、</w:t>
      </w:r>
      <w:r>
        <w:rPr>
          <w:rFonts w:hint="eastAsia" w:ascii="宋体" w:hAnsi="宋体"/>
          <w:b/>
          <w:sz w:val="24"/>
          <w:szCs w:val="24"/>
        </w:rPr>
        <w:t xml:space="preserve">类似项目业绩情况  </w:t>
      </w:r>
      <w:r>
        <w:rPr>
          <w:rFonts w:hint="eastAsia" w:ascii="宋体" w:hAnsi="宋体"/>
          <w:b/>
          <w:sz w:val="24"/>
          <w:szCs w:val="24"/>
        </w:rPr>
        <w:t xml:space="preserve">10</w:t>
      </w:r>
      <w:r>
        <w:rPr>
          <w:rFonts w:hint="eastAsia" w:ascii="宋体" w:hAnsi="宋体"/>
          <w:b/>
          <w:sz w:val="24"/>
          <w:szCs w:val="24"/>
        </w:rPr>
        <w:t xml:space="preserve">分 </w:t>
      </w:r>
      <w:r>
        <w:rPr>
          <w:rFonts w:hint="eastAsia" w:ascii="宋体" w:hAnsi="宋体"/>
          <w:sz w:val="24"/>
          <w:szCs w:val="24"/>
        </w:rPr>
        <w:t xml:space="preserve"> 响应单位提供2023年1月1日（以合同签订日期为准）以来</w:t>
      </w:r>
      <w:r>
        <w:rPr>
          <w:rFonts w:hint="eastAsia" w:ascii="宋体" w:hAnsi="宋体" w:cs="宋体"/>
          <w:sz w:val="24"/>
          <w:szCs w:val="24"/>
        </w:rPr>
        <w:t xml:space="preserve">承接过类似项目业绩的</w:t>
      </w:r>
      <w:r>
        <w:rPr>
          <w:rFonts w:hint="eastAsia" w:ascii="宋体" w:hAnsi="宋体"/>
          <w:sz w:val="24"/>
          <w:szCs w:val="24"/>
        </w:rPr>
        <w:t xml:space="preserve">，每提供一份得</w:t>
      </w:r>
      <w:r>
        <w:rPr>
          <w:rFonts w:hint="eastAsia" w:ascii="宋体" w:hAnsi="宋体"/>
          <w:sz w:val="24"/>
          <w:szCs w:val="24"/>
        </w:rPr>
        <w:t xml:space="preserve">2</w:t>
      </w:r>
      <w:r>
        <w:rPr>
          <w:rFonts w:hint="eastAsia" w:ascii="宋体" w:hAnsi="宋体"/>
          <w:sz w:val="24"/>
          <w:szCs w:val="24"/>
        </w:rPr>
        <w:t xml:space="preserve">分，最高</w:t>
      </w:r>
      <w:r>
        <w:rPr>
          <w:rFonts w:hint="eastAsia" w:ascii="宋体" w:hAnsi="宋体"/>
          <w:sz w:val="24"/>
          <w:szCs w:val="24"/>
        </w:rPr>
        <w:t xml:space="preserve">10</w:t>
      </w:r>
      <w:r>
        <w:rPr>
          <w:rFonts w:hint="eastAsia" w:ascii="宋体" w:hAnsi="宋体"/>
          <w:sz w:val="24"/>
          <w:szCs w:val="24"/>
        </w:rPr>
        <w:t xml:space="preserve">分。（响应文件中需提供完整的合同复印件，</w:t>
      </w:r>
      <w:r>
        <w:rPr>
          <w:rFonts w:hint="eastAsia" w:ascii="宋体" w:hAnsi="宋体" w:cs="宋体"/>
          <w:sz w:val="24"/>
          <w:szCs w:val="24"/>
        </w:rPr>
        <w:t xml:space="preserve">未提供或提供不全不得分</w:t>
      </w:r>
      <w:r>
        <w:rPr>
          <w:rFonts w:hint="eastAsia" w:ascii="宋体" w:hAnsi="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b/>
          <w:bCs/>
          <w:sz w:val="24"/>
          <w:szCs w:val="24"/>
        </w:rPr>
      </w:pPr>
      <w:r>
        <w:rPr>
          <w:rFonts w:hint="eastAsia" w:ascii="宋体" w:hAnsi="宋体"/>
          <w:b/>
          <w:bCs/>
          <w:sz w:val="24"/>
          <w:szCs w:val="24"/>
        </w:rPr>
        <w:t xml:space="preserve">注：</w:t>
      </w:r>
      <w:r/>
    </w:p>
    <w:p>
      <w:pPr>
        <w:ind w:firstLine="480"/>
        <w:spacing w:line="360" w:lineRule="auto"/>
        <w:rPr>
          <w:rFonts w:hint="eastAsia" w:ascii="宋体" w:hAnsi="宋体"/>
          <w:bCs/>
          <w:sz w:val="24"/>
          <w:szCs w:val="24"/>
        </w:rPr>
      </w:pPr>
      <w:r>
        <w:rPr>
          <w:rFonts w:hint="eastAsia" w:ascii="宋体" w:hAnsi="宋体"/>
          <w:bCs/>
          <w:sz w:val="24"/>
          <w:szCs w:val="24"/>
        </w:rPr>
        <w:t xml:space="preserve">1、针对评分标准中评分的每一条，响应单位均应提供相关资料并</w:t>
      </w:r>
      <w:r>
        <w:rPr>
          <w:rFonts w:hint="eastAsia" w:ascii="宋体" w:hAnsi="宋体"/>
          <w:bCs/>
          <w:sz w:val="24"/>
          <w:szCs w:val="24"/>
        </w:rPr>
        <w:t xml:space="preserve">作出</w:t>
      </w:r>
      <w:r>
        <w:rPr>
          <w:rFonts w:hint="eastAsia" w:ascii="宋体" w:hAnsi="宋体"/>
          <w:bCs/>
          <w:sz w:val="24"/>
          <w:szCs w:val="24"/>
        </w:rPr>
        <w:t xml:space="preserve">相应说明供评委评判，不提供相关资料的视为不具备该项得分的条件，资料须编好目录及页码并利于评委评审、查阅。</w:t>
      </w:r>
      <w:r/>
    </w:p>
    <w:p>
      <w:pPr>
        <w:ind w:firstLine="480"/>
        <w:spacing w:line="360" w:lineRule="auto"/>
        <w:rPr>
          <w:rFonts w:hint="eastAsia" w:ascii="宋体" w:hAnsi="宋体"/>
          <w:bCs/>
          <w:sz w:val="24"/>
          <w:szCs w:val="24"/>
        </w:rPr>
      </w:pPr>
      <w:r>
        <w:rPr>
          <w:rFonts w:hint="eastAsia" w:ascii="宋体" w:hAnsi="宋体"/>
          <w:bCs/>
          <w:sz w:val="24"/>
          <w:szCs w:val="24"/>
        </w:rPr>
        <w:t xml:space="preserve">2、响应单位必须保证全部资料的真实性，如有虚假或对采购文件所要求说明的情况故意隐瞒或虚报，将按《中华人民共和国政府采购法》第七十七条“提供虚假材料谋取中标、成交”相关处理办法处理。</w:t>
      </w:r>
      <w:r/>
    </w:p>
    <w:p>
      <w:pPr>
        <w:pStyle w:val="805"/>
        <w:jc w:val="center"/>
        <w:spacing w:beforeAutospacing="0" w:afterAutospacing="0" w:line="360" w:lineRule="auto"/>
        <w:widowControl/>
        <w:rPr>
          <w:rStyle w:val="810"/>
          <w:rFonts w:hint="eastAsia" w:ascii="宋体" w:hAnsi="宋体" w:cs="宋体"/>
        </w:rPr>
      </w:pPr>
      <w:r>
        <w:rPr>
          <w:rStyle w:val="810"/>
          <w:rFonts w:ascii="宋体" w:hAnsi="宋体" w:cs="宋体"/>
        </w:rPr>
        <w:br w:type="page" w:clear="all"/>
      </w:r>
      <w:r>
        <w:rPr>
          <w:rStyle w:val="810"/>
          <w:rFonts w:hint="eastAsia" w:ascii="宋体" w:hAnsi="宋体" w:cs="宋体"/>
        </w:rPr>
        <w:t xml:space="preserve">第四章  </w:t>
      </w:r>
      <w:bookmarkStart w:id="41" w:name="OLE_LINK22"/>
      <w:r>
        <w:rPr>
          <w:rStyle w:val="810"/>
          <w:rFonts w:hint="eastAsia" w:ascii="宋体" w:hAnsi="宋体" w:cs="宋体"/>
        </w:rPr>
        <w:t xml:space="preserve">合同主要条款</w:t>
      </w:r>
      <w:bookmarkEnd w:id="41"/>
      <w:r/>
      <w:r/>
    </w:p>
    <w:p>
      <w:pPr>
        <w:spacing w:line="360" w:lineRule="auto"/>
        <w:rPr>
          <w:rFonts w:hint="eastAsia" w:ascii="宋体" w:hAnsi="宋体"/>
          <w:b/>
          <w:sz w:val="24"/>
          <w:szCs w:val="24"/>
        </w:rPr>
      </w:pPr>
      <w:r>
        <w:rPr>
          <w:rFonts w:hint="eastAsia" w:ascii="宋体" w:hAnsi="宋体"/>
          <w:b/>
          <w:sz w:val="24"/>
          <w:szCs w:val="24"/>
        </w:rPr>
        <w:t xml:space="preserve">采购方</w:t>
      </w:r>
      <w:r>
        <w:rPr>
          <w:rFonts w:ascii="宋体" w:hAnsi="宋体"/>
          <w:b/>
          <w:sz w:val="24"/>
          <w:szCs w:val="24"/>
        </w:rPr>
        <w:t xml:space="preserve">（以下简称甲方）：</w:t>
      </w:r>
      <w:r/>
    </w:p>
    <w:p>
      <w:pPr>
        <w:spacing w:line="360" w:lineRule="auto"/>
        <w:rPr>
          <w:rFonts w:hint="eastAsia" w:ascii="宋体" w:hAnsi="宋体"/>
          <w:b/>
          <w:sz w:val="24"/>
          <w:szCs w:val="24"/>
        </w:rPr>
      </w:pPr>
      <w:r>
        <w:rPr>
          <w:rFonts w:hint="eastAsia" w:ascii="宋体" w:hAnsi="宋体"/>
          <w:b/>
          <w:sz w:val="24"/>
          <w:szCs w:val="24"/>
        </w:rPr>
        <w:t xml:space="preserve">联系人：</w:t>
      </w:r>
      <w:r/>
    </w:p>
    <w:p>
      <w:pPr>
        <w:spacing w:line="360" w:lineRule="auto"/>
        <w:rPr>
          <w:rFonts w:hint="eastAsia" w:ascii="宋体" w:hAnsi="宋体"/>
          <w:b/>
          <w:sz w:val="24"/>
          <w:szCs w:val="24"/>
        </w:rPr>
      </w:pPr>
      <w:r>
        <w:rPr>
          <w:rFonts w:hint="eastAsia" w:ascii="宋体" w:hAnsi="宋体"/>
          <w:b/>
          <w:sz w:val="24"/>
          <w:szCs w:val="24"/>
        </w:rPr>
        <w:t xml:space="preserve">电话：</w:t>
      </w:r>
      <w:r/>
    </w:p>
    <w:p>
      <w:pPr>
        <w:spacing w:line="360" w:lineRule="auto"/>
        <w:rPr>
          <w:rFonts w:hint="eastAsia" w:ascii="宋体" w:hAnsi="宋体"/>
          <w:b/>
          <w:sz w:val="24"/>
          <w:szCs w:val="24"/>
        </w:rPr>
      </w:pPr>
      <w:r>
        <w:rPr>
          <w:rFonts w:hint="eastAsia" w:ascii="宋体" w:hAnsi="宋体"/>
          <w:b/>
          <w:sz w:val="24"/>
          <w:szCs w:val="24"/>
        </w:rPr>
      </w:r>
      <w:r/>
    </w:p>
    <w:p>
      <w:pPr>
        <w:spacing w:line="360" w:lineRule="auto"/>
        <w:rPr>
          <w:rFonts w:hint="eastAsia" w:ascii="宋体" w:hAnsi="宋体"/>
          <w:b/>
          <w:sz w:val="24"/>
          <w:szCs w:val="24"/>
        </w:rPr>
      </w:pPr>
      <w:r>
        <w:rPr>
          <w:rFonts w:hint="eastAsia" w:ascii="宋体" w:hAnsi="宋体"/>
          <w:b/>
          <w:sz w:val="24"/>
          <w:szCs w:val="24"/>
        </w:rPr>
        <w:t xml:space="preserve">服务方</w:t>
      </w:r>
      <w:r>
        <w:rPr>
          <w:rFonts w:ascii="宋体" w:hAnsi="宋体"/>
          <w:b/>
          <w:sz w:val="24"/>
          <w:szCs w:val="24"/>
        </w:rPr>
        <w:t xml:space="preserve">（以下简称乙方）：</w:t>
      </w:r>
      <w:r/>
    </w:p>
    <w:p>
      <w:pPr>
        <w:spacing w:line="360" w:lineRule="auto"/>
        <w:rPr>
          <w:rFonts w:hint="eastAsia" w:ascii="宋体" w:hAnsi="宋体"/>
          <w:b/>
          <w:sz w:val="24"/>
          <w:szCs w:val="24"/>
        </w:rPr>
      </w:pPr>
      <w:r>
        <w:rPr>
          <w:rFonts w:hint="eastAsia" w:ascii="宋体" w:hAnsi="宋体"/>
          <w:b/>
          <w:sz w:val="24"/>
          <w:szCs w:val="24"/>
        </w:rPr>
        <w:t xml:space="preserve">联系人：</w:t>
      </w:r>
      <w:r/>
    </w:p>
    <w:p>
      <w:pPr>
        <w:spacing w:line="360" w:lineRule="auto"/>
        <w:rPr>
          <w:rFonts w:hint="eastAsia" w:ascii="宋体" w:hAnsi="宋体"/>
          <w:b/>
          <w:sz w:val="24"/>
          <w:szCs w:val="24"/>
        </w:rPr>
      </w:pPr>
      <w:r>
        <w:rPr>
          <w:rFonts w:hint="eastAsia" w:ascii="宋体" w:hAnsi="宋体"/>
          <w:b/>
          <w:sz w:val="24"/>
          <w:szCs w:val="24"/>
        </w:rPr>
        <w:t xml:space="preserve">电话：</w:t>
      </w:r>
      <w:r/>
    </w:p>
    <w:p>
      <w:pPr>
        <w:pStyle w:val="986"/>
        <w:ind w:firstLine="480"/>
        <w:jc w:val="left"/>
        <w:spacing w:line="360" w:lineRule="auto"/>
        <w:rPr>
          <w:rFonts w:hint="eastAsia" w:hAnsi="宋体" w:eastAsia="宋体"/>
          <w:sz w:val="24"/>
          <w:szCs w:val="24"/>
          <w:lang w:eastAsia="zh-CN"/>
        </w:rPr>
      </w:pPr>
      <w:r>
        <w:rPr>
          <w:rFonts w:hAnsi="宋体" w:eastAsia="宋体"/>
          <w:sz w:val="24"/>
          <w:szCs w:val="24"/>
          <w:lang w:eastAsia="zh-CN"/>
        </w:rPr>
        <w:t xml:space="preserve">根据苏州市政府采购编号</w:t>
      </w:r>
      <w:r>
        <w:rPr>
          <w:rFonts w:hint="eastAsia" w:hAnsi="宋体" w:eastAsia="宋体"/>
          <w:b/>
          <w:bCs/>
          <w:sz w:val="24"/>
          <w:szCs w:val="24"/>
          <w:lang w:eastAsia="zh-CN"/>
        </w:rPr>
        <w:t xml:space="preserve">JSZC-320505-RQZB-C2026-0004</w:t>
      </w:r>
      <w:r>
        <w:rPr>
          <w:rFonts w:hint="eastAsia" w:hAnsi="宋体" w:eastAsia="宋体"/>
          <w:sz w:val="24"/>
          <w:szCs w:val="24"/>
          <w:lang w:eastAsia="zh-CN"/>
        </w:rPr>
        <w:t xml:space="preserve">采购</w:t>
      </w:r>
      <w:r>
        <w:rPr>
          <w:rFonts w:hAnsi="宋体" w:eastAsia="宋体"/>
          <w:sz w:val="24"/>
          <w:szCs w:val="24"/>
          <w:lang w:eastAsia="zh-CN"/>
        </w:rPr>
        <w:t xml:space="preserve">文件、</w:t>
      </w:r>
      <w:r>
        <w:rPr>
          <w:rFonts w:hint="eastAsia" w:hAnsi="宋体" w:eastAsia="宋体"/>
          <w:sz w:val="24"/>
          <w:szCs w:val="24"/>
          <w:lang w:eastAsia="zh-CN"/>
        </w:rPr>
        <w:t xml:space="preserve">乙方</w:t>
      </w:r>
      <w:r>
        <w:rPr>
          <w:rFonts w:hAnsi="宋体" w:eastAsia="宋体"/>
          <w:sz w:val="24"/>
          <w:szCs w:val="24"/>
          <w:lang w:eastAsia="zh-CN"/>
        </w:rPr>
        <w:t xml:space="preserve">的响应文件和成交通知，</w:t>
      </w:r>
      <w:r>
        <w:rPr>
          <w:rFonts w:hint="eastAsia" w:hAnsi="宋体" w:eastAsia="宋体"/>
          <w:sz w:val="24"/>
          <w:szCs w:val="24"/>
          <w:lang w:eastAsia="zh-CN"/>
        </w:rPr>
        <w:t xml:space="preserve">甲乙</w:t>
      </w:r>
      <w:r>
        <w:rPr>
          <w:rFonts w:hAnsi="宋体" w:eastAsia="宋体"/>
          <w:sz w:val="24"/>
          <w:szCs w:val="24"/>
          <w:lang w:eastAsia="zh-CN"/>
        </w:rPr>
        <w:t xml:space="preserve">双方就此次成交的“</w:t>
      </w:r>
      <w:r>
        <w:rPr>
          <w:rFonts w:hint="eastAsia" w:hAnsi="宋体" w:eastAsia="宋体" w:cs="宋体"/>
          <w:sz w:val="24"/>
          <w:szCs w:val="24"/>
          <w:lang w:eastAsia="zh-CN"/>
        </w:rPr>
        <w:t xml:space="preserve">2026年苏州高新区实验小学校教职工体检服务</w:t>
      </w:r>
      <w:r>
        <w:rPr>
          <w:rFonts w:hAnsi="宋体" w:eastAsia="宋体"/>
          <w:sz w:val="24"/>
          <w:szCs w:val="24"/>
          <w:lang w:eastAsia="zh-CN"/>
        </w:rPr>
        <w:t xml:space="preserve">”的购销事宜，签订本合同书。</w:t>
      </w:r>
      <w:r/>
    </w:p>
    <w:p>
      <w:pPr>
        <w:spacing w:line="360" w:lineRule="auto"/>
        <w:rPr>
          <w:rFonts w:hint="eastAsia" w:ascii="宋体" w:hAnsi="宋体"/>
          <w:sz w:val="24"/>
          <w:szCs w:val="24"/>
        </w:rPr>
      </w:pPr>
      <w:r>
        <w:rPr>
          <w:rFonts w:hint="eastAsia" w:ascii="宋体" w:hAnsi="宋体"/>
          <w:sz w:val="24"/>
          <w:szCs w:val="24"/>
        </w:rPr>
        <w:t xml:space="preserve">一、合同内容：</w:t>
      </w:r>
      <w:r/>
    </w:p>
    <w:p>
      <w:pPr>
        <w:ind w:firstLine="480"/>
        <w:spacing w:line="360" w:lineRule="auto"/>
        <w:rPr>
          <w:rFonts w:hint="eastAsia" w:ascii="宋体" w:hAnsi="宋体"/>
          <w:sz w:val="24"/>
          <w:szCs w:val="24"/>
        </w:rPr>
      </w:pPr>
      <w:r>
        <w:rPr>
          <w:rFonts w:hint="eastAsia" w:ascii="宋体" w:hAnsi="宋体"/>
          <w:sz w:val="24"/>
          <w:szCs w:val="24"/>
        </w:rPr>
        <w:t xml:space="preserve">1、乙方负责</w:t>
      </w:r>
      <w:r>
        <w:rPr>
          <w:rFonts w:hint="eastAsia" w:ascii="宋体" w:hAnsi="宋体"/>
          <w:sz w:val="24"/>
          <w:szCs w:val="24"/>
        </w:rPr>
        <w:t xml:space="preserve">2026年苏州高新区实验小学校教职工体检服务</w:t>
      </w:r>
      <w:r>
        <w:rPr>
          <w:rFonts w:hint="eastAsia" w:ascii="宋体" w:hAnsi="宋体"/>
          <w:sz w:val="24"/>
          <w:szCs w:val="24"/>
        </w:rPr>
        <w:t xml:space="preserve">项目的服务工作。</w:t>
      </w:r>
      <w:r/>
    </w:p>
    <w:p>
      <w:pPr>
        <w:ind w:firstLine="480"/>
        <w:spacing w:line="360" w:lineRule="auto"/>
        <w:rPr>
          <w:rFonts w:hint="eastAsia" w:ascii="宋体" w:hAnsi="宋体"/>
          <w:sz w:val="24"/>
          <w:szCs w:val="24"/>
        </w:rPr>
      </w:pPr>
      <w:r>
        <w:rPr>
          <w:rFonts w:hint="eastAsia" w:ascii="宋体" w:hAnsi="宋体"/>
          <w:sz w:val="24"/>
          <w:szCs w:val="24"/>
        </w:rPr>
        <w:t xml:space="preserve">2、下列文件为本合同不可分割部分：</w:t>
      </w:r>
      <w:r/>
    </w:p>
    <w:p>
      <w:pPr>
        <w:ind w:firstLine="480"/>
        <w:spacing w:line="360" w:lineRule="auto"/>
        <w:rPr>
          <w:rFonts w:hint="eastAsia" w:ascii="宋体" w:hAnsi="宋体"/>
          <w:sz w:val="24"/>
          <w:szCs w:val="24"/>
        </w:rPr>
      </w:pPr>
      <w:r>
        <w:rPr>
          <w:rFonts w:hint="eastAsia" w:ascii="宋体" w:hAnsi="宋体"/>
          <w:sz w:val="24"/>
          <w:szCs w:val="24"/>
        </w:rPr>
        <w:t xml:space="preserve">（1）磋商文件及其附件；</w:t>
      </w:r>
      <w:r/>
    </w:p>
    <w:p>
      <w:pPr>
        <w:ind w:firstLine="480"/>
        <w:spacing w:line="360" w:lineRule="auto"/>
        <w:rPr>
          <w:rFonts w:hint="eastAsia" w:ascii="宋体" w:hAnsi="宋体"/>
          <w:sz w:val="24"/>
          <w:szCs w:val="24"/>
        </w:rPr>
      </w:pPr>
      <w:r>
        <w:rPr>
          <w:rFonts w:hint="eastAsia" w:ascii="宋体" w:hAnsi="宋体"/>
          <w:sz w:val="24"/>
          <w:szCs w:val="24"/>
        </w:rPr>
        <w:t xml:space="preserve">（2）响应文件；</w:t>
      </w:r>
      <w:r/>
    </w:p>
    <w:p>
      <w:pPr>
        <w:ind w:firstLine="480"/>
        <w:spacing w:line="360" w:lineRule="auto"/>
        <w:rPr>
          <w:rFonts w:hint="eastAsia" w:ascii="宋体" w:hAnsi="宋体"/>
          <w:sz w:val="24"/>
          <w:szCs w:val="24"/>
        </w:rPr>
      </w:pPr>
      <w:r>
        <w:rPr>
          <w:rFonts w:hint="eastAsia" w:ascii="宋体" w:hAnsi="宋体"/>
          <w:sz w:val="24"/>
          <w:szCs w:val="24"/>
        </w:rPr>
        <w:t xml:space="preserve">（3）乙方在采购过程中所做的其他承诺、声明、书面澄清等；</w:t>
      </w:r>
      <w:r/>
    </w:p>
    <w:p>
      <w:pPr>
        <w:ind w:firstLine="480"/>
        <w:spacing w:line="360" w:lineRule="auto"/>
        <w:rPr>
          <w:rFonts w:hint="eastAsia" w:ascii="宋体" w:hAnsi="宋体"/>
          <w:sz w:val="24"/>
          <w:szCs w:val="24"/>
        </w:rPr>
      </w:pPr>
      <w:r>
        <w:rPr>
          <w:rFonts w:hint="eastAsia" w:ascii="宋体" w:hAnsi="宋体"/>
          <w:sz w:val="24"/>
          <w:szCs w:val="24"/>
        </w:rPr>
        <w:t xml:space="preserve">（4）成交通知书。</w:t>
      </w:r>
      <w:r/>
    </w:p>
    <w:p>
      <w:pPr>
        <w:ind w:firstLine="480"/>
        <w:spacing w:line="360" w:lineRule="auto"/>
        <w:rPr>
          <w:rFonts w:hint="eastAsia" w:ascii="宋体" w:hAnsi="宋体"/>
          <w:sz w:val="24"/>
          <w:szCs w:val="24"/>
        </w:rPr>
      </w:pPr>
      <w:r>
        <w:rPr>
          <w:rFonts w:hint="eastAsia" w:ascii="宋体" w:hAnsi="宋体"/>
          <w:sz w:val="24"/>
          <w:szCs w:val="24"/>
        </w:rPr>
        <w:t xml:space="preserve">注：以上等文件如有任何冲突或不一致的，以成立在后的文件的效力为优先。</w:t>
      </w:r>
      <w:r/>
    </w:p>
    <w:p>
      <w:pPr>
        <w:spacing w:line="360" w:lineRule="auto"/>
        <w:rPr>
          <w:rFonts w:hint="eastAsia" w:ascii="宋体" w:hAnsi="宋体"/>
          <w:sz w:val="24"/>
          <w:szCs w:val="24"/>
        </w:rPr>
      </w:pPr>
      <w:r>
        <w:rPr>
          <w:rFonts w:hint="eastAsia" w:ascii="宋体" w:hAnsi="宋体"/>
          <w:sz w:val="24"/>
          <w:szCs w:val="24"/>
        </w:rPr>
        <w:t xml:space="preserve">二、合同价格与支付：</w:t>
      </w:r>
      <w:r/>
    </w:p>
    <w:p>
      <w:pPr>
        <w:ind w:firstLine="480"/>
        <w:spacing w:line="360" w:lineRule="auto"/>
        <w:rPr>
          <w:rFonts w:hint="eastAsia" w:ascii="宋体" w:hAnsi="宋体"/>
          <w:sz w:val="24"/>
          <w:szCs w:val="24"/>
        </w:rPr>
      </w:pPr>
      <w:r>
        <w:rPr>
          <w:rFonts w:hint="eastAsia" w:ascii="宋体" w:hAnsi="宋体"/>
          <w:sz w:val="24"/>
          <w:szCs w:val="24"/>
        </w:rPr>
        <w:t xml:space="preserve">1、合同价格按此次成交价格执行，</w:t>
      </w:r>
      <w:r>
        <w:rPr>
          <w:rFonts w:hint="eastAsia" w:ascii="宋体" w:hAnsi="宋体"/>
          <w:bCs/>
          <w:sz w:val="24"/>
        </w:rPr>
        <w:t xml:space="preserve">合同总金额为人民币</w:t>
      </w:r>
      <w:r>
        <w:rPr>
          <w:rFonts w:hint="eastAsia" w:ascii="宋体" w:hAnsi="宋体"/>
          <w:bCs/>
          <w:sz w:val="24"/>
          <w:lang w:val="zh-CN"/>
        </w:rPr>
        <w:t xml:space="preserve">：大写</w:t>
      </w:r>
      <w:r>
        <w:rPr>
          <w:rFonts w:hint="eastAsia" w:ascii="宋体" w:hAnsi="宋体"/>
          <w:bCs/>
          <w:sz w:val="24"/>
          <w:u w:val="single"/>
          <w:lang w:val="zh-CN"/>
        </w:rPr>
        <w:t xml:space="preserve">（            ）</w:t>
      </w:r>
      <w:r>
        <w:rPr>
          <w:rFonts w:hint="eastAsia" w:ascii="宋体" w:hAnsi="宋体"/>
          <w:bCs/>
          <w:sz w:val="24"/>
          <w:lang w:val="zh-CN"/>
        </w:rPr>
        <w:t xml:space="preserve">，小写</w:t>
      </w:r>
      <w:r>
        <w:rPr>
          <w:rFonts w:hint="eastAsia" w:ascii="宋体" w:hAnsi="宋体"/>
          <w:bCs/>
          <w:sz w:val="24"/>
          <w:u w:val="single"/>
          <w:lang w:val="zh-CN"/>
        </w:rPr>
        <w:t xml:space="preserve">（          ）</w:t>
      </w:r>
      <w:r>
        <w:rPr>
          <w:rFonts w:hint="eastAsia" w:ascii="宋体" w:hAnsi="宋体"/>
          <w:bCs/>
          <w:sz w:val="24"/>
          <w:lang w:val="zh-CN"/>
        </w:rPr>
        <w:t xml:space="preserve">，</w:t>
      </w:r>
      <w:r>
        <w:rPr>
          <w:rFonts w:hint="eastAsia" w:ascii="宋体" w:hAnsi="宋体" w:cs="宋体"/>
          <w:sz w:val="24"/>
          <w:szCs w:val="24"/>
        </w:rPr>
        <w:t xml:space="preserve">其中退休教职工体检费用为：</w:t>
      </w:r>
      <w:r>
        <w:rPr>
          <w:rFonts w:hint="eastAsia" w:ascii="宋体" w:hAnsi="宋体" w:cs="宋体"/>
          <w:sz w:val="24"/>
          <w:szCs w:val="24"/>
          <w:u w:val="single"/>
        </w:rPr>
        <w:t xml:space="preserve">        （元/人）</w:t>
      </w:r>
      <w:r>
        <w:rPr>
          <w:rFonts w:hint="eastAsia" w:ascii="宋体" w:hAnsi="宋体" w:cs="宋体"/>
          <w:sz w:val="24"/>
          <w:szCs w:val="24"/>
        </w:rPr>
        <w:t xml:space="preserve">；在职教师体检费用为：</w:t>
      </w:r>
      <w:r>
        <w:rPr>
          <w:rFonts w:hint="eastAsia" w:ascii="宋体" w:hAnsi="宋体" w:cs="宋体"/>
          <w:sz w:val="24"/>
          <w:szCs w:val="24"/>
          <w:u w:val="single"/>
        </w:rPr>
        <w:t xml:space="preserve">        （元/人）</w:t>
      </w:r>
      <w:r>
        <w:rPr>
          <w:rFonts w:hint="eastAsia" w:ascii="宋体" w:hAnsi="宋体" w:cs="宋体"/>
          <w:sz w:val="24"/>
          <w:szCs w:val="24"/>
        </w:rPr>
        <w:t xml:space="preserve">；后勤人员体检费用为：</w:t>
      </w:r>
      <w:r>
        <w:rPr>
          <w:rFonts w:hint="eastAsia" w:ascii="宋体" w:hAnsi="宋体" w:cs="宋体"/>
          <w:sz w:val="24"/>
          <w:szCs w:val="24"/>
          <w:u w:val="single"/>
        </w:rPr>
        <w:t xml:space="preserve">        （元/人）</w:t>
      </w:r>
      <w:r>
        <w:rPr>
          <w:rFonts w:hint="eastAsia" w:ascii="宋体" w:hAnsi="宋体" w:cs="宋体"/>
          <w:sz w:val="24"/>
          <w:szCs w:val="24"/>
        </w:rPr>
        <w:t xml:space="preserve">。上述金额包括</w:t>
      </w:r>
      <w:r>
        <w:rPr>
          <w:rFonts w:hint="eastAsia" w:ascii="宋体" w:hAnsi="宋体" w:cs="等线"/>
          <w:sz w:val="24"/>
          <w:szCs w:val="24"/>
        </w:rPr>
        <w:t xml:space="preserve">完成全部体检服务工作（含停车、就餐等采购文件中明确的相关配套服务）、人工、管理、设备、各种税费、社保、利润、代理服务费、政策性文件规定及合同包含的所有风险、责任等各项应有费用</w:t>
      </w:r>
      <w:r>
        <w:rPr>
          <w:rFonts w:hint="eastAsia" w:ascii="宋体" w:hAnsi="宋体"/>
          <w:sz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综合单价固定，按实结算</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3、付款方式：</w:t>
      </w:r>
      <w:r/>
    </w:p>
    <w:p>
      <w:pPr>
        <w:ind w:firstLine="480"/>
        <w:spacing w:line="360" w:lineRule="auto"/>
        <w:rPr>
          <w:rFonts w:hint="eastAsia" w:ascii="宋体" w:hAnsi="宋体"/>
          <w:sz w:val="24"/>
          <w:szCs w:val="24"/>
        </w:rPr>
      </w:pPr>
      <w:r>
        <w:rPr>
          <w:rFonts w:hint="eastAsia" w:ascii="宋体" w:hAnsi="宋体"/>
          <w:sz w:val="24"/>
          <w:szCs w:val="24"/>
        </w:rPr>
        <w:t xml:space="preserve">（1）签订合同生效后，</w:t>
      </w:r>
      <w:r>
        <w:rPr>
          <w:rFonts w:hint="eastAsia" w:ascii="宋体" w:hAnsi="宋体"/>
          <w:sz w:val="24"/>
          <w:lang w:val="zh-CN"/>
        </w:rPr>
        <w:t xml:space="preserve">合同签订后，待体检全部结束，经甲方签字确认，根据实际参检人数乘以合同对应人员体检结算单价进行结算。乙方提供合格服务发票后由甲方向乙方支付结算款项</w:t>
      </w:r>
      <w:r>
        <w:rPr>
          <w:rFonts w:hint="eastAsia" w:ascii="宋体" w:hAnsi="宋体"/>
          <w:sz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（2）在签订合同时，乙方明确表示无需预付款或者主动要求降低预付款比例的，双方另</w:t>
      </w:r>
      <w:r>
        <w:rPr>
          <w:rFonts w:hint="eastAsia" w:ascii="宋体" w:hAnsi="宋体"/>
          <w:sz w:val="24"/>
          <w:szCs w:val="24"/>
        </w:rPr>
        <w:t xml:space="preserve">行约定付款的规定。</w:t>
      </w:r>
      <w:r/>
    </w:p>
    <w:p>
      <w:pPr>
        <w:ind w:firstLine="480"/>
        <w:spacing w:line="360" w:lineRule="auto"/>
        <w:rPr>
          <w:rFonts w:hint="eastAsia" w:ascii="宋体" w:hAnsi="宋体"/>
          <w:sz w:val="24"/>
          <w:szCs w:val="24"/>
        </w:rPr>
      </w:pPr>
      <w:r>
        <w:rPr>
          <w:rFonts w:hint="eastAsia" w:ascii="宋体" w:hAnsi="宋体"/>
          <w:sz w:val="24"/>
          <w:szCs w:val="24"/>
        </w:rPr>
        <w:t xml:space="preserve">4、根据现行税法对甲方征收的与本合同有关的一切税费均由甲方承担；根据现行税法对</w:t>
      </w:r>
      <w:r>
        <w:rPr>
          <w:rFonts w:hint="eastAsia" w:ascii="宋体" w:hAnsi="宋体"/>
          <w:sz w:val="24"/>
          <w:szCs w:val="24"/>
        </w:rPr>
        <w:t xml:space="preserve">乙方征收</w:t>
      </w:r>
      <w:r>
        <w:rPr>
          <w:rFonts w:hint="eastAsia" w:ascii="宋体" w:hAnsi="宋体"/>
          <w:sz w:val="24"/>
          <w:szCs w:val="24"/>
        </w:rPr>
        <w:t xml:space="preserve">的与本合同有关的一切税费均由乙方承担。</w:t>
      </w:r>
      <w:r/>
    </w:p>
    <w:p>
      <w:pPr>
        <w:ind w:firstLine="480"/>
        <w:spacing w:line="360" w:lineRule="auto"/>
        <w:rPr>
          <w:rFonts w:hint="eastAsia" w:ascii="宋体" w:hAnsi="宋体"/>
          <w:sz w:val="24"/>
          <w:szCs w:val="24"/>
        </w:rPr>
      </w:pPr>
      <w:r>
        <w:rPr>
          <w:rFonts w:hint="eastAsia" w:ascii="宋体" w:hAnsi="宋体"/>
          <w:sz w:val="24"/>
          <w:szCs w:val="24"/>
        </w:rPr>
        <w:t xml:space="preserve">5、乙方要求付款应提供以下资料：</w:t>
      </w:r>
      <w:r/>
    </w:p>
    <w:p>
      <w:pPr>
        <w:ind w:firstLine="480"/>
        <w:spacing w:line="360" w:lineRule="auto"/>
        <w:rPr>
          <w:rFonts w:hint="eastAsia" w:ascii="宋体" w:hAnsi="宋体"/>
          <w:sz w:val="24"/>
          <w:szCs w:val="24"/>
        </w:rPr>
      </w:pPr>
      <w:r>
        <w:rPr>
          <w:rFonts w:hint="eastAsia" w:ascii="宋体" w:hAnsi="宋体"/>
          <w:sz w:val="24"/>
          <w:szCs w:val="24"/>
        </w:rPr>
        <w:t xml:space="preserve">（1）合格的销售发票。</w:t>
      </w:r>
      <w:r/>
    </w:p>
    <w:p>
      <w:pPr>
        <w:ind w:firstLine="480"/>
        <w:spacing w:line="360" w:lineRule="auto"/>
        <w:rPr>
          <w:rFonts w:hint="eastAsia" w:ascii="宋体" w:hAnsi="宋体"/>
          <w:sz w:val="24"/>
          <w:szCs w:val="24"/>
        </w:rPr>
      </w:pPr>
      <w:r>
        <w:rPr>
          <w:rFonts w:hint="eastAsia" w:ascii="宋体" w:hAnsi="宋体"/>
          <w:sz w:val="24"/>
          <w:szCs w:val="24"/>
        </w:rPr>
        <w:t xml:space="preserve">（2）其他（如有）。</w:t>
      </w:r>
      <w:r/>
    </w:p>
    <w:p>
      <w:pPr>
        <w:ind w:firstLine="480"/>
        <w:spacing w:line="360" w:lineRule="auto"/>
        <w:rPr>
          <w:rFonts w:hint="eastAsia" w:ascii="宋体" w:hAnsi="宋体"/>
          <w:sz w:val="24"/>
          <w:szCs w:val="24"/>
        </w:rPr>
      </w:pPr>
      <w:r>
        <w:rPr>
          <w:rFonts w:hint="eastAsia" w:ascii="宋体" w:hAnsi="宋体"/>
          <w:sz w:val="24"/>
          <w:szCs w:val="24"/>
        </w:rPr>
        <w:t xml:space="preserve">6、支付方式：银行电汇或</w:t>
      </w:r>
      <w:r>
        <w:rPr>
          <w:rFonts w:hint="eastAsia" w:ascii="宋体" w:hAnsi="宋体"/>
          <w:sz w:val="24"/>
          <w:szCs w:val="24"/>
        </w:rPr>
        <w:t xml:space="preserve">转帐</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乙方信息如下：</w:t>
      </w:r>
      <w:r/>
    </w:p>
    <w:p>
      <w:pPr>
        <w:ind w:firstLine="480"/>
        <w:spacing w:line="360" w:lineRule="auto"/>
        <w:rPr>
          <w:rFonts w:hint="eastAsia" w:ascii="宋体" w:hAnsi="宋体"/>
          <w:sz w:val="24"/>
          <w:szCs w:val="24"/>
        </w:rPr>
      </w:pPr>
      <w:r>
        <w:rPr>
          <w:rFonts w:hint="eastAsia" w:ascii="宋体" w:hAnsi="宋体"/>
          <w:sz w:val="24"/>
          <w:szCs w:val="24"/>
        </w:rPr>
        <w:t xml:space="preserve">开户行：[ ]</w:t>
      </w:r>
      <w:r/>
    </w:p>
    <w:p>
      <w:pPr>
        <w:ind w:firstLine="480"/>
        <w:spacing w:line="360" w:lineRule="auto"/>
        <w:rPr>
          <w:rFonts w:hint="eastAsia" w:ascii="宋体" w:hAnsi="宋体"/>
          <w:sz w:val="24"/>
          <w:szCs w:val="24"/>
        </w:rPr>
      </w:pPr>
      <w:r>
        <w:rPr>
          <w:rFonts w:hint="eastAsia" w:ascii="宋体" w:hAnsi="宋体"/>
          <w:sz w:val="24"/>
          <w:szCs w:val="24"/>
        </w:rPr>
        <w:t xml:space="preserve">户名：[ ]</w:t>
      </w:r>
      <w:r/>
    </w:p>
    <w:p>
      <w:pPr>
        <w:ind w:firstLine="480"/>
        <w:spacing w:line="360" w:lineRule="auto"/>
        <w:rPr>
          <w:rFonts w:hint="eastAsia" w:ascii="宋体" w:hAnsi="宋体"/>
          <w:sz w:val="24"/>
          <w:szCs w:val="24"/>
        </w:rPr>
      </w:pPr>
      <w:r>
        <w:rPr>
          <w:rFonts w:hint="eastAsia" w:ascii="宋体" w:hAnsi="宋体"/>
          <w:sz w:val="24"/>
          <w:szCs w:val="24"/>
        </w:rPr>
        <w:t xml:space="preserve">账号：[ ]</w:t>
      </w:r>
      <w:r/>
    </w:p>
    <w:p>
      <w:pPr>
        <w:ind w:firstLine="480"/>
        <w:spacing w:line="360" w:lineRule="auto"/>
        <w:rPr>
          <w:rFonts w:hint="eastAsia" w:ascii="宋体" w:hAnsi="宋体"/>
          <w:sz w:val="24"/>
          <w:szCs w:val="24"/>
        </w:rPr>
      </w:pPr>
      <w:r>
        <w:rPr>
          <w:rFonts w:hint="eastAsia" w:ascii="宋体" w:hAnsi="宋体"/>
          <w:sz w:val="24"/>
          <w:szCs w:val="24"/>
        </w:rPr>
        <w:t xml:space="preserve">纳税人识别号/统一社会信用代码：[ ]</w:t>
      </w:r>
      <w:r/>
    </w:p>
    <w:p>
      <w:pPr>
        <w:spacing w:line="360" w:lineRule="auto"/>
        <w:rPr>
          <w:rFonts w:hint="eastAsia" w:ascii="宋体" w:hAnsi="宋体"/>
          <w:sz w:val="24"/>
          <w:szCs w:val="24"/>
        </w:rPr>
      </w:pPr>
      <w:r>
        <w:rPr>
          <w:rFonts w:hint="eastAsia" w:ascii="宋体" w:hAnsi="宋体"/>
          <w:sz w:val="24"/>
          <w:szCs w:val="24"/>
        </w:rPr>
        <w:t xml:space="preserve">三、服务期限：一年（</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t xml:space="preserve">）。</w:t>
      </w:r>
      <w:r/>
    </w:p>
    <w:p>
      <w:pPr>
        <w:spacing w:line="360" w:lineRule="auto"/>
        <w:rPr>
          <w:rFonts w:hint="eastAsia" w:ascii="宋体" w:hAnsi="宋体"/>
          <w:bCs/>
          <w:sz w:val="24"/>
          <w:lang w:val="zh-CN"/>
        </w:rPr>
      </w:pPr>
      <w:r>
        <w:rPr>
          <w:rFonts w:hint="eastAsia" w:ascii="宋体" w:hAnsi="宋体"/>
          <w:sz w:val="24"/>
          <w:szCs w:val="24"/>
        </w:rPr>
        <w:t xml:space="preserve">四、</w:t>
      </w:r>
      <w:r>
        <w:rPr>
          <w:rFonts w:hint="eastAsia" w:ascii="宋体" w:hAnsi="宋体"/>
          <w:bCs/>
          <w:sz w:val="24"/>
          <w:lang w:val="zh-CN"/>
        </w:rPr>
        <w:t xml:space="preserve">甲方权利和义务：</w:t>
      </w:r>
      <w:r/>
    </w:p>
    <w:p>
      <w:pPr>
        <w:ind w:firstLine="480"/>
        <w:spacing w:line="360" w:lineRule="auto"/>
        <w:rPr>
          <w:rFonts w:hint="eastAsia" w:ascii="宋体" w:hAnsi="宋体"/>
          <w:bCs/>
          <w:sz w:val="24"/>
          <w:lang w:val="zh-CN"/>
        </w:rPr>
      </w:pPr>
      <w:r>
        <w:rPr>
          <w:rFonts w:hint="eastAsia" w:ascii="宋体" w:hAnsi="宋体"/>
          <w:bCs/>
          <w:sz w:val="24"/>
          <w:lang w:val="zh-CN"/>
        </w:rPr>
        <w:t xml:space="preserve">1.根据甲方采购要求及乙方响应文件中的承诺，对乙方提供的服务及履行本合同情况实行验收。</w:t>
      </w:r>
      <w:r/>
    </w:p>
    <w:p>
      <w:pPr>
        <w:ind w:firstLine="480"/>
        <w:spacing w:line="360" w:lineRule="auto"/>
        <w:rPr>
          <w:rFonts w:hint="eastAsia" w:ascii="宋体" w:hAnsi="宋体"/>
          <w:bCs/>
          <w:sz w:val="24"/>
          <w:lang w:val="zh-CN"/>
        </w:rPr>
      </w:pPr>
      <w:r>
        <w:rPr>
          <w:rFonts w:hint="eastAsia" w:ascii="宋体" w:hAnsi="宋体"/>
          <w:bCs/>
          <w:sz w:val="24"/>
          <w:lang w:val="zh-CN"/>
        </w:rPr>
        <w:t xml:space="preserve">2.甲方必须满足本采购文件相关要求。</w:t>
      </w:r>
      <w:r/>
    </w:p>
    <w:p>
      <w:pPr>
        <w:spacing w:line="360" w:lineRule="auto"/>
        <w:rPr>
          <w:rFonts w:hint="eastAsia" w:ascii="宋体" w:hAnsi="宋体"/>
          <w:bCs/>
          <w:sz w:val="24"/>
          <w:lang w:val="zh-CN"/>
        </w:rPr>
      </w:pPr>
      <w:r>
        <w:rPr>
          <w:rFonts w:hint="eastAsia" w:ascii="宋体" w:hAnsi="宋体"/>
          <w:bCs/>
          <w:sz w:val="24"/>
          <w:lang w:val="zh-CN"/>
        </w:rPr>
        <w:t xml:space="preserve">五、乙方权利和义务：</w:t>
      </w:r>
      <w:r/>
    </w:p>
    <w:p>
      <w:pPr>
        <w:ind w:firstLine="480"/>
        <w:spacing w:line="360" w:lineRule="auto"/>
        <w:rPr>
          <w:rFonts w:hint="eastAsia" w:ascii="宋体" w:hAnsi="宋体"/>
          <w:bCs/>
          <w:sz w:val="24"/>
          <w:lang w:val="zh-CN"/>
        </w:rPr>
      </w:pPr>
      <w:r>
        <w:rPr>
          <w:rFonts w:hint="eastAsia" w:ascii="宋体" w:hAnsi="宋体"/>
          <w:bCs/>
          <w:sz w:val="24"/>
          <w:lang w:val="zh-CN"/>
        </w:rPr>
        <w:t xml:space="preserve">1.乙方根据甲方有关要求，积极主动保质保量地完成此项目。</w:t>
      </w:r>
      <w:r/>
    </w:p>
    <w:p>
      <w:pPr>
        <w:ind w:firstLine="480"/>
        <w:spacing w:line="360" w:lineRule="auto"/>
        <w:rPr>
          <w:rFonts w:hint="eastAsia" w:ascii="宋体" w:hAnsi="宋体"/>
          <w:bCs/>
          <w:sz w:val="24"/>
          <w:lang w:val="zh-CN"/>
        </w:rPr>
      </w:pPr>
      <w:r>
        <w:rPr>
          <w:rFonts w:hint="eastAsia" w:ascii="宋体" w:hAnsi="宋体"/>
          <w:bCs/>
          <w:sz w:val="24"/>
          <w:lang w:val="zh-CN"/>
        </w:rPr>
        <w:t xml:space="preserve">2.乙方必须满足本采购文件要求。</w:t>
      </w:r>
      <w:r/>
    </w:p>
    <w:p>
      <w:pPr>
        <w:ind w:firstLine="480"/>
        <w:spacing w:line="360" w:lineRule="auto"/>
        <w:rPr>
          <w:rFonts w:hint="eastAsia" w:ascii="宋体" w:hAnsi="宋体" w:cs="宋体"/>
          <w:bCs/>
          <w:sz w:val="24"/>
        </w:rPr>
      </w:pPr>
      <w:r>
        <w:rPr>
          <w:rFonts w:hint="eastAsia" w:ascii="宋体" w:hAnsi="宋体" w:cs="宋体"/>
          <w:bCs/>
          <w:sz w:val="24"/>
        </w:rPr>
        <w:t xml:space="preserve">3.</w:t>
      </w:r>
      <w:r>
        <w:rPr>
          <w:rFonts w:hint="eastAsia" w:ascii="宋体" w:hAnsi="宋体" w:cs="等线"/>
          <w:sz w:val="24"/>
          <w:szCs w:val="24"/>
        </w:rPr>
        <w:t xml:space="preserve">乙方在项目服务过程中取得的相关信息，服务人员必须严格保密，不得外泄，否则在结算款中扣罚2万元，并追究其相应的法律责任。</w:t>
      </w:r>
      <w:r/>
    </w:p>
    <w:p>
      <w:pPr>
        <w:spacing w:line="360" w:lineRule="auto"/>
        <w:rPr>
          <w:rFonts w:hint="eastAsia" w:ascii="宋体" w:hAnsi="宋体"/>
          <w:bCs/>
          <w:sz w:val="24"/>
          <w:lang w:val="zh-CN"/>
        </w:rPr>
      </w:pPr>
      <w:r>
        <w:rPr>
          <w:rFonts w:hint="eastAsia" w:ascii="宋体" w:hAnsi="宋体" w:cs="宋体"/>
          <w:bCs/>
          <w:sz w:val="24"/>
          <w:lang w:val="zh-CN"/>
        </w:rPr>
        <w:t xml:space="preserve">六、</w:t>
      </w:r>
      <w:r>
        <w:rPr>
          <w:rFonts w:hint="eastAsia" w:ascii="宋体" w:hAnsi="宋体"/>
          <w:bCs/>
          <w:sz w:val="24"/>
          <w:lang w:val="zh-CN"/>
        </w:rPr>
        <w:t xml:space="preserve">违约责任：</w:t>
      </w:r>
      <w:r/>
    </w:p>
    <w:p>
      <w:pPr>
        <w:ind w:firstLine="480"/>
        <w:spacing w:line="360" w:lineRule="auto"/>
        <w:rPr>
          <w:rFonts w:hint="eastAsia" w:ascii="宋体" w:hAnsi="宋体"/>
          <w:bCs/>
          <w:sz w:val="24"/>
          <w:lang w:val="zh-CN"/>
        </w:rPr>
      </w:pPr>
      <w:r>
        <w:rPr>
          <w:rFonts w:hint="eastAsia" w:ascii="宋体" w:hAnsi="宋体"/>
          <w:bCs/>
          <w:sz w:val="24"/>
          <w:lang w:val="zh-CN"/>
        </w:rPr>
        <w:t xml:space="preserve">1.甲方违约责任及违约金支付：</w:t>
      </w:r>
      <w:r/>
    </w:p>
    <w:p>
      <w:pPr>
        <w:ind w:firstLine="480"/>
        <w:spacing w:line="360" w:lineRule="auto"/>
        <w:rPr>
          <w:rFonts w:hint="eastAsia" w:ascii="宋体" w:hAnsi="宋体"/>
          <w:bCs/>
          <w:sz w:val="24"/>
          <w:lang w:val="zh-CN"/>
        </w:rPr>
      </w:pPr>
      <w:r>
        <w:rPr>
          <w:rFonts w:hint="eastAsia" w:ascii="宋体" w:hAnsi="宋体"/>
          <w:bCs/>
          <w:sz w:val="24"/>
          <w:lang w:val="zh-CN"/>
        </w:rPr>
        <w:t xml:space="preserve">1.1在合同生效后，甲方无理由要求终止服务的，应向乙方偿付合同总价款的5%作为违约金，违约金不足以补偿损失的，乙方有权要求甲方补足。</w:t>
      </w:r>
      <w:r/>
    </w:p>
    <w:p>
      <w:pPr>
        <w:ind w:firstLine="480"/>
        <w:spacing w:line="360" w:lineRule="auto"/>
        <w:rPr>
          <w:rFonts w:hint="eastAsia" w:ascii="宋体" w:hAnsi="宋体"/>
          <w:bCs/>
          <w:sz w:val="24"/>
          <w:lang w:val="zh-CN"/>
        </w:rPr>
      </w:pPr>
      <w:r>
        <w:rPr>
          <w:rFonts w:hint="eastAsia" w:ascii="宋体" w:hAnsi="宋体"/>
          <w:bCs/>
          <w:sz w:val="24"/>
          <w:lang w:val="zh-CN"/>
        </w:rPr>
        <w:t xml:space="preserve">1.2甲方逾期付款的应按照逾期付款金额的每天万分之四支付逾期付款违约金，但此项违约金不超过逾期付款金额的5%。</w:t>
      </w:r>
      <w:r/>
    </w:p>
    <w:p>
      <w:pPr>
        <w:ind w:firstLine="480"/>
        <w:spacing w:line="360" w:lineRule="auto"/>
        <w:rPr>
          <w:rFonts w:hint="eastAsia" w:ascii="宋体" w:hAnsi="宋体"/>
          <w:bCs/>
          <w:sz w:val="24"/>
          <w:lang w:val="zh-CN"/>
        </w:rPr>
      </w:pPr>
      <w:r>
        <w:rPr>
          <w:rFonts w:hint="eastAsia" w:ascii="宋体" w:hAnsi="宋体"/>
          <w:bCs/>
          <w:sz w:val="24"/>
          <w:lang w:val="zh-CN"/>
        </w:rPr>
        <w:t xml:space="preserve">1.3甲方违反合同规定，拒绝接受乙方提供服务，应当承担乙方由此造成的损失。                                        </w:t>
      </w:r>
      <w:r/>
    </w:p>
    <w:p>
      <w:pPr>
        <w:ind w:firstLine="480"/>
        <w:spacing w:line="360" w:lineRule="auto"/>
        <w:rPr>
          <w:rFonts w:hint="eastAsia" w:ascii="宋体" w:hAnsi="宋体"/>
          <w:bCs/>
          <w:sz w:val="24"/>
          <w:lang w:val="zh-CN"/>
        </w:rPr>
      </w:pPr>
      <w:r>
        <w:rPr>
          <w:rFonts w:hint="eastAsia" w:ascii="宋体" w:hAnsi="宋体"/>
          <w:bCs/>
          <w:sz w:val="24"/>
          <w:lang w:val="zh-CN"/>
        </w:rPr>
        <w:t xml:space="preserve">2.乙方违约责任及违约金支付：</w:t>
      </w:r>
      <w:r/>
    </w:p>
    <w:p>
      <w:pPr>
        <w:ind w:firstLine="480"/>
        <w:spacing w:line="360" w:lineRule="auto"/>
        <w:rPr>
          <w:rFonts w:hint="eastAsia" w:ascii="宋体" w:hAnsi="宋体"/>
          <w:bCs/>
          <w:sz w:val="24"/>
          <w:lang w:val="zh-CN"/>
        </w:rPr>
      </w:pPr>
      <w:r>
        <w:rPr>
          <w:rFonts w:hint="eastAsia" w:ascii="宋体" w:hAnsi="宋体"/>
          <w:bCs/>
          <w:sz w:val="24"/>
          <w:lang w:val="zh-CN"/>
        </w:rPr>
        <w:t xml:space="preserve">2.1乙方不能提供服务的，或交付的服务不合格从而影响甲方正常使用的，应向甲方偿</w:t>
      </w:r>
      <w:r>
        <w:rPr>
          <w:rFonts w:hint="eastAsia" w:ascii="宋体" w:hAnsi="宋体"/>
          <w:bCs/>
          <w:sz w:val="24"/>
          <w:lang w:val="zh-CN"/>
        </w:rPr>
        <w:t xml:space="preserve">付合同总价款5%的违约金，同时赔偿甲方因此产生的损失。</w:t>
      </w:r>
      <w:r/>
    </w:p>
    <w:p>
      <w:pPr>
        <w:ind w:firstLine="480"/>
        <w:spacing w:line="360" w:lineRule="auto"/>
        <w:rPr>
          <w:rFonts w:hint="eastAsia" w:ascii="宋体" w:hAnsi="宋体"/>
          <w:bCs/>
          <w:sz w:val="24"/>
          <w:lang w:val="zh-CN"/>
        </w:rPr>
      </w:pPr>
      <w:r>
        <w:rPr>
          <w:rFonts w:hint="eastAsia" w:ascii="宋体" w:hAnsi="宋体"/>
          <w:bCs/>
          <w:sz w:val="24"/>
          <w:lang w:val="zh-CN"/>
        </w:rPr>
        <w:t xml:space="preserve">2.2乙方逾期完成的，应与甲方协商，甲方</w:t>
      </w:r>
      <w:r>
        <w:rPr>
          <w:rFonts w:hint="eastAsia" w:ascii="宋体" w:hAnsi="宋体"/>
          <w:bCs/>
          <w:sz w:val="24"/>
          <w:lang w:val="zh-CN"/>
        </w:rPr>
        <w:t xml:space="preserve">仍需求</w:t>
      </w:r>
      <w:r>
        <w:rPr>
          <w:rFonts w:hint="eastAsia" w:ascii="宋体" w:hAnsi="宋体"/>
          <w:bCs/>
          <w:sz w:val="24"/>
          <w:lang w:val="zh-CN"/>
        </w:rPr>
        <w:t xml:space="preserve">的，乙方应按照逾期合同总价款的每天万分之四支付逾期违约金，同时承担甲方因此遭致的损失费用。如乙方无正当理由，逾期超过15日未交付的，视为乙方不能履行本合同，甲方有权单方解除本合同，并要求乙方支付合同总价款10%的违约金，同时赔偿甲方相应损失。</w:t>
      </w:r>
      <w:r/>
    </w:p>
    <w:p>
      <w:pPr>
        <w:ind w:firstLine="480"/>
        <w:spacing w:line="360" w:lineRule="auto"/>
        <w:rPr>
          <w:rFonts w:hint="eastAsia" w:ascii="宋体" w:hAnsi="宋体"/>
          <w:bCs/>
          <w:sz w:val="24"/>
          <w:lang w:val="zh-CN"/>
        </w:rPr>
      </w:pPr>
      <w:r>
        <w:rPr>
          <w:rFonts w:hint="eastAsia" w:ascii="宋体" w:hAnsi="宋体"/>
          <w:bCs/>
          <w:sz w:val="24"/>
          <w:lang w:val="zh-CN"/>
        </w:rPr>
        <w:t xml:space="preserve">2.3乙方提供的服务不符合约定要求的，首次甲方有权责令乙方改正，之后每发生一次，乙方应向甲方支付合同总价款1%的违约金。</w:t>
      </w:r>
      <w:r/>
    </w:p>
    <w:p>
      <w:pPr>
        <w:ind w:firstLine="480"/>
        <w:spacing w:line="360" w:lineRule="auto"/>
        <w:rPr>
          <w:rFonts w:hint="eastAsia" w:ascii="宋体" w:hAnsi="宋体"/>
          <w:bCs/>
          <w:sz w:val="24"/>
          <w:lang w:val="zh-CN"/>
        </w:rPr>
      </w:pPr>
      <w:r>
        <w:rPr>
          <w:rFonts w:hint="eastAsia" w:ascii="宋体" w:hAnsi="宋体"/>
          <w:bCs/>
          <w:sz w:val="24"/>
          <w:lang w:val="zh-CN"/>
        </w:rPr>
        <w:t xml:space="preserve">2.4乙方如有其它违反合同约定行为的，甲方有权视其违约严重程度及自身损失情况，要求乙方支付不超过合同总价款10%的违约金，并赔偿甲方相应的损失。</w:t>
      </w:r>
      <w:r/>
    </w:p>
    <w:p>
      <w:pPr>
        <w:ind w:firstLine="480"/>
        <w:spacing w:line="360" w:lineRule="auto"/>
        <w:rPr>
          <w:rFonts w:hint="eastAsia" w:ascii="宋体" w:hAnsi="宋体"/>
          <w:bCs/>
          <w:sz w:val="24"/>
          <w:lang w:val="zh-CN"/>
        </w:rPr>
      </w:pPr>
      <w:r>
        <w:rPr>
          <w:rFonts w:hint="eastAsia" w:ascii="宋体" w:hAnsi="宋体"/>
          <w:bCs/>
          <w:sz w:val="24"/>
          <w:lang w:val="zh-CN"/>
        </w:rPr>
        <w:t xml:space="preserve">2.5乙方应赔偿甲方的损失、支付给甲方的违约金以及其它根据本合同应支付给甲方的费用，甲方有权直接从未支付款项中予以折抵，不足部分有权要求乙方补足。</w:t>
      </w:r>
      <w:r/>
    </w:p>
    <w:p>
      <w:pPr>
        <w:ind w:firstLine="480"/>
        <w:spacing w:line="360" w:lineRule="auto"/>
        <w:rPr>
          <w:rFonts w:hint="eastAsia" w:ascii="宋体" w:hAnsi="宋体"/>
          <w:bCs/>
          <w:sz w:val="24"/>
          <w:lang w:val="zh-CN"/>
        </w:rPr>
      </w:pPr>
      <w:r>
        <w:rPr>
          <w:rFonts w:hint="eastAsia" w:ascii="宋体" w:hAnsi="宋体"/>
          <w:bCs/>
          <w:sz w:val="24"/>
          <w:lang w:val="zh-CN"/>
        </w:rPr>
        <w:t xml:space="preserve">2.6甲方因处理乙方违约所产生的费用应当由乙方予以承担，该费用包括但不限于诉讼费、保全费、鉴定费、执行费、律师费、车旅费等。</w:t>
      </w:r>
      <w:r/>
    </w:p>
    <w:p>
      <w:pPr>
        <w:spacing w:line="360" w:lineRule="auto"/>
        <w:rPr>
          <w:rFonts w:hint="eastAsia" w:ascii="宋体" w:hAnsi="宋体"/>
          <w:bCs/>
          <w:sz w:val="24"/>
          <w:lang w:val="zh-CN"/>
        </w:rPr>
      </w:pPr>
      <w:r>
        <w:rPr>
          <w:rFonts w:hint="eastAsia" w:ascii="宋体" w:hAnsi="宋体"/>
          <w:bCs/>
          <w:sz w:val="24"/>
          <w:lang w:val="zh-CN"/>
        </w:rPr>
        <w:t xml:space="preserve">七、项目验收：</w:t>
      </w:r>
      <w:r/>
    </w:p>
    <w:p>
      <w:pPr>
        <w:ind w:firstLine="480"/>
        <w:jc w:val="left"/>
        <w:spacing w:line="360" w:lineRule="auto"/>
        <w:rPr>
          <w:rFonts w:hint="eastAsia" w:ascii="宋体" w:hAnsi="宋体"/>
          <w:bCs/>
          <w:sz w:val="24"/>
        </w:rPr>
      </w:pPr>
      <w:r>
        <w:rPr>
          <w:rFonts w:hint="eastAsia" w:ascii="宋体" w:hAnsi="宋体"/>
          <w:bCs/>
          <w:sz w:val="24"/>
        </w:rPr>
        <w:t xml:space="preserve">1.验收时间：根据合同约定，付款前分批验收。</w:t>
      </w:r>
      <w:r/>
    </w:p>
    <w:p>
      <w:pPr>
        <w:ind w:firstLine="480"/>
        <w:jc w:val="left"/>
        <w:spacing w:line="360" w:lineRule="auto"/>
        <w:rPr>
          <w:rFonts w:hint="eastAsia" w:ascii="宋体" w:hAnsi="宋体"/>
          <w:bCs/>
          <w:sz w:val="24"/>
        </w:rPr>
      </w:pPr>
      <w:r>
        <w:rPr>
          <w:rFonts w:hint="eastAsia" w:ascii="宋体" w:hAnsi="宋体"/>
          <w:bCs/>
          <w:sz w:val="24"/>
        </w:rPr>
        <w:t xml:space="preserve">2.验收标准：根据采购文件、乙方的响应文件、双方签订的合同文件及《江苏省政府采购履约验收管理办法》的相关规定和现行法律、规范。</w:t>
      </w:r>
      <w:r/>
    </w:p>
    <w:p>
      <w:pPr>
        <w:spacing w:line="360" w:lineRule="auto"/>
        <w:rPr>
          <w:rFonts w:hint="eastAsia" w:ascii="宋体" w:hAnsi="宋体"/>
          <w:bCs/>
          <w:sz w:val="24"/>
          <w:lang w:val="zh-CN"/>
        </w:rPr>
      </w:pPr>
      <w:r>
        <w:rPr>
          <w:rFonts w:hint="eastAsia" w:ascii="宋体" w:hAnsi="宋体"/>
          <w:bCs/>
          <w:sz w:val="24"/>
          <w:lang w:val="zh-CN"/>
        </w:rPr>
        <w:t xml:space="preserve">八、不可抗力：</w:t>
      </w:r>
      <w:r/>
    </w:p>
    <w:p>
      <w:pPr>
        <w:ind w:firstLine="480"/>
        <w:spacing w:line="360" w:lineRule="auto"/>
        <w:rPr>
          <w:rFonts w:hint="eastAsia" w:ascii="宋体" w:hAnsi="宋体"/>
          <w:bCs/>
          <w:sz w:val="24"/>
          <w:lang w:val="zh-CN"/>
        </w:rPr>
      </w:pPr>
      <w:r>
        <w:rPr>
          <w:rFonts w:hint="eastAsia" w:ascii="宋体" w:hAnsi="宋体"/>
          <w:bCs/>
          <w:sz w:val="24"/>
          <w:lang w:val="zh-CN"/>
        </w:rPr>
        <w:t xml:space="preserve">1.因不可抗力（或甲、乙双方）不能控制的原因不能履行合同的，根据不可抗力的影响，部分或者全部免除责任。但合同一方迟延履行后发生不可抗力的，不能免除责任。</w:t>
      </w:r>
      <w:r/>
    </w:p>
    <w:p>
      <w:pPr>
        <w:ind w:firstLine="480"/>
        <w:spacing w:line="360" w:lineRule="auto"/>
        <w:rPr>
          <w:rFonts w:hint="eastAsia" w:ascii="宋体" w:hAnsi="宋体"/>
          <w:bCs/>
          <w:sz w:val="24"/>
          <w:lang w:val="zh-CN"/>
        </w:rPr>
      </w:pPr>
      <w:r>
        <w:rPr>
          <w:rFonts w:hint="eastAsia" w:ascii="宋体" w:hAnsi="宋体"/>
          <w:bCs/>
          <w:sz w:val="24"/>
          <w:lang w:val="zh-CN"/>
        </w:rPr>
        <w:t xml:space="preserve">2.合同一方因不可抗力不能履行合同的，应当及时通知对方，以减轻可能给对方造成的损失，并应当在合理期限内提供证明。</w:t>
      </w:r>
      <w:r/>
    </w:p>
    <w:p>
      <w:pPr>
        <w:spacing w:line="360" w:lineRule="auto"/>
        <w:rPr>
          <w:rFonts w:hint="eastAsia" w:ascii="宋体" w:hAnsi="宋体"/>
          <w:bCs/>
          <w:sz w:val="24"/>
          <w:lang w:val="zh-CN"/>
        </w:rPr>
      </w:pPr>
      <w:r>
        <w:rPr>
          <w:rFonts w:hint="eastAsia" w:ascii="宋体" w:hAnsi="宋体"/>
          <w:bCs/>
          <w:sz w:val="24"/>
          <w:lang w:val="zh-CN"/>
        </w:rPr>
        <w:t xml:space="preserve">九、合同修改：乙方不得擅自变更本合同，但合同继续履行将损害国家和社会公共利益的除外。</w:t>
      </w:r>
      <w:r/>
    </w:p>
    <w:p>
      <w:pPr>
        <w:spacing w:line="360" w:lineRule="auto"/>
        <w:rPr>
          <w:rFonts w:hint="eastAsia" w:ascii="宋体" w:hAnsi="宋体"/>
          <w:bCs/>
          <w:sz w:val="24"/>
          <w:lang w:val="zh-CN"/>
        </w:rPr>
      </w:pPr>
      <w:r>
        <w:rPr>
          <w:rFonts w:hint="eastAsia" w:ascii="宋体" w:hAnsi="宋体"/>
          <w:bCs/>
          <w:sz w:val="24"/>
          <w:lang w:val="zh-CN"/>
        </w:rPr>
        <w:t xml:space="preserve">十、转让和分包：</w:t>
      </w:r>
      <w:r/>
    </w:p>
    <w:p>
      <w:pPr>
        <w:ind w:firstLine="480"/>
        <w:spacing w:line="360" w:lineRule="auto"/>
        <w:rPr>
          <w:rFonts w:hint="eastAsia" w:ascii="宋体" w:hAnsi="宋体"/>
          <w:bCs/>
          <w:sz w:val="24"/>
          <w:lang w:val="zh-CN"/>
        </w:rPr>
      </w:pPr>
      <w:r>
        <w:rPr>
          <w:rFonts w:hint="eastAsia" w:ascii="宋体" w:hAnsi="宋体"/>
          <w:bCs/>
          <w:sz w:val="24"/>
          <w:lang w:val="zh-CN"/>
        </w:rPr>
        <w:t xml:space="preserve">1.政府采购合同的部分和全部都不得转让。</w:t>
      </w:r>
      <w:r/>
    </w:p>
    <w:p>
      <w:pPr>
        <w:ind w:firstLine="480"/>
        <w:spacing w:line="360" w:lineRule="auto"/>
        <w:rPr>
          <w:rFonts w:hint="eastAsia" w:ascii="宋体" w:hAnsi="宋体"/>
          <w:bCs/>
          <w:sz w:val="24"/>
          <w:lang w:val="zh-CN"/>
        </w:rPr>
      </w:pPr>
      <w:r>
        <w:rPr>
          <w:rFonts w:hint="eastAsia" w:ascii="宋体" w:hAnsi="宋体"/>
          <w:bCs/>
          <w:sz w:val="24"/>
          <w:lang w:val="zh-CN"/>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spacing w:line="360" w:lineRule="auto"/>
        <w:rPr>
          <w:rFonts w:hint="eastAsia" w:ascii="宋体" w:hAnsi="宋体"/>
          <w:bCs/>
          <w:sz w:val="24"/>
          <w:lang w:val="zh-CN"/>
        </w:rPr>
      </w:pPr>
      <w:r>
        <w:rPr>
          <w:rFonts w:hint="eastAsia" w:ascii="宋体" w:hAnsi="宋体"/>
          <w:bCs/>
          <w:sz w:val="24"/>
          <w:lang w:val="zh-CN"/>
        </w:rPr>
        <w:t xml:space="preserve">十一、争议解决办法：因本合同或与本合同有关的一切事项发生争议，由双方友好协商解</w:t>
      </w:r>
      <w:r>
        <w:rPr>
          <w:rFonts w:hint="eastAsia" w:ascii="宋体" w:hAnsi="宋体"/>
          <w:bCs/>
          <w:sz w:val="24"/>
          <w:lang w:val="zh-CN"/>
        </w:rPr>
        <w:t xml:space="preserve">决。协商不成的，任何一方均可向甲方所在地的人民法院起诉。</w:t>
      </w:r>
      <w:r/>
    </w:p>
    <w:p>
      <w:pPr>
        <w:spacing w:line="360" w:lineRule="auto"/>
        <w:rPr>
          <w:rFonts w:hint="eastAsia" w:ascii="宋体" w:hAnsi="宋体"/>
          <w:bCs/>
          <w:sz w:val="24"/>
          <w:lang w:val="zh-CN"/>
        </w:rPr>
      </w:pPr>
      <w:r>
        <w:rPr>
          <w:rFonts w:hint="eastAsia" w:ascii="宋体" w:hAnsi="宋体"/>
          <w:bCs/>
          <w:sz w:val="24"/>
          <w:lang w:val="zh-CN"/>
        </w:rPr>
        <w:t xml:space="preserve">十二、合同的解除：</w:t>
      </w:r>
      <w:r/>
    </w:p>
    <w:p>
      <w:pPr>
        <w:ind w:firstLine="480"/>
        <w:spacing w:line="360" w:lineRule="auto"/>
        <w:rPr>
          <w:rFonts w:hint="eastAsia" w:ascii="宋体" w:hAnsi="宋体"/>
          <w:bCs/>
          <w:sz w:val="24"/>
          <w:lang w:val="zh-CN"/>
        </w:rPr>
      </w:pPr>
      <w:r>
        <w:rPr>
          <w:rFonts w:hint="eastAsia" w:ascii="宋体" w:hAnsi="宋体"/>
          <w:bCs/>
          <w:sz w:val="24"/>
          <w:lang w:val="zh-CN"/>
        </w:rPr>
        <w:t xml:space="preserve">1.</w:t>
      </w:r>
      <w:r>
        <w:rPr>
          <w:rFonts w:hint="eastAsia" w:ascii="宋体" w:hAnsi="宋体" w:cs="宋体"/>
          <w:sz w:val="24"/>
        </w:rPr>
        <w:t xml:space="preserve">除《政府采购法》第49条、第50条第二款规定的情形及本合同约定的情形外，本合同签订后，甲乙双方不得擅自变更、解除或终止本合同</w:t>
      </w:r>
      <w:r>
        <w:rPr>
          <w:rFonts w:hint="eastAsia" w:ascii="宋体" w:hAnsi="宋体"/>
          <w:bCs/>
          <w:sz w:val="24"/>
          <w:lang w:val="zh-CN"/>
        </w:rPr>
        <w:t xml:space="preserve">。</w:t>
      </w:r>
      <w:r/>
    </w:p>
    <w:p>
      <w:pPr>
        <w:ind w:firstLine="480"/>
        <w:spacing w:line="360" w:lineRule="auto"/>
        <w:rPr>
          <w:rFonts w:hint="eastAsia" w:ascii="宋体" w:hAnsi="宋体"/>
          <w:bCs/>
          <w:sz w:val="24"/>
          <w:lang w:val="zh-CN"/>
        </w:rPr>
      </w:pPr>
      <w:r>
        <w:rPr>
          <w:rFonts w:hint="eastAsia" w:ascii="宋体" w:hAnsi="宋体"/>
          <w:bCs/>
          <w:sz w:val="24"/>
          <w:lang w:val="zh-CN"/>
        </w:rPr>
        <w:t xml:space="preserve">2.有下列情形之一，合同一方可以解除合同：</w:t>
      </w:r>
      <w:r/>
    </w:p>
    <w:p>
      <w:pPr>
        <w:ind w:firstLine="480"/>
        <w:spacing w:line="360" w:lineRule="auto"/>
        <w:rPr>
          <w:rFonts w:hint="eastAsia" w:ascii="宋体" w:hAnsi="宋体"/>
          <w:bCs/>
          <w:sz w:val="24"/>
          <w:lang w:val="zh-CN"/>
        </w:rPr>
      </w:pPr>
      <w:r>
        <w:rPr>
          <w:rFonts w:hint="eastAsia" w:ascii="宋体" w:hAnsi="宋体"/>
          <w:bCs/>
          <w:sz w:val="24"/>
          <w:lang w:val="zh-CN"/>
        </w:rPr>
        <w:t xml:space="preserve">2.1因不可抗力致使不能实现合同目的，未受不可抗力影响的一方有权解除合同；</w:t>
      </w:r>
      <w:r/>
    </w:p>
    <w:p>
      <w:pPr>
        <w:ind w:firstLine="480"/>
        <w:spacing w:line="360" w:lineRule="auto"/>
        <w:rPr>
          <w:rFonts w:hint="eastAsia" w:ascii="宋体" w:hAnsi="宋体"/>
          <w:bCs/>
          <w:sz w:val="24"/>
          <w:lang w:val="zh-CN"/>
        </w:rPr>
      </w:pPr>
      <w:r>
        <w:rPr>
          <w:rFonts w:hint="eastAsia" w:ascii="宋体" w:hAnsi="宋体"/>
          <w:bCs/>
          <w:sz w:val="24"/>
          <w:lang w:val="zh-CN"/>
        </w:rPr>
        <w:t xml:space="preserve">2.2因合同一方违约导致合同不能履行，另一方有权解除合同。</w:t>
      </w:r>
      <w:r/>
    </w:p>
    <w:p>
      <w:pPr>
        <w:ind w:firstLine="480"/>
        <w:spacing w:line="360" w:lineRule="auto"/>
        <w:rPr>
          <w:rFonts w:hint="eastAsia" w:ascii="宋体" w:hAnsi="宋体"/>
          <w:bCs/>
          <w:sz w:val="24"/>
          <w:lang w:val="zh-CN"/>
        </w:rPr>
      </w:pPr>
      <w:r>
        <w:rPr>
          <w:rFonts w:hint="eastAsia" w:ascii="宋体" w:hAnsi="宋体"/>
          <w:bCs/>
          <w:sz w:val="24"/>
          <w:lang w:val="zh-CN"/>
        </w:rPr>
        <w:t xml:space="preserve">3.有权解除合同的一方，应当在违约事实或不可抗力发生之后三十天内书面通知对方提出解除合同，合同在书面通知到达对方时解除。</w:t>
      </w:r>
      <w:r/>
    </w:p>
    <w:p>
      <w:pPr>
        <w:spacing w:line="360" w:lineRule="auto"/>
        <w:rPr>
          <w:rFonts w:hint="eastAsia" w:ascii="宋体" w:hAnsi="宋体"/>
          <w:bCs/>
          <w:sz w:val="24"/>
          <w:lang w:val="zh-CN"/>
        </w:rPr>
      </w:pPr>
      <w:r>
        <w:rPr>
          <w:rFonts w:hint="eastAsia" w:ascii="宋体" w:hAnsi="宋体"/>
          <w:bCs/>
          <w:sz w:val="24"/>
        </w:rPr>
        <w:t xml:space="preserve">十三</w:t>
      </w:r>
      <w:r>
        <w:rPr>
          <w:rFonts w:hint="eastAsia" w:ascii="宋体" w:hAnsi="宋体"/>
          <w:bCs/>
          <w:sz w:val="24"/>
          <w:lang w:val="zh-CN"/>
        </w:rPr>
        <w:t xml:space="preserve">、其它约定事项：</w:t>
      </w:r>
      <w:r/>
    </w:p>
    <w:p>
      <w:pPr>
        <w:ind w:firstLine="480"/>
        <w:spacing w:line="360" w:lineRule="auto"/>
        <w:rPr>
          <w:rFonts w:hint="eastAsia" w:ascii="宋体" w:hAnsi="宋体"/>
          <w:bCs/>
          <w:sz w:val="24"/>
          <w:lang w:val="zh-CN"/>
        </w:rPr>
      </w:pPr>
      <w:r>
        <w:rPr>
          <w:rFonts w:hint="eastAsia" w:ascii="宋体" w:hAnsi="宋体"/>
          <w:bCs/>
          <w:sz w:val="24"/>
          <w:lang w:val="zh-CN"/>
        </w:rPr>
        <w:t xml:space="preserve">1.下列文件为本合同不可分割部分：</w:t>
      </w:r>
      <w:r/>
    </w:p>
    <w:p>
      <w:pPr>
        <w:ind w:firstLine="480"/>
        <w:spacing w:line="360" w:lineRule="auto"/>
        <w:rPr>
          <w:rFonts w:hint="eastAsia" w:ascii="宋体" w:hAnsi="宋体"/>
          <w:bCs/>
          <w:sz w:val="24"/>
          <w:lang w:val="zh-CN"/>
        </w:rPr>
      </w:pPr>
      <w:r>
        <w:rPr>
          <w:rFonts w:hint="eastAsia" w:ascii="宋体" w:hAnsi="宋体"/>
          <w:bCs/>
          <w:sz w:val="24"/>
          <w:lang w:val="zh-CN"/>
        </w:rPr>
        <w:t xml:space="preserve">1.1成交通知书；</w:t>
      </w:r>
      <w:r/>
    </w:p>
    <w:p>
      <w:pPr>
        <w:ind w:firstLine="480"/>
        <w:spacing w:line="360" w:lineRule="auto"/>
        <w:rPr>
          <w:rFonts w:hint="eastAsia" w:ascii="宋体" w:hAnsi="宋体"/>
          <w:bCs/>
          <w:sz w:val="24"/>
          <w:lang w:val="zh-CN"/>
        </w:rPr>
      </w:pPr>
      <w:r>
        <w:rPr>
          <w:rFonts w:hint="eastAsia" w:ascii="宋体" w:hAnsi="宋体"/>
          <w:bCs/>
          <w:sz w:val="24"/>
          <w:lang w:val="zh-CN"/>
        </w:rPr>
        <w:t xml:space="preserve">1.2乙方的磋商响应文件；</w:t>
      </w:r>
      <w:r/>
    </w:p>
    <w:p>
      <w:pPr>
        <w:ind w:firstLine="480"/>
        <w:spacing w:line="360" w:lineRule="auto"/>
        <w:rPr>
          <w:rFonts w:hint="eastAsia" w:ascii="宋体" w:hAnsi="宋体"/>
          <w:bCs/>
          <w:sz w:val="24"/>
          <w:lang w:val="zh-CN"/>
        </w:rPr>
      </w:pPr>
      <w:r>
        <w:rPr>
          <w:rFonts w:hint="eastAsia" w:ascii="宋体" w:hAnsi="宋体"/>
          <w:bCs/>
          <w:sz w:val="24"/>
          <w:lang w:val="zh-CN"/>
        </w:rPr>
        <w:t xml:space="preserve">1.3乙方在磋商过程中所作的其它承诺、声明、书面澄清等；</w:t>
      </w:r>
      <w:r/>
    </w:p>
    <w:p>
      <w:pPr>
        <w:ind w:firstLine="480"/>
        <w:spacing w:line="360" w:lineRule="auto"/>
        <w:rPr>
          <w:rFonts w:hint="eastAsia" w:ascii="宋体" w:hAnsi="宋体"/>
          <w:bCs/>
          <w:sz w:val="24"/>
          <w:lang w:val="zh-CN"/>
        </w:rPr>
      </w:pPr>
      <w:r>
        <w:rPr>
          <w:rFonts w:hint="eastAsia" w:ascii="宋体" w:hAnsi="宋体"/>
          <w:bCs/>
          <w:sz w:val="24"/>
          <w:lang w:val="zh-CN"/>
        </w:rPr>
        <w:t xml:space="preserve">1.4竞争性磋商文件及其附件；</w:t>
      </w:r>
      <w:r/>
    </w:p>
    <w:p>
      <w:pPr>
        <w:ind w:firstLine="480"/>
        <w:spacing w:line="360" w:lineRule="auto"/>
        <w:rPr>
          <w:rFonts w:hint="eastAsia" w:ascii="宋体" w:hAnsi="宋体"/>
          <w:bCs/>
          <w:sz w:val="24"/>
          <w:lang w:val="zh-CN"/>
        </w:rPr>
      </w:pPr>
      <w:r>
        <w:rPr>
          <w:rFonts w:hint="eastAsia" w:ascii="宋体" w:hAnsi="宋体"/>
          <w:bCs/>
          <w:sz w:val="24"/>
          <w:lang w:val="zh-CN"/>
        </w:rPr>
        <w:t xml:space="preserve">1.5合同附件；</w:t>
      </w:r>
      <w:r/>
    </w:p>
    <w:p>
      <w:pPr>
        <w:ind w:firstLine="480"/>
        <w:spacing w:line="360" w:lineRule="auto"/>
        <w:rPr>
          <w:rFonts w:hint="eastAsia" w:ascii="宋体" w:hAnsi="宋体"/>
          <w:bCs/>
          <w:sz w:val="24"/>
          <w:lang w:val="zh-CN"/>
        </w:rPr>
      </w:pPr>
      <w:r>
        <w:rPr>
          <w:rFonts w:hint="eastAsia" w:ascii="宋体" w:hAnsi="宋体"/>
          <w:bCs/>
          <w:sz w:val="24"/>
          <w:lang w:val="zh-CN"/>
        </w:rPr>
        <w:t xml:space="preserve">以上与本合同具有同等法律效力。</w:t>
      </w:r>
      <w:r/>
    </w:p>
    <w:p>
      <w:pPr>
        <w:ind w:firstLine="480"/>
        <w:spacing w:line="360" w:lineRule="auto"/>
        <w:rPr>
          <w:rFonts w:hint="eastAsia" w:ascii="宋体" w:hAnsi="宋体"/>
          <w:bCs/>
          <w:sz w:val="24"/>
          <w:lang w:val="zh-CN"/>
        </w:rPr>
      </w:pPr>
      <w:r>
        <w:rPr>
          <w:rFonts w:hint="eastAsia" w:ascii="宋体" w:hAnsi="宋体"/>
          <w:bCs/>
          <w:sz w:val="24"/>
          <w:lang w:val="zh-CN"/>
        </w:rPr>
        <w:t xml:space="preserve">2.乙方除应做好服务人员的安全教育外，还应为服务人员提供必要的劳动保护条件，为服务人员办理作业时的人身安全保险和意外伤害险，一切安全责任事故均由乙方负责（保险种类由乙方自行选择）。</w:t>
      </w:r>
      <w:r/>
    </w:p>
    <w:p>
      <w:pPr>
        <w:spacing w:line="360" w:lineRule="auto"/>
        <w:rPr>
          <w:rFonts w:hint="eastAsia" w:ascii="宋体" w:hAnsi="宋体"/>
          <w:bCs/>
          <w:sz w:val="24"/>
          <w:lang w:val="zh-CN"/>
        </w:rPr>
      </w:pPr>
      <w:r>
        <w:rPr>
          <w:rFonts w:hint="eastAsia" w:ascii="宋体" w:hAnsi="宋体"/>
          <w:bCs/>
          <w:sz w:val="24"/>
          <w:lang w:val="zh-CN"/>
        </w:rPr>
        <w:t xml:space="preserve">十</w:t>
      </w:r>
      <w:r>
        <w:rPr>
          <w:rFonts w:hint="eastAsia" w:ascii="宋体" w:hAnsi="宋体"/>
          <w:bCs/>
          <w:sz w:val="24"/>
        </w:rPr>
        <w:t xml:space="preserve">四</w:t>
      </w:r>
      <w:r>
        <w:rPr>
          <w:rFonts w:hint="eastAsia" w:ascii="宋体" w:hAnsi="宋体"/>
          <w:bCs/>
          <w:sz w:val="24"/>
          <w:lang w:val="zh-CN"/>
        </w:rPr>
        <w:t xml:space="preserve">、合同的生效：</w:t>
      </w:r>
      <w:r/>
    </w:p>
    <w:p>
      <w:pPr>
        <w:ind w:firstLine="480"/>
        <w:spacing w:line="360" w:lineRule="auto"/>
        <w:rPr>
          <w:rFonts w:hint="eastAsia" w:ascii="宋体" w:hAnsi="宋体"/>
          <w:bCs/>
          <w:sz w:val="24"/>
          <w:lang w:val="zh-CN"/>
        </w:rPr>
      </w:pPr>
      <w:r>
        <w:rPr>
          <w:rFonts w:hint="eastAsia" w:ascii="宋体" w:hAnsi="宋体"/>
          <w:bCs/>
          <w:sz w:val="24"/>
          <w:lang w:val="zh-CN"/>
        </w:rPr>
        <w:t xml:space="preserve">本合同经甲乙双方签字并加盖公章（或合同章）后即生效，生效后网上备案。</w:t>
      </w:r>
      <w:r/>
    </w:p>
    <w:p>
      <w:pPr>
        <w:spacing w:line="360" w:lineRule="auto"/>
        <w:rPr>
          <w:rFonts w:hint="eastAsia" w:ascii="宋体" w:hAnsi="宋体"/>
          <w:bCs/>
          <w:sz w:val="24"/>
          <w:lang w:val="zh-CN"/>
        </w:rPr>
      </w:pPr>
      <w:r>
        <w:rPr>
          <w:rFonts w:hint="eastAsia" w:ascii="宋体" w:hAnsi="宋体"/>
          <w:bCs/>
          <w:sz w:val="24"/>
          <w:lang w:val="zh-CN"/>
        </w:rPr>
        <w:t xml:space="preserve">十</w:t>
      </w:r>
      <w:r>
        <w:rPr>
          <w:rFonts w:hint="eastAsia" w:ascii="宋体" w:hAnsi="宋体"/>
          <w:bCs/>
          <w:sz w:val="24"/>
        </w:rPr>
        <w:t xml:space="preserve">五</w:t>
      </w:r>
      <w:r>
        <w:rPr>
          <w:rFonts w:hint="eastAsia" w:ascii="宋体" w:hAnsi="宋体"/>
          <w:bCs/>
          <w:sz w:val="24"/>
          <w:lang w:val="zh-CN"/>
        </w:rPr>
        <w:t xml:space="preserve">、附则：</w:t>
      </w:r>
      <w:r/>
    </w:p>
    <w:p>
      <w:pPr>
        <w:ind w:firstLine="480"/>
        <w:spacing w:line="360" w:lineRule="auto"/>
        <w:rPr>
          <w:rFonts w:hint="eastAsia" w:ascii="宋体" w:hAnsi="宋体"/>
          <w:bCs/>
          <w:sz w:val="24"/>
          <w:lang w:val="zh-CN" w:eastAsia="zh-TW"/>
        </w:rPr>
      </w:pPr>
      <w:r>
        <w:rPr>
          <w:rFonts w:hint="eastAsia" w:ascii="宋体" w:hAnsi="宋体"/>
          <w:bCs/>
          <w:sz w:val="24"/>
          <w:lang w:val="zh-CN" w:eastAsia="zh-TW"/>
        </w:rPr>
        <w:t xml:space="preserve">1.合同份数：本合同一式伍份，甲方贰份，乙方壹份，采购代理机构壹份，政府采购管理部门壹份。</w:t>
      </w:r>
      <w:r/>
    </w:p>
    <w:p>
      <w:pPr>
        <w:ind w:firstLine="480"/>
        <w:spacing w:line="360" w:lineRule="auto"/>
        <w:rPr>
          <w:rFonts w:hint="eastAsia" w:ascii="宋体" w:hAnsi="宋体"/>
          <w:bCs/>
          <w:sz w:val="24"/>
          <w:lang w:val="zh-CN" w:eastAsia="zh-TW"/>
        </w:rPr>
      </w:pPr>
      <w:r>
        <w:rPr>
          <w:rFonts w:hint="eastAsia" w:ascii="宋体" w:hAnsi="宋体"/>
          <w:bCs/>
          <w:sz w:val="24"/>
          <w:lang w:val="zh-CN" w:eastAsia="zh-TW"/>
        </w:rPr>
        <w:t xml:space="preserve">2.未尽事宜：本合同未尽事宜应按《中华人民共和国民法典》、《中华人民共和国政府采购法》以及其他相关法律、法规之规定解释。</w:t>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b/>
          <w:bCs/>
          <w:sz w:val="24"/>
        </w:rPr>
      </w:pPr>
      <w:r>
        <w:rPr>
          <w:rFonts w:hint="eastAsia" w:ascii="宋体" w:hAnsi="宋体" w:cs="宋体"/>
          <w:b/>
          <w:sz w:val="24"/>
        </w:rPr>
        <w:t xml:space="preserve">甲方签章：</w:t>
      </w:r>
      <w:r/>
    </w:p>
    <w:p>
      <w:pPr>
        <w:spacing w:line="360" w:lineRule="auto"/>
        <w:rPr>
          <w:rFonts w:hint="eastAsia" w:ascii="宋体" w:hAnsi="宋体" w:cs="宋体"/>
          <w:b/>
          <w:sz w:val="24"/>
        </w:rPr>
      </w:pPr>
      <w:r>
        <w:rPr>
          <w:rFonts w:hint="eastAsia" w:ascii="宋体" w:hAnsi="宋体" w:cs="宋体"/>
          <w:b/>
          <w:sz w:val="24"/>
        </w:rPr>
        <w:t xml:space="preserve">法人/授权代表：</w:t>
      </w:r>
      <w:r/>
    </w:p>
    <w:p>
      <w:pP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t xml:space="preserve">乙方签章：</w:t>
      </w:r>
      <w:r/>
    </w:p>
    <w:p>
      <w:pPr>
        <w:spacing w:line="360" w:lineRule="auto"/>
        <w:rPr>
          <w:rFonts w:hint="eastAsia" w:ascii="宋体" w:hAnsi="宋体" w:cs="宋体"/>
          <w:b/>
          <w:sz w:val="24"/>
        </w:rPr>
      </w:pPr>
      <w:r>
        <w:rPr>
          <w:rFonts w:hint="eastAsia" w:ascii="宋体" w:hAnsi="宋体" w:cs="宋体"/>
          <w:b/>
          <w:sz w:val="24"/>
        </w:rPr>
        <w:t xml:space="preserve">法人/授权代表：</w:t>
      </w:r>
      <w:r/>
    </w:p>
    <w:p>
      <w:pPr>
        <w:spacing w:line="360" w:lineRule="auto"/>
        <w:rPr>
          <w:rFonts w:hint="eastAsia" w:ascii="宋体" w:hAnsi="宋体" w:cs="宋体"/>
          <w:b/>
          <w:sz w:val="24"/>
        </w:rPr>
      </w:pPr>
      <w:r>
        <w:rPr>
          <w:rFonts w:hint="eastAsia" w:ascii="宋体" w:hAnsi="宋体" w:cs="宋体"/>
          <w:b/>
          <w:sz w:val="24"/>
        </w:rPr>
      </w:r>
      <w:r/>
    </w:p>
    <w:p>
      <w:pPr>
        <w:jc w:val="left"/>
        <w:spacing w:line="360" w:lineRule="auto"/>
        <w:widowControl/>
        <w:rPr>
          <w:rFonts w:hint="eastAsia" w:ascii="宋体" w:hAnsi="宋体" w:cs="宋体"/>
          <w:b/>
          <w:sz w:val="24"/>
        </w:rPr>
      </w:pPr>
      <w:r>
        <w:rPr>
          <w:rFonts w:hint="eastAsia" w:ascii="宋体" w:hAnsi="宋体" w:cs="宋体"/>
          <w:b/>
          <w:sz w:val="24"/>
        </w:rPr>
        <w:t xml:space="preserve">签订日期：      年     月    日</w:t>
      </w:r>
      <w:r/>
    </w:p>
    <w:p>
      <w:pPr>
        <w:pStyle w:val="1006"/>
        <w:ind w:left="0" w:firstLine="0"/>
        <w:jc w:val="center"/>
        <w:spacing w:line="360" w:lineRule="auto"/>
        <w:rPr>
          <w:rStyle w:val="810"/>
          <w:rFonts w:hint="eastAsia" w:ascii="宋体" w:hAnsi="宋体" w:eastAsia="宋体" w:cs="宋体"/>
          <w:sz w:val="24"/>
        </w:rPr>
      </w:pPr>
      <w:r>
        <w:rPr>
          <w:rStyle w:val="810"/>
          <w:rFonts w:ascii="宋体" w:hAnsi="宋体" w:eastAsia="宋体" w:cs="宋体"/>
          <w:sz w:val="24"/>
        </w:rPr>
        <w:br w:type="page" w:clear="all"/>
      </w:r>
      <w:r>
        <w:rPr>
          <w:rStyle w:val="810"/>
          <w:rFonts w:hint="eastAsia" w:ascii="宋体" w:hAnsi="宋体" w:eastAsia="宋体" w:cs="宋体"/>
          <w:sz w:val="24"/>
        </w:rPr>
        <w:t xml:space="preserve">第五章 </w:t>
      </w:r>
      <w:bookmarkStart w:id="42" w:name="OLE_LINK13"/>
      <w:r>
        <w:rPr>
          <w:rStyle w:val="810"/>
          <w:rFonts w:hint="eastAsia" w:ascii="宋体" w:hAnsi="宋体" w:eastAsia="宋体" w:cs="宋体"/>
          <w:sz w:val="24"/>
        </w:rPr>
        <w:t xml:space="preserve">响应文件格式（部分）</w:t>
      </w:r>
      <w:bookmarkEnd w:id="42"/>
      <w:r/>
      <w:r/>
    </w:p>
    <w:p>
      <w:pPr>
        <w:spacing w:line="360" w:lineRule="auto"/>
        <w:rPr>
          <w:rFonts w:hint="eastAsia"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r>
      <w:r/>
    </w:p>
    <w:p>
      <w:pPr>
        <w:spacing w:line="360" w:lineRule="auto"/>
        <w:rPr>
          <w:rFonts w:hint="eastAsia"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说明：</w:t>
      </w:r>
      <w:r/>
    </w:p>
    <w:p>
      <w:pPr>
        <w:ind w:firstLine="42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对本章所有的格式，</w:t>
      </w:r>
      <w:r>
        <w:rPr>
          <w:rFonts w:ascii="宋体" w:hAnsi="宋体" w:cs="宋体"/>
          <w:sz w:val="24"/>
        </w:rPr>
        <w:t xml:space="preserve">响应单位</w:t>
      </w:r>
      <w:r>
        <w:rPr>
          <w:rFonts w:ascii="宋体" w:hAnsi="宋体" w:cs="宋体"/>
          <w:sz w:val="24"/>
        </w:rPr>
        <w:t xml:space="preserve">可根据自身情况进行补充和修改，但补充和修改不得造成与本格式内容有实质性的违背。</w:t>
      </w:r>
      <w:r/>
    </w:p>
    <w:p>
      <w:pPr>
        <w:spacing w:line="360" w:lineRule="auto"/>
        <w:rPr>
          <w:rFonts w:hint="eastAsia" w:ascii="宋体" w:hAnsi="宋体" w:cs="宋体"/>
          <w:sz w:val="24"/>
          <w:szCs w:val="24"/>
        </w:rPr>
      </w:pPr>
      <w:r>
        <w:rPr>
          <w:rStyle w:val="810"/>
          <w:rFonts w:hint="eastAsia" w:ascii="宋体" w:hAnsi="宋体" w:cs="宋体"/>
          <w:sz w:val="24"/>
          <w:szCs w:val="24"/>
        </w:rPr>
        <w:br w:type="page" w:clear="all"/>
      </w:r>
      <w:r>
        <w:rPr>
          <w:rFonts w:hint="eastAsia" w:ascii="宋体" w:hAnsi="宋体" w:cs="宋体"/>
          <w:b/>
          <w:sz w:val="24"/>
          <w:szCs w:val="24"/>
        </w:rPr>
        <w:t xml:space="preserve">1、磋商响应函</w:t>
      </w:r>
      <w:r>
        <w:rPr>
          <w:rFonts w:hint="eastAsia" w:ascii="宋体" w:hAnsi="宋体" w:cs="宋体"/>
          <w:sz w:val="24"/>
          <w:szCs w:val="24"/>
        </w:rPr>
        <w:t xml:space="preserve">：</w:t>
      </w:r>
      <w:r/>
    </w:p>
    <w:p>
      <w:pPr>
        <w:jc w:val="center"/>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磋商响应函</w:t>
      </w:r>
      <w:r/>
    </w:p>
    <w:p>
      <w:pPr>
        <w:spacing w:line="360" w:lineRule="auto"/>
        <w:rPr>
          <w:rFonts w:hint="eastAsia" w:ascii="宋体" w:hAnsi="宋体"/>
          <w:b/>
        </w:rPr>
        <w:pBdr>
          <w:top w:val="none" w:color="000000" w:sz="4" w:space="0"/>
          <w:left w:val="none" w:color="000000" w:sz="4" w:space="0"/>
          <w:bottom w:val="none" w:color="000000" w:sz="4" w:space="0"/>
          <w:right w:val="none" w:color="000000" w:sz="4" w:space="0"/>
        </w:pBdr>
      </w:pPr>
      <w:r>
        <w:rPr>
          <w:rFonts w:ascii="宋体" w:hAnsi="宋体" w:cs="宋体"/>
          <w:b/>
          <w:sz w:val="24"/>
        </w:rPr>
        <w:t xml:space="preserve">致：</w:t>
      </w:r>
      <w:r>
        <w:rPr>
          <w:rFonts w:ascii="宋体" w:hAnsi="宋体" w:cs="宋体"/>
          <w:b/>
          <w:sz w:val="24"/>
          <w:u w:val="single"/>
        </w:rPr>
        <w:t xml:space="preserve">苏州</w:t>
      </w:r>
      <w:r>
        <w:rPr>
          <w:rFonts w:ascii="宋体" w:hAnsi="宋体" w:cs="宋体"/>
          <w:b/>
          <w:sz w:val="24"/>
          <w:u w:val="single"/>
        </w:rPr>
        <w:t xml:space="preserve">润启招</w:t>
      </w:r>
      <w:r>
        <w:rPr>
          <w:rFonts w:ascii="宋体" w:hAnsi="宋体" w:cs="宋体"/>
          <w:b/>
          <w:sz w:val="24"/>
          <w:u w:val="single"/>
        </w:rPr>
        <w:t xml:space="preserve">投标咨询服务有限公司</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我方收到贵公司</w:t>
      </w:r>
      <w:r>
        <w:rPr>
          <w:rFonts w:ascii="宋体" w:hAnsi="宋体" w:cs="宋体"/>
          <w:sz w:val="24"/>
          <w:u w:val="single"/>
        </w:rPr>
        <w:t xml:space="preserve">         </w:t>
      </w:r>
      <w:r>
        <w:rPr>
          <w:rFonts w:ascii="宋体" w:hAnsi="宋体" w:cs="宋体"/>
          <w:sz w:val="24"/>
        </w:rPr>
        <w:t xml:space="preserve">（项目编号）采购文件，经仔细阅读和研究，我方决定参加磋商活动，并向贵公司</w:t>
      </w:r>
      <w:r>
        <w:rPr>
          <w:rFonts w:ascii="宋体" w:hAnsi="宋体" w:cs="宋体"/>
          <w:sz w:val="24"/>
        </w:rPr>
        <w:t xml:space="preserve">作出</w:t>
      </w:r>
      <w:r>
        <w:rPr>
          <w:rFonts w:ascii="宋体" w:hAnsi="宋体" w:cs="宋体"/>
          <w:sz w:val="24"/>
        </w:rPr>
        <w:t xml:space="preserve">如下承诺：</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1、我方愿意按照采购文件的一切要求，提供本项目的所有内容，我方的报价包括完成本项工作所需的一切应有费用。</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2、如果我方的磋商响应文件被接受，我方将严格履行采购文件中规定的每一项要求，严格履行合同的责任和义务，保证按期、按质履行合同，完成合同所规定的全部内容。</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3、我方已详细审查并同意采购文件及更正文件（若有）中的规定。我方完全理解并同意放弃对这方面有不明及误解的权利。</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4、本磋商响应文件的有效期限为响应文件接收截止时间之日起60天。</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5、我方保证所提交的响应文件中所有资料均是真实的、准确的。若与真实情况不符，我方愿意承担由此而产生的一切后果。</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6、我方承诺若在机器码检查中被查出存在与其他响应</w:t>
      </w:r>
      <w:r>
        <w:rPr>
          <w:rFonts w:ascii="宋体" w:hAnsi="宋体" w:cs="宋体"/>
          <w:sz w:val="24"/>
        </w:rPr>
        <w:t xml:space="preserve">响应单位</w:t>
      </w:r>
      <w:r>
        <w:rPr>
          <w:rFonts w:ascii="宋体" w:hAnsi="宋体" w:cs="宋体"/>
          <w:sz w:val="24"/>
        </w:rPr>
        <w:t xml:space="preserve">机器码一致情形的，愿意承担由此产生的一切后果，包括但不限于不得参与后续本项目</w:t>
      </w:r>
      <w:r>
        <w:rPr>
          <w:rFonts w:ascii="宋体" w:hAnsi="宋体" w:cs="宋体"/>
          <w:sz w:val="24"/>
        </w:rPr>
        <w:t xml:space="preserve">因故废标后</w:t>
      </w:r>
      <w:r>
        <w:rPr>
          <w:rFonts w:ascii="宋体" w:hAnsi="宋体" w:cs="宋体"/>
          <w:sz w:val="24"/>
        </w:rPr>
        <w:t xml:space="preserve">重新开展的相关采购活动。</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7、我方承诺磋商响应文件在磋商开始后的全过程中保持有效，不作任何更改和变动。</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8、我方承诺满足《中华人民共和国政府采购法》第二十二条规定的所有条件。</w:t>
      </w:r>
      <w:r/>
    </w:p>
    <w:p>
      <w:pPr>
        <w:ind w:firstLine="42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9、与本磋商响应有关的通讯地址：</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单  位：            联 系 人： </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地  址：            邮政编码： </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联系电话：            电子邮箱：</w:t>
      </w:r>
      <w:r/>
    </w:p>
    <w:p>
      <w:pPr>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ind w:firstLine="480"/>
        <w:spacing w:line="360"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响应单位名称（公章）：</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法定代表人或被授权人：（签字或盖章）</w:t>
      </w:r>
      <w:r/>
    </w:p>
    <w:p>
      <w:pPr>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日  期：  年  月  日</w:t>
      </w:r>
      <w:r/>
    </w:p>
    <w:p>
      <w:pPr>
        <w:pStyle w:val="809"/>
        <w:rPr>
          <w:rFonts w:hint="eastAsia" w:ascii="宋体" w:hAnsi="宋体"/>
        </w:rPr>
      </w:pPr>
      <w:r>
        <w:rPr>
          <w:rFonts w:hint="eastAsia" w:ascii="宋体" w:hAnsi="宋体"/>
        </w:rPr>
      </w:r>
      <w:r/>
    </w:p>
    <w:p>
      <w:pPr>
        <w:jc w:val="left"/>
        <w:keepLines/>
        <w:keepNext/>
        <w:spacing w:line="360" w:lineRule="auto"/>
        <w:rPr>
          <w:rFonts w:hint="eastAsia" w:ascii="宋体" w:hAnsi="宋体" w:cs="宋体"/>
          <w:b/>
          <w:sz w:val="24"/>
          <w:szCs w:val="24"/>
        </w:rPr>
        <w:outlineLvl w:val="1"/>
      </w:pPr>
      <w:r>
        <w:rPr>
          <w:rFonts w:ascii="宋体" w:hAnsi="宋体"/>
          <w:szCs w:val="20"/>
        </w:rPr>
        <w:br w:type="page" w:clear="all"/>
      </w:r>
      <w:r>
        <w:rPr>
          <w:rFonts w:hint="eastAsia" w:ascii="宋体" w:hAnsi="宋体" w:cs="宋体"/>
          <w:b/>
          <w:sz w:val="24"/>
          <w:szCs w:val="24"/>
        </w:rPr>
        <w:t xml:space="preserve">2、法定代表人授权委托书</w:t>
      </w:r>
      <w:r/>
    </w:p>
    <w:p>
      <w:pPr>
        <w:ind w:firstLine="420"/>
        <w:jc w:val="center"/>
        <w:spacing w:line="360" w:lineRule="auto"/>
        <w:rPr>
          <w:rFonts w:hint="eastAsia" w:ascii="宋体" w:hAnsi="宋体" w:cs="宋体"/>
          <w:sz w:val="24"/>
          <w:szCs w:val="24"/>
        </w:rPr>
      </w:pPr>
      <w:r>
        <w:rPr>
          <w:rFonts w:hint="eastAsia" w:ascii="宋体" w:hAnsi="宋体" w:cs="宋体"/>
          <w:b/>
          <w:sz w:val="24"/>
          <w:szCs w:val="24"/>
        </w:rPr>
        <w:t xml:space="preserve">授权委托书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本授权委托书声明：我 </w:t>
      </w:r>
      <w:r>
        <w:rPr>
          <w:rFonts w:hint="eastAsia" w:ascii="宋体" w:hAnsi="宋体" w:cs="宋体"/>
          <w:sz w:val="24"/>
          <w:szCs w:val="24"/>
          <w:u w:val="single"/>
        </w:rPr>
        <w:t xml:space="preserve">         </w:t>
      </w:r>
      <w:r>
        <w:rPr>
          <w:rFonts w:hint="eastAsia" w:ascii="宋体" w:hAnsi="宋体" w:cs="宋体"/>
          <w:sz w:val="24"/>
          <w:szCs w:val="24"/>
        </w:rPr>
        <w:t xml:space="preserve">（姓名）系</w:t>
      </w:r>
      <w:r>
        <w:rPr>
          <w:rFonts w:hint="eastAsia" w:ascii="宋体" w:hAnsi="宋体" w:cs="宋体"/>
          <w:sz w:val="24"/>
          <w:szCs w:val="24"/>
          <w:u w:val="single"/>
        </w:rPr>
        <w:t xml:space="preserve">                 </w:t>
      </w:r>
      <w:r>
        <w:rPr>
          <w:rFonts w:hint="eastAsia" w:ascii="宋体" w:hAnsi="宋体" w:cs="宋体"/>
          <w:sz w:val="24"/>
          <w:szCs w:val="24"/>
        </w:rPr>
        <w:t xml:space="preserve">（响应单位名称）的法定代表人，现授权委托</w:t>
      </w:r>
      <w:r>
        <w:rPr>
          <w:rFonts w:hint="eastAsia" w:ascii="宋体" w:hAnsi="宋体" w:cs="宋体"/>
          <w:sz w:val="24"/>
          <w:szCs w:val="24"/>
          <w:u w:val="single"/>
        </w:rPr>
        <w:t xml:space="preserve">                 </w:t>
      </w:r>
      <w:r>
        <w:rPr>
          <w:rFonts w:hint="eastAsia" w:ascii="宋体" w:hAnsi="宋体" w:cs="宋体"/>
          <w:sz w:val="24"/>
          <w:szCs w:val="24"/>
        </w:rPr>
        <w:t xml:space="preserve">（单位名称）的</w:t>
      </w:r>
      <w:r>
        <w:rPr>
          <w:rFonts w:hint="eastAsia" w:ascii="宋体" w:hAnsi="宋体" w:cs="宋体"/>
          <w:sz w:val="24"/>
          <w:szCs w:val="24"/>
          <w:u w:val="single"/>
        </w:rPr>
        <w:t xml:space="preserve">         </w:t>
      </w:r>
      <w:r>
        <w:rPr>
          <w:rFonts w:hint="eastAsia" w:ascii="宋体" w:hAnsi="宋体" w:cs="宋体"/>
          <w:sz w:val="24"/>
          <w:szCs w:val="24"/>
        </w:rPr>
        <w:t xml:space="preserve">（姓名）为我公司代理人，以本公司的名义参加苏州</w:t>
      </w:r>
      <w:r>
        <w:rPr>
          <w:rFonts w:hint="eastAsia" w:ascii="宋体" w:hAnsi="宋体" w:cs="宋体"/>
          <w:sz w:val="24"/>
          <w:szCs w:val="24"/>
        </w:rPr>
        <w:t xml:space="preserve">润启招</w:t>
      </w:r>
      <w:r>
        <w:rPr>
          <w:rFonts w:hint="eastAsia" w:ascii="宋体" w:hAnsi="宋体" w:cs="宋体"/>
          <w:sz w:val="24"/>
          <w:szCs w:val="24"/>
        </w:rPr>
        <w:t xml:space="preserve">投标咨询服务有限公司组织实施的编号为</w:t>
      </w:r>
      <w:r>
        <w:rPr>
          <w:rFonts w:hint="eastAsia" w:ascii="宋体" w:hAnsi="宋体" w:cs="宋体"/>
          <w:sz w:val="24"/>
          <w:szCs w:val="24"/>
          <w:u w:val="single"/>
        </w:rPr>
        <w:t xml:space="preserve">          </w:t>
      </w:r>
      <w:r>
        <w:rPr>
          <w:rFonts w:hint="eastAsia" w:ascii="宋体" w:hAnsi="宋体" w:cs="宋体"/>
          <w:sz w:val="24"/>
          <w:szCs w:val="24"/>
        </w:rPr>
        <w:t xml:space="preserve">号的采购活动。代理人在开标、评标、合同谈判过程中所签署的一切文件和处理与这有关的一切事务，我均予以承认。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代理人无转委托权。特此委托。</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    </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响应单位：（盖章）</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法定代表人：（签字或盖章）</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代理人：（签字或盖章）</w:t>
      </w:r>
      <w:r/>
    </w:p>
    <w:p>
      <w:pPr>
        <w:ind w:firstLine="420"/>
        <w:spacing w:line="360" w:lineRule="auto"/>
        <w:rPr>
          <w:rFonts w:hint="eastAsia" w:ascii="宋体" w:hAnsi="宋体"/>
          <w:sz w:val="24"/>
          <w:szCs w:val="24"/>
        </w:rPr>
      </w:pPr>
      <w:r>
        <w:rPr>
          <w:rFonts w:ascii="宋体" w:hAnsi="宋体"/>
          <w:sz w:val="24"/>
          <w:szCs w:val="24"/>
        </w:rPr>
        <w:t xml:space="preserve">日期：</w:t>
      </w:r>
      <w:r>
        <w:rPr>
          <w:rFonts w:ascii="宋体" w:hAnsi="宋体" w:cs="宋体"/>
          <w:sz w:val="24"/>
        </w:rPr>
        <w:t xml:space="preserve">  年  月  日</w:t>
      </w:r>
      <w:r/>
    </w:p>
    <w:p>
      <w:pPr>
        <w:jc w:val="left"/>
        <w:spacing w:line="360" w:lineRule="auto"/>
        <w:rPr>
          <w:rFonts w:hint="eastAsia" w:ascii="宋体" w:hAnsi="宋体" w:cs="宋体"/>
          <w:b/>
          <w:sz w:val="24"/>
          <w:szCs w:val="24"/>
        </w:rPr>
      </w:pPr>
      <w:r>
        <w:rPr>
          <w:rFonts w:ascii="宋体" w:hAnsi="宋体" w:cs="宋体"/>
          <w:sz w:val="24"/>
          <w:szCs w:val="24"/>
        </w:rPr>
        <w:br w:type="page" w:clear="all"/>
      </w:r>
      <w:r>
        <w:rPr>
          <w:rFonts w:hint="eastAsia" w:ascii="宋体" w:hAnsi="宋体" w:cs="宋体"/>
          <w:b/>
          <w:sz w:val="24"/>
          <w:szCs w:val="24"/>
        </w:rPr>
        <w:t xml:space="preserve">3、开标一览表</w:t>
      </w:r>
      <w:r>
        <w:rPr>
          <w:rFonts w:hint="eastAsia" w:ascii="宋体" w:hAnsi="宋体" w:cs="宋体"/>
          <w:b/>
          <w:bCs/>
          <w:sz w:val="24"/>
        </w:rPr>
        <w:t xml:space="preserve">（按投标系统内统一格式）</w:t>
      </w:r>
      <w:r/>
    </w:p>
    <w:p>
      <w:pPr>
        <w:jc w:val="center"/>
        <w:spacing w:line="360" w:lineRule="auto"/>
        <w:rPr>
          <w:rFonts w:hint="eastAsia" w:ascii="宋体" w:hAnsi="宋体" w:cs="宋体"/>
          <w:b/>
          <w:sz w:val="24"/>
          <w:szCs w:val="24"/>
        </w:rPr>
      </w:pPr>
      <w:r>
        <w:rPr>
          <w:rFonts w:hint="eastAsia" w:ascii="宋体" w:hAnsi="宋体" w:cs="宋体"/>
          <w:b/>
          <w:sz w:val="24"/>
          <w:szCs w:val="24"/>
        </w:rPr>
        <w:t xml:space="preserve">开标一览表</w:t>
      </w:r>
      <w:r/>
    </w:p>
    <w:p>
      <w:pPr>
        <w:spacing w:line="360" w:lineRule="auto"/>
        <w:rPr>
          <w:rFonts w:hint="eastAsia" w:ascii="宋体" w:hAnsi="宋体" w:cs="宋体"/>
          <w:b/>
          <w:bCs/>
          <w:sz w:val="24"/>
          <w:szCs w:val="24"/>
          <w:u w:val="single"/>
        </w:rPr>
      </w:pPr>
      <w:r>
        <w:rPr>
          <w:rFonts w:hint="eastAsia" w:ascii="宋体" w:hAnsi="宋体" w:cs="宋体"/>
          <w:b/>
          <w:sz w:val="24"/>
          <w:szCs w:val="24"/>
        </w:rPr>
        <w:t xml:space="preserve">  </w:t>
      </w:r>
      <w:r>
        <w:rPr>
          <w:rFonts w:hint="eastAsia" w:ascii="宋体" w:hAnsi="宋体" w:cs="宋体"/>
          <w:b/>
          <w:bCs/>
          <w:sz w:val="24"/>
          <w:szCs w:val="24"/>
        </w:rPr>
        <w:t xml:space="preserve">项目编号：</w:t>
      </w:r>
      <w:r>
        <w:rPr>
          <w:rFonts w:hint="eastAsia" w:ascii="宋体" w:hAnsi="宋体" w:cs="宋体"/>
          <w:b/>
          <w:bCs/>
          <w:sz w:val="24"/>
          <w:szCs w:val="24"/>
          <w:u w:val="single"/>
        </w:rPr>
        <w:t xml:space="preserve"> </w:t>
      </w:r>
      <w:r>
        <w:rPr>
          <w:rFonts w:ascii="宋体" w:hAnsi="宋体" w:cs="宋体"/>
          <w:b/>
          <w:bCs/>
          <w:sz w:val="24"/>
          <w:szCs w:val="24"/>
          <w:u w:val="single"/>
        </w:rPr>
        <w:t xml:space="preserve">        </w:t>
      </w:r>
      <w:r>
        <w:rPr>
          <w:rFonts w:hint="eastAsia" w:ascii="宋体" w:hAnsi="宋体" w:cs="宋体"/>
          <w:b/>
          <w:bCs/>
          <w:sz w:val="24"/>
          <w:szCs w:val="24"/>
          <w:u w:val="single"/>
        </w:rPr>
        <w:t xml:space="preserve">          </w:t>
      </w:r>
      <w:r/>
    </w:p>
    <w:tbl>
      <w:tblPr>
        <w:tblW w:w="4892"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226"/>
        <w:gridCol w:w="4394"/>
        <w:gridCol w:w="2127"/>
      </w:tblGrid>
      <w:tr>
        <w:trPr>
          <w:cantSplit/>
          <w:trHeight w:val="602"/>
        </w:trPr>
        <w:tc>
          <w:tcPr>
            <w:tcBorders>
              <w:top w:val="single" w:color="000000" w:sz="4" w:space="0"/>
              <w:left w:val="single" w:color="000000" w:sz="4" w:space="0"/>
              <w:bottom w:val="single" w:color="000000" w:sz="4" w:space="0"/>
              <w:right w:val="single" w:color="000000" w:sz="4" w:space="0"/>
            </w:tcBorders>
            <w:tcW w:w="165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响应报价/元</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服务时间</w:t>
            </w:r>
            <w:r/>
          </w:p>
        </w:tc>
      </w:tr>
      <w:tr>
        <w:trPr>
          <w:cantSplit/>
          <w:trHeight w:val="671"/>
        </w:trPr>
        <w:tc>
          <w:tcPr>
            <w:tcBorders>
              <w:top w:val="single" w:color="000000" w:sz="4" w:space="0"/>
              <w:left w:val="single" w:color="000000" w:sz="4" w:space="0"/>
              <w:bottom w:val="single" w:color="000000" w:sz="4" w:space="0"/>
              <w:right w:val="single" w:color="000000" w:sz="4" w:space="0"/>
            </w:tcBorders>
            <w:tcW w:w="1655" w:type="pct"/>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2026年苏州高新区实验小学校教职工体检服务</w:t>
            </w:r>
            <w:r/>
          </w:p>
        </w:tc>
        <w:tc>
          <w:tcPr>
            <w:tcBorders>
              <w:top w:val="single" w:color="000000" w:sz="4" w:space="0"/>
              <w:left w:val="single" w:color="000000" w:sz="4" w:space="0"/>
              <w:bottom w:val="single" w:color="000000" w:sz="4" w:space="0"/>
              <w:right w:val="single" w:color="000000" w:sz="4" w:space="0"/>
            </w:tcBorders>
            <w:tcW w:w="2254" w:type="pct"/>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cantSplit/>
          <w:trHeight w:val="671"/>
        </w:trPr>
        <w:tc>
          <w:tcPr>
            <w:tcBorders>
              <w:top w:val="single" w:color="000000" w:sz="4" w:space="0"/>
              <w:left w:val="single" w:color="000000" w:sz="4" w:space="0"/>
              <w:bottom w:val="single" w:color="000000" w:sz="4" w:space="0"/>
              <w:right w:val="single" w:color="000000" w:sz="4" w:space="0"/>
            </w:tcBorders>
            <w:tcW w:w="165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响应报价</w:t>
            </w:r>
            <w:r/>
          </w:p>
        </w:tc>
        <w:tc>
          <w:tcPr>
            <w:gridSpan w:val="2"/>
            <w:tcBorders>
              <w:top w:val="single" w:color="000000" w:sz="4" w:space="0"/>
              <w:left w:val="single" w:color="000000" w:sz="4" w:space="0"/>
              <w:bottom w:val="single" w:color="000000" w:sz="4" w:space="0"/>
              <w:right w:val="single" w:color="000000" w:sz="4" w:space="0"/>
            </w:tcBorders>
            <w:tcW w:w="3345" w:type="pct"/>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大写：</w:t>
            </w:r>
            <w:r/>
          </w:p>
        </w:tc>
      </w:tr>
    </w:tbl>
    <w:p>
      <w:pPr>
        <w:ind w:firstLine="482"/>
        <w:spacing w:line="360" w:lineRule="auto"/>
        <w:rPr>
          <w:rFonts w:hint="eastAsia" w:ascii="宋体" w:hAnsi="宋体" w:cs="宋体"/>
          <w:b/>
          <w:sz w:val="24"/>
        </w:rPr>
      </w:pPr>
      <w:r>
        <w:rPr>
          <w:rFonts w:hint="eastAsia" w:ascii="宋体" w:hAnsi="宋体" w:cs="宋体"/>
          <w:b/>
          <w:sz w:val="24"/>
        </w:rPr>
      </w:r>
      <w:r/>
    </w:p>
    <w:p>
      <w:pPr>
        <w:pStyle w:val="986"/>
        <w:spacing w:line="360" w:lineRule="auto"/>
        <w:rPr>
          <w:rFonts w:hint="eastAsia" w:hAnsi="宋体" w:eastAsia="宋体" w:cs="宋体"/>
          <w:sz w:val="24"/>
          <w:szCs w:val="24"/>
          <w:lang w:eastAsia="zh-CN"/>
        </w:rPr>
      </w:pPr>
      <w:r>
        <w:rPr>
          <w:rFonts w:hint="eastAsia" w:hAnsi="宋体" w:eastAsia="宋体" w:cs="宋体"/>
          <w:sz w:val="24"/>
          <w:szCs w:val="24"/>
          <w:lang w:eastAsia="zh-CN"/>
        </w:rPr>
        <w:t xml:space="preserve">注：</w:t>
      </w:r>
      <w:r/>
    </w:p>
    <w:p>
      <w:pPr>
        <w:pStyle w:val="986"/>
        <w:ind w:firstLine="480"/>
        <w:spacing w:line="360" w:lineRule="auto"/>
        <w:rPr>
          <w:rFonts w:hint="eastAsia" w:hAnsi="宋体" w:eastAsia="宋体" w:cs="宋体"/>
          <w:sz w:val="24"/>
          <w:szCs w:val="24"/>
          <w:lang w:eastAsia="zh-CN"/>
        </w:rPr>
      </w:pPr>
      <w:r>
        <w:rPr>
          <w:rFonts w:hint="eastAsia" w:hAnsi="宋体" w:eastAsia="宋体" w:cs="宋体"/>
          <w:sz w:val="24"/>
          <w:szCs w:val="24"/>
          <w:lang w:eastAsia="zh-CN"/>
        </w:rPr>
        <w:t xml:space="preserve">1、报价金额大、小写不一致时，以大写金额为准；</w:t>
      </w:r>
      <w:r/>
    </w:p>
    <w:p>
      <w:pPr>
        <w:pStyle w:val="986"/>
        <w:ind w:firstLine="480"/>
        <w:spacing w:line="360" w:lineRule="auto"/>
        <w:rPr>
          <w:rFonts w:hint="eastAsia" w:hAnsi="宋体" w:eastAsia="宋体" w:cs="宋体"/>
          <w:sz w:val="24"/>
          <w:szCs w:val="24"/>
          <w:lang w:eastAsia="zh-CN"/>
        </w:rPr>
      </w:pPr>
      <w:r>
        <w:rPr>
          <w:rFonts w:hint="eastAsia" w:hAnsi="宋体" w:eastAsia="宋体" w:cs="宋体"/>
          <w:sz w:val="24"/>
          <w:szCs w:val="24"/>
          <w:lang w:eastAsia="zh-CN"/>
        </w:rPr>
        <w:t xml:space="preserve">2、报价金额全部采取人民币表示，响应报价精确到元；</w:t>
      </w:r>
      <w:r/>
    </w:p>
    <w:p>
      <w:pPr>
        <w:pStyle w:val="986"/>
        <w:spacing w:line="360" w:lineRule="auto"/>
        <w:rPr>
          <w:rFonts w:hint="eastAsia" w:hAnsi="宋体" w:eastAsia="宋体"/>
          <w:sz w:val="24"/>
          <w:szCs w:val="24"/>
          <w:lang w:eastAsia="zh-CN"/>
        </w:rPr>
      </w:pPr>
      <w:r>
        <w:rPr>
          <w:rFonts w:hint="eastAsia" w:hAnsi="宋体" w:eastAsia="宋体"/>
          <w:sz w:val="24"/>
          <w:szCs w:val="24"/>
          <w:lang w:eastAsia="zh-CN"/>
        </w:rPr>
      </w:r>
      <w:r/>
    </w:p>
    <w:p>
      <w:pPr>
        <w:pStyle w:val="986"/>
        <w:spacing w:line="360" w:lineRule="auto"/>
        <w:rPr>
          <w:rFonts w:hint="eastAsia" w:hAnsi="宋体" w:eastAsia="宋体"/>
          <w:sz w:val="24"/>
          <w:szCs w:val="24"/>
          <w:lang w:eastAsia="zh-CN"/>
        </w:rPr>
      </w:pPr>
      <w:r>
        <w:rPr>
          <w:rFonts w:hint="eastAsia" w:hAnsi="宋体" w:eastAsia="宋体"/>
          <w:sz w:val="24"/>
          <w:szCs w:val="24"/>
          <w:lang w:eastAsia="zh-CN"/>
        </w:rPr>
        <w:t xml:space="preserve">响应单位：（单位盖章）</w:t>
      </w:r>
      <w:r/>
    </w:p>
    <w:p>
      <w:pPr>
        <w:pStyle w:val="986"/>
        <w:spacing w:line="360" w:lineRule="auto"/>
        <w:rPr>
          <w:rFonts w:hint="eastAsia" w:hAnsi="宋体" w:eastAsia="宋体"/>
          <w:sz w:val="24"/>
          <w:szCs w:val="24"/>
          <w:lang w:eastAsia="zh-CN"/>
        </w:rPr>
      </w:pPr>
      <w:r>
        <w:rPr>
          <w:rFonts w:hint="eastAsia" w:hAnsi="宋体" w:eastAsia="宋体"/>
          <w:sz w:val="24"/>
          <w:szCs w:val="24"/>
          <w:lang w:eastAsia="zh-CN"/>
        </w:rPr>
        <w:t xml:space="preserve">法定代表人或代理人：（签字或盖章）</w:t>
      </w:r>
      <w:r/>
    </w:p>
    <w:p>
      <w:pPr>
        <w:pStyle w:val="986"/>
        <w:jc w:val="left"/>
        <w:spacing w:line="360" w:lineRule="auto"/>
        <w:rPr>
          <w:rFonts w:hint="eastAsia" w:hAnsi="宋体" w:eastAsia="宋体" w:cs="宋体"/>
          <w:b/>
          <w:sz w:val="24"/>
          <w:szCs w:val="24"/>
          <w:lang w:eastAsia="zh-CN"/>
        </w:rPr>
      </w:pPr>
      <w:r>
        <w:rPr>
          <w:rFonts w:hAnsi="宋体" w:eastAsia="宋体"/>
          <w:sz w:val="24"/>
          <w:szCs w:val="24"/>
          <w:lang w:eastAsia="zh-CN"/>
        </w:rPr>
        <w:t xml:space="preserve">日期：</w:t>
      </w:r>
      <w:r>
        <w:rPr>
          <w:rFonts w:hint="eastAsia" w:hAnsi="宋体" w:eastAsia="宋体"/>
          <w:sz w:val="24"/>
          <w:szCs w:val="24"/>
          <w:lang w:eastAsia="zh-CN"/>
        </w:rPr>
        <w:t xml:space="preserve">       年</w:t>
      </w:r>
      <w:r>
        <w:rPr>
          <w:rFonts w:hAnsi="宋体" w:eastAsia="宋体"/>
          <w:sz w:val="24"/>
          <w:szCs w:val="24"/>
          <w:lang w:eastAsia="zh-CN"/>
        </w:rPr>
        <w:t xml:space="preserve">  </w:t>
      </w:r>
      <w:r>
        <w:rPr>
          <w:rFonts w:hint="eastAsia" w:hAnsi="宋体" w:eastAsia="宋体"/>
          <w:sz w:val="24"/>
          <w:szCs w:val="24"/>
          <w:lang w:eastAsia="zh-CN"/>
        </w:rPr>
        <w:t xml:space="preserve"> </w:t>
      </w:r>
      <w:r>
        <w:rPr>
          <w:rFonts w:hAnsi="宋体" w:eastAsia="宋体"/>
          <w:sz w:val="24"/>
          <w:szCs w:val="24"/>
          <w:lang w:eastAsia="zh-CN"/>
        </w:rPr>
        <w:t xml:space="preserve">  </w:t>
      </w:r>
      <w:r>
        <w:rPr>
          <w:rFonts w:hint="eastAsia" w:hAnsi="宋体" w:eastAsia="宋体"/>
          <w:sz w:val="24"/>
          <w:szCs w:val="24"/>
          <w:lang w:eastAsia="zh-CN"/>
        </w:rPr>
        <w:t xml:space="preserve">月</w:t>
      </w:r>
      <w:r>
        <w:rPr>
          <w:rFonts w:hAnsi="宋体" w:eastAsia="宋体"/>
          <w:sz w:val="24"/>
          <w:szCs w:val="24"/>
          <w:lang w:eastAsia="zh-CN"/>
        </w:rPr>
        <w:t xml:space="preserve">     </w:t>
      </w:r>
      <w:r>
        <w:rPr>
          <w:rFonts w:hint="eastAsia" w:hAnsi="宋体" w:eastAsia="宋体"/>
          <w:sz w:val="24"/>
          <w:szCs w:val="24"/>
          <w:lang w:eastAsia="zh-CN"/>
        </w:rPr>
        <w:t xml:space="preserve">日</w:t>
      </w:r>
      <w:r/>
    </w:p>
    <w:p>
      <w:pPr>
        <w:jc w:val="left"/>
        <w:spacing w:line="360" w:lineRule="auto"/>
        <w:rPr>
          <w:rFonts w:hint="eastAsia" w:ascii="宋体" w:hAnsi="宋体" w:cs="宋体"/>
          <w:b/>
          <w:sz w:val="24"/>
          <w:szCs w:val="24"/>
        </w:rPr>
      </w:pPr>
      <w:r>
        <w:rPr>
          <w:rFonts w:ascii="宋体" w:hAnsi="宋体" w:cs="宋体"/>
          <w:b/>
          <w:sz w:val="24"/>
          <w:szCs w:val="24"/>
        </w:rPr>
        <w:br w:type="page" w:clear="all"/>
      </w:r>
      <w:r>
        <w:rPr>
          <w:rFonts w:hint="eastAsia" w:ascii="宋体" w:hAnsi="宋体" w:cs="宋体"/>
          <w:b/>
          <w:sz w:val="24"/>
          <w:szCs w:val="24"/>
        </w:rPr>
        <w:t xml:space="preserve">4、</w:t>
      </w:r>
      <w:bookmarkStart w:id="43" w:name="OLE_LINK27"/>
      <w:r/>
      <w:bookmarkStart w:id="44" w:name="OLE_LINK32"/>
      <w:r>
        <w:rPr>
          <w:rFonts w:hint="eastAsia" w:ascii="宋体" w:hAnsi="宋体" w:cs="宋体"/>
          <w:b/>
          <w:sz w:val="24"/>
          <w:szCs w:val="24"/>
        </w:rPr>
        <w:t xml:space="preserve">分项报价明细表</w:t>
      </w:r>
      <w:bookmarkEnd w:id="43"/>
      <w:r/>
      <w:bookmarkEnd w:id="44"/>
      <w:r/>
      <w:r/>
    </w:p>
    <w:p>
      <w:pPr>
        <w:jc w:val="center"/>
        <w:spacing w:line="360" w:lineRule="auto"/>
        <w:rPr>
          <w:rFonts w:hint="eastAsia" w:ascii="宋体" w:hAnsi="宋体" w:cs="宋体"/>
          <w:b/>
          <w:sz w:val="24"/>
          <w:szCs w:val="24"/>
        </w:rPr>
      </w:pPr>
      <w:r>
        <w:rPr>
          <w:rFonts w:hint="eastAsia" w:ascii="宋体" w:hAnsi="宋体" w:cs="宋体"/>
          <w:b/>
          <w:sz w:val="24"/>
          <w:szCs w:val="24"/>
        </w:rPr>
        <w:t xml:space="preserve">分项报价明细表</w:t>
      </w:r>
      <w:r/>
    </w:p>
    <w:p>
      <w:pPr>
        <w:spacing w:line="360" w:lineRule="auto"/>
        <w:rPr>
          <w:rFonts w:hint="eastAsia" w:ascii="宋体" w:hAnsi="宋体" w:cs="宋体"/>
          <w:bCs/>
          <w:sz w:val="24"/>
          <w:szCs w:val="24"/>
          <w:u w:val="single"/>
        </w:rPr>
      </w:pPr>
      <w:r>
        <w:rPr>
          <w:rFonts w:hint="eastAsia" w:ascii="宋体" w:hAnsi="宋体" w:cs="宋体"/>
          <w:bCs/>
          <w:sz w:val="24"/>
          <w:szCs w:val="24"/>
        </w:rPr>
        <w:t xml:space="preserve">项目名称：</w:t>
      </w:r>
      <w:r>
        <w:rPr>
          <w:rFonts w:hint="eastAsia" w:ascii="宋体" w:hAnsi="宋体" w:cs="宋体"/>
          <w:bCs/>
          <w:sz w:val="24"/>
          <w:szCs w:val="24"/>
          <w:u w:val="single"/>
        </w:rPr>
        <w:t xml:space="preserve">                </w:t>
      </w:r>
      <w:r>
        <w:rPr>
          <w:rFonts w:hint="eastAsia" w:ascii="宋体" w:hAnsi="宋体" w:cs="宋体"/>
          <w:bCs/>
          <w:sz w:val="24"/>
          <w:szCs w:val="24"/>
        </w:rPr>
        <w:t xml:space="preserve">                      项目编号：</w:t>
      </w:r>
      <w:r>
        <w:rPr>
          <w:rFonts w:hint="eastAsia" w:ascii="宋体" w:hAnsi="宋体" w:cs="宋体"/>
          <w:bCs/>
          <w:sz w:val="24"/>
          <w:szCs w:val="24"/>
          <w:u w:val="single"/>
        </w:rPr>
        <w:t xml:space="preserve">              </w:t>
      </w:r>
      <w:r/>
    </w:p>
    <w:p>
      <w:pPr>
        <w:spacing w:line="360" w:lineRule="auto"/>
        <w:rPr>
          <w:rFonts w:hint="eastAsia" w:ascii="宋体" w:hAnsi="宋体" w:cs="宋体"/>
          <w:bCs/>
          <w:sz w:val="24"/>
          <w:szCs w:val="24"/>
        </w:rPr>
      </w:pPr>
      <w:r>
        <w:rPr>
          <w:rFonts w:hint="eastAsia" w:ascii="宋体" w:hAnsi="宋体" w:cs="宋体"/>
          <w:bCs/>
          <w:sz w:val="24"/>
          <w:szCs w:val="24"/>
        </w:rPr>
        <w:t xml:space="preserve">报价单位：元</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5"/>
        <w:gridCol w:w="1532"/>
        <w:gridCol w:w="1526"/>
        <w:gridCol w:w="1733"/>
        <w:gridCol w:w="1634"/>
        <w:gridCol w:w="1562"/>
        <w:gridCol w:w="1130"/>
      </w:tblGrid>
      <w:tr>
        <w:trPr>
          <w:cantSplit/>
          <w:jc w:val="center"/>
          <w:trHeight w:val="680"/>
        </w:trPr>
        <w:tc>
          <w:tcPr>
            <w:tcW w:w="424" w:type="pct"/>
            <w:vAlign w:val="center"/>
            <w:textDirection w:val="lrTb"/>
            <w:noWrap w:val="false"/>
          </w:tcPr>
          <w:p>
            <w:pPr>
              <w:pStyle w:val="1027"/>
              <w:jc w:val="center"/>
              <w:rPr>
                <w:rFonts w:hint="eastAsia" w:hAnsi="宋体" w:eastAsia="宋体" w:cs="宋体"/>
                <w:sz w:val="24"/>
                <w:szCs w:val="24"/>
              </w:rPr>
            </w:pPr>
            <w:r>
              <w:rPr>
                <w:rFonts w:hint="eastAsia" w:hAnsi="宋体" w:eastAsia="宋体" w:cs="宋体"/>
                <w:sz w:val="24"/>
                <w:szCs w:val="24"/>
              </w:rPr>
              <w:t xml:space="preserve">序号</w:t>
            </w:r>
            <w:r/>
          </w:p>
        </w:tc>
        <w:tc>
          <w:tcPr>
            <w:tcW w:w="769" w:type="pct"/>
            <w:vAlign w:val="center"/>
            <w:textDirection w:val="lrTb"/>
            <w:noWrap w:val="false"/>
          </w:tcPr>
          <w:p>
            <w:pPr>
              <w:pStyle w:val="1027"/>
              <w:jc w:val="center"/>
              <w:rPr>
                <w:rFonts w:hint="eastAsia" w:hAnsi="宋体" w:eastAsia="宋体" w:cs="宋体"/>
                <w:sz w:val="24"/>
                <w:szCs w:val="24"/>
              </w:rPr>
            </w:pPr>
            <w:r>
              <w:rPr>
                <w:rFonts w:hint="eastAsia" w:hAnsi="宋体" w:eastAsia="宋体" w:cs="宋体"/>
                <w:sz w:val="24"/>
                <w:szCs w:val="24"/>
              </w:rPr>
              <w:t xml:space="preserve">费用条目</w:t>
            </w:r>
            <w:r/>
          </w:p>
        </w:tc>
        <w:tc>
          <w:tcPr>
            <w:tcW w:w="766" w:type="pct"/>
            <w:vAlign w:val="center"/>
            <w:textDirection w:val="lrTb"/>
            <w:noWrap w:val="false"/>
          </w:tcPr>
          <w:p>
            <w:pPr>
              <w:pStyle w:val="1027"/>
              <w:jc w:val="center"/>
              <w:rPr>
                <w:rFonts w:hint="eastAsia" w:hAnsi="宋体" w:eastAsia="宋体" w:cs="宋体"/>
                <w:sz w:val="24"/>
                <w:szCs w:val="24"/>
              </w:rPr>
            </w:pPr>
            <w:r>
              <w:rPr>
                <w:rFonts w:hint="eastAsia" w:hAnsi="宋体" w:eastAsia="宋体" w:cs="宋体"/>
                <w:sz w:val="24"/>
                <w:szCs w:val="24"/>
              </w:rPr>
              <w:t xml:space="preserve">暂估人数</w:t>
            </w:r>
            <w:r>
              <w:rPr>
                <w:rFonts w:hint="eastAsia" w:hAnsi="宋体" w:eastAsia="宋体" w:cs="宋体"/>
                <w:sz w:val="24"/>
                <w:szCs w:val="24"/>
              </w:rPr>
              <w:t xml:space="preserve">（人）</w:t>
            </w:r>
            <w:r/>
          </w:p>
        </w:tc>
        <w:tc>
          <w:tcPr>
            <w:tcW w:w="870" w:type="pct"/>
            <w:vAlign w:val="center"/>
            <w:textDirection w:val="lrTb"/>
            <w:noWrap w:val="false"/>
          </w:tcPr>
          <w:p>
            <w:pPr>
              <w:pStyle w:val="1027"/>
              <w:jc w:val="center"/>
              <w:rPr>
                <w:rFonts w:hint="eastAsia" w:hAnsi="宋体" w:eastAsia="宋体" w:cs="宋体"/>
                <w:sz w:val="24"/>
                <w:szCs w:val="24"/>
              </w:rPr>
            </w:pPr>
            <w:r>
              <w:rPr>
                <w:rFonts w:hint="eastAsia" w:hAnsi="宋体" w:eastAsia="宋体" w:cs="宋体"/>
                <w:sz w:val="24"/>
                <w:szCs w:val="24"/>
              </w:rPr>
              <w:t xml:space="preserve">单价</w:t>
            </w:r>
            <w:r>
              <w:rPr>
                <w:rFonts w:hint="eastAsia" w:hAnsi="宋体" w:eastAsia="宋体" w:cs="宋体"/>
                <w:sz w:val="24"/>
                <w:szCs w:val="24"/>
              </w:rPr>
              <w:t xml:space="preserve">最高限价</w:t>
            </w:r>
            <w:r/>
          </w:p>
          <w:p>
            <w:pPr>
              <w:pStyle w:val="1027"/>
              <w:jc w:val="center"/>
              <w:rPr>
                <w:rFonts w:hint="eastAsia" w:hAnsi="宋体" w:eastAsia="宋体" w:cs="宋体"/>
                <w:sz w:val="24"/>
                <w:szCs w:val="24"/>
              </w:rPr>
            </w:pPr>
            <w:r>
              <w:rPr>
                <w:rFonts w:hint="eastAsia" w:hAnsi="宋体" w:eastAsia="宋体" w:cs="宋体"/>
                <w:sz w:val="24"/>
                <w:szCs w:val="24"/>
              </w:rPr>
              <w:t xml:space="preserve">（元）</w:t>
            </w:r>
            <w:r/>
          </w:p>
        </w:tc>
        <w:tc>
          <w:tcPr>
            <w:tcW w:w="820" w:type="pct"/>
            <w:vAlign w:val="center"/>
            <w:textDirection w:val="lrTb"/>
            <w:noWrap w:val="false"/>
          </w:tcPr>
          <w:p>
            <w:pPr>
              <w:pStyle w:val="1027"/>
              <w:jc w:val="center"/>
              <w:rPr>
                <w:rFonts w:hint="eastAsia" w:hAnsi="宋体" w:eastAsia="宋体" w:cs="宋体"/>
                <w:sz w:val="24"/>
                <w:szCs w:val="24"/>
              </w:rPr>
            </w:pPr>
            <w:r>
              <w:rPr>
                <w:rFonts w:hint="eastAsia" w:hAnsi="宋体" w:eastAsia="宋体" w:cs="宋体"/>
                <w:sz w:val="24"/>
                <w:szCs w:val="24"/>
              </w:rPr>
              <w:t xml:space="preserve">单价（元）</w:t>
            </w:r>
            <w:r/>
          </w:p>
        </w:tc>
        <w:tc>
          <w:tcPr>
            <w:tcW w:w="784" w:type="pct"/>
            <w:vAlign w:val="center"/>
            <w:textDirection w:val="lrTb"/>
            <w:noWrap w:val="false"/>
          </w:tcPr>
          <w:p>
            <w:pPr>
              <w:pStyle w:val="1027"/>
              <w:jc w:val="center"/>
              <w:rPr>
                <w:rFonts w:hint="eastAsia" w:hAnsi="宋体" w:eastAsia="宋体" w:cs="宋体"/>
                <w:sz w:val="24"/>
                <w:szCs w:val="24"/>
              </w:rPr>
            </w:pPr>
            <w:r>
              <w:rPr>
                <w:rFonts w:hint="eastAsia" w:hAnsi="宋体" w:eastAsia="宋体" w:cs="宋体"/>
                <w:sz w:val="24"/>
                <w:szCs w:val="24"/>
              </w:rPr>
              <w:t xml:space="preserve">小计（元）</w:t>
            </w:r>
            <w:r/>
          </w:p>
        </w:tc>
        <w:tc>
          <w:tcPr>
            <w:tcW w:w="567" w:type="pct"/>
            <w:vAlign w:val="center"/>
            <w:textDirection w:val="lrTb"/>
            <w:noWrap w:val="false"/>
          </w:tcPr>
          <w:p>
            <w:pPr>
              <w:pStyle w:val="1027"/>
              <w:jc w:val="center"/>
              <w:rPr>
                <w:rFonts w:hint="eastAsia" w:hAnsi="宋体" w:eastAsia="宋体" w:cs="宋体"/>
                <w:sz w:val="24"/>
                <w:szCs w:val="24"/>
              </w:rPr>
            </w:pPr>
            <w:r>
              <w:rPr>
                <w:rFonts w:hint="eastAsia" w:hAnsi="宋体" w:eastAsia="宋体" w:cs="宋体"/>
                <w:sz w:val="24"/>
                <w:szCs w:val="24"/>
              </w:rPr>
              <w:t xml:space="preserve">备注</w:t>
            </w:r>
            <w:r/>
          </w:p>
        </w:tc>
      </w:tr>
      <w:tr>
        <w:trPr>
          <w:cantSplit/>
          <w:jc w:val="center"/>
          <w:trHeight w:val="680"/>
        </w:trPr>
        <w:tc>
          <w:tcPr>
            <w:tcW w:w="424" w:type="pct"/>
            <w:vAlign w:val="center"/>
            <w:textDirection w:val="lrTb"/>
            <w:noWrap w:val="false"/>
          </w:tcPr>
          <w:p>
            <w:pPr>
              <w:pStyle w:val="1027"/>
              <w:jc w:val="center"/>
              <w:rPr>
                <w:rFonts w:hint="eastAsia" w:hAnsi="宋体" w:eastAsia="宋体" w:cs="宋体"/>
                <w:sz w:val="24"/>
                <w:szCs w:val="24"/>
              </w:rPr>
            </w:pPr>
            <w:r>
              <w:rPr>
                <w:rFonts w:hint="eastAsia" w:hAnsi="宋体" w:eastAsia="宋体" w:cs="宋体"/>
                <w:sz w:val="24"/>
                <w:szCs w:val="24"/>
              </w:rPr>
              <w:t xml:space="preserve">1</w:t>
            </w:r>
            <w:r/>
          </w:p>
        </w:tc>
        <w:tc>
          <w:tcPr>
            <w:tcW w:w="769" w:type="pct"/>
            <w:vAlign w:val="center"/>
            <w:textDirection w:val="lrTb"/>
            <w:noWrap w:val="false"/>
          </w:tcPr>
          <w:p>
            <w:pPr>
              <w:pStyle w:val="1027"/>
              <w:jc w:val="center"/>
              <w:rPr>
                <w:rFonts w:hint="eastAsia" w:hAnsi="宋体" w:eastAsia="宋体" w:cs="宋体"/>
                <w:sz w:val="24"/>
                <w:szCs w:val="24"/>
              </w:rPr>
            </w:pPr>
            <w:r>
              <w:rPr>
                <w:rFonts w:hint="eastAsia" w:hAnsi="宋体" w:eastAsia="宋体" w:cs="宋体"/>
                <w:sz w:val="24"/>
                <w:szCs w:val="24"/>
              </w:rPr>
              <w:t xml:space="preserve">退休教职工</w:t>
            </w:r>
            <w:r/>
          </w:p>
        </w:tc>
        <w:tc>
          <w:tcPr>
            <w:tcW w:w="766" w:type="pct"/>
            <w:vAlign w:val="center"/>
            <w:textDirection w:val="lrTb"/>
            <w:noWrap w:val="false"/>
          </w:tcPr>
          <w:p>
            <w:pPr>
              <w:pStyle w:val="1027"/>
              <w:jc w:val="center"/>
              <w:rPr>
                <w:rFonts w:hint="eastAsia" w:hAnsi="宋体" w:eastAsia="宋体" w:cs="宋体"/>
                <w:sz w:val="24"/>
                <w:szCs w:val="24"/>
              </w:rPr>
            </w:pPr>
            <w:r>
              <w:rPr>
                <w:rFonts w:hint="eastAsia" w:hAnsi="宋体" w:eastAsia="宋体" w:cs="宋体"/>
                <w:sz w:val="24"/>
                <w:szCs w:val="24"/>
              </w:rPr>
              <w:t xml:space="preserve">4</w:t>
            </w:r>
            <w:r>
              <w:rPr>
                <w:rFonts w:hint="eastAsia" w:hAnsi="宋体" w:eastAsia="宋体" w:cs="宋体"/>
                <w:sz w:val="24"/>
                <w:szCs w:val="24"/>
              </w:rPr>
              <w:t xml:space="preserve">2</w:t>
            </w:r>
            <w:r/>
          </w:p>
        </w:tc>
        <w:tc>
          <w:tcPr>
            <w:tcW w:w="870" w:type="pct"/>
            <w:vAlign w:val="center"/>
            <w:textDirection w:val="lrTb"/>
            <w:noWrap w:val="false"/>
          </w:tcPr>
          <w:p>
            <w:pPr>
              <w:pStyle w:val="1027"/>
              <w:jc w:val="center"/>
              <w:rPr>
                <w:rFonts w:hint="eastAsia" w:hAnsi="宋体" w:eastAsia="宋体" w:cs="宋体"/>
                <w:sz w:val="24"/>
                <w:szCs w:val="24"/>
              </w:rPr>
            </w:pPr>
            <w:r>
              <w:rPr>
                <w:rFonts w:hint="eastAsia" w:hAnsi="宋体" w:eastAsia="宋体" w:cs="宋体"/>
                <w:sz w:val="24"/>
                <w:szCs w:val="24"/>
              </w:rPr>
              <w:t xml:space="preserve">1</w:t>
            </w:r>
            <w:r>
              <w:rPr>
                <w:rFonts w:hint="eastAsia" w:hAnsi="宋体" w:eastAsia="宋体" w:cs="宋体"/>
                <w:sz w:val="24"/>
                <w:szCs w:val="24"/>
              </w:rPr>
              <w:t xml:space="preserve">500</w:t>
            </w:r>
            <w:r>
              <w:rPr>
                <w:rFonts w:hint="eastAsia" w:hAnsi="宋体" w:eastAsia="宋体" w:cs="宋体"/>
                <w:sz w:val="24"/>
                <w:szCs w:val="24"/>
              </w:rPr>
              <w:t xml:space="preserve">.00</w:t>
            </w:r>
            <w:r/>
          </w:p>
        </w:tc>
        <w:tc>
          <w:tcPr>
            <w:tcW w:w="820" w:type="pct"/>
            <w:vAlign w:val="center"/>
            <w:textDirection w:val="lrTb"/>
            <w:noWrap w:val="false"/>
          </w:tcPr>
          <w:p>
            <w:pPr>
              <w:pStyle w:val="1027"/>
              <w:jc w:val="center"/>
              <w:rPr>
                <w:rFonts w:hint="eastAsia" w:hAnsi="宋体" w:eastAsia="宋体" w:cs="宋体"/>
                <w:sz w:val="24"/>
                <w:szCs w:val="24"/>
              </w:rPr>
            </w:pPr>
            <w:r>
              <w:rPr>
                <w:rFonts w:hint="eastAsia" w:hAnsi="宋体" w:eastAsia="宋体" w:cs="宋体"/>
                <w:sz w:val="24"/>
                <w:szCs w:val="24"/>
              </w:rPr>
            </w:r>
            <w:r/>
          </w:p>
        </w:tc>
        <w:tc>
          <w:tcPr>
            <w:tcW w:w="784" w:type="pct"/>
            <w:vAlign w:val="center"/>
            <w:textDirection w:val="lrTb"/>
            <w:noWrap w:val="false"/>
          </w:tcPr>
          <w:p>
            <w:pPr>
              <w:pStyle w:val="1027"/>
              <w:jc w:val="center"/>
              <w:rPr>
                <w:rFonts w:hint="eastAsia" w:hAnsi="宋体" w:eastAsia="宋体" w:cs="宋体"/>
                <w:sz w:val="24"/>
                <w:szCs w:val="24"/>
              </w:rPr>
            </w:pPr>
            <w:r>
              <w:rPr>
                <w:rFonts w:hint="eastAsia" w:hAnsi="宋体" w:eastAsia="宋体" w:cs="宋体"/>
                <w:sz w:val="24"/>
                <w:szCs w:val="24"/>
              </w:rPr>
            </w:r>
            <w:r/>
          </w:p>
        </w:tc>
        <w:tc>
          <w:tcPr>
            <w:tcW w:w="567" w:type="pct"/>
            <w:vAlign w:val="center"/>
            <w:textDirection w:val="lrTb"/>
            <w:noWrap w:val="false"/>
          </w:tcPr>
          <w:p>
            <w:pPr>
              <w:pStyle w:val="1027"/>
              <w:jc w:val="center"/>
              <w:rPr>
                <w:rFonts w:hint="eastAsia" w:hAnsi="宋体" w:eastAsia="宋体" w:cs="宋体"/>
                <w:sz w:val="24"/>
                <w:szCs w:val="24"/>
              </w:rPr>
            </w:pPr>
            <w:r>
              <w:rPr>
                <w:rFonts w:hint="eastAsia" w:hAnsi="宋体" w:eastAsia="宋体" w:cs="宋体"/>
                <w:sz w:val="24"/>
                <w:szCs w:val="24"/>
              </w:rPr>
            </w:r>
            <w:r/>
          </w:p>
        </w:tc>
      </w:tr>
      <w:tr>
        <w:trPr>
          <w:cantSplit/>
          <w:jc w:val="center"/>
          <w:trHeight w:val="680"/>
        </w:trPr>
        <w:tc>
          <w:tcPr>
            <w:tcW w:w="424" w:type="pct"/>
            <w:vAlign w:val="center"/>
            <w:textDirection w:val="lrTb"/>
            <w:noWrap w:val="false"/>
          </w:tcPr>
          <w:p>
            <w:pPr>
              <w:pStyle w:val="1027"/>
              <w:jc w:val="center"/>
              <w:rPr>
                <w:rFonts w:hint="eastAsia" w:hAnsi="宋体" w:eastAsia="宋体" w:cs="宋体"/>
                <w:sz w:val="24"/>
                <w:szCs w:val="24"/>
              </w:rPr>
            </w:pPr>
            <w:r>
              <w:rPr>
                <w:rFonts w:hint="eastAsia" w:hAnsi="宋体" w:eastAsia="宋体" w:cs="宋体"/>
                <w:sz w:val="24"/>
                <w:szCs w:val="24"/>
              </w:rPr>
              <w:t xml:space="preserve">2</w:t>
            </w:r>
            <w:r/>
          </w:p>
        </w:tc>
        <w:tc>
          <w:tcPr>
            <w:tcW w:w="769" w:type="pct"/>
            <w:vAlign w:val="center"/>
            <w:textDirection w:val="lrTb"/>
            <w:noWrap w:val="false"/>
          </w:tcPr>
          <w:p>
            <w:pPr>
              <w:pStyle w:val="1027"/>
              <w:jc w:val="center"/>
              <w:rPr>
                <w:rFonts w:hint="eastAsia" w:hAnsi="宋体" w:eastAsia="宋体" w:cs="宋体"/>
                <w:sz w:val="24"/>
                <w:szCs w:val="24"/>
              </w:rPr>
            </w:pPr>
            <w:r>
              <w:rPr>
                <w:rFonts w:hint="eastAsia" w:hAnsi="宋体" w:eastAsia="宋体" w:cs="宋体"/>
                <w:sz w:val="24"/>
                <w:lang w:bidi="ar"/>
              </w:rPr>
              <w:t xml:space="preserve">在职教师</w:t>
            </w:r>
            <w:r/>
          </w:p>
        </w:tc>
        <w:tc>
          <w:tcPr>
            <w:tcW w:w="766" w:type="pct"/>
            <w:vAlign w:val="center"/>
            <w:textDirection w:val="lrTb"/>
            <w:noWrap w:val="false"/>
          </w:tcPr>
          <w:p>
            <w:pPr>
              <w:pStyle w:val="1027"/>
              <w:jc w:val="center"/>
              <w:rPr>
                <w:rFonts w:hint="eastAsia" w:hAnsi="宋体" w:eastAsia="宋体" w:cs="宋体"/>
                <w:sz w:val="24"/>
                <w:szCs w:val="24"/>
              </w:rPr>
            </w:pPr>
            <w:r>
              <w:rPr>
                <w:rFonts w:hint="eastAsia" w:hAnsi="宋体" w:eastAsia="宋体" w:cs="宋体"/>
                <w:sz w:val="24"/>
                <w:szCs w:val="24"/>
              </w:rPr>
              <w:t xml:space="preserve">7</w:t>
            </w:r>
            <w:r>
              <w:rPr>
                <w:rFonts w:hint="eastAsia" w:hAnsi="宋体" w:eastAsia="宋体" w:cs="宋体"/>
                <w:sz w:val="24"/>
                <w:szCs w:val="24"/>
              </w:rPr>
              <w:t xml:space="preserve">50</w:t>
            </w:r>
            <w:r/>
          </w:p>
        </w:tc>
        <w:tc>
          <w:tcPr>
            <w:tcW w:w="870" w:type="pct"/>
            <w:vAlign w:val="center"/>
            <w:textDirection w:val="lrTb"/>
            <w:noWrap w:val="false"/>
          </w:tcPr>
          <w:p>
            <w:pPr>
              <w:pStyle w:val="1027"/>
              <w:jc w:val="center"/>
              <w:rPr>
                <w:rFonts w:hint="eastAsia" w:hAnsi="宋体" w:eastAsia="宋体" w:cs="宋体"/>
                <w:sz w:val="24"/>
                <w:szCs w:val="24"/>
              </w:rPr>
            </w:pPr>
            <w:r>
              <w:rPr>
                <w:rFonts w:hint="eastAsia" w:hAnsi="宋体" w:eastAsia="宋体" w:cs="宋体"/>
                <w:sz w:val="24"/>
                <w:szCs w:val="24"/>
              </w:rPr>
              <w:t xml:space="preserve">1</w:t>
            </w:r>
            <w:r>
              <w:rPr>
                <w:rFonts w:hint="eastAsia" w:hAnsi="宋体" w:eastAsia="宋体" w:cs="宋体"/>
                <w:sz w:val="24"/>
                <w:szCs w:val="24"/>
              </w:rPr>
              <w:t xml:space="preserve">600</w:t>
            </w:r>
            <w:r>
              <w:rPr>
                <w:rFonts w:hint="eastAsia" w:hAnsi="宋体" w:eastAsia="宋体" w:cs="宋体"/>
                <w:sz w:val="24"/>
                <w:szCs w:val="24"/>
              </w:rPr>
              <w:t xml:space="preserve">.00</w:t>
            </w:r>
            <w:r/>
          </w:p>
        </w:tc>
        <w:tc>
          <w:tcPr>
            <w:tcW w:w="820" w:type="pct"/>
            <w:vAlign w:val="center"/>
            <w:textDirection w:val="lrTb"/>
            <w:noWrap w:val="false"/>
          </w:tcPr>
          <w:p>
            <w:pPr>
              <w:pStyle w:val="1027"/>
              <w:jc w:val="center"/>
              <w:rPr>
                <w:rFonts w:hint="eastAsia" w:hAnsi="宋体" w:eastAsia="宋体" w:cs="宋体"/>
                <w:sz w:val="24"/>
                <w:szCs w:val="24"/>
              </w:rPr>
            </w:pPr>
            <w:r>
              <w:rPr>
                <w:rFonts w:hint="eastAsia" w:hAnsi="宋体" w:eastAsia="宋体" w:cs="宋体"/>
                <w:sz w:val="24"/>
                <w:szCs w:val="24"/>
              </w:rPr>
            </w:r>
            <w:r/>
          </w:p>
        </w:tc>
        <w:tc>
          <w:tcPr>
            <w:tcW w:w="784" w:type="pct"/>
            <w:vAlign w:val="center"/>
            <w:textDirection w:val="lrTb"/>
            <w:noWrap w:val="false"/>
          </w:tcPr>
          <w:p>
            <w:pPr>
              <w:pStyle w:val="1027"/>
              <w:jc w:val="center"/>
              <w:rPr>
                <w:rFonts w:hint="eastAsia" w:hAnsi="宋体" w:eastAsia="宋体" w:cs="宋体"/>
                <w:sz w:val="24"/>
                <w:szCs w:val="24"/>
              </w:rPr>
            </w:pPr>
            <w:r>
              <w:rPr>
                <w:rFonts w:hint="eastAsia" w:hAnsi="宋体" w:eastAsia="宋体" w:cs="宋体"/>
                <w:sz w:val="24"/>
                <w:szCs w:val="24"/>
              </w:rPr>
            </w:r>
            <w:r/>
          </w:p>
        </w:tc>
        <w:tc>
          <w:tcPr>
            <w:tcW w:w="567" w:type="pct"/>
            <w:vAlign w:val="center"/>
            <w:textDirection w:val="lrTb"/>
            <w:noWrap w:val="false"/>
          </w:tcPr>
          <w:p>
            <w:pPr>
              <w:pStyle w:val="1027"/>
              <w:jc w:val="center"/>
              <w:rPr>
                <w:rFonts w:hint="eastAsia" w:hAnsi="宋体" w:eastAsia="宋体" w:cs="宋体"/>
                <w:sz w:val="24"/>
                <w:szCs w:val="24"/>
              </w:rPr>
            </w:pPr>
            <w:r>
              <w:rPr>
                <w:rFonts w:hint="eastAsia" w:hAnsi="宋体" w:eastAsia="宋体" w:cs="宋体"/>
                <w:sz w:val="24"/>
                <w:szCs w:val="24"/>
              </w:rPr>
            </w:r>
            <w:r/>
          </w:p>
        </w:tc>
      </w:tr>
      <w:tr>
        <w:trPr>
          <w:cantSplit/>
          <w:jc w:val="center"/>
          <w:trHeight w:val="680"/>
        </w:trPr>
        <w:tc>
          <w:tcPr>
            <w:tcW w:w="424" w:type="pct"/>
            <w:vAlign w:val="center"/>
            <w:textDirection w:val="lrTb"/>
            <w:noWrap w:val="false"/>
          </w:tcPr>
          <w:p>
            <w:pPr>
              <w:pStyle w:val="1027"/>
              <w:jc w:val="center"/>
              <w:rPr>
                <w:rFonts w:hint="eastAsia" w:hAnsi="宋体" w:eastAsia="宋体" w:cs="宋体"/>
                <w:sz w:val="24"/>
                <w:szCs w:val="24"/>
              </w:rPr>
            </w:pPr>
            <w:r>
              <w:rPr>
                <w:rFonts w:hint="eastAsia" w:hAnsi="宋体" w:eastAsia="宋体" w:cs="宋体"/>
                <w:sz w:val="24"/>
                <w:szCs w:val="24"/>
              </w:rPr>
              <w:t xml:space="preserve">3</w:t>
            </w:r>
            <w:r/>
          </w:p>
        </w:tc>
        <w:tc>
          <w:tcPr>
            <w:tcW w:w="769" w:type="pct"/>
            <w:vAlign w:val="center"/>
            <w:textDirection w:val="lrTb"/>
            <w:noWrap w:val="false"/>
          </w:tcPr>
          <w:p>
            <w:pPr>
              <w:pStyle w:val="1027"/>
              <w:jc w:val="center"/>
              <w:rPr>
                <w:rFonts w:hint="eastAsia" w:hAnsi="宋体" w:eastAsia="宋体" w:cs="宋体"/>
                <w:sz w:val="24"/>
                <w:szCs w:val="24"/>
              </w:rPr>
            </w:pPr>
            <w:r>
              <w:rPr>
                <w:rFonts w:hint="eastAsia" w:hAnsi="宋体" w:eastAsia="宋体" w:cs="宋体"/>
                <w:sz w:val="24"/>
                <w:lang w:bidi="ar"/>
              </w:rPr>
              <w:t xml:space="preserve">后勤</w:t>
            </w:r>
            <w:r>
              <w:rPr>
                <w:rFonts w:hint="eastAsia" w:hAnsi="宋体" w:eastAsia="宋体" w:cs="宋体"/>
                <w:sz w:val="24"/>
                <w:lang w:val="zh-CN" w:bidi="ar"/>
              </w:rPr>
              <w:t xml:space="preserve">人员</w:t>
            </w:r>
            <w:r/>
          </w:p>
        </w:tc>
        <w:tc>
          <w:tcPr>
            <w:tcW w:w="766" w:type="pct"/>
            <w:vAlign w:val="center"/>
            <w:textDirection w:val="lrTb"/>
            <w:noWrap w:val="false"/>
          </w:tcPr>
          <w:p>
            <w:pPr>
              <w:pStyle w:val="1027"/>
              <w:jc w:val="center"/>
              <w:rPr>
                <w:rFonts w:hint="eastAsia" w:hAnsi="宋体" w:eastAsia="宋体" w:cs="宋体"/>
                <w:sz w:val="24"/>
                <w:szCs w:val="24"/>
              </w:rPr>
            </w:pPr>
            <w:r>
              <w:rPr>
                <w:rFonts w:hint="eastAsia" w:hAnsi="宋体" w:eastAsia="宋体" w:cs="宋体"/>
                <w:sz w:val="24"/>
                <w:szCs w:val="24"/>
              </w:rPr>
              <w:t xml:space="preserve">6</w:t>
            </w:r>
            <w:r>
              <w:rPr>
                <w:rFonts w:hint="eastAsia" w:hAnsi="宋体" w:eastAsia="宋体" w:cs="宋体"/>
                <w:sz w:val="24"/>
                <w:szCs w:val="24"/>
              </w:rPr>
              <w:t xml:space="preserve">2</w:t>
            </w:r>
            <w:r/>
          </w:p>
        </w:tc>
        <w:tc>
          <w:tcPr>
            <w:tcW w:w="870" w:type="pct"/>
            <w:vAlign w:val="center"/>
            <w:textDirection w:val="lrTb"/>
            <w:noWrap w:val="false"/>
          </w:tcPr>
          <w:p>
            <w:pPr>
              <w:pStyle w:val="1027"/>
              <w:jc w:val="center"/>
              <w:rPr>
                <w:rFonts w:hint="eastAsia" w:hAnsi="宋体" w:eastAsia="宋体" w:cs="宋体"/>
                <w:sz w:val="24"/>
                <w:szCs w:val="24"/>
              </w:rPr>
            </w:pPr>
            <w:r>
              <w:rPr>
                <w:rFonts w:hint="eastAsia" w:hAnsi="宋体" w:eastAsia="宋体" w:cs="宋体"/>
                <w:sz w:val="24"/>
                <w:szCs w:val="24"/>
              </w:rPr>
              <w:t xml:space="preserve">30</w:t>
            </w:r>
            <w:r>
              <w:rPr>
                <w:rFonts w:hint="eastAsia" w:hAnsi="宋体" w:eastAsia="宋体" w:cs="宋体"/>
                <w:sz w:val="24"/>
                <w:szCs w:val="24"/>
              </w:rPr>
              <w:t xml:space="preserve">0.00</w:t>
            </w:r>
            <w:r/>
          </w:p>
        </w:tc>
        <w:tc>
          <w:tcPr>
            <w:tcW w:w="820" w:type="pct"/>
            <w:vAlign w:val="center"/>
            <w:textDirection w:val="lrTb"/>
            <w:noWrap w:val="false"/>
          </w:tcPr>
          <w:p>
            <w:pPr>
              <w:pStyle w:val="1027"/>
              <w:jc w:val="center"/>
              <w:rPr>
                <w:rFonts w:hint="eastAsia" w:hAnsi="宋体" w:eastAsia="宋体" w:cs="宋体"/>
                <w:sz w:val="24"/>
                <w:szCs w:val="24"/>
              </w:rPr>
            </w:pPr>
            <w:r>
              <w:rPr>
                <w:rFonts w:hint="eastAsia" w:hAnsi="宋体" w:eastAsia="宋体" w:cs="宋体"/>
                <w:sz w:val="24"/>
                <w:szCs w:val="24"/>
              </w:rPr>
            </w:r>
            <w:r/>
          </w:p>
        </w:tc>
        <w:tc>
          <w:tcPr>
            <w:tcW w:w="784" w:type="pct"/>
            <w:vAlign w:val="center"/>
            <w:textDirection w:val="lrTb"/>
            <w:noWrap w:val="false"/>
          </w:tcPr>
          <w:p>
            <w:pPr>
              <w:pStyle w:val="1027"/>
              <w:jc w:val="center"/>
              <w:rPr>
                <w:rFonts w:hint="eastAsia" w:hAnsi="宋体" w:eastAsia="宋体" w:cs="宋体"/>
                <w:sz w:val="24"/>
                <w:szCs w:val="24"/>
              </w:rPr>
            </w:pPr>
            <w:r>
              <w:rPr>
                <w:rFonts w:hint="eastAsia" w:hAnsi="宋体" w:eastAsia="宋体" w:cs="宋体"/>
                <w:sz w:val="24"/>
                <w:szCs w:val="24"/>
              </w:rPr>
            </w:r>
            <w:r/>
          </w:p>
        </w:tc>
        <w:tc>
          <w:tcPr>
            <w:tcW w:w="567" w:type="pct"/>
            <w:vAlign w:val="center"/>
            <w:textDirection w:val="lrTb"/>
            <w:noWrap w:val="false"/>
          </w:tcPr>
          <w:p>
            <w:pPr>
              <w:pStyle w:val="1027"/>
              <w:jc w:val="center"/>
              <w:rPr>
                <w:rFonts w:hint="eastAsia" w:hAnsi="宋体" w:eastAsia="宋体" w:cs="宋体"/>
                <w:sz w:val="24"/>
                <w:szCs w:val="24"/>
              </w:rPr>
            </w:pPr>
            <w:r>
              <w:rPr>
                <w:rFonts w:hint="eastAsia" w:hAnsi="宋体" w:eastAsia="宋体" w:cs="宋体"/>
                <w:sz w:val="24"/>
                <w:szCs w:val="24"/>
              </w:rPr>
            </w:r>
            <w:r/>
          </w:p>
        </w:tc>
      </w:tr>
      <w:tr>
        <w:trPr>
          <w:cantSplit/>
          <w:jc w:val="center"/>
          <w:trHeight w:val="680"/>
        </w:trPr>
        <w:tc>
          <w:tcPr>
            <w:gridSpan w:val="2"/>
            <w:tcW w:w="1193" w:type="pct"/>
            <w:vAlign w:val="center"/>
            <w:textDirection w:val="lrTb"/>
            <w:noWrap w:val="false"/>
          </w:tcPr>
          <w:p>
            <w:pPr>
              <w:pStyle w:val="1027"/>
              <w:ind w:firstLine="480"/>
              <w:rPr>
                <w:rFonts w:hint="eastAsia" w:hAnsi="宋体" w:eastAsia="宋体" w:cs="宋体"/>
                <w:sz w:val="24"/>
                <w:szCs w:val="24"/>
              </w:rPr>
            </w:pPr>
            <w:r>
              <w:rPr>
                <w:rFonts w:hint="eastAsia" w:hAnsi="宋体" w:eastAsia="宋体" w:cs="宋体"/>
                <w:sz w:val="24"/>
                <w:szCs w:val="24"/>
              </w:rPr>
              <w:t xml:space="preserve">合计金额</w:t>
            </w:r>
            <w:r/>
          </w:p>
        </w:tc>
        <w:tc>
          <w:tcPr>
            <w:gridSpan w:val="5"/>
            <w:tcW w:w="3807" w:type="pct"/>
            <w:vAlign w:val="center"/>
            <w:textDirection w:val="lrTb"/>
            <w:noWrap w:val="false"/>
          </w:tcPr>
          <w:p>
            <w:pPr>
              <w:pStyle w:val="1027"/>
              <w:rPr>
                <w:rFonts w:hint="eastAsia" w:hAnsi="宋体" w:eastAsia="宋体" w:cs="宋体"/>
                <w:sz w:val="24"/>
                <w:szCs w:val="24"/>
              </w:rPr>
            </w:pPr>
            <w:r>
              <w:rPr>
                <w:rFonts w:hint="eastAsia" w:hAnsi="宋体" w:eastAsia="宋体" w:cs="宋体"/>
                <w:sz w:val="24"/>
                <w:szCs w:val="24"/>
              </w:rPr>
              <w:t xml:space="preserve">人民币（大写）：</w:t>
            </w:r>
            <w:r>
              <w:rPr>
                <w:rFonts w:hint="eastAsia" w:hAnsi="宋体" w:eastAsia="宋体" w:cs="宋体"/>
                <w:sz w:val="24"/>
                <w:szCs w:val="24"/>
                <w:lang w:val="zh-CN"/>
              </w:rPr>
              <w:t xml:space="preserve">   </w:t>
            </w:r>
            <w:r>
              <w:rPr>
                <w:rFonts w:hint="eastAsia" w:hAnsi="宋体" w:eastAsia="宋体" w:cs="宋体"/>
                <w:sz w:val="24"/>
                <w:szCs w:val="24"/>
              </w:rPr>
              <w:t xml:space="preserve">  </w:t>
            </w:r>
            <w:r>
              <w:rPr>
                <w:rFonts w:hint="eastAsia" w:hAnsi="宋体" w:eastAsia="宋体" w:cs="宋体"/>
                <w:sz w:val="24"/>
                <w:szCs w:val="24"/>
                <w:lang w:val="zh-CN"/>
              </w:rPr>
              <w:t xml:space="preserve">   </w:t>
            </w:r>
            <w:r>
              <w:rPr>
                <w:rFonts w:hint="eastAsia" w:hAnsi="宋体" w:eastAsia="宋体" w:cs="宋体"/>
                <w:sz w:val="24"/>
                <w:szCs w:val="24"/>
              </w:rPr>
              <w:t xml:space="preserve">    </w:t>
            </w:r>
            <w:r>
              <w:rPr>
                <w:rFonts w:hint="eastAsia" w:hAnsi="宋体" w:eastAsia="宋体" w:cs="宋体"/>
                <w:bCs/>
                <w:sz w:val="24"/>
                <w:szCs w:val="24"/>
              </w:rPr>
              <w:t xml:space="preserve">（￥      ）</w:t>
            </w:r>
            <w:r/>
          </w:p>
        </w:tc>
      </w:tr>
    </w:tbl>
    <w:p>
      <w:pPr>
        <w:pStyle w:val="1009"/>
        <w:ind w:right="106" w:firstLine="0"/>
        <w:spacing w:line="360" w:lineRule="auto"/>
        <w:rPr>
          <w:rFonts w:hint="eastAsia" w:ascii="宋体" w:hAnsi="宋体" w:eastAsia="宋体" w:cs="宋体"/>
        </w:rPr>
      </w:pPr>
      <w:r>
        <w:rPr>
          <w:rFonts w:hint="eastAsia" w:ascii="宋体" w:hAnsi="宋体" w:eastAsia="宋体" w:cs="宋体"/>
          <w:szCs w:val="24"/>
        </w:rPr>
        <w:t xml:space="preserve">注：1）此表“合计金额”与报价表“项目总价”须保持一致，否则以磋商报价表价格为准；可根据需要自行调整；</w:t>
      </w:r>
      <w:r/>
    </w:p>
    <w:p>
      <w:pPr>
        <w:pStyle w:val="1009"/>
        <w:ind w:right="106" w:firstLine="480"/>
        <w:spacing w:line="360" w:lineRule="auto"/>
        <w:rPr>
          <w:rFonts w:hint="eastAsia" w:ascii="宋体" w:hAnsi="宋体" w:eastAsia="宋体" w:cs="宋体"/>
          <w:b/>
          <w:bCs/>
          <w:szCs w:val="24"/>
        </w:rPr>
      </w:pPr>
      <w:r>
        <w:rPr>
          <w:rFonts w:hint="eastAsia" w:ascii="宋体" w:hAnsi="宋体" w:eastAsia="宋体" w:cs="宋体"/>
          <w:szCs w:val="24"/>
        </w:rPr>
        <w:t xml:space="preserve">2）退休教职工最高为1</w:t>
      </w:r>
      <w:r>
        <w:rPr>
          <w:rFonts w:hint="eastAsia" w:ascii="宋体" w:hAnsi="宋体" w:eastAsia="宋体" w:cs="宋体"/>
          <w:szCs w:val="24"/>
        </w:rPr>
        <w:t xml:space="preserve">500</w:t>
      </w:r>
      <w:r>
        <w:rPr>
          <w:rFonts w:hint="eastAsia" w:ascii="宋体" w:hAnsi="宋体" w:eastAsia="宋体" w:cs="宋体"/>
          <w:szCs w:val="24"/>
        </w:rPr>
        <w:t xml:space="preserve">元/人；在职教师最高为1</w:t>
      </w:r>
      <w:r>
        <w:rPr>
          <w:rFonts w:hint="eastAsia" w:ascii="宋体" w:hAnsi="宋体" w:eastAsia="宋体" w:cs="宋体"/>
          <w:szCs w:val="24"/>
        </w:rPr>
        <w:t xml:space="preserve">600</w:t>
      </w:r>
      <w:r>
        <w:rPr>
          <w:rFonts w:hint="eastAsia" w:ascii="宋体" w:hAnsi="宋体" w:eastAsia="宋体" w:cs="宋体"/>
          <w:szCs w:val="24"/>
        </w:rPr>
        <w:t xml:space="preserve">元/人；后勤人员最高为</w:t>
      </w:r>
      <w:r>
        <w:rPr>
          <w:rFonts w:hint="eastAsia" w:ascii="宋体" w:hAnsi="宋体" w:eastAsia="宋体" w:cs="宋体"/>
          <w:szCs w:val="24"/>
        </w:rPr>
        <w:t xml:space="preserve">30</w:t>
      </w:r>
      <w:r>
        <w:rPr>
          <w:rFonts w:hint="eastAsia" w:ascii="宋体" w:hAnsi="宋体" w:eastAsia="宋体" w:cs="宋体"/>
          <w:szCs w:val="24"/>
        </w:rPr>
        <w:t xml:space="preserve">0元/人；</w:t>
      </w:r>
      <w:r>
        <w:rPr>
          <w:rFonts w:hint="eastAsia" w:ascii="宋体" w:hAnsi="宋体" w:eastAsia="宋体" w:cs="宋体"/>
          <w:b/>
          <w:bCs/>
          <w:szCs w:val="24"/>
        </w:rPr>
        <w:t xml:space="preserve">响应报价不得超过本次采购的最高限价金额，否则作无效响应处理。</w:t>
      </w:r>
      <w:r/>
    </w:p>
    <w:p>
      <w:pPr>
        <w:ind w:firstLine="485"/>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tabs>
          <w:tab w:val="left" w:pos="2075" w:leader="none"/>
        </w:tabs>
        <w:rPr>
          <w:rFonts w:hint="eastAsia" w:ascii="宋体" w:hAnsi="宋体" w:cs="宋体"/>
          <w:sz w:val="24"/>
          <w:szCs w:val="24"/>
        </w:rPr>
      </w:pPr>
      <w:r>
        <w:rPr>
          <w:rFonts w:hint="eastAsia" w:ascii="宋体" w:hAnsi="宋体" w:cs="宋体"/>
          <w:sz w:val="24"/>
          <w:szCs w:val="24"/>
        </w:rPr>
      </w:r>
      <w:r/>
    </w:p>
    <w:p>
      <w:pPr>
        <w:ind w:firstLine="480"/>
        <w:jc w:val="left"/>
        <w:spacing w:line="360" w:lineRule="auto"/>
        <w:tabs>
          <w:tab w:val="left" w:pos="2075" w:leader="none"/>
        </w:tabs>
        <w:rPr>
          <w:rFonts w:hint="eastAsia" w:ascii="宋体" w:hAnsi="宋体" w:cs="宋体"/>
          <w:sz w:val="24"/>
          <w:szCs w:val="24"/>
        </w:rPr>
      </w:pPr>
      <w:r>
        <w:rPr>
          <w:rFonts w:hint="eastAsia" w:ascii="宋体" w:hAnsi="宋体" w:cs="宋体"/>
          <w:sz w:val="24"/>
          <w:szCs w:val="24"/>
        </w:rPr>
        <w:t xml:space="preserve">响应单位：（单位盖章）</w:t>
      </w:r>
      <w:r/>
    </w:p>
    <w:p>
      <w:pPr>
        <w:ind w:firstLine="480"/>
        <w:jc w:val="left"/>
        <w:spacing w:line="360" w:lineRule="auto"/>
        <w:tabs>
          <w:tab w:val="left" w:pos="2075" w:leader="none"/>
        </w:tabs>
        <w:rPr>
          <w:rFonts w:hint="eastAsia" w:ascii="宋体" w:hAnsi="宋体" w:cs="宋体"/>
          <w:sz w:val="24"/>
          <w:szCs w:val="24"/>
        </w:rPr>
      </w:pPr>
      <w:r>
        <w:rPr>
          <w:rFonts w:hint="eastAsia" w:ascii="宋体" w:hAnsi="宋体" w:cs="宋体"/>
          <w:sz w:val="24"/>
          <w:szCs w:val="24"/>
        </w:rPr>
        <w:t xml:space="preserve">法定代表人或代理人：（签字或盖章）</w:t>
      </w:r>
      <w:r/>
    </w:p>
    <w:p>
      <w:pPr>
        <w:ind w:right="960" w:firstLine="2400"/>
        <w:spacing w:line="360" w:lineRule="auto"/>
        <w:rPr>
          <w:rFonts w:hint="eastAsia" w:ascii="宋体" w:hAnsi="宋体" w:cs="宋体"/>
          <w:sz w:val="24"/>
          <w:szCs w:val="24"/>
        </w:rPr>
      </w:pPr>
      <w:r>
        <w:rPr>
          <w:rFonts w:hint="eastAsia" w:ascii="宋体" w:hAnsi="宋体" w:cs="宋体"/>
          <w:sz w:val="24"/>
          <w:szCs w:val="24"/>
        </w:rPr>
      </w:r>
      <w:r/>
    </w:p>
    <w:p>
      <w:pPr>
        <w:ind w:firstLine="1920"/>
        <w:jc w:val="left"/>
        <w:widowControl/>
        <w:rPr>
          <w:rFonts w:hint="eastAsia" w:ascii="宋体" w:hAnsi="宋体" w:cs="宋体"/>
          <w:b/>
          <w:sz w:val="24"/>
          <w:szCs w:val="24"/>
        </w:rPr>
      </w:pPr>
      <w:r>
        <w:rPr>
          <w:rFonts w:hint="eastAsia" w:ascii="宋体" w:hAnsi="宋体" w:cs="宋体"/>
          <w:sz w:val="24"/>
          <w:szCs w:val="24"/>
        </w:rPr>
        <w:t xml:space="preserve">年     月     日</w:t>
      </w:r>
      <w:r/>
    </w:p>
    <w:p>
      <w:pPr>
        <w:jc w:val="left"/>
        <w:widowControl/>
        <w:rPr>
          <w:rFonts w:hint="eastAsia" w:ascii="宋体" w:hAnsi="宋体" w:cs="宋体"/>
          <w:b/>
          <w:sz w:val="24"/>
          <w:szCs w:val="24"/>
        </w:rPr>
      </w:pPr>
      <w:r>
        <w:rPr>
          <w:rFonts w:ascii="宋体" w:hAnsi="宋体" w:cs="宋体"/>
          <w:b/>
          <w:sz w:val="24"/>
          <w:szCs w:val="24"/>
        </w:rPr>
        <w:br w:type="page" w:clear="all"/>
      </w:r>
      <w:r>
        <w:rPr>
          <w:rFonts w:hint="eastAsia" w:ascii="宋体" w:hAnsi="宋体" w:cs="宋体"/>
          <w:b/>
          <w:sz w:val="24"/>
          <w:szCs w:val="24"/>
        </w:rPr>
        <w:t xml:space="preserve">5、关于资格文件声明函</w:t>
      </w:r>
      <w:r/>
    </w:p>
    <w:p>
      <w:pPr>
        <w:ind w:firstLine="425"/>
        <w:jc w:val="center"/>
        <w:spacing w:line="360" w:lineRule="auto"/>
        <w:rPr>
          <w:rFonts w:hint="eastAsia" w:ascii="宋体" w:hAnsi="宋体" w:cs="宋体"/>
          <w:sz w:val="24"/>
          <w:szCs w:val="24"/>
        </w:rPr>
      </w:pPr>
      <w:r>
        <w:rPr>
          <w:rFonts w:hint="eastAsia" w:ascii="宋体" w:hAnsi="宋体" w:cs="宋体"/>
          <w:b/>
          <w:sz w:val="24"/>
          <w:szCs w:val="24"/>
        </w:rPr>
        <w:t xml:space="preserve">关于资格文件的声明函</w:t>
      </w:r>
      <w:r/>
    </w:p>
    <w:p>
      <w:pPr>
        <w:spacing w:line="360" w:lineRule="auto"/>
        <w:rPr>
          <w:rFonts w:hint="eastAsia" w:ascii="宋体" w:hAnsi="宋体" w:cs="宋体"/>
          <w:sz w:val="24"/>
          <w:szCs w:val="24"/>
        </w:rPr>
      </w:pPr>
      <w:r>
        <w:rPr>
          <w:rFonts w:hint="eastAsia" w:ascii="宋体" w:hAnsi="宋体" w:cs="宋体"/>
          <w:sz w:val="24"/>
          <w:szCs w:val="24"/>
          <w:lang w:val="zh-CN"/>
        </w:rPr>
        <w:t xml:space="preserve">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w:t>
      </w:r>
      <w:r/>
    </w:p>
    <w:p>
      <w:pPr>
        <w:ind w:firstLine="660"/>
        <w:spacing w:line="360" w:lineRule="auto"/>
        <w:rPr>
          <w:rFonts w:hint="eastAsia" w:ascii="宋体" w:hAnsi="宋体" w:cs="宋体"/>
          <w:sz w:val="24"/>
          <w:szCs w:val="24"/>
        </w:rPr>
      </w:pPr>
      <w:r>
        <w:rPr>
          <w:rFonts w:hint="eastAsia" w:ascii="宋体" w:hAnsi="宋体" w:cs="宋体"/>
          <w:sz w:val="24"/>
          <w:szCs w:val="24"/>
          <w:lang w:val="zh-CN"/>
        </w:rPr>
        <w:t xml:space="preserve">本公司愿就由贵公司组织实施的编号为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号的采购活动进行响应。本公司所提交的响应文件中所有关于响应资格的文件、证明和陈述均是真实的、准确的。若与真实情况不符，本公司愿意承担由此而产生的一切后果。</w:t>
      </w:r>
      <w:r/>
    </w:p>
    <w:p>
      <w:pPr>
        <w:ind w:firstLine="425"/>
        <w:spacing w:line="360" w:lineRule="auto"/>
        <w:rPr>
          <w:rFonts w:hint="eastAsia" w:ascii="宋体" w:hAnsi="宋体" w:cs="宋体"/>
          <w:sz w:val="24"/>
          <w:szCs w:val="24"/>
        </w:rPr>
      </w:pPr>
      <w:r>
        <w:rPr>
          <w:rFonts w:hint="eastAsia" w:ascii="宋体" w:hAnsi="宋体" w:cs="宋体"/>
          <w:sz w:val="24"/>
          <w:szCs w:val="24"/>
        </w:rPr>
      </w:r>
      <w:r/>
    </w:p>
    <w:p>
      <w:pPr>
        <w:ind w:firstLine="425"/>
        <w:spacing w:line="360" w:lineRule="auto"/>
        <w:rPr>
          <w:rFonts w:hint="eastAsia" w:ascii="宋体" w:hAnsi="宋体" w:cs="宋体"/>
          <w:sz w:val="24"/>
          <w:szCs w:val="24"/>
        </w:rPr>
      </w:pPr>
      <w:r>
        <w:rPr>
          <w:rFonts w:hint="eastAsia" w:ascii="宋体" w:hAnsi="宋体" w:cs="宋体"/>
          <w:sz w:val="24"/>
          <w:szCs w:val="24"/>
        </w:rPr>
      </w:r>
      <w:r/>
    </w:p>
    <w:p>
      <w:pPr>
        <w:ind w:firstLine="425"/>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lang w:val="zh-CN"/>
        </w:rPr>
        <w:t xml:space="preserve">响应单位法定代表人：（签字或盖章）</w:t>
      </w:r>
      <w:r/>
    </w:p>
    <w:p>
      <w:pPr>
        <w:spacing w:line="360" w:lineRule="auto"/>
        <w:rPr>
          <w:rFonts w:hint="eastAsia" w:ascii="宋体" w:hAnsi="宋体" w:cs="宋体"/>
          <w:sz w:val="24"/>
          <w:szCs w:val="24"/>
        </w:rPr>
      </w:pPr>
      <w:r>
        <w:rPr>
          <w:rFonts w:hint="eastAsia" w:ascii="宋体" w:hAnsi="宋体" w:cs="宋体"/>
          <w:sz w:val="24"/>
          <w:szCs w:val="24"/>
          <w:lang w:val="zh-CN"/>
        </w:rPr>
        <w:t xml:space="preserve">响应单位：（公章）</w:t>
      </w:r>
      <w:r/>
    </w:p>
    <w:p>
      <w:pPr>
        <w:spacing w:line="360" w:lineRule="auto"/>
        <w:rPr>
          <w:rFonts w:hint="eastAsia" w:ascii="宋体" w:hAnsi="宋体" w:cs="宋体"/>
          <w:sz w:val="24"/>
          <w:szCs w:val="24"/>
        </w:rPr>
      </w:pPr>
      <w:r>
        <w:rPr>
          <w:rFonts w:hint="eastAsia" w:ascii="宋体" w:hAnsi="宋体" w:cs="宋体"/>
          <w:sz w:val="24"/>
          <w:szCs w:val="24"/>
          <w:lang w:val="zh-CN"/>
        </w:rPr>
        <w:t xml:space="preserve">日    期：    年</w:t>
      </w:r>
      <w:r>
        <w:rPr>
          <w:rFonts w:hint="eastAsia" w:ascii="宋体" w:hAnsi="宋体" w:cs="宋体"/>
          <w:sz w:val="24"/>
          <w:szCs w:val="24"/>
        </w:rPr>
        <w:tab/>
      </w:r>
      <w:r>
        <w:rPr>
          <w:rFonts w:hint="eastAsia" w:ascii="宋体" w:hAnsi="宋体" w:cs="宋体"/>
          <w:sz w:val="24"/>
          <w:szCs w:val="24"/>
          <w:lang w:val="zh-CN"/>
        </w:rPr>
        <w:t xml:space="preserve"> 月 </w:t>
      </w:r>
      <w:r>
        <w:rPr>
          <w:rFonts w:hint="eastAsia" w:ascii="宋体" w:hAnsi="宋体" w:cs="宋体"/>
          <w:sz w:val="24"/>
          <w:szCs w:val="24"/>
          <w:lang w:val="zh-CN"/>
        </w:rPr>
        <w:tab/>
        <w:t xml:space="preserve">日</w:t>
      </w:r>
      <w:r/>
    </w:p>
    <w:p>
      <w:pPr>
        <w:jc w:val="left"/>
        <w:spacing w:line="360" w:lineRule="auto"/>
        <w:rPr>
          <w:rFonts w:hint="eastAsia" w:ascii="宋体" w:hAnsi="宋体" w:cs="宋体"/>
          <w:b/>
          <w:sz w:val="24"/>
          <w:szCs w:val="24"/>
        </w:rPr>
      </w:pPr>
      <w:r>
        <w:rPr>
          <w:rFonts w:hint="eastAsia" w:ascii="宋体" w:hAnsi="宋体" w:cs="宋体"/>
          <w:sz w:val="24"/>
          <w:szCs w:val="24"/>
          <w:lang w:val="zh-CN"/>
        </w:rPr>
        <w:br w:type="page" w:clear="all"/>
      </w:r>
      <w:r>
        <w:rPr>
          <w:rFonts w:hint="eastAsia" w:ascii="宋体" w:hAnsi="宋体" w:cs="宋体"/>
          <w:b/>
          <w:sz w:val="24"/>
          <w:szCs w:val="24"/>
        </w:rPr>
        <w:t xml:space="preserve">6、响应单位情况表</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227"/>
        <w:gridCol w:w="2268"/>
        <w:gridCol w:w="1984"/>
        <w:gridCol w:w="1985"/>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法定代表人</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成立日期</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注册地址</w:t>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注册资金</w:t>
            </w:r>
            <w:r/>
          </w:p>
        </w:tc>
        <w:tc>
          <w:tcPr>
            <w:tcBorders>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firstLine="2160"/>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经营范围</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实现利润</w:t>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right"/>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2025</w:t>
            </w:r>
            <w:r>
              <w:rPr>
                <w:rFonts w:ascii="宋体" w:hAnsi="宋体" w:cs="宋体"/>
                <w:sz w:val="24"/>
              </w:rPr>
              <w:t xml:space="preserve">年</w:t>
            </w:r>
            <w:r>
              <w:rPr>
                <w:rFonts w:hint="eastAsia" w:ascii="宋体" w:hAnsi="宋体" w:cs="宋体"/>
                <w:sz w:val="24"/>
              </w:rPr>
              <w:t xml:space="preserve"> </w:t>
            </w:r>
            <w:r>
              <w:rPr>
                <w:rFonts w:ascii="宋体" w:hAnsi="宋体" w:cs="宋体"/>
                <w:sz w:val="24"/>
              </w:rPr>
              <w:t xml:space="preserve"> 万元</w:t>
            </w:r>
            <w:r/>
          </w:p>
        </w:tc>
        <w:tc>
          <w:tcPr>
            <w:tcBorders>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员工总人数</w:t>
            </w:r>
            <w:r/>
          </w:p>
        </w:tc>
        <w:tc>
          <w:tcPr>
            <w:tcBorders>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jc w:val="right"/>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资产总计</w:t>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right"/>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万元</w:t>
            </w:r>
            <w:r/>
          </w:p>
        </w:tc>
        <w:tc>
          <w:tcPr>
            <w:tcBorders>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营业收入</w:t>
            </w:r>
            <w:r/>
          </w:p>
        </w:tc>
        <w:tc>
          <w:tcPr>
            <w:tcBorders>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jc w:val="right"/>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2025</w:t>
            </w:r>
            <w:r>
              <w:rPr>
                <w:rFonts w:ascii="宋体" w:hAnsi="宋体" w:cs="宋体"/>
                <w:sz w:val="24"/>
              </w:rPr>
              <w:t xml:space="preserve">年  万元</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单位简历及内设机构情况</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单位优势及特长</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85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商业信誉和健全的财务会计制度介绍</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834"/>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履行合同所必需的设备和专业技术能力情况</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831"/>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依法缴纳税收和社会保障资金情况</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参加政府采购活动前三年内，在经营活动中有无重大违法记录</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其他需要说明的情况</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bl>
    <w:p>
      <w:pPr>
        <w:pStyle w:val="809"/>
        <w:ind w:left="0" w:firstLine="0"/>
        <w:spacing w:after="0" w:line="360" w:lineRule="auto"/>
        <w:rPr>
          <w:rFonts w:hint="eastAsia" w:ascii="宋体" w:hAnsi="宋体"/>
          <w:sz w:val="24"/>
          <w:szCs w:val="24"/>
        </w:rPr>
      </w:pPr>
      <w:r>
        <w:rPr>
          <w:rFonts w:hint="eastAsia" w:ascii="宋体" w:hAnsi="宋体"/>
          <w:sz w:val="24"/>
          <w:szCs w:val="24"/>
        </w:rPr>
      </w:r>
      <w:r/>
    </w:p>
    <w:p>
      <w:pPr>
        <w:pStyle w:val="809"/>
        <w:ind w:left="0" w:firstLine="0"/>
        <w:spacing w:after="0" w:line="360" w:lineRule="auto"/>
        <w:rPr>
          <w:rFonts w:hint="eastAsia" w:ascii="宋体" w:hAnsi="宋体"/>
          <w:b/>
          <w:sz w:val="24"/>
          <w:szCs w:val="24"/>
        </w:rPr>
      </w:pPr>
      <w:r>
        <w:rPr>
          <w:rFonts w:ascii="宋体" w:hAnsi="宋体"/>
          <w:b/>
          <w:sz w:val="24"/>
          <w:szCs w:val="24"/>
        </w:rPr>
        <w:br w:type="page" w:clear="all"/>
      </w:r>
      <w:r>
        <w:rPr>
          <w:rFonts w:hint="eastAsia" w:ascii="宋体" w:hAnsi="宋体"/>
          <w:b/>
          <w:sz w:val="24"/>
          <w:szCs w:val="24"/>
        </w:rPr>
        <w:t xml:space="preserve">7、偏离表</w:t>
      </w:r>
      <w:r/>
    </w:p>
    <w:p>
      <w:pPr>
        <w:jc w:val="center"/>
        <w:spacing w:line="479"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偏离表（技术、商务）</w:t>
      </w:r>
      <w:r/>
    </w:p>
    <w:p>
      <w:pPr>
        <w:ind w:left="400" w:firstLine="420"/>
        <w:spacing w:after="120"/>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bl>
      <w:tblPr>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17"/>
        <w:gridCol w:w="1384"/>
        <w:gridCol w:w="1693"/>
        <w:gridCol w:w="1812"/>
        <w:gridCol w:w="1575"/>
        <w:gridCol w:w="2041"/>
      </w:tblGrid>
      <w:tr>
        <w:trPr>
          <w:jc w:val="cente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项目</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采购要求</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响应情况</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偏离说明</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证明材料</w:t>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r>
    </w:tbl>
    <w:p>
      <w:pPr>
        <w:ind w:firstLine="48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cs="宋体"/>
          <w:b/>
          <w:sz w:val="24"/>
        </w:rPr>
        <w:t xml:space="preserve"> </w:t>
      </w:r>
      <w:r/>
    </w:p>
    <w:p>
      <w:pPr>
        <w:ind w:firstLine="48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注：</w:t>
      </w:r>
      <w:r>
        <w:rPr>
          <w:rFonts w:ascii="宋体" w:hAnsi="宋体" w:cs="宋体"/>
          <w:sz w:val="24"/>
        </w:rPr>
        <w:t xml:space="preserve">响应单位</w:t>
      </w:r>
      <w:r>
        <w:rPr>
          <w:rFonts w:ascii="宋体" w:hAnsi="宋体" w:cs="宋体"/>
          <w:sz w:val="24"/>
        </w:rPr>
        <w:t xml:space="preserve">在本表中列出响应内容，并在“偏离说明”项下填写以下内容：优于的，填写“正偏离”；符合的，填写“无偏离”；低于的，填写“负偏离”。</w:t>
      </w:r>
      <w:r>
        <w:rPr>
          <w:rFonts w:ascii="宋体" w:hAnsi="宋体" w:cs="宋体"/>
          <w:b/>
          <w:sz w:val="24"/>
        </w:rPr>
        <w:t xml:space="preserve">未说明偏离的，将被认为响应采购文件的规定。</w:t>
      </w:r>
      <w:r>
        <w:rPr>
          <w:rFonts w:ascii="宋体" w:hAnsi="宋体" w:cs="宋体"/>
          <w:sz w:val="24"/>
        </w:rPr>
        <w:t xml:space="preserve">但该表不作为</w:t>
      </w:r>
      <w:r>
        <w:rPr>
          <w:rFonts w:ascii="宋体" w:hAnsi="宋体" w:cs="宋体"/>
          <w:sz w:val="24"/>
        </w:rPr>
        <w:t xml:space="preserve">响应单位</w:t>
      </w:r>
      <w:r>
        <w:rPr>
          <w:rFonts w:ascii="宋体" w:hAnsi="宋体" w:cs="宋体"/>
          <w:sz w:val="24"/>
        </w:rPr>
        <w:t xml:space="preserve">对所响应服务关于商务条款等详细描述和说明的替代。</w:t>
      </w:r>
      <w:r/>
    </w:p>
    <w:p>
      <w:pPr>
        <w:ind w:firstLine="48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表格可根据实际情况自行调整、编辑。</w:t>
      </w:r>
      <w:r/>
    </w:p>
    <w:p>
      <w:pPr>
        <w:ind w:firstLine="48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ind w:firstLine="48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响应单位名称：（公章） </w:t>
      </w:r>
      <w:r/>
    </w:p>
    <w:p>
      <w:pPr>
        <w:ind w:firstLine="48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法定代表人或被授权人：（签字或盖章）</w:t>
      </w:r>
      <w:r/>
    </w:p>
    <w:p>
      <w:pPr>
        <w:ind w:firstLine="480"/>
        <w:jc w:val="left"/>
        <w:spacing w:line="360" w:lineRule="auto"/>
        <w:rPr>
          <w:rFonts w:hint="eastAsia" w:ascii="宋体" w:hAnsi="宋体" w:cs="宋体"/>
          <w:sz w:val="24"/>
          <w:szCs w:val="24"/>
        </w:rPr>
      </w:pPr>
      <w:r>
        <w:rPr>
          <w:rFonts w:ascii="宋体" w:hAnsi="宋体" w:cs="宋体"/>
          <w:sz w:val="24"/>
        </w:rPr>
        <w:t xml:space="preserve">日</w:t>
      </w:r>
      <w:r>
        <w:rPr>
          <w:rFonts w:hint="eastAsia" w:ascii="宋体" w:hAnsi="宋体" w:cs="宋体"/>
          <w:sz w:val="24"/>
        </w:rPr>
        <w:t xml:space="preserve">  </w:t>
      </w:r>
      <w:r>
        <w:rPr>
          <w:rFonts w:ascii="宋体" w:hAnsi="宋体" w:cs="宋体"/>
          <w:sz w:val="24"/>
        </w:rPr>
        <w:t xml:space="preserve">期：     年     月    日</w:t>
      </w:r>
      <w:r/>
    </w:p>
    <w:p>
      <w:pPr>
        <w:spacing w:line="360" w:lineRule="auto"/>
        <w:rPr>
          <w:rFonts w:hint="eastAsia" w:ascii="宋体" w:hAnsi="宋体" w:cs="宋体"/>
          <w:b/>
          <w:sz w:val="24"/>
          <w:szCs w:val="24"/>
        </w:rPr>
      </w:pPr>
      <w:r>
        <w:rPr>
          <w:rFonts w:hint="eastAsia" w:ascii="宋体" w:hAnsi="宋体" w:cs="宋体"/>
          <w:b/>
          <w:sz w:val="24"/>
          <w:szCs w:val="24"/>
        </w:rPr>
        <w:br w:type="page" w:clear="all"/>
      </w:r>
      <w:r>
        <w:rPr>
          <w:rFonts w:hint="eastAsia" w:ascii="宋体" w:hAnsi="宋体" w:cs="宋体"/>
          <w:sz w:val="24"/>
          <w:szCs w:val="24"/>
        </w:rPr>
        <w:t xml:space="preserve"> </w:t>
      </w:r>
      <w:r>
        <w:rPr>
          <w:rFonts w:hint="eastAsia" w:ascii="宋体" w:hAnsi="宋体" w:cs="宋体"/>
          <w:b/>
          <w:sz w:val="24"/>
          <w:szCs w:val="24"/>
        </w:rPr>
        <w:t xml:space="preserve">8</w:t>
      </w:r>
      <w:r>
        <w:rPr>
          <w:rFonts w:hint="eastAsia" w:ascii="宋体" w:hAnsi="宋体" w:cs="宋体"/>
          <w:b/>
          <w:sz w:val="24"/>
          <w:szCs w:val="24"/>
        </w:rPr>
        <w:t xml:space="preserve">、投入本项目人员配备方案表</w:t>
      </w:r>
      <w:r/>
    </w:p>
    <w:p>
      <w:pPr>
        <w:jc w:val="center"/>
        <w:spacing w:line="360" w:lineRule="auto"/>
        <w:rPr>
          <w:rFonts w:hint="eastAsia" w:ascii="宋体" w:hAnsi="宋体" w:cs="宋体"/>
          <w:sz w:val="24"/>
          <w:szCs w:val="24"/>
        </w:rPr>
      </w:pPr>
      <w:r>
        <w:rPr>
          <w:rFonts w:hint="eastAsia" w:ascii="宋体" w:hAnsi="宋体" w:cs="宋体"/>
          <w:b/>
          <w:sz w:val="24"/>
          <w:szCs w:val="24"/>
        </w:rPr>
        <w:t xml:space="preserve">项目组服务人员一览表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494"/>
        <w:gridCol w:w="1494"/>
        <w:gridCol w:w="1275"/>
        <w:gridCol w:w="1713"/>
        <w:gridCol w:w="1931"/>
      </w:tblGrid>
      <w:tr>
        <w:trPr>
          <w:jc w:val="center"/>
          <w:trHeight w:val="917" w:hRule="exact"/>
        </w:trPr>
        <w:tc>
          <w:tcPr>
            <w:tcW w:w="94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序号</w:t>
            </w:r>
            <w:r/>
          </w:p>
        </w:tc>
        <w:tc>
          <w:tcPr>
            <w:tcW w:w="149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姓名</w:t>
            </w:r>
            <w:r/>
          </w:p>
        </w:tc>
        <w:tc>
          <w:tcPr>
            <w:tcW w:w="149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拟在本项目担任职务</w:t>
            </w:r>
            <w:r/>
          </w:p>
        </w:tc>
        <w:tc>
          <w:tcPr>
            <w:tcW w:w="127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学历</w:t>
            </w:r>
            <w:r/>
          </w:p>
        </w:tc>
        <w:tc>
          <w:tcPr>
            <w:tcW w:w="171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专业</w:t>
            </w:r>
            <w:r/>
          </w:p>
        </w:tc>
        <w:tc>
          <w:tcPr>
            <w:tcW w:w="193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职称、上岗证或其他证书材料</w:t>
            </w:r>
            <w:r/>
          </w:p>
        </w:tc>
      </w:tr>
      <w:tr>
        <w:trPr>
          <w:jc w:val="center"/>
          <w:trHeight w:val="454" w:hRule="exact"/>
        </w:trPr>
        <w:tc>
          <w:tcPr>
            <w:tcW w:w="94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tcW w:w="149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49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71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93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454" w:hRule="exact"/>
        </w:trPr>
        <w:tc>
          <w:tcPr>
            <w:tcW w:w="94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tcW w:w="149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49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71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93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454" w:hRule="exact"/>
        </w:trPr>
        <w:tc>
          <w:tcPr>
            <w:tcW w:w="94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tcW w:w="149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49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71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93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454" w:hRule="exact"/>
        </w:trPr>
        <w:tc>
          <w:tcPr>
            <w:tcW w:w="94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c>
          <w:tcPr>
            <w:tcW w:w="149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49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71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93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bl>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响应单位：（单位盖章）</w:t>
      </w:r>
      <w:r/>
    </w:p>
    <w:p>
      <w:pPr>
        <w:spacing w:line="360" w:lineRule="auto"/>
        <w:rPr>
          <w:rFonts w:hint="eastAsia" w:ascii="宋体" w:hAnsi="宋体" w:cs="宋体"/>
          <w:sz w:val="24"/>
          <w:szCs w:val="24"/>
        </w:rPr>
      </w:pPr>
      <w:r>
        <w:rPr>
          <w:rFonts w:hint="eastAsia" w:ascii="宋体" w:hAnsi="宋体" w:cs="宋体"/>
          <w:sz w:val="24"/>
          <w:szCs w:val="24"/>
        </w:rPr>
        <w:t xml:space="preserve">法定代表人或授权委托人：（签字或盖章）</w:t>
      </w:r>
      <w:r/>
    </w:p>
    <w:p>
      <w:pPr>
        <w:spacing w:line="360" w:lineRule="auto"/>
        <w:rPr>
          <w:rFonts w:hint="eastAsia" w:ascii="宋体" w:hAnsi="宋体" w:cs="宋体"/>
          <w:sz w:val="24"/>
          <w:szCs w:val="24"/>
        </w:rPr>
      </w:pPr>
      <w:r>
        <w:rPr>
          <w:rFonts w:hint="eastAsia" w:ascii="宋体" w:hAnsi="宋体" w:cs="宋体"/>
          <w:sz w:val="24"/>
          <w:szCs w:val="24"/>
        </w:rPr>
        <w:t xml:space="preserve">日期：         年         月       日</w:t>
      </w:r>
      <w:r/>
    </w:p>
    <w:p>
      <w:pPr>
        <w:spacing w:line="360" w:lineRule="auto"/>
        <w:rPr>
          <w:rFonts w:hint="eastAsia" w:ascii="宋体" w:hAnsi="宋体" w:cs="宋体"/>
          <w:b/>
          <w:sz w:val="24"/>
          <w:szCs w:val="24"/>
        </w:rPr>
      </w:pPr>
      <w:r>
        <w:rPr>
          <w:rFonts w:hint="eastAsia" w:ascii="宋体" w:hAnsi="宋体" w:cs="宋体"/>
          <w:b/>
          <w:sz w:val="24"/>
          <w:szCs w:val="24"/>
        </w:rPr>
      </w:r>
      <w:r/>
    </w:p>
    <w:p>
      <w:pPr>
        <w:spacing w:line="360" w:lineRule="auto"/>
        <w:rPr>
          <w:rFonts w:hint="eastAsia" w:ascii="宋体" w:hAnsi="宋体" w:cs="宋体"/>
          <w:b/>
          <w:sz w:val="24"/>
          <w:szCs w:val="24"/>
        </w:rPr>
      </w:pPr>
      <w:r>
        <w:rPr>
          <w:rFonts w:hint="eastAsia" w:ascii="宋体" w:hAnsi="宋体" w:cs="宋体"/>
          <w:b/>
          <w:sz w:val="24"/>
          <w:szCs w:val="24"/>
        </w:rPr>
      </w:r>
      <w:r/>
    </w:p>
    <w:p>
      <w:pPr>
        <w:spacing w:line="360" w:lineRule="auto"/>
        <w:rPr>
          <w:rFonts w:hint="eastAsia" w:ascii="宋体" w:hAnsi="宋体" w:cs="宋体"/>
          <w:sz w:val="24"/>
          <w:szCs w:val="24"/>
        </w:rPr>
      </w:pPr>
      <w:r>
        <w:rPr>
          <w:rFonts w:hint="eastAsia" w:ascii="宋体" w:hAnsi="宋体" w:cs="宋体"/>
          <w:b/>
          <w:sz w:val="24"/>
          <w:szCs w:val="24"/>
        </w:rPr>
        <w:t xml:space="preserve">9、类似业绩情况表（表格自制）；</w:t>
      </w:r>
      <w:r/>
    </w:p>
    <w:p>
      <w:pPr>
        <w:jc w:val="center"/>
        <w:spacing w:line="360" w:lineRule="auto"/>
        <w:rPr>
          <w:rFonts w:hint="eastAsia" w:ascii="宋体" w:hAnsi="宋体"/>
          <w:b/>
          <w:bCs/>
          <w:sz w:val="28"/>
          <w:szCs w:val="28"/>
        </w:rPr>
      </w:pPr>
      <w:r>
        <w:rPr>
          <w:rFonts w:hint="eastAsia" w:ascii="宋体" w:hAnsi="宋体"/>
          <w:b/>
          <w:bCs/>
          <w:sz w:val="28"/>
          <w:szCs w:val="28"/>
        </w:rPr>
        <w:t xml:space="preserve">业绩</w:t>
      </w:r>
      <w:r>
        <w:rPr>
          <w:rFonts w:ascii="宋体" w:hAnsi="宋体"/>
          <w:b/>
          <w:bCs/>
          <w:sz w:val="28"/>
          <w:szCs w:val="28"/>
        </w:rPr>
        <w:t xml:space="preserve">一览表</w:t>
      </w:r>
      <w:r/>
    </w:p>
    <w:p>
      <w:pPr>
        <w:jc w:val="center"/>
        <w:spacing w:line="360" w:lineRule="auto"/>
        <w:rPr>
          <w:rFonts w:hint="eastAsia" w:ascii="宋体" w:hAnsi="宋体"/>
          <w:szCs w:val="21"/>
        </w:rPr>
      </w:pPr>
      <w:r>
        <w:rPr>
          <w:rFonts w:hint="eastAsia" w:ascii="宋体" w:hAnsi="宋体"/>
          <w:szCs w:val="21"/>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30"/>
        <w:gridCol w:w="1713"/>
        <w:gridCol w:w="1560"/>
        <w:gridCol w:w="2126"/>
        <w:gridCol w:w="2074"/>
        <w:gridCol w:w="1259"/>
      </w:tblGrid>
      <w:tr>
        <w:trPr>
          <w:jc w:val="center"/>
        </w:trPr>
        <w:tc>
          <w:tcPr>
            <w:tcW w:w="617" w:type="pct"/>
            <w:vAlign w:val="center"/>
            <w:textDirection w:val="lrTb"/>
            <w:noWrap w:val="false"/>
          </w:tcPr>
          <w:p>
            <w:pPr>
              <w:jc w:val="center"/>
              <w:spacing w:line="400" w:lineRule="exact"/>
              <w:rPr>
                <w:rFonts w:hint="eastAsia" w:ascii="宋体" w:hAnsi="宋体"/>
                <w:sz w:val="24"/>
              </w:rPr>
            </w:pPr>
            <w:r>
              <w:rPr>
                <w:rFonts w:hint="eastAsia" w:ascii="宋体" w:hAnsi="宋体"/>
                <w:sz w:val="24"/>
              </w:rPr>
              <w:t xml:space="preserve">序号</w:t>
            </w:r>
            <w:r/>
          </w:p>
        </w:tc>
        <w:tc>
          <w:tcPr>
            <w:tcW w:w="860" w:type="pct"/>
            <w:vAlign w:val="center"/>
            <w:textDirection w:val="lrTb"/>
            <w:noWrap w:val="false"/>
          </w:tcPr>
          <w:p>
            <w:pPr>
              <w:jc w:val="center"/>
              <w:spacing w:line="400" w:lineRule="exact"/>
              <w:rPr>
                <w:rFonts w:hint="eastAsia" w:ascii="宋体" w:hAnsi="宋体"/>
                <w:sz w:val="24"/>
              </w:rPr>
            </w:pPr>
            <w:r>
              <w:rPr>
                <w:rFonts w:hint="eastAsia" w:ascii="宋体" w:hAnsi="宋体"/>
                <w:sz w:val="24"/>
              </w:rPr>
              <w:t xml:space="preserve">项目名称</w:t>
            </w:r>
            <w:r/>
          </w:p>
        </w:tc>
        <w:tc>
          <w:tcPr>
            <w:tcW w:w="783" w:type="pct"/>
            <w:vAlign w:val="center"/>
            <w:textDirection w:val="lrTb"/>
            <w:noWrap w:val="false"/>
          </w:tcPr>
          <w:p>
            <w:pPr>
              <w:jc w:val="center"/>
              <w:spacing w:line="400" w:lineRule="exact"/>
              <w:rPr>
                <w:rFonts w:hint="eastAsia" w:ascii="宋体" w:hAnsi="宋体"/>
                <w:sz w:val="24"/>
              </w:rPr>
            </w:pPr>
            <w:r>
              <w:rPr>
                <w:rFonts w:hint="eastAsia" w:ascii="宋体" w:hAnsi="宋体"/>
                <w:sz w:val="24"/>
              </w:rPr>
              <w:t xml:space="preserve">项目时间</w:t>
            </w:r>
            <w:r/>
          </w:p>
        </w:tc>
        <w:tc>
          <w:tcPr>
            <w:tcW w:w="1067" w:type="pct"/>
            <w:vAlign w:val="center"/>
            <w:textDirection w:val="lrTb"/>
            <w:noWrap w:val="false"/>
          </w:tcPr>
          <w:p>
            <w:pPr>
              <w:jc w:val="center"/>
              <w:spacing w:line="400" w:lineRule="exact"/>
              <w:rPr>
                <w:rFonts w:hint="eastAsia" w:ascii="宋体" w:hAnsi="宋体"/>
                <w:sz w:val="24"/>
              </w:rPr>
            </w:pPr>
            <w:r>
              <w:rPr>
                <w:rFonts w:hint="eastAsia" w:ascii="宋体" w:hAnsi="宋体"/>
                <w:sz w:val="24"/>
              </w:rPr>
              <w:t xml:space="preserve">合同金额</w:t>
            </w:r>
            <w:r/>
          </w:p>
          <w:p>
            <w:pPr>
              <w:jc w:val="center"/>
              <w:spacing w:line="400" w:lineRule="exact"/>
              <w:rPr>
                <w:rFonts w:hint="eastAsia" w:ascii="宋体" w:hAnsi="宋体"/>
                <w:sz w:val="24"/>
              </w:rPr>
            </w:pPr>
            <w:r>
              <w:rPr>
                <w:rFonts w:hint="eastAsia" w:ascii="宋体" w:hAnsi="宋体"/>
                <w:sz w:val="24"/>
              </w:rPr>
              <w:t xml:space="preserve">（人民币）</w:t>
            </w:r>
            <w:r/>
          </w:p>
        </w:tc>
        <w:tc>
          <w:tcPr>
            <w:tcW w:w="1041" w:type="pct"/>
            <w:vAlign w:val="center"/>
            <w:textDirection w:val="lrTb"/>
            <w:noWrap w:val="false"/>
          </w:tcPr>
          <w:p>
            <w:pPr>
              <w:jc w:val="center"/>
              <w:spacing w:line="400" w:lineRule="exact"/>
              <w:rPr>
                <w:rFonts w:hint="eastAsia" w:ascii="宋体" w:hAnsi="宋体"/>
                <w:sz w:val="24"/>
              </w:rPr>
            </w:pPr>
            <w:r>
              <w:rPr>
                <w:rFonts w:hint="eastAsia" w:ascii="宋体" w:hAnsi="宋体"/>
                <w:sz w:val="24"/>
              </w:rPr>
              <w:t xml:space="preserve">业主单位</w:t>
            </w:r>
            <w:r/>
          </w:p>
        </w:tc>
        <w:tc>
          <w:tcPr>
            <w:tcW w:w="632" w:type="pct"/>
            <w:vAlign w:val="center"/>
            <w:textDirection w:val="lrTb"/>
            <w:noWrap w:val="false"/>
          </w:tcPr>
          <w:p>
            <w:pPr>
              <w:jc w:val="center"/>
              <w:spacing w:line="400" w:lineRule="exact"/>
              <w:rPr>
                <w:rFonts w:hint="eastAsia" w:ascii="宋体" w:hAnsi="宋体"/>
                <w:sz w:val="24"/>
              </w:rPr>
            </w:pPr>
            <w:r>
              <w:rPr>
                <w:rFonts w:hint="eastAsia" w:ascii="宋体" w:hAnsi="宋体"/>
                <w:sz w:val="24"/>
              </w:rPr>
              <w:t xml:space="preserve">备注</w:t>
            </w:r>
            <w:r/>
          </w:p>
        </w:tc>
      </w:tr>
      <w:tr>
        <w:trPr>
          <w:jc w:val="center"/>
          <w:trHeight w:val="680" w:hRule="exact"/>
        </w:trPr>
        <w:tc>
          <w:tcPr>
            <w:tcW w:w="617" w:type="pct"/>
            <w:vAlign w:val="center"/>
            <w:textDirection w:val="lrTb"/>
            <w:noWrap w:val="false"/>
          </w:tcPr>
          <w:p>
            <w:pPr>
              <w:jc w:val="center"/>
              <w:spacing w:line="480" w:lineRule="auto"/>
              <w:rPr>
                <w:rFonts w:hint="eastAsia" w:ascii="宋体" w:hAnsi="宋体" w:cs="宋体"/>
                <w:sz w:val="24"/>
              </w:rPr>
            </w:pPr>
            <w:r>
              <w:rPr>
                <w:rFonts w:hint="eastAsia" w:ascii="宋体" w:hAnsi="宋体" w:cs="宋体"/>
                <w:sz w:val="24"/>
              </w:rPr>
              <w:t xml:space="preserve">1</w:t>
            </w:r>
            <w:r/>
          </w:p>
        </w:tc>
        <w:tc>
          <w:tcPr>
            <w:tcW w:w="860" w:type="pct"/>
            <w:vAlign w:val="center"/>
            <w:textDirection w:val="lrTb"/>
            <w:noWrap w:val="false"/>
          </w:tcPr>
          <w:p>
            <w:pPr>
              <w:jc w:val="center"/>
              <w:spacing w:line="480" w:lineRule="auto"/>
              <w:rPr>
                <w:rFonts w:hint="eastAsia" w:ascii="宋体" w:hAnsi="宋体" w:cs="宋体"/>
                <w:sz w:val="24"/>
              </w:rPr>
            </w:pPr>
            <w:r>
              <w:rPr>
                <w:rFonts w:hint="eastAsia" w:ascii="宋体" w:hAnsi="宋体" w:cs="宋体"/>
                <w:sz w:val="24"/>
              </w:rPr>
            </w:r>
            <w:r/>
          </w:p>
        </w:tc>
        <w:tc>
          <w:tcPr>
            <w:tcW w:w="783" w:type="pct"/>
            <w:vAlign w:val="center"/>
            <w:textDirection w:val="lrTb"/>
            <w:noWrap w:val="false"/>
          </w:tcPr>
          <w:p>
            <w:pPr>
              <w:jc w:val="center"/>
              <w:spacing w:line="480" w:lineRule="auto"/>
              <w:rPr>
                <w:rFonts w:hint="eastAsia" w:ascii="宋体" w:hAnsi="宋体" w:cs="宋体"/>
                <w:sz w:val="24"/>
              </w:rPr>
            </w:pPr>
            <w:r>
              <w:rPr>
                <w:rFonts w:hint="eastAsia" w:ascii="宋体" w:hAnsi="宋体" w:cs="宋体"/>
                <w:sz w:val="24"/>
              </w:rPr>
            </w:r>
            <w:r/>
          </w:p>
        </w:tc>
        <w:tc>
          <w:tcPr>
            <w:tcW w:w="1067" w:type="pct"/>
            <w:vAlign w:val="center"/>
            <w:textDirection w:val="lrTb"/>
            <w:noWrap w:val="false"/>
          </w:tcPr>
          <w:p>
            <w:pPr>
              <w:jc w:val="center"/>
              <w:spacing w:line="480" w:lineRule="auto"/>
              <w:rPr>
                <w:rFonts w:hint="eastAsia" w:ascii="宋体" w:hAnsi="宋体" w:cs="宋体"/>
                <w:sz w:val="24"/>
              </w:rPr>
            </w:pPr>
            <w:r>
              <w:rPr>
                <w:rFonts w:hint="eastAsia" w:ascii="宋体" w:hAnsi="宋体" w:cs="宋体"/>
                <w:sz w:val="24"/>
              </w:rPr>
            </w:r>
            <w:r/>
          </w:p>
        </w:tc>
        <w:tc>
          <w:tcPr>
            <w:tcW w:w="1041" w:type="pct"/>
            <w:vAlign w:val="center"/>
            <w:textDirection w:val="lrTb"/>
            <w:noWrap w:val="false"/>
          </w:tcPr>
          <w:p>
            <w:pPr>
              <w:jc w:val="center"/>
              <w:spacing w:line="480" w:lineRule="auto"/>
              <w:rPr>
                <w:rFonts w:hint="eastAsia" w:ascii="宋体" w:hAnsi="宋体" w:cs="宋体"/>
                <w:sz w:val="24"/>
              </w:rPr>
            </w:pPr>
            <w:r>
              <w:rPr>
                <w:rFonts w:hint="eastAsia" w:ascii="宋体" w:hAnsi="宋体" w:cs="宋体"/>
                <w:sz w:val="24"/>
              </w:rPr>
            </w:r>
            <w:r/>
          </w:p>
        </w:tc>
        <w:tc>
          <w:tcPr>
            <w:tcW w:w="632" w:type="pct"/>
            <w:vAlign w:val="center"/>
            <w:textDirection w:val="lrTb"/>
            <w:noWrap w:val="false"/>
          </w:tcPr>
          <w:p>
            <w:pPr>
              <w:jc w:val="center"/>
              <w:spacing w:line="480" w:lineRule="auto"/>
              <w:rPr>
                <w:rFonts w:hint="eastAsia" w:ascii="宋体" w:hAnsi="宋体" w:cs="宋体"/>
                <w:sz w:val="24"/>
              </w:rPr>
            </w:pPr>
            <w:r>
              <w:rPr>
                <w:rFonts w:hint="eastAsia" w:ascii="宋体" w:hAnsi="宋体" w:cs="宋体"/>
                <w:sz w:val="24"/>
              </w:rPr>
            </w:r>
            <w:r/>
          </w:p>
        </w:tc>
      </w:tr>
      <w:tr>
        <w:trPr>
          <w:jc w:val="center"/>
          <w:trHeight w:val="680" w:hRule="exact"/>
        </w:trPr>
        <w:tc>
          <w:tcPr>
            <w:tcW w:w="617" w:type="pct"/>
            <w:vAlign w:val="center"/>
            <w:textDirection w:val="lrTb"/>
            <w:noWrap w:val="false"/>
          </w:tcPr>
          <w:p>
            <w:pPr>
              <w:jc w:val="center"/>
              <w:spacing w:line="480" w:lineRule="auto"/>
              <w:rPr>
                <w:rFonts w:hint="eastAsia" w:ascii="宋体" w:hAnsi="宋体" w:cs="宋体"/>
                <w:sz w:val="24"/>
              </w:rPr>
            </w:pPr>
            <w:r>
              <w:rPr>
                <w:rFonts w:hint="eastAsia" w:ascii="宋体" w:hAnsi="宋体" w:cs="宋体"/>
                <w:sz w:val="24"/>
              </w:rPr>
              <w:t xml:space="preserve">2</w:t>
            </w:r>
            <w:r/>
          </w:p>
        </w:tc>
        <w:tc>
          <w:tcPr>
            <w:tcW w:w="860" w:type="pct"/>
            <w:vAlign w:val="center"/>
            <w:textDirection w:val="lrTb"/>
            <w:noWrap w:val="false"/>
          </w:tcPr>
          <w:p>
            <w:pPr>
              <w:jc w:val="center"/>
              <w:spacing w:line="480" w:lineRule="auto"/>
              <w:rPr>
                <w:rFonts w:hint="eastAsia" w:ascii="宋体" w:hAnsi="宋体" w:cs="宋体"/>
                <w:sz w:val="24"/>
              </w:rPr>
            </w:pPr>
            <w:r>
              <w:rPr>
                <w:rFonts w:hint="eastAsia" w:ascii="宋体" w:hAnsi="宋体" w:cs="宋体"/>
                <w:sz w:val="24"/>
              </w:rPr>
            </w:r>
            <w:r/>
          </w:p>
        </w:tc>
        <w:tc>
          <w:tcPr>
            <w:tcW w:w="783" w:type="pct"/>
            <w:vAlign w:val="center"/>
            <w:textDirection w:val="lrTb"/>
            <w:noWrap w:val="false"/>
          </w:tcPr>
          <w:p>
            <w:pPr>
              <w:jc w:val="center"/>
              <w:spacing w:line="480" w:lineRule="auto"/>
              <w:rPr>
                <w:rFonts w:hint="eastAsia" w:ascii="宋体" w:hAnsi="宋体" w:cs="宋体"/>
                <w:sz w:val="24"/>
              </w:rPr>
            </w:pPr>
            <w:r>
              <w:rPr>
                <w:rFonts w:hint="eastAsia" w:ascii="宋体" w:hAnsi="宋体" w:cs="宋体"/>
                <w:sz w:val="24"/>
              </w:rPr>
            </w:r>
            <w:r/>
          </w:p>
        </w:tc>
        <w:tc>
          <w:tcPr>
            <w:tcW w:w="1067" w:type="pct"/>
            <w:vAlign w:val="center"/>
            <w:textDirection w:val="lrTb"/>
            <w:noWrap w:val="false"/>
          </w:tcPr>
          <w:p>
            <w:pPr>
              <w:jc w:val="center"/>
              <w:spacing w:line="480" w:lineRule="auto"/>
              <w:rPr>
                <w:rFonts w:hint="eastAsia" w:ascii="宋体" w:hAnsi="宋体" w:cs="宋体"/>
                <w:sz w:val="24"/>
              </w:rPr>
            </w:pPr>
            <w:r>
              <w:rPr>
                <w:rFonts w:hint="eastAsia" w:ascii="宋体" w:hAnsi="宋体" w:cs="宋体"/>
                <w:sz w:val="24"/>
              </w:rPr>
            </w:r>
            <w:r/>
          </w:p>
        </w:tc>
        <w:tc>
          <w:tcPr>
            <w:tcW w:w="1041" w:type="pct"/>
            <w:vAlign w:val="center"/>
            <w:textDirection w:val="lrTb"/>
            <w:noWrap w:val="false"/>
          </w:tcPr>
          <w:p>
            <w:pPr>
              <w:jc w:val="center"/>
              <w:spacing w:line="480" w:lineRule="auto"/>
              <w:rPr>
                <w:rFonts w:hint="eastAsia" w:ascii="宋体" w:hAnsi="宋体" w:cs="宋体"/>
                <w:sz w:val="24"/>
              </w:rPr>
            </w:pPr>
            <w:r>
              <w:rPr>
                <w:rFonts w:hint="eastAsia" w:ascii="宋体" w:hAnsi="宋体" w:cs="宋体"/>
                <w:sz w:val="24"/>
              </w:rPr>
            </w:r>
            <w:r/>
          </w:p>
        </w:tc>
        <w:tc>
          <w:tcPr>
            <w:tcW w:w="632" w:type="pct"/>
            <w:vAlign w:val="center"/>
            <w:textDirection w:val="lrTb"/>
            <w:noWrap w:val="false"/>
          </w:tcPr>
          <w:p>
            <w:pPr>
              <w:jc w:val="center"/>
              <w:spacing w:line="480" w:lineRule="auto"/>
              <w:rPr>
                <w:rFonts w:hint="eastAsia" w:ascii="宋体" w:hAnsi="宋体" w:cs="宋体"/>
                <w:sz w:val="24"/>
              </w:rPr>
            </w:pPr>
            <w:r>
              <w:rPr>
                <w:rFonts w:hint="eastAsia" w:ascii="宋体" w:hAnsi="宋体" w:cs="宋体"/>
                <w:sz w:val="24"/>
              </w:rPr>
            </w:r>
            <w:r/>
          </w:p>
        </w:tc>
      </w:tr>
      <w:tr>
        <w:trPr>
          <w:jc w:val="center"/>
          <w:trHeight w:val="680" w:hRule="exact"/>
        </w:trPr>
        <w:tc>
          <w:tcPr>
            <w:tcW w:w="617" w:type="pct"/>
            <w:vAlign w:val="center"/>
            <w:textDirection w:val="lrTb"/>
            <w:noWrap w:val="false"/>
          </w:tcPr>
          <w:p>
            <w:pPr>
              <w:jc w:val="center"/>
              <w:spacing w:line="480" w:lineRule="auto"/>
              <w:rPr>
                <w:rFonts w:hint="eastAsia" w:ascii="宋体" w:hAnsi="宋体" w:cs="宋体"/>
                <w:sz w:val="24"/>
              </w:rPr>
            </w:pPr>
            <w:r>
              <w:rPr>
                <w:rFonts w:hint="eastAsia" w:ascii="宋体" w:hAnsi="宋体" w:cs="宋体"/>
                <w:sz w:val="24"/>
              </w:rPr>
              <w:t xml:space="preserve">3</w:t>
            </w:r>
            <w:r/>
          </w:p>
        </w:tc>
        <w:tc>
          <w:tcPr>
            <w:tcW w:w="860" w:type="pct"/>
            <w:vAlign w:val="center"/>
            <w:textDirection w:val="lrTb"/>
            <w:noWrap w:val="false"/>
          </w:tcPr>
          <w:p>
            <w:pPr>
              <w:jc w:val="center"/>
              <w:spacing w:line="480" w:lineRule="auto"/>
              <w:rPr>
                <w:rFonts w:hint="eastAsia" w:ascii="宋体" w:hAnsi="宋体" w:cs="宋体"/>
                <w:sz w:val="24"/>
              </w:rPr>
            </w:pPr>
            <w:r>
              <w:rPr>
                <w:rFonts w:hint="eastAsia" w:ascii="宋体" w:hAnsi="宋体" w:cs="宋体"/>
                <w:sz w:val="24"/>
              </w:rPr>
            </w:r>
            <w:r/>
          </w:p>
        </w:tc>
        <w:tc>
          <w:tcPr>
            <w:tcW w:w="783" w:type="pct"/>
            <w:vAlign w:val="center"/>
            <w:textDirection w:val="lrTb"/>
            <w:noWrap w:val="false"/>
          </w:tcPr>
          <w:p>
            <w:pPr>
              <w:jc w:val="center"/>
              <w:spacing w:line="480" w:lineRule="auto"/>
              <w:rPr>
                <w:rFonts w:hint="eastAsia" w:ascii="宋体" w:hAnsi="宋体" w:cs="宋体"/>
                <w:sz w:val="24"/>
              </w:rPr>
            </w:pPr>
            <w:r>
              <w:rPr>
                <w:rFonts w:hint="eastAsia" w:ascii="宋体" w:hAnsi="宋体" w:cs="宋体"/>
                <w:sz w:val="24"/>
              </w:rPr>
            </w:r>
            <w:r/>
          </w:p>
        </w:tc>
        <w:tc>
          <w:tcPr>
            <w:tcW w:w="1067" w:type="pct"/>
            <w:vAlign w:val="center"/>
            <w:textDirection w:val="lrTb"/>
            <w:noWrap w:val="false"/>
          </w:tcPr>
          <w:p>
            <w:pPr>
              <w:jc w:val="center"/>
              <w:spacing w:line="480" w:lineRule="auto"/>
              <w:rPr>
                <w:rFonts w:hint="eastAsia" w:ascii="宋体" w:hAnsi="宋体" w:cs="宋体"/>
                <w:sz w:val="24"/>
              </w:rPr>
            </w:pPr>
            <w:r>
              <w:rPr>
                <w:rFonts w:hint="eastAsia" w:ascii="宋体" w:hAnsi="宋体" w:cs="宋体"/>
                <w:sz w:val="24"/>
              </w:rPr>
            </w:r>
            <w:r/>
          </w:p>
        </w:tc>
        <w:tc>
          <w:tcPr>
            <w:tcW w:w="1041" w:type="pct"/>
            <w:vAlign w:val="center"/>
            <w:textDirection w:val="lrTb"/>
            <w:noWrap w:val="false"/>
          </w:tcPr>
          <w:p>
            <w:pPr>
              <w:jc w:val="center"/>
              <w:spacing w:line="480" w:lineRule="auto"/>
              <w:rPr>
                <w:rFonts w:hint="eastAsia" w:ascii="宋体" w:hAnsi="宋体" w:cs="宋体"/>
                <w:sz w:val="24"/>
              </w:rPr>
            </w:pPr>
            <w:r>
              <w:rPr>
                <w:rFonts w:hint="eastAsia" w:ascii="宋体" w:hAnsi="宋体" w:cs="宋体"/>
                <w:sz w:val="24"/>
              </w:rPr>
            </w:r>
            <w:r/>
          </w:p>
        </w:tc>
        <w:tc>
          <w:tcPr>
            <w:tcW w:w="632" w:type="pct"/>
            <w:vAlign w:val="center"/>
            <w:textDirection w:val="lrTb"/>
            <w:noWrap w:val="false"/>
          </w:tcPr>
          <w:p>
            <w:pPr>
              <w:jc w:val="center"/>
              <w:spacing w:line="480" w:lineRule="auto"/>
              <w:rPr>
                <w:rFonts w:hint="eastAsia" w:ascii="宋体" w:hAnsi="宋体" w:cs="宋体"/>
                <w:sz w:val="24"/>
              </w:rPr>
            </w:pPr>
            <w:r>
              <w:rPr>
                <w:rFonts w:hint="eastAsia" w:ascii="宋体" w:hAnsi="宋体" w:cs="宋体"/>
                <w:sz w:val="24"/>
              </w:rPr>
            </w:r>
            <w:r/>
          </w:p>
        </w:tc>
      </w:tr>
      <w:tr>
        <w:trPr>
          <w:jc w:val="center"/>
          <w:trHeight w:val="680" w:hRule="exact"/>
        </w:trPr>
        <w:tc>
          <w:tcPr>
            <w:tcW w:w="617" w:type="pct"/>
            <w:vAlign w:val="center"/>
            <w:textDirection w:val="lrTb"/>
            <w:noWrap w:val="false"/>
          </w:tcPr>
          <w:p>
            <w:pPr>
              <w:jc w:val="center"/>
              <w:spacing w:line="480" w:lineRule="auto"/>
              <w:rPr>
                <w:rFonts w:hint="eastAsia" w:ascii="宋体" w:hAnsi="宋体" w:cs="宋体"/>
                <w:sz w:val="24"/>
              </w:rPr>
            </w:pPr>
            <w:r>
              <w:rPr>
                <w:rFonts w:hint="eastAsia" w:ascii="宋体" w:hAnsi="宋体" w:cs="宋体"/>
                <w:sz w:val="24"/>
              </w:rPr>
              <w:t xml:space="preserve">4</w:t>
            </w:r>
            <w:r/>
          </w:p>
        </w:tc>
        <w:tc>
          <w:tcPr>
            <w:tcW w:w="860" w:type="pct"/>
            <w:vAlign w:val="center"/>
            <w:textDirection w:val="lrTb"/>
            <w:noWrap w:val="false"/>
          </w:tcPr>
          <w:p>
            <w:pPr>
              <w:jc w:val="center"/>
              <w:spacing w:line="480" w:lineRule="auto"/>
              <w:rPr>
                <w:rFonts w:hint="eastAsia" w:ascii="宋体" w:hAnsi="宋体" w:cs="宋体"/>
                <w:sz w:val="24"/>
              </w:rPr>
            </w:pPr>
            <w:r>
              <w:rPr>
                <w:rFonts w:hint="eastAsia" w:ascii="宋体" w:hAnsi="宋体" w:cs="宋体"/>
                <w:sz w:val="24"/>
              </w:rPr>
            </w:r>
            <w:r/>
          </w:p>
        </w:tc>
        <w:tc>
          <w:tcPr>
            <w:tcW w:w="783" w:type="pct"/>
            <w:vAlign w:val="center"/>
            <w:textDirection w:val="lrTb"/>
            <w:noWrap w:val="false"/>
          </w:tcPr>
          <w:p>
            <w:pPr>
              <w:jc w:val="center"/>
              <w:spacing w:line="480" w:lineRule="auto"/>
              <w:rPr>
                <w:rFonts w:hint="eastAsia" w:ascii="宋体" w:hAnsi="宋体" w:cs="宋体"/>
                <w:sz w:val="24"/>
              </w:rPr>
            </w:pPr>
            <w:r>
              <w:rPr>
                <w:rFonts w:hint="eastAsia" w:ascii="宋体" w:hAnsi="宋体" w:cs="宋体"/>
                <w:sz w:val="24"/>
              </w:rPr>
            </w:r>
            <w:r/>
          </w:p>
        </w:tc>
        <w:tc>
          <w:tcPr>
            <w:tcW w:w="1067" w:type="pct"/>
            <w:vAlign w:val="center"/>
            <w:textDirection w:val="lrTb"/>
            <w:noWrap w:val="false"/>
          </w:tcPr>
          <w:p>
            <w:pPr>
              <w:jc w:val="center"/>
              <w:spacing w:line="480" w:lineRule="auto"/>
              <w:rPr>
                <w:rFonts w:hint="eastAsia" w:ascii="宋体" w:hAnsi="宋体" w:cs="宋体"/>
                <w:sz w:val="24"/>
              </w:rPr>
            </w:pPr>
            <w:r>
              <w:rPr>
                <w:rFonts w:hint="eastAsia" w:ascii="宋体" w:hAnsi="宋体" w:cs="宋体"/>
                <w:sz w:val="24"/>
              </w:rPr>
            </w:r>
            <w:r/>
          </w:p>
        </w:tc>
        <w:tc>
          <w:tcPr>
            <w:tcW w:w="1041" w:type="pct"/>
            <w:vAlign w:val="center"/>
            <w:textDirection w:val="lrTb"/>
            <w:noWrap w:val="false"/>
          </w:tcPr>
          <w:p>
            <w:pPr>
              <w:jc w:val="center"/>
              <w:spacing w:line="480" w:lineRule="auto"/>
              <w:rPr>
                <w:rFonts w:hint="eastAsia" w:ascii="宋体" w:hAnsi="宋体" w:cs="宋体"/>
                <w:sz w:val="24"/>
              </w:rPr>
            </w:pPr>
            <w:r>
              <w:rPr>
                <w:rFonts w:hint="eastAsia" w:ascii="宋体" w:hAnsi="宋体" w:cs="宋体"/>
                <w:sz w:val="24"/>
              </w:rPr>
            </w:r>
            <w:r/>
          </w:p>
        </w:tc>
        <w:tc>
          <w:tcPr>
            <w:tcW w:w="632" w:type="pct"/>
            <w:vAlign w:val="center"/>
            <w:textDirection w:val="lrTb"/>
            <w:noWrap w:val="false"/>
          </w:tcPr>
          <w:p>
            <w:pPr>
              <w:jc w:val="center"/>
              <w:spacing w:line="480" w:lineRule="auto"/>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sz w:val="24"/>
        </w:rPr>
      </w:pPr>
      <w:r>
        <w:rPr>
          <w:rFonts w:hint="eastAsia" w:ascii="宋体" w:hAnsi="宋体"/>
          <w:sz w:val="24"/>
        </w:rPr>
        <w:t xml:space="preserve">注：相关证明材料复印件加盖公章后附在本表后面</w:t>
      </w:r>
      <w:r>
        <w:rPr>
          <w:rFonts w:ascii="宋体" w:hAnsi="宋体"/>
          <w:sz w:val="24"/>
        </w:rPr>
        <w:t xml:space="preserve">。</w:t>
      </w:r>
      <w:r/>
    </w:p>
    <w:p>
      <w:pPr>
        <w:spacing w:before="25" w:after="25" w:line="360" w:lineRule="auto"/>
        <w:rPr>
          <w:rFonts w:hint="eastAsia" w:ascii="宋体" w:hAnsi="宋体"/>
          <w:bCs/>
          <w:szCs w:val="21"/>
        </w:rPr>
      </w:pPr>
      <w:r>
        <w:rPr>
          <w:rFonts w:hint="eastAsia" w:ascii="宋体" w:hAnsi="宋体"/>
          <w:bCs/>
          <w:szCs w:val="21"/>
        </w:rPr>
      </w:r>
      <w:r/>
    </w:p>
    <w:p>
      <w:pPr>
        <w:spacing w:line="360" w:lineRule="auto"/>
        <w:rPr>
          <w:rFonts w:hint="eastAsia" w:ascii="宋体" w:hAnsi="宋体"/>
          <w:sz w:val="24"/>
        </w:rPr>
      </w:pPr>
      <w:r>
        <w:rPr>
          <w:rFonts w:hint="eastAsia" w:ascii="宋体" w:hAnsi="宋体"/>
          <w:sz w:val="24"/>
        </w:rPr>
        <w:t xml:space="preserve">响应单位：（单位盖章）</w:t>
      </w:r>
      <w:r/>
    </w:p>
    <w:p>
      <w:pPr>
        <w:spacing w:line="360" w:lineRule="auto"/>
        <w:rPr>
          <w:rFonts w:hint="eastAsia" w:ascii="宋体" w:hAnsi="宋体"/>
          <w:sz w:val="24"/>
        </w:rPr>
      </w:pPr>
      <w:r>
        <w:rPr>
          <w:rFonts w:hint="eastAsia" w:ascii="宋体" w:hAnsi="宋体"/>
          <w:sz w:val="24"/>
        </w:rPr>
        <w:t xml:space="preserve">法定代表人或代理人：（签字或盖章）</w:t>
      </w:r>
      <w:r/>
    </w:p>
    <w:p>
      <w:pPr>
        <w:spacing w:line="360" w:lineRule="auto"/>
        <w:rPr>
          <w:rFonts w:hint="eastAsia" w:ascii="宋体" w:hAnsi="宋体"/>
          <w:sz w:val="24"/>
        </w:rPr>
      </w:pPr>
      <w:r>
        <w:rPr>
          <w:rFonts w:hint="eastAsia" w:ascii="宋体" w:hAnsi="宋体"/>
          <w:sz w:val="24"/>
        </w:rPr>
        <w:t xml:space="preserve">日期：    年    月    日</w:t>
      </w:r>
      <w:r/>
    </w:p>
    <w:p>
      <w:pPr>
        <w:jc w:val="left"/>
        <w:spacing w:line="360" w:lineRule="auto"/>
        <w:rPr>
          <w:rFonts w:hint="eastAsia" w:ascii="宋体" w:hAnsi="宋体" w:cs="宋体"/>
          <w:b/>
          <w:sz w:val="24"/>
          <w:szCs w:val="24"/>
        </w:rPr>
      </w:pPr>
      <w:r>
        <w:rPr>
          <w:rFonts w:ascii="宋体" w:hAnsi="宋体" w:cs="宋体"/>
          <w:b/>
          <w:sz w:val="24"/>
          <w:szCs w:val="24"/>
        </w:rPr>
        <w:br w:type="page" w:clear="all"/>
      </w:r>
      <w:r>
        <w:rPr>
          <w:rFonts w:hint="eastAsia" w:ascii="宋体" w:hAnsi="宋体" w:cs="宋体"/>
          <w:b/>
          <w:sz w:val="24"/>
          <w:szCs w:val="24"/>
        </w:rPr>
        <w:t xml:space="preserve">1</w:t>
      </w:r>
      <w:r>
        <w:rPr>
          <w:rFonts w:hint="eastAsia" w:ascii="宋体" w:hAnsi="宋体" w:cs="宋体"/>
          <w:b/>
          <w:sz w:val="24"/>
          <w:szCs w:val="24"/>
        </w:rPr>
        <w:t xml:space="preserve">0</w:t>
      </w:r>
      <w:r>
        <w:rPr>
          <w:rFonts w:hint="eastAsia" w:ascii="宋体" w:hAnsi="宋体" w:cs="宋体"/>
          <w:b/>
          <w:sz w:val="24"/>
          <w:szCs w:val="24"/>
        </w:rPr>
        <w:t xml:space="preserve">、服务方案</w:t>
      </w:r>
      <w:r>
        <w:rPr>
          <w:rFonts w:ascii="宋体" w:hAnsi="宋体"/>
        </w:rPr>
        <w:t xml:space="preserve">；</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962"/>
      </w:tblGrid>
      <w:tr>
        <w:trPr>
          <w:trHeight w:val="1232"/>
        </w:trPr>
        <w:tc>
          <w:tcPr>
            <w:tcW w:w="5000" w:type="pct"/>
            <w:textDirection w:val="lrTb"/>
            <w:noWrap w:val="false"/>
          </w:tcPr>
          <w:p>
            <w:pPr>
              <w:jc w:val="left"/>
              <w:spacing w:line="360" w:lineRule="auto"/>
              <w:tabs>
                <w:tab w:val="left" w:pos="1320" w:leader="none"/>
              </w:tabs>
              <w:rPr>
                <w:rFonts w:hint="eastAsia" w:ascii="宋体" w:hAnsi="宋体" w:cs="宋体"/>
                <w:sz w:val="24"/>
                <w:szCs w:val="24"/>
              </w:rPr>
            </w:pPr>
            <w:r>
              <w:rPr>
                <w:rFonts w:hint="eastAsia" w:ascii="宋体" w:hAnsi="宋体" w:cs="宋体"/>
                <w:sz w:val="24"/>
                <w:szCs w:val="24"/>
              </w:rPr>
              <w:t xml:space="preserve">提示：</w:t>
            </w:r>
            <w:r/>
          </w:p>
          <w:p>
            <w:pPr>
              <w:jc w:val="left"/>
              <w:spacing w:line="360" w:lineRule="auto"/>
              <w:rPr>
                <w:rFonts w:hint="eastAsia" w:ascii="宋体" w:hAnsi="宋体" w:cs="宋体"/>
                <w:sz w:val="24"/>
                <w:szCs w:val="24"/>
              </w:rPr>
            </w:pPr>
            <w:r>
              <w:rPr>
                <w:rFonts w:hint="eastAsia" w:ascii="宋体" w:hAnsi="宋体" w:cs="宋体"/>
                <w:sz w:val="24"/>
                <w:szCs w:val="24"/>
              </w:rPr>
              <w:t xml:space="preserve">1、响应单位应针对本项目具体情况编写相应服务方案。</w:t>
            </w:r>
            <w:r/>
          </w:p>
          <w:p>
            <w:pPr>
              <w:jc w:val="left"/>
              <w:spacing w:line="360" w:lineRule="auto"/>
              <w:rPr>
                <w:rFonts w:hint="eastAsia" w:ascii="宋体" w:hAnsi="宋体" w:cs="宋体"/>
                <w:sz w:val="24"/>
                <w:szCs w:val="24"/>
              </w:rPr>
            </w:pPr>
            <w:r>
              <w:rPr>
                <w:rFonts w:hint="eastAsia" w:ascii="宋体" w:hAnsi="宋体" w:cs="宋体"/>
                <w:sz w:val="24"/>
                <w:szCs w:val="24"/>
              </w:rPr>
              <w:t xml:space="preserve">2、响应单位可根据自身情况编写，本页</w:t>
            </w:r>
            <w:r>
              <w:rPr>
                <w:rFonts w:hint="eastAsia" w:ascii="宋体" w:hAnsi="宋体" w:cs="宋体"/>
                <w:sz w:val="24"/>
                <w:szCs w:val="24"/>
              </w:rPr>
              <w:t xml:space="preserve">不够可</w:t>
            </w:r>
            <w:r>
              <w:rPr>
                <w:rFonts w:hint="eastAsia" w:ascii="宋体" w:hAnsi="宋体" w:cs="宋体"/>
                <w:sz w:val="24"/>
                <w:szCs w:val="24"/>
              </w:rPr>
              <w:t xml:space="preserve">另加页附后。</w:t>
            </w:r>
            <w:r/>
          </w:p>
        </w:tc>
      </w:tr>
      <w:tr>
        <w:trPr>
          <w:trHeight w:val="924"/>
        </w:trPr>
        <w:tc>
          <w:tcPr>
            <w:tcW w:w="5000" w:type="pct"/>
            <w:textDirection w:val="lrTb"/>
            <w:noWrap w:val="false"/>
          </w:tcPr>
          <w:p>
            <w:pPr>
              <w:jc w:val="left"/>
              <w:spacing w:line="360" w:lineRule="auto"/>
              <w:tabs>
                <w:tab w:val="left" w:pos="1320" w:leader="none"/>
              </w:tabs>
              <w:rPr>
                <w:rFonts w:hint="eastAsia" w:ascii="宋体" w:hAnsi="宋体" w:cs="宋体"/>
                <w:sz w:val="24"/>
                <w:szCs w:val="24"/>
              </w:rPr>
            </w:pPr>
            <w:r>
              <w:rPr>
                <w:rFonts w:hint="eastAsia" w:ascii="宋体" w:hAnsi="宋体" w:cs="宋体"/>
                <w:sz w:val="24"/>
                <w:szCs w:val="24"/>
              </w:rPr>
            </w:r>
            <w:r/>
          </w:p>
          <w:p>
            <w:pPr>
              <w:jc w:val="left"/>
              <w:spacing w:line="360" w:lineRule="auto"/>
              <w:tabs>
                <w:tab w:val="left" w:pos="1320" w:leader="none"/>
              </w:tabs>
              <w:rPr>
                <w:rFonts w:hint="eastAsia" w:ascii="宋体" w:hAnsi="宋体" w:cs="宋体"/>
                <w:sz w:val="24"/>
                <w:szCs w:val="24"/>
              </w:rPr>
            </w:pPr>
            <w:r>
              <w:rPr>
                <w:rFonts w:hint="eastAsia" w:ascii="宋体" w:hAnsi="宋体" w:cs="宋体"/>
                <w:sz w:val="24"/>
                <w:szCs w:val="24"/>
              </w:rPr>
            </w:r>
            <w:r/>
          </w:p>
          <w:p>
            <w:pPr>
              <w:jc w:val="left"/>
              <w:spacing w:line="360" w:lineRule="auto"/>
              <w:tabs>
                <w:tab w:val="left" w:pos="1320" w:leader="none"/>
              </w:tabs>
              <w:rPr>
                <w:rFonts w:hint="eastAsia" w:ascii="宋体" w:hAnsi="宋体" w:cs="宋体"/>
                <w:sz w:val="24"/>
                <w:szCs w:val="24"/>
              </w:rPr>
            </w:pPr>
            <w:r>
              <w:rPr>
                <w:rFonts w:hint="eastAsia" w:ascii="宋体" w:hAnsi="宋体" w:cs="宋体"/>
                <w:sz w:val="24"/>
                <w:szCs w:val="24"/>
              </w:rPr>
            </w:r>
            <w:r/>
          </w:p>
          <w:p>
            <w:pPr>
              <w:jc w:val="left"/>
              <w:spacing w:line="360" w:lineRule="auto"/>
              <w:tabs>
                <w:tab w:val="left" w:pos="1320" w:leader="none"/>
              </w:tabs>
              <w:rPr>
                <w:rFonts w:hint="eastAsia" w:ascii="宋体" w:hAnsi="宋体" w:cs="宋体"/>
                <w:sz w:val="24"/>
                <w:szCs w:val="24"/>
              </w:rPr>
            </w:pPr>
            <w:r>
              <w:rPr>
                <w:rFonts w:hint="eastAsia" w:ascii="宋体" w:hAnsi="宋体" w:cs="宋体"/>
                <w:sz w:val="24"/>
                <w:szCs w:val="24"/>
              </w:rPr>
            </w:r>
            <w:r/>
          </w:p>
          <w:p>
            <w:pPr>
              <w:jc w:val="left"/>
              <w:spacing w:line="360" w:lineRule="auto"/>
              <w:tabs>
                <w:tab w:val="left" w:pos="1320" w:leader="none"/>
              </w:tabs>
              <w:rPr>
                <w:rFonts w:hint="eastAsia" w:ascii="宋体" w:hAnsi="宋体" w:cs="宋体"/>
                <w:sz w:val="24"/>
                <w:szCs w:val="24"/>
              </w:rPr>
            </w:pPr>
            <w:r>
              <w:rPr>
                <w:rFonts w:hint="eastAsia" w:ascii="宋体" w:hAnsi="宋体" w:cs="宋体"/>
                <w:sz w:val="24"/>
                <w:szCs w:val="24"/>
              </w:rPr>
            </w:r>
            <w:r/>
          </w:p>
          <w:p>
            <w:pPr>
              <w:jc w:val="left"/>
              <w:spacing w:line="360" w:lineRule="auto"/>
              <w:tabs>
                <w:tab w:val="left" w:pos="1320" w:leader="none"/>
              </w:tabs>
              <w:rPr>
                <w:rFonts w:hint="eastAsia" w:ascii="宋体" w:hAnsi="宋体" w:cs="宋体"/>
                <w:sz w:val="24"/>
                <w:szCs w:val="24"/>
              </w:rPr>
            </w:pPr>
            <w:r>
              <w:rPr>
                <w:rFonts w:hint="eastAsia" w:ascii="宋体" w:hAnsi="宋体" w:cs="宋体"/>
                <w:sz w:val="24"/>
                <w:szCs w:val="24"/>
              </w:rPr>
            </w:r>
            <w:r/>
          </w:p>
          <w:p>
            <w:pPr>
              <w:jc w:val="left"/>
              <w:spacing w:line="360" w:lineRule="auto"/>
              <w:tabs>
                <w:tab w:val="left" w:pos="1320" w:leader="none"/>
              </w:tabs>
              <w:rPr>
                <w:rFonts w:hint="eastAsia" w:ascii="宋体" w:hAnsi="宋体" w:cs="宋体"/>
                <w:sz w:val="24"/>
                <w:szCs w:val="24"/>
              </w:rPr>
            </w:pPr>
            <w:r>
              <w:rPr>
                <w:rFonts w:hint="eastAsia" w:ascii="宋体" w:hAnsi="宋体" w:cs="宋体"/>
                <w:sz w:val="24"/>
                <w:szCs w:val="24"/>
              </w:rPr>
            </w:r>
            <w:r/>
          </w:p>
          <w:p>
            <w:pPr>
              <w:jc w:val="left"/>
              <w:spacing w:line="360" w:lineRule="auto"/>
              <w:tabs>
                <w:tab w:val="left" w:pos="1320" w:leader="none"/>
              </w:tabs>
              <w:rPr>
                <w:rFonts w:hint="eastAsia" w:ascii="宋体" w:hAnsi="宋体" w:cs="宋体"/>
                <w:sz w:val="24"/>
                <w:szCs w:val="24"/>
              </w:rPr>
            </w:pPr>
            <w:r>
              <w:rPr>
                <w:rFonts w:hint="eastAsia" w:ascii="宋体" w:hAnsi="宋体" w:cs="宋体"/>
                <w:sz w:val="24"/>
                <w:szCs w:val="24"/>
              </w:rPr>
            </w:r>
            <w:r/>
          </w:p>
          <w:p>
            <w:pPr>
              <w:jc w:val="left"/>
              <w:spacing w:line="360" w:lineRule="auto"/>
              <w:tabs>
                <w:tab w:val="left" w:pos="1320" w:leader="none"/>
              </w:tabs>
              <w:rPr>
                <w:rFonts w:hint="eastAsia" w:ascii="宋体" w:hAnsi="宋体" w:cs="宋体"/>
                <w:sz w:val="24"/>
                <w:szCs w:val="24"/>
              </w:rPr>
            </w:pPr>
            <w:r>
              <w:rPr>
                <w:rFonts w:hint="eastAsia" w:ascii="宋体" w:hAnsi="宋体" w:cs="宋体"/>
                <w:sz w:val="24"/>
                <w:szCs w:val="24"/>
              </w:rPr>
            </w:r>
            <w:r/>
          </w:p>
          <w:p>
            <w:pPr>
              <w:jc w:val="left"/>
              <w:spacing w:line="360" w:lineRule="auto"/>
              <w:tabs>
                <w:tab w:val="left" w:pos="1320" w:leader="none"/>
              </w:tabs>
              <w:rPr>
                <w:rFonts w:hint="eastAsia" w:ascii="宋体" w:hAnsi="宋体" w:cs="宋体"/>
                <w:sz w:val="24"/>
                <w:szCs w:val="24"/>
              </w:rPr>
            </w:pPr>
            <w:r>
              <w:rPr>
                <w:rFonts w:hint="eastAsia" w:ascii="宋体" w:hAnsi="宋体" w:cs="宋体"/>
                <w:sz w:val="24"/>
                <w:szCs w:val="24"/>
              </w:rPr>
            </w:r>
            <w:r/>
          </w:p>
          <w:p>
            <w:pPr>
              <w:jc w:val="left"/>
              <w:spacing w:line="360" w:lineRule="auto"/>
              <w:tabs>
                <w:tab w:val="left" w:pos="1320" w:leader="none"/>
              </w:tabs>
              <w:rPr>
                <w:rFonts w:hint="eastAsia" w:ascii="宋体" w:hAnsi="宋体" w:cs="宋体"/>
                <w:sz w:val="24"/>
                <w:szCs w:val="24"/>
              </w:rPr>
            </w:pPr>
            <w:r>
              <w:rPr>
                <w:rFonts w:hint="eastAsia" w:ascii="宋体" w:hAnsi="宋体" w:cs="宋体"/>
                <w:sz w:val="24"/>
                <w:szCs w:val="24"/>
              </w:rPr>
            </w:r>
            <w:r/>
          </w:p>
          <w:p>
            <w:pPr>
              <w:jc w:val="left"/>
              <w:spacing w:line="360" w:lineRule="auto"/>
              <w:tabs>
                <w:tab w:val="left" w:pos="1320" w:leader="none"/>
              </w:tabs>
              <w:rPr>
                <w:rFonts w:hint="eastAsia" w:ascii="宋体" w:hAnsi="宋体" w:cs="宋体"/>
                <w:sz w:val="24"/>
                <w:szCs w:val="24"/>
              </w:rPr>
            </w:pPr>
            <w:r>
              <w:rPr>
                <w:rFonts w:hint="eastAsia" w:ascii="宋体" w:hAnsi="宋体" w:cs="宋体"/>
                <w:sz w:val="24"/>
                <w:szCs w:val="24"/>
              </w:rPr>
            </w:r>
            <w:r/>
          </w:p>
          <w:p>
            <w:pPr>
              <w:ind w:firstLine="240"/>
              <w:jc w:val="left"/>
              <w:spacing w:line="360" w:lineRule="auto"/>
              <w:tabs>
                <w:tab w:val="left" w:pos="1320" w:leader="none"/>
              </w:tabs>
              <w:rPr>
                <w:rFonts w:hint="eastAsia" w:ascii="宋体" w:hAnsi="宋体" w:cs="宋体"/>
                <w:sz w:val="24"/>
                <w:szCs w:val="24"/>
              </w:rPr>
            </w:pPr>
            <w:r>
              <w:rPr>
                <w:rFonts w:hint="eastAsia" w:ascii="宋体" w:hAnsi="宋体" w:cs="宋体"/>
                <w:sz w:val="24"/>
                <w:szCs w:val="24"/>
              </w:rPr>
              <w:t xml:space="preserve">                                      单位名称（盖章）：</w:t>
            </w:r>
            <w:r>
              <w:rPr>
                <w:rFonts w:hint="eastAsia" w:ascii="宋体" w:hAnsi="宋体" w:cs="宋体"/>
                <w:sz w:val="24"/>
                <w:szCs w:val="24"/>
                <w:u w:val="single"/>
              </w:rPr>
              <w:t xml:space="preserve">                              </w:t>
            </w:r>
            <w:r/>
          </w:p>
        </w:tc>
      </w:tr>
    </w:tbl>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b/>
          <w:spacing w:val="20"/>
          <w:sz w:val="24"/>
          <w:szCs w:val="24"/>
        </w:rPr>
      </w:pPr>
      <w:r>
        <w:rPr>
          <w:rFonts w:ascii="宋体" w:hAnsi="宋体" w:cs="宋体"/>
          <w:sz w:val="24"/>
          <w:szCs w:val="24"/>
        </w:rPr>
        <w:br w:type="page" w:clear="all"/>
      </w:r>
      <w:r>
        <w:rPr>
          <w:rFonts w:hint="eastAsia" w:ascii="宋体" w:hAnsi="宋体" w:cs="宋体"/>
          <w:b/>
          <w:bCs/>
          <w:sz w:val="24"/>
          <w:szCs w:val="24"/>
        </w:rPr>
        <w:t xml:space="preserve">1</w:t>
      </w:r>
      <w:r>
        <w:rPr>
          <w:rFonts w:hint="eastAsia" w:ascii="宋体" w:hAnsi="宋体" w:cs="宋体"/>
          <w:b/>
          <w:bCs/>
          <w:sz w:val="24"/>
          <w:szCs w:val="24"/>
        </w:rPr>
        <w:t xml:space="preserve">1</w:t>
      </w:r>
      <w:r>
        <w:rPr>
          <w:rFonts w:hint="eastAsia" w:ascii="宋体" w:hAnsi="宋体" w:cs="宋体"/>
          <w:b/>
          <w:bCs/>
          <w:sz w:val="24"/>
          <w:szCs w:val="24"/>
        </w:rPr>
        <w:t xml:space="preserve">、中小企业声明函</w:t>
      </w:r>
      <w:r/>
    </w:p>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中小企业声明函</w:t>
      </w:r>
      <w:r/>
    </w:p>
    <w:p>
      <w:pPr>
        <w:spacing w:line="360" w:lineRule="auto"/>
        <w:rPr>
          <w:rFonts w:hint="eastAsia" w:ascii="宋体" w:hAnsi="宋体" w:cs="宋体"/>
          <w:b/>
          <w:sz w:val="24"/>
          <w:u w:val="single"/>
        </w:rPr>
        <w:pBdr>
          <w:top w:val="none" w:color="000000" w:sz="4" w:space="0"/>
          <w:left w:val="none" w:color="000000" w:sz="4" w:space="0"/>
          <w:bottom w:val="none" w:color="000000" w:sz="4" w:space="0"/>
          <w:right w:val="none" w:color="000000" w:sz="4" w:space="0"/>
        </w:pBdr>
      </w:pPr>
      <w:r>
        <w:rPr>
          <w:rFonts w:ascii="宋体" w:hAnsi="宋体" w:cs="宋体"/>
          <w:b/>
          <w:sz w:val="24"/>
          <w:u w:val="single"/>
        </w:rPr>
        <w:t xml:space="preserve">苏州</w:t>
      </w:r>
      <w:r>
        <w:rPr>
          <w:rFonts w:ascii="宋体" w:hAnsi="宋体" w:cs="宋体"/>
          <w:b/>
          <w:sz w:val="24"/>
          <w:u w:val="single"/>
        </w:rPr>
        <w:t xml:space="preserve">润启招</w:t>
      </w:r>
      <w:r>
        <w:rPr>
          <w:rFonts w:ascii="宋体" w:hAnsi="宋体" w:cs="宋体"/>
          <w:b/>
          <w:sz w:val="24"/>
          <w:u w:val="single"/>
        </w:rPr>
        <w:t xml:space="preserve">投标咨询服务有限公司：</w:t>
      </w:r>
      <w:r/>
    </w:p>
    <w:p>
      <w:pPr>
        <w:spacing w:line="360" w:lineRule="auto"/>
        <w:rPr>
          <w:rFonts w:hint="eastAsia" w:ascii="宋体" w:hAnsi="宋体" w:cs="宋体"/>
          <w:b/>
        </w:rPr>
        <w:pBdr>
          <w:top w:val="none" w:color="000000" w:sz="4" w:space="0"/>
          <w:left w:val="none" w:color="000000" w:sz="4" w:space="0"/>
          <w:bottom w:val="none" w:color="000000" w:sz="4" w:space="0"/>
          <w:right w:val="none" w:color="000000" w:sz="4" w:space="0"/>
        </w:pBdr>
      </w:pPr>
      <w:r>
        <w:rPr>
          <w:rFonts w:hint="eastAsia" w:ascii="宋体" w:hAnsi="宋体" w:cs="宋体"/>
          <w:b/>
        </w:rPr>
      </w:r>
      <w:r/>
    </w:p>
    <w:p>
      <w:pPr>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本公司（联合体）郑重声明，根据《政府采购促进中小企业发展管理办法》（财库[2020]46号）的规定，本公司（联合体）参加</w:t>
      </w:r>
      <w:r>
        <w:rPr>
          <w:rFonts w:ascii="宋体" w:hAnsi="宋体" w:cs="宋体"/>
          <w:sz w:val="24"/>
          <w:u w:val="single"/>
        </w:rPr>
        <w:t xml:space="preserve">（单位名称）</w:t>
      </w:r>
      <w:r>
        <w:rPr>
          <w:rFonts w:ascii="宋体" w:hAnsi="宋体" w:cs="宋体"/>
          <w:sz w:val="24"/>
        </w:rPr>
        <w:t xml:space="preserve">的</w:t>
      </w:r>
      <w:r>
        <w:rPr>
          <w:rFonts w:ascii="宋体" w:hAnsi="宋体" w:cs="宋体"/>
          <w:sz w:val="24"/>
          <w:u w:val="single"/>
        </w:rPr>
        <w:t xml:space="preserve">（项目名称）</w:t>
      </w:r>
      <w:r>
        <w:rPr>
          <w:rFonts w:ascii="宋体" w:hAnsi="宋体" w:cs="宋体"/>
          <w:sz w:val="24"/>
        </w:rPr>
        <w:t xml:space="preserve">采购活动，服务全部由符合政策要求的中小企业承接。相关企业（含联合体中的中小企业、签订分包意向协议的中小企业）的具体情况如下：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ascii="宋体" w:hAnsi="宋体" w:cs="宋体"/>
          <w:sz w:val="24"/>
          <w:u w:val="single"/>
        </w:rPr>
        <w:t xml:space="preserve">（项目名称）</w:t>
      </w:r>
      <w:r>
        <w:rPr>
          <w:rFonts w:ascii="宋体" w:hAnsi="宋体" w:cs="宋体"/>
          <w:sz w:val="24"/>
        </w:rPr>
        <w:t xml:space="preserve">，属于</w:t>
      </w:r>
      <w:bookmarkStart w:id="45" w:name="OLE_LINK37"/>
      <w:r>
        <w:rPr>
          <w:rFonts w:ascii="宋体" w:hAnsi="宋体" w:cs="宋体"/>
          <w:sz w:val="24"/>
          <w:u w:val="single"/>
        </w:rPr>
        <w:t xml:space="preserve">（采购文件中明确的所属行业）</w:t>
      </w:r>
      <w:bookmarkEnd w:id="45"/>
      <w:r>
        <w:rPr>
          <w:rFonts w:ascii="宋体" w:hAnsi="宋体" w:cs="宋体"/>
          <w:sz w:val="24"/>
          <w:u w:val="single"/>
        </w:rPr>
        <w:t xml:space="preserve">行业</w:t>
      </w:r>
      <w:r>
        <w:rPr>
          <w:rFonts w:ascii="宋体" w:hAnsi="宋体" w:cs="宋体"/>
          <w:sz w:val="24"/>
        </w:rPr>
        <w:t xml:space="preserve">；承接企业为</w:t>
      </w:r>
      <w:r>
        <w:rPr>
          <w:rFonts w:ascii="宋体" w:hAnsi="宋体" w:cs="宋体"/>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w:t>
      </w:r>
      <w:r>
        <w:rPr>
          <w:rFonts w:ascii="宋体" w:hAnsi="宋体" w:cs="宋体"/>
          <w:sz w:val="24"/>
          <w:u w:val="single"/>
          <w:vertAlign w:val="superscript"/>
        </w:rPr>
        <w:footnoteReference w:id="2"/>
      </w:r>
      <w:r>
        <w:rPr>
          <w:rFonts w:ascii="宋体" w:hAnsi="宋体" w:cs="宋体"/>
          <w:sz w:val="24"/>
        </w:rPr>
        <w:t xml:space="preserve">，属于</w:t>
      </w:r>
      <w:r>
        <w:rPr>
          <w:rFonts w:ascii="宋体" w:hAnsi="宋体" w:cs="宋体"/>
          <w:sz w:val="24"/>
          <w:u w:val="single"/>
        </w:rPr>
        <w:t xml:space="preserve">（□中型企业、□小型企业、□微型企业）</w:t>
      </w:r>
      <w:r>
        <w:rPr>
          <w:rFonts w:ascii="宋体" w:hAnsi="宋体" w:cs="宋体"/>
          <w:sz w:val="24"/>
        </w:rPr>
        <w:t xml:space="preserve">；</w:t>
      </w:r>
      <w:r/>
    </w:p>
    <w:p>
      <w:pPr>
        <w:ind w:firstLine="42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p>
      <w:pPr>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本企业对上述声明内容的真实性负责。如有虚假，将依法承担相应责任。</w:t>
      </w:r>
      <w:r/>
    </w:p>
    <w:p>
      <w:pPr>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jc w:val="center"/>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ind w:firstLine="48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响应单位名称：（公章）</w:t>
      </w:r>
      <w:r/>
    </w:p>
    <w:p>
      <w:pPr>
        <w:ind w:firstLine="480"/>
        <w:spacing w:line="360" w:lineRule="auto"/>
        <w:rPr>
          <w:rFonts w:hint="eastAsia" w:ascii="宋体" w:hAnsi="宋体" w:cs="TimesNewRomanPSMT"/>
          <w:sz w:val="24"/>
          <w:szCs w:val="24"/>
        </w:rPr>
      </w:pPr>
      <w:r>
        <w:rPr>
          <w:rFonts w:ascii="宋体" w:hAnsi="宋体" w:cs="宋体"/>
          <w:sz w:val="24"/>
        </w:rPr>
        <w:t xml:space="preserve">日期：     年     月    日</w:t>
      </w:r>
      <w:r/>
    </w:p>
    <w:p>
      <w:pPr>
        <w:spacing w:line="360" w:lineRule="auto"/>
        <w:rPr>
          <w:rFonts w:hint="eastAsia" w:ascii="宋体" w:hAnsi="宋体" w:cs="宋体"/>
          <w:b/>
          <w:bCs/>
          <w:sz w:val="24"/>
          <w:szCs w:val="24"/>
        </w:rPr>
      </w:pPr>
      <w:r>
        <w:rPr>
          <w:rFonts w:hint="eastAsia" w:ascii="宋体" w:hAnsi="宋体" w:cs="宋体"/>
          <w:b/>
          <w:bCs/>
          <w:sz w:val="24"/>
          <w:szCs w:val="24"/>
        </w:rPr>
      </w:r>
      <w:r/>
    </w:p>
    <w:p>
      <w:pPr>
        <w:spacing w:line="360" w:lineRule="auto"/>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b/>
          <w:sz w:val="24"/>
          <w:szCs w:val="24"/>
        </w:rPr>
        <w:br w:type="page" w:clear="all"/>
      </w:r>
      <w:r>
        <w:rPr>
          <w:rFonts w:hint="eastAsia" w:ascii="宋体" w:hAnsi="宋体"/>
          <w:b/>
          <w:sz w:val="24"/>
          <w:szCs w:val="24"/>
        </w:rPr>
        <w:t xml:space="preserve">1</w:t>
      </w:r>
      <w:r>
        <w:rPr>
          <w:rFonts w:hint="eastAsia" w:ascii="宋体" w:hAnsi="宋体"/>
          <w:b/>
          <w:sz w:val="24"/>
          <w:szCs w:val="24"/>
        </w:rPr>
        <w:t xml:space="preserve">2</w:t>
      </w:r>
      <w:r>
        <w:rPr>
          <w:rFonts w:hint="eastAsia" w:ascii="宋体" w:hAnsi="宋体"/>
          <w:b/>
          <w:sz w:val="24"/>
          <w:szCs w:val="24"/>
        </w:rPr>
        <w:t xml:space="preserve">、</w:t>
      </w:r>
      <w:r>
        <w:rPr>
          <w:rFonts w:ascii="宋体" w:hAnsi="宋体" w:cs="宋体"/>
          <w:b/>
          <w:sz w:val="24"/>
          <w:szCs w:val="24"/>
        </w:rPr>
        <w:t xml:space="preserve">残疾人福利性单位声明函</w:t>
      </w:r>
      <w:r/>
    </w:p>
    <w:p>
      <w:pPr>
        <w:jc w:val="center"/>
        <w:spacing w:line="360" w:lineRule="auto"/>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残疾人福利性单位声明函</w:t>
      </w:r>
      <w:r/>
    </w:p>
    <w:p>
      <w:pPr>
        <w:spacing w:line="360" w:lineRule="auto"/>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u w:val="single"/>
        </w:rPr>
        <w:t xml:space="preserve">苏州</w:t>
      </w:r>
      <w:r>
        <w:rPr>
          <w:rFonts w:ascii="宋体" w:hAnsi="宋体" w:cs="宋体"/>
          <w:sz w:val="24"/>
          <w:szCs w:val="24"/>
          <w:u w:val="single"/>
        </w:rPr>
        <w:t xml:space="preserve">润启招</w:t>
      </w:r>
      <w:r>
        <w:rPr>
          <w:rFonts w:ascii="宋体" w:hAnsi="宋体" w:cs="宋体"/>
          <w:sz w:val="24"/>
          <w:szCs w:val="24"/>
          <w:u w:val="single"/>
        </w:rPr>
        <w:t xml:space="preserve">投标咨询服务有限公司</w:t>
      </w:r>
      <w:r>
        <w:rPr>
          <w:rFonts w:ascii="宋体" w:hAnsi="宋体" w:cs="宋体"/>
          <w:sz w:val="24"/>
          <w:szCs w:val="24"/>
        </w:rPr>
        <w:t xml:space="preserve">：</w:t>
      </w:r>
      <w:r/>
    </w:p>
    <w:p>
      <w:pPr>
        <w:spacing w:line="360" w:lineRule="auto"/>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本单位郑重声明，根据《财政部 民政部 中国残疾人联合会关于促进残疾人就业政府采购政策的通知》（财库〔2017〕141号）的规定，本单位为符合条件的残疾人福利性单位，且本单位参加贵公司组织实施的编号为</w:t>
      </w:r>
      <w:r>
        <w:rPr>
          <w:rFonts w:ascii="宋体" w:hAnsi="宋体" w:cs="宋体"/>
          <w:sz w:val="24"/>
          <w:szCs w:val="24"/>
          <w:u w:val="single"/>
        </w:rPr>
        <w:t xml:space="preserve">          </w:t>
      </w:r>
      <w:r>
        <w:rPr>
          <w:rFonts w:ascii="宋体" w:hAnsi="宋体" w:cs="宋体"/>
          <w:sz w:val="24"/>
          <w:szCs w:val="24"/>
        </w:rPr>
        <w:t xml:space="preserve">号的采购活动提供本单位制造的货物（由本单位承担工程/提供服务），或者提供其他残疾人福利性单位制造的货物（不包括使用非残疾人福利性单位注册商标的货物）。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本单位对上述声明的真实性负责。如有虚假，将依法承担相应责任。</w:t>
      </w:r>
      <w:r/>
    </w:p>
    <w:p>
      <w:pPr>
        <w:spacing w:line="360" w:lineRule="auto"/>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  </w:t>
      </w:r>
      <w:r/>
    </w:p>
    <w:p>
      <w:pPr>
        <w:spacing w:line="360" w:lineRule="auto"/>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rPr>
          <w:rFonts w:ascii="宋体" w:hAnsi="宋体" w:cs="宋体"/>
          <w:sz w:val="24"/>
          <w:szCs w:val="24"/>
        </w:rPr>
        <w:t xml:space="preserve">响应单位</w:t>
      </w:r>
      <w:r>
        <w:rPr>
          <w:rFonts w:ascii="宋体" w:hAnsi="宋体" w:cs="宋体"/>
          <w:sz w:val="24"/>
          <w:szCs w:val="24"/>
        </w:rPr>
        <w:t xml:space="preserve">名称：（公章） </w:t>
      </w:r>
      <w:r/>
    </w:p>
    <w:p>
      <w:pPr>
        <w:ind w:firstLine="210"/>
        <w:spacing w:line="360" w:lineRule="auto"/>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法定代表人或被授权人：（签字或盖章）</w:t>
      </w:r>
      <w:r/>
    </w:p>
    <w:p>
      <w:pPr>
        <w:ind w:firstLine="210"/>
        <w:spacing w:line="360" w:lineRule="auto"/>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日    期：    年     月    日</w:t>
      </w:r>
      <w:r/>
    </w:p>
    <w:p>
      <w:pPr>
        <w:spacing w:line="360" w:lineRule="auto"/>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 </w:t>
      </w:r>
      <w:r/>
    </w:p>
    <w:p>
      <w:pPr>
        <w:spacing w:line="360" w:lineRule="auto"/>
        <w:rPr>
          <w:rFonts w:hint="eastAsia"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b/>
          <w:szCs w:val="21"/>
        </w:rPr>
        <w:t xml:space="preserve">备注：1.享受政府采购支持政策的残疾人福利性单位应当同时满足以下条件：</w:t>
      </w:r>
      <w:r/>
    </w:p>
    <w:p>
      <w:pPr>
        <w:ind w:firstLine="400"/>
        <w:spacing w:line="360" w:lineRule="auto"/>
        <w:rPr>
          <w:rFonts w:hint="eastAsia"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①安置的残疾人占本单位在职职工人数的比例不低于25%（含25%），并且安置的残疾人人数不少于10人（含10人）；</w:t>
      </w:r>
      <w:r/>
    </w:p>
    <w:p>
      <w:pPr>
        <w:ind w:firstLine="400"/>
        <w:spacing w:line="360" w:lineRule="auto"/>
        <w:rPr>
          <w:rFonts w:hint="eastAsia"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②依法与安置的每位残疾人签订了一年以上（含一年）的劳动合同或服务协议；</w:t>
      </w:r>
      <w:r/>
    </w:p>
    <w:p>
      <w:pPr>
        <w:ind w:firstLine="400"/>
        <w:spacing w:line="360" w:lineRule="auto"/>
        <w:rPr>
          <w:rFonts w:hint="eastAsia"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③为安置的每位残疾人按月足额缴纳了基本养老保险、基本医疗保险、失业保险、工伤保险和生育保险等社会保险费；</w:t>
      </w:r>
      <w:r/>
    </w:p>
    <w:p>
      <w:pPr>
        <w:ind w:firstLine="400"/>
        <w:spacing w:line="360" w:lineRule="auto"/>
        <w:rPr>
          <w:rFonts w:hint="eastAsia"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④通过银行等金融机构向安置的每位残疾人，按月支付了不低于单位所在区县适用的经省级人民政府批准的月最低工资标准的工资；</w:t>
      </w:r>
      <w:r/>
    </w:p>
    <w:p>
      <w:pPr>
        <w:ind w:firstLine="400"/>
        <w:spacing w:line="360" w:lineRule="auto"/>
        <w:rPr>
          <w:rFonts w:hint="eastAsia"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⑤提供本单位制造的货物、承担的工程或者服务（以下简称产品），或者提供其他残疾人福利性单位制造的货物（不包括使用非残疾人福利性单位注册商标的货物）。</w:t>
      </w:r>
      <w:r/>
    </w:p>
    <w:p>
      <w:pPr>
        <w:ind w:firstLine="400"/>
        <w:spacing w:line="360" w:lineRule="auto"/>
        <w:rPr>
          <w:rFonts w:hint="eastAsia"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前款所称残疾人是指法</w:t>
      </w:r>
      <w:r>
        <w:rPr>
          <w:rFonts w:ascii="宋体" w:hAnsi="宋体" w:cs="宋体"/>
          <w:szCs w:val="21"/>
        </w:rPr>
        <w:t xml:space="preserve">定劳动</w:t>
      </w:r>
      <w:r>
        <w:rPr>
          <w:rFonts w:ascii="宋体" w:hAnsi="宋体" w:cs="宋体"/>
          <w:szCs w:val="21"/>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02"/>
        <w:spacing w:line="360" w:lineRule="auto"/>
        <w:rPr>
          <w:rFonts w:hint="eastAsia" w:ascii="宋体" w:hAnsi="宋体" w:cs="宋体"/>
          <w:b/>
          <w:szCs w:val="21"/>
        </w:rPr>
        <w:pBdr>
          <w:top w:val="none" w:color="000000" w:sz="4" w:space="0"/>
          <w:left w:val="none" w:color="000000" w:sz="4" w:space="0"/>
          <w:bottom w:val="none" w:color="000000" w:sz="4" w:space="0"/>
          <w:right w:val="none" w:color="000000" w:sz="4" w:space="0"/>
        </w:pBdr>
      </w:pPr>
      <w:r>
        <w:rPr>
          <w:rFonts w:ascii="宋体" w:hAnsi="宋体" w:cs="宋体"/>
          <w:b/>
          <w:szCs w:val="21"/>
        </w:rPr>
        <w:t xml:space="preserve">2.成交单位为残疾人福利性单位的，《残疾人福利性单位声明函》将随成交结果同时公告。</w:t>
      </w:r>
      <w:r/>
    </w:p>
    <w:p>
      <w:pPr>
        <w:ind w:firstLine="402"/>
        <w:jc w:val="left"/>
        <w:spacing w:line="360" w:lineRule="auto"/>
        <w:rPr>
          <w:rFonts w:hint="eastAsia" w:ascii="宋体" w:hAnsi="宋体" w:cs="宋体"/>
          <w:b/>
          <w:szCs w:val="21"/>
        </w:rPr>
        <w:pBdr>
          <w:top w:val="none" w:color="000000" w:sz="4" w:space="0"/>
          <w:left w:val="none" w:color="000000" w:sz="4" w:space="0"/>
          <w:bottom w:val="none" w:color="000000" w:sz="4" w:space="0"/>
          <w:right w:val="none" w:color="000000" w:sz="4" w:space="0"/>
        </w:pBdr>
      </w:pPr>
      <w:r>
        <w:rPr>
          <w:rFonts w:ascii="宋体" w:hAnsi="宋体" w:cs="宋体"/>
          <w:b/>
          <w:szCs w:val="21"/>
        </w:rPr>
        <w:t xml:space="preserve">3.</w:t>
      </w:r>
      <w:r>
        <w:rPr>
          <w:rFonts w:ascii="宋体" w:hAnsi="宋体" w:cs="宋体"/>
          <w:b/>
          <w:szCs w:val="21"/>
        </w:rPr>
        <w:t xml:space="preserve">响应单位</w:t>
      </w:r>
      <w:r>
        <w:rPr>
          <w:rFonts w:ascii="宋体" w:hAnsi="宋体" w:cs="宋体"/>
          <w:b/>
          <w:szCs w:val="21"/>
        </w:rPr>
        <w:t xml:space="preserve">提供的《残疾人福利性单位声明函》与事实不符的，依照《政府采购法》第七十七条第一款的规定追究法律责任。</w:t>
      </w:r>
      <w:r/>
    </w:p>
    <w:p>
      <w:pPr>
        <w:jc w:val="left"/>
        <w:spacing w:line="360" w:lineRule="auto"/>
        <w:rPr>
          <w:rFonts w:hint="eastAsia" w:ascii="宋体" w:hAnsi="宋体" w:cs="宋体"/>
          <w:b/>
          <w:sz w:val="24"/>
          <w:szCs w:val="24"/>
        </w:rPr>
        <w:pBdr>
          <w:top w:val="none" w:color="000000" w:sz="4" w:space="0"/>
          <w:left w:val="none" w:color="000000" w:sz="4" w:space="0"/>
          <w:bottom w:val="none" w:color="000000" w:sz="4" w:space="0"/>
          <w:right w:val="none" w:color="000000" w:sz="4" w:space="0"/>
        </w:pBdr>
      </w:pPr>
      <w:r>
        <w:rPr>
          <w:rFonts w:ascii="宋体" w:hAnsi="宋体" w:cs="宋体"/>
          <w:b/>
          <w:szCs w:val="21"/>
        </w:rPr>
        <w:br w:type="page" w:clear="all"/>
      </w:r>
      <w:r>
        <w:rPr>
          <w:rFonts w:hint="eastAsia" w:ascii="宋体" w:hAnsi="宋体" w:cs="宋体"/>
          <w:b/>
          <w:sz w:val="24"/>
          <w:szCs w:val="24"/>
        </w:rPr>
        <w:t xml:space="preserve">1</w:t>
      </w:r>
      <w:r>
        <w:rPr>
          <w:rFonts w:hint="eastAsia" w:ascii="宋体" w:hAnsi="宋体" w:cs="宋体"/>
          <w:b/>
          <w:sz w:val="24"/>
          <w:szCs w:val="24"/>
        </w:rPr>
        <w:t xml:space="preserve">3</w:t>
      </w:r>
      <w:r>
        <w:rPr>
          <w:rFonts w:hint="eastAsia" w:ascii="宋体" w:hAnsi="宋体" w:cs="宋体"/>
          <w:b/>
          <w:sz w:val="24"/>
          <w:szCs w:val="24"/>
        </w:rPr>
        <w:t xml:space="preserve">、响应保证承诺书</w:t>
      </w:r>
      <w:r/>
    </w:p>
    <w:p>
      <w:pPr>
        <w:jc w:val="center"/>
        <w:spacing w:line="360" w:lineRule="auto"/>
        <w:widowControl/>
        <w:rPr>
          <w:rFonts w:hint="eastAsia" w:ascii="宋体" w:hAnsi="宋体" w:cs="宋体"/>
          <w:b/>
          <w:bCs/>
          <w:sz w:val="24"/>
          <w:szCs w:val="24"/>
        </w:rPr>
      </w:pPr>
      <w:r>
        <w:rPr>
          <w:rFonts w:hint="eastAsia" w:ascii="宋体" w:hAnsi="宋体" w:cs="宋体"/>
          <w:b/>
          <w:bCs/>
          <w:sz w:val="24"/>
          <w:szCs w:val="24"/>
        </w:rPr>
      </w:r>
      <w:r/>
    </w:p>
    <w:p>
      <w:pPr>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响应保证承诺书</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         （采购代理机构名称）</w:t>
      </w:r>
      <w:r/>
    </w:p>
    <w:p>
      <w:pPr>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我（单位/本人，以下统称我单位）自愿参加</w:t>
      </w:r>
      <w:r>
        <w:rPr>
          <w:rFonts w:hint="eastAsia" w:ascii="宋体" w:hAnsi="宋体" w:cs="宋体"/>
          <w:sz w:val="24"/>
          <w:szCs w:val="24"/>
          <w:u w:val="single"/>
        </w:rPr>
        <w:t xml:space="preserve">         （项目名称和采购编号）</w:t>
      </w:r>
      <w:r>
        <w:rPr>
          <w:rFonts w:hint="eastAsia" w:ascii="宋体" w:hAnsi="宋体" w:cs="宋体"/>
          <w:sz w:val="24"/>
          <w:szCs w:val="24"/>
        </w:rPr>
        <w:t xml:space="preserve">的响应，并做出如下承诺：</w:t>
      </w:r>
      <w:r/>
    </w:p>
    <w:p>
      <w:pPr>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一、除不可抗力外，我单位如果发生以下行为，将在行为发生的10个工作日内，向贵方</w:t>
      </w:r>
      <w:r>
        <w:rPr>
          <w:rFonts w:hint="eastAsia" w:ascii="宋体" w:hAnsi="宋体" w:cs="宋体"/>
          <w:sz w:val="24"/>
          <w:szCs w:val="24"/>
          <w:u w:val="single"/>
        </w:rPr>
        <w:t xml:space="preserve">（或采购单位）</w:t>
      </w:r>
      <w:r>
        <w:rPr>
          <w:rFonts w:hint="eastAsia" w:ascii="宋体" w:hAnsi="宋体" w:cs="宋体"/>
          <w:sz w:val="24"/>
          <w:szCs w:val="24"/>
        </w:rPr>
        <w:t xml:space="preserve">支付本采购文件公布的预算金额（或最高限价）的2%作为违约赔偿金（数量不确定的单价采购须约定具体金额）。</w:t>
      </w:r>
      <w:r/>
    </w:p>
    <w:p>
      <w:pPr>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1.自响应截止时间至本项目发布成交公告为止，撤销响应；</w:t>
      </w:r>
      <w:r/>
    </w:p>
    <w:p>
      <w:pPr>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2.成交后不依法与采购单位签订合同；</w:t>
      </w:r>
      <w:r/>
    </w:p>
    <w:p>
      <w:pPr>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3.成交后不按本采购文件规定向采购单位提交履约保证金（如有）；</w:t>
      </w:r>
      <w:r/>
    </w:p>
    <w:p>
      <w:pPr>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4.成交后不按本采购文件规定向贵方缴纳采购代理费。</w:t>
      </w:r>
      <w:r/>
    </w:p>
    <w:p>
      <w:pPr>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二、我单位知晓上述行为的法律后果，承认</w:t>
      </w:r>
      <w:r>
        <w:rPr>
          <w:rFonts w:hint="eastAsia" w:ascii="宋体" w:hAnsi="宋体" w:cs="宋体"/>
          <w:sz w:val="24"/>
          <w:szCs w:val="24"/>
        </w:rPr>
        <w:t xml:space="preserve">本承诺</w:t>
      </w:r>
      <w:r>
        <w:rPr>
          <w:rFonts w:hint="eastAsia" w:ascii="宋体" w:hAnsi="宋体" w:cs="宋体"/>
          <w:sz w:val="24"/>
          <w:szCs w:val="24"/>
        </w:rPr>
        <w:t xml:space="preserve">书作为贵方</w:t>
      </w:r>
      <w:r>
        <w:rPr>
          <w:rFonts w:hint="eastAsia" w:ascii="宋体" w:hAnsi="宋体" w:cs="宋体"/>
          <w:sz w:val="24"/>
          <w:szCs w:val="24"/>
          <w:u w:val="single"/>
        </w:rPr>
        <w:t xml:space="preserve">（或采购单位）</w:t>
      </w:r>
      <w:r>
        <w:rPr>
          <w:rFonts w:hint="eastAsia" w:ascii="宋体" w:hAnsi="宋体" w:cs="宋体"/>
          <w:sz w:val="24"/>
          <w:szCs w:val="24"/>
        </w:rPr>
        <w:t xml:space="preserve">要求我单位履行违约赔偿义务的依据作用。</w:t>
      </w:r>
      <w:r/>
    </w:p>
    <w:p>
      <w:pPr>
        <w:jc w:val="left"/>
        <w:spacing w:line="360" w:lineRule="auto"/>
        <w:widowControl/>
        <w:rPr>
          <w:rFonts w:hint="eastAsia" w:ascii="宋体" w:hAnsi="宋体" w:cs="宋体"/>
          <w:sz w:val="24"/>
          <w:szCs w:val="24"/>
        </w:rPr>
      </w:pPr>
      <w:r>
        <w:rPr>
          <w:rFonts w:hint="eastAsia" w:ascii="宋体" w:hAnsi="宋体" w:cs="宋体"/>
          <w:sz w:val="24"/>
          <w:szCs w:val="24"/>
        </w:rPr>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响应人：（签章）</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地址：</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电话：</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传真：</w:t>
      </w:r>
      <w:r/>
    </w:p>
    <w:p>
      <w:pPr>
        <w:jc w:val="left"/>
        <w:spacing w:line="360" w:lineRule="auto"/>
        <w:widowControl/>
        <w:rPr>
          <w:rFonts w:hint="eastAsia" w:ascii="宋体" w:hAnsi="宋体" w:cs="宋体"/>
          <w:sz w:val="24"/>
          <w:szCs w:val="24"/>
          <w:u w:val="single"/>
        </w:rPr>
      </w:pPr>
      <w:r>
        <w:rPr>
          <w:rFonts w:hint="eastAsia" w:ascii="宋体" w:hAnsi="宋体" w:cs="宋体"/>
          <w:sz w:val="24"/>
          <w:szCs w:val="24"/>
        </w:rPr>
        <w:t xml:space="preserve">电子邮件：</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邮编：</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法定代表人或委托代理人：</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日期：</w:t>
      </w:r>
      <w:r/>
    </w:p>
    <w:p>
      <w:pPr>
        <w:jc w:val="left"/>
        <w:spacing w:line="360" w:lineRule="auto"/>
        <w:widowControl/>
        <w:rPr>
          <w:rFonts w:hint="eastAsia" w:ascii="宋体" w:hAnsi="宋体" w:cs="宋体"/>
          <w:b/>
          <w:sz w:val="24"/>
          <w:szCs w:val="24"/>
        </w:rPr>
      </w:pPr>
      <w:r>
        <w:rPr>
          <w:rFonts w:ascii="宋体" w:hAnsi="宋体" w:cs="宋体"/>
          <w:sz w:val="24"/>
          <w:szCs w:val="24"/>
        </w:rPr>
        <w:br w:type="page" w:clear="all"/>
      </w:r>
      <w:r>
        <w:rPr>
          <w:rFonts w:hint="eastAsia" w:ascii="宋体" w:hAnsi="宋体" w:cs="宋体"/>
          <w:b/>
          <w:sz w:val="24"/>
          <w:szCs w:val="24"/>
        </w:rPr>
        <w:t xml:space="preserve">1</w:t>
      </w:r>
      <w:r>
        <w:rPr>
          <w:rFonts w:hint="eastAsia" w:ascii="宋体" w:hAnsi="宋体" w:cs="宋体"/>
          <w:b/>
          <w:sz w:val="24"/>
          <w:szCs w:val="24"/>
        </w:rPr>
        <w:t xml:space="preserve">4</w:t>
      </w:r>
      <w:r>
        <w:rPr>
          <w:rFonts w:hint="eastAsia" w:ascii="宋体" w:hAnsi="宋体" w:cs="宋体"/>
          <w:b/>
          <w:sz w:val="24"/>
          <w:szCs w:val="24"/>
        </w:rPr>
        <w:t xml:space="preserve">、关于符合本国产品标准的声明函（招标编号：</w:t>
      </w:r>
      <w:r>
        <w:rPr>
          <w:rFonts w:ascii="宋体" w:hAnsi="宋体" w:cs="宋体"/>
          <w:b/>
          <w:sz w:val="24"/>
          <w:szCs w:val="24"/>
        </w:rPr>
        <w:t xml:space="preserve">JSZC-320505-RQZB-C2026-0004</w:t>
      </w:r>
      <w:r>
        <w:rPr>
          <w:rFonts w:hint="eastAsia" w:ascii="宋体" w:hAnsi="宋体" w:cs="宋体"/>
          <w:b/>
          <w:sz w:val="24"/>
          <w:szCs w:val="24"/>
        </w:rPr>
        <w:t xml:space="preserve">）</w:t>
      </w:r>
      <w:r/>
    </w:p>
    <w:p>
      <w:pPr>
        <w:pStyle w:val="805"/>
        <w:ind w:firstLine="420"/>
        <w:spacing w:beforeAutospacing="0" w:afterAutospacing="0" w:line="0" w:lineRule="atLeast"/>
        <w:rPr>
          <w:rFonts w:hint="eastAsia" w:ascii="宋体" w:hAnsi="宋体"/>
        </w:rPr>
      </w:pPr>
      <w:r>
        <w:rPr>
          <w:rFonts w:hint="eastAsia" w:ascii="宋体" w:hAnsi="宋体"/>
        </w:rPr>
      </w:r>
      <w:r/>
    </w:p>
    <w:p>
      <w:pPr>
        <w:pStyle w:val="805"/>
        <w:ind w:firstLine="420"/>
        <w:jc w:val="center"/>
        <w:spacing w:beforeAutospacing="0" w:afterAutospacing="0" w:line="0" w:lineRule="atLeast"/>
        <w:rPr>
          <w:rFonts w:hint="eastAsia" w:ascii="宋体" w:hAnsi="宋体"/>
          <w:b/>
        </w:rPr>
      </w:pPr>
      <w:r>
        <w:rPr>
          <w:rFonts w:hint="eastAsia" w:ascii="宋体" w:hAnsi="宋体"/>
          <w:b/>
        </w:rPr>
        <w:t xml:space="preserve">关于符合本国产品标准的声明函</w:t>
      </w:r>
      <w:r/>
    </w:p>
    <w:p>
      <w:pPr>
        <w:pStyle w:val="805"/>
        <w:ind w:firstLine="420"/>
        <w:jc w:val="center"/>
        <w:spacing w:beforeAutospacing="0" w:afterAutospacing="0" w:line="0" w:lineRule="atLeast"/>
        <w:rPr>
          <w:rFonts w:hint="eastAsia" w:ascii="宋体" w:hAnsi="宋体"/>
          <w:b/>
        </w:rPr>
      </w:pPr>
      <w:r>
        <w:rPr>
          <w:rFonts w:hint="eastAsia" w:ascii="宋体" w:hAnsi="宋体"/>
          <w:b/>
        </w:rPr>
      </w:r>
      <w:r/>
    </w:p>
    <w:p>
      <w:pPr>
        <w:pStyle w:val="805"/>
        <w:ind w:firstLine="480"/>
        <w:spacing w:beforeAutospacing="0" w:afterAutospacing="0" w:line="360" w:lineRule="auto"/>
        <w:rPr>
          <w:rFonts w:hint="eastAsia" w:ascii="宋体" w:hAnsi="宋体"/>
        </w:rPr>
      </w:pPr>
      <w:r>
        <w:rPr>
          <w:rFonts w:hint="eastAsia" w:ascii="宋体" w:hAnsi="宋体"/>
        </w:rPr>
        <w:t xml:space="preserve">本公司</w:t>
      </w:r>
      <w:r>
        <w:rPr>
          <w:rFonts w:hint="eastAsia" w:ascii="宋体" w:hAnsi="宋体"/>
          <w:u w:val="single"/>
        </w:rPr>
        <w:t xml:space="preserve">（单位）</w:t>
      </w:r>
      <w:r>
        <w:rPr>
          <w:rFonts w:hint="eastAsia" w:ascii="宋体" w:hAnsi="宋体"/>
        </w:rPr>
        <w:t xml:space="preserve">郑重声明，根据《国务院办公厅关于在政府采购中实施本国产品标准及相关政策的通知》（国办发〔2025〕34号）的规定，本公司</w:t>
      </w:r>
      <w:r>
        <w:rPr>
          <w:rFonts w:hint="eastAsia" w:ascii="宋体" w:hAnsi="宋体"/>
          <w:u w:val="single"/>
        </w:rPr>
        <w:t xml:space="preserve">（单位）</w:t>
      </w:r>
      <w:r>
        <w:rPr>
          <w:rFonts w:hint="eastAsia" w:ascii="宋体" w:hAnsi="宋体"/>
        </w:rPr>
        <w:t xml:space="preserve">提供的以下产品属于本国产品。具体情况如下：</w:t>
      </w:r>
      <w:r/>
    </w:p>
    <w:p>
      <w:pPr>
        <w:pStyle w:val="805"/>
        <w:ind w:firstLine="480"/>
        <w:spacing w:beforeAutospacing="0" w:afterAutospacing="0" w:line="360" w:lineRule="auto"/>
        <w:rPr>
          <w:rFonts w:hint="eastAsia" w:ascii="宋体" w:hAnsi="宋体"/>
        </w:rPr>
      </w:pPr>
      <w:r>
        <w:rPr>
          <w:rFonts w:hint="eastAsia" w:ascii="宋体" w:hAnsi="宋体"/>
          <w:shd w:val="clear" w:color="auto" w:fill="ffffff"/>
        </w:rPr>
        <w:t xml:space="preserve">1.</w:t>
      </w:r>
      <w:r>
        <w:rPr>
          <w:rStyle w:val="812"/>
          <w:rFonts w:hint="eastAsia" w:ascii="宋体" w:hAnsi="宋体"/>
          <w:i w:val="0"/>
          <w:u w:val="single"/>
          <w:shd w:val="clear" w:color="auto" w:fill="ffffff"/>
        </w:rPr>
        <w:t xml:space="preserve">（产品名称1）</w:t>
      </w:r>
      <w:r>
        <w:rPr>
          <w:rStyle w:val="812"/>
          <w:rFonts w:hint="eastAsia" w:ascii="宋体" w:hAnsi="宋体"/>
          <w:i w:val="0"/>
          <w:shd w:val="clear" w:color="auto" w:fill="ffffff"/>
          <w:vertAlign w:val="superscript"/>
        </w:rPr>
        <w:t xml:space="preserve">1</w:t>
      </w:r>
      <w:r>
        <w:rPr>
          <w:rFonts w:hint="eastAsia" w:ascii="宋体" w:hAnsi="宋体"/>
          <w:shd w:val="clear" w:color="auto" w:fill="ffffff"/>
        </w:rPr>
        <w:t xml:space="preserve">，生产厂为</w:t>
      </w:r>
      <w:r>
        <w:rPr>
          <w:rStyle w:val="812"/>
          <w:rFonts w:hint="eastAsia" w:ascii="宋体" w:hAnsi="宋体"/>
          <w:i w:val="0"/>
          <w:u w:val="single"/>
          <w:shd w:val="clear" w:color="auto" w:fill="ffffff"/>
        </w:rPr>
        <w:t xml:space="preserve">（厂名）</w:t>
      </w:r>
      <w:r>
        <w:rPr>
          <w:rStyle w:val="812"/>
          <w:rFonts w:hint="eastAsia" w:ascii="宋体" w:hAnsi="宋体"/>
          <w:i w:val="0"/>
          <w:shd w:val="clear" w:color="auto" w:fill="ffffff"/>
          <w:vertAlign w:val="superscript"/>
        </w:rPr>
        <w:t xml:space="preserve">2</w:t>
      </w:r>
      <w:r>
        <w:rPr>
          <w:rFonts w:hint="eastAsia" w:ascii="宋体" w:hAnsi="宋体"/>
          <w:shd w:val="clear" w:color="auto" w:fill="ffffff"/>
        </w:rPr>
        <w:t xml:space="preserve">，厂址为</w:t>
      </w:r>
      <w:r>
        <w:rPr>
          <w:rStyle w:val="812"/>
          <w:rFonts w:hint="eastAsia" w:ascii="宋体" w:hAnsi="宋体"/>
          <w:i w:val="0"/>
          <w:u w:val="single"/>
          <w:shd w:val="clear" w:color="auto" w:fill="ffffff"/>
        </w:rPr>
        <w:t xml:space="preserve">（生产厂址）</w:t>
      </w:r>
      <w:r>
        <w:rPr>
          <w:rFonts w:hint="eastAsia" w:ascii="宋体" w:hAnsi="宋体"/>
          <w:shd w:val="clear" w:color="auto" w:fill="ffffff"/>
        </w:rPr>
        <w:t xml:space="preserve">。</w:t>
      </w:r>
      <w:r>
        <w:rPr>
          <w:rStyle w:val="812"/>
          <w:rFonts w:hint="eastAsia" w:ascii="宋体" w:hAnsi="宋体"/>
          <w:i w:val="0"/>
          <w:u w:val="single"/>
          <w:shd w:val="clear" w:color="auto" w:fill="ffffff"/>
        </w:rPr>
        <w:t xml:space="preserve">（</w:t>
      </w:r>
      <w:r>
        <w:rPr>
          <w:rStyle w:val="812"/>
          <w:rFonts w:hint="eastAsia" w:ascii="宋体" w:hAnsi="宋体"/>
          <w:i w:val="0"/>
          <w:strike/>
          <w:u w:val="single"/>
          <w:shd w:val="clear" w:color="auto" w:fill="ffffff"/>
        </w:rPr>
        <w:t xml:space="preserve">产品名称1</w:t>
      </w:r>
      <w:r>
        <w:rPr>
          <w:rStyle w:val="812"/>
          <w:rFonts w:hint="eastAsia" w:ascii="宋体" w:hAnsi="宋体"/>
          <w:i w:val="0"/>
          <w:u w:val="single"/>
          <w:shd w:val="clear" w:color="auto" w:fill="ffffff"/>
        </w:rPr>
        <w:t xml:space="preserve">） </w:t>
      </w:r>
      <w:r>
        <w:rPr>
          <w:rFonts w:hint="eastAsia" w:ascii="宋体" w:hAnsi="宋体"/>
          <w:shd w:val="clear" w:color="auto" w:fill="ffffff"/>
        </w:rPr>
        <w:t xml:space="preserve">的中国境内生产的组件成本占比≥</w:t>
      </w:r>
      <w:r>
        <w:rPr>
          <w:rStyle w:val="812"/>
          <w:rFonts w:hint="eastAsia" w:ascii="宋体" w:hAnsi="宋体"/>
          <w:i w:val="0"/>
          <w:u w:val="single"/>
          <w:shd w:val="clear" w:color="auto" w:fill="ffffff"/>
        </w:rPr>
        <w:t xml:space="preserve">（</w:t>
      </w:r>
      <w:r>
        <w:rPr>
          <w:rStyle w:val="812"/>
          <w:rFonts w:hint="eastAsia" w:ascii="宋体" w:hAnsi="宋体"/>
          <w:i w:val="0"/>
          <w:strike/>
          <w:u w:val="single"/>
          <w:shd w:val="clear" w:color="auto" w:fill="ffffff"/>
        </w:rPr>
        <w:t xml:space="preserve">规定比例</w:t>
      </w:r>
      <w:r>
        <w:rPr>
          <w:rStyle w:val="812"/>
          <w:rFonts w:hint="eastAsia" w:ascii="宋体" w:hAnsi="宋体"/>
          <w:i w:val="0"/>
          <w:u w:val="single"/>
          <w:shd w:val="clear" w:color="auto" w:fill="ffffff"/>
        </w:rPr>
        <w:t xml:space="preserve">）</w:t>
      </w:r>
      <w:r>
        <w:rPr>
          <w:rStyle w:val="812"/>
          <w:rFonts w:hint="eastAsia" w:ascii="宋体" w:hAnsi="宋体"/>
          <w:i w:val="0"/>
          <w:shd w:val="clear" w:color="auto" w:fill="ffffff"/>
          <w:vertAlign w:val="superscript"/>
        </w:rPr>
        <w:t xml:space="preserve">3</w:t>
      </w:r>
      <w:r>
        <w:rPr>
          <w:rFonts w:hint="eastAsia" w:ascii="宋体" w:hAnsi="宋体"/>
          <w:shd w:val="clear" w:color="auto" w:fill="ffffff"/>
        </w:rPr>
        <w:t xml:space="preserve">。</w:t>
      </w:r>
      <w:r>
        <w:rPr>
          <w:rStyle w:val="812"/>
          <w:rFonts w:hint="eastAsia" w:ascii="宋体" w:hAnsi="宋体"/>
          <w:i w:val="0"/>
          <w:u w:val="single"/>
          <w:shd w:val="clear" w:color="auto" w:fill="ffffff"/>
        </w:rPr>
        <w:t xml:space="preserve">（</w:t>
      </w:r>
      <w:r>
        <w:rPr>
          <w:rStyle w:val="812"/>
          <w:rFonts w:hint="eastAsia" w:ascii="宋体" w:hAnsi="宋体"/>
          <w:i w:val="0"/>
          <w:strike/>
          <w:u w:val="single"/>
          <w:shd w:val="clear" w:color="auto" w:fill="ffffff"/>
        </w:rPr>
        <w:t xml:space="preserve">产品名称1</w:t>
      </w:r>
      <w:r>
        <w:rPr>
          <w:rStyle w:val="812"/>
          <w:rFonts w:hint="eastAsia" w:ascii="宋体" w:hAnsi="宋体"/>
          <w:i w:val="0"/>
          <w:u w:val="single"/>
          <w:shd w:val="clear" w:color="auto" w:fill="ffffff"/>
        </w:rPr>
        <w:t xml:space="preserve">）</w:t>
      </w:r>
      <w:r>
        <w:rPr>
          <w:rFonts w:hint="eastAsia" w:ascii="宋体" w:hAnsi="宋体"/>
          <w:shd w:val="clear" w:color="auto" w:fill="ffffff"/>
        </w:rPr>
        <w:t xml:space="preserve">的</w:t>
      </w:r>
      <w:r>
        <w:rPr>
          <w:rStyle w:val="812"/>
          <w:rFonts w:hint="eastAsia" w:ascii="宋体" w:hAnsi="宋体"/>
          <w:i w:val="0"/>
          <w:u w:val="single"/>
          <w:shd w:val="clear" w:color="auto" w:fill="ffffff"/>
        </w:rPr>
        <w:t xml:space="preserve">（</w:t>
      </w:r>
      <w:r>
        <w:rPr>
          <w:rStyle w:val="812"/>
          <w:rFonts w:hint="eastAsia" w:ascii="宋体" w:hAnsi="宋体"/>
          <w:i w:val="0"/>
          <w:strike/>
          <w:u w:val="single"/>
          <w:shd w:val="clear" w:color="auto" w:fill="ffffff"/>
        </w:rPr>
        <w:t xml:space="preserve">关键组件</w:t>
      </w:r>
      <w:r>
        <w:rPr>
          <w:rStyle w:val="812"/>
          <w:rFonts w:hint="eastAsia" w:ascii="宋体" w:hAnsi="宋体"/>
          <w:i w:val="0"/>
          <w:u w:val="single"/>
          <w:shd w:val="clear" w:color="auto" w:fill="ffffff"/>
        </w:rPr>
        <w:t xml:space="preserve">）</w:t>
      </w:r>
      <w:r>
        <w:rPr>
          <w:rStyle w:val="812"/>
          <w:rFonts w:hint="eastAsia" w:ascii="宋体" w:hAnsi="宋体"/>
          <w:i w:val="0"/>
          <w:shd w:val="clear" w:color="auto" w:fill="ffffff"/>
          <w:vertAlign w:val="superscript"/>
        </w:rPr>
        <w:t xml:space="preserve">4</w:t>
      </w:r>
      <w:r>
        <w:rPr>
          <w:rFonts w:hint="eastAsia" w:ascii="宋体" w:hAnsi="宋体"/>
          <w:shd w:val="clear" w:color="auto" w:fill="ffffff"/>
        </w:rPr>
        <w:t xml:space="preserve">在中国境内生产。</w:t>
      </w:r>
      <w:r>
        <w:rPr>
          <w:rStyle w:val="812"/>
          <w:rFonts w:hint="eastAsia" w:ascii="宋体" w:hAnsi="宋体"/>
          <w:i w:val="0"/>
          <w:u w:val="single"/>
          <w:shd w:val="clear" w:color="auto" w:fill="ffffff"/>
        </w:rPr>
        <w:t xml:space="preserve">（</w:t>
      </w:r>
      <w:r>
        <w:rPr>
          <w:rStyle w:val="812"/>
          <w:rFonts w:hint="eastAsia" w:ascii="宋体" w:hAnsi="宋体"/>
          <w:i w:val="0"/>
          <w:strike/>
          <w:u w:val="single"/>
          <w:shd w:val="clear" w:color="auto" w:fill="ffffff"/>
        </w:rPr>
        <w:t xml:space="preserve">产品名称1</w:t>
      </w:r>
      <w:r>
        <w:rPr>
          <w:rStyle w:val="812"/>
          <w:rFonts w:hint="eastAsia" w:ascii="宋体" w:hAnsi="宋体"/>
          <w:i w:val="0"/>
          <w:u w:val="single"/>
          <w:shd w:val="clear" w:color="auto" w:fill="ffffff"/>
        </w:rPr>
        <w:t xml:space="preserve">）</w:t>
      </w:r>
      <w:r>
        <w:rPr>
          <w:rFonts w:hint="eastAsia" w:ascii="宋体" w:hAnsi="宋体"/>
          <w:shd w:val="clear" w:color="auto" w:fill="ffffff"/>
        </w:rPr>
        <w:t xml:space="preserve">的</w:t>
      </w:r>
      <w:r>
        <w:rPr>
          <w:rStyle w:val="812"/>
          <w:rFonts w:hint="eastAsia" w:ascii="宋体" w:hAnsi="宋体"/>
          <w:i w:val="0"/>
          <w:u w:val="single"/>
          <w:shd w:val="clear" w:color="auto" w:fill="ffffff"/>
        </w:rPr>
        <w:t xml:space="preserve">（</w:t>
      </w:r>
      <w:r>
        <w:rPr>
          <w:rStyle w:val="812"/>
          <w:rFonts w:hint="eastAsia" w:ascii="宋体" w:hAnsi="宋体"/>
          <w:i w:val="0"/>
          <w:strike/>
          <w:u w:val="single"/>
          <w:shd w:val="clear" w:color="auto" w:fill="ffffff"/>
        </w:rPr>
        <w:t xml:space="preserve">关键工序</w:t>
      </w:r>
      <w:r>
        <w:rPr>
          <w:rStyle w:val="812"/>
          <w:rFonts w:hint="eastAsia" w:ascii="宋体" w:hAnsi="宋体"/>
          <w:i w:val="0"/>
          <w:u w:val="single"/>
          <w:shd w:val="clear" w:color="auto" w:fill="ffffff"/>
        </w:rPr>
        <w:t xml:space="preserve">）</w:t>
      </w:r>
      <w:r>
        <w:rPr>
          <w:rStyle w:val="812"/>
          <w:rFonts w:hint="eastAsia" w:ascii="宋体" w:hAnsi="宋体"/>
          <w:i w:val="0"/>
          <w:shd w:val="clear" w:color="auto" w:fill="ffffff"/>
          <w:vertAlign w:val="superscript"/>
        </w:rPr>
        <w:t xml:space="preserve">5</w:t>
      </w:r>
      <w:r>
        <w:rPr>
          <w:rFonts w:hint="eastAsia" w:ascii="宋体" w:hAnsi="宋体"/>
          <w:shd w:val="clear" w:color="auto" w:fill="ffffff"/>
        </w:rPr>
        <w:t xml:space="preserve">在中国境内完成。</w:t>
      </w:r>
      <w:r/>
    </w:p>
    <w:p>
      <w:pPr>
        <w:pStyle w:val="805"/>
        <w:ind w:firstLine="480"/>
        <w:spacing w:beforeAutospacing="0" w:afterAutospacing="0" w:line="360" w:lineRule="auto"/>
        <w:rPr>
          <w:rFonts w:hint="eastAsia" w:ascii="宋体" w:hAnsi="宋体"/>
        </w:rPr>
      </w:pPr>
      <w:r>
        <w:rPr>
          <w:rFonts w:hint="eastAsia" w:ascii="宋体" w:hAnsi="宋体"/>
          <w:shd w:val="clear" w:color="auto" w:fill="ffffff"/>
        </w:rPr>
        <w:t xml:space="preserve">2.</w:t>
      </w:r>
      <w:r>
        <w:rPr>
          <w:rStyle w:val="812"/>
          <w:rFonts w:hint="eastAsia" w:ascii="宋体" w:hAnsi="宋体"/>
          <w:i w:val="0"/>
          <w:u w:val="single"/>
          <w:shd w:val="clear" w:color="auto" w:fill="ffffff"/>
        </w:rPr>
        <w:t xml:space="preserve">（产品名称2）</w:t>
      </w:r>
      <w:r>
        <w:rPr>
          <w:rFonts w:hint="eastAsia" w:ascii="宋体" w:hAnsi="宋体"/>
          <w:shd w:val="clear" w:color="auto" w:fill="ffffff"/>
        </w:rPr>
        <w:t xml:space="preserve">，生产厂为</w:t>
      </w:r>
      <w:r>
        <w:rPr>
          <w:rStyle w:val="812"/>
          <w:rFonts w:hint="eastAsia" w:ascii="宋体" w:hAnsi="宋体"/>
          <w:i w:val="0"/>
          <w:u w:val="single"/>
          <w:shd w:val="clear" w:color="auto" w:fill="ffffff"/>
        </w:rPr>
        <w:t xml:space="preserve">（厂名）</w:t>
      </w:r>
      <w:r>
        <w:rPr>
          <w:rFonts w:hint="eastAsia" w:ascii="宋体" w:hAnsi="宋体"/>
          <w:shd w:val="clear" w:color="auto" w:fill="ffffff"/>
        </w:rPr>
        <w:t xml:space="preserve">，厂址为</w:t>
      </w:r>
      <w:r>
        <w:rPr>
          <w:rStyle w:val="812"/>
          <w:rFonts w:hint="eastAsia" w:ascii="宋体" w:hAnsi="宋体"/>
          <w:i w:val="0"/>
          <w:u w:val="single"/>
          <w:shd w:val="clear" w:color="auto" w:fill="ffffff"/>
        </w:rPr>
        <w:t xml:space="preserve">（生产厂址）</w:t>
      </w:r>
      <w:r>
        <w:rPr>
          <w:rFonts w:hint="eastAsia" w:ascii="宋体" w:hAnsi="宋体"/>
          <w:shd w:val="clear" w:color="auto" w:fill="ffffff"/>
        </w:rPr>
        <w:t xml:space="preserve">。</w:t>
      </w:r>
      <w:r>
        <w:rPr>
          <w:rStyle w:val="812"/>
          <w:rFonts w:hint="eastAsia" w:ascii="宋体" w:hAnsi="宋体"/>
          <w:i w:val="0"/>
          <w:u w:val="single"/>
          <w:shd w:val="clear" w:color="auto" w:fill="ffffff"/>
        </w:rPr>
        <w:t xml:space="preserve">（</w:t>
      </w:r>
      <w:r>
        <w:rPr>
          <w:rStyle w:val="812"/>
          <w:rFonts w:hint="eastAsia" w:ascii="宋体" w:hAnsi="宋体"/>
          <w:i w:val="0"/>
          <w:strike/>
          <w:u w:val="single"/>
          <w:shd w:val="clear" w:color="auto" w:fill="ffffff"/>
        </w:rPr>
        <w:t xml:space="preserve">产品名称2</w:t>
      </w:r>
      <w:r>
        <w:rPr>
          <w:rStyle w:val="812"/>
          <w:rFonts w:hint="eastAsia" w:ascii="宋体" w:hAnsi="宋体"/>
          <w:i w:val="0"/>
          <w:u w:val="single"/>
          <w:shd w:val="clear" w:color="auto" w:fill="ffffff"/>
        </w:rPr>
        <w:t xml:space="preserve">）</w:t>
      </w:r>
      <w:r>
        <w:rPr>
          <w:rFonts w:hint="eastAsia" w:ascii="宋体" w:hAnsi="宋体"/>
          <w:shd w:val="clear" w:color="auto" w:fill="ffffff"/>
        </w:rPr>
        <w:t xml:space="preserve">的中国境内生产的组件成本占比≥</w:t>
      </w:r>
      <w:r>
        <w:rPr>
          <w:rStyle w:val="812"/>
          <w:rFonts w:hint="eastAsia" w:ascii="宋体" w:hAnsi="宋体"/>
          <w:i w:val="0"/>
          <w:u w:val="single"/>
          <w:shd w:val="clear" w:color="auto" w:fill="ffffff"/>
        </w:rPr>
        <w:t xml:space="preserve">（</w:t>
      </w:r>
      <w:r>
        <w:rPr>
          <w:rStyle w:val="812"/>
          <w:rFonts w:hint="eastAsia" w:ascii="宋体" w:hAnsi="宋体"/>
          <w:i w:val="0"/>
          <w:strike/>
          <w:u w:val="single"/>
          <w:shd w:val="clear" w:color="auto" w:fill="ffffff"/>
        </w:rPr>
        <w:t xml:space="preserve">规定比例</w:t>
      </w:r>
      <w:r>
        <w:rPr>
          <w:rStyle w:val="812"/>
          <w:rFonts w:hint="eastAsia" w:ascii="宋体" w:hAnsi="宋体"/>
          <w:i w:val="0"/>
          <w:u w:val="single"/>
          <w:shd w:val="clear" w:color="auto" w:fill="ffffff"/>
        </w:rPr>
        <w:t xml:space="preserve">）</w:t>
      </w:r>
      <w:r>
        <w:rPr>
          <w:rFonts w:hint="eastAsia" w:ascii="宋体" w:hAnsi="宋体"/>
          <w:shd w:val="clear" w:color="auto" w:fill="ffffff"/>
        </w:rPr>
        <w:t xml:space="preserve">。</w:t>
      </w:r>
      <w:r>
        <w:rPr>
          <w:rStyle w:val="812"/>
          <w:rFonts w:hint="eastAsia" w:ascii="宋体" w:hAnsi="宋体"/>
          <w:i w:val="0"/>
          <w:u w:val="single"/>
          <w:shd w:val="clear" w:color="auto" w:fill="ffffff"/>
        </w:rPr>
        <w:t xml:space="preserve">（</w:t>
      </w:r>
      <w:r>
        <w:rPr>
          <w:rStyle w:val="812"/>
          <w:rFonts w:hint="eastAsia" w:ascii="宋体" w:hAnsi="宋体"/>
          <w:i w:val="0"/>
          <w:strike/>
          <w:u w:val="single"/>
          <w:shd w:val="clear" w:color="auto" w:fill="ffffff"/>
        </w:rPr>
        <w:t xml:space="preserve">产品名称2</w:t>
      </w:r>
      <w:r>
        <w:rPr>
          <w:rStyle w:val="812"/>
          <w:rFonts w:hint="eastAsia" w:ascii="宋体" w:hAnsi="宋体"/>
          <w:i w:val="0"/>
          <w:u w:val="single"/>
          <w:shd w:val="clear" w:color="auto" w:fill="ffffff"/>
        </w:rPr>
        <w:t xml:space="preserve">）</w:t>
      </w:r>
      <w:r>
        <w:rPr>
          <w:rFonts w:hint="eastAsia" w:ascii="宋体" w:hAnsi="宋体"/>
          <w:shd w:val="clear" w:color="auto" w:fill="ffffff"/>
        </w:rPr>
        <w:t xml:space="preserve">的</w:t>
      </w:r>
      <w:r>
        <w:rPr>
          <w:rStyle w:val="812"/>
          <w:rFonts w:hint="eastAsia" w:ascii="宋体" w:hAnsi="宋体"/>
          <w:i w:val="0"/>
          <w:u w:val="single"/>
          <w:shd w:val="clear" w:color="auto" w:fill="ffffff"/>
        </w:rPr>
        <w:t xml:space="preserve">（</w:t>
      </w:r>
      <w:r>
        <w:rPr>
          <w:rStyle w:val="812"/>
          <w:rFonts w:hint="eastAsia" w:ascii="宋体" w:hAnsi="宋体"/>
          <w:i w:val="0"/>
          <w:strike/>
          <w:u w:val="single"/>
          <w:shd w:val="clear" w:color="auto" w:fill="ffffff"/>
        </w:rPr>
        <w:t xml:space="preserve">关键组件</w:t>
      </w:r>
      <w:r>
        <w:rPr>
          <w:rStyle w:val="812"/>
          <w:rFonts w:hint="eastAsia" w:ascii="宋体" w:hAnsi="宋体"/>
          <w:i w:val="0"/>
          <w:u w:val="single"/>
          <w:shd w:val="clear" w:color="auto" w:fill="ffffff"/>
        </w:rPr>
        <w:t xml:space="preserve">）</w:t>
      </w:r>
      <w:r>
        <w:rPr>
          <w:rFonts w:hint="eastAsia" w:ascii="宋体" w:hAnsi="宋体"/>
          <w:shd w:val="clear" w:color="auto" w:fill="ffffff"/>
        </w:rPr>
        <w:t xml:space="preserve">在中国境内生产。</w:t>
      </w:r>
      <w:r>
        <w:rPr>
          <w:rStyle w:val="812"/>
          <w:rFonts w:hint="eastAsia" w:ascii="宋体" w:hAnsi="宋体"/>
          <w:i w:val="0"/>
          <w:u w:val="single"/>
          <w:shd w:val="clear" w:color="auto" w:fill="ffffff"/>
        </w:rPr>
        <w:t xml:space="preserve">（</w:t>
      </w:r>
      <w:r>
        <w:rPr>
          <w:rStyle w:val="812"/>
          <w:rFonts w:hint="eastAsia" w:ascii="宋体" w:hAnsi="宋体"/>
          <w:i w:val="0"/>
          <w:strike/>
          <w:u w:val="single"/>
          <w:shd w:val="clear" w:color="auto" w:fill="ffffff"/>
        </w:rPr>
        <w:t xml:space="preserve">产品名称1</w:t>
      </w:r>
      <w:r>
        <w:rPr>
          <w:rStyle w:val="812"/>
          <w:rFonts w:hint="eastAsia" w:ascii="宋体" w:hAnsi="宋体"/>
          <w:i w:val="0"/>
          <w:u w:val="single"/>
          <w:shd w:val="clear" w:color="auto" w:fill="ffffff"/>
        </w:rPr>
        <w:t xml:space="preserve">）</w:t>
      </w:r>
      <w:r>
        <w:rPr>
          <w:rFonts w:hint="eastAsia" w:ascii="宋体" w:hAnsi="宋体"/>
          <w:shd w:val="clear" w:color="auto" w:fill="ffffff"/>
        </w:rPr>
        <w:t xml:space="preserve">的</w:t>
      </w:r>
      <w:r>
        <w:rPr>
          <w:rStyle w:val="812"/>
          <w:rFonts w:hint="eastAsia" w:ascii="宋体" w:hAnsi="宋体"/>
          <w:i w:val="0"/>
          <w:u w:val="single"/>
          <w:shd w:val="clear" w:color="auto" w:fill="ffffff"/>
        </w:rPr>
        <w:t xml:space="preserve">（</w:t>
      </w:r>
      <w:r>
        <w:rPr>
          <w:rStyle w:val="812"/>
          <w:rFonts w:hint="eastAsia" w:ascii="宋体" w:hAnsi="宋体"/>
          <w:i w:val="0"/>
          <w:strike/>
          <w:u w:val="single"/>
          <w:shd w:val="clear" w:color="auto" w:fill="ffffff"/>
        </w:rPr>
        <w:t xml:space="preserve">关键工序</w:t>
      </w:r>
      <w:r>
        <w:rPr>
          <w:rStyle w:val="812"/>
          <w:rFonts w:hint="eastAsia" w:ascii="宋体" w:hAnsi="宋体"/>
          <w:i w:val="0"/>
          <w:u w:val="single"/>
          <w:shd w:val="clear" w:color="auto" w:fill="ffffff"/>
        </w:rPr>
        <w:t xml:space="preserve">）</w:t>
      </w:r>
      <w:r>
        <w:rPr>
          <w:rFonts w:hint="eastAsia" w:ascii="宋体" w:hAnsi="宋体"/>
          <w:shd w:val="clear" w:color="auto" w:fill="ffffff"/>
        </w:rPr>
        <w:t xml:space="preserve">在中国境内完成。</w:t>
      </w:r>
      <w:r/>
    </w:p>
    <w:p>
      <w:pPr>
        <w:pStyle w:val="805"/>
        <w:ind w:firstLine="480"/>
        <w:spacing w:beforeAutospacing="0" w:afterAutospacing="0" w:line="360" w:lineRule="auto"/>
        <w:rPr>
          <w:rFonts w:hint="eastAsia" w:ascii="宋体" w:hAnsi="宋体"/>
        </w:rPr>
      </w:pPr>
      <w:r>
        <w:rPr>
          <w:rFonts w:hint="eastAsia" w:ascii="宋体" w:hAnsi="宋体"/>
          <w:shd w:val="clear" w:color="auto" w:fill="ffffff"/>
        </w:rPr>
        <w:t xml:space="preserve">……</w:t>
      </w:r>
      <w:r/>
    </w:p>
    <w:p>
      <w:pPr>
        <w:pStyle w:val="805"/>
        <w:ind w:firstLine="480"/>
        <w:spacing w:beforeAutospacing="0" w:afterAutospacing="0" w:line="360" w:lineRule="auto"/>
        <w:rPr>
          <w:rFonts w:hint="eastAsia" w:ascii="宋体" w:hAnsi="宋体"/>
        </w:rPr>
      </w:pPr>
      <w:r>
        <w:rPr>
          <w:rFonts w:hint="eastAsia" w:ascii="宋体" w:hAnsi="宋体"/>
          <w:shd w:val="clear" w:color="auto" w:fill="ffffff"/>
        </w:rPr>
        <w:t xml:space="preserve">本公司（单位）对上述声明内容的真实性负责。如有虚假，愿承担相应法律责任。</w:t>
      </w:r>
      <w:r/>
    </w:p>
    <w:p>
      <w:pPr>
        <w:pStyle w:val="805"/>
        <w:ind w:firstLine="480"/>
        <w:spacing w:beforeAutospacing="0" w:afterAutospacing="0" w:line="360" w:lineRule="auto"/>
        <w:rPr>
          <w:rFonts w:hint="eastAsia" w:ascii="宋体" w:hAnsi="宋体"/>
        </w:rPr>
      </w:pPr>
      <w:r>
        <w:rPr>
          <w:rFonts w:hint="eastAsia" w:ascii="宋体" w:hAnsi="宋体"/>
        </w:rPr>
      </w:r>
      <w:r/>
    </w:p>
    <w:p>
      <w:pPr>
        <w:pStyle w:val="805"/>
        <w:ind w:firstLine="480"/>
        <w:spacing w:beforeAutospacing="0" w:afterAutospacing="0" w:line="360" w:lineRule="auto"/>
        <w:rPr>
          <w:rFonts w:hint="eastAsia" w:ascii="宋体" w:hAnsi="宋体"/>
        </w:rPr>
      </w:pPr>
      <w:r>
        <w:rPr>
          <w:rFonts w:hint="eastAsia" w:ascii="宋体" w:hAnsi="宋体"/>
          <w:shd w:val="clear" w:color="auto" w:fill="ffffff"/>
        </w:rPr>
        <w:t xml:space="preserve">公司（单位）名称（盖章）：</w:t>
      </w:r>
      <w:r/>
    </w:p>
    <w:p>
      <w:pPr>
        <w:pStyle w:val="805"/>
        <w:ind w:firstLine="480"/>
        <w:jc w:val="center"/>
        <w:spacing w:beforeAutospacing="0" w:afterAutospacing="0" w:line="360" w:lineRule="auto"/>
        <w:rPr>
          <w:rFonts w:hint="eastAsia" w:ascii="宋体" w:hAnsi="宋体"/>
        </w:rPr>
      </w:pPr>
      <w:r>
        <w:rPr>
          <w:rFonts w:hint="eastAsia" w:ascii="宋体" w:hAnsi="宋体"/>
          <w:shd w:val="clear" w:color="auto" w:fill="ffffff"/>
        </w:rPr>
        <w:t xml:space="preserve">                                           日期：　   </w:t>
      </w:r>
      <w:r>
        <w:rPr>
          <w:rFonts w:hint="eastAsia" w:ascii="宋体" w:hAnsi="宋体" w:cs="宋体"/>
          <w:shd w:val="clear" w:color="auto" w:fill="ffffff"/>
        </w:rPr>
        <w:t xml:space="preserve">年　</w:t>
      </w:r>
      <w:r>
        <w:rPr>
          <w:rFonts w:hint="eastAsia" w:ascii="宋体" w:hAnsi="宋体"/>
          <w:shd w:val="clear" w:color="auto" w:fill="ffffff"/>
        </w:rPr>
        <w:t xml:space="preserve">  </w:t>
      </w:r>
      <w:r>
        <w:rPr>
          <w:rFonts w:hint="eastAsia" w:ascii="宋体" w:hAnsi="宋体" w:cs="宋体"/>
          <w:shd w:val="clear" w:color="auto" w:fill="ffffff"/>
        </w:rPr>
        <w:t xml:space="preserve">月　</w:t>
      </w:r>
      <w:r>
        <w:rPr>
          <w:rFonts w:hint="eastAsia" w:ascii="宋体" w:hAnsi="宋体"/>
          <w:shd w:val="clear" w:color="auto" w:fill="ffffff"/>
        </w:rPr>
        <w:t xml:space="preserve">  </w:t>
      </w:r>
      <w:r>
        <w:rPr>
          <w:rFonts w:hint="eastAsia" w:ascii="宋体" w:hAnsi="宋体" w:cs="宋体"/>
          <w:shd w:val="clear" w:color="auto" w:fill="ffffff"/>
        </w:rPr>
        <w:t xml:space="preserve">日</w:t>
      </w:r>
      <w:r>
        <w:rPr>
          <w:rFonts w:hint="eastAsia" w:ascii="宋体" w:hAnsi="宋体"/>
          <w:shd w:val="clear" w:color="auto" w:fill="ffffff"/>
        </w:rPr>
        <w:t xml:space="preserve">         </w:t>
      </w:r>
      <w:r/>
    </w:p>
    <w:p>
      <w:pPr>
        <w:pStyle w:val="805"/>
        <w:spacing w:before="30" w:beforeAutospacing="0" w:after="30" w:afterAutospacing="0" w:line="0" w:lineRule="atLeast"/>
        <w:rPr>
          <w:rFonts w:hint="eastAsia" w:ascii="宋体" w:hAnsi="宋体"/>
        </w:rPr>
      </w:pPr>
      <w:r>
        <w:rPr>
          <w:rFonts w:hint="eastAsia" w:ascii="宋体" w:hAnsi="宋体"/>
          <w:shd w:val="clear" w:color="auto" w:fill="ffffff"/>
        </w:rPr>
        <w:t xml:space="preserve">__________________</w:t>
      </w:r>
      <w:r/>
    </w:p>
    <w:p>
      <w:pPr>
        <w:pStyle w:val="805"/>
        <w:spacing w:before="30" w:beforeAutospacing="0" w:after="30" w:afterAutospacing="0" w:line="0" w:lineRule="atLeast"/>
        <w:rPr>
          <w:rFonts w:hint="eastAsia" w:ascii="宋体" w:hAnsi="宋体"/>
        </w:rPr>
      </w:pPr>
      <w:r>
        <w:rPr>
          <w:rFonts w:hint="eastAsia" w:ascii="宋体" w:hAnsi="宋体"/>
          <w:shd w:val="clear" w:color="auto" w:fill="ffffff"/>
        </w:rPr>
        <w:t xml:space="preserve">1.产品如有型号，请在“产品名称”栏一并填写。</w:t>
      </w:r>
      <w:r/>
    </w:p>
    <w:p>
      <w:pPr>
        <w:pStyle w:val="805"/>
        <w:spacing w:before="30" w:beforeAutospacing="0" w:after="30" w:afterAutospacing="0" w:line="0" w:lineRule="atLeast"/>
        <w:rPr>
          <w:rFonts w:hint="eastAsia" w:ascii="宋体" w:hAnsi="宋体"/>
        </w:rPr>
      </w:pPr>
      <w:r>
        <w:rPr>
          <w:rFonts w:hint="eastAsia" w:ascii="宋体" w:hAnsi="宋体"/>
          <w:shd w:val="clear" w:color="auto" w:fill="ffffff"/>
        </w:rPr>
        <w:t xml:space="preserve">2.生产厂名与厂址应与生产厂营业执照载明的相关信息保持一致。</w:t>
      </w:r>
      <w:r/>
    </w:p>
    <w:p>
      <w:pPr>
        <w:pStyle w:val="805"/>
        <w:spacing w:before="30" w:beforeAutospacing="0" w:after="30" w:afterAutospacing="0" w:line="0" w:lineRule="atLeast"/>
        <w:rPr>
          <w:rFonts w:hint="eastAsia" w:ascii="宋体" w:hAnsi="宋体"/>
        </w:rPr>
      </w:pPr>
      <w:r>
        <w:rPr>
          <w:rFonts w:hint="eastAsia" w:ascii="宋体" w:hAnsi="宋体"/>
          <w:shd w:val="clear" w:color="auto" w:fill="ffffff"/>
        </w:rPr>
        <w:t xml:space="preserve">3.该产品的中国境内生产的组件成本占比相关要求实施前，“规定比例”栏可不填，下同。</w:t>
      </w:r>
      <w:r/>
    </w:p>
    <w:p>
      <w:pPr>
        <w:pStyle w:val="805"/>
        <w:spacing w:before="30" w:beforeAutospacing="0" w:after="30" w:afterAutospacing="0" w:line="0" w:lineRule="atLeast"/>
        <w:rPr>
          <w:rFonts w:hint="eastAsia" w:ascii="宋体" w:hAnsi="宋体"/>
        </w:rPr>
      </w:pPr>
      <w:r>
        <w:rPr>
          <w:rFonts w:hint="eastAsia" w:ascii="宋体" w:hAnsi="宋体"/>
          <w:shd w:val="clear" w:color="auto" w:fill="ffffff"/>
        </w:rPr>
        <w:t xml:space="preserve">4.该产品的关键组件要求实施前，“关键组件”栏可不填，下同。</w:t>
      </w:r>
      <w:r/>
    </w:p>
    <w:p>
      <w:pPr>
        <w:pStyle w:val="805"/>
        <w:spacing w:before="30" w:beforeAutospacing="0" w:after="30" w:afterAutospacing="0" w:line="0" w:lineRule="atLeast"/>
        <w:rPr>
          <w:rFonts w:hint="eastAsia" w:ascii="宋体" w:hAnsi="宋体"/>
          <w:shd w:val="clear" w:color="auto" w:fill="ffffff"/>
        </w:rPr>
      </w:pPr>
      <w:r>
        <w:rPr>
          <w:rFonts w:hint="eastAsia" w:ascii="宋体" w:hAnsi="宋体"/>
          <w:shd w:val="clear" w:color="auto" w:fill="ffffff"/>
        </w:rPr>
        <w:t xml:space="preserve">5.该产品的关键工序要求实施前，“关键工序”栏可不填，下同。</w:t>
      </w:r>
      <w:r/>
    </w:p>
    <w:p>
      <w:pPr>
        <w:spacing w:line="360" w:lineRule="auto"/>
        <w:rPr>
          <w:rFonts w:hint="eastAsia" w:ascii="宋体" w:hAnsi="宋体" w:cs="宋体"/>
          <w:sz w:val="24"/>
          <w:szCs w:val="24"/>
          <w:shd w:val="clear" w:color="auto" w:fill="ffffff"/>
        </w:rPr>
        <w:outlineLvl w:val="1"/>
      </w:pPr>
      <w:r>
        <w:rPr>
          <w:rFonts w:hint="eastAsia" w:ascii="宋体" w:hAnsi="宋体" w:cs="宋体"/>
          <w:sz w:val="24"/>
          <w:szCs w:val="24"/>
          <w:shd w:val="clear" w:color="auto" w:fill="ffffff"/>
        </w:rPr>
        <w:t xml:space="preserve">6.用</w:t>
      </w:r>
      <w:r>
        <w:rPr>
          <w:rFonts w:hint="eastAsia" w:ascii="宋体" w:hAnsi="宋体" w:cs="宋体"/>
          <w:sz w:val="24"/>
          <w:szCs w:val="24"/>
          <w:shd w:val="clear" w:color="auto" w:fill="ffffff"/>
        </w:rPr>
        <w:t xml:space="preserve">斜线划除的</w:t>
      </w:r>
      <w:r>
        <w:rPr>
          <w:rFonts w:hint="eastAsia" w:ascii="宋体" w:hAnsi="宋体" w:cs="宋体"/>
          <w:sz w:val="24"/>
          <w:szCs w:val="24"/>
          <w:shd w:val="clear" w:color="auto" w:fill="ffffff"/>
        </w:rPr>
        <w:t xml:space="preserve">地方无需填写。</w:t>
      </w:r>
      <w:r/>
    </w:p>
    <w:p>
      <w:pPr>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805"/>
        <w:jc w:val="right"/>
        <w:spacing w:beforeAutospacing="0" w:afterAutospacing="0" w:line="360" w:lineRule="auto"/>
        <w:widowControl/>
        <w:rPr>
          <w:rFonts w:hint="eastAsia" w:ascii="宋体" w:hAnsi="宋体" w:cs="宋体"/>
        </w:rPr>
      </w:pPr>
      <w:r>
        <w:rPr>
          <w:rFonts w:hint="eastAsia" w:ascii="宋体" w:hAnsi="宋体" w:cs="宋体"/>
        </w:rPr>
      </w:r>
      <w:r/>
    </w:p>
    <w:p>
      <w:pPr>
        <w:pStyle w:val="805"/>
        <w:jc w:val="right"/>
        <w:spacing w:beforeAutospacing="0" w:afterAutospacing="0" w:line="360" w:lineRule="auto"/>
        <w:widowControl/>
        <w:rPr>
          <w:rFonts w:hint="eastAsia" w:ascii="宋体" w:hAnsi="宋体" w:cs="宋体"/>
          <w:b/>
        </w:rPr>
      </w:pPr>
      <w:r>
        <w:rPr>
          <w:rFonts w:hint="eastAsia" w:ascii="宋体" w:hAnsi="宋体" w:cs="宋体"/>
          <w:b/>
        </w:rPr>
        <w:t xml:space="preserve">全文完</w:t>
      </w:r>
      <w:r/>
    </w:p>
    <w:sectPr>
      <w:footerReference w:type="default" r:id="rId9"/>
      <w:footnotePr/>
      <w:endnotePr/>
      <w:type w:val="nextPage"/>
      <w:pgSz w:w="11906" w:h="16838" w:orient="portrait"/>
      <w:pgMar w:top="1135" w:right="1080" w:bottom="1135" w:left="1080" w:header="851" w:footer="31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方正楷体_GBK">
    <w:panose1 w:val="020B0503020202020204"/>
  </w:font>
  <w:font w:name="sans-serif">
    <w:panose1 w:val="020B0503020202020204"/>
  </w:font>
  <w:font w:name="Wingdings">
    <w:panose1 w:val="05000000000000000000"/>
  </w:font>
  <w:font w:name="Symbol">
    <w:panose1 w:val="05050102010706020507"/>
  </w:font>
  <w:font w:name="新宋体">
    <w:panose1 w:val="02010609030101010101"/>
  </w:font>
  <w:font w:name="宋体_x0001_糭.飬..">
    <w:panose1 w:val="02010600030101010101"/>
  </w:font>
  <w:font w:name="方正仿宋简体">
    <w:panose1 w:val="020B0503020202020204"/>
  </w:font>
  <w:font w:name="等线">
    <w:panose1 w:val="02010600030101010101"/>
  </w:font>
  <w:font w:name="仿宋">
    <w:panose1 w:val="02010609060101010101"/>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创艺简仿宋">
    <w:panose1 w:val="020B0503020202020204"/>
  </w:font>
  <w:font w:name="微软雅黑 Light">
    <w:panose1 w:val="020B0502040204020203"/>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rPr>
        <w:rFonts w:hint="eastAsia" w:ascii="宋体" w:hAnsi="宋体"/>
      </w:rPr>
    </w:pPr>
    <w:r>
      <w:rPr>
        <w:lang w:val="zh-CN" w:eastAsia="zh-CN"/>
      </w:rPr>
      <w:t xml:space="preserve"> </w:t>
    </w:r>
    <w:r>
      <w:rPr>
        <w:rFonts w:ascii="宋体" w:hAnsi="宋体"/>
        <w:b/>
        <w:bCs/>
        <w:sz w:val="24"/>
        <w:szCs w:val="24"/>
      </w:rPr>
      <w:fldChar w:fldCharType="begin"/>
    </w:r>
    <w:r>
      <w:rPr>
        <w:rFonts w:ascii="宋体" w:hAnsi="宋体"/>
        <w:b/>
        <w:bCs/>
      </w:rPr>
      <w:instrText xml:space="preserve">PAGE</w:instrText>
    </w:r>
    <w:r>
      <w:rPr>
        <w:rFonts w:ascii="宋体" w:hAnsi="宋体"/>
        <w:b/>
        <w:bCs/>
        <w:sz w:val="24"/>
        <w:szCs w:val="24"/>
      </w:rPr>
      <w:fldChar w:fldCharType="separate"/>
    </w:r>
    <w:r>
      <w:rPr>
        <w:rFonts w:ascii="宋体" w:hAnsi="宋体"/>
        <w:b/>
        <w:bCs/>
      </w:rPr>
      <w:t xml:space="preserve">1</w:t>
    </w:r>
    <w:r>
      <w:rPr>
        <w:rFonts w:ascii="宋体" w:hAnsi="宋体"/>
        <w:b/>
        <w:bCs/>
        <w:sz w:val="24"/>
        <w:szCs w:val="24"/>
      </w:rPr>
      <w:fldChar w:fldCharType="end"/>
    </w:r>
    <w:r>
      <w:rPr>
        <w:rFonts w:ascii="宋体" w:hAnsi="宋体"/>
        <w:lang w:val="zh-CN" w:eastAsia="zh-CN"/>
      </w:rPr>
      <w:t xml:space="preserve"> / </w:t>
    </w:r>
    <w:r>
      <w:rPr>
        <w:rFonts w:ascii="宋体" w:hAnsi="宋体"/>
        <w:b/>
        <w:bCs/>
        <w:sz w:val="24"/>
        <w:szCs w:val="24"/>
      </w:rPr>
      <w:fldChar w:fldCharType="begin"/>
    </w:r>
    <w:r>
      <w:rPr>
        <w:rFonts w:ascii="宋体" w:hAnsi="宋体"/>
        <w:b/>
        <w:bCs/>
      </w:rPr>
      <w:instrText xml:space="preserve">NUMPAGES</w:instrText>
    </w:r>
    <w:r>
      <w:rPr>
        <w:rFonts w:ascii="宋体" w:hAnsi="宋体"/>
        <w:b/>
        <w:bCs/>
        <w:sz w:val="24"/>
        <w:szCs w:val="24"/>
      </w:rPr>
      <w:fldChar w:fldCharType="separate"/>
    </w:r>
    <w:r>
      <w:rPr>
        <w:rFonts w:ascii="宋体" w:hAnsi="宋体"/>
        <w:b/>
        <w:bCs/>
      </w:rPr>
      <w:t xml:space="preserve">1</w:t>
    </w:r>
    <w:r>
      <w:rPr>
        <w:rFonts w:ascii="宋体" w:hAnsi="宋体"/>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55"/>
        <w:rPr>
          <w:lang w:eastAsia="zh-CN"/>
        </w:rPr>
      </w:pPr>
      <w:r>
        <w:rPr>
          <w:rFonts w:ascii="宋体" w:hAnsi="宋体" w:cs="宋体"/>
          <w:b/>
          <w:color w:val="000000"/>
          <w:sz w:val="20"/>
          <w:u w:val="single"/>
        </w:rPr>
        <w:footnoteRef/>
      </w:r>
      <w:r>
        <w:rPr>
          <w:lang w:eastAsia="zh-CN"/>
        </w:rPr>
        <w:t xml:space="preserve"> </w:t>
      </w:r>
      <w:r>
        <w:rPr>
          <w:rFonts w:ascii="宋体" w:hAnsi="宋体" w:cs="宋体"/>
          <w:b/>
          <w:color w:val="000000"/>
          <w:sz w:val="20"/>
          <w:lang w:eastAsia="zh-CN"/>
        </w:rPr>
        <w:t xml:space="preserve">备注：</w:t>
      </w:r>
      <w:r>
        <w:rPr>
          <w:rFonts w:ascii="宋体" w:hAnsi="宋体" w:cs="宋体"/>
          <w:color w:val="000000"/>
          <w:sz w:val="20"/>
          <w:lang w:eastAsia="zh-CN"/>
        </w:rPr>
        <w:t xml:space="preserve">1.从业人员、营业收入、资产总额填报上一年度数据，无上一年度数据的新成立企业可不填报。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ascii="宋体" w:hAnsi="宋体" w:eastAsia="宋体"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ascii="宋体" w:hAnsi="宋体" w:eastAsia="宋体"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4"/>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2"/>
      <w:numFmt w:val="decimal"/>
      <w:pStyle w:val="816"/>
      <w:isLgl w:val="false"/>
      <w:suff w:val="tab"/>
      <w:lvlText w:val=""/>
      <w:lvlJc w:val="left"/>
      <w:pPr>
        <w:ind w:left="360" w:hanging="360"/>
        <w:tabs>
          <w:tab w:val="num" w:pos="360" w:leader="none"/>
        </w:tabs>
      </w:pPr>
    </w:lvl>
    <w:lvl w:ilvl="1">
      <w:start w:val="1"/>
      <w:numFmt w:val="decimal"/>
      <w:isLgl w:val="false"/>
      <w:suff w:val="tab"/>
      <w:lvlText w:val="%1.%2"/>
      <w:lvlJc w:val="left"/>
      <w:pPr>
        <w:ind w:left="1012" w:hanging="750"/>
        <w:tabs>
          <w:tab w:val="num" w:pos="1012" w:leader="none"/>
        </w:tabs>
      </w:pPr>
    </w:lvl>
    <w:lvl w:ilvl="2">
      <w:start w:val="1"/>
      <w:numFmt w:val="decimal"/>
      <w:isLgl w:val="false"/>
      <w:suff w:val="tab"/>
      <w:lvlText w:val="%1.%2.%3"/>
      <w:lvlJc w:val="left"/>
      <w:pPr>
        <w:ind w:left="1274" w:hanging="750"/>
        <w:tabs>
          <w:tab w:val="num" w:pos="1274" w:leader="none"/>
        </w:tabs>
      </w:pPr>
    </w:lvl>
    <w:lvl w:ilvl="3">
      <w:start w:val="1"/>
      <w:numFmt w:val="decimal"/>
      <w:isLgl w:val="false"/>
      <w:suff w:val="tab"/>
      <w:lvlText w:val="%1.%2.%3.%4"/>
      <w:lvlJc w:val="left"/>
      <w:pPr>
        <w:ind w:left="1536" w:hanging="750"/>
        <w:tabs>
          <w:tab w:val="num" w:pos="1536" w:leader="none"/>
        </w:tabs>
      </w:pPr>
    </w:lvl>
    <w:lvl w:ilvl="4">
      <w:start w:val="1"/>
      <w:numFmt w:val="decimal"/>
      <w:isLgl w:val="false"/>
      <w:suff w:val="tab"/>
      <w:lvlText w:val="%1.%2.%3.%4.%5"/>
      <w:lvlJc w:val="left"/>
      <w:pPr>
        <w:ind w:left="1798" w:hanging="750"/>
        <w:tabs>
          <w:tab w:val="num" w:pos="1798" w:leader="none"/>
        </w:tabs>
      </w:pPr>
    </w:lvl>
    <w:lvl w:ilvl="5">
      <w:start w:val="1"/>
      <w:numFmt w:val="decimal"/>
      <w:isLgl w:val="false"/>
      <w:suff w:val="tab"/>
      <w:lvlText w:val="%1.%2.%3.%4.%5.%6"/>
      <w:lvlJc w:val="left"/>
      <w:pPr>
        <w:ind w:left="2060" w:hanging="750"/>
        <w:tabs>
          <w:tab w:val="num" w:pos="2060" w:leader="none"/>
        </w:tabs>
      </w:pPr>
    </w:lvl>
    <w:lvl w:ilvl="6">
      <w:start w:val="1"/>
      <w:numFmt w:val="decimal"/>
      <w:isLgl w:val="false"/>
      <w:suff w:val="tab"/>
      <w:lvlText w:val="%1.%2.%3.%4.%5.%6.%7"/>
      <w:lvlJc w:val="left"/>
      <w:pPr>
        <w:ind w:left="2322" w:hanging="750"/>
        <w:tabs>
          <w:tab w:val="num" w:pos="2322" w:leader="none"/>
        </w:tabs>
      </w:pPr>
    </w:lvl>
    <w:lvl w:ilvl="7">
      <w:start w:val="1"/>
      <w:numFmt w:val="decimal"/>
      <w:isLgl w:val="false"/>
      <w:suff w:val="tab"/>
      <w:lvlText w:val="%1.%2.%3.%4.%5.%6.%7.%8"/>
      <w:lvlJc w:val="left"/>
      <w:pPr>
        <w:ind w:left="2584" w:hanging="750"/>
        <w:tabs>
          <w:tab w:val="num" w:pos="2584" w:leader="none"/>
        </w:tabs>
      </w:pPr>
    </w:lvl>
    <w:lvl w:ilvl="8">
      <w:start w:val="1"/>
      <w:numFmt w:val="decimal"/>
      <w:isLgl w:val="false"/>
      <w:suff w:val="tab"/>
      <w:lvlText w:val="%1.%2.%3.%4.%5.%6.%7.%8.%9"/>
      <w:lvlJc w:val="left"/>
      <w:pPr>
        <w:ind w:left="2846" w:hanging="750"/>
        <w:tabs>
          <w:tab w:val="num" w:pos="2846" w:leader="none"/>
        </w:tabs>
      </w:pPr>
    </w:lvl>
  </w:abstractNum>
  <w:abstractNum w:abstractNumId="1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1480" w:hanging="492"/>
      </w:pPr>
    </w:lvl>
    <w:lvl w:ilvl="1">
      <w:start w:val="1"/>
      <w:numFmt w:val="decimal"/>
      <w:isLgl w:val="false"/>
      <w:suff w:val="tab"/>
      <w:lvlText w:val="%1.%2"/>
      <w:lvlJc w:val="left"/>
      <w:pPr>
        <w:ind w:left="1480" w:hanging="492"/>
      </w:pPr>
      <w:rPr>
        <w:rFonts w:ascii="宋体" w:hAnsi="Times New Roman" w:cs="宋体"/>
        <w:b/>
        <w:bCs/>
        <w:spacing w:val="-2"/>
        <w:sz w:val="28"/>
        <w:szCs w:val="28"/>
      </w:rPr>
    </w:lvl>
    <w:lvl w:ilvl="2">
      <w:start w:val="1"/>
      <w:numFmt w:val="bullet"/>
      <w:isLgl w:val="false"/>
      <w:suff w:val="tab"/>
      <w:lvlText w:val="•"/>
      <w:lvlJc w:val="left"/>
      <w:pPr>
        <w:ind w:left="3169" w:hanging="492"/>
      </w:pPr>
    </w:lvl>
    <w:lvl w:ilvl="3">
      <w:start w:val="1"/>
      <w:numFmt w:val="bullet"/>
      <w:isLgl w:val="false"/>
      <w:suff w:val="tab"/>
      <w:lvlText w:val="•"/>
      <w:lvlJc w:val="left"/>
      <w:pPr>
        <w:ind w:left="4014" w:hanging="492"/>
      </w:pPr>
    </w:lvl>
    <w:lvl w:ilvl="4">
      <w:start w:val="1"/>
      <w:numFmt w:val="bullet"/>
      <w:isLgl w:val="false"/>
      <w:suff w:val="tab"/>
      <w:lvlText w:val="•"/>
      <w:lvlJc w:val="left"/>
      <w:pPr>
        <w:ind w:left="4859" w:hanging="492"/>
      </w:pPr>
    </w:lvl>
    <w:lvl w:ilvl="5">
      <w:start w:val="1"/>
      <w:numFmt w:val="bullet"/>
      <w:isLgl w:val="false"/>
      <w:suff w:val="tab"/>
      <w:lvlText w:val="•"/>
      <w:lvlJc w:val="left"/>
      <w:pPr>
        <w:ind w:left="5704" w:hanging="492"/>
      </w:pPr>
    </w:lvl>
    <w:lvl w:ilvl="6">
      <w:start w:val="1"/>
      <w:numFmt w:val="bullet"/>
      <w:isLgl w:val="false"/>
      <w:suff w:val="tab"/>
      <w:lvlText w:val="•"/>
      <w:lvlJc w:val="left"/>
      <w:pPr>
        <w:ind w:left="6549" w:hanging="492"/>
      </w:pPr>
    </w:lvl>
    <w:lvl w:ilvl="7">
      <w:start w:val="1"/>
      <w:numFmt w:val="bullet"/>
      <w:isLgl w:val="false"/>
      <w:suff w:val="tab"/>
      <w:lvlText w:val="•"/>
      <w:lvlJc w:val="left"/>
      <w:pPr>
        <w:ind w:left="7394" w:hanging="492"/>
      </w:pPr>
    </w:lvl>
    <w:lvl w:ilvl="8">
      <w:start w:val="1"/>
      <w:numFmt w:val="bullet"/>
      <w:isLgl w:val="false"/>
      <w:suff w:val="tab"/>
      <w:lvlText w:val="•"/>
      <w:lvlJc w:val="left"/>
      <w:pPr>
        <w:ind w:left="8239" w:hanging="492"/>
      </w:pPr>
    </w:lvl>
  </w:abstractNum>
  <w:abstractNum w:abstractNumId="17">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1">
    <w:multiLevelType w:val="hybridMultilevel"/>
    <w:lvl w:ilvl="0">
      <w:start w:val="1"/>
      <w:numFmt w:val="japaneseCounting"/>
      <w:isLgl w:val="false"/>
      <w:suff w:val="tab"/>
      <w:lvlText w:val="%1、"/>
      <w:lvlJc w:val="left"/>
      <w:pPr>
        <w:ind w:left="720" w:hanging="720"/>
        <w:tabs>
          <w:tab w:val="num" w:pos="720" w:leader="none"/>
        </w:tabs>
      </w:p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pStyle w:val="1010"/>
      <w:isLgl w:val="false"/>
      <w:suff w:val="tab"/>
      <w:lvlText w:val=""/>
      <w:lvlJc w:val="left"/>
      <w:pPr>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7"/>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0">
    <w:multiLevelType w:val="hybridMultilevel"/>
    <w:lvl w:ilvl="0">
      <w:start w:val="4"/>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4"/>
  </w:num>
  <w:num w:numId="2">
    <w:abstractNumId w:val="16"/>
  </w:num>
  <w:num w:numId="3">
    <w:abstractNumId w:val="11"/>
  </w:num>
  <w:num w:numId="4">
    <w:abstractNumId w:val="23"/>
  </w:num>
  <w:num w:numId="5">
    <w:abstractNumId w:val="21"/>
  </w:num>
  <w:num w:numId="6">
    <w:abstractNumId w:val="26"/>
  </w:num>
  <w:num w:numId="7">
    <w:abstractNumId w:val="18"/>
  </w:num>
  <w:num w:numId="8">
    <w:abstractNumId w:val="17"/>
  </w:num>
  <w:num w:numId="9">
    <w:abstractNumId w:val="22"/>
    <w:lvlOverride w:ilvl="0">
      <w:startOverride w:val="1"/>
    </w:lvlOverride>
  </w:num>
  <w:num w:numId="10">
    <w:abstractNumId w:val="28"/>
    <w:lvlOverride w:ilvl="0">
      <w:startOverride w:val="1"/>
    </w:lvlOverride>
  </w:num>
  <w:num w:numId="11">
    <w:abstractNumId w:val="6"/>
    <w:lvlOverride w:ilvl="0">
      <w:startOverride w:val="1"/>
    </w:lvlOverride>
  </w:num>
  <w:num w:numId="12">
    <w:abstractNumId w:val="10"/>
    <w:lvlOverride w:ilvl="0">
      <w:startOverride w:val="1"/>
    </w:lvlOverride>
  </w:num>
  <w:num w:numId="13">
    <w:abstractNumId w:val="5"/>
    <w:lvlOverride w:ilvl="0">
      <w:startOverride w:val="1"/>
    </w:lvlOverride>
  </w:num>
  <w:num w:numId="14">
    <w:abstractNumId w:val="24"/>
    <w:lvlOverride w:ilvl="0">
      <w:startOverride w:val="1"/>
    </w:lvlOverride>
  </w:num>
  <w:num w:numId="15">
    <w:abstractNumId w:val="8"/>
    <w:lvlOverride w:ilvl="0">
      <w:startOverride w:val="1"/>
    </w:lvlOverride>
  </w:num>
  <w:num w:numId="16">
    <w:abstractNumId w:val="3"/>
    <w:lvlOverride w:ilvl="0">
      <w:startOverride w:val="1"/>
    </w:lvlOverride>
  </w:num>
  <w:num w:numId="17">
    <w:abstractNumId w:val="0"/>
    <w:lvlOverride w:ilvl="0">
      <w:startOverride w:val="1"/>
    </w:lvlOverride>
  </w:num>
  <w:num w:numId="18">
    <w:abstractNumId w:val="15"/>
    <w:lvlOverride w:ilvl="0">
      <w:startOverride w:val="1"/>
    </w:lvlOverride>
  </w:num>
  <w:num w:numId="19">
    <w:abstractNumId w:val="2"/>
    <w:lvlOverride w:ilvl="0">
      <w:startOverride w:val="1"/>
    </w:lvlOverride>
  </w:num>
  <w:num w:numId="20">
    <w:abstractNumId w:val="4"/>
    <w:lvlOverride w:ilvl="0">
      <w:startOverride w:val="1"/>
    </w:lvlOverride>
  </w:num>
  <w:num w:numId="21">
    <w:abstractNumId w:val="12"/>
    <w:lvlOverride w:ilvl="0">
      <w:startOverride w:val="1"/>
    </w:lvlOverride>
  </w:num>
  <w:num w:numId="22">
    <w:abstractNumId w:val="27"/>
    <w:lvlOverride w:ilvl="0">
      <w:startOverride w:val="1"/>
    </w:lvlOverride>
  </w:num>
  <w:num w:numId="23">
    <w:abstractNumId w:val="25"/>
    <w:lvlOverride w:ilvl="0">
      <w:startOverride w:val="1"/>
    </w:lvlOverride>
  </w:num>
  <w:num w:numId="24">
    <w:abstractNumId w:val="7"/>
    <w:lvlOverride w:ilvl="0">
      <w:startOverride w:val="1"/>
    </w:lvlOverride>
  </w:num>
  <w:num w:numId="25">
    <w:abstractNumId w:val="20"/>
  </w:num>
  <w:num w:numId="26">
    <w:abstractNumId w:val="30"/>
  </w:num>
  <w:num w:numId="27">
    <w:abstractNumId w:val="31"/>
  </w:num>
  <w:num w:numId="28">
    <w:abstractNumId w:val="13"/>
  </w:num>
  <w:num w:numId="29">
    <w:abstractNumId w:val="9"/>
  </w:num>
  <w:num w:numId="30">
    <w:abstractNumId w:val="19"/>
  </w:num>
  <w:num w:numId="31">
    <w:abstractNumId w:val="29"/>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default="1">
    <w:name w:val="Normal"/>
    <w:qFormat/>
    <w:pPr>
      <w:jc w:val="both"/>
      <w:widowControl w:val="off"/>
    </w:pPr>
    <w:rPr>
      <w:sz w:val="21"/>
      <w:szCs w:val="22"/>
    </w:rPr>
  </w:style>
  <w:style w:type="paragraph" w:styleId="732">
    <w:name w:val="Heading 1"/>
    <w:basedOn w:val="731"/>
    <w:next w:val="731"/>
    <w:link w:val="780"/>
    <w:qFormat/>
    <w:pPr>
      <w:keepLines/>
      <w:keepNext/>
      <w:spacing w:before="480" w:after="200"/>
      <w:outlineLvl w:val="0"/>
    </w:pPr>
    <w:rPr>
      <w:rFonts w:ascii="Arial" w:hAnsi="Arial" w:eastAsia="Arial"/>
      <w:sz w:val="40"/>
      <w:szCs w:val="40"/>
      <w:lang w:eastAsia="en-US"/>
    </w:rPr>
  </w:style>
  <w:style w:type="paragraph" w:styleId="733">
    <w:name w:val="Heading 2"/>
    <w:basedOn w:val="731"/>
    <w:next w:val="731"/>
    <w:link w:val="781"/>
    <w:qFormat/>
    <w:pPr>
      <w:keepLines/>
      <w:keepNext/>
      <w:spacing w:before="360" w:after="200"/>
      <w:outlineLvl w:val="1"/>
    </w:pPr>
    <w:rPr>
      <w:rFonts w:ascii="Arial" w:hAnsi="Arial" w:eastAsia="Arial"/>
      <w:sz w:val="34"/>
      <w:szCs w:val="20"/>
      <w:lang w:eastAsia="en-US"/>
    </w:rPr>
  </w:style>
  <w:style w:type="paragraph" w:styleId="734">
    <w:name w:val="Heading 3"/>
    <w:basedOn w:val="731"/>
    <w:next w:val="731"/>
    <w:link w:val="782"/>
    <w:qFormat/>
    <w:pPr>
      <w:keepLines/>
      <w:keepNext/>
      <w:spacing w:before="320" w:after="200"/>
      <w:outlineLvl w:val="2"/>
    </w:pPr>
    <w:rPr>
      <w:rFonts w:ascii="Arial" w:hAnsi="Arial" w:eastAsia="Arial"/>
      <w:sz w:val="30"/>
      <w:szCs w:val="30"/>
      <w:lang w:eastAsia="en-US"/>
    </w:rPr>
  </w:style>
  <w:style w:type="paragraph" w:styleId="735">
    <w:name w:val="Heading 4"/>
    <w:basedOn w:val="731"/>
    <w:next w:val="731"/>
    <w:link w:val="783"/>
    <w:uiPriority w:val="9"/>
    <w:qFormat/>
    <w:pPr>
      <w:keepLines/>
      <w:keepNext/>
      <w:spacing w:before="320" w:after="200"/>
      <w:outlineLvl w:val="3"/>
    </w:pPr>
    <w:rPr>
      <w:rFonts w:ascii="Arial" w:hAnsi="Arial" w:eastAsia="Arial"/>
      <w:b/>
      <w:bCs/>
      <w:sz w:val="26"/>
      <w:szCs w:val="26"/>
      <w:lang w:eastAsia="en-US"/>
    </w:rPr>
  </w:style>
  <w:style w:type="paragraph" w:styleId="736">
    <w:name w:val="Heading 5"/>
    <w:basedOn w:val="731"/>
    <w:next w:val="731"/>
    <w:link w:val="784"/>
    <w:uiPriority w:val="9"/>
    <w:qFormat/>
    <w:pPr>
      <w:keepLines/>
      <w:keepNext/>
      <w:spacing w:before="320" w:after="200"/>
      <w:outlineLvl w:val="4"/>
    </w:pPr>
    <w:rPr>
      <w:rFonts w:ascii="Arial" w:hAnsi="Arial" w:eastAsia="Arial"/>
      <w:b/>
      <w:bCs/>
      <w:sz w:val="24"/>
      <w:szCs w:val="24"/>
      <w:lang w:eastAsia="en-US"/>
    </w:rPr>
  </w:style>
  <w:style w:type="paragraph" w:styleId="737">
    <w:name w:val="Heading 6"/>
    <w:basedOn w:val="731"/>
    <w:next w:val="731"/>
    <w:link w:val="785"/>
    <w:uiPriority w:val="9"/>
    <w:qFormat/>
    <w:pPr>
      <w:keepLines/>
      <w:keepNext/>
      <w:spacing w:before="320" w:after="200"/>
      <w:outlineLvl w:val="5"/>
    </w:pPr>
    <w:rPr>
      <w:rFonts w:ascii="Arial" w:hAnsi="Arial" w:eastAsia="Arial"/>
      <w:b/>
      <w:bCs/>
      <w:sz w:val="22"/>
      <w:lang w:eastAsia="en-US"/>
    </w:rPr>
  </w:style>
  <w:style w:type="paragraph" w:styleId="738">
    <w:name w:val="Heading 7"/>
    <w:basedOn w:val="731"/>
    <w:next w:val="731"/>
    <w:link w:val="786"/>
    <w:uiPriority w:val="9"/>
    <w:qFormat/>
    <w:pPr>
      <w:keepLines/>
      <w:keepNext/>
      <w:spacing w:before="320" w:after="200"/>
      <w:outlineLvl w:val="6"/>
    </w:pPr>
    <w:rPr>
      <w:rFonts w:ascii="Arial" w:hAnsi="Arial" w:eastAsia="Arial"/>
      <w:b/>
      <w:bCs/>
      <w:i/>
      <w:iCs/>
      <w:sz w:val="22"/>
      <w:lang w:eastAsia="en-US"/>
    </w:rPr>
  </w:style>
  <w:style w:type="paragraph" w:styleId="739">
    <w:name w:val="Heading 8"/>
    <w:basedOn w:val="731"/>
    <w:next w:val="731"/>
    <w:link w:val="787"/>
    <w:uiPriority w:val="9"/>
    <w:qFormat/>
    <w:pPr>
      <w:keepLines/>
      <w:keepNext/>
      <w:spacing w:before="320" w:after="200"/>
      <w:outlineLvl w:val="7"/>
    </w:pPr>
    <w:rPr>
      <w:rFonts w:ascii="Arial" w:hAnsi="Arial" w:eastAsia="Arial"/>
      <w:i/>
      <w:iCs/>
      <w:sz w:val="22"/>
      <w:lang w:eastAsia="en-US"/>
    </w:rPr>
  </w:style>
  <w:style w:type="paragraph" w:styleId="740">
    <w:name w:val="Heading 9"/>
    <w:basedOn w:val="731"/>
    <w:next w:val="731"/>
    <w:link w:val="788"/>
    <w:uiPriority w:val="9"/>
    <w:qFormat/>
    <w:pPr>
      <w:keepLines/>
      <w:keepNext/>
      <w:spacing w:before="320" w:after="200"/>
      <w:outlineLvl w:val="8"/>
    </w:pPr>
    <w:rPr>
      <w:rFonts w:ascii="Arial" w:hAnsi="Arial" w:eastAsia="Arial"/>
      <w:i/>
      <w:iCs/>
      <w:szCs w:val="21"/>
      <w:lang w:eastAsia="en-US"/>
    </w:rPr>
  </w:style>
  <w:style w:type="character" w:styleId="741" w:default="1">
    <w:name w:val="Default Paragraph Font"/>
    <w:uiPriority w:val="1"/>
    <w:semiHidden/>
    <w:unhideWhenUsed/>
  </w:style>
  <w:style w:type="table" w:styleId="742" w:default="1">
    <w:name w:val="Normal Table"/>
    <w:uiPriority w:val="99"/>
    <w:semiHidden/>
    <w:unhideWhenUsed/>
    <w:tblPr>
      <w:tblInd w:w="0" w:type="dxa"/>
      <w:tblCellMar>
        <w:left w:w="108" w:type="dxa"/>
        <w:top w:w="0" w:type="dxa"/>
        <w:right w:w="108" w:type="dxa"/>
        <w:bottom w:w="0" w:type="dxa"/>
      </w:tblCellMar>
    </w:tblPr>
  </w:style>
  <w:style w:type="numbering" w:styleId="743" w:default="1">
    <w:name w:val="No List"/>
    <w:uiPriority w:val="99"/>
    <w:semiHidden/>
    <w:unhideWhenUsed/>
  </w:style>
  <w:style w:type="paragraph" w:styleId="744">
    <w:name w:val="List Paragraph"/>
    <w:basedOn w:val="731"/>
    <w:uiPriority w:val="1"/>
    <w:qFormat/>
    <w:pPr>
      <w:contextualSpacing/>
      <w:ind w:left="720"/>
    </w:pPr>
  </w:style>
  <w:style w:type="paragraph" w:styleId="745">
    <w:name w:val="No Spacing"/>
    <w:uiPriority w:val="1"/>
    <w:qFormat/>
  </w:style>
  <w:style w:type="paragraph" w:styleId="746">
    <w:name w:val="Title"/>
    <w:basedOn w:val="731"/>
    <w:next w:val="731"/>
    <w:link w:val="806"/>
    <w:uiPriority w:val="10"/>
    <w:qFormat/>
    <w:pPr>
      <w:contextualSpacing/>
      <w:spacing w:before="300" w:after="200"/>
    </w:pPr>
    <w:rPr>
      <w:sz w:val="48"/>
      <w:szCs w:val="48"/>
      <w:lang w:eastAsia="en-US"/>
    </w:rPr>
  </w:style>
  <w:style w:type="paragraph" w:styleId="747">
    <w:name w:val="Subtitle"/>
    <w:basedOn w:val="731"/>
    <w:next w:val="731"/>
    <w:link w:val="803"/>
    <w:uiPriority w:val="11"/>
    <w:qFormat/>
    <w:pPr>
      <w:spacing w:before="200" w:after="200"/>
    </w:pPr>
    <w:rPr>
      <w:sz w:val="24"/>
      <w:szCs w:val="24"/>
      <w:lang w:eastAsia="en-US"/>
    </w:rPr>
  </w:style>
  <w:style w:type="paragraph" w:styleId="748">
    <w:name w:val="Quote"/>
    <w:basedOn w:val="731"/>
    <w:next w:val="731"/>
    <w:link w:val="814"/>
    <w:uiPriority w:val="29"/>
    <w:qFormat/>
    <w:pPr>
      <w:ind w:left="720" w:right="720"/>
    </w:pPr>
    <w:rPr>
      <w:i/>
      <w:sz w:val="20"/>
      <w:szCs w:val="20"/>
      <w:lang w:eastAsia="en-US"/>
    </w:rPr>
  </w:style>
  <w:style w:type="paragraph" w:styleId="749">
    <w:name w:val="Intense Quote"/>
    <w:basedOn w:val="731"/>
    <w:next w:val="731"/>
    <w:link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paragraph" w:styleId="750">
    <w:name w:val="Header"/>
    <w:basedOn w:val="731"/>
    <w:link w:val="802"/>
    <w:unhideWhenUsed/>
    <w:qFormat/>
    <w:pPr>
      <w:jc w:val="center"/>
      <w:tabs>
        <w:tab w:val="center" w:pos="4153" w:leader="none"/>
        <w:tab w:val="right" w:pos="8306" w:leader="none"/>
      </w:tabs>
    </w:pPr>
    <w:rPr>
      <w:sz w:val="18"/>
      <w:szCs w:val="18"/>
      <w:lang w:eastAsia="en-US"/>
    </w:rPr>
  </w:style>
  <w:style w:type="paragraph" w:styleId="751">
    <w:name w:val="Footer"/>
    <w:basedOn w:val="731"/>
    <w:link w:val="801"/>
    <w:qFormat/>
    <w:pPr>
      <w:jc w:val="left"/>
      <w:tabs>
        <w:tab w:val="center" w:pos="4153" w:leader="none"/>
        <w:tab w:val="right" w:pos="8306" w:leader="none"/>
      </w:tabs>
    </w:pPr>
    <w:rPr>
      <w:sz w:val="18"/>
      <w:szCs w:val="18"/>
      <w:lang w:eastAsia="en-US"/>
    </w:rPr>
  </w:style>
  <w:style w:type="paragraph" w:styleId="752">
    <w:name w:val="Caption"/>
    <w:basedOn w:val="731"/>
    <w:next w:val="731"/>
    <w:uiPriority w:val="35"/>
    <w:qFormat/>
    <w:pPr>
      <w:spacing w:line="276" w:lineRule="auto"/>
    </w:pPr>
    <w:rPr>
      <w:b/>
      <w:bCs/>
      <w:color w:val="4f81bd"/>
      <w:sz w:val="18"/>
      <w:szCs w:val="18"/>
    </w:rPr>
  </w:style>
  <w:style w:type="table" w:styleId="753">
    <w:name w:val="Table Grid"/>
    <w:uiPriority w:val="59"/>
    <w:qFormat/>
    <w:tblPr>
      <w:tblCellMar>
        <w:left w:w="0" w:type="dxa"/>
        <w:top w:w="0" w:type="dxa"/>
        <w:right w:w="0" w:type="dxa"/>
        <w:bottom w:w="0" w:type="dxa"/>
      </w:tblCellMar>
    </w:tblPr>
  </w:style>
  <w:style w:type="character" w:styleId="754">
    <w:name w:val="Hyperlink"/>
    <w:uiPriority w:val="99"/>
    <w:unhideWhenUsed/>
    <w:qFormat/>
    <w:rPr>
      <w:color w:val="0000ff"/>
      <w:u w:val="single"/>
    </w:rPr>
  </w:style>
  <w:style w:type="paragraph" w:styleId="755">
    <w:name w:val="footnote text"/>
    <w:basedOn w:val="731"/>
    <w:link w:val="804"/>
    <w:uiPriority w:val="99"/>
    <w:unhideWhenUsed/>
    <w:qFormat/>
    <w:pPr>
      <w:spacing w:after="40"/>
    </w:pPr>
    <w:rPr>
      <w:sz w:val="18"/>
      <w:szCs w:val="20"/>
      <w:lang w:eastAsia="en-US"/>
    </w:rPr>
  </w:style>
  <w:style w:type="character" w:styleId="756">
    <w:name w:val="footnote reference"/>
    <w:uiPriority w:val="99"/>
    <w:unhideWhenUsed/>
    <w:qFormat/>
    <w:rPr>
      <w:vertAlign w:val="superscript"/>
    </w:rPr>
  </w:style>
  <w:style w:type="paragraph" w:styleId="757">
    <w:name w:val="endnote text"/>
    <w:basedOn w:val="731"/>
    <w:link w:val="798"/>
    <w:uiPriority w:val="99"/>
    <w:unhideWhenUsed/>
    <w:qFormat/>
    <w:rPr>
      <w:sz w:val="20"/>
      <w:szCs w:val="20"/>
      <w:lang w:eastAsia="en-US"/>
    </w:rPr>
  </w:style>
  <w:style w:type="character" w:styleId="758">
    <w:name w:val="endnote reference"/>
    <w:uiPriority w:val="99"/>
    <w:unhideWhenUsed/>
    <w:qFormat/>
    <w:rPr>
      <w:vertAlign w:val="superscript"/>
    </w:rPr>
  </w:style>
  <w:style w:type="paragraph" w:styleId="759">
    <w:name w:val="toc 1"/>
    <w:basedOn w:val="731"/>
    <w:next w:val="731"/>
    <w:unhideWhenUsed/>
    <w:qFormat/>
    <w:pPr>
      <w:spacing w:after="57"/>
    </w:pPr>
  </w:style>
  <w:style w:type="paragraph" w:styleId="760">
    <w:name w:val="toc 2"/>
    <w:basedOn w:val="731"/>
    <w:next w:val="731"/>
    <w:uiPriority w:val="39"/>
    <w:unhideWhenUsed/>
    <w:pPr>
      <w:ind w:left="283"/>
      <w:spacing w:after="57"/>
    </w:pPr>
  </w:style>
  <w:style w:type="paragraph" w:styleId="761">
    <w:name w:val="toc 3"/>
    <w:basedOn w:val="731"/>
    <w:next w:val="731"/>
    <w:uiPriority w:val="39"/>
    <w:unhideWhenUsed/>
    <w:pPr>
      <w:ind w:left="567"/>
      <w:spacing w:after="57"/>
    </w:pPr>
  </w:style>
  <w:style w:type="paragraph" w:styleId="762">
    <w:name w:val="toc 4"/>
    <w:basedOn w:val="731"/>
    <w:next w:val="731"/>
    <w:uiPriority w:val="39"/>
    <w:unhideWhenUsed/>
    <w:pPr>
      <w:ind w:left="850"/>
      <w:spacing w:after="57"/>
    </w:pPr>
  </w:style>
  <w:style w:type="paragraph" w:styleId="763">
    <w:name w:val="toc 5"/>
    <w:basedOn w:val="731"/>
    <w:next w:val="731"/>
    <w:uiPriority w:val="39"/>
    <w:unhideWhenUsed/>
    <w:pPr>
      <w:ind w:left="1134"/>
      <w:spacing w:after="57"/>
    </w:pPr>
  </w:style>
  <w:style w:type="paragraph" w:styleId="764">
    <w:name w:val="toc 6"/>
    <w:basedOn w:val="731"/>
    <w:next w:val="731"/>
    <w:uiPriority w:val="39"/>
    <w:unhideWhenUsed/>
    <w:pPr>
      <w:ind w:left="1417"/>
      <w:spacing w:after="57"/>
    </w:pPr>
  </w:style>
  <w:style w:type="paragraph" w:styleId="765">
    <w:name w:val="toc 7"/>
    <w:basedOn w:val="731"/>
    <w:next w:val="731"/>
    <w:uiPriority w:val="39"/>
    <w:unhideWhenUsed/>
    <w:pPr>
      <w:ind w:left="1701"/>
      <w:spacing w:after="57"/>
    </w:pPr>
  </w:style>
  <w:style w:type="paragraph" w:styleId="766">
    <w:name w:val="toc 8"/>
    <w:basedOn w:val="731"/>
    <w:next w:val="731"/>
    <w:uiPriority w:val="39"/>
    <w:unhideWhenUsed/>
    <w:pPr>
      <w:ind w:left="1984"/>
      <w:spacing w:after="57"/>
    </w:pPr>
  </w:style>
  <w:style w:type="paragraph" w:styleId="767">
    <w:name w:val="toc 9"/>
    <w:basedOn w:val="731"/>
    <w:next w:val="731"/>
    <w:uiPriority w:val="39"/>
    <w:unhideWhenUsed/>
    <w:pPr>
      <w:ind w:left="2268"/>
      <w:spacing w:after="57"/>
    </w:pPr>
  </w:style>
  <w:style w:type="paragraph" w:styleId="768">
    <w:name w:val="TOC Heading"/>
    <w:uiPriority w:val="39"/>
    <w:qFormat/>
  </w:style>
  <w:style w:type="paragraph" w:styleId="769">
    <w:name w:val="table of figures"/>
    <w:basedOn w:val="731"/>
    <w:next w:val="731"/>
    <w:uiPriority w:val="99"/>
    <w:unhideWhenUsed/>
    <w:qFormat/>
  </w:style>
  <w:style w:type="paragraph" w:styleId="770" w:customStyle="1">
    <w:name w:val="列出段落"/>
    <w:basedOn w:val="731"/>
    <w:uiPriority w:val="34"/>
    <w:qFormat/>
    <w:pPr>
      <w:ind w:firstLine="420"/>
      <w:jc w:val="left"/>
      <w:widowControl/>
    </w:pPr>
    <w:rPr>
      <w:rFonts w:ascii="宋体" w:hAnsi="宋体"/>
      <w:sz w:val="24"/>
      <w:szCs w:val="24"/>
    </w:rPr>
  </w:style>
  <w:style w:type="paragraph" w:styleId="771" w:customStyle="1">
    <w:name w:val="目录 1"/>
    <w:basedOn w:val="731"/>
    <w:next w:val="731"/>
    <w:qFormat/>
    <w:pPr>
      <w:jc w:val="left"/>
    </w:pPr>
    <w:rPr>
      <w:rFonts w:ascii="宋体" w:hAnsi="宋体" w:eastAsia="楷体_GB2312"/>
      <w:sz w:val="24"/>
      <w:szCs w:val="21"/>
    </w:rPr>
  </w:style>
  <w:style w:type="paragraph" w:styleId="772" w:customStyle="1">
    <w:name w:val="目录 2"/>
    <w:basedOn w:val="731"/>
    <w:next w:val="731"/>
    <w:uiPriority w:val="39"/>
    <w:unhideWhenUsed/>
    <w:qFormat/>
    <w:pPr>
      <w:ind w:left="283"/>
      <w:spacing w:after="57"/>
    </w:pPr>
  </w:style>
  <w:style w:type="paragraph" w:styleId="773" w:customStyle="1">
    <w:name w:val="目录 3"/>
    <w:basedOn w:val="731"/>
    <w:next w:val="731"/>
    <w:uiPriority w:val="39"/>
    <w:unhideWhenUsed/>
    <w:qFormat/>
    <w:pPr>
      <w:ind w:left="567"/>
      <w:spacing w:after="57"/>
    </w:pPr>
  </w:style>
  <w:style w:type="paragraph" w:styleId="774" w:customStyle="1">
    <w:name w:val="目录 4"/>
    <w:basedOn w:val="731"/>
    <w:next w:val="731"/>
    <w:uiPriority w:val="39"/>
    <w:unhideWhenUsed/>
    <w:qFormat/>
    <w:pPr>
      <w:ind w:left="850"/>
      <w:spacing w:after="57"/>
    </w:pPr>
  </w:style>
  <w:style w:type="paragraph" w:styleId="775" w:customStyle="1">
    <w:name w:val="目录 5"/>
    <w:basedOn w:val="731"/>
    <w:next w:val="731"/>
    <w:uiPriority w:val="39"/>
    <w:unhideWhenUsed/>
    <w:qFormat/>
    <w:pPr>
      <w:ind w:left="1134"/>
      <w:spacing w:after="57"/>
    </w:pPr>
  </w:style>
  <w:style w:type="paragraph" w:styleId="776" w:customStyle="1">
    <w:name w:val="目录 6"/>
    <w:basedOn w:val="731"/>
    <w:next w:val="731"/>
    <w:uiPriority w:val="39"/>
    <w:unhideWhenUsed/>
    <w:qFormat/>
    <w:pPr>
      <w:ind w:left="1417"/>
      <w:spacing w:after="57"/>
    </w:pPr>
  </w:style>
  <w:style w:type="paragraph" w:styleId="777" w:customStyle="1">
    <w:name w:val="目录 7"/>
    <w:basedOn w:val="731"/>
    <w:next w:val="731"/>
    <w:unhideWhenUsed/>
    <w:qFormat/>
    <w:pPr>
      <w:ind w:left="1701"/>
      <w:spacing w:after="57"/>
    </w:pPr>
  </w:style>
  <w:style w:type="paragraph" w:styleId="778" w:customStyle="1">
    <w:name w:val="目录 8"/>
    <w:basedOn w:val="731"/>
    <w:next w:val="731"/>
    <w:uiPriority w:val="39"/>
    <w:unhideWhenUsed/>
    <w:qFormat/>
    <w:pPr>
      <w:ind w:left="1984"/>
      <w:spacing w:after="57"/>
    </w:pPr>
  </w:style>
  <w:style w:type="paragraph" w:styleId="779" w:customStyle="1">
    <w:name w:val="目录 9"/>
    <w:basedOn w:val="731"/>
    <w:next w:val="731"/>
    <w:uiPriority w:val="39"/>
    <w:unhideWhenUsed/>
    <w:qFormat/>
    <w:pPr>
      <w:ind w:left="2268"/>
      <w:spacing w:after="57"/>
    </w:pPr>
  </w:style>
  <w:style w:type="character" w:styleId="780" w:customStyle="1">
    <w:name w:val="标题 1 字符"/>
    <w:link w:val="732"/>
    <w:uiPriority w:val="9"/>
    <w:qFormat/>
    <w:rPr>
      <w:rFonts w:ascii="Arial" w:hAnsi="Arial" w:eastAsia="Arial" w:cs="Arial"/>
      <w:sz w:val="40"/>
      <w:szCs w:val="40"/>
    </w:rPr>
  </w:style>
  <w:style w:type="character" w:styleId="781" w:customStyle="1">
    <w:name w:val="标题 2 字符"/>
    <w:link w:val="733"/>
    <w:qFormat/>
    <w:rPr>
      <w:rFonts w:ascii="Arial" w:hAnsi="Arial" w:eastAsia="Arial" w:cs="Arial"/>
      <w:sz w:val="34"/>
    </w:rPr>
  </w:style>
  <w:style w:type="character" w:styleId="782" w:customStyle="1">
    <w:name w:val="标题 3 字符"/>
    <w:link w:val="734"/>
    <w:qFormat/>
    <w:rPr>
      <w:rFonts w:ascii="Arial" w:hAnsi="Arial" w:eastAsia="Arial" w:cs="Arial"/>
      <w:sz w:val="30"/>
      <w:szCs w:val="30"/>
    </w:rPr>
  </w:style>
  <w:style w:type="character" w:styleId="783" w:customStyle="1">
    <w:name w:val="标题 4 字符"/>
    <w:link w:val="735"/>
    <w:uiPriority w:val="9"/>
    <w:qFormat/>
    <w:rPr>
      <w:rFonts w:ascii="Arial" w:hAnsi="Arial" w:eastAsia="Arial" w:cs="Arial"/>
      <w:b/>
      <w:bCs/>
      <w:sz w:val="26"/>
      <w:szCs w:val="26"/>
    </w:rPr>
  </w:style>
  <w:style w:type="character" w:styleId="784" w:customStyle="1">
    <w:name w:val="标题 5 字符"/>
    <w:link w:val="736"/>
    <w:uiPriority w:val="9"/>
    <w:qFormat/>
    <w:rPr>
      <w:rFonts w:ascii="Arial" w:hAnsi="Arial" w:eastAsia="Arial" w:cs="Arial"/>
      <w:b/>
      <w:bCs/>
      <w:sz w:val="24"/>
      <w:szCs w:val="24"/>
    </w:rPr>
  </w:style>
  <w:style w:type="character" w:styleId="785" w:customStyle="1">
    <w:name w:val="标题 6 字符"/>
    <w:link w:val="737"/>
    <w:uiPriority w:val="9"/>
    <w:qFormat/>
    <w:rPr>
      <w:rFonts w:ascii="Arial" w:hAnsi="Arial" w:eastAsia="Arial" w:cs="Arial"/>
      <w:b/>
      <w:bCs/>
      <w:sz w:val="22"/>
      <w:szCs w:val="22"/>
    </w:rPr>
  </w:style>
  <w:style w:type="character" w:styleId="786" w:customStyle="1">
    <w:name w:val="标题 7 字符"/>
    <w:link w:val="738"/>
    <w:uiPriority w:val="9"/>
    <w:qFormat/>
    <w:rPr>
      <w:rFonts w:ascii="Arial" w:hAnsi="Arial" w:eastAsia="Arial" w:cs="Arial"/>
      <w:b/>
      <w:bCs/>
      <w:i/>
      <w:iCs/>
      <w:sz w:val="22"/>
      <w:szCs w:val="22"/>
    </w:rPr>
  </w:style>
  <w:style w:type="character" w:styleId="787" w:customStyle="1">
    <w:name w:val="标题 8 字符"/>
    <w:link w:val="739"/>
    <w:uiPriority w:val="9"/>
    <w:qFormat/>
    <w:rPr>
      <w:rFonts w:ascii="Arial" w:hAnsi="Arial" w:eastAsia="Arial" w:cs="Arial"/>
      <w:i/>
      <w:iCs/>
      <w:sz w:val="22"/>
      <w:szCs w:val="22"/>
    </w:rPr>
  </w:style>
  <w:style w:type="character" w:styleId="788" w:customStyle="1">
    <w:name w:val="标题 9 字符"/>
    <w:link w:val="740"/>
    <w:uiPriority w:val="9"/>
    <w:qFormat/>
    <w:rPr>
      <w:rFonts w:ascii="Arial" w:hAnsi="Arial" w:eastAsia="Arial" w:cs="Arial"/>
      <w:i/>
      <w:iCs/>
      <w:sz w:val="21"/>
      <w:szCs w:val="21"/>
    </w:rPr>
  </w:style>
  <w:style w:type="paragraph" w:styleId="789">
    <w:name w:val="Normal Indent"/>
    <w:basedOn w:val="731"/>
    <w:link w:val="790"/>
    <w:unhideWhenUsed/>
    <w:qFormat/>
    <w:pPr>
      <w:ind w:firstLine="420"/>
    </w:pPr>
    <w:rPr>
      <w:lang w:eastAsia="en-US"/>
    </w:rPr>
  </w:style>
  <w:style w:type="character" w:styleId="790" w:customStyle="1">
    <w:name w:val="正文缩进 字符"/>
    <w:link w:val="789"/>
    <w:qFormat/>
    <w:rPr>
      <w:sz w:val="21"/>
      <w:szCs w:val="22"/>
    </w:rPr>
  </w:style>
  <w:style w:type="paragraph" w:styleId="791">
    <w:name w:val="annotation text"/>
    <w:basedOn w:val="731"/>
    <w:link w:val="792"/>
    <w:unhideWhenUsed/>
    <w:qFormat/>
    <w:pPr>
      <w:jc w:val="left"/>
    </w:pPr>
    <w:rPr>
      <w:lang w:eastAsia="en-US"/>
    </w:rPr>
  </w:style>
  <w:style w:type="character" w:styleId="792" w:customStyle="1">
    <w:name w:val="批注文字 字符"/>
    <w:link w:val="791"/>
    <w:qFormat/>
    <w:rPr>
      <w:sz w:val="21"/>
      <w:szCs w:val="22"/>
    </w:rPr>
  </w:style>
  <w:style w:type="paragraph" w:styleId="793">
    <w:name w:val="Body Text"/>
    <w:basedOn w:val="731"/>
    <w:next w:val="789"/>
    <w:link w:val="794"/>
    <w:unhideWhenUsed/>
    <w:qFormat/>
    <w:pPr>
      <w:spacing w:after="120"/>
    </w:pPr>
    <w:rPr>
      <w:rFonts w:ascii="Times New Roman" w:hAnsi="Times New Roman"/>
      <w:szCs w:val="24"/>
      <w:lang w:eastAsia="en-US"/>
    </w:rPr>
  </w:style>
  <w:style w:type="character" w:styleId="794" w:customStyle="1">
    <w:name w:val="正文文本 字符"/>
    <w:link w:val="793"/>
    <w:qFormat/>
    <w:rPr>
      <w:rFonts w:ascii="Times New Roman" w:hAnsi="Times New Roman"/>
      <w:sz w:val="21"/>
      <w:szCs w:val="24"/>
    </w:rPr>
  </w:style>
  <w:style w:type="paragraph" w:styleId="795">
    <w:name w:val="Block Text"/>
    <w:basedOn w:val="731"/>
    <w:qFormat/>
    <w:pPr>
      <w:ind w:left="630" w:right="-609" w:firstLine="420"/>
      <w:spacing w:line="360" w:lineRule="auto"/>
    </w:pPr>
    <w:rPr>
      <w:rFonts w:hint="eastAsia" w:ascii="仿宋_GB2312" w:hAnsi="Times New Roman" w:eastAsia="仿宋_GB2312"/>
      <w:szCs w:val="20"/>
    </w:rPr>
  </w:style>
  <w:style w:type="paragraph" w:styleId="796">
    <w:name w:val="Plain Text"/>
    <w:basedOn w:val="731"/>
    <w:link w:val="797"/>
    <w:qFormat/>
    <w:rPr>
      <w:rFonts w:ascii="宋体" w:hAnsi="Courier New"/>
      <w:szCs w:val="24"/>
    </w:rPr>
  </w:style>
  <w:style w:type="character" w:styleId="797" w:customStyle="1">
    <w:name w:val="纯文本 字符1"/>
    <w:link w:val="796"/>
    <w:qFormat/>
    <w:rPr>
      <w:rFonts w:ascii="宋体" w:hAnsi="Courier New" w:eastAsia="楷体_GB2312"/>
      <w:sz w:val="26"/>
      <w:szCs w:val="24"/>
    </w:rPr>
  </w:style>
  <w:style w:type="character" w:styleId="798" w:customStyle="1">
    <w:name w:val="尾注文本 字符"/>
    <w:link w:val="757"/>
    <w:uiPriority w:val="99"/>
    <w:qFormat/>
    <w:rPr>
      <w:sz w:val="20"/>
    </w:rPr>
  </w:style>
  <w:style w:type="paragraph" w:styleId="799">
    <w:name w:val="Balloon Text"/>
    <w:basedOn w:val="731"/>
    <w:link w:val="800"/>
    <w:unhideWhenUsed/>
    <w:qFormat/>
    <w:rPr>
      <w:sz w:val="18"/>
      <w:szCs w:val="18"/>
      <w:lang w:eastAsia="en-US"/>
    </w:rPr>
  </w:style>
  <w:style w:type="character" w:styleId="800" w:customStyle="1">
    <w:name w:val="批注框文本 字符1"/>
    <w:link w:val="799"/>
    <w:uiPriority w:val="99"/>
    <w:semiHidden/>
    <w:qFormat/>
    <w:rPr>
      <w:sz w:val="18"/>
      <w:szCs w:val="18"/>
    </w:rPr>
  </w:style>
  <w:style w:type="character" w:styleId="801" w:customStyle="1">
    <w:name w:val="页脚 字符1"/>
    <w:link w:val="751"/>
    <w:uiPriority w:val="99"/>
    <w:qFormat/>
    <w:rPr>
      <w:rFonts w:ascii="Calibri" w:hAnsi="Calibri" w:eastAsia="宋体" w:cs="Times New Roman"/>
      <w:sz w:val="18"/>
      <w:szCs w:val="18"/>
    </w:rPr>
  </w:style>
  <w:style w:type="character" w:styleId="802" w:customStyle="1">
    <w:name w:val="页眉 字符1"/>
    <w:link w:val="750"/>
    <w:uiPriority w:val="99"/>
    <w:qFormat/>
    <w:rPr>
      <w:sz w:val="18"/>
      <w:szCs w:val="18"/>
    </w:rPr>
  </w:style>
  <w:style w:type="character" w:styleId="803" w:customStyle="1">
    <w:name w:val="副标题 字符"/>
    <w:link w:val="747"/>
    <w:uiPriority w:val="11"/>
    <w:qFormat/>
    <w:rPr>
      <w:sz w:val="24"/>
      <w:szCs w:val="24"/>
    </w:rPr>
  </w:style>
  <w:style w:type="character" w:styleId="804" w:customStyle="1">
    <w:name w:val="脚注文本 字符"/>
    <w:link w:val="755"/>
    <w:uiPriority w:val="99"/>
    <w:qFormat/>
    <w:rPr>
      <w:sz w:val="18"/>
    </w:rPr>
  </w:style>
  <w:style w:type="paragraph" w:styleId="805">
    <w:name w:val="Normal (Web)"/>
    <w:basedOn w:val="731"/>
    <w:qFormat/>
    <w:pPr>
      <w:jc w:val="left"/>
      <w:spacing w:beforeAutospacing="1" w:afterAutospacing="1"/>
    </w:pPr>
    <w:rPr>
      <w:sz w:val="24"/>
      <w:szCs w:val="24"/>
    </w:rPr>
  </w:style>
  <w:style w:type="character" w:styleId="806" w:customStyle="1">
    <w:name w:val="标题 字符"/>
    <w:link w:val="746"/>
    <w:uiPriority w:val="10"/>
    <w:qFormat/>
    <w:rPr>
      <w:sz w:val="48"/>
      <w:szCs w:val="48"/>
    </w:rPr>
  </w:style>
  <w:style w:type="paragraph" w:styleId="807">
    <w:name w:val="annotation subject"/>
    <w:basedOn w:val="791"/>
    <w:next w:val="791"/>
    <w:link w:val="808"/>
    <w:unhideWhenUsed/>
    <w:qFormat/>
    <w:rPr>
      <w:b/>
      <w:bCs/>
    </w:rPr>
  </w:style>
  <w:style w:type="character" w:styleId="808" w:customStyle="1">
    <w:name w:val="批注主题 字符"/>
    <w:link w:val="807"/>
    <w:qFormat/>
    <w:rPr>
      <w:b/>
      <w:bCs/>
      <w:sz w:val="21"/>
      <w:szCs w:val="22"/>
    </w:rPr>
  </w:style>
  <w:style w:type="paragraph" w:styleId="809" w:customStyle="1">
    <w:name w:val="正文首行缩进 2"/>
    <w:link w:val="1021"/>
    <w:unhideWhenUsed/>
    <w:qFormat/>
    <w:pPr>
      <w:ind w:left="420" w:firstLine="420"/>
      <w:jc w:val="both"/>
      <w:spacing w:after="120"/>
      <w:widowControl w:val="off"/>
    </w:pPr>
    <w:rPr>
      <w:sz w:val="21"/>
    </w:rPr>
  </w:style>
  <w:style w:type="character" w:styleId="810">
    <w:name w:val="Strong"/>
    <w:qFormat/>
    <w:rPr>
      <w:b/>
    </w:rPr>
  </w:style>
  <w:style w:type="character" w:styleId="811">
    <w:name w:val="page number"/>
    <w:unhideWhenUsed/>
    <w:qFormat/>
  </w:style>
  <w:style w:type="character" w:styleId="812">
    <w:name w:val="Emphasis"/>
    <w:uiPriority w:val="20"/>
    <w:qFormat/>
    <w:rPr>
      <w:i/>
      <w:iCs/>
    </w:rPr>
  </w:style>
  <w:style w:type="character" w:styleId="813">
    <w:name w:val="annotation reference"/>
    <w:unhideWhenUsed/>
    <w:qFormat/>
    <w:rPr>
      <w:sz w:val="21"/>
      <w:szCs w:val="21"/>
    </w:rPr>
  </w:style>
  <w:style w:type="character" w:styleId="814" w:customStyle="1">
    <w:name w:val="引用 字符"/>
    <w:link w:val="748"/>
    <w:uiPriority w:val="29"/>
    <w:qFormat/>
    <w:rPr>
      <w:i/>
    </w:rPr>
  </w:style>
  <w:style w:type="character" w:styleId="815" w:customStyle="1">
    <w:name w:val="明显引用 字符"/>
    <w:link w:val="749"/>
    <w:uiPriority w:val="30"/>
    <w:qFormat/>
    <w:rPr>
      <w:i/>
    </w:rPr>
  </w:style>
  <w:style w:type="paragraph" w:styleId="816" w:customStyle="1">
    <w:name w:val="正文1"/>
    <w:basedOn w:val="731"/>
    <w:next w:val="731"/>
    <w:qFormat/>
    <w:pPr>
      <w:numPr>
        <w:numId w:val="1"/>
      </w:numPr>
      <w:spacing w:line="500" w:lineRule="exact"/>
      <w:tabs>
        <w:tab w:val="left" w:pos="360" w:leader="none"/>
      </w:tabs>
    </w:pPr>
    <w:rPr>
      <w:rFonts w:ascii="黑体" w:hAnsi="宋体"/>
    </w:rPr>
  </w:style>
  <w:style w:type="character" w:styleId="817" w:customStyle="1">
    <w:name w:val="Heading 1 Char"/>
    <w:uiPriority w:val="9"/>
    <w:rPr>
      <w:rFonts w:ascii="Arial" w:hAnsi="Arial" w:eastAsia="Arial" w:cs="Arial"/>
      <w:sz w:val="40"/>
      <w:szCs w:val="40"/>
    </w:rPr>
  </w:style>
  <w:style w:type="character" w:styleId="818" w:customStyle="1">
    <w:name w:val="Heading 2 Char"/>
    <w:uiPriority w:val="9"/>
    <w:rPr>
      <w:rFonts w:ascii="Arial" w:hAnsi="Arial" w:eastAsia="Arial" w:cs="Arial"/>
      <w:sz w:val="34"/>
    </w:rPr>
  </w:style>
  <w:style w:type="character" w:styleId="819" w:customStyle="1">
    <w:name w:val="Heading 3 Char"/>
    <w:uiPriority w:val="9"/>
    <w:rPr>
      <w:rFonts w:ascii="Arial" w:hAnsi="Arial" w:eastAsia="Arial" w:cs="Arial"/>
      <w:sz w:val="30"/>
      <w:szCs w:val="30"/>
    </w:rPr>
  </w:style>
  <w:style w:type="character" w:styleId="820" w:customStyle="1">
    <w:name w:val="Heading 4 Char"/>
    <w:uiPriority w:val="9"/>
    <w:rPr>
      <w:rFonts w:ascii="Arial" w:hAnsi="Arial" w:eastAsia="Arial" w:cs="Arial"/>
      <w:b/>
      <w:bCs/>
      <w:sz w:val="26"/>
      <w:szCs w:val="26"/>
    </w:rPr>
  </w:style>
  <w:style w:type="character" w:styleId="821" w:customStyle="1">
    <w:name w:val="Heading 5 Char"/>
    <w:uiPriority w:val="9"/>
    <w:rPr>
      <w:rFonts w:ascii="Arial" w:hAnsi="Arial" w:eastAsia="Arial" w:cs="Arial"/>
      <w:b/>
      <w:bCs/>
      <w:sz w:val="24"/>
      <w:szCs w:val="24"/>
    </w:rPr>
  </w:style>
  <w:style w:type="character" w:styleId="822" w:customStyle="1">
    <w:name w:val="Heading 6 Char"/>
    <w:uiPriority w:val="9"/>
    <w:rPr>
      <w:rFonts w:ascii="Arial" w:hAnsi="Arial" w:eastAsia="Arial" w:cs="Arial"/>
      <w:b/>
      <w:bCs/>
      <w:sz w:val="22"/>
      <w:szCs w:val="22"/>
    </w:rPr>
  </w:style>
  <w:style w:type="character" w:styleId="823" w:customStyle="1">
    <w:name w:val="Heading 7 Char"/>
    <w:uiPriority w:val="9"/>
    <w:rPr>
      <w:rFonts w:ascii="Arial" w:hAnsi="Arial" w:eastAsia="Arial" w:cs="Arial"/>
      <w:b/>
      <w:bCs/>
      <w:i/>
      <w:iCs/>
      <w:sz w:val="22"/>
      <w:szCs w:val="22"/>
    </w:rPr>
  </w:style>
  <w:style w:type="character" w:styleId="824" w:customStyle="1">
    <w:name w:val="Heading 8 Char"/>
    <w:uiPriority w:val="9"/>
    <w:rPr>
      <w:rFonts w:ascii="Arial" w:hAnsi="Arial" w:eastAsia="Arial" w:cs="Arial"/>
      <w:i/>
      <w:iCs/>
      <w:sz w:val="22"/>
      <w:szCs w:val="22"/>
    </w:rPr>
  </w:style>
  <w:style w:type="character" w:styleId="825" w:customStyle="1">
    <w:name w:val="Heading 9 Char"/>
    <w:uiPriority w:val="9"/>
    <w:rPr>
      <w:rFonts w:ascii="Arial" w:hAnsi="Arial" w:eastAsia="Arial" w:cs="Arial"/>
      <w:i/>
      <w:iCs/>
      <w:sz w:val="21"/>
      <w:szCs w:val="21"/>
    </w:rPr>
  </w:style>
  <w:style w:type="character" w:styleId="826" w:customStyle="1">
    <w:name w:val="Title Char"/>
    <w:uiPriority w:val="10"/>
    <w:rPr>
      <w:sz w:val="48"/>
      <w:szCs w:val="48"/>
    </w:rPr>
  </w:style>
  <w:style w:type="character" w:styleId="827" w:customStyle="1">
    <w:name w:val="Subtitle Char"/>
    <w:uiPriority w:val="11"/>
    <w:rPr>
      <w:sz w:val="24"/>
      <w:szCs w:val="24"/>
    </w:rPr>
  </w:style>
  <w:style w:type="character" w:styleId="828" w:customStyle="1">
    <w:name w:val="Quote Char"/>
    <w:uiPriority w:val="29"/>
    <w:rPr>
      <w:i/>
    </w:rPr>
  </w:style>
  <w:style w:type="character" w:styleId="829" w:customStyle="1">
    <w:name w:val="Intense Quote Char"/>
    <w:uiPriority w:val="30"/>
    <w:rPr>
      <w:i/>
    </w:rPr>
  </w:style>
  <w:style w:type="table" w:styleId="830">
    <w:name w:val="Plain Table 1"/>
    <w:basedOn w:val="742"/>
    <w:uiPriority w:val="59"/>
    <w:tblPr/>
  </w:style>
  <w:style w:type="table" w:styleId="831">
    <w:name w:val="Plain Table 2"/>
    <w:basedOn w:val="742"/>
    <w:uiPriority w:val="59"/>
    <w:tblPr/>
  </w:style>
  <w:style w:type="table" w:styleId="832">
    <w:name w:val="Plain Table 3"/>
    <w:basedOn w:val="742"/>
    <w:uiPriority w:val="99"/>
    <w:tblPr/>
  </w:style>
  <w:style w:type="table" w:styleId="833">
    <w:name w:val="Plain Table 4"/>
    <w:basedOn w:val="742"/>
    <w:uiPriority w:val="99"/>
    <w:tblPr/>
  </w:style>
  <w:style w:type="table" w:styleId="834">
    <w:name w:val="Plain Table 5"/>
    <w:basedOn w:val="742"/>
    <w:uiPriority w:val="99"/>
    <w:tblPr/>
  </w:style>
  <w:style w:type="table" w:styleId="835">
    <w:name w:val="Grid Table 1 Light"/>
    <w:basedOn w:val="742"/>
    <w:uiPriority w:val="99"/>
    <w:tblPr/>
  </w:style>
  <w:style w:type="table" w:styleId="836">
    <w:name w:val="Grid Table 2"/>
    <w:basedOn w:val="742"/>
    <w:uiPriority w:val="99"/>
    <w:tblPr/>
  </w:style>
  <w:style w:type="table" w:styleId="837">
    <w:name w:val="Grid Table 3"/>
    <w:basedOn w:val="742"/>
    <w:uiPriority w:val="99"/>
    <w:tblPr/>
  </w:style>
  <w:style w:type="table" w:styleId="838">
    <w:name w:val="Grid Table 4"/>
    <w:basedOn w:val="742"/>
    <w:uiPriority w:val="59"/>
    <w:tblPr/>
  </w:style>
  <w:style w:type="table" w:styleId="839">
    <w:name w:val="Grid Table 5 Dark"/>
    <w:basedOn w:val="742"/>
    <w:uiPriority w:val="99"/>
    <w:tblPr/>
  </w:style>
  <w:style w:type="table" w:styleId="840">
    <w:name w:val="Grid Table 6 Colorful"/>
    <w:basedOn w:val="742"/>
    <w:uiPriority w:val="99"/>
    <w:tblPr/>
  </w:style>
  <w:style w:type="table" w:styleId="841">
    <w:name w:val="Grid Table 7 Colorful"/>
    <w:basedOn w:val="742"/>
    <w:uiPriority w:val="99"/>
    <w:tblPr/>
  </w:style>
  <w:style w:type="table" w:styleId="842">
    <w:name w:val="List Table 1 Light"/>
    <w:basedOn w:val="742"/>
    <w:uiPriority w:val="99"/>
    <w:tblPr/>
  </w:style>
  <w:style w:type="table" w:styleId="843">
    <w:name w:val="List Table 2"/>
    <w:basedOn w:val="742"/>
    <w:uiPriority w:val="99"/>
    <w:tblPr/>
  </w:style>
  <w:style w:type="table" w:styleId="844">
    <w:name w:val="List Table 3"/>
    <w:basedOn w:val="742"/>
    <w:uiPriority w:val="99"/>
    <w:tblPr/>
  </w:style>
  <w:style w:type="table" w:styleId="845">
    <w:name w:val="List Table 4"/>
    <w:basedOn w:val="742"/>
    <w:uiPriority w:val="99"/>
    <w:tblPr/>
  </w:style>
  <w:style w:type="table" w:styleId="846">
    <w:name w:val="List Table 5 Dark"/>
    <w:basedOn w:val="742"/>
    <w:uiPriority w:val="99"/>
    <w:tblPr/>
  </w:style>
  <w:style w:type="table" w:styleId="847">
    <w:name w:val="List Table 6 Colorful"/>
    <w:basedOn w:val="742"/>
    <w:uiPriority w:val="99"/>
    <w:tblPr/>
  </w:style>
  <w:style w:type="table" w:styleId="848">
    <w:name w:val="List Table 7 Colorful"/>
    <w:basedOn w:val="742"/>
    <w:uiPriority w:val="99"/>
    <w:tblPr/>
  </w:style>
  <w:style w:type="character" w:styleId="849" w:customStyle="1">
    <w:name w:val="Footnote Text Char"/>
    <w:uiPriority w:val="99"/>
    <w:rPr>
      <w:sz w:val="18"/>
    </w:rPr>
  </w:style>
  <w:style w:type="character" w:styleId="850" w:customStyle="1">
    <w:name w:val="Endnote Text Char"/>
    <w:uiPriority w:val="99"/>
    <w:rPr>
      <w:sz w:val="20"/>
    </w:rPr>
  </w:style>
  <w:style w:type="character" w:styleId="851" w:customStyle="1">
    <w:name w:val="Header Char"/>
    <w:uiPriority w:val="99"/>
    <w:qFormat/>
  </w:style>
  <w:style w:type="character" w:styleId="852" w:customStyle="1">
    <w:name w:val="Footer Char"/>
    <w:uiPriority w:val="99"/>
    <w:qFormat/>
  </w:style>
  <w:style w:type="character" w:styleId="853" w:customStyle="1">
    <w:name w:val="Caption Char"/>
    <w:uiPriority w:val="99"/>
    <w:qFormat/>
  </w:style>
  <w:style w:type="table" w:styleId="854" w:customStyle="1">
    <w:name w:val="Table Grid Light"/>
    <w:uiPriority w:val="59"/>
    <w:qFormat/>
    <w:tblPr>
      <w:tblCellMar>
        <w:left w:w="0" w:type="dxa"/>
        <w:top w:w="0" w:type="dxa"/>
        <w:right w:w="0" w:type="dxa"/>
        <w:bottom w:w="0" w:type="dxa"/>
      </w:tblCellMar>
    </w:tblPr>
  </w:style>
  <w:style w:type="table" w:styleId="855" w:customStyle="1">
    <w:name w:val="无格式表格 11"/>
    <w:uiPriority w:val="59"/>
    <w:qFormat/>
    <w:tblPr>
      <w:tblCellMar>
        <w:left w:w="0" w:type="dxa"/>
        <w:top w:w="0" w:type="dxa"/>
        <w:right w:w="0" w:type="dxa"/>
        <w:bottom w:w="0" w:type="dxa"/>
      </w:tblCellMar>
    </w:tblPr>
  </w:style>
  <w:style w:type="table" w:styleId="856" w:customStyle="1">
    <w:name w:val="无格式表格 21"/>
    <w:uiPriority w:val="59"/>
    <w:qFormat/>
    <w:tblPr>
      <w:tblCellMar>
        <w:left w:w="0" w:type="dxa"/>
        <w:top w:w="0" w:type="dxa"/>
        <w:right w:w="0" w:type="dxa"/>
        <w:bottom w:w="0" w:type="dxa"/>
      </w:tblCellMar>
    </w:tblPr>
  </w:style>
  <w:style w:type="table" w:styleId="857" w:customStyle="1">
    <w:name w:val="无格式表格 31"/>
    <w:uiPriority w:val="99"/>
    <w:qFormat/>
    <w:tblPr>
      <w:tblCellMar>
        <w:left w:w="0" w:type="dxa"/>
        <w:top w:w="0" w:type="dxa"/>
        <w:right w:w="0" w:type="dxa"/>
        <w:bottom w:w="0" w:type="dxa"/>
      </w:tblCellMar>
    </w:tblPr>
  </w:style>
  <w:style w:type="table" w:styleId="858" w:customStyle="1">
    <w:name w:val="无格式表格 41"/>
    <w:uiPriority w:val="99"/>
    <w:qFormat/>
    <w:tblPr>
      <w:tblCellMar>
        <w:left w:w="0" w:type="dxa"/>
        <w:top w:w="0" w:type="dxa"/>
        <w:right w:w="0" w:type="dxa"/>
        <w:bottom w:w="0" w:type="dxa"/>
      </w:tblCellMar>
    </w:tblPr>
  </w:style>
  <w:style w:type="table" w:styleId="859" w:customStyle="1">
    <w:name w:val="无格式表格 51"/>
    <w:uiPriority w:val="99"/>
    <w:qFormat/>
    <w:tblPr>
      <w:tblCellMar>
        <w:left w:w="0" w:type="dxa"/>
        <w:top w:w="0" w:type="dxa"/>
        <w:right w:w="0" w:type="dxa"/>
        <w:bottom w:w="0" w:type="dxa"/>
      </w:tblCellMar>
    </w:tblPr>
  </w:style>
  <w:style w:type="table" w:styleId="860" w:customStyle="1">
    <w:name w:val="网格表 1 浅色1"/>
    <w:uiPriority w:val="99"/>
    <w:qFormat/>
    <w:tblPr>
      <w:tblCellMar>
        <w:left w:w="0" w:type="dxa"/>
        <w:top w:w="0" w:type="dxa"/>
        <w:right w:w="0" w:type="dxa"/>
        <w:bottom w:w="0" w:type="dxa"/>
      </w:tblCellMar>
    </w:tblPr>
  </w:style>
  <w:style w:type="table" w:styleId="861" w:customStyle="1">
    <w:name w:val="Grid Table 1 Light - Accent 1"/>
    <w:uiPriority w:val="99"/>
    <w:qFormat/>
    <w:tblPr>
      <w:tblCellMar>
        <w:left w:w="0" w:type="dxa"/>
        <w:top w:w="0" w:type="dxa"/>
        <w:right w:w="0" w:type="dxa"/>
        <w:bottom w:w="0" w:type="dxa"/>
      </w:tblCellMar>
    </w:tblPr>
  </w:style>
  <w:style w:type="table" w:styleId="862" w:customStyle="1">
    <w:name w:val="Grid Table 1 Light - Accent 2"/>
    <w:uiPriority w:val="99"/>
    <w:qFormat/>
    <w:tblPr>
      <w:tblCellMar>
        <w:left w:w="0" w:type="dxa"/>
        <w:top w:w="0" w:type="dxa"/>
        <w:right w:w="0" w:type="dxa"/>
        <w:bottom w:w="0" w:type="dxa"/>
      </w:tblCellMar>
    </w:tblPr>
  </w:style>
  <w:style w:type="table" w:styleId="863" w:customStyle="1">
    <w:name w:val="Grid Table 1 Light - Accent 3"/>
    <w:uiPriority w:val="99"/>
    <w:qFormat/>
    <w:tblPr>
      <w:tblCellMar>
        <w:left w:w="0" w:type="dxa"/>
        <w:top w:w="0" w:type="dxa"/>
        <w:right w:w="0" w:type="dxa"/>
        <w:bottom w:w="0" w:type="dxa"/>
      </w:tblCellMar>
    </w:tblPr>
  </w:style>
  <w:style w:type="table" w:styleId="864" w:customStyle="1">
    <w:name w:val="Grid Table 1 Light - Accent 4"/>
    <w:uiPriority w:val="99"/>
    <w:qFormat/>
    <w:tblPr>
      <w:tblCellMar>
        <w:left w:w="0" w:type="dxa"/>
        <w:top w:w="0" w:type="dxa"/>
        <w:right w:w="0" w:type="dxa"/>
        <w:bottom w:w="0" w:type="dxa"/>
      </w:tblCellMar>
    </w:tblPr>
  </w:style>
  <w:style w:type="table" w:styleId="865" w:customStyle="1">
    <w:name w:val="Grid Table 1 Light - Accent 5"/>
    <w:uiPriority w:val="99"/>
    <w:qFormat/>
    <w:tblPr>
      <w:tblCellMar>
        <w:left w:w="0" w:type="dxa"/>
        <w:top w:w="0" w:type="dxa"/>
        <w:right w:w="0" w:type="dxa"/>
        <w:bottom w:w="0" w:type="dxa"/>
      </w:tblCellMar>
    </w:tblPr>
  </w:style>
  <w:style w:type="table" w:styleId="866" w:customStyle="1">
    <w:name w:val="Grid Table 1 Light - Accent 6"/>
    <w:uiPriority w:val="99"/>
    <w:qFormat/>
    <w:tblPr>
      <w:tblCellMar>
        <w:left w:w="0" w:type="dxa"/>
        <w:top w:w="0" w:type="dxa"/>
        <w:right w:w="0" w:type="dxa"/>
        <w:bottom w:w="0" w:type="dxa"/>
      </w:tblCellMar>
    </w:tblPr>
  </w:style>
  <w:style w:type="table" w:styleId="867" w:customStyle="1">
    <w:name w:val="网格表 21"/>
    <w:uiPriority w:val="99"/>
    <w:qFormat/>
    <w:tblPr>
      <w:tblCellMar>
        <w:left w:w="0" w:type="dxa"/>
        <w:top w:w="0" w:type="dxa"/>
        <w:right w:w="0" w:type="dxa"/>
        <w:bottom w:w="0" w:type="dxa"/>
      </w:tblCellMar>
    </w:tblPr>
  </w:style>
  <w:style w:type="table" w:styleId="868" w:customStyle="1">
    <w:name w:val="Grid Table 2 - Accent 1"/>
    <w:uiPriority w:val="99"/>
    <w:qFormat/>
    <w:tblPr>
      <w:tblCellMar>
        <w:left w:w="0" w:type="dxa"/>
        <w:top w:w="0" w:type="dxa"/>
        <w:right w:w="0" w:type="dxa"/>
        <w:bottom w:w="0" w:type="dxa"/>
      </w:tblCellMar>
    </w:tblPr>
  </w:style>
  <w:style w:type="table" w:styleId="869" w:customStyle="1">
    <w:name w:val="Grid Table 2 - Accent 2"/>
    <w:uiPriority w:val="99"/>
    <w:qFormat/>
    <w:tblPr>
      <w:tblCellMar>
        <w:left w:w="0" w:type="dxa"/>
        <w:top w:w="0" w:type="dxa"/>
        <w:right w:w="0" w:type="dxa"/>
        <w:bottom w:w="0" w:type="dxa"/>
      </w:tblCellMar>
    </w:tblPr>
  </w:style>
  <w:style w:type="table" w:styleId="870" w:customStyle="1">
    <w:name w:val="Grid Table 2 - Accent 3"/>
    <w:uiPriority w:val="99"/>
    <w:qFormat/>
    <w:tblPr>
      <w:tblCellMar>
        <w:left w:w="0" w:type="dxa"/>
        <w:top w:w="0" w:type="dxa"/>
        <w:right w:w="0" w:type="dxa"/>
        <w:bottom w:w="0" w:type="dxa"/>
      </w:tblCellMar>
    </w:tblPr>
  </w:style>
  <w:style w:type="table" w:styleId="871" w:customStyle="1">
    <w:name w:val="Grid Table 2 - Accent 4"/>
    <w:uiPriority w:val="99"/>
    <w:qFormat/>
    <w:tblPr>
      <w:tblCellMar>
        <w:left w:w="0" w:type="dxa"/>
        <w:top w:w="0" w:type="dxa"/>
        <w:right w:w="0" w:type="dxa"/>
        <w:bottom w:w="0" w:type="dxa"/>
      </w:tblCellMar>
    </w:tblPr>
  </w:style>
  <w:style w:type="table" w:styleId="872" w:customStyle="1">
    <w:name w:val="Grid Table 2 - Accent 5"/>
    <w:uiPriority w:val="99"/>
    <w:qFormat/>
    <w:tblPr>
      <w:tblCellMar>
        <w:left w:w="0" w:type="dxa"/>
        <w:top w:w="0" w:type="dxa"/>
        <w:right w:w="0" w:type="dxa"/>
        <w:bottom w:w="0" w:type="dxa"/>
      </w:tblCellMar>
    </w:tblPr>
  </w:style>
  <w:style w:type="table" w:styleId="873" w:customStyle="1">
    <w:name w:val="Grid Table 2 - Accent 6"/>
    <w:uiPriority w:val="99"/>
    <w:qFormat/>
    <w:tblPr>
      <w:tblCellMar>
        <w:left w:w="0" w:type="dxa"/>
        <w:top w:w="0" w:type="dxa"/>
        <w:right w:w="0" w:type="dxa"/>
        <w:bottom w:w="0" w:type="dxa"/>
      </w:tblCellMar>
    </w:tblPr>
  </w:style>
  <w:style w:type="table" w:styleId="874" w:customStyle="1">
    <w:name w:val="网格表 31"/>
    <w:uiPriority w:val="99"/>
    <w:qFormat/>
    <w:tblPr>
      <w:tblCellMar>
        <w:left w:w="0" w:type="dxa"/>
        <w:top w:w="0" w:type="dxa"/>
        <w:right w:w="0" w:type="dxa"/>
        <w:bottom w:w="0" w:type="dxa"/>
      </w:tblCellMar>
    </w:tblPr>
  </w:style>
  <w:style w:type="table" w:styleId="875" w:customStyle="1">
    <w:name w:val="Grid Table 3 - Accent 1"/>
    <w:uiPriority w:val="99"/>
    <w:qFormat/>
    <w:tblPr>
      <w:tblCellMar>
        <w:left w:w="0" w:type="dxa"/>
        <w:top w:w="0" w:type="dxa"/>
        <w:right w:w="0" w:type="dxa"/>
        <w:bottom w:w="0" w:type="dxa"/>
      </w:tblCellMar>
    </w:tblPr>
  </w:style>
  <w:style w:type="table" w:styleId="876" w:customStyle="1">
    <w:name w:val="Grid Table 3 - Accent 2"/>
    <w:uiPriority w:val="99"/>
    <w:qFormat/>
    <w:tblPr>
      <w:tblCellMar>
        <w:left w:w="0" w:type="dxa"/>
        <w:top w:w="0" w:type="dxa"/>
        <w:right w:w="0" w:type="dxa"/>
        <w:bottom w:w="0" w:type="dxa"/>
      </w:tblCellMar>
    </w:tblPr>
  </w:style>
  <w:style w:type="table" w:styleId="877" w:customStyle="1">
    <w:name w:val="Grid Table 3 - Accent 3"/>
    <w:uiPriority w:val="99"/>
    <w:qFormat/>
    <w:tblPr>
      <w:tblCellMar>
        <w:left w:w="0" w:type="dxa"/>
        <w:top w:w="0" w:type="dxa"/>
        <w:right w:w="0" w:type="dxa"/>
        <w:bottom w:w="0" w:type="dxa"/>
      </w:tblCellMar>
    </w:tblPr>
  </w:style>
  <w:style w:type="table" w:styleId="878" w:customStyle="1">
    <w:name w:val="Grid Table 3 - Accent 4"/>
    <w:uiPriority w:val="99"/>
    <w:qFormat/>
    <w:tblPr>
      <w:tblCellMar>
        <w:left w:w="0" w:type="dxa"/>
        <w:top w:w="0" w:type="dxa"/>
        <w:right w:w="0" w:type="dxa"/>
        <w:bottom w:w="0" w:type="dxa"/>
      </w:tblCellMar>
    </w:tblPr>
  </w:style>
  <w:style w:type="table" w:styleId="879" w:customStyle="1">
    <w:name w:val="Grid Table 3 - Accent 5"/>
    <w:uiPriority w:val="99"/>
    <w:qFormat/>
    <w:tblPr>
      <w:tblCellMar>
        <w:left w:w="0" w:type="dxa"/>
        <w:top w:w="0" w:type="dxa"/>
        <w:right w:w="0" w:type="dxa"/>
        <w:bottom w:w="0" w:type="dxa"/>
      </w:tblCellMar>
    </w:tblPr>
  </w:style>
  <w:style w:type="table" w:styleId="880" w:customStyle="1">
    <w:name w:val="Grid Table 3 - Accent 6"/>
    <w:uiPriority w:val="99"/>
    <w:qFormat/>
    <w:tblPr>
      <w:tblCellMar>
        <w:left w:w="0" w:type="dxa"/>
        <w:top w:w="0" w:type="dxa"/>
        <w:right w:w="0" w:type="dxa"/>
        <w:bottom w:w="0" w:type="dxa"/>
      </w:tblCellMar>
    </w:tblPr>
  </w:style>
  <w:style w:type="table" w:styleId="881" w:customStyle="1">
    <w:name w:val="网格表 41"/>
    <w:uiPriority w:val="59"/>
    <w:qFormat/>
    <w:tblPr>
      <w:tblCellMar>
        <w:left w:w="0" w:type="dxa"/>
        <w:top w:w="0" w:type="dxa"/>
        <w:right w:w="0" w:type="dxa"/>
        <w:bottom w:w="0" w:type="dxa"/>
      </w:tblCellMar>
    </w:tblPr>
  </w:style>
  <w:style w:type="table" w:styleId="882" w:customStyle="1">
    <w:name w:val="Grid Table 4 - Accent 1"/>
    <w:uiPriority w:val="59"/>
    <w:qFormat/>
    <w:tblPr>
      <w:tblCellMar>
        <w:left w:w="0" w:type="dxa"/>
        <w:top w:w="0" w:type="dxa"/>
        <w:right w:w="0" w:type="dxa"/>
        <w:bottom w:w="0" w:type="dxa"/>
      </w:tblCellMar>
    </w:tblPr>
  </w:style>
  <w:style w:type="table" w:styleId="883" w:customStyle="1">
    <w:name w:val="Grid Table 4 - Accent 2"/>
    <w:uiPriority w:val="59"/>
    <w:qFormat/>
    <w:tblPr>
      <w:tblCellMar>
        <w:left w:w="0" w:type="dxa"/>
        <w:top w:w="0" w:type="dxa"/>
        <w:right w:w="0" w:type="dxa"/>
        <w:bottom w:w="0" w:type="dxa"/>
      </w:tblCellMar>
    </w:tblPr>
  </w:style>
  <w:style w:type="table" w:styleId="884" w:customStyle="1">
    <w:name w:val="Grid Table 4 - Accent 3"/>
    <w:uiPriority w:val="59"/>
    <w:qFormat/>
    <w:tblPr>
      <w:tblCellMar>
        <w:left w:w="0" w:type="dxa"/>
        <w:top w:w="0" w:type="dxa"/>
        <w:right w:w="0" w:type="dxa"/>
        <w:bottom w:w="0" w:type="dxa"/>
      </w:tblCellMar>
    </w:tblPr>
  </w:style>
  <w:style w:type="table" w:styleId="885" w:customStyle="1">
    <w:name w:val="Grid Table 4 - Accent 4"/>
    <w:uiPriority w:val="59"/>
    <w:qFormat/>
    <w:tblPr>
      <w:tblCellMar>
        <w:left w:w="0" w:type="dxa"/>
        <w:top w:w="0" w:type="dxa"/>
        <w:right w:w="0" w:type="dxa"/>
        <w:bottom w:w="0" w:type="dxa"/>
      </w:tblCellMar>
    </w:tblPr>
  </w:style>
  <w:style w:type="table" w:styleId="886" w:customStyle="1">
    <w:name w:val="Grid Table 4 - Accent 5"/>
    <w:uiPriority w:val="59"/>
    <w:qFormat/>
    <w:tblPr>
      <w:tblCellMar>
        <w:left w:w="0" w:type="dxa"/>
        <w:top w:w="0" w:type="dxa"/>
        <w:right w:w="0" w:type="dxa"/>
        <w:bottom w:w="0" w:type="dxa"/>
      </w:tblCellMar>
    </w:tblPr>
  </w:style>
  <w:style w:type="table" w:styleId="887" w:customStyle="1">
    <w:name w:val="Grid Table 4 - Accent 6"/>
    <w:uiPriority w:val="59"/>
    <w:qFormat/>
    <w:tblPr>
      <w:tblCellMar>
        <w:left w:w="0" w:type="dxa"/>
        <w:top w:w="0" w:type="dxa"/>
        <w:right w:w="0" w:type="dxa"/>
        <w:bottom w:w="0" w:type="dxa"/>
      </w:tblCellMar>
    </w:tblPr>
  </w:style>
  <w:style w:type="table" w:styleId="888" w:customStyle="1">
    <w:name w:val="网格表 5 深色1"/>
    <w:uiPriority w:val="99"/>
    <w:qFormat/>
    <w:tblPr>
      <w:tblCellMar>
        <w:left w:w="0" w:type="dxa"/>
        <w:top w:w="0" w:type="dxa"/>
        <w:right w:w="0" w:type="dxa"/>
        <w:bottom w:w="0" w:type="dxa"/>
      </w:tblCellMar>
    </w:tblPr>
  </w:style>
  <w:style w:type="table" w:styleId="889" w:customStyle="1">
    <w:name w:val="Grid Table 5 Dark- Accent 1"/>
    <w:uiPriority w:val="99"/>
    <w:qFormat/>
    <w:tblPr>
      <w:tblCellMar>
        <w:left w:w="0" w:type="dxa"/>
        <w:top w:w="0" w:type="dxa"/>
        <w:right w:w="0" w:type="dxa"/>
        <w:bottom w:w="0" w:type="dxa"/>
      </w:tblCellMar>
    </w:tblPr>
  </w:style>
  <w:style w:type="table" w:styleId="890" w:customStyle="1">
    <w:name w:val="Grid Table 5 Dark - Accent 2"/>
    <w:uiPriority w:val="99"/>
    <w:qFormat/>
    <w:tblPr>
      <w:tblCellMar>
        <w:left w:w="0" w:type="dxa"/>
        <w:top w:w="0" w:type="dxa"/>
        <w:right w:w="0" w:type="dxa"/>
        <w:bottom w:w="0" w:type="dxa"/>
      </w:tblCellMar>
    </w:tblPr>
  </w:style>
  <w:style w:type="table" w:styleId="891" w:customStyle="1">
    <w:name w:val="Grid Table 5 Dark - Accent 3"/>
    <w:uiPriority w:val="99"/>
    <w:qFormat/>
    <w:tblPr>
      <w:tblCellMar>
        <w:left w:w="0" w:type="dxa"/>
        <w:top w:w="0" w:type="dxa"/>
        <w:right w:w="0" w:type="dxa"/>
        <w:bottom w:w="0" w:type="dxa"/>
      </w:tblCellMar>
    </w:tblPr>
  </w:style>
  <w:style w:type="table" w:styleId="892" w:customStyle="1">
    <w:name w:val="Grid Table 5 Dark- Accent 4"/>
    <w:uiPriority w:val="99"/>
    <w:qFormat/>
    <w:tblPr>
      <w:tblCellMar>
        <w:left w:w="0" w:type="dxa"/>
        <w:top w:w="0" w:type="dxa"/>
        <w:right w:w="0" w:type="dxa"/>
        <w:bottom w:w="0" w:type="dxa"/>
      </w:tblCellMar>
    </w:tblPr>
  </w:style>
  <w:style w:type="table" w:styleId="893" w:customStyle="1">
    <w:name w:val="Grid Table 5 Dark - Accent 5"/>
    <w:uiPriority w:val="99"/>
    <w:qFormat/>
    <w:tblPr>
      <w:tblCellMar>
        <w:left w:w="0" w:type="dxa"/>
        <w:top w:w="0" w:type="dxa"/>
        <w:right w:w="0" w:type="dxa"/>
        <w:bottom w:w="0" w:type="dxa"/>
      </w:tblCellMar>
    </w:tblPr>
  </w:style>
  <w:style w:type="table" w:styleId="894" w:customStyle="1">
    <w:name w:val="Grid Table 5 Dark - Accent 6"/>
    <w:uiPriority w:val="99"/>
    <w:qFormat/>
    <w:tblPr>
      <w:tblCellMar>
        <w:left w:w="0" w:type="dxa"/>
        <w:top w:w="0" w:type="dxa"/>
        <w:right w:w="0" w:type="dxa"/>
        <w:bottom w:w="0" w:type="dxa"/>
      </w:tblCellMar>
    </w:tblPr>
  </w:style>
  <w:style w:type="table" w:styleId="895" w:customStyle="1">
    <w:name w:val="网格表 6 彩色1"/>
    <w:uiPriority w:val="99"/>
    <w:qFormat/>
    <w:tblPr>
      <w:tblCellMar>
        <w:left w:w="0" w:type="dxa"/>
        <w:top w:w="0" w:type="dxa"/>
        <w:right w:w="0" w:type="dxa"/>
        <w:bottom w:w="0" w:type="dxa"/>
      </w:tblCellMar>
    </w:tblPr>
  </w:style>
  <w:style w:type="table" w:styleId="896" w:customStyle="1">
    <w:name w:val="Grid Table 6 Colorful - Accent 1"/>
    <w:uiPriority w:val="99"/>
    <w:qFormat/>
    <w:tblPr>
      <w:tblCellMar>
        <w:left w:w="0" w:type="dxa"/>
        <w:top w:w="0" w:type="dxa"/>
        <w:right w:w="0" w:type="dxa"/>
        <w:bottom w:w="0" w:type="dxa"/>
      </w:tblCellMar>
    </w:tblPr>
  </w:style>
  <w:style w:type="table" w:styleId="897" w:customStyle="1">
    <w:name w:val="Grid Table 6 Colorful - Accent 2"/>
    <w:uiPriority w:val="99"/>
    <w:qFormat/>
    <w:tblPr>
      <w:tblCellMar>
        <w:left w:w="0" w:type="dxa"/>
        <w:top w:w="0" w:type="dxa"/>
        <w:right w:w="0" w:type="dxa"/>
        <w:bottom w:w="0" w:type="dxa"/>
      </w:tblCellMar>
    </w:tblPr>
  </w:style>
  <w:style w:type="table" w:styleId="898" w:customStyle="1">
    <w:name w:val="Grid Table 6 Colorful - Accent 3"/>
    <w:uiPriority w:val="99"/>
    <w:qFormat/>
    <w:tblPr>
      <w:tblCellMar>
        <w:left w:w="0" w:type="dxa"/>
        <w:top w:w="0" w:type="dxa"/>
        <w:right w:w="0" w:type="dxa"/>
        <w:bottom w:w="0" w:type="dxa"/>
      </w:tblCellMar>
    </w:tblPr>
  </w:style>
  <w:style w:type="table" w:styleId="899" w:customStyle="1">
    <w:name w:val="Grid Table 6 Colorful - Accent 4"/>
    <w:uiPriority w:val="99"/>
    <w:qFormat/>
    <w:tblPr>
      <w:tblCellMar>
        <w:left w:w="0" w:type="dxa"/>
        <w:top w:w="0" w:type="dxa"/>
        <w:right w:w="0" w:type="dxa"/>
        <w:bottom w:w="0" w:type="dxa"/>
      </w:tblCellMar>
    </w:tblPr>
  </w:style>
  <w:style w:type="table" w:styleId="900" w:customStyle="1">
    <w:name w:val="Grid Table 6 Colorful - Accent 5"/>
    <w:uiPriority w:val="99"/>
    <w:qFormat/>
    <w:tblPr>
      <w:tblCellMar>
        <w:left w:w="0" w:type="dxa"/>
        <w:top w:w="0" w:type="dxa"/>
        <w:right w:w="0" w:type="dxa"/>
        <w:bottom w:w="0" w:type="dxa"/>
      </w:tblCellMar>
    </w:tblPr>
  </w:style>
  <w:style w:type="table" w:styleId="901" w:customStyle="1">
    <w:name w:val="Grid Table 6 Colorful - Accent 6"/>
    <w:uiPriority w:val="99"/>
    <w:qFormat/>
    <w:tblPr>
      <w:tblCellMar>
        <w:left w:w="0" w:type="dxa"/>
        <w:top w:w="0" w:type="dxa"/>
        <w:right w:w="0" w:type="dxa"/>
        <w:bottom w:w="0" w:type="dxa"/>
      </w:tblCellMar>
    </w:tblPr>
  </w:style>
  <w:style w:type="table" w:styleId="902" w:customStyle="1">
    <w:name w:val="网格表 7 彩色1"/>
    <w:uiPriority w:val="99"/>
    <w:qFormat/>
    <w:tblPr>
      <w:tblCellMar>
        <w:left w:w="0" w:type="dxa"/>
        <w:top w:w="0" w:type="dxa"/>
        <w:right w:w="0" w:type="dxa"/>
        <w:bottom w:w="0" w:type="dxa"/>
      </w:tblCellMar>
    </w:tblPr>
  </w:style>
  <w:style w:type="table" w:styleId="903" w:customStyle="1">
    <w:name w:val="Grid Table 7 Colorful - Accent 1"/>
    <w:uiPriority w:val="99"/>
    <w:qFormat/>
    <w:tblPr>
      <w:tblCellMar>
        <w:left w:w="0" w:type="dxa"/>
        <w:top w:w="0" w:type="dxa"/>
        <w:right w:w="0" w:type="dxa"/>
        <w:bottom w:w="0" w:type="dxa"/>
      </w:tblCellMar>
    </w:tblPr>
  </w:style>
  <w:style w:type="table" w:styleId="904" w:customStyle="1">
    <w:name w:val="Grid Table 7 Colorful - Accent 2"/>
    <w:uiPriority w:val="99"/>
    <w:qFormat/>
    <w:tblPr>
      <w:tblCellMar>
        <w:left w:w="0" w:type="dxa"/>
        <w:top w:w="0" w:type="dxa"/>
        <w:right w:w="0" w:type="dxa"/>
        <w:bottom w:w="0" w:type="dxa"/>
      </w:tblCellMar>
    </w:tblPr>
  </w:style>
  <w:style w:type="table" w:styleId="905" w:customStyle="1">
    <w:name w:val="Grid Table 7 Colorful - Accent 3"/>
    <w:uiPriority w:val="99"/>
    <w:qFormat/>
    <w:tblPr>
      <w:tblCellMar>
        <w:left w:w="0" w:type="dxa"/>
        <w:top w:w="0" w:type="dxa"/>
        <w:right w:w="0" w:type="dxa"/>
        <w:bottom w:w="0" w:type="dxa"/>
      </w:tblCellMar>
    </w:tblPr>
  </w:style>
  <w:style w:type="table" w:styleId="906" w:customStyle="1">
    <w:name w:val="Grid Table 7 Colorful - Accent 4"/>
    <w:uiPriority w:val="99"/>
    <w:qFormat/>
    <w:tblPr>
      <w:tblCellMar>
        <w:left w:w="0" w:type="dxa"/>
        <w:top w:w="0" w:type="dxa"/>
        <w:right w:w="0" w:type="dxa"/>
        <w:bottom w:w="0" w:type="dxa"/>
      </w:tblCellMar>
    </w:tblPr>
  </w:style>
  <w:style w:type="table" w:styleId="907" w:customStyle="1">
    <w:name w:val="Grid Table 7 Colorful - Accent 5"/>
    <w:uiPriority w:val="99"/>
    <w:qFormat/>
    <w:tblPr>
      <w:tblCellMar>
        <w:left w:w="0" w:type="dxa"/>
        <w:top w:w="0" w:type="dxa"/>
        <w:right w:w="0" w:type="dxa"/>
        <w:bottom w:w="0" w:type="dxa"/>
      </w:tblCellMar>
    </w:tblPr>
  </w:style>
  <w:style w:type="table" w:styleId="908" w:customStyle="1">
    <w:name w:val="Grid Table 7 Colorful - Accent 6"/>
    <w:uiPriority w:val="99"/>
    <w:qFormat/>
    <w:tblPr>
      <w:tblCellMar>
        <w:left w:w="0" w:type="dxa"/>
        <w:top w:w="0" w:type="dxa"/>
        <w:right w:w="0" w:type="dxa"/>
        <w:bottom w:w="0" w:type="dxa"/>
      </w:tblCellMar>
    </w:tblPr>
  </w:style>
  <w:style w:type="table" w:styleId="909" w:customStyle="1">
    <w:name w:val="清单表 1 浅色1"/>
    <w:uiPriority w:val="99"/>
    <w:qFormat/>
    <w:tblPr>
      <w:tblCellMar>
        <w:left w:w="0" w:type="dxa"/>
        <w:top w:w="0" w:type="dxa"/>
        <w:right w:w="0" w:type="dxa"/>
        <w:bottom w:w="0" w:type="dxa"/>
      </w:tblCellMar>
    </w:tblPr>
  </w:style>
  <w:style w:type="table" w:styleId="910" w:customStyle="1">
    <w:name w:val="List Table 1 Light - Accent 1"/>
    <w:uiPriority w:val="99"/>
    <w:qFormat/>
    <w:tblPr>
      <w:tblCellMar>
        <w:left w:w="0" w:type="dxa"/>
        <w:top w:w="0" w:type="dxa"/>
        <w:right w:w="0" w:type="dxa"/>
        <w:bottom w:w="0" w:type="dxa"/>
      </w:tblCellMar>
    </w:tblPr>
  </w:style>
  <w:style w:type="table" w:styleId="911" w:customStyle="1">
    <w:name w:val="List Table 1 Light - Accent 2"/>
    <w:uiPriority w:val="99"/>
    <w:qFormat/>
    <w:tblPr>
      <w:tblCellMar>
        <w:left w:w="0" w:type="dxa"/>
        <w:top w:w="0" w:type="dxa"/>
        <w:right w:w="0" w:type="dxa"/>
        <w:bottom w:w="0" w:type="dxa"/>
      </w:tblCellMar>
    </w:tblPr>
  </w:style>
  <w:style w:type="table" w:styleId="912" w:customStyle="1">
    <w:name w:val="List Table 1 Light - Accent 3"/>
    <w:uiPriority w:val="99"/>
    <w:qFormat/>
    <w:tblPr>
      <w:tblCellMar>
        <w:left w:w="0" w:type="dxa"/>
        <w:top w:w="0" w:type="dxa"/>
        <w:right w:w="0" w:type="dxa"/>
        <w:bottom w:w="0" w:type="dxa"/>
      </w:tblCellMar>
    </w:tblPr>
  </w:style>
  <w:style w:type="table" w:styleId="913" w:customStyle="1">
    <w:name w:val="List Table 1 Light - Accent 4"/>
    <w:uiPriority w:val="99"/>
    <w:qFormat/>
    <w:tblPr>
      <w:tblCellMar>
        <w:left w:w="0" w:type="dxa"/>
        <w:top w:w="0" w:type="dxa"/>
        <w:right w:w="0" w:type="dxa"/>
        <w:bottom w:w="0" w:type="dxa"/>
      </w:tblCellMar>
    </w:tblPr>
  </w:style>
  <w:style w:type="table" w:styleId="914" w:customStyle="1">
    <w:name w:val="List Table 1 Light - Accent 5"/>
    <w:uiPriority w:val="99"/>
    <w:qFormat/>
    <w:tblPr>
      <w:tblCellMar>
        <w:left w:w="0" w:type="dxa"/>
        <w:top w:w="0" w:type="dxa"/>
        <w:right w:w="0" w:type="dxa"/>
        <w:bottom w:w="0" w:type="dxa"/>
      </w:tblCellMar>
    </w:tblPr>
  </w:style>
  <w:style w:type="table" w:styleId="915" w:customStyle="1">
    <w:name w:val="List Table 1 Light - Accent 6"/>
    <w:uiPriority w:val="99"/>
    <w:qFormat/>
    <w:tblPr>
      <w:tblCellMar>
        <w:left w:w="0" w:type="dxa"/>
        <w:top w:w="0" w:type="dxa"/>
        <w:right w:w="0" w:type="dxa"/>
        <w:bottom w:w="0" w:type="dxa"/>
      </w:tblCellMar>
    </w:tblPr>
  </w:style>
  <w:style w:type="table" w:styleId="916" w:customStyle="1">
    <w:name w:val="清单表 21"/>
    <w:uiPriority w:val="99"/>
    <w:qFormat/>
    <w:tblPr>
      <w:tblCellMar>
        <w:left w:w="0" w:type="dxa"/>
        <w:top w:w="0" w:type="dxa"/>
        <w:right w:w="0" w:type="dxa"/>
        <w:bottom w:w="0" w:type="dxa"/>
      </w:tblCellMar>
    </w:tblPr>
  </w:style>
  <w:style w:type="table" w:styleId="917" w:customStyle="1">
    <w:name w:val="List Table 2 - Accent 1"/>
    <w:uiPriority w:val="99"/>
    <w:qFormat/>
    <w:tblPr>
      <w:tblCellMar>
        <w:left w:w="0" w:type="dxa"/>
        <w:top w:w="0" w:type="dxa"/>
        <w:right w:w="0" w:type="dxa"/>
        <w:bottom w:w="0" w:type="dxa"/>
      </w:tblCellMar>
    </w:tblPr>
  </w:style>
  <w:style w:type="table" w:styleId="918" w:customStyle="1">
    <w:name w:val="List Table 2 - Accent 2"/>
    <w:uiPriority w:val="99"/>
    <w:qFormat/>
    <w:tblPr>
      <w:tblCellMar>
        <w:left w:w="0" w:type="dxa"/>
        <w:top w:w="0" w:type="dxa"/>
        <w:right w:w="0" w:type="dxa"/>
        <w:bottom w:w="0" w:type="dxa"/>
      </w:tblCellMar>
    </w:tblPr>
  </w:style>
  <w:style w:type="table" w:styleId="919" w:customStyle="1">
    <w:name w:val="List Table 2 - Accent 3"/>
    <w:uiPriority w:val="99"/>
    <w:qFormat/>
    <w:tblPr>
      <w:tblCellMar>
        <w:left w:w="0" w:type="dxa"/>
        <w:top w:w="0" w:type="dxa"/>
        <w:right w:w="0" w:type="dxa"/>
        <w:bottom w:w="0" w:type="dxa"/>
      </w:tblCellMar>
    </w:tblPr>
  </w:style>
  <w:style w:type="table" w:styleId="920" w:customStyle="1">
    <w:name w:val="List Table 2 - Accent 4"/>
    <w:uiPriority w:val="99"/>
    <w:qFormat/>
    <w:tblPr>
      <w:tblCellMar>
        <w:left w:w="0" w:type="dxa"/>
        <w:top w:w="0" w:type="dxa"/>
        <w:right w:w="0" w:type="dxa"/>
        <w:bottom w:w="0" w:type="dxa"/>
      </w:tblCellMar>
    </w:tblPr>
  </w:style>
  <w:style w:type="table" w:styleId="921" w:customStyle="1">
    <w:name w:val="List Table 2 - Accent 5"/>
    <w:uiPriority w:val="99"/>
    <w:qFormat/>
    <w:tblPr>
      <w:tblCellMar>
        <w:left w:w="0" w:type="dxa"/>
        <w:top w:w="0" w:type="dxa"/>
        <w:right w:w="0" w:type="dxa"/>
        <w:bottom w:w="0" w:type="dxa"/>
      </w:tblCellMar>
    </w:tblPr>
  </w:style>
  <w:style w:type="table" w:styleId="922" w:customStyle="1">
    <w:name w:val="List Table 2 - Accent 6"/>
    <w:uiPriority w:val="99"/>
    <w:qFormat/>
    <w:tblPr>
      <w:tblCellMar>
        <w:left w:w="0" w:type="dxa"/>
        <w:top w:w="0" w:type="dxa"/>
        <w:right w:w="0" w:type="dxa"/>
        <w:bottom w:w="0" w:type="dxa"/>
      </w:tblCellMar>
    </w:tblPr>
  </w:style>
  <w:style w:type="table" w:styleId="923" w:customStyle="1">
    <w:name w:val="清单表 31"/>
    <w:uiPriority w:val="99"/>
    <w:qFormat/>
    <w:tblPr>
      <w:tblCellMar>
        <w:left w:w="0" w:type="dxa"/>
        <w:top w:w="0" w:type="dxa"/>
        <w:right w:w="0" w:type="dxa"/>
        <w:bottom w:w="0" w:type="dxa"/>
      </w:tblCellMar>
    </w:tblPr>
  </w:style>
  <w:style w:type="table" w:styleId="924" w:customStyle="1">
    <w:name w:val="List Table 3 - Accent 1"/>
    <w:uiPriority w:val="99"/>
    <w:qFormat/>
    <w:tblPr>
      <w:tblCellMar>
        <w:left w:w="0" w:type="dxa"/>
        <w:top w:w="0" w:type="dxa"/>
        <w:right w:w="0" w:type="dxa"/>
        <w:bottom w:w="0" w:type="dxa"/>
      </w:tblCellMar>
    </w:tblPr>
  </w:style>
  <w:style w:type="table" w:styleId="925" w:customStyle="1">
    <w:name w:val="List Table 3 - Accent 2"/>
    <w:uiPriority w:val="99"/>
    <w:qFormat/>
    <w:tblPr>
      <w:tblCellMar>
        <w:left w:w="0" w:type="dxa"/>
        <w:top w:w="0" w:type="dxa"/>
        <w:right w:w="0" w:type="dxa"/>
        <w:bottom w:w="0" w:type="dxa"/>
      </w:tblCellMar>
    </w:tblPr>
  </w:style>
  <w:style w:type="table" w:styleId="926" w:customStyle="1">
    <w:name w:val="List Table 3 - Accent 3"/>
    <w:uiPriority w:val="99"/>
    <w:qFormat/>
    <w:tblPr>
      <w:tblCellMar>
        <w:left w:w="0" w:type="dxa"/>
        <w:top w:w="0" w:type="dxa"/>
        <w:right w:w="0" w:type="dxa"/>
        <w:bottom w:w="0" w:type="dxa"/>
      </w:tblCellMar>
    </w:tblPr>
  </w:style>
  <w:style w:type="table" w:styleId="927" w:customStyle="1">
    <w:name w:val="List Table 3 - Accent 4"/>
    <w:uiPriority w:val="99"/>
    <w:qFormat/>
    <w:tblPr>
      <w:tblCellMar>
        <w:left w:w="0" w:type="dxa"/>
        <w:top w:w="0" w:type="dxa"/>
        <w:right w:w="0" w:type="dxa"/>
        <w:bottom w:w="0" w:type="dxa"/>
      </w:tblCellMar>
    </w:tblPr>
  </w:style>
  <w:style w:type="table" w:styleId="928" w:customStyle="1">
    <w:name w:val="List Table 3 - Accent 5"/>
    <w:uiPriority w:val="99"/>
    <w:qFormat/>
    <w:tblPr>
      <w:tblCellMar>
        <w:left w:w="0" w:type="dxa"/>
        <w:top w:w="0" w:type="dxa"/>
        <w:right w:w="0" w:type="dxa"/>
        <w:bottom w:w="0" w:type="dxa"/>
      </w:tblCellMar>
    </w:tblPr>
  </w:style>
  <w:style w:type="table" w:styleId="929" w:customStyle="1">
    <w:name w:val="List Table 3 - Accent 6"/>
    <w:uiPriority w:val="99"/>
    <w:qFormat/>
    <w:tblPr>
      <w:tblCellMar>
        <w:left w:w="0" w:type="dxa"/>
        <w:top w:w="0" w:type="dxa"/>
        <w:right w:w="0" w:type="dxa"/>
        <w:bottom w:w="0" w:type="dxa"/>
      </w:tblCellMar>
    </w:tblPr>
  </w:style>
  <w:style w:type="table" w:styleId="930" w:customStyle="1">
    <w:name w:val="清单表 41"/>
    <w:uiPriority w:val="99"/>
    <w:qFormat/>
    <w:tblPr>
      <w:tblCellMar>
        <w:left w:w="0" w:type="dxa"/>
        <w:top w:w="0" w:type="dxa"/>
        <w:right w:w="0" w:type="dxa"/>
        <w:bottom w:w="0" w:type="dxa"/>
      </w:tblCellMar>
    </w:tblPr>
  </w:style>
  <w:style w:type="table" w:styleId="931" w:customStyle="1">
    <w:name w:val="List Table 4 - Accent 1"/>
    <w:uiPriority w:val="99"/>
    <w:qFormat/>
    <w:tblPr>
      <w:tblCellMar>
        <w:left w:w="0" w:type="dxa"/>
        <w:top w:w="0" w:type="dxa"/>
        <w:right w:w="0" w:type="dxa"/>
        <w:bottom w:w="0" w:type="dxa"/>
      </w:tblCellMar>
    </w:tblPr>
  </w:style>
  <w:style w:type="table" w:styleId="932" w:customStyle="1">
    <w:name w:val="List Table 4 - Accent 2"/>
    <w:uiPriority w:val="99"/>
    <w:qFormat/>
    <w:tblPr>
      <w:tblCellMar>
        <w:left w:w="0" w:type="dxa"/>
        <w:top w:w="0" w:type="dxa"/>
        <w:right w:w="0" w:type="dxa"/>
        <w:bottom w:w="0" w:type="dxa"/>
      </w:tblCellMar>
    </w:tblPr>
  </w:style>
  <w:style w:type="table" w:styleId="933" w:customStyle="1">
    <w:name w:val="List Table 4 - Accent 3"/>
    <w:uiPriority w:val="99"/>
    <w:qFormat/>
    <w:tblPr>
      <w:tblCellMar>
        <w:left w:w="0" w:type="dxa"/>
        <w:top w:w="0" w:type="dxa"/>
        <w:right w:w="0" w:type="dxa"/>
        <w:bottom w:w="0" w:type="dxa"/>
      </w:tblCellMar>
    </w:tblPr>
  </w:style>
  <w:style w:type="table" w:styleId="934" w:customStyle="1">
    <w:name w:val="List Table 4 - Accent 4"/>
    <w:uiPriority w:val="99"/>
    <w:qFormat/>
    <w:tblPr>
      <w:tblCellMar>
        <w:left w:w="0" w:type="dxa"/>
        <w:top w:w="0" w:type="dxa"/>
        <w:right w:w="0" w:type="dxa"/>
        <w:bottom w:w="0" w:type="dxa"/>
      </w:tblCellMar>
    </w:tblPr>
  </w:style>
  <w:style w:type="table" w:styleId="935" w:customStyle="1">
    <w:name w:val="List Table 4 - Accent 5"/>
    <w:uiPriority w:val="99"/>
    <w:qFormat/>
    <w:tblPr>
      <w:tblCellMar>
        <w:left w:w="0" w:type="dxa"/>
        <w:top w:w="0" w:type="dxa"/>
        <w:right w:w="0" w:type="dxa"/>
        <w:bottom w:w="0" w:type="dxa"/>
      </w:tblCellMar>
    </w:tblPr>
  </w:style>
  <w:style w:type="table" w:styleId="936" w:customStyle="1">
    <w:name w:val="List Table 4 - Accent 6"/>
    <w:uiPriority w:val="99"/>
    <w:qFormat/>
    <w:tblPr>
      <w:tblCellMar>
        <w:left w:w="0" w:type="dxa"/>
        <w:top w:w="0" w:type="dxa"/>
        <w:right w:w="0" w:type="dxa"/>
        <w:bottom w:w="0" w:type="dxa"/>
      </w:tblCellMar>
    </w:tblPr>
  </w:style>
  <w:style w:type="table" w:styleId="937" w:customStyle="1">
    <w:name w:val="清单表 5 深色1"/>
    <w:uiPriority w:val="99"/>
    <w:qFormat/>
    <w:tblPr>
      <w:tblCellMar>
        <w:left w:w="0" w:type="dxa"/>
        <w:top w:w="0" w:type="dxa"/>
        <w:right w:w="0" w:type="dxa"/>
        <w:bottom w:w="0" w:type="dxa"/>
      </w:tblCellMar>
    </w:tblPr>
  </w:style>
  <w:style w:type="table" w:styleId="938" w:customStyle="1">
    <w:name w:val="List Table 5 Dark - Accent 1"/>
    <w:uiPriority w:val="99"/>
    <w:qFormat/>
    <w:tblPr>
      <w:tblCellMar>
        <w:left w:w="0" w:type="dxa"/>
        <w:top w:w="0" w:type="dxa"/>
        <w:right w:w="0" w:type="dxa"/>
        <w:bottom w:w="0" w:type="dxa"/>
      </w:tblCellMar>
    </w:tblPr>
  </w:style>
  <w:style w:type="table" w:styleId="939" w:customStyle="1">
    <w:name w:val="List Table 5 Dark - Accent 2"/>
    <w:uiPriority w:val="99"/>
    <w:qFormat/>
    <w:tblPr>
      <w:tblCellMar>
        <w:left w:w="0" w:type="dxa"/>
        <w:top w:w="0" w:type="dxa"/>
        <w:right w:w="0" w:type="dxa"/>
        <w:bottom w:w="0" w:type="dxa"/>
      </w:tblCellMar>
    </w:tblPr>
  </w:style>
  <w:style w:type="table" w:styleId="940" w:customStyle="1">
    <w:name w:val="List Table 5 Dark - Accent 3"/>
    <w:uiPriority w:val="99"/>
    <w:qFormat/>
    <w:tblPr>
      <w:tblCellMar>
        <w:left w:w="0" w:type="dxa"/>
        <w:top w:w="0" w:type="dxa"/>
        <w:right w:w="0" w:type="dxa"/>
        <w:bottom w:w="0" w:type="dxa"/>
      </w:tblCellMar>
    </w:tblPr>
  </w:style>
  <w:style w:type="table" w:styleId="941" w:customStyle="1">
    <w:name w:val="List Table 5 Dark - Accent 4"/>
    <w:uiPriority w:val="99"/>
    <w:qFormat/>
    <w:tblPr>
      <w:tblCellMar>
        <w:left w:w="0" w:type="dxa"/>
        <w:top w:w="0" w:type="dxa"/>
        <w:right w:w="0" w:type="dxa"/>
        <w:bottom w:w="0" w:type="dxa"/>
      </w:tblCellMar>
    </w:tblPr>
  </w:style>
  <w:style w:type="table" w:styleId="942" w:customStyle="1">
    <w:name w:val="List Table 5 Dark - Accent 5"/>
    <w:uiPriority w:val="99"/>
    <w:qFormat/>
    <w:tblPr>
      <w:tblCellMar>
        <w:left w:w="0" w:type="dxa"/>
        <w:top w:w="0" w:type="dxa"/>
        <w:right w:w="0" w:type="dxa"/>
        <w:bottom w:w="0" w:type="dxa"/>
      </w:tblCellMar>
    </w:tblPr>
  </w:style>
  <w:style w:type="table" w:styleId="943" w:customStyle="1">
    <w:name w:val="List Table 5 Dark - Accent 6"/>
    <w:uiPriority w:val="99"/>
    <w:qFormat/>
    <w:tblPr>
      <w:tblCellMar>
        <w:left w:w="0" w:type="dxa"/>
        <w:top w:w="0" w:type="dxa"/>
        <w:right w:w="0" w:type="dxa"/>
        <w:bottom w:w="0" w:type="dxa"/>
      </w:tblCellMar>
    </w:tblPr>
  </w:style>
  <w:style w:type="table" w:styleId="944" w:customStyle="1">
    <w:name w:val="清单表 6 彩色1"/>
    <w:uiPriority w:val="99"/>
    <w:qFormat/>
    <w:tblPr>
      <w:tblCellMar>
        <w:left w:w="0" w:type="dxa"/>
        <w:top w:w="0" w:type="dxa"/>
        <w:right w:w="0" w:type="dxa"/>
        <w:bottom w:w="0" w:type="dxa"/>
      </w:tblCellMar>
    </w:tblPr>
  </w:style>
  <w:style w:type="table" w:styleId="945" w:customStyle="1">
    <w:name w:val="List Table 6 Colorful - Accent 1"/>
    <w:uiPriority w:val="99"/>
    <w:qFormat/>
    <w:tblPr>
      <w:tblCellMar>
        <w:left w:w="0" w:type="dxa"/>
        <w:top w:w="0" w:type="dxa"/>
        <w:right w:w="0" w:type="dxa"/>
        <w:bottom w:w="0" w:type="dxa"/>
      </w:tblCellMar>
    </w:tblPr>
  </w:style>
  <w:style w:type="table" w:styleId="946" w:customStyle="1">
    <w:name w:val="List Table 6 Colorful - Accent 2"/>
    <w:uiPriority w:val="99"/>
    <w:qFormat/>
    <w:tblPr>
      <w:tblCellMar>
        <w:left w:w="0" w:type="dxa"/>
        <w:top w:w="0" w:type="dxa"/>
        <w:right w:w="0" w:type="dxa"/>
        <w:bottom w:w="0" w:type="dxa"/>
      </w:tblCellMar>
    </w:tblPr>
  </w:style>
  <w:style w:type="table" w:styleId="947" w:customStyle="1">
    <w:name w:val="List Table 6 Colorful - Accent 3"/>
    <w:uiPriority w:val="99"/>
    <w:qFormat/>
    <w:tblPr>
      <w:tblCellMar>
        <w:left w:w="0" w:type="dxa"/>
        <w:top w:w="0" w:type="dxa"/>
        <w:right w:w="0" w:type="dxa"/>
        <w:bottom w:w="0" w:type="dxa"/>
      </w:tblCellMar>
    </w:tblPr>
  </w:style>
  <w:style w:type="table" w:styleId="948" w:customStyle="1">
    <w:name w:val="List Table 6 Colorful - Accent 4"/>
    <w:uiPriority w:val="99"/>
    <w:qFormat/>
    <w:tblPr>
      <w:tblCellMar>
        <w:left w:w="0" w:type="dxa"/>
        <w:top w:w="0" w:type="dxa"/>
        <w:right w:w="0" w:type="dxa"/>
        <w:bottom w:w="0" w:type="dxa"/>
      </w:tblCellMar>
    </w:tblPr>
  </w:style>
  <w:style w:type="table" w:styleId="949" w:customStyle="1">
    <w:name w:val="List Table 6 Colorful - Accent 5"/>
    <w:uiPriority w:val="99"/>
    <w:qFormat/>
    <w:tblPr>
      <w:tblCellMar>
        <w:left w:w="0" w:type="dxa"/>
        <w:top w:w="0" w:type="dxa"/>
        <w:right w:w="0" w:type="dxa"/>
        <w:bottom w:w="0" w:type="dxa"/>
      </w:tblCellMar>
    </w:tblPr>
  </w:style>
  <w:style w:type="table" w:styleId="950" w:customStyle="1">
    <w:name w:val="List Table 6 Colorful - Accent 6"/>
    <w:uiPriority w:val="99"/>
    <w:qFormat/>
    <w:tblPr>
      <w:tblCellMar>
        <w:left w:w="0" w:type="dxa"/>
        <w:top w:w="0" w:type="dxa"/>
        <w:right w:w="0" w:type="dxa"/>
        <w:bottom w:w="0" w:type="dxa"/>
      </w:tblCellMar>
    </w:tblPr>
  </w:style>
  <w:style w:type="table" w:styleId="951" w:customStyle="1">
    <w:name w:val="清单表 7 彩色1"/>
    <w:uiPriority w:val="99"/>
    <w:qFormat/>
    <w:tblPr>
      <w:tblCellMar>
        <w:left w:w="0" w:type="dxa"/>
        <w:top w:w="0" w:type="dxa"/>
        <w:right w:w="0" w:type="dxa"/>
        <w:bottom w:w="0" w:type="dxa"/>
      </w:tblCellMar>
    </w:tblPr>
  </w:style>
  <w:style w:type="table" w:styleId="952" w:customStyle="1">
    <w:name w:val="List Table 7 Colorful - Accent 1"/>
    <w:uiPriority w:val="99"/>
    <w:qFormat/>
    <w:tblPr>
      <w:tblCellMar>
        <w:left w:w="0" w:type="dxa"/>
        <w:top w:w="0" w:type="dxa"/>
        <w:right w:w="0" w:type="dxa"/>
        <w:bottom w:w="0" w:type="dxa"/>
      </w:tblCellMar>
    </w:tblPr>
  </w:style>
  <w:style w:type="table" w:styleId="953" w:customStyle="1">
    <w:name w:val="List Table 7 Colorful - Accent 2"/>
    <w:uiPriority w:val="99"/>
    <w:qFormat/>
    <w:tblPr>
      <w:tblCellMar>
        <w:left w:w="0" w:type="dxa"/>
        <w:top w:w="0" w:type="dxa"/>
        <w:right w:w="0" w:type="dxa"/>
        <w:bottom w:w="0" w:type="dxa"/>
      </w:tblCellMar>
    </w:tblPr>
  </w:style>
  <w:style w:type="table" w:styleId="954" w:customStyle="1">
    <w:name w:val="List Table 7 Colorful - Accent 3"/>
    <w:uiPriority w:val="99"/>
    <w:qFormat/>
    <w:tblPr>
      <w:tblCellMar>
        <w:left w:w="0" w:type="dxa"/>
        <w:top w:w="0" w:type="dxa"/>
        <w:right w:w="0" w:type="dxa"/>
        <w:bottom w:w="0" w:type="dxa"/>
      </w:tblCellMar>
    </w:tblPr>
  </w:style>
  <w:style w:type="table" w:styleId="955" w:customStyle="1">
    <w:name w:val="List Table 7 Colorful - Accent 4"/>
    <w:uiPriority w:val="99"/>
    <w:qFormat/>
    <w:tblPr>
      <w:tblCellMar>
        <w:left w:w="0" w:type="dxa"/>
        <w:top w:w="0" w:type="dxa"/>
        <w:right w:w="0" w:type="dxa"/>
        <w:bottom w:w="0" w:type="dxa"/>
      </w:tblCellMar>
    </w:tblPr>
  </w:style>
  <w:style w:type="table" w:styleId="956" w:customStyle="1">
    <w:name w:val="List Table 7 Colorful - Accent 5"/>
    <w:uiPriority w:val="99"/>
    <w:qFormat/>
    <w:tblPr>
      <w:tblCellMar>
        <w:left w:w="0" w:type="dxa"/>
        <w:top w:w="0" w:type="dxa"/>
        <w:right w:w="0" w:type="dxa"/>
        <w:bottom w:w="0" w:type="dxa"/>
      </w:tblCellMar>
    </w:tblPr>
  </w:style>
  <w:style w:type="table" w:styleId="957" w:customStyle="1">
    <w:name w:val="List Table 7 Colorful - Accent 6"/>
    <w:uiPriority w:val="99"/>
    <w:qFormat/>
    <w:tblPr>
      <w:tblCellMar>
        <w:left w:w="0" w:type="dxa"/>
        <w:top w:w="0" w:type="dxa"/>
        <w:right w:w="0" w:type="dxa"/>
        <w:bottom w:w="0" w:type="dxa"/>
      </w:tblCellMar>
    </w:tblPr>
  </w:style>
  <w:style w:type="table" w:styleId="958" w:customStyle="1">
    <w:name w:val="Lined - Accent"/>
    <w:uiPriority w:val="99"/>
    <w:qFormat/>
    <w:rPr>
      <w:color w:val="404040"/>
    </w:rPr>
    <w:tblPr>
      <w:tblCellMar>
        <w:left w:w="0" w:type="dxa"/>
        <w:top w:w="0" w:type="dxa"/>
        <w:right w:w="0" w:type="dxa"/>
        <w:bottom w:w="0" w:type="dxa"/>
      </w:tblCellMar>
    </w:tblPr>
  </w:style>
  <w:style w:type="table" w:styleId="959" w:customStyle="1">
    <w:name w:val="Lined - Accent 1"/>
    <w:uiPriority w:val="99"/>
    <w:qFormat/>
    <w:rPr>
      <w:color w:val="404040"/>
    </w:rPr>
    <w:tblPr>
      <w:tblCellMar>
        <w:left w:w="0" w:type="dxa"/>
        <w:top w:w="0" w:type="dxa"/>
        <w:right w:w="0" w:type="dxa"/>
        <w:bottom w:w="0" w:type="dxa"/>
      </w:tblCellMar>
    </w:tblPr>
  </w:style>
  <w:style w:type="table" w:styleId="960" w:customStyle="1">
    <w:name w:val="Lined - Accent 2"/>
    <w:uiPriority w:val="99"/>
    <w:qFormat/>
    <w:rPr>
      <w:color w:val="404040"/>
    </w:rPr>
    <w:tblPr>
      <w:tblCellMar>
        <w:left w:w="0" w:type="dxa"/>
        <w:top w:w="0" w:type="dxa"/>
        <w:right w:w="0" w:type="dxa"/>
        <w:bottom w:w="0" w:type="dxa"/>
      </w:tblCellMar>
    </w:tblPr>
  </w:style>
  <w:style w:type="table" w:styleId="961" w:customStyle="1">
    <w:name w:val="Lined - Accent 3"/>
    <w:uiPriority w:val="99"/>
    <w:qFormat/>
    <w:rPr>
      <w:color w:val="404040"/>
    </w:rPr>
    <w:tblPr>
      <w:tblCellMar>
        <w:left w:w="0" w:type="dxa"/>
        <w:top w:w="0" w:type="dxa"/>
        <w:right w:w="0" w:type="dxa"/>
        <w:bottom w:w="0" w:type="dxa"/>
      </w:tblCellMar>
    </w:tblPr>
  </w:style>
  <w:style w:type="table" w:styleId="962" w:customStyle="1">
    <w:name w:val="Lined - Accent 4"/>
    <w:uiPriority w:val="99"/>
    <w:qFormat/>
    <w:rPr>
      <w:color w:val="404040"/>
    </w:rPr>
    <w:tblPr>
      <w:tblCellMar>
        <w:left w:w="0" w:type="dxa"/>
        <w:top w:w="0" w:type="dxa"/>
        <w:right w:w="0" w:type="dxa"/>
        <w:bottom w:w="0" w:type="dxa"/>
      </w:tblCellMar>
    </w:tblPr>
  </w:style>
  <w:style w:type="table" w:styleId="963" w:customStyle="1">
    <w:name w:val="Lined - Accent 5"/>
    <w:uiPriority w:val="99"/>
    <w:qFormat/>
    <w:rPr>
      <w:color w:val="404040"/>
    </w:rPr>
    <w:tblPr>
      <w:tblCellMar>
        <w:left w:w="0" w:type="dxa"/>
        <w:top w:w="0" w:type="dxa"/>
        <w:right w:w="0" w:type="dxa"/>
        <w:bottom w:w="0" w:type="dxa"/>
      </w:tblCellMar>
    </w:tblPr>
  </w:style>
  <w:style w:type="table" w:styleId="964" w:customStyle="1">
    <w:name w:val="Lined - Accent 6"/>
    <w:uiPriority w:val="99"/>
    <w:qFormat/>
    <w:rPr>
      <w:color w:val="404040"/>
    </w:rPr>
    <w:tblPr>
      <w:tblCellMar>
        <w:left w:w="0" w:type="dxa"/>
        <w:top w:w="0" w:type="dxa"/>
        <w:right w:w="0" w:type="dxa"/>
        <w:bottom w:w="0" w:type="dxa"/>
      </w:tblCellMar>
    </w:tblPr>
  </w:style>
  <w:style w:type="table" w:styleId="965" w:customStyle="1">
    <w:name w:val="Bordered &amp; Lined - Accent"/>
    <w:uiPriority w:val="99"/>
    <w:qFormat/>
    <w:rPr>
      <w:color w:val="404040"/>
    </w:rPr>
    <w:tblPr>
      <w:tblCellMar>
        <w:left w:w="0" w:type="dxa"/>
        <w:top w:w="0" w:type="dxa"/>
        <w:right w:w="0" w:type="dxa"/>
        <w:bottom w:w="0" w:type="dxa"/>
      </w:tblCellMar>
    </w:tblPr>
  </w:style>
  <w:style w:type="table" w:styleId="966" w:customStyle="1">
    <w:name w:val="Bordered &amp; Lined - Accent 1"/>
    <w:uiPriority w:val="99"/>
    <w:qFormat/>
    <w:rPr>
      <w:color w:val="404040"/>
    </w:rPr>
    <w:tblPr>
      <w:tblCellMar>
        <w:left w:w="0" w:type="dxa"/>
        <w:top w:w="0" w:type="dxa"/>
        <w:right w:w="0" w:type="dxa"/>
        <w:bottom w:w="0" w:type="dxa"/>
      </w:tblCellMar>
    </w:tblPr>
  </w:style>
  <w:style w:type="table" w:styleId="967" w:customStyle="1">
    <w:name w:val="Bordered &amp; Lined - Accent 2"/>
    <w:uiPriority w:val="99"/>
    <w:qFormat/>
    <w:rPr>
      <w:color w:val="404040"/>
    </w:rPr>
    <w:tblPr>
      <w:tblCellMar>
        <w:left w:w="0" w:type="dxa"/>
        <w:top w:w="0" w:type="dxa"/>
        <w:right w:w="0" w:type="dxa"/>
        <w:bottom w:w="0" w:type="dxa"/>
      </w:tblCellMar>
    </w:tblPr>
  </w:style>
  <w:style w:type="table" w:styleId="968" w:customStyle="1">
    <w:name w:val="Bordered &amp; Lined - Accent 3"/>
    <w:uiPriority w:val="99"/>
    <w:qFormat/>
    <w:rPr>
      <w:color w:val="404040"/>
    </w:rPr>
    <w:tblPr>
      <w:tblCellMar>
        <w:left w:w="0" w:type="dxa"/>
        <w:top w:w="0" w:type="dxa"/>
        <w:right w:w="0" w:type="dxa"/>
        <w:bottom w:w="0" w:type="dxa"/>
      </w:tblCellMar>
    </w:tblPr>
  </w:style>
  <w:style w:type="table" w:styleId="969" w:customStyle="1">
    <w:name w:val="Bordered &amp; Lined - Accent 4"/>
    <w:uiPriority w:val="99"/>
    <w:qFormat/>
    <w:rPr>
      <w:color w:val="404040"/>
    </w:rPr>
    <w:tblPr>
      <w:tblCellMar>
        <w:left w:w="0" w:type="dxa"/>
        <w:top w:w="0" w:type="dxa"/>
        <w:right w:w="0" w:type="dxa"/>
        <w:bottom w:w="0" w:type="dxa"/>
      </w:tblCellMar>
    </w:tblPr>
  </w:style>
  <w:style w:type="table" w:styleId="970" w:customStyle="1">
    <w:name w:val="Bordered &amp; Lined - Accent 5"/>
    <w:uiPriority w:val="99"/>
    <w:qFormat/>
    <w:rPr>
      <w:color w:val="404040"/>
    </w:rPr>
    <w:tblPr>
      <w:tblCellMar>
        <w:left w:w="0" w:type="dxa"/>
        <w:top w:w="0" w:type="dxa"/>
        <w:right w:w="0" w:type="dxa"/>
        <w:bottom w:w="0" w:type="dxa"/>
      </w:tblCellMar>
    </w:tblPr>
  </w:style>
  <w:style w:type="table" w:styleId="971" w:customStyle="1">
    <w:name w:val="Bordered &amp; Lined - Accent 6"/>
    <w:uiPriority w:val="99"/>
    <w:qFormat/>
    <w:rPr>
      <w:color w:val="404040"/>
    </w:rPr>
    <w:tblPr>
      <w:tblCellMar>
        <w:left w:w="0" w:type="dxa"/>
        <w:top w:w="0" w:type="dxa"/>
        <w:right w:w="0" w:type="dxa"/>
        <w:bottom w:w="0" w:type="dxa"/>
      </w:tblCellMar>
    </w:tblPr>
  </w:style>
  <w:style w:type="table" w:styleId="972" w:customStyle="1">
    <w:name w:val="Bordered"/>
    <w:uiPriority w:val="99"/>
    <w:qFormat/>
    <w:tblPr>
      <w:tblCellMar>
        <w:left w:w="0" w:type="dxa"/>
        <w:top w:w="0" w:type="dxa"/>
        <w:right w:w="0" w:type="dxa"/>
        <w:bottom w:w="0" w:type="dxa"/>
      </w:tblCellMar>
    </w:tblPr>
  </w:style>
  <w:style w:type="table" w:styleId="973" w:customStyle="1">
    <w:name w:val="Bordered - Accent 1"/>
    <w:uiPriority w:val="99"/>
    <w:qFormat/>
    <w:tblPr>
      <w:tblCellMar>
        <w:left w:w="0" w:type="dxa"/>
        <w:top w:w="0" w:type="dxa"/>
        <w:right w:w="0" w:type="dxa"/>
        <w:bottom w:w="0" w:type="dxa"/>
      </w:tblCellMar>
    </w:tblPr>
  </w:style>
  <w:style w:type="table" w:styleId="974" w:customStyle="1">
    <w:name w:val="Bordered - Accent 2"/>
    <w:uiPriority w:val="99"/>
    <w:qFormat/>
    <w:tblPr>
      <w:tblCellMar>
        <w:left w:w="0" w:type="dxa"/>
        <w:top w:w="0" w:type="dxa"/>
        <w:right w:w="0" w:type="dxa"/>
        <w:bottom w:w="0" w:type="dxa"/>
      </w:tblCellMar>
    </w:tblPr>
  </w:style>
  <w:style w:type="table" w:styleId="975" w:customStyle="1">
    <w:name w:val="Bordered - Accent 3"/>
    <w:uiPriority w:val="99"/>
    <w:qFormat/>
    <w:tblPr>
      <w:tblCellMar>
        <w:left w:w="0" w:type="dxa"/>
        <w:top w:w="0" w:type="dxa"/>
        <w:right w:w="0" w:type="dxa"/>
        <w:bottom w:w="0" w:type="dxa"/>
      </w:tblCellMar>
    </w:tblPr>
  </w:style>
  <w:style w:type="table" w:styleId="976" w:customStyle="1">
    <w:name w:val="Bordered - Accent 4"/>
    <w:uiPriority w:val="99"/>
    <w:qFormat/>
    <w:tblPr>
      <w:tblCellMar>
        <w:left w:w="0" w:type="dxa"/>
        <w:top w:w="0" w:type="dxa"/>
        <w:right w:w="0" w:type="dxa"/>
        <w:bottom w:w="0" w:type="dxa"/>
      </w:tblCellMar>
    </w:tblPr>
  </w:style>
  <w:style w:type="table" w:styleId="977" w:customStyle="1">
    <w:name w:val="Bordered - Accent 5"/>
    <w:uiPriority w:val="99"/>
    <w:qFormat/>
    <w:tblPr>
      <w:tblCellMar>
        <w:left w:w="0" w:type="dxa"/>
        <w:top w:w="0" w:type="dxa"/>
        <w:right w:w="0" w:type="dxa"/>
        <w:bottom w:w="0" w:type="dxa"/>
      </w:tblCellMar>
    </w:tblPr>
  </w:style>
  <w:style w:type="table" w:styleId="978" w:customStyle="1">
    <w:name w:val="Bordered - Accent 6"/>
    <w:uiPriority w:val="99"/>
    <w:qFormat/>
    <w:tblPr>
      <w:tblCellMar>
        <w:left w:w="0" w:type="dxa"/>
        <w:top w:w="0" w:type="dxa"/>
        <w:right w:w="0" w:type="dxa"/>
        <w:bottom w:w="0" w:type="dxa"/>
      </w:tblCellMar>
    </w:tblPr>
  </w:style>
  <w:style w:type="paragraph" w:styleId="979" w:customStyle="1">
    <w:name w:val="TOC 标题1"/>
    <w:uiPriority w:val="39"/>
    <w:unhideWhenUsed/>
    <w:qFormat/>
  </w:style>
  <w:style w:type="paragraph" w:styleId="980" w:customStyle="1">
    <w:name w:val="修订1"/>
    <w:uiPriority w:val="99"/>
    <w:semiHidden/>
    <w:qFormat/>
    <w:rPr>
      <w:sz w:val="21"/>
      <w:szCs w:val="22"/>
    </w:rPr>
  </w:style>
  <w:style w:type="paragraph" w:styleId="981" w:customStyle="1">
    <w:name w:val="_正文段落"/>
    <w:basedOn w:val="731"/>
    <w:qFormat/>
    <w:pPr>
      <w:ind w:firstLine="200"/>
      <w:jc w:val="left"/>
      <w:spacing w:line="360" w:lineRule="auto"/>
    </w:pPr>
    <w:rPr>
      <w:rFonts w:ascii="宋体" w:hAnsi="宋体"/>
      <w:sz w:val="24"/>
      <w:szCs w:val="24"/>
    </w:rPr>
  </w:style>
  <w:style w:type="paragraph" w:styleId="982" w:customStyle="1">
    <w:name w:val="纯文本11"/>
    <w:basedOn w:val="731"/>
    <w:uiPriority w:val="99"/>
    <w:qFormat/>
    <w:rPr>
      <w:rFonts w:ascii="宋体" w:hAnsi="Courier New" w:eastAsia="楷体_GB2312"/>
      <w:sz w:val="26"/>
      <w:szCs w:val="24"/>
    </w:rPr>
  </w:style>
  <w:style w:type="character" w:styleId="983" w:customStyle="1">
    <w:name w:val="页脚 字符"/>
    <w:uiPriority w:val="99"/>
    <w:qFormat/>
    <w:rPr>
      <w:rFonts w:ascii="Calibri" w:hAnsi="Calibri" w:eastAsia="宋体"/>
      <w:sz w:val="18"/>
      <w:szCs w:val="18"/>
    </w:rPr>
  </w:style>
  <w:style w:type="character" w:styleId="984" w:customStyle="1">
    <w:name w:val="纯文本 字符"/>
    <w:qFormat/>
    <w:rPr>
      <w:rFonts w:ascii="宋体" w:hAnsi="Courier New" w:eastAsia="宋体" w:cs="Courier New"/>
      <w:sz w:val="21"/>
      <w:szCs w:val="21"/>
    </w:rPr>
  </w:style>
  <w:style w:type="character" w:styleId="985" w:customStyle="1">
    <w:name w:val="Plain Text Char Char"/>
    <w:link w:val="986"/>
    <w:qFormat/>
    <w:rPr>
      <w:rFonts w:ascii="宋体" w:hAnsi="Courier New" w:eastAsia="楷体_GB2312"/>
      <w:sz w:val="28"/>
    </w:rPr>
  </w:style>
  <w:style w:type="paragraph" w:styleId="986" w:customStyle="1">
    <w:name w:val="纯文本1"/>
    <w:basedOn w:val="731"/>
    <w:link w:val="985"/>
    <w:qFormat/>
    <w:rPr>
      <w:rFonts w:ascii="宋体" w:hAnsi="Courier New" w:eastAsia="楷体_GB2312"/>
      <w:sz w:val="28"/>
      <w:szCs w:val="20"/>
      <w:lang w:eastAsia="en-US"/>
    </w:rPr>
  </w:style>
  <w:style w:type="paragraph" w:styleId="987" w:customStyle="1">
    <w:name w:val="段"/>
    <w:next w:val="731"/>
    <w:qFormat/>
    <w:pPr>
      <w:ind w:firstLine="200"/>
      <w:jc w:val="both"/>
    </w:pPr>
    <w:rPr>
      <w:rFonts w:ascii="宋体" w:hAnsi="宋体"/>
      <w:sz w:val="21"/>
      <w:szCs w:val="21"/>
    </w:rPr>
  </w:style>
  <w:style w:type="character" w:styleId="988" w:customStyle="1">
    <w:name w:val="页眉 字符"/>
    <w:uiPriority w:val="99"/>
    <w:qFormat/>
    <w:rPr>
      <w:sz w:val="18"/>
      <w:szCs w:val="18"/>
    </w:rPr>
  </w:style>
  <w:style w:type="character" w:styleId="989" w:customStyle="1">
    <w:name w:val="批注框文本 字符"/>
    <w:uiPriority w:val="99"/>
    <w:qFormat/>
    <w:rPr>
      <w:sz w:val="18"/>
      <w:szCs w:val="18"/>
    </w:rPr>
  </w:style>
  <w:style w:type="paragraph" w:styleId="990" w:customStyle="1">
    <w:name w:val="彩色列表 - 强调文字颜色 11"/>
    <w:basedOn w:val="731"/>
    <w:qFormat/>
    <w:pPr>
      <w:ind w:firstLine="420"/>
    </w:pPr>
    <w:rPr>
      <w:rFonts w:ascii="Times New Roman" w:hAnsi="Times New Roman"/>
      <w:sz w:val="26"/>
      <w:szCs w:val="24"/>
    </w:rPr>
  </w:style>
  <w:style w:type="paragraph" w:styleId="991" w:customStyle="1">
    <w:name w:val="正文文本1"/>
    <w:basedOn w:val="731"/>
    <w:unhideWhenUsed/>
    <w:qFormat/>
    <w:rPr>
      <w:rFonts w:ascii="楷体_GB2312" w:hAnsi="Times New Roman" w:eastAsia="楷体_GB2312"/>
      <w:b/>
      <w:bCs/>
      <w:sz w:val="28"/>
      <w:szCs w:val="20"/>
    </w:rPr>
  </w:style>
  <w:style w:type="character" w:styleId="992" w:customStyle="1">
    <w:name w:val="Plain Text Char1"/>
    <w:qFormat/>
    <w:rPr>
      <w:rFonts w:ascii="宋体" w:hAnsi="Courier New" w:eastAsia="楷体_GB2312"/>
      <w:sz w:val="28"/>
    </w:rPr>
  </w:style>
  <w:style w:type="paragraph" w:styleId="993" w:customStyle="1">
    <w:name w:val="纯文本2"/>
    <w:basedOn w:val="731"/>
    <w:qFormat/>
    <w:rPr>
      <w:rFonts w:ascii="宋体" w:hAnsi="Courier New" w:eastAsia="楷体_GB2312"/>
      <w:sz w:val="26"/>
      <w:szCs w:val="20"/>
    </w:rPr>
  </w:style>
  <w:style w:type="paragraph" w:styleId="994" w:customStyle="1">
    <w:name w:val="普通(网站)1"/>
    <w:basedOn w:val="731"/>
    <w:pPr>
      <w:jc w:val="left"/>
      <w:spacing w:before="100" w:beforeAutospacing="1" w:after="100" w:afterAutospacing="1"/>
      <w:widowControl/>
    </w:pPr>
    <w:rPr>
      <w:rFonts w:ascii="宋体" w:hAnsi="宋体" w:eastAsia="等线"/>
      <w:sz w:val="24"/>
      <w:szCs w:val="20"/>
    </w:rPr>
  </w:style>
  <w:style w:type="paragraph" w:styleId="995" w:customStyle="1">
    <w:name w:val="纯文本3"/>
    <w:basedOn w:val="731"/>
    <w:rPr>
      <w:rFonts w:ascii="宋体" w:hAnsi="Courier New" w:eastAsia="楷体_GB2312"/>
      <w:sz w:val="28"/>
      <w:szCs w:val="20"/>
    </w:rPr>
  </w:style>
  <w:style w:type="paragraph" w:styleId="996" w:customStyle="1">
    <w:name w:val="纯文本8"/>
    <w:basedOn w:val="731"/>
    <w:qFormat/>
    <w:rPr>
      <w:rFonts w:ascii="宋体" w:hAnsi="Courier New" w:eastAsia="楷体_GB2312"/>
      <w:sz w:val="26"/>
      <w:szCs w:val="20"/>
    </w:rPr>
  </w:style>
  <w:style w:type="paragraph" w:styleId="997" w:customStyle="1">
    <w:name w:val="_paragraph_1h3l3_2"/>
    <w:basedOn w:val="731"/>
    <w:pPr>
      <w:jc w:val="left"/>
      <w:spacing w:before="100" w:beforeAutospacing="1" w:after="100" w:afterAutospacing="1"/>
      <w:widowControl/>
    </w:pPr>
    <w:rPr>
      <w:rFonts w:ascii="宋体" w:hAnsi="宋体" w:cs="宋体"/>
      <w:sz w:val="24"/>
      <w:szCs w:val="24"/>
    </w:rPr>
  </w:style>
  <w:style w:type="paragraph" w:styleId="998">
    <w:name w:val="envelope return"/>
    <w:basedOn w:val="731"/>
    <w:unhideWhenUsed/>
    <w:qFormat/>
    <w:rPr>
      <w:rFonts w:ascii="Arial" w:hAnsi="Arial" w:eastAsia="楷体_GB2312"/>
      <w:sz w:val="26"/>
      <w:szCs w:val="20"/>
    </w:rPr>
  </w:style>
  <w:style w:type="character" w:styleId="999" w:customStyle="1">
    <w:name w:val="font21"/>
    <w:qFormat/>
    <w:rPr>
      <w:rFonts w:hint="eastAsia" w:ascii="宋体" w:hAnsi="宋体" w:eastAsia="宋体" w:cs="宋体"/>
      <w:color w:val="000000"/>
      <w:sz w:val="24"/>
      <w:szCs w:val="24"/>
      <w:u w:val="none"/>
    </w:rPr>
  </w:style>
  <w:style w:type="character" w:styleId="1000" w:customStyle="1">
    <w:name w:val="font31"/>
    <w:qFormat/>
    <w:rPr>
      <w:rFonts w:hint="eastAsia" w:ascii="宋体" w:hAnsi="宋体" w:eastAsia="宋体" w:cs="宋体"/>
      <w:color w:val="000000"/>
      <w:sz w:val="18"/>
      <w:szCs w:val="18"/>
      <w:u w:val="none"/>
    </w:rPr>
  </w:style>
  <w:style w:type="character" w:styleId="1001" w:customStyle="1">
    <w:name w:val="font01"/>
    <w:qFormat/>
    <w:rPr>
      <w:rFonts w:ascii="Calibri" w:hAnsi="Calibri" w:cs="Calibri"/>
      <w:color w:val="000000"/>
      <w:sz w:val="21"/>
      <w:szCs w:val="21"/>
      <w:u w:val="none"/>
    </w:rPr>
  </w:style>
  <w:style w:type="paragraph" w:styleId="1002">
    <w:name w:val="Body Text Indent 2"/>
    <w:basedOn w:val="731"/>
    <w:link w:val="1003"/>
    <w:unhideWhenUsed/>
    <w:qFormat/>
    <w:pPr>
      <w:ind w:left="200"/>
      <w:spacing w:after="120" w:line="480" w:lineRule="auto"/>
    </w:pPr>
  </w:style>
  <w:style w:type="character" w:styleId="1003" w:customStyle="1">
    <w:name w:val="正文文本缩进 2 字符"/>
    <w:link w:val="1002"/>
    <w:qFormat/>
    <w:rPr>
      <w:sz w:val="21"/>
      <w:szCs w:val="22"/>
    </w:rPr>
  </w:style>
  <w:style w:type="paragraph" w:styleId="1004" w:customStyle="1">
    <w:name w:val="首行缩进"/>
    <w:basedOn w:val="731"/>
    <w:qFormat/>
    <w:pPr>
      <w:ind w:firstLine="480"/>
    </w:pPr>
    <w:rPr>
      <w:rFonts w:ascii="Times New Roman" w:hAnsi="Times New Roman"/>
      <w:szCs w:val="24"/>
      <w:lang w:val="zh-CN"/>
    </w:rPr>
  </w:style>
  <w:style w:type="character" w:styleId="1005" w:customStyle="1">
    <w:name w:val="cosc-title-slot"/>
  </w:style>
  <w:style w:type="paragraph" w:styleId="1006" w:customStyle="1">
    <w:name w:val="正文首行缩进 21"/>
    <w:basedOn w:val="731"/>
    <w:qFormat/>
    <w:pPr>
      <w:ind w:left="570" w:firstLine="420"/>
      <w:spacing w:line="520" w:lineRule="exact"/>
    </w:pPr>
    <w:rPr>
      <w:rFonts w:ascii="方正仿宋简体" w:hAnsi="创艺简仿宋" w:eastAsia="楷体_GB2312"/>
      <w:sz w:val="28"/>
      <w:szCs w:val="20"/>
    </w:rPr>
  </w:style>
  <w:style w:type="paragraph" w:styleId="1007" w:customStyle="1">
    <w:name w:val="正文文本缩进1"/>
    <w:basedOn w:val="731"/>
    <w:next w:val="731"/>
    <w:qFormat/>
    <w:pPr>
      <w:ind w:firstLine="570"/>
      <w:spacing w:line="360" w:lineRule="auto"/>
    </w:pPr>
    <w:rPr>
      <w:rFonts w:ascii="宋体"/>
      <w:sz w:val="24"/>
      <w:szCs w:val="24"/>
    </w:rPr>
  </w:style>
  <w:style w:type="paragraph" w:styleId="1008" w:customStyle="1">
    <w:name w:val="正文首行缩进1"/>
    <w:basedOn w:val="991"/>
    <w:unhideWhenUsed/>
    <w:qFormat/>
    <w:pPr>
      <w:ind w:right="392" w:firstLine="200"/>
      <w:spacing w:line="500" w:lineRule="exact"/>
    </w:pPr>
    <w:rPr>
      <w:rFonts w:ascii="仿宋" w:hAnsi="仿宋" w:eastAsia="仿宋"/>
      <w:b w:val="0"/>
      <w:bCs w:val="0"/>
      <w:szCs w:val="22"/>
      <w:lang w:val="en-GB" w:eastAsia="en-US"/>
    </w:rPr>
  </w:style>
  <w:style w:type="paragraph" w:styleId="1009" w:customStyle="1">
    <w:name w:val="正文缩进1"/>
    <w:basedOn w:val="731"/>
    <w:next w:val="731"/>
    <w:qFormat/>
    <w:pPr>
      <w:ind w:firstLine="420"/>
      <w:jc w:val="left"/>
    </w:pPr>
    <w:rPr>
      <w:rFonts w:ascii="Times New Roman" w:hAnsi="Times New Roman" w:eastAsia="楷体_GB2312"/>
      <w:sz w:val="24"/>
    </w:rPr>
  </w:style>
  <w:style w:type="paragraph" w:styleId="1010">
    <w:name w:val="List Bullet"/>
    <w:basedOn w:val="732"/>
    <w:next w:val="731"/>
    <w:pPr>
      <w:numPr>
        <w:numId w:val="4"/>
      </w:numPr>
      <w:ind w:left="0" w:firstLine="0"/>
      <w:keepLines w:val="0"/>
      <w:keepNext w:val="0"/>
      <w:spacing w:before="340" w:after="330" w:line="578" w:lineRule="auto"/>
      <w:tabs>
        <w:tab w:val="left" w:pos="360" w:leader="none"/>
      </w:tabs>
    </w:pPr>
    <w:rPr>
      <w:rFonts w:ascii="Calibri" w:hAnsi="Calibri" w:eastAsia="宋体"/>
      <w:sz w:val="21"/>
      <w:szCs w:val="22"/>
      <w:lang w:eastAsia="zh-CN"/>
    </w:rPr>
  </w:style>
  <w:style w:type="paragraph" w:styleId="1011">
    <w:name w:val="Document Map"/>
    <w:basedOn w:val="731"/>
    <w:link w:val="1012"/>
    <w:qFormat/>
    <w:rPr>
      <w:rFonts w:ascii="宋体" w:hAnsi="Times New Roman"/>
      <w:sz w:val="18"/>
      <w:szCs w:val="18"/>
    </w:rPr>
  </w:style>
  <w:style w:type="character" w:styleId="1012" w:customStyle="1">
    <w:name w:val="文档结构图 字符"/>
    <w:link w:val="1011"/>
    <w:qFormat/>
    <w:rPr>
      <w:rFonts w:ascii="宋体" w:hAnsi="Times New Roman"/>
      <w:sz w:val="18"/>
      <w:szCs w:val="18"/>
    </w:rPr>
  </w:style>
  <w:style w:type="paragraph" w:styleId="1013" w:customStyle="1">
    <w:name w:val="Default"/>
    <w:next w:val="731"/>
    <w:qFormat/>
    <w:pPr>
      <w:widowControl w:val="off"/>
    </w:pPr>
    <w:rPr>
      <w:rFonts w:ascii="宋体_x0001_糭.飬.." w:hAnsi="Times New Roman" w:eastAsia="宋体_x0001_糭.飬.." w:cs="宋体_x0001_糭.飬.."/>
      <w:color w:val="000000"/>
      <w:sz w:val="24"/>
      <w:szCs w:val="24"/>
    </w:rPr>
  </w:style>
  <w:style w:type="paragraph" w:styleId="1014">
    <w:name w:val="Body Text Indent"/>
    <w:basedOn w:val="731"/>
    <w:next w:val="731"/>
    <w:link w:val="1015"/>
    <w:qFormat/>
    <w:pPr>
      <w:ind w:left="420"/>
      <w:spacing w:after="120"/>
    </w:pPr>
    <w:rPr>
      <w:rFonts w:ascii="Times New Roman" w:hAnsi="Times New Roman"/>
      <w:szCs w:val="24"/>
    </w:rPr>
  </w:style>
  <w:style w:type="character" w:styleId="1015" w:customStyle="1">
    <w:name w:val="正文文本缩进 字符"/>
    <w:link w:val="1014"/>
    <w:qFormat/>
    <w:rPr>
      <w:rFonts w:ascii="Times New Roman" w:hAnsi="Times New Roman"/>
      <w:sz w:val="21"/>
      <w:szCs w:val="24"/>
    </w:rPr>
  </w:style>
  <w:style w:type="paragraph" w:styleId="1016">
    <w:name w:val="List 2"/>
    <w:basedOn w:val="732"/>
    <w:next w:val="777"/>
    <w:qFormat/>
    <w:pPr>
      <w:ind w:left="100" w:firstLine="3640"/>
      <w:keepLines w:val="0"/>
      <w:keepNext w:val="0"/>
      <w:spacing w:before="0" w:after="0"/>
    </w:pPr>
    <w:rPr>
      <w:rFonts w:ascii="Times New Roman" w:hAnsi="Times New Roman" w:eastAsia="宋体"/>
      <w:sz w:val="21"/>
      <w:szCs w:val="22"/>
      <w:lang w:eastAsia="zh-CN"/>
    </w:rPr>
  </w:style>
  <w:style w:type="paragraph" w:styleId="1017">
    <w:name w:val="Body Text Indent 3"/>
    <w:basedOn w:val="731"/>
    <w:link w:val="1018"/>
    <w:qFormat/>
    <w:pPr>
      <w:ind w:firstLine="480"/>
      <w:jc w:val="left"/>
      <w:spacing w:line="440" w:lineRule="atLeast"/>
    </w:pPr>
    <w:rPr>
      <w:rFonts w:ascii="Times New Roman" w:hAnsi="Times New Roman"/>
      <w:sz w:val="24"/>
      <w:szCs w:val="24"/>
    </w:rPr>
  </w:style>
  <w:style w:type="character" w:styleId="1018" w:customStyle="1">
    <w:name w:val="正文文本缩进 3 字符"/>
    <w:link w:val="1017"/>
    <w:qFormat/>
    <w:rPr>
      <w:rFonts w:ascii="Times New Roman" w:hAnsi="Times New Roman"/>
      <w:sz w:val="24"/>
      <w:szCs w:val="24"/>
    </w:rPr>
  </w:style>
  <w:style w:type="paragraph" w:styleId="1019">
    <w:name w:val="Body Text 2"/>
    <w:basedOn w:val="732"/>
    <w:next w:val="1010"/>
    <w:link w:val="1020"/>
    <w:qFormat/>
    <w:pPr>
      <w:ind w:firstLine="1024"/>
      <w:keepLines w:val="0"/>
      <w:keepNext w:val="0"/>
      <w:spacing w:before="0" w:after="120" w:line="480" w:lineRule="auto"/>
    </w:pPr>
    <w:rPr>
      <w:rFonts w:ascii="Calibri" w:hAnsi="Calibri" w:eastAsia="宋体"/>
      <w:sz w:val="21"/>
      <w:szCs w:val="22"/>
      <w:lang w:eastAsia="zh-CN"/>
    </w:rPr>
  </w:style>
  <w:style w:type="character" w:styleId="1020" w:customStyle="1">
    <w:name w:val="正文文本 2 字符"/>
    <w:link w:val="1019"/>
    <w:rPr>
      <w:sz w:val="21"/>
      <w:szCs w:val="22"/>
    </w:rPr>
  </w:style>
  <w:style w:type="character" w:styleId="1021" w:customStyle="1">
    <w:name w:val="正文首行缩进 2 Char"/>
    <w:link w:val="809"/>
    <w:rPr>
      <w:sz w:val="21"/>
    </w:rPr>
  </w:style>
  <w:style w:type="paragraph" w:styleId="1022" w:customStyle="1">
    <w:name w:val="文本块1"/>
    <w:basedOn w:val="731"/>
    <w:next w:val="731"/>
    <w:qFormat/>
    <w:pPr>
      <w:ind w:left="630" w:right="-609" w:firstLine="420"/>
      <w:spacing w:line="360" w:lineRule="auto"/>
    </w:pPr>
    <w:rPr>
      <w:rFonts w:hint="eastAsia" w:ascii="仿宋_GB2312" w:hAnsi="Times New Roman" w:eastAsia="仿宋_GB2312"/>
      <w:szCs w:val="20"/>
    </w:rPr>
  </w:style>
  <w:style w:type="character" w:styleId="1023" w:customStyle="1">
    <w:name w:val="默认段落字体1"/>
    <w:semiHidden/>
    <w:qFormat/>
  </w:style>
  <w:style w:type="character" w:styleId="1024" w:customStyle="1">
    <w:name w:val="超链接1"/>
    <w:uiPriority w:val="99"/>
    <w:qFormat/>
    <w:rPr>
      <w:sz w:val="21"/>
      <w:szCs w:val="22"/>
      <w:lang w:val="en-US" w:eastAsia="zh-CN" w:bidi="ar-SA"/>
    </w:rPr>
  </w:style>
  <w:style w:type="character" w:styleId="1025" w:customStyle="1">
    <w:name w:val="font11"/>
    <w:qFormat/>
    <w:rPr>
      <w:rFonts w:hint="eastAsia" w:ascii="宋体" w:hAnsi="宋体" w:eastAsia="宋体" w:cs="宋体"/>
      <w:i w:val="0"/>
      <w:iCs w:val="0"/>
      <w:color w:val="000000"/>
      <w:sz w:val="21"/>
      <w:szCs w:val="21"/>
      <w:u w:val="none"/>
    </w:rPr>
  </w:style>
  <w:style w:type="paragraph" w:styleId="1026" w:customStyle="1">
    <w:name w:val="xl76"/>
    <w:basedOn w:val="732"/>
    <w:next w:val="1019"/>
    <w:qFormat/>
    <w:pPr>
      <w:ind w:firstLine="3584"/>
      <w:jc w:val="center"/>
      <w:keepLines w:val="0"/>
      <w:keepNext w:val="0"/>
      <w:spacing w:before="280" w:after="280"/>
    </w:pPr>
    <w:rPr>
      <w:rFonts w:ascii="Calibri" w:hAnsi="Calibri" w:eastAsia="宋体"/>
      <w:sz w:val="21"/>
      <w:szCs w:val="22"/>
      <w:lang w:eastAsia="zh-CN"/>
    </w:rPr>
  </w:style>
  <w:style w:type="paragraph" w:styleId="1027" w:customStyle="1">
    <w:name w:val="纯文本4"/>
    <w:basedOn w:val="731"/>
    <w:qFormat/>
    <w:rPr>
      <w:rFonts w:ascii="宋体" w:hAnsi="Courier New" w:eastAsia="楷体_GB2312"/>
      <w:sz w:val="26"/>
      <w:szCs w:val="20"/>
    </w:rPr>
  </w:style>
  <w:style w:type="paragraph" w:styleId="1028" w:customStyle="1">
    <w:name w:val="xl91"/>
    <w:basedOn w:val="732"/>
    <w:next w:val="1026"/>
    <w:qFormat/>
    <w:pPr>
      <w:ind w:firstLine="3584"/>
      <w:keepLines w:val="0"/>
      <w:keepNext w:val="0"/>
      <w:spacing w:before="280" w:after="280"/>
    </w:pPr>
    <w:rPr>
      <w:rFonts w:ascii="Calibri" w:hAnsi="Calibri" w:eastAsia="宋体"/>
      <w:sz w:val="21"/>
      <w:szCs w:val="22"/>
      <w:lang w:eastAsia="zh-CN"/>
    </w:rPr>
  </w:style>
  <w:style w:type="paragraph" w:styleId="1029" w:customStyle="1">
    <w:name w:val="[Normal]"/>
    <w:qFormat/>
    <w:rPr>
      <w:rFonts w:ascii="宋体" w:hAnsi="宋体"/>
      <w:sz w:val="24"/>
      <w:szCs w:val="22"/>
      <w:lang w:val="zh-CN"/>
    </w:rPr>
  </w:style>
  <w:style w:type="table" w:styleId="1030" w:customStyle="1">
    <w:name w:val="网格型1"/>
    <w:basedOn w:val="742"/>
    <w:uiPriority w:val="39"/>
    <w:qFormat/>
    <w:tblPr/>
  </w:style>
  <w:style w:type="paragraph" w:styleId="1031" w:customStyle="1">
    <w:name w:val="Plain Text1"/>
    <w:basedOn w:val="731"/>
    <w:qFormat/>
    <w:rPr>
      <w:rFonts w:ascii="宋体" w:hAnsi="Courier New" w:eastAsia="楷体_GB2312"/>
      <w:sz w:val="28"/>
      <w:szCs w:val="28"/>
    </w:rPr>
  </w:style>
  <w:style w:type="character" w:styleId="1032" w:customStyle="1">
    <w:name w:val="脚注引用1"/>
    <w:qFormat/>
    <w:rPr>
      <w:sz w:val="21"/>
      <w:szCs w:val="22"/>
      <w:lang w:val="en-US" w:eastAsia="zh-CN" w:bidi="ar-SA"/>
    </w:rPr>
  </w:style>
  <w:style w:type="paragraph" w:styleId="1033" w:customStyle="1">
    <w:name w:val="脚注文本1"/>
    <w:basedOn w:val="1034"/>
    <w:next w:val="1022"/>
    <w:qFormat/>
    <w:pPr>
      <w:jc w:val="left"/>
    </w:pPr>
    <w:rPr>
      <w:sz w:val="18"/>
    </w:rPr>
  </w:style>
  <w:style w:type="paragraph" w:styleId="1034" w:customStyle="1">
    <w:name w:val="标题 11"/>
    <w:basedOn w:val="731"/>
    <w:next w:val="731"/>
    <w:qFormat/>
    <w:pPr>
      <w:jc w:val="center"/>
      <w:keepNext/>
      <w:tabs>
        <w:tab w:val="left" w:pos="200" w:leader="none"/>
      </w:tabs>
      <w:outlineLvl w:val="0"/>
    </w:pPr>
    <w:rPr>
      <w:rFonts w:ascii="宋体" w:hAnsi="宋体"/>
      <w:b/>
      <w:sz w:val="36"/>
      <w:szCs w:val="20"/>
    </w:rPr>
  </w:style>
  <w:style w:type="paragraph" w:styleId="1035" w:customStyle="1">
    <w:name w:val="纯文本21"/>
    <w:basedOn w:val="731"/>
    <w:qFormat/>
    <w:rPr>
      <w:rFonts w:ascii="宋体" w:hAnsi="Courier New"/>
    </w:rPr>
  </w:style>
  <w:style w:type="paragraph" w:styleId="1036" w:customStyle="1">
    <w:name w:val="正文文本11"/>
    <w:basedOn w:val="731"/>
    <w:unhideWhenUsed/>
    <w:qFormat/>
    <w:pPr>
      <w:spacing w:after="120"/>
    </w:pPr>
    <w:rPr>
      <w:rFonts w:ascii="Times New Roman" w:hAnsi="Times New Roman"/>
      <w:sz w:val="20"/>
    </w:rPr>
  </w:style>
  <w:style w:type="character" w:styleId="1037">
    <w:name w:val="Intense Emphasis"/>
    <w:uiPriority w:val="21"/>
    <w:qFormat/>
    <w:rPr>
      <w:i/>
      <w:iCs/>
      <w:color w:val="0f4761"/>
    </w:rPr>
  </w:style>
  <w:style w:type="character" w:styleId="1038">
    <w:name w:val="Intense Reference"/>
    <w:uiPriority w:val="32"/>
    <w:qFormat/>
    <w:rPr>
      <w:b/>
      <w:bCs/>
      <w:smallCaps/>
      <w:color w:val="0f4761"/>
      <w:spacing w:val="5"/>
    </w:rPr>
  </w:style>
  <w:style w:type="paragraph" w:styleId="1039">
    <w:name w:val="Date"/>
    <w:basedOn w:val="731"/>
    <w:next w:val="731"/>
    <w:link w:val="1040"/>
    <w:qFormat/>
    <w:rPr>
      <w:rFonts w:ascii="宋体" w:hAnsi="宋体" w:eastAsia="楷体_GB2312"/>
      <w:sz w:val="24"/>
      <w:szCs w:val="20"/>
    </w:rPr>
  </w:style>
  <w:style w:type="character" w:styleId="1040" w:customStyle="1">
    <w:name w:val="日期 字符"/>
    <w:link w:val="1039"/>
    <w:qFormat/>
    <w:rPr>
      <w:rFonts w:ascii="宋体" w:hAnsi="宋体" w:eastAsia="楷体_GB2312"/>
      <w:sz w:val="24"/>
    </w:rPr>
  </w:style>
  <w:style w:type="paragraph" w:styleId="1041">
    <w:name w:val="Message Header"/>
    <w:basedOn w:val="731"/>
    <w:link w:val="1042"/>
    <w:qFormat/>
    <w:pPr>
      <w:ind w:left="1080" w:hanging="1080"/>
      <w:jc w:val="left"/>
      <w:shd w:val="pct20" w:color="auto" w:fill="auto"/>
      <w:widowControl/>
      <w:pBdr>
        <w:top w:val="single" w:color="auto" w:sz="6" w:space="1"/>
        <w:left w:val="single" w:color="auto" w:sz="6" w:space="1"/>
        <w:bottom w:val="single" w:color="auto" w:sz="6" w:space="1"/>
        <w:right w:val="single" w:color="auto" w:sz="6" w:space="1"/>
      </w:pBdr>
    </w:pPr>
    <w:rPr>
      <w:rFonts w:ascii="Arial" w:hAnsi="Arial" w:cs="Arial"/>
      <w:sz w:val="24"/>
      <w:szCs w:val="24"/>
    </w:rPr>
  </w:style>
  <w:style w:type="character" w:styleId="1042" w:customStyle="1">
    <w:name w:val="信息标题 字符"/>
    <w:link w:val="1041"/>
    <w:qFormat/>
    <w:rPr>
      <w:rFonts w:ascii="Arial" w:hAnsi="Arial" w:cs="Arial"/>
      <w:sz w:val="24"/>
      <w:szCs w:val="24"/>
      <w:shd w:val="pct20" w:color="auto" w:fill="auto"/>
    </w:rPr>
  </w:style>
  <w:style w:type="paragraph" w:styleId="1043">
    <w:name w:val="HTML Preformatted"/>
    <w:basedOn w:val="731"/>
    <w:link w:val="104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1044" w:customStyle="1">
    <w:name w:val="HTML 预设格式 字符"/>
    <w:link w:val="1043"/>
    <w:qFormat/>
    <w:rPr>
      <w:rFonts w:ascii="宋体" w:hAnsi="宋体" w:cs="宋体"/>
      <w:sz w:val="24"/>
      <w:szCs w:val="24"/>
    </w:rPr>
  </w:style>
  <w:style w:type="character" w:styleId="1045">
    <w:name w:val="FollowedHyperlink"/>
    <w:uiPriority w:val="99"/>
    <w:qFormat/>
    <w:rPr>
      <w:color w:val="585858"/>
      <w:u w:val="none"/>
    </w:rPr>
  </w:style>
  <w:style w:type="table" w:styleId="1046" w:customStyle="1">
    <w:name w:val="Table Normal"/>
    <w:uiPriority w:val="2"/>
    <w:semiHidden/>
    <w:unhideWhenUsed/>
    <w:qFormat/>
    <w:rPr>
      <w:rFonts w:ascii="Times New Roman" w:hAnsi="Times New Roman"/>
    </w:rPr>
    <w:tblPr>
      <w:tblCellMar>
        <w:left w:w="0" w:type="dxa"/>
        <w:top w:w="0" w:type="dxa"/>
        <w:right w:w="0" w:type="dxa"/>
        <w:bottom w:w="0" w:type="dxa"/>
      </w:tblCellMar>
    </w:tblPr>
  </w:style>
  <w:style w:type="paragraph" w:styleId="1047" w:customStyle="1">
    <w:name w:val="Table Paragraph"/>
    <w:basedOn w:val="731"/>
    <w:uiPriority w:val="1"/>
    <w:qFormat/>
    <w:pPr>
      <w:jc w:val="left"/>
    </w:pPr>
    <w:rPr>
      <w:rFonts w:ascii="等线" w:hAnsi="等线" w:eastAsia="等线"/>
      <w:sz w:val="22"/>
      <w:lang w:eastAsia="en-US"/>
    </w:rPr>
  </w:style>
  <w:style w:type="character" w:styleId="1048" w:customStyle="1">
    <w:name w:val="f121"/>
    <w:qFormat/>
    <w:rPr>
      <w:sz w:val="15"/>
      <w:szCs w:val="15"/>
    </w:rPr>
  </w:style>
  <w:style w:type="character" w:styleId="1049" w:customStyle="1">
    <w:name w:val="font14 line-height"/>
    <w:basedOn w:val="741"/>
    <w:qFormat/>
  </w:style>
  <w:style w:type="character" w:styleId="1050" w:customStyle="1">
    <w:name w:val="标题 1 Char"/>
    <w:qFormat/>
    <w:rPr>
      <w:rFonts w:eastAsia="宋体"/>
      <w:b/>
      <w:bCs/>
      <w:sz w:val="44"/>
      <w:szCs w:val="44"/>
      <w:lang w:val="en-US" w:eastAsia="zh-CN" w:bidi="ar-SA"/>
    </w:rPr>
  </w:style>
  <w:style w:type="character" w:styleId="1051" w:customStyle="1">
    <w:name w:val="font14jz1"/>
    <w:qFormat/>
    <w:rPr>
      <w:color w:val="000000"/>
      <w:sz w:val="21"/>
      <w:szCs w:val="21"/>
      <w:u w:val="none"/>
    </w:rPr>
  </w:style>
  <w:style w:type="character" w:styleId="1052" w:customStyle="1">
    <w:name w:val="font141"/>
    <w:qFormat/>
    <w:rPr>
      <w:color w:val="000200"/>
      <w:sz w:val="21"/>
      <w:szCs w:val="21"/>
      <w:u w:val="none"/>
    </w:rPr>
  </w:style>
  <w:style w:type="character" w:styleId="1053" w:customStyle="1">
    <w:name w:val="style1"/>
    <w:basedOn w:val="741"/>
    <w:qFormat/>
  </w:style>
  <w:style w:type="character" w:styleId="1054" w:customStyle="1">
    <w:name w:val="font14zd1"/>
    <w:qFormat/>
    <w:rPr>
      <w:b/>
      <w:bCs/>
      <w:color w:val="b30101"/>
    </w:rPr>
  </w:style>
  <w:style w:type="character" w:styleId="1055" w:customStyle="1">
    <w:name w:val="font14151"/>
    <w:qFormat/>
    <w:rPr>
      <w:color w:val="230d00"/>
      <w:u w:val="none"/>
    </w:rPr>
  </w:style>
  <w:style w:type="character" w:styleId="1056" w:customStyle="1">
    <w:name w:val="double1"/>
    <w:basedOn w:val="741"/>
    <w:qFormat/>
  </w:style>
  <w:style w:type="character" w:styleId="1057" w:customStyle="1">
    <w:name w:val="font122"/>
    <w:qFormat/>
    <w:rPr>
      <w:sz w:val="18"/>
      <w:szCs w:val="18"/>
    </w:rPr>
  </w:style>
  <w:style w:type="paragraph" w:styleId="1058" w:customStyle="1">
    <w:name w:val="z-窗体底端1"/>
    <w:basedOn w:val="731"/>
    <w:next w:val="731"/>
    <w:link w:val="1059"/>
    <w:qFormat/>
    <w:pPr>
      <w:jc w:val="center"/>
      <w:widowControl/>
      <w:pBdr>
        <w:top w:val="single" w:color="auto" w:sz="6" w:space="1"/>
      </w:pBdr>
    </w:pPr>
    <w:rPr>
      <w:rFonts w:ascii="Arial"/>
      <w:vanish/>
      <w:sz w:val="16"/>
      <w:szCs w:val="24"/>
    </w:rPr>
  </w:style>
  <w:style w:type="character" w:styleId="1059" w:customStyle="1">
    <w:name w:val="z-窗体底端 Char"/>
    <w:link w:val="1058"/>
    <w:qFormat/>
    <w:rPr>
      <w:rFonts w:ascii="Arial"/>
      <w:vanish/>
      <w:sz w:val="16"/>
      <w:szCs w:val="24"/>
    </w:rPr>
  </w:style>
  <w:style w:type="paragraph" w:styleId="1060" w:customStyle="1">
    <w:name w:val="简单回函地址"/>
    <w:basedOn w:val="731"/>
    <w:qFormat/>
    <w:rPr>
      <w:szCs w:val="24"/>
    </w:rPr>
  </w:style>
  <w:style w:type="paragraph" w:styleId="1061" w:customStyle="1">
    <w:name w:val="表格标题"/>
    <w:basedOn w:val="731"/>
    <w:qFormat/>
    <w:pPr>
      <w:jc w:val="center"/>
    </w:pPr>
    <w:rPr>
      <w:rFonts w:ascii="宋体" w:hAnsi="宋体" w:cs="宋体"/>
      <w:b/>
      <w:bCs/>
      <w:color w:val="000000"/>
      <w:sz w:val="22"/>
      <w:szCs w:val="20"/>
    </w:rPr>
  </w:style>
  <w:style w:type="paragraph" w:styleId="1062" w:customStyle="1">
    <w:name w:val="表格正文"/>
    <w:basedOn w:val="731"/>
    <w:qFormat/>
    <w:pPr>
      <w:jc w:val="left"/>
    </w:pPr>
    <w:rPr>
      <w:rFonts w:ascii="宋体" w:hAnsi="宋体" w:cs="宋体"/>
      <w:color w:val="000000"/>
      <w:sz w:val="22"/>
      <w:szCs w:val="20"/>
    </w:rPr>
  </w:style>
  <w:style w:type="paragraph" w:styleId="1063" w:customStyle="1">
    <w:name w:val="Char Char"/>
    <w:basedOn w:val="731"/>
    <w:qFormat/>
    <w:pPr>
      <w:jc w:val="left"/>
      <w:spacing w:after="160" w:line="240" w:lineRule="exact"/>
      <w:widowControl/>
    </w:pPr>
    <w:rPr>
      <w:szCs w:val="20"/>
    </w:rPr>
  </w:style>
  <w:style w:type="paragraph" w:styleId="1064" w:customStyle="1">
    <w:name w:val="图"/>
    <w:basedOn w:val="731"/>
    <w:qFormat/>
    <w:pPr>
      <w:jc w:val="center"/>
      <w:keepNext/>
      <w:spacing w:before="60" w:after="60" w:line="300" w:lineRule="auto"/>
    </w:pPr>
    <w:rPr>
      <w:spacing w:val="20"/>
      <w:sz w:val="24"/>
      <w:szCs w:val="20"/>
    </w:rPr>
  </w:style>
  <w:style w:type="paragraph" w:styleId="1065" w:customStyle="1">
    <w:name w:val="默认段落字体 Para Char Char Char Char Char Char Char"/>
    <w:basedOn w:val="731"/>
    <w:qFormat/>
    <w:rPr>
      <w:szCs w:val="24"/>
    </w:rPr>
  </w:style>
  <w:style w:type="paragraph" w:styleId="1066" w:customStyle="1">
    <w:name w:val="样式10"/>
    <w:basedOn w:val="1041"/>
    <w:next w:val="731"/>
    <w:qFormat/>
    <w:pPr>
      <w:jc w:val="center"/>
    </w:pPr>
    <w:rPr>
      <w:bCs/>
      <w:sz w:val="28"/>
    </w:rPr>
  </w:style>
  <w:style w:type="paragraph" w:styleId="1067" w:customStyle="1">
    <w:name w:val="z-窗体顶端1"/>
    <w:basedOn w:val="731"/>
    <w:next w:val="731"/>
    <w:link w:val="1068"/>
    <w:qFormat/>
    <w:pPr>
      <w:jc w:val="center"/>
      <w:widowControl/>
      <w:pBdr>
        <w:bottom w:val="single" w:color="auto" w:sz="6" w:space="1"/>
      </w:pBdr>
    </w:pPr>
    <w:rPr>
      <w:rFonts w:ascii="Arial"/>
      <w:vanish/>
      <w:sz w:val="16"/>
      <w:szCs w:val="24"/>
    </w:rPr>
  </w:style>
  <w:style w:type="character" w:styleId="1068" w:customStyle="1">
    <w:name w:val="z-窗体顶端 Char"/>
    <w:link w:val="1067"/>
    <w:qFormat/>
    <w:rPr>
      <w:rFonts w:ascii="Arial"/>
      <w:vanish/>
      <w:sz w:val="16"/>
      <w:szCs w:val="24"/>
    </w:rPr>
  </w:style>
  <w:style w:type="paragraph" w:styleId="1069" w:customStyle="1">
    <w:name w:val="表头"/>
    <w:basedOn w:val="731"/>
    <w:qFormat/>
    <w:pPr>
      <w:spacing w:line="0" w:lineRule="atLeast"/>
    </w:pPr>
    <w:rPr>
      <w:rFonts w:ascii="宋体" w:hAnsi="宋体"/>
      <w:sz w:val="18"/>
      <w:szCs w:val="24"/>
    </w:rPr>
  </w:style>
  <w:style w:type="paragraph" w:styleId="1070" w:customStyle="1">
    <w:name w:val="图表"/>
    <w:basedOn w:val="731"/>
    <w:qFormat/>
    <w:rPr>
      <w:rFonts w:ascii="宋体" w:hAnsi="宋体"/>
      <w:szCs w:val="21"/>
    </w:rPr>
  </w:style>
  <w:style w:type="character" w:styleId="1071" w:customStyle="1">
    <w:name w:val="font41"/>
    <w:qFormat/>
    <w:rPr>
      <w:rFonts w:hint="eastAsia" w:ascii="宋体" w:hAnsi="宋体" w:eastAsia="宋体" w:cs="宋体"/>
      <w:color w:val="000000"/>
      <w:sz w:val="22"/>
      <w:szCs w:val="22"/>
      <w:u w:val="none"/>
    </w:rPr>
  </w:style>
  <w:style w:type="character" w:styleId="1072" w:customStyle="1">
    <w:name w:val="font51"/>
    <w:qFormat/>
    <w:rPr>
      <w:rFonts w:hint="eastAsia" w:ascii="新宋体" w:hAnsi="新宋体" w:eastAsia="新宋体" w:cs="新宋体"/>
      <w:color w:val="000000"/>
      <w:sz w:val="22"/>
      <w:szCs w:val="22"/>
      <w:u w:val="none"/>
    </w:rPr>
  </w:style>
  <w:style w:type="paragraph" w:styleId="1073" w:customStyle="1">
    <w:name w:val="msonormal"/>
    <w:basedOn w:val="731"/>
    <w:pPr>
      <w:jc w:val="left"/>
      <w:spacing w:before="100" w:beforeAutospacing="1" w:after="100" w:afterAutospacing="1"/>
      <w:widowControl/>
    </w:pPr>
    <w:rPr>
      <w:rFonts w:ascii="宋体" w:hAnsi="宋体" w:cs="宋体"/>
      <w:sz w:val="24"/>
      <w:szCs w:val="24"/>
    </w:rPr>
  </w:style>
  <w:style w:type="paragraph" w:styleId="1074" w:customStyle="1">
    <w:name w:val="font5"/>
    <w:basedOn w:val="731"/>
    <w:pPr>
      <w:jc w:val="left"/>
      <w:spacing w:before="100" w:beforeAutospacing="1" w:after="100" w:afterAutospacing="1"/>
      <w:widowControl/>
    </w:pPr>
    <w:rPr>
      <w:rFonts w:ascii="微软雅黑 Light" w:hAnsi="微软雅黑 Light" w:eastAsia="微软雅黑 Light" w:cs="宋体"/>
      <w:sz w:val="18"/>
      <w:szCs w:val="18"/>
    </w:rPr>
  </w:style>
  <w:style w:type="paragraph" w:styleId="1075" w:customStyle="1">
    <w:name w:val="font6"/>
    <w:basedOn w:val="731"/>
    <w:pPr>
      <w:jc w:val="left"/>
      <w:spacing w:before="100" w:beforeAutospacing="1" w:after="100" w:afterAutospacing="1"/>
      <w:widowControl/>
    </w:pPr>
    <w:rPr>
      <w:rFonts w:ascii="微软雅黑 Light" w:hAnsi="微软雅黑 Light" w:eastAsia="微软雅黑 Light" w:cs="宋体"/>
      <w:b/>
      <w:bCs/>
      <w:color w:val="ff0000"/>
      <w:sz w:val="18"/>
      <w:szCs w:val="18"/>
    </w:rPr>
  </w:style>
  <w:style w:type="paragraph" w:styleId="1076" w:customStyle="1">
    <w:name w:val="font7"/>
    <w:basedOn w:val="731"/>
    <w:pPr>
      <w:jc w:val="left"/>
      <w:spacing w:before="100" w:beforeAutospacing="1" w:after="100" w:afterAutospacing="1"/>
      <w:widowControl/>
    </w:pPr>
    <w:rPr>
      <w:rFonts w:ascii="微软雅黑 Light" w:hAnsi="微软雅黑 Light" w:eastAsia="微软雅黑 Light" w:cs="宋体"/>
      <w:color w:val="000000"/>
      <w:sz w:val="18"/>
      <w:szCs w:val="18"/>
    </w:rPr>
  </w:style>
  <w:style w:type="paragraph" w:styleId="1077" w:customStyle="1">
    <w:name w:val="font8"/>
    <w:basedOn w:val="731"/>
    <w:pPr>
      <w:jc w:val="left"/>
      <w:spacing w:before="100" w:beforeAutospacing="1" w:after="100" w:afterAutospacing="1"/>
      <w:widowControl/>
    </w:pPr>
    <w:rPr>
      <w:rFonts w:ascii="微软雅黑 Light" w:hAnsi="微软雅黑 Light" w:eastAsia="微软雅黑 Light" w:cs="宋体"/>
      <w:b/>
      <w:bCs/>
      <w:color w:val="ff0000"/>
      <w:sz w:val="16"/>
      <w:szCs w:val="16"/>
    </w:rPr>
  </w:style>
  <w:style w:type="paragraph" w:styleId="1078" w:customStyle="1">
    <w:name w:val="font9"/>
    <w:basedOn w:val="731"/>
    <w:pPr>
      <w:jc w:val="left"/>
      <w:spacing w:before="100" w:beforeAutospacing="1" w:after="100" w:afterAutospacing="1"/>
      <w:widowControl/>
    </w:pPr>
    <w:rPr>
      <w:rFonts w:ascii="微软雅黑 Light" w:hAnsi="微软雅黑 Light" w:eastAsia="微软雅黑 Light" w:cs="宋体"/>
      <w:sz w:val="16"/>
      <w:szCs w:val="16"/>
    </w:rPr>
  </w:style>
  <w:style w:type="paragraph" w:styleId="1079" w:customStyle="1">
    <w:name w:val="xl108"/>
    <w:basedOn w:val="731"/>
    <w:pPr>
      <w:jc w:val="left"/>
      <w:spacing w:before="100" w:beforeAutospacing="1" w:after="100" w:afterAutospacing="1"/>
      <w:widowControl/>
    </w:pPr>
    <w:rPr>
      <w:rFonts w:ascii="宋体" w:hAnsi="宋体" w:cs="宋体"/>
      <w:sz w:val="24"/>
      <w:szCs w:val="24"/>
    </w:rPr>
  </w:style>
  <w:style w:type="paragraph" w:styleId="1080" w:customStyle="1">
    <w:name w:val="xl109"/>
    <w:basedOn w:val="731"/>
    <w:pPr>
      <w:jc w:val="center"/>
      <w:spacing w:before="100" w:beforeAutospacing="1" w:after="100" w:afterAutospacing="1"/>
      <w:shd w:val="clear" w:color="000000" w:fill="00ffff"/>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b/>
      <w:bCs/>
      <w:sz w:val="18"/>
      <w:szCs w:val="18"/>
    </w:rPr>
  </w:style>
  <w:style w:type="paragraph" w:styleId="1081" w:customStyle="1">
    <w:name w:val="xl110"/>
    <w:basedOn w:val="731"/>
    <w:pPr>
      <w:jc w:val="center"/>
      <w:spacing w:before="100" w:beforeAutospacing="1" w:after="100" w:afterAutospacing="1"/>
      <w:shd w:val="clear" w:color="000000" w:fill="00ffff"/>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sz w:val="18"/>
      <w:szCs w:val="18"/>
    </w:rPr>
  </w:style>
  <w:style w:type="paragraph" w:styleId="1082" w:customStyle="1">
    <w:name w:val="xl111"/>
    <w:basedOn w:val="731"/>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sz w:val="18"/>
      <w:szCs w:val="18"/>
    </w:rPr>
  </w:style>
  <w:style w:type="paragraph" w:styleId="1083" w:customStyle="1">
    <w:name w:val="xl112"/>
    <w:basedOn w:val="73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sz w:val="18"/>
      <w:szCs w:val="18"/>
    </w:rPr>
  </w:style>
  <w:style w:type="paragraph" w:styleId="1084" w:customStyle="1">
    <w:name w:val="xl113"/>
    <w:basedOn w:val="731"/>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b/>
      <w:bCs/>
      <w:sz w:val="18"/>
      <w:szCs w:val="18"/>
    </w:rPr>
  </w:style>
  <w:style w:type="paragraph" w:styleId="1085" w:customStyle="1">
    <w:name w:val="xl114"/>
    <w:basedOn w:val="73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b/>
      <w:bCs/>
      <w:sz w:val="18"/>
      <w:szCs w:val="18"/>
    </w:rPr>
  </w:style>
  <w:style w:type="paragraph" w:styleId="1086" w:customStyle="1">
    <w:name w:val="xl115"/>
    <w:basedOn w:val="731"/>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sz w:val="18"/>
      <w:szCs w:val="18"/>
    </w:rPr>
  </w:style>
  <w:style w:type="paragraph" w:styleId="1087" w:customStyle="1">
    <w:name w:val="xl116"/>
    <w:basedOn w:val="73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sz w:val="18"/>
      <w:szCs w:val="18"/>
    </w:rPr>
  </w:style>
  <w:style w:type="paragraph" w:styleId="1088" w:customStyle="1">
    <w:name w:val="xl117"/>
    <w:basedOn w:val="73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sz w:val="18"/>
      <w:szCs w:val="18"/>
    </w:rPr>
  </w:style>
  <w:style w:type="paragraph" w:styleId="1089" w:customStyle="1">
    <w:name w:val="xl118"/>
    <w:basedOn w:val="73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sz w:val="18"/>
      <w:szCs w:val="18"/>
    </w:rPr>
  </w:style>
  <w:style w:type="paragraph" w:styleId="1090" w:customStyle="1">
    <w:name w:val="xl119"/>
    <w:basedOn w:val="731"/>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sz w:val="18"/>
      <w:szCs w:val="18"/>
    </w:rPr>
  </w:style>
  <w:style w:type="paragraph" w:styleId="1091" w:customStyle="1">
    <w:name w:val="xl120"/>
    <w:basedOn w:val="73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color w:val="000000"/>
      <w:sz w:val="18"/>
      <w:szCs w:val="18"/>
    </w:rPr>
  </w:style>
  <w:style w:type="paragraph" w:styleId="1092" w:customStyle="1">
    <w:name w:val="xl121"/>
    <w:basedOn w:val="731"/>
    <w:pPr>
      <w:jc w:val="center"/>
      <w:spacing w:before="100" w:beforeAutospacing="1" w:after="100" w:afterAutospacing="1"/>
      <w:shd w:val="clear" w:color="000000" w:fill="f2dcdb"/>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sz w:val="18"/>
      <w:szCs w:val="18"/>
    </w:rPr>
  </w:style>
  <w:style w:type="paragraph" w:styleId="1093" w:customStyle="1">
    <w:name w:val="xl122"/>
    <w:basedOn w:val="731"/>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sz w:val="18"/>
      <w:szCs w:val="18"/>
    </w:rPr>
  </w:style>
  <w:style w:type="paragraph" w:styleId="1094" w:customStyle="1">
    <w:name w:val="xl123"/>
    <w:basedOn w:val="73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b/>
      <w:bCs/>
      <w:sz w:val="18"/>
      <w:szCs w:val="18"/>
    </w:rPr>
  </w:style>
  <w:style w:type="paragraph" w:styleId="1095" w:customStyle="1">
    <w:name w:val="xl124"/>
    <w:basedOn w:val="731"/>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color w:val="000000"/>
      <w:sz w:val="18"/>
      <w:szCs w:val="18"/>
    </w:rPr>
  </w:style>
  <w:style w:type="paragraph" w:styleId="1096" w:customStyle="1">
    <w:name w:val="xl125"/>
    <w:basedOn w:val="731"/>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Light" w:hAnsi="微软雅黑 Light" w:eastAsia="微软雅黑 Light" w:cs="宋体"/>
      <w:sz w:val="18"/>
      <w:szCs w:val="18"/>
    </w:rPr>
  </w:style>
  <w:style w:type="paragraph" w:styleId="1097" w:customStyle="1">
    <w:name w:val="xl126"/>
    <w:basedOn w:val="73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sz w:val="18"/>
      <w:szCs w:val="18"/>
    </w:rPr>
  </w:style>
  <w:style w:type="paragraph" w:styleId="1098" w:customStyle="1">
    <w:name w:val="xl127"/>
    <w:basedOn w:val="731"/>
    <w:pPr>
      <w:jc w:val="left"/>
      <w:spacing w:before="100" w:beforeAutospacing="1" w:after="100" w:afterAutospacing="1"/>
      <w:widowControl/>
      <w:pBdr>
        <w:top w:val="single" w:color="auto" w:sz="4" w:space="0"/>
        <w:left w:val="single" w:color="auto" w:sz="4" w:space="0"/>
        <w:bottom w:val="single" w:color="auto" w:sz="4" w:space="0"/>
      </w:pBdr>
    </w:pPr>
    <w:rPr>
      <w:rFonts w:ascii="微软雅黑 Light" w:hAnsi="微软雅黑 Light" w:eastAsia="微软雅黑 Light" w:cs="宋体"/>
      <w:sz w:val="18"/>
      <w:szCs w:val="18"/>
    </w:rPr>
  </w:style>
  <w:style w:type="paragraph" w:styleId="1099" w:customStyle="1">
    <w:name w:val="xl128"/>
    <w:basedOn w:val="731"/>
    <w:pPr>
      <w:jc w:val="left"/>
      <w:spacing w:before="100" w:beforeAutospacing="1" w:after="100" w:afterAutospacing="1"/>
      <w:widowControl/>
      <w:pBdr>
        <w:left w:val="single" w:color="auto" w:sz="4" w:space="0"/>
        <w:bottom w:val="single" w:color="auto" w:sz="4" w:space="0"/>
        <w:right w:val="single" w:color="auto" w:sz="4" w:space="0"/>
      </w:pBdr>
    </w:pPr>
    <w:rPr>
      <w:rFonts w:ascii="微软雅黑 Light" w:hAnsi="微软雅黑 Light" w:eastAsia="微软雅黑 Light" w:cs="宋体"/>
      <w:sz w:val="18"/>
      <w:szCs w:val="18"/>
    </w:rPr>
  </w:style>
  <w:style w:type="paragraph" w:styleId="1100" w:customStyle="1">
    <w:name w:val="xl129"/>
    <w:basedOn w:val="731"/>
    <w:pPr>
      <w:jc w:val="left"/>
      <w:spacing w:before="100" w:beforeAutospacing="1" w:after="100" w:afterAutospacing="1"/>
      <w:widowControl/>
      <w:pBdr>
        <w:top w:val="single" w:color="auto" w:sz="4" w:space="0"/>
        <w:left w:val="single" w:color="auto" w:sz="4" w:space="0"/>
        <w:bottom w:val="single" w:color="auto" w:sz="4" w:space="0"/>
      </w:pBdr>
    </w:pPr>
    <w:rPr>
      <w:rFonts w:ascii="微软雅黑 Light" w:hAnsi="微软雅黑 Light" w:eastAsia="微软雅黑 Light" w:cs="宋体"/>
      <w:sz w:val="18"/>
      <w:szCs w:val="18"/>
    </w:rPr>
  </w:style>
  <w:style w:type="paragraph" w:styleId="1101" w:customStyle="1">
    <w:name w:val="xl130"/>
    <w:basedOn w:val="731"/>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sz w:val="18"/>
      <w:szCs w:val="18"/>
    </w:rPr>
  </w:style>
  <w:style w:type="paragraph" w:styleId="1102" w:customStyle="1">
    <w:name w:val="xl131"/>
    <w:basedOn w:val="731"/>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微软雅黑 Light" w:hAnsi="微软雅黑 Light" w:eastAsia="微软雅黑 Light" w:cs="宋体"/>
      <w:sz w:val="18"/>
      <w:szCs w:val="18"/>
    </w:rPr>
  </w:style>
  <w:style w:type="paragraph" w:styleId="1103" w:customStyle="1">
    <w:name w:val="xl132"/>
    <w:basedOn w:val="731"/>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微软雅黑 Light" w:hAnsi="微软雅黑 Light" w:eastAsia="微软雅黑 Light" w:cs="宋体"/>
      <w:sz w:val="18"/>
      <w:szCs w:val="18"/>
    </w:rPr>
  </w:style>
  <w:style w:type="paragraph" w:styleId="1104" w:customStyle="1">
    <w:name w:val="xl133"/>
    <w:basedOn w:val="73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color w:val="000000"/>
      <w:sz w:val="18"/>
      <w:szCs w:val="18"/>
    </w:rPr>
  </w:style>
  <w:style w:type="paragraph" w:styleId="1105" w:customStyle="1">
    <w:name w:val="xl134"/>
    <w:basedOn w:val="731"/>
    <w:pPr>
      <w:jc w:val="left"/>
      <w:spacing w:before="100" w:beforeAutospacing="1" w:after="100" w:afterAutospacing="1"/>
      <w:widowControl/>
      <w:pBdr>
        <w:top w:val="single" w:color="auto" w:sz="4" w:space="0"/>
        <w:left w:val="single" w:color="auto" w:sz="4" w:space="0"/>
        <w:bottom w:val="single" w:color="auto" w:sz="4" w:space="0"/>
      </w:pBdr>
    </w:pPr>
    <w:rPr>
      <w:rFonts w:ascii="微软雅黑 Light" w:hAnsi="微软雅黑 Light" w:eastAsia="微软雅黑 Light" w:cs="宋体"/>
      <w:color w:val="000000"/>
      <w:sz w:val="18"/>
      <w:szCs w:val="18"/>
    </w:rPr>
  </w:style>
  <w:style w:type="paragraph" w:styleId="1106" w:customStyle="1">
    <w:name w:val="xl135"/>
    <w:basedOn w:val="731"/>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sz w:val="18"/>
      <w:szCs w:val="18"/>
    </w:rPr>
  </w:style>
  <w:style w:type="paragraph" w:styleId="1107" w:customStyle="1">
    <w:name w:val="xl136"/>
    <w:basedOn w:val="731"/>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b/>
      <w:bCs/>
      <w:sz w:val="18"/>
      <w:szCs w:val="18"/>
    </w:rPr>
  </w:style>
  <w:style w:type="paragraph" w:styleId="1108" w:customStyle="1">
    <w:name w:val="xl137"/>
    <w:basedOn w:val="73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color w:val="000000"/>
      <w:sz w:val="18"/>
      <w:szCs w:val="18"/>
    </w:rPr>
  </w:style>
  <w:style w:type="paragraph" w:styleId="1109" w:customStyle="1">
    <w:name w:val="xl138"/>
    <w:basedOn w:val="731"/>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sz w:val="18"/>
      <w:szCs w:val="18"/>
    </w:rPr>
  </w:style>
  <w:style w:type="paragraph" w:styleId="1110" w:customStyle="1">
    <w:name w:val="xl139"/>
    <w:basedOn w:val="731"/>
    <w:pPr>
      <w:jc w:val="center"/>
      <w:spacing w:before="100" w:beforeAutospacing="1" w:after="100" w:afterAutospacing="1"/>
      <w:shd w:val="clear" w:color="000000" w:fill="f2dcdb"/>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b/>
      <w:bCs/>
      <w:color w:val="ff0000"/>
      <w:sz w:val="18"/>
      <w:szCs w:val="18"/>
    </w:rPr>
  </w:style>
  <w:style w:type="paragraph" w:styleId="1111" w:customStyle="1">
    <w:name w:val="xl140"/>
    <w:basedOn w:val="73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sz w:val="18"/>
      <w:szCs w:val="18"/>
    </w:rPr>
  </w:style>
  <w:style w:type="paragraph" w:styleId="1112" w:customStyle="1">
    <w:name w:val="xl141"/>
    <w:basedOn w:val="731"/>
    <w:pPr>
      <w:jc w:val="left"/>
      <w:spacing w:before="100" w:beforeAutospacing="1" w:after="100" w:afterAutospacing="1"/>
      <w:shd w:val="clear" w:color="000000" w:fill="fde9d9"/>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sz w:val="18"/>
      <w:szCs w:val="18"/>
    </w:rPr>
  </w:style>
  <w:style w:type="paragraph" w:styleId="1113" w:customStyle="1">
    <w:name w:val="xl142"/>
    <w:basedOn w:val="731"/>
    <w:pPr>
      <w:jc w:val="center"/>
      <w:spacing w:before="100" w:beforeAutospacing="1" w:after="100" w:afterAutospacing="1"/>
      <w:shd w:val="clear" w:color="000000" w:fill="f2dcdb"/>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sz w:val="18"/>
      <w:szCs w:val="18"/>
    </w:rPr>
  </w:style>
  <w:style w:type="paragraph" w:styleId="1114" w:customStyle="1">
    <w:name w:val="xl143"/>
    <w:basedOn w:val="731"/>
    <w:pPr>
      <w:jc w:val="left"/>
      <w:spacing w:before="100" w:beforeAutospacing="1" w:after="100" w:afterAutospacing="1"/>
      <w:widowControl/>
      <w:pBdr>
        <w:top w:val="single" w:color="auto" w:sz="4" w:space="0"/>
        <w:left w:val="single" w:color="auto" w:sz="4" w:space="0"/>
        <w:bottom w:val="single" w:color="auto" w:sz="4" w:space="0"/>
      </w:pBdr>
    </w:pPr>
    <w:rPr>
      <w:rFonts w:ascii="微软雅黑 Light" w:hAnsi="微软雅黑 Light" w:eastAsia="微软雅黑 Light" w:cs="宋体"/>
      <w:color w:val="000000"/>
      <w:sz w:val="18"/>
      <w:szCs w:val="18"/>
    </w:rPr>
  </w:style>
  <w:style w:type="paragraph" w:styleId="1115" w:customStyle="1">
    <w:name w:val="xl144"/>
    <w:basedOn w:val="731"/>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000000" w:sz="4" w:space="0"/>
      </w:pBdr>
    </w:pPr>
    <w:rPr>
      <w:rFonts w:ascii="微软雅黑 Light" w:hAnsi="微软雅黑 Light" w:eastAsia="微软雅黑 Light" w:cs="宋体"/>
      <w:b/>
      <w:bCs/>
      <w:sz w:val="18"/>
      <w:szCs w:val="18"/>
    </w:rPr>
  </w:style>
  <w:style w:type="paragraph" w:styleId="1116" w:customStyle="1">
    <w:name w:val="xl145"/>
    <w:basedOn w:val="73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b/>
      <w:bCs/>
      <w:color w:val="000000"/>
      <w:sz w:val="18"/>
      <w:szCs w:val="18"/>
    </w:rPr>
  </w:style>
  <w:style w:type="paragraph" w:styleId="1117" w:customStyle="1">
    <w:name w:val="xl146"/>
    <w:basedOn w:val="731"/>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000000" w:sz="4" w:space="0"/>
      </w:pBdr>
    </w:pPr>
    <w:rPr>
      <w:rFonts w:ascii="微软雅黑 Light" w:hAnsi="微软雅黑 Light" w:eastAsia="微软雅黑 Light" w:cs="宋体"/>
      <w:b/>
      <w:bCs/>
      <w:sz w:val="18"/>
      <w:szCs w:val="18"/>
    </w:rPr>
  </w:style>
  <w:style w:type="paragraph" w:styleId="1118" w:customStyle="1">
    <w:name w:val="xl147"/>
    <w:basedOn w:val="731"/>
    <w:pPr>
      <w:jc w:val="center"/>
      <w:spacing w:before="100" w:beforeAutospacing="1" w:after="100" w:afterAutospacing="1"/>
      <w:shd w:val="clear" w:color="000000" w:fill="00ffff"/>
      <w:widowControl/>
      <w:pBdr>
        <w:top w:val="single" w:color="auto" w:sz="4" w:space="0"/>
        <w:left w:val="single" w:color="auto" w:sz="4" w:space="0"/>
        <w:bottom w:val="single" w:color="000000" w:sz="4" w:space="0"/>
        <w:right w:val="single" w:color="auto" w:sz="4" w:space="0"/>
      </w:pBdr>
    </w:pPr>
    <w:rPr>
      <w:rFonts w:ascii="微软雅黑 Light" w:hAnsi="微软雅黑 Light" w:eastAsia="微软雅黑 Light" w:cs="宋体"/>
      <w:b/>
      <w:bCs/>
      <w:sz w:val="18"/>
      <w:szCs w:val="18"/>
    </w:rPr>
  </w:style>
  <w:style w:type="paragraph" w:styleId="1119" w:customStyle="1">
    <w:name w:val="xl148"/>
    <w:basedOn w:val="731"/>
    <w:pPr>
      <w:jc w:val="center"/>
      <w:spacing w:before="100" w:beforeAutospacing="1" w:after="100" w:afterAutospacing="1"/>
      <w:shd w:val="clear" w:color="000000" w:fill="00ffff"/>
      <w:widowControl/>
      <w:pBdr>
        <w:top w:val="single" w:color="auto" w:sz="4" w:space="0"/>
        <w:left w:val="single" w:color="auto" w:sz="4" w:space="0"/>
        <w:bottom w:val="single" w:color="000000" w:sz="4" w:space="0"/>
        <w:right w:val="single" w:color="000000" w:sz="4" w:space="0"/>
      </w:pBdr>
    </w:pPr>
    <w:rPr>
      <w:rFonts w:ascii="微软雅黑 Light" w:hAnsi="微软雅黑 Light" w:eastAsia="微软雅黑 Light" w:cs="宋体"/>
      <w:b/>
      <w:bCs/>
      <w:sz w:val="18"/>
      <w:szCs w:val="18"/>
    </w:rPr>
  </w:style>
  <w:style w:type="paragraph" w:styleId="1120" w:customStyle="1">
    <w:name w:val="xl149"/>
    <w:basedOn w:val="73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121" w:customStyle="1">
    <w:name w:val="xl150"/>
    <w:basedOn w:val="731"/>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微软雅黑 Light" w:hAnsi="微软雅黑 Light" w:eastAsia="微软雅黑 Light" w:cs="宋体"/>
      <w:b/>
      <w:bCs/>
      <w:sz w:val="22"/>
    </w:rPr>
  </w:style>
  <w:style w:type="paragraph" w:styleId="1122" w:customStyle="1">
    <w:name w:val="xl151"/>
    <w:basedOn w:val="731"/>
    <w:pPr>
      <w:jc w:val="center"/>
      <w:spacing w:before="100" w:beforeAutospacing="1" w:after="100" w:afterAutospacing="1"/>
      <w:shd w:val="clear" w:color="000000" w:fill="ffffff"/>
      <w:widowControl/>
      <w:pBdr>
        <w:top w:val="single" w:color="auto" w:sz="4" w:space="0"/>
        <w:bottom w:val="single" w:color="auto" w:sz="4" w:space="0"/>
      </w:pBdr>
    </w:pPr>
    <w:rPr>
      <w:rFonts w:ascii="微软雅黑 Light" w:hAnsi="微软雅黑 Light" w:eastAsia="微软雅黑 Light" w:cs="宋体"/>
      <w:b/>
      <w:bCs/>
      <w:sz w:val="22"/>
    </w:rPr>
  </w:style>
  <w:style w:type="paragraph" w:styleId="1123" w:customStyle="1">
    <w:name w:val="xl152"/>
    <w:basedOn w:val="731"/>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微软雅黑 Light" w:hAnsi="微软雅黑 Light" w:eastAsia="微软雅黑 Light" w:cs="宋体"/>
      <w:b/>
      <w:bCs/>
      <w:sz w:val="22"/>
    </w:rPr>
  </w:style>
  <w:style w:type="paragraph" w:styleId="1124" w:customStyle="1">
    <w:name w:val="xl153"/>
    <w:basedOn w:val="731"/>
    <w:pPr>
      <w:jc w:val="center"/>
      <w:spacing w:before="100" w:beforeAutospacing="1" w:after="100" w:afterAutospacing="1"/>
      <w:shd w:val="clear" w:color="000000" w:fill="00ffff"/>
      <w:widowControl/>
      <w:pBdr>
        <w:top w:val="single" w:color="auto" w:sz="4" w:space="0"/>
        <w:left w:val="single" w:color="auto" w:sz="4" w:space="0"/>
        <w:bottom w:val="single" w:color="auto" w:sz="4" w:space="0"/>
        <w:right w:val="single" w:color="000000" w:sz="4" w:space="0"/>
      </w:pBdr>
    </w:pPr>
    <w:rPr>
      <w:rFonts w:ascii="微软雅黑 Light" w:hAnsi="微软雅黑 Light" w:eastAsia="微软雅黑 Light" w:cs="宋体"/>
      <w:b/>
      <w:bCs/>
      <w:sz w:val="18"/>
      <w:szCs w:val="18"/>
    </w:rPr>
  </w:style>
  <w:style w:type="paragraph" w:styleId="1125" w:customStyle="1">
    <w:name w:val="xl154"/>
    <w:basedOn w:val="731"/>
    <w:pPr>
      <w:jc w:val="right"/>
      <w:spacing w:before="100" w:beforeAutospacing="1" w:after="100" w:afterAutospacing="1"/>
      <w:shd w:val="clear" w:color="000000" w:fill="00ffff"/>
      <w:widowControl/>
      <w:pBdr>
        <w:top w:val="single" w:color="auto" w:sz="4" w:space="0"/>
        <w:left w:val="single" w:color="auto" w:sz="4" w:space="0"/>
        <w:bottom w:val="single" w:color="000000" w:sz="4" w:space="0"/>
        <w:right w:val="single" w:color="auto" w:sz="4" w:space="0"/>
      </w:pBdr>
    </w:pPr>
    <w:rPr>
      <w:rFonts w:ascii="微软雅黑 Light" w:hAnsi="微软雅黑 Light" w:eastAsia="微软雅黑 Light" w:cs="宋体"/>
      <w:b/>
      <w:bCs/>
      <w:sz w:val="18"/>
      <w:szCs w:val="18"/>
    </w:rPr>
  </w:style>
  <w:style w:type="paragraph" w:styleId="1126" w:customStyle="1">
    <w:name w:val="xl155"/>
    <w:basedOn w:val="731"/>
    <w:pPr>
      <w:jc w:val="center"/>
      <w:spacing w:before="100" w:beforeAutospacing="1" w:after="100" w:afterAutospacing="1"/>
      <w:shd w:val="clear" w:color="000000" w:fill="f2dcdb"/>
      <w:widowControl/>
      <w:pBdr>
        <w:top w:val="single" w:color="auto" w:sz="4" w:space="0"/>
        <w:left w:val="single" w:color="auto" w:sz="4" w:space="0"/>
        <w:right w:val="single" w:color="auto" w:sz="4" w:space="0"/>
      </w:pBdr>
    </w:pPr>
    <w:rPr>
      <w:rFonts w:ascii="微软雅黑 Light" w:hAnsi="微软雅黑 Light" w:eastAsia="微软雅黑 Light" w:cs="宋体"/>
      <w:sz w:val="18"/>
      <w:szCs w:val="18"/>
    </w:rPr>
  </w:style>
  <w:style w:type="paragraph" w:styleId="1127" w:customStyle="1">
    <w:name w:val="xl156"/>
    <w:basedOn w:val="731"/>
    <w:pPr>
      <w:jc w:val="center"/>
      <w:spacing w:before="100" w:beforeAutospacing="1" w:after="100" w:afterAutospacing="1"/>
      <w:shd w:val="clear" w:color="000000" w:fill="f2dcdb"/>
      <w:widowControl/>
      <w:pBdr>
        <w:left w:val="single" w:color="auto" w:sz="4" w:space="0"/>
        <w:right w:val="single" w:color="auto" w:sz="4" w:space="0"/>
      </w:pBdr>
    </w:pPr>
    <w:rPr>
      <w:rFonts w:ascii="微软雅黑 Light" w:hAnsi="微软雅黑 Light" w:eastAsia="微软雅黑 Light" w:cs="宋体"/>
      <w:sz w:val="18"/>
      <w:szCs w:val="18"/>
    </w:rPr>
  </w:style>
  <w:style w:type="paragraph" w:styleId="1128" w:customStyle="1">
    <w:name w:val="xl157"/>
    <w:basedOn w:val="731"/>
    <w:pPr>
      <w:jc w:val="center"/>
      <w:spacing w:before="100" w:beforeAutospacing="1" w:after="100" w:afterAutospacing="1"/>
      <w:shd w:val="clear" w:color="000000" w:fill="f2dcdb"/>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sz w:val="18"/>
      <w:szCs w:val="18"/>
    </w:rPr>
  </w:style>
  <w:style w:type="paragraph" w:styleId="1129" w:customStyle="1">
    <w:name w:val="xl158"/>
    <w:basedOn w:val="731"/>
    <w:pPr>
      <w:jc w:val="center"/>
      <w:spacing w:before="100" w:beforeAutospacing="1" w:after="100" w:afterAutospacing="1"/>
      <w:shd w:val="clear" w:color="000000" w:fill="f2dcdb"/>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sz w:val="18"/>
      <w:szCs w:val="18"/>
    </w:rPr>
  </w:style>
  <w:style w:type="paragraph" w:styleId="1130" w:customStyle="1">
    <w:name w:val="xl159"/>
    <w:basedOn w:val="731"/>
    <w:pPr>
      <w:jc w:val="center"/>
      <w:spacing w:before="100" w:beforeAutospacing="1" w:after="100" w:afterAutospacing="1"/>
      <w:shd w:val="clear" w:color="000000" w:fill="f2dcdb"/>
      <w:widowControl/>
      <w:pBdr>
        <w:top w:val="single" w:color="auto" w:sz="4" w:space="0"/>
        <w:left w:val="single" w:color="auto" w:sz="4" w:space="0"/>
        <w:right w:val="single" w:color="auto" w:sz="4" w:space="0"/>
      </w:pBdr>
    </w:pPr>
    <w:rPr>
      <w:rFonts w:ascii="微软雅黑 Light" w:hAnsi="微软雅黑 Light" w:eastAsia="微软雅黑 Light" w:cs="宋体"/>
      <w:sz w:val="18"/>
      <w:szCs w:val="18"/>
    </w:rPr>
  </w:style>
  <w:style w:type="paragraph" w:styleId="1131" w:customStyle="1">
    <w:name w:val="xl160"/>
    <w:basedOn w:val="731"/>
    <w:pPr>
      <w:jc w:val="center"/>
      <w:spacing w:before="100" w:beforeAutospacing="1" w:after="100" w:afterAutospacing="1"/>
      <w:shd w:val="clear" w:color="000000" w:fill="f2dcdb"/>
      <w:widowControl/>
      <w:pBdr>
        <w:left w:val="single" w:color="auto" w:sz="4" w:space="0"/>
        <w:right w:val="single" w:color="auto" w:sz="4" w:space="0"/>
      </w:pBdr>
    </w:pPr>
    <w:rPr>
      <w:rFonts w:ascii="微软雅黑 Light" w:hAnsi="微软雅黑 Light" w:eastAsia="微软雅黑 Light" w:cs="宋体"/>
      <w:sz w:val="18"/>
      <w:szCs w:val="18"/>
    </w:rPr>
  </w:style>
  <w:style w:type="paragraph" w:styleId="1132" w:customStyle="1">
    <w:name w:val="xl161"/>
    <w:basedOn w:val="731"/>
    <w:pPr>
      <w:jc w:val="center"/>
      <w:spacing w:before="100" w:beforeAutospacing="1" w:after="100" w:afterAutospacing="1"/>
      <w:shd w:val="clear" w:color="000000" w:fill="f2dcdb"/>
      <w:widowControl/>
      <w:pBdr>
        <w:top w:val="single" w:color="auto" w:sz="4" w:space="0"/>
        <w:left w:val="single" w:color="auto" w:sz="4" w:space="0"/>
      </w:pBdr>
    </w:pPr>
    <w:rPr>
      <w:rFonts w:ascii="微软雅黑 Light" w:hAnsi="微软雅黑 Light" w:eastAsia="微软雅黑 Light" w:cs="宋体"/>
      <w:b/>
      <w:bCs/>
      <w:color w:val="ff0000"/>
      <w:sz w:val="18"/>
      <w:szCs w:val="18"/>
    </w:rPr>
  </w:style>
  <w:style w:type="paragraph" w:styleId="1133" w:customStyle="1">
    <w:name w:val="xl162"/>
    <w:basedOn w:val="731"/>
    <w:pPr>
      <w:jc w:val="center"/>
      <w:spacing w:before="100" w:beforeAutospacing="1" w:after="100" w:afterAutospacing="1"/>
      <w:shd w:val="clear" w:color="000000" w:fill="f2dcdb"/>
      <w:widowControl/>
      <w:pBdr>
        <w:left w:val="single" w:color="auto" w:sz="4" w:space="0"/>
        <w:bottom w:val="single" w:color="auto" w:sz="4" w:space="0"/>
      </w:pBdr>
    </w:pPr>
    <w:rPr>
      <w:rFonts w:ascii="微软雅黑 Light" w:hAnsi="微软雅黑 Light" w:eastAsia="微软雅黑 Light" w:cs="宋体"/>
      <w:sz w:val="18"/>
      <w:szCs w:val="18"/>
    </w:rPr>
  </w:style>
  <w:style w:type="paragraph" w:styleId="1134" w:customStyle="1">
    <w:name w:val="xl163"/>
    <w:basedOn w:val="731"/>
    <w:pPr>
      <w:jc w:val="center"/>
      <w:spacing w:before="100" w:beforeAutospacing="1" w:after="100" w:afterAutospacing="1"/>
      <w:shd w:val="clear" w:color="000000" w:fill="f2dcdb"/>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b/>
      <w:bCs/>
      <w:color w:val="ff0000"/>
      <w:sz w:val="18"/>
      <w:szCs w:val="18"/>
    </w:rPr>
  </w:style>
  <w:style w:type="paragraph" w:styleId="1135" w:customStyle="1">
    <w:name w:val="xl164"/>
    <w:basedOn w:val="731"/>
    <w:pPr>
      <w:jc w:val="center"/>
      <w:spacing w:before="100" w:beforeAutospacing="1" w:after="100" w:afterAutospacing="1"/>
      <w:shd w:val="clear" w:color="000000" w:fill="f2dcdb"/>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color w:val="ff0000"/>
      <w:sz w:val="18"/>
      <w:szCs w:val="18"/>
    </w:rPr>
  </w:style>
  <w:style w:type="paragraph" w:styleId="1136" w:customStyle="1">
    <w:name w:val="xl165"/>
    <w:basedOn w:val="731"/>
    <w:pPr>
      <w:jc w:val="center"/>
      <w:spacing w:before="100" w:beforeAutospacing="1" w:after="100" w:afterAutospacing="1"/>
      <w:shd w:val="clear" w:color="000000" w:fill="f2dcdb"/>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color w:val="000000"/>
      <w:sz w:val="18"/>
      <w:szCs w:val="18"/>
    </w:rPr>
  </w:style>
  <w:style w:type="paragraph" w:styleId="1137" w:customStyle="1">
    <w:name w:val="xl166"/>
    <w:basedOn w:val="731"/>
    <w:pPr>
      <w:jc w:val="center"/>
      <w:spacing w:before="100" w:beforeAutospacing="1" w:after="100" w:afterAutospacing="1"/>
      <w:shd w:val="clear" w:color="000000" w:fill="f2dcdb"/>
      <w:widowControl/>
      <w:pBdr>
        <w:top w:val="single" w:color="auto" w:sz="4" w:space="0"/>
        <w:left w:val="single" w:color="auto" w:sz="4" w:space="0"/>
        <w:right w:val="single" w:color="auto" w:sz="4" w:space="0"/>
      </w:pBdr>
    </w:pPr>
    <w:rPr>
      <w:rFonts w:ascii="微软雅黑 Light" w:hAnsi="微软雅黑 Light" w:eastAsia="微软雅黑 Light" w:cs="宋体"/>
      <w:sz w:val="18"/>
      <w:szCs w:val="18"/>
    </w:rPr>
  </w:style>
  <w:style w:type="paragraph" w:styleId="1138" w:customStyle="1">
    <w:name w:val="xl167"/>
    <w:basedOn w:val="731"/>
    <w:pPr>
      <w:jc w:val="center"/>
      <w:spacing w:before="100" w:beforeAutospacing="1" w:after="100" w:afterAutospacing="1"/>
      <w:shd w:val="clear" w:color="000000" w:fill="f2dcdb"/>
      <w:widowControl/>
      <w:pBdr>
        <w:left w:val="single" w:color="auto" w:sz="4" w:space="0"/>
        <w:right w:val="single" w:color="auto" w:sz="4" w:space="0"/>
      </w:pBdr>
    </w:pPr>
    <w:rPr>
      <w:rFonts w:ascii="微软雅黑 Light" w:hAnsi="微软雅黑 Light" w:eastAsia="微软雅黑 Light" w:cs="宋体"/>
      <w:sz w:val="18"/>
      <w:szCs w:val="18"/>
    </w:rPr>
  </w:style>
  <w:style w:type="paragraph" w:styleId="1139" w:customStyle="1">
    <w:name w:val="xl168"/>
    <w:basedOn w:val="731"/>
    <w:pPr>
      <w:jc w:val="center"/>
      <w:spacing w:before="100" w:beforeAutospacing="1" w:after="100" w:afterAutospacing="1"/>
      <w:shd w:val="clear" w:color="000000" w:fill="f2dcdb"/>
      <w:widowControl/>
      <w:pBdr>
        <w:left w:val="single" w:color="auto" w:sz="4" w:space="0"/>
        <w:bottom w:val="single" w:color="auto" w:sz="4" w:space="0"/>
        <w:right w:val="single" w:color="auto" w:sz="4" w:space="0"/>
      </w:pBdr>
    </w:pPr>
    <w:rPr>
      <w:rFonts w:ascii="微软雅黑 Light" w:hAnsi="微软雅黑 Light" w:eastAsia="微软雅黑 Light" w:cs="宋体"/>
      <w:sz w:val="18"/>
      <w:szCs w:val="18"/>
    </w:rPr>
  </w:style>
  <w:style w:type="paragraph" w:styleId="1140" w:customStyle="1">
    <w:name w:val="xl169"/>
    <w:basedOn w:val="731"/>
    <w:pPr>
      <w:jc w:val="center"/>
      <w:spacing w:before="100" w:beforeAutospacing="1" w:after="100" w:afterAutospacing="1"/>
      <w:shd w:val="clear" w:color="000000" w:fill="f2dcdb"/>
      <w:widowControl/>
      <w:pBdr>
        <w:left w:val="single" w:color="auto" w:sz="4" w:space="0"/>
        <w:bottom w:val="single" w:color="auto" w:sz="4" w:space="0"/>
        <w:right w:val="single" w:color="auto" w:sz="4" w:space="0"/>
      </w:pBdr>
    </w:pPr>
    <w:rPr>
      <w:rFonts w:ascii="微软雅黑 Light" w:hAnsi="微软雅黑 Light" w:eastAsia="微软雅黑 Light" w:cs="宋体"/>
      <w:sz w:val="18"/>
      <w:szCs w:val="18"/>
    </w:rPr>
  </w:style>
  <w:style w:type="paragraph" w:styleId="1141" w:customStyle="1">
    <w:name w:val="xl170"/>
    <w:basedOn w:val="731"/>
    <w:pPr>
      <w:jc w:val="center"/>
      <w:spacing w:before="100" w:beforeAutospacing="1" w:after="100" w:afterAutospacing="1"/>
      <w:shd w:val="clear" w:color="000000" w:fill="f2dcdb"/>
      <w:widowControl/>
      <w:pBdr>
        <w:top w:val="single" w:color="auto" w:sz="4" w:space="0"/>
        <w:left w:val="single" w:color="auto" w:sz="4" w:space="0"/>
      </w:pBdr>
    </w:pPr>
    <w:rPr>
      <w:rFonts w:ascii="微软雅黑 Light" w:hAnsi="微软雅黑 Light" w:eastAsia="微软雅黑 Light" w:cs="宋体"/>
      <w:sz w:val="18"/>
      <w:szCs w:val="18"/>
    </w:rPr>
  </w:style>
  <w:style w:type="paragraph" w:styleId="1142" w:customStyle="1">
    <w:name w:val="xl171"/>
    <w:basedOn w:val="731"/>
    <w:pPr>
      <w:jc w:val="center"/>
      <w:spacing w:before="100" w:beforeAutospacing="1" w:after="100" w:afterAutospacing="1"/>
      <w:shd w:val="clear" w:color="000000" w:fill="f2dcdb"/>
      <w:widowControl/>
      <w:pBdr>
        <w:top w:val="single" w:color="auto" w:sz="4" w:space="0"/>
        <w:left w:val="single" w:color="auto" w:sz="4" w:space="0"/>
        <w:right w:val="single" w:color="auto" w:sz="4" w:space="0"/>
      </w:pBdr>
    </w:pPr>
    <w:rPr>
      <w:rFonts w:ascii="微软雅黑 Light" w:hAnsi="微软雅黑 Light" w:eastAsia="微软雅黑 Light" w:cs="宋体"/>
      <w:color w:val="000000"/>
      <w:sz w:val="18"/>
      <w:szCs w:val="18"/>
    </w:rPr>
  </w:style>
  <w:style w:type="paragraph" w:styleId="1143" w:customStyle="1">
    <w:name w:val="xl172"/>
    <w:basedOn w:val="731"/>
    <w:pPr>
      <w:jc w:val="center"/>
      <w:spacing w:before="100" w:beforeAutospacing="1" w:after="100" w:afterAutospacing="1"/>
      <w:shd w:val="clear" w:color="000000" w:fill="f2dcdb"/>
      <w:widowControl/>
      <w:pBdr>
        <w:left w:val="single" w:color="auto" w:sz="4" w:space="0"/>
        <w:right w:val="single" w:color="auto" w:sz="4" w:space="0"/>
      </w:pBdr>
    </w:pPr>
    <w:rPr>
      <w:rFonts w:ascii="微软雅黑 Light" w:hAnsi="微软雅黑 Light" w:eastAsia="微软雅黑 Light" w:cs="宋体"/>
      <w:color w:val="000000"/>
      <w:sz w:val="18"/>
      <w:szCs w:val="18"/>
    </w:rPr>
  </w:style>
  <w:style w:type="paragraph" w:styleId="1144" w:customStyle="1">
    <w:name w:val="xl173"/>
    <w:basedOn w:val="731"/>
    <w:pPr>
      <w:jc w:val="center"/>
      <w:spacing w:before="100" w:beforeAutospacing="1" w:after="100" w:afterAutospacing="1"/>
      <w:shd w:val="clear" w:color="000000" w:fill="f2dcdb"/>
      <w:widowControl/>
      <w:pBdr>
        <w:left w:val="single" w:color="auto" w:sz="4" w:space="0"/>
        <w:bottom w:val="single" w:color="auto" w:sz="4" w:space="0"/>
        <w:right w:val="single" w:color="auto" w:sz="4" w:space="0"/>
      </w:pBdr>
    </w:pPr>
    <w:rPr>
      <w:rFonts w:ascii="微软雅黑 Light" w:hAnsi="微软雅黑 Light" w:eastAsia="微软雅黑 Light" w:cs="宋体"/>
      <w:color w:val="000000"/>
      <w:sz w:val="18"/>
      <w:szCs w:val="18"/>
    </w:rPr>
  </w:style>
  <w:style w:type="paragraph" w:styleId="1145" w:customStyle="1">
    <w:name w:val="xl174"/>
    <w:basedOn w:val="731"/>
    <w:pPr>
      <w:jc w:val="center"/>
      <w:spacing w:before="100" w:beforeAutospacing="1" w:after="100" w:afterAutospacing="1"/>
      <w:shd w:val="clear" w:color="000000" w:fill="f2dcdb"/>
      <w:widowControl/>
      <w:pBdr>
        <w:left w:val="single" w:color="auto" w:sz="4" w:space="0"/>
        <w:right w:val="single" w:color="auto" w:sz="4" w:space="0"/>
      </w:pBdr>
    </w:pPr>
    <w:rPr>
      <w:rFonts w:ascii="微软雅黑 Light" w:hAnsi="微软雅黑 Light" w:eastAsia="微软雅黑 Light" w:cs="宋体"/>
      <w:b/>
      <w:bCs/>
      <w:color w:val="ff0000"/>
      <w:sz w:val="18"/>
      <w:szCs w:val="18"/>
    </w:rPr>
  </w:style>
  <w:style w:type="paragraph" w:styleId="1146" w:customStyle="1">
    <w:name w:val="xl175"/>
    <w:basedOn w:val="731"/>
    <w:pPr>
      <w:jc w:val="center"/>
      <w:spacing w:before="100" w:beforeAutospacing="1" w:after="100" w:afterAutospacing="1"/>
      <w:shd w:val="clear" w:color="000000" w:fill="f2dcdb"/>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b/>
      <w:bCs/>
      <w:color w:val="ff0000"/>
      <w:sz w:val="18"/>
      <w:szCs w:val="18"/>
    </w:rPr>
  </w:style>
  <w:style w:type="paragraph" w:styleId="1147" w:customStyle="1">
    <w:name w:val="xl176"/>
    <w:basedOn w:val="731"/>
    <w:pPr>
      <w:jc w:val="center"/>
      <w:spacing w:before="100" w:beforeAutospacing="1" w:after="100" w:afterAutospacing="1"/>
      <w:shd w:val="clear" w:color="000000" w:fill="f2dcdb"/>
      <w:widowControl/>
      <w:pBdr>
        <w:top w:val="single" w:color="auto" w:sz="4" w:space="0"/>
        <w:left w:val="single" w:color="auto" w:sz="4" w:space="0"/>
        <w:right w:val="single" w:color="auto" w:sz="4" w:space="0"/>
      </w:pBdr>
    </w:pPr>
    <w:rPr>
      <w:rFonts w:ascii="微软雅黑 Light" w:hAnsi="微软雅黑 Light" w:eastAsia="微软雅黑 Light" w:cs="宋体"/>
      <w:sz w:val="18"/>
      <w:szCs w:val="18"/>
    </w:rPr>
  </w:style>
  <w:style w:type="paragraph" w:styleId="1148" w:customStyle="1">
    <w:name w:val="xl177"/>
    <w:basedOn w:val="731"/>
    <w:pPr>
      <w:jc w:val="center"/>
      <w:spacing w:before="100" w:beforeAutospacing="1" w:after="100" w:afterAutospacing="1"/>
      <w:shd w:val="clear" w:color="000000" w:fill="f2dcdb"/>
      <w:widowControl/>
      <w:pBdr>
        <w:left w:val="single" w:color="auto" w:sz="4" w:space="0"/>
        <w:right w:val="single" w:color="auto" w:sz="4" w:space="0"/>
      </w:pBdr>
    </w:pPr>
    <w:rPr>
      <w:rFonts w:ascii="微软雅黑 Light" w:hAnsi="微软雅黑 Light" w:eastAsia="微软雅黑 Light" w:cs="宋体"/>
      <w:sz w:val="18"/>
      <w:szCs w:val="18"/>
    </w:rPr>
  </w:style>
  <w:style w:type="paragraph" w:styleId="1149" w:customStyle="1">
    <w:name w:val="xl178"/>
    <w:basedOn w:val="731"/>
    <w:pPr>
      <w:jc w:val="center"/>
      <w:spacing w:before="100" w:beforeAutospacing="1" w:after="100" w:afterAutospacing="1"/>
      <w:shd w:val="clear" w:color="000000" w:fill="f2dcdb"/>
      <w:widowControl/>
      <w:pBdr>
        <w:left w:val="single" w:color="auto" w:sz="4" w:space="0"/>
        <w:bottom w:val="single" w:color="auto" w:sz="4" w:space="0"/>
        <w:right w:val="single" w:color="auto" w:sz="4" w:space="0"/>
      </w:pBdr>
    </w:pPr>
    <w:rPr>
      <w:rFonts w:ascii="微软雅黑 Light" w:hAnsi="微软雅黑 Light" w:eastAsia="微软雅黑 Light" w:cs="宋体"/>
      <w:sz w:val="18"/>
      <w:szCs w:val="18"/>
    </w:rPr>
  </w:style>
  <w:style w:type="paragraph" w:styleId="1150" w:customStyle="1">
    <w:name w:val="xl179"/>
    <w:basedOn w:val="731"/>
    <w:pPr>
      <w:jc w:val="center"/>
      <w:spacing w:before="100" w:beforeAutospacing="1" w:after="100" w:afterAutospacing="1"/>
      <w:shd w:val="clear" w:color="000000" w:fill="f2dcdb"/>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b/>
      <w:bCs/>
      <w:color w:val="ff0000"/>
      <w:sz w:val="18"/>
      <w:szCs w:val="18"/>
    </w:rPr>
  </w:style>
  <w:style w:type="paragraph" w:styleId="1151" w:customStyle="1">
    <w:name w:val="xl180"/>
    <w:basedOn w:val="731"/>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微软雅黑 Light" w:hAnsi="微软雅黑 Light" w:eastAsia="微软雅黑 Light" w:cs="宋体"/>
      <w:sz w:val="18"/>
      <w:szCs w:val="18"/>
    </w:rPr>
  </w:style>
  <w:style w:type="paragraph" w:styleId="1152" w:customStyle="1">
    <w:name w:val="xl181"/>
    <w:basedOn w:val="731"/>
    <w:pPr>
      <w:jc w:val="left"/>
      <w:spacing w:before="100" w:beforeAutospacing="1" w:after="100" w:afterAutospacing="1"/>
      <w:shd w:val="clear" w:color="000000" w:fill="ffffff"/>
      <w:widowControl/>
      <w:pBdr>
        <w:left w:val="single" w:color="auto" w:sz="4" w:space="0"/>
        <w:right w:val="single" w:color="auto" w:sz="4" w:space="0"/>
      </w:pBdr>
    </w:pPr>
    <w:rPr>
      <w:rFonts w:ascii="微软雅黑 Light" w:hAnsi="微软雅黑 Light" w:eastAsia="微软雅黑 Light" w:cs="宋体"/>
      <w:sz w:val="18"/>
      <w:szCs w:val="18"/>
    </w:rPr>
  </w:style>
  <w:style w:type="paragraph" w:styleId="1153" w:customStyle="1">
    <w:name w:val="xl182"/>
    <w:basedOn w:val="731"/>
    <w:pPr>
      <w:jc w:val="left"/>
      <w:spacing w:before="100" w:beforeAutospacing="1" w:after="100" w:afterAutospacing="1"/>
      <w:widowControl/>
      <w:pBdr>
        <w:top w:val="single" w:color="auto" w:sz="4" w:space="0"/>
        <w:left w:val="single" w:color="auto" w:sz="4" w:space="0"/>
        <w:right w:val="single" w:color="auto" w:sz="4" w:space="0"/>
      </w:pBdr>
    </w:pPr>
    <w:rPr>
      <w:rFonts w:ascii="微软雅黑 Light" w:hAnsi="微软雅黑 Light" w:eastAsia="微软雅黑 Light" w:cs="宋体"/>
      <w:sz w:val="18"/>
      <w:szCs w:val="18"/>
    </w:rPr>
  </w:style>
  <w:style w:type="paragraph" w:styleId="1154" w:customStyle="1">
    <w:name w:val="xl183"/>
    <w:basedOn w:val="731"/>
    <w:pPr>
      <w:jc w:val="left"/>
      <w:spacing w:before="100" w:beforeAutospacing="1" w:after="100" w:afterAutospacing="1"/>
      <w:widowControl/>
      <w:pBdr>
        <w:left w:val="single" w:color="auto" w:sz="4" w:space="0"/>
        <w:right w:val="single" w:color="auto" w:sz="4" w:space="0"/>
      </w:pBdr>
    </w:pPr>
    <w:rPr>
      <w:rFonts w:ascii="微软雅黑 Light" w:hAnsi="微软雅黑 Light" w:eastAsia="微软雅黑 Light" w:cs="宋体"/>
      <w:sz w:val="18"/>
      <w:szCs w:val="18"/>
    </w:rPr>
  </w:style>
  <w:style w:type="paragraph" w:styleId="1155" w:customStyle="1">
    <w:name w:val="xl184"/>
    <w:basedOn w:val="73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sz w:val="18"/>
      <w:szCs w:val="18"/>
    </w:rPr>
  </w:style>
  <w:style w:type="paragraph" w:styleId="1156" w:customStyle="1">
    <w:name w:val="xl185"/>
    <w:basedOn w:val="731"/>
    <w:pPr>
      <w:jc w:val="left"/>
      <w:spacing w:before="100" w:beforeAutospacing="1" w:after="100" w:afterAutospacing="1"/>
      <w:widowControl/>
      <w:pBdr>
        <w:top w:val="single" w:color="auto" w:sz="4" w:space="0"/>
        <w:left w:val="single" w:color="auto" w:sz="4" w:space="0"/>
        <w:right w:val="single" w:color="auto" w:sz="4" w:space="0"/>
      </w:pBdr>
    </w:pPr>
    <w:rPr>
      <w:rFonts w:ascii="微软雅黑 Light" w:hAnsi="微软雅黑 Light" w:eastAsia="微软雅黑 Light" w:cs="宋体"/>
      <w:sz w:val="18"/>
      <w:szCs w:val="18"/>
    </w:rPr>
  </w:style>
  <w:style w:type="paragraph" w:styleId="1157" w:customStyle="1">
    <w:name w:val="xl186"/>
    <w:basedOn w:val="731"/>
    <w:pPr>
      <w:jc w:val="left"/>
      <w:spacing w:before="100" w:beforeAutospacing="1" w:after="100" w:afterAutospacing="1"/>
      <w:widowControl/>
      <w:pBdr>
        <w:left w:val="single" w:color="auto" w:sz="4" w:space="0"/>
        <w:right w:val="single" w:color="auto" w:sz="4" w:space="0"/>
      </w:pBdr>
    </w:pPr>
    <w:rPr>
      <w:rFonts w:ascii="微软雅黑 Light" w:hAnsi="微软雅黑 Light" w:eastAsia="微软雅黑 Light" w:cs="宋体"/>
      <w:sz w:val="18"/>
      <w:szCs w:val="18"/>
    </w:rPr>
  </w:style>
  <w:style w:type="paragraph" w:styleId="1158" w:customStyle="1">
    <w:name w:val="xl187"/>
    <w:basedOn w:val="731"/>
    <w:pPr>
      <w:jc w:val="left"/>
      <w:spacing w:before="100" w:beforeAutospacing="1" w:after="100" w:afterAutospacing="1"/>
      <w:widowControl/>
      <w:pBdr>
        <w:left w:val="single" w:color="auto" w:sz="4" w:space="0"/>
        <w:bottom w:val="single" w:color="auto" w:sz="4" w:space="0"/>
        <w:right w:val="single" w:color="auto" w:sz="4" w:space="0"/>
      </w:pBdr>
    </w:pPr>
    <w:rPr>
      <w:rFonts w:ascii="微软雅黑 Light" w:hAnsi="微软雅黑 Light" w:eastAsia="微软雅黑 Light" w:cs="宋体"/>
      <w:sz w:val="18"/>
      <w:szCs w:val="18"/>
    </w:rPr>
  </w:style>
  <w:style w:type="paragraph" w:styleId="1159" w:customStyle="1">
    <w:name w:val="xl188"/>
    <w:basedOn w:val="731"/>
    <w:pPr>
      <w:jc w:val="left"/>
      <w:spacing w:before="100" w:beforeAutospacing="1" w:after="100" w:afterAutospacing="1"/>
      <w:widowControl/>
      <w:pBdr>
        <w:left w:val="single" w:color="auto" w:sz="4" w:space="0"/>
        <w:bottom w:val="single" w:color="auto" w:sz="4" w:space="0"/>
        <w:right w:val="single" w:color="auto" w:sz="4" w:space="0"/>
      </w:pBdr>
    </w:pPr>
    <w:rPr>
      <w:rFonts w:ascii="微软雅黑 Light" w:hAnsi="微软雅黑 Light" w:eastAsia="微软雅黑 Light" w:cs="宋体"/>
      <w:sz w:val="18"/>
      <w:szCs w:val="18"/>
    </w:rPr>
  </w:style>
  <w:style w:type="paragraph" w:styleId="1160" w:customStyle="1">
    <w:name w:val="xl189"/>
    <w:basedOn w:val="731"/>
    <w:pPr>
      <w:jc w:val="center"/>
      <w:spacing w:before="100" w:beforeAutospacing="1" w:after="100" w:afterAutospacing="1"/>
      <w:shd w:val="clear" w:color="000000" w:fill="fde9d9"/>
      <w:widowControl/>
      <w:pBdr>
        <w:top w:val="single" w:color="auto" w:sz="4" w:space="0"/>
        <w:left w:val="single" w:color="auto" w:sz="4" w:space="0"/>
        <w:bottom w:val="single" w:color="auto" w:sz="4" w:space="0"/>
        <w:right w:val="single" w:color="auto" w:sz="4" w:space="0"/>
      </w:pBdr>
    </w:pPr>
    <w:rPr>
      <w:rFonts w:ascii="微软雅黑 Light" w:hAnsi="微软雅黑 Light" w:eastAsia="微软雅黑 Light" w:cs="宋体"/>
      <w:b/>
      <w:bCs/>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苏州润启招投标咨询服务有限公司</dc:creator>
  <cp:lastModifiedBy>王长林</cp:lastModifiedBy>
  <cp:revision>80</cp:revision>
  <dcterms:created xsi:type="dcterms:W3CDTF">2026-03-02T01:07:00Z</dcterms:created>
  <dcterms:modified xsi:type="dcterms:W3CDTF">2026-04-23T05:42:39Z</dcterms:modified>
  <cp:version>917504</cp:version>
</cp:coreProperties>
</file>