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03B736C">
      <w:pPr>
        <w:rPr>
          <w:rFonts w:asciiTheme="minorEastAsia" w:hAnsiTheme="minorEastAsia" w:eastAsiaTheme="minorEastAsia"/>
          <w:b/>
          <w:sz w:val="72"/>
          <w:highlight w:val="none"/>
        </w:rPr>
      </w:pPr>
    </w:p>
    <w:p w14:paraId="7E608617">
      <w:pPr>
        <w:rPr>
          <w:rFonts w:asciiTheme="minorEastAsia" w:hAnsiTheme="minorEastAsia" w:eastAsiaTheme="minorEastAsia"/>
          <w:b/>
          <w:sz w:val="72"/>
          <w:highlight w:val="none"/>
        </w:rPr>
      </w:pPr>
    </w:p>
    <w:p w14:paraId="780C777F">
      <w:pPr>
        <w:pStyle w:val="56"/>
        <w:ind w:firstLine="480"/>
        <w:rPr>
          <w:rFonts w:asciiTheme="minorEastAsia" w:hAnsiTheme="minorEastAsia" w:eastAsiaTheme="minorEastAsia"/>
          <w:highlight w:val="none"/>
        </w:rPr>
      </w:pPr>
    </w:p>
    <w:p w14:paraId="6250318E">
      <w:pPr>
        <w:jc w:val="center"/>
        <w:rPr>
          <w:rFonts w:asciiTheme="minorEastAsia" w:hAnsiTheme="minorEastAsia" w:eastAsiaTheme="minorEastAsia"/>
          <w:b/>
          <w:sz w:val="84"/>
          <w:szCs w:val="84"/>
          <w:highlight w:val="none"/>
        </w:rPr>
      </w:pPr>
      <w:r>
        <w:rPr>
          <w:rFonts w:hint="eastAsia" w:asciiTheme="minorEastAsia" w:hAnsiTheme="minorEastAsia" w:eastAsiaTheme="minorEastAsia"/>
          <w:b/>
          <w:sz w:val="84"/>
          <w:szCs w:val="84"/>
          <w:highlight w:val="none"/>
        </w:rPr>
        <w:t xml:space="preserve">竞 争 性 磋 商 </w:t>
      </w:r>
    </w:p>
    <w:p w14:paraId="30D6F390">
      <w:pPr>
        <w:jc w:val="center"/>
        <w:rPr>
          <w:rFonts w:asciiTheme="minorEastAsia" w:hAnsiTheme="minorEastAsia" w:eastAsiaTheme="minorEastAsia"/>
          <w:b/>
          <w:sz w:val="84"/>
          <w:szCs w:val="84"/>
          <w:highlight w:val="none"/>
        </w:rPr>
      </w:pPr>
      <w:r>
        <w:rPr>
          <w:rFonts w:hint="eastAsia" w:asciiTheme="minorEastAsia" w:hAnsiTheme="minorEastAsia" w:eastAsiaTheme="minorEastAsia"/>
          <w:b/>
          <w:sz w:val="84"/>
          <w:szCs w:val="84"/>
          <w:highlight w:val="none"/>
        </w:rPr>
        <w:t>文 件</w:t>
      </w:r>
    </w:p>
    <w:p w14:paraId="69D5ADFB">
      <w:pPr>
        <w:rPr>
          <w:rFonts w:asciiTheme="minorEastAsia" w:hAnsiTheme="minorEastAsia" w:eastAsiaTheme="minorEastAsia"/>
          <w:b/>
          <w:sz w:val="48"/>
          <w:highlight w:val="none"/>
        </w:rPr>
      </w:pPr>
    </w:p>
    <w:p w14:paraId="1889B97A">
      <w:pPr>
        <w:rPr>
          <w:rFonts w:asciiTheme="minorEastAsia" w:hAnsiTheme="minorEastAsia" w:eastAsiaTheme="minorEastAsia"/>
          <w:b/>
          <w:sz w:val="48"/>
          <w:highlight w:val="none"/>
        </w:rPr>
      </w:pPr>
    </w:p>
    <w:p w14:paraId="21A2C431">
      <w:pPr>
        <w:pStyle w:val="56"/>
        <w:ind w:firstLine="480"/>
        <w:rPr>
          <w:rFonts w:asciiTheme="minorEastAsia" w:hAnsiTheme="minorEastAsia" w:eastAsiaTheme="minorEastAsia"/>
          <w:highlight w:val="none"/>
        </w:rPr>
      </w:pPr>
    </w:p>
    <w:p w14:paraId="7EDA6263">
      <w:pPr>
        <w:pStyle w:val="56"/>
        <w:ind w:firstLine="0" w:firstLineChars="0"/>
        <w:rPr>
          <w:rFonts w:asciiTheme="minorEastAsia" w:hAnsiTheme="minorEastAsia" w:eastAsiaTheme="minorEastAsia"/>
          <w:b/>
          <w:sz w:val="48"/>
          <w:highlight w:val="none"/>
        </w:rPr>
      </w:pPr>
    </w:p>
    <w:p w14:paraId="24F50425">
      <w:pPr>
        <w:rPr>
          <w:highlight w:val="none"/>
        </w:rPr>
      </w:pPr>
    </w:p>
    <w:p w14:paraId="7678A936">
      <w:pPr>
        <w:ind w:firstLine="1928" w:firstLineChars="600"/>
        <w:rPr>
          <w:rFonts w:hint="eastAsia" w:asciiTheme="minorEastAsia" w:hAnsiTheme="minorEastAsia" w:eastAsiaTheme="minorEastAsia"/>
          <w:b/>
          <w:sz w:val="32"/>
          <w:highlight w:val="none"/>
          <w:lang w:eastAsia="zh-CN"/>
        </w:rPr>
      </w:pPr>
      <w:r>
        <w:rPr>
          <w:rFonts w:hint="eastAsia" w:asciiTheme="minorEastAsia" w:hAnsiTheme="minorEastAsia" w:eastAsiaTheme="minorEastAsia"/>
          <w:b/>
          <w:sz w:val="32"/>
          <w:highlight w:val="none"/>
        </w:rPr>
        <w:t>磋商编号</w:t>
      </w:r>
      <w:r>
        <w:rPr>
          <w:rFonts w:hint="eastAsia" w:asciiTheme="minorEastAsia" w:hAnsiTheme="minorEastAsia" w:eastAsiaTheme="minorEastAsia"/>
          <w:b/>
          <w:bCs/>
          <w:sz w:val="32"/>
          <w:szCs w:val="22"/>
          <w:highlight w:val="none"/>
        </w:rPr>
        <w:t>：</w:t>
      </w:r>
      <w:r>
        <w:rPr>
          <w:rFonts w:hint="eastAsia" w:asciiTheme="minorEastAsia" w:hAnsiTheme="minorEastAsia" w:eastAsiaTheme="minorEastAsia"/>
          <w:b/>
          <w:bCs/>
          <w:sz w:val="32"/>
          <w:szCs w:val="22"/>
          <w:highlight w:val="none"/>
          <w:lang w:eastAsia="zh-CN"/>
        </w:rPr>
        <w:t>JSZC-320505-SZHQ-C2026-0006</w:t>
      </w:r>
    </w:p>
    <w:p w14:paraId="73A5734E">
      <w:pPr>
        <w:widowControl/>
        <w:numPr>
          <w:ilvl w:val="0"/>
          <w:numId w:val="2"/>
        </w:numPr>
        <w:spacing w:line="270" w:lineRule="atLeast"/>
        <w:ind w:left="0"/>
        <w:rPr>
          <w:rFonts w:asciiTheme="minorEastAsia" w:hAnsiTheme="minorEastAsia" w:eastAsiaTheme="minorEastAsia"/>
          <w:b/>
          <w:bCs/>
          <w:sz w:val="32"/>
          <w:highlight w:val="none"/>
        </w:rPr>
      </w:pPr>
      <w:r>
        <w:rPr>
          <w:rFonts w:hint="eastAsia" w:asciiTheme="minorEastAsia" w:hAnsiTheme="minorEastAsia" w:eastAsiaTheme="minorEastAsia"/>
          <w:b/>
          <w:sz w:val="32"/>
          <w:highlight w:val="none"/>
        </w:rPr>
        <w:t xml:space="preserve">            采购单位：苏州科技城管理委员会</w:t>
      </w:r>
      <w:r>
        <w:rPr>
          <w:rFonts w:hint="eastAsia" w:asciiTheme="minorEastAsia" w:hAnsiTheme="minorEastAsia" w:eastAsiaTheme="minorEastAsia"/>
          <w:b/>
          <w:sz w:val="32"/>
          <w:szCs w:val="22"/>
          <w:highlight w:val="none"/>
        </w:rPr>
        <w:t xml:space="preserve">               </w:t>
      </w:r>
    </w:p>
    <w:p w14:paraId="191A278E">
      <w:pPr>
        <w:spacing w:line="360" w:lineRule="auto"/>
        <w:ind w:left="3534" w:leftChars="918" w:hanging="1606" w:hangingChars="500"/>
        <w:rPr>
          <w:rFonts w:asciiTheme="minorEastAsia" w:hAnsiTheme="minorEastAsia" w:eastAsiaTheme="minorEastAsia"/>
          <w:b/>
          <w:sz w:val="32"/>
          <w:szCs w:val="22"/>
          <w:highlight w:val="none"/>
        </w:rPr>
      </w:pPr>
      <w:r>
        <w:rPr>
          <w:rFonts w:hint="eastAsia" w:asciiTheme="minorEastAsia" w:hAnsiTheme="minorEastAsia" w:eastAsiaTheme="minorEastAsia"/>
          <w:b/>
          <w:sz w:val="32"/>
          <w:highlight w:val="none"/>
        </w:rPr>
        <w:t>磋商内容：太湖科学城功能片区既有建筑再排查再整治项目</w:t>
      </w:r>
    </w:p>
    <w:p w14:paraId="2C43084E">
      <w:pPr>
        <w:ind w:firstLine="1928" w:firstLineChars="600"/>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采购类别：服务类</w:t>
      </w:r>
    </w:p>
    <w:p w14:paraId="2730EB55">
      <w:pPr>
        <w:rPr>
          <w:rFonts w:asciiTheme="minorEastAsia" w:hAnsiTheme="minorEastAsia" w:eastAsiaTheme="minorEastAsia"/>
          <w:sz w:val="28"/>
          <w:highlight w:val="none"/>
        </w:rPr>
      </w:pPr>
    </w:p>
    <w:p w14:paraId="713FB02D">
      <w:pPr>
        <w:pStyle w:val="56"/>
        <w:ind w:firstLine="560"/>
        <w:rPr>
          <w:rFonts w:asciiTheme="minorEastAsia" w:hAnsiTheme="minorEastAsia" w:eastAsiaTheme="minorEastAsia"/>
          <w:sz w:val="28"/>
          <w:highlight w:val="none"/>
        </w:rPr>
      </w:pPr>
    </w:p>
    <w:p w14:paraId="40634F8C">
      <w:pPr>
        <w:rPr>
          <w:highlight w:val="none"/>
        </w:rPr>
      </w:pPr>
    </w:p>
    <w:p w14:paraId="496307CF">
      <w:pPr>
        <w:pStyle w:val="83"/>
        <w:ind w:left="0" w:firstLine="0"/>
        <w:rPr>
          <w:rFonts w:asciiTheme="minorEastAsia" w:hAnsiTheme="minorEastAsia" w:eastAsiaTheme="minorEastAsia"/>
          <w:sz w:val="20"/>
          <w:highlight w:val="none"/>
        </w:rPr>
      </w:pPr>
    </w:p>
    <w:p w14:paraId="630D5F2B">
      <w:pPr>
        <w:jc w:val="cente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苏州海企国际工程咨询有限公司</w:t>
      </w:r>
    </w:p>
    <w:p w14:paraId="46D0B216">
      <w:pPr>
        <w:jc w:val="cente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2026年</w:t>
      </w:r>
      <w:r>
        <w:rPr>
          <w:rFonts w:hint="eastAsia" w:asciiTheme="minorEastAsia" w:hAnsiTheme="minorEastAsia" w:eastAsiaTheme="minorEastAsia"/>
          <w:b/>
          <w:sz w:val="32"/>
          <w:highlight w:val="none"/>
          <w:lang w:val="en-US" w:eastAsia="zh-CN"/>
        </w:rPr>
        <w:t>4</w:t>
      </w:r>
      <w:r>
        <w:rPr>
          <w:rFonts w:hint="eastAsia" w:asciiTheme="minorEastAsia" w:hAnsiTheme="minorEastAsia" w:eastAsiaTheme="minorEastAsia"/>
          <w:b/>
          <w:sz w:val="32"/>
          <w:highlight w:val="none"/>
        </w:rPr>
        <w:t>月</w:t>
      </w:r>
    </w:p>
    <w:p w14:paraId="21E8214E">
      <w:pPr>
        <w:rPr>
          <w:rFonts w:asciiTheme="minorEastAsia" w:hAnsiTheme="minorEastAsia" w:eastAsiaTheme="minorEastAsia"/>
          <w:b/>
          <w:highlight w:val="none"/>
        </w:rPr>
      </w:pPr>
    </w:p>
    <w:p w14:paraId="76E8E3D5">
      <w:pPr>
        <w:jc w:val="center"/>
        <w:rPr>
          <w:rFonts w:asciiTheme="minorEastAsia" w:hAnsiTheme="minorEastAsia" w:eastAsiaTheme="minorEastAsia"/>
          <w:highlight w:val="none"/>
        </w:rPr>
      </w:pPr>
      <w:r>
        <w:rPr>
          <w:rFonts w:asciiTheme="minorEastAsia" w:hAnsiTheme="minorEastAsia" w:eastAsiaTheme="minorEastAsia"/>
          <w:highlight w:val="none"/>
        </w:rPr>
        <w:br w:type="page"/>
      </w:r>
    </w:p>
    <w:p w14:paraId="2BBE4CF5">
      <w:pPr>
        <w:jc w:val="cente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一、竞争性磋商公告</w:t>
      </w:r>
    </w:p>
    <w:tbl>
      <w:tblPr>
        <w:tblStyle w:val="46"/>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9"/>
      </w:tblGrid>
      <w:tr w14:paraId="164A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9" w:type="dxa"/>
          </w:tcPr>
          <w:p w14:paraId="58C7487C">
            <w:pPr>
              <w:spacing w:line="360" w:lineRule="auto"/>
              <w:ind w:firstLine="480" w:firstLineChars="200"/>
              <w:rPr>
                <w:rFonts w:ascii="宋体" w:hAnsi="宋体"/>
                <w:sz w:val="24"/>
                <w:szCs w:val="24"/>
                <w:highlight w:val="none"/>
              </w:rPr>
            </w:pPr>
            <w:bookmarkStart w:id="0" w:name="_Hlk512243531"/>
            <w:r>
              <w:rPr>
                <w:rFonts w:hint="eastAsia" w:ascii="宋体" w:hAnsi="宋体"/>
                <w:sz w:val="24"/>
                <w:szCs w:val="24"/>
                <w:highlight w:val="none"/>
              </w:rPr>
              <w:t>项目概况</w:t>
            </w:r>
          </w:p>
          <w:p w14:paraId="536C3BD5">
            <w:pPr>
              <w:spacing w:line="360" w:lineRule="auto"/>
              <w:ind w:firstLine="480" w:firstLineChars="200"/>
              <w:rPr>
                <w:rFonts w:ascii="宋体" w:hAnsi="宋体" w:cs="宋体"/>
                <w:sz w:val="24"/>
                <w:szCs w:val="24"/>
                <w:highlight w:val="none"/>
              </w:rPr>
            </w:pPr>
            <w:r>
              <w:rPr>
                <w:rFonts w:hint="eastAsia" w:cs="宋体" w:asciiTheme="minorEastAsia" w:hAnsiTheme="minorEastAsia" w:eastAsiaTheme="minorEastAsia"/>
                <w:sz w:val="24"/>
                <w:szCs w:val="24"/>
                <w:highlight w:val="none"/>
                <w:u w:val="single"/>
              </w:rPr>
              <w:t>太湖科学城功能片区既有建筑再排查再整治项目</w:t>
            </w:r>
            <w:r>
              <w:rPr>
                <w:rFonts w:hint="eastAsia" w:ascii="宋体" w:hAnsi="宋体"/>
                <w:sz w:val="24"/>
                <w:szCs w:val="24"/>
                <w:highlight w:val="none"/>
              </w:rPr>
              <w:t>招标项目的潜在供应商应在</w:t>
            </w:r>
            <w:r>
              <w:rPr>
                <w:rFonts w:hint="eastAsia" w:ascii="宋体" w:hAnsi="宋体"/>
                <w:sz w:val="24"/>
                <w:szCs w:val="24"/>
                <w:highlight w:val="none"/>
                <w:u w:val="single"/>
              </w:rPr>
              <w:t>“苏采云系统”</w:t>
            </w:r>
            <w:r>
              <w:rPr>
                <w:rFonts w:hint="eastAsia" w:ascii="宋体" w:hAnsi="宋体" w:cs="宋体"/>
                <w:sz w:val="24"/>
                <w:szCs w:val="24"/>
                <w:highlight w:val="none"/>
              </w:rPr>
              <w:t>获取采购文件</w:t>
            </w:r>
            <w:r>
              <w:rPr>
                <w:rFonts w:hint="eastAsia" w:ascii="宋体" w:hAnsi="宋体"/>
                <w:sz w:val="24"/>
                <w:szCs w:val="24"/>
                <w:highlight w:val="none"/>
              </w:rPr>
              <w:t>，并于</w:t>
            </w:r>
            <w:r>
              <w:rPr>
                <w:rFonts w:hint="eastAsia" w:ascii="宋体" w:hAnsi="宋体"/>
                <w:sz w:val="24"/>
                <w:szCs w:val="24"/>
                <w:highlight w:val="none"/>
                <w:u w:val="single"/>
              </w:rPr>
              <w:t>2026年</w:t>
            </w:r>
            <w:r>
              <w:rPr>
                <w:rFonts w:hint="eastAsia" w:ascii="宋体" w:hAnsi="宋体"/>
                <w:sz w:val="24"/>
                <w:szCs w:val="24"/>
                <w:highlight w:val="none"/>
                <w:u w:val="single"/>
                <w:lang w:val="en-US" w:eastAsia="zh-CN"/>
              </w:rPr>
              <w:t>5</w:t>
            </w:r>
            <w:r>
              <w:rPr>
                <w:rFonts w:hint="eastAsia" w:ascii="宋体" w:hAnsi="宋体"/>
                <w:sz w:val="24"/>
                <w:szCs w:val="24"/>
                <w:highlight w:val="none"/>
                <w:u w:val="single"/>
              </w:rPr>
              <w:t>月</w:t>
            </w:r>
            <w:r>
              <w:rPr>
                <w:rFonts w:hint="eastAsia" w:ascii="宋体" w:hAnsi="宋体"/>
                <w:sz w:val="24"/>
                <w:szCs w:val="24"/>
                <w:highlight w:val="none"/>
                <w:u w:val="single"/>
                <w:lang w:val="en-US" w:eastAsia="zh-CN"/>
              </w:rPr>
              <w:t>8</w:t>
            </w:r>
            <w:r>
              <w:rPr>
                <w:rFonts w:hint="eastAsia" w:ascii="宋体" w:hAnsi="宋体"/>
                <w:sz w:val="24"/>
                <w:szCs w:val="24"/>
                <w:highlight w:val="none"/>
                <w:u w:val="single"/>
              </w:rPr>
              <w:t>日13时30分</w:t>
            </w:r>
            <w:r>
              <w:rPr>
                <w:rFonts w:hint="eastAsia" w:ascii="宋体" w:hAnsi="宋体"/>
                <w:sz w:val="24"/>
                <w:szCs w:val="24"/>
                <w:highlight w:val="none"/>
              </w:rPr>
              <w:t>（北京时间）前递交响应文件。</w:t>
            </w:r>
          </w:p>
        </w:tc>
      </w:tr>
    </w:tbl>
    <w:p w14:paraId="7B7CF20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一、项目基本情况 </w:t>
      </w:r>
    </w:p>
    <w:p w14:paraId="27C62467">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1.项目编号：</w:t>
      </w:r>
      <w:r>
        <w:rPr>
          <w:rFonts w:hint="eastAsia" w:ascii="宋体" w:hAnsi="宋体" w:cs="宋体"/>
          <w:sz w:val="24"/>
          <w:szCs w:val="24"/>
          <w:highlight w:val="none"/>
          <w:lang w:eastAsia="zh-CN"/>
        </w:rPr>
        <w:t>JSZC-320505-SZHQ-C2026-0006</w:t>
      </w:r>
    </w:p>
    <w:p w14:paraId="586EE9C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2.项目名称：</w:t>
      </w:r>
      <w:r>
        <w:rPr>
          <w:rFonts w:hint="eastAsia" w:cs="宋体" w:asciiTheme="minorEastAsia" w:hAnsiTheme="minorEastAsia" w:eastAsiaTheme="minorEastAsia"/>
          <w:sz w:val="24"/>
          <w:szCs w:val="24"/>
          <w:highlight w:val="none"/>
        </w:rPr>
        <w:t>太湖科学城功能片区既有建筑再排查再整治项目</w:t>
      </w:r>
    </w:p>
    <w:p w14:paraId="3A3E41C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3.采购方式：竞争性磋商 </w:t>
      </w:r>
    </w:p>
    <w:p w14:paraId="10079A3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4.预算金额：1929420.00元 </w:t>
      </w:r>
    </w:p>
    <w:p w14:paraId="0EAC855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5.最高限价：1929420.00元</w:t>
      </w:r>
    </w:p>
    <w:p w14:paraId="2A4EBFF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6.采购需求：</w:t>
      </w:r>
    </w:p>
    <w:p w14:paraId="6C00AF2A">
      <w:pPr>
        <w:spacing w:line="360" w:lineRule="auto"/>
        <w:ind w:firstLine="480" w:firstLineChars="200"/>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对太湖科学城功能片区既有建筑安全隐患进行再排查再整治，要求全面排查，排查数据在采购人要求的时限内录入江苏省房屋安全信息系统，并在完成后出具一份排查报告。</w:t>
      </w:r>
    </w:p>
    <w:p w14:paraId="5525685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7.合同履行期限：合同签订之日起至2026年1</w:t>
      </w:r>
      <w:r>
        <w:rPr>
          <w:rFonts w:hint="eastAsia" w:ascii="宋体" w:hAnsi="宋体" w:cs="宋体"/>
          <w:sz w:val="24"/>
          <w:szCs w:val="24"/>
          <w:highlight w:val="none"/>
          <w:lang w:val="en-US" w:eastAsia="zh-CN"/>
        </w:rPr>
        <w:t>2</w:t>
      </w:r>
      <w:r>
        <w:rPr>
          <w:rFonts w:hint="eastAsia" w:ascii="宋体" w:hAnsi="宋体" w:cs="宋体"/>
          <w:sz w:val="24"/>
          <w:szCs w:val="24"/>
          <w:highlight w:val="none"/>
        </w:rPr>
        <w:t>月3</w:t>
      </w:r>
      <w:r>
        <w:rPr>
          <w:rFonts w:hint="eastAsia" w:ascii="宋体" w:hAnsi="宋体" w:cs="宋体"/>
          <w:sz w:val="24"/>
          <w:szCs w:val="24"/>
          <w:highlight w:val="none"/>
          <w:lang w:val="en-US" w:eastAsia="zh-CN"/>
        </w:rPr>
        <w:t>1</w:t>
      </w:r>
      <w:r>
        <w:rPr>
          <w:rFonts w:hint="eastAsia" w:ascii="宋体" w:hAnsi="宋体" w:cs="宋体"/>
          <w:sz w:val="24"/>
          <w:szCs w:val="24"/>
          <w:highlight w:val="none"/>
        </w:rPr>
        <w:t>日。</w:t>
      </w:r>
    </w:p>
    <w:p w14:paraId="6D517EC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8.本项目不接受联合体。</w:t>
      </w:r>
    </w:p>
    <w:p w14:paraId="35F1CD4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二、申请人的资格要求： </w:t>
      </w:r>
    </w:p>
    <w:p w14:paraId="633BC35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 </w:t>
      </w:r>
    </w:p>
    <w:p w14:paraId="46963FF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（1）具有独立承担民事责任的能力； </w:t>
      </w:r>
    </w:p>
    <w:p w14:paraId="1A1E0D5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 </w:t>
      </w:r>
    </w:p>
    <w:p w14:paraId="64080F7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 </w:t>
      </w:r>
    </w:p>
    <w:p w14:paraId="0981024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（4）具有依法缴纳税收和社会保障资金的良好记录； </w:t>
      </w:r>
    </w:p>
    <w:p w14:paraId="2D9125F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（5）参加政府采购活动近三年内，在经营活动中没有重大违法记录； </w:t>
      </w:r>
    </w:p>
    <w:p w14:paraId="0432124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（6）根据政府采购法及相关法规，招标代理人将对供应商进行信用查询。对列入失信被执行人、重大税收违法案件当事人名单、政府采购严重违法失信行为记录名单的供应商，拒绝其参与政府采购活动。</w:t>
      </w:r>
    </w:p>
    <w:p w14:paraId="6F5814A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（7）法律、行政法规规定的其他条件；</w:t>
      </w:r>
    </w:p>
    <w:p w14:paraId="33A106D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（8）单位负责人为同一人或者存在直接控股、管理关系的不同供应商，不得参加同一合同项下的政府采购活动。 </w:t>
      </w:r>
    </w:p>
    <w:p w14:paraId="6202143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2.落实政府采购政策需满足的资格要求：</w:t>
      </w:r>
      <w:r>
        <w:rPr>
          <w:rFonts w:hint="eastAsia" w:ascii="宋体" w:hAnsi="宋体" w:cs="宋体"/>
          <w:b/>
          <w:bCs/>
          <w:sz w:val="24"/>
          <w:szCs w:val="24"/>
          <w:highlight w:val="none"/>
        </w:rPr>
        <w:t>本项目</w:t>
      </w:r>
      <w:r>
        <w:rPr>
          <w:rFonts w:hint="eastAsia" w:ascii="宋体" w:hAnsi="宋体" w:cs="宋体"/>
          <w:b/>
          <w:bCs/>
          <w:sz w:val="24"/>
          <w:szCs w:val="24"/>
          <w:highlight w:val="none"/>
          <w:u w:val="single"/>
        </w:rPr>
        <w:t>专门面向中小企业采购</w:t>
      </w:r>
      <w:r>
        <w:rPr>
          <w:rFonts w:hint="eastAsia" w:ascii="宋体" w:hAnsi="宋体" w:cs="宋体"/>
          <w:b/>
          <w:bCs/>
          <w:sz w:val="24"/>
          <w:szCs w:val="24"/>
          <w:highlight w:val="none"/>
        </w:rPr>
        <w:t>，所属行业为</w:t>
      </w:r>
      <w:r>
        <w:rPr>
          <w:rFonts w:hint="eastAsia" w:ascii="宋体" w:hAnsi="宋体" w:cs="宋体"/>
          <w:b/>
          <w:bCs/>
          <w:sz w:val="24"/>
          <w:szCs w:val="24"/>
          <w:highlight w:val="none"/>
          <w:u w:val="single"/>
        </w:rPr>
        <w:t>其他</w:t>
      </w:r>
      <w:r>
        <w:rPr>
          <w:rFonts w:hint="eastAsia" w:ascii="宋体" w:hAnsi="宋体" w:cs="宋体"/>
          <w:b/>
          <w:bCs/>
          <w:sz w:val="24"/>
          <w:szCs w:val="24"/>
          <w:highlight w:val="none"/>
          <w:u w:val="single"/>
          <w:lang w:val="en-US" w:eastAsia="zh-CN"/>
        </w:rPr>
        <w:t>未</w:t>
      </w:r>
      <w:r>
        <w:rPr>
          <w:rFonts w:hint="eastAsia" w:ascii="宋体" w:hAnsi="宋体" w:cs="宋体"/>
          <w:b/>
          <w:bCs/>
          <w:sz w:val="24"/>
          <w:szCs w:val="24"/>
          <w:highlight w:val="none"/>
          <w:u w:val="single"/>
        </w:rPr>
        <w:t>列明行业</w:t>
      </w:r>
      <w:r>
        <w:rPr>
          <w:rFonts w:hint="eastAsia" w:ascii="宋体" w:hAnsi="宋体" w:cs="宋体"/>
          <w:b/>
          <w:bCs/>
          <w:sz w:val="24"/>
          <w:szCs w:val="24"/>
          <w:highlight w:val="none"/>
        </w:rPr>
        <w:t>，供应商应为中小微企业、监狱企业、残疾人福利性单位。</w:t>
      </w:r>
      <w:r>
        <w:rPr>
          <w:rFonts w:hint="eastAsia" w:ascii="宋体" w:hAnsi="宋体" w:cs="宋体"/>
          <w:sz w:val="24"/>
          <w:szCs w:val="24"/>
          <w:highlight w:val="none"/>
        </w:rPr>
        <w:t xml:space="preserve">  </w:t>
      </w:r>
    </w:p>
    <w:p w14:paraId="7B10854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3.本项目的特定资格要求：</w:t>
      </w:r>
      <w:r>
        <w:rPr>
          <w:rFonts w:hint="eastAsia" w:ascii="宋体" w:hAnsi="宋体" w:cs="宋体"/>
          <w:b/>
          <w:bCs/>
          <w:sz w:val="24"/>
          <w:szCs w:val="24"/>
          <w:highlight w:val="none"/>
        </w:rPr>
        <w:t>无。</w:t>
      </w:r>
    </w:p>
    <w:p w14:paraId="3A960D0A">
      <w:pPr>
        <w:spacing w:line="360" w:lineRule="auto"/>
        <w:ind w:firstLine="482" w:firstLineChars="200"/>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三、获取采购文件：</w:t>
      </w:r>
    </w:p>
    <w:p w14:paraId="62F38B4F">
      <w:pPr>
        <w:spacing w:line="360" w:lineRule="auto"/>
        <w:ind w:firstLine="480" w:firstLineChars="200"/>
        <w:rPr>
          <w:rFonts w:ascii="宋体" w:hAnsi="宋体" w:cs="宋体"/>
          <w:sz w:val="24"/>
          <w:highlight w:val="none"/>
        </w:rPr>
      </w:pPr>
      <w:r>
        <w:rPr>
          <w:rFonts w:hint="eastAsia" w:ascii="宋体" w:hAnsi="宋体" w:cs="宋体"/>
          <w:sz w:val="24"/>
          <w:highlight w:val="none"/>
        </w:rPr>
        <w:t>1.时间：自磋商文件公告发布之日起5个工作日</w:t>
      </w:r>
    </w:p>
    <w:p w14:paraId="609703FB">
      <w:pPr>
        <w:spacing w:line="360" w:lineRule="auto"/>
        <w:ind w:firstLine="480" w:firstLineChars="200"/>
        <w:rPr>
          <w:rFonts w:ascii="宋体" w:hAnsi="宋体" w:cs="宋体"/>
          <w:sz w:val="24"/>
          <w:highlight w:val="none"/>
        </w:rPr>
      </w:pPr>
      <w:r>
        <w:rPr>
          <w:rFonts w:hint="eastAsia" w:ascii="宋体" w:hAnsi="宋体" w:cs="宋体"/>
          <w:sz w:val="24"/>
          <w:highlight w:val="none"/>
        </w:rPr>
        <w:t>2.地点：“苏采云”系统（网址：http://jszfcg.jsczt.cn/）</w:t>
      </w:r>
    </w:p>
    <w:p w14:paraId="3A7F4959">
      <w:pPr>
        <w:pBdr>
          <w:top w:val="none" w:color="000000" w:sz="0" w:space="0"/>
          <w:left w:val="none" w:color="000000" w:sz="0" w:space="0"/>
          <w:bottom w:val="none" w:color="000000" w:sz="0" w:space="0"/>
          <w:right w:val="none" w:color="000000" w:sz="0" w:space="0"/>
        </w:pBdr>
        <w:tabs>
          <w:tab w:val="left" w:pos="0"/>
        </w:tabs>
        <w:spacing w:line="360" w:lineRule="auto"/>
        <w:ind w:firstLine="480" w:firstLineChars="200"/>
        <w:rPr>
          <w:highlight w:val="none"/>
        </w:rPr>
      </w:pPr>
      <w:r>
        <w:rPr>
          <w:rFonts w:hint="eastAsia" w:ascii="宋体" w:hAnsi="宋体" w:cs="宋体"/>
          <w:sz w:val="24"/>
          <w:highlight w:val="none"/>
        </w:rPr>
        <w:t>3.方式：</w:t>
      </w:r>
      <w:r>
        <w:rPr>
          <w:rFonts w:ascii="宋体" w:hAnsi="宋体" w:cs="宋体"/>
          <w:sz w:val="24"/>
          <w:highlight w:val="none"/>
        </w:rPr>
        <w:t>线上获取，详见其他补充事项</w:t>
      </w:r>
    </w:p>
    <w:p w14:paraId="583307A8">
      <w:pPr>
        <w:pBdr>
          <w:top w:val="none" w:color="000000" w:sz="0" w:space="0"/>
          <w:left w:val="none" w:color="000000" w:sz="0" w:space="0"/>
          <w:bottom w:val="none" w:color="000000" w:sz="0" w:space="0"/>
          <w:right w:val="none" w:color="000000" w:sz="0" w:space="0"/>
        </w:pBdr>
        <w:tabs>
          <w:tab w:val="left" w:pos="0"/>
        </w:tabs>
        <w:spacing w:line="360" w:lineRule="auto"/>
        <w:ind w:firstLine="480" w:firstLineChars="200"/>
        <w:rPr>
          <w:highlight w:val="none"/>
        </w:rPr>
      </w:pPr>
      <w:r>
        <w:rPr>
          <w:rFonts w:ascii="宋体" w:hAnsi="宋体" w:cs="宋体"/>
          <w:sz w:val="24"/>
          <w:highlight w:val="none"/>
        </w:rPr>
        <w:t>售价：0.00元</w:t>
      </w:r>
    </w:p>
    <w:p w14:paraId="3174E25D">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四、响应文件提交：</w:t>
      </w:r>
    </w:p>
    <w:p w14:paraId="31ED3E0C">
      <w:pPr>
        <w:pBdr>
          <w:top w:val="none" w:color="000000" w:sz="0" w:space="0"/>
          <w:left w:val="none" w:color="000000" w:sz="0" w:space="0"/>
          <w:bottom w:val="none" w:color="000000" w:sz="0" w:space="0"/>
          <w:right w:val="none" w:color="000000" w:sz="0" w:space="0"/>
        </w:pBdr>
        <w:tabs>
          <w:tab w:val="left" w:pos="0"/>
        </w:tabs>
        <w:spacing w:line="360" w:lineRule="auto"/>
        <w:ind w:firstLine="480" w:firstLineChars="200"/>
        <w:rPr>
          <w:highlight w:val="none"/>
        </w:rPr>
      </w:pPr>
      <w:r>
        <w:rPr>
          <w:rFonts w:hint="eastAsia" w:ascii="宋体" w:hAnsi="宋体" w:cs="宋体"/>
          <w:sz w:val="24"/>
          <w:szCs w:val="24"/>
          <w:highlight w:val="none"/>
        </w:rPr>
        <w:t>1.</w:t>
      </w:r>
      <w:r>
        <w:rPr>
          <w:rFonts w:hint="eastAsia" w:ascii="宋体" w:hAnsi="宋体" w:cs="宋体"/>
          <w:bCs/>
          <w:sz w:val="24"/>
          <w:szCs w:val="24"/>
          <w:highlight w:val="none"/>
        </w:rPr>
        <w:t>截止时间</w:t>
      </w:r>
      <w:r>
        <w:rPr>
          <w:rFonts w:hint="eastAsia" w:ascii="宋体" w:hAnsi="宋体" w:cs="宋体"/>
          <w:sz w:val="24"/>
          <w:szCs w:val="24"/>
          <w:highlight w:val="none"/>
        </w:rPr>
        <w:t>：</w:t>
      </w:r>
      <w:r>
        <w:rPr>
          <w:rFonts w:ascii="宋体" w:hAnsi="宋体" w:cs="宋体"/>
          <w:sz w:val="24"/>
          <w:highlight w:val="none"/>
        </w:rPr>
        <w:t>202</w:t>
      </w:r>
      <w:r>
        <w:rPr>
          <w:rFonts w:hint="eastAsia" w:ascii="宋体" w:hAnsi="宋体" w:cs="宋体"/>
          <w:sz w:val="24"/>
          <w:highlight w:val="none"/>
        </w:rPr>
        <w:t>6</w:t>
      </w:r>
      <w:r>
        <w:rPr>
          <w:rFonts w:ascii="宋体" w:hAnsi="宋体" w:cs="宋体"/>
          <w:sz w:val="24"/>
          <w:highlight w:val="none"/>
        </w:rPr>
        <w:t>-</w:t>
      </w:r>
      <w:r>
        <w:rPr>
          <w:rFonts w:hint="eastAsia" w:ascii="宋体" w:hAnsi="宋体" w:cs="宋体"/>
          <w:sz w:val="24"/>
          <w:highlight w:val="none"/>
          <w:lang w:val="en-US" w:eastAsia="zh-CN"/>
        </w:rPr>
        <w:t>5</w:t>
      </w:r>
      <w:r>
        <w:rPr>
          <w:rFonts w:hint="eastAsia" w:ascii="宋体" w:hAnsi="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cs="宋体"/>
          <w:sz w:val="24"/>
          <w:szCs w:val="24"/>
          <w:highlight w:val="none"/>
        </w:rPr>
        <w:t xml:space="preserve">  13:30（北京时间）</w:t>
      </w:r>
    </w:p>
    <w:p w14:paraId="665A58B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2.地点：“苏采云”系统（网址：http://jszfcg.jsczt.cn/）。</w:t>
      </w:r>
    </w:p>
    <w:p w14:paraId="7EBCC2D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五、开启</w:t>
      </w:r>
    </w:p>
    <w:p w14:paraId="603A4A4C">
      <w:pPr>
        <w:spacing w:line="360" w:lineRule="auto"/>
        <w:ind w:firstLine="480" w:firstLineChars="200"/>
        <w:rPr>
          <w:rFonts w:ascii="宋体" w:hAnsi="宋体" w:cs="宋体"/>
          <w:sz w:val="24"/>
          <w:highlight w:val="none"/>
        </w:rPr>
      </w:pPr>
      <w:r>
        <w:rPr>
          <w:rFonts w:hint="eastAsia" w:ascii="宋体" w:hAnsi="宋体" w:cs="宋体"/>
          <w:sz w:val="24"/>
          <w:szCs w:val="24"/>
          <w:highlight w:val="none"/>
        </w:rPr>
        <w:t>1.时间：</w:t>
      </w:r>
      <w:r>
        <w:rPr>
          <w:rFonts w:hint="eastAsia" w:ascii="宋体" w:hAnsi="宋体" w:cs="宋体"/>
          <w:sz w:val="24"/>
          <w:highlight w:val="none"/>
        </w:rPr>
        <w:t>2026-</w:t>
      </w: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8</w:t>
      </w:r>
      <w:r>
        <w:rPr>
          <w:rFonts w:hint="eastAsia" w:ascii="宋体" w:hAnsi="宋体" w:cs="宋体"/>
          <w:sz w:val="24"/>
          <w:highlight w:val="none"/>
        </w:rPr>
        <w:t xml:space="preserve">   13:30</w:t>
      </w:r>
      <w:r>
        <w:rPr>
          <w:rFonts w:hint="eastAsia" w:ascii="宋体" w:hAnsi="宋体" w:cs="宋体"/>
          <w:sz w:val="24"/>
          <w:szCs w:val="24"/>
          <w:highlight w:val="none"/>
        </w:rPr>
        <w:t>（北京时间）</w:t>
      </w:r>
    </w:p>
    <w:p w14:paraId="073D1AB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2.地点：苏州市市辖区政府采购不见面虚拟开标室</w:t>
      </w:r>
    </w:p>
    <w:p w14:paraId="7AE2C00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六、公告期限</w:t>
      </w:r>
    </w:p>
    <w:p w14:paraId="19ACFD0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自本公告发布之日起3个工作日。</w:t>
      </w:r>
    </w:p>
    <w:p w14:paraId="1E9A1F66">
      <w:pPr>
        <w:numPr>
          <w:ilvl w:val="0"/>
          <w:numId w:val="3"/>
        </w:num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其他补充事宜</w:t>
      </w:r>
    </w:p>
    <w:p w14:paraId="538E7D5C">
      <w:pPr>
        <w:tabs>
          <w:tab w:val="left" w:pos="0"/>
        </w:tabs>
        <w:autoSpaceDE w:val="0"/>
        <w:autoSpaceDN w:val="0"/>
        <w:adjustRightInd w:val="0"/>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1、线上获取方式：</w:t>
      </w:r>
    </w:p>
    <w:p w14:paraId="31F119C0">
      <w:pPr>
        <w:spacing w:line="360" w:lineRule="auto"/>
        <w:ind w:firstLine="480" w:firstLineChars="200"/>
        <w:rPr>
          <w:rFonts w:ascii="宋体" w:hAnsi="宋体" w:cs="宋体"/>
          <w:sz w:val="24"/>
          <w:highlight w:val="none"/>
        </w:rPr>
      </w:pPr>
      <w:r>
        <w:rPr>
          <w:rFonts w:hint="eastAsia" w:ascii="宋体" w:hAnsi="宋体" w:cs="宋体"/>
          <w:sz w:val="24"/>
          <w:highlight w:val="none"/>
        </w:rPr>
        <w:t>（1）CA证书办理</w:t>
      </w:r>
    </w:p>
    <w:p w14:paraId="76968789">
      <w:pPr>
        <w:spacing w:line="360" w:lineRule="auto"/>
        <w:ind w:firstLine="480" w:firstLineChars="200"/>
        <w:rPr>
          <w:rFonts w:ascii="宋体" w:hAnsi="宋体" w:cs="宋体"/>
          <w:sz w:val="24"/>
          <w:highlight w:val="none"/>
        </w:rPr>
      </w:pPr>
      <w:r>
        <w:rPr>
          <w:rFonts w:hint="eastAsia" w:ascii="宋体" w:hAnsi="宋体" w:cs="宋体"/>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p>
    <w:p w14:paraId="52EBD2E9">
      <w:pPr>
        <w:spacing w:line="360" w:lineRule="auto"/>
        <w:ind w:firstLine="480" w:firstLineChars="200"/>
        <w:rPr>
          <w:rFonts w:ascii="宋体" w:hAnsi="宋体" w:cs="宋体"/>
          <w:sz w:val="24"/>
          <w:highlight w:val="none"/>
        </w:rPr>
      </w:pPr>
      <w:r>
        <w:rPr>
          <w:rFonts w:hint="eastAsia" w:ascii="宋体" w:hAnsi="宋体" w:cs="宋体"/>
          <w:sz w:val="24"/>
          <w:highlight w:val="none"/>
        </w:rPr>
        <w:t>（2）参与采购活动</w:t>
      </w:r>
    </w:p>
    <w:p w14:paraId="0DA8BF2B">
      <w:pPr>
        <w:spacing w:line="360" w:lineRule="auto"/>
        <w:ind w:firstLine="480" w:firstLineChars="200"/>
        <w:rPr>
          <w:rFonts w:ascii="宋体" w:hAnsi="宋体" w:cs="宋体"/>
          <w:sz w:val="24"/>
          <w:highlight w:val="none"/>
        </w:rPr>
      </w:pPr>
      <w:r>
        <w:rPr>
          <w:rFonts w:hint="eastAsia" w:ascii="宋体" w:hAnsi="宋体" w:cs="宋体"/>
          <w:sz w:val="24"/>
          <w:highlight w:val="none"/>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10D758B3">
      <w:pPr>
        <w:spacing w:line="360" w:lineRule="auto"/>
        <w:ind w:firstLine="480" w:firstLineChars="200"/>
        <w:rPr>
          <w:rFonts w:ascii="宋体" w:hAnsi="宋体" w:cs="宋体"/>
          <w:sz w:val="24"/>
          <w:highlight w:val="none"/>
        </w:rPr>
      </w:pPr>
      <w:r>
        <w:rPr>
          <w:rFonts w:hint="eastAsia" w:ascii="宋体" w:hAnsi="宋体" w:cs="宋体"/>
          <w:sz w:val="24"/>
          <w:highlight w:val="none"/>
        </w:rPr>
        <w:t>（3）电子投标准备</w:t>
      </w:r>
    </w:p>
    <w:p w14:paraId="0C26E4F7">
      <w:pPr>
        <w:spacing w:line="360" w:lineRule="auto"/>
        <w:ind w:firstLine="480" w:firstLineChars="200"/>
        <w:rPr>
          <w:rFonts w:ascii="宋体" w:hAnsi="宋体" w:cs="宋体"/>
          <w:sz w:val="24"/>
          <w:highlight w:val="none"/>
        </w:rPr>
      </w:pPr>
      <w:r>
        <w:rPr>
          <w:rFonts w:hint="eastAsia" w:ascii="宋体" w:hAnsi="宋体" w:cs="宋体"/>
          <w:sz w:val="24"/>
          <w:highlight w:val="none"/>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p>
    <w:p w14:paraId="66BE9F9D">
      <w:pPr>
        <w:spacing w:line="360" w:lineRule="auto"/>
        <w:ind w:firstLine="480" w:firstLineChars="200"/>
        <w:rPr>
          <w:rFonts w:ascii="宋体" w:hAnsi="宋体" w:cs="宋体"/>
          <w:sz w:val="24"/>
          <w:highlight w:val="none"/>
        </w:rPr>
      </w:pPr>
      <w:r>
        <w:rPr>
          <w:rFonts w:hint="eastAsia" w:ascii="宋体" w:hAnsi="宋体" w:cs="宋体"/>
          <w:sz w:val="24"/>
          <w:highlight w:val="none"/>
        </w:rPr>
        <w:t>注册咨询：18261002950；</w:t>
      </w:r>
    </w:p>
    <w:p w14:paraId="76DFE759">
      <w:pPr>
        <w:spacing w:line="360" w:lineRule="auto"/>
        <w:ind w:firstLine="480" w:firstLineChars="200"/>
        <w:rPr>
          <w:rFonts w:ascii="宋体" w:hAnsi="宋体" w:cs="宋体"/>
          <w:sz w:val="24"/>
          <w:highlight w:val="none"/>
        </w:rPr>
      </w:pPr>
      <w:r>
        <w:rPr>
          <w:rFonts w:hint="eastAsia" w:ascii="宋体" w:hAnsi="宋体" w:cs="宋体"/>
          <w:sz w:val="24"/>
          <w:highlight w:val="none"/>
        </w:rPr>
        <w:t>CA技术咨询电话：400-608-6099；</w:t>
      </w:r>
    </w:p>
    <w:p w14:paraId="5FB23FD6">
      <w:pPr>
        <w:spacing w:line="360" w:lineRule="auto"/>
        <w:ind w:firstLine="480" w:firstLineChars="200"/>
        <w:rPr>
          <w:rFonts w:ascii="宋体" w:hAnsi="宋体" w:cs="宋体"/>
          <w:sz w:val="24"/>
          <w:highlight w:val="none"/>
        </w:rPr>
      </w:pPr>
      <w:r>
        <w:rPr>
          <w:rFonts w:hint="eastAsia" w:ascii="宋体" w:hAnsi="宋体" w:cs="宋体"/>
          <w:sz w:val="24"/>
          <w:highlight w:val="none"/>
        </w:rPr>
        <w:t>签章使用问题：025-83633811、025-83633812、15380932027、15371015030；</w:t>
      </w:r>
    </w:p>
    <w:p w14:paraId="11E45B76">
      <w:pPr>
        <w:spacing w:line="360" w:lineRule="auto"/>
        <w:ind w:firstLine="480" w:firstLineChars="200"/>
        <w:rPr>
          <w:rFonts w:ascii="宋体" w:hAnsi="宋体" w:cs="宋体"/>
          <w:sz w:val="24"/>
          <w:highlight w:val="none"/>
        </w:rPr>
      </w:pPr>
      <w:r>
        <w:rPr>
          <w:rFonts w:hint="eastAsia" w:ascii="宋体" w:hAnsi="宋体" w:cs="宋体"/>
          <w:sz w:val="24"/>
          <w:highlight w:val="none"/>
        </w:rPr>
        <w:t>系统使用指导与咨询：联系电话：18261002950；QQ：3048755361、1315179389、895706745。</w:t>
      </w:r>
    </w:p>
    <w:p w14:paraId="6473FF51">
      <w:pPr>
        <w:tabs>
          <w:tab w:val="left" w:pos="0"/>
        </w:tabs>
        <w:autoSpaceDE w:val="0"/>
        <w:autoSpaceDN w:val="0"/>
        <w:adjustRightInd w:val="0"/>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6247C90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none"/>
        </w:rPr>
        <w:t>本项目为不见面磋商项目，</w:t>
      </w:r>
      <w:r>
        <w:rPr>
          <w:rFonts w:hint="eastAsia" w:ascii="宋体" w:hAnsi="宋体" w:cs="宋体"/>
          <w:b/>
          <w:sz w:val="24"/>
          <w:szCs w:val="24"/>
          <w:highlight w:val="none"/>
        </w:rPr>
        <w:t>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 w:val="24"/>
          <w:szCs w:val="24"/>
          <w:highlight w:val="none"/>
        </w:rPr>
        <w:t>。</w:t>
      </w:r>
    </w:p>
    <w:p w14:paraId="15FD8DCC">
      <w:pPr>
        <w:spacing w:line="360" w:lineRule="auto"/>
        <w:ind w:firstLine="482" w:firstLineChars="200"/>
        <w:rPr>
          <w:rFonts w:ascii="宋体" w:hAnsi="宋体" w:cs="宋体"/>
          <w:sz w:val="24"/>
          <w:szCs w:val="24"/>
          <w:highlight w:val="none"/>
        </w:rPr>
      </w:pPr>
      <w:r>
        <w:rPr>
          <w:rFonts w:hint="eastAsia" w:ascii="宋体" w:hAnsi="宋体" w:cs="宋体"/>
          <w:b/>
          <w:bCs/>
          <w:sz w:val="24"/>
          <w:szCs w:val="24"/>
          <w:highlight w:val="none"/>
        </w:rPr>
        <w:t>请供应商确保电脑、系统及其他设备（视频输入输出设备等）无误，且开启直至项目结束始终保持系统在线状态。</w:t>
      </w:r>
    </w:p>
    <w:p w14:paraId="44F037A6">
      <w:pPr>
        <w:tabs>
          <w:tab w:val="left" w:pos="0"/>
        </w:tabs>
        <w:autoSpaceDE w:val="0"/>
        <w:autoSpaceDN w:val="0"/>
        <w:adjustRightInd w:val="0"/>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p>
    <w:p w14:paraId="7CEC240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5.本项目获取采购文件截止日期之后仍可以下载采购文件，但截止日期之后下载的采购文件，视为非有效方式且不作为供应商权益受到损害的证明材料和依据。</w:t>
      </w:r>
    </w:p>
    <w:p w14:paraId="2229C0FA">
      <w:pPr>
        <w:tabs>
          <w:tab w:val="left" w:pos="0"/>
        </w:tabs>
        <w:autoSpaceDE w:val="0"/>
        <w:autoSpaceDN w:val="0"/>
        <w:adjustRightInd w:val="0"/>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p>
    <w:p w14:paraId="09BB15F0">
      <w:pPr>
        <w:tabs>
          <w:tab w:val="left" w:pos="0"/>
        </w:tabs>
        <w:autoSpaceDE w:val="0"/>
        <w:autoSpaceDN w:val="0"/>
        <w:adjustRightInd w:val="0"/>
        <w:spacing w:line="360" w:lineRule="auto"/>
        <w:ind w:firstLine="480" w:firstLineChars="200"/>
        <w:rPr>
          <w:rFonts w:ascii="宋体" w:hAnsi="宋体" w:cs="宋体"/>
          <w:sz w:val="24"/>
          <w:szCs w:val="24"/>
          <w:highlight w:val="none"/>
        </w:rPr>
      </w:pPr>
      <w:r>
        <w:rPr>
          <w:rFonts w:hint="eastAsia" w:asciiTheme="minorEastAsia" w:hAnsiTheme="minorEastAsia" w:eastAsiaTheme="minorEastAsia"/>
          <w:sz w:val="24"/>
          <w:szCs w:val="24"/>
          <w:highlight w:val="none"/>
        </w:rPr>
        <w:t>7．请贵单位领取本次采购文件后，认真阅读各项内容，进行必要的磋商准备，按文件的要求详细填写和编制响应文件。</w:t>
      </w:r>
    </w:p>
    <w:p w14:paraId="3245FEC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8.本次采购的相关信息刊登在苏州市政府采购网、江苏政府采购网、中国政府采购网。</w:t>
      </w:r>
    </w:p>
    <w:p w14:paraId="0BCC1E7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9.政府采购监督管理电话：</w:t>
      </w:r>
      <w:r>
        <w:rPr>
          <w:rFonts w:hint="eastAsia" w:ascii="宋体" w:hAnsi="宋体"/>
          <w:sz w:val="24"/>
          <w:highlight w:val="none"/>
          <w:lang w:val="zh-CN"/>
        </w:rPr>
        <w:t>0512-68751335</w:t>
      </w:r>
    </w:p>
    <w:p w14:paraId="67CAB155">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 xml:space="preserve">八、凡对本次采购提出询问，请按以下方式联系。 </w:t>
      </w:r>
    </w:p>
    <w:p w14:paraId="6D34F8C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1.采购人信息 </w:t>
      </w:r>
    </w:p>
    <w:p w14:paraId="6E8A140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名称：苏州科技城管理委员会</w:t>
      </w:r>
    </w:p>
    <w:p w14:paraId="3D705731">
      <w:pPr>
        <w:spacing w:line="360" w:lineRule="auto"/>
        <w:ind w:firstLine="480" w:firstLineChars="200"/>
        <w:rPr>
          <w:sz w:val="24"/>
          <w:szCs w:val="24"/>
          <w:highlight w:val="none"/>
        </w:rPr>
      </w:pPr>
      <w:r>
        <w:rPr>
          <w:rFonts w:hint="eastAsia"/>
          <w:sz w:val="24"/>
          <w:szCs w:val="24"/>
          <w:highlight w:val="none"/>
        </w:rPr>
        <w:t xml:space="preserve">地址：江苏省苏州市高新区培源路3号 </w:t>
      </w:r>
    </w:p>
    <w:p w14:paraId="7A6F52A1">
      <w:pPr>
        <w:spacing w:line="360" w:lineRule="auto"/>
        <w:ind w:firstLine="480" w:firstLineChars="200"/>
        <w:rPr>
          <w:rFonts w:ascii="宋体" w:hAnsi="宋体" w:cs="宋体"/>
          <w:sz w:val="24"/>
          <w:szCs w:val="24"/>
          <w:highlight w:val="none"/>
        </w:rPr>
      </w:pPr>
      <w:r>
        <w:rPr>
          <w:rFonts w:hint="eastAsia"/>
          <w:sz w:val="24"/>
          <w:szCs w:val="22"/>
          <w:highlight w:val="none"/>
        </w:rPr>
        <w:t>联系方式：0512-66911820</w:t>
      </w:r>
    </w:p>
    <w:p w14:paraId="28C9D5D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2.采购代理机构信息 </w:t>
      </w:r>
    </w:p>
    <w:p w14:paraId="6CB8551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名    称：苏州海企国际工程咨询有限公司 </w:t>
      </w:r>
    </w:p>
    <w:p w14:paraId="01D2DD2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地  址：苏州市高新区灵岩街6号9层 </w:t>
      </w:r>
    </w:p>
    <w:p w14:paraId="0E4294A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联系方式：0512-68087208</w:t>
      </w:r>
    </w:p>
    <w:p w14:paraId="619B277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3.项目联系方式 </w:t>
      </w:r>
    </w:p>
    <w:p w14:paraId="5FA9839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项目联系人：钟雅婷、张茂松、赵猛 </w:t>
      </w:r>
    </w:p>
    <w:p w14:paraId="7CF70C21">
      <w:pPr>
        <w:spacing w:line="360" w:lineRule="auto"/>
        <w:ind w:firstLine="480" w:firstLineChars="200"/>
        <w:rPr>
          <w:highlight w:val="none"/>
        </w:rPr>
      </w:pPr>
      <w:r>
        <w:rPr>
          <w:rFonts w:hint="eastAsia" w:ascii="宋体" w:hAnsi="宋体" w:cs="宋体"/>
          <w:sz w:val="24"/>
          <w:szCs w:val="24"/>
          <w:highlight w:val="none"/>
        </w:rPr>
        <w:t>电   话：0512-68087208</w:t>
      </w:r>
    </w:p>
    <w:bookmarkEnd w:id="0"/>
    <w:p w14:paraId="4FA4F37C">
      <w:pPr>
        <w:spacing w:line="440" w:lineRule="exact"/>
        <w:jc w:val="center"/>
        <w:rPr>
          <w:rFonts w:asciiTheme="minorEastAsia" w:hAnsiTheme="minorEastAsia" w:eastAsiaTheme="minorEastAsia"/>
          <w:b/>
          <w:sz w:val="32"/>
          <w:highlight w:val="none"/>
        </w:rPr>
      </w:pPr>
      <w:r>
        <w:rPr>
          <w:rFonts w:asciiTheme="minorEastAsia" w:hAnsiTheme="minorEastAsia" w:eastAsiaTheme="minorEastAsia"/>
          <w:highlight w:val="none"/>
        </w:rPr>
        <w:br w:type="page"/>
      </w:r>
      <w:r>
        <w:rPr>
          <w:rFonts w:hint="eastAsia" w:asciiTheme="minorEastAsia" w:hAnsiTheme="minorEastAsia" w:eastAsiaTheme="minorEastAsia"/>
          <w:b/>
          <w:sz w:val="32"/>
          <w:highlight w:val="none"/>
        </w:rPr>
        <w:t>二、磋商文件</w:t>
      </w:r>
    </w:p>
    <w:p w14:paraId="1131B793">
      <w:pPr>
        <w:widowControl/>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苏州海企国际工程咨询有限公司受</w:t>
      </w:r>
      <w:r>
        <w:rPr>
          <w:rFonts w:hint="eastAsia" w:cs="宋体" w:asciiTheme="minorEastAsia" w:hAnsiTheme="minorEastAsia" w:eastAsiaTheme="minorEastAsia"/>
          <w:sz w:val="24"/>
          <w:szCs w:val="24"/>
          <w:highlight w:val="none"/>
        </w:rPr>
        <w:t>苏州科技城管理委员会</w:t>
      </w:r>
      <w:r>
        <w:rPr>
          <w:rFonts w:hint="eastAsia" w:asciiTheme="minorEastAsia" w:hAnsiTheme="minorEastAsia" w:eastAsiaTheme="minorEastAsia"/>
          <w:sz w:val="24"/>
          <w:szCs w:val="24"/>
          <w:highlight w:val="none"/>
        </w:rPr>
        <w:t>委托，就其所需的</w:t>
      </w:r>
      <w:r>
        <w:rPr>
          <w:rFonts w:hint="eastAsia" w:asciiTheme="minorEastAsia" w:hAnsiTheme="minorEastAsia" w:eastAsiaTheme="minorEastAsia"/>
          <w:sz w:val="24"/>
          <w:highlight w:val="none"/>
        </w:rPr>
        <w:t>太湖科学城功能片区既有建筑再排查再整治项目</w:t>
      </w:r>
      <w:r>
        <w:rPr>
          <w:rFonts w:hint="eastAsia" w:asciiTheme="minorEastAsia" w:hAnsiTheme="minorEastAsia" w:eastAsiaTheme="minorEastAsia"/>
          <w:sz w:val="24"/>
          <w:szCs w:val="24"/>
          <w:highlight w:val="none"/>
        </w:rPr>
        <w:t>采用竞争性磋商方式进行采购。欢迎符合磋商文件资格条件的供应商前来参加磋商。</w:t>
      </w:r>
    </w:p>
    <w:p w14:paraId="466C6149">
      <w:pPr>
        <w:tabs>
          <w:tab w:val="left" w:pos="567"/>
        </w:tabs>
        <w:spacing w:line="360" w:lineRule="auto"/>
        <w:ind w:left="420" w:leftChars="200"/>
        <w:jc w:val="lef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
          <w:sz w:val="24"/>
          <w:szCs w:val="24"/>
          <w:highlight w:val="none"/>
        </w:rPr>
        <w:t>一、采购编号：</w:t>
      </w:r>
      <w:r>
        <w:rPr>
          <w:rFonts w:hint="eastAsia" w:asciiTheme="minorEastAsia" w:hAnsiTheme="minorEastAsia" w:eastAsiaTheme="minorEastAsia"/>
          <w:bCs/>
          <w:sz w:val="24"/>
          <w:szCs w:val="24"/>
          <w:highlight w:val="none"/>
          <w:lang w:eastAsia="zh-CN"/>
        </w:rPr>
        <w:t>JSZC-320505-SZHQ-C2026-0006</w:t>
      </w:r>
    </w:p>
    <w:p w14:paraId="2DE504A8">
      <w:pPr>
        <w:tabs>
          <w:tab w:val="left" w:pos="567"/>
        </w:tabs>
        <w:spacing w:line="360" w:lineRule="auto"/>
        <w:ind w:left="420" w:leftChars="200"/>
        <w:jc w:val="left"/>
        <w:rPr>
          <w:rFonts w:asciiTheme="minorEastAsia" w:hAnsiTheme="minorEastAsia" w:eastAsiaTheme="minorEastAsia"/>
          <w:sz w:val="24"/>
          <w:szCs w:val="24"/>
          <w:highlight w:val="none"/>
        </w:rPr>
      </w:pPr>
      <w:r>
        <w:rPr>
          <w:rFonts w:hint="eastAsia" w:asciiTheme="minorEastAsia" w:hAnsiTheme="minorEastAsia" w:eastAsiaTheme="minorEastAsia"/>
          <w:b/>
          <w:sz w:val="24"/>
          <w:szCs w:val="24"/>
          <w:highlight w:val="none"/>
        </w:rPr>
        <w:t>二、项目名称：</w:t>
      </w:r>
      <w:r>
        <w:rPr>
          <w:rFonts w:hint="eastAsia" w:asciiTheme="minorEastAsia" w:hAnsiTheme="minorEastAsia" w:eastAsiaTheme="minorEastAsia"/>
          <w:sz w:val="24"/>
          <w:highlight w:val="none"/>
        </w:rPr>
        <w:t>太湖科学城功能片区既有建筑再排查再整治项目</w:t>
      </w:r>
    </w:p>
    <w:p w14:paraId="5904C6E0">
      <w:pPr>
        <w:tabs>
          <w:tab w:val="left" w:pos="567"/>
        </w:tabs>
        <w:spacing w:line="360" w:lineRule="auto"/>
        <w:ind w:left="420" w:leftChars="200"/>
        <w:jc w:val="lef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三、采购预算：</w:t>
      </w:r>
      <w:r>
        <w:rPr>
          <w:rFonts w:hint="eastAsia" w:ascii="宋体" w:hAnsi="宋体" w:cs="宋体" w:eastAsiaTheme="minorEastAsia"/>
          <w:sz w:val="24"/>
          <w:szCs w:val="24"/>
          <w:highlight w:val="none"/>
        </w:rPr>
        <w:t>1929420.00</w:t>
      </w:r>
      <w:r>
        <w:rPr>
          <w:rFonts w:hint="eastAsia" w:asciiTheme="minorEastAsia" w:hAnsiTheme="minorEastAsia" w:eastAsiaTheme="minorEastAsia"/>
          <w:sz w:val="24"/>
          <w:szCs w:val="22"/>
          <w:highlight w:val="none"/>
        </w:rPr>
        <w:t>元</w:t>
      </w:r>
    </w:p>
    <w:p w14:paraId="1EC606A7">
      <w:pPr>
        <w:tabs>
          <w:tab w:val="left" w:pos="567"/>
        </w:tabs>
        <w:spacing w:line="360" w:lineRule="auto"/>
        <w:ind w:left="420" w:leftChars="200"/>
        <w:jc w:val="lef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四、采购需求：</w:t>
      </w:r>
    </w:p>
    <w:p w14:paraId="2124A6CC">
      <w:pPr>
        <w:spacing w:line="360" w:lineRule="auto"/>
        <w:ind w:firstLine="482"/>
        <w:rPr>
          <w:rFonts w:ascii="宋体" w:hAnsi="宋体" w:cs="宋体"/>
          <w:b/>
          <w:sz w:val="24"/>
          <w:highlight w:val="none"/>
        </w:rPr>
      </w:pPr>
      <w:r>
        <w:rPr>
          <w:rFonts w:hint="eastAsia" w:ascii="宋体" w:hAnsi="宋体" w:cs="宋体"/>
          <w:b/>
          <w:sz w:val="24"/>
          <w:highlight w:val="none"/>
        </w:rPr>
        <w:t>（一）项目背景：</w:t>
      </w:r>
      <w:r>
        <w:rPr>
          <w:rFonts w:hint="eastAsia" w:ascii="宋体" w:hAnsi="宋体" w:cs="宋体"/>
          <w:bCs/>
          <w:sz w:val="24"/>
          <w:highlight w:val="none"/>
        </w:rPr>
        <w:t>根据苏房办函【2025】2号《关于组织开展既有建筑安全隐患再排查再整治的通知》,充分利用前期既有建筑安全隐患排查整治、自建房安全专项整治、公共建筑排查整治工作成果，组织开展“回头看”，突出人员密集、用作经营等重点类型既有建筑认真细致开展安全隐患再排查再整治，确保不留盲区、不留死角，着力推动隐患整治销号，多措并举、综合施策，有效防范化解重大安全风险，全力保障既有建筑领域安全形势稳定。对太湖科学城功能片区既有建筑安全隐患开展“横向到边、纵向到底、全面覆盖”的大排查大整治，掌握既有建筑现状底数，建立隐患建筑清单，实现存量建筑“隐患见底”。建立健全既有建筑安全隐患社会监督、群众举报、动态发现报告等长效机制，着力实现既有建筑依法规范管理。</w:t>
      </w:r>
    </w:p>
    <w:p w14:paraId="6F67A82D">
      <w:pPr>
        <w:widowControl/>
        <w:spacing w:line="360" w:lineRule="auto"/>
        <w:ind w:firstLine="482"/>
        <w:rPr>
          <w:rFonts w:ascii="宋体" w:hAnsi="宋体"/>
          <w:b/>
          <w:sz w:val="24"/>
          <w:highlight w:val="none"/>
        </w:rPr>
      </w:pPr>
      <w:r>
        <w:rPr>
          <w:rFonts w:hint="eastAsia" w:ascii="宋体" w:hAnsi="宋体"/>
          <w:b/>
          <w:sz w:val="24"/>
          <w:highlight w:val="none"/>
        </w:rPr>
        <w:t>（二）排查对象及范围：</w:t>
      </w:r>
    </w:p>
    <w:p w14:paraId="066EEDB6">
      <w:pPr>
        <w:widowControl/>
        <w:spacing w:line="360" w:lineRule="auto"/>
        <w:ind w:firstLine="480"/>
        <w:rPr>
          <w:rFonts w:ascii="宋体" w:hAnsi="宋体"/>
          <w:sz w:val="24"/>
          <w:highlight w:val="none"/>
        </w:rPr>
      </w:pPr>
      <w:r>
        <w:rPr>
          <w:rFonts w:hint="eastAsia" w:ascii="宋体" w:hAnsi="宋体"/>
          <w:sz w:val="24"/>
          <w:highlight w:val="none"/>
        </w:rPr>
        <w:t>1、对象：在太湖科学城功能片区范围内实际存在的城镇建筑及农房建筑。</w:t>
      </w:r>
    </w:p>
    <w:p w14:paraId="01131DB2">
      <w:pPr>
        <w:widowControl/>
        <w:spacing w:line="360" w:lineRule="auto"/>
        <w:ind w:firstLine="480"/>
        <w:rPr>
          <w:rFonts w:ascii="宋体" w:hAnsi="宋体"/>
          <w:sz w:val="24"/>
          <w:highlight w:val="none"/>
        </w:rPr>
      </w:pPr>
      <w:r>
        <w:rPr>
          <w:rFonts w:hint="eastAsia" w:ascii="宋体" w:hAnsi="宋体"/>
          <w:sz w:val="24"/>
          <w:highlight w:val="none"/>
        </w:rPr>
        <w:t>2、范围：本次工作范围为太湖科学城功能片区辖区内既有建筑17865幢（其中东渚街道3428幢，通安镇5281幢，镇湖街道9156幢）（具体以实际为准）。</w:t>
      </w:r>
    </w:p>
    <w:p w14:paraId="5BCFCC55">
      <w:pPr>
        <w:widowControl/>
        <w:spacing w:line="360" w:lineRule="auto"/>
        <w:ind w:firstLine="482"/>
        <w:rPr>
          <w:rFonts w:ascii="宋体" w:hAnsi="宋体"/>
          <w:b/>
          <w:sz w:val="24"/>
          <w:highlight w:val="none"/>
        </w:rPr>
      </w:pPr>
      <w:r>
        <w:rPr>
          <w:rFonts w:hint="eastAsia" w:ascii="宋体" w:hAnsi="宋体"/>
          <w:b/>
          <w:sz w:val="24"/>
          <w:highlight w:val="none"/>
        </w:rPr>
        <w:t>（三）排查范围、内容及具体工作内容：</w:t>
      </w:r>
    </w:p>
    <w:p w14:paraId="3039EF05">
      <w:pPr>
        <w:widowControl/>
        <w:spacing w:line="360" w:lineRule="auto"/>
        <w:ind w:firstLine="480"/>
        <w:rPr>
          <w:rFonts w:ascii="宋体" w:hAnsi="宋体"/>
          <w:sz w:val="24"/>
          <w:highlight w:val="none"/>
        </w:rPr>
      </w:pPr>
      <w:r>
        <w:rPr>
          <w:rFonts w:hint="eastAsia" w:ascii="宋体" w:hAnsi="宋体"/>
          <w:sz w:val="24"/>
          <w:highlight w:val="none"/>
        </w:rPr>
        <w:t>1、排查要求：按照“网格化排查、清单化管理”要求，在已经开展的既有房屋安全排查、房屋建筑违法建设和违法违规审批专项清查、违法建设治理等工作基础上，对全区域既有房屋拉网式大排查。做到不留盲区、不留死角。</w:t>
      </w:r>
    </w:p>
    <w:p w14:paraId="251F91BD">
      <w:pPr>
        <w:widowControl/>
        <w:spacing w:line="360" w:lineRule="auto"/>
        <w:ind w:firstLine="480"/>
        <w:rPr>
          <w:rFonts w:ascii="宋体" w:hAnsi="宋体"/>
          <w:sz w:val="24"/>
          <w:highlight w:val="none"/>
        </w:rPr>
      </w:pPr>
      <w:r>
        <w:rPr>
          <w:rFonts w:hint="eastAsia" w:ascii="宋体" w:hAnsi="宋体"/>
          <w:sz w:val="24"/>
          <w:highlight w:val="none"/>
        </w:rPr>
        <w:t>2、排查重点：</w:t>
      </w:r>
    </w:p>
    <w:p w14:paraId="2C4E5AC8">
      <w:pPr>
        <w:widowControl/>
        <w:spacing w:line="360" w:lineRule="auto"/>
        <w:ind w:firstLine="480"/>
        <w:rPr>
          <w:rFonts w:ascii="宋体" w:hAnsi="宋体"/>
          <w:sz w:val="24"/>
          <w:highlight w:val="none"/>
        </w:rPr>
      </w:pPr>
      <w:r>
        <w:rPr>
          <w:rFonts w:hint="eastAsia" w:ascii="宋体" w:hAnsi="宋体"/>
          <w:sz w:val="24"/>
          <w:highlight w:val="none"/>
        </w:rPr>
        <w:t>（1）宴会厅、体育馆、展览馆、影剧院、报告厅、工业厂房和农民集体议事、承办婚丧嫁娶宴席的大厅等大跨度结构建筑;</w:t>
      </w:r>
    </w:p>
    <w:p w14:paraId="44FF07C8">
      <w:pPr>
        <w:widowControl/>
        <w:spacing w:line="360" w:lineRule="auto"/>
        <w:ind w:firstLine="480"/>
        <w:rPr>
          <w:rFonts w:ascii="宋体" w:hAnsi="宋体"/>
          <w:sz w:val="24"/>
          <w:highlight w:val="none"/>
        </w:rPr>
      </w:pPr>
      <w:r>
        <w:rPr>
          <w:rFonts w:hint="eastAsia" w:ascii="宋体" w:hAnsi="宋体"/>
          <w:sz w:val="24"/>
          <w:highlight w:val="none"/>
        </w:rPr>
        <w:t>（2）擅自变动建筑主体、承重结构，擅自增加荷载或改变荷</w:t>
      </w:r>
    </w:p>
    <w:p w14:paraId="793A4520">
      <w:pPr>
        <w:widowControl/>
        <w:spacing w:line="360" w:lineRule="auto"/>
        <w:ind w:firstLine="480"/>
        <w:rPr>
          <w:rFonts w:ascii="宋体" w:hAnsi="宋体"/>
          <w:sz w:val="24"/>
          <w:highlight w:val="none"/>
        </w:rPr>
      </w:pPr>
      <w:r>
        <w:rPr>
          <w:rFonts w:hint="eastAsia" w:ascii="宋体" w:hAnsi="宋体"/>
          <w:sz w:val="24"/>
          <w:highlight w:val="none"/>
        </w:rPr>
        <w:t>载类型的房屋，屋顶放置设施设备、堆积物品的房屋;</w:t>
      </w:r>
    </w:p>
    <w:p w14:paraId="2B74335E">
      <w:pPr>
        <w:widowControl/>
        <w:spacing w:line="360" w:lineRule="auto"/>
        <w:ind w:firstLine="480"/>
        <w:rPr>
          <w:rFonts w:ascii="宋体" w:hAnsi="宋体"/>
          <w:sz w:val="24"/>
          <w:highlight w:val="none"/>
        </w:rPr>
      </w:pPr>
      <w:r>
        <w:rPr>
          <w:rFonts w:hint="eastAsia" w:ascii="宋体" w:hAnsi="宋体"/>
          <w:sz w:val="24"/>
          <w:highlight w:val="none"/>
        </w:rPr>
        <w:t>（3）学校、医院、商场、浴室、棋牌室、小吃店、私人影院、密室逃脱、剧本杀、电竞馆、家庭旅馆、小作坊、简易生产用房等;</w:t>
      </w:r>
    </w:p>
    <w:p w14:paraId="5F8E7193">
      <w:pPr>
        <w:widowControl/>
        <w:spacing w:line="360" w:lineRule="auto"/>
        <w:ind w:firstLine="480"/>
        <w:rPr>
          <w:rFonts w:ascii="宋体" w:hAnsi="宋体"/>
          <w:sz w:val="24"/>
          <w:highlight w:val="none"/>
        </w:rPr>
      </w:pPr>
      <w:r>
        <w:rPr>
          <w:rFonts w:hint="eastAsia" w:ascii="宋体" w:hAnsi="宋体"/>
          <w:sz w:val="24"/>
          <w:highlight w:val="none"/>
        </w:rPr>
        <w:t>（4）学校、医院周边多次周转、易手的门面房，小城镇、城乡结合部用作经营(包括出租)的房屋;</w:t>
      </w:r>
    </w:p>
    <w:p w14:paraId="0B29E6BD">
      <w:pPr>
        <w:widowControl/>
        <w:spacing w:line="360" w:lineRule="auto"/>
        <w:ind w:firstLine="480"/>
        <w:rPr>
          <w:rFonts w:ascii="宋体" w:hAnsi="宋体"/>
          <w:sz w:val="24"/>
          <w:highlight w:val="none"/>
        </w:rPr>
      </w:pPr>
      <w:r>
        <w:rPr>
          <w:rFonts w:hint="eastAsia" w:ascii="宋体" w:hAnsi="宋体"/>
          <w:sz w:val="24"/>
          <w:highlight w:val="none"/>
        </w:rPr>
        <w:t>（5）3层及以上、用作经营(包括出租)、改扩建的自建房等，生产、经营、居住功能混杂的“三合一”“多合一”人员密集场所;</w:t>
      </w:r>
    </w:p>
    <w:p w14:paraId="1C3F5007">
      <w:pPr>
        <w:widowControl/>
        <w:spacing w:line="360" w:lineRule="auto"/>
        <w:ind w:firstLine="480"/>
        <w:rPr>
          <w:rFonts w:ascii="宋体" w:hAnsi="宋体"/>
          <w:sz w:val="24"/>
          <w:highlight w:val="none"/>
        </w:rPr>
      </w:pPr>
      <w:r>
        <w:rPr>
          <w:rFonts w:hint="eastAsia" w:ascii="宋体" w:hAnsi="宋体"/>
          <w:sz w:val="24"/>
          <w:highlight w:val="none"/>
        </w:rPr>
        <w:t>（6）机关事业单位、工矿企业、学校医院等长期供本单位职工及其他人员租用的房屋;</w:t>
      </w:r>
    </w:p>
    <w:p w14:paraId="39EC9197">
      <w:pPr>
        <w:widowControl/>
        <w:spacing w:line="360" w:lineRule="auto"/>
        <w:ind w:firstLine="480"/>
        <w:rPr>
          <w:rFonts w:ascii="宋体" w:hAnsi="宋体"/>
          <w:sz w:val="24"/>
          <w:highlight w:val="none"/>
        </w:rPr>
      </w:pPr>
      <w:r>
        <w:rPr>
          <w:rFonts w:hint="eastAsia" w:ascii="宋体" w:hAnsi="宋体"/>
          <w:sz w:val="24"/>
          <w:highlight w:val="none"/>
        </w:rPr>
        <w:t>（7）达到或超过设计使用年限的房屋，使用预制板的房屋，以及其他建设年代早、建设标准低、失修失养的房屋等。</w:t>
      </w:r>
    </w:p>
    <w:p w14:paraId="7E7C2180">
      <w:pPr>
        <w:widowControl/>
        <w:spacing w:line="360" w:lineRule="auto"/>
        <w:ind w:firstLine="480"/>
        <w:rPr>
          <w:rFonts w:ascii="宋体" w:hAnsi="宋体"/>
          <w:sz w:val="24"/>
          <w:highlight w:val="none"/>
        </w:rPr>
      </w:pPr>
      <w:r>
        <w:rPr>
          <w:rFonts w:hint="eastAsia" w:ascii="宋体" w:hAnsi="宋体"/>
          <w:sz w:val="24"/>
          <w:highlight w:val="none"/>
        </w:rPr>
        <w:t>3、排查内容：</w:t>
      </w:r>
    </w:p>
    <w:p w14:paraId="7AEE3DA2">
      <w:pPr>
        <w:widowControl/>
        <w:spacing w:line="360" w:lineRule="auto"/>
        <w:ind w:firstLine="480"/>
        <w:rPr>
          <w:rFonts w:ascii="宋体" w:hAnsi="宋体"/>
          <w:sz w:val="24"/>
          <w:highlight w:val="none"/>
        </w:rPr>
      </w:pPr>
      <w:r>
        <w:rPr>
          <w:rFonts w:hint="eastAsia" w:ascii="宋体" w:hAnsi="宋体"/>
          <w:sz w:val="24"/>
          <w:highlight w:val="none"/>
        </w:rPr>
        <w:t>（1）建筑主体、承重结构是否出现裂缝、倾斜、不均匀沉降；</w:t>
      </w:r>
    </w:p>
    <w:p w14:paraId="66910BAE">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）结构体系、杆件尺寸是否合理，连接节点是否牢固；</w:t>
      </w:r>
    </w:p>
    <w:p w14:paraId="3A95CD37">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）是否拆改建筑主体、承重结构特别是梁、柱、承重墙等, 是否加层、增加夹层等；</w:t>
      </w:r>
    </w:p>
    <w:p w14:paraId="09F165BF">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）是否在屋顶、露台、晒台放置或增设设施设备、堆放物品，以及以其他形式增加荷载或改变荷载类型；</w:t>
      </w:r>
    </w:p>
    <w:p w14:paraId="094CA5CC">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）钢结构构件及其连接节点锈蚀情况，螺栓、铆钉连接是否牢固；</w:t>
      </w:r>
    </w:p>
    <w:p w14:paraId="7AB624B0">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6</w:t>
      </w:r>
      <w:r>
        <w:rPr>
          <w:rFonts w:hint="eastAsia" w:ascii="宋体" w:hAnsi="宋体"/>
          <w:sz w:val="24"/>
          <w:highlight w:val="none"/>
        </w:rPr>
        <w:t>）雨棚、挑檐、女儿墙等突出建筑外立面、顶面的构件是否出现裂缘、倾斜、变形过大等情况；</w:t>
      </w:r>
    </w:p>
    <w:p w14:paraId="17685A8E">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）空调室外机、太阳能热水器等设施设备及其支撑装置放置或悬挂是否牢国；</w:t>
      </w:r>
    </w:p>
    <w:p w14:paraId="59A9BDC2">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）极端天气下屋顶、退台等是否可能因积雪或冻雨覆盖、积水等造成危害。</w:t>
      </w:r>
    </w:p>
    <w:p w14:paraId="1143DB06">
      <w:pPr>
        <w:widowControl/>
        <w:spacing w:line="360" w:lineRule="auto"/>
        <w:ind w:firstLine="480"/>
        <w:rPr>
          <w:rFonts w:ascii="宋体" w:hAnsi="宋体"/>
          <w:sz w:val="24"/>
          <w:highlight w:val="none"/>
        </w:rPr>
      </w:pPr>
      <w:r>
        <w:rPr>
          <w:rFonts w:hint="eastAsia" w:ascii="宋体" w:hAnsi="宋体"/>
          <w:sz w:val="24"/>
          <w:highlight w:val="none"/>
        </w:rPr>
        <w:t>4、具体工作内容：</w:t>
      </w:r>
    </w:p>
    <w:p w14:paraId="7A325BB1">
      <w:pPr>
        <w:widowControl/>
        <w:spacing w:line="360" w:lineRule="auto"/>
        <w:ind w:firstLine="480"/>
        <w:rPr>
          <w:rFonts w:ascii="宋体" w:hAnsi="宋体"/>
          <w:sz w:val="24"/>
          <w:highlight w:val="none"/>
        </w:rPr>
      </w:pPr>
      <w:r>
        <w:rPr>
          <w:rFonts w:hint="eastAsia" w:ascii="宋体" w:hAnsi="宋体"/>
          <w:sz w:val="24"/>
          <w:highlight w:val="none"/>
        </w:rPr>
        <w:t>（1）排查单位通过现场检查和询问相关单位和人员等方式，对既有建筑进行排查，针对年代较长的老旧建筑、经过多次改扩建、结构体系不清晰、无设计资料、疑似严重损坏房等的既有建筑，进行重点排查。</w:t>
      </w:r>
    </w:p>
    <w:p w14:paraId="16278140">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）既有建筑安全排查工作分为地基基础、上部承重结构、维护系统、使用情况四部分进行排查。</w:t>
      </w:r>
    </w:p>
    <w:p w14:paraId="1483FE30">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）既有建筑安全排查应按《苏州市既有建筑安全排查表》相关内容逐项调查和检查，形成完整的记录；对于发现的构件损伤与缺陷等安全隐患，应记录相应的部位与损伤程度并配有相应的照片。</w:t>
      </w:r>
    </w:p>
    <w:p w14:paraId="138AB505">
      <w:pPr>
        <w:widowControl/>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）既有建筑安全排查应给出基本完好房，一般损坏房，严重损坏、疑似危房的评定意见。</w:t>
      </w:r>
    </w:p>
    <w:p w14:paraId="6215A8E6">
      <w:pPr>
        <w:tabs>
          <w:tab w:val="left" w:pos="567"/>
        </w:tabs>
        <w:spacing w:line="360" w:lineRule="auto"/>
        <w:ind w:firstLine="480" w:firstLineChars="200"/>
        <w:rPr>
          <w:rFonts w:ascii="宋体" w:hAnsi="宋体" w:cs="仿宋_GB2312"/>
          <w:b/>
          <w:bCs/>
          <w:sz w:val="24"/>
          <w:szCs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）排查信息、排查结论和相应照片应按要求整理台账信息，做好归集工作，</w:t>
      </w:r>
      <w:r>
        <w:rPr>
          <w:rFonts w:hint="eastAsia" w:ascii="宋体" w:hAnsi="宋体" w:cs="宋体"/>
          <w:sz w:val="24"/>
          <w:szCs w:val="24"/>
          <w:highlight w:val="none"/>
          <w:shd w:val="clear" w:color="auto" w:fill="FFFFFF"/>
        </w:rPr>
        <w:t>在采购人要求的时限内录入江苏省房屋安全信息系统，并在完成后出具一份排查报告；</w:t>
      </w:r>
    </w:p>
    <w:p w14:paraId="61F63AB9">
      <w:pPr>
        <w:widowControl/>
        <w:spacing w:line="360" w:lineRule="auto"/>
        <w:ind w:firstLine="480"/>
        <w:rPr>
          <w:rFonts w:ascii="宋体" w:hAnsi="宋体"/>
          <w:sz w:val="24"/>
          <w:highlight w:val="none"/>
        </w:rPr>
      </w:pPr>
      <w:r>
        <w:rPr>
          <w:rFonts w:hint="eastAsia" w:ascii="宋体" w:hAnsi="宋体"/>
          <w:sz w:val="24"/>
          <w:highlight w:val="none"/>
        </w:rPr>
        <w:t>5、积极配合上级部门开展其它安全管理工作。</w:t>
      </w:r>
    </w:p>
    <w:p w14:paraId="4B9F95D7">
      <w:pPr>
        <w:spacing w:line="360" w:lineRule="auto"/>
        <w:ind w:firstLine="482"/>
        <w:rPr>
          <w:rFonts w:ascii="宋体" w:hAnsi="宋体"/>
          <w:b/>
          <w:sz w:val="24"/>
          <w:highlight w:val="none"/>
        </w:rPr>
      </w:pPr>
      <w:r>
        <w:rPr>
          <w:rFonts w:hint="eastAsia" w:ascii="宋体" w:hAnsi="宋体"/>
          <w:b/>
          <w:sz w:val="24"/>
          <w:highlight w:val="none"/>
        </w:rPr>
        <w:t>（四）服务目标：</w:t>
      </w:r>
    </w:p>
    <w:p w14:paraId="4756426A">
      <w:pPr>
        <w:widowControl/>
        <w:spacing w:line="360" w:lineRule="auto"/>
        <w:ind w:firstLine="480"/>
        <w:rPr>
          <w:rFonts w:ascii="宋体" w:hAnsi="宋体"/>
          <w:sz w:val="24"/>
          <w:highlight w:val="none"/>
        </w:rPr>
      </w:pPr>
      <w:r>
        <w:rPr>
          <w:rFonts w:hint="eastAsia" w:ascii="宋体" w:hAnsi="宋体"/>
          <w:sz w:val="24"/>
          <w:highlight w:val="none"/>
        </w:rPr>
        <w:t>对太湖科学城功能片区范围区域既有建筑安全隐患开展“横向到边、纵向到底、全面覆盖”的大排查大整治，掌握既有建筑现状底数，建立隐患建筑清单，实现存量建筑“隐患见底”。建立健全既有建筑安全隐患社会监督、群众举报、动态发现报告等长效机制，着力实现既有建筑依法规范管理。</w:t>
      </w:r>
    </w:p>
    <w:p w14:paraId="290E7035">
      <w:pPr>
        <w:spacing w:line="360" w:lineRule="auto"/>
        <w:ind w:firstLine="482"/>
        <w:rPr>
          <w:rFonts w:ascii="宋体" w:hAnsi="宋体"/>
          <w:b/>
          <w:sz w:val="24"/>
          <w:highlight w:val="none"/>
        </w:rPr>
      </w:pPr>
      <w:r>
        <w:rPr>
          <w:rFonts w:hint="eastAsia" w:ascii="宋体" w:hAnsi="宋体"/>
          <w:b/>
          <w:sz w:val="24"/>
          <w:highlight w:val="none"/>
        </w:rPr>
        <w:t>（五）作业依据（包含但不限于）：</w:t>
      </w:r>
    </w:p>
    <w:p w14:paraId="55AEA1E8">
      <w:pPr>
        <w:widowControl/>
        <w:spacing w:line="360" w:lineRule="auto"/>
        <w:ind w:firstLine="480"/>
        <w:rPr>
          <w:rFonts w:ascii="宋体" w:hAnsi="宋体"/>
          <w:sz w:val="24"/>
          <w:highlight w:val="none"/>
        </w:rPr>
      </w:pPr>
      <w:r>
        <w:rPr>
          <w:rFonts w:hint="eastAsia" w:ascii="宋体" w:hAnsi="宋体"/>
          <w:sz w:val="24"/>
          <w:highlight w:val="none"/>
        </w:rPr>
        <w:t>1、《苏州市房屋使用安全管理条例》；</w:t>
      </w:r>
    </w:p>
    <w:p w14:paraId="1873F6B0">
      <w:pPr>
        <w:widowControl/>
        <w:spacing w:line="360" w:lineRule="auto"/>
        <w:ind w:firstLine="480"/>
        <w:rPr>
          <w:rFonts w:ascii="宋体" w:hAnsi="宋体"/>
          <w:sz w:val="24"/>
          <w:highlight w:val="none"/>
        </w:rPr>
      </w:pPr>
      <w:r>
        <w:rPr>
          <w:rFonts w:hint="eastAsia" w:ascii="宋体" w:hAnsi="宋体"/>
          <w:sz w:val="24"/>
          <w:highlight w:val="none"/>
        </w:rPr>
        <w:t>2、《苏州市既有建筑安全排查技术导则》（试行）；</w:t>
      </w:r>
    </w:p>
    <w:p w14:paraId="3764A88C">
      <w:pPr>
        <w:widowControl/>
        <w:spacing w:line="360" w:lineRule="auto"/>
        <w:ind w:firstLine="480"/>
        <w:rPr>
          <w:rFonts w:ascii="宋体" w:hAnsi="宋体"/>
          <w:sz w:val="24"/>
          <w:highlight w:val="none"/>
        </w:rPr>
      </w:pPr>
      <w:r>
        <w:rPr>
          <w:rFonts w:hint="eastAsia" w:ascii="宋体" w:hAnsi="宋体"/>
          <w:sz w:val="24"/>
          <w:highlight w:val="none"/>
        </w:rPr>
        <w:t>3、《苏州市房屋使用安全信息管理平台使用手册》。</w:t>
      </w:r>
    </w:p>
    <w:p w14:paraId="12F2FFCE">
      <w:pPr>
        <w:spacing w:line="360" w:lineRule="auto"/>
        <w:ind w:firstLine="482"/>
        <w:rPr>
          <w:rFonts w:ascii="宋体" w:hAnsi="宋体"/>
          <w:b/>
          <w:sz w:val="24"/>
          <w:highlight w:val="none"/>
        </w:rPr>
      </w:pPr>
      <w:r>
        <w:rPr>
          <w:rFonts w:hint="eastAsia" w:ascii="宋体" w:hAnsi="宋体"/>
          <w:b/>
          <w:sz w:val="24"/>
          <w:highlight w:val="none"/>
        </w:rPr>
        <w:t>（六）服务成果及要求（包含但不限于）：</w:t>
      </w:r>
    </w:p>
    <w:p w14:paraId="5CFD8FF4">
      <w:pPr>
        <w:widowControl/>
        <w:spacing w:line="360" w:lineRule="auto"/>
        <w:ind w:firstLine="480"/>
        <w:rPr>
          <w:rFonts w:ascii="宋体" w:hAnsi="宋体"/>
          <w:sz w:val="24"/>
          <w:highlight w:val="none"/>
        </w:rPr>
      </w:pPr>
      <w:r>
        <w:rPr>
          <w:rFonts w:hint="eastAsia" w:ascii="宋体" w:hAnsi="宋体"/>
          <w:sz w:val="24"/>
          <w:highlight w:val="none"/>
        </w:rPr>
        <w:t>按照统一要求完成排查成果提交，完成项目验收工作。主要成果如下：</w:t>
      </w:r>
    </w:p>
    <w:p w14:paraId="51CA0AC4">
      <w:pPr>
        <w:tabs>
          <w:tab w:val="left" w:pos="567"/>
        </w:tabs>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主要包括排查信息、排查结论和相应照片应按要求整理台账信息，做好归集工作，</w:t>
      </w:r>
      <w:r>
        <w:rPr>
          <w:rFonts w:hint="eastAsia" w:ascii="宋体" w:hAnsi="宋体" w:cs="宋体"/>
          <w:sz w:val="24"/>
          <w:szCs w:val="24"/>
          <w:highlight w:val="none"/>
          <w:shd w:val="clear" w:color="auto" w:fill="FFFFFF"/>
        </w:rPr>
        <w:t>在采购人要求的时限内录入江苏省房屋安全信息系统，并在完成后出具一份排查报告</w:t>
      </w:r>
      <w:r>
        <w:rPr>
          <w:rFonts w:hint="eastAsia" w:ascii="宋体" w:hAnsi="宋体" w:cs="宋体"/>
          <w:sz w:val="24"/>
          <w:szCs w:val="24"/>
          <w:highlight w:val="none"/>
          <w:shd w:val="clear" w:color="auto" w:fill="FFFFFF"/>
          <w:lang w:val="en-US" w:eastAsia="zh-CN"/>
        </w:rPr>
        <w:t>。</w:t>
      </w:r>
    </w:p>
    <w:p w14:paraId="511108BC">
      <w:pPr>
        <w:spacing w:line="360" w:lineRule="auto"/>
        <w:ind w:firstLine="482"/>
        <w:rPr>
          <w:rFonts w:ascii="宋体" w:hAnsi="宋体"/>
          <w:b/>
          <w:bCs/>
          <w:sz w:val="24"/>
          <w:highlight w:val="none"/>
        </w:rPr>
      </w:pPr>
      <w:r>
        <w:rPr>
          <w:rFonts w:hint="eastAsia" w:ascii="宋体" w:hAnsi="宋体"/>
          <w:b/>
          <w:bCs/>
          <w:sz w:val="24"/>
          <w:highlight w:val="none"/>
        </w:rPr>
        <w:t>（七）人员要求：</w:t>
      </w:r>
    </w:p>
    <w:p w14:paraId="3C4AB08B">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highlight w:val="none"/>
        </w:rPr>
      </w:pPr>
      <w:r>
        <w:rPr>
          <w:rFonts w:hint="eastAsia" w:ascii="宋体" w:hAnsi="宋体"/>
          <w:sz w:val="24"/>
          <w:highlight w:val="none"/>
        </w:rPr>
        <w:t>1、要求具有丰富经验的人员，服务团队成员充足、专业能力突出，配置合理；能有力支撑本项目</w:t>
      </w:r>
      <w:r>
        <w:rPr>
          <w:rFonts w:ascii="宋体" w:hAnsi="宋体"/>
          <w:sz w:val="24"/>
          <w:highlight w:val="none"/>
        </w:rPr>
        <w:t>排查</w:t>
      </w:r>
      <w:r>
        <w:rPr>
          <w:rFonts w:hint="eastAsia" w:ascii="宋体" w:hAnsi="宋体"/>
          <w:sz w:val="24"/>
          <w:highlight w:val="none"/>
        </w:rPr>
        <w:t>工作，保障服务成果质量及进度要求。</w:t>
      </w:r>
    </w:p>
    <w:p w14:paraId="4851C93A">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highlight w:val="none"/>
        </w:rPr>
      </w:pPr>
      <w:r>
        <w:rPr>
          <w:rFonts w:hint="eastAsia" w:ascii="宋体" w:hAnsi="宋体"/>
          <w:sz w:val="24"/>
          <w:highlight w:val="none"/>
        </w:rPr>
        <w:t>2、针对本项目成立专门的项目组，包含：1名项目负责人，1名技术负责人以及不少于10名项目组成员。负责对既有建筑安全排查工作，记录既有建筑各项检查资料，发现存在安全隐患的，及时记录。负责人负责传达落实既有建筑的相关工作要求，收集汇总既有建筑安全隐患的排查情况，确保排查工作的高效规范。</w:t>
      </w:r>
    </w:p>
    <w:p w14:paraId="4C8D3C95">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highlight w:val="none"/>
        </w:rPr>
      </w:pPr>
      <w:r>
        <w:rPr>
          <w:rFonts w:hint="eastAsia" w:ascii="宋体" w:hAnsi="宋体"/>
          <w:sz w:val="24"/>
          <w:highlight w:val="none"/>
        </w:rPr>
        <w:t>（八）其他要求：</w:t>
      </w:r>
    </w:p>
    <w:p w14:paraId="05684E5C">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highlight w:val="none"/>
        </w:rPr>
      </w:pPr>
      <w:r>
        <w:rPr>
          <w:rFonts w:hint="eastAsia" w:ascii="宋体" w:hAnsi="宋体"/>
          <w:sz w:val="24"/>
          <w:highlight w:val="none"/>
        </w:rPr>
        <w:t>1、成交供应商必须在规定的时间内，保质保量完成各阶段的服务工作。</w:t>
      </w:r>
    </w:p>
    <w:p w14:paraId="077DF220">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sz w:val="24"/>
          <w:highlight w:val="none"/>
          <w:lang w:val="en-US" w:eastAsia="zh-CN"/>
        </w:rPr>
      </w:pPr>
      <w:r>
        <w:rPr>
          <w:rFonts w:hint="eastAsia" w:ascii="宋体" w:hAnsi="宋体"/>
          <w:sz w:val="24"/>
          <w:highlight w:val="none"/>
        </w:rPr>
        <w:t>2、</w:t>
      </w:r>
      <w:r>
        <w:rPr>
          <w:rFonts w:hint="eastAsia" w:ascii="宋体" w:hAnsi="宋体"/>
          <w:sz w:val="24"/>
          <w:highlight w:val="none"/>
          <w:lang w:val="en-US" w:eastAsia="zh-CN"/>
        </w:rPr>
        <w:t>验收要求：</w:t>
      </w:r>
    </w:p>
    <w:p w14:paraId="7D6F5E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.1实施主体：苏州科技城管理委员会；</w:t>
      </w:r>
    </w:p>
    <w:p w14:paraId="2C407C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.2验收时间：合同履行</w:t>
      </w:r>
      <w:r>
        <w:rPr>
          <w:rFonts w:hint="eastAsia" w:ascii="宋体" w:hAnsi="宋体"/>
          <w:sz w:val="24"/>
          <w:highlight w:val="none"/>
          <w:lang w:val="en-US" w:eastAsia="zh-CN"/>
        </w:rPr>
        <w:t>截止后30天内</w:t>
      </w:r>
      <w:r>
        <w:rPr>
          <w:rFonts w:hint="eastAsia" w:ascii="宋体" w:hAnsi="宋体"/>
          <w:sz w:val="24"/>
          <w:highlight w:val="none"/>
        </w:rPr>
        <w:t>；</w:t>
      </w:r>
    </w:p>
    <w:p w14:paraId="4599BE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.3验收方式：由采购人组织验收；</w:t>
      </w:r>
    </w:p>
    <w:p w14:paraId="2B21FE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.4验收内容：包括</w:t>
      </w:r>
      <w:r>
        <w:rPr>
          <w:rFonts w:hint="eastAsia" w:ascii="宋体" w:hAnsi="宋体"/>
          <w:sz w:val="24"/>
          <w:highlight w:val="none"/>
          <w:lang w:val="en-US" w:eastAsia="zh-CN"/>
        </w:rPr>
        <w:t>成交供应商</w:t>
      </w:r>
      <w:r>
        <w:rPr>
          <w:rFonts w:hint="eastAsia" w:ascii="宋体" w:hAnsi="宋体"/>
          <w:sz w:val="24"/>
          <w:highlight w:val="none"/>
        </w:rPr>
        <w:t>服务人员数量质量、</w:t>
      </w:r>
      <w:r>
        <w:rPr>
          <w:rFonts w:hint="eastAsia" w:ascii="宋体" w:hAnsi="宋体"/>
          <w:sz w:val="24"/>
          <w:highlight w:val="none"/>
          <w:lang w:val="en-US" w:eastAsia="zh-CN"/>
        </w:rPr>
        <w:t>服务</w:t>
      </w:r>
      <w:r>
        <w:rPr>
          <w:rFonts w:hint="eastAsia" w:ascii="宋体" w:hAnsi="宋体"/>
          <w:sz w:val="24"/>
          <w:highlight w:val="none"/>
        </w:rPr>
        <w:t>质量、</w:t>
      </w:r>
      <w:r>
        <w:rPr>
          <w:rFonts w:hint="eastAsia" w:ascii="宋体" w:hAnsi="宋体"/>
          <w:sz w:val="24"/>
          <w:highlight w:val="none"/>
          <w:lang w:val="en-US" w:eastAsia="zh-CN"/>
        </w:rPr>
        <w:t>服务进度、服务成果</w:t>
      </w:r>
      <w:r>
        <w:rPr>
          <w:rFonts w:hint="eastAsia" w:ascii="宋体" w:hAnsi="宋体"/>
          <w:sz w:val="24"/>
          <w:highlight w:val="none"/>
        </w:rPr>
        <w:t>以及其他采购文件、采购合同约定内容。</w:t>
      </w:r>
    </w:p>
    <w:p w14:paraId="368A84CA">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.5验收标准：根据磋商文件、成交供应商的响应文件、双方签订的合同文件；最终的成果须经采购人验收通过。</w:t>
      </w:r>
    </w:p>
    <w:p w14:paraId="19233C83">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highlight w:val="none"/>
        </w:rPr>
      </w:pPr>
      <w:r>
        <w:rPr>
          <w:rFonts w:hint="eastAsia" w:ascii="宋体" w:hAnsi="宋体"/>
          <w:sz w:val="24"/>
          <w:highlight w:val="none"/>
        </w:rPr>
        <w:t>3、工作人员在开展本项目期间（包括上下班途中），发生自身的人身伤害、伤亡以及事故等，均由供应商负责处理并承担经济和道义上的责任，采购人不承担任何责任。</w:t>
      </w:r>
    </w:p>
    <w:p w14:paraId="5994C409">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szCs w:val="24"/>
          <w:highlight w:val="none"/>
        </w:rPr>
      </w:pPr>
      <w:r>
        <w:rPr>
          <w:rFonts w:hint="eastAsia" w:ascii="宋体" w:hAnsi="宋体"/>
          <w:sz w:val="24"/>
          <w:highlight w:val="none"/>
        </w:rPr>
        <w:t>4、开展项目期间产生的加班费、食宿费、交通费、通讯费等费用由供应商自理，采购人不负担项目产生的任何费用。</w:t>
      </w:r>
    </w:p>
    <w:p w14:paraId="777933F9">
      <w:pPr>
        <w:spacing w:line="360" w:lineRule="auto"/>
        <w:ind w:firstLine="482" w:firstLineChars="200"/>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六、综合说明：</w:t>
      </w:r>
    </w:p>
    <w:p w14:paraId="6E03C205">
      <w:pPr>
        <w:pStyle w:val="44"/>
        <w:spacing w:line="360" w:lineRule="auto"/>
        <w:ind w:firstLine="480"/>
        <w:rPr>
          <w:highlight w:val="none"/>
        </w:rPr>
      </w:pPr>
      <w:r>
        <w:rPr>
          <w:rFonts w:ascii="宋体" w:hAnsi="宋体" w:cs="宋体"/>
          <w:sz w:val="24"/>
          <w:highlight w:val="none"/>
        </w:rPr>
        <w:t>1、报价包括但不限于完成该项目全部内容所需的材料费、人工费（包括人员工资、福利费、加班费、人身意外伤害险等）、设备工具费、成果编制费（含印刷费）、通讯费、交通费、差旅费、后续服务费、代理服务费、风险费、利润、税费及政策性文件规定和合同所包含的所有风险、责任等各项应有费用。</w:t>
      </w:r>
    </w:p>
    <w:p w14:paraId="0546A4A9">
      <w:pPr>
        <w:widowControl/>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2、磋商响应单位必须遵守中华人民共和国《劳动法》的规定，为采购人提供的服务人员如遇到工资纠纷问题由磋商响应单位自行解决。</w:t>
      </w:r>
    </w:p>
    <w:p w14:paraId="5617FD6D">
      <w:pPr>
        <w:widowControl/>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3、响应单位必须按照《劳动法》及苏州市的有关规定配置工作人员数量，并支付工资、国假加班费和交纳正常的社会保险。</w:t>
      </w:r>
    </w:p>
    <w:p w14:paraId="7514F216">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4、政府采购合同履行中，采购人需追加与合同标的物相同的服务的，在不改变合同其他条款的前提下，采购人可以与供应商签订补充合同，但所有补充合同的采购金额不得超过原合同采购金额的百分之十。</w:t>
      </w:r>
    </w:p>
    <w:p w14:paraId="32439CFA">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5、成交单位在履行合同期间，若所提供的服务不能令采购人满意，如减少双方约定的服务范围，服务人员的素质水平、工作态度等，则采购人有权要求成交单位在服务期限内更换管理及服务人员。</w:t>
      </w:r>
    </w:p>
    <w:p w14:paraId="1D9F574A">
      <w:pPr>
        <w:snapToGrid w:val="0"/>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6、成交供应商对服务缺陷不予更正，甲方有权另请其他单位更正，所发生的费用由成交供应商承担。</w:t>
      </w:r>
    </w:p>
    <w:p w14:paraId="5B0F8D7C">
      <w:pPr>
        <w:snapToGrid w:val="0"/>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7、若成交供应商在服务期间，违反下列规定将被解除服务合同，并扣除剩余待支付费用：</w:t>
      </w:r>
    </w:p>
    <w:p w14:paraId="3E9BB91F">
      <w:pPr>
        <w:snapToGrid w:val="0"/>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7.1、严禁将服务转包他人。</w:t>
      </w:r>
    </w:p>
    <w:p w14:paraId="2ECA96D9">
      <w:pPr>
        <w:snapToGrid w:val="0"/>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7.2、出现重大责任问题。</w:t>
      </w:r>
    </w:p>
    <w:p w14:paraId="532613BC">
      <w:pPr>
        <w:snapToGrid w:val="0"/>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7.3、泄露相关保密信息。</w:t>
      </w:r>
    </w:p>
    <w:p w14:paraId="34488C97">
      <w:pPr>
        <w:snapToGrid w:val="0"/>
        <w:spacing w:line="360" w:lineRule="auto"/>
        <w:ind w:firstLine="480" w:firstLineChars="200"/>
        <w:jc w:val="left"/>
        <w:rPr>
          <w:rFonts w:cs="宋体"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8、付款方式：</w:t>
      </w:r>
      <w:r>
        <w:rPr>
          <w:rFonts w:hint="eastAsia" w:cs="宋体" w:asciiTheme="minorEastAsia" w:hAnsiTheme="minorEastAsia" w:eastAsiaTheme="minorEastAsia"/>
          <w:sz w:val="24"/>
          <w:szCs w:val="24"/>
          <w:highlight w:val="none"/>
        </w:rPr>
        <w:t>详见合同特殊条款。</w:t>
      </w:r>
    </w:p>
    <w:p w14:paraId="1DFC9A30">
      <w:pPr>
        <w:snapToGrid w:val="0"/>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9、凡涉及采购文件的补充说明和修改，均以苏州政府采购网发布的内容为准。</w:t>
      </w:r>
    </w:p>
    <w:p w14:paraId="6D42A39D">
      <w:pPr>
        <w:tabs>
          <w:tab w:val="left" w:pos="360"/>
          <w:tab w:val="left" w:pos="540"/>
        </w:tabs>
        <w:spacing w:line="360" w:lineRule="auto"/>
        <w:ind w:left="420" w:leftChars="200"/>
        <w:jc w:val="lef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五、磋商响应文件的组成及要求：</w:t>
      </w:r>
    </w:p>
    <w:p w14:paraId="607C7945">
      <w:pPr>
        <w:tabs>
          <w:tab w:val="left" w:pos="425"/>
        </w:tabs>
        <w:spacing w:line="360" w:lineRule="auto"/>
        <w:ind w:firstLine="482" w:firstLineChars="200"/>
        <w:jc w:val="lef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（一）基本目录：</w:t>
      </w:r>
    </w:p>
    <w:p w14:paraId="264B4942">
      <w:pPr>
        <w:tabs>
          <w:tab w:val="left" w:pos="425"/>
        </w:tabs>
        <w:spacing w:line="360" w:lineRule="auto"/>
        <w:ind w:firstLine="482" w:firstLineChars="200"/>
        <w:jc w:val="lef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1、封面</w:t>
      </w:r>
    </w:p>
    <w:p w14:paraId="5C4831DF">
      <w:pPr>
        <w:tabs>
          <w:tab w:val="left" w:pos="425"/>
        </w:tabs>
        <w:spacing w:line="360" w:lineRule="auto"/>
        <w:ind w:firstLine="482" w:firstLineChars="200"/>
        <w:jc w:val="lef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2、开标一览表</w:t>
      </w:r>
    </w:p>
    <w:p w14:paraId="721EBC7C">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3、磋商响应单位基本情况表；</w:t>
      </w:r>
    </w:p>
    <w:p w14:paraId="4FD34018">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4、拟配备人员一览表；</w:t>
      </w:r>
    </w:p>
    <w:p w14:paraId="4A22E39D">
      <w:pPr>
        <w:tabs>
          <w:tab w:val="left" w:pos="425"/>
        </w:tabs>
        <w:spacing w:line="360" w:lineRule="auto"/>
        <w:ind w:firstLine="480" w:firstLineChars="200"/>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5、服务方案；</w:t>
      </w:r>
    </w:p>
    <w:p w14:paraId="4CAD3429">
      <w:pPr>
        <w:pStyle w:val="2"/>
        <w:ind w:left="0" w:leftChars="0" w:firstLine="480" w:firstLineChars="200"/>
        <w:rPr>
          <w:rFonts w:hint="default" w:eastAsiaTheme="minorEastAsia"/>
          <w:lang w:val="en-US" w:eastAsia="zh-CN"/>
        </w:rPr>
      </w:pP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b w:val="0"/>
          <w:bCs/>
          <w:sz w:val="24"/>
          <w:szCs w:val="24"/>
          <w:highlight w:val="none"/>
        </w:rPr>
        <w:t>近3年</w:t>
      </w:r>
      <w:r>
        <w:rPr>
          <w:rFonts w:hint="eastAsia" w:asciiTheme="minorEastAsia" w:hAnsiTheme="minorEastAsia" w:eastAsiaTheme="minorEastAsia"/>
          <w:sz w:val="24"/>
          <w:szCs w:val="24"/>
          <w:highlight w:val="none"/>
          <w:lang w:val="en-US" w:eastAsia="zh-CN"/>
        </w:rPr>
        <w:t>类似项目业绩一览表；</w:t>
      </w:r>
    </w:p>
    <w:p w14:paraId="604AD77A">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、招标文件技术部分规定提交的其他相关材料；</w:t>
      </w:r>
    </w:p>
    <w:p w14:paraId="1B2FB797">
      <w:pPr>
        <w:autoSpaceDE w:val="0"/>
        <w:autoSpaceDN w:val="0"/>
        <w:adjustRightInd w:val="0"/>
        <w:spacing w:line="360" w:lineRule="auto"/>
        <w:ind w:firstLine="470" w:firstLineChars="200"/>
        <w:rPr>
          <w:rFonts w:asciiTheme="minorEastAsia" w:hAnsiTheme="minorEastAsia" w:eastAsiaTheme="minorEastAsia"/>
          <w:b/>
          <w:bCs/>
          <w:sz w:val="24"/>
          <w:szCs w:val="24"/>
          <w:highlight w:val="none"/>
        </w:rPr>
      </w:pPr>
      <w:r>
        <w:rPr>
          <w:rFonts w:hint="eastAsia" w:ascii="宋体" w:hAnsi="宋体" w:cs="宋体"/>
          <w:b/>
          <w:bCs/>
          <w:spacing w:val="-3"/>
          <w:kern w:val="2"/>
          <w:sz w:val="24"/>
          <w:szCs w:val="24"/>
          <w:highlight w:val="none"/>
          <w:lang w:val="en-AU"/>
        </w:rPr>
        <w:t>资格条件：</w:t>
      </w:r>
    </w:p>
    <w:p w14:paraId="2880C87B">
      <w:pPr>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8</w:t>
      </w:r>
      <w:r>
        <w:rPr>
          <w:rFonts w:hint="eastAsia" w:asciiTheme="minorEastAsia" w:hAnsiTheme="minorEastAsia" w:eastAsiaTheme="minorEastAsia"/>
          <w:sz w:val="24"/>
          <w:szCs w:val="24"/>
          <w:highlight w:val="none"/>
        </w:rPr>
        <w:t>、具有独立承担民事责任的能力。提供包括法人或者其他组织的营业执照等证明文件，自然人的身份证明；</w:t>
      </w:r>
    </w:p>
    <w:p w14:paraId="30C7BECB">
      <w:pPr>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9</w:t>
      </w:r>
      <w:r>
        <w:rPr>
          <w:rFonts w:hint="eastAsia" w:asciiTheme="minorEastAsia" w:hAnsiTheme="minorEastAsia" w:eastAsiaTheme="minorEastAsia"/>
          <w:sz w:val="24"/>
          <w:szCs w:val="24"/>
          <w:highlight w:val="none"/>
        </w:rPr>
        <w:t>、具有良好的商业信誉和健全的财务会计制度。提供包括但不限于最近一期经审计的财务报告，其他组织、自然人及成立未满一年的法人应提供银行出具的资信证明；</w:t>
      </w:r>
    </w:p>
    <w:p w14:paraId="5C836792">
      <w:pPr>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10</w:t>
      </w:r>
      <w:r>
        <w:rPr>
          <w:rFonts w:hint="eastAsia" w:asciiTheme="minorEastAsia" w:hAnsiTheme="minorEastAsia" w:eastAsiaTheme="minorEastAsia"/>
          <w:sz w:val="24"/>
          <w:szCs w:val="24"/>
          <w:highlight w:val="none"/>
        </w:rPr>
        <w:t>、具有履行合同所必需的设备和专业技术能力。提供证明材料或承诺；</w:t>
      </w:r>
    </w:p>
    <w:p w14:paraId="490C2333">
      <w:pPr>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11</w:t>
      </w:r>
      <w:r>
        <w:rPr>
          <w:rFonts w:hint="eastAsia" w:asciiTheme="minorEastAsia" w:hAnsiTheme="minorEastAsia" w:eastAsiaTheme="minorEastAsia"/>
          <w:sz w:val="24"/>
          <w:szCs w:val="24"/>
          <w:highlight w:val="none"/>
        </w:rPr>
        <w:t>、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p>
    <w:p w14:paraId="351F3FEF">
      <w:pPr>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12</w:t>
      </w:r>
      <w:r>
        <w:rPr>
          <w:rFonts w:hint="eastAsia" w:asciiTheme="minorEastAsia" w:hAnsiTheme="minorEastAsia" w:eastAsiaTheme="minorEastAsia"/>
          <w:sz w:val="24"/>
          <w:szCs w:val="24"/>
          <w:highlight w:val="none"/>
        </w:rPr>
        <w:t>、参加政府采购活动前三年内在经营活动中没有重大违法记录。提供书面声明函；</w:t>
      </w:r>
    </w:p>
    <w:p w14:paraId="7E28298B">
      <w:pPr>
        <w:spacing w:line="360" w:lineRule="auto"/>
        <w:ind w:firstLine="480" w:firstLineChars="200"/>
        <w:rPr>
          <w:rFonts w:ascii="宋体" w:hAnsi="宋体"/>
          <w:b/>
          <w:bCs/>
          <w:sz w:val="24"/>
          <w:szCs w:val="24"/>
          <w:highlight w:val="none"/>
        </w:rPr>
      </w:pPr>
      <w:r>
        <w:rPr>
          <w:rFonts w:hint="eastAsia"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w:t>
      </w:r>
      <w:r>
        <w:rPr>
          <w:rFonts w:hint="eastAsia" w:ascii="宋体" w:hAnsi="宋体"/>
          <w:sz w:val="24"/>
          <w:szCs w:val="24"/>
          <w:highlight w:val="none"/>
        </w:rPr>
        <w:t>单位负责人为同一人或者存在直接控股、管理关系的不同供应商，不得参加同一合同项下的政府采购活动,提供</w:t>
      </w:r>
      <w:r>
        <w:rPr>
          <w:rFonts w:ascii="宋体" w:hAnsi="宋体"/>
          <w:sz w:val="24"/>
          <w:szCs w:val="24"/>
          <w:highlight w:val="none"/>
        </w:rPr>
        <w:t>关于资格文件的声明函</w:t>
      </w:r>
      <w:r>
        <w:rPr>
          <w:rFonts w:hint="eastAsia" w:ascii="宋体" w:hAnsi="宋体"/>
          <w:sz w:val="24"/>
          <w:szCs w:val="24"/>
          <w:highlight w:val="none"/>
        </w:rPr>
        <w:t>及与其他单位存在控股、管理关系承诺及情况表</w:t>
      </w:r>
      <w:r>
        <w:rPr>
          <w:rFonts w:ascii="宋体" w:hAnsi="宋体"/>
          <w:sz w:val="24"/>
          <w:szCs w:val="24"/>
          <w:highlight w:val="none"/>
        </w:rPr>
        <w:t>（详见</w:t>
      </w:r>
      <w:r>
        <w:rPr>
          <w:rFonts w:hint="eastAsia" w:ascii="宋体" w:hAnsi="宋体"/>
          <w:sz w:val="24"/>
          <w:szCs w:val="24"/>
          <w:highlight w:val="none"/>
          <w:lang w:val="en-US" w:eastAsia="zh-CN"/>
        </w:rPr>
        <w:t>响应</w:t>
      </w:r>
      <w:r>
        <w:rPr>
          <w:rFonts w:ascii="宋体" w:hAnsi="宋体"/>
          <w:sz w:val="24"/>
          <w:szCs w:val="24"/>
          <w:highlight w:val="none"/>
        </w:rPr>
        <w:t>文件格式）；</w:t>
      </w:r>
    </w:p>
    <w:p w14:paraId="48101BF1">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1</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rPr>
        <w:t>、落实政府采购政策需满足的资格要求：本项目专门面向中小企业，所属行业为</w:t>
      </w:r>
      <w:r>
        <w:rPr>
          <w:rFonts w:hint="eastAsia" w:asciiTheme="minorEastAsia" w:hAnsiTheme="minorEastAsia" w:eastAsiaTheme="minorEastAsia"/>
          <w:sz w:val="24"/>
          <w:szCs w:val="24"/>
          <w:highlight w:val="none"/>
          <w:lang w:eastAsia="zh-CN"/>
        </w:rPr>
        <w:t>其他未列明行业</w:t>
      </w:r>
      <w:r>
        <w:rPr>
          <w:rFonts w:hint="eastAsia" w:asciiTheme="minorEastAsia" w:hAnsiTheme="minorEastAsia" w:eastAsiaTheme="minorEastAsia"/>
          <w:sz w:val="24"/>
          <w:szCs w:val="24"/>
          <w:highlight w:val="none"/>
        </w:rPr>
        <w:t>，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p>
    <w:p w14:paraId="40D6E8A1">
      <w:pPr>
        <w:tabs>
          <w:tab w:val="left" w:pos="425"/>
        </w:tabs>
        <w:spacing w:line="360" w:lineRule="auto"/>
        <w:ind w:firstLine="482" w:firstLineChars="200"/>
        <w:jc w:val="lef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符合条件：</w:t>
      </w:r>
    </w:p>
    <w:p w14:paraId="00239AD9">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、磋商响应报价表及分项报价明细表；</w:t>
      </w:r>
    </w:p>
    <w:p w14:paraId="55E3713A">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rPr>
        <w:t>、磋商响应函；</w:t>
      </w:r>
    </w:p>
    <w:p w14:paraId="23BB6A6E">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、磋商响应单位法定代表人身份证扫描件；</w:t>
      </w:r>
    </w:p>
    <w:p w14:paraId="68C3EF6E">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lang w:val="en-US" w:eastAsia="zh-CN"/>
        </w:rPr>
        <w:t>8</w:t>
      </w:r>
      <w:r>
        <w:rPr>
          <w:rFonts w:hint="eastAsia" w:asciiTheme="minorEastAsia" w:hAnsiTheme="minorEastAsia" w:eastAsiaTheme="minorEastAsia"/>
          <w:sz w:val="24"/>
          <w:szCs w:val="24"/>
          <w:highlight w:val="none"/>
        </w:rPr>
        <w:t>、法定代表人授权委托书（如有授权）；</w:t>
      </w:r>
    </w:p>
    <w:p w14:paraId="5F7EEEED">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lang w:val="en-US" w:eastAsia="zh-CN"/>
        </w:rPr>
        <w:t>9</w:t>
      </w:r>
      <w:r>
        <w:rPr>
          <w:rFonts w:hint="eastAsia" w:asciiTheme="minorEastAsia" w:hAnsiTheme="minorEastAsia" w:eastAsiaTheme="minorEastAsia"/>
          <w:sz w:val="24"/>
          <w:szCs w:val="24"/>
          <w:highlight w:val="none"/>
        </w:rPr>
        <w:t>、磋商响应单位授权代理人身份证扫描件（如有授权）</w:t>
      </w:r>
    </w:p>
    <w:p w14:paraId="10B147E6">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20</w:t>
      </w:r>
      <w:r>
        <w:rPr>
          <w:rFonts w:hint="eastAsia" w:asciiTheme="minorEastAsia" w:hAnsiTheme="minorEastAsia" w:eastAsiaTheme="minorEastAsia"/>
          <w:sz w:val="24"/>
          <w:szCs w:val="24"/>
          <w:highlight w:val="none"/>
        </w:rPr>
        <w:t>、服务要求偏离表；</w:t>
      </w:r>
    </w:p>
    <w:p w14:paraId="6E1BC766">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21</w:t>
      </w:r>
      <w:r>
        <w:rPr>
          <w:rFonts w:hint="eastAsia" w:asciiTheme="minorEastAsia" w:hAnsiTheme="minorEastAsia" w:eastAsiaTheme="minorEastAsia"/>
          <w:sz w:val="24"/>
          <w:szCs w:val="24"/>
          <w:highlight w:val="none"/>
        </w:rPr>
        <w:t>、商务条款偏离表；</w:t>
      </w:r>
    </w:p>
    <w:p w14:paraId="46A4DC6F">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22</w:t>
      </w:r>
      <w:r>
        <w:rPr>
          <w:rFonts w:hint="eastAsia" w:asciiTheme="minorEastAsia" w:hAnsiTheme="minorEastAsia" w:eastAsiaTheme="minorEastAsia"/>
          <w:sz w:val="24"/>
          <w:szCs w:val="24"/>
          <w:highlight w:val="none"/>
        </w:rPr>
        <w:t>、</w:t>
      </w:r>
      <w:r>
        <w:rPr>
          <w:rFonts w:hint="eastAsia" w:ascii="宋体" w:hAnsi="宋体" w:eastAsiaTheme="minorEastAsia"/>
          <w:sz w:val="24"/>
          <w:szCs w:val="24"/>
          <w:highlight w:val="none"/>
        </w:rPr>
        <w:t>响应</w:t>
      </w:r>
      <w:r>
        <w:rPr>
          <w:rFonts w:hint="eastAsia" w:ascii="宋体" w:hAnsi="宋体"/>
          <w:sz w:val="24"/>
          <w:szCs w:val="24"/>
          <w:highlight w:val="none"/>
        </w:rPr>
        <w:t>对</w:t>
      </w:r>
      <w:r>
        <w:rPr>
          <w:rFonts w:hint="eastAsia" w:ascii="宋体" w:hAnsi="宋体"/>
          <w:sz w:val="24"/>
          <w:szCs w:val="24"/>
          <w:highlight w:val="none"/>
          <w:lang w:val="en-US" w:eastAsia="zh-CN"/>
        </w:rPr>
        <w:t>磋商</w:t>
      </w:r>
      <w:r>
        <w:rPr>
          <w:rFonts w:hint="eastAsia" w:ascii="宋体" w:hAnsi="宋体"/>
          <w:sz w:val="24"/>
          <w:szCs w:val="24"/>
          <w:highlight w:val="none"/>
        </w:rPr>
        <w:t>文件其他符合性条款的响应情况；</w:t>
      </w:r>
    </w:p>
    <w:p w14:paraId="17B2D2EB">
      <w:pPr>
        <w:tabs>
          <w:tab w:val="left" w:pos="425"/>
        </w:tabs>
        <w:spacing w:line="360" w:lineRule="auto"/>
        <w:ind w:firstLine="482" w:firstLineChars="200"/>
        <w:jc w:val="lef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综合评审评分项：</w:t>
      </w:r>
    </w:p>
    <w:p w14:paraId="7F8E9763">
      <w:pPr>
        <w:tabs>
          <w:tab w:val="left" w:pos="0"/>
        </w:tabs>
        <w:spacing w:line="360" w:lineRule="auto"/>
        <w:ind w:firstLine="480" w:firstLineChars="200"/>
        <w:rPr>
          <w:rFonts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3</w:t>
      </w:r>
      <w:r>
        <w:rPr>
          <w:rFonts w:hint="eastAsia" w:ascii="宋体" w:hAnsi="宋体"/>
          <w:sz w:val="24"/>
          <w:szCs w:val="24"/>
          <w:highlight w:val="none"/>
        </w:rPr>
        <w:t>、磋商文件评分标准中</w:t>
      </w:r>
      <w:r>
        <w:rPr>
          <w:rFonts w:hint="eastAsia" w:ascii="宋体" w:hAnsi="宋体" w:cs="宋体"/>
          <w:sz w:val="24"/>
          <w:szCs w:val="24"/>
          <w:highlight w:val="none"/>
          <w:shd w:val="clear" w:color="auto" w:fill="FFFFFF"/>
        </w:rPr>
        <w:t>所涉及到针对本项目的证明材料等</w:t>
      </w:r>
      <w:r>
        <w:rPr>
          <w:rFonts w:hint="eastAsia" w:ascii="宋体" w:hAnsi="宋体"/>
          <w:sz w:val="24"/>
          <w:szCs w:val="24"/>
          <w:highlight w:val="none"/>
        </w:rPr>
        <w:t>；</w:t>
      </w:r>
    </w:p>
    <w:p w14:paraId="0123B2EB">
      <w:pPr>
        <w:autoSpaceDE w:val="0"/>
        <w:autoSpaceDN w:val="0"/>
        <w:adjustRightInd w:val="0"/>
        <w:spacing w:line="360" w:lineRule="auto"/>
        <w:ind w:firstLine="470" w:firstLineChars="200"/>
        <w:rPr>
          <w:rFonts w:ascii="宋体" w:hAnsi="宋体" w:cs="宋体"/>
          <w:b/>
          <w:bCs/>
          <w:spacing w:val="-3"/>
          <w:kern w:val="2"/>
          <w:sz w:val="24"/>
          <w:szCs w:val="24"/>
          <w:highlight w:val="none"/>
          <w:lang w:val="en-AU"/>
        </w:rPr>
      </w:pPr>
      <w:r>
        <w:rPr>
          <w:rFonts w:hint="eastAsia" w:ascii="宋体" w:hAnsi="宋体" w:cs="宋体"/>
          <w:b/>
          <w:bCs/>
          <w:spacing w:val="-3"/>
          <w:kern w:val="2"/>
          <w:sz w:val="24"/>
          <w:szCs w:val="24"/>
          <w:highlight w:val="none"/>
          <w:lang w:val="en-AU"/>
        </w:rPr>
        <w:t>价格折扣文件：</w:t>
      </w:r>
    </w:p>
    <w:p w14:paraId="60E13510">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4</w:t>
      </w:r>
      <w:r>
        <w:rPr>
          <w:rFonts w:hint="eastAsia" w:ascii="宋体" w:hAnsi="宋体"/>
          <w:sz w:val="24"/>
          <w:szCs w:val="24"/>
          <w:highlight w:val="none"/>
        </w:rPr>
        <w:t>、</w:t>
      </w:r>
      <w:r>
        <w:rPr>
          <w:rFonts w:hint="eastAsia" w:asciiTheme="minorEastAsia" w:hAnsiTheme="minorEastAsia" w:eastAsiaTheme="minorEastAsia"/>
          <w:sz w:val="24"/>
          <w:szCs w:val="24"/>
          <w:highlight w:val="none"/>
        </w:rPr>
        <w:t>提供对应的《中小企业声明函》或《残疾人福利性单位声明函》或省级以上监狱管理局、戒毒管理局（含新疆生产建设兵团）出具的属于监狱企业的证明文件，否则不享受相应政府采购政策。</w:t>
      </w:r>
    </w:p>
    <w:p w14:paraId="325CC18E">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注：（1）</w:t>
      </w:r>
      <w:r>
        <w:rPr>
          <w:rFonts w:hint="eastAsia" w:asciiTheme="minorEastAsia" w:hAnsiTheme="minorEastAsia" w:eastAsiaTheme="minorEastAsia"/>
          <w:b/>
          <w:bCs/>
          <w:sz w:val="24"/>
          <w:szCs w:val="24"/>
          <w:highlight w:val="none"/>
        </w:rPr>
        <w:t>以上</w:t>
      </w:r>
      <w:r>
        <w:rPr>
          <w:rFonts w:hint="eastAsia" w:asciiTheme="minorEastAsia" w:hAnsiTheme="minorEastAsia" w:eastAsiaTheme="minorEastAsia"/>
          <w:b/>
          <w:bCs/>
          <w:sz w:val="24"/>
          <w:szCs w:val="24"/>
          <w:highlight w:val="none"/>
          <w:lang w:val="en-US" w:eastAsia="zh-CN"/>
        </w:rPr>
        <w:t>8</w:t>
      </w:r>
      <w:r>
        <w:rPr>
          <w:rFonts w:hint="eastAsia" w:asciiTheme="minorEastAsia" w:hAnsiTheme="minorEastAsia" w:eastAsiaTheme="minorEastAsia"/>
          <w:b/>
          <w:bCs/>
          <w:sz w:val="24"/>
          <w:szCs w:val="24"/>
          <w:highlight w:val="none"/>
        </w:rPr>
        <w:t>-1</w:t>
      </w:r>
      <w:r>
        <w:rPr>
          <w:rFonts w:hint="eastAsia" w:asciiTheme="minorEastAsia" w:hAnsiTheme="minorEastAsia" w:eastAsiaTheme="minorEastAsia"/>
          <w:b/>
          <w:bCs/>
          <w:sz w:val="24"/>
          <w:szCs w:val="24"/>
          <w:highlight w:val="none"/>
          <w:lang w:val="en-US" w:eastAsia="zh-CN"/>
        </w:rPr>
        <w:t>4</w:t>
      </w:r>
      <w:r>
        <w:rPr>
          <w:rFonts w:hint="eastAsia" w:asciiTheme="minorEastAsia" w:hAnsiTheme="minorEastAsia" w:eastAsiaTheme="minorEastAsia"/>
          <w:b/>
          <w:bCs/>
          <w:sz w:val="24"/>
          <w:szCs w:val="24"/>
          <w:highlight w:val="none"/>
        </w:rPr>
        <w:t>为资格审查要求提供的材料，是作为对供应商资格审查的依据，响应供应商必须提供并按格式要求签字或盖章（电子印章视同）</w:t>
      </w:r>
      <w:r>
        <w:rPr>
          <w:rFonts w:hint="eastAsia" w:asciiTheme="minorEastAsia" w:hAnsiTheme="minorEastAsia" w:eastAsiaTheme="minorEastAsia"/>
          <w:sz w:val="24"/>
          <w:szCs w:val="24"/>
          <w:highlight w:val="none"/>
        </w:rPr>
        <w:t>。否则，磋商响应文件将被认定为不符合资格审查要求。</w:t>
      </w:r>
    </w:p>
    <w:p w14:paraId="3E74BE29">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w:t>
      </w:r>
      <w:r>
        <w:rPr>
          <w:rFonts w:hint="eastAsia" w:asciiTheme="minorEastAsia" w:hAnsiTheme="minorEastAsia" w:eastAsiaTheme="minorEastAsia"/>
          <w:b/>
          <w:bCs/>
          <w:sz w:val="24"/>
          <w:szCs w:val="24"/>
          <w:highlight w:val="none"/>
        </w:rPr>
        <w:t>以上1</w:t>
      </w:r>
      <w:r>
        <w:rPr>
          <w:rFonts w:hint="eastAsia" w:asciiTheme="minorEastAsia" w:hAnsiTheme="minorEastAsia" w:eastAsiaTheme="minorEastAsia"/>
          <w:b/>
          <w:bCs/>
          <w:sz w:val="24"/>
          <w:szCs w:val="24"/>
          <w:highlight w:val="none"/>
          <w:lang w:val="en-US" w:eastAsia="zh-CN"/>
        </w:rPr>
        <w:t>5</w:t>
      </w:r>
      <w:r>
        <w:rPr>
          <w:rFonts w:hint="eastAsia" w:asciiTheme="minorEastAsia" w:hAnsiTheme="minorEastAsia" w:eastAsiaTheme="minorEastAsia"/>
          <w:b/>
          <w:bCs/>
          <w:sz w:val="24"/>
          <w:szCs w:val="24"/>
          <w:highlight w:val="none"/>
        </w:rPr>
        <w:t>-2</w:t>
      </w:r>
      <w:r>
        <w:rPr>
          <w:rFonts w:hint="eastAsia" w:asciiTheme="minorEastAsia" w:hAnsiTheme="minorEastAsia" w:eastAsiaTheme="minorEastAsia"/>
          <w:b/>
          <w:bCs/>
          <w:sz w:val="24"/>
          <w:szCs w:val="24"/>
          <w:highlight w:val="none"/>
          <w:lang w:val="en-US" w:eastAsia="zh-CN"/>
        </w:rPr>
        <w:t>2</w:t>
      </w:r>
      <w:r>
        <w:rPr>
          <w:rFonts w:hint="eastAsia" w:asciiTheme="minorEastAsia" w:hAnsiTheme="minorEastAsia" w:eastAsiaTheme="minorEastAsia"/>
          <w:b/>
          <w:bCs/>
          <w:sz w:val="24"/>
          <w:szCs w:val="24"/>
          <w:highlight w:val="none"/>
        </w:rPr>
        <w:t>为符合性审查须提供的资料，响应供应商必须提供并按格式要求签字或盖章（电子印章视同）。否则，磋商响应文件将被认定为未实质性响应。</w:t>
      </w:r>
    </w:p>
    <w:p w14:paraId="07438B3B">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w:t>
      </w:r>
      <w:r>
        <w:rPr>
          <w:rFonts w:hint="eastAsia" w:asciiTheme="minorEastAsia" w:hAnsiTheme="minorEastAsia" w:eastAsiaTheme="minorEastAsia"/>
          <w:b/>
          <w:bCs/>
          <w:sz w:val="24"/>
          <w:szCs w:val="24"/>
          <w:highlight w:val="none"/>
        </w:rPr>
        <w:t>制作电子响应文件时必须与响应文件制作软件目录一一对应，将相关资料上传至相应模块。</w:t>
      </w:r>
      <w:r>
        <w:rPr>
          <w:rFonts w:hint="eastAsia" w:asciiTheme="minorEastAsia" w:hAnsiTheme="minorEastAsia" w:eastAsiaTheme="minorEastAsia"/>
          <w:sz w:val="24"/>
          <w:szCs w:val="24"/>
          <w:highlight w:val="none"/>
        </w:rPr>
        <w:t>注意不要漏项。如有不确定上传的位置的，可以上传至其他资料或上传至符合性审查资料。</w:t>
      </w:r>
    </w:p>
    <w:p w14:paraId="5EE2A453">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w:t>
      </w:r>
      <w:r>
        <w:rPr>
          <w:rFonts w:hint="eastAsia" w:asciiTheme="minorEastAsia" w:hAnsiTheme="minorEastAsia" w:eastAsiaTheme="minorEastAsia"/>
          <w:b/>
          <w:bCs/>
          <w:sz w:val="24"/>
          <w:szCs w:val="24"/>
          <w:highlight w:val="none"/>
        </w:rPr>
        <w:t>磋商响应文件编制要求</w:t>
      </w:r>
      <w:r>
        <w:rPr>
          <w:rFonts w:hint="eastAsia" w:asciiTheme="minorEastAsia" w:hAnsiTheme="minorEastAsia" w:eastAsiaTheme="minorEastAsia"/>
          <w:sz w:val="24"/>
          <w:szCs w:val="24"/>
          <w:highlight w:val="none"/>
        </w:rPr>
        <w:t>：本项目采用电子招投标形式，请供应商按照《苏采云系统供应商操作手册》进行制作、上传电子响应文件。</w:t>
      </w:r>
      <w:r>
        <w:rPr>
          <w:rFonts w:hint="eastAsia" w:asciiTheme="minorEastAsia" w:hAnsiTheme="minorEastAsia" w:eastAsiaTheme="minorEastAsia"/>
          <w:b/>
          <w:bCs/>
          <w:sz w:val="24"/>
          <w:szCs w:val="24"/>
          <w:highlight w:val="none"/>
        </w:rPr>
        <w:t>电子响应文件制作完成后请于响应文件递交截止时间前成功上传至“苏采云”系统，否则视为放弃参加该采购项目</w:t>
      </w:r>
      <w:r>
        <w:rPr>
          <w:rFonts w:hint="eastAsia" w:asciiTheme="minorEastAsia" w:hAnsiTheme="minorEastAsia" w:eastAsiaTheme="minorEastAsia"/>
          <w:sz w:val="24"/>
          <w:szCs w:val="24"/>
          <w:highlight w:val="none"/>
        </w:rPr>
        <w:t>。供应商应充分考虑到网络环境、网络带宽等风险因素，如因供应商自身原因造成的电子响应文件上传不成功由供应商自行承担全部责任。</w:t>
      </w:r>
    </w:p>
    <w:p w14:paraId="63CB68A5">
      <w:pPr>
        <w:tabs>
          <w:tab w:val="left" w:pos="425"/>
        </w:tabs>
        <w:spacing w:line="360" w:lineRule="auto"/>
        <w:ind w:firstLine="480" w:firstLineChars="200"/>
        <w:jc w:val="left"/>
        <w:rPr>
          <w:rFonts w:asciiTheme="minorEastAsia" w:hAnsiTheme="minorEastAsia" w:eastAsiaTheme="minorEastAsia"/>
          <w:b/>
          <w:bCs/>
          <w:sz w:val="24"/>
          <w:szCs w:val="24"/>
          <w:highlight w:val="none"/>
        </w:rPr>
      </w:pPr>
      <w:r>
        <w:rPr>
          <w:rFonts w:hint="eastAsia" w:asciiTheme="minorEastAsia" w:hAnsiTheme="minorEastAsia" w:eastAsiaTheme="minorEastAsia"/>
          <w:sz w:val="24"/>
          <w:szCs w:val="24"/>
          <w:highlight w:val="none"/>
        </w:rPr>
        <w:t>（5）</w:t>
      </w:r>
      <w:r>
        <w:rPr>
          <w:rFonts w:hint="eastAsia" w:asciiTheme="minorEastAsia" w:hAnsiTheme="minorEastAsia" w:eastAsiaTheme="minorEastAsia"/>
          <w:b/>
          <w:bCs/>
          <w:sz w:val="24"/>
          <w:szCs w:val="24"/>
          <w:highlight w:val="none"/>
        </w:rPr>
        <w:t>磋商过程中如有问题采购代理机构工作人员会及时通《投标供应商确认函》留存的手机号与供应商联系。请供应商确保该手机号磋商当日通讯畅通，否则导致的对供应商不利的后果由供应商自行承担。</w:t>
      </w:r>
    </w:p>
    <w:p w14:paraId="3C743E15">
      <w:pPr>
        <w:spacing w:line="360" w:lineRule="auto"/>
        <w:ind w:firstLine="482" w:firstLineChars="200"/>
        <w:jc w:val="lef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（二）文件要求：</w:t>
      </w:r>
    </w:p>
    <w:p w14:paraId="61FD0136">
      <w:pPr>
        <w:overflowPunct w:val="0"/>
        <w:spacing w:line="360" w:lineRule="auto"/>
        <w:ind w:firstLine="480" w:firstLineChars="200"/>
        <w:jc w:val="left"/>
        <w:rPr>
          <w:rFonts w:ascii="宋体" w:hAnsi="宋体" w:cs="宋体"/>
          <w:sz w:val="24"/>
          <w:szCs w:val="24"/>
          <w:highlight w:val="none"/>
        </w:rPr>
      </w:pPr>
      <w:r>
        <w:rPr>
          <w:rFonts w:hint="eastAsia" w:ascii="宋体" w:hAnsi="宋体" w:cs="宋体"/>
          <w:kern w:val="2"/>
          <w:sz w:val="24"/>
          <w:szCs w:val="24"/>
          <w:highlight w:val="none"/>
        </w:rPr>
        <w:t>本项目采用电子招投标形式，请供应商按照《苏采云系统供应商操作手册》进行制作、上传电子投标文件。</w:t>
      </w:r>
      <w:r>
        <w:rPr>
          <w:rFonts w:hint="eastAsia" w:ascii="宋体" w:hAnsi="宋体" w:cs="宋体"/>
          <w:sz w:val="24"/>
          <w:szCs w:val="24"/>
          <w:highlight w:val="none"/>
        </w:rPr>
        <w:t>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p>
    <w:p w14:paraId="74E0B262">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（三）电子投标（响应）文件的编制与递交</w:t>
      </w:r>
    </w:p>
    <w:p w14:paraId="7C224A21">
      <w:pPr>
        <w:spacing w:line="360" w:lineRule="auto"/>
        <w:ind w:firstLine="480" w:firstLineChars="200"/>
        <w:rPr>
          <w:rFonts w:ascii="宋体" w:hAnsi="宋体" w:cs="宋体"/>
          <w:sz w:val="24"/>
          <w:szCs w:val="24"/>
          <w:highlight w:val="none"/>
        </w:rPr>
      </w:pPr>
      <w:bookmarkStart w:id="1" w:name="_Hlk132648568"/>
      <w:r>
        <w:rPr>
          <w:rFonts w:hint="eastAsia" w:ascii="宋体" w:hAnsi="宋体" w:cs="宋体"/>
          <w:sz w:val="24"/>
          <w:szCs w:val="24"/>
          <w:highlight w:val="none"/>
        </w:rPr>
        <w:t>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1"/>
    </w:p>
    <w:p w14:paraId="249495B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2、电子投标（响应)文件递交：供应商应当按照《操作手册》指引，</w:t>
      </w:r>
      <w:r>
        <w:rPr>
          <w:rFonts w:hint="eastAsia" w:ascii="宋体" w:hAnsi="宋体" w:cs="宋体"/>
          <w:b/>
          <w:sz w:val="24"/>
          <w:szCs w:val="24"/>
          <w:highlight w:val="none"/>
        </w:rPr>
        <w:t>在投标（响应）文件提交截止时间前完成电子投标（响应）文件的上传，未按要求成功上传的投标（响应）文件视为未递交。</w:t>
      </w:r>
      <w:r>
        <w:rPr>
          <w:rFonts w:hint="eastAsia" w:ascii="宋体" w:hAnsi="宋体" w:cs="宋体"/>
          <w:sz w:val="24"/>
          <w:szCs w:val="24"/>
          <w:highlight w:val="none"/>
        </w:rPr>
        <w:t>供应商应充分考虑到网络环境、网络带宽等风险因素，如因供应商自身原因造成的电子投标（响应）文件上传不成功由供应商自行承担全部责任。</w:t>
      </w:r>
    </w:p>
    <w:p w14:paraId="0DA18CF2">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注：（1）请供应商务必保管好编制递交电子投标（响应）文件时使用的CA，如因丢失、损坏等原因更换CA锁时，需重新制作电子投标（响应）文件并递交，否则可能无法解密，因此导致的响应失败等不利后果由供应商自行承担。</w:t>
      </w:r>
    </w:p>
    <w:p w14:paraId="6C49A647">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p>
    <w:p w14:paraId="53E5AF94">
      <w:pPr>
        <w:spacing w:line="360" w:lineRule="auto"/>
        <w:ind w:firstLine="480" w:firstLineChars="200"/>
        <w:rPr>
          <w:rFonts w:ascii="宋体" w:hAnsi="宋体" w:cs="宋体"/>
          <w:b/>
          <w:sz w:val="24"/>
          <w:szCs w:val="24"/>
          <w:highlight w:val="none"/>
        </w:rPr>
      </w:pPr>
      <w:r>
        <w:rPr>
          <w:rFonts w:hint="eastAsia" w:ascii="宋体" w:hAnsi="宋体" w:cs="宋体"/>
          <w:sz w:val="24"/>
          <w:szCs w:val="24"/>
          <w:highlight w:val="none"/>
        </w:rPr>
        <w:t xml:space="preserve">3、 </w:t>
      </w:r>
      <w:r>
        <w:rPr>
          <w:rFonts w:hint="eastAsia" w:ascii="宋体" w:hAnsi="宋体" w:cs="宋体"/>
          <w:b/>
          <w:sz w:val="24"/>
          <w:szCs w:val="24"/>
          <w:highlight w:val="none"/>
        </w:rPr>
        <w:t>响应文件未按照磋商文件要求加盖CA电子公章的，响应无效。</w:t>
      </w:r>
    </w:p>
    <w:p w14:paraId="209F1E4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4、联合体投标：如招标（采购）公告中允许联合体投标，联合体投标的投标（响应）文件制作上传操作如下：</w:t>
      </w:r>
    </w:p>
    <w:p w14:paraId="5CCEAFD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第一步：在投标（响应）文件中上传联合体投标协议书。</w:t>
      </w:r>
    </w:p>
    <w:p w14:paraId="045B863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第二步；在投标（响应）文件中，由联合体中的牵头人制作投标（响应）文件。</w:t>
      </w:r>
    </w:p>
    <w:p w14:paraId="383CE1A4">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5、如投标（响应）文件制作机器码信息一致，视为不同投标供应商使用同一台电脑编制投标（响应）文件，投标（响应）无效。</w:t>
      </w:r>
    </w:p>
    <w:p w14:paraId="55966E5C">
      <w:pPr>
        <w:tabs>
          <w:tab w:val="left" w:pos="142"/>
          <w:tab w:val="left" w:pos="600"/>
        </w:tabs>
        <w:spacing w:line="360" w:lineRule="auto"/>
        <w:ind w:firstLine="482" w:firstLineChars="200"/>
        <w:rPr>
          <w:rFonts w:ascii="宋体" w:hAnsi="宋体" w:cs="宋体"/>
          <w:b/>
          <w:kern w:val="2"/>
          <w:sz w:val="24"/>
          <w:szCs w:val="24"/>
          <w:highlight w:val="none"/>
        </w:rPr>
      </w:pPr>
      <w:r>
        <w:rPr>
          <w:rFonts w:hint="eastAsia" w:ascii="宋体" w:hAnsi="宋体" w:cs="宋体"/>
          <w:b/>
          <w:kern w:val="2"/>
          <w:sz w:val="24"/>
          <w:szCs w:val="24"/>
          <w:highlight w:val="none"/>
        </w:rPr>
        <w:t>响应文件的修改和撤回</w:t>
      </w:r>
    </w:p>
    <w:p w14:paraId="07FE1B1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p>
    <w:p w14:paraId="3B043E84">
      <w:pPr>
        <w:spacing w:line="360" w:lineRule="auto"/>
        <w:ind w:firstLine="482" w:firstLineChars="200"/>
        <w:jc w:val="lef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（四）磋商综合说明：</w:t>
      </w:r>
    </w:p>
    <w:p w14:paraId="1991ADD1">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1、供应商提供的服务能够至少达到以上要求，同时明确详细的服务方案。</w:t>
      </w:r>
    </w:p>
    <w:p w14:paraId="2CBBB46F">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2、供应商必须承诺磋商文件中提出的全部要求，如果其中某些条款不响应时，应在文件中逐条列出，未列出的视同响应。</w:t>
      </w:r>
    </w:p>
    <w:p w14:paraId="62B6AA7B">
      <w:pPr>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3、供应商应对所投项目的全部内容进行报价，只投其中部分内容者，其响应文件将被拒绝。成交供应商对服务缺陷不予更正，采购方有权另请其他单位更正，所发生的费用由成交供应商承担。</w:t>
      </w:r>
    </w:p>
    <w:p w14:paraId="7CADD9CB">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w:t>
      </w:r>
      <w:r>
        <w:rPr>
          <w:rFonts w:asciiTheme="minorEastAsia" w:hAnsiTheme="minorEastAsia" w:eastAsiaTheme="minorEastAsia"/>
          <w:sz w:val="24"/>
          <w:szCs w:val="24"/>
          <w:highlight w:val="none"/>
        </w:rPr>
        <w:t>本次</w:t>
      </w:r>
      <w:r>
        <w:rPr>
          <w:rFonts w:hint="eastAsia" w:asciiTheme="minorEastAsia" w:hAnsiTheme="minorEastAsia" w:eastAsiaTheme="minorEastAsia"/>
          <w:sz w:val="24"/>
          <w:szCs w:val="24"/>
          <w:highlight w:val="none"/>
        </w:rPr>
        <w:t>竞争性磋商</w:t>
      </w:r>
      <w:r>
        <w:rPr>
          <w:rFonts w:asciiTheme="minorEastAsia" w:hAnsiTheme="minorEastAsia" w:eastAsiaTheme="minorEastAsia"/>
          <w:sz w:val="24"/>
          <w:szCs w:val="24"/>
          <w:highlight w:val="none"/>
        </w:rPr>
        <w:t>各供应商须对全部内容进行响应，只报其中部分内容的，为无效报价，并不得出现选择性报价。</w:t>
      </w:r>
    </w:p>
    <w:p w14:paraId="2DA3B63D">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供应商须具备独立完成本项目的能力。因此各供应商可在投标前自行进行调研，了解项目情况及详细需求，但响应不得因此使招标单位承担有关的责任和蒙受损失。响应应承担前期调研的责任和风险。响应中标后，不得以不了解项目情况及详细需求为理由而向采购单位提出任何索赔的要求，对此采购单位不再承担任何责任。</w:t>
      </w:r>
    </w:p>
    <w:p w14:paraId="0F67F834">
      <w:pPr>
        <w:spacing w:line="360" w:lineRule="auto"/>
        <w:ind w:firstLine="480" w:firstLineChars="20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磋商保证金：</w:t>
      </w:r>
      <w:r>
        <w:rPr>
          <w:rFonts w:hint="eastAsia" w:asciiTheme="minorEastAsia" w:hAnsiTheme="minorEastAsia" w:eastAsiaTheme="minorEastAsia"/>
          <w:sz w:val="24"/>
          <w:szCs w:val="24"/>
          <w:highlight w:val="none"/>
        </w:rPr>
        <w:t>本项目不提交磋商保证金，文件内关于磋商保证金的相关规定均不适用。</w:t>
      </w:r>
    </w:p>
    <w:p w14:paraId="22186847">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6、服务费</w:t>
      </w:r>
    </w:p>
    <w:p w14:paraId="617B38B7">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以差额累计法收费（预算金额100万以下费率为预算金额的1.5%；预算金额100万-500万费率为预算金额的1.1%；预算金额500万-1000万费率为预算金额的0.8%）；成交服务费在领取成交通知书时向采购代理机构一次性付清。</w:t>
      </w:r>
    </w:p>
    <w:p w14:paraId="08D6CAFD">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（2）成交单位如果未按规定缴纳服务费，磋商采购单位将不予退还其磋商保证金，并保留诉讼的权利。</w:t>
      </w:r>
    </w:p>
    <w:p w14:paraId="284154AA">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p>
    <w:p w14:paraId="794EE340">
      <w:pPr>
        <w:spacing w:line="360" w:lineRule="auto"/>
        <w:jc w:val="center"/>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开票信息</w:t>
      </w:r>
    </w:p>
    <w:tbl>
      <w:tblPr>
        <w:tblStyle w:val="45"/>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0"/>
        <w:gridCol w:w="5878"/>
      </w:tblGrid>
      <w:tr w14:paraId="2CA55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0" w:type="dxa"/>
          </w:tcPr>
          <w:p w14:paraId="349633CF">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报名单位公司名称</w:t>
            </w:r>
          </w:p>
        </w:tc>
        <w:tc>
          <w:tcPr>
            <w:tcW w:w="5878" w:type="dxa"/>
          </w:tcPr>
          <w:p w14:paraId="03A91EA8">
            <w:pPr>
              <w:spacing w:line="360" w:lineRule="auto"/>
              <w:rPr>
                <w:rFonts w:asciiTheme="minorEastAsia" w:hAnsiTheme="minorEastAsia" w:eastAsiaTheme="minorEastAsia"/>
                <w:sz w:val="24"/>
                <w:szCs w:val="24"/>
                <w:highlight w:val="none"/>
              </w:rPr>
            </w:pPr>
          </w:p>
        </w:tc>
      </w:tr>
      <w:tr w14:paraId="39FC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0" w:type="dxa"/>
          </w:tcPr>
          <w:p w14:paraId="5C1BEAAB">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地址</w:t>
            </w:r>
          </w:p>
        </w:tc>
        <w:tc>
          <w:tcPr>
            <w:tcW w:w="5878" w:type="dxa"/>
          </w:tcPr>
          <w:p w14:paraId="34E3EE26">
            <w:pPr>
              <w:spacing w:line="360" w:lineRule="auto"/>
              <w:rPr>
                <w:rFonts w:asciiTheme="minorEastAsia" w:hAnsiTheme="minorEastAsia" w:eastAsiaTheme="minorEastAsia"/>
                <w:sz w:val="24"/>
                <w:szCs w:val="24"/>
                <w:highlight w:val="none"/>
              </w:rPr>
            </w:pPr>
          </w:p>
        </w:tc>
      </w:tr>
      <w:tr w14:paraId="4342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0" w:type="dxa"/>
          </w:tcPr>
          <w:p w14:paraId="5B49814C">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电话</w:t>
            </w:r>
          </w:p>
        </w:tc>
        <w:tc>
          <w:tcPr>
            <w:tcW w:w="5878" w:type="dxa"/>
          </w:tcPr>
          <w:p w14:paraId="30F4086C">
            <w:pPr>
              <w:spacing w:line="360" w:lineRule="auto"/>
              <w:rPr>
                <w:rFonts w:asciiTheme="minorEastAsia" w:hAnsiTheme="minorEastAsia" w:eastAsiaTheme="minorEastAsia"/>
                <w:sz w:val="24"/>
                <w:szCs w:val="24"/>
                <w:highlight w:val="none"/>
              </w:rPr>
            </w:pPr>
          </w:p>
        </w:tc>
      </w:tr>
      <w:tr w14:paraId="18955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0" w:type="dxa"/>
          </w:tcPr>
          <w:p w14:paraId="5CB2A966">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税号</w:t>
            </w:r>
          </w:p>
        </w:tc>
        <w:tc>
          <w:tcPr>
            <w:tcW w:w="5878" w:type="dxa"/>
          </w:tcPr>
          <w:p w14:paraId="366C9C8E">
            <w:pPr>
              <w:spacing w:line="360" w:lineRule="auto"/>
              <w:rPr>
                <w:rFonts w:asciiTheme="minorEastAsia" w:hAnsiTheme="minorEastAsia" w:eastAsiaTheme="minorEastAsia"/>
                <w:sz w:val="24"/>
                <w:szCs w:val="24"/>
                <w:highlight w:val="none"/>
              </w:rPr>
            </w:pPr>
          </w:p>
        </w:tc>
      </w:tr>
      <w:tr w14:paraId="3DB26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0" w:type="dxa"/>
          </w:tcPr>
          <w:p w14:paraId="7F0EB81C">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开户行</w:t>
            </w:r>
          </w:p>
        </w:tc>
        <w:tc>
          <w:tcPr>
            <w:tcW w:w="5878" w:type="dxa"/>
          </w:tcPr>
          <w:p w14:paraId="40F3D372">
            <w:pPr>
              <w:spacing w:line="360" w:lineRule="auto"/>
              <w:rPr>
                <w:rFonts w:asciiTheme="minorEastAsia" w:hAnsiTheme="minorEastAsia" w:eastAsiaTheme="minorEastAsia"/>
                <w:sz w:val="24"/>
                <w:szCs w:val="24"/>
                <w:highlight w:val="none"/>
              </w:rPr>
            </w:pPr>
          </w:p>
        </w:tc>
      </w:tr>
      <w:tr w14:paraId="0168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70" w:type="dxa"/>
          </w:tcPr>
          <w:p w14:paraId="67651727">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银行账号</w:t>
            </w:r>
          </w:p>
        </w:tc>
        <w:tc>
          <w:tcPr>
            <w:tcW w:w="5878" w:type="dxa"/>
          </w:tcPr>
          <w:p w14:paraId="61B7867E">
            <w:pPr>
              <w:spacing w:line="360" w:lineRule="auto"/>
              <w:rPr>
                <w:rFonts w:asciiTheme="minorEastAsia" w:hAnsiTheme="minorEastAsia" w:eastAsiaTheme="minorEastAsia"/>
                <w:sz w:val="24"/>
                <w:szCs w:val="24"/>
                <w:highlight w:val="none"/>
              </w:rPr>
            </w:pPr>
          </w:p>
        </w:tc>
      </w:tr>
    </w:tbl>
    <w:p w14:paraId="69F78A08">
      <w:pPr>
        <w:spacing w:line="360" w:lineRule="auto"/>
        <w:rPr>
          <w:rFonts w:ascii="宋体" w:hAnsi="宋体" w:cs="宋体"/>
          <w:b/>
          <w:sz w:val="24"/>
          <w:szCs w:val="24"/>
          <w:highlight w:val="none"/>
        </w:rPr>
      </w:pPr>
      <w:r>
        <w:rPr>
          <w:rFonts w:hint="eastAsia" w:asciiTheme="minorEastAsia" w:hAnsiTheme="minorEastAsia" w:eastAsiaTheme="minorEastAsia"/>
          <w:b/>
          <w:sz w:val="24"/>
          <w:szCs w:val="24"/>
          <w:highlight w:val="none"/>
        </w:rPr>
        <w:t>注：请成交单位将公司开票信息以word文档格式发送至邮箱：</w:t>
      </w:r>
      <w:r>
        <w:rPr>
          <w:rFonts w:hint="eastAsia" w:ascii="宋体" w:hAnsi="宋体" w:cs="宋体"/>
          <w:b/>
          <w:sz w:val="24"/>
          <w:szCs w:val="24"/>
          <w:highlight w:val="none"/>
          <w:u w:val="single"/>
        </w:rPr>
        <w:t>zhaocaisanbu@suzhouhaiqi.com</w:t>
      </w:r>
    </w:p>
    <w:p w14:paraId="5780BE7D">
      <w:pPr>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。成交单位凭已缴纳代理服务费的银行回单至代理机构领取成交通知书、合同。</w:t>
      </w:r>
    </w:p>
    <w:p w14:paraId="7BEE3807">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7</w:t>
      </w:r>
      <w:r>
        <w:rPr>
          <w:rFonts w:asciiTheme="minorEastAsia" w:hAnsiTheme="minorEastAsia" w:eastAsiaTheme="minorEastAsia"/>
          <w:sz w:val="24"/>
          <w:szCs w:val="24"/>
          <w:highlight w:val="none"/>
        </w:rPr>
        <w:t>、有下列情形之一的，磋商保证金不予退还：</w:t>
      </w:r>
    </w:p>
    <w:p w14:paraId="0D1CD2F2">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1）供应商在提交响应文件截止时间后撤回响应文件的；</w:t>
      </w:r>
    </w:p>
    <w:p w14:paraId="39940A6A">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2）供应商在响应文件中提供虚假材料的；</w:t>
      </w:r>
    </w:p>
    <w:p w14:paraId="520858F6">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3）除因不可抗力或</w:t>
      </w:r>
      <w:r>
        <w:rPr>
          <w:rFonts w:hint="eastAsia" w:asciiTheme="minorEastAsia" w:hAnsiTheme="minorEastAsia" w:eastAsiaTheme="minorEastAsia"/>
          <w:sz w:val="24"/>
          <w:szCs w:val="24"/>
          <w:highlight w:val="none"/>
        </w:rPr>
        <w:t>采购</w:t>
      </w:r>
      <w:r>
        <w:rPr>
          <w:rFonts w:asciiTheme="minorEastAsia" w:hAnsiTheme="minorEastAsia" w:eastAsiaTheme="minorEastAsia"/>
          <w:sz w:val="24"/>
          <w:szCs w:val="24"/>
          <w:highlight w:val="none"/>
        </w:rPr>
        <w:t>文件认可的情形以外，</w:t>
      </w:r>
      <w:r>
        <w:rPr>
          <w:rFonts w:hint="eastAsia" w:asciiTheme="minorEastAsia" w:hAnsiTheme="minorEastAsia" w:eastAsiaTheme="minorEastAsia"/>
          <w:sz w:val="24"/>
          <w:szCs w:val="24"/>
          <w:highlight w:val="none"/>
        </w:rPr>
        <w:t>成交单位</w:t>
      </w:r>
      <w:r>
        <w:rPr>
          <w:rFonts w:asciiTheme="minorEastAsia" w:hAnsiTheme="minorEastAsia" w:eastAsiaTheme="minorEastAsia"/>
          <w:sz w:val="24"/>
          <w:szCs w:val="24"/>
          <w:highlight w:val="none"/>
        </w:rPr>
        <w:t>不与采购人签订合同的；</w:t>
      </w:r>
    </w:p>
    <w:p w14:paraId="781EF581">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4）供应商与采购人、其他供应商或者采购代理机构恶意串通的；</w:t>
      </w:r>
    </w:p>
    <w:p w14:paraId="64CBB1F2">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采购</w:t>
      </w:r>
      <w:r>
        <w:rPr>
          <w:rFonts w:asciiTheme="minorEastAsia" w:hAnsiTheme="minorEastAsia" w:eastAsiaTheme="minorEastAsia"/>
          <w:sz w:val="24"/>
          <w:szCs w:val="24"/>
          <w:highlight w:val="none"/>
        </w:rPr>
        <w:t>文件规定的其他情形。</w:t>
      </w:r>
    </w:p>
    <w:p w14:paraId="0F3CCDCE">
      <w:pPr>
        <w:tabs>
          <w:tab w:val="left" w:pos="425"/>
          <w:tab w:val="left" w:pos="993"/>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w:t>
      </w:r>
      <w:r>
        <w:rPr>
          <w:rFonts w:asciiTheme="minorEastAsia" w:hAnsiTheme="minorEastAsia" w:eastAsiaTheme="minorEastAsia"/>
          <w:sz w:val="24"/>
          <w:szCs w:val="24"/>
          <w:highlight w:val="none"/>
        </w:rPr>
        <w:t>知识产权：</w:t>
      </w:r>
    </w:p>
    <w:p w14:paraId="7B36A155">
      <w:pPr>
        <w:pStyle w:val="18"/>
        <w:spacing w:line="360" w:lineRule="auto"/>
        <w:ind w:firstLine="480" w:firstLineChars="200"/>
        <w:rPr>
          <w:rFonts w:asciiTheme="minorEastAsia" w:hAnsiTheme="minorEastAsia" w:eastAsiaTheme="minorEastAsia"/>
          <w:sz w:val="24"/>
          <w:szCs w:val="24"/>
          <w:highlight w:val="none"/>
        </w:rPr>
      </w:pPr>
      <w:r>
        <w:rPr>
          <w:rFonts w:hint="eastAsia" w:ascii="宋体" w:hAnsi="宋体"/>
          <w:sz w:val="24"/>
          <w:szCs w:val="24"/>
          <w:highlight w:val="none"/>
        </w:rPr>
        <w:t>采购人与成交人签署采购合同后，采购人在该项目中拥有成交方案的使用权。成交人应保护采购人一旦使用其成交方案不能受到来自第三方的侵权诉讼或索赔，否则成交人应承担由此而产生的一切责任。</w:t>
      </w:r>
    </w:p>
    <w:p w14:paraId="4C121AF3">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9.磋商说明：</w:t>
      </w:r>
    </w:p>
    <w:p w14:paraId="107A0B88">
      <w:pPr>
        <w:tabs>
          <w:tab w:val="left" w:pos="42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参加磋商的供应商必须提供磋商代表的身份证明原件和法定代表人授权委托书原件（法定代表人为磋商代表的可不提供）；</w:t>
      </w:r>
    </w:p>
    <w:p w14:paraId="56D45384">
      <w:pPr>
        <w:tabs>
          <w:tab w:val="left" w:pos="42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磋商响应文件的签署不符合要求的，磋商响应文件将被拒绝；</w:t>
      </w:r>
    </w:p>
    <w:p w14:paraId="6ED417F5">
      <w:pPr>
        <w:tabs>
          <w:tab w:val="left" w:pos="42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供应商的响应报价（包括最后报价）均超过采购预算的，磋商采购失败。</w:t>
      </w:r>
    </w:p>
    <w:p w14:paraId="1D932A95">
      <w:pPr>
        <w:tabs>
          <w:tab w:val="left" w:pos="420"/>
        </w:tabs>
        <w:spacing w:line="360" w:lineRule="auto"/>
        <w:ind w:firstLine="480" w:firstLineChars="200"/>
        <w:jc w:val="left"/>
        <w:rPr>
          <w:rFonts w:ascii="宋体" w:hAnsi="宋体"/>
          <w:sz w:val="24"/>
          <w:highlight w:val="none"/>
        </w:rPr>
      </w:pPr>
      <w:r>
        <w:rPr>
          <w:rFonts w:hint="eastAsia" w:ascii="宋体" w:hAnsi="宋体"/>
          <w:bCs/>
          <w:sz w:val="24"/>
          <w:highlight w:val="none"/>
        </w:rPr>
        <w:t>（4）响应文件属下列情况之一的，磋商小组将按无效投标处理：</w:t>
      </w:r>
    </w:p>
    <w:p w14:paraId="33B4FBFF">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1）响应文件载明的投标有效期短于磋商文件规定；</w:t>
      </w:r>
    </w:p>
    <w:p w14:paraId="0C11BBC7">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2）响应文件载明的招标项目完成期限不满足磋商文件规定；</w:t>
      </w:r>
    </w:p>
    <w:p w14:paraId="6C4C47FB">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3）响应文件载明的履约保证、付款方式不满足磋商文件规定；</w:t>
      </w:r>
    </w:p>
    <w:p w14:paraId="101E3AAA">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4）响应文件未按磋商文件规定的格式填写或递交，内容不全或关键字迹模糊、无法辨认的，从而影响响应文件有效性；</w:t>
      </w:r>
    </w:p>
    <w:p w14:paraId="1E492231">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5）不同供应商的响应文件以及响应文件制作过程出现了磋商小组认为不应当雷同的情况的；</w:t>
      </w:r>
    </w:p>
    <w:p w14:paraId="60A7FAF1">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6）不同供应商的响应文件存在“视为串通投标”的情形；</w:t>
      </w:r>
    </w:p>
    <w:p w14:paraId="06746A0E">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7）</w:t>
      </w:r>
      <w:r>
        <w:rPr>
          <w:rFonts w:hint="eastAsia" w:ascii="宋体" w:hAnsi="宋体" w:cs="宋体"/>
          <w:bCs/>
          <w:sz w:val="24"/>
          <w:szCs w:val="24"/>
          <w:highlight w:val="none"/>
        </w:rPr>
        <w:t>不同供应商响应文件“机器码一致”的情形；</w:t>
      </w:r>
    </w:p>
    <w:p w14:paraId="0F4319B2">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8）供应商的报价存在选择性的；</w:t>
      </w:r>
    </w:p>
    <w:p w14:paraId="2A2B77BD">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9）供应商的报价或响应只响应了项目中部分招标内容；</w:t>
      </w:r>
    </w:p>
    <w:p w14:paraId="1043AEE4">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10）供应商拒绝修正错误影响评标的；</w:t>
      </w:r>
    </w:p>
    <w:p w14:paraId="4A2B801E">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11）响应文件不符合磋商文件规定的其他实质性条款；</w:t>
      </w:r>
    </w:p>
    <w:p w14:paraId="4236E934">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12）响应文件存在磋商文件规定的其他无效投标情形的；</w:t>
      </w:r>
    </w:p>
    <w:p w14:paraId="3590C92B">
      <w:pPr>
        <w:tabs>
          <w:tab w:val="left" w:pos="753"/>
        </w:tabs>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13）供应商的响应报价（含最后报价）超过采购预算的；</w:t>
      </w:r>
    </w:p>
    <w:p w14:paraId="44996F0F">
      <w:pPr>
        <w:tabs>
          <w:tab w:val="left" w:pos="420"/>
        </w:tabs>
        <w:spacing w:line="360" w:lineRule="auto"/>
        <w:ind w:firstLine="480" w:firstLineChars="200"/>
        <w:jc w:val="left"/>
        <w:rPr>
          <w:rFonts w:ascii="宋体" w:hAnsi="宋体" w:cs="宋体"/>
          <w:sz w:val="24"/>
          <w:szCs w:val="24"/>
          <w:highlight w:val="none"/>
        </w:rPr>
      </w:pPr>
      <w:r>
        <w:rPr>
          <w:rFonts w:hint="eastAsia" w:ascii="宋体" w:hAnsi="宋体"/>
          <w:bCs/>
          <w:sz w:val="24"/>
          <w:szCs w:val="24"/>
          <w:highlight w:val="none"/>
        </w:rPr>
        <w:t>14）供应商资格不符合磋商文件要求的。</w:t>
      </w:r>
    </w:p>
    <w:p w14:paraId="4266A905">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10.项目的终止</w:t>
      </w:r>
    </w:p>
    <w:p w14:paraId="145E82E9">
      <w:pPr>
        <w:spacing w:line="360" w:lineRule="auto"/>
        <w:ind w:firstLine="480" w:firstLineChars="200"/>
        <w:jc w:val="lef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出现下列情形之一的，</w:t>
      </w:r>
      <w:r>
        <w:rPr>
          <w:rFonts w:hint="eastAsia" w:asciiTheme="minorEastAsia" w:hAnsiTheme="minorEastAsia" w:eastAsiaTheme="minorEastAsia"/>
          <w:sz w:val="24"/>
          <w:szCs w:val="24"/>
          <w:highlight w:val="none"/>
        </w:rPr>
        <w:t>将</w:t>
      </w:r>
      <w:r>
        <w:rPr>
          <w:rFonts w:asciiTheme="minorEastAsia" w:hAnsiTheme="minorEastAsia" w:eastAsiaTheme="minorEastAsia"/>
          <w:sz w:val="24"/>
          <w:szCs w:val="24"/>
          <w:highlight w:val="none"/>
        </w:rPr>
        <w:t>终止采购活动：</w:t>
      </w:r>
    </w:p>
    <w:p w14:paraId="1C11CCD8">
      <w:pPr>
        <w:tabs>
          <w:tab w:val="left" w:pos="420"/>
        </w:tabs>
        <w:spacing w:line="360" w:lineRule="auto"/>
        <w:ind w:firstLine="480" w:firstLineChars="200"/>
        <w:jc w:val="lef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因情况变化，不再符合规定的</w:t>
      </w:r>
      <w:r>
        <w:rPr>
          <w:rFonts w:hint="eastAsia" w:asciiTheme="minorEastAsia" w:hAnsiTheme="minorEastAsia" w:eastAsiaTheme="minorEastAsia"/>
          <w:sz w:val="24"/>
          <w:szCs w:val="24"/>
          <w:highlight w:val="none"/>
        </w:rPr>
        <w:t>竞争性磋商</w:t>
      </w:r>
      <w:r>
        <w:rPr>
          <w:rFonts w:asciiTheme="minorEastAsia" w:hAnsiTheme="minorEastAsia" w:eastAsiaTheme="minorEastAsia"/>
          <w:sz w:val="24"/>
          <w:szCs w:val="24"/>
          <w:highlight w:val="none"/>
        </w:rPr>
        <w:t>采购方式适用情形的；</w:t>
      </w:r>
    </w:p>
    <w:p w14:paraId="54FD10B5">
      <w:pPr>
        <w:tabs>
          <w:tab w:val="left" w:pos="420"/>
        </w:tabs>
        <w:spacing w:line="360" w:lineRule="auto"/>
        <w:ind w:firstLine="480" w:firstLineChars="200"/>
        <w:jc w:val="lef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出现影响采购公正的违法、违规行为的；</w:t>
      </w:r>
    </w:p>
    <w:p w14:paraId="43CA5E8A">
      <w:pPr>
        <w:tabs>
          <w:tab w:val="left" w:pos="420"/>
        </w:tabs>
        <w:spacing w:line="360" w:lineRule="auto"/>
        <w:ind w:firstLine="480" w:firstLineChars="200"/>
        <w:jc w:val="lef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在采购过程中符合竞争要求的供应商或者报价未超过采购预算的供应商不足</w:t>
      </w:r>
      <w:r>
        <w:rPr>
          <w:rFonts w:hint="eastAsia" w:asciiTheme="minorEastAsia" w:hAnsiTheme="minorEastAsia" w:eastAsiaTheme="minorEastAsia"/>
          <w:sz w:val="24"/>
          <w:szCs w:val="24"/>
          <w:highlight w:val="none"/>
        </w:rPr>
        <w:t>三</w:t>
      </w:r>
      <w:r>
        <w:rPr>
          <w:rFonts w:asciiTheme="minorEastAsia" w:hAnsiTheme="minorEastAsia" w:eastAsiaTheme="minorEastAsia"/>
          <w:sz w:val="24"/>
          <w:szCs w:val="24"/>
          <w:highlight w:val="none"/>
        </w:rPr>
        <w:t>家的。</w:t>
      </w:r>
    </w:p>
    <w:p w14:paraId="3EEF0891">
      <w:pPr>
        <w:tabs>
          <w:tab w:val="left" w:pos="425"/>
        </w:tabs>
        <w:spacing w:line="360" w:lineRule="auto"/>
        <w:ind w:firstLine="480" w:firstLineChars="200"/>
        <w:jc w:val="left"/>
        <w:rPr>
          <w:rFonts w:ascii="宋体" w:hAnsi="宋体" w:cs="宋体"/>
          <w:sz w:val="24"/>
          <w:highlight w:val="none"/>
        </w:rPr>
      </w:pPr>
      <w:r>
        <w:rPr>
          <w:rFonts w:hint="eastAsia" w:ascii="宋体" w:hAnsi="宋体" w:cs="宋体"/>
          <w:sz w:val="24"/>
          <w:highlight w:val="none"/>
        </w:rPr>
        <w:t>11.采购单位或其委托的代理机构根据相关规定发布成交公告，成交公告发出的同时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p>
    <w:p w14:paraId="7DC1B656">
      <w:pPr>
        <w:tabs>
          <w:tab w:val="left" w:pos="425"/>
        </w:tabs>
        <w:spacing w:line="360" w:lineRule="auto"/>
        <w:ind w:firstLine="480" w:firstLineChars="200"/>
        <w:jc w:val="left"/>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12.</w:t>
      </w:r>
      <w:r>
        <w:rPr>
          <w:rFonts w:asciiTheme="minorEastAsia" w:hAnsiTheme="minorEastAsia" w:eastAsiaTheme="minorEastAsia"/>
          <w:sz w:val="24"/>
          <w:szCs w:val="24"/>
          <w:highlight w:val="none"/>
        </w:rPr>
        <w:t>凡涉及</w:t>
      </w:r>
      <w:r>
        <w:rPr>
          <w:rFonts w:hint="eastAsia" w:asciiTheme="minorEastAsia" w:hAnsiTheme="minorEastAsia" w:eastAsiaTheme="minorEastAsia"/>
          <w:sz w:val="24"/>
          <w:szCs w:val="24"/>
          <w:highlight w:val="none"/>
        </w:rPr>
        <w:t>磋商采购文件</w:t>
      </w:r>
      <w:r>
        <w:rPr>
          <w:rFonts w:asciiTheme="minorEastAsia" w:hAnsiTheme="minorEastAsia" w:eastAsiaTheme="minorEastAsia"/>
          <w:sz w:val="24"/>
          <w:szCs w:val="24"/>
          <w:highlight w:val="none"/>
        </w:rPr>
        <w:t>的补充说明和修改，均以</w:t>
      </w:r>
      <w:r>
        <w:rPr>
          <w:rFonts w:hint="eastAsia" w:asciiTheme="minorEastAsia" w:hAnsiTheme="minorEastAsia" w:eastAsiaTheme="minorEastAsia"/>
          <w:sz w:val="24"/>
          <w:szCs w:val="24"/>
          <w:highlight w:val="none"/>
        </w:rPr>
        <w:t>苏州政府采购网上发布的</w:t>
      </w:r>
      <w:r>
        <w:rPr>
          <w:rFonts w:asciiTheme="minorEastAsia" w:hAnsiTheme="minorEastAsia" w:eastAsiaTheme="minorEastAsia"/>
          <w:sz w:val="24"/>
          <w:szCs w:val="24"/>
          <w:highlight w:val="none"/>
        </w:rPr>
        <w:t>通知为准</w:t>
      </w:r>
      <w:r>
        <w:rPr>
          <w:rFonts w:hint="eastAsia" w:asciiTheme="minorEastAsia" w:hAnsiTheme="minorEastAsia" w:eastAsiaTheme="minorEastAsia"/>
          <w:sz w:val="24"/>
          <w:szCs w:val="24"/>
          <w:highlight w:val="none"/>
        </w:rPr>
        <w:t>。</w:t>
      </w:r>
    </w:p>
    <w:p w14:paraId="27441182">
      <w:pPr>
        <w:tabs>
          <w:tab w:val="left" w:pos="425"/>
        </w:tabs>
        <w:spacing w:line="360" w:lineRule="auto"/>
        <w:ind w:firstLine="482" w:firstLineChars="200"/>
        <w:jc w:val="lef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13.落实政府采购政策：</w:t>
      </w:r>
    </w:p>
    <w:p w14:paraId="0302A2B2">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13.1、</w:t>
      </w:r>
      <w:r>
        <w:rPr>
          <w:rFonts w:hint="eastAsia" w:ascii="宋体" w:hAnsi="宋体"/>
          <w:sz w:val="24"/>
          <w:szCs w:val="24"/>
          <w:highlight w:val="none"/>
        </w:rPr>
        <w:t>根据政府采购法及相关法规，以及</w:t>
      </w:r>
      <w:r>
        <w:rPr>
          <w:rFonts w:hint="eastAsia" w:ascii="宋体" w:hAnsi="宋体"/>
          <w:bCs/>
          <w:sz w:val="24"/>
          <w:szCs w:val="24"/>
          <w:highlight w:val="none"/>
        </w:rPr>
        <w:t>苏州市财政局《</w:t>
      </w:r>
      <w:r>
        <w:rPr>
          <w:rFonts w:hint="eastAsia" w:ascii="宋体" w:hAnsi="宋体"/>
          <w:bCs/>
          <w:kern w:val="2"/>
          <w:sz w:val="24"/>
          <w:szCs w:val="24"/>
          <w:highlight w:val="none"/>
        </w:rPr>
        <w:t>关于苏州市政府采购网下线“供应商信用查询”功能的通知</w:t>
      </w:r>
      <w:r>
        <w:rPr>
          <w:rFonts w:hint="eastAsia" w:ascii="宋体" w:hAnsi="宋体"/>
          <w:bCs/>
          <w:sz w:val="24"/>
          <w:szCs w:val="24"/>
          <w:highlight w:val="none"/>
        </w:rPr>
        <w:t>》</w:t>
      </w:r>
      <w:r>
        <w:rPr>
          <w:rFonts w:hint="eastAsia" w:ascii="宋体" w:hAnsi="宋体"/>
          <w:sz w:val="24"/>
          <w:szCs w:val="24"/>
          <w:highlight w:val="none"/>
        </w:rPr>
        <w:t>的规定，我们将依法对供应商进行信用查询，凡经评审小组确认不符合政府采购相关法律法规规定的，将拒绝其参与政府采购活动。</w:t>
      </w:r>
    </w:p>
    <w:p w14:paraId="0660EFD2">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12.1.1查询时间：</w:t>
      </w:r>
      <w:r>
        <w:rPr>
          <w:rFonts w:hint="eastAsia" w:ascii="宋体" w:hAnsi="宋体"/>
          <w:sz w:val="24"/>
          <w:szCs w:val="24"/>
          <w:highlight w:val="none"/>
        </w:rPr>
        <w:t>响应文件递交截止时间。</w:t>
      </w:r>
    </w:p>
    <w:p w14:paraId="18C12D88">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12.1.2查询渠道：采购代理机构会在接收响应文件截止时间后，登录“信用中国”和“中国政府采购网”查询供应商的信用记录。</w:t>
      </w:r>
    </w:p>
    <w:p w14:paraId="20AFBF97">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12.1.3查询证据留存方式：</w:t>
      </w:r>
      <w:r>
        <w:rPr>
          <w:rFonts w:hint="eastAsia" w:ascii="宋体" w:hAnsi="宋体"/>
          <w:sz w:val="24"/>
          <w:szCs w:val="24"/>
          <w:highlight w:val="none"/>
        </w:rPr>
        <w:t>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48E09A9E">
      <w:pPr>
        <w:adjustRightInd w:val="0"/>
        <w:snapToGrid w:val="0"/>
        <w:spacing w:line="360" w:lineRule="auto"/>
        <w:ind w:firstLine="480" w:firstLineChars="200"/>
        <w:jc w:val="left"/>
        <w:rPr>
          <w:rFonts w:ascii="宋体" w:hAnsi="宋体"/>
          <w:bCs/>
          <w:sz w:val="24"/>
          <w:szCs w:val="24"/>
          <w:highlight w:val="none"/>
        </w:rPr>
      </w:pPr>
      <w:r>
        <w:rPr>
          <w:rFonts w:hint="eastAsia" w:ascii="宋体" w:hAnsi="宋体" w:cs="宋体"/>
          <w:bCs/>
          <w:sz w:val="24"/>
          <w:szCs w:val="24"/>
          <w:highlight w:val="none"/>
        </w:rPr>
        <w:t>12.1.4</w:t>
      </w:r>
      <w:r>
        <w:rPr>
          <w:rFonts w:hint="eastAsia" w:ascii="宋体" w:hAnsi="宋体"/>
          <w:bCs/>
          <w:sz w:val="24"/>
          <w:szCs w:val="24"/>
          <w:highlight w:val="none"/>
        </w:rPr>
        <w:t>信用记录使用规则：</w:t>
      </w:r>
    </w:p>
    <w:p w14:paraId="667F9770">
      <w:pPr>
        <w:spacing w:line="360" w:lineRule="auto"/>
        <w:ind w:firstLine="549"/>
        <w:rPr>
          <w:rFonts w:ascii="宋体" w:hAnsi="宋体" w:cs="宋体"/>
          <w:b/>
          <w:sz w:val="24"/>
          <w:szCs w:val="24"/>
          <w:highlight w:val="none"/>
        </w:rPr>
      </w:pPr>
      <w:r>
        <w:rPr>
          <w:rFonts w:hint="eastAsia" w:ascii="宋体" w:hAnsi="宋体"/>
          <w:bCs/>
          <w:sz w:val="24"/>
          <w:szCs w:val="24"/>
          <w:highlight w:val="none"/>
        </w:rPr>
        <w:t>评审</w:t>
      </w:r>
      <w:r>
        <w:rPr>
          <w:rFonts w:hint="eastAsia" w:ascii="宋体" w:hAnsi="宋体"/>
          <w:sz w:val="24"/>
          <w:szCs w:val="24"/>
          <w:highlight w:val="none"/>
        </w:rPr>
        <w:t>小组在对供应商进行资格性审查时，应根据查询结果对供应商的不良信用记录逐项甄别确认。</w:t>
      </w:r>
    </w:p>
    <w:p w14:paraId="6B44D75B">
      <w:pPr>
        <w:tabs>
          <w:tab w:val="left" w:pos="425"/>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13.2、针对中小型企业的评审：</w:t>
      </w:r>
    </w:p>
    <w:p w14:paraId="42EF7529">
      <w:pPr>
        <w:adjustRightIn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（1）本项目为</w:t>
      </w:r>
      <w:r>
        <w:rPr>
          <w:rFonts w:hint="eastAsia" w:ascii="宋体" w:hAnsi="宋体" w:cs="宋体"/>
          <w:b/>
          <w:bCs/>
          <w:sz w:val="24"/>
          <w:szCs w:val="24"/>
          <w:highlight w:val="none"/>
          <w:u w:val="single"/>
        </w:rPr>
        <w:t>专门面向中小企业采购</w:t>
      </w:r>
      <w:r>
        <w:rPr>
          <w:rFonts w:hint="eastAsia" w:ascii="宋体" w:hAnsi="宋体" w:cs="宋体"/>
          <w:sz w:val="24"/>
          <w:szCs w:val="24"/>
          <w:highlight w:val="none"/>
        </w:rPr>
        <w:t>。</w:t>
      </w:r>
    </w:p>
    <w:p w14:paraId="68F61D2F">
      <w:pPr>
        <w:adjustRightInd w:val="0"/>
        <w:spacing w:line="36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szCs w:val="24"/>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552CC715">
      <w:pPr>
        <w:adjustRightInd w:val="0"/>
        <w:spacing w:line="36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sz w:val="24"/>
          <w:szCs w:val="24"/>
          <w:highlight w:val="none"/>
        </w:rPr>
        <w:t>服务类项目中供应商若使用退休人员，将不享受相关扶持政策。</w:t>
      </w:r>
    </w:p>
    <w:p w14:paraId="54E9D16C">
      <w:pPr>
        <w:adjustRightInd w:val="0"/>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4"/>
          <w:szCs w:val="24"/>
          <w:highlight w:val="none"/>
          <w:u w:val="single"/>
          <w:lang w:eastAsia="zh-CN"/>
        </w:rPr>
        <w:t>其他未列明行业</w:t>
      </w:r>
      <w:r>
        <w:rPr>
          <w:rFonts w:hint="eastAsia" w:ascii="宋体" w:hAnsi="宋体" w:cs="宋体"/>
          <w:b/>
          <w:bCs/>
          <w:sz w:val="24"/>
          <w:szCs w:val="24"/>
          <w:highlight w:val="none"/>
        </w:rPr>
        <w:t>。</w:t>
      </w:r>
    </w:p>
    <w:p w14:paraId="116BF286">
      <w:pPr>
        <w:autoSpaceDE w:val="0"/>
        <w:autoSpaceDN w:val="0"/>
        <w:adjustRightInd w:val="0"/>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供应商提供声明函内容不实的，依照《中华人民共和国政府采购法》《中华人民共和国政府采购法实施条例》和《政府采购促进中小企业发展管理办法》等法律法规规定追究法律责任。</w:t>
      </w:r>
    </w:p>
    <w:p w14:paraId="520818EE">
      <w:pPr>
        <w:spacing w:line="360" w:lineRule="auto"/>
        <w:ind w:firstLine="480" w:firstLineChars="200"/>
        <w:jc w:val="left"/>
        <w:rPr>
          <w:rFonts w:ascii="宋体" w:hAnsi="宋体" w:cs="宋体"/>
          <w:sz w:val="24"/>
          <w:highlight w:val="none"/>
        </w:rPr>
      </w:pPr>
      <w:r>
        <w:rPr>
          <w:rFonts w:hint="eastAsia" w:ascii="宋体" w:hAnsi="宋体" w:cs="宋体"/>
          <w:sz w:val="24"/>
          <w:szCs w:val="24"/>
          <w:highlight w:val="none"/>
        </w:rPr>
        <w:t>（3）</w:t>
      </w:r>
      <w:r>
        <w:rPr>
          <w:rFonts w:hint="eastAsia" w:ascii="宋体" w:hAnsi="宋体" w:cs="宋体"/>
          <w:sz w:val="24"/>
          <w:highlight w:val="none"/>
        </w:rPr>
        <w:t>残疾人福利性单位</w:t>
      </w:r>
    </w:p>
    <w:p w14:paraId="1FEC5B03">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p>
    <w:p w14:paraId="0BEE295D">
      <w:pPr>
        <w:spacing w:line="360" w:lineRule="auto"/>
        <w:ind w:firstLine="480" w:firstLineChars="200"/>
        <w:jc w:val="left"/>
        <w:rPr>
          <w:rFonts w:ascii="宋体" w:hAnsi="宋体" w:cs="宋体"/>
          <w:sz w:val="24"/>
          <w:highlight w:val="none"/>
        </w:rPr>
      </w:pPr>
      <w:r>
        <w:rPr>
          <w:rFonts w:hint="eastAsia" w:ascii="宋体" w:hAnsi="宋体" w:cs="宋体"/>
          <w:sz w:val="24"/>
          <w:szCs w:val="24"/>
          <w:highlight w:val="none"/>
        </w:rPr>
        <w:t>（4）</w:t>
      </w:r>
      <w:r>
        <w:rPr>
          <w:rFonts w:hint="eastAsia" w:ascii="宋体" w:hAnsi="宋体" w:cs="宋体"/>
          <w:sz w:val="24"/>
          <w:highlight w:val="none"/>
        </w:rPr>
        <w:t>监狱企业</w:t>
      </w:r>
    </w:p>
    <w:p w14:paraId="321E5AA4">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p>
    <w:p w14:paraId="012D285D">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14、采购文件的质疑、澄清</w:t>
      </w:r>
    </w:p>
    <w:p w14:paraId="5E9EC21B">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p>
    <w:p w14:paraId="53652E2E">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.2本次采购文件要求供应商在法定质疑期内一次性提出针对同一采购程序环节的质疑。</w:t>
      </w:r>
    </w:p>
    <w:p w14:paraId="5115D657">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.3采购人、采购代理机构收到质疑供应商在法定质疑期内发出的质疑函，应当在收到质疑函后7个工作日内作出答复，并以书面形式通知质疑供应商和其他有关供应商。</w:t>
      </w:r>
    </w:p>
    <w:p w14:paraId="434AF6D3">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.4供应商提出质疑应当提交质疑函和必要的证明材料。质疑函应当包括下列内容：</w:t>
      </w:r>
    </w:p>
    <w:p w14:paraId="121C274A">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.4.1供应商的姓名或者名称、地址、邮编、联系人及联系电话；</w:t>
      </w:r>
    </w:p>
    <w:p w14:paraId="174A4402">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.4.2质疑项目的名称、编号；</w:t>
      </w:r>
    </w:p>
    <w:p w14:paraId="4BBB64D7">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.4.3具体、明确的质疑事项和与质疑事项相关的请求；</w:t>
      </w:r>
    </w:p>
    <w:p w14:paraId="00D00EA6">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.4.4事实依据；</w:t>
      </w:r>
    </w:p>
    <w:p w14:paraId="73700537">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.4.5必要的法律依据；</w:t>
      </w:r>
    </w:p>
    <w:p w14:paraId="7E141865">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.4.6提出质疑的日期。</w:t>
      </w:r>
    </w:p>
    <w:p w14:paraId="42B36AB3">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1D17B604">
      <w:pPr>
        <w:tabs>
          <w:tab w:val="left" w:pos="54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w:t>
      </w:r>
      <w:r>
        <w:rPr>
          <w:rFonts w:asciiTheme="minorEastAsia" w:hAnsiTheme="minorEastAsia" w:eastAsiaTheme="minorEastAsia"/>
          <w:sz w:val="24"/>
          <w:szCs w:val="24"/>
          <w:highlight w:val="none"/>
        </w:rPr>
        <w:t>.4.7质疑联系方式详见采购公告。</w:t>
      </w:r>
    </w:p>
    <w:p w14:paraId="62CFE696">
      <w:pPr>
        <w:spacing w:line="360" w:lineRule="auto"/>
        <w:ind w:firstLine="241" w:firstLineChars="100"/>
        <w:jc w:val="lef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（五）磋商程序：</w:t>
      </w:r>
    </w:p>
    <w:p w14:paraId="24F9B672">
      <w:pPr>
        <w:spacing w:line="360" w:lineRule="auto"/>
        <w:ind w:firstLine="480" w:firstLineChars="200"/>
        <w:jc w:val="left"/>
        <w:rPr>
          <w:rFonts w:ascii="宋体" w:hAnsi="宋体" w:cs="宋体"/>
          <w:kern w:val="2"/>
          <w:sz w:val="24"/>
          <w:szCs w:val="24"/>
          <w:highlight w:val="none"/>
        </w:rPr>
      </w:pPr>
      <w:r>
        <w:rPr>
          <w:rFonts w:hint="eastAsia" w:ascii="宋体" w:hAnsi="宋体" w:cs="宋体"/>
          <w:kern w:val="2"/>
          <w:sz w:val="24"/>
          <w:szCs w:val="24"/>
          <w:highlight w:val="none"/>
        </w:rPr>
        <w:t>1、磋商活动由采购代理机构在线主持，邀请供应商在线参加。供应商应当按照《苏采云系统供应商操作手册》规定，</w:t>
      </w:r>
      <w:r>
        <w:rPr>
          <w:rFonts w:hint="eastAsia" w:ascii="宋体" w:hAnsi="宋体" w:cs="宋体"/>
          <w:b/>
          <w:bCs/>
          <w:kern w:val="2"/>
          <w:sz w:val="24"/>
          <w:szCs w:val="24"/>
          <w:highlight w:val="none"/>
        </w:rPr>
        <w:t>参加磋商活动和在“苏采云”系统规定的时间内对响应文件进行解密。</w:t>
      </w:r>
      <w:r>
        <w:rPr>
          <w:rFonts w:hint="eastAsia" w:ascii="宋体" w:hAnsi="宋体" w:cs="宋体"/>
          <w:kern w:val="2"/>
          <w:sz w:val="24"/>
          <w:szCs w:val="24"/>
          <w:highlight w:val="none"/>
        </w:rPr>
        <w:t>评审小组不得参加磋商采购活动。</w:t>
      </w:r>
    </w:p>
    <w:p w14:paraId="6069909D">
      <w:pPr>
        <w:spacing w:line="360" w:lineRule="auto"/>
        <w:ind w:firstLine="480" w:firstLineChars="200"/>
        <w:jc w:val="left"/>
        <w:rPr>
          <w:rFonts w:ascii="宋体" w:hAnsi="宋体" w:cs="宋体"/>
          <w:kern w:val="2"/>
          <w:sz w:val="24"/>
          <w:szCs w:val="24"/>
          <w:highlight w:val="none"/>
        </w:rPr>
      </w:pPr>
      <w:r>
        <w:rPr>
          <w:rFonts w:hint="eastAsia" w:ascii="宋体" w:hAnsi="宋体" w:cs="宋体"/>
          <w:kern w:val="2"/>
          <w:sz w:val="24"/>
          <w:szCs w:val="24"/>
          <w:highlight w:val="none"/>
        </w:rPr>
        <w:t>2、由磋商小组审查供应商解密的响应文件，此磋商响应文件的报价为第一次报价。</w:t>
      </w:r>
    </w:p>
    <w:p w14:paraId="16F9F6B2">
      <w:pPr>
        <w:overflowPunct w:val="0"/>
        <w:adjustRightInd w:val="0"/>
        <w:snapToGrid w:val="0"/>
        <w:spacing w:line="360" w:lineRule="auto"/>
        <w:ind w:firstLine="480" w:firstLineChars="200"/>
        <w:jc w:val="left"/>
        <w:textAlignment w:val="baseline"/>
        <w:rPr>
          <w:rFonts w:ascii="宋体" w:hAnsi="宋体" w:cs="宋体"/>
          <w:kern w:val="2"/>
          <w:sz w:val="24"/>
          <w:szCs w:val="24"/>
          <w:highlight w:val="none"/>
        </w:rPr>
      </w:pPr>
      <w:r>
        <w:rPr>
          <w:rFonts w:hint="eastAsia" w:ascii="宋体" w:hAnsi="宋体" w:cs="宋体"/>
          <w:kern w:val="2"/>
          <w:sz w:val="24"/>
          <w:szCs w:val="24"/>
          <w:highlight w:val="none"/>
        </w:rPr>
        <w:t>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E9AEAC6">
      <w:pPr>
        <w:overflowPunct w:val="0"/>
        <w:adjustRightInd w:val="0"/>
        <w:snapToGrid w:val="0"/>
        <w:spacing w:line="360" w:lineRule="auto"/>
        <w:ind w:firstLine="480" w:firstLineChars="200"/>
        <w:jc w:val="left"/>
        <w:textAlignment w:val="baseline"/>
        <w:rPr>
          <w:rFonts w:ascii="宋体" w:hAnsi="宋体" w:cs="宋体"/>
          <w:kern w:val="2"/>
          <w:sz w:val="24"/>
          <w:szCs w:val="24"/>
          <w:highlight w:val="none"/>
        </w:rPr>
      </w:pPr>
      <w:r>
        <w:rPr>
          <w:rFonts w:hint="eastAsia" w:ascii="宋体" w:hAnsi="宋体" w:cs="宋体"/>
          <w:kern w:val="2"/>
          <w:sz w:val="24"/>
          <w:szCs w:val="24"/>
          <w:highlight w:val="none"/>
        </w:rPr>
        <w:t>4、磋商小组要求供应商澄清、说明或者更正响应文件应当以书面形式做出。供应商的澄清、说明或者更正应当由其单位加盖电子公章。</w:t>
      </w:r>
    </w:p>
    <w:p w14:paraId="6CE59333">
      <w:pPr>
        <w:spacing w:line="360" w:lineRule="auto"/>
        <w:ind w:firstLine="482" w:firstLineChars="200"/>
        <w:rPr>
          <w:rFonts w:ascii="宋体" w:hAnsi="宋体" w:cs="宋体"/>
          <w:sz w:val="24"/>
          <w:szCs w:val="24"/>
          <w:highlight w:val="none"/>
        </w:rPr>
      </w:pPr>
      <w:r>
        <w:rPr>
          <w:rFonts w:hint="eastAsia" w:ascii="宋体" w:hAnsi="宋体" w:cs="宋体"/>
          <w:b/>
          <w:sz w:val="24"/>
          <w:szCs w:val="24"/>
          <w:highlight w:val="none"/>
        </w:rPr>
        <w:t>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highlight w:val="none"/>
          <w:lang w:val="zh-CN"/>
        </w:rPr>
        <w:t>具体操作方式见《操作手册》。</w:t>
      </w:r>
      <w:r>
        <w:rPr>
          <w:rFonts w:hint="eastAsia" w:ascii="宋体" w:hAnsi="宋体" w:cs="宋体"/>
          <w:b/>
          <w:sz w:val="24"/>
          <w:szCs w:val="24"/>
          <w:highlight w:val="none"/>
          <w:lang w:val="zh-CN"/>
        </w:rPr>
        <w:t>未加盖CA电子公章的澄清无效。</w:t>
      </w:r>
    </w:p>
    <w:p w14:paraId="18538AEE">
      <w:pPr>
        <w:adjustRightInd w:val="0"/>
        <w:snapToGrid w:val="0"/>
        <w:spacing w:line="360" w:lineRule="auto"/>
        <w:rPr>
          <w:rFonts w:ascii="宋体" w:hAnsi="宋体" w:cs="宋体"/>
          <w:b/>
          <w:kern w:val="2"/>
          <w:sz w:val="24"/>
          <w:szCs w:val="24"/>
          <w:highlight w:val="none"/>
          <w:lang w:val="zh-CN"/>
        </w:rPr>
      </w:pPr>
      <w:r>
        <w:rPr>
          <w:rFonts w:hint="eastAsia" w:ascii="宋体" w:hAnsi="宋体" w:cs="宋体"/>
          <w:kern w:val="2"/>
          <w:sz w:val="24"/>
          <w:szCs w:val="24"/>
          <w:highlight w:val="none"/>
          <w:lang w:val="zh-CN"/>
        </w:rPr>
        <w:t xml:space="preserve"> (</w:t>
      </w:r>
      <w:r>
        <w:rPr>
          <w:rFonts w:hint="eastAsia" w:ascii="宋体" w:hAnsi="宋体" w:cs="宋体"/>
          <w:b/>
          <w:kern w:val="2"/>
          <w:sz w:val="24"/>
          <w:szCs w:val="24"/>
          <w:highlight w:val="none"/>
          <w:lang w:val="zh-CN"/>
        </w:rPr>
        <w:t>此处规定时间的计算以系统中的倒计时间为准，供应商应随时保持系统在线，如因供应商自身原因未在规定时间内提交澄清确认资料的，导致的不利后果由供应商自行承担。）</w:t>
      </w:r>
    </w:p>
    <w:p w14:paraId="2BC8B9A2">
      <w:pPr>
        <w:spacing w:line="360" w:lineRule="auto"/>
        <w:ind w:firstLine="480" w:firstLineChars="200"/>
        <w:jc w:val="left"/>
        <w:rPr>
          <w:rFonts w:ascii="宋体" w:hAnsi="宋体" w:cs="宋体"/>
          <w:kern w:val="2"/>
          <w:sz w:val="24"/>
          <w:szCs w:val="24"/>
          <w:highlight w:val="none"/>
        </w:rPr>
      </w:pPr>
      <w:r>
        <w:rPr>
          <w:rFonts w:hint="eastAsia" w:ascii="宋体" w:hAnsi="宋体" w:cs="宋体"/>
          <w:kern w:val="2"/>
          <w:sz w:val="24"/>
          <w:szCs w:val="24"/>
          <w:highlight w:val="none"/>
        </w:rPr>
        <w:t>6、本项目采用线上磋商：磋商小组通过“苏采云”系统向供应商发布“磋商函”，供应商可通过查看【磋商响应】菜单中的待办信息，应当按照要求在“苏采云”系统提交“磋商响应函”并加盖CA电子公章，具体操作方式见《操作手册》。</w:t>
      </w:r>
    </w:p>
    <w:p w14:paraId="04A0B15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p>
    <w:p w14:paraId="342F0CA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8、供应商应当按照磋商文件的变动情况和磋商小组的要求在“苏采云”系统中重新提交响应文件，并加盖CA电子公章。重新提交的响应文件按磋商文件进行评审。</w:t>
      </w:r>
      <w:r>
        <w:rPr>
          <w:rFonts w:hint="eastAsia" w:ascii="宋体" w:hAnsi="宋体" w:cs="宋体"/>
          <w:b/>
          <w:bCs/>
          <w:sz w:val="24"/>
          <w:szCs w:val="24"/>
          <w:highlight w:val="none"/>
          <w:lang w:val="zh-CN"/>
        </w:rPr>
        <w:t>未按要求重新提交响应文件的按响应无效处理。</w:t>
      </w:r>
    </w:p>
    <w:p w14:paraId="0DDF9BA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9、最后报价</w:t>
      </w:r>
    </w:p>
    <w:p w14:paraId="30FCE788">
      <w:pPr>
        <w:numPr>
          <w:ilvl w:val="2"/>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9.1、磋商结束后，磋商小组应当要求所有继续参加磋商的供应商在规定时间内提交最后报价（</w:t>
      </w:r>
      <w:r>
        <w:rPr>
          <w:rFonts w:hint="eastAsia" w:ascii="宋体" w:hAnsi="宋体" w:cs="宋体"/>
          <w:b/>
          <w:sz w:val="24"/>
          <w:szCs w:val="24"/>
          <w:highlight w:val="none"/>
        </w:rPr>
        <w:t>除因磋商文件修改导致成本增加，二次报价不得超过第一次报价，否则为无效响应报价</w:t>
      </w:r>
      <w:r>
        <w:rPr>
          <w:rFonts w:hint="eastAsia" w:ascii="宋体" w:hAnsi="宋体" w:cs="宋体"/>
          <w:sz w:val="24"/>
          <w:szCs w:val="24"/>
          <w:highlight w:val="none"/>
        </w:rPr>
        <w:t>），最后报价作为评审价格（各磋商供应商可提供最后报价总价或最后报价总价的明细报价；若未提供明细报价的则合同单价按最终报价与第一次报价总价的下浮比例同比例下浮）。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cs="宋体"/>
          <w:sz w:val="24"/>
          <w:szCs w:val="24"/>
          <w:highlight w:val="none"/>
          <w:lang w:val="zh-CN"/>
        </w:rPr>
        <w:t>最后报价是供应商响应文件的有效组成部分。</w:t>
      </w:r>
    </w:p>
    <w:p w14:paraId="03C85542">
      <w:pPr>
        <w:numPr>
          <w:ilvl w:val="2"/>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9.2、</w:t>
      </w:r>
      <w:r>
        <w:rPr>
          <w:rFonts w:hint="eastAsia" w:ascii="宋体" w:hAnsi="宋体" w:cs="宋体"/>
          <w:b/>
          <w:bCs/>
          <w:sz w:val="24"/>
          <w:szCs w:val="24"/>
          <w:highlight w:val="none"/>
        </w:rPr>
        <w:t>本项目采用线上最后报价：</w:t>
      </w:r>
      <w:r>
        <w:rPr>
          <w:rFonts w:hint="eastAsia" w:ascii="宋体" w:hAnsi="宋体" w:cs="宋体"/>
          <w:bCs/>
          <w:sz w:val="24"/>
          <w:szCs w:val="24"/>
          <w:highlight w:val="none"/>
        </w:rPr>
        <w:t>磋商小组将在</w:t>
      </w:r>
      <w:r>
        <w:rPr>
          <w:rFonts w:hint="eastAsia" w:ascii="宋体" w:hAnsi="宋体" w:cs="宋体"/>
          <w:sz w:val="24"/>
          <w:szCs w:val="24"/>
          <w:highlight w:val="none"/>
        </w:rPr>
        <w:t>“苏采云”</w:t>
      </w:r>
      <w:r>
        <w:rPr>
          <w:rFonts w:hint="eastAsia" w:ascii="宋体" w:hAnsi="宋体" w:cs="宋体"/>
          <w:bCs/>
          <w:sz w:val="24"/>
          <w:szCs w:val="24"/>
          <w:highlight w:val="none"/>
        </w:rPr>
        <w:t>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4"/>
          <w:szCs w:val="24"/>
          <w:highlight w:val="none"/>
        </w:rPr>
        <w:t>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bCs/>
          <w:sz w:val="24"/>
          <w:szCs w:val="24"/>
          <w:highlight w:val="none"/>
        </w:rPr>
        <w:t>在提交最后报价之前，可以根据磋商情况退出磋商，并在“苏采云”系统中提交“退出磋商函”并加盖CA电子公章。</w:t>
      </w:r>
    </w:p>
    <w:p w14:paraId="23FD87E2">
      <w:pPr>
        <w:numPr>
          <w:ilvl w:val="2"/>
          <w:numId w:val="0"/>
        </w:num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9.3、</w:t>
      </w:r>
      <w:r>
        <w:rPr>
          <w:rFonts w:hint="eastAsia" w:ascii="宋体" w:hAnsi="宋体" w:cs="宋体"/>
          <w:bCs/>
          <w:sz w:val="24"/>
          <w:szCs w:val="24"/>
          <w:highlight w:val="none"/>
        </w:rPr>
        <w:t>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p>
    <w:p w14:paraId="1DAB3D3B">
      <w:pPr>
        <w:tabs>
          <w:tab w:val="left" w:pos="420"/>
        </w:tabs>
        <w:spacing w:line="360" w:lineRule="auto"/>
        <w:ind w:firstLine="480" w:firstLineChars="200"/>
        <w:jc w:val="left"/>
        <w:rPr>
          <w:rFonts w:ascii="宋体" w:hAnsi="宋体" w:cs="宋体"/>
          <w:sz w:val="24"/>
          <w:highlight w:val="none"/>
        </w:rPr>
      </w:pPr>
      <w:r>
        <w:rPr>
          <w:rFonts w:hint="eastAsia" w:ascii="宋体" w:hAnsi="宋体" w:cs="宋体"/>
          <w:sz w:val="24"/>
          <w:szCs w:val="24"/>
          <w:highlight w:val="none"/>
        </w:rPr>
        <w:t>9.4、</w:t>
      </w:r>
      <w:r>
        <w:rPr>
          <w:rFonts w:hint="eastAsia" w:ascii="宋体" w:hAnsi="宋体" w:cs="宋体"/>
          <w:sz w:val="24"/>
          <w:highlight w:val="none"/>
        </w:rPr>
        <w:t>采购评审中出现下列情形之一的，评审委员会应当启动异常低价投标（响应）审查程序：</w:t>
      </w:r>
    </w:p>
    <w:p w14:paraId="5049918E">
      <w:pPr>
        <w:tabs>
          <w:tab w:val="left" w:pos="420"/>
        </w:tabs>
        <w:spacing w:line="360" w:lineRule="auto"/>
        <w:ind w:firstLine="480" w:firstLineChars="200"/>
        <w:jc w:val="left"/>
        <w:rPr>
          <w:rFonts w:ascii="宋体" w:hAnsi="宋体" w:cs="宋体"/>
          <w:sz w:val="24"/>
          <w:highlight w:val="none"/>
        </w:rPr>
      </w:pPr>
      <w:r>
        <w:rPr>
          <w:rFonts w:hint="eastAsia" w:ascii="宋体" w:hAnsi="宋体" w:cs="宋体"/>
          <w:sz w:val="24"/>
          <w:szCs w:val="24"/>
          <w:highlight w:val="none"/>
        </w:rPr>
        <w:t>9.4</w:t>
      </w:r>
      <w:r>
        <w:rPr>
          <w:rFonts w:hint="eastAsia" w:ascii="宋体" w:hAnsi="宋体" w:cs="宋体"/>
          <w:sz w:val="24"/>
          <w:highlight w:val="none"/>
        </w:rPr>
        <w:t>.1.投标（响应）报价低于全部通过符合性审查供应商投标（响应）报价平均值50%的，即投标（响应）报价&lt;全部通过符合性审查供应商投标（响应）报价平均值×50%；</w:t>
      </w:r>
    </w:p>
    <w:p w14:paraId="26A7DAF4">
      <w:pPr>
        <w:tabs>
          <w:tab w:val="left" w:pos="420"/>
        </w:tabs>
        <w:spacing w:line="360" w:lineRule="auto"/>
        <w:ind w:firstLine="480" w:firstLineChars="200"/>
        <w:jc w:val="left"/>
        <w:rPr>
          <w:rFonts w:ascii="宋体" w:hAnsi="宋体" w:cs="宋体"/>
          <w:sz w:val="24"/>
          <w:highlight w:val="none"/>
        </w:rPr>
      </w:pPr>
      <w:r>
        <w:rPr>
          <w:rFonts w:hint="eastAsia" w:ascii="宋体" w:hAnsi="宋体" w:cs="宋体"/>
          <w:sz w:val="24"/>
          <w:szCs w:val="24"/>
          <w:highlight w:val="none"/>
        </w:rPr>
        <w:t>9.4</w:t>
      </w:r>
      <w:r>
        <w:rPr>
          <w:rFonts w:hint="eastAsia" w:ascii="宋体" w:hAnsi="宋体" w:cs="宋体"/>
          <w:sz w:val="24"/>
          <w:highlight w:val="none"/>
        </w:rPr>
        <w:t>.2.投标（响应）报价低于通过符合性审查的次低报价供应商投标（响应）报价50%的，即投标（响应）报价&lt;通过符合性审查的次低报价供应商投标（响应）报价×50%；</w:t>
      </w:r>
    </w:p>
    <w:p w14:paraId="64B680FB">
      <w:pPr>
        <w:tabs>
          <w:tab w:val="left" w:pos="420"/>
        </w:tabs>
        <w:spacing w:line="360" w:lineRule="auto"/>
        <w:ind w:firstLine="480" w:firstLineChars="200"/>
        <w:jc w:val="left"/>
        <w:rPr>
          <w:rFonts w:ascii="宋体" w:hAnsi="宋体" w:cs="宋体"/>
          <w:sz w:val="24"/>
          <w:highlight w:val="none"/>
        </w:rPr>
      </w:pPr>
      <w:r>
        <w:rPr>
          <w:rFonts w:hint="eastAsia" w:ascii="宋体" w:hAnsi="宋体" w:cs="宋体"/>
          <w:sz w:val="24"/>
          <w:szCs w:val="24"/>
          <w:highlight w:val="none"/>
        </w:rPr>
        <w:t>9.4</w:t>
      </w:r>
      <w:r>
        <w:rPr>
          <w:rFonts w:hint="eastAsia" w:ascii="宋体" w:hAnsi="宋体" w:cs="宋体"/>
          <w:sz w:val="24"/>
          <w:highlight w:val="none"/>
        </w:rPr>
        <w:t>.3.投标（响应）报价低于采购项目最高限价45%的，即投标（响应）报价&lt;采购项目最高限价×45%；</w:t>
      </w:r>
    </w:p>
    <w:p w14:paraId="7208356E">
      <w:pPr>
        <w:tabs>
          <w:tab w:val="left" w:pos="420"/>
        </w:tabs>
        <w:spacing w:line="360" w:lineRule="auto"/>
        <w:ind w:firstLine="480" w:firstLineChars="200"/>
        <w:jc w:val="left"/>
        <w:rPr>
          <w:rFonts w:ascii="宋体" w:hAnsi="宋体" w:cs="宋体"/>
          <w:sz w:val="24"/>
          <w:highlight w:val="none"/>
        </w:rPr>
      </w:pPr>
      <w:r>
        <w:rPr>
          <w:rFonts w:hint="eastAsia" w:ascii="宋体" w:hAnsi="宋体" w:cs="宋体"/>
          <w:sz w:val="24"/>
          <w:szCs w:val="24"/>
          <w:highlight w:val="none"/>
        </w:rPr>
        <w:t>9.4</w:t>
      </w:r>
      <w:r>
        <w:rPr>
          <w:rFonts w:hint="eastAsia" w:ascii="宋体" w:hAnsi="宋体" w:cs="宋体"/>
          <w:sz w:val="24"/>
          <w:highlight w:val="none"/>
        </w:rPr>
        <w:t>.4评审委员会基于专业判断，认为供应商报价过低，有可能影响产品质量或者不能诚信履约的其他情形。</w:t>
      </w:r>
    </w:p>
    <w:p w14:paraId="6E60565A">
      <w:pPr>
        <w:tabs>
          <w:tab w:val="left" w:pos="420"/>
        </w:tabs>
        <w:spacing w:line="360" w:lineRule="auto"/>
        <w:ind w:firstLine="480" w:firstLineChars="200"/>
        <w:jc w:val="left"/>
        <w:rPr>
          <w:rFonts w:ascii="宋体" w:hAnsi="宋体" w:cs="宋体"/>
          <w:sz w:val="24"/>
          <w:highlight w:val="none"/>
        </w:rPr>
      </w:pPr>
      <w:r>
        <w:rPr>
          <w:rFonts w:hint="eastAsia" w:ascii="宋体" w:hAnsi="宋体" w:cs="宋体"/>
          <w:sz w:val="24"/>
          <w:highlight w:val="none"/>
        </w:rPr>
        <w:t>评审委员会启动异常低价投标（响应）审查后，属于前述第9.4.</w:t>
      </w:r>
      <w:r>
        <w:rPr>
          <w:rFonts w:ascii="宋体" w:hAnsi="宋体" w:cs="宋体"/>
          <w:sz w:val="24"/>
          <w:highlight w:val="none"/>
        </w:rPr>
        <w:t>1项至第</w:t>
      </w:r>
      <w:r>
        <w:rPr>
          <w:rFonts w:hint="eastAsia" w:ascii="宋体" w:hAnsi="宋体" w:cs="宋体"/>
          <w:sz w:val="24"/>
          <w:highlight w:val="none"/>
        </w:rPr>
        <w:t>9.4.</w:t>
      </w:r>
      <w:r>
        <w:rPr>
          <w:rFonts w:ascii="宋体" w:hAnsi="宋体" w:cs="宋体"/>
          <w:sz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sz w:val="24"/>
          <w:highlight w:val="none"/>
        </w:rPr>
        <w:t>为</w:t>
      </w:r>
      <w:r>
        <w:rPr>
          <w:rFonts w:ascii="宋体" w:hAnsi="宋体" w:cs="宋体"/>
          <w:sz w:val="24"/>
          <w:highlight w:val="none"/>
        </w:rPr>
        <w:t>30分钟。其中，属于第</w:t>
      </w:r>
      <w:r>
        <w:rPr>
          <w:rFonts w:hint="eastAsia" w:ascii="宋体" w:hAnsi="宋体" w:cs="宋体"/>
          <w:sz w:val="24"/>
          <w:highlight w:val="none"/>
        </w:rPr>
        <w:t>9.4.</w:t>
      </w:r>
      <w:r>
        <w:rPr>
          <w:rFonts w:ascii="宋体" w:hAnsi="宋体" w:cs="宋体"/>
          <w:sz w:val="24"/>
          <w:highlight w:val="none"/>
        </w:rPr>
        <w:t>3项情形，供应商已随投标（响应）文件一并提交相关书面说明及必要的证明材料的，在评审现场可不再重复提交。</w:t>
      </w:r>
    </w:p>
    <w:p w14:paraId="2EAFBF24">
      <w:pPr>
        <w:tabs>
          <w:tab w:val="left" w:pos="420"/>
        </w:tabs>
        <w:spacing w:line="360" w:lineRule="auto"/>
        <w:ind w:firstLine="480" w:firstLineChars="200"/>
        <w:jc w:val="left"/>
        <w:rPr>
          <w:rFonts w:ascii="宋体" w:hAnsi="宋体" w:cs="宋体"/>
          <w:sz w:val="24"/>
          <w:szCs w:val="24"/>
          <w:highlight w:val="none"/>
        </w:rPr>
      </w:pPr>
      <w:r>
        <w:rPr>
          <w:rFonts w:ascii="宋体" w:hAnsi="宋体" w:cs="宋体"/>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D1C9AD8">
      <w:pPr>
        <w:spacing w:line="360" w:lineRule="auto"/>
        <w:ind w:firstLine="480" w:firstLineChars="200"/>
        <w:jc w:val="left"/>
        <w:rPr>
          <w:rFonts w:ascii="宋体" w:hAnsi="宋体" w:cs="宋体"/>
          <w:kern w:val="2"/>
          <w:sz w:val="24"/>
          <w:szCs w:val="24"/>
          <w:highlight w:val="none"/>
        </w:rPr>
      </w:pPr>
      <w:r>
        <w:rPr>
          <w:rFonts w:hint="eastAsia" w:ascii="宋体" w:hAnsi="宋体" w:cs="宋体"/>
          <w:kern w:val="2"/>
          <w:sz w:val="24"/>
          <w:szCs w:val="24"/>
          <w:highlight w:val="none"/>
        </w:rPr>
        <w:t>10、</w:t>
      </w:r>
      <w:r>
        <w:rPr>
          <w:rFonts w:hint="eastAsia" w:ascii="宋体" w:hAnsi="宋体" w:cs="宋体"/>
          <w:b/>
          <w:kern w:val="2"/>
          <w:sz w:val="24"/>
          <w:szCs w:val="24"/>
          <w:highlight w:val="none"/>
        </w:rPr>
        <w:t>响应报价（包括最后报价）超过采购预算者不成交</w:t>
      </w:r>
      <w:r>
        <w:rPr>
          <w:rFonts w:hint="eastAsia" w:ascii="宋体" w:hAnsi="宋体" w:cs="宋体"/>
          <w:kern w:val="2"/>
          <w:sz w:val="24"/>
          <w:szCs w:val="24"/>
          <w:highlight w:val="none"/>
        </w:rPr>
        <w:t>；</w:t>
      </w:r>
    </w:p>
    <w:p w14:paraId="25F55EBA">
      <w:pPr>
        <w:overflowPunct w:val="0"/>
        <w:adjustRightInd w:val="0"/>
        <w:snapToGrid w:val="0"/>
        <w:spacing w:line="360" w:lineRule="auto"/>
        <w:ind w:firstLine="480" w:firstLineChars="200"/>
        <w:jc w:val="left"/>
        <w:textAlignment w:val="baseline"/>
        <w:rPr>
          <w:rFonts w:ascii="宋体" w:hAnsi="宋体" w:cs="宋体"/>
          <w:kern w:val="2"/>
          <w:sz w:val="24"/>
          <w:szCs w:val="24"/>
          <w:highlight w:val="none"/>
        </w:rPr>
      </w:pPr>
      <w:r>
        <w:rPr>
          <w:rFonts w:hint="eastAsia" w:ascii="宋体" w:hAnsi="宋体" w:cs="宋体"/>
          <w:kern w:val="2"/>
          <w:sz w:val="24"/>
          <w:szCs w:val="24"/>
          <w:highlight w:val="none"/>
        </w:rPr>
        <w:t>11、经磋商确定最终采购需求和提交最后报价的供应商后，由磋商小组采用综合评分法对提交最后报价的供应商的响应文件和最后报价进行综合评分。</w:t>
      </w:r>
    </w:p>
    <w:p w14:paraId="185FF694">
      <w:pPr>
        <w:overflowPunct w:val="0"/>
        <w:adjustRightInd w:val="0"/>
        <w:snapToGrid w:val="0"/>
        <w:spacing w:line="360" w:lineRule="auto"/>
        <w:ind w:firstLine="480" w:firstLineChars="200"/>
        <w:jc w:val="left"/>
        <w:textAlignment w:val="baseline"/>
        <w:rPr>
          <w:rFonts w:ascii="宋体" w:hAnsi="宋体" w:cs="宋体"/>
          <w:kern w:val="2"/>
          <w:sz w:val="24"/>
          <w:szCs w:val="24"/>
          <w:highlight w:val="none"/>
        </w:rPr>
      </w:pPr>
      <w:r>
        <w:rPr>
          <w:rFonts w:hint="eastAsia" w:ascii="宋体" w:hAnsi="宋体" w:cs="宋体"/>
          <w:kern w:val="2"/>
          <w:sz w:val="24"/>
          <w:szCs w:val="24"/>
          <w:highlight w:val="none"/>
        </w:rPr>
        <w:t>12、磋商小组根据磋商成交原则确定成交供应商，并将结果通知所有参加磋商的供应商。</w:t>
      </w:r>
    </w:p>
    <w:p w14:paraId="541BD962">
      <w:pPr>
        <w:spacing w:line="360" w:lineRule="auto"/>
        <w:ind w:firstLine="480" w:firstLineChars="200"/>
        <w:jc w:val="left"/>
        <w:rPr>
          <w:rFonts w:ascii="宋体" w:hAnsi="宋体" w:cs="宋体"/>
          <w:kern w:val="2"/>
          <w:sz w:val="24"/>
          <w:szCs w:val="24"/>
          <w:highlight w:val="none"/>
        </w:rPr>
      </w:pPr>
      <w:r>
        <w:rPr>
          <w:rFonts w:hint="eastAsia" w:ascii="宋体" w:hAnsi="宋体" w:cs="宋体"/>
          <w:kern w:val="2"/>
          <w:sz w:val="24"/>
          <w:szCs w:val="24"/>
          <w:highlight w:val="none"/>
        </w:rPr>
        <w:t>13、如磋商过程中出现本采购文件未尽事宜，由磋商小组根据有关法律、法规讨论决定。</w:t>
      </w:r>
    </w:p>
    <w:p w14:paraId="3CB018F2">
      <w:pPr>
        <w:tabs>
          <w:tab w:val="left" w:pos="420"/>
        </w:tabs>
        <w:spacing w:line="360" w:lineRule="auto"/>
        <w:jc w:val="left"/>
        <w:rPr>
          <w:rFonts w:asciiTheme="minorEastAsia" w:hAnsiTheme="minorEastAsia" w:eastAsiaTheme="minorEastAsia"/>
          <w:sz w:val="24"/>
          <w:szCs w:val="24"/>
          <w:highlight w:val="none"/>
        </w:rPr>
      </w:pPr>
    </w:p>
    <w:p w14:paraId="3582E504">
      <w:pP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br w:type="page"/>
      </w:r>
    </w:p>
    <w:p w14:paraId="7175DC39">
      <w:pPr>
        <w:jc w:val="cente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三、磋商成交原则及评分标准</w:t>
      </w:r>
    </w:p>
    <w:p w14:paraId="44D59646">
      <w:pPr>
        <w:tabs>
          <w:tab w:val="left" w:pos="0"/>
        </w:tabs>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成交原则</w:t>
      </w:r>
    </w:p>
    <w:p w14:paraId="10F57043">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1、本次磋商采用综合评分法，即在</w:t>
      </w:r>
      <w:r>
        <w:rPr>
          <w:rFonts w:asciiTheme="minorEastAsia" w:hAnsiTheme="minorEastAsia" w:eastAsiaTheme="minorEastAsia"/>
          <w:sz w:val="24"/>
          <w:szCs w:val="24"/>
          <w:highlight w:val="none"/>
        </w:rPr>
        <w:t>响应文件满足</w:t>
      </w:r>
      <w:r>
        <w:rPr>
          <w:rFonts w:hint="eastAsia" w:asciiTheme="minorEastAsia" w:hAnsiTheme="minorEastAsia" w:eastAsiaTheme="minorEastAsia"/>
          <w:sz w:val="24"/>
          <w:szCs w:val="24"/>
          <w:highlight w:val="none"/>
        </w:rPr>
        <w:t>采购</w:t>
      </w:r>
      <w:r>
        <w:rPr>
          <w:rFonts w:asciiTheme="minorEastAsia" w:hAnsiTheme="minorEastAsia" w:eastAsiaTheme="minorEastAsia"/>
          <w:sz w:val="24"/>
          <w:szCs w:val="24"/>
          <w:highlight w:val="none"/>
        </w:rPr>
        <w:t>文件全部实质性要求且按评审因素的量化指标评审得分最高的供应商为</w:t>
      </w:r>
      <w:r>
        <w:rPr>
          <w:rFonts w:hint="eastAsia" w:asciiTheme="minorEastAsia" w:hAnsiTheme="minorEastAsia" w:eastAsiaTheme="minorEastAsia"/>
          <w:sz w:val="24"/>
          <w:szCs w:val="24"/>
          <w:highlight w:val="none"/>
        </w:rPr>
        <w:t>成交候选人。采购人书面授权磋商小组直接确定成交单位</w:t>
      </w:r>
      <w:r>
        <w:rPr>
          <w:rFonts w:asciiTheme="minorEastAsia" w:hAnsiTheme="minorEastAsia" w:eastAsiaTheme="minorEastAsia"/>
          <w:sz w:val="24"/>
          <w:szCs w:val="24"/>
          <w:highlight w:val="none"/>
        </w:rPr>
        <w:t>。</w:t>
      </w:r>
    </w:p>
    <w:p w14:paraId="70B5A1CE">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2、评审小组各成员独立对每个进入打分程序的有效磋商供应商的响应文件技术和资质部分以打分的形式进行评审和评价。 </w:t>
      </w:r>
    </w:p>
    <w:p w14:paraId="3A42F728">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3、对评委的评分（除价格分外）进行统计汇总，直接算术平均计算出每个磋商供应商的得分，加上价格得分即为每个磋商供应商的综合得分。 </w:t>
      </w:r>
    </w:p>
    <w:p w14:paraId="325A68BB">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4、如出现评审总得分最高的磋商供应商有两个或两个以上的，以磋商报价较低者优先作为成交候选人，如果磋商报价也相同的，则由采购人组织以抽签方式确定成交候选人。</w:t>
      </w:r>
    </w:p>
    <w:p w14:paraId="2CA4869B">
      <w:pPr>
        <w:tabs>
          <w:tab w:val="left" w:pos="0"/>
        </w:tabs>
        <w:spacing w:line="360" w:lineRule="auto"/>
        <w:ind w:firstLine="480" w:firstLineChars="200"/>
        <w:jc w:val="lef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评分标准</w:t>
      </w:r>
    </w:p>
    <w:p w14:paraId="25869F27">
      <w:pPr>
        <w:spacing w:line="360" w:lineRule="auto"/>
        <w:ind w:firstLine="482" w:firstLineChars="2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（一）</w:t>
      </w:r>
      <w:r>
        <w:rPr>
          <w:rFonts w:hint="eastAsia" w:asciiTheme="minorEastAsia" w:hAnsiTheme="minorEastAsia" w:eastAsiaTheme="minorEastAsia" w:cstheme="minorEastAsia"/>
          <w:b/>
          <w:sz w:val="24"/>
          <w:szCs w:val="24"/>
          <w:highlight w:val="none"/>
        </w:rPr>
        <w:t>价格分：10分</w:t>
      </w:r>
    </w:p>
    <w:p w14:paraId="6B9CBDBA">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第一步：磋商报价低于或等于财政预算价格的，为有效磋商报价。超财政预算的磋商报价为无效磋商报价。无效磋商报价的磋商响应文件不进行评审，也不得成交。</w:t>
      </w:r>
    </w:p>
    <w:p w14:paraId="785300C1">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第二步：在所有有效磋商报价中满足采购文件要求，且磋商价格最低的磋商报价为评标基准价，其价格分为10分，其他磋商供应商的价格分按照下列公式计算（计算结果四舍五入保留两位小数）</w:t>
      </w:r>
    </w:p>
    <w:p w14:paraId="06D8FD6C">
      <w:pPr>
        <w:spacing w:line="360" w:lineRule="auto"/>
        <w:ind w:firstLine="480" w:firstLineChars="2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磋商报价得分＝（评标基准价/磋商报价）×10%×100</w:t>
      </w:r>
    </w:p>
    <w:p w14:paraId="49A464C2">
      <w:pPr>
        <w:spacing w:line="356" w:lineRule="auto"/>
        <w:rPr>
          <w:rFonts w:ascii="宋体" w:hAnsi="宋体" w:cs="宋体"/>
          <w:highlight w:val="none"/>
        </w:rPr>
      </w:pPr>
      <w:r>
        <w:rPr>
          <w:rFonts w:hint="eastAsia" w:ascii="宋体" w:hAnsi="宋体" w:cs="宋体"/>
          <w:b/>
          <w:sz w:val="24"/>
          <w:szCs w:val="24"/>
          <w:highlight w:val="none"/>
        </w:rPr>
        <w:t xml:space="preserve">二、服务方案比较 </w:t>
      </w:r>
      <w:r>
        <w:rPr>
          <w:rFonts w:hint="eastAsia" w:ascii="宋体" w:hAnsi="宋体" w:cs="宋体"/>
          <w:b/>
          <w:sz w:val="24"/>
          <w:szCs w:val="24"/>
          <w:highlight w:val="none"/>
          <w:lang w:val="en-US" w:eastAsia="zh-CN"/>
        </w:rPr>
        <w:t>68</w:t>
      </w:r>
      <w:r>
        <w:rPr>
          <w:rFonts w:hint="eastAsia" w:ascii="宋体" w:hAnsi="宋体" w:cs="宋体"/>
          <w:b/>
          <w:sz w:val="24"/>
          <w:szCs w:val="24"/>
          <w:highlight w:val="none"/>
        </w:rPr>
        <w:t>分</w:t>
      </w:r>
    </w:p>
    <w:p w14:paraId="363E1652">
      <w:pPr>
        <w:spacing w:line="360" w:lineRule="auto"/>
        <w:ind w:firstLine="482"/>
        <w:rPr>
          <w:rFonts w:ascii="宋体" w:hAnsi="宋体"/>
          <w:sz w:val="24"/>
          <w:szCs w:val="24"/>
          <w:highlight w:val="none"/>
        </w:rPr>
      </w:pPr>
      <w:r>
        <w:rPr>
          <w:rFonts w:ascii="宋体" w:hAnsi="宋体"/>
          <w:b/>
          <w:sz w:val="24"/>
          <w:szCs w:val="24"/>
          <w:highlight w:val="none"/>
        </w:rPr>
        <w:t>1</w:t>
      </w:r>
      <w:r>
        <w:rPr>
          <w:rFonts w:hint="eastAsia" w:ascii="宋体" w:hAnsi="宋体"/>
          <w:b/>
          <w:sz w:val="24"/>
          <w:szCs w:val="24"/>
          <w:highlight w:val="none"/>
        </w:rPr>
        <w:t xml:space="preserve">、项目整体理解情况比较 </w:t>
      </w:r>
      <w:r>
        <w:rPr>
          <w:rFonts w:ascii="宋体" w:hAnsi="宋体"/>
          <w:b/>
          <w:sz w:val="24"/>
          <w:szCs w:val="24"/>
          <w:highlight w:val="none"/>
        </w:rPr>
        <w:t xml:space="preserve"> 10</w:t>
      </w:r>
      <w:r>
        <w:rPr>
          <w:rFonts w:hint="eastAsia" w:ascii="宋体" w:hAnsi="宋体"/>
          <w:b/>
          <w:sz w:val="24"/>
          <w:szCs w:val="24"/>
          <w:highlight w:val="none"/>
        </w:rPr>
        <w:t>分</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评委根据响应单位针对本项目提供的基于项目背景、服务内容及实际情况对本项目需求的整体理解和分析进行综合比较打分。理解透彻、思路清晰、分析</w:t>
      </w:r>
      <w:r>
        <w:rPr>
          <w:rFonts w:hint="eastAsia" w:ascii="宋体" w:hAnsi="宋体" w:cs="宋体"/>
          <w:bCs/>
          <w:kern w:val="2"/>
          <w:sz w:val="24"/>
          <w:szCs w:val="24"/>
          <w:highlight w:val="none"/>
          <w:lang w:val="zh-CN"/>
        </w:rPr>
        <w:t>精准</w:t>
      </w:r>
      <w:r>
        <w:rPr>
          <w:rFonts w:hint="eastAsia" w:ascii="宋体" w:hAnsi="宋体"/>
          <w:sz w:val="24"/>
          <w:szCs w:val="24"/>
          <w:highlight w:val="none"/>
        </w:rPr>
        <w:t>全面、针对性强、符合项目实际得</w:t>
      </w:r>
      <w:r>
        <w:rPr>
          <w:rFonts w:ascii="宋体" w:hAnsi="宋体"/>
          <w:sz w:val="24"/>
          <w:szCs w:val="24"/>
          <w:highlight w:val="none"/>
        </w:rPr>
        <w:t>10</w:t>
      </w:r>
      <w:r>
        <w:rPr>
          <w:rFonts w:hint="eastAsia" w:ascii="宋体" w:hAnsi="宋体"/>
          <w:sz w:val="24"/>
          <w:szCs w:val="24"/>
          <w:highlight w:val="none"/>
        </w:rPr>
        <w:t>分；理解较透彻、思路较清晰、分析较准确全面、针对性较强、较符合项目实际得</w:t>
      </w:r>
      <w:r>
        <w:rPr>
          <w:rFonts w:ascii="宋体" w:hAnsi="宋体"/>
          <w:sz w:val="24"/>
          <w:szCs w:val="24"/>
          <w:highlight w:val="none"/>
        </w:rPr>
        <w:t>7</w:t>
      </w:r>
      <w:r>
        <w:rPr>
          <w:rFonts w:hint="eastAsia" w:ascii="宋体" w:hAnsi="宋体"/>
          <w:sz w:val="24"/>
          <w:szCs w:val="24"/>
          <w:highlight w:val="none"/>
        </w:rPr>
        <w:t>分；基本理解项目需求、思路基本清晰、分析基本准确全面、有针对性、基本符合项目实际的得</w:t>
      </w:r>
      <w:r>
        <w:rPr>
          <w:rFonts w:ascii="宋体" w:hAnsi="宋体"/>
          <w:sz w:val="24"/>
          <w:szCs w:val="24"/>
          <w:highlight w:val="none"/>
        </w:rPr>
        <w:t>4</w:t>
      </w:r>
      <w:r>
        <w:rPr>
          <w:rFonts w:hint="eastAsia" w:ascii="宋体" w:hAnsi="宋体"/>
          <w:sz w:val="24"/>
          <w:szCs w:val="24"/>
          <w:highlight w:val="none"/>
        </w:rPr>
        <w:t>分；对项目需求不理解、思路不清晰、分析不准确、简略、无针对性的得1分；未提供相应内容的不得分。</w:t>
      </w:r>
    </w:p>
    <w:p w14:paraId="0D4D249D">
      <w:pPr>
        <w:spacing w:line="360" w:lineRule="auto"/>
        <w:ind w:firstLine="482"/>
        <w:rPr>
          <w:rFonts w:ascii="宋体" w:hAnsi="宋体"/>
          <w:sz w:val="24"/>
          <w:szCs w:val="24"/>
          <w:highlight w:val="none"/>
        </w:rPr>
      </w:pPr>
      <w:r>
        <w:rPr>
          <w:rFonts w:ascii="宋体" w:hAnsi="宋体"/>
          <w:b/>
          <w:sz w:val="24"/>
          <w:szCs w:val="24"/>
          <w:highlight w:val="none"/>
        </w:rPr>
        <w:t>2</w:t>
      </w:r>
      <w:r>
        <w:rPr>
          <w:rFonts w:hint="eastAsia" w:ascii="宋体" w:hAnsi="宋体"/>
          <w:b/>
          <w:sz w:val="24"/>
          <w:szCs w:val="24"/>
          <w:highlight w:val="none"/>
        </w:rPr>
        <w:t xml:space="preserve">、重难点分析及应对措施比较 </w:t>
      </w:r>
      <w:r>
        <w:rPr>
          <w:rFonts w:ascii="宋体" w:hAnsi="宋体"/>
          <w:b/>
          <w:sz w:val="24"/>
          <w:szCs w:val="24"/>
          <w:highlight w:val="none"/>
        </w:rPr>
        <w:t xml:space="preserve"> </w:t>
      </w:r>
      <w:r>
        <w:rPr>
          <w:rFonts w:hint="eastAsia" w:ascii="宋体" w:hAnsi="宋体"/>
          <w:b/>
          <w:sz w:val="24"/>
          <w:szCs w:val="24"/>
          <w:highlight w:val="none"/>
        </w:rPr>
        <w:t>1</w:t>
      </w:r>
      <w:r>
        <w:rPr>
          <w:rFonts w:ascii="宋体" w:hAnsi="宋体"/>
          <w:b/>
          <w:sz w:val="24"/>
          <w:szCs w:val="24"/>
          <w:highlight w:val="none"/>
        </w:rPr>
        <w:t>0</w:t>
      </w:r>
      <w:r>
        <w:rPr>
          <w:rFonts w:hint="eastAsia" w:ascii="宋体" w:hAnsi="宋体"/>
          <w:b/>
          <w:sz w:val="24"/>
          <w:szCs w:val="24"/>
          <w:highlight w:val="none"/>
        </w:rPr>
        <w:t>分</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评委根据响应单位针对本项目提供的重难点分析及应对措施进行综合比较打分。重点难点分析全面精准、切实合理、措施有力、实施便捷的得</w:t>
      </w:r>
      <w:r>
        <w:rPr>
          <w:rFonts w:ascii="宋体" w:hAnsi="宋体"/>
          <w:sz w:val="24"/>
          <w:szCs w:val="24"/>
          <w:highlight w:val="none"/>
        </w:rPr>
        <w:t>10</w:t>
      </w:r>
      <w:r>
        <w:rPr>
          <w:rFonts w:hint="eastAsia" w:ascii="宋体" w:hAnsi="宋体"/>
          <w:sz w:val="24"/>
          <w:szCs w:val="24"/>
          <w:highlight w:val="none"/>
        </w:rPr>
        <w:t>分；重点难点分析较全面精准、较切实合理、措施较有力、实施较便捷的得</w:t>
      </w:r>
      <w:r>
        <w:rPr>
          <w:rFonts w:ascii="宋体" w:hAnsi="宋体"/>
          <w:sz w:val="24"/>
          <w:szCs w:val="24"/>
          <w:highlight w:val="none"/>
        </w:rPr>
        <w:t>7</w:t>
      </w:r>
      <w:r>
        <w:rPr>
          <w:rFonts w:hint="eastAsia" w:ascii="宋体" w:hAnsi="宋体"/>
          <w:sz w:val="24"/>
          <w:szCs w:val="24"/>
          <w:highlight w:val="none"/>
        </w:rPr>
        <w:t>分；重点难点分析基本全面、基本合理、应对措施简略、实施不够便捷的得</w:t>
      </w:r>
      <w:r>
        <w:rPr>
          <w:rFonts w:ascii="宋体" w:hAnsi="宋体"/>
          <w:sz w:val="24"/>
          <w:szCs w:val="24"/>
          <w:highlight w:val="none"/>
        </w:rPr>
        <w:t>4</w:t>
      </w:r>
      <w:r>
        <w:rPr>
          <w:rFonts w:hint="eastAsia" w:ascii="宋体" w:hAnsi="宋体"/>
          <w:sz w:val="24"/>
          <w:szCs w:val="24"/>
          <w:highlight w:val="none"/>
        </w:rPr>
        <w:t>分；重点难点分析不全面、不合理、应对措施粗略、实施不便捷的得1分；未提供相应内容的不得分。</w:t>
      </w:r>
    </w:p>
    <w:p w14:paraId="1AA7D99C">
      <w:pPr>
        <w:spacing w:line="360" w:lineRule="auto"/>
        <w:ind w:firstLine="482"/>
        <w:rPr>
          <w:rFonts w:ascii="宋体" w:hAnsi="宋体"/>
          <w:sz w:val="24"/>
          <w:szCs w:val="24"/>
          <w:highlight w:val="none"/>
        </w:rPr>
      </w:pPr>
      <w:r>
        <w:rPr>
          <w:rFonts w:ascii="宋体" w:hAnsi="宋体"/>
          <w:b/>
          <w:sz w:val="24"/>
          <w:szCs w:val="24"/>
          <w:highlight w:val="none"/>
        </w:rPr>
        <w:t>3</w:t>
      </w:r>
      <w:r>
        <w:rPr>
          <w:rFonts w:hint="eastAsia" w:ascii="宋体" w:hAnsi="宋体"/>
          <w:b/>
          <w:sz w:val="24"/>
          <w:szCs w:val="24"/>
          <w:highlight w:val="none"/>
        </w:rPr>
        <w:t xml:space="preserve">、网格化排查工作方案比较 </w:t>
      </w:r>
      <w:r>
        <w:rPr>
          <w:rFonts w:ascii="宋体" w:hAnsi="宋体"/>
          <w:b/>
          <w:sz w:val="24"/>
          <w:szCs w:val="24"/>
          <w:highlight w:val="none"/>
        </w:rPr>
        <w:t xml:space="preserve"> </w:t>
      </w:r>
      <w:r>
        <w:rPr>
          <w:rFonts w:hint="eastAsia" w:ascii="宋体" w:hAnsi="宋体"/>
          <w:b/>
          <w:sz w:val="24"/>
          <w:szCs w:val="24"/>
          <w:highlight w:val="none"/>
        </w:rPr>
        <w:t>10 分</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评委根据响应单位针对本项目提供的网格化排查工作方案（包括但不限于排查对象范围、工作技术路线、排查工作方法等）进行综合比较打分。方案全面、排查对象完整、技术路线合理、针对性强、与本项目需求贴合度高的得</w:t>
      </w:r>
      <w:r>
        <w:rPr>
          <w:rFonts w:ascii="宋体" w:hAnsi="宋体"/>
          <w:sz w:val="24"/>
          <w:szCs w:val="24"/>
          <w:highlight w:val="none"/>
        </w:rPr>
        <w:t>10</w:t>
      </w:r>
      <w:r>
        <w:rPr>
          <w:rFonts w:hint="eastAsia" w:ascii="宋体" w:hAnsi="宋体"/>
          <w:sz w:val="24"/>
          <w:szCs w:val="24"/>
          <w:highlight w:val="none"/>
        </w:rPr>
        <w:t>分；方案较全面、排查对象较完整、技术路线较合理、针对性较强、与本项目需求贴合度较高的得</w:t>
      </w:r>
      <w:r>
        <w:rPr>
          <w:rFonts w:ascii="宋体" w:hAnsi="宋体"/>
          <w:sz w:val="24"/>
          <w:szCs w:val="24"/>
          <w:highlight w:val="none"/>
        </w:rPr>
        <w:t>7</w:t>
      </w:r>
      <w:r>
        <w:rPr>
          <w:rFonts w:hint="eastAsia" w:ascii="宋体" w:hAnsi="宋体"/>
          <w:sz w:val="24"/>
          <w:szCs w:val="24"/>
          <w:highlight w:val="none"/>
        </w:rPr>
        <w:t>分；方案基本全面、排查对象基本完整、技术路线不够合理、针对性不够、基本与本项目需求贴合的得</w:t>
      </w:r>
      <w:r>
        <w:rPr>
          <w:rFonts w:ascii="宋体" w:hAnsi="宋体"/>
          <w:sz w:val="24"/>
          <w:szCs w:val="24"/>
          <w:highlight w:val="none"/>
        </w:rPr>
        <w:t>4</w:t>
      </w:r>
      <w:r>
        <w:rPr>
          <w:rFonts w:hint="eastAsia" w:ascii="宋体" w:hAnsi="宋体"/>
          <w:sz w:val="24"/>
          <w:szCs w:val="24"/>
          <w:highlight w:val="none"/>
        </w:rPr>
        <w:t>分；方案不全面、排查对象缺失、技术路线不合理、无针对性的得1分；未提供相应内容的不得分。</w:t>
      </w:r>
    </w:p>
    <w:p w14:paraId="339E9632">
      <w:pPr>
        <w:spacing w:line="360" w:lineRule="auto"/>
        <w:ind w:firstLine="482"/>
        <w:rPr>
          <w:rFonts w:ascii="宋体" w:hAnsi="宋体"/>
          <w:sz w:val="24"/>
          <w:szCs w:val="24"/>
          <w:highlight w:val="none"/>
        </w:rPr>
      </w:pPr>
      <w:r>
        <w:rPr>
          <w:rFonts w:hint="eastAsia" w:ascii="宋体" w:hAnsi="宋体"/>
          <w:b/>
          <w:sz w:val="24"/>
          <w:szCs w:val="24"/>
          <w:highlight w:val="none"/>
        </w:rPr>
        <w:t xml:space="preserve">4、进度安排及控制措施 </w:t>
      </w:r>
      <w:r>
        <w:rPr>
          <w:rFonts w:ascii="宋体" w:hAnsi="宋体"/>
          <w:b/>
          <w:sz w:val="24"/>
          <w:szCs w:val="24"/>
          <w:highlight w:val="none"/>
        </w:rPr>
        <w:t xml:space="preserve"> 10</w:t>
      </w:r>
      <w:r>
        <w:rPr>
          <w:rFonts w:hint="eastAsia" w:ascii="宋体" w:hAnsi="宋体"/>
          <w:b/>
          <w:sz w:val="24"/>
          <w:szCs w:val="24"/>
          <w:highlight w:val="none"/>
        </w:rPr>
        <w:t xml:space="preserve">分 </w:t>
      </w:r>
      <w:r>
        <w:rPr>
          <w:rFonts w:ascii="宋体" w:hAnsi="宋体"/>
          <w:b/>
          <w:sz w:val="24"/>
          <w:szCs w:val="24"/>
          <w:highlight w:val="none"/>
        </w:rPr>
        <w:t xml:space="preserve"> </w:t>
      </w:r>
      <w:r>
        <w:rPr>
          <w:rFonts w:hint="eastAsia" w:ascii="宋体" w:hAnsi="宋体"/>
          <w:sz w:val="24"/>
          <w:szCs w:val="24"/>
          <w:highlight w:val="none"/>
        </w:rPr>
        <w:t>评委根据响应单位针对本项目提供的进度安排及控制措施进行综合比较打分。进度安排及控制措施全面、透彻且详细，能建立专业化且有效的项目管理工作台账进行整体项目流程控制的得</w:t>
      </w:r>
      <w:r>
        <w:rPr>
          <w:rFonts w:ascii="宋体" w:hAnsi="宋体"/>
          <w:sz w:val="24"/>
          <w:szCs w:val="24"/>
          <w:highlight w:val="none"/>
        </w:rPr>
        <w:t>10</w:t>
      </w:r>
      <w:r>
        <w:rPr>
          <w:rFonts w:hint="eastAsia" w:ascii="宋体" w:hAnsi="宋体"/>
          <w:sz w:val="24"/>
          <w:szCs w:val="24"/>
          <w:highlight w:val="none"/>
        </w:rPr>
        <w:t>分；进度安排及控制措施较全面、较透彻、较详细，能建立专业化且有效的项目管理工作台账进行整体项目流程控制的得</w:t>
      </w:r>
      <w:r>
        <w:rPr>
          <w:rFonts w:ascii="宋体" w:hAnsi="宋体"/>
          <w:sz w:val="24"/>
          <w:szCs w:val="24"/>
          <w:highlight w:val="none"/>
        </w:rPr>
        <w:t>7</w:t>
      </w:r>
      <w:r>
        <w:rPr>
          <w:rFonts w:hint="eastAsia" w:ascii="宋体" w:hAnsi="宋体"/>
          <w:sz w:val="24"/>
          <w:szCs w:val="24"/>
          <w:highlight w:val="none"/>
        </w:rPr>
        <w:t>分；进度安排及控制措施基本全面、不够详细，仅能基本建立起项目管理工作台账进行整体项目流程控制的得</w:t>
      </w:r>
      <w:r>
        <w:rPr>
          <w:rFonts w:ascii="宋体" w:hAnsi="宋体"/>
          <w:sz w:val="24"/>
          <w:szCs w:val="24"/>
          <w:highlight w:val="none"/>
        </w:rPr>
        <w:t>4</w:t>
      </w:r>
      <w:r>
        <w:rPr>
          <w:rFonts w:hint="eastAsia" w:ascii="宋体" w:hAnsi="宋体"/>
          <w:sz w:val="24"/>
          <w:szCs w:val="24"/>
          <w:highlight w:val="none"/>
        </w:rPr>
        <w:t>分；进度安排及控制措施不全面、不详细，不能建立项目管理工作台账进行整体项目流程控制的得1分；未提供相应内容的不得分。</w:t>
      </w:r>
    </w:p>
    <w:p w14:paraId="34A46C80">
      <w:pPr>
        <w:spacing w:line="360" w:lineRule="auto"/>
        <w:ind w:firstLine="482"/>
        <w:rPr>
          <w:rFonts w:ascii="宋体" w:hAnsi="宋体"/>
          <w:b/>
          <w:sz w:val="24"/>
          <w:szCs w:val="24"/>
          <w:highlight w:val="none"/>
        </w:rPr>
      </w:pPr>
      <w:r>
        <w:rPr>
          <w:rFonts w:hint="eastAsia" w:ascii="宋体" w:hAnsi="宋体"/>
          <w:b/>
          <w:sz w:val="24"/>
          <w:szCs w:val="24"/>
          <w:highlight w:val="none"/>
        </w:rPr>
        <w:t xml:space="preserve">5、质量保证措施比较 </w:t>
      </w:r>
      <w:r>
        <w:rPr>
          <w:rFonts w:ascii="宋体" w:hAnsi="宋体"/>
          <w:b/>
          <w:sz w:val="24"/>
          <w:szCs w:val="24"/>
          <w:highlight w:val="none"/>
        </w:rPr>
        <w:t xml:space="preserve"> 10</w:t>
      </w:r>
      <w:r>
        <w:rPr>
          <w:rFonts w:hint="eastAsia" w:ascii="宋体" w:hAnsi="宋体"/>
          <w:b/>
          <w:sz w:val="24"/>
          <w:szCs w:val="24"/>
          <w:highlight w:val="none"/>
        </w:rPr>
        <w:t xml:space="preserve">分 </w:t>
      </w:r>
      <w:r>
        <w:rPr>
          <w:rFonts w:ascii="宋体" w:hAnsi="宋体"/>
          <w:b/>
          <w:sz w:val="24"/>
          <w:szCs w:val="24"/>
          <w:highlight w:val="none"/>
        </w:rPr>
        <w:t xml:space="preserve"> </w:t>
      </w:r>
      <w:r>
        <w:rPr>
          <w:rFonts w:hint="eastAsia" w:ascii="宋体" w:hAnsi="宋体"/>
          <w:sz w:val="24"/>
          <w:szCs w:val="24"/>
          <w:highlight w:val="none"/>
        </w:rPr>
        <w:t>评委根据响应单位针对本项目提供的质量保证措施进行综合比较打分。措施全面完整、实施便捷有力、完全符合本项目需求的得1</w:t>
      </w:r>
      <w:r>
        <w:rPr>
          <w:rFonts w:ascii="宋体" w:hAnsi="宋体"/>
          <w:sz w:val="24"/>
          <w:szCs w:val="24"/>
          <w:highlight w:val="none"/>
        </w:rPr>
        <w:t>0</w:t>
      </w:r>
      <w:r>
        <w:rPr>
          <w:rFonts w:hint="eastAsia" w:ascii="宋体" w:hAnsi="宋体"/>
          <w:sz w:val="24"/>
          <w:szCs w:val="24"/>
          <w:highlight w:val="none"/>
        </w:rPr>
        <w:t>分；措施较全面完整、实施较便捷有力、符合本项目需求的得</w:t>
      </w:r>
      <w:r>
        <w:rPr>
          <w:rFonts w:ascii="宋体" w:hAnsi="宋体"/>
          <w:sz w:val="24"/>
          <w:szCs w:val="24"/>
          <w:highlight w:val="none"/>
        </w:rPr>
        <w:t>7</w:t>
      </w:r>
      <w:r>
        <w:rPr>
          <w:rFonts w:hint="eastAsia" w:ascii="宋体" w:hAnsi="宋体"/>
          <w:sz w:val="24"/>
          <w:szCs w:val="24"/>
          <w:highlight w:val="none"/>
        </w:rPr>
        <w:t>分；措施基本全面完整性、基本可操作、基本符合本项目需求的得</w:t>
      </w:r>
      <w:r>
        <w:rPr>
          <w:rFonts w:ascii="宋体" w:hAnsi="宋体"/>
          <w:sz w:val="24"/>
          <w:szCs w:val="24"/>
          <w:highlight w:val="none"/>
        </w:rPr>
        <w:t>4</w:t>
      </w:r>
      <w:r>
        <w:rPr>
          <w:rFonts w:hint="eastAsia" w:ascii="宋体" w:hAnsi="宋体"/>
          <w:sz w:val="24"/>
          <w:szCs w:val="24"/>
          <w:highlight w:val="none"/>
        </w:rPr>
        <w:t>分；措施不全面不完整、不可操作的得1分；未提供相应内容的不得分。</w:t>
      </w:r>
    </w:p>
    <w:p w14:paraId="2C557350">
      <w:pPr>
        <w:spacing w:line="360" w:lineRule="auto"/>
        <w:ind w:firstLine="482"/>
        <w:rPr>
          <w:rFonts w:ascii="宋体" w:hAnsi="宋体"/>
          <w:sz w:val="24"/>
          <w:szCs w:val="24"/>
          <w:highlight w:val="none"/>
        </w:rPr>
      </w:pPr>
      <w:r>
        <w:rPr>
          <w:rFonts w:hint="eastAsia" w:ascii="宋体" w:hAnsi="宋体"/>
          <w:b/>
          <w:sz w:val="24"/>
          <w:szCs w:val="24"/>
          <w:highlight w:val="none"/>
        </w:rPr>
        <w:t xml:space="preserve">6、成果整理工作方案比较 </w:t>
      </w:r>
      <w:r>
        <w:rPr>
          <w:rFonts w:ascii="宋体" w:hAnsi="宋体"/>
          <w:b/>
          <w:sz w:val="24"/>
          <w:szCs w:val="24"/>
          <w:highlight w:val="none"/>
        </w:rPr>
        <w:t xml:space="preserve"> 10</w:t>
      </w:r>
      <w:r>
        <w:rPr>
          <w:rFonts w:hint="eastAsia" w:ascii="宋体" w:hAnsi="宋体"/>
          <w:b/>
          <w:sz w:val="24"/>
          <w:szCs w:val="24"/>
          <w:highlight w:val="none"/>
        </w:rPr>
        <w:t>分</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评委根据响应单位针对本项目提供的成果整理工作方案（包括但不限于项目成果内容、成果形式、成果编制方法等）进行综合比较打分。方案全面、合理、可操作性强、与本项目需求贴合度高的得</w:t>
      </w:r>
      <w:r>
        <w:rPr>
          <w:rFonts w:ascii="宋体" w:hAnsi="宋体"/>
          <w:sz w:val="24"/>
          <w:szCs w:val="24"/>
          <w:highlight w:val="none"/>
        </w:rPr>
        <w:t>10</w:t>
      </w:r>
      <w:r>
        <w:rPr>
          <w:rFonts w:hint="eastAsia" w:ascii="宋体" w:hAnsi="宋体"/>
          <w:sz w:val="24"/>
          <w:szCs w:val="24"/>
          <w:highlight w:val="none"/>
        </w:rPr>
        <w:t>分；方案较全面、较合理、可操作性较强、与本项目需求贴合度较高的得</w:t>
      </w:r>
      <w:r>
        <w:rPr>
          <w:rFonts w:ascii="宋体" w:hAnsi="宋体"/>
          <w:sz w:val="24"/>
          <w:szCs w:val="24"/>
          <w:highlight w:val="none"/>
        </w:rPr>
        <w:t>7</w:t>
      </w:r>
      <w:r>
        <w:rPr>
          <w:rFonts w:hint="eastAsia" w:ascii="宋体" w:hAnsi="宋体"/>
          <w:sz w:val="24"/>
          <w:szCs w:val="24"/>
          <w:highlight w:val="none"/>
        </w:rPr>
        <w:t>分；方案基本全面合理、基本可操作、能与本项目需求贴合的得</w:t>
      </w:r>
      <w:r>
        <w:rPr>
          <w:rFonts w:ascii="宋体" w:hAnsi="宋体"/>
          <w:sz w:val="24"/>
          <w:szCs w:val="24"/>
          <w:highlight w:val="none"/>
        </w:rPr>
        <w:t>4</w:t>
      </w:r>
      <w:r>
        <w:rPr>
          <w:rFonts w:hint="eastAsia" w:ascii="宋体" w:hAnsi="宋体"/>
          <w:sz w:val="24"/>
          <w:szCs w:val="24"/>
          <w:highlight w:val="none"/>
        </w:rPr>
        <w:t>分；方案不全面、不可操作、基本与本项目需求贴合的得1分；未提供相应内容的不得分。</w:t>
      </w:r>
    </w:p>
    <w:p w14:paraId="68DB934D">
      <w:pPr>
        <w:spacing w:line="360" w:lineRule="auto"/>
        <w:ind w:firstLine="482"/>
        <w:rPr>
          <w:rFonts w:ascii="宋体" w:hAnsi="宋体" w:cs="宋体"/>
          <w:bCs/>
          <w:sz w:val="24"/>
          <w:highlight w:val="none"/>
        </w:rPr>
      </w:pPr>
      <w:r>
        <w:rPr>
          <w:rFonts w:ascii="宋体" w:hAnsi="宋体"/>
          <w:b/>
          <w:sz w:val="24"/>
          <w:szCs w:val="24"/>
          <w:highlight w:val="none"/>
        </w:rPr>
        <w:t>7</w:t>
      </w:r>
      <w:r>
        <w:rPr>
          <w:rFonts w:hint="eastAsia" w:ascii="宋体" w:hAnsi="宋体"/>
          <w:b/>
          <w:sz w:val="24"/>
          <w:szCs w:val="24"/>
          <w:highlight w:val="none"/>
        </w:rPr>
        <w:t xml:space="preserve">、数据资料保密措施比较 </w:t>
      </w:r>
      <w:r>
        <w:rPr>
          <w:rFonts w:ascii="宋体" w:hAnsi="宋体"/>
          <w:b/>
          <w:sz w:val="24"/>
          <w:szCs w:val="24"/>
          <w:highlight w:val="none"/>
        </w:rPr>
        <w:t xml:space="preserve"> </w:t>
      </w:r>
      <w:r>
        <w:rPr>
          <w:rFonts w:hint="eastAsia" w:ascii="宋体" w:hAnsi="宋体"/>
          <w:b/>
          <w:sz w:val="24"/>
          <w:szCs w:val="24"/>
          <w:highlight w:val="none"/>
          <w:lang w:val="en-US" w:eastAsia="zh-CN"/>
        </w:rPr>
        <w:t>8</w:t>
      </w:r>
      <w:r>
        <w:rPr>
          <w:rFonts w:hint="eastAsia" w:ascii="宋体" w:hAnsi="宋体"/>
          <w:b/>
          <w:sz w:val="24"/>
          <w:szCs w:val="24"/>
          <w:highlight w:val="none"/>
        </w:rPr>
        <w:t xml:space="preserve">分 </w:t>
      </w:r>
      <w:r>
        <w:rPr>
          <w:rFonts w:ascii="宋体" w:hAnsi="宋体"/>
          <w:b/>
          <w:sz w:val="24"/>
          <w:szCs w:val="24"/>
          <w:highlight w:val="none"/>
        </w:rPr>
        <w:t xml:space="preserve"> </w:t>
      </w:r>
      <w:r>
        <w:rPr>
          <w:rFonts w:hint="eastAsia" w:ascii="宋体" w:hAnsi="宋体"/>
          <w:sz w:val="24"/>
          <w:szCs w:val="24"/>
          <w:highlight w:val="none"/>
        </w:rPr>
        <w:t>评委根据响应单位针对本项目提供的</w:t>
      </w:r>
      <w:r>
        <w:rPr>
          <w:rFonts w:hint="eastAsia" w:ascii="宋体" w:hAnsi="宋体" w:cs="宋体"/>
          <w:bCs/>
          <w:sz w:val="24"/>
          <w:highlight w:val="none"/>
        </w:rPr>
        <w:t>数据资料保密措施（包括但不限于有关本项目实施过程中产生的排查范围、排查对象、安全隐患部位照片等数据资料的保密措施、涉密资料管理办法等）进行综合比较打分。措施全面合理、专业性强、可操作性强的得</w:t>
      </w:r>
      <w:r>
        <w:rPr>
          <w:rFonts w:hint="eastAsia" w:ascii="宋体" w:hAnsi="宋体" w:cs="宋体"/>
          <w:bCs/>
          <w:sz w:val="24"/>
          <w:highlight w:val="none"/>
          <w:lang w:val="en-US" w:eastAsia="zh-CN"/>
        </w:rPr>
        <w:t>8</w:t>
      </w:r>
      <w:r>
        <w:rPr>
          <w:rFonts w:hint="eastAsia" w:ascii="宋体" w:hAnsi="宋体" w:cs="宋体"/>
          <w:bCs/>
          <w:sz w:val="24"/>
          <w:highlight w:val="none"/>
        </w:rPr>
        <w:t>分；措施较全面合理、专业性较强、可操作性较强的得</w:t>
      </w:r>
      <w:r>
        <w:rPr>
          <w:rFonts w:hint="eastAsia" w:ascii="宋体" w:hAnsi="宋体" w:cs="宋体"/>
          <w:bCs/>
          <w:sz w:val="24"/>
          <w:highlight w:val="none"/>
          <w:lang w:val="en-US" w:eastAsia="zh-CN"/>
        </w:rPr>
        <w:t>5</w:t>
      </w:r>
      <w:r>
        <w:rPr>
          <w:rFonts w:hint="eastAsia" w:ascii="宋体" w:hAnsi="宋体" w:cs="宋体"/>
          <w:bCs/>
          <w:sz w:val="24"/>
          <w:highlight w:val="none"/>
        </w:rPr>
        <w:t>分；措施基本全面合理、</w:t>
      </w:r>
      <w:r>
        <w:rPr>
          <w:rFonts w:hint="eastAsia" w:ascii="宋体" w:hAnsi="宋体"/>
          <w:sz w:val="24"/>
          <w:szCs w:val="24"/>
          <w:highlight w:val="none"/>
        </w:rPr>
        <w:t>基本可操作、</w:t>
      </w:r>
      <w:r>
        <w:rPr>
          <w:rFonts w:hint="eastAsia" w:ascii="宋体" w:hAnsi="宋体"/>
          <w:sz w:val="24"/>
          <w:szCs w:val="24"/>
          <w:highlight w:val="none"/>
          <w:lang w:val="en-US" w:eastAsia="zh-CN"/>
        </w:rPr>
        <w:t>专业的得3分；</w:t>
      </w:r>
      <w:r>
        <w:rPr>
          <w:rFonts w:hint="eastAsia" w:ascii="宋体" w:hAnsi="宋体" w:cs="宋体"/>
          <w:bCs/>
          <w:sz w:val="24"/>
          <w:highlight w:val="none"/>
        </w:rPr>
        <w:t>措施</w:t>
      </w:r>
      <w:r>
        <w:rPr>
          <w:rFonts w:hint="eastAsia" w:ascii="宋体" w:hAnsi="宋体" w:cs="宋体"/>
          <w:bCs/>
          <w:sz w:val="24"/>
          <w:highlight w:val="none"/>
          <w:lang w:val="en-US" w:eastAsia="zh-CN"/>
        </w:rPr>
        <w:t>不</w:t>
      </w:r>
      <w:r>
        <w:rPr>
          <w:rFonts w:hint="eastAsia" w:ascii="宋体" w:hAnsi="宋体" w:cs="宋体"/>
          <w:bCs/>
          <w:sz w:val="24"/>
          <w:highlight w:val="none"/>
        </w:rPr>
        <w:t>全面合理、</w:t>
      </w:r>
      <w:r>
        <w:rPr>
          <w:rFonts w:hint="eastAsia" w:ascii="宋体" w:hAnsi="宋体"/>
          <w:sz w:val="24"/>
          <w:szCs w:val="24"/>
          <w:highlight w:val="none"/>
          <w:lang w:val="en-US" w:eastAsia="zh-CN"/>
        </w:rPr>
        <w:t>不</w:t>
      </w:r>
      <w:r>
        <w:rPr>
          <w:rFonts w:hint="eastAsia" w:ascii="宋体" w:hAnsi="宋体"/>
          <w:sz w:val="24"/>
          <w:szCs w:val="24"/>
          <w:highlight w:val="none"/>
        </w:rPr>
        <w:t>可操作、</w:t>
      </w:r>
      <w:r>
        <w:rPr>
          <w:rFonts w:hint="eastAsia" w:ascii="宋体" w:hAnsi="宋体"/>
          <w:sz w:val="24"/>
          <w:szCs w:val="24"/>
          <w:highlight w:val="none"/>
          <w:lang w:val="en-US" w:eastAsia="zh-CN"/>
        </w:rPr>
        <w:t>不专业</w:t>
      </w:r>
      <w:r>
        <w:rPr>
          <w:rFonts w:hint="eastAsia" w:ascii="宋体" w:hAnsi="宋体" w:cs="宋体"/>
          <w:bCs/>
          <w:sz w:val="24"/>
          <w:highlight w:val="none"/>
        </w:rPr>
        <w:t>的得1分；</w:t>
      </w:r>
      <w:r>
        <w:rPr>
          <w:rFonts w:hint="eastAsia" w:ascii="宋体" w:hAnsi="宋体"/>
          <w:sz w:val="24"/>
          <w:szCs w:val="24"/>
          <w:highlight w:val="none"/>
        </w:rPr>
        <w:t>未提供相应内容的不得分。</w:t>
      </w:r>
    </w:p>
    <w:p w14:paraId="1BEFB263">
      <w:pPr>
        <w:spacing w:line="360" w:lineRule="auto"/>
        <w:rPr>
          <w:rFonts w:ascii="宋体" w:hAnsi="宋体"/>
          <w:b/>
          <w:sz w:val="24"/>
          <w:szCs w:val="24"/>
          <w:highlight w:val="none"/>
        </w:rPr>
      </w:pPr>
      <w:r>
        <w:rPr>
          <w:rFonts w:hint="eastAsia" w:ascii="宋体" w:hAnsi="宋体"/>
          <w:b/>
          <w:sz w:val="24"/>
          <w:szCs w:val="24"/>
          <w:highlight w:val="none"/>
        </w:rPr>
        <w:t>三、人员配备情况比较 1</w:t>
      </w:r>
      <w:r>
        <w:rPr>
          <w:rFonts w:hint="eastAsia" w:ascii="宋体" w:hAnsi="宋体"/>
          <w:b/>
          <w:sz w:val="24"/>
          <w:szCs w:val="24"/>
          <w:highlight w:val="none"/>
          <w:lang w:val="en-US" w:eastAsia="zh-CN"/>
        </w:rPr>
        <w:t>8</w:t>
      </w:r>
      <w:r>
        <w:rPr>
          <w:rFonts w:hint="eastAsia" w:ascii="宋体" w:hAnsi="宋体"/>
          <w:b/>
          <w:sz w:val="24"/>
          <w:szCs w:val="24"/>
          <w:highlight w:val="none"/>
        </w:rPr>
        <w:t>分</w:t>
      </w:r>
    </w:p>
    <w:p w14:paraId="6ACE068D">
      <w:pPr>
        <w:spacing w:line="360" w:lineRule="auto"/>
        <w:ind w:firstLine="482"/>
        <w:rPr>
          <w:highlight w:val="none"/>
        </w:rPr>
      </w:pPr>
      <w:r>
        <w:rPr>
          <w:rFonts w:ascii="宋体" w:hAnsi="宋体"/>
          <w:b/>
          <w:sz w:val="24"/>
          <w:szCs w:val="24"/>
          <w:highlight w:val="none"/>
        </w:rPr>
        <w:t>1</w:t>
      </w:r>
      <w:r>
        <w:rPr>
          <w:rFonts w:hint="eastAsia" w:ascii="宋体" w:hAnsi="宋体"/>
          <w:b/>
          <w:sz w:val="24"/>
          <w:szCs w:val="24"/>
          <w:highlight w:val="none"/>
        </w:rPr>
        <w:t xml:space="preserve">、项目负责人 </w:t>
      </w:r>
      <w:r>
        <w:rPr>
          <w:rFonts w:ascii="宋体" w:hAnsi="宋体"/>
          <w:b/>
          <w:sz w:val="24"/>
          <w:szCs w:val="24"/>
          <w:highlight w:val="none"/>
        </w:rPr>
        <w:t xml:space="preserve"> </w:t>
      </w:r>
      <w:r>
        <w:rPr>
          <w:rFonts w:hint="eastAsia" w:ascii="宋体" w:hAnsi="宋体"/>
          <w:b/>
          <w:sz w:val="24"/>
          <w:szCs w:val="24"/>
          <w:highlight w:val="none"/>
          <w:lang w:val="en-US" w:eastAsia="zh-CN"/>
        </w:rPr>
        <w:t>6</w:t>
      </w:r>
      <w:r>
        <w:rPr>
          <w:rFonts w:hint="eastAsia" w:ascii="宋体" w:hAnsi="宋体"/>
          <w:b/>
          <w:sz w:val="24"/>
          <w:szCs w:val="24"/>
          <w:highlight w:val="none"/>
        </w:rPr>
        <w:t>分</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响应单位拟投入本项目的项目负责人具有</w:t>
      </w:r>
      <w:r>
        <w:rPr>
          <w:rFonts w:hint="eastAsia" w:asciiTheme="minorEastAsia" w:hAnsiTheme="minorEastAsia" w:eastAsiaTheme="minorEastAsia"/>
          <w:sz w:val="24"/>
          <w:szCs w:val="24"/>
          <w:highlight w:val="none"/>
        </w:rPr>
        <w:t>一级注册结构工程师执业资格</w:t>
      </w:r>
      <w:r>
        <w:rPr>
          <w:rFonts w:hint="eastAsia" w:ascii="宋体" w:hAnsi="宋体"/>
          <w:sz w:val="24"/>
          <w:szCs w:val="24"/>
          <w:highlight w:val="none"/>
        </w:rPr>
        <w:t>的得</w:t>
      </w:r>
      <w:r>
        <w:rPr>
          <w:rFonts w:hint="eastAsia" w:ascii="宋体" w:hAnsi="宋体"/>
          <w:sz w:val="24"/>
          <w:szCs w:val="24"/>
          <w:highlight w:val="none"/>
          <w:lang w:val="en-US" w:eastAsia="zh-CN"/>
        </w:rPr>
        <w:t>3</w:t>
      </w:r>
      <w:r>
        <w:rPr>
          <w:rFonts w:hint="eastAsia" w:ascii="宋体" w:hAnsi="宋体"/>
          <w:sz w:val="24"/>
          <w:szCs w:val="24"/>
          <w:highlight w:val="none"/>
        </w:rPr>
        <w:t>分，</w:t>
      </w:r>
      <w:r>
        <w:rPr>
          <w:rFonts w:hint="eastAsia" w:asciiTheme="minorEastAsia" w:hAnsiTheme="minorEastAsia" w:eastAsiaTheme="minorEastAsia"/>
          <w:sz w:val="24"/>
          <w:szCs w:val="24"/>
          <w:highlight w:val="none"/>
        </w:rPr>
        <w:t>具有高级及以上</w:t>
      </w:r>
      <w:r>
        <w:rPr>
          <w:rFonts w:hint="eastAsia" w:asciiTheme="minorEastAsia" w:hAnsiTheme="minorEastAsia" w:eastAsiaTheme="minorEastAsia"/>
          <w:sz w:val="24"/>
          <w:szCs w:val="24"/>
          <w:highlight w:val="none"/>
          <w:lang w:val="en-US" w:eastAsia="zh-CN"/>
        </w:rPr>
        <w:t>工程师</w:t>
      </w:r>
      <w:r>
        <w:rPr>
          <w:rFonts w:hint="eastAsia" w:asciiTheme="minorEastAsia" w:hAnsiTheme="minorEastAsia" w:eastAsiaTheme="minorEastAsia"/>
          <w:sz w:val="24"/>
          <w:szCs w:val="24"/>
          <w:highlight w:val="none"/>
        </w:rPr>
        <w:t>职称的得</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分。</w:t>
      </w:r>
      <w:r>
        <w:rPr>
          <w:rFonts w:hint="eastAsia" w:ascii="宋体" w:hAnsi="宋体"/>
          <w:sz w:val="24"/>
          <w:szCs w:val="24"/>
          <w:highlight w:val="none"/>
        </w:rPr>
        <w:t>本项最高得</w:t>
      </w:r>
      <w:r>
        <w:rPr>
          <w:rFonts w:hint="eastAsia" w:ascii="宋体" w:hAnsi="宋体"/>
          <w:sz w:val="24"/>
          <w:szCs w:val="24"/>
          <w:highlight w:val="none"/>
          <w:lang w:val="en-US" w:eastAsia="zh-CN"/>
        </w:rPr>
        <w:t>6</w:t>
      </w:r>
      <w:r>
        <w:rPr>
          <w:rFonts w:hint="eastAsia" w:ascii="宋体" w:hAnsi="宋体"/>
          <w:sz w:val="24"/>
          <w:szCs w:val="24"/>
          <w:highlight w:val="none"/>
        </w:rPr>
        <w:t>分。</w:t>
      </w:r>
      <w:r>
        <w:rPr>
          <w:rFonts w:hint="eastAsia" w:ascii="宋体" w:hAnsi="宋体"/>
          <w:b/>
          <w:sz w:val="24"/>
          <w:szCs w:val="24"/>
          <w:highlight w:val="none"/>
          <w:lang w:val="en-US" w:eastAsia="zh-CN"/>
        </w:rPr>
        <w:t>（需</w:t>
      </w:r>
      <w:r>
        <w:rPr>
          <w:rFonts w:hint="eastAsia" w:ascii="宋体" w:hAnsi="宋体"/>
          <w:b/>
          <w:sz w:val="24"/>
          <w:szCs w:val="24"/>
          <w:highlight w:val="none"/>
        </w:rPr>
        <w:t>提供</w:t>
      </w:r>
      <w:r>
        <w:rPr>
          <w:rFonts w:hint="eastAsia" w:asciiTheme="minorEastAsia" w:hAnsiTheme="minorEastAsia" w:eastAsiaTheme="minorEastAsia"/>
          <w:b/>
          <w:sz w:val="24"/>
          <w:szCs w:val="24"/>
          <w:highlight w:val="none"/>
        </w:rPr>
        <w:t>人员相应证书扫描件及响应单位为其缴纳的最近一期的社保证明材料扫描件，扫描件须清晰可辨，未提供或模糊不清无法辨认的，对应项不得分 。</w:t>
      </w:r>
      <w:r>
        <w:rPr>
          <w:rFonts w:hint="eastAsia" w:ascii="宋体" w:hAnsi="宋体"/>
          <w:b/>
          <w:sz w:val="24"/>
          <w:szCs w:val="24"/>
          <w:highlight w:val="none"/>
          <w:lang w:val="en-US" w:eastAsia="zh-CN"/>
        </w:rPr>
        <w:t>）</w:t>
      </w:r>
    </w:p>
    <w:p w14:paraId="176E0FA4">
      <w:pPr>
        <w:numPr>
          <w:ilvl w:val="0"/>
          <w:numId w:val="4"/>
        </w:numPr>
        <w:spacing w:line="360" w:lineRule="auto"/>
        <w:ind w:firstLine="482"/>
        <w:rPr>
          <w:highlight w:val="none"/>
        </w:rPr>
      </w:pPr>
      <w:r>
        <w:rPr>
          <w:rFonts w:hint="eastAsia" w:ascii="宋体" w:hAnsi="宋体"/>
          <w:b/>
          <w:sz w:val="24"/>
          <w:szCs w:val="24"/>
          <w:highlight w:val="none"/>
        </w:rPr>
        <w:t xml:space="preserve">技术负责人 </w:t>
      </w:r>
      <w:r>
        <w:rPr>
          <w:rFonts w:ascii="宋体" w:hAnsi="宋体"/>
          <w:b/>
          <w:sz w:val="24"/>
          <w:szCs w:val="24"/>
          <w:highlight w:val="none"/>
        </w:rPr>
        <w:t xml:space="preserve"> </w:t>
      </w:r>
      <w:r>
        <w:rPr>
          <w:rFonts w:hint="eastAsia" w:ascii="宋体" w:hAnsi="宋体"/>
          <w:b/>
          <w:sz w:val="24"/>
          <w:szCs w:val="24"/>
          <w:highlight w:val="none"/>
        </w:rPr>
        <w:t>6分</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Theme="minorEastAsia" w:hAnsiTheme="minorEastAsia" w:eastAsiaTheme="minorEastAsia"/>
          <w:sz w:val="24"/>
          <w:szCs w:val="24"/>
          <w:highlight w:val="none"/>
        </w:rPr>
        <w:t xml:space="preserve">拟投入技术负责人（项目负责人除外）具有注册岩土工程师执业资格的得 3分，具有一级注册结构工程师执业资格的得 3分，本项最高得6分。 </w:t>
      </w:r>
      <w:r>
        <w:rPr>
          <w:rFonts w:hint="eastAsia" w:ascii="宋体" w:hAnsi="宋体"/>
          <w:b/>
          <w:sz w:val="24"/>
          <w:szCs w:val="24"/>
          <w:highlight w:val="none"/>
          <w:lang w:val="en-US" w:eastAsia="zh-CN"/>
        </w:rPr>
        <w:t>（需</w:t>
      </w:r>
      <w:r>
        <w:rPr>
          <w:rFonts w:hint="eastAsia" w:ascii="宋体" w:hAnsi="宋体"/>
          <w:b/>
          <w:sz w:val="24"/>
          <w:szCs w:val="24"/>
          <w:highlight w:val="none"/>
        </w:rPr>
        <w:t>提供</w:t>
      </w:r>
      <w:r>
        <w:rPr>
          <w:rFonts w:hint="eastAsia" w:asciiTheme="minorEastAsia" w:hAnsiTheme="minorEastAsia" w:eastAsiaTheme="minorEastAsia"/>
          <w:b/>
          <w:sz w:val="24"/>
          <w:szCs w:val="24"/>
          <w:highlight w:val="none"/>
        </w:rPr>
        <w:t>人员相应证书扫描件及响应单位为其缴纳的最近一期的社保证明材料扫描件，扫描件须清晰可辨，未提供或模糊不清无法辨认的，对应项不得分 。</w:t>
      </w:r>
      <w:r>
        <w:rPr>
          <w:rFonts w:hint="eastAsia" w:ascii="宋体" w:hAnsi="宋体"/>
          <w:b/>
          <w:sz w:val="24"/>
          <w:szCs w:val="24"/>
          <w:highlight w:val="none"/>
          <w:lang w:val="en-US" w:eastAsia="zh-CN"/>
        </w:rPr>
        <w:t>）</w:t>
      </w:r>
    </w:p>
    <w:p w14:paraId="0CC96986">
      <w:pPr>
        <w:spacing w:line="360" w:lineRule="auto"/>
        <w:ind w:firstLine="480"/>
        <w:rPr>
          <w:rFonts w:ascii="宋体" w:hAnsi="宋体"/>
          <w:sz w:val="24"/>
          <w:szCs w:val="24"/>
          <w:highlight w:val="none"/>
        </w:rPr>
      </w:pPr>
      <w:r>
        <w:rPr>
          <w:rFonts w:ascii="宋体" w:hAnsi="宋体"/>
          <w:b/>
          <w:sz w:val="24"/>
          <w:szCs w:val="24"/>
          <w:highlight w:val="none"/>
        </w:rPr>
        <w:t>3</w:t>
      </w:r>
      <w:r>
        <w:rPr>
          <w:rFonts w:hint="eastAsia" w:ascii="宋体" w:hAnsi="宋体"/>
          <w:b/>
          <w:sz w:val="24"/>
          <w:szCs w:val="24"/>
          <w:highlight w:val="none"/>
        </w:rPr>
        <w:t xml:space="preserve">、项目团队人员配备 </w:t>
      </w:r>
      <w:r>
        <w:rPr>
          <w:rFonts w:ascii="宋体" w:hAnsi="宋体"/>
          <w:b/>
          <w:sz w:val="24"/>
          <w:szCs w:val="24"/>
          <w:highlight w:val="none"/>
        </w:rPr>
        <w:t xml:space="preserve"> 6</w:t>
      </w:r>
      <w:r>
        <w:rPr>
          <w:rFonts w:hint="eastAsia" w:ascii="宋体" w:hAnsi="宋体"/>
          <w:b/>
          <w:sz w:val="24"/>
          <w:szCs w:val="24"/>
          <w:highlight w:val="none"/>
        </w:rPr>
        <w:t>分</w:t>
      </w:r>
      <w:r>
        <w:rPr>
          <w:rFonts w:hint="eastAsia" w:ascii="宋体" w:hAnsi="宋体"/>
          <w:sz w:val="24"/>
          <w:szCs w:val="24"/>
          <w:highlight w:val="none"/>
        </w:rPr>
        <w:t xml:space="preserve"> </w:t>
      </w:r>
      <w:r>
        <w:rPr>
          <w:rFonts w:ascii="宋体" w:hAnsi="宋体"/>
          <w:sz w:val="24"/>
          <w:szCs w:val="24"/>
          <w:highlight w:val="none"/>
        </w:rPr>
        <w:t xml:space="preserve"> </w:t>
      </w:r>
    </w:p>
    <w:p w14:paraId="7B2FDBC6">
      <w:pPr>
        <w:spacing w:line="360" w:lineRule="auto"/>
        <w:ind w:firstLine="480"/>
        <w:rPr>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1</w:t>
      </w:r>
      <w:r>
        <w:rPr>
          <w:rFonts w:hint="eastAsia" w:ascii="宋体" w:hAnsi="宋体"/>
          <w:sz w:val="24"/>
          <w:szCs w:val="24"/>
          <w:highlight w:val="none"/>
          <w:lang w:eastAsia="zh-CN"/>
        </w:rPr>
        <w:t>）</w:t>
      </w:r>
      <w:r>
        <w:rPr>
          <w:rFonts w:hint="eastAsia" w:ascii="宋体" w:hAnsi="宋体"/>
          <w:sz w:val="24"/>
          <w:szCs w:val="24"/>
          <w:highlight w:val="none"/>
        </w:rPr>
        <w:t>响应单位拟投入本项目的项目团队人员（项目负责人及技术负责人除外）具有与本项目相关专业的高级及以上工程师职称证书的，有一个得1分，最高得2分。</w:t>
      </w:r>
      <w:r>
        <w:rPr>
          <w:rFonts w:hint="eastAsia" w:ascii="宋体" w:hAnsi="宋体"/>
          <w:b/>
          <w:sz w:val="24"/>
          <w:szCs w:val="24"/>
          <w:highlight w:val="none"/>
          <w:lang w:val="en-US" w:eastAsia="zh-CN"/>
        </w:rPr>
        <w:t>（需</w:t>
      </w:r>
      <w:r>
        <w:rPr>
          <w:rFonts w:hint="eastAsia" w:ascii="宋体" w:hAnsi="宋体"/>
          <w:b/>
          <w:sz w:val="24"/>
          <w:szCs w:val="24"/>
          <w:highlight w:val="none"/>
        </w:rPr>
        <w:t>提供</w:t>
      </w:r>
      <w:r>
        <w:rPr>
          <w:rFonts w:hint="eastAsia" w:asciiTheme="minorEastAsia" w:hAnsiTheme="minorEastAsia" w:eastAsiaTheme="minorEastAsia"/>
          <w:b/>
          <w:sz w:val="24"/>
          <w:szCs w:val="24"/>
          <w:highlight w:val="none"/>
        </w:rPr>
        <w:t>人员相应证书扫描件及响应单位为其缴纳的最近一期的社保证明材料扫描件，扫描件须清晰可辨，未提供或模糊不清无法辨认的，对应项不得分 。</w:t>
      </w:r>
      <w:r>
        <w:rPr>
          <w:rFonts w:hint="eastAsia" w:ascii="宋体" w:hAnsi="宋体"/>
          <w:b/>
          <w:sz w:val="24"/>
          <w:szCs w:val="24"/>
          <w:highlight w:val="none"/>
          <w:lang w:val="en-US" w:eastAsia="zh-CN"/>
        </w:rPr>
        <w:t>）</w:t>
      </w:r>
    </w:p>
    <w:p w14:paraId="01C65488">
      <w:pPr>
        <w:spacing w:line="360" w:lineRule="auto"/>
        <w:ind w:firstLine="480"/>
        <w:rPr>
          <w:rFonts w:asciiTheme="minorEastAsia" w:hAnsiTheme="minorEastAsia" w:eastAsiaTheme="minorEastAsia"/>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w:t>
      </w:r>
      <w:r>
        <w:rPr>
          <w:rFonts w:hint="eastAsia" w:ascii="宋体" w:hAnsi="宋体"/>
          <w:sz w:val="24"/>
          <w:szCs w:val="24"/>
          <w:highlight w:val="none"/>
        </w:rPr>
        <w:t>响应单位</w:t>
      </w:r>
      <w:r>
        <w:rPr>
          <w:rFonts w:hint="eastAsia" w:asciiTheme="minorEastAsia" w:hAnsiTheme="minorEastAsia" w:eastAsiaTheme="minorEastAsia"/>
          <w:sz w:val="24"/>
          <w:szCs w:val="24"/>
          <w:highlight w:val="none"/>
        </w:rPr>
        <w:t>拟投入人员有省级及以上房屋安全鉴定专家的得 4分，有市级房屋安全鉴定专家的得 2分</w:t>
      </w:r>
      <w:r>
        <w:rPr>
          <w:rFonts w:hint="eastAsia" w:asciiTheme="minorEastAsia" w:hAnsiTheme="minorEastAsia" w:eastAsiaTheme="minorEastAsia"/>
          <w:sz w:val="24"/>
          <w:szCs w:val="24"/>
          <w:highlight w:val="none"/>
          <w:lang w:eastAsia="zh-CN"/>
        </w:rPr>
        <w:t>。</w:t>
      </w:r>
      <w:r>
        <w:rPr>
          <w:rFonts w:hint="eastAsia" w:asciiTheme="minorEastAsia" w:hAnsiTheme="minorEastAsia" w:eastAsiaTheme="minorEastAsia"/>
          <w:b/>
          <w:bCs/>
          <w:sz w:val="24"/>
          <w:szCs w:val="24"/>
          <w:highlight w:val="none"/>
        </w:rPr>
        <w:t xml:space="preserve">（需提供住建厅或住建局官网公示及响应单位为其缴纳的最近一期的社保证明材料扫描件，扫描件须清晰可辨，未提供或模糊不清无法辨认的，对应项不得分 </w:t>
      </w:r>
      <w:r>
        <w:rPr>
          <w:rFonts w:hint="eastAsia" w:asciiTheme="minorEastAsia" w:hAnsiTheme="minorEastAsia" w:eastAsiaTheme="minorEastAsia"/>
          <w:b/>
          <w:bCs/>
          <w:sz w:val="24"/>
          <w:szCs w:val="24"/>
          <w:highlight w:val="none"/>
          <w:lang w:eastAsia="zh-CN"/>
        </w:rPr>
        <w:t>。</w:t>
      </w:r>
      <w:r>
        <w:rPr>
          <w:rFonts w:hint="eastAsia" w:asciiTheme="minorEastAsia" w:hAnsiTheme="minorEastAsia" w:eastAsiaTheme="minorEastAsia"/>
          <w:b/>
          <w:bCs/>
          <w:sz w:val="24"/>
          <w:szCs w:val="24"/>
          <w:highlight w:val="none"/>
        </w:rPr>
        <w:t xml:space="preserve">） </w:t>
      </w:r>
      <w:r>
        <w:rPr>
          <w:rFonts w:hint="eastAsia" w:asciiTheme="minorEastAsia" w:hAnsiTheme="minorEastAsia" w:eastAsiaTheme="minorEastAsia"/>
          <w:sz w:val="24"/>
          <w:szCs w:val="24"/>
          <w:highlight w:val="none"/>
        </w:rPr>
        <w:t xml:space="preserve"> </w:t>
      </w:r>
    </w:p>
    <w:p w14:paraId="7071AAFC">
      <w:pPr>
        <w:spacing w:line="360" w:lineRule="auto"/>
        <w:rPr>
          <w:rFonts w:ascii="宋体" w:hAnsi="宋体"/>
          <w:b/>
          <w:sz w:val="24"/>
          <w:szCs w:val="24"/>
          <w:highlight w:val="none"/>
        </w:rPr>
      </w:pPr>
      <w:r>
        <w:rPr>
          <w:rFonts w:hint="eastAsia" w:ascii="宋体" w:hAnsi="宋体"/>
          <w:b/>
          <w:sz w:val="24"/>
          <w:szCs w:val="24"/>
          <w:highlight w:val="none"/>
        </w:rPr>
        <w:t>四、供应商综合实力 4分</w:t>
      </w:r>
    </w:p>
    <w:p w14:paraId="6A54A961">
      <w:pPr>
        <w:spacing w:line="360" w:lineRule="auto"/>
        <w:ind w:firstLine="482"/>
        <w:rPr>
          <w:rFonts w:ascii="宋体" w:hAnsi="宋体"/>
          <w:sz w:val="24"/>
          <w:szCs w:val="24"/>
          <w:highlight w:val="none"/>
        </w:rPr>
      </w:pPr>
      <w:r>
        <w:rPr>
          <w:rFonts w:ascii="宋体" w:hAnsi="宋体"/>
          <w:b/>
          <w:sz w:val="24"/>
          <w:szCs w:val="24"/>
          <w:highlight w:val="none"/>
        </w:rPr>
        <w:t>1</w:t>
      </w:r>
      <w:r>
        <w:rPr>
          <w:rFonts w:hint="eastAsia" w:ascii="宋体" w:hAnsi="宋体"/>
          <w:b/>
          <w:sz w:val="24"/>
          <w:szCs w:val="24"/>
          <w:highlight w:val="none"/>
        </w:rPr>
        <w:t xml:space="preserve">、类似业绩 </w:t>
      </w:r>
      <w:r>
        <w:rPr>
          <w:rFonts w:ascii="宋体" w:hAnsi="宋体"/>
          <w:b/>
          <w:sz w:val="24"/>
          <w:szCs w:val="24"/>
          <w:highlight w:val="none"/>
        </w:rPr>
        <w:t xml:space="preserve"> </w:t>
      </w:r>
      <w:r>
        <w:rPr>
          <w:rFonts w:hint="eastAsia" w:ascii="宋体" w:hAnsi="宋体"/>
          <w:b/>
          <w:sz w:val="24"/>
          <w:szCs w:val="24"/>
          <w:highlight w:val="none"/>
        </w:rPr>
        <w:t>4分</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响应单位提供2023年1月1日（以合同签订日期为准）以来承担过的类似项目业绩 ，每提供一份得2分，最高得4分。</w:t>
      </w:r>
      <w:r>
        <w:rPr>
          <w:rFonts w:hint="eastAsia" w:ascii="宋体" w:hAnsi="宋体"/>
          <w:bCs/>
          <w:sz w:val="24"/>
          <w:szCs w:val="24"/>
          <w:highlight w:val="none"/>
        </w:rPr>
        <w:t>响应文件中提供完整的合同扫描件，否则</w:t>
      </w:r>
      <w:r>
        <w:rPr>
          <w:rFonts w:hint="eastAsia" w:ascii="宋体" w:hAnsi="宋体" w:cs="宋体"/>
          <w:bCs/>
          <w:sz w:val="24"/>
          <w:szCs w:val="24"/>
          <w:highlight w:val="none"/>
        </w:rPr>
        <w:t>不得分。</w:t>
      </w:r>
    </w:p>
    <w:p w14:paraId="5FE6627E">
      <w:pPr>
        <w:spacing w:line="360" w:lineRule="auto"/>
        <w:ind w:firstLine="482"/>
        <w:rPr>
          <w:rFonts w:ascii="宋体" w:hAnsi="宋体" w:cs="宋体"/>
          <w:b/>
          <w:bCs/>
          <w:sz w:val="24"/>
          <w:szCs w:val="24"/>
          <w:highlight w:val="none"/>
        </w:rPr>
      </w:pPr>
      <w:r>
        <w:rPr>
          <w:rFonts w:hint="eastAsia" w:ascii="宋体" w:hAnsi="宋体" w:cs="宋体"/>
          <w:b/>
          <w:bCs/>
          <w:sz w:val="24"/>
          <w:szCs w:val="24"/>
          <w:highlight w:val="none"/>
        </w:rPr>
        <w:t>注：</w:t>
      </w:r>
    </w:p>
    <w:p w14:paraId="510E337D">
      <w:pPr>
        <w:spacing w:line="360" w:lineRule="auto"/>
        <w:ind w:firstLine="482"/>
        <w:rPr>
          <w:rFonts w:ascii="宋体" w:hAnsi="宋体" w:cs="宋体"/>
          <w:bCs/>
          <w:sz w:val="24"/>
          <w:szCs w:val="24"/>
          <w:highlight w:val="none"/>
        </w:rPr>
      </w:pPr>
      <w:r>
        <w:rPr>
          <w:rFonts w:hint="eastAsia" w:ascii="宋体" w:hAnsi="宋体" w:cs="宋体"/>
          <w:bCs/>
          <w:sz w:val="24"/>
          <w:szCs w:val="24"/>
          <w:highlight w:val="none"/>
        </w:rPr>
        <w:t>1、针对评分标准中评分的每一条，响应单位均应提供相关资料并作出相应说明供评委评判，不提供相关资料的视为不具备该项得分的条件，资料须编好目录及页码并利于评委评审、查阅。</w:t>
      </w:r>
    </w:p>
    <w:p w14:paraId="0CF1997D">
      <w:pPr>
        <w:spacing w:line="360" w:lineRule="auto"/>
        <w:ind w:firstLine="482"/>
        <w:rPr>
          <w:rFonts w:ascii="宋体" w:hAnsi="宋体" w:cs="宋体"/>
          <w:bCs/>
          <w:sz w:val="24"/>
          <w:szCs w:val="24"/>
          <w:highlight w:val="none"/>
        </w:rPr>
      </w:pPr>
      <w:r>
        <w:rPr>
          <w:rFonts w:hint="eastAsia" w:ascii="宋体" w:hAnsi="宋体" w:cs="宋体"/>
          <w:b/>
          <w:bCs/>
          <w:sz w:val="24"/>
          <w:szCs w:val="24"/>
          <w:highlight w:val="none"/>
        </w:rPr>
        <w:t>2、</w:t>
      </w:r>
      <w:r>
        <w:rPr>
          <w:rFonts w:hint="eastAsia" w:ascii="宋体" w:hAnsi="宋体" w:cs="宋体"/>
          <w:bCs/>
          <w:sz w:val="24"/>
          <w:szCs w:val="24"/>
          <w:highlight w:val="none"/>
        </w:rPr>
        <w:t>响应单位必须保证全部投标资料的真实性，如有虚假或对招标文件所要求说明的情况故意隐瞒或虚报，将按《中华人民共和国政府采购法》第七十七条“提供虚假材料谋取中标、成交”相关处理办法处理。</w:t>
      </w:r>
    </w:p>
    <w:p w14:paraId="5D970646">
      <w:pPr>
        <w:widowControl/>
        <w:spacing w:line="360" w:lineRule="auto"/>
        <w:ind w:firstLine="420" w:firstLineChars="200"/>
        <w:jc w:val="left"/>
        <w:rPr>
          <w:rFonts w:asciiTheme="minorEastAsia" w:hAnsiTheme="minorEastAsia" w:eastAsiaTheme="minorEastAsia" w:cstheme="minorEastAsia"/>
          <w:szCs w:val="24"/>
          <w:highlight w:val="none"/>
        </w:rPr>
      </w:pPr>
    </w:p>
    <w:p w14:paraId="6890CC7F">
      <w:pPr>
        <w:pStyle w:val="17"/>
        <w:rPr>
          <w:highlight w:val="none"/>
        </w:rPr>
      </w:pPr>
    </w:p>
    <w:p w14:paraId="23A31703">
      <w:pP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br w:type="page"/>
      </w:r>
    </w:p>
    <w:p w14:paraId="636AA1A8">
      <w:pPr>
        <w:jc w:val="center"/>
        <w:rPr>
          <w:rFonts w:asciiTheme="minorEastAsia" w:hAnsiTheme="minorEastAsia" w:eastAsiaTheme="minorEastAsia"/>
          <w:b/>
          <w:bCs/>
          <w:sz w:val="24"/>
          <w:szCs w:val="24"/>
          <w:highlight w:val="none"/>
        </w:rPr>
      </w:pPr>
      <w:r>
        <w:rPr>
          <w:rFonts w:hint="eastAsia" w:asciiTheme="minorEastAsia" w:hAnsiTheme="minorEastAsia" w:eastAsiaTheme="minorEastAsia"/>
          <w:b/>
          <w:sz w:val="32"/>
          <w:highlight w:val="none"/>
        </w:rPr>
        <w:t>四、合同主要条款</w:t>
      </w:r>
    </w:p>
    <w:p w14:paraId="6BFE4EBC">
      <w:pPr>
        <w:spacing w:line="360" w:lineRule="auto"/>
        <w:jc w:val="center"/>
        <w:rPr>
          <w:rFonts w:ascii="宋体" w:hAnsi="宋体" w:cs="宋体"/>
          <w:b/>
          <w:bCs/>
          <w:sz w:val="28"/>
          <w:szCs w:val="28"/>
          <w:highlight w:val="none"/>
        </w:rPr>
      </w:pPr>
      <w:bookmarkStart w:id="2" w:name="_Toc13889377"/>
      <w:bookmarkStart w:id="3" w:name="_Toc13642117"/>
      <w:r>
        <w:rPr>
          <w:rFonts w:hint="eastAsia" w:ascii="宋体" w:hAnsi="宋体" w:cs="宋体"/>
          <w:b/>
          <w:bCs/>
          <w:sz w:val="28"/>
          <w:szCs w:val="28"/>
          <w:highlight w:val="none"/>
        </w:rPr>
        <w:t>合同的主要条款</w:t>
      </w:r>
      <w:bookmarkEnd w:id="2"/>
      <w:bookmarkEnd w:id="3"/>
    </w:p>
    <w:p w14:paraId="3B9CD7E8">
      <w:pPr>
        <w:jc w:val="center"/>
        <w:rPr>
          <w:rFonts w:ascii="宋体" w:hAnsi="宋体" w:cs="宋体"/>
          <w:sz w:val="24"/>
          <w:szCs w:val="24"/>
          <w:highlight w:val="none"/>
        </w:rPr>
      </w:pPr>
      <w:r>
        <w:rPr>
          <w:rFonts w:hint="eastAsia" w:ascii="宋体" w:hAnsi="宋体" w:cs="宋体"/>
          <w:sz w:val="24"/>
          <w:szCs w:val="24"/>
          <w:highlight w:val="none"/>
        </w:rPr>
        <w:t>（合同编号：       ）</w:t>
      </w:r>
    </w:p>
    <w:p w14:paraId="7241D78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项目名称： </w:t>
      </w:r>
    </w:p>
    <w:p w14:paraId="0FDDAFA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甲方（采购方）：   </w:t>
      </w:r>
    </w:p>
    <w:p w14:paraId="2654468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联系人：  </w:t>
      </w:r>
    </w:p>
    <w:p w14:paraId="56773A3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联系电话：  </w:t>
      </w:r>
    </w:p>
    <w:p w14:paraId="6B477C09">
      <w:pPr>
        <w:pStyle w:val="56"/>
        <w:ind w:firstLine="480"/>
        <w:rPr>
          <w:rFonts w:hAnsi="宋体" w:cs="宋体"/>
          <w:kern w:val="2"/>
          <w:szCs w:val="24"/>
          <w:highlight w:val="none"/>
        </w:rPr>
      </w:pPr>
      <w:r>
        <w:rPr>
          <w:rFonts w:hint="eastAsia" w:hAnsi="宋体" w:cs="宋体"/>
          <w:kern w:val="2"/>
          <w:szCs w:val="24"/>
          <w:highlight w:val="none"/>
        </w:rPr>
        <w:t xml:space="preserve">乙方（服务方）： </w:t>
      </w:r>
    </w:p>
    <w:p w14:paraId="60E54FC7">
      <w:pPr>
        <w:pStyle w:val="56"/>
        <w:ind w:firstLine="480"/>
        <w:rPr>
          <w:rFonts w:hAnsi="宋体" w:cs="宋体"/>
          <w:kern w:val="2"/>
          <w:szCs w:val="24"/>
          <w:highlight w:val="none"/>
        </w:rPr>
      </w:pPr>
      <w:r>
        <w:rPr>
          <w:rFonts w:hint="eastAsia" w:hAnsi="宋体" w:cs="宋体"/>
          <w:kern w:val="2"/>
          <w:szCs w:val="24"/>
          <w:highlight w:val="none"/>
        </w:rPr>
        <w:t xml:space="preserve">联系人： </w:t>
      </w:r>
    </w:p>
    <w:p w14:paraId="16A59DDC">
      <w:pPr>
        <w:pStyle w:val="56"/>
        <w:ind w:firstLine="480"/>
        <w:rPr>
          <w:highlight w:val="none"/>
        </w:rPr>
      </w:pPr>
      <w:r>
        <w:rPr>
          <w:rFonts w:hint="eastAsia" w:hAnsi="宋体" w:cs="宋体"/>
          <w:kern w:val="2"/>
          <w:szCs w:val="24"/>
          <w:highlight w:val="none"/>
        </w:rPr>
        <w:t xml:space="preserve">联系电话： </w:t>
      </w:r>
    </w:p>
    <w:p w14:paraId="71DA6C81">
      <w:pPr>
        <w:rPr>
          <w:highlight w:val="none"/>
        </w:rPr>
      </w:pPr>
      <w:r>
        <w:rPr>
          <w:rFonts w:hint="eastAsia"/>
          <w:highlight w:val="none"/>
        </w:rPr>
        <w:t xml:space="preserve">  </w:t>
      </w:r>
    </w:p>
    <w:p w14:paraId="75E5FD5D">
      <w:pPr>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根据采购编号【                】号的政府采购文件（下称政府采购文件）及成交单位的响应文件和成交通知书，各方就此次成交的【                】的采购事宜，签订本合同书。</w:t>
      </w:r>
    </w:p>
    <w:p w14:paraId="313155FB">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1、合同内容</w:t>
      </w:r>
    </w:p>
    <w:p w14:paraId="79E12E8C">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 本合同由以下文件组成：</w:t>
      </w:r>
    </w:p>
    <w:p w14:paraId="61D7EFD9">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（1）本合同书及本合同书签署后各方以书面形式确认的补充协议、会议纪要等；</w:t>
      </w:r>
    </w:p>
    <w:p w14:paraId="7E738B2A">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（2）政府采购采购文件；</w:t>
      </w:r>
    </w:p>
    <w:p w14:paraId="21ED9C06">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（3）成交通知书；</w:t>
      </w:r>
    </w:p>
    <w:p w14:paraId="09EEABEF">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（4）乙方在采购过程中所作的其他承诺、声明、书面澄清等；</w:t>
      </w:r>
    </w:p>
    <w:p w14:paraId="502AE6EE">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（5）乙方成交的响应文件；</w:t>
      </w:r>
    </w:p>
    <w:p w14:paraId="4CF4C9BD">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（6）其他合同附件。</w:t>
      </w:r>
    </w:p>
    <w:p w14:paraId="6B968AFA">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上述文件之间有冲突的，以排列序位在前的文件为准，同一序位的文件以形成时间在后的为准。</w:t>
      </w:r>
    </w:p>
    <w:p w14:paraId="453012C2">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1.2服务范围：详见采购文件</w:t>
      </w:r>
    </w:p>
    <w:p w14:paraId="71C74264">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1.3服务内容：详见采购文件</w:t>
      </w:r>
    </w:p>
    <w:p w14:paraId="0585D0FE">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1.4服务要求：详见采购文件</w:t>
      </w:r>
    </w:p>
    <w:p w14:paraId="5CD52C2E">
      <w:pPr>
        <w:spacing w:line="360" w:lineRule="auto"/>
        <w:ind w:firstLine="480" w:firstLineChars="200"/>
        <w:jc w:val="left"/>
        <w:outlineLvl w:val="1"/>
        <w:rPr>
          <w:rFonts w:ascii="宋体" w:hAnsi="宋体" w:cs="宋体"/>
          <w:sz w:val="24"/>
          <w:szCs w:val="24"/>
          <w:highlight w:val="none"/>
        </w:rPr>
      </w:pPr>
      <w:r>
        <w:rPr>
          <w:rFonts w:hint="eastAsia" w:ascii="宋体" w:hAnsi="宋体" w:cs="宋体"/>
          <w:sz w:val="24"/>
          <w:szCs w:val="24"/>
          <w:highlight w:val="none"/>
        </w:rPr>
        <w:t>2、服务期限</w:t>
      </w:r>
    </w:p>
    <w:p w14:paraId="3DADDA52">
      <w:pPr>
        <w:spacing w:line="360" w:lineRule="auto"/>
        <w:ind w:firstLine="480" w:firstLineChars="200"/>
        <w:outlineLvl w:val="1"/>
        <w:rPr>
          <w:rFonts w:ascii="宋体" w:hAnsi="宋体" w:cs="宋体"/>
          <w:sz w:val="24"/>
          <w:szCs w:val="24"/>
          <w:highlight w:val="none"/>
        </w:rPr>
      </w:pPr>
      <w:r>
        <w:rPr>
          <w:rFonts w:hint="eastAsia" w:ascii="宋体" w:hAnsi="宋体" w:cs="宋体"/>
          <w:sz w:val="24"/>
          <w:szCs w:val="24"/>
          <w:highlight w:val="none"/>
        </w:rPr>
        <w:t>合同签订之日起至2026年1</w:t>
      </w:r>
      <w:r>
        <w:rPr>
          <w:rFonts w:hint="eastAsia" w:ascii="宋体" w:hAnsi="宋体" w:cs="宋体"/>
          <w:sz w:val="24"/>
          <w:szCs w:val="24"/>
          <w:highlight w:val="none"/>
          <w:lang w:val="en-US" w:eastAsia="zh-CN"/>
        </w:rPr>
        <w:t>2</w:t>
      </w:r>
      <w:r>
        <w:rPr>
          <w:rFonts w:hint="eastAsia" w:ascii="宋体" w:hAnsi="宋体" w:cs="宋体"/>
          <w:sz w:val="24"/>
          <w:szCs w:val="24"/>
          <w:highlight w:val="none"/>
        </w:rPr>
        <w:t>月3</w:t>
      </w:r>
      <w:r>
        <w:rPr>
          <w:rFonts w:hint="eastAsia" w:ascii="宋体" w:hAnsi="宋体" w:cs="宋体"/>
          <w:sz w:val="24"/>
          <w:szCs w:val="24"/>
          <w:highlight w:val="none"/>
          <w:lang w:val="en-US" w:eastAsia="zh-CN"/>
        </w:rPr>
        <w:t>1</w:t>
      </w:r>
      <w:r>
        <w:rPr>
          <w:rFonts w:hint="eastAsia" w:ascii="宋体" w:hAnsi="宋体" w:cs="宋体"/>
          <w:sz w:val="24"/>
          <w:szCs w:val="24"/>
          <w:highlight w:val="none"/>
        </w:rPr>
        <w:t>日。</w:t>
      </w:r>
    </w:p>
    <w:p w14:paraId="7CAADC60">
      <w:pPr>
        <w:spacing w:line="360" w:lineRule="auto"/>
        <w:ind w:firstLine="480" w:firstLineChars="200"/>
        <w:outlineLvl w:val="1"/>
        <w:rPr>
          <w:rFonts w:ascii="宋体" w:hAnsi="宋体" w:cs="宋体"/>
          <w:sz w:val="24"/>
          <w:szCs w:val="24"/>
          <w:highlight w:val="none"/>
        </w:rPr>
      </w:pPr>
      <w:r>
        <w:rPr>
          <w:rFonts w:hint="eastAsia" w:ascii="宋体" w:hAnsi="宋体" w:cs="宋体"/>
          <w:sz w:val="24"/>
          <w:szCs w:val="24"/>
          <w:highlight w:val="none"/>
        </w:rPr>
        <w:t>3、交付成果</w:t>
      </w:r>
    </w:p>
    <w:p w14:paraId="0340C4A2">
      <w:pPr>
        <w:widowControl/>
        <w:spacing w:line="360" w:lineRule="auto"/>
        <w:ind w:firstLine="480"/>
        <w:rPr>
          <w:rFonts w:ascii="宋体" w:hAnsi="宋体"/>
          <w:sz w:val="24"/>
          <w:highlight w:val="none"/>
        </w:rPr>
      </w:pPr>
      <w:r>
        <w:rPr>
          <w:rFonts w:hint="eastAsia" w:ascii="宋体" w:hAnsi="宋体"/>
          <w:sz w:val="24"/>
          <w:highlight w:val="none"/>
        </w:rPr>
        <w:t>按照统一要求完成排查成果提交，完成项目验收工作。主要成果如下：</w:t>
      </w:r>
    </w:p>
    <w:p w14:paraId="3EB59165">
      <w:pPr>
        <w:pStyle w:val="2"/>
        <w:rPr>
          <w:rFonts w:hint="eastAsia" w:eastAsia="宋体"/>
          <w:highlight w:val="none"/>
          <w:lang w:eastAsia="zh-CN"/>
        </w:rPr>
      </w:pPr>
      <w:r>
        <w:rPr>
          <w:rFonts w:hint="eastAsia" w:ascii="宋体" w:hAnsi="宋体"/>
          <w:sz w:val="24"/>
          <w:highlight w:val="none"/>
        </w:rPr>
        <w:t>排查信息、排查结论和相应照片应按要求整理台账信息，做好归集工作，</w:t>
      </w:r>
      <w:r>
        <w:rPr>
          <w:rFonts w:hint="eastAsia" w:ascii="宋体" w:hAnsi="宋体" w:cs="宋体"/>
          <w:sz w:val="24"/>
          <w:szCs w:val="24"/>
          <w:highlight w:val="none"/>
          <w:shd w:val="clear" w:color="auto" w:fill="FFFFFF"/>
        </w:rPr>
        <w:t>在采购人要求的时限内录入江苏省房屋安全信息系统，并在完成后出具一份排查报告</w:t>
      </w:r>
      <w:r>
        <w:rPr>
          <w:rFonts w:hint="eastAsia" w:ascii="宋体" w:hAnsi="宋体" w:cs="宋体"/>
          <w:sz w:val="24"/>
          <w:szCs w:val="24"/>
          <w:highlight w:val="none"/>
          <w:shd w:val="clear" w:color="auto" w:fill="FFFFFF"/>
          <w:lang w:eastAsia="zh-CN"/>
        </w:rPr>
        <w:t>。</w:t>
      </w:r>
    </w:p>
    <w:p w14:paraId="4B907466">
      <w:pPr>
        <w:pStyle w:val="18"/>
        <w:spacing w:line="360" w:lineRule="auto"/>
        <w:ind w:firstLine="480" w:firstLineChars="200"/>
        <w:jc w:val="left"/>
        <w:rPr>
          <w:rFonts w:hAnsi="宋体" w:cs="宋体"/>
          <w:sz w:val="24"/>
          <w:szCs w:val="24"/>
          <w:highlight w:val="none"/>
        </w:rPr>
      </w:pPr>
      <w:r>
        <w:rPr>
          <w:rFonts w:hint="eastAsia" w:hAnsi="宋体" w:cs="宋体"/>
          <w:sz w:val="24"/>
          <w:szCs w:val="24"/>
          <w:highlight w:val="none"/>
        </w:rPr>
        <w:t>4、项目负责人</w:t>
      </w:r>
    </w:p>
    <w:p w14:paraId="402FFACE">
      <w:pPr>
        <w:pStyle w:val="143"/>
        <w:spacing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项目负责人姓名：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，身份证号码：</w:t>
      </w:r>
      <w:r>
        <w:rPr>
          <w:rFonts w:hint="eastAsia" w:ascii="宋体" w:hAnsi="宋体" w:cs="宋体"/>
          <w:sz w:val="24"/>
          <w:szCs w:val="24"/>
          <w:highlight w:val="none"/>
          <w:u w:val="single"/>
        </w:rPr>
        <w:t xml:space="preserve">             </w:t>
      </w:r>
      <w:r>
        <w:rPr>
          <w:rFonts w:hint="eastAsia" w:ascii="宋体" w:hAnsi="宋体" w:cs="宋体"/>
          <w:color w:val="000000"/>
          <w:sz w:val="24"/>
          <w:szCs w:val="24"/>
          <w:highlight w:val="none"/>
        </w:rPr>
        <w:t>。</w:t>
      </w:r>
    </w:p>
    <w:p w14:paraId="6F5FDF27">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5、价格与支付</w:t>
      </w:r>
    </w:p>
    <w:p w14:paraId="3F00D0B8">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5.1价格</w:t>
      </w:r>
    </w:p>
    <w:p w14:paraId="5D93B4E2">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本合同总金额为【人民币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w:t>
      </w:r>
      <w:r>
        <w:rPr>
          <w:rFonts w:ascii="宋体" w:hAnsi="宋体" w:cs="宋体"/>
          <w:sz w:val="24"/>
          <w:szCs w:val="24"/>
          <w:highlight w:val="none"/>
        </w:rPr>
        <w:t>包括但不限于完成该项目全部内容所需的材料费、人工费（包括人员工资、福利费、加班费、人身意外伤害险等）、设备工具费、成果编制费（含印刷费）、通讯费、交通费、差旅费、后续服务费、代理服务费、风险费、利润、税费及政策性文件规定和合同所包含的所有风险、责任等各项应有费用。</w:t>
      </w:r>
    </w:p>
    <w:p w14:paraId="6B1FF898">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5.2合同价款的支付及付款方式:</w:t>
      </w:r>
    </w:p>
    <w:p w14:paraId="63A27B0C">
      <w:pPr>
        <w:widowControl/>
        <w:spacing w:line="360" w:lineRule="auto"/>
        <w:ind w:left="480"/>
        <w:rPr>
          <w:rFonts w:ascii="宋体" w:hAnsi="宋体" w:cs="宋体"/>
          <w:sz w:val="24"/>
          <w:szCs w:val="24"/>
          <w:highlight w:val="none"/>
        </w:rPr>
      </w:pPr>
      <w:r>
        <w:rPr>
          <w:rFonts w:hint="eastAsia" w:ascii="宋体" w:hAnsi="宋体" w:cs="宋体"/>
          <w:sz w:val="24"/>
          <w:szCs w:val="24"/>
          <w:highlight w:val="none"/>
        </w:rPr>
        <w:t>5.2.1付款进度</w:t>
      </w:r>
    </w:p>
    <w:p w14:paraId="25114F9B">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合同签订生效，完成所有合同内容经验收合格后，</w:t>
      </w:r>
      <w:r>
        <w:rPr>
          <w:rFonts w:hint="eastAsia" w:ascii="宋体" w:hAnsi="宋体" w:eastAsia="宋体" w:cs="宋体"/>
          <w:sz w:val="24"/>
          <w:szCs w:val="24"/>
          <w:highlight w:val="none"/>
        </w:rPr>
        <w:t>甲方</w:t>
      </w:r>
      <w:r>
        <w:rPr>
          <w:rFonts w:hint="eastAsia" w:ascii="宋体" w:hAnsi="宋体" w:eastAsia="宋体" w:cs="宋体"/>
          <w:sz w:val="24"/>
          <w:szCs w:val="24"/>
          <w:highlight w:val="none"/>
          <w:lang w:eastAsia="zh-CN"/>
        </w:rPr>
        <w:t>按照实际完成量按实结算，一次性付清，</w:t>
      </w:r>
      <w:r>
        <w:rPr>
          <w:rFonts w:hint="eastAsia" w:ascii="宋体" w:hAnsi="宋体" w:eastAsia="宋体" w:cs="宋体"/>
          <w:sz w:val="24"/>
          <w:szCs w:val="24"/>
          <w:highlight w:val="none"/>
          <w:lang w:val="en-US" w:eastAsia="zh-CN"/>
        </w:rPr>
        <w:t>最终结算金额不超合同金额</w:t>
      </w:r>
      <w:r>
        <w:rPr>
          <w:rFonts w:hint="eastAsia" w:ascii="宋体" w:hAnsi="宋体" w:eastAsia="宋体" w:cs="宋体"/>
          <w:sz w:val="24"/>
          <w:szCs w:val="24"/>
          <w:highlight w:val="none"/>
        </w:rPr>
        <w:t>。</w:t>
      </w:r>
    </w:p>
    <w:p w14:paraId="4E2517A2">
      <w:pPr>
        <w:pStyle w:val="18"/>
        <w:rPr>
          <w:highlight w:val="none"/>
        </w:rPr>
      </w:pPr>
      <w:r>
        <w:rPr>
          <w:rFonts w:hint="eastAsia" w:ascii="宋体" w:hAnsi="宋体" w:cs="宋体"/>
          <w:sz w:val="24"/>
          <w:szCs w:val="24"/>
          <w:highlight w:val="none"/>
        </w:rPr>
        <w:t>付款前，乙方应按甲方要求开具发票。若乙方未按约提供发票的，甲方有权迟延付款且不承担逾期付款的违约责任。</w:t>
      </w:r>
    </w:p>
    <w:p w14:paraId="5A3050F4">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5.2.2各方一致同意本合同的付款方为甲方，付款方式为 银行转账或数字人民币支付。</w:t>
      </w:r>
    </w:p>
    <w:p w14:paraId="62B4BA72">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5.2.3乙方开户银行名称、地址和账号为：</w:t>
      </w:r>
    </w:p>
    <w:p w14:paraId="380645A3">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户    名：</w:t>
      </w:r>
    </w:p>
    <w:p w14:paraId="63446D87">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开户银行：</w:t>
      </w:r>
    </w:p>
    <w:p w14:paraId="343EB5D1">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地    址：</w:t>
      </w:r>
    </w:p>
    <w:p w14:paraId="04CD64DB">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账    号：</w:t>
      </w:r>
    </w:p>
    <w:p w14:paraId="0DEB22FD">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数字人民币账号：</w:t>
      </w:r>
    </w:p>
    <w:p w14:paraId="72CFEF8D">
      <w:pPr>
        <w:widowControl/>
        <w:spacing w:line="360" w:lineRule="auto"/>
        <w:ind w:firstLine="480" w:firstLineChars="200"/>
        <w:rPr>
          <w:rFonts w:ascii="宋体" w:hAnsi="宋体"/>
          <w:sz w:val="24"/>
          <w:szCs w:val="24"/>
          <w:highlight w:val="none"/>
        </w:rPr>
      </w:pPr>
      <w:r>
        <w:rPr>
          <w:rFonts w:hint="eastAsia" w:ascii="宋体" w:hAnsi="宋体" w:cs="宋体"/>
          <w:sz w:val="24"/>
          <w:szCs w:val="24"/>
          <w:highlight w:val="none"/>
        </w:rPr>
        <w:t xml:space="preserve">5.2.4 </w:t>
      </w:r>
      <w:r>
        <w:rPr>
          <w:rFonts w:hint="eastAsia" w:ascii="宋体" w:hAnsi="宋体"/>
          <w:sz w:val="24"/>
          <w:szCs w:val="24"/>
          <w:highlight w:val="none"/>
        </w:rPr>
        <w:t>政府采购合同履行中，甲方需追加与合同标的物相同的货物、工程或者服务的，在不改变合同其他条款的前提下，可以与乙方签订补充合同，但所有补充合同的采购金额不得超过原合同采购金额的百分之十。</w:t>
      </w:r>
    </w:p>
    <w:p w14:paraId="43419A89">
      <w:pPr>
        <w:widowControl/>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6、履约保证金：不提交。</w:t>
      </w:r>
    </w:p>
    <w:p w14:paraId="43CEC8DF">
      <w:pPr>
        <w:widowControl/>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7</w:t>
      </w:r>
      <w:r>
        <w:rPr>
          <w:rFonts w:hint="eastAsia" w:ascii="宋体" w:hAnsi="宋体" w:cs="宋体"/>
          <w:sz w:val="24"/>
          <w:szCs w:val="24"/>
          <w:highlight w:val="none"/>
        </w:rPr>
        <w:t>、</w:t>
      </w:r>
      <w:r>
        <w:rPr>
          <w:rFonts w:hint="eastAsia" w:ascii="宋体" w:hAnsi="宋体" w:cs="宋体"/>
          <w:bCs/>
          <w:sz w:val="24"/>
          <w:szCs w:val="24"/>
          <w:highlight w:val="none"/>
        </w:rPr>
        <w:t>质量与验收</w:t>
      </w:r>
    </w:p>
    <w:p w14:paraId="22D8BAD2">
      <w:pPr>
        <w:widowControl/>
        <w:spacing w:line="360" w:lineRule="auto"/>
        <w:ind w:firstLine="480" w:firstLineChars="200"/>
        <w:rPr>
          <w:rFonts w:hint="eastAsia" w:ascii="宋体" w:hAnsi="宋体" w:cs="宋体"/>
          <w:sz w:val="24"/>
          <w:szCs w:val="24"/>
          <w:highlight w:val="none"/>
        </w:rPr>
      </w:pPr>
      <w:r>
        <w:rPr>
          <w:rFonts w:hint="eastAsia" w:ascii="宋体" w:hAnsi="宋体" w:cs="宋体"/>
          <w:bCs/>
          <w:sz w:val="24"/>
          <w:szCs w:val="24"/>
          <w:highlight w:val="none"/>
        </w:rPr>
        <w:t>按照《江苏省政府采购履约验收管理办法》的标准、规范进行服务验收；</w:t>
      </w:r>
    </w:p>
    <w:p w14:paraId="47EDDB84">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（1）乙方应向甲方提供符合合同约定的各项服务。</w:t>
      </w:r>
    </w:p>
    <w:p w14:paraId="12D8D0F8">
      <w:pPr>
        <w:widowControl/>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（2）最终交付物：</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文件中约定的服务。</w:t>
      </w:r>
    </w:p>
    <w:p w14:paraId="10E2E423">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sz w:val="24"/>
          <w:highlight w:val="none"/>
          <w:lang w:val="en-US" w:eastAsia="zh-CN"/>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lang w:val="en-US" w:eastAsia="zh-CN"/>
        </w:rPr>
        <w:t>验收要求：</w:t>
      </w:r>
    </w:p>
    <w:p w14:paraId="653BCC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.1实施主体：苏州科技城管理委员会；</w:t>
      </w:r>
    </w:p>
    <w:p w14:paraId="1975A4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.2验收时间：合同履行</w:t>
      </w:r>
      <w:r>
        <w:rPr>
          <w:rFonts w:hint="eastAsia" w:ascii="宋体" w:hAnsi="宋体"/>
          <w:sz w:val="24"/>
          <w:highlight w:val="none"/>
          <w:lang w:val="en-US" w:eastAsia="zh-CN"/>
        </w:rPr>
        <w:t>截止后30天内</w:t>
      </w:r>
      <w:r>
        <w:rPr>
          <w:rFonts w:hint="eastAsia" w:ascii="宋体" w:hAnsi="宋体"/>
          <w:sz w:val="24"/>
          <w:highlight w:val="none"/>
        </w:rPr>
        <w:t>；</w:t>
      </w:r>
    </w:p>
    <w:p w14:paraId="3BD3A4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.3验收方式：由</w:t>
      </w:r>
      <w:r>
        <w:rPr>
          <w:rFonts w:hint="eastAsia" w:ascii="宋体" w:hAnsi="宋体"/>
          <w:sz w:val="24"/>
          <w:highlight w:val="none"/>
          <w:lang w:val="en-US" w:eastAsia="zh-CN"/>
        </w:rPr>
        <w:t>甲方</w:t>
      </w:r>
      <w:r>
        <w:rPr>
          <w:rFonts w:hint="eastAsia" w:ascii="宋体" w:hAnsi="宋体"/>
          <w:sz w:val="24"/>
          <w:highlight w:val="none"/>
        </w:rPr>
        <w:t>组织验收；</w:t>
      </w:r>
    </w:p>
    <w:p w14:paraId="5E79C1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.4验收内容：包括</w:t>
      </w:r>
      <w:r>
        <w:rPr>
          <w:rFonts w:hint="eastAsia" w:ascii="宋体" w:hAnsi="宋体"/>
          <w:sz w:val="24"/>
          <w:highlight w:val="none"/>
          <w:lang w:val="en-US" w:eastAsia="zh-CN"/>
        </w:rPr>
        <w:t>乙方</w:t>
      </w:r>
      <w:r>
        <w:rPr>
          <w:rFonts w:hint="eastAsia" w:ascii="宋体" w:hAnsi="宋体"/>
          <w:sz w:val="24"/>
          <w:highlight w:val="none"/>
        </w:rPr>
        <w:t>服务人员数量质量、</w:t>
      </w:r>
      <w:r>
        <w:rPr>
          <w:rFonts w:hint="eastAsia" w:ascii="宋体" w:hAnsi="宋体"/>
          <w:sz w:val="24"/>
          <w:highlight w:val="none"/>
          <w:lang w:val="en-US" w:eastAsia="zh-CN"/>
        </w:rPr>
        <w:t>服务</w:t>
      </w:r>
      <w:r>
        <w:rPr>
          <w:rFonts w:hint="eastAsia" w:ascii="宋体" w:hAnsi="宋体"/>
          <w:sz w:val="24"/>
          <w:highlight w:val="none"/>
        </w:rPr>
        <w:t>质量、</w:t>
      </w:r>
      <w:r>
        <w:rPr>
          <w:rFonts w:hint="eastAsia" w:ascii="宋体" w:hAnsi="宋体"/>
          <w:sz w:val="24"/>
          <w:highlight w:val="none"/>
          <w:lang w:val="en-US" w:eastAsia="zh-CN"/>
        </w:rPr>
        <w:t>服务进度、服务成果</w:t>
      </w:r>
      <w:r>
        <w:rPr>
          <w:rFonts w:hint="eastAsia" w:ascii="宋体" w:hAnsi="宋体"/>
          <w:sz w:val="24"/>
          <w:highlight w:val="none"/>
        </w:rPr>
        <w:t>以及其他采购文件、采购合同约定内容。</w:t>
      </w:r>
    </w:p>
    <w:p w14:paraId="2BF6802B">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hint="eastAsia" w:ascii="宋体" w:hAnsi="宋体"/>
          <w:sz w:val="24"/>
          <w:highlight w:val="none"/>
          <w:lang w:val="en-US" w:eastAsia="zh-CN"/>
        </w:rPr>
        <w:t>3</w:t>
      </w:r>
      <w:r>
        <w:rPr>
          <w:rFonts w:hint="eastAsia" w:ascii="宋体" w:hAnsi="宋体"/>
          <w:sz w:val="24"/>
          <w:highlight w:val="none"/>
        </w:rPr>
        <w:t>.5验收标准：根据磋商文件、</w:t>
      </w:r>
      <w:r>
        <w:rPr>
          <w:rFonts w:hint="eastAsia" w:ascii="宋体" w:hAnsi="宋体"/>
          <w:sz w:val="24"/>
          <w:highlight w:val="none"/>
          <w:lang w:val="en-US" w:eastAsia="zh-CN"/>
        </w:rPr>
        <w:t>乙方</w:t>
      </w:r>
      <w:r>
        <w:rPr>
          <w:rFonts w:hint="eastAsia" w:ascii="宋体" w:hAnsi="宋体"/>
          <w:sz w:val="24"/>
          <w:highlight w:val="none"/>
        </w:rPr>
        <w:t>的响应文件、双方签订的合同文件；最终的成果须经</w:t>
      </w:r>
      <w:r>
        <w:rPr>
          <w:rFonts w:hint="eastAsia" w:ascii="宋体" w:hAnsi="宋体"/>
          <w:sz w:val="24"/>
          <w:highlight w:val="none"/>
          <w:lang w:val="en-US" w:eastAsia="zh-CN"/>
        </w:rPr>
        <w:t>甲方</w:t>
      </w:r>
      <w:r>
        <w:rPr>
          <w:rFonts w:hint="eastAsia" w:ascii="宋体" w:hAnsi="宋体"/>
          <w:sz w:val="24"/>
          <w:highlight w:val="none"/>
        </w:rPr>
        <w:t>验收通过。</w:t>
      </w:r>
    </w:p>
    <w:p w14:paraId="4294596E">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（4）验收小组按照釆购合同的约定对每一项服务的履约情况进行确认。验收结束后，出具验收报告，列明各分项标准的验收情况及项目总体评价，由验收双方共同签署。</w:t>
      </w:r>
    </w:p>
    <w:p w14:paraId="05DF8DDB">
      <w:pPr>
        <w:spacing w:line="360" w:lineRule="auto"/>
        <w:ind w:left="-368" w:leftChars="-175" w:firstLine="964" w:firstLineChars="400"/>
        <w:outlineLvl w:val="1"/>
        <w:rPr>
          <w:rFonts w:ascii="宋体" w:hAnsi="宋体" w:cs="宋体"/>
          <w:b/>
          <w:sz w:val="24"/>
          <w:szCs w:val="24"/>
          <w:highlight w:val="none"/>
        </w:rPr>
      </w:pPr>
      <w:r>
        <w:rPr>
          <w:rFonts w:hint="eastAsia" w:ascii="宋体" w:hAnsi="宋体" w:cs="宋体"/>
          <w:b/>
          <w:sz w:val="24"/>
          <w:szCs w:val="24"/>
          <w:highlight w:val="none"/>
        </w:rPr>
        <w:t>8、保密和知识产权</w:t>
      </w:r>
    </w:p>
    <w:p w14:paraId="11014B9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w:t>
      </w:r>
    </w:p>
    <w:p w14:paraId="26C2D71A">
      <w:pPr>
        <w:spacing w:line="360" w:lineRule="auto"/>
        <w:ind w:firstLine="240" w:firstLineChars="100"/>
        <w:rPr>
          <w:rFonts w:ascii="宋体" w:hAnsi="宋体" w:cs="宋体"/>
          <w:sz w:val="24"/>
          <w:szCs w:val="24"/>
          <w:highlight w:val="none"/>
        </w:rPr>
      </w:pPr>
      <w:r>
        <w:rPr>
          <w:rFonts w:hint="eastAsia" w:ascii="宋体" w:hAnsi="宋体" w:cs="宋体"/>
          <w:sz w:val="24"/>
          <w:szCs w:val="24"/>
          <w:highlight w:val="none"/>
        </w:rPr>
        <w:t>（1）本项目的交付物及交付物中所有版权、专利权、设计、方法、技术及文档材料。</w:t>
      </w:r>
    </w:p>
    <w:p w14:paraId="5FA8F913">
      <w:pPr>
        <w:spacing w:line="360" w:lineRule="auto"/>
        <w:ind w:firstLine="240" w:firstLineChars="100"/>
        <w:rPr>
          <w:rFonts w:ascii="宋体" w:hAnsi="宋体" w:cs="宋体"/>
          <w:sz w:val="24"/>
          <w:szCs w:val="24"/>
          <w:highlight w:val="none"/>
        </w:rPr>
      </w:pPr>
      <w:r>
        <w:rPr>
          <w:rFonts w:hint="eastAsia" w:ascii="宋体" w:hAnsi="宋体" w:cs="宋体"/>
          <w:sz w:val="24"/>
          <w:szCs w:val="24"/>
          <w:highlight w:val="none"/>
        </w:rPr>
        <w:t>（2）甲方提供/披露的各类技术、信息数据、商业资料、规格说明、图纸、文件及专有技术等。</w:t>
      </w:r>
    </w:p>
    <w:p w14:paraId="162FC02A">
      <w:pPr>
        <w:spacing w:line="360" w:lineRule="auto"/>
        <w:ind w:firstLine="240" w:firstLineChars="100"/>
        <w:rPr>
          <w:rFonts w:ascii="宋体" w:hAnsi="宋体" w:cs="宋体"/>
          <w:sz w:val="24"/>
          <w:szCs w:val="24"/>
          <w:highlight w:val="none"/>
        </w:rPr>
      </w:pPr>
      <w:r>
        <w:rPr>
          <w:rFonts w:hint="eastAsia" w:ascii="宋体" w:hAnsi="宋体" w:cs="宋体"/>
          <w:sz w:val="24"/>
          <w:szCs w:val="24"/>
          <w:highlight w:val="none"/>
        </w:rPr>
        <w:t>（3）乙方不得以任何形式侵害采购单位的知识产权。</w:t>
      </w:r>
    </w:p>
    <w:p w14:paraId="5F1FC53B">
      <w:pPr>
        <w:spacing w:line="360" w:lineRule="auto"/>
        <w:ind w:firstLine="482" w:firstLineChars="200"/>
        <w:outlineLvl w:val="1"/>
        <w:rPr>
          <w:rFonts w:ascii="宋体" w:hAnsi="宋体" w:cs="宋体"/>
          <w:b/>
          <w:sz w:val="24"/>
          <w:szCs w:val="24"/>
          <w:highlight w:val="none"/>
        </w:rPr>
      </w:pPr>
      <w:r>
        <w:rPr>
          <w:rFonts w:hint="eastAsia" w:ascii="宋体" w:hAnsi="宋体" w:cs="宋体"/>
          <w:b/>
          <w:sz w:val="24"/>
          <w:szCs w:val="24"/>
          <w:highlight w:val="none"/>
        </w:rPr>
        <w:t>9、权利和义务</w:t>
      </w:r>
    </w:p>
    <w:p w14:paraId="357A693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9.1、甲方的权利和义务</w:t>
      </w:r>
    </w:p>
    <w:p w14:paraId="51BC88F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（1）甲方依据合同对乙方的服务进行监督和检查。</w:t>
      </w:r>
    </w:p>
    <w:p w14:paraId="795F2AB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（2）甲方若认为乙方履行合同不力严重影响服务进度，甲方有权要求更换乙方主要服务人员。</w:t>
      </w:r>
    </w:p>
    <w:p w14:paraId="619D643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（3）甲方应按时支付乙方服务费用。</w:t>
      </w:r>
    </w:p>
    <w:p w14:paraId="70F30B2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9.2、乙方的权利和义务</w:t>
      </w:r>
    </w:p>
    <w:p w14:paraId="37DDFC1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（1）乙方应按国家技术规范、标准、规程及甲方提出的标准规范体系制定要求进行服务。</w:t>
      </w:r>
    </w:p>
    <w:p w14:paraId="249BBEA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（2）乙方应保护甲方及本合同涉及的项目有关的知识产权，不得向第三人泄露、转让项目甲方及相关权属方提交的资料。如发生以上情况并给甲方造成经济损失，甲方有权向乙方索赔。</w:t>
      </w:r>
    </w:p>
    <w:p w14:paraId="7E379BF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（3）乙方向甲方收取的报酬，是其关于本合同的唯一报酬，乙方及其人员不得接受与本合同书有关的或与其承担义务有关的其他津贴、回扣等报酬和非直接支付。</w:t>
      </w:r>
    </w:p>
    <w:p w14:paraId="799EDCB8">
      <w:pPr>
        <w:tabs>
          <w:tab w:val="left" w:pos="0"/>
        </w:tabs>
        <w:spacing w:line="360" w:lineRule="auto"/>
        <w:ind w:left="-191" w:leftChars="-91" w:firstLine="723" w:firstLineChars="300"/>
        <w:outlineLvl w:val="1"/>
        <w:rPr>
          <w:rFonts w:ascii="宋体" w:hAnsi="宋体" w:cs="宋体"/>
          <w:sz w:val="24"/>
          <w:szCs w:val="24"/>
          <w:highlight w:val="none"/>
        </w:rPr>
      </w:pPr>
      <w:r>
        <w:rPr>
          <w:rFonts w:hint="eastAsia" w:ascii="宋体" w:hAnsi="宋体" w:cs="宋体"/>
          <w:b/>
          <w:sz w:val="24"/>
          <w:szCs w:val="24"/>
          <w:highlight w:val="none"/>
        </w:rPr>
        <w:t>10、违约责任</w:t>
      </w:r>
    </w:p>
    <w:p w14:paraId="7D7DDC98">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10.1合同一方不履行合同义务或者履行合同义务不符合约定的，应当承担继续履行、采取补救措施或者赔偿损失等违约责任。</w:t>
      </w:r>
    </w:p>
    <w:p w14:paraId="6B2204B0">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10.2在合同生效后，甲方无正当理由要求取消服务的，应向乙方赔付合同总价款的5%作为违约金。甲方延期付款时（有正当拒付理由者除外）应向乙方偿付逾期付款违约金，每逾期一日按逾期总额0.02%的标准计算。</w:t>
      </w:r>
    </w:p>
    <w:p w14:paraId="3573141C">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10.3在合同生效后，乙方无正当理由要求取消服务的，应向甲方赔付合同总价款的5%作为违约金。如乙方逾期完成项目任务，除不可抗拒的因素外，乙方应向甲方支付合同总金额10%的逾期履行违约金；逾期超过2周的，甲方有权解除合同，并要求乙方承担合同中标价20%的违约金。</w:t>
      </w:r>
    </w:p>
    <w:p w14:paraId="3684A4F2">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10.4乙方应赔偿甲方的损失、支付给甲方的违约金等费用，甲方有权直接从未支付款项中予以扣除，不足部分有权要求乙方补足。</w:t>
      </w:r>
    </w:p>
    <w:p w14:paraId="7D532455">
      <w:pPr>
        <w:adjustRightIn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10.5乙方更换工作人员须事先征得甲方书面同意。擅自更换项目人员是严重违约行为，甲方有权单方解除合同，未支付服务款项不再支付。即使甲方同意更换人员，乙方每更换一次项目负责人，扣减服务款项5000元，每更换一次其他人员，扣减服务款项1000元。</w:t>
      </w:r>
    </w:p>
    <w:p w14:paraId="12C141B8">
      <w:pPr>
        <w:adjustRightIn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10.6排查人员工作不到位，视为不称职，甲方有权要求乙方更换人员，乙方应更换排查人员，并按照以下标准扣减服务款项：每更换一次项目负责人，扣减服务款项20000元，每更换一次其他人员，扣减服务款项5000元。拒不更换人员的，甲方有权终止合同履行，未支付服务款项不再支付。</w:t>
      </w:r>
    </w:p>
    <w:p w14:paraId="6CBE0331">
      <w:pPr>
        <w:adjustRightIn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10.7排查没有达到甲方标准的，每次扣减服务款项5000元。未尽服务职责，提供虚假或伪造资料经发现，每次扣减10000元服务费。发现3次以及以上提供虚假或伪造资料情况的，甲方有权终止合同履行，未支付服务款项不再支付。</w:t>
      </w:r>
    </w:p>
    <w:p w14:paraId="5483422C">
      <w:pPr>
        <w:adjustRightIn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10.8排查人员应服从甲方工作安排，拒不服从的，每次扣减服务费10000元，3次以及以上不服从的，甲方有权终止合同履行，未支付服务款项不再支付。</w:t>
      </w:r>
    </w:p>
    <w:p w14:paraId="0C38F558">
      <w:pPr>
        <w:adjustRightIn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10.9甲方不定期组织抽查排查成效，对于明显安全隐患但排查人员没有发现的，视为不称职，甲方有权要求更换人员，并按照第10.6条相关规定扣除服务款项。发现3次以及以上不称职的，甲方有权终止合同履行，未支付服务款项不再支付。</w:t>
      </w:r>
    </w:p>
    <w:p w14:paraId="1F182D09">
      <w:pPr>
        <w:adjustRightIn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10.10排查范围内项目，发生一起一般责任安全事故，经查实乙方存在排查不到位的，扣减千分之五合同服务费；发生一起一般以上责任安全事故，经查实乙方存在排查不到位的，扣减千分之十合同服务费。</w:t>
      </w:r>
    </w:p>
    <w:p w14:paraId="21C6E6DA">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11</w:t>
      </w:r>
      <w:r>
        <w:rPr>
          <w:rFonts w:ascii="宋体" w:hAnsi="宋体" w:cs="宋体"/>
          <w:b/>
          <w:sz w:val="24"/>
          <w:szCs w:val="24"/>
          <w:highlight w:val="none"/>
        </w:rPr>
        <w:t>、不可抗力</w:t>
      </w:r>
    </w:p>
    <w:p w14:paraId="625260FD">
      <w:pPr>
        <w:spacing w:line="360" w:lineRule="auto"/>
        <w:ind w:firstLine="480"/>
        <w:jc w:val="left"/>
        <w:rPr>
          <w:rFonts w:ascii="宋体" w:hAnsi="宋体"/>
          <w:sz w:val="24"/>
          <w:szCs w:val="24"/>
          <w:highlight w:val="none"/>
        </w:rPr>
      </w:pPr>
      <w:r>
        <w:rPr>
          <w:rFonts w:hint="eastAsia" w:ascii="宋体" w:hAnsi="宋体" w:cs="宋体"/>
          <w:sz w:val="24"/>
          <w:szCs w:val="24"/>
          <w:highlight w:val="none"/>
        </w:rPr>
        <w:t>11.</w:t>
      </w:r>
      <w:r>
        <w:rPr>
          <w:rFonts w:ascii="宋体" w:hAnsi="宋体" w:cs="宋体"/>
          <w:sz w:val="24"/>
          <w:szCs w:val="24"/>
          <w:highlight w:val="none"/>
        </w:rPr>
        <w:t>1合同一方因不可抗力不能履行本合同的，根据不可抗力的影响，部分或者全部免除责任。但合同一方迟延履行后发生不可抗力的，不能免除责任。</w:t>
      </w:r>
    </w:p>
    <w:p w14:paraId="6C7747DC">
      <w:pPr>
        <w:spacing w:line="360" w:lineRule="auto"/>
        <w:ind w:firstLine="480"/>
        <w:jc w:val="left"/>
        <w:rPr>
          <w:rFonts w:ascii="宋体" w:hAnsi="宋体"/>
          <w:sz w:val="24"/>
          <w:szCs w:val="24"/>
          <w:highlight w:val="none"/>
        </w:rPr>
      </w:pPr>
      <w:r>
        <w:rPr>
          <w:rFonts w:hint="eastAsia" w:ascii="宋体" w:hAnsi="宋体" w:cs="宋体"/>
          <w:sz w:val="24"/>
          <w:szCs w:val="24"/>
          <w:highlight w:val="none"/>
        </w:rPr>
        <w:t>11.</w:t>
      </w:r>
      <w:r>
        <w:rPr>
          <w:rFonts w:ascii="宋体" w:hAnsi="宋体" w:cs="宋体"/>
          <w:sz w:val="24"/>
          <w:szCs w:val="24"/>
          <w:highlight w:val="none"/>
        </w:rPr>
        <w:t>2合同一方因不可抗力不能履行合同的，应当自不可抗力发生之日起3日内通知对方，以减轻可能给对方造成的损失，并应当在发出不可抗力通知后的15日内提供书面证明材料。</w:t>
      </w:r>
    </w:p>
    <w:p w14:paraId="0C4F5804">
      <w:pPr>
        <w:spacing w:line="360" w:lineRule="auto"/>
        <w:ind w:firstLine="480"/>
        <w:jc w:val="left"/>
        <w:rPr>
          <w:rFonts w:ascii="宋体" w:hAnsi="宋体"/>
          <w:sz w:val="24"/>
          <w:szCs w:val="24"/>
          <w:highlight w:val="none"/>
        </w:rPr>
      </w:pPr>
      <w:r>
        <w:rPr>
          <w:rFonts w:hint="eastAsia" w:ascii="宋体" w:hAnsi="宋体" w:cs="宋体"/>
          <w:sz w:val="24"/>
          <w:szCs w:val="24"/>
          <w:highlight w:val="none"/>
        </w:rPr>
        <w:t>11.</w:t>
      </w:r>
      <w:r>
        <w:rPr>
          <w:rFonts w:ascii="宋体" w:hAnsi="宋体" w:cs="宋体"/>
          <w:sz w:val="24"/>
          <w:szCs w:val="24"/>
          <w:highlight w:val="none"/>
        </w:rPr>
        <w:t>3不可抗力事由消除后，合同继续履行等相关事宜，由甲乙双方协商确定。</w:t>
      </w:r>
    </w:p>
    <w:p w14:paraId="735E127F">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12</w:t>
      </w:r>
      <w:r>
        <w:rPr>
          <w:rFonts w:ascii="宋体" w:hAnsi="宋体" w:cs="宋体"/>
          <w:b/>
          <w:sz w:val="24"/>
          <w:szCs w:val="24"/>
          <w:highlight w:val="none"/>
        </w:rPr>
        <w:t>、合同的解除和转让</w:t>
      </w:r>
    </w:p>
    <w:p w14:paraId="05ABD516">
      <w:pPr>
        <w:spacing w:line="360" w:lineRule="auto"/>
        <w:ind w:firstLine="480"/>
        <w:jc w:val="left"/>
        <w:rPr>
          <w:rFonts w:ascii="宋体" w:hAnsi="宋体"/>
          <w:sz w:val="24"/>
          <w:szCs w:val="24"/>
          <w:highlight w:val="none"/>
        </w:rPr>
      </w:pPr>
      <w:r>
        <w:rPr>
          <w:rFonts w:hint="eastAsia" w:ascii="宋体" w:hAnsi="宋体" w:cs="宋体"/>
          <w:sz w:val="24"/>
          <w:szCs w:val="24"/>
          <w:highlight w:val="none"/>
        </w:rPr>
        <w:t>12.</w:t>
      </w:r>
      <w:r>
        <w:rPr>
          <w:rFonts w:ascii="宋体" w:hAnsi="宋体" w:cs="宋体"/>
          <w:sz w:val="24"/>
          <w:szCs w:val="24"/>
          <w:highlight w:val="none"/>
        </w:rPr>
        <w:t>1除《政府采购法》第49条、第50条规定的情形及本合同约定的情形外，本合同签订后，甲乙双方不得变更、中止或终止本合同。</w:t>
      </w:r>
    </w:p>
    <w:p w14:paraId="4338108F">
      <w:pPr>
        <w:spacing w:line="360" w:lineRule="auto"/>
        <w:ind w:firstLine="480"/>
        <w:jc w:val="left"/>
        <w:rPr>
          <w:rFonts w:ascii="宋体" w:hAnsi="宋体"/>
          <w:sz w:val="24"/>
          <w:szCs w:val="24"/>
          <w:highlight w:val="none"/>
        </w:rPr>
      </w:pPr>
      <w:r>
        <w:rPr>
          <w:rFonts w:hint="eastAsia" w:ascii="宋体" w:hAnsi="宋体" w:cs="宋体"/>
          <w:sz w:val="24"/>
          <w:szCs w:val="24"/>
          <w:highlight w:val="none"/>
        </w:rPr>
        <w:t>12.</w:t>
      </w:r>
      <w:r>
        <w:rPr>
          <w:rFonts w:ascii="宋体" w:hAnsi="宋体" w:cs="宋体"/>
          <w:sz w:val="24"/>
          <w:szCs w:val="24"/>
          <w:highlight w:val="none"/>
        </w:rPr>
        <w:t>2有下列情形之一，合同一方可以解除本合同：</w:t>
      </w:r>
    </w:p>
    <w:p w14:paraId="00F8DD70">
      <w:pPr>
        <w:spacing w:line="360" w:lineRule="auto"/>
        <w:ind w:firstLine="480"/>
        <w:jc w:val="left"/>
        <w:rPr>
          <w:rFonts w:ascii="宋体" w:hAnsi="宋体"/>
          <w:sz w:val="24"/>
          <w:szCs w:val="24"/>
          <w:highlight w:val="none"/>
        </w:rPr>
      </w:pPr>
      <w:r>
        <w:rPr>
          <w:rFonts w:ascii="宋体" w:hAnsi="宋体" w:cs="宋体"/>
          <w:sz w:val="24"/>
          <w:szCs w:val="24"/>
          <w:highlight w:val="none"/>
        </w:rPr>
        <w:t>（1）因不可抗力或上级主管部门相关规定致使不能实现本合同目的的，未受不可抗力影响的一方有权解除本合同；</w:t>
      </w:r>
    </w:p>
    <w:p w14:paraId="0CE29DC0">
      <w:pPr>
        <w:spacing w:line="360" w:lineRule="auto"/>
        <w:ind w:firstLine="480"/>
        <w:jc w:val="left"/>
        <w:rPr>
          <w:rFonts w:ascii="宋体" w:hAnsi="宋体"/>
          <w:sz w:val="24"/>
          <w:szCs w:val="24"/>
          <w:highlight w:val="none"/>
        </w:rPr>
      </w:pPr>
      <w:r>
        <w:rPr>
          <w:rFonts w:ascii="宋体" w:hAnsi="宋体" w:cs="宋体"/>
          <w:sz w:val="24"/>
          <w:szCs w:val="24"/>
          <w:highlight w:val="none"/>
        </w:rPr>
        <w:t>（2）因合同一方严重违约导致本合同不能履行的，另一方有权解除本合同；</w:t>
      </w:r>
    </w:p>
    <w:p w14:paraId="72741EE6">
      <w:pPr>
        <w:spacing w:line="360" w:lineRule="auto"/>
        <w:ind w:firstLine="480"/>
        <w:jc w:val="left"/>
        <w:rPr>
          <w:rFonts w:ascii="宋体" w:hAnsi="宋体"/>
          <w:sz w:val="24"/>
          <w:szCs w:val="24"/>
          <w:highlight w:val="none"/>
        </w:rPr>
      </w:pPr>
      <w:r>
        <w:rPr>
          <w:rFonts w:ascii="宋体" w:hAnsi="宋体" w:cs="宋体"/>
          <w:sz w:val="24"/>
          <w:szCs w:val="24"/>
          <w:highlight w:val="none"/>
        </w:rPr>
        <w:t>（3）在本合同有效期内，乙方擅自变更、转让其应履行的本合同项下的义务的；</w:t>
      </w:r>
    </w:p>
    <w:p w14:paraId="7E41491C">
      <w:pPr>
        <w:spacing w:line="360" w:lineRule="auto"/>
        <w:ind w:firstLine="480"/>
        <w:jc w:val="left"/>
        <w:rPr>
          <w:rFonts w:ascii="宋体" w:hAnsi="宋体"/>
          <w:sz w:val="24"/>
          <w:szCs w:val="24"/>
          <w:highlight w:val="none"/>
        </w:rPr>
      </w:pPr>
      <w:r>
        <w:rPr>
          <w:rFonts w:ascii="宋体" w:hAnsi="宋体" w:cs="宋体"/>
          <w:sz w:val="24"/>
          <w:szCs w:val="24"/>
          <w:highlight w:val="none"/>
        </w:rPr>
        <w:t>（4）乙方未按本合同约定、乙方承诺的内容提供服务，给甲方造成较大损失或合同目的不能实现的。</w:t>
      </w:r>
    </w:p>
    <w:p w14:paraId="4A6DE6C4">
      <w:pPr>
        <w:spacing w:line="360" w:lineRule="auto"/>
        <w:ind w:firstLine="480"/>
        <w:jc w:val="left"/>
        <w:rPr>
          <w:rFonts w:ascii="宋体" w:hAnsi="宋体"/>
          <w:sz w:val="24"/>
          <w:szCs w:val="24"/>
          <w:highlight w:val="none"/>
        </w:rPr>
      </w:pPr>
      <w:r>
        <w:rPr>
          <w:rFonts w:hint="eastAsia" w:ascii="宋体" w:hAnsi="宋体" w:cs="宋体"/>
          <w:sz w:val="24"/>
          <w:szCs w:val="24"/>
          <w:highlight w:val="none"/>
        </w:rPr>
        <w:t>12.</w:t>
      </w:r>
      <w:r>
        <w:rPr>
          <w:rFonts w:ascii="宋体" w:hAnsi="宋体" w:cs="宋体"/>
          <w:sz w:val="24"/>
          <w:szCs w:val="24"/>
          <w:highlight w:val="none"/>
        </w:rPr>
        <w:t>3有权解除合同的一方，应当在违约事实或不可抗力发生之后三个月内书面通知对方解除合同，合同在书面通知到达对方时解除。</w:t>
      </w:r>
    </w:p>
    <w:p w14:paraId="520F03A0">
      <w:pPr>
        <w:spacing w:line="360" w:lineRule="auto"/>
        <w:ind w:firstLine="480"/>
        <w:jc w:val="left"/>
        <w:rPr>
          <w:rFonts w:ascii="宋体" w:hAnsi="宋体"/>
          <w:sz w:val="24"/>
          <w:szCs w:val="24"/>
          <w:highlight w:val="none"/>
        </w:rPr>
      </w:pPr>
      <w:r>
        <w:rPr>
          <w:rFonts w:hint="eastAsia" w:ascii="宋体" w:hAnsi="宋体" w:cs="宋体"/>
          <w:sz w:val="24"/>
          <w:szCs w:val="24"/>
          <w:highlight w:val="none"/>
        </w:rPr>
        <w:t>12.</w:t>
      </w:r>
      <w:r>
        <w:rPr>
          <w:rFonts w:ascii="宋体" w:hAnsi="宋体" w:cs="宋体"/>
          <w:sz w:val="24"/>
          <w:szCs w:val="24"/>
          <w:highlight w:val="none"/>
        </w:rPr>
        <w:t>4未经甲方书面同意，乙方不得将本合同的部分或全部义务转让给任何第三方。</w:t>
      </w:r>
    </w:p>
    <w:p w14:paraId="18EF2334">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13</w:t>
      </w:r>
      <w:r>
        <w:rPr>
          <w:rFonts w:ascii="宋体" w:hAnsi="宋体" w:cs="宋体"/>
          <w:b/>
          <w:sz w:val="24"/>
          <w:szCs w:val="24"/>
          <w:highlight w:val="none"/>
        </w:rPr>
        <w:t>、争议解决</w:t>
      </w:r>
    </w:p>
    <w:p w14:paraId="38FB2329">
      <w:pPr>
        <w:spacing w:line="360" w:lineRule="auto"/>
        <w:ind w:firstLine="480"/>
        <w:jc w:val="left"/>
        <w:rPr>
          <w:rFonts w:ascii="宋体" w:hAnsi="宋体"/>
          <w:sz w:val="24"/>
          <w:szCs w:val="24"/>
          <w:highlight w:val="none"/>
        </w:rPr>
      </w:pPr>
      <w:r>
        <w:rPr>
          <w:rFonts w:ascii="宋体" w:hAnsi="宋体" w:cs="宋体"/>
          <w:sz w:val="24"/>
          <w:szCs w:val="24"/>
          <w:highlight w:val="none"/>
        </w:rPr>
        <w:t>甲乙双方因履行本合同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差旅费等。</w:t>
      </w:r>
    </w:p>
    <w:p w14:paraId="0A662337">
      <w:pPr>
        <w:tabs>
          <w:tab w:val="left" w:pos="200"/>
        </w:tabs>
        <w:spacing w:line="360" w:lineRule="auto"/>
        <w:ind w:firstLine="482" w:firstLineChars="200"/>
        <w:outlineLvl w:val="1"/>
        <w:rPr>
          <w:rFonts w:ascii="宋体" w:hAnsi="宋体" w:cs="宋体"/>
          <w:sz w:val="24"/>
          <w:szCs w:val="24"/>
          <w:highlight w:val="none"/>
        </w:rPr>
      </w:pPr>
      <w:r>
        <w:rPr>
          <w:rFonts w:hint="eastAsia" w:ascii="宋体" w:hAnsi="宋体" w:cs="宋体"/>
          <w:b/>
          <w:bCs/>
          <w:sz w:val="24"/>
          <w:szCs w:val="24"/>
          <w:highlight w:val="none"/>
        </w:rPr>
        <w:t>14、合同生效及其它</w:t>
      </w:r>
      <w:r>
        <w:rPr>
          <w:rFonts w:hint="eastAsia" w:ascii="宋体" w:hAnsi="宋体" w:cs="宋体"/>
          <w:b/>
          <w:sz w:val="24"/>
          <w:szCs w:val="24"/>
          <w:highlight w:val="none"/>
        </w:rPr>
        <w:t>：</w:t>
      </w:r>
    </w:p>
    <w:p w14:paraId="547E6B5D">
      <w:pPr>
        <w:tabs>
          <w:tab w:val="left" w:pos="1134"/>
        </w:tabs>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14.1本合同经双方法定代表人或其委托代理人签署并加盖公章后生效。本合同一式</w:t>
      </w:r>
      <w:r>
        <w:rPr>
          <w:rFonts w:hint="eastAsia" w:ascii="宋体" w:hAnsi="宋体" w:cs="宋体"/>
          <w:sz w:val="24"/>
          <w:szCs w:val="24"/>
          <w:highlight w:val="none"/>
          <w:u w:val="single"/>
        </w:rPr>
        <w:t xml:space="preserve"> 陆 </w:t>
      </w:r>
      <w:r>
        <w:rPr>
          <w:rFonts w:hint="eastAsia" w:ascii="宋体" w:hAnsi="宋体" w:cs="宋体"/>
          <w:sz w:val="24"/>
          <w:szCs w:val="24"/>
          <w:highlight w:val="none"/>
        </w:rPr>
        <w:t>份，具有同等法律效力，双方各执</w:t>
      </w:r>
      <w:r>
        <w:rPr>
          <w:rFonts w:hint="eastAsia" w:ascii="宋体" w:hAnsi="宋体" w:cs="宋体"/>
          <w:sz w:val="24"/>
          <w:szCs w:val="24"/>
          <w:highlight w:val="none"/>
          <w:u w:val="single"/>
        </w:rPr>
        <w:t xml:space="preserve"> 贰 </w:t>
      </w:r>
      <w:r>
        <w:rPr>
          <w:rFonts w:hint="eastAsia" w:ascii="宋体" w:hAnsi="宋体" w:cs="宋体"/>
          <w:sz w:val="24"/>
          <w:szCs w:val="24"/>
          <w:highlight w:val="none"/>
        </w:rPr>
        <w:t>份，采购代理机构一份，政府采购监督部门执一份。</w:t>
      </w:r>
    </w:p>
    <w:p w14:paraId="365DB16D">
      <w:pPr>
        <w:tabs>
          <w:tab w:val="left" w:pos="1134"/>
        </w:tabs>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14.2本合同未尽事宜，经各方协商一致，可订立补充合同，补充合同及附件均为本合同不可分割的一部分，与本合同具有同等效力，但需向采购人提交二份备存。</w:t>
      </w:r>
    </w:p>
    <w:p w14:paraId="3C365578">
      <w:pPr>
        <w:widowControl/>
        <w:spacing w:line="360" w:lineRule="auto"/>
        <w:ind w:firstLine="480" w:firstLineChars="200"/>
        <w:rPr>
          <w:rFonts w:ascii="宋体" w:hAnsi="宋体" w:cs="宋体"/>
          <w:sz w:val="24"/>
          <w:szCs w:val="24"/>
          <w:highlight w:val="none"/>
        </w:rPr>
      </w:pPr>
    </w:p>
    <w:p w14:paraId="2CAD2177">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甲方：（盖章）         </w:t>
      </w:r>
      <w:r>
        <w:rPr>
          <w:rFonts w:ascii="宋体" w:hAnsi="宋体" w:cs="宋体"/>
          <w:sz w:val="24"/>
          <w:szCs w:val="24"/>
          <w:highlight w:val="none"/>
        </w:rPr>
        <w:t xml:space="preserve">      </w:t>
      </w:r>
      <w:r>
        <w:rPr>
          <w:rFonts w:hint="eastAsia" w:ascii="宋体" w:hAnsi="宋体" w:cs="宋体"/>
          <w:sz w:val="24"/>
          <w:szCs w:val="24"/>
          <w:highlight w:val="none"/>
        </w:rPr>
        <w:t xml:space="preserve">乙方：（盖章） </w:t>
      </w:r>
      <w:r>
        <w:rPr>
          <w:rFonts w:ascii="宋体" w:hAnsi="宋体" w:cs="宋体"/>
          <w:sz w:val="24"/>
          <w:szCs w:val="24"/>
          <w:highlight w:val="none"/>
        </w:rPr>
        <w:t xml:space="preserve">        </w:t>
      </w:r>
    </w:p>
    <w:p w14:paraId="1A60CBFD">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代理人</w:t>
      </w:r>
      <w:r>
        <w:rPr>
          <w:rFonts w:ascii="宋体" w:hAnsi="宋体" w:cs="宋体"/>
          <w:sz w:val="24"/>
          <w:szCs w:val="24"/>
          <w:highlight w:val="none"/>
        </w:rPr>
        <w:t>：</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代理人</w:t>
      </w:r>
      <w:r>
        <w:rPr>
          <w:rFonts w:ascii="宋体" w:hAnsi="宋体" w:cs="宋体"/>
          <w:sz w:val="24"/>
          <w:szCs w:val="24"/>
          <w:highlight w:val="none"/>
        </w:rPr>
        <w:t>：</w:t>
      </w:r>
      <w:r>
        <w:rPr>
          <w:rFonts w:hint="eastAsia" w:ascii="宋体" w:hAnsi="宋体" w:cs="宋体"/>
          <w:sz w:val="24"/>
          <w:szCs w:val="24"/>
          <w:highlight w:val="none"/>
        </w:rPr>
        <w:t xml:space="preserve">                </w:t>
      </w:r>
    </w:p>
    <w:p w14:paraId="7A9603CF">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w:t>
      </w:r>
      <w:r>
        <w:rPr>
          <w:rFonts w:ascii="宋体" w:hAnsi="宋体" w:cs="宋体"/>
          <w:sz w:val="24"/>
          <w:szCs w:val="24"/>
          <w:highlight w:val="none"/>
        </w:rPr>
        <w:t>签订时间：</w:t>
      </w:r>
      <w:r>
        <w:rPr>
          <w:rFonts w:hint="eastAsia" w:ascii="宋体" w:hAnsi="宋体" w:cs="宋体"/>
          <w:sz w:val="24"/>
          <w:szCs w:val="24"/>
          <w:highlight w:val="none"/>
        </w:rPr>
        <w:t xml:space="preserve">     年    月   日</w:t>
      </w:r>
    </w:p>
    <w:p w14:paraId="449FCB7D">
      <w:pPr>
        <w:rPr>
          <w:rFonts w:ascii="宋体" w:hAnsi="宋体" w:cs="宋体"/>
          <w:sz w:val="24"/>
          <w:szCs w:val="24"/>
          <w:highlight w:val="none"/>
        </w:rPr>
      </w:pPr>
      <w:r>
        <w:rPr>
          <w:rFonts w:hint="eastAsia" w:ascii="宋体" w:hAnsi="宋体" w:cs="宋体"/>
          <w:sz w:val="24"/>
          <w:szCs w:val="24"/>
          <w:highlight w:val="none"/>
        </w:rPr>
        <w:br w:type="page"/>
      </w:r>
    </w:p>
    <w:p w14:paraId="249AAA13">
      <w:pPr>
        <w:spacing w:line="360" w:lineRule="auto"/>
        <w:jc w:val="cente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五、附 件</w:t>
      </w:r>
    </w:p>
    <w:p w14:paraId="3637BA3B">
      <w:pP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附件</w:t>
      </w:r>
      <w:r>
        <w:rPr>
          <w:rFonts w:asciiTheme="minorEastAsia" w:hAnsiTheme="minorEastAsia" w:eastAsiaTheme="minorEastAsia"/>
          <w:b/>
          <w:sz w:val="24"/>
          <w:szCs w:val="24"/>
          <w:highlight w:val="none"/>
        </w:rPr>
        <w:t>1</w:t>
      </w:r>
      <w:r>
        <w:rPr>
          <w:rFonts w:hint="eastAsia" w:asciiTheme="minorEastAsia" w:hAnsiTheme="minorEastAsia" w:eastAsiaTheme="minorEastAsia"/>
          <w:b/>
          <w:sz w:val="24"/>
          <w:szCs w:val="24"/>
          <w:highlight w:val="none"/>
        </w:rPr>
        <w:t>、（供应商）授权委托书</w:t>
      </w:r>
    </w:p>
    <w:p w14:paraId="0D630792">
      <w:pPr>
        <w:widowControl/>
        <w:overflowPunct w:val="0"/>
        <w:spacing w:line="360" w:lineRule="auto"/>
        <w:rPr>
          <w:rFonts w:asciiTheme="minorEastAsia" w:hAnsiTheme="minorEastAsia" w:eastAsiaTheme="minorEastAsia"/>
          <w:sz w:val="24"/>
          <w:szCs w:val="24"/>
          <w:highlight w:val="none"/>
        </w:rPr>
      </w:pPr>
    </w:p>
    <w:p w14:paraId="30FF6C60">
      <w:pPr>
        <w:widowControl/>
        <w:overflowPunct w:val="0"/>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授权委托书</w:t>
      </w:r>
    </w:p>
    <w:p w14:paraId="53B1A04C">
      <w:pPr>
        <w:widowControl/>
        <w:overflowPunct w:val="0"/>
        <w:spacing w:line="360" w:lineRule="auto"/>
        <w:rPr>
          <w:rFonts w:asciiTheme="minorEastAsia" w:hAnsiTheme="minorEastAsia" w:eastAsiaTheme="minorEastAsia"/>
          <w:sz w:val="24"/>
          <w:szCs w:val="24"/>
          <w:highlight w:val="none"/>
        </w:rPr>
      </w:pPr>
    </w:p>
    <w:p w14:paraId="654740D7">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本授权委托书声明：我（姓名）系</w:t>
      </w:r>
      <w:r>
        <w:rPr>
          <w:rFonts w:hint="eastAsia" w:asciiTheme="minorEastAsia" w:hAnsiTheme="minorEastAsia" w:eastAsiaTheme="minorEastAsia"/>
          <w:sz w:val="24"/>
          <w:szCs w:val="24"/>
          <w:highlight w:val="none"/>
          <w:u w:val="single"/>
        </w:rPr>
        <w:t>（供应商名称）</w:t>
      </w:r>
      <w:r>
        <w:rPr>
          <w:rFonts w:hint="eastAsia" w:asciiTheme="minorEastAsia" w:hAnsiTheme="minorEastAsia" w:eastAsiaTheme="minorEastAsia"/>
          <w:sz w:val="24"/>
          <w:szCs w:val="24"/>
          <w:highlight w:val="none"/>
        </w:rPr>
        <w:t>的法定代表人，现授权委托</w:t>
      </w:r>
      <w:r>
        <w:rPr>
          <w:rFonts w:hint="eastAsia" w:asciiTheme="minorEastAsia" w:hAnsiTheme="minorEastAsia" w:eastAsiaTheme="minorEastAsia"/>
          <w:sz w:val="24"/>
          <w:szCs w:val="24"/>
          <w:highlight w:val="none"/>
          <w:u w:val="single"/>
        </w:rPr>
        <w:t>（姓名）</w:t>
      </w:r>
      <w:r>
        <w:rPr>
          <w:rFonts w:hint="eastAsia" w:asciiTheme="minorEastAsia" w:hAnsiTheme="minorEastAsia" w:eastAsiaTheme="minorEastAsia"/>
          <w:sz w:val="24"/>
          <w:szCs w:val="24"/>
          <w:highlight w:val="none"/>
        </w:rPr>
        <w:t xml:space="preserve">为我公司授权代表（即代理人），以本公司的名义参加 </w:t>
      </w:r>
      <w:r>
        <w:rPr>
          <w:rFonts w:hint="eastAsia" w:asciiTheme="minorEastAsia" w:hAnsiTheme="minorEastAsia" w:eastAsiaTheme="minorEastAsia"/>
          <w:sz w:val="24"/>
          <w:szCs w:val="24"/>
          <w:highlight w:val="none"/>
          <w:u w:val="single"/>
        </w:rPr>
        <w:t xml:space="preserve"> 苏州海企国际工程咨询有限公司   </w:t>
      </w:r>
      <w:r>
        <w:rPr>
          <w:rFonts w:hint="eastAsia" w:asciiTheme="minorEastAsia" w:hAnsiTheme="minorEastAsia" w:eastAsiaTheme="minorEastAsia"/>
          <w:sz w:val="24"/>
          <w:szCs w:val="24"/>
          <w:highlight w:val="none"/>
        </w:rPr>
        <w:t>组织实施的编号为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号的磋商活动。授权代表在磋商活动过程中所签署的一切文件和处理与这有关的一切事务，我均予以承认。</w:t>
      </w:r>
    </w:p>
    <w:p w14:paraId="1466CBBF">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授权代表在授权委托书有效期内签署的所有文件不因授权委托的撤销而失效，除非有撤销授权委托的书面通知，本授权委托书自磋商活动开始至合同履行完毕止。</w:t>
      </w:r>
    </w:p>
    <w:p w14:paraId="1F38CEFC">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授权代表无转委托权。特此委托。</w:t>
      </w:r>
    </w:p>
    <w:p w14:paraId="098379B4">
      <w:pPr>
        <w:spacing w:line="360" w:lineRule="auto"/>
        <w:rPr>
          <w:rFonts w:asciiTheme="minorEastAsia" w:hAnsiTheme="minorEastAsia" w:eastAsiaTheme="minorEastAsia"/>
          <w:sz w:val="24"/>
          <w:szCs w:val="24"/>
          <w:highlight w:val="none"/>
        </w:rPr>
      </w:pPr>
    </w:p>
    <w:p w14:paraId="39FF682E">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响应供应商：（单位公章）</w:t>
      </w:r>
    </w:p>
    <w:p w14:paraId="22F091DE">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法定代表人：（签字或盖章）</w:t>
      </w:r>
    </w:p>
    <w:p w14:paraId="39305482">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代理人：（签字或盖章）</w:t>
      </w:r>
    </w:p>
    <w:p w14:paraId="78C02583">
      <w:pPr>
        <w:spacing w:line="360" w:lineRule="auto"/>
        <w:rPr>
          <w:rFonts w:asciiTheme="minorEastAsia" w:hAnsiTheme="minorEastAsia" w:eastAsiaTheme="minorEastAsia"/>
          <w:sz w:val="24"/>
          <w:szCs w:val="24"/>
          <w:highlight w:val="none"/>
        </w:rPr>
      </w:pPr>
    </w:p>
    <w:p w14:paraId="2138D4D9">
      <w:pPr>
        <w:spacing w:line="360" w:lineRule="auto"/>
        <w:rPr>
          <w:rFonts w:asciiTheme="minorEastAsia" w:hAnsiTheme="minorEastAsia" w:eastAsiaTheme="minorEastAsia"/>
          <w:sz w:val="24"/>
          <w:szCs w:val="24"/>
          <w:highlight w:val="none"/>
        </w:rPr>
      </w:pPr>
    </w:p>
    <w:p w14:paraId="31713917">
      <w:pPr>
        <w:spacing w:line="360" w:lineRule="auto"/>
        <w:rPr>
          <w:rFonts w:asciiTheme="minorEastAsia" w:hAnsiTheme="minorEastAsia" w:eastAsiaTheme="minorEastAsia"/>
          <w:sz w:val="24"/>
          <w:szCs w:val="24"/>
          <w:highlight w:val="none"/>
        </w:rPr>
      </w:pPr>
    </w:p>
    <w:p w14:paraId="65471742">
      <w:pPr>
        <w:spacing w:line="360" w:lineRule="auto"/>
        <w:rPr>
          <w:rFonts w:asciiTheme="minorEastAsia" w:hAnsiTheme="minorEastAsia" w:eastAsiaTheme="minorEastAsia"/>
          <w:sz w:val="24"/>
          <w:szCs w:val="24"/>
          <w:highlight w:val="none"/>
        </w:rPr>
      </w:pPr>
    </w:p>
    <w:p w14:paraId="62AE263A">
      <w:pPr>
        <w:widowControl/>
        <w:overflowPunct w:val="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年　　月　　日</w:t>
      </w:r>
    </w:p>
    <w:p w14:paraId="2C0E8F6E">
      <w:pPr>
        <w:widowControl/>
        <w:overflowPunct w:val="0"/>
        <w:jc w:val="left"/>
        <w:rPr>
          <w:rFonts w:asciiTheme="minorEastAsia" w:hAnsiTheme="minorEastAsia" w:eastAsiaTheme="minorEastAsia"/>
          <w:sz w:val="24"/>
          <w:szCs w:val="24"/>
          <w:highlight w:val="none"/>
        </w:rPr>
      </w:pPr>
    </w:p>
    <w:p w14:paraId="640D7D64">
      <w:pPr>
        <w:widowControl/>
        <w:overflowPunct w:val="0"/>
        <w:jc w:val="left"/>
        <w:rPr>
          <w:rFonts w:asciiTheme="minorEastAsia" w:hAnsiTheme="minorEastAsia" w:eastAsiaTheme="minorEastAsia"/>
          <w:sz w:val="24"/>
          <w:szCs w:val="24"/>
          <w:highlight w:val="none"/>
        </w:rPr>
      </w:pPr>
    </w:p>
    <w:p w14:paraId="1CC9D17F">
      <w:pPr>
        <w:spacing w:line="380" w:lineRule="exact"/>
        <w:rPr>
          <w:rFonts w:asciiTheme="minorEastAsia" w:hAnsiTheme="minorEastAsia" w:eastAsiaTheme="minorEastAsia"/>
          <w:b/>
          <w:sz w:val="24"/>
          <w:szCs w:val="24"/>
          <w:highlight w:val="none"/>
        </w:rPr>
      </w:pPr>
      <w:r>
        <w:rPr>
          <w:rFonts w:asciiTheme="minorEastAsia" w:hAnsiTheme="minorEastAsia" w:eastAsiaTheme="minorEastAsia"/>
          <w:highlight w:val="none"/>
        </w:rPr>
        <w:br w:type="page"/>
      </w:r>
      <w:r>
        <w:rPr>
          <w:rFonts w:hint="eastAsia" w:asciiTheme="minorEastAsia" w:hAnsiTheme="minorEastAsia" w:eastAsiaTheme="minorEastAsia"/>
          <w:b/>
          <w:sz w:val="24"/>
          <w:szCs w:val="24"/>
          <w:highlight w:val="none"/>
        </w:rPr>
        <w:t>附件2、磋商响应函</w:t>
      </w:r>
    </w:p>
    <w:p w14:paraId="55A334AF">
      <w:pPr>
        <w:spacing w:line="380" w:lineRule="exact"/>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磋商响应函</w:t>
      </w:r>
    </w:p>
    <w:p w14:paraId="3EFA218C">
      <w:pPr>
        <w:spacing w:line="380" w:lineRule="exact"/>
        <w:jc w:val="center"/>
        <w:rPr>
          <w:rFonts w:asciiTheme="minorEastAsia" w:hAnsiTheme="minorEastAsia" w:eastAsiaTheme="minorEastAsia"/>
          <w:sz w:val="24"/>
          <w:szCs w:val="24"/>
          <w:highlight w:val="none"/>
        </w:rPr>
      </w:pPr>
    </w:p>
    <w:p w14:paraId="2144BE13">
      <w:pPr>
        <w:spacing w:line="38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苏州海企国际工程咨询有限公司   </w:t>
      </w:r>
      <w:r>
        <w:rPr>
          <w:rFonts w:hint="eastAsia" w:asciiTheme="minorEastAsia" w:hAnsiTheme="minorEastAsia" w:eastAsiaTheme="minorEastAsia"/>
          <w:sz w:val="24"/>
          <w:szCs w:val="24"/>
          <w:highlight w:val="none"/>
        </w:rPr>
        <w:t>：</w:t>
      </w:r>
    </w:p>
    <w:p w14:paraId="36263347">
      <w:pPr>
        <w:spacing w:line="380" w:lineRule="exact"/>
        <w:rPr>
          <w:rFonts w:asciiTheme="minorEastAsia" w:hAnsiTheme="minorEastAsia" w:eastAsiaTheme="minorEastAsia"/>
          <w:sz w:val="24"/>
          <w:szCs w:val="24"/>
          <w:highlight w:val="none"/>
        </w:rPr>
      </w:pPr>
    </w:p>
    <w:p w14:paraId="1ED80E37">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我们收到贵公司</w:t>
      </w:r>
      <w:r>
        <w:rPr>
          <w:rFonts w:hint="eastAsia" w:asciiTheme="minorEastAsia" w:hAnsiTheme="minorEastAsia" w:eastAsiaTheme="minorEastAsia"/>
          <w:sz w:val="24"/>
          <w:szCs w:val="24"/>
          <w:highlight w:val="none"/>
          <w:u w:val="single"/>
          <w:lang w:val="en-US" w:eastAsia="zh-CN"/>
        </w:rPr>
        <w:t xml:space="preserve">                  </w:t>
      </w:r>
      <w:r>
        <w:rPr>
          <w:rFonts w:asciiTheme="minorEastAsia" w:hAnsiTheme="minorEastAsia" w:eastAsiaTheme="minorEastAsia"/>
          <w:sz w:val="24"/>
          <w:szCs w:val="24"/>
          <w:highlight w:val="none"/>
        </w:rPr>
        <w:t>号磋商文件，经仔细阅读和研究，我们决定参加磋商活动。</w:t>
      </w:r>
    </w:p>
    <w:p w14:paraId="663DA415">
      <w:pPr>
        <w:spacing w:line="360" w:lineRule="auto"/>
        <w:rPr>
          <w:rFonts w:asciiTheme="minorEastAsia" w:hAnsiTheme="minorEastAsia" w:eastAsiaTheme="minorEastAsia"/>
          <w:b/>
          <w:sz w:val="24"/>
          <w:szCs w:val="24"/>
          <w:highlight w:val="none"/>
        </w:rPr>
      </w:pPr>
      <w:r>
        <w:rPr>
          <w:rFonts w:asciiTheme="minorEastAsia" w:hAnsiTheme="minorEastAsia" w:eastAsiaTheme="minorEastAsia"/>
          <w:sz w:val="24"/>
          <w:szCs w:val="24"/>
          <w:highlight w:val="none"/>
        </w:rPr>
        <w:t>1、我们愿意按照磋商文件的一切要求，完成该项目的全部内容。</w:t>
      </w:r>
      <w:bookmarkStart w:id="6" w:name="_GoBack"/>
      <w:bookmarkEnd w:id="6"/>
    </w:p>
    <w:p w14:paraId="3DE2C727">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2、如果我们的磋商响应文件被接受，我们将严格履行磋商文件中规定的每一项要求，按期、按质、按量履行合同的义务。</w:t>
      </w:r>
    </w:p>
    <w:p w14:paraId="00ABDD04">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3、我们已详细阅读全部磋商文件，包括更正公告(如有)，对磋商文件及更正公告(如有)无任何异议。</w:t>
      </w:r>
    </w:p>
    <w:p w14:paraId="5EF657AB">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4、我们同意按磋商文件中的规定，本响应文件的有效期限自提交响应文件截止时间之日起</w:t>
      </w:r>
      <w:r>
        <w:rPr>
          <w:rFonts w:asciiTheme="minorEastAsia" w:hAnsiTheme="minorEastAsia" w:eastAsiaTheme="minorEastAsia"/>
          <w:sz w:val="24"/>
          <w:szCs w:val="24"/>
          <w:highlight w:val="none"/>
          <w:u w:val="single"/>
        </w:rPr>
        <w:t>60</w:t>
      </w:r>
      <w:r>
        <w:rPr>
          <w:rFonts w:asciiTheme="minorEastAsia" w:hAnsiTheme="minorEastAsia" w:eastAsiaTheme="minorEastAsia"/>
          <w:sz w:val="24"/>
          <w:szCs w:val="24"/>
          <w:highlight w:val="none"/>
        </w:rPr>
        <w:t>天。</w:t>
      </w:r>
    </w:p>
    <w:p w14:paraId="41DF9039">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5、我们愿意提供磋商采购单位在磋商文件中要求的相关资料。</w:t>
      </w:r>
    </w:p>
    <w:p w14:paraId="0D2DE789">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6、我们愿意遵守磋商文件中所列的收费标准。</w:t>
      </w:r>
    </w:p>
    <w:p w14:paraId="2A4BD5E6">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7、我们承诺该响应文件在磋商开始后的全过程中保持有效，不作任何更改和变动。</w:t>
      </w:r>
    </w:p>
    <w:p w14:paraId="41AD5015">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8、我们承诺我公司符合磋商文件中“合格供应商的基本、特定条件”的要求，若与真实情况不符，本公司愿意承担由此而产生的一切后果。</w:t>
      </w:r>
    </w:p>
    <w:p w14:paraId="35254A0D">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所有有关磋商文件的函电，请按下列地址联系：</w:t>
      </w:r>
    </w:p>
    <w:p w14:paraId="00DA453F">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单位：                             联系人：</w:t>
      </w:r>
    </w:p>
    <w:p w14:paraId="2666165E">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地址：                             邮政编码：</w:t>
      </w:r>
    </w:p>
    <w:p w14:paraId="3435935F">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联系电话：                         传真：</w:t>
      </w:r>
    </w:p>
    <w:p w14:paraId="7CD2147E">
      <w:pPr>
        <w:spacing w:line="360" w:lineRule="auto"/>
        <w:rPr>
          <w:rFonts w:asciiTheme="minorEastAsia" w:hAnsiTheme="minorEastAsia" w:eastAsiaTheme="minorEastAsia"/>
          <w:sz w:val="24"/>
          <w:szCs w:val="24"/>
          <w:highlight w:val="none"/>
        </w:rPr>
      </w:pPr>
    </w:p>
    <w:p w14:paraId="7CA7475F">
      <w:pPr>
        <w:spacing w:line="360" w:lineRule="auto"/>
        <w:rPr>
          <w:rFonts w:asciiTheme="minorEastAsia" w:hAnsiTheme="minorEastAsia" w:eastAsiaTheme="minorEastAsia"/>
          <w:sz w:val="24"/>
          <w:szCs w:val="24"/>
          <w:highlight w:val="none"/>
        </w:rPr>
      </w:pPr>
    </w:p>
    <w:p w14:paraId="0E3FFD8A">
      <w:pPr>
        <w:spacing w:line="360" w:lineRule="auto"/>
        <w:rPr>
          <w:rFonts w:asciiTheme="minorEastAsia" w:hAnsiTheme="minorEastAsia" w:eastAsiaTheme="minorEastAsia"/>
          <w:sz w:val="24"/>
          <w:szCs w:val="24"/>
          <w:highlight w:val="none"/>
        </w:rPr>
      </w:pPr>
    </w:p>
    <w:p w14:paraId="0DBE4462">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w:t>
      </w:r>
      <w:r>
        <w:rPr>
          <w:rFonts w:asciiTheme="minorEastAsia" w:hAnsiTheme="minorEastAsia" w:eastAsiaTheme="minorEastAsia"/>
          <w:sz w:val="24"/>
          <w:szCs w:val="24"/>
          <w:highlight w:val="none"/>
        </w:rPr>
        <w:t>供应商：（</w:t>
      </w:r>
      <w:r>
        <w:rPr>
          <w:rFonts w:hint="eastAsia" w:asciiTheme="minorEastAsia" w:hAnsiTheme="minorEastAsia" w:eastAsiaTheme="minorEastAsia"/>
          <w:sz w:val="24"/>
          <w:szCs w:val="24"/>
          <w:highlight w:val="none"/>
        </w:rPr>
        <w:t>单位</w:t>
      </w:r>
      <w:r>
        <w:rPr>
          <w:rFonts w:asciiTheme="minorEastAsia" w:hAnsiTheme="minorEastAsia" w:eastAsiaTheme="minorEastAsia"/>
          <w:sz w:val="24"/>
          <w:szCs w:val="24"/>
          <w:highlight w:val="none"/>
        </w:rPr>
        <w:t>公章）</w:t>
      </w:r>
    </w:p>
    <w:p w14:paraId="70FBF2D3">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法定代表人或代理人：（签字或盖章）</w:t>
      </w:r>
    </w:p>
    <w:p w14:paraId="09E8690E">
      <w:pP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日期：         年     月     日</w:t>
      </w:r>
    </w:p>
    <w:p w14:paraId="7E406708">
      <w:pPr>
        <w:spacing w:line="360" w:lineRule="auto"/>
        <w:rPr>
          <w:rFonts w:asciiTheme="minorEastAsia" w:hAnsiTheme="minorEastAsia" w:eastAsiaTheme="minorEastAsia"/>
          <w:b/>
          <w:sz w:val="24"/>
          <w:szCs w:val="24"/>
          <w:highlight w:val="none"/>
        </w:rPr>
      </w:pPr>
      <w:r>
        <w:rPr>
          <w:rFonts w:asciiTheme="minorEastAsia" w:hAnsiTheme="minorEastAsia" w:eastAsiaTheme="minorEastAsia"/>
          <w:highlight w:val="none"/>
        </w:rPr>
        <w:br w:type="page"/>
      </w:r>
      <w:r>
        <w:rPr>
          <w:rFonts w:hint="eastAsia" w:asciiTheme="minorEastAsia" w:hAnsiTheme="minorEastAsia" w:eastAsiaTheme="minorEastAsia"/>
          <w:b/>
          <w:sz w:val="24"/>
          <w:szCs w:val="24"/>
          <w:highlight w:val="none"/>
        </w:rPr>
        <w:t>附件</w:t>
      </w:r>
      <w:r>
        <w:rPr>
          <w:rFonts w:asciiTheme="minorEastAsia" w:hAnsiTheme="minorEastAsia" w:eastAsiaTheme="minorEastAsia"/>
          <w:b/>
          <w:sz w:val="24"/>
          <w:szCs w:val="24"/>
          <w:highlight w:val="none"/>
        </w:rPr>
        <w:t>3</w:t>
      </w:r>
      <w:r>
        <w:rPr>
          <w:rFonts w:hint="eastAsia" w:asciiTheme="minorEastAsia" w:hAnsiTheme="minorEastAsia" w:eastAsiaTheme="minorEastAsia"/>
          <w:b/>
          <w:sz w:val="24"/>
          <w:szCs w:val="24"/>
          <w:highlight w:val="none"/>
        </w:rPr>
        <w:t>、磋商响应报价表</w:t>
      </w:r>
    </w:p>
    <w:p w14:paraId="4E54999E">
      <w:pPr>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3-1</w:t>
      </w:r>
      <w:r>
        <w:rPr>
          <w:rFonts w:asciiTheme="minorEastAsia" w:hAnsiTheme="minorEastAsia" w:eastAsiaTheme="minorEastAsia"/>
          <w:b/>
          <w:sz w:val="24"/>
          <w:szCs w:val="24"/>
          <w:highlight w:val="none"/>
        </w:rPr>
        <w:t>磋商</w:t>
      </w:r>
      <w:r>
        <w:rPr>
          <w:rFonts w:hint="eastAsia" w:asciiTheme="minorEastAsia" w:hAnsiTheme="minorEastAsia" w:eastAsiaTheme="minorEastAsia"/>
          <w:b/>
          <w:sz w:val="24"/>
          <w:szCs w:val="24"/>
          <w:highlight w:val="none"/>
        </w:rPr>
        <w:t>响应</w:t>
      </w:r>
      <w:r>
        <w:rPr>
          <w:rFonts w:asciiTheme="minorEastAsia" w:hAnsiTheme="minorEastAsia" w:eastAsiaTheme="minorEastAsia"/>
          <w:b/>
          <w:sz w:val="24"/>
          <w:szCs w:val="24"/>
          <w:highlight w:val="none"/>
        </w:rPr>
        <w:t>报价表</w:t>
      </w:r>
    </w:p>
    <w:p w14:paraId="2AEB03F4">
      <w:pPr>
        <w:jc w:val="center"/>
        <w:rPr>
          <w:rFonts w:asciiTheme="minorEastAsia" w:hAnsiTheme="minorEastAsia" w:eastAsiaTheme="minorEastAsia"/>
          <w:b/>
          <w:sz w:val="24"/>
          <w:szCs w:val="24"/>
          <w:highlight w:val="none"/>
        </w:rPr>
      </w:pPr>
    </w:p>
    <w:tbl>
      <w:tblPr>
        <w:tblStyle w:val="45"/>
        <w:tblW w:w="10210" w:type="dxa"/>
        <w:jc w:val="center"/>
        <w:tblLayout w:type="fixed"/>
        <w:tblCellMar>
          <w:top w:w="0" w:type="dxa"/>
          <w:left w:w="0" w:type="dxa"/>
          <w:bottom w:w="0" w:type="dxa"/>
          <w:right w:w="0" w:type="dxa"/>
        </w:tblCellMar>
      </w:tblPr>
      <w:tblGrid>
        <w:gridCol w:w="2665"/>
        <w:gridCol w:w="7545"/>
      </w:tblGrid>
      <w:tr w14:paraId="0890D963">
        <w:tblPrEx>
          <w:tblCellMar>
            <w:top w:w="0" w:type="dxa"/>
            <w:left w:w="0" w:type="dxa"/>
            <w:bottom w:w="0" w:type="dxa"/>
            <w:right w:w="0"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E20A6E">
            <w:pPr>
              <w:widowControl/>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项目名称</w:t>
            </w:r>
          </w:p>
        </w:tc>
        <w:tc>
          <w:tcPr>
            <w:tcW w:w="7545" w:type="dxa"/>
            <w:tcBorders>
              <w:top w:val="single" w:color="000000" w:sz="4" w:space="0"/>
              <w:bottom w:val="single" w:color="000000" w:sz="4" w:space="0"/>
              <w:right w:val="single" w:color="000000" w:sz="4" w:space="0"/>
            </w:tcBorders>
            <w:tcMar>
              <w:top w:w="0" w:type="dxa"/>
              <w:left w:w="108" w:type="dxa"/>
              <w:bottom w:w="0" w:type="dxa"/>
              <w:right w:w="108" w:type="dxa"/>
            </w:tcMar>
            <w:vAlign w:val="center"/>
          </w:tcPr>
          <w:p w14:paraId="3A745D0C">
            <w:pPr>
              <w:widowControl/>
              <w:spacing w:line="360" w:lineRule="auto"/>
              <w:rPr>
                <w:rFonts w:asciiTheme="minorEastAsia" w:hAnsiTheme="minorEastAsia" w:eastAsiaTheme="minorEastAsia"/>
                <w:sz w:val="24"/>
                <w:szCs w:val="24"/>
                <w:highlight w:val="none"/>
              </w:rPr>
            </w:pPr>
          </w:p>
        </w:tc>
      </w:tr>
      <w:tr w14:paraId="66000168">
        <w:tblPrEx>
          <w:tblCellMar>
            <w:top w:w="0" w:type="dxa"/>
            <w:left w:w="0" w:type="dxa"/>
            <w:bottom w:w="0" w:type="dxa"/>
            <w:right w:w="0"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C9D1E3">
            <w:pPr>
              <w:widowControl/>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采购编号</w:t>
            </w:r>
          </w:p>
        </w:tc>
        <w:tc>
          <w:tcPr>
            <w:tcW w:w="7545" w:type="dxa"/>
            <w:tcBorders>
              <w:top w:val="single" w:color="000000" w:sz="4" w:space="0"/>
              <w:bottom w:val="single" w:color="000000" w:sz="4" w:space="0"/>
              <w:right w:val="single" w:color="000000" w:sz="4" w:space="0"/>
            </w:tcBorders>
            <w:tcMar>
              <w:top w:w="0" w:type="dxa"/>
              <w:left w:w="108" w:type="dxa"/>
              <w:bottom w:w="0" w:type="dxa"/>
              <w:right w:w="108" w:type="dxa"/>
            </w:tcMar>
            <w:vAlign w:val="center"/>
          </w:tcPr>
          <w:p w14:paraId="1241730E">
            <w:pPr>
              <w:widowControl/>
              <w:spacing w:line="360" w:lineRule="auto"/>
              <w:rPr>
                <w:rFonts w:asciiTheme="minorEastAsia" w:hAnsiTheme="minorEastAsia" w:eastAsiaTheme="minorEastAsia"/>
                <w:sz w:val="24"/>
                <w:szCs w:val="24"/>
                <w:highlight w:val="none"/>
              </w:rPr>
            </w:pPr>
          </w:p>
        </w:tc>
      </w:tr>
      <w:tr w14:paraId="6FE615A2">
        <w:tblPrEx>
          <w:tblCellMar>
            <w:top w:w="0" w:type="dxa"/>
            <w:left w:w="0" w:type="dxa"/>
            <w:bottom w:w="0" w:type="dxa"/>
            <w:right w:w="0"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BCF7A0">
            <w:pPr>
              <w:widowControl/>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响应总报价</w:t>
            </w:r>
          </w:p>
        </w:tc>
        <w:tc>
          <w:tcPr>
            <w:tcW w:w="7545" w:type="dxa"/>
            <w:tcBorders>
              <w:top w:val="single" w:color="000000" w:sz="4" w:space="0"/>
              <w:bottom w:val="single" w:color="000000" w:sz="4" w:space="0"/>
              <w:right w:val="single" w:color="000000" w:sz="4" w:space="0"/>
            </w:tcBorders>
            <w:tcMar>
              <w:top w:w="0" w:type="dxa"/>
              <w:left w:w="108" w:type="dxa"/>
              <w:bottom w:w="0" w:type="dxa"/>
              <w:right w:w="108" w:type="dxa"/>
            </w:tcMar>
            <w:vAlign w:val="center"/>
          </w:tcPr>
          <w:p w14:paraId="1264A5BF">
            <w:pPr>
              <w:widowControl/>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人民币大写：</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；（小写：¥ </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 ）</w:t>
            </w:r>
          </w:p>
        </w:tc>
      </w:tr>
      <w:tr w14:paraId="6E68FB47">
        <w:tblPrEx>
          <w:tblCellMar>
            <w:top w:w="0" w:type="dxa"/>
            <w:left w:w="0" w:type="dxa"/>
            <w:bottom w:w="0" w:type="dxa"/>
            <w:right w:w="0"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C8151A">
            <w:pPr>
              <w:widowControl/>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服务期限</w:t>
            </w:r>
          </w:p>
        </w:tc>
        <w:tc>
          <w:tcPr>
            <w:tcW w:w="7545" w:type="dxa"/>
            <w:tcBorders>
              <w:top w:val="single" w:color="000000" w:sz="4" w:space="0"/>
              <w:bottom w:val="single" w:color="000000" w:sz="4" w:space="0"/>
              <w:right w:val="single" w:color="000000" w:sz="4" w:space="0"/>
            </w:tcBorders>
            <w:tcMar>
              <w:top w:w="0" w:type="dxa"/>
              <w:left w:w="108" w:type="dxa"/>
              <w:bottom w:w="0" w:type="dxa"/>
              <w:right w:w="108" w:type="dxa"/>
            </w:tcMar>
            <w:vAlign w:val="center"/>
          </w:tcPr>
          <w:p w14:paraId="1745DF92">
            <w:pPr>
              <w:widowControl/>
              <w:spacing w:line="360" w:lineRule="auto"/>
              <w:rPr>
                <w:rFonts w:asciiTheme="minorEastAsia" w:hAnsiTheme="minorEastAsia" w:eastAsiaTheme="minorEastAsia"/>
                <w:sz w:val="24"/>
                <w:szCs w:val="24"/>
                <w:highlight w:val="none"/>
              </w:rPr>
            </w:pPr>
          </w:p>
        </w:tc>
      </w:tr>
      <w:tr w14:paraId="1F4B1F4D">
        <w:tblPrEx>
          <w:tblCellMar>
            <w:top w:w="0" w:type="dxa"/>
            <w:left w:w="0" w:type="dxa"/>
            <w:bottom w:w="0" w:type="dxa"/>
            <w:right w:w="0" w:type="dxa"/>
          </w:tblCellMar>
        </w:tblPrEx>
        <w:trPr>
          <w:trHeight w:val="680" w:hRule="atLeast"/>
          <w:jc w:val="center"/>
        </w:trPr>
        <w:tc>
          <w:tcPr>
            <w:tcW w:w="26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E50EC3">
            <w:pPr>
              <w:widowControl/>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是否小微企业</w:t>
            </w:r>
          </w:p>
        </w:tc>
        <w:tc>
          <w:tcPr>
            <w:tcW w:w="7545" w:type="dxa"/>
            <w:tcBorders>
              <w:top w:val="single" w:color="000000" w:sz="4" w:space="0"/>
              <w:bottom w:val="single" w:color="000000" w:sz="4" w:space="0"/>
              <w:right w:val="single" w:color="000000" w:sz="4" w:space="0"/>
            </w:tcBorders>
            <w:tcMar>
              <w:top w:w="0" w:type="dxa"/>
              <w:left w:w="108" w:type="dxa"/>
              <w:bottom w:w="0" w:type="dxa"/>
              <w:right w:w="108" w:type="dxa"/>
            </w:tcMar>
            <w:vAlign w:val="center"/>
          </w:tcPr>
          <w:p w14:paraId="38F05F8D">
            <w:pPr>
              <w:widowControl/>
              <w:spacing w:line="360" w:lineRule="auto"/>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□小型                □微型 </w:t>
            </w:r>
          </w:p>
        </w:tc>
      </w:tr>
    </w:tbl>
    <w:p w14:paraId="6BBECC0E">
      <w:pPr>
        <w:widowControl/>
        <w:spacing w:line="360" w:lineRule="auto"/>
        <w:ind w:firstLine="422" w:firstLineChars="200"/>
        <w:rPr>
          <w:rFonts w:ascii="宋体" w:hAnsi="宋体" w:cs="宋体"/>
          <w:sz w:val="24"/>
          <w:szCs w:val="24"/>
          <w:highlight w:val="none"/>
        </w:rPr>
      </w:pPr>
      <w:r>
        <w:rPr>
          <w:rFonts w:hint="eastAsia" w:cs="宋体" w:asciiTheme="minorEastAsia" w:hAnsiTheme="minorEastAsia" w:eastAsiaTheme="minorEastAsia"/>
          <w:b/>
          <w:szCs w:val="21"/>
          <w:highlight w:val="none"/>
        </w:rPr>
        <w:t>注：1、报价应包括但不限于完成该项目全部内容所需的材料费、人工费（包括人员工资、福利费、加班费、人身意外伤害险等）、设备工具费、成果编制费（含印刷费）、通讯费、交通费、差旅费、后续服务费、代理服务费、风险费、利润、税费及政策性文件规定和合同所包含的所有风险、责任等各项应有费用。</w:t>
      </w:r>
    </w:p>
    <w:p w14:paraId="2AD2FEE0">
      <w:pPr>
        <w:spacing w:line="360" w:lineRule="auto"/>
        <w:ind w:firstLine="422" w:firstLineChars="200"/>
        <w:rPr>
          <w:rFonts w:asciiTheme="minorEastAsia" w:hAnsiTheme="minorEastAsia" w:eastAsiaTheme="minorEastAsia"/>
          <w:sz w:val="24"/>
          <w:szCs w:val="24"/>
          <w:highlight w:val="none"/>
        </w:rPr>
      </w:pPr>
      <w:r>
        <w:rPr>
          <w:rFonts w:hint="eastAsia" w:asciiTheme="minorEastAsia" w:hAnsiTheme="minorEastAsia" w:eastAsiaTheme="minorEastAsia"/>
          <w:b/>
          <w:highlight w:val="none"/>
        </w:rPr>
        <w:t>2、报价金额全部采取人民币表示，响应报价精确到分。</w:t>
      </w:r>
    </w:p>
    <w:p w14:paraId="0A9D63A8">
      <w:pPr>
        <w:spacing w:line="400" w:lineRule="exact"/>
        <w:rPr>
          <w:rFonts w:asciiTheme="minorEastAsia" w:hAnsiTheme="minorEastAsia" w:eastAsiaTheme="minorEastAsia"/>
          <w:b/>
          <w:sz w:val="24"/>
          <w:szCs w:val="24"/>
          <w:highlight w:val="none"/>
        </w:rPr>
      </w:pPr>
    </w:p>
    <w:p w14:paraId="4C746A04">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w:t>
      </w:r>
      <w:r>
        <w:rPr>
          <w:rFonts w:asciiTheme="minorEastAsia" w:hAnsiTheme="minorEastAsia" w:eastAsiaTheme="minorEastAsia"/>
          <w:sz w:val="24"/>
          <w:szCs w:val="24"/>
          <w:highlight w:val="none"/>
        </w:rPr>
        <w:t>供应商：（</w:t>
      </w:r>
      <w:r>
        <w:rPr>
          <w:rFonts w:hint="eastAsia" w:asciiTheme="minorEastAsia" w:hAnsiTheme="minorEastAsia" w:eastAsiaTheme="minorEastAsia"/>
          <w:sz w:val="24"/>
          <w:szCs w:val="24"/>
          <w:highlight w:val="none"/>
        </w:rPr>
        <w:t>单位</w:t>
      </w:r>
      <w:r>
        <w:rPr>
          <w:rFonts w:asciiTheme="minorEastAsia" w:hAnsiTheme="minorEastAsia" w:eastAsiaTheme="minorEastAsia"/>
          <w:sz w:val="24"/>
          <w:szCs w:val="24"/>
          <w:highlight w:val="none"/>
        </w:rPr>
        <w:t>公章）</w:t>
      </w:r>
    </w:p>
    <w:p w14:paraId="3603ADBC">
      <w:pP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法定代表人或代理人：（签字或盖章）</w:t>
      </w:r>
    </w:p>
    <w:p w14:paraId="15C1C300">
      <w:pPr>
        <w:spacing w:line="360" w:lineRule="auto"/>
        <w:rPr>
          <w:rFonts w:asciiTheme="minorEastAsia" w:hAnsiTheme="minorEastAsia" w:eastAsiaTheme="minorEastAsia"/>
          <w:sz w:val="24"/>
          <w:szCs w:val="24"/>
          <w:highlight w:val="none"/>
        </w:rPr>
        <w:sectPr>
          <w:footerReference r:id="rId5" w:type="first"/>
          <w:headerReference r:id="rId3" w:type="default"/>
          <w:footerReference r:id="rId4" w:type="default"/>
          <w:pgSz w:w="11906" w:h="16838"/>
          <w:pgMar w:top="907" w:right="907" w:bottom="907" w:left="764" w:header="624" w:footer="510" w:gutter="113"/>
          <w:pgNumType w:start="1"/>
          <w:cols w:space="720" w:num="1"/>
          <w:titlePg/>
          <w:docGrid w:type="lines" w:linePitch="312" w:charSpace="0"/>
        </w:sectPr>
      </w:pPr>
      <w:r>
        <w:rPr>
          <w:rFonts w:hint="eastAsia" w:asciiTheme="minorEastAsia" w:hAnsiTheme="minorEastAsia" w:eastAsiaTheme="minorEastAsia"/>
          <w:sz w:val="24"/>
          <w:szCs w:val="24"/>
          <w:highlight w:val="none"/>
        </w:rPr>
        <w:t>日期：   年    月     日</w:t>
      </w:r>
    </w:p>
    <w:p w14:paraId="26A12FDE">
      <w:pPr>
        <w:spacing w:line="360" w:lineRule="auto"/>
        <w:jc w:val="center"/>
        <w:rPr>
          <w:rFonts w:ascii="宋体" w:hAnsi="宋体" w:cs="宋体"/>
          <w:b/>
          <w:sz w:val="24"/>
          <w:szCs w:val="24"/>
          <w:highlight w:val="none"/>
        </w:rPr>
      </w:pPr>
      <w:r>
        <w:rPr>
          <w:rFonts w:hint="eastAsia" w:ascii="宋体" w:hAnsi="宋体" w:cs="宋体"/>
          <w:b/>
          <w:sz w:val="24"/>
          <w:szCs w:val="24"/>
          <w:highlight w:val="none"/>
        </w:rPr>
        <w:t>3-2分项报价明细表</w:t>
      </w:r>
    </w:p>
    <w:p w14:paraId="0647BEE7">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项目名称：               </w:t>
      </w:r>
    </w:p>
    <w:p w14:paraId="04DE7604">
      <w:pPr>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项目编号： </w:t>
      </w:r>
    </w:p>
    <w:p w14:paraId="124C24F9">
      <w:pPr>
        <w:spacing w:line="360" w:lineRule="auto"/>
        <w:jc w:val="right"/>
        <w:rPr>
          <w:rFonts w:ascii="宋体" w:hAnsi="宋体" w:cs="宋体"/>
          <w:bCs/>
          <w:sz w:val="24"/>
          <w:szCs w:val="24"/>
          <w:highlight w:val="none"/>
        </w:rPr>
      </w:pPr>
      <w:r>
        <w:rPr>
          <w:rFonts w:hint="eastAsia" w:ascii="宋体" w:hAnsi="宋体" w:cs="宋体"/>
          <w:bCs/>
          <w:sz w:val="24"/>
          <w:szCs w:val="24"/>
          <w:highlight w:val="none"/>
        </w:rPr>
        <w:t>报价单位：元</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068"/>
        <w:gridCol w:w="1995"/>
        <w:gridCol w:w="1958"/>
        <w:gridCol w:w="1658"/>
        <w:gridCol w:w="1791"/>
      </w:tblGrid>
      <w:tr w14:paraId="74DDB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420" w:type="pct"/>
            <w:vAlign w:val="center"/>
          </w:tcPr>
          <w:p w14:paraId="5B7B1A4E">
            <w:pPr>
              <w:jc w:val="center"/>
              <w:rPr>
                <w:rFonts w:ascii="宋体" w:hAnsi="宋体" w:cs="宋体"/>
                <w:sz w:val="24"/>
                <w:szCs w:val="24"/>
                <w:highlight w:val="none"/>
              </w:rPr>
            </w:pPr>
            <w:r>
              <w:rPr>
                <w:rFonts w:hint="eastAsia" w:ascii="宋体" w:hAnsi="宋体" w:cs="宋体"/>
                <w:sz w:val="24"/>
                <w:szCs w:val="24"/>
                <w:highlight w:val="none"/>
              </w:rPr>
              <w:t>序号</w:t>
            </w:r>
          </w:p>
        </w:tc>
        <w:tc>
          <w:tcPr>
            <w:tcW w:w="1000" w:type="pct"/>
            <w:vAlign w:val="center"/>
          </w:tcPr>
          <w:p w14:paraId="4A82E717">
            <w:pPr>
              <w:jc w:val="center"/>
              <w:rPr>
                <w:rFonts w:ascii="宋体" w:hAnsi="宋体" w:cs="宋体"/>
                <w:sz w:val="24"/>
                <w:szCs w:val="24"/>
                <w:highlight w:val="none"/>
              </w:rPr>
            </w:pPr>
            <w:r>
              <w:rPr>
                <w:rFonts w:hint="eastAsia" w:ascii="宋体" w:hAnsi="宋体" w:cs="宋体"/>
                <w:sz w:val="24"/>
                <w:szCs w:val="24"/>
                <w:highlight w:val="none"/>
              </w:rPr>
              <w:t>项目名称</w:t>
            </w:r>
          </w:p>
        </w:tc>
        <w:tc>
          <w:tcPr>
            <w:tcW w:w="965" w:type="pct"/>
            <w:vAlign w:val="center"/>
          </w:tcPr>
          <w:p w14:paraId="47F38869">
            <w:pPr>
              <w:jc w:val="center"/>
              <w:rPr>
                <w:rFonts w:ascii="宋体" w:hAnsi="宋体" w:cs="宋体"/>
                <w:sz w:val="24"/>
                <w:szCs w:val="24"/>
                <w:highlight w:val="none"/>
              </w:rPr>
            </w:pPr>
            <w:r>
              <w:rPr>
                <w:rFonts w:hint="eastAsia" w:ascii="宋体" w:hAnsi="宋体" w:cs="宋体"/>
                <w:sz w:val="24"/>
                <w:szCs w:val="24"/>
                <w:highlight w:val="none"/>
              </w:rPr>
              <w:t>数量（栋）</w:t>
            </w:r>
          </w:p>
        </w:tc>
        <w:tc>
          <w:tcPr>
            <w:tcW w:w="947" w:type="pct"/>
            <w:vAlign w:val="center"/>
          </w:tcPr>
          <w:p w14:paraId="2EF9353D">
            <w:pPr>
              <w:jc w:val="center"/>
              <w:rPr>
                <w:rFonts w:ascii="宋体" w:hAnsi="宋体" w:cs="宋体"/>
                <w:sz w:val="24"/>
                <w:szCs w:val="24"/>
                <w:highlight w:val="none"/>
              </w:rPr>
            </w:pPr>
            <w:r>
              <w:rPr>
                <w:rFonts w:hint="eastAsia" w:ascii="宋体" w:hAnsi="宋体" w:cs="宋体"/>
                <w:sz w:val="24"/>
                <w:szCs w:val="24"/>
                <w:highlight w:val="none"/>
              </w:rPr>
              <w:t>单价（元/栋）</w:t>
            </w:r>
          </w:p>
        </w:tc>
        <w:tc>
          <w:tcPr>
            <w:tcW w:w="802" w:type="pct"/>
            <w:vAlign w:val="center"/>
          </w:tcPr>
          <w:p w14:paraId="11ABD46C">
            <w:pPr>
              <w:jc w:val="center"/>
              <w:rPr>
                <w:rFonts w:ascii="宋体" w:hAnsi="宋体" w:cs="宋体"/>
                <w:sz w:val="24"/>
                <w:szCs w:val="24"/>
                <w:highlight w:val="none"/>
              </w:rPr>
            </w:pPr>
            <w:r>
              <w:rPr>
                <w:rFonts w:hint="eastAsia" w:ascii="宋体" w:hAnsi="宋体" w:cs="宋体"/>
                <w:sz w:val="24"/>
                <w:szCs w:val="24"/>
                <w:highlight w:val="none"/>
              </w:rPr>
              <w:t>总价（元）</w:t>
            </w:r>
          </w:p>
        </w:tc>
        <w:tc>
          <w:tcPr>
            <w:tcW w:w="863" w:type="pct"/>
            <w:vAlign w:val="center"/>
          </w:tcPr>
          <w:p w14:paraId="565C7EA2">
            <w:pPr>
              <w:jc w:val="center"/>
              <w:rPr>
                <w:rFonts w:ascii="宋体" w:hAnsi="宋体" w:cs="宋体"/>
                <w:sz w:val="24"/>
                <w:szCs w:val="24"/>
                <w:highlight w:val="none"/>
              </w:rPr>
            </w:pPr>
            <w:r>
              <w:rPr>
                <w:rFonts w:hint="eastAsia" w:ascii="宋体" w:hAnsi="宋体" w:cs="宋体"/>
                <w:sz w:val="24"/>
                <w:szCs w:val="24"/>
                <w:highlight w:val="none"/>
              </w:rPr>
              <w:t>备注</w:t>
            </w:r>
          </w:p>
        </w:tc>
      </w:tr>
      <w:tr w14:paraId="2F279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exact"/>
          <w:jc w:val="center"/>
        </w:trPr>
        <w:tc>
          <w:tcPr>
            <w:tcW w:w="420" w:type="pct"/>
            <w:vAlign w:val="center"/>
          </w:tcPr>
          <w:p w14:paraId="141F9077">
            <w:pPr>
              <w:jc w:val="center"/>
              <w:rPr>
                <w:rFonts w:ascii="宋体" w:hAnsi="宋体" w:cs="宋体"/>
                <w:sz w:val="24"/>
                <w:szCs w:val="24"/>
                <w:highlight w:val="none"/>
              </w:rPr>
            </w:pPr>
            <w:r>
              <w:rPr>
                <w:rFonts w:hint="eastAsia" w:ascii="宋体" w:hAnsi="宋体" w:cs="宋体"/>
                <w:sz w:val="24"/>
                <w:szCs w:val="24"/>
                <w:highlight w:val="none"/>
              </w:rPr>
              <w:t>1</w:t>
            </w:r>
          </w:p>
        </w:tc>
        <w:tc>
          <w:tcPr>
            <w:tcW w:w="1000" w:type="pct"/>
            <w:vAlign w:val="center"/>
          </w:tcPr>
          <w:p w14:paraId="298036AC">
            <w:pPr>
              <w:jc w:val="center"/>
              <w:rPr>
                <w:rFonts w:ascii="宋体" w:hAnsi="宋体" w:cs="宋体"/>
                <w:sz w:val="24"/>
                <w:szCs w:val="24"/>
                <w:highlight w:val="none"/>
              </w:rPr>
            </w:pPr>
            <w:r>
              <w:rPr>
                <w:rFonts w:hint="eastAsia" w:ascii="宋体" w:hAnsi="宋体"/>
                <w:sz w:val="24"/>
                <w:highlight w:val="none"/>
              </w:rPr>
              <w:t>东渚街道</w:t>
            </w:r>
          </w:p>
        </w:tc>
        <w:tc>
          <w:tcPr>
            <w:tcW w:w="965" w:type="pct"/>
            <w:vAlign w:val="center"/>
          </w:tcPr>
          <w:p w14:paraId="4E6ABEBD">
            <w:pPr>
              <w:jc w:val="center"/>
              <w:rPr>
                <w:rFonts w:ascii="宋体" w:hAnsi="宋体" w:cs="宋体"/>
                <w:sz w:val="24"/>
                <w:szCs w:val="24"/>
                <w:highlight w:val="none"/>
              </w:rPr>
            </w:pPr>
            <w:r>
              <w:rPr>
                <w:rFonts w:hint="eastAsia" w:ascii="宋体" w:hAnsi="宋体"/>
                <w:sz w:val="24"/>
                <w:highlight w:val="none"/>
              </w:rPr>
              <w:t>3428</w:t>
            </w:r>
          </w:p>
        </w:tc>
        <w:tc>
          <w:tcPr>
            <w:tcW w:w="947" w:type="pct"/>
            <w:vAlign w:val="center"/>
          </w:tcPr>
          <w:p w14:paraId="5165FF2F">
            <w:pPr>
              <w:jc w:val="center"/>
              <w:rPr>
                <w:rFonts w:ascii="宋体" w:hAnsi="宋体" w:cs="宋体"/>
                <w:sz w:val="24"/>
                <w:szCs w:val="24"/>
                <w:highlight w:val="none"/>
              </w:rPr>
            </w:pPr>
          </w:p>
        </w:tc>
        <w:tc>
          <w:tcPr>
            <w:tcW w:w="802" w:type="pct"/>
            <w:vAlign w:val="center"/>
          </w:tcPr>
          <w:p w14:paraId="75CE634E">
            <w:pPr>
              <w:jc w:val="center"/>
              <w:rPr>
                <w:rFonts w:ascii="宋体" w:hAnsi="宋体" w:cs="宋体"/>
                <w:sz w:val="24"/>
                <w:szCs w:val="24"/>
                <w:highlight w:val="none"/>
              </w:rPr>
            </w:pPr>
          </w:p>
        </w:tc>
        <w:tc>
          <w:tcPr>
            <w:tcW w:w="863" w:type="pct"/>
            <w:vAlign w:val="center"/>
          </w:tcPr>
          <w:p w14:paraId="697591BB">
            <w:pPr>
              <w:jc w:val="center"/>
              <w:rPr>
                <w:rFonts w:ascii="宋体" w:hAnsi="宋体" w:cs="宋体"/>
                <w:sz w:val="24"/>
                <w:szCs w:val="24"/>
                <w:highlight w:val="none"/>
              </w:rPr>
            </w:pPr>
          </w:p>
        </w:tc>
      </w:tr>
      <w:tr w14:paraId="4868E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420" w:type="pct"/>
            <w:vAlign w:val="center"/>
          </w:tcPr>
          <w:p w14:paraId="52096175">
            <w:pPr>
              <w:jc w:val="center"/>
              <w:rPr>
                <w:rFonts w:ascii="宋体" w:hAnsi="宋体" w:cs="宋体"/>
                <w:sz w:val="24"/>
                <w:szCs w:val="24"/>
                <w:highlight w:val="none"/>
              </w:rPr>
            </w:pPr>
            <w:r>
              <w:rPr>
                <w:rFonts w:hint="eastAsia" w:ascii="宋体" w:hAnsi="宋体" w:cs="宋体"/>
                <w:sz w:val="24"/>
                <w:szCs w:val="24"/>
                <w:highlight w:val="none"/>
              </w:rPr>
              <w:t>2</w:t>
            </w:r>
          </w:p>
        </w:tc>
        <w:tc>
          <w:tcPr>
            <w:tcW w:w="1000" w:type="pct"/>
            <w:vAlign w:val="center"/>
          </w:tcPr>
          <w:p w14:paraId="5717F498">
            <w:pPr>
              <w:jc w:val="center"/>
              <w:rPr>
                <w:rFonts w:ascii="宋体" w:hAnsi="宋体" w:cs="宋体"/>
                <w:sz w:val="24"/>
                <w:szCs w:val="24"/>
                <w:highlight w:val="none"/>
              </w:rPr>
            </w:pPr>
            <w:r>
              <w:rPr>
                <w:rFonts w:hint="eastAsia" w:ascii="宋体" w:hAnsi="宋体"/>
                <w:sz w:val="24"/>
                <w:highlight w:val="none"/>
              </w:rPr>
              <w:t>通安镇</w:t>
            </w:r>
          </w:p>
        </w:tc>
        <w:tc>
          <w:tcPr>
            <w:tcW w:w="965" w:type="pct"/>
            <w:vAlign w:val="center"/>
          </w:tcPr>
          <w:p w14:paraId="254848F2">
            <w:pPr>
              <w:jc w:val="center"/>
              <w:rPr>
                <w:rFonts w:ascii="宋体" w:hAnsi="宋体" w:cs="宋体"/>
                <w:sz w:val="24"/>
                <w:szCs w:val="24"/>
                <w:highlight w:val="none"/>
              </w:rPr>
            </w:pPr>
            <w:r>
              <w:rPr>
                <w:rFonts w:hint="eastAsia" w:ascii="宋体" w:hAnsi="宋体"/>
                <w:sz w:val="24"/>
                <w:highlight w:val="none"/>
              </w:rPr>
              <w:t>5281</w:t>
            </w:r>
          </w:p>
        </w:tc>
        <w:tc>
          <w:tcPr>
            <w:tcW w:w="947" w:type="pct"/>
            <w:vAlign w:val="center"/>
          </w:tcPr>
          <w:p w14:paraId="392CF0BC">
            <w:pPr>
              <w:jc w:val="center"/>
              <w:rPr>
                <w:rFonts w:ascii="宋体" w:hAnsi="宋体" w:cs="宋体"/>
                <w:sz w:val="24"/>
                <w:szCs w:val="24"/>
                <w:highlight w:val="none"/>
              </w:rPr>
            </w:pPr>
          </w:p>
        </w:tc>
        <w:tc>
          <w:tcPr>
            <w:tcW w:w="802" w:type="pct"/>
            <w:vAlign w:val="center"/>
          </w:tcPr>
          <w:p w14:paraId="3F1BA106">
            <w:pPr>
              <w:jc w:val="center"/>
              <w:rPr>
                <w:rFonts w:ascii="宋体" w:hAnsi="宋体" w:cs="宋体"/>
                <w:sz w:val="24"/>
                <w:szCs w:val="24"/>
                <w:highlight w:val="none"/>
              </w:rPr>
            </w:pPr>
          </w:p>
        </w:tc>
        <w:tc>
          <w:tcPr>
            <w:tcW w:w="863" w:type="pct"/>
            <w:vAlign w:val="center"/>
          </w:tcPr>
          <w:p w14:paraId="5ECD56B9">
            <w:pPr>
              <w:jc w:val="center"/>
              <w:rPr>
                <w:rFonts w:ascii="宋体" w:hAnsi="宋体" w:cs="宋体"/>
                <w:sz w:val="24"/>
                <w:szCs w:val="24"/>
                <w:highlight w:val="none"/>
              </w:rPr>
            </w:pPr>
          </w:p>
        </w:tc>
      </w:tr>
      <w:tr w14:paraId="65AE4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420" w:type="pct"/>
            <w:vAlign w:val="center"/>
          </w:tcPr>
          <w:p w14:paraId="19FC4A62">
            <w:pPr>
              <w:jc w:val="center"/>
              <w:rPr>
                <w:rFonts w:ascii="宋体" w:hAnsi="宋体" w:cs="宋体"/>
                <w:bCs/>
                <w:sz w:val="24"/>
                <w:szCs w:val="24"/>
                <w:highlight w:val="none"/>
              </w:rPr>
            </w:pPr>
            <w:r>
              <w:rPr>
                <w:rFonts w:hint="eastAsia" w:ascii="宋体" w:hAnsi="宋体" w:cs="宋体"/>
                <w:bCs/>
                <w:sz w:val="24"/>
                <w:szCs w:val="24"/>
                <w:highlight w:val="none"/>
              </w:rPr>
              <w:t>3</w:t>
            </w:r>
          </w:p>
        </w:tc>
        <w:tc>
          <w:tcPr>
            <w:tcW w:w="1000" w:type="pct"/>
            <w:vAlign w:val="center"/>
          </w:tcPr>
          <w:p w14:paraId="176215A4">
            <w:pPr>
              <w:jc w:val="center"/>
              <w:rPr>
                <w:rFonts w:ascii="宋体" w:hAnsi="宋体" w:cs="宋体"/>
                <w:sz w:val="24"/>
                <w:szCs w:val="24"/>
                <w:highlight w:val="none"/>
              </w:rPr>
            </w:pPr>
            <w:r>
              <w:rPr>
                <w:rFonts w:hint="eastAsia" w:ascii="宋体" w:hAnsi="宋体"/>
                <w:sz w:val="24"/>
                <w:highlight w:val="none"/>
              </w:rPr>
              <w:t>镇湖街道</w:t>
            </w:r>
          </w:p>
        </w:tc>
        <w:tc>
          <w:tcPr>
            <w:tcW w:w="965" w:type="pct"/>
            <w:vAlign w:val="center"/>
          </w:tcPr>
          <w:p w14:paraId="28453A94">
            <w:pPr>
              <w:jc w:val="center"/>
              <w:rPr>
                <w:rFonts w:ascii="宋体" w:hAnsi="宋体" w:cs="宋体"/>
                <w:bCs/>
                <w:sz w:val="24"/>
                <w:szCs w:val="24"/>
                <w:highlight w:val="none"/>
                <w:u w:val="single"/>
              </w:rPr>
            </w:pPr>
            <w:r>
              <w:rPr>
                <w:rFonts w:hint="eastAsia" w:ascii="宋体" w:hAnsi="宋体"/>
                <w:sz w:val="24"/>
                <w:highlight w:val="none"/>
              </w:rPr>
              <w:t>9156</w:t>
            </w:r>
          </w:p>
        </w:tc>
        <w:tc>
          <w:tcPr>
            <w:tcW w:w="947" w:type="pct"/>
            <w:vAlign w:val="center"/>
          </w:tcPr>
          <w:p w14:paraId="263AF729">
            <w:pPr>
              <w:jc w:val="center"/>
              <w:rPr>
                <w:rFonts w:ascii="宋体" w:hAnsi="宋体" w:cs="宋体"/>
                <w:sz w:val="24"/>
                <w:szCs w:val="24"/>
                <w:highlight w:val="none"/>
              </w:rPr>
            </w:pPr>
          </w:p>
        </w:tc>
        <w:tc>
          <w:tcPr>
            <w:tcW w:w="802" w:type="pct"/>
            <w:vAlign w:val="center"/>
          </w:tcPr>
          <w:p w14:paraId="4CA0BEF3">
            <w:pPr>
              <w:jc w:val="center"/>
              <w:rPr>
                <w:rFonts w:ascii="宋体" w:hAnsi="宋体" w:cs="宋体"/>
                <w:sz w:val="24"/>
                <w:szCs w:val="24"/>
                <w:highlight w:val="none"/>
              </w:rPr>
            </w:pPr>
          </w:p>
        </w:tc>
        <w:tc>
          <w:tcPr>
            <w:tcW w:w="863" w:type="pct"/>
            <w:vAlign w:val="center"/>
          </w:tcPr>
          <w:p w14:paraId="29B9863E">
            <w:pPr>
              <w:rPr>
                <w:rFonts w:ascii="宋体" w:hAnsi="宋体" w:cs="宋体"/>
                <w:bCs/>
                <w:sz w:val="24"/>
                <w:szCs w:val="24"/>
                <w:highlight w:val="none"/>
                <w:u w:val="single"/>
              </w:rPr>
            </w:pPr>
          </w:p>
        </w:tc>
      </w:tr>
      <w:tr w14:paraId="40615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000" w:type="pct"/>
            <w:gridSpan w:val="6"/>
            <w:vAlign w:val="center"/>
          </w:tcPr>
          <w:p w14:paraId="5FB61078">
            <w:pPr>
              <w:rPr>
                <w:rFonts w:ascii="宋体" w:hAnsi="宋体" w:cs="宋体"/>
                <w:sz w:val="24"/>
                <w:szCs w:val="24"/>
                <w:highlight w:val="none"/>
              </w:rPr>
            </w:pPr>
            <w:r>
              <w:rPr>
                <w:rFonts w:hint="eastAsia" w:ascii="宋体" w:hAnsi="宋体" w:cs="宋体"/>
                <w:sz w:val="24"/>
                <w:szCs w:val="24"/>
                <w:highlight w:val="none"/>
              </w:rPr>
              <w:t xml:space="preserve">合计：人民币大写： </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w:t>
            </w:r>
            <w:r>
              <w:rPr>
                <w:rFonts w:ascii="宋体" w:hAnsi="宋体" w:cs="宋体"/>
                <w:sz w:val="24"/>
                <w:szCs w:val="24"/>
                <w:highlight w:val="none"/>
              </w:rPr>
              <w:t xml:space="preserve">        </w:t>
            </w:r>
            <w:r>
              <w:rPr>
                <w:rFonts w:hint="eastAsia" w:ascii="宋体" w:hAnsi="宋体" w:cs="宋体"/>
                <w:sz w:val="24"/>
                <w:szCs w:val="24"/>
                <w:highlight w:val="none"/>
              </w:rPr>
              <w:t>）</w:t>
            </w:r>
          </w:p>
        </w:tc>
      </w:tr>
    </w:tbl>
    <w:p w14:paraId="4DF12CAA">
      <w:pPr>
        <w:tabs>
          <w:tab w:val="left" w:pos="2075"/>
        </w:tabs>
        <w:spacing w:line="360" w:lineRule="auto"/>
        <w:jc w:val="left"/>
        <w:rPr>
          <w:rFonts w:ascii="宋体" w:hAnsi="宋体" w:cs="宋体"/>
          <w:sz w:val="24"/>
          <w:szCs w:val="24"/>
          <w:highlight w:val="none"/>
        </w:rPr>
      </w:pPr>
    </w:p>
    <w:p w14:paraId="08E3DB9C">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w:t>
      </w:r>
      <w:r>
        <w:rPr>
          <w:rFonts w:asciiTheme="minorEastAsia" w:hAnsiTheme="minorEastAsia" w:eastAsiaTheme="minorEastAsia"/>
          <w:sz w:val="24"/>
          <w:szCs w:val="24"/>
          <w:highlight w:val="none"/>
        </w:rPr>
        <w:t>供应商：（公章）</w:t>
      </w:r>
    </w:p>
    <w:p w14:paraId="3B8D7861">
      <w:pP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法定代表人或代理人：（签字或盖章）</w:t>
      </w:r>
    </w:p>
    <w:p w14:paraId="645042F8">
      <w:pPr>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日期：    年   月    日</w:t>
      </w:r>
    </w:p>
    <w:p w14:paraId="636DAA0B">
      <w:pPr>
        <w:rPr>
          <w:rFonts w:asciiTheme="minorEastAsia" w:hAnsiTheme="minorEastAsia" w:eastAsiaTheme="minorEastAsia"/>
          <w:b/>
          <w:sz w:val="24"/>
          <w:szCs w:val="24"/>
          <w:highlight w:val="none"/>
        </w:rPr>
      </w:pPr>
    </w:p>
    <w:p w14:paraId="360D4AE6">
      <w:pP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br w:type="page"/>
      </w:r>
    </w:p>
    <w:p w14:paraId="223C8340">
      <w:pPr>
        <w:widowControl/>
        <w:overflowPunct w:val="0"/>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附件4、偏离表</w:t>
      </w:r>
    </w:p>
    <w:p w14:paraId="7A77BB96">
      <w:pPr>
        <w:spacing w:line="360" w:lineRule="auto"/>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服务要求偏离表</w:t>
      </w:r>
    </w:p>
    <w:p w14:paraId="4D917302">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单位名称（盖章）：</w:t>
      </w:r>
    </w:p>
    <w:tbl>
      <w:tblPr>
        <w:tblStyle w:val="45"/>
        <w:tblW w:w="10173" w:type="dxa"/>
        <w:tblInd w:w="0" w:type="dxa"/>
        <w:tblLayout w:type="fixed"/>
        <w:tblCellMar>
          <w:top w:w="0" w:type="dxa"/>
          <w:left w:w="0" w:type="dxa"/>
          <w:bottom w:w="0" w:type="dxa"/>
          <w:right w:w="0" w:type="dxa"/>
        </w:tblCellMar>
      </w:tblPr>
      <w:tblGrid>
        <w:gridCol w:w="719"/>
        <w:gridCol w:w="1691"/>
        <w:gridCol w:w="2251"/>
        <w:gridCol w:w="2251"/>
        <w:gridCol w:w="1701"/>
        <w:gridCol w:w="1560"/>
      </w:tblGrid>
      <w:tr w14:paraId="7E15DA75">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6595AF">
            <w:pPr>
              <w:spacing w:before="156" w:after="156"/>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序号</w:t>
            </w: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0E56B5">
            <w:pPr>
              <w:spacing w:before="156" w:after="156"/>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服务内容</w:t>
            </w: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BE4E59">
            <w:pPr>
              <w:spacing w:before="156" w:after="156"/>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采购要求</w:t>
            </w: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D657D5">
            <w:pPr>
              <w:spacing w:before="156" w:after="156"/>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响应要求</w:t>
            </w: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2C8BC4">
            <w:pPr>
              <w:spacing w:before="156" w:after="156"/>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偏离/响应</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5A94BC">
            <w:pPr>
              <w:spacing w:before="156" w:after="156"/>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说明</w:t>
            </w:r>
          </w:p>
        </w:tc>
      </w:tr>
      <w:tr w14:paraId="38A7B871">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0F92F9">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0B4DAE">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5B12FB">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70432B">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E84118">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4E31FA">
            <w:pPr>
              <w:spacing w:before="156" w:after="156"/>
              <w:jc w:val="center"/>
              <w:rPr>
                <w:rFonts w:asciiTheme="minorEastAsia" w:hAnsiTheme="minorEastAsia" w:eastAsiaTheme="minorEastAsia"/>
                <w:sz w:val="24"/>
                <w:szCs w:val="24"/>
                <w:highlight w:val="none"/>
              </w:rPr>
            </w:pPr>
          </w:p>
        </w:tc>
      </w:tr>
      <w:tr w14:paraId="2DF224C5">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90FB0F">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54E6E7">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6EAD6D">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B0D2A2">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E59A46">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4329DD">
            <w:pPr>
              <w:spacing w:before="156" w:after="156"/>
              <w:jc w:val="center"/>
              <w:rPr>
                <w:rFonts w:asciiTheme="minorEastAsia" w:hAnsiTheme="minorEastAsia" w:eastAsiaTheme="minorEastAsia"/>
                <w:sz w:val="24"/>
                <w:szCs w:val="24"/>
                <w:highlight w:val="none"/>
              </w:rPr>
            </w:pPr>
          </w:p>
        </w:tc>
      </w:tr>
      <w:tr w14:paraId="293B688A">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6EB219">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29BA17">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EB5963">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84CBCA">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B0AD4D">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FF17A3">
            <w:pPr>
              <w:spacing w:before="156" w:after="156"/>
              <w:jc w:val="center"/>
              <w:rPr>
                <w:rFonts w:asciiTheme="minorEastAsia" w:hAnsiTheme="minorEastAsia" w:eastAsiaTheme="minorEastAsia"/>
                <w:sz w:val="24"/>
                <w:szCs w:val="24"/>
                <w:highlight w:val="none"/>
              </w:rPr>
            </w:pPr>
          </w:p>
        </w:tc>
      </w:tr>
      <w:tr w14:paraId="2C903C79">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35650E">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D4AB67">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D5BCDE">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E5F707">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5E329C">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00FD68">
            <w:pPr>
              <w:spacing w:before="156" w:after="156"/>
              <w:jc w:val="center"/>
              <w:rPr>
                <w:rFonts w:asciiTheme="minorEastAsia" w:hAnsiTheme="minorEastAsia" w:eastAsiaTheme="minorEastAsia"/>
                <w:sz w:val="24"/>
                <w:szCs w:val="24"/>
                <w:highlight w:val="none"/>
              </w:rPr>
            </w:pPr>
          </w:p>
        </w:tc>
      </w:tr>
      <w:tr w14:paraId="24AD462F">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AC3E90">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2A767C">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6AE370">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1928A0">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7ED62D">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6392C7">
            <w:pPr>
              <w:spacing w:before="156" w:after="156"/>
              <w:jc w:val="center"/>
              <w:rPr>
                <w:rFonts w:asciiTheme="minorEastAsia" w:hAnsiTheme="minorEastAsia" w:eastAsiaTheme="minorEastAsia"/>
                <w:sz w:val="24"/>
                <w:szCs w:val="24"/>
                <w:highlight w:val="none"/>
              </w:rPr>
            </w:pPr>
          </w:p>
        </w:tc>
      </w:tr>
      <w:tr w14:paraId="761E0BDC">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4367A3">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41FE1C">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F53CC1">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ADA187">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D0DF37">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E67EE4">
            <w:pPr>
              <w:spacing w:before="156" w:after="156"/>
              <w:jc w:val="center"/>
              <w:rPr>
                <w:rFonts w:asciiTheme="minorEastAsia" w:hAnsiTheme="minorEastAsia" w:eastAsiaTheme="minorEastAsia"/>
                <w:sz w:val="24"/>
                <w:szCs w:val="24"/>
                <w:highlight w:val="none"/>
              </w:rPr>
            </w:pPr>
          </w:p>
        </w:tc>
      </w:tr>
      <w:tr w14:paraId="335E9FC3">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5473A1">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AA28AB">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2299AD">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5673FF">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860BE9">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445C90">
            <w:pPr>
              <w:spacing w:before="156" w:after="156"/>
              <w:jc w:val="center"/>
              <w:rPr>
                <w:rFonts w:asciiTheme="minorEastAsia" w:hAnsiTheme="minorEastAsia" w:eastAsiaTheme="minorEastAsia"/>
                <w:sz w:val="24"/>
                <w:szCs w:val="24"/>
                <w:highlight w:val="none"/>
              </w:rPr>
            </w:pPr>
          </w:p>
        </w:tc>
      </w:tr>
      <w:tr w14:paraId="4165952F">
        <w:tblPrEx>
          <w:tblCellMar>
            <w:top w:w="0" w:type="dxa"/>
            <w:left w:w="0" w:type="dxa"/>
            <w:bottom w:w="0" w:type="dxa"/>
            <w:right w:w="0" w:type="dxa"/>
          </w:tblCellMar>
        </w:tblPrEx>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B67B96">
            <w:pPr>
              <w:spacing w:before="156" w:after="156"/>
              <w:jc w:val="center"/>
              <w:rPr>
                <w:rFonts w:asciiTheme="minorEastAsia" w:hAnsiTheme="minorEastAsia" w:eastAsiaTheme="minorEastAsia"/>
                <w:sz w:val="24"/>
                <w:szCs w:val="24"/>
                <w:highlight w:val="none"/>
              </w:rPr>
            </w:pPr>
          </w:p>
        </w:tc>
        <w:tc>
          <w:tcPr>
            <w:tcW w:w="16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791A95">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BDBA99">
            <w:pPr>
              <w:spacing w:before="156" w:after="156"/>
              <w:jc w:val="center"/>
              <w:rPr>
                <w:rFonts w:asciiTheme="minorEastAsia" w:hAnsiTheme="minorEastAsia" w:eastAsiaTheme="minorEastAsia"/>
                <w:sz w:val="24"/>
                <w:szCs w:val="24"/>
                <w:highlight w:val="none"/>
              </w:rPr>
            </w:pPr>
          </w:p>
        </w:tc>
        <w:tc>
          <w:tcPr>
            <w:tcW w:w="22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F52716">
            <w:pPr>
              <w:spacing w:before="156" w:after="156"/>
              <w:jc w:val="center"/>
              <w:rPr>
                <w:rFonts w:asciiTheme="minorEastAsia" w:hAnsiTheme="minorEastAsia" w:eastAsiaTheme="minorEastAsia"/>
                <w:sz w:val="24"/>
                <w:szCs w:val="24"/>
                <w:highlight w:val="none"/>
              </w:rPr>
            </w:pPr>
          </w:p>
        </w:tc>
        <w:tc>
          <w:tcPr>
            <w:tcW w:w="17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C52529">
            <w:pPr>
              <w:spacing w:before="156" w:after="156"/>
              <w:jc w:val="center"/>
              <w:rPr>
                <w:rFonts w:asciiTheme="minorEastAsia" w:hAnsiTheme="minorEastAsia" w:eastAsiaTheme="minorEastAsia"/>
                <w:sz w:val="24"/>
                <w:szCs w:val="24"/>
                <w:highlight w:val="none"/>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2C2D53">
            <w:pPr>
              <w:spacing w:before="156" w:after="156"/>
              <w:jc w:val="center"/>
              <w:rPr>
                <w:rFonts w:asciiTheme="minorEastAsia" w:hAnsiTheme="minorEastAsia" w:eastAsiaTheme="minorEastAsia"/>
                <w:sz w:val="24"/>
                <w:szCs w:val="24"/>
                <w:highlight w:val="none"/>
              </w:rPr>
            </w:pPr>
          </w:p>
        </w:tc>
      </w:tr>
    </w:tbl>
    <w:p w14:paraId="679A6250">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注：1、响应单位应对照磋商文件服务要求等要求，所响应标的物与磋商文件的规定有偏离的，应在此表中申明与服务要求条文的偏差和例外。</w:t>
      </w:r>
    </w:p>
    <w:p w14:paraId="4AF866E9">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未在上表中说明的，如在响应文件其他内容中已有文字说明的，则以已有文字说明为准，否则，将被认为完全响应磋商文件的规定。但该表不作为响应单位对所响应标的物关于服务要求等详细描述和说明的替代。</w:t>
      </w:r>
    </w:p>
    <w:p w14:paraId="6AA1A805">
      <w:pPr>
        <w:spacing w:line="360" w:lineRule="auto"/>
        <w:rPr>
          <w:rFonts w:asciiTheme="minorEastAsia" w:hAnsiTheme="minorEastAsia" w:eastAsiaTheme="minorEastAsia"/>
          <w:sz w:val="24"/>
          <w:szCs w:val="24"/>
          <w:highlight w:val="none"/>
        </w:rPr>
      </w:pPr>
    </w:p>
    <w:p w14:paraId="74F7320C">
      <w:pPr>
        <w:spacing w:line="360" w:lineRule="auto"/>
        <w:rPr>
          <w:rFonts w:asciiTheme="minorEastAsia" w:hAnsiTheme="minorEastAsia" w:eastAsiaTheme="minorEastAsia"/>
          <w:sz w:val="24"/>
          <w:szCs w:val="24"/>
          <w:highlight w:val="none"/>
        </w:rPr>
      </w:pPr>
    </w:p>
    <w:p w14:paraId="40E77BE6">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w:t>
      </w:r>
      <w:r>
        <w:rPr>
          <w:rFonts w:asciiTheme="minorEastAsia" w:hAnsiTheme="minorEastAsia" w:eastAsiaTheme="minorEastAsia"/>
          <w:sz w:val="24"/>
          <w:szCs w:val="24"/>
          <w:highlight w:val="none"/>
        </w:rPr>
        <w:t>供应商：（公章）</w:t>
      </w:r>
    </w:p>
    <w:p w14:paraId="57466514">
      <w:pP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法定代表人或代理人：（签字或盖章）</w:t>
      </w:r>
    </w:p>
    <w:p w14:paraId="09A8B527">
      <w:pPr>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日期：    年   月    日</w:t>
      </w:r>
    </w:p>
    <w:p w14:paraId="34441702">
      <w:pPr>
        <w:widowControl/>
        <w:overflowPunct w:val="0"/>
        <w:spacing w:line="360" w:lineRule="auto"/>
        <w:jc w:val="center"/>
        <w:rPr>
          <w:rFonts w:asciiTheme="minorEastAsia" w:hAnsiTheme="minorEastAsia" w:eastAsiaTheme="minorEastAsia"/>
          <w:highlight w:val="none"/>
        </w:rPr>
      </w:pPr>
      <w:r>
        <w:rPr>
          <w:rFonts w:asciiTheme="minorEastAsia" w:hAnsiTheme="minorEastAsia" w:eastAsiaTheme="minorEastAsia"/>
          <w:highlight w:val="none"/>
        </w:rPr>
        <w:br w:type="page"/>
      </w:r>
    </w:p>
    <w:p w14:paraId="0360B4C5">
      <w:pPr>
        <w:widowControl/>
        <w:overflowPunct w:val="0"/>
        <w:spacing w:line="360" w:lineRule="auto"/>
        <w:jc w:val="center"/>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商务条款偏离表</w:t>
      </w:r>
    </w:p>
    <w:p w14:paraId="7FC10BCD">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单位名称（盖章）：</w:t>
      </w:r>
    </w:p>
    <w:tbl>
      <w:tblPr>
        <w:tblStyle w:val="45"/>
        <w:tblW w:w="998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4"/>
        <w:gridCol w:w="3249"/>
        <w:gridCol w:w="2158"/>
        <w:gridCol w:w="2030"/>
        <w:gridCol w:w="1739"/>
      </w:tblGrid>
      <w:tr w14:paraId="5476E4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jc w:val="center"/>
        </w:trPr>
        <w:tc>
          <w:tcPr>
            <w:tcW w:w="804" w:type="dxa"/>
            <w:tcBorders>
              <w:top w:val="single" w:color="auto" w:sz="8" w:space="0"/>
              <w:left w:val="single" w:color="auto" w:sz="8" w:space="0"/>
              <w:bottom w:val="single" w:color="auto" w:sz="8" w:space="0"/>
              <w:right w:val="single" w:color="auto" w:sz="8" w:space="0"/>
            </w:tcBorders>
            <w:vAlign w:val="center"/>
          </w:tcPr>
          <w:p w14:paraId="3045FAF0">
            <w:pPr>
              <w:spacing w:line="360" w:lineRule="auto"/>
              <w:jc w:val="center"/>
              <w:rPr>
                <w:rFonts w:ascii="宋体" w:hAnsi="宋体"/>
                <w:b/>
                <w:bCs/>
                <w:sz w:val="24"/>
                <w:szCs w:val="24"/>
                <w:highlight w:val="none"/>
              </w:rPr>
            </w:pPr>
            <w:r>
              <w:rPr>
                <w:rFonts w:hint="eastAsia" w:ascii="宋体" w:hAnsi="宋体"/>
                <w:b/>
                <w:bCs/>
                <w:sz w:val="24"/>
                <w:szCs w:val="24"/>
                <w:highlight w:val="none"/>
              </w:rPr>
              <w:t>序号</w:t>
            </w:r>
          </w:p>
        </w:tc>
        <w:tc>
          <w:tcPr>
            <w:tcW w:w="3249" w:type="dxa"/>
            <w:tcBorders>
              <w:top w:val="single" w:color="auto" w:sz="8" w:space="0"/>
              <w:left w:val="single" w:color="auto" w:sz="8" w:space="0"/>
              <w:bottom w:val="single" w:color="auto" w:sz="8" w:space="0"/>
              <w:right w:val="single" w:color="auto" w:sz="8" w:space="0"/>
            </w:tcBorders>
            <w:vAlign w:val="center"/>
          </w:tcPr>
          <w:p w14:paraId="46B2D592">
            <w:pPr>
              <w:spacing w:line="360" w:lineRule="auto"/>
              <w:jc w:val="center"/>
              <w:rPr>
                <w:rFonts w:ascii="宋体" w:hAnsi="宋体"/>
                <w:b/>
                <w:bCs/>
                <w:sz w:val="24"/>
                <w:szCs w:val="24"/>
                <w:highlight w:val="none"/>
              </w:rPr>
            </w:pPr>
            <w:r>
              <w:rPr>
                <w:rFonts w:hint="eastAsia" w:ascii="宋体" w:hAnsi="宋体"/>
                <w:b/>
                <w:bCs/>
                <w:sz w:val="24"/>
                <w:szCs w:val="24"/>
                <w:highlight w:val="none"/>
              </w:rPr>
              <w:t>磋商文件要求</w:t>
            </w:r>
          </w:p>
        </w:tc>
        <w:tc>
          <w:tcPr>
            <w:tcW w:w="2158" w:type="dxa"/>
            <w:tcBorders>
              <w:top w:val="single" w:color="auto" w:sz="8" w:space="0"/>
              <w:left w:val="single" w:color="auto" w:sz="8" w:space="0"/>
              <w:bottom w:val="single" w:color="auto" w:sz="8" w:space="0"/>
              <w:right w:val="single" w:color="auto" w:sz="8" w:space="0"/>
            </w:tcBorders>
            <w:vAlign w:val="center"/>
          </w:tcPr>
          <w:p w14:paraId="58BE0604">
            <w:pPr>
              <w:spacing w:line="360" w:lineRule="auto"/>
              <w:jc w:val="center"/>
              <w:rPr>
                <w:rFonts w:ascii="宋体" w:hAnsi="宋体"/>
                <w:b/>
                <w:bCs/>
                <w:sz w:val="24"/>
                <w:szCs w:val="24"/>
                <w:highlight w:val="none"/>
              </w:rPr>
            </w:pPr>
            <w:r>
              <w:rPr>
                <w:rFonts w:hint="eastAsia" w:ascii="宋体" w:hAnsi="宋体"/>
                <w:b/>
                <w:bCs/>
                <w:sz w:val="24"/>
                <w:szCs w:val="24"/>
                <w:highlight w:val="none"/>
              </w:rPr>
              <w:t>投标响应</w:t>
            </w:r>
          </w:p>
        </w:tc>
        <w:tc>
          <w:tcPr>
            <w:tcW w:w="2030" w:type="dxa"/>
            <w:tcBorders>
              <w:top w:val="single" w:color="auto" w:sz="8" w:space="0"/>
              <w:left w:val="single" w:color="auto" w:sz="8" w:space="0"/>
              <w:bottom w:val="single" w:color="auto" w:sz="8" w:space="0"/>
              <w:right w:val="single" w:color="auto" w:sz="8" w:space="0"/>
            </w:tcBorders>
            <w:vAlign w:val="center"/>
          </w:tcPr>
          <w:p w14:paraId="085EE5A2">
            <w:pPr>
              <w:spacing w:line="360" w:lineRule="auto"/>
              <w:jc w:val="center"/>
              <w:rPr>
                <w:rFonts w:ascii="宋体" w:hAnsi="宋体"/>
                <w:b/>
                <w:bCs/>
                <w:sz w:val="24"/>
                <w:szCs w:val="24"/>
                <w:highlight w:val="none"/>
              </w:rPr>
            </w:pPr>
            <w:r>
              <w:rPr>
                <w:rFonts w:hint="eastAsia" w:ascii="宋体" w:hAnsi="宋体"/>
                <w:b/>
                <w:bCs/>
                <w:sz w:val="24"/>
                <w:szCs w:val="24"/>
                <w:highlight w:val="none"/>
              </w:rPr>
              <w:t>偏离说明</w:t>
            </w:r>
          </w:p>
        </w:tc>
        <w:tc>
          <w:tcPr>
            <w:tcW w:w="1739" w:type="dxa"/>
            <w:tcBorders>
              <w:top w:val="single" w:color="auto" w:sz="8" w:space="0"/>
              <w:left w:val="single" w:color="auto" w:sz="8" w:space="0"/>
              <w:bottom w:val="single" w:color="auto" w:sz="8" w:space="0"/>
              <w:right w:val="single" w:color="auto" w:sz="8" w:space="0"/>
            </w:tcBorders>
            <w:vAlign w:val="center"/>
          </w:tcPr>
          <w:p w14:paraId="422AA911">
            <w:pPr>
              <w:spacing w:line="360" w:lineRule="auto"/>
              <w:jc w:val="center"/>
              <w:rPr>
                <w:rFonts w:ascii="宋体" w:hAnsi="宋体"/>
                <w:b/>
                <w:bCs/>
                <w:sz w:val="24"/>
                <w:szCs w:val="24"/>
                <w:highlight w:val="none"/>
              </w:rPr>
            </w:pPr>
            <w:r>
              <w:rPr>
                <w:rFonts w:hint="eastAsia" w:ascii="宋体" w:hAnsi="宋体"/>
                <w:b/>
                <w:bCs/>
                <w:sz w:val="24"/>
                <w:szCs w:val="24"/>
                <w:highlight w:val="none"/>
              </w:rPr>
              <w:t>备注</w:t>
            </w:r>
          </w:p>
        </w:tc>
      </w:tr>
      <w:tr w14:paraId="1CFD25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jc w:val="center"/>
        </w:trPr>
        <w:tc>
          <w:tcPr>
            <w:tcW w:w="804" w:type="dxa"/>
            <w:tcBorders>
              <w:top w:val="single" w:color="auto" w:sz="8" w:space="0"/>
              <w:left w:val="single" w:color="auto" w:sz="8" w:space="0"/>
              <w:bottom w:val="single" w:color="auto" w:sz="8" w:space="0"/>
              <w:right w:val="single" w:color="auto" w:sz="8" w:space="0"/>
            </w:tcBorders>
          </w:tcPr>
          <w:p w14:paraId="3A5FCBEC">
            <w:pPr>
              <w:spacing w:line="360" w:lineRule="auto"/>
              <w:jc w:val="center"/>
              <w:rPr>
                <w:rFonts w:ascii="宋体" w:hAnsi="宋体"/>
                <w:bCs/>
                <w:sz w:val="24"/>
                <w:szCs w:val="24"/>
                <w:highlight w:val="none"/>
              </w:rPr>
            </w:pPr>
            <w:r>
              <w:rPr>
                <w:rFonts w:hint="eastAsia" w:ascii="宋体" w:hAnsi="宋体"/>
                <w:bCs/>
                <w:sz w:val="24"/>
                <w:szCs w:val="24"/>
                <w:highlight w:val="none"/>
              </w:rPr>
              <w:t>(1)</w:t>
            </w:r>
          </w:p>
        </w:tc>
        <w:tc>
          <w:tcPr>
            <w:tcW w:w="3249" w:type="dxa"/>
            <w:tcBorders>
              <w:top w:val="single" w:color="auto" w:sz="8" w:space="0"/>
              <w:left w:val="single" w:color="auto" w:sz="8" w:space="0"/>
              <w:bottom w:val="single" w:color="auto" w:sz="8" w:space="0"/>
              <w:right w:val="single" w:color="auto" w:sz="8" w:space="0"/>
            </w:tcBorders>
          </w:tcPr>
          <w:p w14:paraId="2000C82E">
            <w:pPr>
              <w:spacing w:line="360" w:lineRule="auto"/>
              <w:rPr>
                <w:rFonts w:ascii="宋体" w:hAnsi="宋体" w:cs="仿宋_GB2312"/>
                <w:sz w:val="24"/>
                <w:szCs w:val="24"/>
                <w:highlight w:val="none"/>
                <w:lang w:val="zh-CN"/>
              </w:rPr>
            </w:pPr>
            <w:r>
              <w:rPr>
                <w:rFonts w:hint="eastAsia" w:ascii="宋体" w:hAnsi="宋体" w:cs="仿宋_GB2312"/>
                <w:sz w:val="24"/>
                <w:szCs w:val="24"/>
                <w:highlight w:val="none"/>
                <w:lang w:val="zh-CN"/>
              </w:rPr>
              <w:t>服务期限</w:t>
            </w:r>
          </w:p>
        </w:tc>
        <w:tc>
          <w:tcPr>
            <w:tcW w:w="2158" w:type="dxa"/>
            <w:tcBorders>
              <w:top w:val="single" w:color="auto" w:sz="8" w:space="0"/>
              <w:left w:val="single" w:color="auto" w:sz="8" w:space="0"/>
              <w:bottom w:val="single" w:color="auto" w:sz="8" w:space="0"/>
              <w:right w:val="single" w:color="auto" w:sz="8" w:space="0"/>
            </w:tcBorders>
          </w:tcPr>
          <w:p w14:paraId="79926169">
            <w:pPr>
              <w:spacing w:line="360" w:lineRule="auto"/>
              <w:rPr>
                <w:rFonts w:ascii="宋体" w:hAnsi="宋体"/>
                <w:sz w:val="24"/>
                <w:szCs w:val="24"/>
                <w:highlight w:val="none"/>
              </w:rPr>
            </w:pPr>
          </w:p>
        </w:tc>
        <w:tc>
          <w:tcPr>
            <w:tcW w:w="2030" w:type="dxa"/>
            <w:tcBorders>
              <w:top w:val="single" w:color="auto" w:sz="8" w:space="0"/>
              <w:left w:val="single" w:color="auto" w:sz="8" w:space="0"/>
              <w:bottom w:val="single" w:color="auto" w:sz="8" w:space="0"/>
              <w:right w:val="single" w:color="auto" w:sz="8" w:space="0"/>
            </w:tcBorders>
          </w:tcPr>
          <w:p w14:paraId="5DA05FC9">
            <w:pPr>
              <w:spacing w:line="360" w:lineRule="auto"/>
              <w:rPr>
                <w:rFonts w:ascii="宋体" w:hAnsi="宋体"/>
                <w:sz w:val="24"/>
                <w:szCs w:val="24"/>
                <w:highlight w:val="none"/>
              </w:rPr>
            </w:pPr>
          </w:p>
        </w:tc>
        <w:tc>
          <w:tcPr>
            <w:tcW w:w="1739" w:type="dxa"/>
            <w:tcBorders>
              <w:top w:val="single" w:color="auto" w:sz="8" w:space="0"/>
              <w:left w:val="single" w:color="auto" w:sz="8" w:space="0"/>
              <w:bottom w:val="single" w:color="auto" w:sz="8" w:space="0"/>
              <w:right w:val="single" w:color="auto" w:sz="8" w:space="0"/>
            </w:tcBorders>
          </w:tcPr>
          <w:p w14:paraId="4A936A47">
            <w:pPr>
              <w:spacing w:line="360" w:lineRule="auto"/>
              <w:rPr>
                <w:rFonts w:ascii="宋体" w:hAnsi="宋体"/>
                <w:sz w:val="24"/>
                <w:szCs w:val="24"/>
                <w:highlight w:val="none"/>
              </w:rPr>
            </w:pPr>
          </w:p>
        </w:tc>
      </w:tr>
      <w:tr w14:paraId="5F3376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jc w:val="center"/>
        </w:trPr>
        <w:tc>
          <w:tcPr>
            <w:tcW w:w="804" w:type="dxa"/>
            <w:tcBorders>
              <w:top w:val="single" w:color="auto" w:sz="8" w:space="0"/>
              <w:left w:val="single" w:color="auto" w:sz="8" w:space="0"/>
              <w:bottom w:val="single" w:color="auto" w:sz="8" w:space="0"/>
              <w:right w:val="single" w:color="auto" w:sz="8" w:space="0"/>
            </w:tcBorders>
          </w:tcPr>
          <w:p w14:paraId="3A572E1A">
            <w:pPr>
              <w:spacing w:line="360" w:lineRule="auto"/>
              <w:jc w:val="center"/>
              <w:rPr>
                <w:rFonts w:ascii="宋体" w:hAnsi="宋体"/>
                <w:bCs/>
                <w:sz w:val="24"/>
                <w:szCs w:val="24"/>
                <w:highlight w:val="none"/>
              </w:rPr>
            </w:pPr>
            <w:r>
              <w:rPr>
                <w:rFonts w:hint="eastAsia" w:ascii="宋体" w:hAnsi="宋体"/>
                <w:bCs/>
                <w:sz w:val="24"/>
                <w:szCs w:val="24"/>
                <w:highlight w:val="none"/>
              </w:rPr>
              <w:t>(2)</w:t>
            </w:r>
          </w:p>
        </w:tc>
        <w:tc>
          <w:tcPr>
            <w:tcW w:w="3249" w:type="dxa"/>
            <w:tcBorders>
              <w:top w:val="single" w:color="auto" w:sz="8" w:space="0"/>
              <w:left w:val="single" w:color="auto" w:sz="8" w:space="0"/>
              <w:bottom w:val="single" w:color="auto" w:sz="8" w:space="0"/>
              <w:right w:val="single" w:color="auto" w:sz="8" w:space="0"/>
            </w:tcBorders>
          </w:tcPr>
          <w:p w14:paraId="7AE9B672">
            <w:pPr>
              <w:spacing w:line="360" w:lineRule="auto"/>
              <w:rPr>
                <w:rFonts w:ascii="宋体" w:hAnsi="宋体" w:cs="仿宋_GB2312"/>
                <w:sz w:val="24"/>
                <w:szCs w:val="24"/>
                <w:highlight w:val="none"/>
                <w:lang w:val="zh-CN"/>
              </w:rPr>
            </w:pPr>
            <w:r>
              <w:rPr>
                <w:rFonts w:hint="eastAsia" w:ascii="宋体" w:hAnsi="宋体" w:cs="仿宋_GB2312"/>
                <w:sz w:val="24"/>
                <w:szCs w:val="24"/>
                <w:highlight w:val="none"/>
                <w:lang w:val="zh-CN"/>
              </w:rPr>
              <w:t>服务地点</w:t>
            </w:r>
          </w:p>
        </w:tc>
        <w:tc>
          <w:tcPr>
            <w:tcW w:w="2158" w:type="dxa"/>
            <w:tcBorders>
              <w:top w:val="single" w:color="auto" w:sz="8" w:space="0"/>
              <w:left w:val="single" w:color="auto" w:sz="8" w:space="0"/>
              <w:bottom w:val="single" w:color="auto" w:sz="8" w:space="0"/>
              <w:right w:val="single" w:color="auto" w:sz="8" w:space="0"/>
            </w:tcBorders>
          </w:tcPr>
          <w:p w14:paraId="15DDA666">
            <w:pPr>
              <w:spacing w:line="360" w:lineRule="auto"/>
              <w:rPr>
                <w:rFonts w:ascii="宋体" w:hAnsi="宋体"/>
                <w:sz w:val="24"/>
                <w:szCs w:val="24"/>
                <w:highlight w:val="none"/>
              </w:rPr>
            </w:pPr>
          </w:p>
        </w:tc>
        <w:tc>
          <w:tcPr>
            <w:tcW w:w="2030" w:type="dxa"/>
            <w:tcBorders>
              <w:top w:val="single" w:color="auto" w:sz="8" w:space="0"/>
              <w:left w:val="single" w:color="auto" w:sz="8" w:space="0"/>
              <w:bottom w:val="single" w:color="auto" w:sz="8" w:space="0"/>
              <w:right w:val="single" w:color="auto" w:sz="8" w:space="0"/>
            </w:tcBorders>
          </w:tcPr>
          <w:p w14:paraId="7F44BCFE">
            <w:pPr>
              <w:spacing w:line="360" w:lineRule="auto"/>
              <w:rPr>
                <w:rFonts w:ascii="宋体" w:hAnsi="宋体"/>
                <w:sz w:val="24"/>
                <w:szCs w:val="24"/>
                <w:highlight w:val="none"/>
              </w:rPr>
            </w:pPr>
          </w:p>
        </w:tc>
        <w:tc>
          <w:tcPr>
            <w:tcW w:w="1739" w:type="dxa"/>
            <w:tcBorders>
              <w:top w:val="single" w:color="auto" w:sz="8" w:space="0"/>
              <w:left w:val="single" w:color="auto" w:sz="8" w:space="0"/>
              <w:bottom w:val="single" w:color="auto" w:sz="8" w:space="0"/>
              <w:right w:val="single" w:color="auto" w:sz="8" w:space="0"/>
            </w:tcBorders>
          </w:tcPr>
          <w:p w14:paraId="3F53AFC2">
            <w:pPr>
              <w:spacing w:line="360" w:lineRule="auto"/>
              <w:rPr>
                <w:rFonts w:ascii="宋体" w:hAnsi="宋体"/>
                <w:sz w:val="24"/>
                <w:szCs w:val="24"/>
                <w:highlight w:val="none"/>
              </w:rPr>
            </w:pPr>
          </w:p>
        </w:tc>
      </w:tr>
      <w:tr w14:paraId="75CFCA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jc w:val="center"/>
        </w:trPr>
        <w:tc>
          <w:tcPr>
            <w:tcW w:w="804" w:type="dxa"/>
            <w:tcBorders>
              <w:top w:val="single" w:color="auto" w:sz="8" w:space="0"/>
              <w:left w:val="single" w:color="auto" w:sz="8" w:space="0"/>
              <w:bottom w:val="single" w:color="auto" w:sz="8" w:space="0"/>
              <w:right w:val="single" w:color="auto" w:sz="8" w:space="0"/>
            </w:tcBorders>
          </w:tcPr>
          <w:p w14:paraId="1CC7EEE7">
            <w:pPr>
              <w:spacing w:line="360" w:lineRule="auto"/>
              <w:jc w:val="center"/>
              <w:rPr>
                <w:rFonts w:ascii="宋体" w:hAnsi="宋体"/>
                <w:bCs/>
                <w:sz w:val="24"/>
                <w:szCs w:val="24"/>
                <w:highlight w:val="none"/>
              </w:rPr>
            </w:pPr>
            <w:r>
              <w:rPr>
                <w:rFonts w:hint="eastAsia" w:ascii="宋体" w:hAnsi="宋体"/>
                <w:bCs/>
                <w:sz w:val="24"/>
                <w:szCs w:val="24"/>
                <w:highlight w:val="none"/>
              </w:rPr>
              <w:t>(3)</w:t>
            </w:r>
          </w:p>
        </w:tc>
        <w:tc>
          <w:tcPr>
            <w:tcW w:w="3249" w:type="dxa"/>
            <w:tcBorders>
              <w:top w:val="single" w:color="auto" w:sz="8" w:space="0"/>
              <w:left w:val="single" w:color="auto" w:sz="8" w:space="0"/>
              <w:bottom w:val="single" w:color="auto" w:sz="8" w:space="0"/>
              <w:right w:val="single" w:color="auto" w:sz="8" w:space="0"/>
            </w:tcBorders>
          </w:tcPr>
          <w:p w14:paraId="31E4017C">
            <w:pPr>
              <w:spacing w:line="360" w:lineRule="auto"/>
              <w:rPr>
                <w:rFonts w:ascii="宋体" w:hAnsi="宋体" w:cs="仿宋_GB2312"/>
                <w:sz w:val="24"/>
                <w:szCs w:val="24"/>
                <w:highlight w:val="none"/>
              </w:rPr>
            </w:pPr>
            <w:r>
              <w:rPr>
                <w:rFonts w:hint="eastAsia" w:ascii="宋体" w:hAnsi="宋体" w:cs="仿宋_GB2312"/>
                <w:sz w:val="24"/>
                <w:szCs w:val="24"/>
                <w:highlight w:val="none"/>
                <w:lang w:val="zh-CN"/>
              </w:rPr>
              <w:t>付款</w:t>
            </w:r>
            <w:r>
              <w:rPr>
                <w:rFonts w:hint="eastAsia" w:ascii="宋体" w:hAnsi="宋体" w:cs="仿宋_GB2312"/>
                <w:sz w:val="24"/>
                <w:szCs w:val="24"/>
                <w:highlight w:val="none"/>
              </w:rPr>
              <w:t>进度、方式</w:t>
            </w:r>
          </w:p>
        </w:tc>
        <w:tc>
          <w:tcPr>
            <w:tcW w:w="2158" w:type="dxa"/>
            <w:tcBorders>
              <w:top w:val="single" w:color="auto" w:sz="8" w:space="0"/>
              <w:left w:val="single" w:color="auto" w:sz="8" w:space="0"/>
              <w:bottom w:val="single" w:color="auto" w:sz="8" w:space="0"/>
              <w:right w:val="single" w:color="auto" w:sz="8" w:space="0"/>
            </w:tcBorders>
          </w:tcPr>
          <w:p w14:paraId="618B5841">
            <w:pPr>
              <w:spacing w:line="360" w:lineRule="auto"/>
              <w:rPr>
                <w:rFonts w:ascii="宋体" w:hAnsi="宋体"/>
                <w:sz w:val="24"/>
                <w:szCs w:val="24"/>
                <w:highlight w:val="none"/>
              </w:rPr>
            </w:pPr>
          </w:p>
        </w:tc>
        <w:tc>
          <w:tcPr>
            <w:tcW w:w="2030" w:type="dxa"/>
            <w:tcBorders>
              <w:top w:val="single" w:color="auto" w:sz="8" w:space="0"/>
              <w:left w:val="single" w:color="auto" w:sz="8" w:space="0"/>
              <w:bottom w:val="single" w:color="auto" w:sz="8" w:space="0"/>
              <w:right w:val="single" w:color="auto" w:sz="8" w:space="0"/>
            </w:tcBorders>
          </w:tcPr>
          <w:p w14:paraId="18E66CF4">
            <w:pPr>
              <w:spacing w:line="360" w:lineRule="auto"/>
              <w:rPr>
                <w:rFonts w:ascii="宋体" w:hAnsi="宋体"/>
                <w:sz w:val="24"/>
                <w:szCs w:val="24"/>
                <w:highlight w:val="none"/>
              </w:rPr>
            </w:pPr>
          </w:p>
        </w:tc>
        <w:tc>
          <w:tcPr>
            <w:tcW w:w="1739" w:type="dxa"/>
            <w:tcBorders>
              <w:top w:val="single" w:color="auto" w:sz="8" w:space="0"/>
              <w:left w:val="single" w:color="auto" w:sz="8" w:space="0"/>
              <w:bottom w:val="single" w:color="auto" w:sz="8" w:space="0"/>
              <w:right w:val="single" w:color="auto" w:sz="8" w:space="0"/>
            </w:tcBorders>
          </w:tcPr>
          <w:p w14:paraId="7EEBC3A5">
            <w:pPr>
              <w:spacing w:line="360" w:lineRule="auto"/>
              <w:rPr>
                <w:rFonts w:ascii="宋体" w:hAnsi="宋体"/>
                <w:sz w:val="24"/>
                <w:szCs w:val="24"/>
                <w:highlight w:val="none"/>
              </w:rPr>
            </w:pPr>
          </w:p>
        </w:tc>
      </w:tr>
      <w:tr w14:paraId="45A852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jc w:val="center"/>
        </w:trPr>
        <w:tc>
          <w:tcPr>
            <w:tcW w:w="804" w:type="dxa"/>
            <w:tcBorders>
              <w:top w:val="single" w:color="auto" w:sz="8" w:space="0"/>
              <w:left w:val="single" w:color="auto" w:sz="8" w:space="0"/>
              <w:bottom w:val="single" w:color="auto" w:sz="8" w:space="0"/>
              <w:right w:val="single" w:color="auto" w:sz="8" w:space="0"/>
            </w:tcBorders>
          </w:tcPr>
          <w:p w14:paraId="2CEB5C42">
            <w:pPr>
              <w:spacing w:line="360" w:lineRule="auto"/>
              <w:jc w:val="center"/>
              <w:rPr>
                <w:rFonts w:ascii="宋体" w:hAnsi="宋体"/>
                <w:bCs/>
                <w:sz w:val="24"/>
                <w:szCs w:val="24"/>
                <w:highlight w:val="none"/>
              </w:rPr>
            </w:pPr>
            <w:r>
              <w:rPr>
                <w:rFonts w:hint="eastAsia" w:ascii="宋体" w:hAnsi="宋体"/>
                <w:bCs/>
                <w:sz w:val="24"/>
                <w:szCs w:val="24"/>
                <w:highlight w:val="none"/>
              </w:rPr>
              <w:t>…</w:t>
            </w:r>
          </w:p>
        </w:tc>
        <w:tc>
          <w:tcPr>
            <w:tcW w:w="3249" w:type="dxa"/>
            <w:tcBorders>
              <w:top w:val="single" w:color="auto" w:sz="8" w:space="0"/>
              <w:left w:val="single" w:color="auto" w:sz="8" w:space="0"/>
              <w:bottom w:val="single" w:color="auto" w:sz="8" w:space="0"/>
              <w:right w:val="single" w:color="auto" w:sz="8" w:space="0"/>
            </w:tcBorders>
          </w:tcPr>
          <w:p w14:paraId="230B4F12">
            <w:pPr>
              <w:spacing w:line="360" w:lineRule="auto"/>
              <w:rPr>
                <w:rFonts w:ascii="宋体" w:hAnsi="宋体"/>
                <w:bCs/>
                <w:sz w:val="24"/>
                <w:szCs w:val="24"/>
                <w:highlight w:val="none"/>
              </w:rPr>
            </w:pPr>
            <w:r>
              <w:rPr>
                <w:rFonts w:hint="eastAsia" w:ascii="宋体" w:hAnsi="宋体" w:cs="仿宋_GB2312"/>
                <w:sz w:val="24"/>
                <w:szCs w:val="24"/>
                <w:highlight w:val="none"/>
                <w:lang w:val="zh-CN"/>
              </w:rPr>
              <w:t>其他商务要求</w:t>
            </w:r>
          </w:p>
        </w:tc>
        <w:tc>
          <w:tcPr>
            <w:tcW w:w="2158" w:type="dxa"/>
            <w:tcBorders>
              <w:top w:val="single" w:color="auto" w:sz="8" w:space="0"/>
              <w:left w:val="single" w:color="auto" w:sz="8" w:space="0"/>
              <w:bottom w:val="single" w:color="auto" w:sz="8" w:space="0"/>
              <w:right w:val="single" w:color="auto" w:sz="8" w:space="0"/>
            </w:tcBorders>
          </w:tcPr>
          <w:p w14:paraId="649B5981">
            <w:pPr>
              <w:spacing w:line="360" w:lineRule="auto"/>
              <w:rPr>
                <w:rFonts w:ascii="宋体" w:hAnsi="宋体"/>
                <w:bCs/>
                <w:sz w:val="24"/>
                <w:szCs w:val="24"/>
                <w:highlight w:val="none"/>
              </w:rPr>
            </w:pPr>
          </w:p>
        </w:tc>
        <w:tc>
          <w:tcPr>
            <w:tcW w:w="2030" w:type="dxa"/>
            <w:tcBorders>
              <w:top w:val="single" w:color="auto" w:sz="8" w:space="0"/>
              <w:left w:val="single" w:color="auto" w:sz="8" w:space="0"/>
              <w:bottom w:val="single" w:color="auto" w:sz="8" w:space="0"/>
              <w:right w:val="single" w:color="auto" w:sz="8" w:space="0"/>
            </w:tcBorders>
          </w:tcPr>
          <w:p w14:paraId="2DFBFDB1">
            <w:pPr>
              <w:spacing w:line="360" w:lineRule="auto"/>
              <w:rPr>
                <w:rFonts w:ascii="宋体" w:hAnsi="宋体"/>
                <w:sz w:val="24"/>
                <w:szCs w:val="24"/>
                <w:highlight w:val="none"/>
              </w:rPr>
            </w:pPr>
          </w:p>
        </w:tc>
        <w:tc>
          <w:tcPr>
            <w:tcW w:w="1739" w:type="dxa"/>
            <w:tcBorders>
              <w:top w:val="single" w:color="auto" w:sz="8" w:space="0"/>
              <w:left w:val="single" w:color="auto" w:sz="8" w:space="0"/>
              <w:bottom w:val="single" w:color="auto" w:sz="8" w:space="0"/>
              <w:right w:val="single" w:color="auto" w:sz="8" w:space="0"/>
            </w:tcBorders>
          </w:tcPr>
          <w:p w14:paraId="4F862971">
            <w:pPr>
              <w:spacing w:line="360" w:lineRule="auto"/>
              <w:rPr>
                <w:rFonts w:ascii="宋体" w:hAnsi="宋体"/>
                <w:sz w:val="24"/>
                <w:szCs w:val="24"/>
                <w:highlight w:val="none"/>
              </w:rPr>
            </w:pPr>
          </w:p>
        </w:tc>
      </w:tr>
      <w:tr w14:paraId="32184C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jc w:val="center"/>
        </w:trPr>
        <w:tc>
          <w:tcPr>
            <w:tcW w:w="804" w:type="dxa"/>
            <w:tcBorders>
              <w:top w:val="single" w:color="auto" w:sz="8" w:space="0"/>
              <w:left w:val="single" w:color="auto" w:sz="8" w:space="0"/>
              <w:bottom w:val="single" w:color="auto" w:sz="8" w:space="0"/>
              <w:right w:val="single" w:color="auto" w:sz="8" w:space="0"/>
            </w:tcBorders>
          </w:tcPr>
          <w:p w14:paraId="34B1DC1E">
            <w:pPr>
              <w:spacing w:line="360" w:lineRule="auto"/>
              <w:jc w:val="center"/>
              <w:rPr>
                <w:rFonts w:ascii="宋体" w:hAnsi="宋体"/>
                <w:bCs/>
                <w:sz w:val="24"/>
                <w:szCs w:val="24"/>
                <w:highlight w:val="none"/>
              </w:rPr>
            </w:pPr>
          </w:p>
        </w:tc>
        <w:tc>
          <w:tcPr>
            <w:tcW w:w="3249" w:type="dxa"/>
            <w:tcBorders>
              <w:top w:val="single" w:color="auto" w:sz="8" w:space="0"/>
              <w:left w:val="single" w:color="auto" w:sz="8" w:space="0"/>
              <w:bottom w:val="single" w:color="auto" w:sz="8" w:space="0"/>
              <w:right w:val="single" w:color="auto" w:sz="8" w:space="0"/>
            </w:tcBorders>
          </w:tcPr>
          <w:p w14:paraId="10D8AACF">
            <w:pPr>
              <w:spacing w:line="360" w:lineRule="auto"/>
              <w:rPr>
                <w:rFonts w:ascii="宋体" w:hAnsi="宋体"/>
                <w:bCs/>
                <w:sz w:val="24"/>
                <w:szCs w:val="24"/>
                <w:highlight w:val="none"/>
              </w:rPr>
            </w:pPr>
          </w:p>
        </w:tc>
        <w:tc>
          <w:tcPr>
            <w:tcW w:w="2158" w:type="dxa"/>
            <w:tcBorders>
              <w:top w:val="single" w:color="auto" w:sz="8" w:space="0"/>
              <w:left w:val="single" w:color="auto" w:sz="8" w:space="0"/>
              <w:bottom w:val="single" w:color="auto" w:sz="8" w:space="0"/>
              <w:right w:val="single" w:color="auto" w:sz="8" w:space="0"/>
            </w:tcBorders>
          </w:tcPr>
          <w:p w14:paraId="37A0A288">
            <w:pPr>
              <w:spacing w:line="360" w:lineRule="auto"/>
              <w:rPr>
                <w:rFonts w:ascii="宋体" w:hAnsi="宋体"/>
                <w:sz w:val="24"/>
                <w:szCs w:val="24"/>
                <w:highlight w:val="none"/>
              </w:rPr>
            </w:pPr>
          </w:p>
        </w:tc>
        <w:tc>
          <w:tcPr>
            <w:tcW w:w="2030" w:type="dxa"/>
            <w:tcBorders>
              <w:top w:val="single" w:color="auto" w:sz="8" w:space="0"/>
              <w:left w:val="single" w:color="auto" w:sz="8" w:space="0"/>
              <w:bottom w:val="single" w:color="auto" w:sz="8" w:space="0"/>
              <w:right w:val="single" w:color="auto" w:sz="8" w:space="0"/>
            </w:tcBorders>
          </w:tcPr>
          <w:p w14:paraId="53C40E1C">
            <w:pPr>
              <w:spacing w:line="360" w:lineRule="auto"/>
              <w:rPr>
                <w:rFonts w:ascii="宋体" w:hAnsi="宋体"/>
                <w:sz w:val="24"/>
                <w:szCs w:val="24"/>
                <w:highlight w:val="none"/>
              </w:rPr>
            </w:pPr>
          </w:p>
        </w:tc>
        <w:tc>
          <w:tcPr>
            <w:tcW w:w="1739" w:type="dxa"/>
            <w:tcBorders>
              <w:top w:val="single" w:color="auto" w:sz="8" w:space="0"/>
              <w:left w:val="single" w:color="auto" w:sz="8" w:space="0"/>
              <w:bottom w:val="single" w:color="auto" w:sz="8" w:space="0"/>
              <w:right w:val="single" w:color="auto" w:sz="8" w:space="0"/>
            </w:tcBorders>
          </w:tcPr>
          <w:p w14:paraId="7384582C">
            <w:pPr>
              <w:spacing w:line="360" w:lineRule="auto"/>
              <w:rPr>
                <w:rFonts w:ascii="宋体" w:hAnsi="宋体"/>
                <w:sz w:val="24"/>
                <w:szCs w:val="24"/>
                <w:highlight w:val="none"/>
              </w:rPr>
            </w:pPr>
          </w:p>
        </w:tc>
      </w:tr>
    </w:tbl>
    <w:p w14:paraId="6B9CF5F3">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p>
    <w:p w14:paraId="3DF2EB1B">
      <w:pPr>
        <w:spacing w:line="360" w:lineRule="auto"/>
        <w:rPr>
          <w:rFonts w:asciiTheme="minorEastAsia" w:hAnsiTheme="minorEastAsia" w:eastAsiaTheme="minorEastAsia"/>
          <w:sz w:val="24"/>
          <w:szCs w:val="24"/>
          <w:highlight w:val="none"/>
        </w:rPr>
      </w:pPr>
    </w:p>
    <w:p w14:paraId="01741E0A">
      <w:pPr>
        <w:spacing w:line="360" w:lineRule="auto"/>
        <w:rPr>
          <w:rFonts w:asciiTheme="minorEastAsia" w:hAnsiTheme="minorEastAsia" w:eastAsiaTheme="minorEastAsia"/>
          <w:sz w:val="24"/>
          <w:szCs w:val="24"/>
          <w:highlight w:val="none"/>
        </w:rPr>
      </w:pPr>
    </w:p>
    <w:p w14:paraId="0DDE2FE7">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w:t>
      </w:r>
      <w:r>
        <w:rPr>
          <w:rFonts w:asciiTheme="minorEastAsia" w:hAnsiTheme="minorEastAsia" w:eastAsiaTheme="minorEastAsia"/>
          <w:sz w:val="24"/>
          <w:szCs w:val="24"/>
          <w:highlight w:val="none"/>
        </w:rPr>
        <w:t>供应商：（公章）</w:t>
      </w:r>
    </w:p>
    <w:p w14:paraId="7C80F0E3">
      <w:pP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法定代表人或代理人：（签字或盖章）</w:t>
      </w:r>
    </w:p>
    <w:p w14:paraId="456368E1">
      <w:pPr>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日期：     年    月    日</w:t>
      </w:r>
    </w:p>
    <w:p w14:paraId="6D30060A">
      <w:pPr>
        <w:jc w:val="center"/>
        <w:rPr>
          <w:rFonts w:asciiTheme="minorEastAsia" w:hAnsiTheme="minorEastAsia" w:eastAsiaTheme="minorEastAsia"/>
          <w:b/>
          <w:sz w:val="24"/>
          <w:szCs w:val="24"/>
          <w:highlight w:val="none"/>
        </w:rPr>
      </w:pPr>
    </w:p>
    <w:p w14:paraId="0776B352">
      <w:pPr>
        <w:jc w:val="center"/>
        <w:rPr>
          <w:rFonts w:asciiTheme="minorEastAsia" w:hAnsiTheme="minorEastAsia" w:eastAsiaTheme="minorEastAsia"/>
          <w:b/>
          <w:sz w:val="24"/>
          <w:szCs w:val="24"/>
          <w:highlight w:val="none"/>
        </w:rPr>
      </w:pPr>
    </w:p>
    <w:p w14:paraId="1D0F3D35">
      <w:pPr>
        <w:jc w:val="center"/>
        <w:rPr>
          <w:rFonts w:asciiTheme="minorEastAsia" w:hAnsiTheme="minorEastAsia" w:eastAsiaTheme="minorEastAsia"/>
          <w:b/>
          <w:sz w:val="24"/>
          <w:szCs w:val="24"/>
          <w:highlight w:val="none"/>
        </w:rPr>
      </w:pPr>
    </w:p>
    <w:p w14:paraId="29EB3A48">
      <w:pPr>
        <w:jc w:val="center"/>
        <w:rPr>
          <w:rFonts w:asciiTheme="minorEastAsia" w:hAnsiTheme="minorEastAsia" w:eastAsiaTheme="minorEastAsia"/>
          <w:b/>
          <w:sz w:val="24"/>
          <w:szCs w:val="24"/>
          <w:highlight w:val="none"/>
        </w:rPr>
      </w:pPr>
    </w:p>
    <w:p w14:paraId="79E2F827">
      <w:pPr>
        <w:jc w:val="center"/>
        <w:rPr>
          <w:rFonts w:asciiTheme="minorEastAsia" w:hAnsiTheme="minorEastAsia" w:eastAsiaTheme="minorEastAsia"/>
          <w:b/>
          <w:sz w:val="24"/>
          <w:szCs w:val="24"/>
          <w:highlight w:val="none"/>
        </w:rPr>
      </w:pPr>
    </w:p>
    <w:p w14:paraId="475BF82F">
      <w:pPr>
        <w:jc w:val="center"/>
        <w:rPr>
          <w:rFonts w:asciiTheme="minorEastAsia" w:hAnsiTheme="minorEastAsia" w:eastAsiaTheme="minorEastAsia"/>
          <w:b/>
          <w:sz w:val="24"/>
          <w:szCs w:val="24"/>
          <w:highlight w:val="none"/>
        </w:rPr>
      </w:pPr>
    </w:p>
    <w:p w14:paraId="79BE812D">
      <w:pPr>
        <w:jc w:val="center"/>
        <w:rPr>
          <w:rFonts w:asciiTheme="minorEastAsia" w:hAnsiTheme="minorEastAsia" w:eastAsiaTheme="minorEastAsia"/>
          <w:b/>
          <w:sz w:val="24"/>
          <w:szCs w:val="24"/>
          <w:highlight w:val="none"/>
        </w:rPr>
      </w:pPr>
    </w:p>
    <w:p w14:paraId="0B1578D6">
      <w:pPr>
        <w:jc w:val="center"/>
        <w:rPr>
          <w:rFonts w:asciiTheme="minorEastAsia" w:hAnsiTheme="minorEastAsia" w:eastAsiaTheme="minorEastAsia"/>
          <w:b/>
          <w:sz w:val="24"/>
          <w:szCs w:val="24"/>
          <w:highlight w:val="none"/>
        </w:rPr>
      </w:pPr>
    </w:p>
    <w:p w14:paraId="306E9D8C">
      <w:pPr>
        <w:jc w:val="center"/>
        <w:rPr>
          <w:rFonts w:asciiTheme="minorEastAsia" w:hAnsiTheme="minorEastAsia" w:eastAsiaTheme="minorEastAsia"/>
          <w:b/>
          <w:sz w:val="24"/>
          <w:szCs w:val="24"/>
          <w:highlight w:val="none"/>
        </w:rPr>
      </w:pPr>
    </w:p>
    <w:p w14:paraId="079922DD">
      <w:pPr>
        <w:jc w:val="center"/>
        <w:rPr>
          <w:rFonts w:asciiTheme="minorEastAsia" w:hAnsiTheme="minorEastAsia" w:eastAsiaTheme="minorEastAsia"/>
          <w:b/>
          <w:sz w:val="24"/>
          <w:szCs w:val="24"/>
          <w:highlight w:val="none"/>
        </w:rPr>
      </w:pPr>
    </w:p>
    <w:p w14:paraId="010D8CB3">
      <w:pPr>
        <w:pStyle w:val="56"/>
        <w:ind w:firstLine="0" w:firstLineChars="0"/>
        <w:rPr>
          <w:highlight w:val="none"/>
        </w:rPr>
      </w:pPr>
    </w:p>
    <w:p w14:paraId="28525A48">
      <w:pPr>
        <w:rPr>
          <w:highlight w:val="none"/>
        </w:rPr>
      </w:pPr>
    </w:p>
    <w:p w14:paraId="242754B7">
      <w:pPr>
        <w:pStyle w:val="56"/>
        <w:ind w:firstLine="0" w:firstLineChars="0"/>
        <w:rPr>
          <w:highlight w:val="none"/>
        </w:rPr>
      </w:pPr>
    </w:p>
    <w:p w14:paraId="72726B59">
      <w:pPr>
        <w:rPr>
          <w:highlight w:val="none"/>
        </w:rPr>
      </w:pPr>
    </w:p>
    <w:p w14:paraId="378BC0BF">
      <w:pPr>
        <w:pStyle w:val="56"/>
        <w:ind w:firstLine="0" w:firstLineChars="0"/>
        <w:rPr>
          <w:highlight w:val="none"/>
        </w:rPr>
      </w:pPr>
    </w:p>
    <w:p w14:paraId="7C7FB8BD">
      <w:pPr>
        <w:rPr>
          <w:highlight w:val="none"/>
        </w:rPr>
      </w:pPr>
    </w:p>
    <w:p w14:paraId="05862458">
      <w:pPr>
        <w:pStyle w:val="56"/>
        <w:ind w:firstLine="0" w:firstLineChars="0"/>
        <w:rPr>
          <w:highlight w:val="none"/>
        </w:rPr>
      </w:pPr>
    </w:p>
    <w:p w14:paraId="56BFF9BA">
      <w:pPr>
        <w:rPr>
          <w:highlight w:val="none"/>
        </w:rPr>
      </w:pPr>
    </w:p>
    <w:p w14:paraId="3C0DA1C6">
      <w:pPr>
        <w:pStyle w:val="56"/>
        <w:ind w:firstLine="0" w:firstLineChars="0"/>
        <w:rPr>
          <w:highlight w:val="none"/>
        </w:rPr>
      </w:pPr>
    </w:p>
    <w:p w14:paraId="6BC31822">
      <w:pPr>
        <w:rPr>
          <w:highlight w:val="none"/>
        </w:rPr>
      </w:pPr>
    </w:p>
    <w:p w14:paraId="37078EB7">
      <w:pPr>
        <w:spacing w:line="360" w:lineRule="auto"/>
        <w:rPr>
          <w:rFonts w:asciiTheme="minorEastAsia" w:hAnsiTheme="minorEastAsia" w:eastAsiaTheme="minorEastAsia"/>
          <w:b/>
          <w:sz w:val="24"/>
          <w:szCs w:val="24"/>
          <w:highlight w:val="none"/>
        </w:rPr>
      </w:pPr>
      <w:r>
        <w:rPr>
          <w:rFonts w:hint="eastAsia" w:asciiTheme="minorEastAsia" w:hAnsiTheme="minorEastAsia" w:eastAsiaTheme="minorEastAsia"/>
          <w:b/>
          <w:spacing w:val="20"/>
          <w:sz w:val="24"/>
          <w:szCs w:val="24"/>
          <w:highlight w:val="none"/>
        </w:rPr>
        <w:t>附件5、</w:t>
      </w:r>
      <w:r>
        <w:rPr>
          <w:rFonts w:hint="eastAsia" w:asciiTheme="minorEastAsia" w:hAnsiTheme="minorEastAsia" w:eastAsiaTheme="minorEastAsia"/>
          <w:b/>
          <w:sz w:val="24"/>
          <w:szCs w:val="24"/>
          <w:highlight w:val="none"/>
        </w:rPr>
        <w:t>服务方案</w:t>
      </w:r>
    </w:p>
    <w:tbl>
      <w:tblPr>
        <w:tblStyle w:val="45"/>
        <w:tblW w:w="0" w:type="auto"/>
        <w:jc w:val="center"/>
        <w:tblLayout w:type="autofit"/>
        <w:tblCellMar>
          <w:top w:w="0" w:type="dxa"/>
          <w:left w:w="0" w:type="dxa"/>
          <w:bottom w:w="0" w:type="dxa"/>
          <w:right w:w="0" w:type="dxa"/>
        </w:tblCellMar>
      </w:tblPr>
      <w:tblGrid>
        <w:gridCol w:w="9990"/>
      </w:tblGrid>
      <w:tr w14:paraId="3D756A80">
        <w:tblPrEx>
          <w:tblCellMar>
            <w:top w:w="0" w:type="dxa"/>
            <w:left w:w="0" w:type="dxa"/>
            <w:bottom w:w="0" w:type="dxa"/>
            <w:right w:w="0" w:type="dxa"/>
          </w:tblCellMar>
        </w:tblPrEx>
        <w:trPr>
          <w:trHeight w:val="1676" w:hRule="atLeast"/>
          <w:jc w:val="center"/>
        </w:trPr>
        <w:tc>
          <w:tcPr>
            <w:tcW w:w="0" w:type="auto"/>
            <w:tcBorders>
              <w:top w:val="single" w:color="000000" w:sz="12" w:space="0"/>
              <w:left w:val="single" w:color="000000" w:sz="12" w:space="0"/>
              <w:bottom w:val="single" w:color="000000" w:sz="6" w:space="0"/>
              <w:right w:val="single" w:color="000000" w:sz="12" w:space="0"/>
            </w:tcBorders>
            <w:tcMar>
              <w:top w:w="0" w:type="dxa"/>
              <w:left w:w="0" w:type="dxa"/>
              <w:bottom w:w="0" w:type="dxa"/>
              <w:right w:w="0" w:type="dxa"/>
            </w:tcMar>
          </w:tcPr>
          <w:p w14:paraId="5C6F1966">
            <w:pPr>
              <w:tabs>
                <w:tab w:val="left" w:pos="1320"/>
              </w:tabs>
              <w:jc w:val="lef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提示：</w:t>
            </w:r>
          </w:p>
          <w:p w14:paraId="2190FA58">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1、响应供应商</w:t>
            </w:r>
            <w:r>
              <w:rPr>
                <w:rFonts w:asciiTheme="minorEastAsia" w:hAnsiTheme="minorEastAsia" w:eastAsiaTheme="minorEastAsia"/>
                <w:sz w:val="24"/>
                <w:szCs w:val="24"/>
                <w:highlight w:val="none"/>
              </w:rPr>
              <w:t>应根据本次招标项目要求，对所投</w:t>
            </w:r>
            <w:r>
              <w:rPr>
                <w:rFonts w:hint="eastAsia" w:asciiTheme="minorEastAsia" w:hAnsiTheme="minorEastAsia" w:eastAsiaTheme="minorEastAsia"/>
                <w:sz w:val="24"/>
                <w:szCs w:val="24"/>
                <w:highlight w:val="none"/>
              </w:rPr>
              <w:t>项目</w:t>
            </w:r>
            <w:r>
              <w:rPr>
                <w:rFonts w:asciiTheme="minorEastAsia" w:hAnsiTheme="minorEastAsia" w:eastAsiaTheme="minorEastAsia"/>
                <w:sz w:val="24"/>
                <w:szCs w:val="24"/>
                <w:highlight w:val="none"/>
              </w:rPr>
              <w:t>完整详细的</w:t>
            </w:r>
            <w:r>
              <w:rPr>
                <w:rFonts w:hint="eastAsia" w:asciiTheme="minorEastAsia" w:hAnsiTheme="minorEastAsia" w:eastAsiaTheme="minorEastAsia"/>
                <w:sz w:val="24"/>
                <w:szCs w:val="24"/>
                <w:highlight w:val="none"/>
              </w:rPr>
              <w:t>服务</w:t>
            </w:r>
            <w:r>
              <w:rPr>
                <w:rFonts w:asciiTheme="minorEastAsia" w:hAnsiTheme="minorEastAsia" w:eastAsiaTheme="minorEastAsia"/>
                <w:sz w:val="24"/>
                <w:szCs w:val="24"/>
                <w:highlight w:val="none"/>
              </w:rPr>
              <w:t>进行详细的说明与描述。</w:t>
            </w:r>
          </w:p>
          <w:p w14:paraId="404D9C61">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2、工作内容及工作计划等</w:t>
            </w:r>
          </w:p>
          <w:p w14:paraId="07063181">
            <w:pPr>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w:t>
            </w:r>
            <w:r>
              <w:rPr>
                <w:rFonts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响应供应商</w:t>
            </w:r>
            <w:r>
              <w:rPr>
                <w:rFonts w:asciiTheme="minorEastAsia" w:hAnsiTheme="minorEastAsia" w:eastAsiaTheme="minorEastAsia"/>
                <w:sz w:val="24"/>
                <w:szCs w:val="24"/>
                <w:highlight w:val="none"/>
              </w:rPr>
              <w:t>可根据自身情况</w:t>
            </w:r>
            <w:r>
              <w:rPr>
                <w:rFonts w:hint="eastAsia" w:asciiTheme="minorEastAsia" w:hAnsiTheme="minorEastAsia" w:eastAsiaTheme="minorEastAsia"/>
                <w:sz w:val="24"/>
                <w:szCs w:val="24"/>
                <w:highlight w:val="none"/>
              </w:rPr>
              <w:t>及打分标准</w:t>
            </w:r>
            <w:r>
              <w:rPr>
                <w:rFonts w:asciiTheme="minorEastAsia" w:hAnsiTheme="minorEastAsia" w:eastAsiaTheme="minorEastAsia"/>
                <w:sz w:val="24"/>
                <w:szCs w:val="24"/>
                <w:highlight w:val="none"/>
              </w:rPr>
              <w:t>编写，本页不够可另加页附后。</w:t>
            </w:r>
          </w:p>
        </w:tc>
      </w:tr>
      <w:tr w14:paraId="1B75868F">
        <w:tblPrEx>
          <w:tblCellMar>
            <w:top w:w="0" w:type="dxa"/>
            <w:left w:w="0" w:type="dxa"/>
            <w:bottom w:w="0" w:type="dxa"/>
            <w:right w:w="0" w:type="dxa"/>
          </w:tblCellMar>
        </w:tblPrEx>
        <w:trPr>
          <w:trHeight w:val="8913" w:hRule="atLeast"/>
          <w:jc w:val="center"/>
        </w:trPr>
        <w:tc>
          <w:tcPr>
            <w:tcW w:w="0" w:type="auto"/>
            <w:tcBorders>
              <w:top w:val="single" w:color="000000" w:sz="6" w:space="0"/>
              <w:left w:val="single" w:color="000000" w:sz="12" w:space="0"/>
              <w:bottom w:val="single" w:color="000000" w:sz="12" w:space="0"/>
              <w:right w:val="single" w:color="000000" w:sz="12" w:space="0"/>
            </w:tcBorders>
            <w:tcMar>
              <w:top w:w="0" w:type="dxa"/>
              <w:left w:w="0" w:type="dxa"/>
              <w:bottom w:w="0" w:type="dxa"/>
              <w:right w:w="0" w:type="dxa"/>
            </w:tcMar>
            <w:vAlign w:val="bottom"/>
          </w:tcPr>
          <w:p w14:paraId="1AB2826F">
            <w:pPr>
              <w:tabs>
                <w:tab w:val="left" w:pos="1320"/>
              </w:tabs>
              <w:jc w:val="center"/>
              <w:rPr>
                <w:rFonts w:asciiTheme="minorEastAsia" w:hAnsiTheme="minorEastAsia" w:eastAsiaTheme="minorEastAsia"/>
                <w:sz w:val="24"/>
                <w:szCs w:val="24"/>
                <w:highlight w:val="none"/>
                <w:u w:val="single"/>
              </w:rPr>
            </w:pPr>
            <w:r>
              <w:rPr>
                <w:rFonts w:asciiTheme="minorEastAsia" w:hAnsiTheme="minorEastAsia" w:eastAsiaTheme="minorEastAsia"/>
                <w:sz w:val="24"/>
                <w:szCs w:val="24"/>
                <w:highlight w:val="none"/>
                <w:u w:val="single"/>
              </w:rPr>
              <w:t xml:space="preserve">单位名称（盖章）：                  </w:t>
            </w:r>
          </w:p>
        </w:tc>
      </w:tr>
    </w:tbl>
    <w:p w14:paraId="0219E144">
      <w:pPr>
        <w:widowControl/>
        <w:overflowPunct w:val="0"/>
        <w:spacing w:line="360" w:lineRule="auto"/>
        <w:rPr>
          <w:rFonts w:asciiTheme="minorEastAsia" w:hAnsiTheme="minorEastAsia" w:eastAsiaTheme="minorEastAsia"/>
          <w:b/>
          <w:sz w:val="24"/>
          <w:szCs w:val="24"/>
          <w:highlight w:val="none"/>
        </w:rPr>
      </w:pPr>
    </w:p>
    <w:p w14:paraId="694916A4">
      <w:pPr>
        <w:widowControl/>
        <w:overflowPunct w:val="0"/>
        <w:spacing w:line="360" w:lineRule="auto"/>
        <w:rPr>
          <w:rFonts w:asciiTheme="minorEastAsia" w:hAnsiTheme="minorEastAsia" w:eastAsiaTheme="minorEastAsia"/>
          <w:b/>
          <w:sz w:val="24"/>
          <w:szCs w:val="24"/>
          <w:highlight w:val="none"/>
        </w:rPr>
      </w:pPr>
    </w:p>
    <w:p w14:paraId="158344A6">
      <w:pPr>
        <w:spacing w:line="360" w:lineRule="auto"/>
        <w:rPr>
          <w:rFonts w:asciiTheme="minorEastAsia" w:hAnsiTheme="minorEastAsia" w:eastAsiaTheme="minorEastAsia"/>
          <w:b/>
          <w:sz w:val="28"/>
          <w:highlight w:val="none"/>
        </w:rPr>
      </w:pPr>
    </w:p>
    <w:p w14:paraId="2E7F41FC">
      <w:pPr>
        <w:spacing w:line="360" w:lineRule="auto"/>
        <w:jc w:val="left"/>
        <w:outlineLvl w:val="1"/>
        <w:rPr>
          <w:rFonts w:asciiTheme="minorEastAsia" w:hAnsiTheme="minorEastAsia" w:eastAsiaTheme="minorEastAsia"/>
          <w:b/>
          <w:bCs/>
          <w:spacing w:val="20"/>
          <w:szCs w:val="21"/>
          <w:highlight w:val="none"/>
        </w:rPr>
      </w:pPr>
      <w:r>
        <w:rPr>
          <w:rFonts w:asciiTheme="minorEastAsia" w:hAnsiTheme="minorEastAsia" w:eastAsiaTheme="minorEastAsia"/>
          <w:highlight w:val="none"/>
        </w:rPr>
        <w:br w:type="page"/>
      </w:r>
      <w:r>
        <w:rPr>
          <w:rFonts w:hint="eastAsia" w:asciiTheme="minorEastAsia" w:hAnsiTheme="minorEastAsia" w:eastAsiaTheme="minorEastAsia"/>
          <w:b/>
          <w:sz w:val="24"/>
          <w:szCs w:val="24"/>
          <w:highlight w:val="none"/>
        </w:rPr>
        <w:t>附件6、近3年类似项目业绩一览表</w:t>
      </w:r>
    </w:p>
    <w:p w14:paraId="5F2EE1ED">
      <w:pPr>
        <w:autoSpaceDE w:val="0"/>
        <w:autoSpaceDN w:val="0"/>
        <w:adjustRightInd w:val="0"/>
        <w:jc w:val="center"/>
        <w:rPr>
          <w:rFonts w:asciiTheme="minorEastAsia" w:hAnsiTheme="minorEastAsia" w:eastAsiaTheme="minorEastAsia"/>
          <w:szCs w:val="21"/>
          <w:highlight w:val="none"/>
        </w:rPr>
      </w:pPr>
    </w:p>
    <w:p w14:paraId="726605D5">
      <w:pPr>
        <w:autoSpaceDE w:val="0"/>
        <w:autoSpaceDN w:val="0"/>
        <w:adjustRightInd w:val="0"/>
        <w:spacing w:line="360" w:lineRule="auto"/>
        <w:rPr>
          <w:rFonts w:asciiTheme="minorEastAsia" w:hAnsiTheme="minorEastAsia" w:eastAsiaTheme="minorEastAsia"/>
          <w:spacing w:val="20"/>
          <w:szCs w:val="21"/>
          <w:highlight w:val="none"/>
        </w:rPr>
      </w:pPr>
      <w:r>
        <w:rPr>
          <w:rFonts w:hint="eastAsia" w:asciiTheme="minorEastAsia" w:hAnsiTheme="minorEastAsia" w:eastAsiaTheme="minorEastAsia"/>
          <w:sz w:val="24"/>
          <w:szCs w:val="24"/>
          <w:highlight w:val="none"/>
          <w:lang w:val="zh-CN"/>
        </w:rPr>
        <w:t>采购编号：</w:t>
      </w:r>
    </w:p>
    <w:tbl>
      <w:tblPr>
        <w:tblStyle w:val="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95"/>
        <w:gridCol w:w="2119"/>
        <w:gridCol w:w="1830"/>
        <w:gridCol w:w="2100"/>
        <w:gridCol w:w="1830"/>
        <w:gridCol w:w="1380"/>
      </w:tblGrid>
      <w:tr w14:paraId="4D8A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67" w:hRule="exact"/>
        </w:trPr>
        <w:tc>
          <w:tcPr>
            <w:tcW w:w="595" w:type="dxa"/>
            <w:vAlign w:val="center"/>
          </w:tcPr>
          <w:p w14:paraId="4B1D72BA">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序号</w:t>
            </w:r>
          </w:p>
        </w:tc>
        <w:tc>
          <w:tcPr>
            <w:tcW w:w="2119" w:type="dxa"/>
            <w:vAlign w:val="center"/>
          </w:tcPr>
          <w:p w14:paraId="5F5FD573">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业主单位名称</w:t>
            </w:r>
          </w:p>
        </w:tc>
        <w:tc>
          <w:tcPr>
            <w:tcW w:w="1830" w:type="dxa"/>
            <w:vAlign w:val="center"/>
          </w:tcPr>
          <w:p w14:paraId="7356D5E6">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合同名称</w:t>
            </w:r>
          </w:p>
        </w:tc>
        <w:tc>
          <w:tcPr>
            <w:tcW w:w="2100" w:type="dxa"/>
            <w:vAlign w:val="center"/>
          </w:tcPr>
          <w:p w14:paraId="33A0B350">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合同金额</w:t>
            </w:r>
          </w:p>
        </w:tc>
        <w:tc>
          <w:tcPr>
            <w:tcW w:w="1830" w:type="dxa"/>
            <w:vAlign w:val="center"/>
          </w:tcPr>
          <w:p w14:paraId="1BCADCB6">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项目时间</w:t>
            </w:r>
          </w:p>
        </w:tc>
        <w:tc>
          <w:tcPr>
            <w:tcW w:w="1380" w:type="dxa"/>
          </w:tcPr>
          <w:p w14:paraId="72380CFA">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与项目所需服务内容的相关性说明</w:t>
            </w:r>
          </w:p>
        </w:tc>
      </w:tr>
      <w:tr w14:paraId="0FBF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0" w:hRule="exact"/>
        </w:trPr>
        <w:tc>
          <w:tcPr>
            <w:tcW w:w="595" w:type="dxa"/>
          </w:tcPr>
          <w:p w14:paraId="592FE524">
            <w:pPr>
              <w:jc w:val="center"/>
              <w:rPr>
                <w:rFonts w:asciiTheme="minorEastAsia" w:hAnsiTheme="minorEastAsia" w:eastAsiaTheme="minorEastAsia"/>
                <w:szCs w:val="21"/>
                <w:highlight w:val="none"/>
              </w:rPr>
            </w:pPr>
          </w:p>
        </w:tc>
        <w:tc>
          <w:tcPr>
            <w:tcW w:w="2119" w:type="dxa"/>
          </w:tcPr>
          <w:p w14:paraId="669970A7">
            <w:pPr>
              <w:spacing w:line="360" w:lineRule="auto"/>
              <w:jc w:val="center"/>
              <w:rPr>
                <w:rFonts w:asciiTheme="minorEastAsia" w:hAnsiTheme="minorEastAsia" w:eastAsiaTheme="minorEastAsia"/>
                <w:szCs w:val="21"/>
                <w:highlight w:val="none"/>
              </w:rPr>
            </w:pPr>
          </w:p>
        </w:tc>
        <w:tc>
          <w:tcPr>
            <w:tcW w:w="1830" w:type="dxa"/>
          </w:tcPr>
          <w:p w14:paraId="25ECAEBD">
            <w:pPr>
              <w:jc w:val="center"/>
              <w:rPr>
                <w:rFonts w:asciiTheme="minorEastAsia" w:hAnsiTheme="minorEastAsia" w:eastAsiaTheme="minorEastAsia"/>
                <w:szCs w:val="21"/>
                <w:highlight w:val="none"/>
              </w:rPr>
            </w:pPr>
          </w:p>
        </w:tc>
        <w:tc>
          <w:tcPr>
            <w:tcW w:w="2100" w:type="dxa"/>
          </w:tcPr>
          <w:p w14:paraId="7FDE2B09">
            <w:pPr>
              <w:jc w:val="center"/>
              <w:rPr>
                <w:rFonts w:asciiTheme="minorEastAsia" w:hAnsiTheme="minorEastAsia" w:eastAsiaTheme="minorEastAsia"/>
                <w:szCs w:val="21"/>
                <w:highlight w:val="none"/>
              </w:rPr>
            </w:pPr>
          </w:p>
        </w:tc>
        <w:tc>
          <w:tcPr>
            <w:tcW w:w="1830" w:type="dxa"/>
          </w:tcPr>
          <w:p w14:paraId="1EDB7F38">
            <w:pPr>
              <w:jc w:val="center"/>
              <w:rPr>
                <w:rFonts w:asciiTheme="minorEastAsia" w:hAnsiTheme="minorEastAsia" w:eastAsiaTheme="minorEastAsia"/>
                <w:szCs w:val="21"/>
                <w:highlight w:val="none"/>
              </w:rPr>
            </w:pPr>
          </w:p>
        </w:tc>
        <w:tc>
          <w:tcPr>
            <w:tcW w:w="1380" w:type="dxa"/>
          </w:tcPr>
          <w:p w14:paraId="29064FB0">
            <w:pPr>
              <w:jc w:val="center"/>
              <w:rPr>
                <w:rFonts w:asciiTheme="minorEastAsia" w:hAnsiTheme="minorEastAsia" w:eastAsiaTheme="minorEastAsia"/>
                <w:szCs w:val="21"/>
                <w:highlight w:val="none"/>
              </w:rPr>
            </w:pPr>
          </w:p>
        </w:tc>
      </w:tr>
      <w:tr w14:paraId="6580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0" w:hRule="exact"/>
        </w:trPr>
        <w:tc>
          <w:tcPr>
            <w:tcW w:w="595" w:type="dxa"/>
          </w:tcPr>
          <w:p w14:paraId="6C28C7A5">
            <w:pPr>
              <w:jc w:val="center"/>
              <w:rPr>
                <w:rFonts w:asciiTheme="minorEastAsia" w:hAnsiTheme="minorEastAsia" w:eastAsiaTheme="minorEastAsia"/>
                <w:szCs w:val="21"/>
                <w:highlight w:val="none"/>
              </w:rPr>
            </w:pPr>
          </w:p>
        </w:tc>
        <w:tc>
          <w:tcPr>
            <w:tcW w:w="2119" w:type="dxa"/>
          </w:tcPr>
          <w:p w14:paraId="1C235106">
            <w:pPr>
              <w:jc w:val="center"/>
              <w:rPr>
                <w:rFonts w:asciiTheme="minorEastAsia" w:hAnsiTheme="minorEastAsia" w:eastAsiaTheme="minorEastAsia"/>
                <w:szCs w:val="21"/>
                <w:highlight w:val="none"/>
              </w:rPr>
            </w:pPr>
          </w:p>
        </w:tc>
        <w:tc>
          <w:tcPr>
            <w:tcW w:w="1830" w:type="dxa"/>
          </w:tcPr>
          <w:p w14:paraId="6F23D5B8">
            <w:pPr>
              <w:jc w:val="center"/>
              <w:rPr>
                <w:rFonts w:asciiTheme="minorEastAsia" w:hAnsiTheme="minorEastAsia" w:eastAsiaTheme="minorEastAsia"/>
                <w:szCs w:val="21"/>
                <w:highlight w:val="none"/>
              </w:rPr>
            </w:pPr>
          </w:p>
        </w:tc>
        <w:tc>
          <w:tcPr>
            <w:tcW w:w="2100" w:type="dxa"/>
          </w:tcPr>
          <w:p w14:paraId="3A0612AA">
            <w:pPr>
              <w:jc w:val="center"/>
              <w:rPr>
                <w:rFonts w:asciiTheme="minorEastAsia" w:hAnsiTheme="minorEastAsia" w:eastAsiaTheme="minorEastAsia"/>
                <w:szCs w:val="21"/>
                <w:highlight w:val="none"/>
              </w:rPr>
            </w:pPr>
          </w:p>
        </w:tc>
        <w:tc>
          <w:tcPr>
            <w:tcW w:w="1830" w:type="dxa"/>
          </w:tcPr>
          <w:p w14:paraId="7ABDE8C8">
            <w:pPr>
              <w:jc w:val="center"/>
              <w:rPr>
                <w:rFonts w:asciiTheme="minorEastAsia" w:hAnsiTheme="minorEastAsia" w:eastAsiaTheme="minorEastAsia"/>
                <w:szCs w:val="21"/>
                <w:highlight w:val="none"/>
              </w:rPr>
            </w:pPr>
          </w:p>
        </w:tc>
        <w:tc>
          <w:tcPr>
            <w:tcW w:w="1380" w:type="dxa"/>
          </w:tcPr>
          <w:p w14:paraId="4EF8B3FB">
            <w:pPr>
              <w:jc w:val="center"/>
              <w:rPr>
                <w:rFonts w:asciiTheme="minorEastAsia" w:hAnsiTheme="minorEastAsia" w:eastAsiaTheme="minorEastAsia"/>
                <w:szCs w:val="21"/>
                <w:highlight w:val="none"/>
              </w:rPr>
            </w:pPr>
          </w:p>
        </w:tc>
      </w:tr>
      <w:tr w14:paraId="6323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0" w:hRule="exact"/>
        </w:trPr>
        <w:tc>
          <w:tcPr>
            <w:tcW w:w="595" w:type="dxa"/>
          </w:tcPr>
          <w:p w14:paraId="030B822B">
            <w:pPr>
              <w:jc w:val="center"/>
              <w:rPr>
                <w:rFonts w:asciiTheme="minorEastAsia" w:hAnsiTheme="minorEastAsia" w:eastAsiaTheme="minorEastAsia"/>
                <w:szCs w:val="21"/>
                <w:highlight w:val="none"/>
              </w:rPr>
            </w:pPr>
          </w:p>
        </w:tc>
        <w:tc>
          <w:tcPr>
            <w:tcW w:w="2119" w:type="dxa"/>
          </w:tcPr>
          <w:p w14:paraId="6472C122">
            <w:pPr>
              <w:jc w:val="center"/>
              <w:rPr>
                <w:rFonts w:asciiTheme="minorEastAsia" w:hAnsiTheme="minorEastAsia" w:eastAsiaTheme="minorEastAsia"/>
                <w:szCs w:val="21"/>
                <w:highlight w:val="none"/>
              </w:rPr>
            </w:pPr>
          </w:p>
        </w:tc>
        <w:tc>
          <w:tcPr>
            <w:tcW w:w="1830" w:type="dxa"/>
          </w:tcPr>
          <w:p w14:paraId="3BEC89D8">
            <w:pPr>
              <w:jc w:val="center"/>
              <w:rPr>
                <w:rFonts w:asciiTheme="minorEastAsia" w:hAnsiTheme="minorEastAsia" w:eastAsiaTheme="minorEastAsia"/>
                <w:szCs w:val="21"/>
                <w:highlight w:val="none"/>
              </w:rPr>
            </w:pPr>
          </w:p>
        </w:tc>
        <w:tc>
          <w:tcPr>
            <w:tcW w:w="2100" w:type="dxa"/>
          </w:tcPr>
          <w:p w14:paraId="6A42F60A">
            <w:pPr>
              <w:jc w:val="center"/>
              <w:rPr>
                <w:rFonts w:asciiTheme="minorEastAsia" w:hAnsiTheme="minorEastAsia" w:eastAsiaTheme="minorEastAsia"/>
                <w:szCs w:val="21"/>
                <w:highlight w:val="none"/>
              </w:rPr>
            </w:pPr>
          </w:p>
        </w:tc>
        <w:tc>
          <w:tcPr>
            <w:tcW w:w="1830" w:type="dxa"/>
          </w:tcPr>
          <w:p w14:paraId="79579CE3">
            <w:pPr>
              <w:jc w:val="center"/>
              <w:rPr>
                <w:rFonts w:asciiTheme="minorEastAsia" w:hAnsiTheme="minorEastAsia" w:eastAsiaTheme="minorEastAsia"/>
                <w:szCs w:val="21"/>
                <w:highlight w:val="none"/>
              </w:rPr>
            </w:pPr>
          </w:p>
        </w:tc>
        <w:tc>
          <w:tcPr>
            <w:tcW w:w="1380" w:type="dxa"/>
          </w:tcPr>
          <w:p w14:paraId="212F9541">
            <w:pPr>
              <w:jc w:val="center"/>
              <w:rPr>
                <w:rFonts w:asciiTheme="minorEastAsia" w:hAnsiTheme="minorEastAsia" w:eastAsiaTheme="minorEastAsia"/>
                <w:szCs w:val="21"/>
                <w:highlight w:val="none"/>
              </w:rPr>
            </w:pPr>
          </w:p>
        </w:tc>
      </w:tr>
      <w:tr w14:paraId="7E16C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0" w:hRule="exact"/>
        </w:trPr>
        <w:tc>
          <w:tcPr>
            <w:tcW w:w="595" w:type="dxa"/>
          </w:tcPr>
          <w:p w14:paraId="38E22F7A">
            <w:pPr>
              <w:jc w:val="center"/>
              <w:rPr>
                <w:rFonts w:asciiTheme="minorEastAsia" w:hAnsiTheme="minorEastAsia" w:eastAsiaTheme="minorEastAsia"/>
                <w:szCs w:val="21"/>
                <w:highlight w:val="none"/>
              </w:rPr>
            </w:pPr>
          </w:p>
        </w:tc>
        <w:tc>
          <w:tcPr>
            <w:tcW w:w="2119" w:type="dxa"/>
          </w:tcPr>
          <w:p w14:paraId="7CB0D04A">
            <w:pPr>
              <w:jc w:val="center"/>
              <w:rPr>
                <w:rFonts w:asciiTheme="minorEastAsia" w:hAnsiTheme="minorEastAsia" w:eastAsiaTheme="minorEastAsia"/>
                <w:szCs w:val="21"/>
                <w:highlight w:val="none"/>
              </w:rPr>
            </w:pPr>
          </w:p>
        </w:tc>
        <w:tc>
          <w:tcPr>
            <w:tcW w:w="1830" w:type="dxa"/>
          </w:tcPr>
          <w:p w14:paraId="52585EB2">
            <w:pPr>
              <w:jc w:val="center"/>
              <w:rPr>
                <w:rFonts w:asciiTheme="minorEastAsia" w:hAnsiTheme="minorEastAsia" w:eastAsiaTheme="minorEastAsia"/>
                <w:szCs w:val="21"/>
                <w:highlight w:val="none"/>
              </w:rPr>
            </w:pPr>
          </w:p>
        </w:tc>
        <w:tc>
          <w:tcPr>
            <w:tcW w:w="2100" w:type="dxa"/>
          </w:tcPr>
          <w:p w14:paraId="6DE97658">
            <w:pPr>
              <w:jc w:val="center"/>
              <w:rPr>
                <w:rFonts w:asciiTheme="minorEastAsia" w:hAnsiTheme="minorEastAsia" w:eastAsiaTheme="minorEastAsia"/>
                <w:szCs w:val="21"/>
                <w:highlight w:val="none"/>
              </w:rPr>
            </w:pPr>
          </w:p>
        </w:tc>
        <w:tc>
          <w:tcPr>
            <w:tcW w:w="1830" w:type="dxa"/>
          </w:tcPr>
          <w:p w14:paraId="003A9E99">
            <w:pPr>
              <w:jc w:val="center"/>
              <w:rPr>
                <w:rFonts w:asciiTheme="minorEastAsia" w:hAnsiTheme="minorEastAsia" w:eastAsiaTheme="minorEastAsia"/>
                <w:szCs w:val="21"/>
                <w:highlight w:val="none"/>
              </w:rPr>
            </w:pPr>
          </w:p>
        </w:tc>
        <w:tc>
          <w:tcPr>
            <w:tcW w:w="1380" w:type="dxa"/>
          </w:tcPr>
          <w:p w14:paraId="4E0F2684">
            <w:pPr>
              <w:jc w:val="center"/>
              <w:rPr>
                <w:rFonts w:asciiTheme="minorEastAsia" w:hAnsiTheme="minorEastAsia" w:eastAsiaTheme="minorEastAsia"/>
                <w:szCs w:val="21"/>
                <w:highlight w:val="none"/>
              </w:rPr>
            </w:pPr>
          </w:p>
        </w:tc>
      </w:tr>
    </w:tbl>
    <w:p w14:paraId="4339B349">
      <w:pPr>
        <w:autoSpaceDE w:val="0"/>
        <w:autoSpaceDN w:val="0"/>
        <w:adjustRightInd w:val="0"/>
        <w:rPr>
          <w:rFonts w:asciiTheme="minorEastAsia" w:hAnsiTheme="minorEastAsia" w:eastAsiaTheme="minorEastAsia"/>
          <w:szCs w:val="21"/>
          <w:highlight w:val="none"/>
        </w:rPr>
      </w:pPr>
    </w:p>
    <w:p w14:paraId="74851659">
      <w:pPr>
        <w:autoSpaceDE w:val="0"/>
        <w:autoSpaceDN w:val="0"/>
        <w:adjustRightInd w:val="0"/>
        <w:rPr>
          <w:rFonts w:asciiTheme="minorEastAsia" w:hAnsiTheme="minorEastAsia" w:eastAsiaTheme="minorEastAsia"/>
          <w:szCs w:val="21"/>
          <w:highlight w:val="none"/>
        </w:rPr>
      </w:pPr>
    </w:p>
    <w:p w14:paraId="407E90E6">
      <w:pPr>
        <w:autoSpaceDE w:val="0"/>
        <w:autoSpaceDN w:val="0"/>
        <w:adjustRightInd w:val="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w:t>
      </w:r>
      <w:r>
        <w:rPr>
          <w:rFonts w:asciiTheme="minorEastAsia" w:hAnsiTheme="minorEastAsia" w:eastAsiaTheme="minorEastAsia"/>
          <w:sz w:val="24"/>
          <w:szCs w:val="24"/>
          <w:highlight w:val="none"/>
        </w:rPr>
        <w:t>供应商（</w:t>
      </w:r>
      <w:r>
        <w:rPr>
          <w:rFonts w:hint="eastAsia" w:asciiTheme="minorEastAsia" w:hAnsiTheme="minorEastAsia" w:eastAsiaTheme="minorEastAsia"/>
          <w:sz w:val="24"/>
          <w:szCs w:val="24"/>
          <w:highlight w:val="none"/>
        </w:rPr>
        <w:t>单位</w:t>
      </w:r>
      <w:r>
        <w:rPr>
          <w:rFonts w:asciiTheme="minorEastAsia" w:hAnsiTheme="minorEastAsia" w:eastAsiaTheme="minorEastAsia"/>
          <w:sz w:val="24"/>
          <w:szCs w:val="24"/>
          <w:highlight w:val="none"/>
        </w:rPr>
        <w:t>公章）：</w:t>
      </w:r>
    </w:p>
    <w:p w14:paraId="33E56822">
      <w:pPr>
        <w:autoSpaceDE w:val="0"/>
        <w:autoSpaceDN w:val="0"/>
        <w:adjustRightInd w:val="0"/>
        <w:rPr>
          <w:rFonts w:asciiTheme="minorEastAsia" w:hAnsiTheme="minorEastAsia" w:eastAsiaTheme="minorEastAsia"/>
          <w:sz w:val="24"/>
          <w:szCs w:val="24"/>
          <w:highlight w:val="none"/>
        </w:rPr>
      </w:pPr>
    </w:p>
    <w:p w14:paraId="5301245C">
      <w:pPr>
        <w:autoSpaceDE w:val="0"/>
        <w:autoSpaceDN w:val="0"/>
        <w:adjustRightInd w:val="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法定代表人或被授权人（代理人）：（签字或签章）</w:t>
      </w:r>
    </w:p>
    <w:p w14:paraId="5DBD0113">
      <w:pPr>
        <w:spacing w:line="400" w:lineRule="exact"/>
        <w:jc w:val="right"/>
        <w:rPr>
          <w:rFonts w:asciiTheme="minorEastAsia" w:hAnsiTheme="minorEastAsia" w:eastAsiaTheme="minorEastAsia"/>
          <w:szCs w:val="21"/>
          <w:highlight w:val="none"/>
        </w:rPr>
      </w:pPr>
    </w:p>
    <w:p w14:paraId="197E4961">
      <w:pPr>
        <w:autoSpaceDE w:val="0"/>
        <w:autoSpaceDN w:val="0"/>
        <w:adjustRightInd w:val="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年     月     日</w:t>
      </w:r>
    </w:p>
    <w:p w14:paraId="5F3706AE">
      <w:pPr>
        <w:spacing w:line="360" w:lineRule="auto"/>
        <w:rPr>
          <w:rFonts w:asciiTheme="minorEastAsia" w:hAnsiTheme="minorEastAsia" w:eastAsiaTheme="minorEastAsia"/>
          <w:b/>
          <w:spacing w:val="20"/>
          <w:highlight w:val="none"/>
        </w:rPr>
      </w:pPr>
    </w:p>
    <w:p w14:paraId="7A591313">
      <w:pPr>
        <w:spacing w:line="480" w:lineRule="exact"/>
        <w:rPr>
          <w:rFonts w:asciiTheme="minorEastAsia" w:hAnsiTheme="minorEastAsia" w:eastAsiaTheme="minorEastAsia"/>
          <w:b/>
          <w:sz w:val="24"/>
          <w:szCs w:val="24"/>
          <w:highlight w:val="none"/>
        </w:rPr>
      </w:pPr>
      <w:r>
        <w:rPr>
          <w:rFonts w:asciiTheme="minorEastAsia" w:hAnsiTheme="minorEastAsia" w:eastAsiaTheme="minorEastAsia"/>
          <w:highlight w:val="none"/>
        </w:rPr>
        <w:br w:type="page"/>
      </w:r>
      <w:r>
        <w:rPr>
          <w:rFonts w:hint="eastAsia" w:asciiTheme="minorEastAsia" w:hAnsiTheme="minorEastAsia" w:eastAsiaTheme="minorEastAsia"/>
          <w:b/>
          <w:sz w:val="24"/>
          <w:szCs w:val="24"/>
          <w:highlight w:val="none"/>
        </w:rPr>
        <w:t>附件7、拟配备人员一览表</w:t>
      </w:r>
    </w:p>
    <w:p w14:paraId="5BF81D1D">
      <w:pPr>
        <w:pStyle w:val="22"/>
        <w:spacing w:line="360" w:lineRule="auto"/>
        <w:jc w:val="center"/>
        <w:textAlignment w:val="baseline"/>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拟配备人员一览表</w:t>
      </w:r>
    </w:p>
    <w:tbl>
      <w:tblPr>
        <w:tblStyle w:val="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839"/>
        <w:gridCol w:w="839"/>
        <w:gridCol w:w="1670"/>
        <w:gridCol w:w="839"/>
        <w:gridCol w:w="839"/>
        <w:gridCol w:w="839"/>
        <w:gridCol w:w="1394"/>
        <w:gridCol w:w="840"/>
        <w:gridCol w:w="1394"/>
      </w:tblGrid>
      <w:tr w14:paraId="61CC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06" w:type="pct"/>
            <w:vAlign w:val="center"/>
          </w:tcPr>
          <w:p w14:paraId="151692EB">
            <w:pPr>
              <w:jc w:val="center"/>
              <w:rPr>
                <w:rFonts w:asciiTheme="minorEastAsia" w:hAnsiTheme="minorEastAsia" w:eastAsiaTheme="minorEastAsia"/>
                <w:highlight w:val="none"/>
              </w:rPr>
            </w:pPr>
            <w:r>
              <w:rPr>
                <w:rFonts w:hint="eastAsia" w:asciiTheme="minorEastAsia" w:hAnsiTheme="minorEastAsia" w:eastAsiaTheme="minorEastAsia"/>
                <w:highlight w:val="none"/>
              </w:rPr>
              <w:t>序号</w:t>
            </w:r>
          </w:p>
        </w:tc>
        <w:tc>
          <w:tcPr>
            <w:tcW w:w="406" w:type="pct"/>
            <w:vAlign w:val="center"/>
          </w:tcPr>
          <w:p w14:paraId="19BE8DE1">
            <w:pPr>
              <w:jc w:val="center"/>
              <w:rPr>
                <w:rFonts w:asciiTheme="minorEastAsia" w:hAnsiTheme="minorEastAsia" w:eastAsiaTheme="minorEastAsia"/>
                <w:highlight w:val="none"/>
              </w:rPr>
            </w:pPr>
            <w:r>
              <w:rPr>
                <w:rFonts w:hint="eastAsia" w:asciiTheme="minorEastAsia" w:hAnsiTheme="minorEastAsia" w:eastAsiaTheme="minorEastAsia"/>
                <w:highlight w:val="none"/>
              </w:rPr>
              <w:t>姓名</w:t>
            </w:r>
          </w:p>
        </w:tc>
        <w:tc>
          <w:tcPr>
            <w:tcW w:w="406" w:type="pct"/>
            <w:vAlign w:val="center"/>
          </w:tcPr>
          <w:p w14:paraId="1336B55C">
            <w:pPr>
              <w:jc w:val="center"/>
              <w:rPr>
                <w:rFonts w:asciiTheme="minorEastAsia" w:hAnsiTheme="minorEastAsia" w:eastAsiaTheme="minorEastAsia"/>
                <w:highlight w:val="none"/>
              </w:rPr>
            </w:pPr>
            <w:r>
              <w:rPr>
                <w:rFonts w:hint="eastAsia" w:asciiTheme="minorEastAsia" w:hAnsiTheme="minorEastAsia" w:eastAsiaTheme="minorEastAsia"/>
                <w:highlight w:val="none"/>
              </w:rPr>
              <w:t>岗位</w:t>
            </w:r>
          </w:p>
        </w:tc>
        <w:tc>
          <w:tcPr>
            <w:tcW w:w="808" w:type="pct"/>
            <w:vAlign w:val="center"/>
          </w:tcPr>
          <w:p w14:paraId="7E2683DF">
            <w:pPr>
              <w:jc w:val="center"/>
              <w:rPr>
                <w:rFonts w:asciiTheme="minorEastAsia" w:hAnsiTheme="minorEastAsia" w:eastAsiaTheme="minorEastAsia"/>
                <w:highlight w:val="none"/>
              </w:rPr>
            </w:pPr>
            <w:r>
              <w:rPr>
                <w:rFonts w:asciiTheme="minorEastAsia" w:hAnsiTheme="minorEastAsia" w:eastAsiaTheme="minorEastAsia"/>
                <w:highlight w:val="none"/>
              </w:rPr>
              <w:t>身份证号码</w:t>
            </w:r>
          </w:p>
        </w:tc>
        <w:tc>
          <w:tcPr>
            <w:tcW w:w="406" w:type="pct"/>
            <w:vAlign w:val="center"/>
          </w:tcPr>
          <w:p w14:paraId="6DBFE07D">
            <w:pPr>
              <w:jc w:val="center"/>
              <w:rPr>
                <w:rFonts w:asciiTheme="minorEastAsia" w:hAnsiTheme="minorEastAsia" w:eastAsiaTheme="minorEastAsia"/>
                <w:highlight w:val="none"/>
              </w:rPr>
            </w:pPr>
            <w:r>
              <w:rPr>
                <w:rFonts w:hint="eastAsia" w:asciiTheme="minorEastAsia" w:hAnsiTheme="minorEastAsia" w:eastAsiaTheme="minorEastAsia"/>
                <w:highlight w:val="none"/>
              </w:rPr>
              <w:t>年龄</w:t>
            </w:r>
          </w:p>
        </w:tc>
        <w:tc>
          <w:tcPr>
            <w:tcW w:w="406" w:type="pct"/>
            <w:vAlign w:val="center"/>
          </w:tcPr>
          <w:p w14:paraId="228F5AC3">
            <w:pPr>
              <w:jc w:val="center"/>
              <w:rPr>
                <w:rFonts w:asciiTheme="minorEastAsia" w:hAnsiTheme="minorEastAsia" w:eastAsiaTheme="minorEastAsia"/>
                <w:highlight w:val="none"/>
              </w:rPr>
            </w:pPr>
            <w:r>
              <w:rPr>
                <w:rFonts w:hint="eastAsia" w:asciiTheme="minorEastAsia" w:hAnsiTheme="minorEastAsia" w:eastAsiaTheme="minorEastAsia"/>
                <w:highlight w:val="none"/>
              </w:rPr>
              <w:t>性别</w:t>
            </w:r>
          </w:p>
        </w:tc>
        <w:tc>
          <w:tcPr>
            <w:tcW w:w="406" w:type="pct"/>
            <w:vAlign w:val="center"/>
          </w:tcPr>
          <w:p w14:paraId="6253F7EF">
            <w:pPr>
              <w:jc w:val="center"/>
              <w:rPr>
                <w:rFonts w:asciiTheme="minorEastAsia" w:hAnsiTheme="minorEastAsia" w:eastAsiaTheme="minorEastAsia"/>
                <w:highlight w:val="none"/>
              </w:rPr>
            </w:pPr>
            <w:r>
              <w:rPr>
                <w:rFonts w:hint="eastAsia" w:asciiTheme="minorEastAsia" w:hAnsiTheme="minorEastAsia" w:eastAsiaTheme="minorEastAsia"/>
                <w:highlight w:val="none"/>
              </w:rPr>
              <w:t>学历</w:t>
            </w:r>
          </w:p>
        </w:tc>
        <w:tc>
          <w:tcPr>
            <w:tcW w:w="674" w:type="pct"/>
            <w:vAlign w:val="center"/>
          </w:tcPr>
          <w:p w14:paraId="39FFF387">
            <w:pPr>
              <w:jc w:val="center"/>
              <w:rPr>
                <w:rFonts w:asciiTheme="minorEastAsia" w:hAnsiTheme="minorEastAsia" w:eastAsiaTheme="minorEastAsia"/>
                <w:highlight w:val="none"/>
              </w:rPr>
            </w:pPr>
            <w:r>
              <w:rPr>
                <w:rFonts w:hint="eastAsia" w:asciiTheme="minorEastAsia" w:hAnsiTheme="minorEastAsia" w:eastAsiaTheme="minorEastAsia"/>
                <w:highlight w:val="none"/>
              </w:rPr>
              <w:t>所学专业</w:t>
            </w:r>
          </w:p>
        </w:tc>
        <w:tc>
          <w:tcPr>
            <w:tcW w:w="406" w:type="pct"/>
            <w:vAlign w:val="center"/>
          </w:tcPr>
          <w:p w14:paraId="5CE5B8FA">
            <w:pPr>
              <w:jc w:val="center"/>
              <w:rPr>
                <w:rFonts w:asciiTheme="minorEastAsia" w:hAnsiTheme="minorEastAsia" w:eastAsiaTheme="minorEastAsia"/>
                <w:highlight w:val="none"/>
              </w:rPr>
            </w:pPr>
            <w:r>
              <w:rPr>
                <w:rFonts w:hint="eastAsia" w:asciiTheme="minorEastAsia" w:hAnsiTheme="minorEastAsia" w:eastAsiaTheme="minorEastAsia"/>
                <w:highlight w:val="none"/>
              </w:rPr>
              <w:t>职称</w:t>
            </w:r>
          </w:p>
        </w:tc>
        <w:tc>
          <w:tcPr>
            <w:tcW w:w="674" w:type="pct"/>
            <w:vAlign w:val="center"/>
          </w:tcPr>
          <w:p w14:paraId="69575045">
            <w:pPr>
              <w:jc w:val="center"/>
              <w:rPr>
                <w:rFonts w:asciiTheme="minorEastAsia" w:hAnsiTheme="minorEastAsia" w:eastAsiaTheme="minorEastAsia"/>
                <w:highlight w:val="none"/>
              </w:rPr>
            </w:pPr>
            <w:r>
              <w:rPr>
                <w:rFonts w:hint="eastAsia" w:asciiTheme="minorEastAsia" w:hAnsiTheme="minorEastAsia" w:eastAsiaTheme="minorEastAsia"/>
                <w:highlight w:val="none"/>
              </w:rPr>
              <w:t>持证情况</w:t>
            </w:r>
          </w:p>
        </w:tc>
      </w:tr>
      <w:tr w14:paraId="5011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06" w:type="pct"/>
            <w:vAlign w:val="center"/>
          </w:tcPr>
          <w:p w14:paraId="491E88CB">
            <w:pPr>
              <w:jc w:val="center"/>
              <w:rPr>
                <w:rFonts w:asciiTheme="minorEastAsia" w:hAnsiTheme="minorEastAsia" w:eastAsiaTheme="minorEastAsia"/>
                <w:highlight w:val="none"/>
              </w:rPr>
            </w:pPr>
            <w:r>
              <w:rPr>
                <w:rFonts w:hint="eastAsia" w:asciiTheme="minorEastAsia" w:hAnsiTheme="minorEastAsia" w:eastAsiaTheme="minorEastAsia"/>
                <w:highlight w:val="none"/>
              </w:rPr>
              <w:t>1</w:t>
            </w:r>
          </w:p>
        </w:tc>
        <w:tc>
          <w:tcPr>
            <w:tcW w:w="406" w:type="pct"/>
            <w:vAlign w:val="center"/>
          </w:tcPr>
          <w:p w14:paraId="729233E7">
            <w:pPr>
              <w:jc w:val="center"/>
              <w:rPr>
                <w:rFonts w:asciiTheme="minorEastAsia" w:hAnsiTheme="minorEastAsia" w:eastAsiaTheme="minorEastAsia"/>
                <w:highlight w:val="none"/>
              </w:rPr>
            </w:pPr>
          </w:p>
        </w:tc>
        <w:tc>
          <w:tcPr>
            <w:tcW w:w="406" w:type="pct"/>
            <w:vAlign w:val="center"/>
          </w:tcPr>
          <w:p w14:paraId="617F4194">
            <w:pPr>
              <w:jc w:val="center"/>
              <w:rPr>
                <w:rFonts w:asciiTheme="minorEastAsia" w:hAnsiTheme="minorEastAsia" w:eastAsiaTheme="minorEastAsia"/>
                <w:highlight w:val="none"/>
              </w:rPr>
            </w:pPr>
          </w:p>
        </w:tc>
        <w:tc>
          <w:tcPr>
            <w:tcW w:w="808" w:type="pct"/>
            <w:vAlign w:val="center"/>
          </w:tcPr>
          <w:p w14:paraId="1B3D2EA9">
            <w:pPr>
              <w:jc w:val="center"/>
              <w:rPr>
                <w:rFonts w:asciiTheme="minorEastAsia" w:hAnsiTheme="minorEastAsia" w:eastAsiaTheme="minorEastAsia"/>
                <w:highlight w:val="none"/>
              </w:rPr>
            </w:pPr>
          </w:p>
        </w:tc>
        <w:tc>
          <w:tcPr>
            <w:tcW w:w="406" w:type="pct"/>
            <w:vAlign w:val="center"/>
          </w:tcPr>
          <w:p w14:paraId="6FC392AB">
            <w:pPr>
              <w:jc w:val="center"/>
              <w:rPr>
                <w:rFonts w:asciiTheme="minorEastAsia" w:hAnsiTheme="minorEastAsia" w:eastAsiaTheme="minorEastAsia"/>
                <w:highlight w:val="none"/>
              </w:rPr>
            </w:pPr>
          </w:p>
        </w:tc>
        <w:tc>
          <w:tcPr>
            <w:tcW w:w="406" w:type="pct"/>
            <w:vAlign w:val="center"/>
          </w:tcPr>
          <w:p w14:paraId="08D180A2">
            <w:pPr>
              <w:jc w:val="center"/>
              <w:rPr>
                <w:rFonts w:asciiTheme="minorEastAsia" w:hAnsiTheme="minorEastAsia" w:eastAsiaTheme="minorEastAsia"/>
                <w:highlight w:val="none"/>
              </w:rPr>
            </w:pPr>
          </w:p>
        </w:tc>
        <w:tc>
          <w:tcPr>
            <w:tcW w:w="406" w:type="pct"/>
            <w:vAlign w:val="center"/>
          </w:tcPr>
          <w:p w14:paraId="3FDE6589">
            <w:pPr>
              <w:jc w:val="center"/>
              <w:rPr>
                <w:rFonts w:asciiTheme="minorEastAsia" w:hAnsiTheme="minorEastAsia" w:eastAsiaTheme="minorEastAsia"/>
                <w:highlight w:val="none"/>
              </w:rPr>
            </w:pPr>
          </w:p>
        </w:tc>
        <w:tc>
          <w:tcPr>
            <w:tcW w:w="674" w:type="pct"/>
            <w:vAlign w:val="center"/>
          </w:tcPr>
          <w:p w14:paraId="12E3F6F3">
            <w:pPr>
              <w:jc w:val="center"/>
              <w:rPr>
                <w:rFonts w:asciiTheme="minorEastAsia" w:hAnsiTheme="minorEastAsia" w:eastAsiaTheme="minorEastAsia"/>
                <w:highlight w:val="none"/>
              </w:rPr>
            </w:pPr>
          </w:p>
        </w:tc>
        <w:tc>
          <w:tcPr>
            <w:tcW w:w="406" w:type="pct"/>
            <w:vAlign w:val="center"/>
          </w:tcPr>
          <w:p w14:paraId="52661889">
            <w:pPr>
              <w:jc w:val="center"/>
              <w:rPr>
                <w:rFonts w:asciiTheme="minorEastAsia" w:hAnsiTheme="minorEastAsia" w:eastAsiaTheme="minorEastAsia"/>
                <w:highlight w:val="none"/>
              </w:rPr>
            </w:pPr>
          </w:p>
        </w:tc>
        <w:tc>
          <w:tcPr>
            <w:tcW w:w="674" w:type="pct"/>
          </w:tcPr>
          <w:p w14:paraId="20AD288C">
            <w:pPr>
              <w:jc w:val="center"/>
              <w:rPr>
                <w:rFonts w:asciiTheme="minorEastAsia" w:hAnsiTheme="minorEastAsia" w:eastAsiaTheme="minorEastAsia"/>
                <w:highlight w:val="none"/>
              </w:rPr>
            </w:pPr>
          </w:p>
        </w:tc>
      </w:tr>
      <w:tr w14:paraId="58EA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06" w:type="pct"/>
            <w:vAlign w:val="center"/>
          </w:tcPr>
          <w:p w14:paraId="0EC22C54">
            <w:pPr>
              <w:jc w:val="center"/>
              <w:rPr>
                <w:rFonts w:asciiTheme="minorEastAsia" w:hAnsiTheme="minorEastAsia" w:eastAsiaTheme="minorEastAsia"/>
                <w:highlight w:val="none"/>
              </w:rPr>
            </w:pPr>
            <w:r>
              <w:rPr>
                <w:rFonts w:hint="eastAsia" w:asciiTheme="minorEastAsia" w:hAnsiTheme="minorEastAsia" w:eastAsiaTheme="minorEastAsia"/>
                <w:highlight w:val="none"/>
              </w:rPr>
              <w:t>2</w:t>
            </w:r>
          </w:p>
        </w:tc>
        <w:tc>
          <w:tcPr>
            <w:tcW w:w="406" w:type="pct"/>
            <w:vAlign w:val="center"/>
          </w:tcPr>
          <w:p w14:paraId="2AC6494E">
            <w:pPr>
              <w:jc w:val="center"/>
              <w:rPr>
                <w:rFonts w:asciiTheme="minorEastAsia" w:hAnsiTheme="minorEastAsia" w:eastAsiaTheme="minorEastAsia"/>
                <w:highlight w:val="none"/>
              </w:rPr>
            </w:pPr>
          </w:p>
        </w:tc>
        <w:tc>
          <w:tcPr>
            <w:tcW w:w="406" w:type="pct"/>
            <w:vAlign w:val="center"/>
          </w:tcPr>
          <w:p w14:paraId="031EFBF1">
            <w:pPr>
              <w:jc w:val="center"/>
              <w:rPr>
                <w:rFonts w:asciiTheme="minorEastAsia" w:hAnsiTheme="minorEastAsia" w:eastAsiaTheme="minorEastAsia"/>
                <w:highlight w:val="none"/>
              </w:rPr>
            </w:pPr>
          </w:p>
        </w:tc>
        <w:tc>
          <w:tcPr>
            <w:tcW w:w="808" w:type="pct"/>
            <w:vAlign w:val="center"/>
          </w:tcPr>
          <w:p w14:paraId="2953F0F2">
            <w:pPr>
              <w:jc w:val="center"/>
              <w:rPr>
                <w:rFonts w:asciiTheme="minorEastAsia" w:hAnsiTheme="minorEastAsia" w:eastAsiaTheme="minorEastAsia"/>
                <w:highlight w:val="none"/>
              </w:rPr>
            </w:pPr>
          </w:p>
        </w:tc>
        <w:tc>
          <w:tcPr>
            <w:tcW w:w="406" w:type="pct"/>
            <w:vAlign w:val="center"/>
          </w:tcPr>
          <w:p w14:paraId="78568BE7">
            <w:pPr>
              <w:jc w:val="center"/>
              <w:rPr>
                <w:rFonts w:asciiTheme="minorEastAsia" w:hAnsiTheme="minorEastAsia" w:eastAsiaTheme="minorEastAsia"/>
                <w:highlight w:val="none"/>
              </w:rPr>
            </w:pPr>
          </w:p>
        </w:tc>
        <w:tc>
          <w:tcPr>
            <w:tcW w:w="406" w:type="pct"/>
            <w:vAlign w:val="center"/>
          </w:tcPr>
          <w:p w14:paraId="1846A30A">
            <w:pPr>
              <w:jc w:val="center"/>
              <w:rPr>
                <w:rFonts w:asciiTheme="minorEastAsia" w:hAnsiTheme="minorEastAsia" w:eastAsiaTheme="minorEastAsia"/>
                <w:highlight w:val="none"/>
              </w:rPr>
            </w:pPr>
          </w:p>
        </w:tc>
        <w:tc>
          <w:tcPr>
            <w:tcW w:w="406" w:type="pct"/>
            <w:vAlign w:val="center"/>
          </w:tcPr>
          <w:p w14:paraId="1E733D6E">
            <w:pPr>
              <w:jc w:val="center"/>
              <w:rPr>
                <w:rFonts w:asciiTheme="minorEastAsia" w:hAnsiTheme="minorEastAsia" w:eastAsiaTheme="minorEastAsia"/>
                <w:highlight w:val="none"/>
              </w:rPr>
            </w:pPr>
          </w:p>
        </w:tc>
        <w:tc>
          <w:tcPr>
            <w:tcW w:w="674" w:type="pct"/>
            <w:vAlign w:val="center"/>
          </w:tcPr>
          <w:p w14:paraId="7CF8DE09">
            <w:pPr>
              <w:jc w:val="center"/>
              <w:rPr>
                <w:rFonts w:asciiTheme="minorEastAsia" w:hAnsiTheme="minorEastAsia" w:eastAsiaTheme="minorEastAsia"/>
                <w:highlight w:val="none"/>
              </w:rPr>
            </w:pPr>
          </w:p>
        </w:tc>
        <w:tc>
          <w:tcPr>
            <w:tcW w:w="406" w:type="pct"/>
            <w:vAlign w:val="center"/>
          </w:tcPr>
          <w:p w14:paraId="76C640FE">
            <w:pPr>
              <w:jc w:val="center"/>
              <w:rPr>
                <w:rFonts w:asciiTheme="minorEastAsia" w:hAnsiTheme="minorEastAsia" w:eastAsiaTheme="minorEastAsia"/>
                <w:highlight w:val="none"/>
              </w:rPr>
            </w:pPr>
          </w:p>
        </w:tc>
        <w:tc>
          <w:tcPr>
            <w:tcW w:w="674" w:type="pct"/>
          </w:tcPr>
          <w:p w14:paraId="01D42ACB">
            <w:pPr>
              <w:jc w:val="center"/>
              <w:rPr>
                <w:rFonts w:asciiTheme="minorEastAsia" w:hAnsiTheme="minorEastAsia" w:eastAsiaTheme="minorEastAsia"/>
                <w:highlight w:val="none"/>
              </w:rPr>
            </w:pPr>
          </w:p>
        </w:tc>
      </w:tr>
      <w:tr w14:paraId="29F9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06" w:type="pct"/>
            <w:vAlign w:val="center"/>
          </w:tcPr>
          <w:p w14:paraId="5115BF12">
            <w:pPr>
              <w:jc w:val="center"/>
              <w:rPr>
                <w:rFonts w:asciiTheme="minorEastAsia" w:hAnsiTheme="minorEastAsia" w:eastAsiaTheme="minorEastAsia"/>
                <w:highlight w:val="none"/>
              </w:rPr>
            </w:pPr>
            <w:r>
              <w:rPr>
                <w:rFonts w:hint="eastAsia" w:asciiTheme="minorEastAsia" w:hAnsiTheme="minorEastAsia" w:eastAsiaTheme="minorEastAsia"/>
                <w:highlight w:val="none"/>
              </w:rPr>
              <w:t>3</w:t>
            </w:r>
          </w:p>
        </w:tc>
        <w:tc>
          <w:tcPr>
            <w:tcW w:w="406" w:type="pct"/>
            <w:vAlign w:val="center"/>
          </w:tcPr>
          <w:p w14:paraId="740A2E08">
            <w:pPr>
              <w:jc w:val="center"/>
              <w:rPr>
                <w:rFonts w:asciiTheme="minorEastAsia" w:hAnsiTheme="minorEastAsia" w:eastAsiaTheme="minorEastAsia"/>
                <w:highlight w:val="none"/>
              </w:rPr>
            </w:pPr>
          </w:p>
        </w:tc>
        <w:tc>
          <w:tcPr>
            <w:tcW w:w="406" w:type="pct"/>
            <w:vAlign w:val="center"/>
          </w:tcPr>
          <w:p w14:paraId="7FE7A6C1">
            <w:pPr>
              <w:jc w:val="center"/>
              <w:rPr>
                <w:rFonts w:asciiTheme="minorEastAsia" w:hAnsiTheme="minorEastAsia" w:eastAsiaTheme="minorEastAsia"/>
                <w:highlight w:val="none"/>
              </w:rPr>
            </w:pPr>
          </w:p>
        </w:tc>
        <w:tc>
          <w:tcPr>
            <w:tcW w:w="808" w:type="pct"/>
            <w:vAlign w:val="center"/>
          </w:tcPr>
          <w:p w14:paraId="55C6D042">
            <w:pPr>
              <w:jc w:val="center"/>
              <w:rPr>
                <w:rFonts w:asciiTheme="minorEastAsia" w:hAnsiTheme="minorEastAsia" w:eastAsiaTheme="minorEastAsia"/>
                <w:highlight w:val="none"/>
              </w:rPr>
            </w:pPr>
          </w:p>
        </w:tc>
        <w:tc>
          <w:tcPr>
            <w:tcW w:w="406" w:type="pct"/>
            <w:vAlign w:val="center"/>
          </w:tcPr>
          <w:p w14:paraId="7422315B">
            <w:pPr>
              <w:jc w:val="center"/>
              <w:rPr>
                <w:rFonts w:asciiTheme="minorEastAsia" w:hAnsiTheme="minorEastAsia" w:eastAsiaTheme="minorEastAsia"/>
                <w:highlight w:val="none"/>
              </w:rPr>
            </w:pPr>
          </w:p>
        </w:tc>
        <w:tc>
          <w:tcPr>
            <w:tcW w:w="406" w:type="pct"/>
            <w:vAlign w:val="center"/>
          </w:tcPr>
          <w:p w14:paraId="740B30A3">
            <w:pPr>
              <w:jc w:val="center"/>
              <w:rPr>
                <w:rFonts w:asciiTheme="minorEastAsia" w:hAnsiTheme="minorEastAsia" w:eastAsiaTheme="minorEastAsia"/>
                <w:highlight w:val="none"/>
              </w:rPr>
            </w:pPr>
          </w:p>
        </w:tc>
        <w:tc>
          <w:tcPr>
            <w:tcW w:w="406" w:type="pct"/>
            <w:vAlign w:val="center"/>
          </w:tcPr>
          <w:p w14:paraId="25621AAA">
            <w:pPr>
              <w:jc w:val="center"/>
              <w:rPr>
                <w:rFonts w:asciiTheme="minorEastAsia" w:hAnsiTheme="minorEastAsia" w:eastAsiaTheme="minorEastAsia"/>
                <w:highlight w:val="none"/>
              </w:rPr>
            </w:pPr>
          </w:p>
        </w:tc>
        <w:tc>
          <w:tcPr>
            <w:tcW w:w="674" w:type="pct"/>
            <w:vAlign w:val="center"/>
          </w:tcPr>
          <w:p w14:paraId="242B30F3">
            <w:pPr>
              <w:jc w:val="center"/>
              <w:rPr>
                <w:rFonts w:asciiTheme="minorEastAsia" w:hAnsiTheme="minorEastAsia" w:eastAsiaTheme="minorEastAsia"/>
                <w:highlight w:val="none"/>
              </w:rPr>
            </w:pPr>
          </w:p>
        </w:tc>
        <w:tc>
          <w:tcPr>
            <w:tcW w:w="406" w:type="pct"/>
            <w:vAlign w:val="center"/>
          </w:tcPr>
          <w:p w14:paraId="73942C31">
            <w:pPr>
              <w:jc w:val="center"/>
              <w:rPr>
                <w:rFonts w:asciiTheme="minorEastAsia" w:hAnsiTheme="minorEastAsia" w:eastAsiaTheme="minorEastAsia"/>
                <w:highlight w:val="none"/>
              </w:rPr>
            </w:pPr>
          </w:p>
        </w:tc>
        <w:tc>
          <w:tcPr>
            <w:tcW w:w="674" w:type="pct"/>
          </w:tcPr>
          <w:p w14:paraId="286CAF95">
            <w:pPr>
              <w:jc w:val="center"/>
              <w:rPr>
                <w:rFonts w:asciiTheme="minorEastAsia" w:hAnsiTheme="minorEastAsia" w:eastAsiaTheme="minorEastAsia"/>
                <w:highlight w:val="none"/>
              </w:rPr>
            </w:pPr>
          </w:p>
        </w:tc>
      </w:tr>
      <w:tr w14:paraId="37FF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06" w:type="pct"/>
            <w:vAlign w:val="center"/>
          </w:tcPr>
          <w:p w14:paraId="3D577322">
            <w:pPr>
              <w:jc w:val="center"/>
              <w:rPr>
                <w:rFonts w:asciiTheme="minorEastAsia" w:hAnsiTheme="minorEastAsia" w:eastAsiaTheme="minorEastAsia"/>
                <w:highlight w:val="none"/>
              </w:rPr>
            </w:pPr>
            <w:r>
              <w:rPr>
                <w:rFonts w:hint="eastAsia" w:asciiTheme="minorEastAsia" w:hAnsiTheme="minorEastAsia" w:eastAsiaTheme="minorEastAsia"/>
                <w:highlight w:val="none"/>
              </w:rPr>
              <w:t>4</w:t>
            </w:r>
          </w:p>
        </w:tc>
        <w:tc>
          <w:tcPr>
            <w:tcW w:w="406" w:type="pct"/>
            <w:vAlign w:val="center"/>
          </w:tcPr>
          <w:p w14:paraId="7DC02D20">
            <w:pPr>
              <w:jc w:val="center"/>
              <w:rPr>
                <w:rFonts w:asciiTheme="minorEastAsia" w:hAnsiTheme="minorEastAsia" w:eastAsiaTheme="minorEastAsia"/>
                <w:highlight w:val="none"/>
              </w:rPr>
            </w:pPr>
          </w:p>
        </w:tc>
        <w:tc>
          <w:tcPr>
            <w:tcW w:w="406" w:type="pct"/>
            <w:vAlign w:val="center"/>
          </w:tcPr>
          <w:p w14:paraId="69A45B40">
            <w:pPr>
              <w:jc w:val="center"/>
              <w:rPr>
                <w:rFonts w:asciiTheme="minorEastAsia" w:hAnsiTheme="minorEastAsia" w:eastAsiaTheme="minorEastAsia"/>
                <w:highlight w:val="none"/>
              </w:rPr>
            </w:pPr>
          </w:p>
        </w:tc>
        <w:tc>
          <w:tcPr>
            <w:tcW w:w="808" w:type="pct"/>
            <w:vAlign w:val="center"/>
          </w:tcPr>
          <w:p w14:paraId="446E6A26">
            <w:pPr>
              <w:jc w:val="center"/>
              <w:rPr>
                <w:rFonts w:asciiTheme="minorEastAsia" w:hAnsiTheme="minorEastAsia" w:eastAsiaTheme="minorEastAsia"/>
                <w:highlight w:val="none"/>
              </w:rPr>
            </w:pPr>
          </w:p>
        </w:tc>
        <w:tc>
          <w:tcPr>
            <w:tcW w:w="406" w:type="pct"/>
            <w:vAlign w:val="center"/>
          </w:tcPr>
          <w:p w14:paraId="6C1B8990">
            <w:pPr>
              <w:jc w:val="center"/>
              <w:rPr>
                <w:rFonts w:asciiTheme="minorEastAsia" w:hAnsiTheme="minorEastAsia" w:eastAsiaTheme="minorEastAsia"/>
                <w:highlight w:val="none"/>
              </w:rPr>
            </w:pPr>
          </w:p>
        </w:tc>
        <w:tc>
          <w:tcPr>
            <w:tcW w:w="406" w:type="pct"/>
            <w:vAlign w:val="center"/>
          </w:tcPr>
          <w:p w14:paraId="29F67F5F">
            <w:pPr>
              <w:jc w:val="center"/>
              <w:rPr>
                <w:rFonts w:asciiTheme="minorEastAsia" w:hAnsiTheme="minorEastAsia" w:eastAsiaTheme="minorEastAsia"/>
                <w:highlight w:val="none"/>
              </w:rPr>
            </w:pPr>
          </w:p>
        </w:tc>
        <w:tc>
          <w:tcPr>
            <w:tcW w:w="406" w:type="pct"/>
            <w:vAlign w:val="center"/>
          </w:tcPr>
          <w:p w14:paraId="353DF2B0">
            <w:pPr>
              <w:jc w:val="center"/>
              <w:rPr>
                <w:rFonts w:asciiTheme="minorEastAsia" w:hAnsiTheme="minorEastAsia" w:eastAsiaTheme="minorEastAsia"/>
                <w:highlight w:val="none"/>
              </w:rPr>
            </w:pPr>
          </w:p>
        </w:tc>
        <w:tc>
          <w:tcPr>
            <w:tcW w:w="674" w:type="pct"/>
            <w:vAlign w:val="center"/>
          </w:tcPr>
          <w:p w14:paraId="4C617BF9">
            <w:pPr>
              <w:jc w:val="center"/>
              <w:rPr>
                <w:rFonts w:asciiTheme="minorEastAsia" w:hAnsiTheme="minorEastAsia" w:eastAsiaTheme="minorEastAsia"/>
                <w:highlight w:val="none"/>
              </w:rPr>
            </w:pPr>
          </w:p>
        </w:tc>
        <w:tc>
          <w:tcPr>
            <w:tcW w:w="406" w:type="pct"/>
            <w:vAlign w:val="center"/>
          </w:tcPr>
          <w:p w14:paraId="2C97D907">
            <w:pPr>
              <w:jc w:val="center"/>
              <w:rPr>
                <w:rFonts w:asciiTheme="minorEastAsia" w:hAnsiTheme="minorEastAsia" w:eastAsiaTheme="minorEastAsia"/>
                <w:highlight w:val="none"/>
              </w:rPr>
            </w:pPr>
          </w:p>
        </w:tc>
        <w:tc>
          <w:tcPr>
            <w:tcW w:w="674" w:type="pct"/>
          </w:tcPr>
          <w:p w14:paraId="6DD88F16">
            <w:pPr>
              <w:jc w:val="center"/>
              <w:rPr>
                <w:rFonts w:asciiTheme="minorEastAsia" w:hAnsiTheme="minorEastAsia" w:eastAsiaTheme="minorEastAsia"/>
                <w:highlight w:val="none"/>
              </w:rPr>
            </w:pPr>
          </w:p>
        </w:tc>
      </w:tr>
      <w:tr w14:paraId="6C57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06" w:type="pct"/>
            <w:vAlign w:val="center"/>
          </w:tcPr>
          <w:p w14:paraId="160D0528">
            <w:pPr>
              <w:jc w:val="center"/>
              <w:rPr>
                <w:rFonts w:asciiTheme="minorEastAsia" w:hAnsiTheme="minorEastAsia" w:eastAsiaTheme="minorEastAsia"/>
                <w:highlight w:val="none"/>
              </w:rPr>
            </w:pPr>
            <w:r>
              <w:rPr>
                <w:rFonts w:asciiTheme="minorEastAsia" w:hAnsiTheme="minorEastAsia" w:eastAsiaTheme="minorEastAsia"/>
                <w:highlight w:val="none"/>
              </w:rPr>
              <w:t>…</w:t>
            </w:r>
          </w:p>
        </w:tc>
        <w:tc>
          <w:tcPr>
            <w:tcW w:w="406" w:type="pct"/>
            <w:vAlign w:val="center"/>
          </w:tcPr>
          <w:p w14:paraId="52CB0ED7">
            <w:pPr>
              <w:jc w:val="center"/>
              <w:rPr>
                <w:rFonts w:asciiTheme="minorEastAsia" w:hAnsiTheme="minorEastAsia" w:eastAsiaTheme="minorEastAsia"/>
                <w:highlight w:val="none"/>
              </w:rPr>
            </w:pPr>
          </w:p>
        </w:tc>
        <w:tc>
          <w:tcPr>
            <w:tcW w:w="406" w:type="pct"/>
            <w:vAlign w:val="center"/>
          </w:tcPr>
          <w:p w14:paraId="5679DDEE">
            <w:pPr>
              <w:jc w:val="center"/>
              <w:rPr>
                <w:rFonts w:asciiTheme="minorEastAsia" w:hAnsiTheme="minorEastAsia" w:eastAsiaTheme="minorEastAsia"/>
                <w:highlight w:val="none"/>
              </w:rPr>
            </w:pPr>
          </w:p>
        </w:tc>
        <w:tc>
          <w:tcPr>
            <w:tcW w:w="808" w:type="pct"/>
            <w:vAlign w:val="center"/>
          </w:tcPr>
          <w:p w14:paraId="7BF77787">
            <w:pPr>
              <w:jc w:val="center"/>
              <w:rPr>
                <w:rFonts w:asciiTheme="minorEastAsia" w:hAnsiTheme="minorEastAsia" w:eastAsiaTheme="minorEastAsia"/>
                <w:highlight w:val="none"/>
              </w:rPr>
            </w:pPr>
          </w:p>
        </w:tc>
        <w:tc>
          <w:tcPr>
            <w:tcW w:w="406" w:type="pct"/>
            <w:vAlign w:val="center"/>
          </w:tcPr>
          <w:p w14:paraId="057B617B">
            <w:pPr>
              <w:jc w:val="center"/>
              <w:rPr>
                <w:rFonts w:asciiTheme="minorEastAsia" w:hAnsiTheme="minorEastAsia" w:eastAsiaTheme="minorEastAsia"/>
                <w:highlight w:val="none"/>
              </w:rPr>
            </w:pPr>
          </w:p>
        </w:tc>
        <w:tc>
          <w:tcPr>
            <w:tcW w:w="406" w:type="pct"/>
            <w:vAlign w:val="center"/>
          </w:tcPr>
          <w:p w14:paraId="40EB55DD">
            <w:pPr>
              <w:jc w:val="center"/>
              <w:rPr>
                <w:rFonts w:asciiTheme="minorEastAsia" w:hAnsiTheme="minorEastAsia" w:eastAsiaTheme="minorEastAsia"/>
                <w:highlight w:val="none"/>
              </w:rPr>
            </w:pPr>
          </w:p>
        </w:tc>
        <w:tc>
          <w:tcPr>
            <w:tcW w:w="406" w:type="pct"/>
            <w:vAlign w:val="center"/>
          </w:tcPr>
          <w:p w14:paraId="239E8E59">
            <w:pPr>
              <w:jc w:val="center"/>
              <w:rPr>
                <w:rFonts w:asciiTheme="minorEastAsia" w:hAnsiTheme="minorEastAsia" w:eastAsiaTheme="minorEastAsia"/>
                <w:highlight w:val="none"/>
              </w:rPr>
            </w:pPr>
          </w:p>
        </w:tc>
        <w:tc>
          <w:tcPr>
            <w:tcW w:w="674" w:type="pct"/>
            <w:vAlign w:val="center"/>
          </w:tcPr>
          <w:p w14:paraId="0DABAB6B">
            <w:pPr>
              <w:jc w:val="center"/>
              <w:rPr>
                <w:rFonts w:asciiTheme="minorEastAsia" w:hAnsiTheme="minorEastAsia" w:eastAsiaTheme="minorEastAsia"/>
                <w:highlight w:val="none"/>
              </w:rPr>
            </w:pPr>
          </w:p>
        </w:tc>
        <w:tc>
          <w:tcPr>
            <w:tcW w:w="406" w:type="pct"/>
            <w:vAlign w:val="center"/>
          </w:tcPr>
          <w:p w14:paraId="1E9301DB">
            <w:pPr>
              <w:jc w:val="center"/>
              <w:rPr>
                <w:rFonts w:asciiTheme="minorEastAsia" w:hAnsiTheme="minorEastAsia" w:eastAsiaTheme="minorEastAsia"/>
                <w:highlight w:val="none"/>
              </w:rPr>
            </w:pPr>
          </w:p>
        </w:tc>
        <w:tc>
          <w:tcPr>
            <w:tcW w:w="674" w:type="pct"/>
          </w:tcPr>
          <w:p w14:paraId="71B0196B">
            <w:pPr>
              <w:jc w:val="center"/>
              <w:rPr>
                <w:rFonts w:asciiTheme="minorEastAsia" w:hAnsiTheme="minorEastAsia" w:eastAsiaTheme="minorEastAsia"/>
                <w:highlight w:val="none"/>
              </w:rPr>
            </w:pPr>
          </w:p>
        </w:tc>
      </w:tr>
    </w:tbl>
    <w:p w14:paraId="16467F78">
      <w:pPr>
        <w:spacing w:line="360" w:lineRule="auto"/>
        <w:rPr>
          <w:rFonts w:asciiTheme="minorEastAsia" w:hAnsiTheme="minorEastAsia" w:eastAsiaTheme="minorEastAsia"/>
          <w:sz w:val="24"/>
          <w:szCs w:val="24"/>
          <w:highlight w:val="none"/>
        </w:rPr>
      </w:pPr>
    </w:p>
    <w:p w14:paraId="40E31135">
      <w:pPr>
        <w:pStyle w:val="123"/>
        <w:adjustRightInd/>
        <w:spacing w:line="360" w:lineRule="auto"/>
        <w:rPr>
          <w:rFonts w:asciiTheme="minorEastAsia" w:hAnsiTheme="minorEastAsia" w:eastAsiaTheme="minorEastAsia"/>
          <w:sz w:val="24"/>
          <w:szCs w:val="24"/>
          <w:highlight w:val="none"/>
        </w:rPr>
      </w:pPr>
    </w:p>
    <w:p w14:paraId="2ECD5C73">
      <w:pPr>
        <w:pStyle w:val="123"/>
        <w:adjustRightInd/>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响应供应商：（单位盖章）</w:t>
      </w:r>
    </w:p>
    <w:p w14:paraId="15445373">
      <w:pPr>
        <w:pStyle w:val="123"/>
        <w:adjustRightInd/>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法定代表人或代理人：（签字或盖章）</w:t>
      </w:r>
    </w:p>
    <w:p w14:paraId="719ED50E">
      <w:pPr>
        <w:pStyle w:val="123"/>
        <w:adjustRightInd/>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日期：   年    月    日</w:t>
      </w:r>
    </w:p>
    <w:p w14:paraId="7E7C81E5">
      <w:pPr>
        <w:widowControl/>
        <w:overflowPunct w:val="0"/>
        <w:spacing w:line="400" w:lineRule="exact"/>
        <w:jc w:val="left"/>
        <w:rPr>
          <w:rFonts w:asciiTheme="minorEastAsia" w:hAnsiTheme="minorEastAsia" w:eastAsiaTheme="minorEastAsia"/>
          <w:szCs w:val="21"/>
          <w:highlight w:val="none"/>
        </w:rPr>
      </w:pPr>
    </w:p>
    <w:p w14:paraId="0E83971C">
      <w:pPr>
        <w:widowControl/>
        <w:overflowPunct w:val="0"/>
        <w:spacing w:line="400" w:lineRule="exact"/>
        <w:jc w:val="left"/>
        <w:rPr>
          <w:rFonts w:asciiTheme="minorEastAsia" w:hAnsiTheme="minorEastAsia" w:eastAsiaTheme="minorEastAsia"/>
          <w:szCs w:val="21"/>
          <w:highlight w:val="none"/>
        </w:rPr>
      </w:pPr>
    </w:p>
    <w:p w14:paraId="61818165">
      <w:pPr>
        <w:widowControl/>
        <w:overflowPunct w:val="0"/>
        <w:spacing w:line="400" w:lineRule="exact"/>
        <w:jc w:val="left"/>
        <w:rPr>
          <w:rFonts w:asciiTheme="minorEastAsia" w:hAnsiTheme="minorEastAsia" w:eastAsiaTheme="minorEastAsia"/>
          <w:szCs w:val="21"/>
          <w:highlight w:val="none"/>
        </w:rPr>
      </w:pPr>
    </w:p>
    <w:p w14:paraId="368F436A">
      <w:pPr>
        <w:widowControl/>
        <w:overflowPunct w:val="0"/>
        <w:spacing w:line="400" w:lineRule="exact"/>
        <w:jc w:val="left"/>
        <w:rPr>
          <w:rFonts w:asciiTheme="minorEastAsia" w:hAnsiTheme="minorEastAsia" w:eastAsiaTheme="minorEastAsia"/>
          <w:szCs w:val="21"/>
          <w:highlight w:val="none"/>
        </w:rPr>
      </w:pPr>
    </w:p>
    <w:p w14:paraId="0BE0D2CA">
      <w:pPr>
        <w:widowControl/>
        <w:overflowPunct w:val="0"/>
        <w:spacing w:line="400" w:lineRule="exact"/>
        <w:jc w:val="left"/>
        <w:rPr>
          <w:rFonts w:asciiTheme="minorEastAsia" w:hAnsiTheme="minorEastAsia" w:eastAsiaTheme="minorEastAsia"/>
          <w:szCs w:val="21"/>
          <w:highlight w:val="none"/>
        </w:rPr>
      </w:pPr>
    </w:p>
    <w:p w14:paraId="1CB8FDD2">
      <w:pPr>
        <w:widowControl/>
        <w:overflowPunct w:val="0"/>
        <w:spacing w:line="400" w:lineRule="exact"/>
        <w:jc w:val="left"/>
        <w:rPr>
          <w:rFonts w:asciiTheme="minorEastAsia" w:hAnsiTheme="minorEastAsia" w:eastAsiaTheme="minorEastAsia"/>
          <w:szCs w:val="21"/>
          <w:highlight w:val="none"/>
        </w:rPr>
      </w:pPr>
    </w:p>
    <w:p w14:paraId="59014F5F">
      <w:pPr>
        <w:widowControl/>
        <w:overflowPunct w:val="0"/>
        <w:spacing w:line="400" w:lineRule="exact"/>
        <w:jc w:val="left"/>
        <w:rPr>
          <w:rFonts w:asciiTheme="minorEastAsia" w:hAnsiTheme="minorEastAsia" w:eastAsiaTheme="minorEastAsia"/>
          <w:szCs w:val="21"/>
          <w:highlight w:val="none"/>
        </w:rPr>
      </w:pPr>
    </w:p>
    <w:p w14:paraId="1B102A49">
      <w:pPr>
        <w:widowControl/>
        <w:overflowPunct w:val="0"/>
        <w:spacing w:line="400" w:lineRule="exact"/>
        <w:jc w:val="left"/>
        <w:rPr>
          <w:rFonts w:asciiTheme="minorEastAsia" w:hAnsiTheme="minorEastAsia" w:eastAsiaTheme="minorEastAsia"/>
          <w:szCs w:val="21"/>
          <w:highlight w:val="none"/>
        </w:rPr>
      </w:pPr>
    </w:p>
    <w:p w14:paraId="6789D6B1">
      <w:pPr>
        <w:widowControl/>
        <w:overflowPunct w:val="0"/>
        <w:spacing w:line="400" w:lineRule="exact"/>
        <w:jc w:val="left"/>
        <w:rPr>
          <w:rFonts w:asciiTheme="minorEastAsia" w:hAnsiTheme="minorEastAsia" w:eastAsiaTheme="minorEastAsia"/>
          <w:szCs w:val="21"/>
          <w:highlight w:val="none"/>
        </w:rPr>
      </w:pPr>
    </w:p>
    <w:p w14:paraId="29D54E3F">
      <w:pPr>
        <w:widowControl/>
        <w:overflowPunct w:val="0"/>
        <w:spacing w:line="400" w:lineRule="exact"/>
        <w:jc w:val="left"/>
        <w:rPr>
          <w:rFonts w:asciiTheme="minorEastAsia" w:hAnsiTheme="minorEastAsia" w:eastAsiaTheme="minorEastAsia"/>
          <w:szCs w:val="21"/>
          <w:highlight w:val="none"/>
        </w:rPr>
      </w:pPr>
    </w:p>
    <w:p w14:paraId="0C78A8A2">
      <w:pPr>
        <w:widowControl/>
        <w:overflowPunct w:val="0"/>
        <w:spacing w:line="400" w:lineRule="exact"/>
        <w:jc w:val="left"/>
        <w:rPr>
          <w:rFonts w:asciiTheme="minorEastAsia" w:hAnsiTheme="minorEastAsia" w:eastAsiaTheme="minorEastAsia"/>
          <w:szCs w:val="21"/>
          <w:highlight w:val="none"/>
        </w:rPr>
      </w:pPr>
    </w:p>
    <w:p w14:paraId="47A43566">
      <w:pPr>
        <w:widowControl/>
        <w:overflowPunct w:val="0"/>
        <w:spacing w:line="400" w:lineRule="exact"/>
        <w:jc w:val="left"/>
        <w:rPr>
          <w:rFonts w:asciiTheme="minorEastAsia" w:hAnsiTheme="minorEastAsia" w:eastAsiaTheme="minorEastAsia"/>
          <w:szCs w:val="21"/>
          <w:highlight w:val="none"/>
        </w:rPr>
      </w:pPr>
    </w:p>
    <w:p w14:paraId="3101AD64">
      <w:pPr>
        <w:widowControl/>
        <w:overflowPunct w:val="0"/>
        <w:spacing w:line="400" w:lineRule="exact"/>
        <w:jc w:val="left"/>
        <w:rPr>
          <w:rFonts w:asciiTheme="minorEastAsia" w:hAnsiTheme="minorEastAsia" w:eastAsiaTheme="minorEastAsia"/>
          <w:szCs w:val="21"/>
          <w:highlight w:val="none"/>
        </w:rPr>
      </w:pPr>
    </w:p>
    <w:p w14:paraId="177D2068">
      <w:pPr>
        <w:widowControl/>
        <w:overflowPunct w:val="0"/>
        <w:spacing w:line="400" w:lineRule="exact"/>
        <w:jc w:val="left"/>
        <w:rPr>
          <w:rFonts w:asciiTheme="minorEastAsia" w:hAnsiTheme="minorEastAsia" w:eastAsiaTheme="minorEastAsia"/>
          <w:szCs w:val="21"/>
          <w:highlight w:val="none"/>
        </w:rPr>
      </w:pPr>
    </w:p>
    <w:p w14:paraId="348EB602">
      <w:pPr>
        <w:widowControl/>
        <w:overflowPunct w:val="0"/>
        <w:spacing w:line="400" w:lineRule="exact"/>
        <w:jc w:val="left"/>
        <w:rPr>
          <w:rFonts w:asciiTheme="minorEastAsia" w:hAnsiTheme="minorEastAsia" w:eastAsiaTheme="minorEastAsia"/>
          <w:szCs w:val="21"/>
          <w:highlight w:val="none"/>
        </w:rPr>
      </w:pPr>
    </w:p>
    <w:p w14:paraId="72418EBA">
      <w:pPr>
        <w:widowControl/>
        <w:overflowPunct w:val="0"/>
        <w:spacing w:line="400" w:lineRule="exact"/>
        <w:jc w:val="left"/>
        <w:rPr>
          <w:rFonts w:asciiTheme="minorEastAsia" w:hAnsiTheme="minorEastAsia" w:eastAsiaTheme="minorEastAsia"/>
          <w:szCs w:val="21"/>
          <w:highlight w:val="none"/>
        </w:rPr>
      </w:pPr>
    </w:p>
    <w:p w14:paraId="511CDE57">
      <w:pPr>
        <w:widowControl/>
        <w:overflowPunct w:val="0"/>
        <w:spacing w:line="400" w:lineRule="exact"/>
        <w:jc w:val="left"/>
        <w:rPr>
          <w:rFonts w:asciiTheme="minorEastAsia" w:hAnsiTheme="minorEastAsia" w:eastAsiaTheme="minorEastAsia"/>
          <w:szCs w:val="21"/>
          <w:highlight w:val="none"/>
        </w:rPr>
      </w:pPr>
    </w:p>
    <w:p w14:paraId="253F8B3D">
      <w:pPr>
        <w:widowControl/>
        <w:overflowPunct w:val="0"/>
        <w:spacing w:line="400" w:lineRule="exact"/>
        <w:jc w:val="left"/>
        <w:rPr>
          <w:rFonts w:asciiTheme="minorEastAsia" w:hAnsiTheme="minorEastAsia" w:eastAsiaTheme="minorEastAsia"/>
          <w:szCs w:val="21"/>
          <w:highlight w:val="none"/>
        </w:rPr>
      </w:pPr>
    </w:p>
    <w:p w14:paraId="484B3914">
      <w:pPr>
        <w:pStyle w:val="83"/>
        <w:ind w:left="0" w:firstLine="0"/>
        <w:rPr>
          <w:rFonts w:asciiTheme="minorEastAsia" w:hAnsiTheme="minorEastAsia" w:eastAsiaTheme="minorEastAsia"/>
          <w:sz w:val="20"/>
          <w:highlight w:val="none"/>
        </w:rPr>
      </w:pPr>
    </w:p>
    <w:p w14:paraId="498ED3C7">
      <w:pPr>
        <w:rPr>
          <w:rFonts w:asciiTheme="minorEastAsia" w:hAnsiTheme="minorEastAsia" w:eastAsiaTheme="minorEastAsia"/>
          <w:sz w:val="20"/>
          <w:highlight w:val="none"/>
        </w:rPr>
      </w:pPr>
    </w:p>
    <w:p w14:paraId="0904AC16">
      <w:pPr>
        <w:spacing w:line="360" w:lineRule="auto"/>
        <w:jc w:val="center"/>
        <w:outlineLvl w:val="1"/>
        <w:rPr>
          <w:rFonts w:asciiTheme="minorEastAsia" w:hAnsiTheme="minorEastAsia" w:eastAsiaTheme="minorEastAsia"/>
          <w:b/>
          <w:bCs/>
          <w:spacing w:val="20"/>
          <w:sz w:val="24"/>
          <w:szCs w:val="24"/>
          <w:highlight w:val="none"/>
        </w:rPr>
      </w:pPr>
    </w:p>
    <w:p w14:paraId="61CD9736">
      <w:pPr>
        <w:spacing w:line="360" w:lineRule="auto"/>
        <w:jc w:val="center"/>
        <w:outlineLvl w:val="1"/>
        <w:rPr>
          <w:rFonts w:asciiTheme="minorEastAsia" w:hAnsiTheme="minorEastAsia" w:eastAsiaTheme="minorEastAsia"/>
          <w:b/>
          <w:bCs/>
          <w:spacing w:val="20"/>
          <w:sz w:val="24"/>
          <w:szCs w:val="24"/>
          <w:highlight w:val="none"/>
        </w:rPr>
      </w:pPr>
      <w:r>
        <w:rPr>
          <w:rFonts w:asciiTheme="minorEastAsia" w:hAnsiTheme="minorEastAsia" w:eastAsiaTheme="minorEastAsia"/>
          <w:b/>
          <w:bCs/>
          <w:spacing w:val="20"/>
          <w:sz w:val="24"/>
          <w:szCs w:val="24"/>
          <w:highlight w:val="none"/>
        </w:rPr>
        <w:t>拟</w:t>
      </w:r>
      <w:r>
        <w:rPr>
          <w:rFonts w:hint="eastAsia" w:asciiTheme="minorEastAsia" w:hAnsiTheme="minorEastAsia" w:eastAsiaTheme="minorEastAsia"/>
          <w:b/>
          <w:bCs/>
          <w:spacing w:val="20"/>
          <w:sz w:val="24"/>
          <w:szCs w:val="24"/>
          <w:highlight w:val="none"/>
        </w:rPr>
        <w:t>投入本</w:t>
      </w:r>
      <w:r>
        <w:rPr>
          <w:rFonts w:asciiTheme="minorEastAsia" w:hAnsiTheme="minorEastAsia" w:eastAsiaTheme="minorEastAsia"/>
          <w:b/>
          <w:bCs/>
          <w:spacing w:val="20"/>
          <w:sz w:val="24"/>
          <w:szCs w:val="24"/>
          <w:highlight w:val="none"/>
        </w:rPr>
        <w:t>项目负责人情况表</w:t>
      </w:r>
    </w:p>
    <w:tbl>
      <w:tblPr>
        <w:tblStyle w:val="45"/>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745"/>
        <w:gridCol w:w="2200"/>
        <w:gridCol w:w="1580"/>
        <w:gridCol w:w="1266"/>
        <w:gridCol w:w="1289"/>
        <w:gridCol w:w="1170"/>
        <w:gridCol w:w="1926"/>
      </w:tblGrid>
      <w:tr w14:paraId="63DC4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29" w:hRule="atLeast"/>
          <w:jc w:val="center"/>
        </w:trPr>
        <w:tc>
          <w:tcPr>
            <w:tcW w:w="366" w:type="pct"/>
            <w:vAlign w:val="center"/>
          </w:tcPr>
          <w:p w14:paraId="7E94750E">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1</w:t>
            </w:r>
          </w:p>
        </w:tc>
        <w:tc>
          <w:tcPr>
            <w:tcW w:w="1081" w:type="pct"/>
            <w:vAlign w:val="center"/>
          </w:tcPr>
          <w:p w14:paraId="1520A10C">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姓    名</w:t>
            </w:r>
          </w:p>
        </w:tc>
        <w:tc>
          <w:tcPr>
            <w:tcW w:w="1398" w:type="pct"/>
            <w:gridSpan w:val="2"/>
            <w:vAlign w:val="center"/>
          </w:tcPr>
          <w:p w14:paraId="3915FAD6">
            <w:pPr>
              <w:snapToGrid w:val="0"/>
              <w:rPr>
                <w:rFonts w:asciiTheme="minorEastAsia" w:hAnsiTheme="minorEastAsia" w:eastAsiaTheme="minorEastAsia"/>
                <w:szCs w:val="21"/>
                <w:highlight w:val="none"/>
              </w:rPr>
            </w:pPr>
          </w:p>
        </w:tc>
        <w:tc>
          <w:tcPr>
            <w:tcW w:w="632" w:type="pct"/>
            <w:vAlign w:val="center"/>
          </w:tcPr>
          <w:p w14:paraId="0C4AC09F">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性   别</w:t>
            </w:r>
          </w:p>
        </w:tc>
        <w:tc>
          <w:tcPr>
            <w:tcW w:w="1520" w:type="pct"/>
            <w:gridSpan w:val="2"/>
            <w:vAlign w:val="center"/>
          </w:tcPr>
          <w:p w14:paraId="1284A0AF">
            <w:pPr>
              <w:snapToGrid w:val="0"/>
              <w:rPr>
                <w:rFonts w:asciiTheme="minorEastAsia" w:hAnsiTheme="minorEastAsia" w:eastAsiaTheme="minorEastAsia"/>
                <w:szCs w:val="21"/>
                <w:highlight w:val="none"/>
              </w:rPr>
            </w:pPr>
          </w:p>
        </w:tc>
      </w:tr>
      <w:tr w14:paraId="7DCD6E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14" w:hRule="atLeast"/>
          <w:jc w:val="center"/>
        </w:trPr>
        <w:tc>
          <w:tcPr>
            <w:tcW w:w="366" w:type="pct"/>
            <w:vAlign w:val="center"/>
          </w:tcPr>
          <w:p w14:paraId="20CA7695">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2</w:t>
            </w:r>
          </w:p>
        </w:tc>
        <w:tc>
          <w:tcPr>
            <w:tcW w:w="1081" w:type="pct"/>
            <w:vAlign w:val="center"/>
          </w:tcPr>
          <w:p w14:paraId="08C77EBB">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公司职务</w:t>
            </w:r>
          </w:p>
        </w:tc>
        <w:tc>
          <w:tcPr>
            <w:tcW w:w="1398" w:type="pct"/>
            <w:gridSpan w:val="2"/>
            <w:vAlign w:val="center"/>
          </w:tcPr>
          <w:p w14:paraId="7110E118">
            <w:pPr>
              <w:snapToGrid w:val="0"/>
              <w:rPr>
                <w:rFonts w:asciiTheme="minorEastAsia" w:hAnsiTheme="minorEastAsia" w:eastAsiaTheme="minorEastAsia"/>
                <w:szCs w:val="21"/>
                <w:highlight w:val="none"/>
              </w:rPr>
            </w:pPr>
          </w:p>
        </w:tc>
        <w:tc>
          <w:tcPr>
            <w:tcW w:w="632" w:type="pct"/>
            <w:vAlign w:val="center"/>
          </w:tcPr>
          <w:p w14:paraId="25F889E2">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项目职务</w:t>
            </w:r>
          </w:p>
        </w:tc>
        <w:tc>
          <w:tcPr>
            <w:tcW w:w="1520" w:type="pct"/>
            <w:gridSpan w:val="2"/>
            <w:vAlign w:val="center"/>
          </w:tcPr>
          <w:p w14:paraId="5677CAC1">
            <w:pPr>
              <w:snapToGrid w:val="0"/>
              <w:rPr>
                <w:rFonts w:asciiTheme="minorEastAsia" w:hAnsiTheme="minorEastAsia" w:eastAsiaTheme="minorEastAsia"/>
                <w:szCs w:val="21"/>
                <w:highlight w:val="none"/>
              </w:rPr>
            </w:pPr>
          </w:p>
        </w:tc>
      </w:tr>
      <w:tr w14:paraId="7A6FF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5" w:hRule="atLeast"/>
          <w:jc w:val="center"/>
        </w:trPr>
        <w:tc>
          <w:tcPr>
            <w:tcW w:w="366" w:type="pct"/>
            <w:vAlign w:val="center"/>
          </w:tcPr>
          <w:p w14:paraId="4D0C8780">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3</w:t>
            </w:r>
          </w:p>
        </w:tc>
        <w:tc>
          <w:tcPr>
            <w:tcW w:w="1081" w:type="pct"/>
            <w:vAlign w:val="center"/>
          </w:tcPr>
          <w:p w14:paraId="6A22BA2D">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身份证号码</w:t>
            </w:r>
          </w:p>
        </w:tc>
        <w:tc>
          <w:tcPr>
            <w:tcW w:w="2031" w:type="pct"/>
            <w:gridSpan w:val="3"/>
            <w:vAlign w:val="center"/>
          </w:tcPr>
          <w:p w14:paraId="2530F666">
            <w:pPr>
              <w:snapToGrid w:val="0"/>
              <w:rPr>
                <w:rFonts w:asciiTheme="minorEastAsia" w:hAnsiTheme="minorEastAsia" w:eastAsiaTheme="minorEastAsia"/>
                <w:szCs w:val="21"/>
                <w:highlight w:val="none"/>
              </w:rPr>
            </w:pPr>
          </w:p>
        </w:tc>
        <w:tc>
          <w:tcPr>
            <w:tcW w:w="575" w:type="pct"/>
            <w:vAlign w:val="center"/>
          </w:tcPr>
          <w:p w14:paraId="4108A4BB">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出生年月</w:t>
            </w:r>
          </w:p>
        </w:tc>
        <w:tc>
          <w:tcPr>
            <w:tcW w:w="944" w:type="pct"/>
            <w:vAlign w:val="center"/>
          </w:tcPr>
          <w:p w14:paraId="698E2A2D">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年   月</w:t>
            </w:r>
          </w:p>
        </w:tc>
      </w:tr>
      <w:tr w14:paraId="7558A4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5" w:hRule="atLeast"/>
          <w:jc w:val="center"/>
        </w:trPr>
        <w:tc>
          <w:tcPr>
            <w:tcW w:w="366" w:type="pct"/>
            <w:vAlign w:val="center"/>
          </w:tcPr>
          <w:p w14:paraId="34DD093C">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4</w:t>
            </w:r>
          </w:p>
        </w:tc>
        <w:tc>
          <w:tcPr>
            <w:tcW w:w="1857" w:type="pct"/>
            <w:gridSpan w:val="2"/>
            <w:vAlign w:val="center"/>
          </w:tcPr>
          <w:p w14:paraId="723A4086">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联系电话：</w:t>
            </w:r>
          </w:p>
        </w:tc>
        <w:tc>
          <w:tcPr>
            <w:tcW w:w="1255" w:type="pct"/>
            <w:gridSpan w:val="2"/>
            <w:vAlign w:val="center"/>
          </w:tcPr>
          <w:p w14:paraId="0FBEBC73">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传真：</w:t>
            </w:r>
          </w:p>
        </w:tc>
        <w:tc>
          <w:tcPr>
            <w:tcW w:w="1520" w:type="pct"/>
            <w:gridSpan w:val="2"/>
            <w:vAlign w:val="center"/>
          </w:tcPr>
          <w:p w14:paraId="2E829847">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电子邮箱：</w:t>
            </w:r>
          </w:p>
        </w:tc>
      </w:tr>
      <w:tr w14:paraId="03DBE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366" w:type="pct"/>
            <w:vAlign w:val="center"/>
          </w:tcPr>
          <w:p w14:paraId="187962E4">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5</w:t>
            </w:r>
          </w:p>
        </w:tc>
        <w:tc>
          <w:tcPr>
            <w:tcW w:w="4633" w:type="pct"/>
            <w:gridSpan w:val="6"/>
          </w:tcPr>
          <w:p w14:paraId="305C2918">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从事专业工作年限：</w:t>
            </w:r>
          </w:p>
        </w:tc>
      </w:tr>
      <w:tr w14:paraId="254D02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366" w:type="pct"/>
            <w:vAlign w:val="center"/>
          </w:tcPr>
          <w:p w14:paraId="557AB0AB">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6</w:t>
            </w:r>
          </w:p>
        </w:tc>
        <w:tc>
          <w:tcPr>
            <w:tcW w:w="4633" w:type="pct"/>
            <w:gridSpan w:val="6"/>
          </w:tcPr>
          <w:p w14:paraId="2C172DFA">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拥有的职称、专业资格：</w:t>
            </w:r>
          </w:p>
        </w:tc>
      </w:tr>
      <w:tr w14:paraId="75591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315" w:hRule="atLeast"/>
          <w:jc w:val="center"/>
        </w:trPr>
        <w:tc>
          <w:tcPr>
            <w:tcW w:w="366" w:type="pct"/>
            <w:vAlign w:val="center"/>
          </w:tcPr>
          <w:p w14:paraId="0B5F24C2">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7</w:t>
            </w:r>
          </w:p>
        </w:tc>
        <w:tc>
          <w:tcPr>
            <w:tcW w:w="4633" w:type="pct"/>
            <w:gridSpan w:val="6"/>
          </w:tcPr>
          <w:p w14:paraId="02B9664A">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相关项目经验和曾获得奖励情况：</w:t>
            </w:r>
          </w:p>
          <w:p w14:paraId="3D922B52">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1、___________________________________</w:t>
            </w:r>
          </w:p>
          <w:p w14:paraId="14D565AB">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2、 __________________________________</w:t>
            </w:r>
          </w:p>
          <w:p w14:paraId="5E64AF57">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w:t>
            </w:r>
          </w:p>
        </w:tc>
      </w:tr>
      <w:tr w14:paraId="06F2A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33" w:hRule="atLeast"/>
          <w:jc w:val="center"/>
        </w:trPr>
        <w:tc>
          <w:tcPr>
            <w:tcW w:w="366" w:type="pct"/>
            <w:vAlign w:val="center"/>
          </w:tcPr>
          <w:p w14:paraId="6C1740B0">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8</w:t>
            </w:r>
          </w:p>
        </w:tc>
        <w:tc>
          <w:tcPr>
            <w:tcW w:w="4633" w:type="pct"/>
            <w:gridSpan w:val="6"/>
          </w:tcPr>
          <w:p w14:paraId="20ABF534">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本公司承诺：</w:t>
            </w:r>
          </w:p>
          <w:p w14:paraId="63AF0603">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该项目负责人在我单位已任职且在从业经历中没有任何违法、违规而被查处的不良记录。（</w:t>
            </w:r>
            <w:r>
              <w:rPr>
                <w:rFonts w:hint="eastAsia" w:asciiTheme="minorEastAsia" w:hAnsiTheme="minorEastAsia" w:eastAsiaTheme="minorEastAsia"/>
                <w:szCs w:val="21"/>
                <w:highlight w:val="none"/>
              </w:rPr>
              <w:t>提供公司为其缴纳近六个月社保的证明</w:t>
            </w:r>
            <w:r>
              <w:rPr>
                <w:rFonts w:asciiTheme="minorEastAsia" w:hAnsiTheme="minorEastAsia" w:eastAsiaTheme="minorEastAsia"/>
                <w:szCs w:val="21"/>
                <w:highlight w:val="none"/>
              </w:rPr>
              <w:t>）</w:t>
            </w:r>
          </w:p>
        </w:tc>
      </w:tr>
      <w:tr w14:paraId="1976F7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09" w:hRule="atLeast"/>
          <w:jc w:val="center"/>
        </w:trPr>
        <w:tc>
          <w:tcPr>
            <w:tcW w:w="366" w:type="pct"/>
            <w:vAlign w:val="center"/>
          </w:tcPr>
          <w:p w14:paraId="66BCB1E9">
            <w:pPr>
              <w:snapToGrid w:val="0"/>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9</w:t>
            </w:r>
          </w:p>
        </w:tc>
        <w:tc>
          <w:tcPr>
            <w:tcW w:w="4633" w:type="pct"/>
            <w:gridSpan w:val="6"/>
          </w:tcPr>
          <w:p w14:paraId="3936472A">
            <w:pPr>
              <w:snapToGrid w:val="0"/>
              <w:rPr>
                <w:rFonts w:asciiTheme="minorEastAsia" w:hAnsiTheme="minorEastAsia" w:eastAsiaTheme="minorEastAsia"/>
                <w:szCs w:val="21"/>
                <w:highlight w:val="none"/>
              </w:rPr>
            </w:pPr>
            <w:r>
              <w:rPr>
                <w:rFonts w:asciiTheme="minorEastAsia" w:hAnsiTheme="minorEastAsia" w:eastAsiaTheme="minorEastAsia"/>
                <w:szCs w:val="21"/>
                <w:highlight w:val="none"/>
              </w:rPr>
              <w:t>其他需要说明的情况：</w:t>
            </w:r>
          </w:p>
          <w:p w14:paraId="37FD69A3">
            <w:pPr>
              <w:snapToGrid w:val="0"/>
              <w:rPr>
                <w:rFonts w:asciiTheme="minorEastAsia" w:hAnsiTheme="minorEastAsia" w:eastAsiaTheme="minorEastAsia"/>
                <w:szCs w:val="21"/>
                <w:highlight w:val="none"/>
              </w:rPr>
            </w:pPr>
          </w:p>
        </w:tc>
      </w:tr>
    </w:tbl>
    <w:p w14:paraId="7E67ADF4">
      <w:pPr>
        <w:autoSpaceDE w:val="0"/>
        <w:autoSpaceDN w:val="0"/>
        <w:adjustRightInd w:val="0"/>
        <w:spacing w:line="360" w:lineRule="auto"/>
        <w:rPr>
          <w:rFonts w:asciiTheme="minorEastAsia" w:hAnsiTheme="minorEastAsia" w:eastAsiaTheme="minorEastAsia"/>
          <w:b/>
          <w:szCs w:val="21"/>
          <w:highlight w:val="none"/>
        </w:rPr>
      </w:pPr>
    </w:p>
    <w:p w14:paraId="3DA9F886">
      <w:pPr>
        <w:pStyle w:val="123"/>
        <w:adjustRightInd/>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w:t>
      </w:r>
      <w:r>
        <w:rPr>
          <w:rFonts w:asciiTheme="minorEastAsia" w:hAnsiTheme="minorEastAsia" w:eastAsiaTheme="minorEastAsia"/>
          <w:sz w:val="24"/>
          <w:szCs w:val="24"/>
          <w:highlight w:val="none"/>
        </w:rPr>
        <w:t>供应商（</w:t>
      </w:r>
      <w:r>
        <w:rPr>
          <w:rFonts w:hint="eastAsia" w:asciiTheme="minorEastAsia" w:hAnsiTheme="minorEastAsia" w:eastAsiaTheme="minorEastAsia"/>
          <w:sz w:val="24"/>
          <w:szCs w:val="24"/>
          <w:highlight w:val="none"/>
        </w:rPr>
        <w:t>单位</w:t>
      </w:r>
      <w:r>
        <w:rPr>
          <w:rFonts w:asciiTheme="minorEastAsia" w:hAnsiTheme="minorEastAsia" w:eastAsiaTheme="minorEastAsia"/>
          <w:sz w:val="24"/>
          <w:szCs w:val="24"/>
          <w:highlight w:val="none"/>
        </w:rPr>
        <w:t>公章）：</w:t>
      </w:r>
    </w:p>
    <w:p w14:paraId="3F696CD5">
      <w:pPr>
        <w:pStyle w:val="123"/>
        <w:adjustRightInd/>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法定代表人或被授权人（代理人）：（签字或签章）</w:t>
      </w:r>
    </w:p>
    <w:p w14:paraId="78019CE0">
      <w:pPr>
        <w:pStyle w:val="123"/>
        <w:adjustRightInd/>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日   期：      </w:t>
      </w:r>
      <w:r>
        <w:rPr>
          <w:rFonts w:asciiTheme="minorEastAsia" w:hAnsiTheme="minorEastAsia" w:eastAsiaTheme="minorEastAsia"/>
          <w:sz w:val="24"/>
          <w:szCs w:val="24"/>
          <w:highlight w:val="none"/>
        </w:rPr>
        <w:t>年     月    日</w:t>
      </w:r>
    </w:p>
    <w:p w14:paraId="58ABB958">
      <w:pPr>
        <w:widowControl/>
        <w:overflowPunct w:val="0"/>
        <w:spacing w:line="400" w:lineRule="exact"/>
        <w:jc w:val="left"/>
        <w:rPr>
          <w:rFonts w:asciiTheme="minorEastAsia" w:hAnsiTheme="minorEastAsia" w:eastAsiaTheme="minorEastAsia"/>
          <w:b/>
          <w:sz w:val="24"/>
          <w:szCs w:val="24"/>
          <w:highlight w:val="none"/>
        </w:rPr>
      </w:pPr>
      <w:r>
        <w:rPr>
          <w:rFonts w:asciiTheme="minorEastAsia" w:hAnsiTheme="minorEastAsia" w:eastAsiaTheme="minorEastAsia"/>
          <w:highlight w:val="none"/>
        </w:rPr>
        <w:br w:type="page"/>
      </w:r>
      <w:r>
        <w:rPr>
          <w:rFonts w:hint="eastAsia" w:asciiTheme="minorEastAsia" w:hAnsiTheme="minorEastAsia" w:eastAsiaTheme="minorEastAsia"/>
          <w:b/>
          <w:sz w:val="24"/>
          <w:szCs w:val="24"/>
          <w:highlight w:val="none"/>
        </w:rPr>
        <w:t>附件8、资格证明文件</w:t>
      </w:r>
    </w:p>
    <w:p w14:paraId="7EFF5E22">
      <w:pPr>
        <w:widowControl/>
        <w:overflowPunct w:val="0"/>
        <w:spacing w:line="400" w:lineRule="exact"/>
        <w:jc w:val="left"/>
        <w:rPr>
          <w:rFonts w:asciiTheme="minorEastAsia" w:hAnsiTheme="minorEastAsia" w:eastAsiaTheme="minorEastAsia"/>
          <w:b/>
          <w:sz w:val="24"/>
          <w:szCs w:val="24"/>
          <w:highlight w:val="none"/>
        </w:rPr>
      </w:pPr>
    </w:p>
    <w:p w14:paraId="1A36ACEF">
      <w:pPr>
        <w:widowControl/>
        <w:overflowPunct w:val="0"/>
        <w:spacing w:line="400" w:lineRule="exact"/>
        <w:jc w:val="left"/>
        <w:rPr>
          <w:rFonts w:asciiTheme="minorEastAsia" w:hAnsiTheme="minorEastAsia" w:eastAsiaTheme="minorEastAsia"/>
          <w:b/>
          <w:sz w:val="24"/>
          <w:szCs w:val="24"/>
          <w:highlight w:val="none"/>
        </w:rPr>
      </w:pPr>
    </w:p>
    <w:p w14:paraId="311BC5FC">
      <w:pPr>
        <w:widowControl/>
        <w:overflowPunct w:val="0"/>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(1) 资格文件的声明函</w:t>
      </w:r>
    </w:p>
    <w:p w14:paraId="5719D01A">
      <w:pPr>
        <w:widowControl/>
        <w:overflowPunct w:val="0"/>
        <w:jc w:val="left"/>
        <w:rPr>
          <w:rFonts w:asciiTheme="minorEastAsia" w:hAnsiTheme="minorEastAsia" w:eastAsiaTheme="minorEastAsia"/>
          <w:sz w:val="24"/>
          <w:szCs w:val="24"/>
          <w:highlight w:val="none"/>
        </w:rPr>
      </w:pPr>
    </w:p>
    <w:p w14:paraId="0BFEAC62">
      <w:pPr>
        <w:widowControl/>
        <w:overflowPunct w:val="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资格文件的声明函</w:t>
      </w:r>
    </w:p>
    <w:p w14:paraId="253BED16">
      <w:pPr>
        <w:widowControl/>
        <w:overflowPunct w:val="0"/>
        <w:spacing w:line="360" w:lineRule="auto"/>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w:t>
      </w:r>
    </w:p>
    <w:p w14:paraId="11EC5B86">
      <w:pPr>
        <w:widowControl/>
        <w:overflowPunct w:val="0"/>
        <w:spacing w:line="360" w:lineRule="auto"/>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1、本公司愿就由贵公司组织实施的编号为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号的磋商采购活动进行响应。本公司所提交的响应文件中所有关于响应文件、证明和陈述均是真实的、准确的、有效的。若与真实情况不符，本公司愿意承担由此而产生的一切后果。</w:t>
      </w:r>
    </w:p>
    <w:p w14:paraId="2A634CD0">
      <w:pPr>
        <w:overflowPunct w:val="0"/>
        <w:adjustRightInd w:val="0"/>
        <w:spacing w:line="360" w:lineRule="auto"/>
        <w:ind w:firstLine="480" w:firstLineChars="200"/>
        <w:jc w:val="left"/>
        <w:textAlignment w:val="baseline"/>
        <w:rPr>
          <w:rFonts w:ascii="宋体" w:hAnsi="宋体"/>
          <w:kern w:val="2"/>
          <w:sz w:val="24"/>
          <w:highlight w:val="none"/>
          <w:lang w:val="zh-CN"/>
        </w:rPr>
      </w:pPr>
      <w:r>
        <w:rPr>
          <w:rFonts w:hint="eastAsia" w:ascii="宋体" w:hAnsi="宋体"/>
          <w:kern w:val="2"/>
          <w:sz w:val="24"/>
          <w:highlight w:val="none"/>
          <w:lang w:val="zh-CN"/>
        </w:rPr>
        <w:t>2、我方已知晓竞争性磋商文件要求并认真审核自身情况，在此郑重声明，我方遵守如下条款的规定：</w:t>
      </w:r>
    </w:p>
    <w:p w14:paraId="6B2E960D">
      <w:pPr>
        <w:overflowPunct w:val="0"/>
        <w:adjustRightInd w:val="0"/>
        <w:spacing w:line="360" w:lineRule="auto"/>
        <w:ind w:firstLine="480" w:firstLineChars="200"/>
        <w:jc w:val="left"/>
        <w:textAlignment w:val="baseline"/>
        <w:rPr>
          <w:rFonts w:ascii="宋体" w:hAnsi="宋体"/>
          <w:kern w:val="2"/>
          <w:sz w:val="24"/>
          <w:highlight w:val="none"/>
          <w:lang w:val="zh-CN"/>
        </w:rPr>
      </w:pPr>
      <w:r>
        <w:rPr>
          <w:rFonts w:hint="eastAsia" w:ascii="宋体" w:hAnsi="宋体"/>
          <w:kern w:val="2"/>
          <w:sz w:val="24"/>
          <w:highlight w:val="none"/>
          <w:lang w:val="zh-CN"/>
        </w:rPr>
        <w:t>（1）</w:t>
      </w:r>
      <w:r>
        <w:rPr>
          <w:rFonts w:hint="eastAsia" w:ascii="宋体" w:hAnsi="宋体"/>
          <w:kern w:val="2"/>
          <w:sz w:val="24"/>
          <w:szCs w:val="24"/>
          <w:highlight w:val="none"/>
        </w:rPr>
        <w:t>除单一来源采购项目外，为采购项目提供整体设计、规范编制或者项目管理、监理、检测等服务的供应商，不得参加该采购项目的其他采购活动。</w:t>
      </w:r>
    </w:p>
    <w:p w14:paraId="61406587">
      <w:pPr>
        <w:overflowPunct w:val="0"/>
        <w:adjustRightInd w:val="0"/>
        <w:spacing w:line="360" w:lineRule="auto"/>
        <w:ind w:firstLine="480" w:firstLineChars="200"/>
        <w:jc w:val="left"/>
        <w:textAlignment w:val="baseline"/>
        <w:rPr>
          <w:rFonts w:ascii="宋体" w:hAnsi="宋体"/>
          <w:kern w:val="2"/>
          <w:sz w:val="24"/>
          <w:highlight w:val="none"/>
          <w:lang w:val="zh-CN"/>
        </w:rPr>
      </w:pPr>
      <w:r>
        <w:rPr>
          <w:rFonts w:hint="eastAsia" w:ascii="宋体" w:hAnsi="宋体"/>
          <w:kern w:val="2"/>
          <w:sz w:val="24"/>
          <w:highlight w:val="none"/>
          <w:lang w:val="zh-CN"/>
        </w:rPr>
        <w:t>（2）</w:t>
      </w:r>
      <w:r>
        <w:rPr>
          <w:rFonts w:hint="eastAsia" w:ascii="宋体" w:hAnsi="宋体"/>
          <w:kern w:val="2"/>
          <w:sz w:val="24"/>
          <w:szCs w:val="24"/>
          <w:highlight w:val="none"/>
        </w:rPr>
        <w:t>单位负责人为同一人或者存在直接控股、管理关系的不同供应商，不得参加同一合同项下的政府采购活动。</w:t>
      </w:r>
    </w:p>
    <w:p w14:paraId="66CD7CB6">
      <w:pPr>
        <w:overflowPunct w:val="0"/>
        <w:adjustRightInd w:val="0"/>
        <w:spacing w:line="360" w:lineRule="auto"/>
        <w:ind w:firstLine="480" w:firstLineChars="200"/>
        <w:jc w:val="left"/>
        <w:textAlignment w:val="baseline"/>
        <w:rPr>
          <w:rFonts w:ascii="宋体" w:hAnsi="宋体"/>
          <w:kern w:val="2"/>
          <w:sz w:val="24"/>
          <w:highlight w:val="none"/>
          <w:lang w:val="zh-CN"/>
        </w:rPr>
      </w:pPr>
      <w:r>
        <w:rPr>
          <w:rFonts w:hint="eastAsia" w:ascii="宋体" w:hAnsi="宋体"/>
          <w:kern w:val="2"/>
          <w:sz w:val="24"/>
          <w:highlight w:val="none"/>
          <w:lang w:val="zh-CN"/>
        </w:rPr>
        <w:t>本声明如有虚假或不实之处，我方将失去合格供应商资格。</w:t>
      </w:r>
    </w:p>
    <w:p w14:paraId="252297BE">
      <w:pPr>
        <w:pStyle w:val="17"/>
        <w:rPr>
          <w:highlight w:val="none"/>
          <w:lang w:val="zh-CN"/>
        </w:rPr>
      </w:pPr>
    </w:p>
    <w:p w14:paraId="4FD51D3D">
      <w:pPr>
        <w:widowControl/>
        <w:overflowPunct w:val="0"/>
        <w:spacing w:line="400" w:lineRule="exact"/>
        <w:jc w:val="left"/>
        <w:rPr>
          <w:rFonts w:asciiTheme="minorEastAsia" w:hAnsiTheme="minorEastAsia" w:eastAsiaTheme="minorEastAsia"/>
          <w:sz w:val="24"/>
          <w:szCs w:val="24"/>
          <w:highlight w:val="none"/>
        </w:rPr>
      </w:pPr>
    </w:p>
    <w:p w14:paraId="2C19D1ED">
      <w:pPr>
        <w:widowControl/>
        <w:overflowPunct w:val="0"/>
        <w:spacing w:line="360" w:lineRule="auto"/>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w:t>
      </w:r>
    </w:p>
    <w:p w14:paraId="5B1EDFAB">
      <w:pPr>
        <w:widowControl/>
        <w:overflowPunct w:val="0"/>
        <w:spacing w:line="360" w:lineRule="auto"/>
        <w:jc w:val="righ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w:t>
      </w:r>
    </w:p>
    <w:p w14:paraId="116A7D5E">
      <w:pPr>
        <w:widowControl/>
        <w:overflowPunct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响应供应商（单位公章）：</w:t>
      </w:r>
    </w:p>
    <w:p w14:paraId="19084981">
      <w:pPr>
        <w:pStyle w:val="18"/>
        <w:ind w:firstLine="0"/>
        <w:rPr>
          <w:highlight w:val="none"/>
        </w:rPr>
      </w:pPr>
      <w:r>
        <w:rPr>
          <w:rFonts w:hint="eastAsia" w:asciiTheme="minorEastAsia" w:hAnsiTheme="minorEastAsia" w:eastAsiaTheme="minorEastAsia"/>
          <w:sz w:val="24"/>
          <w:szCs w:val="24"/>
          <w:highlight w:val="none"/>
        </w:rPr>
        <w:t>法定代表人（签字或盖章）：</w:t>
      </w:r>
    </w:p>
    <w:p w14:paraId="6B12E3C9">
      <w:pPr>
        <w:widowControl/>
        <w:overflowPunct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年    月</w:t>
      </w:r>
      <w:r>
        <w:rPr>
          <w:rFonts w:asciiTheme="minorEastAsia" w:hAnsiTheme="minorEastAsia" w:eastAsiaTheme="minorEastAsia"/>
          <w:sz w:val="24"/>
          <w:szCs w:val="24"/>
          <w:highlight w:val="none"/>
        </w:rPr>
        <w:tab/>
      </w:r>
      <w:r>
        <w:rPr>
          <w:rFonts w:hint="eastAsia" w:asciiTheme="minorEastAsia" w:hAnsiTheme="minorEastAsia" w:eastAsiaTheme="minorEastAsia"/>
          <w:sz w:val="24"/>
          <w:szCs w:val="24"/>
          <w:highlight w:val="none"/>
        </w:rPr>
        <w:t xml:space="preserve">  日</w:t>
      </w:r>
    </w:p>
    <w:p w14:paraId="567AB3A9">
      <w:pPr>
        <w:widowControl/>
        <w:overflowPunct w:val="0"/>
        <w:rPr>
          <w:rFonts w:asciiTheme="minorEastAsia" w:hAnsiTheme="minorEastAsia" w:eastAsiaTheme="minorEastAsia"/>
          <w:b/>
          <w:sz w:val="24"/>
          <w:szCs w:val="24"/>
          <w:highlight w:val="none"/>
        </w:rPr>
      </w:pPr>
    </w:p>
    <w:p w14:paraId="25CCD607">
      <w:pP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br w:type="page"/>
      </w:r>
    </w:p>
    <w:p w14:paraId="4B31619C">
      <w:pPr>
        <w:pStyle w:val="146"/>
        <w:rPr>
          <w:rFonts w:ascii="宋体" w:hAnsi="宋体" w:eastAsia="宋体"/>
          <w:bCs/>
          <w:sz w:val="24"/>
          <w:szCs w:val="24"/>
          <w:highlight w:val="none"/>
        </w:rPr>
      </w:pPr>
      <w:r>
        <w:rPr>
          <w:rFonts w:hint="eastAsia" w:ascii="宋体" w:hAnsi="宋体" w:eastAsia="宋体"/>
          <w:bCs/>
          <w:sz w:val="24"/>
          <w:szCs w:val="24"/>
          <w:highlight w:val="none"/>
        </w:rPr>
        <w:t>（2）供应商</w:t>
      </w:r>
      <w:r>
        <w:rPr>
          <w:rFonts w:hint="eastAsia" w:ascii="宋体" w:hAnsi="宋体" w:eastAsia="宋体"/>
          <w:bCs/>
          <w:sz w:val="24"/>
          <w:szCs w:val="24"/>
          <w:highlight w:val="none"/>
          <w:lang w:val="zh-CN"/>
        </w:rPr>
        <w:t>与其他单位存在控股、管理关系情况表</w:t>
      </w:r>
    </w:p>
    <w:p w14:paraId="03FC1A2E">
      <w:pPr>
        <w:spacing w:line="360" w:lineRule="auto"/>
        <w:ind w:firstLine="210"/>
        <w:jc w:val="center"/>
        <w:rPr>
          <w:rFonts w:ascii="宋体" w:hAnsi="宋体" w:cs="宋体"/>
          <w:bCs/>
          <w:sz w:val="24"/>
          <w:szCs w:val="24"/>
          <w:highlight w:val="none"/>
          <w:lang w:val="zh-CN"/>
        </w:rPr>
      </w:pPr>
    </w:p>
    <w:p w14:paraId="167001EA">
      <w:pPr>
        <w:spacing w:line="360" w:lineRule="auto"/>
        <w:ind w:firstLine="210"/>
        <w:jc w:val="center"/>
        <w:rPr>
          <w:rFonts w:ascii="宋体" w:hAnsi="宋体" w:cs="宋体"/>
          <w:bCs/>
          <w:sz w:val="24"/>
          <w:szCs w:val="24"/>
          <w:highlight w:val="none"/>
        </w:rPr>
      </w:pPr>
      <w:r>
        <w:rPr>
          <w:rFonts w:hint="eastAsia" w:ascii="宋体" w:hAnsi="宋体" w:cs="宋体"/>
          <w:bCs/>
          <w:sz w:val="24"/>
          <w:szCs w:val="24"/>
          <w:highlight w:val="none"/>
          <w:lang w:val="zh-CN"/>
        </w:rPr>
        <w:t>供应商与其他单位存在控股、管理关系情况表</w:t>
      </w:r>
    </w:p>
    <w:p w14:paraId="5B100951">
      <w:pPr>
        <w:pStyle w:val="147"/>
        <w:ind w:firstLine="0"/>
        <w:rPr>
          <w:highlight w:val="none"/>
        </w:rPr>
      </w:pPr>
      <w:r>
        <w:rPr>
          <w:rFonts w:hint="eastAsia" w:ascii="宋体" w:hAnsi="宋体"/>
          <w:highlight w:val="none"/>
        </w:rPr>
        <w:t>采购编号：</w:t>
      </w:r>
    </w:p>
    <w:tbl>
      <w:tblPr>
        <w:tblStyle w:val="45"/>
        <w:tblW w:w="10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9"/>
        <w:gridCol w:w="5169"/>
      </w:tblGrid>
      <w:tr w14:paraId="39394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trPr>
        <w:tc>
          <w:tcPr>
            <w:tcW w:w="5169" w:type="dxa"/>
          </w:tcPr>
          <w:p w14:paraId="57E6D7C1">
            <w:pPr>
              <w:pStyle w:val="2"/>
              <w:ind w:firstLine="0"/>
              <w:jc w:val="center"/>
              <w:rPr>
                <w:rFonts w:ascii="宋体" w:hAnsi="宋体" w:cs="宋体"/>
                <w:sz w:val="24"/>
                <w:szCs w:val="24"/>
                <w:highlight w:val="none"/>
              </w:rPr>
            </w:pPr>
            <w:r>
              <w:rPr>
                <w:rFonts w:hint="eastAsia" w:ascii="宋体" w:hAnsi="宋体" w:cs="宋体"/>
                <w:sz w:val="24"/>
                <w:szCs w:val="24"/>
                <w:highlight w:val="none"/>
                <w:lang w:val="zh-CN"/>
              </w:rPr>
              <w:t>与供应商存在控股、管理关系的单位名称</w:t>
            </w:r>
          </w:p>
        </w:tc>
        <w:tc>
          <w:tcPr>
            <w:tcW w:w="5169" w:type="dxa"/>
          </w:tcPr>
          <w:p w14:paraId="501C9DF2">
            <w:pPr>
              <w:pStyle w:val="2"/>
              <w:jc w:val="center"/>
              <w:rPr>
                <w:rFonts w:ascii="宋体" w:hAnsi="宋体" w:cs="宋体"/>
                <w:sz w:val="24"/>
                <w:szCs w:val="24"/>
                <w:highlight w:val="none"/>
              </w:rPr>
            </w:pPr>
            <w:r>
              <w:rPr>
                <w:rFonts w:hint="eastAsia" w:ascii="宋体" w:hAnsi="宋体" w:cs="宋体"/>
                <w:sz w:val="24"/>
                <w:szCs w:val="24"/>
                <w:highlight w:val="none"/>
                <w:lang w:val="zh-CN"/>
              </w:rPr>
              <w:t>控股、管理关系情况说明</w:t>
            </w:r>
          </w:p>
        </w:tc>
      </w:tr>
      <w:tr w14:paraId="4FC6C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5169" w:type="dxa"/>
          </w:tcPr>
          <w:p w14:paraId="22F38734">
            <w:pPr>
              <w:pStyle w:val="2"/>
              <w:rPr>
                <w:rFonts w:ascii="宋体" w:hAnsi="宋体" w:cs="宋体"/>
                <w:szCs w:val="24"/>
                <w:highlight w:val="none"/>
              </w:rPr>
            </w:pPr>
          </w:p>
        </w:tc>
        <w:tc>
          <w:tcPr>
            <w:tcW w:w="5169" w:type="dxa"/>
          </w:tcPr>
          <w:p w14:paraId="4C990E28">
            <w:pPr>
              <w:pStyle w:val="2"/>
              <w:rPr>
                <w:rFonts w:ascii="宋体" w:hAnsi="宋体" w:cs="宋体"/>
                <w:szCs w:val="24"/>
                <w:highlight w:val="none"/>
              </w:rPr>
            </w:pPr>
          </w:p>
        </w:tc>
      </w:tr>
      <w:tr w14:paraId="6274E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5169" w:type="dxa"/>
          </w:tcPr>
          <w:p w14:paraId="7C854FB9">
            <w:pPr>
              <w:pStyle w:val="2"/>
              <w:rPr>
                <w:rFonts w:ascii="宋体" w:hAnsi="宋体" w:cs="宋体"/>
                <w:szCs w:val="24"/>
                <w:highlight w:val="none"/>
              </w:rPr>
            </w:pPr>
          </w:p>
        </w:tc>
        <w:tc>
          <w:tcPr>
            <w:tcW w:w="5169" w:type="dxa"/>
          </w:tcPr>
          <w:p w14:paraId="77749781">
            <w:pPr>
              <w:pStyle w:val="2"/>
              <w:rPr>
                <w:rFonts w:ascii="宋体" w:hAnsi="宋体" w:cs="宋体"/>
                <w:szCs w:val="24"/>
                <w:highlight w:val="none"/>
              </w:rPr>
            </w:pPr>
          </w:p>
        </w:tc>
      </w:tr>
      <w:tr w14:paraId="59C12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5169" w:type="dxa"/>
          </w:tcPr>
          <w:p w14:paraId="1D603CE3">
            <w:pPr>
              <w:pStyle w:val="2"/>
              <w:rPr>
                <w:rFonts w:ascii="宋体" w:hAnsi="宋体" w:cs="宋体"/>
                <w:szCs w:val="24"/>
                <w:highlight w:val="none"/>
              </w:rPr>
            </w:pPr>
          </w:p>
        </w:tc>
        <w:tc>
          <w:tcPr>
            <w:tcW w:w="5169" w:type="dxa"/>
          </w:tcPr>
          <w:p w14:paraId="65B25D56">
            <w:pPr>
              <w:pStyle w:val="2"/>
              <w:rPr>
                <w:rFonts w:ascii="宋体" w:hAnsi="宋体" w:cs="宋体"/>
                <w:szCs w:val="24"/>
                <w:highlight w:val="none"/>
              </w:rPr>
            </w:pPr>
          </w:p>
        </w:tc>
      </w:tr>
      <w:tr w14:paraId="6BD71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5169" w:type="dxa"/>
          </w:tcPr>
          <w:p w14:paraId="4879CBEE">
            <w:pPr>
              <w:pStyle w:val="2"/>
              <w:rPr>
                <w:rFonts w:ascii="宋体" w:hAnsi="宋体" w:cs="宋体"/>
                <w:szCs w:val="24"/>
                <w:highlight w:val="none"/>
              </w:rPr>
            </w:pPr>
          </w:p>
        </w:tc>
        <w:tc>
          <w:tcPr>
            <w:tcW w:w="5169" w:type="dxa"/>
          </w:tcPr>
          <w:p w14:paraId="607D9179">
            <w:pPr>
              <w:pStyle w:val="2"/>
              <w:rPr>
                <w:rFonts w:ascii="宋体" w:hAnsi="宋体" w:cs="宋体"/>
                <w:szCs w:val="24"/>
                <w:highlight w:val="none"/>
              </w:rPr>
            </w:pPr>
          </w:p>
        </w:tc>
      </w:tr>
    </w:tbl>
    <w:p w14:paraId="5EDA7291">
      <w:pPr>
        <w:spacing w:line="360" w:lineRule="auto"/>
        <w:ind w:firstLine="210"/>
        <w:rPr>
          <w:rFonts w:ascii="宋体" w:hAnsi="宋体" w:cs="宋体"/>
          <w:bCs/>
          <w:sz w:val="24"/>
          <w:szCs w:val="24"/>
          <w:highlight w:val="none"/>
        </w:rPr>
      </w:pPr>
      <w:r>
        <w:rPr>
          <w:rFonts w:hint="eastAsia" w:ascii="宋体" w:hAnsi="宋体" w:cs="宋体"/>
          <w:bCs/>
          <w:sz w:val="24"/>
          <w:szCs w:val="24"/>
          <w:highlight w:val="none"/>
          <w:lang w:val="zh-CN"/>
        </w:rPr>
        <w:t>注：供应商须如实填写所有与之有控股管理关系的情况。</w:t>
      </w:r>
    </w:p>
    <w:p w14:paraId="3E226A64">
      <w:pPr>
        <w:rPr>
          <w:highlight w:val="none"/>
        </w:rPr>
      </w:pPr>
    </w:p>
    <w:p w14:paraId="4D6978E8">
      <w:pPr>
        <w:rPr>
          <w:rFonts w:ascii="宋体" w:hAnsi="宋体"/>
          <w:sz w:val="24"/>
          <w:szCs w:val="24"/>
          <w:highlight w:val="none"/>
        </w:rPr>
      </w:pPr>
      <w:r>
        <w:rPr>
          <w:rFonts w:hint="eastAsia" w:ascii="宋体" w:hAnsi="宋体"/>
          <w:sz w:val="24"/>
          <w:szCs w:val="24"/>
          <w:highlight w:val="none"/>
        </w:rPr>
        <w:t>响应单位：（单位盖章）</w:t>
      </w:r>
    </w:p>
    <w:p w14:paraId="3776784A">
      <w:pPr>
        <w:rPr>
          <w:rFonts w:ascii="宋体" w:hAnsi="宋体"/>
          <w:sz w:val="24"/>
          <w:szCs w:val="24"/>
          <w:highlight w:val="none"/>
        </w:rPr>
      </w:pPr>
      <w:r>
        <w:rPr>
          <w:rFonts w:hint="eastAsia" w:ascii="宋体" w:hAnsi="宋体"/>
          <w:sz w:val="24"/>
          <w:szCs w:val="24"/>
          <w:highlight w:val="none"/>
        </w:rPr>
        <w:t xml:space="preserve">  </w:t>
      </w:r>
    </w:p>
    <w:p w14:paraId="0613A36F">
      <w:pPr>
        <w:rPr>
          <w:rFonts w:ascii="宋体" w:hAnsi="宋体"/>
          <w:sz w:val="24"/>
          <w:szCs w:val="24"/>
          <w:highlight w:val="none"/>
        </w:rPr>
      </w:pPr>
      <w:r>
        <w:rPr>
          <w:rFonts w:hint="eastAsia" w:ascii="宋体" w:hAnsi="宋体"/>
          <w:sz w:val="24"/>
          <w:szCs w:val="24"/>
          <w:highlight w:val="none"/>
        </w:rPr>
        <w:t>法定代表人或代理人：（签字</w:t>
      </w:r>
      <w:r>
        <w:rPr>
          <w:rFonts w:hint="eastAsia" w:hAnsi="宋体"/>
          <w:sz w:val="24"/>
          <w:szCs w:val="24"/>
          <w:highlight w:val="none"/>
        </w:rPr>
        <w:t>或签章</w:t>
      </w:r>
      <w:r>
        <w:rPr>
          <w:rFonts w:hint="eastAsia" w:ascii="宋体" w:hAnsi="宋体"/>
          <w:sz w:val="24"/>
          <w:szCs w:val="24"/>
          <w:highlight w:val="none"/>
        </w:rPr>
        <w:t>）</w:t>
      </w:r>
    </w:p>
    <w:p w14:paraId="37A51234">
      <w:pPr>
        <w:widowControl/>
        <w:overflowPunct w:val="0"/>
        <w:rPr>
          <w:rFonts w:asciiTheme="minorEastAsia" w:hAnsiTheme="minorEastAsia" w:eastAsiaTheme="minorEastAsia"/>
          <w:b/>
          <w:sz w:val="24"/>
          <w:szCs w:val="24"/>
          <w:highlight w:val="none"/>
        </w:rPr>
      </w:pPr>
      <w:r>
        <w:rPr>
          <w:rFonts w:hint="eastAsia" w:ascii="宋体" w:hAnsi="宋体"/>
          <w:sz w:val="24"/>
          <w:szCs w:val="24"/>
          <w:highlight w:val="none"/>
        </w:rPr>
        <w:t>日期：</w:t>
      </w:r>
      <w:r>
        <w:rPr>
          <w:rFonts w:ascii="宋体" w:hAnsi="宋体"/>
          <w:sz w:val="24"/>
          <w:szCs w:val="24"/>
          <w:highlight w:val="none"/>
        </w:rPr>
        <w:t xml:space="preserve">    </w:t>
      </w:r>
      <w:r>
        <w:rPr>
          <w:rFonts w:hint="eastAsia" w:ascii="宋体" w:hAnsi="宋体"/>
          <w:sz w:val="24"/>
          <w:szCs w:val="24"/>
          <w:highlight w:val="none"/>
        </w:rPr>
        <w:t>年</w:t>
      </w:r>
      <w:r>
        <w:rPr>
          <w:rFonts w:ascii="宋体" w:hAnsi="宋体"/>
          <w:sz w:val="24"/>
          <w:szCs w:val="24"/>
          <w:highlight w:val="none"/>
        </w:rPr>
        <w:t xml:space="preserve">    </w:t>
      </w:r>
      <w:r>
        <w:rPr>
          <w:rFonts w:hint="eastAsia" w:ascii="宋体" w:hAnsi="宋体"/>
          <w:sz w:val="24"/>
          <w:szCs w:val="24"/>
          <w:highlight w:val="none"/>
        </w:rPr>
        <w:t>月</w:t>
      </w:r>
      <w:r>
        <w:rPr>
          <w:rFonts w:ascii="宋体" w:hAnsi="宋体"/>
          <w:sz w:val="24"/>
          <w:szCs w:val="24"/>
          <w:highlight w:val="none"/>
        </w:rPr>
        <w:t xml:space="preserve">    </w:t>
      </w:r>
      <w:r>
        <w:rPr>
          <w:rFonts w:hint="eastAsia" w:ascii="宋体" w:hAnsi="宋体"/>
          <w:sz w:val="24"/>
          <w:szCs w:val="24"/>
          <w:highlight w:val="none"/>
        </w:rPr>
        <w:t>日</w:t>
      </w:r>
      <w:r>
        <w:rPr>
          <w:rFonts w:ascii="Arial" w:hAnsi="Arial" w:eastAsia="Arial"/>
          <w:b/>
          <w:sz w:val="24"/>
          <w:szCs w:val="24"/>
          <w:highlight w:val="none"/>
        </w:rPr>
        <w:br w:type="page" w:clear="all"/>
      </w:r>
      <w:r>
        <w:rPr>
          <w:rFonts w:hint="eastAsia" w:asciiTheme="minorEastAsia" w:hAnsiTheme="minorEastAsia" w:eastAsiaTheme="minorEastAsia"/>
          <w:b/>
          <w:sz w:val="24"/>
          <w:szCs w:val="24"/>
          <w:highlight w:val="none"/>
        </w:rPr>
        <w:t>(2)供应商情况表</w:t>
      </w:r>
    </w:p>
    <w:p w14:paraId="1C1C2BE8">
      <w:pPr>
        <w:widowControl/>
        <w:overflowPunct w:val="0"/>
        <w:jc w:val="center"/>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供应商情况表</w:t>
      </w:r>
    </w:p>
    <w:p w14:paraId="1ACBA8AC">
      <w:pPr>
        <w:widowControl/>
        <w:overflowPunct w:val="0"/>
        <w:rPr>
          <w:rFonts w:asciiTheme="minorEastAsia" w:hAnsiTheme="minorEastAsia" w:eastAsiaTheme="minorEastAsia"/>
          <w:sz w:val="24"/>
          <w:szCs w:val="24"/>
          <w:highlight w:val="none"/>
        </w:rPr>
      </w:pPr>
    </w:p>
    <w:p w14:paraId="18172B14">
      <w:pPr>
        <w:widowControl/>
        <w:overflowPunct w:val="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单位名称（盖章）</w:t>
      </w:r>
    </w:p>
    <w:tbl>
      <w:tblPr>
        <w:tblStyle w:val="4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3889"/>
        <w:gridCol w:w="2231"/>
        <w:gridCol w:w="2089"/>
        <w:gridCol w:w="2129"/>
      </w:tblGrid>
      <w:tr w14:paraId="15E9B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6" w:hRule="atLeast"/>
          <w:jc w:val="center"/>
        </w:trPr>
        <w:tc>
          <w:tcPr>
            <w:tcW w:w="3889" w:type="dxa"/>
            <w:vAlign w:val="center"/>
          </w:tcPr>
          <w:p w14:paraId="5521638F">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法定代表人</w:t>
            </w:r>
          </w:p>
        </w:tc>
        <w:tc>
          <w:tcPr>
            <w:tcW w:w="2231" w:type="dxa"/>
          </w:tcPr>
          <w:p w14:paraId="184A86A0">
            <w:pPr>
              <w:overflowPunct w:val="0"/>
              <w:adjustRightInd w:val="0"/>
              <w:spacing w:line="360" w:lineRule="auto"/>
              <w:jc w:val="center"/>
              <w:textAlignment w:val="baseline"/>
              <w:rPr>
                <w:rFonts w:ascii="宋体" w:hAnsi="宋体"/>
                <w:kern w:val="2"/>
                <w:sz w:val="24"/>
                <w:szCs w:val="24"/>
                <w:highlight w:val="none"/>
              </w:rPr>
            </w:pPr>
          </w:p>
        </w:tc>
        <w:tc>
          <w:tcPr>
            <w:tcW w:w="2089" w:type="dxa"/>
          </w:tcPr>
          <w:p w14:paraId="612515A6">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成立日期</w:t>
            </w:r>
          </w:p>
        </w:tc>
        <w:tc>
          <w:tcPr>
            <w:tcW w:w="2129" w:type="dxa"/>
          </w:tcPr>
          <w:p w14:paraId="64A7493A">
            <w:pPr>
              <w:overflowPunct w:val="0"/>
              <w:adjustRightInd w:val="0"/>
              <w:spacing w:line="360" w:lineRule="auto"/>
              <w:jc w:val="center"/>
              <w:textAlignment w:val="baseline"/>
              <w:rPr>
                <w:rFonts w:ascii="宋体" w:hAnsi="宋体"/>
                <w:kern w:val="2"/>
                <w:sz w:val="24"/>
                <w:szCs w:val="24"/>
                <w:highlight w:val="none"/>
              </w:rPr>
            </w:pPr>
          </w:p>
        </w:tc>
      </w:tr>
      <w:tr w14:paraId="6EB58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3889" w:type="dxa"/>
            <w:vAlign w:val="center"/>
          </w:tcPr>
          <w:p w14:paraId="1FD47192">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注册地址</w:t>
            </w:r>
          </w:p>
        </w:tc>
        <w:tc>
          <w:tcPr>
            <w:tcW w:w="2231" w:type="dxa"/>
          </w:tcPr>
          <w:p w14:paraId="367181E2">
            <w:pPr>
              <w:overflowPunct w:val="0"/>
              <w:adjustRightInd w:val="0"/>
              <w:spacing w:line="360" w:lineRule="auto"/>
              <w:jc w:val="center"/>
              <w:textAlignment w:val="baseline"/>
              <w:rPr>
                <w:rFonts w:ascii="宋体" w:hAnsi="宋体"/>
                <w:kern w:val="2"/>
                <w:sz w:val="24"/>
                <w:szCs w:val="24"/>
                <w:highlight w:val="none"/>
              </w:rPr>
            </w:pPr>
          </w:p>
        </w:tc>
        <w:tc>
          <w:tcPr>
            <w:tcW w:w="2089" w:type="dxa"/>
          </w:tcPr>
          <w:p w14:paraId="6C2A303A">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注册资金</w:t>
            </w:r>
          </w:p>
        </w:tc>
        <w:tc>
          <w:tcPr>
            <w:tcW w:w="2129" w:type="dxa"/>
          </w:tcPr>
          <w:p w14:paraId="632B8160">
            <w:pPr>
              <w:overflowPunct w:val="0"/>
              <w:adjustRightInd w:val="0"/>
              <w:spacing w:line="360" w:lineRule="auto"/>
              <w:jc w:val="center"/>
              <w:textAlignment w:val="baseline"/>
              <w:rPr>
                <w:rFonts w:ascii="宋体" w:hAnsi="宋体"/>
                <w:kern w:val="2"/>
                <w:sz w:val="24"/>
                <w:szCs w:val="24"/>
                <w:highlight w:val="none"/>
              </w:rPr>
            </w:pPr>
          </w:p>
        </w:tc>
      </w:tr>
      <w:tr w14:paraId="32E68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2" w:hRule="atLeast"/>
          <w:jc w:val="center"/>
        </w:trPr>
        <w:tc>
          <w:tcPr>
            <w:tcW w:w="3889" w:type="dxa"/>
            <w:vAlign w:val="center"/>
          </w:tcPr>
          <w:p w14:paraId="404458A0">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企业资质等级</w:t>
            </w:r>
          </w:p>
        </w:tc>
        <w:tc>
          <w:tcPr>
            <w:tcW w:w="2231" w:type="dxa"/>
            <w:vAlign w:val="bottom"/>
          </w:tcPr>
          <w:p w14:paraId="2495B4CE">
            <w:pPr>
              <w:overflowPunct w:val="0"/>
              <w:adjustRightInd w:val="0"/>
              <w:spacing w:line="360" w:lineRule="auto"/>
              <w:jc w:val="center"/>
              <w:textAlignment w:val="baseline"/>
              <w:rPr>
                <w:rFonts w:ascii="宋体" w:hAnsi="宋体"/>
                <w:kern w:val="2"/>
                <w:sz w:val="24"/>
                <w:szCs w:val="24"/>
                <w:highlight w:val="none"/>
              </w:rPr>
            </w:pPr>
          </w:p>
        </w:tc>
        <w:tc>
          <w:tcPr>
            <w:tcW w:w="2089" w:type="dxa"/>
            <w:vAlign w:val="center"/>
          </w:tcPr>
          <w:p w14:paraId="0EEF831F">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员工总人数</w:t>
            </w:r>
          </w:p>
        </w:tc>
        <w:tc>
          <w:tcPr>
            <w:tcW w:w="2129" w:type="dxa"/>
            <w:vAlign w:val="bottom"/>
          </w:tcPr>
          <w:p w14:paraId="3E294CAC">
            <w:pPr>
              <w:overflowPunct w:val="0"/>
              <w:adjustRightInd w:val="0"/>
              <w:spacing w:line="360" w:lineRule="auto"/>
              <w:jc w:val="center"/>
              <w:textAlignment w:val="baseline"/>
              <w:rPr>
                <w:rFonts w:ascii="宋体" w:hAnsi="宋体"/>
                <w:kern w:val="2"/>
                <w:sz w:val="24"/>
                <w:szCs w:val="24"/>
                <w:highlight w:val="none"/>
              </w:rPr>
            </w:pPr>
          </w:p>
        </w:tc>
      </w:tr>
      <w:tr w14:paraId="4C407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3889" w:type="dxa"/>
            <w:vAlign w:val="center"/>
          </w:tcPr>
          <w:p w14:paraId="43F61C27">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资产总计</w:t>
            </w:r>
          </w:p>
        </w:tc>
        <w:tc>
          <w:tcPr>
            <w:tcW w:w="2231" w:type="dxa"/>
            <w:vAlign w:val="bottom"/>
          </w:tcPr>
          <w:p w14:paraId="75A87E94">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万元</w:t>
            </w:r>
          </w:p>
        </w:tc>
        <w:tc>
          <w:tcPr>
            <w:tcW w:w="2089" w:type="dxa"/>
            <w:vAlign w:val="center"/>
          </w:tcPr>
          <w:p w14:paraId="3D21E4C7">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营业收入</w:t>
            </w:r>
          </w:p>
        </w:tc>
        <w:tc>
          <w:tcPr>
            <w:tcW w:w="2129" w:type="dxa"/>
            <w:vAlign w:val="bottom"/>
          </w:tcPr>
          <w:p w14:paraId="00514B52">
            <w:pPr>
              <w:overflowPunct w:val="0"/>
              <w:adjustRightInd w:val="0"/>
              <w:spacing w:line="360" w:lineRule="auto"/>
              <w:jc w:val="left"/>
              <w:textAlignment w:val="baseline"/>
              <w:rPr>
                <w:rFonts w:ascii="宋体" w:hAnsi="宋体"/>
                <w:kern w:val="2"/>
                <w:sz w:val="24"/>
                <w:szCs w:val="24"/>
                <w:highlight w:val="none"/>
              </w:rPr>
            </w:pPr>
            <w:r>
              <w:rPr>
                <w:rFonts w:hint="eastAsia" w:ascii="宋体" w:hAnsi="宋体"/>
                <w:kern w:val="2"/>
                <w:sz w:val="24"/>
                <w:szCs w:val="24"/>
                <w:highlight w:val="none"/>
              </w:rPr>
              <w:t>2025年</w:t>
            </w:r>
            <w:r>
              <w:rPr>
                <w:rFonts w:ascii="宋体" w:hAnsi="宋体"/>
                <w:kern w:val="2"/>
                <w:sz w:val="24"/>
                <w:szCs w:val="24"/>
                <w:highlight w:val="none"/>
              </w:rPr>
              <w:t xml:space="preserve"> </w:t>
            </w:r>
            <w:r>
              <w:rPr>
                <w:rFonts w:ascii="宋体" w:hAnsi="宋体"/>
                <w:kern w:val="2"/>
                <w:sz w:val="24"/>
                <w:szCs w:val="24"/>
                <w:highlight w:val="none"/>
                <w:u w:val="single"/>
              </w:rPr>
              <w:t xml:space="preserve">       </w:t>
            </w:r>
            <w:r>
              <w:rPr>
                <w:rFonts w:hint="eastAsia" w:ascii="宋体" w:hAnsi="宋体"/>
                <w:kern w:val="2"/>
                <w:sz w:val="24"/>
                <w:szCs w:val="24"/>
                <w:highlight w:val="none"/>
              </w:rPr>
              <w:t>万元</w:t>
            </w:r>
          </w:p>
        </w:tc>
      </w:tr>
      <w:tr w14:paraId="600E4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3889" w:type="dxa"/>
            <w:vAlign w:val="center"/>
          </w:tcPr>
          <w:p w14:paraId="728B2412">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实现利润</w:t>
            </w:r>
          </w:p>
        </w:tc>
        <w:tc>
          <w:tcPr>
            <w:tcW w:w="2231" w:type="dxa"/>
            <w:vAlign w:val="bottom"/>
          </w:tcPr>
          <w:p w14:paraId="11404D3C">
            <w:pPr>
              <w:overflowPunct w:val="0"/>
              <w:adjustRightInd w:val="0"/>
              <w:spacing w:line="360" w:lineRule="auto"/>
              <w:jc w:val="left"/>
              <w:textAlignment w:val="baseline"/>
              <w:rPr>
                <w:rFonts w:ascii="宋体" w:hAnsi="宋体"/>
                <w:kern w:val="2"/>
                <w:sz w:val="24"/>
                <w:szCs w:val="24"/>
                <w:highlight w:val="none"/>
              </w:rPr>
            </w:pPr>
            <w:r>
              <w:rPr>
                <w:rFonts w:hint="eastAsia" w:ascii="宋体" w:hAnsi="宋体"/>
                <w:kern w:val="2"/>
                <w:sz w:val="24"/>
                <w:szCs w:val="24"/>
                <w:highlight w:val="none"/>
              </w:rPr>
              <w:t>2025年</w:t>
            </w:r>
            <w:r>
              <w:rPr>
                <w:rFonts w:hint="eastAsia" w:ascii="宋体" w:hAnsi="宋体"/>
                <w:kern w:val="2"/>
                <w:sz w:val="24"/>
                <w:szCs w:val="24"/>
                <w:highlight w:val="none"/>
                <w:u w:val="single"/>
              </w:rPr>
              <w:t xml:space="preserve"> </w:t>
            </w:r>
            <w:r>
              <w:rPr>
                <w:rFonts w:ascii="宋体" w:hAnsi="宋体"/>
                <w:kern w:val="2"/>
                <w:sz w:val="24"/>
                <w:szCs w:val="24"/>
                <w:highlight w:val="none"/>
                <w:u w:val="single"/>
              </w:rPr>
              <w:t xml:space="preserve"> </w:t>
            </w:r>
            <w:r>
              <w:rPr>
                <w:rFonts w:hint="eastAsia" w:ascii="宋体" w:hAnsi="宋体"/>
                <w:kern w:val="2"/>
                <w:sz w:val="24"/>
                <w:szCs w:val="24"/>
                <w:highlight w:val="none"/>
                <w:u w:val="single"/>
              </w:rPr>
              <w:t xml:space="preserve"> 万</w:t>
            </w:r>
            <w:r>
              <w:rPr>
                <w:rFonts w:hint="eastAsia" w:ascii="宋体" w:hAnsi="宋体"/>
                <w:kern w:val="2"/>
                <w:sz w:val="24"/>
                <w:szCs w:val="24"/>
                <w:highlight w:val="none"/>
              </w:rPr>
              <w:t>元</w:t>
            </w:r>
          </w:p>
        </w:tc>
        <w:tc>
          <w:tcPr>
            <w:tcW w:w="2089" w:type="dxa"/>
          </w:tcPr>
          <w:p w14:paraId="092AE324">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营业面积（含厂房面积）</w:t>
            </w:r>
          </w:p>
        </w:tc>
        <w:tc>
          <w:tcPr>
            <w:tcW w:w="2129" w:type="dxa"/>
            <w:vAlign w:val="bottom"/>
          </w:tcPr>
          <w:p w14:paraId="317E63B8">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平方米</w:t>
            </w:r>
          </w:p>
        </w:tc>
      </w:tr>
      <w:tr w14:paraId="4123F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3889" w:type="dxa"/>
            <w:vAlign w:val="center"/>
          </w:tcPr>
          <w:p w14:paraId="52BEFCBD">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单位简历及内设机构情况</w:t>
            </w:r>
          </w:p>
        </w:tc>
        <w:tc>
          <w:tcPr>
            <w:tcW w:w="6449" w:type="dxa"/>
            <w:gridSpan w:val="3"/>
          </w:tcPr>
          <w:p w14:paraId="66E9549A">
            <w:pPr>
              <w:overflowPunct w:val="0"/>
              <w:adjustRightInd w:val="0"/>
              <w:spacing w:line="360" w:lineRule="auto"/>
              <w:jc w:val="center"/>
              <w:textAlignment w:val="baseline"/>
              <w:rPr>
                <w:rFonts w:ascii="宋体" w:hAnsi="宋体"/>
                <w:kern w:val="2"/>
                <w:sz w:val="24"/>
                <w:szCs w:val="24"/>
                <w:highlight w:val="none"/>
              </w:rPr>
            </w:pPr>
          </w:p>
        </w:tc>
      </w:tr>
      <w:tr w14:paraId="29A86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88" w:hRule="atLeast"/>
          <w:jc w:val="center"/>
        </w:trPr>
        <w:tc>
          <w:tcPr>
            <w:tcW w:w="3889" w:type="dxa"/>
            <w:vAlign w:val="center"/>
          </w:tcPr>
          <w:p w14:paraId="4469B173">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单位优势及特长</w:t>
            </w:r>
          </w:p>
        </w:tc>
        <w:tc>
          <w:tcPr>
            <w:tcW w:w="6449" w:type="dxa"/>
            <w:gridSpan w:val="3"/>
          </w:tcPr>
          <w:p w14:paraId="58C27725">
            <w:pPr>
              <w:overflowPunct w:val="0"/>
              <w:adjustRightInd w:val="0"/>
              <w:spacing w:line="360" w:lineRule="auto"/>
              <w:jc w:val="center"/>
              <w:textAlignment w:val="baseline"/>
              <w:rPr>
                <w:rFonts w:ascii="宋体" w:hAnsi="宋体"/>
                <w:kern w:val="2"/>
                <w:sz w:val="24"/>
                <w:szCs w:val="24"/>
                <w:highlight w:val="none"/>
              </w:rPr>
            </w:pPr>
          </w:p>
        </w:tc>
      </w:tr>
      <w:tr w14:paraId="525E7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69" w:hRule="atLeast"/>
          <w:jc w:val="center"/>
        </w:trPr>
        <w:tc>
          <w:tcPr>
            <w:tcW w:w="3889" w:type="dxa"/>
            <w:vAlign w:val="center"/>
          </w:tcPr>
          <w:p w14:paraId="7F42BD37">
            <w:pPr>
              <w:overflowPunct w:val="0"/>
              <w:adjustRightInd w:val="0"/>
              <w:spacing w:line="360" w:lineRule="auto"/>
              <w:jc w:val="center"/>
              <w:textAlignment w:val="baseline"/>
              <w:rPr>
                <w:rFonts w:ascii="宋体" w:hAnsi="宋体"/>
                <w:sz w:val="24"/>
                <w:szCs w:val="24"/>
                <w:highlight w:val="none"/>
              </w:rPr>
            </w:pPr>
            <w:r>
              <w:rPr>
                <w:rFonts w:hint="eastAsia" w:ascii="宋体" w:hAnsi="宋体"/>
                <w:sz w:val="24"/>
                <w:szCs w:val="24"/>
                <w:highlight w:val="none"/>
              </w:rPr>
              <w:t>商业信誉和健全的财务会计制度介绍</w:t>
            </w:r>
          </w:p>
        </w:tc>
        <w:tc>
          <w:tcPr>
            <w:tcW w:w="6449" w:type="dxa"/>
            <w:gridSpan w:val="3"/>
          </w:tcPr>
          <w:p w14:paraId="0CBF8E56">
            <w:pPr>
              <w:overflowPunct w:val="0"/>
              <w:adjustRightInd w:val="0"/>
              <w:spacing w:line="360" w:lineRule="auto"/>
              <w:jc w:val="center"/>
              <w:textAlignment w:val="baseline"/>
              <w:rPr>
                <w:rFonts w:ascii="宋体" w:hAnsi="宋体"/>
                <w:kern w:val="2"/>
                <w:sz w:val="24"/>
                <w:szCs w:val="24"/>
                <w:highlight w:val="none"/>
              </w:rPr>
            </w:pPr>
          </w:p>
        </w:tc>
      </w:tr>
      <w:tr w14:paraId="1F065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23" w:hRule="atLeast"/>
          <w:jc w:val="center"/>
        </w:trPr>
        <w:tc>
          <w:tcPr>
            <w:tcW w:w="3889" w:type="dxa"/>
            <w:vAlign w:val="center"/>
          </w:tcPr>
          <w:p w14:paraId="002D8F3C">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sz w:val="24"/>
                <w:szCs w:val="24"/>
                <w:highlight w:val="none"/>
              </w:rPr>
              <w:t>履行合同所必需的设备和专业技术能力情况</w:t>
            </w:r>
          </w:p>
        </w:tc>
        <w:tc>
          <w:tcPr>
            <w:tcW w:w="6449" w:type="dxa"/>
            <w:gridSpan w:val="3"/>
          </w:tcPr>
          <w:p w14:paraId="4F80A5F3">
            <w:pPr>
              <w:overflowPunct w:val="0"/>
              <w:adjustRightInd w:val="0"/>
              <w:spacing w:line="360" w:lineRule="auto"/>
              <w:jc w:val="center"/>
              <w:textAlignment w:val="baseline"/>
              <w:rPr>
                <w:rFonts w:ascii="宋体" w:hAnsi="宋体"/>
                <w:kern w:val="2"/>
                <w:sz w:val="24"/>
                <w:szCs w:val="24"/>
                <w:highlight w:val="none"/>
              </w:rPr>
            </w:pPr>
          </w:p>
        </w:tc>
      </w:tr>
      <w:tr w14:paraId="08AB1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8" w:hRule="atLeast"/>
          <w:jc w:val="center"/>
        </w:trPr>
        <w:tc>
          <w:tcPr>
            <w:tcW w:w="3889" w:type="dxa"/>
            <w:vAlign w:val="center"/>
          </w:tcPr>
          <w:p w14:paraId="475A39F2">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sz w:val="24"/>
                <w:szCs w:val="24"/>
                <w:highlight w:val="none"/>
              </w:rPr>
              <w:t>依法缴纳税收和社会保障资金情况</w:t>
            </w:r>
          </w:p>
        </w:tc>
        <w:tc>
          <w:tcPr>
            <w:tcW w:w="6449" w:type="dxa"/>
            <w:gridSpan w:val="3"/>
          </w:tcPr>
          <w:p w14:paraId="4CB8BC54">
            <w:pPr>
              <w:overflowPunct w:val="0"/>
              <w:adjustRightInd w:val="0"/>
              <w:spacing w:line="360" w:lineRule="auto"/>
              <w:jc w:val="center"/>
              <w:textAlignment w:val="baseline"/>
              <w:rPr>
                <w:rFonts w:ascii="宋体" w:hAnsi="宋体"/>
                <w:kern w:val="2"/>
                <w:sz w:val="24"/>
                <w:szCs w:val="24"/>
                <w:highlight w:val="none"/>
              </w:rPr>
            </w:pPr>
          </w:p>
        </w:tc>
      </w:tr>
      <w:tr w14:paraId="6639A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57" w:hRule="atLeast"/>
          <w:jc w:val="center"/>
        </w:trPr>
        <w:tc>
          <w:tcPr>
            <w:tcW w:w="3889" w:type="dxa"/>
            <w:vAlign w:val="center"/>
          </w:tcPr>
          <w:p w14:paraId="5B4CAC68">
            <w:pPr>
              <w:overflowPunct w:val="0"/>
              <w:adjustRightInd w:val="0"/>
              <w:spacing w:line="360" w:lineRule="auto"/>
              <w:jc w:val="center"/>
              <w:textAlignment w:val="baseline"/>
              <w:rPr>
                <w:rFonts w:ascii="宋体" w:hAnsi="宋体"/>
                <w:kern w:val="2"/>
                <w:sz w:val="24"/>
                <w:szCs w:val="24"/>
                <w:highlight w:val="none"/>
              </w:rPr>
            </w:pPr>
            <w:r>
              <w:rPr>
                <w:rFonts w:ascii="宋体" w:hAnsi="宋体"/>
                <w:kern w:val="2"/>
                <w:sz w:val="24"/>
                <w:szCs w:val="24"/>
                <w:highlight w:val="none"/>
              </w:rPr>
              <w:t>参加采购活动前三年内，在经营活动中</w:t>
            </w:r>
            <w:r>
              <w:rPr>
                <w:rFonts w:hint="eastAsia" w:ascii="宋体" w:hAnsi="宋体"/>
                <w:kern w:val="2"/>
                <w:sz w:val="24"/>
                <w:szCs w:val="24"/>
                <w:highlight w:val="none"/>
              </w:rPr>
              <w:t>有无</w:t>
            </w:r>
            <w:r>
              <w:rPr>
                <w:rFonts w:ascii="宋体" w:hAnsi="宋体"/>
                <w:kern w:val="2"/>
                <w:sz w:val="24"/>
                <w:szCs w:val="24"/>
                <w:highlight w:val="none"/>
              </w:rPr>
              <w:t>重大违法记录</w:t>
            </w:r>
          </w:p>
        </w:tc>
        <w:tc>
          <w:tcPr>
            <w:tcW w:w="6449" w:type="dxa"/>
            <w:gridSpan w:val="3"/>
          </w:tcPr>
          <w:p w14:paraId="0733E722">
            <w:pPr>
              <w:overflowPunct w:val="0"/>
              <w:adjustRightInd w:val="0"/>
              <w:spacing w:line="360" w:lineRule="auto"/>
              <w:jc w:val="center"/>
              <w:textAlignment w:val="baseline"/>
              <w:rPr>
                <w:rFonts w:ascii="宋体" w:hAnsi="宋体"/>
                <w:kern w:val="2"/>
                <w:sz w:val="24"/>
                <w:szCs w:val="24"/>
                <w:highlight w:val="none"/>
              </w:rPr>
            </w:pPr>
          </w:p>
        </w:tc>
      </w:tr>
      <w:tr w14:paraId="34D5B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3889" w:type="dxa"/>
            <w:vAlign w:val="center"/>
          </w:tcPr>
          <w:p w14:paraId="0D78A491">
            <w:pPr>
              <w:overflowPunct w:val="0"/>
              <w:adjustRightInd w:val="0"/>
              <w:spacing w:line="360" w:lineRule="auto"/>
              <w:jc w:val="center"/>
              <w:textAlignment w:val="baseline"/>
              <w:rPr>
                <w:rFonts w:ascii="宋体" w:hAnsi="宋体"/>
                <w:kern w:val="2"/>
                <w:sz w:val="24"/>
                <w:szCs w:val="24"/>
                <w:highlight w:val="none"/>
              </w:rPr>
            </w:pPr>
            <w:r>
              <w:rPr>
                <w:rFonts w:hint="eastAsia" w:ascii="宋体" w:hAnsi="宋体"/>
                <w:kern w:val="2"/>
                <w:sz w:val="24"/>
                <w:szCs w:val="24"/>
                <w:highlight w:val="none"/>
              </w:rPr>
              <w:t>其他需要说明的情况</w:t>
            </w:r>
          </w:p>
        </w:tc>
        <w:tc>
          <w:tcPr>
            <w:tcW w:w="6449" w:type="dxa"/>
            <w:gridSpan w:val="3"/>
          </w:tcPr>
          <w:p w14:paraId="5443201F">
            <w:pPr>
              <w:overflowPunct w:val="0"/>
              <w:adjustRightInd w:val="0"/>
              <w:spacing w:line="360" w:lineRule="auto"/>
              <w:jc w:val="center"/>
              <w:textAlignment w:val="baseline"/>
              <w:rPr>
                <w:rFonts w:ascii="宋体" w:hAnsi="宋体"/>
                <w:kern w:val="2"/>
                <w:sz w:val="24"/>
                <w:szCs w:val="24"/>
                <w:highlight w:val="none"/>
              </w:rPr>
            </w:pPr>
          </w:p>
        </w:tc>
      </w:tr>
    </w:tbl>
    <w:p w14:paraId="14143B38">
      <w:pPr>
        <w:widowControl/>
        <w:overflowPunct w:val="0"/>
        <w:rPr>
          <w:rFonts w:asciiTheme="minorEastAsia" w:hAnsiTheme="minorEastAsia" w:eastAsiaTheme="minorEastAsia"/>
          <w:sz w:val="24"/>
          <w:szCs w:val="24"/>
          <w:highlight w:val="none"/>
        </w:rPr>
      </w:pPr>
    </w:p>
    <w:p w14:paraId="5D84B8EE">
      <w:pPr>
        <w:rPr>
          <w:rFonts w:asciiTheme="minorEastAsia" w:hAnsiTheme="minorEastAsia" w:eastAsiaTheme="minorEastAsia"/>
          <w:sz w:val="24"/>
          <w:szCs w:val="24"/>
          <w:highlight w:val="none"/>
        </w:rPr>
      </w:pPr>
    </w:p>
    <w:p w14:paraId="4A303C80">
      <w:pPr>
        <w:rPr>
          <w:rFonts w:asciiTheme="minorEastAsia" w:hAnsiTheme="minorEastAsia" w:eastAsiaTheme="minorEastAsia"/>
          <w:sz w:val="24"/>
          <w:szCs w:val="24"/>
          <w:highlight w:val="none"/>
        </w:rPr>
      </w:pPr>
    </w:p>
    <w:p w14:paraId="5598E56C">
      <w:pPr>
        <w:rPr>
          <w:rFonts w:asciiTheme="minorEastAsia" w:hAnsiTheme="minorEastAsia" w:eastAsiaTheme="minorEastAsia"/>
          <w:sz w:val="24"/>
          <w:szCs w:val="24"/>
          <w:highlight w:val="none"/>
        </w:rPr>
      </w:pPr>
    </w:p>
    <w:p w14:paraId="526658DA">
      <w:pPr>
        <w:rPr>
          <w:rFonts w:asciiTheme="minorEastAsia" w:hAnsiTheme="minorEastAsia" w:eastAsiaTheme="minorEastAsia"/>
          <w:sz w:val="24"/>
          <w:szCs w:val="24"/>
          <w:highlight w:val="none"/>
        </w:rPr>
      </w:pPr>
      <w:r>
        <w:rPr>
          <w:rFonts w:asciiTheme="minorEastAsia" w:hAnsiTheme="minorEastAsia" w:eastAsiaTheme="minorEastAsia"/>
          <w:b/>
          <w:sz w:val="24"/>
          <w:szCs w:val="24"/>
          <w:highlight w:val="none"/>
        </w:rPr>
        <w:br w:type="page"/>
      </w:r>
      <w:r>
        <w:rPr>
          <w:rFonts w:hint="eastAsia" w:asciiTheme="minorEastAsia" w:hAnsiTheme="minorEastAsia" w:eastAsiaTheme="minorEastAsia"/>
          <w:b/>
          <w:sz w:val="24"/>
          <w:szCs w:val="24"/>
          <w:highlight w:val="none"/>
        </w:rPr>
        <w:t>（3）</w:t>
      </w:r>
      <w:r>
        <w:rPr>
          <w:rFonts w:hint="eastAsia" w:asciiTheme="minorEastAsia" w:hAnsiTheme="minorEastAsia" w:eastAsiaTheme="minorEastAsia"/>
          <w:sz w:val="24"/>
          <w:szCs w:val="24"/>
          <w:highlight w:val="none"/>
        </w:rPr>
        <w:t>中小企业声明函</w:t>
      </w:r>
    </w:p>
    <w:p w14:paraId="00AD9F28">
      <w:pPr>
        <w:spacing w:line="588" w:lineRule="exact"/>
        <w:jc w:val="center"/>
        <w:rPr>
          <w:rFonts w:asciiTheme="minorEastAsia" w:hAnsiTheme="minorEastAsia" w:eastAsiaTheme="minorEastAsia"/>
          <w:b/>
          <w:spacing w:val="6"/>
          <w:sz w:val="24"/>
          <w:szCs w:val="24"/>
          <w:highlight w:val="none"/>
        </w:rPr>
      </w:pPr>
    </w:p>
    <w:p w14:paraId="7D911A8D">
      <w:pPr>
        <w:spacing w:line="360" w:lineRule="auto"/>
        <w:jc w:val="center"/>
        <w:rPr>
          <w:rFonts w:ascii="宋体" w:hAnsi="宋体"/>
          <w:b/>
          <w:bCs/>
          <w:sz w:val="24"/>
          <w:szCs w:val="24"/>
          <w:highlight w:val="none"/>
        </w:rPr>
      </w:pPr>
      <w:r>
        <w:rPr>
          <w:rFonts w:hint="eastAsia" w:ascii="宋体" w:hAnsi="宋体"/>
          <w:b/>
          <w:bCs/>
          <w:sz w:val="24"/>
          <w:szCs w:val="24"/>
          <w:highlight w:val="none"/>
        </w:rPr>
        <w:t>中小企业声明函</w:t>
      </w:r>
    </w:p>
    <w:p w14:paraId="53D8A3D5">
      <w:pPr>
        <w:rPr>
          <w:rFonts w:ascii="宋体" w:hAnsi="宋体"/>
          <w:sz w:val="24"/>
          <w:szCs w:val="24"/>
          <w:highlight w:val="none"/>
          <w:u w:val="single"/>
        </w:rPr>
      </w:pPr>
      <w:r>
        <w:rPr>
          <w:rFonts w:hint="eastAsia" w:hAnsi="宋体" w:cs="宋体"/>
          <w:sz w:val="24"/>
          <w:szCs w:val="24"/>
          <w:highlight w:val="none"/>
          <w:lang w:val="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w:t>
      </w:r>
    </w:p>
    <w:p w14:paraId="49817031">
      <w:pPr>
        <w:spacing w:line="360" w:lineRule="auto"/>
        <w:rPr>
          <w:rFonts w:ascii="宋体" w:hAnsi="宋体" w:cs="宋体"/>
          <w:sz w:val="24"/>
          <w:szCs w:val="24"/>
          <w:highlight w:val="none"/>
        </w:rPr>
      </w:pPr>
    </w:p>
    <w:p w14:paraId="2825881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w:t>
      </w:r>
      <w:r>
        <w:rPr>
          <w:rFonts w:hint="eastAsia" w:ascii="宋体" w:hAnsi="宋体" w:cs="宋体"/>
          <w:sz w:val="24"/>
          <w:szCs w:val="24"/>
          <w:highlight w:val="none"/>
          <w:u w:val="single"/>
        </w:rPr>
        <w:t>（单位名称）</w:t>
      </w:r>
      <w:r>
        <w:rPr>
          <w:rFonts w:hint="eastAsia" w:ascii="宋体" w:hAnsi="宋体" w:cs="宋体"/>
          <w:sz w:val="24"/>
          <w:szCs w:val="24"/>
          <w:highlight w:val="none"/>
        </w:rPr>
        <w:t>的</w:t>
      </w:r>
      <w:r>
        <w:rPr>
          <w:rFonts w:hint="eastAsia" w:ascii="宋体" w:hAnsi="宋体" w:cs="宋体"/>
          <w:sz w:val="24"/>
          <w:szCs w:val="24"/>
          <w:highlight w:val="none"/>
          <w:u w:val="single"/>
        </w:rPr>
        <w:t>（项目名称）</w:t>
      </w:r>
      <w:r>
        <w:rPr>
          <w:rFonts w:hint="eastAsia" w:ascii="宋体" w:hAnsi="宋体" w:cs="宋体"/>
          <w:sz w:val="24"/>
          <w:szCs w:val="24"/>
          <w:highlight w:val="none"/>
        </w:rPr>
        <w:t>采购活动，服务全部由符合政策要求的中小企业承接。相关企业（含联合体中的中小企业、签订分包意向协议的中小企业）的具体情况如下：</w:t>
      </w:r>
    </w:p>
    <w:p w14:paraId="250AF63C">
      <w:pPr>
        <w:spacing w:line="360" w:lineRule="auto"/>
        <w:rPr>
          <w:rFonts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u w:val="single"/>
        </w:rPr>
        <w:t xml:space="preserve">  太湖科学城功能片区既有建筑再排查再整治项目</w:t>
      </w:r>
      <w:r>
        <w:rPr>
          <w:rFonts w:hint="eastAsia" w:ascii="宋体" w:hAnsi="宋体" w:cs="宋体"/>
          <w:sz w:val="24"/>
          <w:szCs w:val="24"/>
          <w:highlight w:val="none"/>
        </w:rPr>
        <w:t>，属于</w:t>
      </w:r>
      <w:r>
        <w:rPr>
          <w:rFonts w:hint="eastAsia" w:ascii="宋体" w:hAnsi="宋体" w:cs="宋体"/>
          <w:sz w:val="24"/>
          <w:szCs w:val="24"/>
          <w:highlight w:val="none"/>
          <w:u w:val="single"/>
          <w:lang w:eastAsia="zh-CN"/>
        </w:rPr>
        <w:t>其他未列明行业</w:t>
      </w:r>
      <w:r>
        <w:rPr>
          <w:rFonts w:hint="eastAsia" w:ascii="宋体" w:hAnsi="宋体" w:cs="宋体"/>
          <w:sz w:val="24"/>
          <w:szCs w:val="24"/>
          <w:highlight w:val="none"/>
        </w:rPr>
        <w:t>；承建（承接）企业为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万元，属于</w:t>
      </w:r>
      <w:r>
        <w:rPr>
          <w:rFonts w:hint="eastAsia" w:ascii="宋体" w:hAnsi="宋体" w:cs="宋体"/>
          <w:sz w:val="24"/>
          <w:szCs w:val="24"/>
          <w:highlight w:val="none"/>
          <w:u w:val="single"/>
        </w:rPr>
        <w:t>（</w:t>
      </w:r>
      <w:r>
        <w:rPr>
          <w:rFonts w:hint="eastAsia" w:ascii="宋体" w:hAnsi="宋体" w:cs="宋体"/>
          <w:sz w:val="24"/>
          <w:szCs w:val="24"/>
          <w:highlight w:val="none"/>
          <w:u w:val="single"/>
        </w:rPr>
        <w:sym w:font="Wingdings 2" w:char="00A3"/>
      </w:r>
      <w:r>
        <w:rPr>
          <w:rFonts w:hint="eastAsia" w:ascii="宋体" w:hAnsi="宋体" w:cs="宋体"/>
          <w:sz w:val="24"/>
          <w:szCs w:val="24"/>
          <w:highlight w:val="none"/>
          <w:u w:val="single"/>
        </w:rPr>
        <w:t>中型企业、</w:t>
      </w:r>
      <w:r>
        <w:rPr>
          <w:rFonts w:hint="eastAsia" w:ascii="宋体" w:hAnsi="宋体" w:cs="宋体"/>
          <w:sz w:val="24"/>
          <w:szCs w:val="24"/>
          <w:highlight w:val="none"/>
          <w:u w:val="single"/>
        </w:rPr>
        <w:sym w:font="Wingdings 2" w:char="00A3"/>
      </w:r>
      <w:r>
        <w:rPr>
          <w:rFonts w:hint="eastAsia" w:ascii="宋体" w:hAnsi="宋体" w:cs="宋体"/>
          <w:sz w:val="24"/>
          <w:szCs w:val="24"/>
          <w:highlight w:val="none"/>
          <w:u w:val="single"/>
        </w:rPr>
        <w:t>小型企业、</w:t>
      </w:r>
      <w:r>
        <w:rPr>
          <w:rFonts w:hint="eastAsia" w:ascii="宋体" w:hAnsi="宋体" w:cs="宋体"/>
          <w:sz w:val="24"/>
          <w:szCs w:val="24"/>
          <w:highlight w:val="none"/>
          <w:u w:val="single"/>
        </w:rPr>
        <w:sym w:font="Wingdings 2" w:char="00A3"/>
      </w:r>
      <w:r>
        <w:rPr>
          <w:rFonts w:hint="eastAsia" w:ascii="宋体" w:hAnsi="宋体" w:cs="宋体"/>
          <w:sz w:val="24"/>
          <w:szCs w:val="24"/>
          <w:highlight w:val="none"/>
          <w:u w:val="single"/>
        </w:rPr>
        <w:t>微型企业）</w:t>
      </w:r>
      <w:r>
        <w:rPr>
          <w:rFonts w:hint="eastAsia" w:ascii="宋体" w:hAnsi="宋体" w:cs="宋体"/>
          <w:sz w:val="24"/>
          <w:szCs w:val="24"/>
          <w:highlight w:val="none"/>
        </w:rPr>
        <w:t>；</w:t>
      </w:r>
    </w:p>
    <w:p w14:paraId="3CAA036E">
      <w:pPr>
        <w:spacing w:line="360" w:lineRule="auto"/>
        <w:rPr>
          <w:rFonts w:ascii="宋体" w:hAnsi="宋体" w:cs="宋体"/>
          <w:sz w:val="24"/>
          <w:szCs w:val="24"/>
          <w:highlight w:val="none"/>
        </w:rPr>
      </w:pPr>
      <w:r>
        <w:rPr>
          <w:rFonts w:hint="eastAsia" w:ascii="宋体" w:hAnsi="宋体" w:cs="宋体"/>
          <w:sz w:val="24"/>
          <w:szCs w:val="24"/>
          <w:highlight w:val="none"/>
        </w:rPr>
        <w:t>……</w:t>
      </w:r>
    </w:p>
    <w:p w14:paraId="7FE33C7A">
      <w:pPr>
        <w:spacing w:line="360" w:lineRule="auto"/>
        <w:rPr>
          <w:rFonts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2DC03CBA">
      <w:pPr>
        <w:spacing w:line="360" w:lineRule="auto"/>
        <w:rPr>
          <w:rFonts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779B2566">
      <w:pPr>
        <w:spacing w:line="360" w:lineRule="auto"/>
        <w:jc w:val="right"/>
        <w:rPr>
          <w:rFonts w:ascii="宋体" w:hAnsi="宋体" w:cs="宋体"/>
          <w:sz w:val="24"/>
          <w:szCs w:val="24"/>
          <w:highlight w:val="none"/>
        </w:rPr>
      </w:pPr>
    </w:p>
    <w:p w14:paraId="1EEDCBBE">
      <w:pPr>
        <w:spacing w:line="360" w:lineRule="auto"/>
        <w:jc w:val="center"/>
        <w:rPr>
          <w:rFonts w:ascii="宋体" w:hAnsi="宋体" w:cs="宋体"/>
          <w:sz w:val="24"/>
          <w:szCs w:val="24"/>
          <w:highlight w:val="none"/>
        </w:rPr>
      </w:pPr>
      <w:r>
        <w:rPr>
          <w:rFonts w:hint="eastAsia" w:ascii="宋体" w:hAnsi="宋体" w:cs="宋体"/>
          <w:sz w:val="24"/>
          <w:szCs w:val="24"/>
          <w:highlight w:val="none"/>
        </w:rPr>
        <w:t xml:space="preserve">                   企业名称（盖章）：</w:t>
      </w:r>
    </w:p>
    <w:p w14:paraId="65DB4E71">
      <w:pPr>
        <w:spacing w:line="360" w:lineRule="auto"/>
        <w:rPr>
          <w:rFonts w:ascii="宋体" w:hAnsi="宋体" w:cs="宋体"/>
          <w:sz w:val="24"/>
          <w:szCs w:val="24"/>
          <w:highlight w:val="none"/>
        </w:rPr>
      </w:pPr>
      <w:r>
        <w:rPr>
          <w:rFonts w:hint="eastAsia" w:ascii="宋体" w:hAnsi="宋体" w:cs="宋体"/>
          <w:sz w:val="24"/>
          <w:szCs w:val="24"/>
          <w:highlight w:val="none"/>
        </w:rPr>
        <w:t>日   期：</w:t>
      </w:r>
    </w:p>
    <w:p w14:paraId="322C11BD">
      <w:pPr>
        <w:autoSpaceDE w:val="0"/>
        <w:autoSpaceDN w:val="0"/>
        <w:adjustRightInd w:val="0"/>
        <w:spacing w:line="360" w:lineRule="auto"/>
        <w:rPr>
          <w:rFonts w:ascii="宋体" w:hAnsi="宋体"/>
          <w:sz w:val="24"/>
          <w:szCs w:val="24"/>
          <w:highlight w:val="none"/>
        </w:rPr>
      </w:pPr>
      <w:r>
        <w:rPr>
          <w:rFonts w:hint="eastAsia" w:ascii="宋体" w:hAnsi="宋体"/>
          <w:sz w:val="24"/>
          <w:szCs w:val="24"/>
          <w:highlight w:val="none"/>
        </w:rPr>
        <w:t>注：</w:t>
      </w:r>
    </w:p>
    <w:p w14:paraId="3FE67678">
      <w:pPr>
        <w:autoSpaceDE w:val="0"/>
        <w:autoSpaceDN w:val="0"/>
        <w:adjustRightInd w:val="0"/>
        <w:spacing w:line="360" w:lineRule="auto"/>
        <w:rPr>
          <w:rFonts w:ascii="宋体" w:hAnsi="宋体" w:cs="宋体"/>
          <w:b/>
          <w:sz w:val="24"/>
          <w:szCs w:val="24"/>
          <w:highlight w:val="none"/>
        </w:rPr>
      </w:pPr>
      <w:r>
        <w:rPr>
          <w:rFonts w:hint="eastAsia" w:ascii="宋体" w:hAnsi="宋体" w:cs="宋体"/>
          <w:b/>
          <w:sz w:val="24"/>
          <w:szCs w:val="24"/>
          <w:highlight w:val="none"/>
        </w:rPr>
        <w:t>中小企业划分标准详见“工信部联企业〔2011〕300号通知中的《中小企业划型标准规定》”。</w:t>
      </w:r>
    </w:p>
    <w:p w14:paraId="0C96E276">
      <w:pPr>
        <w:autoSpaceDE w:val="0"/>
        <w:autoSpaceDN w:val="0"/>
        <w:adjustRightInd w:val="0"/>
        <w:spacing w:line="360" w:lineRule="auto"/>
        <w:rPr>
          <w:rFonts w:ascii="宋体" w:hAnsi="宋体" w:cs="宋体"/>
          <w:b/>
          <w:sz w:val="24"/>
          <w:szCs w:val="24"/>
          <w:highlight w:val="none"/>
        </w:rPr>
      </w:pPr>
      <w:r>
        <w:rPr>
          <w:rFonts w:hint="eastAsia" w:ascii="宋体" w:hAnsi="宋体" w:cs="宋体"/>
          <w:b/>
          <w:sz w:val="24"/>
          <w:szCs w:val="24"/>
          <w:highlight w:val="none"/>
          <w:u w:val="single"/>
        </w:rPr>
        <w:t>如供应商认定本企业为小型或微型企业，则需根据“工信部联企业〔2011〕300号”通知中的《中小企业划型标准规定》填报“中小企业声明函”</w:t>
      </w:r>
      <w:r>
        <w:rPr>
          <w:rFonts w:hint="eastAsia" w:ascii="宋体" w:hAnsi="宋体" w:cs="宋体"/>
          <w:b/>
          <w:sz w:val="24"/>
          <w:szCs w:val="24"/>
          <w:highlight w:val="none"/>
        </w:rPr>
        <w:t>。</w:t>
      </w:r>
    </w:p>
    <w:p w14:paraId="4C365A2F">
      <w:pPr>
        <w:autoSpaceDE w:val="0"/>
        <w:autoSpaceDN w:val="0"/>
        <w:adjustRightInd w:val="0"/>
        <w:spacing w:line="360" w:lineRule="auto"/>
        <w:rPr>
          <w:rFonts w:ascii="宋体" w:hAnsi="宋体" w:cs="宋体"/>
          <w:b/>
          <w:sz w:val="24"/>
          <w:szCs w:val="24"/>
          <w:highlight w:val="none"/>
        </w:rPr>
      </w:pPr>
      <w:r>
        <w:rPr>
          <w:rFonts w:hint="eastAsia" w:ascii="宋体" w:hAnsi="宋体" w:cs="宋体"/>
          <w:b/>
          <w:sz w:val="24"/>
          <w:szCs w:val="24"/>
          <w:highlight w:val="none"/>
        </w:rPr>
        <w:t>从业人员、营业收入、资产总额填报上一年度数据，无上一年度数据的新成立企业可不填报。</w:t>
      </w:r>
    </w:p>
    <w:p w14:paraId="50DA1F82">
      <w:pPr>
        <w:autoSpaceDE w:val="0"/>
        <w:autoSpaceDN w:val="0"/>
        <w:adjustRightInd w:val="0"/>
        <w:spacing w:line="360" w:lineRule="auto"/>
        <w:rPr>
          <w:highlight w:val="none"/>
        </w:rPr>
      </w:pPr>
      <w:r>
        <w:rPr>
          <w:rFonts w:hint="eastAsia" w:ascii="宋体" w:hAnsi="宋体" w:cs="宋体"/>
          <w:b/>
          <w:sz w:val="24"/>
          <w:szCs w:val="24"/>
          <w:highlight w:val="none"/>
        </w:rPr>
        <w:t>4、供应商应对照中小企业划分标准和采购标的所属行业：</w:t>
      </w:r>
      <w:r>
        <w:rPr>
          <w:rFonts w:hint="eastAsia" w:ascii="宋体" w:hAnsi="宋体" w:cs="宋体"/>
          <w:b/>
          <w:sz w:val="24"/>
          <w:szCs w:val="24"/>
          <w:highlight w:val="none"/>
          <w:u w:val="single"/>
          <w:lang w:eastAsia="zh-CN"/>
        </w:rPr>
        <w:t>其他未列明行业</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，如实、完整填报《中小企业声明函》，如未对（中型企业、小型企业、微型企业）进行勾选，视同非中、小、微企业，不享受相应扶持政策。</w:t>
      </w:r>
    </w:p>
    <w:p w14:paraId="578BE7F6">
      <w:pPr>
        <w:spacing w:line="360" w:lineRule="auto"/>
        <w:rPr>
          <w:rFonts w:asciiTheme="minorEastAsia" w:hAnsiTheme="minorEastAsia" w:eastAsiaTheme="minorEastAsia"/>
          <w:sz w:val="24"/>
          <w:szCs w:val="24"/>
          <w:highlight w:val="none"/>
        </w:rPr>
      </w:pPr>
    </w:p>
    <w:p w14:paraId="62C95AAB">
      <w:pPr>
        <w:autoSpaceDE w:val="0"/>
        <w:autoSpaceDN w:val="0"/>
        <w:spacing w:line="400" w:lineRule="exact"/>
        <w:rPr>
          <w:rFonts w:asciiTheme="minorEastAsia" w:hAnsiTheme="minorEastAsia" w:eastAsiaTheme="minorEastAsia"/>
          <w:sz w:val="18"/>
          <w:highlight w:val="none"/>
        </w:rPr>
      </w:pPr>
    </w:p>
    <w:p w14:paraId="769B11AB">
      <w:pPr>
        <w:autoSpaceDE w:val="0"/>
        <w:autoSpaceDN w:val="0"/>
        <w:spacing w:line="400" w:lineRule="exact"/>
        <w:rPr>
          <w:rFonts w:asciiTheme="minorEastAsia" w:hAnsiTheme="minorEastAsia" w:eastAsiaTheme="minorEastAsia"/>
          <w:sz w:val="18"/>
          <w:highlight w:val="none"/>
        </w:rPr>
      </w:pPr>
    </w:p>
    <w:p w14:paraId="12C3579F">
      <w:pPr>
        <w:autoSpaceDE w:val="0"/>
        <w:autoSpaceDN w:val="0"/>
        <w:spacing w:line="400" w:lineRule="exact"/>
        <w:rPr>
          <w:rFonts w:asciiTheme="minorEastAsia" w:hAnsiTheme="minorEastAsia" w:eastAsiaTheme="minorEastAsia"/>
          <w:sz w:val="18"/>
          <w:highlight w:val="none"/>
        </w:rPr>
      </w:pPr>
    </w:p>
    <w:p w14:paraId="3A354B87">
      <w:pPr>
        <w:autoSpaceDE w:val="0"/>
        <w:autoSpaceDN w:val="0"/>
        <w:spacing w:line="400" w:lineRule="exact"/>
        <w:rPr>
          <w:rFonts w:asciiTheme="minorEastAsia" w:hAnsiTheme="minorEastAsia" w:eastAsiaTheme="minorEastAsia"/>
          <w:sz w:val="18"/>
          <w:highlight w:val="none"/>
        </w:rPr>
      </w:pPr>
    </w:p>
    <w:p w14:paraId="1271AD39">
      <w:pPr>
        <w:autoSpaceDE w:val="0"/>
        <w:autoSpaceDN w:val="0"/>
        <w:spacing w:line="400" w:lineRule="exact"/>
        <w:rPr>
          <w:rFonts w:asciiTheme="minorEastAsia" w:hAnsiTheme="minorEastAsia" w:eastAsiaTheme="minorEastAsia"/>
          <w:sz w:val="18"/>
          <w:highlight w:val="none"/>
        </w:rPr>
      </w:pPr>
    </w:p>
    <w:p w14:paraId="77EAED26">
      <w:pPr>
        <w:autoSpaceDE w:val="0"/>
        <w:autoSpaceDN w:val="0"/>
        <w:spacing w:line="400" w:lineRule="exact"/>
        <w:rPr>
          <w:rFonts w:asciiTheme="minorEastAsia" w:hAnsiTheme="minorEastAsia" w:eastAsiaTheme="minorEastAsia"/>
          <w:sz w:val="18"/>
          <w:highlight w:val="none"/>
        </w:rPr>
      </w:pPr>
    </w:p>
    <w:p w14:paraId="273FC200">
      <w:pPr>
        <w:adjustRightInd w:val="0"/>
        <w:snapToGrid w:val="0"/>
        <w:spacing w:line="580" w:lineRule="exact"/>
        <w:rPr>
          <w:rFonts w:asciiTheme="minorEastAsia" w:hAnsiTheme="minorEastAsia" w:eastAsiaTheme="minorEastAsia"/>
          <w:kern w:val="2"/>
          <w:sz w:val="24"/>
          <w:highlight w:val="none"/>
        </w:rPr>
      </w:pPr>
      <w:r>
        <w:rPr>
          <w:rFonts w:hint="eastAsia" w:asciiTheme="minorEastAsia" w:hAnsiTheme="minorEastAsia" w:eastAsiaTheme="minorEastAsia"/>
          <w:sz w:val="24"/>
          <w:szCs w:val="24"/>
          <w:highlight w:val="none"/>
        </w:rPr>
        <w:t>（4）</w:t>
      </w:r>
      <w:r>
        <w:rPr>
          <w:rFonts w:hint="eastAsia" w:asciiTheme="minorEastAsia" w:hAnsiTheme="minorEastAsia" w:eastAsiaTheme="minorEastAsia"/>
          <w:b/>
          <w:bCs/>
          <w:sz w:val="24"/>
          <w:szCs w:val="24"/>
          <w:highlight w:val="none"/>
        </w:rPr>
        <w:t>残疾人福利性单位声明函</w:t>
      </w:r>
    </w:p>
    <w:p w14:paraId="79826BB5">
      <w:pPr>
        <w:spacing w:line="360" w:lineRule="auto"/>
        <w:jc w:val="center"/>
        <w:rPr>
          <w:rFonts w:ascii="宋体" w:hAnsi="宋体"/>
          <w:b/>
          <w:bCs/>
          <w:sz w:val="24"/>
          <w:szCs w:val="24"/>
          <w:highlight w:val="none"/>
        </w:rPr>
      </w:pPr>
      <w:bookmarkStart w:id="4" w:name="OLE_LINK13"/>
      <w:bookmarkStart w:id="5" w:name="OLE_LINK14"/>
    </w:p>
    <w:p w14:paraId="1223E010">
      <w:pPr>
        <w:spacing w:line="360" w:lineRule="auto"/>
        <w:jc w:val="center"/>
        <w:rPr>
          <w:rFonts w:ascii="宋体" w:hAnsi="宋体"/>
          <w:b/>
          <w:bCs/>
          <w:sz w:val="24"/>
          <w:szCs w:val="24"/>
          <w:highlight w:val="none"/>
        </w:rPr>
      </w:pPr>
      <w:r>
        <w:rPr>
          <w:rFonts w:hint="eastAsia" w:ascii="宋体" w:hAnsi="宋体"/>
          <w:b/>
          <w:bCs/>
          <w:sz w:val="24"/>
          <w:szCs w:val="24"/>
          <w:highlight w:val="none"/>
        </w:rPr>
        <w:t>残疾人福利性单位声明函</w:t>
      </w:r>
    </w:p>
    <w:p w14:paraId="566CD656">
      <w:pPr>
        <w:pStyle w:val="13"/>
        <w:overflowPunct w:val="0"/>
        <w:spacing w:line="360" w:lineRule="auto"/>
        <w:ind w:left="0"/>
        <w:rPr>
          <w:rFonts w:ascii="宋体" w:hAnsi="宋体"/>
          <w:b/>
          <w:bCs/>
          <w:szCs w:val="24"/>
          <w:highlight w:val="none"/>
        </w:rPr>
      </w:pPr>
      <w:r>
        <w:rPr>
          <w:rFonts w:hint="eastAsia" w:ascii="宋体" w:hAnsi="宋体"/>
          <w:b/>
          <w:bCs/>
          <w:szCs w:val="24"/>
          <w:highlight w:val="none"/>
        </w:rPr>
        <w:t xml:space="preserve">  </w:t>
      </w:r>
      <w:r>
        <w:rPr>
          <w:rFonts w:hint="eastAsia" w:ascii="宋体" w:hAnsi="宋体"/>
          <w:b/>
          <w:bCs/>
          <w:szCs w:val="24"/>
          <w:highlight w:val="none"/>
          <w:u w:val="single"/>
        </w:rPr>
        <w:t xml:space="preserve">                          </w:t>
      </w:r>
      <w:r>
        <w:rPr>
          <w:rFonts w:hint="eastAsia" w:ascii="宋体" w:hAnsi="宋体"/>
          <w:b/>
          <w:bCs/>
          <w:szCs w:val="24"/>
          <w:highlight w:val="none"/>
        </w:rPr>
        <w:t>：</w:t>
      </w:r>
    </w:p>
    <w:p w14:paraId="0C4B5D05">
      <w:pPr>
        <w:pStyle w:val="13"/>
        <w:overflowPunct w:val="0"/>
        <w:spacing w:line="360" w:lineRule="auto"/>
        <w:ind w:left="0"/>
        <w:rPr>
          <w:rFonts w:ascii="宋体" w:hAnsi="宋体"/>
          <w:sz w:val="24"/>
          <w:szCs w:val="24"/>
          <w:highlight w:val="none"/>
        </w:rPr>
      </w:pPr>
    </w:p>
    <w:p w14:paraId="6DDEC157">
      <w:pPr>
        <w:pStyle w:val="13"/>
        <w:overflowPunct w:val="0"/>
        <w:spacing w:line="360" w:lineRule="auto"/>
        <w:ind w:left="0"/>
        <w:rPr>
          <w:rFonts w:ascii="宋体" w:hAnsi="宋体"/>
          <w:sz w:val="24"/>
          <w:szCs w:val="24"/>
          <w:highlight w:val="none"/>
        </w:rPr>
      </w:pPr>
      <w:r>
        <w:rPr>
          <w:rFonts w:hint="eastAsia" w:ascii="宋体" w:hAnsi="宋体"/>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highlight w:val="none"/>
          <w:u w:val="single"/>
        </w:rPr>
        <w:t xml:space="preserve"> （采购单位）</w:t>
      </w:r>
      <w:r>
        <w:rPr>
          <w:rFonts w:hint="eastAsia" w:ascii="宋体" w:hAnsi="宋体"/>
          <w:sz w:val="24"/>
          <w:szCs w:val="24"/>
          <w:highlight w:val="none"/>
        </w:rPr>
        <w:t xml:space="preserve"> 单位的</w:t>
      </w:r>
      <w:r>
        <w:rPr>
          <w:rFonts w:hint="eastAsia" w:ascii="宋体" w:hAnsi="宋体"/>
          <w:sz w:val="24"/>
          <w:szCs w:val="24"/>
          <w:highlight w:val="none"/>
          <w:u w:val="single"/>
          <w:lang w:val="zh-CN"/>
        </w:rPr>
        <w:t>（采购编号及项目名称）</w:t>
      </w:r>
      <w:r>
        <w:rPr>
          <w:rFonts w:hint="eastAsia" w:ascii="宋体" w:hAnsi="宋体"/>
          <w:sz w:val="24"/>
          <w:szCs w:val="24"/>
          <w:highlight w:val="none"/>
        </w:rPr>
        <w:t>项目采购活动提供本单位制造的货物（由本单位承担工程/提供服务），或者提供其他残疾人福利性单位制造的货物（不包括使用非残疾人福利性单位注册商标的货物）。</w:t>
      </w:r>
    </w:p>
    <w:p w14:paraId="24D12382">
      <w:pPr>
        <w:pStyle w:val="13"/>
        <w:overflowPunct w:val="0"/>
        <w:spacing w:line="360" w:lineRule="auto"/>
        <w:ind w:left="0"/>
        <w:rPr>
          <w:rFonts w:ascii="宋体" w:hAnsi="宋体"/>
          <w:b/>
          <w:bCs/>
          <w:sz w:val="24"/>
          <w:szCs w:val="24"/>
          <w:highlight w:val="none"/>
        </w:rPr>
      </w:pPr>
      <w:r>
        <w:rPr>
          <w:rFonts w:hint="eastAsia" w:ascii="宋体" w:hAnsi="宋体"/>
          <w:sz w:val="24"/>
          <w:szCs w:val="24"/>
          <w:highlight w:val="none"/>
        </w:rPr>
        <w:t>本单位对上述声明的真实性负责。如有虚假，将依法承担相应责任。</w:t>
      </w:r>
    </w:p>
    <w:p w14:paraId="2C1EF5DB">
      <w:pPr>
        <w:pStyle w:val="13"/>
        <w:overflowPunct w:val="0"/>
        <w:spacing w:line="360" w:lineRule="auto"/>
        <w:ind w:left="0"/>
        <w:rPr>
          <w:rFonts w:ascii="宋体" w:hAnsi="宋体"/>
          <w:b/>
          <w:bCs/>
          <w:szCs w:val="24"/>
          <w:highlight w:val="none"/>
        </w:rPr>
      </w:pPr>
    </w:p>
    <w:p w14:paraId="3B5858D2">
      <w:pPr>
        <w:pStyle w:val="13"/>
        <w:overflowPunct w:val="0"/>
        <w:spacing w:line="360" w:lineRule="auto"/>
        <w:ind w:left="0"/>
        <w:rPr>
          <w:rFonts w:ascii="宋体" w:hAnsi="宋体"/>
          <w:b/>
          <w:bCs/>
          <w:szCs w:val="24"/>
          <w:highlight w:val="none"/>
        </w:rPr>
      </w:pPr>
    </w:p>
    <w:p w14:paraId="558A4BEA">
      <w:pPr>
        <w:pStyle w:val="13"/>
        <w:overflowPunct w:val="0"/>
        <w:spacing w:line="360" w:lineRule="auto"/>
        <w:ind w:left="0"/>
        <w:jc w:val="right"/>
        <w:rPr>
          <w:rFonts w:ascii="宋体" w:hAnsi="宋体"/>
          <w:sz w:val="24"/>
          <w:szCs w:val="24"/>
          <w:highlight w:val="none"/>
        </w:rPr>
      </w:pPr>
      <w:r>
        <w:rPr>
          <w:rFonts w:hint="eastAsia" w:ascii="宋体" w:hAnsi="宋体"/>
          <w:b/>
          <w:bCs/>
          <w:sz w:val="24"/>
          <w:szCs w:val="24"/>
          <w:highlight w:val="none"/>
        </w:rPr>
        <w:t xml:space="preserve">    </w:t>
      </w:r>
      <w:r>
        <w:rPr>
          <w:rFonts w:hint="eastAsia" w:ascii="宋体" w:hAnsi="宋体"/>
          <w:sz w:val="24"/>
          <w:szCs w:val="24"/>
          <w:highlight w:val="none"/>
        </w:rPr>
        <w:t xml:space="preserve">  响应单位：         （单位盖章） </w:t>
      </w:r>
    </w:p>
    <w:p w14:paraId="6BE7BF8E">
      <w:pPr>
        <w:pStyle w:val="13"/>
        <w:overflowPunct w:val="0"/>
        <w:spacing w:line="360" w:lineRule="auto"/>
        <w:ind w:left="0"/>
        <w:jc w:val="right"/>
        <w:rPr>
          <w:rFonts w:ascii="宋体" w:hAnsi="宋体"/>
          <w:sz w:val="24"/>
          <w:szCs w:val="24"/>
          <w:highlight w:val="none"/>
        </w:rPr>
      </w:pPr>
      <w:r>
        <w:rPr>
          <w:rFonts w:hint="eastAsia" w:ascii="宋体" w:hAnsi="宋体"/>
          <w:sz w:val="24"/>
          <w:szCs w:val="24"/>
          <w:highlight w:val="none"/>
        </w:rPr>
        <w:t xml:space="preserve">                     日  期：       年      月    日</w:t>
      </w:r>
    </w:p>
    <w:bookmarkEnd w:id="4"/>
    <w:bookmarkEnd w:id="5"/>
    <w:p w14:paraId="595C7FCF">
      <w:pPr>
        <w:tabs>
          <w:tab w:val="left" w:pos="567"/>
        </w:tabs>
        <w:spacing w:line="360" w:lineRule="auto"/>
        <w:ind w:right="-40"/>
        <w:jc w:val="right"/>
        <w:rPr>
          <w:rFonts w:asciiTheme="minorEastAsia" w:hAnsiTheme="minorEastAsia" w:eastAsiaTheme="minorEastAsia"/>
          <w:kern w:val="2"/>
          <w:sz w:val="24"/>
          <w:highlight w:val="none"/>
        </w:rPr>
      </w:pPr>
    </w:p>
    <w:p w14:paraId="2A66516B">
      <w:pPr>
        <w:autoSpaceDE w:val="0"/>
        <w:autoSpaceDN w:val="0"/>
        <w:spacing w:line="400" w:lineRule="exact"/>
        <w:jc w:val="right"/>
        <w:rPr>
          <w:rFonts w:asciiTheme="minorEastAsia" w:hAnsiTheme="minorEastAsia" w:eastAsiaTheme="minorEastAsia"/>
          <w:sz w:val="18"/>
          <w:highlight w:val="none"/>
        </w:rPr>
      </w:pPr>
      <w:r>
        <w:rPr>
          <w:rFonts w:hint="eastAsia" w:asciiTheme="minorEastAsia" w:hAnsiTheme="minorEastAsia" w:eastAsiaTheme="minorEastAsia"/>
          <w:b/>
          <w:bCs/>
          <w:kern w:val="2"/>
          <w:sz w:val="24"/>
          <w:highlight w:val="none"/>
        </w:rPr>
        <w:t>（全文完）</w:t>
      </w:r>
    </w:p>
    <w:sectPr>
      <w:pgSz w:w="11906" w:h="16838"/>
      <w:pgMar w:top="907" w:right="907" w:bottom="907" w:left="764" w:header="624" w:footer="510" w:gutter="113"/>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A32B1">
    <w:pPr>
      <w:tabs>
        <w:tab w:val="center" w:pos="4153"/>
        <w:tab w:val="right" w:pos="8306"/>
      </w:tabs>
      <w:snapToGrid w:val="0"/>
      <w:jc w:val="left"/>
      <w:rPr>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4E70CB">
                          <w:pPr>
                            <w:tabs>
                              <w:tab w:val="center" w:pos="4153"/>
                              <w:tab w:val="right" w:pos="8306"/>
                            </w:tabs>
                            <w:snapToGrid w:val="0"/>
                            <w:jc w:val="left"/>
                            <w:textAlignment w:val="baseline"/>
                            <w:rPr>
                              <w:sz w:val="18"/>
                            </w:rPr>
                          </w:pPr>
                          <w:r>
                            <w:rPr>
                              <w:sz w:val="18"/>
                            </w:rPr>
                            <w:fldChar w:fldCharType="begin"/>
                          </w:r>
                          <w:r>
                            <w:rPr>
                              <w:sz w:val="18"/>
                            </w:rPr>
                            <w:instrText xml:space="preserve">PAGE</w:instrText>
                          </w:r>
                          <w:r>
                            <w:rPr>
                              <w:sz w:val="18"/>
                            </w:rPr>
                            <w:fldChar w:fldCharType="separate"/>
                          </w:r>
                          <w:r>
                            <w:rPr>
                              <w:sz w:val="18"/>
                            </w:rPr>
                            <w:t>20</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94E70CB">
                    <w:pPr>
                      <w:tabs>
                        <w:tab w:val="center" w:pos="4153"/>
                        <w:tab w:val="right" w:pos="8306"/>
                      </w:tabs>
                      <w:snapToGrid w:val="0"/>
                      <w:jc w:val="left"/>
                      <w:textAlignment w:val="baseline"/>
                      <w:rPr>
                        <w:sz w:val="18"/>
                      </w:rPr>
                    </w:pPr>
                    <w:r>
                      <w:rPr>
                        <w:sz w:val="18"/>
                      </w:rPr>
                      <w:fldChar w:fldCharType="begin"/>
                    </w:r>
                    <w:r>
                      <w:rPr>
                        <w:sz w:val="18"/>
                      </w:rPr>
                      <w:instrText xml:space="preserve">PAGE</w:instrText>
                    </w:r>
                    <w:r>
                      <w:rPr>
                        <w:sz w:val="18"/>
                      </w:rPr>
                      <w:fldChar w:fldCharType="separate"/>
                    </w:r>
                    <w:r>
                      <w:rPr>
                        <w:sz w:val="18"/>
                      </w:rPr>
                      <w:t>20</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86C0F">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247B2">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C4247B2">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4AAE3">
    <w:pPr>
      <w:pBdr>
        <w:bottom w:val="single" w:color="000000" w:sz="6" w:space="1"/>
      </w:pBdr>
      <w:tabs>
        <w:tab w:val="center" w:pos="4153"/>
        <w:tab w:val="right" w:pos="8306"/>
      </w:tabs>
      <w:snapToGrid w:val="0"/>
      <w:jc w:val="left"/>
      <w:rPr>
        <w:sz w:val="18"/>
      </w:rPr>
    </w:pPr>
    <w:r>
      <w:rPr>
        <w:rFonts w:hint="eastAsia"/>
        <w:sz w:val="18"/>
      </w:rPr>
      <w:t xml:space="preserve">苏州海企国际工程咨询有限公司                                                   </w:t>
    </w:r>
    <w:r>
      <w:rPr>
        <w:rFonts w:hint="eastAsia"/>
        <w:sz w:val="18"/>
        <w:lang w:eastAsia="zh-CN"/>
      </w:rPr>
      <w:t>JSZC-320505-SZHQ-C2026-0006</w:t>
    </w:r>
    <w:r>
      <w:rPr>
        <w:rFonts w:hint="eastAsia"/>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3213ED"/>
    <w:multiLevelType w:val="singleLevel"/>
    <w:tmpl w:val="E53213ED"/>
    <w:lvl w:ilvl="0" w:tentative="0">
      <w:start w:val="2"/>
      <w:numFmt w:val="decimal"/>
      <w:suff w:val="nothing"/>
      <w:lvlText w:val="%1、"/>
      <w:lvlJc w:val="left"/>
    </w:lvl>
  </w:abstractNum>
  <w:abstractNum w:abstractNumId="1">
    <w:nsid w:val="053E4EA5"/>
    <w:multiLevelType w:val="multilevel"/>
    <w:tmpl w:val="053E4EA5"/>
    <w:lvl w:ilvl="0" w:tentative="0">
      <w:start w:val="1"/>
      <w:numFmt w:val="decimal"/>
      <w:suff w:val="space"/>
      <w:lvlText w:val="%1"/>
      <w:lvlJc w:val="left"/>
      <w:pPr>
        <w:ind w:left="0" w:firstLine="0"/>
      </w:pPr>
      <w:rPr>
        <w:rFonts w:hint="eastAsia" w:ascii="宋体" w:hAnsi="宋体" w:eastAsia="宋体"/>
        <w:b/>
      </w:rPr>
    </w:lvl>
    <w:lvl w:ilvl="1" w:tentative="0">
      <w:start w:val="1"/>
      <w:numFmt w:val="decimal"/>
      <w:suff w:val="space"/>
      <w:lvlText w:val="%1.%2"/>
      <w:lvlJc w:val="left"/>
      <w:pPr>
        <w:ind w:left="-84" w:firstLine="510"/>
      </w:pPr>
      <w:rPr>
        <w:rFonts w:hint="eastAsia" w:ascii="宋体" w:hAnsi="宋体" w:eastAsia="宋体"/>
      </w:rPr>
    </w:lvl>
    <w:lvl w:ilvl="2" w:tentative="0">
      <w:start w:val="1"/>
      <w:numFmt w:val="decimal"/>
      <w:pStyle w:val="71"/>
      <w:lvlText w:val="%1.%2.%3"/>
      <w:lvlJc w:val="left"/>
      <w:pPr>
        <w:ind w:left="0" w:firstLine="510"/>
      </w:pPr>
      <w:rPr>
        <w:rFonts w:hint="eastAsia"/>
      </w:rPr>
    </w:lvl>
    <w:lvl w:ilvl="3" w:tentative="0">
      <w:start w:val="1"/>
      <w:numFmt w:val="decimal"/>
      <w:lvlText w:val="%1.%2.%3.%4"/>
      <w:lvlJc w:val="left"/>
      <w:pPr>
        <w:ind w:left="0" w:firstLine="425"/>
      </w:pPr>
      <w:rPr>
        <w:rFonts w:hint="eastAsia" w:ascii="宋体" w:hAnsi="宋体" w:eastAsia="宋体"/>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55EEFAF9"/>
    <w:multiLevelType w:val="multilevel"/>
    <w:tmpl w:val="55EEFAF9"/>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3">
    <w:nsid w:val="7E6CA380"/>
    <w:multiLevelType w:val="singleLevel"/>
    <w:tmpl w:val="7E6CA380"/>
    <w:lvl w:ilvl="0" w:tentative="0">
      <w:start w:val="7"/>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cumentProtection w:edit="comments" w:enforcement="0"/>
  <w:defaultTabStop w:val="420"/>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M2I3OGIxNGE1NGYxYjkxNGZhZWE5MjQxYzliNTcifQ=="/>
  </w:docVars>
  <w:rsids>
    <w:rsidRoot w:val="00FF1276"/>
    <w:rsid w:val="000005F0"/>
    <w:rsid w:val="00000F28"/>
    <w:rsid w:val="000060EB"/>
    <w:rsid w:val="0000654E"/>
    <w:rsid w:val="00007AB5"/>
    <w:rsid w:val="00011B7B"/>
    <w:rsid w:val="00012913"/>
    <w:rsid w:val="00012E52"/>
    <w:rsid w:val="00013280"/>
    <w:rsid w:val="000149F5"/>
    <w:rsid w:val="00025B79"/>
    <w:rsid w:val="00035B7F"/>
    <w:rsid w:val="00035C9D"/>
    <w:rsid w:val="00037093"/>
    <w:rsid w:val="000424D2"/>
    <w:rsid w:val="000432A9"/>
    <w:rsid w:val="0006168A"/>
    <w:rsid w:val="000744C8"/>
    <w:rsid w:val="00075E25"/>
    <w:rsid w:val="0008299F"/>
    <w:rsid w:val="00084BE2"/>
    <w:rsid w:val="00091692"/>
    <w:rsid w:val="0009181D"/>
    <w:rsid w:val="000A04B5"/>
    <w:rsid w:val="000A3513"/>
    <w:rsid w:val="000A481B"/>
    <w:rsid w:val="000C1481"/>
    <w:rsid w:val="000C2ECC"/>
    <w:rsid w:val="000C48AC"/>
    <w:rsid w:val="000C73BE"/>
    <w:rsid w:val="000D4AE5"/>
    <w:rsid w:val="000E2D90"/>
    <w:rsid w:val="000F5D15"/>
    <w:rsid w:val="000F6587"/>
    <w:rsid w:val="00101528"/>
    <w:rsid w:val="00102326"/>
    <w:rsid w:val="001048C5"/>
    <w:rsid w:val="00107B0B"/>
    <w:rsid w:val="0012494D"/>
    <w:rsid w:val="00126B82"/>
    <w:rsid w:val="0013032D"/>
    <w:rsid w:val="001356C7"/>
    <w:rsid w:val="00154343"/>
    <w:rsid w:val="00162882"/>
    <w:rsid w:val="001641A1"/>
    <w:rsid w:val="00167CB5"/>
    <w:rsid w:val="00173D0B"/>
    <w:rsid w:val="001766CC"/>
    <w:rsid w:val="0018282B"/>
    <w:rsid w:val="00184393"/>
    <w:rsid w:val="00185643"/>
    <w:rsid w:val="00187150"/>
    <w:rsid w:val="00191C9B"/>
    <w:rsid w:val="00192099"/>
    <w:rsid w:val="00192466"/>
    <w:rsid w:val="00192E7C"/>
    <w:rsid w:val="001A03C0"/>
    <w:rsid w:val="001B081C"/>
    <w:rsid w:val="001B146A"/>
    <w:rsid w:val="001B24AF"/>
    <w:rsid w:val="001C0508"/>
    <w:rsid w:val="001C3449"/>
    <w:rsid w:val="001C3C62"/>
    <w:rsid w:val="001D04BA"/>
    <w:rsid w:val="001D2FF6"/>
    <w:rsid w:val="001D5F6D"/>
    <w:rsid w:val="001D65CC"/>
    <w:rsid w:val="001E6EEC"/>
    <w:rsid w:val="00201A2B"/>
    <w:rsid w:val="002027FE"/>
    <w:rsid w:val="002079BE"/>
    <w:rsid w:val="00210DCD"/>
    <w:rsid w:val="0021313C"/>
    <w:rsid w:val="00214138"/>
    <w:rsid w:val="00221678"/>
    <w:rsid w:val="00232506"/>
    <w:rsid w:val="00240AD8"/>
    <w:rsid w:val="0025279D"/>
    <w:rsid w:val="002572A8"/>
    <w:rsid w:val="00260AC7"/>
    <w:rsid w:val="002764CA"/>
    <w:rsid w:val="0028151C"/>
    <w:rsid w:val="00282800"/>
    <w:rsid w:val="00282C93"/>
    <w:rsid w:val="00286648"/>
    <w:rsid w:val="00290182"/>
    <w:rsid w:val="00294C3D"/>
    <w:rsid w:val="002A5BBD"/>
    <w:rsid w:val="002B06CA"/>
    <w:rsid w:val="002B20B2"/>
    <w:rsid w:val="002B21E5"/>
    <w:rsid w:val="002B4587"/>
    <w:rsid w:val="002B4B4D"/>
    <w:rsid w:val="002C4B0C"/>
    <w:rsid w:val="002E6EA4"/>
    <w:rsid w:val="002E7036"/>
    <w:rsid w:val="002F018A"/>
    <w:rsid w:val="00302C2C"/>
    <w:rsid w:val="00303BE3"/>
    <w:rsid w:val="0031038C"/>
    <w:rsid w:val="00322601"/>
    <w:rsid w:val="0032538B"/>
    <w:rsid w:val="00325C4D"/>
    <w:rsid w:val="00326007"/>
    <w:rsid w:val="0033745A"/>
    <w:rsid w:val="0034050E"/>
    <w:rsid w:val="0034744A"/>
    <w:rsid w:val="0035779E"/>
    <w:rsid w:val="00360809"/>
    <w:rsid w:val="00361EA6"/>
    <w:rsid w:val="00372D8D"/>
    <w:rsid w:val="00374B76"/>
    <w:rsid w:val="003755A2"/>
    <w:rsid w:val="00385CD6"/>
    <w:rsid w:val="003932DB"/>
    <w:rsid w:val="003A0BD6"/>
    <w:rsid w:val="003A201D"/>
    <w:rsid w:val="003A4790"/>
    <w:rsid w:val="003B2D8C"/>
    <w:rsid w:val="003C15C0"/>
    <w:rsid w:val="003C5214"/>
    <w:rsid w:val="003C66E3"/>
    <w:rsid w:val="003C70CD"/>
    <w:rsid w:val="003D1211"/>
    <w:rsid w:val="003D6FCC"/>
    <w:rsid w:val="003D7B65"/>
    <w:rsid w:val="003E21A5"/>
    <w:rsid w:val="003E2267"/>
    <w:rsid w:val="003E23DE"/>
    <w:rsid w:val="003E4AEE"/>
    <w:rsid w:val="003F030D"/>
    <w:rsid w:val="003F32AE"/>
    <w:rsid w:val="003F5028"/>
    <w:rsid w:val="00400728"/>
    <w:rsid w:val="004035AC"/>
    <w:rsid w:val="00411A21"/>
    <w:rsid w:val="00413378"/>
    <w:rsid w:val="00417944"/>
    <w:rsid w:val="004209D4"/>
    <w:rsid w:val="00430BE6"/>
    <w:rsid w:val="00446FBA"/>
    <w:rsid w:val="00447A8A"/>
    <w:rsid w:val="00462C65"/>
    <w:rsid w:val="004724BD"/>
    <w:rsid w:val="00472BB4"/>
    <w:rsid w:val="00474B6D"/>
    <w:rsid w:val="004754C3"/>
    <w:rsid w:val="00475D96"/>
    <w:rsid w:val="00481871"/>
    <w:rsid w:val="00487532"/>
    <w:rsid w:val="00487E61"/>
    <w:rsid w:val="0049191D"/>
    <w:rsid w:val="004968AC"/>
    <w:rsid w:val="004A0001"/>
    <w:rsid w:val="004B4F04"/>
    <w:rsid w:val="004B6ABF"/>
    <w:rsid w:val="004B6FCC"/>
    <w:rsid w:val="004C5750"/>
    <w:rsid w:val="004D3E86"/>
    <w:rsid w:val="004D5CA4"/>
    <w:rsid w:val="004D6EF7"/>
    <w:rsid w:val="004E129C"/>
    <w:rsid w:val="004E603B"/>
    <w:rsid w:val="004E6B78"/>
    <w:rsid w:val="004E766D"/>
    <w:rsid w:val="004F3EE4"/>
    <w:rsid w:val="004F429D"/>
    <w:rsid w:val="00504B39"/>
    <w:rsid w:val="00537443"/>
    <w:rsid w:val="00537C03"/>
    <w:rsid w:val="00540FB5"/>
    <w:rsid w:val="00541999"/>
    <w:rsid w:val="0054617E"/>
    <w:rsid w:val="00546780"/>
    <w:rsid w:val="00547784"/>
    <w:rsid w:val="00556BE4"/>
    <w:rsid w:val="00560E5E"/>
    <w:rsid w:val="00562239"/>
    <w:rsid w:val="00562F00"/>
    <w:rsid w:val="005665BD"/>
    <w:rsid w:val="005717C3"/>
    <w:rsid w:val="005741E5"/>
    <w:rsid w:val="00582BDA"/>
    <w:rsid w:val="00587EC8"/>
    <w:rsid w:val="0059138C"/>
    <w:rsid w:val="00591FA9"/>
    <w:rsid w:val="00592FD2"/>
    <w:rsid w:val="005A09D0"/>
    <w:rsid w:val="005B0BE5"/>
    <w:rsid w:val="005B17D4"/>
    <w:rsid w:val="005B5B29"/>
    <w:rsid w:val="005B7C24"/>
    <w:rsid w:val="005C0118"/>
    <w:rsid w:val="005D66A2"/>
    <w:rsid w:val="005D67E9"/>
    <w:rsid w:val="005E13F2"/>
    <w:rsid w:val="005E69B4"/>
    <w:rsid w:val="005F0489"/>
    <w:rsid w:val="005F5634"/>
    <w:rsid w:val="0060014C"/>
    <w:rsid w:val="00600AA8"/>
    <w:rsid w:val="00632433"/>
    <w:rsid w:val="00634191"/>
    <w:rsid w:val="00635267"/>
    <w:rsid w:val="006407B7"/>
    <w:rsid w:val="00642881"/>
    <w:rsid w:val="00647920"/>
    <w:rsid w:val="00647A88"/>
    <w:rsid w:val="00652449"/>
    <w:rsid w:val="006531F5"/>
    <w:rsid w:val="0065440C"/>
    <w:rsid w:val="00663B7F"/>
    <w:rsid w:val="00664C52"/>
    <w:rsid w:val="00684837"/>
    <w:rsid w:val="0068781C"/>
    <w:rsid w:val="006913EC"/>
    <w:rsid w:val="006964AC"/>
    <w:rsid w:val="006A2DCA"/>
    <w:rsid w:val="006B576A"/>
    <w:rsid w:val="006B5779"/>
    <w:rsid w:val="006C43B5"/>
    <w:rsid w:val="006C6E1C"/>
    <w:rsid w:val="006C7DFD"/>
    <w:rsid w:val="006D071F"/>
    <w:rsid w:val="006D2212"/>
    <w:rsid w:val="006D38B0"/>
    <w:rsid w:val="006E0E36"/>
    <w:rsid w:val="006E4ACD"/>
    <w:rsid w:val="006E6326"/>
    <w:rsid w:val="006F250F"/>
    <w:rsid w:val="006F39BD"/>
    <w:rsid w:val="006F7FE3"/>
    <w:rsid w:val="007058D9"/>
    <w:rsid w:val="00716078"/>
    <w:rsid w:val="00723568"/>
    <w:rsid w:val="00727C77"/>
    <w:rsid w:val="007323F0"/>
    <w:rsid w:val="00746976"/>
    <w:rsid w:val="00750329"/>
    <w:rsid w:val="0075182D"/>
    <w:rsid w:val="00755A6C"/>
    <w:rsid w:val="007619A1"/>
    <w:rsid w:val="0077143E"/>
    <w:rsid w:val="007757E9"/>
    <w:rsid w:val="0078557E"/>
    <w:rsid w:val="00787ABA"/>
    <w:rsid w:val="00790376"/>
    <w:rsid w:val="007909E9"/>
    <w:rsid w:val="00794310"/>
    <w:rsid w:val="00794F50"/>
    <w:rsid w:val="007A3CDD"/>
    <w:rsid w:val="007A3DF8"/>
    <w:rsid w:val="007A5056"/>
    <w:rsid w:val="007A6AC8"/>
    <w:rsid w:val="007B1E2F"/>
    <w:rsid w:val="007B1E80"/>
    <w:rsid w:val="007B2BB0"/>
    <w:rsid w:val="007B3327"/>
    <w:rsid w:val="007B3DF4"/>
    <w:rsid w:val="007B673C"/>
    <w:rsid w:val="007B7454"/>
    <w:rsid w:val="007B7909"/>
    <w:rsid w:val="007C4D2E"/>
    <w:rsid w:val="007C5774"/>
    <w:rsid w:val="007D1E6B"/>
    <w:rsid w:val="007D68A5"/>
    <w:rsid w:val="007E0793"/>
    <w:rsid w:val="007E2DC8"/>
    <w:rsid w:val="007E3E6D"/>
    <w:rsid w:val="00816337"/>
    <w:rsid w:val="00817E56"/>
    <w:rsid w:val="008260CF"/>
    <w:rsid w:val="00826F64"/>
    <w:rsid w:val="00832E41"/>
    <w:rsid w:val="008346FE"/>
    <w:rsid w:val="00835E34"/>
    <w:rsid w:val="00835F05"/>
    <w:rsid w:val="00841A61"/>
    <w:rsid w:val="00841BF4"/>
    <w:rsid w:val="008441D4"/>
    <w:rsid w:val="00844D71"/>
    <w:rsid w:val="00847D98"/>
    <w:rsid w:val="00850786"/>
    <w:rsid w:val="00853E8E"/>
    <w:rsid w:val="00860992"/>
    <w:rsid w:val="008619EB"/>
    <w:rsid w:val="00861F7A"/>
    <w:rsid w:val="00863E45"/>
    <w:rsid w:val="0087253C"/>
    <w:rsid w:val="00872CE8"/>
    <w:rsid w:val="00874B0B"/>
    <w:rsid w:val="008756FD"/>
    <w:rsid w:val="008758CA"/>
    <w:rsid w:val="00880E88"/>
    <w:rsid w:val="008821DE"/>
    <w:rsid w:val="008869DF"/>
    <w:rsid w:val="008878C6"/>
    <w:rsid w:val="00894634"/>
    <w:rsid w:val="00896B8E"/>
    <w:rsid w:val="008A453E"/>
    <w:rsid w:val="008A69CC"/>
    <w:rsid w:val="008B4DC1"/>
    <w:rsid w:val="008B7EEE"/>
    <w:rsid w:val="008C1A9F"/>
    <w:rsid w:val="008C261F"/>
    <w:rsid w:val="008D2CFD"/>
    <w:rsid w:val="008D653A"/>
    <w:rsid w:val="008E65AD"/>
    <w:rsid w:val="008E7360"/>
    <w:rsid w:val="00935A9C"/>
    <w:rsid w:val="00941548"/>
    <w:rsid w:val="00942564"/>
    <w:rsid w:val="0094322C"/>
    <w:rsid w:val="009435F9"/>
    <w:rsid w:val="00944DBC"/>
    <w:rsid w:val="009524ED"/>
    <w:rsid w:val="00960F16"/>
    <w:rsid w:val="00964FBD"/>
    <w:rsid w:val="0096788C"/>
    <w:rsid w:val="00977329"/>
    <w:rsid w:val="00980DE0"/>
    <w:rsid w:val="00986958"/>
    <w:rsid w:val="009918A7"/>
    <w:rsid w:val="00991D03"/>
    <w:rsid w:val="00991F4B"/>
    <w:rsid w:val="009959F3"/>
    <w:rsid w:val="009A2659"/>
    <w:rsid w:val="009B4A3C"/>
    <w:rsid w:val="009C13B7"/>
    <w:rsid w:val="009C2D9B"/>
    <w:rsid w:val="009C34EC"/>
    <w:rsid w:val="009D7B7E"/>
    <w:rsid w:val="009E0530"/>
    <w:rsid w:val="009E11A0"/>
    <w:rsid w:val="009E48B2"/>
    <w:rsid w:val="009E6D9F"/>
    <w:rsid w:val="009E6FF0"/>
    <w:rsid w:val="00A0598E"/>
    <w:rsid w:val="00A0741B"/>
    <w:rsid w:val="00A2059C"/>
    <w:rsid w:val="00A31457"/>
    <w:rsid w:val="00A3526E"/>
    <w:rsid w:val="00A35E41"/>
    <w:rsid w:val="00A5112F"/>
    <w:rsid w:val="00A600AC"/>
    <w:rsid w:val="00A6303A"/>
    <w:rsid w:val="00A67F7B"/>
    <w:rsid w:val="00A74F8D"/>
    <w:rsid w:val="00A778D9"/>
    <w:rsid w:val="00A82D80"/>
    <w:rsid w:val="00A91B77"/>
    <w:rsid w:val="00A93320"/>
    <w:rsid w:val="00AA094B"/>
    <w:rsid w:val="00AA148B"/>
    <w:rsid w:val="00AA1C46"/>
    <w:rsid w:val="00AA521B"/>
    <w:rsid w:val="00AA6C91"/>
    <w:rsid w:val="00AB167F"/>
    <w:rsid w:val="00AB3003"/>
    <w:rsid w:val="00AB48B8"/>
    <w:rsid w:val="00AD491C"/>
    <w:rsid w:val="00AD59DE"/>
    <w:rsid w:val="00AD6D60"/>
    <w:rsid w:val="00AD7607"/>
    <w:rsid w:val="00AD7C3B"/>
    <w:rsid w:val="00AE4E79"/>
    <w:rsid w:val="00AF02DD"/>
    <w:rsid w:val="00B00E24"/>
    <w:rsid w:val="00B0257E"/>
    <w:rsid w:val="00B06BE3"/>
    <w:rsid w:val="00B10F1F"/>
    <w:rsid w:val="00B11EEC"/>
    <w:rsid w:val="00B135A1"/>
    <w:rsid w:val="00B228D5"/>
    <w:rsid w:val="00B2532E"/>
    <w:rsid w:val="00B345B3"/>
    <w:rsid w:val="00B35CEF"/>
    <w:rsid w:val="00B44056"/>
    <w:rsid w:val="00B45213"/>
    <w:rsid w:val="00B53B26"/>
    <w:rsid w:val="00B674E5"/>
    <w:rsid w:val="00B7081B"/>
    <w:rsid w:val="00B71165"/>
    <w:rsid w:val="00B76BFE"/>
    <w:rsid w:val="00B84614"/>
    <w:rsid w:val="00B87EF3"/>
    <w:rsid w:val="00B9613B"/>
    <w:rsid w:val="00B964DA"/>
    <w:rsid w:val="00BA2B6E"/>
    <w:rsid w:val="00BA4794"/>
    <w:rsid w:val="00BA77BA"/>
    <w:rsid w:val="00BB45CF"/>
    <w:rsid w:val="00BB79C1"/>
    <w:rsid w:val="00BC7F29"/>
    <w:rsid w:val="00BD26F1"/>
    <w:rsid w:val="00BD5BFF"/>
    <w:rsid w:val="00BD6FA5"/>
    <w:rsid w:val="00BE45C3"/>
    <w:rsid w:val="00BE6222"/>
    <w:rsid w:val="00BF02A3"/>
    <w:rsid w:val="00BF2AD8"/>
    <w:rsid w:val="00BF7A23"/>
    <w:rsid w:val="00BF7AB3"/>
    <w:rsid w:val="00C000F8"/>
    <w:rsid w:val="00C035E3"/>
    <w:rsid w:val="00C11804"/>
    <w:rsid w:val="00C14D84"/>
    <w:rsid w:val="00C15B56"/>
    <w:rsid w:val="00C15E8D"/>
    <w:rsid w:val="00C20072"/>
    <w:rsid w:val="00C2007A"/>
    <w:rsid w:val="00C31645"/>
    <w:rsid w:val="00C32208"/>
    <w:rsid w:val="00C3291C"/>
    <w:rsid w:val="00C32BAF"/>
    <w:rsid w:val="00C32F52"/>
    <w:rsid w:val="00C35886"/>
    <w:rsid w:val="00C35938"/>
    <w:rsid w:val="00C43CB8"/>
    <w:rsid w:val="00C4569A"/>
    <w:rsid w:val="00C45779"/>
    <w:rsid w:val="00C60768"/>
    <w:rsid w:val="00C63340"/>
    <w:rsid w:val="00C641FF"/>
    <w:rsid w:val="00C64B41"/>
    <w:rsid w:val="00C720AA"/>
    <w:rsid w:val="00C7633B"/>
    <w:rsid w:val="00C76725"/>
    <w:rsid w:val="00C85B1E"/>
    <w:rsid w:val="00C90D9F"/>
    <w:rsid w:val="00CA027A"/>
    <w:rsid w:val="00CA703C"/>
    <w:rsid w:val="00CB29F5"/>
    <w:rsid w:val="00CB2A7C"/>
    <w:rsid w:val="00CB34B5"/>
    <w:rsid w:val="00CB5148"/>
    <w:rsid w:val="00CB5322"/>
    <w:rsid w:val="00CB7911"/>
    <w:rsid w:val="00CC2071"/>
    <w:rsid w:val="00CC6BC0"/>
    <w:rsid w:val="00CD3B22"/>
    <w:rsid w:val="00CD7574"/>
    <w:rsid w:val="00CE093C"/>
    <w:rsid w:val="00CE3510"/>
    <w:rsid w:val="00CE559D"/>
    <w:rsid w:val="00CE642E"/>
    <w:rsid w:val="00CE6E0C"/>
    <w:rsid w:val="00CE7620"/>
    <w:rsid w:val="00D04EC2"/>
    <w:rsid w:val="00D07ABB"/>
    <w:rsid w:val="00D103A8"/>
    <w:rsid w:val="00D1627A"/>
    <w:rsid w:val="00D26072"/>
    <w:rsid w:val="00D30CDE"/>
    <w:rsid w:val="00D354E0"/>
    <w:rsid w:val="00D35995"/>
    <w:rsid w:val="00D3716B"/>
    <w:rsid w:val="00D443BA"/>
    <w:rsid w:val="00D5052B"/>
    <w:rsid w:val="00D549B1"/>
    <w:rsid w:val="00D55E91"/>
    <w:rsid w:val="00D671CB"/>
    <w:rsid w:val="00D674A6"/>
    <w:rsid w:val="00D71E63"/>
    <w:rsid w:val="00D80112"/>
    <w:rsid w:val="00D96483"/>
    <w:rsid w:val="00DA1E64"/>
    <w:rsid w:val="00DA24A5"/>
    <w:rsid w:val="00DA55DC"/>
    <w:rsid w:val="00DB1EE9"/>
    <w:rsid w:val="00DB4F20"/>
    <w:rsid w:val="00DC26C4"/>
    <w:rsid w:val="00DC41B1"/>
    <w:rsid w:val="00DC5079"/>
    <w:rsid w:val="00DC6E17"/>
    <w:rsid w:val="00DD454C"/>
    <w:rsid w:val="00DD5D4F"/>
    <w:rsid w:val="00DF3FFF"/>
    <w:rsid w:val="00E1291C"/>
    <w:rsid w:val="00E16332"/>
    <w:rsid w:val="00E17482"/>
    <w:rsid w:val="00E27475"/>
    <w:rsid w:val="00E27712"/>
    <w:rsid w:val="00E325CA"/>
    <w:rsid w:val="00E372EF"/>
    <w:rsid w:val="00E460B3"/>
    <w:rsid w:val="00E46BAD"/>
    <w:rsid w:val="00E47D68"/>
    <w:rsid w:val="00E52F7E"/>
    <w:rsid w:val="00E64C01"/>
    <w:rsid w:val="00E6728A"/>
    <w:rsid w:val="00E82D72"/>
    <w:rsid w:val="00E84A87"/>
    <w:rsid w:val="00E8709D"/>
    <w:rsid w:val="00E92766"/>
    <w:rsid w:val="00E929C6"/>
    <w:rsid w:val="00E93293"/>
    <w:rsid w:val="00E96E48"/>
    <w:rsid w:val="00E9727B"/>
    <w:rsid w:val="00EA327D"/>
    <w:rsid w:val="00EB0E62"/>
    <w:rsid w:val="00EB66CD"/>
    <w:rsid w:val="00EC28D3"/>
    <w:rsid w:val="00EC2A86"/>
    <w:rsid w:val="00EC435F"/>
    <w:rsid w:val="00ED0091"/>
    <w:rsid w:val="00EF5390"/>
    <w:rsid w:val="00F005E2"/>
    <w:rsid w:val="00F04436"/>
    <w:rsid w:val="00F166B0"/>
    <w:rsid w:val="00F22B07"/>
    <w:rsid w:val="00F249F6"/>
    <w:rsid w:val="00F35F6C"/>
    <w:rsid w:val="00F4071F"/>
    <w:rsid w:val="00F422F5"/>
    <w:rsid w:val="00F42EA9"/>
    <w:rsid w:val="00F43DBD"/>
    <w:rsid w:val="00F442F3"/>
    <w:rsid w:val="00F445F9"/>
    <w:rsid w:val="00F5616B"/>
    <w:rsid w:val="00F56FE6"/>
    <w:rsid w:val="00F61E03"/>
    <w:rsid w:val="00F626A8"/>
    <w:rsid w:val="00F6279B"/>
    <w:rsid w:val="00F6602B"/>
    <w:rsid w:val="00F7336D"/>
    <w:rsid w:val="00F73D4D"/>
    <w:rsid w:val="00F835DF"/>
    <w:rsid w:val="00F9602D"/>
    <w:rsid w:val="00F975F4"/>
    <w:rsid w:val="00FA2C85"/>
    <w:rsid w:val="00FA34D5"/>
    <w:rsid w:val="00FA3E0E"/>
    <w:rsid w:val="00FB4D1F"/>
    <w:rsid w:val="00FC500A"/>
    <w:rsid w:val="00FD1101"/>
    <w:rsid w:val="00FD679E"/>
    <w:rsid w:val="00FE39E1"/>
    <w:rsid w:val="00FE4717"/>
    <w:rsid w:val="00FE7A46"/>
    <w:rsid w:val="00FF1276"/>
    <w:rsid w:val="00FF231D"/>
    <w:rsid w:val="00FF6361"/>
    <w:rsid w:val="01146546"/>
    <w:rsid w:val="011A1F53"/>
    <w:rsid w:val="011A5DFA"/>
    <w:rsid w:val="012B4701"/>
    <w:rsid w:val="013B0F09"/>
    <w:rsid w:val="01426118"/>
    <w:rsid w:val="014A5DEA"/>
    <w:rsid w:val="01634CB5"/>
    <w:rsid w:val="0163596E"/>
    <w:rsid w:val="01646A96"/>
    <w:rsid w:val="01713653"/>
    <w:rsid w:val="01745CD5"/>
    <w:rsid w:val="017B16FE"/>
    <w:rsid w:val="018C461C"/>
    <w:rsid w:val="018F1EA6"/>
    <w:rsid w:val="019B3952"/>
    <w:rsid w:val="01A21E40"/>
    <w:rsid w:val="01B217EB"/>
    <w:rsid w:val="01B87661"/>
    <w:rsid w:val="01C354C7"/>
    <w:rsid w:val="01F3006E"/>
    <w:rsid w:val="01F73E17"/>
    <w:rsid w:val="02007B8F"/>
    <w:rsid w:val="02167C37"/>
    <w:rsid w:val="024C6DF1"/>
    <w:rsid w:val="025B3CD3"/>
    <w:rsid w:val="02613D85"/>
    <w:rsid w:val="026A6153"/>
    <w:rsid w:val="0271314C"/>
    <w:rsid w:val="0285433C"/>
    <w:rsid w:val="02855850"/>
    <w:rsid w:val="02871271"/>
    <w:rsid w:val="029E4A2C"/>
    <w:rsid w:val="02B039AF"/>
    <w:rsid w:val="02BA2BC7"/>
    <w:rsid w:val="02C34E47"/>
    <w:rsid w:val="02CD37D5"/>
    <w:rsid w:val="02DB2897"/>
    <w:rsid w:val="0310112C"/>
    <w:rsid w:val="031E3C52"/>
    <w:rsid w:val="03251309"/>
    <w:rsid w:val="03327352"/>
    <w:rsid w:val="03407324"/>
    <w:rsid w:val="034632E6"/>
    <w:rsid w:val="0359416F"/>
    <w:rsid w:val="036C044A"/>
    <w:rsid w:val="037E7210"/>
    <w:rsid w:val="03850949"/>
    <w:rsid w:val="03890582"/>
    <w:rsid w:val="03A133AF"/>
    <w:rsid w:val="03CC0B27"/>
    <w:rsid w:val="03D25034"/>
    <w:rsid w:val="03DA2056"/>
    <w:rsid w:val="03E51B04"/>
    <w:rsid w:val="03FE3A85"/>
    <w:rsid w:val="04093CB6"/>
    <w:rsid w:val="04235F22"/>
    <w:rsid w:val="043555E8"/>
    <w:rsid w:val="043F2BC0"/>
    <w:rsid w:val="044409FF"/>
    <w:rsid w:val="0453677F"/>
    <w:rsid w:val="04657D66"/>
    <w:rsid w:val="046A539C"/>
    <w:rsid w:val="047A389A"/>
    <w:rsid w:val="0481408F"/>
    <w:rsid w:val="048D1F56"/>
    <w:rsid w:val="04BA5CB4"/>
    <w:rsid w:val="04BB4C96"/>
    <w:rsid w:val="04BE1E61"/>
    <w:rsid w:val="04D46953"/>
    <w:rsid w:val="04FE2D42"/>
    <w:rsid w:val="05063ED3"/>
    <w:rsid w:val="050A7EF2"/>
    <w:rsid w:val="050B287F"/>
    <w:rsid w:val="050D2AB6"/>
    <w:rsid w:val="052851DF"/>
    <w:rsid w:val="05467571"/>
    <w:rsid w:val="0552560C"/>
    <w:rsid w:val="055A5944"/>
    <w:rsid w:val="05613A2A"/>
    <w:rsid w:val="057418AC"/>
    <w:rsid w:val="0584533E"/>
    <w:rsid w:val="059A51C9"/>
    <w:rsid w:val="059E11E7"/>
    <w:rsid w:val="05CC2F8E"/>
    <w:rsid w:val="05DA0092"/>
    <w:rsid w:val="05DA4A25"/>
    <w:rsid w:val="05F9542C"/>
    <w:rsid w:val="05FA0F5E"/>
    <w:rsid w:val="060873D5"/>
    <w:rsid w:val="061141EA"/>
    <w:rsid w:val="06147372"/>
    <w:rsid w:val="061F391E"/>
    <w:rsid w:val="062B7DFF"/>
    <w:rsid w:val="063E4E03"/>
    <w:rsid w:val="065B3C3C"/>
    <w:rsid w:val="066110AB"/>
    <w:rsid w:val="06645FBC"/>
    <w:rsid w:val="06724975"/>
    <w:rsid w:val="06B01DE8"/>
    <w:rsid w:val="06E123B4"/>
    <w:rsid w:val="06E3670C"/>
    <w:rsid w:val="07063EAA"/>
    <w:rsid w:val="070763B8"/>
    <w:rsid w:val="07162BED"/>
    <w:rsid w:val="07174920"/>
    <w:rsid w:val="07194C31"/>
    <w:rsid w:val="071C20D5"/>
    <w:rsid w:val="072719C1"/>
    <w:rsid w:val="072B3302"/>
    <w:rsid w:val="072B7856"/>
    <w:rsid w:val="0733199D"/>
    <w:rsid w:val="07393C1E"/>
    <w:rsid w:val="073E6F3C"/>
    <w:rsid w:val="07467C1E"/>
    <w:rsid w:val="074776E5"/>
    <w:rsid w:val="076878D1"/>
    <w:rsid w:val="07BF52E8"/>
    <w:rsid w:val="07CF0616"/>
    <w:rsid w:val="07CF06E2"/>
    <w:rsid w:val="07D47FCC"/>
    <w:rsid w:val="07E20078"/>
    <w:rsid w:val="0831529A"/>
    <w:rsid w:val="08423EFE"/>
    <w:rsid w:val="08472FD2"/>
    <w:rsid w:val="084B26C2"/>
    <w:rsid w:val="086D3371"/>
    <w:rsid w:val="0893577F"/>
    <w:rsid w:val="089E39F0"/>
    <w:rsid w:val="089F2575"/>
    <w:rsid w:val="08A80299"/>
    <w:rsid w:val="08C97B47"/>
    <w:rsid w:val="08CE581C"/>
    <w:rsid w:val="08EA0523"/>
    <w:rsid w:val="08F96504"/>
    <w:rsid w:val="09125A73"/>
    <w:rsid w:val="096437B1"/>
    <w:rsid w:val="096C3047"/>
    <w:rsid w:val="09870ADD"/>
    <w:rsid w:val="09BA1F50"/>
    <w:rsid w:val="09BA5F1C"/>
    <w:rsid w:val="09D20E4F"/>
    <w:rsid w:val="09F722B0"/>
    <w:rsid w:val="09FC6F18"/>
    <w:rsid w:val="09FF36AC"/>
    <w:rsid w:val="0A0727E8"/>
    <w:rsid w:val="0A09068D"/>
    <w:rsid w:val="0A2F7BE6"/>
    <w:rsid w:val="0A3C1AAE"/>
    <w:rsid w:val="0A3D3C0D"/>
    <w:rsid w:val="0A412BCE"/>
    <w:rsid w:val="0A4363D7"/>
    <w:rsid w:val="0A500AAC"/>
    <w:rsid w:val="0A512143"/>
    <w:rsid w:val="0A566800"/>
    <w:rsid w:val="0A5F1A7A"/>
    <w:rsid w:val="0A622929"/>
    <w:rsid w:val="0A647D61"/>
    <w:rsid w:val="0A685A91"/>
    <w:rsid w:val="0A7A6A1B"/>
    <w:rsid w:val="0A7D4F59"/>
    <w:rsid w:val="0A8C29E0"/>
    <w:rsid w:val="0A9E70BE"/>
    <w:rsid w:val="0AA4274A"/>
    <w:rsid w:val="0AB0108B"/>
    <w:rsid w:val="0AB63FA5"/>
    <w:rsid w:val="0ABA57FC"/>
    <w:rsid w:val="0ABB4D71"/>
    <w:rsid w:val="0AC832C1"/>
    <w:rsid w:val="0ACF6277"/>
    <w:rsid w:val="0ADA652D"/>
    <w:rsid w:val="0AFF5E7C"/>
    <w:rsid w:val="0B160E7C"/>
    <w:rsid w:val="0B1F715A"/>
    <w:rsid w:val="0B3104A7"/>
    <w:rsid w:val="0B345225"/>
    <w:rsid w:val="0B365B43"/>
    <w:rsid w:val="0B402DDE"/>
    <w:rsid w:val="0B4F5299"/>
    <w:rsid w:val="0B545069"/>
    <w:rsid w:val="0B636D2F"/>
    <w:rsid w:val="0B6F5C47"/>
    <w:rsid w:val="0B7538CE"/>
    <w:rsid w:val="0B7F0A08"/>
    <w:rsid w:val="0B8A45B8"/>
    <w:rsid w:val="0B9903B8"/>
    <w:rsid w:val="0B9D081F"/>
    <w:rsid w:val="0BA039C3"/>
    <w:rsid w:val="0BA601F0"/>
    <w:rsid w:val="0BAA2DEA"/>
    <w:rsid w:val="0BAC215D"/>
    <w:rsid w:val="0BB75DEF"/>
    <w:rsid w:val="0BBC17AA"/>
    <w:rsid w:val="0BBE2EF9"/>
    <w:rsid w:val="0BCA3591"/>
    <w:rsid w:val="0BD04AE8"/>
    <w:rsid w:val="0BE64991"/>
    <w:rsid w:val="0C3369F5"/>
    <w:rsid w:val="0C6654F5"/>
    <w:rsid w:val="0C7D5251"/>
    <w:rsid w:val="0C8526EB"/>
    <w:rsid w:val="0C9643AC"/>
    <w:rsid w:val="0C9B4B96"/>
    <w:rsid w:val="0CAD6A23"/>
    <w:rsid w:val="0CBA73D8"/>
    <w:rsid w:val="0CBE74FA"/>
    <w:rsid w:val="0CBF2B04"/>
    <w:rsid w:val="0CDF6320"/>
    <w:rsid w:val="0CE112A5"/>
    <w:rsid w:val="0CE450AD"/>
    <w:rsid w:val="0D1206EF"/>
    <w:rsid w:val="0D2376F8"/>
    <w:rsid w:val="0D33763A"/>
    <w:rsid w:val="0D354E6C"/>
    <w:rsid w:val="0D3D6A32"/>
    <w:rsid w:val="0D555806"/>
    <w:rsid w:val="0D564E48"/>
    <w:rsid w:val="0D657CA3"/>
    <w:rsid w:val="0D6F3372"/>
    <w:rsid w:val="0D8805F2"/>
    <w:rsid w:val="0D9E5F30"/>
    <w:rsid w:val="0DA73361"/>
    <w:rsid w:val="0DAD463F"/>
    <w:rsid w:val="0DBF19F4"/>
    <w:rsid w:val="0DE13733"/>
    <w:rsid w:val="0DE52D36"/>
    <w:rsid w:val="0DE63660"/>
    <w:rsid w:val="0DF956C0"/>
    <w:rsid w:val="0E0177C6"/>
    <w:rsid w:val="0E0211E5"/>
    <w:rsid w:val="0E152544"/>
    <w:rsid w:val="0E2B169A"/>
    <w:rsid w:val="0E414E7E"/>
    <w:rsid w:val="0E536B46"/>
    <w:rsid w:val="0E630642"/>
    <w:rsid w:val="0E644834"/>
    <w:rsid w:val="0E99786C"/>
    <w:rsid w:val="0EAF5689"/>
    <w:rsid w:val="0EC01B9A"/>
    <w:rsid w:val="0EC126C6"/>
    <w:rsid w:val="0EC414F3"/>
    <w:rsid w:val="0EE7480E"/>
    <w:rsid w:val="0F010663"/>
    <w:rsid w:val="0F27691B"/>
    <w:rsid w:val="0F507E61"/>
    <w:rsid w:val="0F526702"/>
    <w:rsid w:val="0F62132C"/>
    <w:rsid w:val="0F6B510E"/>
    <w:rsid w:val="0F89753D"/>
    <w:rsid w:val="0F9523F4"/>
    <w:rsid w:val="0FA9046C"/>
    <w:rsid w:val="0FB76C0B"/>
    <w:rsid w:val="0FBF414E"/>
    <w:rsid w:val="0FC04E1F"/>
    <w:rsid w:val="0FC23A53"/>
    <w:rsid w:val="0FD80C83"/>
    <w:rsid w:val="0FDA7AC1"/>
    <w:rsid w:val="0FF12338"/>
    <w:rsid w:val="0FF33A1F"/>
    <w:rsid w:val="10135102"/>
    <w:rsid w:val="102D522F"/>
    <w:rsid w:val="102E38C6"/>
    <w:rsid w:val="103D676E"/>
    <w:rsid w:val="10420236"/>
    <w:rsid w:val="10483EAC"/>
    <w:rsid w:val="104F0C95"/>
    <w:rsid w:val="105273D2"/>
    <w:rsid w:val="106E2348"/>
    <w:rsid w:val="10A458C8"/>
    <w:rsid w:val="10A8086E"/>
    <w:rsid w:val="10B31537"/>
    <w:rsid w:val="10BA1FAE"/>
    <w:rsid w:val="10BC51F5"/>
    <w:rsid w:val="10CD08FB"/>
    <w:rsid w:val="10D027D9"/>
    <w:rsid w:val="10D26001"/>
    <w:rsid w:val="10ED1627"/>
    <w:rsid w:val="10FE36BB"/>
    <w:rsid w:val="110A7A72"/>
    <w:rsid w:val="110F73FE"/>
    <w:rsid w:val="111A0FE7"/>
    <w:rsid w:val="111E6731"/>
    <w:rsid w:val="112056EF"/>
    <w:rsid w:val="113C65AA"/>
    <w:rsid w:val="116160E2"/>
    <w:rsid w:val="11680FAD"/>
    <w:rsid w:val="11920501"/>
    <w:rsid w:val="11CC3F9F"/>
    <w:rsid w:val="11D078E1"/>
    <w:rsid w:val="11DE59B8"/>
    <w:rsid w:val="11EC333E"/>
    <w:rsid w:val="11F677BD"/>
    <w:rsid w:val="11FA1068"/>
    <w:rsid w:val="121D0194"/>
    <w:rsid w:val="122C0443"/>
    <w:rsid w:val="123557C7"/>
    <w:rsid w:val="123F31F2"/>
    <w:rsid w:val="128675F2"/>
    <w:rsid w:val="128733E6"/>
    <w:rsid w:val="128D2C39"/>
    <w:rsid w:val="12977C3A"/>
    <w:rsid w:val="12AE375F"/>
    <w:rsid w:val="12B0036E"/>
    <w:rsid w:val="12BB75DE"/>
    <w:rsid w:val="12D737D0"/>
    <w:rsid w:val="12D81B43"/>
    <w:rsid w:val="12DE5FA3"/>
    <w:rsid w:val="12E114DD"/>
    <w:rsid w:val="12FB44AC"/>
    <w:rsid w:val="130439E4"/>
    <w:rsid w:val="13101E1F"/>
    <w:rsid w:val="13181403"/>
    <w:rsid w:val="131816FF"/>
    <w:rsid w:val="13303889"/>
    <w:rsid w:val="1347587F"/>
    <w:rsid w:val="134C020A"/>
    <w:rsid w:val="1381119E"/>
    <w:rsid w:val="138115B0"/>
    <w:rsid w:val="1394067E"/>
    <w:rsid w:val="13947B99"/>
    <w:rsid w:val="139A10F5"/>
    <w:rsid w:val="139B6D5E"/>
    <w:rsid w:val="13BD2FFC"/>
    <w:rsid w:val="13C95F8D"/>
    <w:rsid w:val="13CE0945"/>
    <w:rsid w:val="13CF6209"/>
    <w:rsid w:val="1409207F"/>
    <w:rsid w:val="141210EC"/>
    <w:rsid w:val="14197775"/>
    <w:rsid w:val="142971F9"/>
    <w:rsid w:val="142D2812"/>
    <w:rsid w:val="14465163"/>
    <w:rsid w:val="14483957"/>
    <w:rsid w:val="146D3E53"/>
    <w:rsid w:val="146D78F0"/>
    <w:rsid w:val="147F774A"/>
    <w:rsid w:val="148B19E6"/>
    <w:rsid w:val="14923360"/>
    <w:rsid w:val="14927EA2"/>
    <w:rsid w:val="14AC17C2"/>
    <w:rsid w:val="14AC6C6F"/>
    <w:rsid w:val="14B90A78"/>
    <w:rsid w:val="14B96D6E"/>
    <w:rsid w:val="14C550E2"/>
    <w:rsid w:val="14C86444"/>
    <w:rsid w:val="14CE785D"/>
    <w:rsid w:val="14E5433B"/>
    <w:rsid w:val="1523380E"/>
    <w:rsid w:val="153F76B8"/>
    <w:rsid w:val="154A3EAF"/>
    <w:rsid w:val="155202B3"/>
    <w:rsid w:val="15520633"/>
    <w:rsid w:val="15575AC8"/>
    <w:rsid w:val="157526AF"/>
    <w:rsid w:val="157847AC"/>
    <w:rsid w:val="15794492"/>
    <w:rsid w:val="15B02F8C"/>
    <w:rsid w:val="15B155B0"/>
    <w:rsid w:val="15CE44CD"/>
    <w:rsid w:val="15E40BF7"/>
    <w:rsid w:val="15EC42EE"/>
    <w:rsid w:val="15FA77DE"/>
    <w:rsid w:val="160A55BD"/>
    <w:rsid w:val="161821C0"/>
    <w:rsid w:val="16504D12"/>
    <w:rsid w:val="166D2312"/>
    <w:rsid w:val="167B658F"/>
    <w:rsid w:val="16850042"/>
    <w:rsid w:val="168E274D"/>
    <w:rsid w:val="16C92299"/>
    <w:rsid w:val="16F028ED"/>
    <w:rsid w:val="16F428E5"/>
    <w:rsid w:val="16FC5D8B"/>
    <w:rsid w:val="17197D6C"/>
    <w:rsid w:val="171A3D3C"/>
    <w:rsid w:val="171F78BD"/>
    <w:rsid w:val="1744330E"/>
    <w:rsid w:val="175A091B"/>
    <w:rsid w:val="17851EB0"/>
    <w:rsid w:val="178C0CE5"/>
    <w:rsid w:val="17C1212E"/>
    <w:rsid w:val="17C3164D"/>
    <w:rsid w:val="17C75758"/>
    <w:rsid w:val="17CA16F7"/>
    <w:rsid w:val="17D2015B"/>
    <w:rsid w:val="17D314BD"/>
    <w:rsid w:val="17D40E02"/>
    <w:rsid w:val="17DA2116"/>
    <w:rsid w:val="17DA251A"/>
    <w:rsid w:val="180D4C03"/>
    <w:rsid w:val="18142962"/>
    <w:rsid w:val="181640FD"/>
    <w:rsid w:val="182627BC"/>
    <w:rsid w:val="183C4ED3"/>
    <w:rsid w:val="184302ED"/>
    <w:rsid w:val="18443411"/>
    <w:rsid w:val="18510E11"/>
    <w:rsid w:val="185420A7"/>
    <w:rsid w:val="18637833"/>
    <w:rsid w:val="18705B8F"/>
    <w:rsid w:val="187C6BC5"/>
    <w:rsid w:val="188C65FE"/>
    <w:rsid w:val="1893123B"/>
    <w:rsid w:val="189D7D0B"/>
    <w:rsid w:val="18AB03EA"/>
    <w:rsid w:val="18BA1416"/>
    <w:rsid w:val="18E248CD"/>
    <w:rsid w:val="18ED599B"/>
    <w:rsid w:val="1911221F"/>
    <w:rsid w:val="194667B5"/>
    <w:rsid w:val="194D3F51"/>
    <w:rsid w:val="194F787F"/>
    <w:rsid w:val="19600C72"/>
    <w:rsid w:val="19805B36"/>
    <w:rsid w:val="19862BCB"/>
    <w:rsid w:val="19955D26"/>
    <w:rsid w:val="199E0797"/>
    <w:rsid w:val="19A21E61"/>
    <w:rsid w:val="19AD0722"/>
    <w:rsid w:val="19C1726B"/>
    <w:rsid w:val="19C24F72"/>
    <w:rsid w:val="19D34882"/>
    <w:rsid w:val="19E1463A"/>
    <w:rsid w:val="19EE334F"/>
    <w:rsid w:val="19F47868"/>
    <w:rsid w:val="19FC1D33"/>
    <w:rsid w:val="19FC7456"/>
    <w:rsid w:val="19FE4B9F"/>
    <w:rsid w:val="1A116C94"/>
    <w:rsid w:val="1A2901FC"/>
    <w:rsid w:val="1A3767BD"/>
    <w:rsid w:val="1A484B93"/>
    <w:rsid w:val="1A491CB6"/>
    <w:rsid w:val="1A4E185C"/>
    <w:rsid w:val="1A763B61"/>
    <w:rsid w:val="1A8162DD"/>
    <w:rsid w:val="1A877837"/>
    <w:rsid w:val="1A9C0C2E"/>
    <w:rsid w:val="1A9E1B35"/>
    <w:rsid w:val="1AB23682"/>
    <w:rsid w:val="1AB33D60"/>
    <w:rsid w:val="1AD81096"/>
    <w:rsid w:val="1AE16A1A"/>
    <w:rsid w:val="1AE62B8F"/>
    <w:rsid w:val="1AE80C7B"/>
    <w:rsid w:val="1AF11B43"/>
    <w:rsid w:val="1B152474"/>
    <w:rsid w:val="1B2037B4"/>
    <w:rsid w:val="1B212945"/>
    <w:rsid w:val="1B3562A5"/>
    <w:rsid w:val="1B376548"/>
    <w:rsid w:val="1B3B2723"/>
    <w:rsid w:val="1B3F3ADA"/>
    <w:rsid w:val="1B402932"/>
    <w:rsid w:val="1B5235CF"/>
    <w:rsid w:val="1B663EBF"/>
    <w:rsid w:val="1B8E7845"/>
    <w:rsid w:val="1B983545"/>
    <w:rsid w:val="1B9876B2"/>
    <w:rsid w:val="1B9F1143"/>
    <w:rsid w:val="1BAF08A2"/>
    <w:rsid w:val="1BB5252D"/>
    <w:rsid w:val="1BB536FA"/>
    <w:rsid w:val="1BDD4371"/>
    <w:rsid w:val="1BDE597F"/>
    <w:rsid w:val="1BE923E0"/>
    <w:rsid w:val="1C07766B"/>
    <w:rsid w:val="1C0B5B00"/>
    <w:rsid w:val="1C2E1AF4"/>
    <w:rsid w:val="1C351EA1"/>
    <w:rsid w:val="1C44716B"/>
    <w:rsid w:val="1C4B4F07"/>
    <w:rsid w:val="1C584392"/>
    <w:rsid w:val="1C647B83"/>
    <w:rsid w:val="1C760498"/>
    <w:rsid w:val="1C8F4089"/>
    <w:rsid w:val="1C931680"/>
    <w:rsid w:val="1C93598F"/>
    <w:rsid w:val="1C9E2A20"/>
    <w:rsid w:val="1C9F011E"/>
    <w:rsid w:val="1CBF4000"/>
    <w:rsid w:val="1CEE543C"/>
    <w:rsid w:val="1D02598E"/>
    <w:rsid w:val="1D044C9F"/>
    <w:rsid w:val="1D2503D2"/>
    <w:rsid w:val="1D256600"/>
    <w:rsid w:val="1D2D5117"/>
    <w:rsid w:val="1D3948F0"/>
    <w:rsid w:val="1D62472A"/>
    <w:rsid w:val="1D6A47AF"/>
    <w:rsid w:val="1D7819B5"/>
    <w:rsid w:val="1D787ACF"/>
    <w:rsid w:val="1D9D4FAE"/>
    <w:rsid w:val="1D9E68AE"/>
    <w:rsid w:val="1DA36D38"/>
    <w:rsid w:val="1DAB00E6"/>
    <w:rsid w:val="1DBB02F0"/>
    <w:rsid w:val="1DCB76D7"/>
    <w:rsid w:val="1DE535B3"/>
    <w:rsid w:val="1DF32CFC"/>
    <w:rsid w:val="1DFB1E63"/>
    <w:rsid w:val="1DFE6FCD"/>
    <w:rsid w:val="1E234D68"/>
    <w:rsid w:val="1E3066F4"/>
    <w:rsid w:val="1E32471D"/>
    <w:rsid w:val="1E386592"/>
    <w:rsid w:val="1E3B0AA6"/>
    <w:rsid w:val="1E4C6879"/>
    <w:rsid w:val="1E4D2F83"/>
    <w:rsid w:val="1E561827"/>
    <w:rsid w:val="1E643F74"/>
    <w:rsid w:val="1E6805BD"/>
    <w:rsid w:val="1E6F17B0"/>
    <w:rsid w:val="1E872FB1"/>
    <w:rsid w:val="1E9E6080"/>
    <w:rsid w:val="1EAD4382"/>
    <w:rsid w:val="1EAF1E62"/>
    <w:rsid w:val="1ECA0E32"/>
    <w:rsid w:val="1F3B4E47"/>
    <w:rsid w:val="1F4A38FE"/>
    <w:rsid w:val="1F4F77F0"/>
    <w:rsid w:val="1F675633"/>
    <w:rsid w:val="1F7D3F22"/>
    <w:rsid w:val="1F8B4C0A"/>
    <w:rsid w:val="1F910916"/>
    <w:rsid w:val="1FA6791C"/>
    <w:rsid w:val="1FAF2B8A"/>
    <w:rsid w:val="1FBD6C14"/>
    <w:rsid w:val="1FE10B43"/>
    <w:rsid w:val="1FEA5E75"/>
    <w:rsid w:val="1FF31BA5"/>
    <w:rsid w:val="200274C4"/>
    <w:rsid w:val="20254AC0"/>
    <w:rsid w:val="202E02BC"/>
    <w:rsid w:val="20453052"/>
    <w:rsid w:val="20564A4C"/>
    <w:rsid w:val="205C5872"/>
    <w:rsid w:val="20640897"/>
    <w:rsid w:val="207C220F"/>
    <w:rsid w:val="2090536B"/>
    <w:rsid w:val="2098500B"/>
    <w:rsid w:val="20BB2041"/>
    <w:rsid w:val="20BB6171"/>
    <w:rsid w:val="20BC6FAC"/>
    <w:rsid w:val="20C95363"/>
    <w:rsid w:val="20EA71FF"/>
    <w:rsid w:val="20EE2872"/>
    <w:rsid w:val="21033760"/>
    <w:rsid w:val="211B60B1"/>
    <w:rsid w:val="21293EA4"/>
    <w:rsid w:val="21371679"/>
    <w:rsid w:val="21470272"/>
    <w:rsid w:val="2154538E"/>
    <w:rsid w:val="215C03BA"/>
    <w:rsid w:val="215C77D2"/>
    <w:rsid w:val="215E52D5"/>
    <w:rsid w:val="21756FB3"/>
    <w:rsid w:val="217B5FC2"/>
    <w:rsid w:val="217F116E"/>
    <w:rsid w:val="219C117D"/>
    <w:rsid w:val="219F5173"/>
    <w:rsid w:val="21C03FF0"/>
    <w:rsid w:val="21EA6C3C"/>
    <w:rsid w:val="21F22678"/>
    <w:rsid w:val="222D345A"/>
    <w:rsid w:val="22456F79"/>
    <w:rsid w:val="224A143B"/>
    <w:rsid w:val="224B30F6"/>
    <w:rsid w:val="224F0A36"/>
    <w:rsid w:val="225652A2"/>
    <w:rsid w:val="225806F0"/>
    <w:rsid w:val="226E6C83"/>
    <w:rsid w:val="22793E74"/>
    <w:rsid w:val="227D087D"/>
    <w:rsid w:val="22910410"/>
    <w:rsid w:val="22946DCF"/>
    <w:rsid w:val="22986041"/>
    <w:rsid w:val="229A4BC3"/>
    <w:rsid w:val="22AF4DAD"/>
    <w:rsid w:val="22BD75DE"/>
    <w:rsid w:val="22D5543A"/>
    <w:rsid w:val="231150AD"/>
    <w:rsid w:val="23151BD8"/>
    <w:rsid w:val="231766F4"/>
    <w:rsid w:val="231B0269"/>
    <w:rsid w:val="23285A7C"/>
    <w:rsid w:val="23490D20"/>
    <w:rsid w:val="234E5552"/>
    <w:rsid w:val="235256CF"/>
    <w:rsid w:val="235D10D4"/>
    <w:rsid w:val="235F0B7B"/>
    <w:rsid w:val="236D570F"/>
    <w:rsid w:val="23705253"/>
    <w:rsid w:val="23726135"/>
    <w:rsid w:val="237C69E8"/>
    <w:rsid w:val="2395761C"/>
    <w:rsid w:val="239D6849"/>
    <w:rsid w:val="23A93F9D"/>
    <w:rsid w:val="23B11782"/>
    <w:rsid w:val="23CF652B"/>
    <w:rsid w:val="23CF6E6B"/>
    <w:rsid w:val="23D177AE"/>
    <w:rsid w:val="23EB0AD3"/>
    <w:rsid w:val="23EC054B"/>
    <w:rsid w:val="24247062"/>
    <w:rsid w:val="24254A45"/>
    <w:rsid w:val="242B2FE9"/>
    <w:rsid w:val="243B1745"/>
    <w:rsid w:val="2449550D"/>
    <w:rsid w:val="244C4A99"/>
    <w:rsid w:val="244D3A01"/>
    <w:rsid w:val="245E279A"/>
    <w:rsid w:val="24840A86"/>
    <w:rsid w:val="2499269E"/>
    <w:rsid w:val="24B203BD"/>
    <w:rsid w:val="24BF4308"/>
    <w:rsid w:val="24C7513C"/>
    <w:rsid w:val="24E925AA"/>
    <w:rsid w:val="24F06FE0"/>
    <w:rsid w:val="25053CCB"/>
    <w:rsid w:val="251925B7"/>
    <w:rsid w:val="251F73E1"/>
    <w:rsid w:val="2527274F"/>
    <w:rsid w:val="25582E91"/>
    <w:rsid w:val="2568201E"/>
    <w:rsid w:val="25982AE0"/>
    <w:rsid w:val="25AB66EC"/>
    <w:rsid w:val="25AC230B"/>
    <w:rsid w:val="25AC3A34"/>
    <w:rsid w:val="25B4205D"/>
    <w:rsid w:val="25B43FCA"/>
    <w:rsid w:val="26034CE3"/>
    <w:rsid w:val="260E7FC9"/>
    <w:rsid w:val="264144F5"/>
    <w:rsid w:val="265921A2"/>
    <w:rsid w:val="26693E66"/>
    <w:rsid w:val="266D4EFE"/>
    <w:rsid w:val="268274DA"/>
    <w:rsid w:val="268B3B90"/>
    <w:rsid w:val="269B2B40"/>
    <w:rsid w:val="26A15C90"/>
    <w:rsid w:val="26A51B61"/>
    <w:rsid w:val="26A605A5"/>
    <w:rsid w:val="26A80040"/>
    <w:rsid w:val="26B81CFA"/>
    <w:rsid w:val="26BC7AA1"/>
    <w:rsid w:val="26BF10DF"/>
    <w:rsid w:val="26BF2A8E"/>
    <w:rsid w:val="26C809EF"/>
    <w:rsid w:val="26CD08EC"/>
    <w:rsid w:val="26CF44EC"/>
    <w:rsid w:val="26D56BB0"/>
    <w:rsid w:val="26D90FFB"/>
    <w:rsid w:val="26E45ED9"/>
    <w:rsid w:val="26E54556"/>
    <w:rsid w:val="270974A5"/>
    <w:rsid w:val="270E0B30"/>
    <w:rsid w:val="271B50DF"/>
    <w:rsid w:val="273647B6"/>
    <w:rsid w:val="274C1369"/>
    <w:rsid w:val="275260C1"/>
    <w:rsid w:val="27701124"/>
    <w:rsid w:val="278514DD"/>
    <w:rsid w:val="27BE5170"/>
    <w:rsid w:val="27F171F8"/>
    <w:rsid w:val="28042958"/>
    <w:rsid w:val="28295135"/>
    <w:rsid w:val="283A3375"/>
    <w:rsid w:val="285A5B2F"/>
    <w:rsid w:val="288979F8"/>
    <w:rsid w:val="28B337DF"/>
    <w:rsid w:val="28EA4231"/>
    <w:rsid w:val="28EC7062"/>
    <w:rsid w:val="28EE3FA1"/>
    <w:rsid w:val="28F53241"/>
    <w:rsid w:val="28F61BBE"/>
    <w:rsid w:val="29203FA9"/>
    <w:rsid w:val="292209C1"/>
    <w:rsid w:val="29465919"/>
    <w:rsid w:val="298E4130"/>
    <w:rsid w:val="29A770D0"/>
    <w:rsid w:val="29C50850"/>
    <w:rsid w:val="29C508EB"/>
    <w:rsid w:val="2A1A7FD7"/>
    <w:rsid w:val="2A310128"/>
    <w:rsid w:val="2A31536D"/>
    <w:rsid w:val="2A361F3D"/>
    <w:rsid w:val="2A366185"/>
    <w:rsid w:val="2A577B50"/>
    <w:rsid w:val="2A5A45F3"/>
    <w:rsid w:val="2A6813DD"/>
    <w:rsid w:val="2A7B0546"/>
    <w:rsid w:val="2A9767A0"/>
    <w:rsid w:val="2AA12822"/>
    <w:rsid w:val="2AAD3498"/>
    <w:rsid w:val="2AC85BA5"/>
    <w:rsid w:val="2AE07656"/>
    <w:rsid w:val="2B09432B"/>
    <w:rsid w:val="2B1068FB"/>
    <w:rsid w:val="2B3955DC"/>
    <w:rsid w:val="2B566C8E"/>
    <w:rsid w:val="2B9015DD"/>
    <w:rsid w:val="2BB86D64"/>
    <w:rsid w:val="2BD96BAD"/>
    <w:rsid w:val="2C044077"/>
    <w:rsid w:val="2C474C1B"/>
    <w:rsid w:val="2C7B1663"/>
    <w:rsid w:val="2C835097"/>
    <w:rsid w:val="2C9218E6"/>
    <w:rsid w:val="2CAA2B89"/>
    <w:rsid w:val="2CB8700D"/>
    <w:rsid w:val="2CBF2DAA"/>
    <w:rsid w:val="2CD22091"/>
    <w:rsid w:val="2CD819C8"/>
    <w:rsid w:val="2CEC044C"/>
    <w:rsid w:val="2CF54741"/>
    <w:rsid w:val="2D0A4D07"/>
    <w:rsid w:val="2D0E011A"/>
    <w:rsid w:val="2D1A7780"/>
    <w:rsid w:val="2D392545"/>
    <w:rsid w:val="2D494649"/>
    <w:rsid w:val="2D4F5F7F"/>
    <w:rsid w:val="2D5A37FA"/>
    <w:rsid w:val="2D616E0B"/>
    <w:rsid w:val="2E0F4EBF"/>
    <w:rsid w:val="2E15688F"/>
    <w:rsid w:val="2E297FF9"/>
    <w:rsid w:val="2E3968EF"/>
    <w:rsid w:val="2E652E73"/>
    <w:rsid w:val="2E6863FF"/>
    <w:rsid w:val="2E817598"/>
    <w:rsid w:val="2E856AEE"/>
    <w:rsid w:val="2E8B038E"/>
    <w:rsid w:val="2E8E6699"/>
    <w:rsid w:val="2E9050FA"/>
    <w:rsid w:val="2EA43221"/>
    <w:rsid w:val="2EB57A4C"/>
    <w:rsid w:val="2EBD08B9"/>
    <w:rsid w:val="2EBE58B9"/>
    <w:rsid w:val="2EC25BFE"/>
    <w:rsid w:val="2EC3175A"/>
    <w:rsid w:val="2F0401BB"/>
    <w:rsid w:val="2F1A72AD"/>
    <w:rsid w:val="2F233FCC"/>
    <w:rsid w:val="2F251A74"/>
    <w:rsid w:val="2F2E5CA2"/>
    <w:rsid w:val="2F323FAE"/>
    <w:rsid w:val="2F333C74"/>
    <w:rsid w:val="2F352FF7"/>
    <w:rsid w:val="2F486CE2"/>
    <w:rsid w:val="2F4955FE"/>
    <w:rsid w:val="2F745C24"/>
    <w:rsid w:val="2FA72D21"/>
    <w:rsid w:val="2FA76778"/>
    <w:rsid w:val="2FA93A6D"/>
    <w:rsid w:val="2FAA6820"/>
    <w:rsid w:val="2FAB23A9"/>
    <w:rsid w:val="2FB34FC0"/>
    <w:rsid w:val="2FC44A15"/>
    <w:rsid w:val="2FDC04CA"/>
    <w:rsid w:val="2FE92394"/>
    <w:rsid w:val="2FEE40A0"/>
    <w:rsid w:val="30173362"/>
    <w:rsid w:val="301F7AC1"/>
    <w:rsid w:val="30272093"/>
    <w:rsid w:val="30463F7F"/>
    <w:rsid w:val="30620B75"/>
    <w:rsid w:val="306A1604"/>
    <w:rsid w:val="306A165B"/>
    <w:rsid w:val="307B7B8D"/>
    <w:rsid w:val="30895034"/>
    <w:rsid w:val="308C0EAC"/>
    <w:rsid w:val="309A3A4B"/>
    <w:rsid w:val="30A708D9"/>
    <w:rsid w:val="30B30CCF"/>
    <w:rsid w:val="30C6653E"/>
    <w:rsid w:val="30CF1F72"/>
    <w:rsid w:val="30D00153"/>
    <w:rsid w:val="30D502D1"/>
    <w:rsid w:val="30DB75CB"/>
    <w:rsid w:val="31092636"/>
    <w:rsid w:val="31105EE8"/>
    <w:rsid w:val="31111460"/>
    <w:rsid w:val="31127A50"/>
    <w:rsid w:val="31253C78"/>
    <w:rsid w:val="312A3753"/>
    <w:rsid w:val="31354B95"/>
    <w:rsid w:val="313A43FF"/>
    <w:rsid w:val="3147415C"/>
    <w:rsid w:val="31485424"/>
    <w:rsid w:val="31491AE3"/>
    <w:rsid w:val="314D4ABD"/>
    <w:rsid w:val="315C2DE1"/>
    <w:rsid w:val="315E40D3"/>
    <w:rsid w:val="31887229"/>
    <w:rsid w:val="319E151A"/>
    <w:rsid w:val="31AA159A"/>
    <w:rsid w:val="31B01250"/>
    <w:rsid w:val="31B4780C"/>
    <w:rsid w:val="31D41AC5"/>
    <w:rsid w:val="31D50659"/>
    <w:rsid w:val="31D82A49"/>
    <w:rsid w:val="31E03BFF"/>
    <w:rsid w:val="31EF1999"/>
    <w:rsid w:val="32226E5B"/>
    <w:rsid w:val="32293C29"/>
    <w:rsid w:val="323B5ECD"/>
    <w:rsid w:val="323D72B6"/>
    <w:rsid w:val="32580EF1"/>
    <w:rsid w:val="325D1F1B"/>
    <w:rsid w:val="326A3F98"/>
    <w:rsid w:val="3287113A"/>
    <w:rsid w:val="328F4738"/>
    <w:rsid w:val="3292714E"/>
    <w:rsid w:val="32A24F87"/>
    <w:rsid w:val="32A33633"/>
    <w:rsid w:val="32AB4CC2"/>
    <w:rsid w:val="32AC7A9A"/>
    <w:rsid w:val="32AE0393"/>
    <w:rsid w:val="32B3067D"/>
    <w:rsid w:val="32B63A15"/>
    <w:rsid w:val="32BF41B7"/>
    <w:rsid w:val="32CB7036"/>
    <w:rsid w:val="32CC566B"/>
    <w:rsid w:val="32D43D89"/>
    <w:rsid w:val="32DA2FD9"/>
    <w:rsid w:val="32DF3AF5"/>
    <w:rsid w:val="32F275C6"/>
    <w:rsid w:val="32F31909"/>
    <w:rsid w:val="331A22E9"/>
    <w:rsid w:val="333645BA"/>
    <w:rsid w:val="33452B88"/>
    <w:rsid w:val="33533C24"/>
    <w:rsid w:val="3355517E"/>
    <w:rsid w:val="338104C7"/>
    <w:rsid w:val="3381225E"/>
    <w:rsid w:val="338F77CA"/>
    <w:rsid w:val="33937454"/>
    <w:rsid w:val="339A5A82"/>
    <w:rsid w:val="33AE4964"/>
    <w:rsid w:val="33B072AA"/>
    <w:rsid w:val="33B1011C"/>
    <w:rsid w:val="33F47CD7"/>
    <w:rsid w:val="340A3BD2"/>
    <w:rsid w:val="34121504"/>
    <w:rsid w:val="34191149"/>
    <w:rsid w:val="342905C1"/>
    <w:rsid w:val="342A12EB"/>
    <w:rsid w:val="342F1912"/>
    <w:rsid w:val="34443CB4"/>
    <w:rsid w:val="34655220"/>
    <w:rsid w:val="34741727"/>
    <w:rsid w:val="349B1FD9"/>
    <w:rsid w:val="34B33C49"/>
    <w:rsid w:val="34D21D29"/>
    <w:rsid w:val="34EE41E3"/>
    <w:rsid w:val="34F02AC5"/>
    <w:rsid w:val="350F3F67"/>
    <w:rsid w:val="35424A23"/>
    <w:rsid w:val="354B2282"/>
    <w:rsid w:val="355B5572"/>
    <w:rsid w:val="355E5AB2"/>
    <w:rsid w:val="3567412A"/>
    <w:rsid w:val="35916BF3"/>
    <w:rsid w:val="35A673C7"/>
    <w:rsid w:val="35E54F87"/>
    <w:rsid w:val="361833CF"/>
    <w:rsid w:val="36545181"/>
    <w:rsid w:val="3655000B"/>
    <w:rsid w:val="3675181E"/>
    <w:rsid w:val="3675716E"/>
    <w:rsid w:val="369415EA"/>
    <w:rsid w:val="36A15DB2"/>
    <w:rsid w:val="37007D0E"/>
    <w:rsid w:val="37226E3B"/>
    <w:rsid w:val="37254AE4"/>
    <w:rsid w:val="372D0E40"/>
    <w:rsid w:val="372F5849"/>
    <w:rsid w:val="37304F0A"/>
    <w:rsid w:val="37605B21"/>
    <w:rsid w:val="37695060"/>
    <w:rsid w:val="37833C21"/>
    <w:rsid w:val="37A67F26"/>
    <w:rsid w:val="37BE3ED8"/>
    <w:rsid w:val="37C14CF7"/>
    <w:rsid w:val="37D8104A"/>
    <w:rsid w:val="37DC7B02"/>
    <w:rsid w:val="37FF027E"/>
    <w:rsid w:val="382C28DE"/>
    <w:rsid w:val="383325DD"/>
    <w:rsid w:val="383D71E0"/>
    <w:rsid w:val="383F3285"/>
    <w:rsid w:val="38493D9E"/>
    <w:rsid w:val="38497E9B"/>
    <w:rsid w:val="385549EF"/>
    <w:rsid w:val="38570528"/>
    <w:rsid w:val="38632E54"/>
    <w:rsid w:val="386D26A8"/>
    <w:rsid w:val="388E4436"/>
    <w:rsid w:val="3893344C"/>
    <w:rsid w:val="38A22D6C"/>
    <w:rsid w:val="38A57729"/>
    <w:rsid w:val="38AC5029"/>
    <w:rsid w:val="38C43EA7"/>
    <w:rsid w:val="38D71FBB"/>
    <w:rsid w:val="38DD0793"/>
    <w:rsid w:val="38E165DE"/>
    <w:rsid w:val="38EB3CA8"/>
    <w:rsid w:val="38F210CA"/>
    <w:rsid w:val="38FB0DFD"/>
    <w:rsid w:val="39001446"/>
    <w:rsid w:val="390138B8"/>
    <w:rsid w:val="3906711D"/>
    <w:rsid w:val="39082D10"/>
    <w:rsid w:val="391B3F77"/>
    <w:rsid w:val="39260D96"/>
    <w:rsid w:val="394B1A45"/>
    <w:rsid w:val="394D1ADD"/>
    <w:rsid w:val="39504E64"/>
    <w:rsid w:val="39585604"/>
    <w:rsid w:val="396107F2"/>
    <w:rsid w:val="396C40A3"/>
    <w:rsid w:val="396F573F"/>
    <w:rsid w:val="3975375B"/>
    <w:rsid w:val="397A67BC"/>
    <w:rsid w:val="397B107A"/>
    <w:rsid w:val="397D2517"/>
    <w:rsid w:val="397E23D1"/>
    <w:rsid w:val="399069DC"/>
    <w:rsid w:val="399D0ECB"/>
    <w:rsid w:val="39A644C8"/>
    <w:rsid w:val="39A7013F"/>
    <w:rsid w:val="39BA6974"/>
    <w:rsid w:val="39C13691"/>
    <w:rsid w:val="39C449EB"/>
    <w:rsid w:val="39C72AF5"/>
    <w:rsid w:val="39EC6568"/>
    <w:rsid w:val="39ED1EC0"/>
    <w:rsid w:val="39EF606B"/>
    <w:rsid w:val="3A093365"/>
    <w:rsid w:val="3A2169B7"/>
    <w:rsid w:val="3A3E5161"/>
    <w:rsid w:val="3A5417FA"/>
    <w:rsid w:val="3A553EAD"/>
    <w:rsid w:val="3A7146F9"/>
    <w:rsid w:val="3A833B96"/>
    <w:rsid w:val="3A8808AE"/>
    <w:rsid w:val="3A9E528B"/>
    <w:rsid w:val="3AAB15E5"/>
    <w:rsid w:val="3AC82B14"/>
    <w:rsid w:val="3ACE0F9D"/>
    <w:rsid w:val="3ADD6C7D"/>
    <w:rsid w:val="3AE70C4E"/>
    <w:rsid w:val="3AEB306A"/>
    <w:rsid w:val="3B194349"/>
    <w:rsid w:val="3B207F4D"/>
    <w:rsid w:val="3B53189A"/>
    <w:rsid w:val="3B5D7229"/>
    <w:rsid w:val="3B5E2D16"/>
    <w:rsid w:val="3B6641CB"/>
    <w:rsid w:val="3B722E2C"/>
    <w:rsid w:val="3B7B481D"/>
    <w:rsid w:val="3BAC025B"/>
    <w:rsid w:val="3BB30D96"/>
    <w:rsid w:val="3BC406E9"/>
    <w:rsid w:val="3BD26057"/>
    <w:rsid w:val="3BE22559"/>
    <w:rsid w:val="3BE6197A"/>
    <w:rsid w:val="3BFB10FA"/>
    <w:rsid w:val="3C11447D"/>
    <w:rsid w:val="3C4B381B"/>
    <w:rsid w:val="3C5B3B0E"/>
    <w:rsid w:val="3C6901CB"/>
    <w:rsid w:val="3C80713C"/>
    <w:rsid w:val="3C8B1696"/>
    <w:rsid w:val="3CBF7710"/>
    <w:rsid w:val="3CC15CEB"/>
    <w:rsid w:val="3CEA47F4"/>
    <w:rsid w:val="3CEF1289"/>
    <w:rsid w:val="3CF10868"/>
    <w:rsid w:val="3CFA00B9"/>
    <w:rsid w:val="3D1B0209"/>
    <w:rsid w:val="3D206588"/>
    <w:rsid w:val="3D2E04F7"/>
    <w:rsid w:val="3D334F0A"/>
    <w:rsid w:val="3D467A9E"/>
    <w:rsid w:val="3D4854AF"/>
    <w:rsid w:val="3D4F25D2"/>
    <w:rsid w:val="3D53299D"/>
    <w:rsid w:val="3D5F7B57"/>
    <w:rsid w:val="3D653F30"/>
    <w:rsid w:val="3D6E6DDA"/>
    <w:rsid w:val="3D6F625D"/>
    <w:rsid w:val="3D9A0342"/>
    <w:rsid w:val="3DAF5B73"/>
    <w:rsid w:val="3DB55D2A"/>
    <w:rsid w:val="3DBF3945"/>
    <w:rsid w:val="3DD4468A"/>
    <w:rsid w:val="3DE35825"/>
    <w:rsid w:val="3DF52EB2"/>
    <w:rsid w:val="3E060C60"/>
    <w:rsid w:val="3E153466"/>
    <w:rsid w:val="3E1F7DF5"/>
    <w:rsid w:val="3E2734CC"/>
    <w:rsid w:val="3E2972F7"/>
    <w:rsid w:val="3E332CE5"/>
    <w:rsid w:val="3E3A7C62"/>
    <w:rsid w:val="3E427FAC"/>
    <w:rsid w:val="3E4E36EE"/>
    <w:rsid w:val="3E5200BA"/>
    <w:rsid w:val="3E561B47"/>
    <w:rsid w:val="3E5A2521"/>
    <w:rsid w:val="3E7453E6"/>
    <w:rsid w:val="3E765D5B"/>
    <w:rsid w:val="3E777212"/>
    <w:rsid w:val="3E886AB6"/>
    <w:rsid w:val="3E8D1134"/>
    <w:rsid w:val="3E9D5104"/>
    <w:rsid w:val="3EA373AB"/>
    <w:rsid w:val="3EAC2FA2"/>
    <w:rsid w:val="3ECB37A2"/>
    <w:rsid w:val="3EF31439"/>
    <w:rsid w:val="3EFD2C32"/>
    <w:rsid w:val="3F18227F"/>
    <w:rsid w:val="3F1967B4"/>
    <w:rsid w:val="3F286CAD"/>
    <w:rsid w:val="3F302220"/>
    <w:rsid w:val="3F4D2C6A"/>
    <w:rsid w:val="3F5724F5"/>
    <w:rsid w:val="3F5900B0"/>
    <w:rsid w:val="3F91687B"/>
    <w:rsid w:val="3F9EAA0A"/>
    <w:rsid w:val="3FB4312C"/>
    <w:rsid w:val="3FEE44F8"/>
    <w:rsid w:val="40046EC0"/>
    <w:rsid w:val="400A1280"/>
    <w:rsid w:val="400B7E4E"/>
    <w:rsid w:val="400E744C"/>
    <w:rsid w:val="401D1FDE"/>
    <w:rsid w:val="40276F66"/>
    <w:rsid w:val="402D45F1"/>
    <w:rsid w:val="402E7379"/>
    <w:rsid w:val="403A3A3D"/>
    <w:rsid w:val="403D1B12"/>
    <w:rsid w:val="405D1878"/>
    <w:rsid w:val="40694B90"/>
    <w:rsid w:val="40852E1B"/>
    <w:rsid w:val="409A4D0E"/>
    <w:rsid w:val="409B4842"/>
    <w:rsid w:val="40A3334B"/>
    <w:rsid w:val="40A63869"/>
    <w:rsid w:val="40AA4E88"/>
    <w:rsid w:val="40BD3CDC"/>
    <w:rsid w:val="40D23B98"/>
    <w:rsid w:val="40DC264A"/>
    <w:rsid w:val="40E32EA9"/>
    <w:rsid w:val="40EE3E39"/>
    <w:rsid w:val="40F55BB6"/>
    <w:rsid w:val="4103304A"/>
    <w:rsid w:val="410F5D7E"/>
    <w:rsid w:val="41136FCE"/>
    <w:rsid w:val="4124483A"/>
    <w:rsid w:val="412F0561"/>
    <w:rsid w:val="4137423B"/>
    <w:rsid w:val="41377185"/>
    <w:rsid w:val="41435585"/>
    <w:rsid w:val="4148658E"/>
    <w:rsid w:val="414E20DF"/>
    <w:rsid w:val="41577E06"/>
    <w:rsid w:val="416E1F77"/>
    <w:rsid w:val="419A26B8"/>
    <w:rsid w:val="41A959FD"/>
    <w:rsid w:val="41BE337C"/>
    <w:rsid w:val="41BF0A83"/>
    <w:rsid w:val="41DB2F73"/>
    <w:rsid w:val="421414DA"/>
    <w:rsid w:val="421D4297"/>
    <w:rsid w:val="42211BD8"/>
    <w:rsid w:val="42232AE6"/>
    <w:rsid w:val="423066CC"/>
    <w:rsid w:val="428214E5"/>
    <w:rsid w:val="42B7525E"/>
    <w:rsid w:val="42BE2ABA"/>
    <w:rsid w:val="42D916E3"/>
    <w:rsid w:val="432C2D5C"/>
    <w:rsid w:val="434D7BD7"/>
    <w:rsid w:val="436960BF"/>
    <w:rsid w:val="437721FA"/>
    <w:rsid w:val="438213DF"/>
    <w:rsid w:val="43942623"/>
    <w:rsid w:val="43955FD9"/>
    <w:rsid w:val="43975CCF"/>
    <w:rsid w:val="439B30BE"/>
    <w:rsid w:val="43BA5ACA"/>
    <w:rsid w:val="43BE3EE7"/>
    <w:rsid w:val="43C74922"/>
    <w:rsid w:val="43D8037D"/>
    <w:rsid w:val="43DB182A"/>
    <w:rsid w:val="43EE0D1C"/>
    <w:rsid w:val="440E3480"/>
    <w:rsid w:val="4411593D"/>
    <w:rsid w:val="442941FA"/>
    <w:rsid w:val="443B5448"/>
    <w:rsid w:val="44557AE3"/>
    <w:rsid w:val="446D259D"/>
    <w:rsid w:val="44757121"/>
    <w:rsid w:val="448343D7"/>
    <w:rsid w:val="44841AB8"/>
    <w:rsid w:val="4487245A"/>
    <w:rsid w:val="44CE176E"/>
    <w:rsid w:val="44CF7D9E"/>
    <w:rsid w:val="44D0752C"/>
    <w:rsid w:val="44D55354"/>
    <w:rsid w:val="44E42919"/>
    <w:rsid w:val="44F27E98"/>
    <w:rsid w:val="4506083C"/>
    <w:rsid w:val="45083C8F"/>
    <w:rsid w:val="452806D0"/>
    <w:rsid w:val="452A2A3C"/>
    <w:rsid w:val="4537091F"/>
    <w:rsid w:val="453C13B9"/>
    <w:rsid w:val="454113CA"/>
    <w:rsid w:val="455737E6"/>
    <w:rsid w:val="45734268"/>
    <w:rsid w:val="45A31E14"/>
    <w:rsid w:val="45C53DF8"/>
    <w:rsid w:val="45E4254C"/>
    <w:rsid w:val="45E94354"/>
    <w:rsid w:val="45EF174A"/>
    <w:rsid w:val="45F7424A"/>
    <w:rsid w:val="461602BE"/>
    <w:rsid w:val="46322475"/>
    <w:rsid w:val="464412B5"/>
    <w:rsid w:val="46483D85"/>
    <w:rsid w:val="46523071"/>
    <w:rsid w:val="465D1D44"/>
    <w:rsid w:val="46707DEB"/>
    <w:rsid w:val="467D4565"/>
    <w:rsid w:val="46844285"/>
    <w:rsid w:val="4695732D"/>
    <w:rsid w:val="4697761C"/>
    <w:rsid w:val="46DF1D98"/>
    <w:rsid w:val="46E97CBE"/>
    <w:rsid w:val="46EF28F7"/>
    <w:rsid w:val="470A1F42"/>
    <w:rsid w:val="470C72B9"/>
    <w:rsid w:val="470E1971"/>
    <w:rsid w:val="470E3C57"/>
    <w:rsid w:val="47276A27"/>
    <w:rsid w:val="473F1975"/>
    <w:rsid w:val="47482812"/>
    <w:rsid w:val="474A2B6D"/>
    <w:rsid w:val="474E1856"/>
    <w:rsid w:val="47516B45"/>
    <w:rsid w:val="47524F39"/>
    <w:rsid w:val="47770E5D"/>
    <w:rsid w:val="477B308C"/>
    <w:rsid w:val="477B30D6"/>
    <w:rsid w:val="477E49E3"/>
    <w:rsid w:val="47927EA1"/>
    <w:rsid w:val="479938BC"/>
    <w:rsid w:val="47A346AF"/>
    <w:rsid w:val="47A80E9E"/>
    <w:rsid w:val="47CA7089"/>
    <w:rsid w:val="47DF0FE9"/>
    <w:rsid w:val="47F138CD"/>
    <w:rsid w:val="47F77D53"/>
    <w:rsid w:val="47FF1175"/>
    <w:rsid w:val="48034CF3"/>
    <w:rsid w:val="48091106"/>
    <w:rsid w:val="48142A06"/>
    <w:rsid w:val="481B4784"/>
    <w:rsid w:val="482F54EE"/>
    <w:rsid w:val="4842419D"/>
    <w:rsid w:val="48591FE1"/>
    <w:rsid w:val="48732678"/>
    <w:rsid w:val="487A5E9C"/>
    <w:rsid w:val="48834660"/>
    <w:rsid w:val="488357E6"/>
    <w:rsid w:val="488A3A27"/>
    <w:rsid w:val="489839F7"/>
    <w:rsid w:val="48AE2816"/>
    <w:rsid w:val="48BA4018"/>
    <w:rsid w:val="48BB2213"/>
    <w:rsid w:val="48BD16A5"/>
    <w:rsid w:val="48D16527"/>
    <w:rsid w:val="48E7455F"/>
    <w:rsid w:val="48ED3F13"/>
    <w:rsid w:val="48F27185"/>
    <w:rsid w:val="48F66D6A"/>
    <w:rsid w:val="49105CEA"/>
    <w:rsid w:val="491932D7"/>
    <w:rsid w:val="49435A6B"/>
    <w:rsid w:val="494871CB"/>
    <w:rsid w:val="4954201B"/>
    <w:rsid w:val="496E0C58"/>
    <w:rsid w:val="4998613A"/>
    <w:rsid w:val="49A12976"/>
    <w:rsid w:val="49AF409F"/>
    <w:rsid w:val="49BB2625"/>
    <w:rsid w:val="49E707C3"/>
    <w:rsid w:val="49F53C28"/>
    <w:rsid w:val="49F97C66"/>
    <w:rsid w:val="4A53788C"/>
    <w:rsid w:val="4A543FE7"/>
    <w:rsid w:val="4A5C1F7E"/>
    <w:rsid w:val="4A650107"/>
    <w:rsid w:val="4A721D99"/>
    <w:rsid w:val="4A8B7C91"/>
    <w:rsid w:val="4A8C0E9B"/>
    <w:rsid w:val="4A99732E"/>
    <w:rsid w:val="4AA767FF"/>
    <w:rsid w:val="4ACC23EF"/>
    <w:rsid w:val="4AD4495A"/>
    <w:rsid w:val="4AD71770"/>
    <w:rsid w:val="4AE570C1"/>
    <w:rsid w:val="4AEE2423"/>
    <w:rsid w:val="4AFC55B3"/>
    <w:rsid w:val="4B133E13"/>
    <w:rsid w:val="4B2116E7"/>
    <w:rsid w:val="4B3E7C92"/>
    <w:rsid w:val="4B407FD2"/>
    <w:rsid w:val="4B6408CE"/>
    <w:rsid w:val="4B6D5F82"/>
    <w:rsid w:val="4B804899"/>
    <w:rsid w:val="4B91295F"/>
    <w:rsid w:val="4B963CD8"/>
    <w:rsid w:val="4B983D96"/>
    <w:rsid w:val="4BAC7AFE"/>
    <w:rsid w:val="4BC93C9F"/>
    <w:rsid w:val="4BCA7E3D"/>
    <w:rsid w:val="4BF04F1E"/>
    <w:rsid w:val="4BFB48F0"/>
    <w:rsid w:val="4BFE6A9D"/>
    <w:rsid w:val="4C0D2B68"/>
    <w:rsid w:val="4C327894"/>
    <w:rsid w:val="4C3739FD"/>
    <w:rsid w:val="4C37674C"/>
    <w:rsid w:val="4C402EF8"/>
    <w:rsid w:val="4C4156C9"/>
    <w:rsid w:val="4C684837"/>
    <w:rsid w:val="4C6C2093"/>
    <w:rsid w:val="4CA46ECB"/>
    <w:rsid w:val="4CB464E8"/>
    <w:rsid w:val="4CBA4857"/>
    <w:rsid w:val="4CD4044D"/>
    <w:rsid w:val="4CDB75D1"/>
    <w:rsid w:val="4CE52E2A"/>
    <w:rsid w:val="4CF029F8"/>
    <w:rsid w:val="4CF43B9F"/>
    <w:rsid w:val="4CFB4836"/>
    <w:rsid w:val="4CFC0064"/>
    <w:rsid w:val="4D0364D8"/>
    <w:rsid w:val="4D157B6A"/>
    <w:rsid w:val="4D4974CF"/>
    <w:rsid w:val="4D4B699F"/>
    <w:rsid w:val="4D614DFE"/>
    <w:rsid w:val="4D674C3F"/>
    <w:rsid w:val="4D6B03ED"/>
    <w:rsid w:val="4D780CAC"/>
    <w:rsid w:val="4D7D0FA1"/>
    <w:rsid w:val="4D8636CE"/>
    <w:rsid w:val="4DA705C0"/>
    <w:rsid w:val="4DA73308"/>
    <w:rsid w:val="4DB83062"/>
    <w:rsid w:val="4DB97B2A"/>
    <w:rsid w:val="4DC22572"/>
    <w:rsid w:val="4DC4728F"/>
    <w:rsid w:val="4DC65124"/>
    <w:rsid w:val="4DCC00D7"/>
    <w:rsid w:val="4DD07652"/>
    <w:rsid w:val="4DD21924"/>
    <w:rsid w:val="4DD23069"/>
    <w:rsid w:val="4DE70529"/>
    <w:rsid w:val="4DFE42FC"/>
    <w:rsid w:val="4DFE7452"/>
    <w:rsid w:val="4E186A17"/>
    <w:rsid w:val="4E1F7905"/>
    <w:rsid w:val="4E3124CC"/>
    <w:rsid w:val="4E4914CB"/>
    <w:rsid w:val="4E4D0284"/>
    <w:rsid w:val="4E6C1A0F"/>
    <w:rsid w:val="4E957913"/>
    <w:rsid w:val="4EC42B17"/>
    <w:rsid w:val="4EF67AC5"/>
    <w:rsid w:val="4EF70D4B"/>
    <w:rsid w:val="4F153128"/>
    <w:rsid w:val="4F2247FC"/>
    <w:rsid w:val="4F251DE9"/>
    <w:rsid w:val="4F2525BB"/>
    <w:rsid w:val="4F4C6B99"/>
    <w:rsid w:val="4F53183D"/>
    <w:rsid w:val="4F544292"/>
    <w:rsid w:val="4F6076A3"/>
    <w:rsid w:val="4F92651F"/>
    <w:rsid w:val="4F975EDC"/>
    <w:rsid w:val="4FCE102E"/>
    <w:rsid w:val="4FD03A76"/>
    <w:rsid w:val="4FD74C95"/>
    <w:rsid w:val="4FE65048"/>
    <w:rsid w:val="4FF80F02"/>
    <w:rsid w:val="4FF95907"/>
    <w:rsid w:val="50094A28"/>
    <w:rsid w:val="500F6D33"/>
    <w:rsid w:val="50124EF4"/>
    <w:rsid w:val="502D7CA6"/>
    <w:rsid w:val="503A2FCF"/>
    <w:rsid w:val="50411E65"/>
    <w:rsid w:val="504A5A0A"/>
    <w:rsid w:val="504B787E"/>
    <w:rsid w:val="50694785"/>
    <w:rsid w:val="50770396"/>
    <w:rsid w:val="50875BEA"/>
    <w:rsid w:val="50974F88"/>
    <w:rsid w:val="50AC5EFB"/>
    <w:rsid w:val="50C24371"/>
    <w:rsid w:val="50CA257E"/>
    <w:rsid w:val="50D149EF"/>
    <w:rsid w:val="50E61C93"/>
    <w:rsid w:val="510B7344"/>
    <w:rsid w:val="512310DA"/>
    <w:rsid w:val="512E5B83"/>
    <w:rsid w:val="51345D3C"/>
    <w:rsid w:val="515526ED"/>
    <w:rsid w:val="51582B8E"/>
    <w:rsid w:val="515A49F2"/>
    <w:rsid w:val="516B533F"/>
    <w:rsid w:val="5170545A"/>
    <w:rsid w:val="51705511"/>
    <w:rsid w:val="517C457A"/>
    <w:rsid w:val="51A822CE"/>
    <w:rsid w:val="51B077A1"/>
    <w:rsid w:val="51C4705C"/>
    <w:rsid w:val="51D971B5"/>
    <w:rsid w:val="51DB4A30"/>
    <w:rsid w:val="520552BF"/>
    <w:rsid w:val="520E69DB"/>
    <w:rsid w:val="5211636C"/>
    <w:rsid w:val="522115E4"/>
    <w:rsid w:val="522D0876"/>
    <w:rsid w:val="522D4B2A"/>
    <w:rsid w:val="522F16D0"/>
    <w:rsid w:val="524B53AF"/>
    <w:rsid w:val="526A7086"/>
    <w:rsid w:val="52717667"/>
    <w:rsid w:val="52B9181E"/>
    <w:rsid w:val="52BF48D9"/>
    <w:rsid w:val="52F026E2"/>
    <w:rsid w:val="53030257"/>
    <w:rsid w:val="531A3387"/>
    <w:rsid w:val="532B7879"/>
    <w:rsid w:val="532F3CDD"/>
    <w:rsid w:val="533C5AB7"/>
    <w:rsid w:val="53545970"/>
    <w:rsid w:val="53552626"/>
    <w:rsid w:val="537A5ADF"/>
    <w:rsid w:val="5395086F"/>
    <w:rsid w:val="5398148D"/>
    <w:rsid w:val="539E4062"/>
    <w:rsid w:val="53BF50C3"/>
    <w:rsid w:val="53C508C9"/>
    <w:rsid w:val="53DE339D"/>
    <w:rsid w:val="53E15EAF"/>
    <w:rsid w:val="53E62961"/>
    <w:rsid w:val="53E82AEB"/>
    <w:rsid w:val="54025814"/>
    <w:rsid w:val="540779DA"/>
    <w:rsid w:val="542F598B"/>
    <w:rsid w:val="54301F82"/>
    <w:rsid w:val="5431301D"/>
    <w:rsid w:val="543E773F"/>
    <w:rsid w:val="54413194"/>
    <w:rsid w:val="54575A6A"/>
    <w:rsid w:val="545E04BA"/>
    <w:rsid w:val="546803D0"/>
    <w:rsid w:val="546C745A"/>
    <w:rsid w:val="547071AF"/>
    <w:rsid w:val="547B76B2"/>
    <w:rsid w:val="54805F79"/>
    <w:rsid w:val="548E761E"/>
    <w:rsid w:val="549B0D34"/>
    <w:rsid w:val="549E1B09"/>
    <w:rsid w:val="54A07079"/>
    <w:rsid w:val="54A93648"/>
    <w:rsid w:val="54EA1EF5"/>
    <w:rsid w:val="54ED5823"/>
    <w:rsid w:val="54F121C1"/>
    <w:rsid w:val="54F753D2"/>
    <w:rsid w:val="55044068"/>
    <w:rsid w:val="55093E03"/>
    <w:rsid w:val="5528380D"/>
    <w:rsid w:val="55412012"/>
    <w:rsid w:val="556709D9"/>
    <w:rsid w:val="55670E99"/>
    <w:rsid w:val="556A671B"/>
    <w:rsid w:val="55824191"/>
    <w:rsid w:val="55892E21"/>
    <w:rsid w:val="558D3976"/>
    <w:rsid w:val="55B60861"/>
    <w:rsid w:val="55CD5DDF"/>
    <w:rsid w:val="55D94235"/>
    <w:rsid w:val="55E97B72"/>
    <w:rsid w:val="55EB1E6E"/>
    <w:rsid w:val="56025542"/>
    <w:rsid w:val="560D16AE"/>
    <w:rsid w:val="56226537"/>
    <w:rsid w:val="563766CA"/>
    <w:rsid w:val="56457889"/>
    <w:rsid w:val="567207DB"/>
    <w:rsid w:val="568F6624"/>
    <w:rsid w:val="569A578E"/>
    <w:rsid w:val="56A53DD0"/>
    <w:rsid w:val="56A540A8"/>
    <w:rsid w:val="56A5684E"/>
    <w:rsid w:val="56AB0779"/>
    <w:rsid w:val="56D37D96"/>
    <w:rsid w:val="56D51FBD"/>
    <w:rsid w:val="56DC728F"/>
    <w:rsid w:val="56E84579"/>
    <w:rsid w:val="56FD19E2"/>
    <w:rsid w:val="57156022"/>
    <w:rsid w:val="572F3F2B"/>
    <w:rsid w:val="573719E0"/>
    <w:rsid w:val="57395D66"/>
    <w:rsid w:val="574E4242"/>
    <w:rsid w:val="575718A9"/>
    <w:rsid w:val="575D6507"/>
    <w:rsid w:val="57864A6A"/>
    <w:rsid w:val="57AA580D"/>
    <w:rsid w:val="57BD3E81"/>
    <w:rsid w:val="57BD4F53"/>
    <w:rsid w:val="57D15FAE"/>
    <w:rsid w:val="57D572C9"/>
    <w:rsid w:val="57E100FF"/>
    <w:rsid w:val="57FE66C0"/>
    <w:rsid w:val="580A20D9"/>
    <w:rsid w:val="580D6653"/>
    <w:rsid w:val="581B250D"/>
    <w:rsid w:val="582D74DA"/>
    <w:rsid w:val="58315FDF"/>
    <w:rsid w:val="583A79FC"/>
    <w:rsid w:val="58405511"/>
    <w:rsid w:val="586311EB"/>
    <w:rsid w:val="587972FC"/>
    <w:rsid w:val="58947CB6"/>
    <w:rsid w:val="589F145F"/>
    <w:rsid w:val="58AE1F34"/>
    <w:rsid w:val="58B0287E"/>
    <w:rsid w:val="58BA3F6A"/>
    <w:rsid w:val="58CB73BA"/>
    <w:rsid w:val="58CE3E52"/>
    <w:rsid w:val="58D20BBA"/>
    <w:rsid w:val="58E74E2A"/>
    <w:rsid w:val="59055F12"/>
    <w:rsid w:val="59164C2D"/>
    <w:rsid w:val="59203131"/>
    <w:rsid w:val="59362199"/>
    <w:rsid w:val="594E7651"/>
    <w:rsid w:val="59726A1E"/>
    <w:rsid w:val="59793E57"/>
    <w:rsid w:val="598528E3"/>
    <w:rsid w:val="59936DAA"/>
    <w:rsid w:val="599E1A69"/>
    <w:rsid w:val="59AB48C4"/>
    <w:rsid w:val="59D568CD"/>
    <w:rsid w:val="59EA2883"/>
    <w:rsid w:val="5A054A7F"/>
    <w:rsid w:val="5A090BF1"/>
    <w:rsid w:val="5A1423CA"/>
    <w:rsid w:val="5A3202E4"/>
    <w:rsid w:val="5A4745EF"/>
    <w:rsid w:val="5A5D1524"/>
    <w:rsid w:val="5A5D1EBC"/>
    <w:rsid w:val="5A857700"/>
    <w:rsid w:val="5A894E81"/>
    <w:rsid w:val="5A8F2AE9"/>
    <w:rsid w:val="5A9A1974"/>
    <w:rsid w:val="5AA0407F"/>
    <w:rsid w:val="5AC05F5D"/>
    <w:rsid w:val="5AE979E9"/>
    <w:rsid w:val="5AF00D5E"/>
    <w:rsid w:val="5AFE520C"/>
    <w:rsid w:val="5B021FC3"/>
    <w:rsid w:val="5B062A42"/>
    <w:rsid w:val="5B172F51"/>
    <w:rsid w:val="5B17798B"/>
    <w:rsid w:val="5B322F9F"/>
    <w:rsid w:val="5B4649BD"/>
    <w:rsid w:val="5B4F273B"/>
    <w:rsid w:val="5B5B028B"/>
    <w:rsid w:val="5B5B1317"/>
    <w:rsid w:val="5B681A23"/>
    <w:rsid w:val="5B6C0255"/>
    <w:rsid w:val="5B906583"/>
    <w:rsid w:val="5BD6567B"/>
    <w:rsid w:val="5BD806A0"/>
    <w:rsid w:val="5BE46345"/>
    <w:rsid w:val="5BEF738F"/>
    <w:rsid w:val="5C604F05"/>
    <w:rsid w:val="5C6A2725"/>
    <w:rsid w:val="5C9045D1"/>
    <w:rsid w:val="5CA8682D"/>
    <w:rsid w:val="5CBF1793"/>
    <w:rsid w:val="5CC119AD"/>
    <w:rsid w:val="5CC71F59"/>
    <w:rsid w:val="5CD554D0"/>
    <w:rsid w:val="5CD972FA"/>
    <w:rsid w:val="5CDA530B"/>
    <w:rsid w:val="5CEB6393"/>
    <w:rsid w:val="5CF47CDF"/>
    <w:rsid w:val="5CFD0BDD"/>
    <w:rsid w:val="5D002661"/>
    <w:rsid w:val="5D0D6CF1"/>
    <w:rsid w:val="5D195DDF"/>
    <w:rsid w:val="5D6A2360"/>
    <w:rsid w:val="5D882C2D"/>
    <w:rsid w:val="5D895DBA"/>
    <w:rsid w:val="5D9E3141"/>
    <w:rsid w:val="5DB06C95"/>
    <w:rsid w:val="5DC13578"/>
    <w:rsid w:val="5DF062BC"/>
    <w:rsid w:val="5DFA110F"/>
    <w:rsid w:val="5E012612"/>
    <w:rsid w:val="5E0234BE"/>
    <w:rsid w:val="5E034832"/>
    <w:rsid w:val="5E126EA5"/>
    <w:rsid w:val="5E2067BD"/>
    <w:rsid w:val="5E572965"/>
    <w:rsid w:val="5E5F77F5"/>
    <w:rsid w:val="5E8C0957"/>
    <w:rsid w:val="5E9B019D"/>
    <w:rsid w:val="5EA37244"/>
    <w:rsid w:val="5EA64340"/>
    <w:rsid w:val="5EA85233"/>
    <w:rsid w:val="5EB01451"/>
    <w:rsid w:val="5EC43601"/>
    <w:rsid w:val="5EDA0C11"/>
    <w:rsid w:val="5EDA6E62"/>
    <w:rsid w:val="5EE35EFB"/>
    <w:rsid w:val="5EF23576"/>
    <w:rsid w:val="5EF6305A"/>
    <w:rsid w:val="5EFC1D2C"/>
    <w:rsid w:val="5F1B0EB7"/>
    <w:rsid w:val="5F2E71ED"/>
    <w:rsid w:val="5F300A70"/>
    <w:rsid w:val="5F4D78F2"/>
    <w:rsid w:val="5F4F3476"/>
    <w:rsid w:val="5F792DF3"/>
    <w:rsid w:val="5F9C24FE"/>
    <w:rsid w:val="5F9C3B39"/>
    <w:rsid w:val="5FA03326"/>
    <w:rsid w:val="5FA5054E"/>
    <w:rsid w:val="5FB93819"/>
    <w:rsid w:val="5FE866DE"/>
    <w:rsid w:val="5FF45EE1"/>
    <w:rsid w:val="60052333"/>
    <w:rsid w:val="6023412D"/>
    <w:rsid w:val="60343290"/>
    <w:rsid w:val="6039074B"/>
    <w:rsid w:val="6051618E"/>
    <w:rsid w:val="605A4CCE"/>
    <w:rsid w:val="605B09C6"/>
    <w:rsid w:val="60681293"/>
    <w:rsid w:val="607720F7"/>
    <w:rsid w:val="60796DD0"/>
    <w:rsid w:val="607A3718"/>
    <w:rsid w:val="6097232E"/>
    <w:rsid w:val="60C04A5F"/>
    <w:rsid w:val="60E06AC9"/>
    <w:rsid w:val="60E333F5"/>
    <w:rsid w:val="60E571F8"/>
    <w:rsid w:val="60EA1D63"/>
    <w:rsid w:val="60EF7ABB"/>
    <w:rsid w:val="611C5706"/>
    <w:rsid w:val="612D5F70"/>
    <w:rsid w:val="613F6E41"/>
    <w:rsid w:val="614C4E9B"/>
    <w:rsid w:val="616B3761"/>
    <w:rsid w:val="61757B3F"/>
    <w:rsid w:val="618006B8"/>
    <w:rsid w:val="619A46BF"/>
    <w:rsid w:val="61B07794"/>
    <w:rsid w:val="61B830DB"/>
    <w:rsid w:val="61BE2DA9"/>
    <w:rsid w:val="61D02A09"/>
    <w:rsid w:val="61D05535"/>
    <w:rsid w:val="61D41134"/>
    <w:rsid w:val="61D5096F"/>
    <w:rsid w:val="61DA4917"/>
    <w:rsid w:val="61F839E1"/>
    <w:rsid w:val="6213626C"/>
    <w:rsid w:val="62230CEE"/>
    <w:rsid w:val="622C0E13"/>
    <w:rsid w:val="62466FAA"/>
    <w:rsid w:val="626F050F"/>
    <w:rsid w:val="627C315C"/>
    <w:rsid w:val="62AC0E4A"/>
    <w:rsid w:val="62B7537B"/>
    <w:rsid w:val="62BD0ECF"/>
    <w:rsid w:val="62C5554E"/>
    <w:rsid w:val="62C95D4B"/>
    <w:rsid w:val="62D13D2D"/>
    <w:rsid w:val="62DF7C44"/>
    <w:rsid w:val="62E922FF"/>
    <w:rsid w:val="62F700E5"/>
    <w:rsid w:val="63004DB7"/>
    <w:rsid w:val="63126AB2"/>
    <w:rsid w:val="631422FF"/>
    <w:rsid w:val="633468C0"/>
    <w:rsid w:val="635150A4"/>
    <w:rsid w:val="636430E2"/>
    <w:rsid w:val="639D2C35"/>
    <w:rsid w:val="63CE78A9"/>
    <w:rsid w:val="63DB1AB7"/>
    <w:rsid w:val="63EF40A2"/>
    <w:rsid w:val="6400043D"/>
    <w:rsid w:val="64090EE3"/>
    <w:rsid w:val="640E41A2"/>
    <w:rsid w:val="641B246E"/>
    <w:rsid w:val="642C30A6"/>
    <w:rsid w:val="64402C98"/>
    <w:rsid w:val="64440BFD"/>
    <w:rsid w:val="64645854"/>
    <w:rsid w:val="647D4D3E"/>
    <w:rsid w:val="647F7932"/>
    <w:rsid w:val="648870D3"/>
    <w:rsid w:val="64AF1CA0"/>
    <w:rsid w:val="64B36CD8"/>
    <w:rsid w:val="64CB4D84"/>
    <w:rsid w:val="64E1434E"/>
    <w:rsid w:val="64E4072C"/>
    <w:rsid w:val="64E411F4"/>
    <w:rsid w:val="64E673CE"/>
    <w:rsid w:val="64EE6C12"/>
    <w:rsid w:val="64FD6DFB"/>
    <w:rsid w:val="65130ECC"/>
    <w:rsid w:val="65180331"/>
    <w:rsid w:val="65275101"/>
    <w:rsid w:val="65442A0E"/>
    <w:rsid w:val="65444528"/>
    <w:rsid w:val="657A1164"/>
    <w:rsid w:val="65833E94"/>
    <w:rsid w:val="659523E0"/>
    <w:rsid w:val="65A107E3"/>
    <w:rsid w:val="65B16FA2"/>
    <w:rsid w:val="65BD0B25"/>
    <w:rsid w:val="65BD5E24"/>
    <w:rsid w:val="65C1466A"/>
    <w:rsid w:val="65C854C3"/>
    <w:rsid w:val="65E949B1"/>
    <w:rsid w:val="65EF05CC"/>
    <w:rsid w:val="65F31E1F"/>
    <w:rsid w:val="65F823FA"/>
    <w:rsid w:val="65FD070B"/>
    <w:rsid w:val="65FE7174"/>
    <w:rsid w:val="66163463"/>
    <w:rsid w:val="661B4C16"/>
    <w:rsid w:val="66384517"/>
    <w:rsid w:val="663C43BF"/>
    <w:rsid w:val="66467DC3"/>
    <w:rsid w:val="66492156"/>
    <w:rsid w:val="66754F1F"/>
    <w:rsid w:val="6679136E"/>
    <w:rsid w:val="668B1A71"/>
    <w:rsid w:val="668F1B3D"/>
    <w:rsid w:val="66916FB0"/>
    <w:rsid w:val="66A2455B"/>
    <w:rsid w:val="66A77AAA"/>
    <w:rsid w:val="66C00473"/>
    <w:rsid w:val="66E456F2"/>
    <w:rsid w:val="66E8453C"/>
    <w:rsid w:val="66ED1728"/>
    <w:rsid w:val="66F81CA3"/>
    <w:rsid w:val="66F976C9"/>
    <w:rsid w:val="67087F14"/>
    <w:rsid w:val="670B55B9"/>
    <w:rsid w:val="671516C0"/>
    <w:rsid w:val="6733207A"/>
    <w:rsid w:val="673715B2"/>
    <w:rsid w:val="673C207D"/>
    <w:rsid w:val="67476345"/>
    <w:rsid w:val="674B6552"/>
    <w:rsid w:val="676B762D"/>
    <w:rsid w:val="67702DE7"/>
    <w:rsid w:val="67710DDC"/>
    <w:rsid w:val="6784792A"/>
    <w:rsid w:val="67851B01"/>
    <w:rsid w:val="67AC3607"/>
    <w:rsid w:val="67C17CF6"/>
    <w:rsid w:val="67FD4CE8"/>
    <w:rsid w:val="6818031E"/>
    <w:rsid w:val="682C10FB"/>
    <w:rsid w:val="682F737F"/>
    <w:rsid w:val="68303612"/>
    <w:rsid w:val="683341A6"/>
    <w:rsid w:val="684626D0"/>
    <w:rsid w:val="68641A8A"/>
    <w:rsid w:val="687328E3"/>
    <w:rsid w:val="688616E7"/>
    <w:rsid w:val="6888597E"/>
    <w:rsid w:val="688B1CCD"/>
    <w:rsid w:val="6896379E"/>
    <w:rsid w:val="689C49E5"/>
    <w:rsid w:val="689F6D7E"/>
    <w:rsid w:val="68A44D04"/>
    <w:rsid w:val="68B1775B"/>
    <w:rsid w:val="68B8217D"/>
    <w:rsid w:val="68C464B2"/>
    <w:rsid w:val="68D45353"/>
    <w:rsid w:val="68D728F3"/>
    <w:rsid w:val="68E54ECB"/>
    <w:rsid w:val="68FC4402"/>
    <w:rsid w:val="69186C02"/>
    <w:rsid w:val="691A686A"/>
    <w:rsid w:val="694D2E42"/>
    <w:rsid w:val="694E3977"/>
    <w:rsid w:val="69504BEC"/>
    <w:rsid w:val="695178BE"/>
    <w:rsid w:val="69533083"/>
    <w:rsid w:val="69594834"/>
    <w:rsid w:val="695F0789"/>
    <w:rsid w:val="6961275B"/>
    <w:rsid w:val="69690535"/>
    <w:rsid w:val="696A4111"/>
    <w:rsid w:val="697019E9"/>
    <w:rsid w:val="69751111"/>
    <w:rsid w:val="698C4033"/>
    <w:rsid w:val="69947CF7"/>
    <w:rsid w:val="699A661E"/>
    <w:rsid w:val="69B64688"/>
    <w:rsid w:val="69C06DA4"/>
    <w:rsid w:val="69C36C52"/>
    <w:rsid w:val="69CB29A7"/>
    <w:rsid w:val="69D52EE6"/>
    <w:rsid w:val="69D60EA0"/>
    <w:rsid w:val="69DF1260"/>
    <w:rsid w:val="6A0868E3"/>
    <w:rsid w:val="6A2A2204"/>
    <w:rsid w:val="6A394C98"/>
    <w:rsid w:val="6A48226F"/>
    <w:rsid w:val="6A526284"/>
    <w:rsid w:val="6A5B5026"/>
    <w:rsid w:val="6A6B6FD6"/>
    <w:rsid w:val="6A7011ED"/>
    <w:rsid w:val="6A8E2429"/>
    <w:rsid w:val="6A983176"/>
    <w:rsid w:val="6AA91536"/>
    <w:rsid w:val="6AAA1959"/>
    <w:rsid w:val="6AAB0D67"/>
    <w:rsid w:val="6AB55CF9"/>
    <w:rsid w:val="6ABB1A82"/>
    <w:rsid w:val="6ACC5AFB"/>
    <w:rsid w:val="6AD2649C"/>
    <w:rsid w:val="6AEB05F0"/>
    <w:rsid w:val="6B075F91"/>
    <w:rsid w:val="6B1F53B8"/>
    <w:rsid w:val="6B29102F"/>
    <w:rsid w:val="6B2C5019"/>
    <w:rsid w:val="6B3A646D"/>
    <w:rsid w:val="6B446E2F"/>
    <w:rsid w:val="6B4E4463"/>
    <w:rsid w:val="6B64426F"/>
    <w:rsid w:val="6B77154A"/>
    <w:rsid w:val="6B842464"/>
    <w:rsid w:val="6B877CFE"/>
    <w:rsid w:val="6B8F67A0"/>
    <w:rsid w:val="6B9A1D68"/>
    <w:rsid w:val="6B9E6568"/>
    <w:rsid w:val="6BAA0F30"/>
    <w:rsid w:val="6BB12B77"/>
    <w:rsid w:val="6BB76CFC"/>
    <w:rsid w:val="6BB84908"/>
    <w:rsid w:val="6BC114F5"/>
    <w:rsid w:val="6BCC5097"/>
    <w:rsid w:val="6BD266D4"/>
    <w:rsid w:val="6BFA1468"/>
    <w:rsid w:val="6C052538"/>
    <w:rsid w:val="6C07382B"/>
    <w:rsid w:val="6C117421"/>
    <w:rsid w:val="6C182406"/>
    <w:rsid w:val="6C1A5B44"/>
    <w:rsid w:val="6C3036D1"/>
    <w:rsid w:val="6C3B0F05"/>
    <w:rsid w:val="6C444907"/>
    <w:rsid w:val="6C59594E"/>
    <w:rsid w:val="6C5E3C00"/>
    <w:rsid w:val="6C5F4C6B"/>
    <w:rsid w:val="6C6334DF"/>
    <w:rsid w:val="6C7B33FC"/>
    <w:rsid w:val="6C9B7215"/>
    <w:rsid w:val="6CCC6FA8"/>
    <w:rsid w:val="6CD12B83"/>
    <w:rsid w:val="6CFE4490"/>
    <w:rsid w:val="6D1143E7"/>
    <w:rsid w:val="6D195018"/>
    <w:rsid w:val="6D3121E9"/>
    <w:rsid w:val="6D363142"/>
    <w:rsid w:val="6D606737"/>
    <w:rsid w:val="6D631AAB"/>
    <w:rsid w:val="6D666D8D"/>
    <w:rsid w:val="6D7637BA"/>
    <w:rsid w:val="6D7C5EBB"/>
    <w:rsid w:val="6D8F5AFD"/>
    <w:rsid w:val="6DB656FB"/>
    <w:rsid w:val="6DB92B67"/>
    <w:rsid w:val="6DCB686A"/>
    <w:rsid w:val="6DFA735B"/>
    <w:rsid w:val="6E035C3B"/>
    <w:rsid w:val="6E151B59"/>
    <w:rsid w:val="6E3F2C21"/>
    <w:rsid w:val="6E4713C7"/>
    <w:rsid w:val="6E527C71"/>
    <w:rsid w:val="6E73798B"/>
    <w:rsid w:val="6E82717F"/>
    <w:rsid w:val="6E9138BB"/>
    <w:rsid w:val="6E9D0F2C"/>
    <w:rsid w:val="6EB30EE5"/>
    <w:rsid w:val="6EBC44C5"/>
    <w:rsid w:val="6EC24D81"/>
    <w:rsid w:val="6EC31A4E"/>
    <w:rsid w:val="6EDB71D0"/>
    <w:rsid w:val="6EDE4C3D"/>
    <w:rsid w:val="6EE9295F"/>
    <w:rsid w:val="6EFF209A"/>
    <w:rsid w:val="6F2843C0"/>
    <w:rsid w:val="6F466215"/>
    <w:rsid w:val="6F4A04E9"/>
    <w:rsid w:val="6F4B0815"/>
    <w:rsid w:val="6F5666F4"/>
    <w:rsid w:val="6F5A1774"/>
    <w:rsid w:val="6F639F04"/>
    <w:rsid w:val="6F683F24"/>
    <w:rsid w:val="6F7E45C1"/>
    <w:rsid w:val="6F7E75FA"/>
    <w:rsid w:val="6F886BAD"/>
    <w:rsid w:val="6F9F54A1"/>
    <w:rsid w:val="6FB2229D"/>
    <w:rsid w:val="6FB24A8C"/>
    <w:rsid w:val="6FC723D3"/>
    <w:rsid w:val="6FCE262B"/>
    <w:rsid w:val="6FD22E10"/>
    <w:rsid w:val="6FDA00D5"/>
    <w:rsid w:val="6FEC46B8"/>
    <w:rsid w:val="6FF4707B"/>
    <w:rsid w:val="6FFE4842"/>
    <w:rsid w:val="70077C23"/>
    <w:rsid w:val="700C3D24"/>
    <w:rsid w:val="70127673"/>
    <w:rsid w:val="7014604B"/>
    <w:rsid w:val="7021755C"/>
    <w:rsid w:val="70303D67"/>
    <w:rsid w:val="70367073"/>
    <w:rsid w:val="7057435D"/>
    <w:rsid w:val="705743D0"/>
    <w:rsid w:val="706C0FB1"/>
    <w:rsid w:val="709E7927"/>
    <w:rsid w:val="70B00999"/>
    <w:rsid w:val="70C7791E"/>
    <w:rsid w:val="70CE77CB"/>
    <w:rsid w:val="70CF24D8"/>
    <w:rsid w:val="70D35634"/>
    <w:rsid w:val="70E51DF5"/>
    <w:rsid w:val="70E90CEB"/>
    <w:rsid w:val="71232D7B"/>
    <w:rsid w:val="712E0A45"/>
    <w:rsid w:val="713608BC"/>
    <w:rsid w:val="713A43E5"/>
    <w:rsid w:val="71524DB2"/>
    <w:rsid w:val="715361F0"/>
    <w:rsid w:val="71730A3F"/>
    <w:rsid w:val="71740D49"/>
    <w:rsid w:val="718007B6"/>
    <w:rsid w:val="7186640A"/>
    <w:rsid w:val="718B3AF0"/>
    <w:rsid w:val="71A115D8"/>
    <w:rsid w:val="71B220EC"/>
    <w:rsid w:val="71B50473"/>
    <w:rsid w:val="71CE68FC"/>
    <w:rsid w:val="71D95E83"/>
    <w:rsid w:val="71E53279"/>
    <w:rsid w:val="71F11C03"/>
    <w:rsid w:val="71FD26C6"/>
    <w:rsid w:val="720D0A50"/>
    <w:rsid w:val="720E68E8"/>
    <w:rsid w:val="720F337A"/>
    <w:rsid w:val="72141791"/>
    <w:rsid w:val="721D6BEC"/>
    <w:rsid w:val="7264263D"/>
    <w:rsid w:val="726F28D5"/>
    <w:rsid w:val="728E29B8"/>
    <w:rsid w:val="72906F0C"/>
    <w:rsid w:val="72A16C2B"/>
    <w:rsid w:val="72BA05C8"/>
    <w:rsid w:val="72E66630"/>
    <w:rsid w:val="72F46DC0"/>
    <w:rsid w:val="72FA71CD"/>
    <w:rsid w:val="72FD422F"/>
    <w:rsid w:val="730A457E"/>
    <w:rsid w:val="731C778E"/>
    <w:rsid w:val="732844FB"/>
    <w:rsid w:val="7341463F"/>
    <w:rsid w:val="73444796"/>
    <w:rsid w:val="736B0BB3"/>
    <w:rsid w:val="7378677C"/>
    <w:rsid w:val="73795447"/>
    <w:rsid w:val="737C4313"/>
    <w:rsid w:val="739A6A95"/>
    <w:rsid w:val="73A5339E"/>
    <w:rsid w:val="73CB3A69"/>
    <w:rsid w:val="73F5281E"/>
    <w:rsid w:val="740B57A9"/>
    <w:rsid w:val="741C6F88"/>
    <w:rsid w:val="741F76B9"/>
    <w:rsid w:val="742E4C32"/>
    <w:rsid w:val="74547C10"/>
    <w:rsid w:val="74556C34"/>
    <w:rsid w:val="745C137F"/>
    <w:rsid w:val="746863B8"/>
    <w:rsid w:val="748422F4"/>
    <w:rsid w:val="74AF4258"/>
    <w:rsid w:val="74C20582"/>
    <w:rsid w:val="75157CE3"/>
    <w:rsid w:val="75176C90"/>
    <w:rsid w:val="753E3843"/>
    <w:rsid w:val="75480692"/>
    <w:rsid w:val="754C4577"/>
    <w:rsid w:val="75555962"/>
    <w:rsid w:val="7579054B"/>
    <w:rsid w:val="75882579"/>
    <w:rsid w:val="758A4D06"/>
    <w:rsid w:val="758D5686"/>
    <w:rsid w:val="75901A60"/>
    <w:rsid w:val="75B0109F"/>
    <w:rsid w:val="75D701FF"/>
    <w:rsid w:val="75DD78B7"/>
    <w:rsid w:val="75EA046A"/>
    <w:rsid w:val="75EC13CB"/>
    <w:rsid w:val="75EE773F"/>
    <w:rsid w:val="76057B8C"/>
    <w:rsid w:val="760A0E58"/>
    <w:rsid w:val="76121ADE"/>
    <w:rsid w:val="761A4A00"/>
    <w:rsid w:val="76246637"/>
    <w:rsid w:val="76274EA3"/>
    <w:rsid w:val="762F1D9E"/>
    <w:rsid w:val="763033E0"/>
    <w:rsid w:val="7633007F"/>
    <w:rsid w:val="763E322C"/>
    <w:rsid w:val="7641405B"/>
    <w:rsid w:val="76753BFE"/>
    <w:rsid w:val="768022A1"/>
    <w:rsid w:val="76813949"/>
    <w:rsid w:val="768F60AE"/>
    <w:rsid w:val="7699619B"/>
    <w:rsid w:val="76A55DCC"/>
    <w:rsid w:val="76A57121"/>
    <w:rsid w:val="76D01A1A"/>
    <w:rsid w:val="76D67EBE"/>
    <w:rsid w:val="76E45B48"/>
    <w:rsid w:val="76EE0054"/>
    <w:rsid w:val="76F72150"/>
    <w:rsid w:val="76FC1956"/>
    <w:rsid w:val="77075F0F"/>
    <w:rsid w:val="77220050"/>
    <w:rsid w:val="777051E5"/>
    <w:rsid w:val="77823BC5"/>
    <w:rsid w:val="77A1697E"/>
    <w:rsid w:val="77AA3F00"/>
    <w:rsid w:val="77B1047F"/>
    <w:rsid w:val="77D35651"/>
    <w:rsid w:val="77F606CB"/>
    <w:rsid w:val="78012553"/>
    <w:rsid w:val="780548C3"/>
    <w:rsid w:val="78360182"/>
    <w:rsid w:val="784679AE"/>
    <w:rsid w:val="784D2BE9"/>
    <w:rsid w:val="784E492A"/>
    <w:rsid w:val="7852113A"/>
    <w:rsid w:val="786C3185"/>
    <w:rsid w:val="78733681"/>
    <w:rsid w:val="78932611"/>
    <w:rsid w:val="78967437"/>
    <w:rsid w:val="78A301EA"/>
    <w:rsid w:val="78CA3D09"/>
    <w:rsid w:val="78D01756"/>
    <w:rsid w:val="78D017E8"/>
    <w:rsid w:val="78D30E6A"/>
    <w:rsid w:val="78D444D9"/>
    <w:rsid w:val="78DC392C"/>
    <w:rsid w:val="78FA2A7C"/>
    <w:rsid w:val="791511D6"/>
    <w:rsid w:val="791F0EDB"/>
    <w:rsid w:val="796A19B9"/>
    <w:rsid w:val="7972276B"/>
    <w:rsid w:val="797230B5"/>
    <w:rsid w:val="797C33D6"/>
    <w:rsid w:val="7984104E"/>
    <w:rsid w:val="798603DE"/>
    <w:rsid w:val="79863FCF"/>
    <w:rsid w:val="798B5CBC"/>
    <w:rsid w:val="79C362BE"/>
    <w:rsid w:val="79C8365D"/>
    <w:rsid w:val="79DF2F48"/>
    <w:rsid w:val="79E06E67"/>
    <w:rsid w:val="79E565E1"/>
    <w:rsid w:val="79EC37FE"/>
    <w:rsid w:val="79F8409C"/>
    <w:rsid w:val="7A2A38DC"/>
    <w:rsid w:val="7A4D7C4A"/>
    <w:rsid w:val="7A6450C6"/>
    <w:rsid w:val="7A6D127C"/>
    <w:rsid w:val="7A7B0C39"/>
    <w:rsid w:val="7A8D776A"/>
    <w:rsid w:val="7A9233DC"/>
    <w:rsid w:val="7A9B4E84"/>
    <w:rsid w:val="7ABA4EC2"/>
    <w:rsid w:val="7AC47EA3"/>
    <w:rsid w:val="7AD31F39"/>
    <w:rsid w:val="7AF55A3F"/>
    <w:rsid w:val="7B084759"/>
    <w:rsid w:val="7B151AA0"/>
    <w:rsid w:val="7B26412C"/>
    <w:rsid w:val="7B2816F6"/>
    <w:rsid w:val="7B2C1B93"/>
    <w:rsid w:val="7B3073B4"/>
    <w:rsid w:val="7B3462E8"/>
    <w:rsid w:val="7B372CB3"/>
    <w:rsid w:val="7B486E5A"/>
    <w:rsid w:val="7B6860C1"/>
    <w:rsid w:val="7B6F6D6A"/>
    <w:rsid w:val="7B945757"/>
    <w:rsid w:val="7BA26864"/>
    <w:rsid w:val="7BAB128B"/>
    <w:rsid w:val="7BBB4C2F"/>
    <w:rsid w:val="7BC01E11"/>
    <w:rsid w:val="7BD40D31"/>
    <w:rsid w:val="7BE356B3"/>
    <w:rsid w:val="7BE71584"/>
    <w:rsid w:val="7BE91F08"/>
    <w:rsid w:val="7BE93035"/>
    <w:rsid w:val="7C0C7393"/>
    <w:rsid w:val="7C0E12FE"/>
    <w:rsid w:val="7C264BEE"/>
    <w:rsid w:val="7C5B180B"/>
    <w:rsid w:val="7C5C5CE7"/>
    <w:rsid w:val="7C734949"/>
    <w:rsid w:val="7C8515D4"/>
    <w:rsid w:val="7C8658DD"/>
    <w:rsid w:val="7C905D31"/>
    <w:rsid w:val="7C994E1C"/>
    <w:rsid w:val="7C9B30AA"/>
    <w:rsid w:val="7CA3371E"/>
    <w:rsid w:val="7CA51357"/>
    <w:rsid w:val="7CAB3647"/>
    <w:rsid w:val="7CBB6140"/>
    <w:rsid w:val="7CCD6E53"/>
    <w:rsid w:val="7CCF34DD"/>
    <w:rsid w:val="7CD36236"/>
    <w:rsid w:val="7CDA4481"/>
    <w:rsid w:val="7CDF2CFA"/>
    <w:rsid w:val="7CE41D33"/>
    <w:rsid w:val="7CE84EDE"/>
    <w:rsid w:val="7CEA57AA"/>
    <w:rsid w:val="7D1B2D2D"/>
    <w:rsid w:val="7D207BAC"/>
    <w:rsid w:val="7D260FD3"/>
    <w:rsid w:val="7D2C7BDB"/>
    <w:rsid w:val="7D3C24BA"/>
    <w:rsid w:val="7D492273"/>
    <w:rsid w:val="7D5103A4"/>
    <w:rsid w:val="7D5235C3"/>
    <w:rsid w:val="7D585D94"/>
    <w:rsid w:val="7D59011F"/>
    <w:rsid w:val="7D7C6B17"/>
    <w:rsid w:val="7D802C27"/>
    <w:rsid w:val="7D8170A6"/>
    <w:rsid w:val="7D8F6D0E"/>
    <w:rsid w:val="7D907725"/>
    <w:rsid w:val="7D944814"/>
    <w:rsid w:val="7D961D87"/>
    <w:rsid w:val="7D9E3BA1"/>
    <w:rsid w:val="7DA61CFF"/>
    <w:rsid w:val="7DD8634A"/>
    <w:rsid w:val="7DDE6762"/>
    <w:rsid w:val="7DF26D7A"/>
    <w:rsid w:val="7DF756DC"/>
    <w:rsid w:val="7E0D5873"/>
    <w:rsid w:val="7E1C752A"/>
    <w:rsid w:val="7E241668"/>
    <w:rsid w:val="7E3F217F"/>
    <w:rsid w:val="7E6E01F6"/>
    <w:rsid w:val="7E7BA341"/>
    <w:rsid w:val="7EA603C1"/>
    <w:rsid w:val="7EC57C49"/>
    <w:rsid w:val="7ECB3BCF"/>
    <w:rsid w:val="7ECD6F4E"/>
    <w:rsid w:val="7ECF5B1E"/>
    <w:rsid w:val="7ED4182E"/>
    <w:rsid w:val="7EE27C3F"/>
    <w:rsid w:val="7EFE7290"/>
    <w:rsid w:val="7F6D0E07"/>
    <w:rsid w:val="7F6D7AA1"/>
    <w:rsid w:val="7F9B07F1"/>
    <w:rsid w:val="7FA956DF"/>
    <w:rsid w:val="7FBD0137"/>
    <w:rsid w:val="7FC3349E"/>
    <w:rsid w:val="7FC920C1"/>
    <w:rsid w:val="7FC92DA5"/>
    <w:rsid w:val="7FD21A22"/>
    <w:rsid w:val="7FD655B3"/>
    <w:rsid w:val="7FDE558C"/>
    <w:rsid w:val="7FE3C5BA"/>
    <w:rsid w:val="7FEF7538"/>
    <w:rsid w:val="7FF53C06"/>
    <w:rsid w:val="7FF73CE3"/>
    <w:rsid w:val="A8BE6B72"/>
    <w:rsid w:val="BECE75C2"/>
    <w:rsid w:val="FDFFDC36"/>
    <w:rsid w:val="FF7FFDA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qFormat/>
    <w:uiPriority w:val="0"/>
    <w:pPr>
      <w:spacing w:before="340" w:after="330" w:line="576" w:lineRule="auto"/>
      <w:outlineLvl w:val="0"/>
    </w:pPr>
    <w:rPr>
      <w:b/>
      <w:sz w:val="44"/>
    </w:rPr>
  </w:style>
  <w:style w:type="paragraph" w:styleId="4">
    <w:name w:val="heading 2"/>
    <w:basedOn w:val="1"/>
    <w:next w:val="1"/>
    <w:qFormat/>
    <w:uiPriority w:val="0"/>
    <w:pPr>
      <w:spacing w:before="260" w:after="260" w:line="415" w:lineRule="auto"/>
      <w:outlineLvl w:val="1"/>
    </w:pPr>
    <w:rPr>
      <w:rFonts w:ascii="Arial" w:eastAsia="黑体"/>
      <w:b/>
      <w:sz w:val="32"/>
    </w:rPr>
  </w:style>
  <w:style w:type="paragraph" w:styleId="5">
    <w:name w:val="heading 3"/>
    <w:basedOn w:val="1"/>
    <w:next w:val="1"/>
    <w:qFormat/>
    <w:uiPriority w:val="0"/>
    <w:pPr>
      <w:spacing w:before="260" w:after="260" w:line="415" w:lineRule="auto"/>
      <w:outlineLvl w:val="2"/>
    </w:pPr>
    <w:rPr>
      <w:b/>
      <w:sz w:val="32"/>
    </w:rPr>
  </w:style>
  <w:style w:type="paragraph" w:styleId="6">
    <w:name w:val="heading 4"/>
    <w:basedOn w:val="1"/>
    <w:next w:val="1"/>
    <w:qFormat/>
    <w:uiPriority w:val="0"/>
    <w:pPr>
      <w:spacing w:before="280" w:after="290" w:line="376" w:lineRule="auto"/>
      <w:outlineLvl w:val="3"/>
    </w:pPr>
    <w:rPr>
      <w:rFonts w:ascii="Arial" w:eastAsia="黑体"/>
      <w:b/>
      <w:sz w:val="28"/>
    </w:rPr>
  </w:style>
  <w:style w:type="paragraph" w:styleId="7">
    <w:name w:val="heading 5"/>
    <w:next w:val="1"/>
    <w:qFormat/>
    <w:uiPriority w:val="0"/>
    <w:pPr>
      <w:wordWrap w:val="0"/>
      <w:spacing w:after="160"/>
      <w:ind w:left="1800" w:hanging="400"/>
      <w:jc w:val="both"/>
      <w:outlineLvl w:val="4"/>
    </w:pPr>
    <w:rPr>
      <w:rFonts w:ascii="Times New Roman" w:hAnsi="Times New Roman" w:eastAsia="宋体" w:cs="Times New Roman"/>
      <w:sz w:val="21"/>
      <w:lang w:val="en-US" w:eastAsia="zh-CN" w:bidi="ar-SA"/>
    </w:rPr>
  </w:style>
  <w:style w:type="paragraph" w:styleId="8">
    <w:name w:val="heading 6"/>
    <w:next w:val="1"/>
    <w:qFormat/>
    <w:uiPriority w:val="0"/>
    <w:pPr>
      <w:wordWrap w:val="0"/>
      <w:spacing w:after="160"/>
      <w:ind w:left="2000" w:hanging="400"/>
      <w:jc w:val="both"/>
      <w:outlineLvl w:val="5"/>
    </w:pPr>
    <w:rPr>
      <w:rFonts w:ascii="Times New Roman" w:hAnsi="Times New Roman" w:eastAsia="宋体" w:cs="Times New Roman"/>
      <w:b/>
      <w:sz w:val="21"/>
      <w:lang w:val="en-US" w:eastAsia="zh-CN" w:bidi="ar-SA"/>
    </w:rPr>
  </w:style>
  <w:style w:type="paragraph" w:styleId="9">
    <w:name w:val="heading 7"/>
    <w:next w:val="1"/>
    <w:qFormat/>
    <w:uiPriority w:val="0"/>
    <w:pPr>
      <w:wordWrap w:val="0"/>
      <w:spacing w:after="160"/>
      <w:ind w:left="2200" w:hanging="400"/>
      <w:jc w:val="both"/>
      <w:outlineLvl w:val="6"/>
    </w:pPr>
    <w:rPr>
      <w:rFonts w:ascii="Times New Roman" w:hAnsi="Times New Roman" w:eastAsia="宋体" w:cs="Times New Roman"/>
      <w:sz w:val="21"/>
      <w:lang w:val="en-US" w:eastAsia="zh-CN" w:bidi="ar-SA"/>
    </w:rPr>
  </w:style>
  <w:style w:type="paragraph" w:styleId="10">
    <w:name w:val="heading 8"/>
    <w:next w:val="1"/>
    <w:qFormat/>
    <w:uiPriority w:val="0"/>
    <w:pPr>
      <w:wordWrap w:val="0"/>
      <w:spacing w:after="160"/>
      <w:ind w:left="2400" w:hanging="400"/>
      <w:jc w:val="both"/>
      <w:outlineLvl w:val="7"/>
    </w:pPr>
    <w:rPr>
      <w:rFonts w:ascii="Times New Roman" w:hAnsi="Times New Roman" w:eastAsia="宋体" w:cs="Times New Roman"/>
      <w:sz w:val="21"/>
      <w:lang w:val="en-US" w:eastAsia="zh-CN" w:bidi="ar-SA"/>
    </w:rPr>
  </w:style>
  <w:style w:type="paragraph" w:styleId="11">
    <w:name w:val="heading 9"/>
    <w:next w:val="1"/>
    <w:qFormat/>
    <w:uiPriority w:val="0"/>
    <w:pPr>
      <w:wordWrap w:val="0"/>
      <w:spacing w:after="160"/>
      <w:ind w:left="2600" w:hanging="400"/>
      <w:jc w:val="both"/>
      <w:outlineLvl w:val="8"/>
    </w:pPr>
    <w:rPr>
      <w:rFonts w:ascii="Times New Roman" w:hAnsi="Times New Roman" w:eastAsia="宋体" w:cs="Times New Roman"/>
      <w:sz w:val="21"/>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
    <w:basedOn w:val="1"/>
    <w:next w:val="1"/>
    <w:qFormat/>
    <w:uiPriority w:val="0"/>
    <w:pPr>
      <w:spacing w:line="300" w:lineRule="auto"/>
      <w:ind w:firstLine="560"/>
    </w:pPr>
    <w:rPr>
      <w:sz w:val="28"/>
    </w:rPr>
  </w:style>
  <w:style w:type="paragraph" w:styleId="12">
    <w:name w:val="toc 7"/>
    <w:next w:val="1"/>
    <w:qFormat/>
    <w:uiPriority w:val="0"/>
    <w:pPr>
      <w:wordWrap w:val="0"/>
      <w:ind w:left="2125"/>
      <w:jc w:val="both"/>
    </w:pPr>
    <w:rPr>
      <w:rFonts w:ascii="Times New Roman" w:hAnsi="Times New Roman" w:eastAsia="宋体" w:cs="Times New Roman"/>
      <w:sz w:val="21"/>
      <w:lang w:val="en-US" w:eastAsia="zh-CN" w:bidi="ar-SA"/>
    </w:rPr>
  </w:style>
  <w:style w:type="paragraph" w:styleId="13">
    <w:name w:val="Normal Indent"/>
    <w:basedOn w:val="1"/>
    <w:qFormat/>
    <w:uiPriority w:val="0"/>
    <w:pPr>
      <w:wordWrap w:val="0"/>
      <w:ind w:left="3400"/>
    </w:pPr>
  </w:style>
  <w:style w:type="paragraph" w:styleId="14">
    <w:name w:val="Document Map"/>
    <w:basedOn w:val="1"/>
    <w:next w:val="13"/>
    <w:qFormat/>
    <w:uiPriority w:val="0"/>
    <w:pPr>
      <w:shd w:val="clear" w:color="000000" w:fill="000080"/>
    </w:pPr>
  </w:style>
  <w:style w:type="paragraph" w:styleId="15">
    <w:name w:val="annotation text"/>
    <w:basedOn w:val="1"/>
    <w:next w:val="16"/>
    <w:qFormat/>
    <w:uiPriority w:val="99"/>
  </w:style>
  <w:style w:type="paragraph" w:customStyle="1" w:styleId="16">
    <w:name w:val="目录 21"/>
    <w:next w:val="1"/>
    <w:qFormat/>
    <w:uiPriority w:val="0"/>
    <w:pPr>
      <w:wordWrap w:val="0"/>
      <w:jc w:val="both"/>
    </w:pPr>
    <w:rPr>
      <w:rFonts w:ascii="Times New Roman" w:hAnsi="Times New Roman" w:eastAsia="宋体" w:cs="Times New Roman"/>
      <w:sz w:val="21"/>
      <w:lang w:val="en-US" w:eastAsia="zh-CN" w:bidi="ar-SA"/>
    </w:rPr>
  </w:style>
  <w:style w:type="paragraph" w:styleId="17">
    <w:name w:val="Body Text"/>
    <w:basedOn w:val="1"/>
    <w:next w:val="13"/>
    <w:qFormat/>
    <w:uiPriority w:val="0"/>
    <w:rPr>
      <w:sz w:val="28"/>
    </w:rPr>
  </w:style>
  <w:style w:type="paragraph" w:styleId="18">
    <w:name w:val="Body Text Indent"/>
    <w:basedOn w:val="1"/>
    <w:next w:val="19"/>
    <w:qFormat/>
    <w:uiPriority w:val="0"/>
    <w:pPr>
      <w:spacing w:line="300" w:lineRule="auto"/>
      <w:ind w:firstLine="560"/>
    </w:pPr>
    <w:rPr>
      <w:sz w:val="28"/>
    </w:rPr>
  </w:style>
  <w:style w:type="paragraph" w:customStyle="1" w:styleId="19">
    <w:name w:val="目录 51"/>
    <w:next w:val="1"/>
    <w:qFormat/>
    <w:uiPriority w:val="0"/>
    <w:pPr>
      <w:wordWrap w:val="0"/>
      <w:ind w:left="1275"/>
      <w:jc w:val="both"/>
    </w:pPr>
    <w:rPr>
      <w:rFonts w:ascii="Times New Roman" w:hAnsi="Times New Roman" w:eastAsia="宋体" w:cs="Times New Roman"/>
      <w:sz w:val="21"/>
      <w:lang w:val="en-US" w:eastAsia="zh-CN" w:bidi="ar-SA"/>
    </w:rPr>
  </w:style>
  <w:style w:type="paragraph" w:styleId="20">
    <w:name w:val="toc 5"/>
    <w:next w:val="1"/>
    <w:qFormat/>
    <w:uiPriority w:val="0"/>
    <w:pPr>
      <w:wordWrap w:val="0"/>
      <w:ind w:left="1275"/>
      <w:jc w:val="both"/>
    </w:pPr>
    <w:rPr>
      <w:rFonts w:ascii="Times New Roman" w:hAnsi="Times New Roman" w:eastAsia="宋体" w:cs="Times New Roman"/>
      <w:sz w:val="21"/>
      <w:lang w:val="en-US" w:eastAsia="zh-CN" w:bidi="ar-SA"/>
    </w:rPr>
  </w:style>
  <w:style w:type="paragraph" w:styleId="21">
    <w:name w:val="toc 3"/>
    <w:next w:val="1"/>
    <w:qFormat/>
    <w:uiPriority w:val="0"/>
    <w:pPr>
      <w:wordWrap w:val="0"/>
      <w:ind w:left="425"/>
      <w:jc w:val="both"/>
    </w:pPr>
    <w:rPr>
      <w:rFonts w:ascii="Times New Roman" w:hAnsi="Times New Roman" w:eastAsia="宋体" w:cs="Times New Roman"/>
      <w:sz w:val="21"/>
      <w:lang w:val="en-US" w:eastAsia="zh-CN" w:bidi="ar-SA"/>
    </w:rPr>
  </w:style>
  <w:style w:type="paragraph" w:styleId="22">
    <w:name w:val="Plain Text"/>
    <w:basedOn w:val="1"/>
    <w:next w:val="23"/>
    <w:qFormat/>
    <w:uiPriority w:val="0"/>
    <w:rPr>
      <w:rFonts w:ascii="宋体" w:eastAsia="楷体_GB2312"/>
      <w:sz w:val="28"/>
    </w:rPr>
  </w:style>
  <w:style w:type="paragraph" w:customStyle="1" w:styleId="23">
    <w:name w:val="目录 71"/>
    <w:next w:val="1"/>
    <w:qFormat/>
    <w:uiPriority w:val="0"/>
    <w:pPr>
      <w:wordWrap w:val="0"/>
      <w:ind w:left="2125"/>
      <w:jc w:val="both"/>
    </w:pPr>
    <w:rPr>
      <w:rFonts w:ascii="Times New Roman" w:hAnsi="Times New Roman" w:eastAsia="宋体" w:cs="Times New Roman"/>
      <w:sz w:val="21"/>
      <w:lang w:val="en-US" w:eastAsia="zh-CN" w:bidi="ar-SA"/>
    </w:rPr>
  </w:style>
  <w:style w:type="paragraph" w:styleId="24">
    <w:name w:val="toc 8"/>
    <w:next w:val="1"/>
    <w:qFormat/>
    <w:uiPriority w:val="0"/>
    <w:pPr>
      <w:wordWrap w:val="0"/>
      <w:ind w:left="2550"/>
      <w:jc w:val="both"/>
    </w:pPr>
    <w:rPr>
      <w:rFonts w:ascii="Times New Roman" w:hAnsi="Times New Roman" w:eastAsia="宋体" w:cs="Times New Roman"/>
      <w:sz w:val="21"/>
      <w:lang w:val="en-US" w:eastAsia="zh-CN" w:bidi="ar-SA"/>
    </w:rPr>
  </w:style>
  <w:style w:type="paragraph" w:styleId="25">
    <w:name w:val="Date"/>
    <w:basedOn w:val="1"/>
    <w:next w:val="1"/>
    <w:qFormat/>
    <w:uiPriority w:val="0"/>
  </w:style>
  <w:style w:type="paragraph" w:styleId="26">
    <w:name w:val="Body Text Indent 2"/>
    <w:basedOn w:val="1"/>
    <w:next w:val="27"/>
    <w:qFormat/>
    <w:uiPriority w:val="0"/>
    <w:pPr>
      <w:spacing w:line="360" w:lineRule="auto"/>
      <w:ind w:left="840"/>
    </w:pPr>
    <w:rPr>
      <w:rFonts w:ascii="宋体"/>
    </w:rPr>
  </w:style>
  <w:style w:type="paragraph" w:customStyle="1" w:styleId="27">
    <w:name w:val="目录 91"/>
    <w:next w:val="1"/>
    <w:qFormat/>
    <w:uiPriority w:val="0"/>
    <w:pPr>
      <w:wordWrap w:val="0"/>
      <w:ind w:left="2975"/>
      <w:jc w:val="both"/>
    </w:pPr>
    <w:rPr>
      <w:rFonts w:ascii="Times New Roman" w:hAnsi="Times New Roman" w:eastAsia="宋体" w:cs="Times New Roman"/>
      <w:sz w:val="21"/>
      <w:lang w:val="en-US" w:eastAsia="zh-CN" w:bidi="ar-SA"/>
    </w:rPr>
  </w:style>
  <w:style w:type="paragraph" w:styleId="28">
    <w:name w:val="Balloon Text"/>
    <w:basedOn w:val="1"/>
    <w:next w:val="29"/>
    <w:qFormat/>
    <w:uiPriority w:val="0"/>
    <w:rPr>
      <w:sz w:val="18"/>
    </w:rPr>
  </w:style>
  <w:style w:type="paragraph" w:customStyle="1" w:styleId="29">
    <w:name w:val="正文缩进1"/>
    <w:next w:val="1"/>
    <w:qFormat/>
    <w:uiPriority w:val="0"/>
    <w:pPr>
      <w:wordWrap w:val="0"/>
      <w:ind w:left="3400"/>
      <w:jc w:val="both"/>
    </w:pPr>
    <w:rPr>
      <w:rFonts w:ascii="Times New Roman" w:hAnsi="Times New Roman" w:eastAsia="宋体" w:cs="Times New Roman"/>
      <w:sz w:val="21"/>
      <w:lang w:val="en-US" w:eastAsia="zh-CN" w:bidi="ar-SA"/>
    </w:rPr>
  </w:style>
  <w:style w:type="paragraph" w:styleId="30">
    <w:name w:val="footer"/>
    <w:basedOn w:val="1"/>
    <w:next w:val="1"/>
    <w:link w:val="145"/>
    <w:qFormat/>
    <w:uiPriority w:val="0"/>
    <w:rPr>
      <w:sz w:val="18"/>
    </w:rPr>
  </w:style>
  <w:style w:type="paragraph" w:styleId="31">
    <w:name w:val="header"/>
    <w:basedOn w:val="1"/>
    <w:next w:val="1"/>
    <w:link w:val="144"/>
    <w:qFormat/>
    <w:uiPriority w:val="0"/>
    <w:pPr>
      <w:jc w:val="center"/>
    </w:pPr>
    <w:rPr>
      <w:sz w:val="18"/>
    </w:rPr>
  </w:style>
  <w:style w:type="paragraph" w:styleId="32">
    <w:name w:val="toc 1"/>
    <w:basedOn w:val="1"/>
    <w:next w:val="1"/>
    <w:qFormat/>
    <w:uiPriority w:val="39"/>
    <w:pPr>
      <w:adjustRightInd w:val="0"/>
      <w:jc w:val="left"/>
      <w:textAlignment w:val="baseline"/>
    </w:pPr>
    <w:rPr>
      <w:sz w:val="24"/>
    </w:rPr>
  </w:style>
  <w:style w:type="paragraph" w:styleId="33">
    <w:name w:val="toc 4"/>
    <w:next w:val="1"/>
    <w:qFormat/>
    <w:uiPriority w:val="0"/>
    <w:pPr>
      <w:wordWrap w:val="0"/>
      <w:ind w:left="850"/>
      <w:jc w:val="both"/>
    </w:pPr>
    <w:rPr>
      <w:rFonts w:ascii="Times New Roman" w:hAnsi="Times New Roman" w:eastAsia="宋体" w:cs="Times New Roman"/>
      <w:sz w:val="21"/>
      <w:lang w:val="en-US" w:eastAsia="zh-CN" w:bidi="ar-SA"/>
    </w:rPr>
  </w:style>
  <w:style w:type="paragraph" w:styleId="34">
    <w:name w:val="index heading"/>
    <w:basedOn w:val="1"/>
    <w:next w:val="1"/>
    <w:semiHidden/>
    <w:qFormat/>
    <w:uiPriority w:val="0"/>
    <w:rPr>
      <w:rFonts w:eastAsia="楷体_GB2312"/>
      <w:sz w:val="26"/>
    </w:rPr>
  </w:style>
  <w:style w:type="paragraph" w:styleId="35">
    <w:name w:val="Subtitle"/>
    <w:next w:val="1"/>
    <w:qFormat/>
    <w:uiPriority w:val="0"/>
    <w:pPr>
      <w:wordWrap w:val="0"/>
      <w:spacing w:after="60"/>
      <w:jc w:val="center"/>
    </w:pPr>
    <w:rPr>
      <w:rFonts w:ascii="Times New Roman" w:hAnsi="Times New Roman" w:eastAsia="宋体" w:cs="Times New Roman"/>
      <w:sz w:val="24"/>
      <w:lang w:val="en-US" w:eastAsia="zh-CN" w:bidi="ar-SA"/>
    </w:rPr>
  </w:style>
  <w:style w:type="paragraph" w:styleId="36">
    <w:name w:val="toc 6"/>
    <w:next w:val="1"/>
    <w:qFormat/>
    <w:uiPriority w:val="0"/>
    <w:pPr>
      <w:wordWrap w:val="0"/>
      <w:ind w:left="1700"/>
      <w:jc w:val="both"/>
    </w:pPr>
    <w:rPr>
      <w:rFonts w:ascii="Times New Roman" w:hAnsi="Times New Roman" w:eastAsia="宋体" w:cs="Times New Roman"/>
      <w:sz w:val="21"/>
      <w:lang w:val="en-US" w:eastAsia="zh-CN" w:bidi="ar-SA"/>
    </w:rPr>
  </w:style>
  <w:style w:type="paragraph" w:styleId="37">
    <w:name w:val="Body Text Indent 3"/>
    <w:basedOn w:val="1"/>
    <w:next w:val="1"/>
    <w:qFormat/>
    <w:uiPriority w:val="0"/>
    <w:pPr>
      <w:widowControl/>
      <w:spacing w:line="360" w:lineRule="auto"/>
      <w:ind w:firstLine="480"/>
    </w:pPr>
    <w:rPr>
      <w:sz w:val="24"/>
    </w:rPr>
  </w:style>
  <w:style w:type="paragraph" w:styleId="38">
    <w:name w:val="toc 2"/>
    <w:next w:val="1"/>
    <w:qFormat/>
    <w:uiPriority w:val="0"/>
    <w:pPr>
      <w:wordWrap w:val="0"/>
      <w:jc w:val="both"/>
    </w:pPr>
    <w:rPr>
      <w:rFonts w:ascii="Times New Roman" w:hAnsi="Times New Roman" w:eastAsia="宋体" w:cs="Times New Roman"/>
      <w:sz w:val="21"/>
      <w:lang w:val="en-US" w:eastAsia="zh-CN" w:bidi="ar-SA"/>
    </w:rPr>
  </w:style>
  <w:style w:type="paragraph" w:styleId="39">
    <w:name w:val="toc 9"/>
    <w:next w:val="1"/>
    <w:qFormat/>
    <w:uiPriority w:val="0"/>
    <w:pPr>
      <w:wordWrap w:val="0"/>
      <w:ind w:left="2975"/>
      <w:jc w:val="both"/>
    </w:pPr>
    <w:rPr>
      <w:rFonts w:ascii="Times New Roman" w:hAnsi="Times New Roman" w:eastAsia="宋体" w:cs="Times New Roman"/>
      <w:sz w:val="21"/>
      <w:lang w:val="en-US" w:eastAsia="zh-CN" w:bidi="ar-SA"/>
    </w:rPr>
  </w:style>
  <w:style w:type="paragraph" w:styleId="40">
    <w:name w:val="HTML Preformatted"/>
    <w:basedOn w:val="1"/>
    <w:next w:val="1"/>
    <w:qFormat/>
    <w:uiPriority w:val="0"/>
    <w:pPr>
      <w:widowControl/>
    </w:pPr>
    <w:rPr>
      <w:rFonts w:ascii="宋体"/>
      <w:sz w:val="24"/>
    </w:rPr>
  </w:style>
  <w:style w:type="paragraph" w:styleId="41">
    <w:name w:val="Normal (Web)"/>
    <w:basedOn w:val="1"/>
    <w:next w:val="1"/>
    <w:qFormat/>
    <w:uiPriority w:val="0"/>
    <w:pPr>
      <w:widowControl/>
      <w:spacing w:before="280" w:after="280"/>
    </w:pPr>
    <w:rPr>
      <w:rFonts w:ascii="Arial Unicode MS" w:eastAsia="Times New Roman"/>
      <w:sz w:val="24"/>
    </w:rPr>
  </w:style>
  <w:style w:type="paragraph" w:styleId="42">
    <w:name w:val="index 1"/>
    <w:basedOn w:val="1"/>
    <w:next w:val="1"/>
    <w:semiHidden/>
    <w:qFormat/>
    <w:uiPriority w:val="0"/>
  </w:style>
  <w:style w:type="paragraph" w:styleId="43">
    <w:name w:val="annotation subject"/>
    <w:next w:val="16"/>
    <w:qFormat/>
    <w:uiPriority w:val="0"/>
    <w:pPr>
      <w:widowControl w:val="0"/>
    </w:pPr>
    <w:rPr>
      <w:rFonts w:ascii="Times New Roman" w:hAnsi="Times New Roman" w:eastAsia="宋体" w:cs="Times New Roman"/>
      <w:b/>
      <w:sz w:val="21"/>
      <w:lang w:val="en-US" w:eastAsia="zh-CN" w:bidi="ar-SA"/>
    </w:rPr>
  </w:style>
  <w:style w:type="paragraph" w:styleId="44">
    <w:name w:val="Body Text First Indent 2"/>
    <w:basedOn w:val="18"/>
    <w:unhideWhenUsed/>
    <w:qFormat/>
    <w:uiPriority w:val="99"/>
    <w:pPr>
      <w:ind w:firstLine="420"/>
    </w:pPr>
    <w:rPr>
      <w:rFonts w:ascii="Calibri" w:hAnsi="Calibri"/>
      <w:szCs w:val="24"/>
    </w:rPr>
  </w:style>
  <w:style w:type="table" w:styleId="46">
    <w:name w:val="Table Grid"/>
    <w:basedOn w:val="4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color w:val="CC0000"/>
      <w:sz w:val="20"/>
    </w:rPr>
  </w:style>
  <w:style w:type="character" w:styleId="49">
    <w:name w:val="page number"/>
    <w:qFormat/>
    <w:uiPriority w:val="0"/>
    <w:rPr>
      <w:sz w:val="20"/>
    </w:rPr>
  </w:style>
  <w:style w:type="character" w:styleId="50">
    <w:name w:val="FollowedHyperlink"/>
    <w:basedOn w:val="47"/>
    <w:qFormat/>
    <w:uiPriority w:val="0"/>
    <w:rPr>
      <w:color w:val="771CAA"/>
      <w:sz w:val="20"/>
      <w:u w:val="none"/>
    </w:rPr>
  </w:style>
  <w:style w:type="character" w:styleId="51">
    <w:name w:val="Emphasis"/>
    <w:basedOn w:val="47"/>
    <w:qFormat/>
    <w:uiPriority w:val="0"/>
    <w:rPr>
      <w:color w:val="F73131"/>
      <w:sz w:val="20"/>
    </w:rPr>
  </w:style>
  <w:style w:type="character" w:styleId="52">
    <w:name w:val="Hyperlink"/>
    <w:qFormat/>
    <w:uiPriority w:val="0"/>
    <w:rPr>
      <w:color w:val="0000FF"/>
      <w:sz w:val="20"/>
      <w:u w:val="single"/>
    </w:rPr>
  </w:style>
  <w:style w:type="character" w:styleId="53">
    <w:name w:val="annotation reference"/>
    <w:qFormat/>
    <w:uiPriority w:val="99"/>
    <w:rPr>
      <w:sz w:val="20"/>
    </w:rPr>
  </w:style>
  <w:style w:type="character" w:styleId="54">
    <w:name w:val="HTML Cite"/>
    <w:basedOn w:val="47"/>
    <w:semiHidden/>
    <w:unhideWhenUsed/>
    <w:qFormat/>
    <w:uiPriority w:val="99"/>
    <w:rPr>
      <w:color w:val="006D21"/>
    </w:rPr>
  </w:style>
  <w:style w:type="paragraph" w:customStyle="1" w:styleId="55">
    <w:name w:val="寄信人地址1"/>
    <w:basedOn w:val="1"/>
    <w:qFormat/>
    <w:uiPriority w:val="0"/>
    <w:rPr>
      <w:rFonts w:ascii="Arial" w:hAnsi="Arial" w:eastAsia="楷体_GB2312"/>
      <w:sz w:val="26"/>
    </w:rPr>
  </w:style>
  <w:style w:type="paragraph" w:customStyle="1" w:styleId="56">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57">
    <w:name w:val="批注框文本 Char"/>
    <w:qFormat/>
    <w:uiPriority w:val="0"/>
    <w:rPr>
      <w:sz w:val="20"/>
    </w:rPr>
  </w:style>
  <w:style w:type="character" w:customStyle="1" w:styleId="58">
    <w:name w:val="标题 3 Char"/>
    <w:qFormat/>
    <w:uiPriority w:val="0"/>
    <w:rPr>
      <w:b/>
      <w:sz w:val="20"/>
    </w:rPr>
  </w:style>
  <w:style w:type="character" w:customStyle="1" w:styleId="59">
    <w:name w:val="Andy_正文 Char"/>
    <w:qFormat/>
    <w:uiPriority w:val="0"/>
    <w:rPr>
      <w:sz w:val="20"/>
    </w:rPr>
  </w:style>
  <w:style w:type="character" w:customStyle="1" w:styleId="60">
    <w:name w:val="明显参考1"/>
    <w:qFormat/>
    <w:uiPriority w:val="0"/>
    <w:rPr>
      <w:b/>
      <w:sz w:val="20"/>
    </w:rPr>
  </w:style>
  <w:style w:type="character" w:customStyle="1" w:styleId="61">
    <w:name w:val="正文文本缩进 2 Char"/>
    <w:qFormat/>
    <w:uiPriority w:val="0"/>
    <w:rPr>
      <w:sz w:val="20"/>
    </w:rPr>
  </w:style>
  <w:style w:type="character" w:customStyle="1" w:styleId="62">
    <w:name w:val="书籍标题1"/>
    <w:qFormat/>
    <w:uiPriority w:val="0"/>
    <w:rPr>
      <w:b/>
      <w:i/>
      <w:sz w:val="20"/>
    </w:rPr>
  </w:style>
  <w:style w:type="character" w:customStyle="1" w:styleId="63">
    <w:name w:val="列出段落 Char"/>
    <w:qFormat/>
    <w:uiPriority w:val="0"/>
    <w:rPr>
      <w:sz w:val="20"/>
    </w:rPr>
  </w:style>
  <w:style w:type="character" w:customStyle="1" w:styleId="64">
    <w:name w:val="不明显强调1"/>
    <w:qFormat/>
    <w:uiPriority w:val="0"/>
    <w:rPr>
      <w:i/>
      <w:sz w:val="20"/>
    </w:rPr>
  </w:style>
  <w:style w:type="character" w:customStyle="1" w:styleId="65">
    <w:name w:val="标题 4 Char"/>
    <w:qFormat/>
    <w:uiPriority w:val="0"/>
    <w:rPr>
      <w:b/>
      <w:sz w:val="20"/>
    </w:rPr>
  </w:style>
  <w:style w:type="character" w:customStyle="1" w:styleId="66">
    <w:name w:val="title_emph1"/>
    <w:qFormat/>
    <w:uiPriority w:val="0"/>
    <w:rPr>
      <w:b/>
      <w:sz w:val="20"/>
    </w:rPr>
  </w:style>
  <w:style w:type="character" w:customStyle="1" w:styleId="67">
    <w:name w:val="不明显参考1"/>
    <w:qFormat/>
    <w:uiPriority w:val="0"/>
    <w:rPr>
      <w:sz w:val="20"/>
    </w:rPr>
  </w:style>
  <w:style w:type="character" w:customStyle="1" w:styleId="68">
    <w:name w:val="_正文段落 Char"/>
    <w:qFormat/>
    <w:uiPriority w:val="0"/>
    <w:rPr>
      <w:sz w:val="20"/>
    </w:rPr>
  </w:style>
  <w:style w:type="character" w:customStyle="1" w:styleId="69">
    <w:name w:val="正文缩进 Char"/>
    <w:qFormat/>
    <w:uiPriority w:val="0"/>
    <w:rPr>
      <w:sz w:val="20"/>
    </w:rPr>
  </w:style>
  <w:style w:type="character" w:customStyle="1" w:styleId="70">
    <w:name w:val="Andy_3级 Char"/>
    <w:link w:val="71"/>
    <w:qFormat/>
    <w:uiPriority w:val="0"/>
    <w:rPr>
      <w:rFonts w:ascii="Calibri" w:hAnsi="Calibri"/>
      <w:sz w:val="24"/>
      <w:lang w:val="zh-CN"/>
    </w:rPr>
  </w:style>
  <w:style w:type="paragraph" w:customStyle="1" w:styleId="71">
    <w:name w:val="Andy_3级"/>
    <w:basedOn w:val="1"/>
    <w:link w:val="70"/>
    <w:qFormat/>
    <w:uiPriority w:val="0"/>
    <w:pPr>
      <w:numPr>
        <w:ilvl w:val="2"/>
        <w:numId w:val="1"/>
      </w:numPr>
      <w:spacing w:line="360" w:lineRule="auto"/>
    </w:pPr>
    <w:rPr>
      <w:rFonts w:ascii="Calibri" w:hAnsi="Calibri"/>
      <w:sz w:val="24"/>
      <w:lang w:val="zh-CN"/>
    </w:rPr>
  </w:style>
  <w:style w:type="character" w:customStyle="1" w:styleId="72">
    <w:name w:val="纯文本 Char1"/>
    <w:qFormat/>
    <w:uiPriority w:val="0"/>
    <w:rPr>
      <w:sz w:val="20"/>
    </w:rPr>
  </w:style>
  <w:style w:type="character" w:customStyle="1" w:styleId="73">
    <w:name w:val="para1"/>
    <w:qFormat/>
    <w:uiPriority w:val="0"/>
    <w:rPr>
      <w:sz w:val="20"/>
    </w:rPr>
  </w:style>
  <w:style w:type="character" w:customStyle="1" w:styleId="74">
    <w:name w:val="a-size-large1"/>
    <w:qFormat/>
    <w:uiPriority w:val="0"/>
    <w:rPr>
      <w:sz w:val="20"/>
    </w:rPr>
  </w:style>
  <w:style w:type="character" w:customStyle="1" w:styleId="75">
    <w:name w:val="明显强调1"/>
    <w:qFormat/>
    <w:uiPriority w:val="0"/>
    <w:rPr>
      <w:i/>
      <w:sz w:val="20"/>
    </w:rPr>
  </w:style>
  <w:style w:type="character" w:customStyle="1" w:styleId="76">
    <w:name w:val="Plain Text Char Char"/>
    <w:qFormat/>
    <w:uiPriority w:val="0"/>
    <w:rPr>
      <w:sz w:val="20"/>
    </w:rPr>
  </w:style>
  <w:style w:type="character" w:customStyle="1" w:styleId="77">
    <w:name w:val="批注文字 Char"/>
    <w:qFormat/>
    <w:uiPriority w:val="99"/>
    <w:rPr>
      <w:sz w:val="20"/>
    </w:rPr>
  </w:style>
  <w:style w:type="character" w:customStyle="1" w:styleId="78">
    <w:name w:val="Andy Char"/>
    <w:link w:val="79"/>
    <w:qFormat/>
    <w:uiPriority w:val="0"/>
    <w:rPr>
      <w:rFonts w:ascii="仿宋_GB2312" w:hAnsi="仿宋" w:eastAsia="仿宋_GB2312"/>
      <w:color w:val="000000"/>
      <w:sz w:val="28"/>
      <w:szCs w:val="28"/>
    </w:rPr>
  </w:style>
  <w:style w:type="paragraph" w:customStyle="1" w:styleId="79">
    <w:name w:val="Andy"/>
    <w:basedOn w:val="1"/>
    <w:link w:val="78"/>
    <w:qFormat/>
    <w:uiPriority w:val="0"/>
    <w:pPr>
      <w:spacing w:line="360" w:lineRule="auto"/>
      <w:ind w:firstLine="560" w:firstLineChars="200"/>
    </w:pPr>
    <w:rPr>
      <w:rFonts w:ascii="仿宋_GB2312" w:hAnsi="仿宋" w:eastAsia="仿宋_GB2312"/>
      <w:color w:val="000000"/>
      <w:sz w:val="28"/>
      <w:szCs w:val="28"/>
    </w:rPr>
  </w:style>
  <w:style w:type="character" w:customStyle="1" w:styleId="80">
    <w:name w:val="批注主题 Char"/>
    <w:qFormat/>
    <w:uiPriority w:val="0"/>
    <w:rPr>
      <w:b/>
      <w:sz w:val="20"/>
    </w:rPr>
  </w:style>
  <w:style w:type="paragraph" w:customStyle="1" w:styleId="81">
    <w:name w:val="目录 32"/>
    <w:basedOn w:val="1"/>
    <w:next w:val="1"/>
    <w:qFormat/>
    <w:uiPriority w:val="0"/>
    <w:pPr>
      <w:ind w:left="840"/>
    </w:pPr>
  </w:style>
  <w:style w:type="paragraph" w:customStyle="1" w:styleId="82">
    <w:name w:val="Andy_4级"/>
    <w:basedOn w:val="1"/>
    <w:qFormat/>
    <w:uiPriority w:val="0"/>
    <w:pPr>
      <w:tabs>
        <w:tab w:val="left" w:pos="420"/>
      </w:tabs>
      <w:spacing w:line="360" w:lineRule="auto"/>
      <w:ind w:left="420" w:firstLine="510"/>
    </w:pPr>
    <w:rPr>
      <w:rFonts w:ascii="Calibri" w:hAnsi="Calibri"/>
      <w:sz w:val="24"/>
    </w:rPr>
  </w:style>
  <w:style w:type="paragraph" w:customStyle="1" w:styleId="83">
    <w:name w:val="正文1"/>
    <w:basedOn w:val="1"/>
    <w:next w:val="1"/>
    <w:qFormat/>
    <w:uiPriority w:val="0"/>
    <w:pPr>
      <w:spacing w:before="120" w:line="360" w:lineRule="auto"/>
      <w:ind w:left="420" w:firstLine="527"/>
    </w:pPr>
    <w:rPr>
      <w:rFonts w:ascii="宋体" w:hAnsi="宋体"/>
    </w:rPr>
  </w:style>
  <w:style w:type="paragraph" w:customStyle="1" w:styleId="84">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
    <w:name w:val="Char"/>
    <w:basedOn w:val="1"/>
    <w:next w:val="81"/>
    <w:qFormat/>
    <w:uiPriority w:val="0"/>
    <w:rPr>
      <w:rFonts w:ascii="Tahoma"/>
      <w:sz w:val="24"/>
    </w:rPr>
  </w:style>
  <w:style w:type="paragraph" w:customStyle="1" w:styleId="86">
    <w:name w:val="纯文本2"/>
    <w:basedOn w:val="1"/>
    <w:qFormat/>
    <w:uiPriority w:val="0"/>
    <w:pPr>
      <w:adjustRightInd w:val="0"/>
      <w:textAlignment w:val="baseline"/>
    </w:pPr>
    <w:rPr>
      <w:rFonts w:ascii="宋体" w:hAnsi="Courier New"/>
    </w:rPr>
  </w:style>
  <w:style w:type="paragraph" w:customStyle="1" w:styleId="87">
    <w:name w:val="TOC 标题1"/>
    <w:next w:val="1"/>
    <w:qFormat/>
    <w:uiPriority w:val="0"/>
    <w:pPr>
      <w:wordWrap w:val="0"/>
    </w:pPr>
    <w:rPr>
      <w:rFonts w:ascii="Times New Roman" w:hAnsi="Times New Roman" w:eastAsia="宋体" w:cs="Times New Roman"/>
      <w:sz w:val="32"/>
      <w:lang w:val="en-US" w:eastAsia="zh-CN" w:bidi="ar-SA"/>
    </w:rPr>
  </w:style>
  <w:style w:type="paragraph" w:customStyle="1" w:styleId="88">
    <w:name w:val="表格正文"/>
    <w:basedOn w:val="1"/>
    <w:next w:val="89"/>
    <w:qFormat/>
    <w:uiPriority w:val="0"/>
    <w:rPr>
      <w:rFonts w:ascii="宋体"/>
      <w:color w:val="000000"/>
      <w:sz w:val="22"/>
    </w:rPr>
  </w:style>
  <w:style w:type="paragraph" w:customStyle="1" w:styleId="89">
    <w:name w:val="目录 3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90">
    <w:name w:val="Andy_二级"/>
    <w:basedOn w:val="1"/>
    <w:qFormat/>
    <w:uiPriority w:val="0"/>
    <w:pPr>
      <w:spacing w:line="360" w:lineRule="auto"/>
    </w:pPr>
    <w:rPr>
      <w:rFonts w:ascii="Calibri" w:hAnsi="Calibri"/>
      <w:sz w:val="24"/>
      <w:szCs w:val="22"/>
    </w:rPr>
  </w:style>
  <w:style w:type="paragraph" w:customStyle="1" w:styleId="91">
    <w:name w:val="！正文"/>
    <w:basedOn w:val="1"/>
    <w:qFormat/>
    <w:uiPriority w:val="0"/>
    <w:pPr>
      <w:spacing w:line="360" w:lineRule="auto"/>
      <w:ind w:firstLine="200" w:firstLineChars="200"/>
    </w:pPr>
    <w:rPr>
      <w:rFonts w:ascii="Calibri" w:hAnsi="Calibri"/>
      <w:kern w:val="2"/>
      <w:sz w:val="24"/>
      <w:szCs w:val="21"/>
    </w:rPr>
  </w:style>
  <w:style w:type="paragraph" w:customStyle="1" w:styleId="92">
    <w:name w:val="Default"/>
    <w:next w:val="1"/>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93">
    <w:name w:val="目录 41"/>
    <w:next w:val="1"/>
    <w:qFormat/>
    <w:uiPriority w:val="0"/>
    <w:pPr>
      <w:wordWrap w:val="0"/>
      <w:ind w:left="850"/>
      <w:jc w:val="both"/>
    </w:pPr>
    <w:rPr>
      <w:rFonts w:ascii="Times New Roman" w:hAnsi="Times New Roman" w:eastAsia="宋体" w:cs="Times New Roman"/>
      <w:sz w:val="21"/>
      <w:lang w:val="en-US" w:eastAsia="zh-CN" w:bidi="ar-SA"/>
    </w:rPr>
  </w:style>
  <w:style w:type="paragraph" w:styleId="94">
    <w:name w:val="List Paragraph"/>
    <w:basedOn w:val="1"/>
    <w:next w:val="42"/>
    <w:qFormat/>
    <w:uiPriority w:val="34"/>
    <w:pPr>
      <w:spacing w:line="360" w:lineRule="auto"/>
      <w:ind w:firstLine="420"/>
    </w:pPr>
  </w:style>
  <w:style w:type="paragraph" w:customStyle="1" w:styleId="95">
    <w:name w:val="Char1"/>
    <w:basedOn w:val="1"/>
    <w:next w:val="1"/>
    <w:qFormat/>
    <w:uiPriority w:val="0"/>
    <w:pPr>
      <w:ind w:left="960" w:hanging="420"/>
    </w:pPr>
    <w:rPr>
      <w:sz w:val="24"/>
    </w:rPr>
  </w:style>
  <w:style w:type="paragraph" w:customStyle="1" w:styleId="96">
    <w:name w:val="_Style 18"/>
    <w:basedOn w:val="1"/>
    <w:next w:val="1"/>
    <w:qFormat/>
    <w:uiPriority w:val="0"/>
    <w:rPr>
      <w:rFonts w:ascii="Tahoma"/>
      <w:sz w:val="24"/>
    </w:rPr>
  </w:style>
  <w:style w:type="paragraph" w:customStyle="1" w:styleId="97">
    <w:name w:val="纯文本1"/>
    <w:basedOn w:val="1"/>
    <w:qFormat/>
    <w:uiPriority w:val="0"/>
    <w:rPr>
      <w:rFonts w:ascii="宋体" w:eastAsia="楷体_GB2312"/>
      <w:sz w:val="28"/>
    </w:rPr>
  </w:style>
  <w:style w:type="paragraph" w:styleId="98">
    <w:name w:val="Intense Quote"/>
    <w:next w:val="1"/>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paragraph" w:customStyle="1" w:styleId="99">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100">
    <w:name w:val="Char Char4 Char Char"/>
    <w:basedOn w:val="1"/>
    <w:next w:val="1"/>
    <w:qFormat/>
    <w:uiPriority w:val="0"/>
    <w:rPr>
      <w:rFonts w:ascii="Tahoma"/>
      <w:sz w:val="24"/>
    </w:rPr>
  </w:style>
  <w:style w:type="paragraph" w:customStyle="1" w:styleId="101">
    <w:name w:val="Char Char Char Char Char Char Char Char"/>
    <w:basedOn w:val="1"/>
    <w:next w:val="43"/>
    <w:qFormat/>
    <w:uiPriority w:val="0"/>
  </w:style>
  <w:style w:type="paragraph" w:customStyle="1" w:styleId="102">
    <w:name w:val="列出段落1"/>
    <w:basedOn w:val="1"/>
    <w:next w:val="18"/>
    <w:qFormat/>
    <w:uiPriority w:val="0"/>
    <w:pPr>
      <w:spacing w:line="360" w:lineRule="auto"/>
      <w:ind w:firstLine="200"/>
    </w:pPr>
    <w:rPr>
      <w:rFonts w:ascii="Calibri"/>
      <w:sz w:val="22"/>
    </w:rPr>
  </w:style>
  <w:style w:type="paragraph" w:customStyle="1" w:styleId="103">
    <w:name w:val="列表内容"/>
    <w:basedOn w:val="1"/>
    <w:next w:val="1"/>
    <w:qFormat/>
    <w:uiPriority w:val="0"/>
    <w:pPr>
      <w:widowControl/>
      <w:ind w:left="840" w:hanging="420"/>
    </w:pPr>
    <w:rPr>
      <w:sz w:val="18"/>
    </w:rPr>
  </w:style>
  <w:style w:type="paragraph" w:customStyle="1" w:styleId="104">
    <w:name w:val="规范正文"/>
    <w:basedOn w:val="1"/>
    <w:next w:val="87"/>
    <w:qFormat/>
    <w:uiPriority w:val="0"/>
    <w:pPr>
      <w:spacing w:line="360" w:lineRule="auto"/>
      <w:ind w:left="480"/>
    </w:pPr>
    <w:rPr>
      <w:sz w:val="24"/>
    </w:rPr>
  </w:style>
  <w:style w:type="paragraph" w:customStyle="1" w:styleId="105">
    <w:name w:val="表格正文 居中"/>
    <w:basedOn w:val="1"/>
    <w:next w:val="88"/>
    <w:qFormat/>
    <w:uiPriority w:val="0"/>
    <w:pPr>
      <w:jc w:val="center"/>
    </w:pPr>
    <w:rPr>
      <w:rFonts w:ascii="宋体"/>
    </w:rPr>
  </w:style>
  <w:style w:type="paragraph" w:customStyle="1" w:styleId="106">
    <w:name w:val="列出段落2"/>
    <w:basedOn w:val="1"/>
    <w:next w:val="1"/>
    <w:qFormat/>
    <w:uiPriority w:val="0"/>
    <w:pPr>
      <w:ind w:firstLine="420"/>
    </w:pPr>
    <w:rPr>
      <w:rFonts w:ascii="Calibri"/>
    </w:rPr>
  </w:style>
  <w:style w:type="paragraph" w:customStyle="1" w:styleId="107">
    <w:name w:val="表格标题"/>
    <w:basedOn w:val="1"/>
    <w:next w:val="104"/>
    <w:qFormat/>
    <w:uiPriority w:val="0"/>
    <w:pPr>
      <w:jc w:val="center"/>
    </w:pPr>
    <w:rPr>
      <w:rFonts w:ascii="宋体"/>
      <w:b/>
    </w:rPr>
  </w:style>
  <w:style w:type="paragraph" w:customStyle="1" w:styleId="108">
    <w:name w:val="Char Char Char Char Char Char Char Char Char1 Char"/>
    <w:next w:val="15"/>
    <w:qFormat/>
    <w:uiPriority w:val="0"/>
    <w:pPr>
      <w:widowControl w:val="0"/>
      <w:shd w:val="clear" w:color="000000" w:fill="000080"/>
      <w:spacing w:line="360" w:lineRule="auto"/>
      <w:jc w:val="both"/>
    </w:pPr>
    <w:rPr>
      <w:rFonts w:ascii="Times New Roman" w:hAnsi="Times New Roman" w:eastAsia="宋体" w:cs="Times New Roman"/>
      <w:sz w:val="21"/>
      <w:lang w:val="en-US" w:eastAsia="zh-CN" w:bidi="ar-SA"/>
    </w:rPr>
  </w:style>
  <w:style w:type="paragraph" w:customStyle="1" w:styleId="109">
    <w:name w:val="彩色列表 - 着色 11"/>
    <w:basedOn w:val="1"/>
    <w:next w:val="1"/>
    <w:qFormat/>
    <w:uiPriority w:val="0"/>
    <w:pPr>
      <w:ind w:firstLine="420"/>
    </w:pPr>
    <w:rPr>
      <w:rFonts w:ascii="Calibri"/>
    </w:rPr>
  </w:style>
  <w:style w:type="paragraph" w:customStyle="1" w:styleId="110">
    <w:name w:val="目录 61"/>
    <w:next w:val="1"/>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111">
    <w:name w:val="目录 81"/>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112">
    <w:name w:val="Char Char4 Char"/>
    <w:basedOn w:val="1"/>
    <w:next w:val="109"/>
    <w:qFormat/>
    <w:uiPriority w:val="0"/>
    <w:rPr>
      <w:rFonts w:ascii="Tahoma"/>
      <w:sz w:val="24"/>
    </w:rPr>
  </w:style>
  <w:style w:type="paragraph" w:customStyle="1" w:styleId="113">
    <w:name w:val="Char Char1"/>
    <w:basedOn w:val="1"/>
    <w:next w:val="1"/>
    <w:qFormat/>
    <w:uiPriority w:val="0"/>
    <w:pPr>
      <w:widowControl/>
      <w:spacing w:after="160" w:line="240" w:lineRule="exact"/>
    </w:pPr>
    <w:rPr>
      <w:rFonts w:ascii="Verdana"/>
      <w:sz w:val="20"/>
    </w:rPr>
  </w:style>
  <w:style w:type="paragraph" w:customStyle="1" w:styleId="114">
    <w:name w:val="表格1"/>
    <w:basedOn w:val="1"/>
    <w:next w:val="1"/>
    <w:qFormat/>
    <w:uiPriority w:val="0"/>
    <w:pPr>
      <w:wordWrap w:val="0"/>
      <w:autoSpaceDE w:val="0"/>
      <w:autoSpaceDN w:val="0"/>
      <w:spacing w:line="288" w:lineRule="auto"/>
      <w:jc w:val="center"/>
    </w:pPr>
    <w:rPr>
      <w:rFonts w:ascii="宋体"/>
      <w:sz w:val="18"/>
    </w:rPr>
  </w:style>
  <w:style w:type="paragraph" w:customStyle="1" w:styleId="115">
    <w:name w:val="QB正文"/>
    <w:basedOn w:val="1"/>
    <w:next w:val="14"/>
    <w:qFormat/>
    <w:uiPriority w:val="0"/>
    <w:pPr>
      <w:widowControl/>
      <w:autoSpaceDE w:val="0"/>
      <w:autoSpaceDN w:val="0"/>
      <w:ind w:firstLine="200"/>
    </w:pPr>
    <w:rPr>
      <w:rFonts w:ascii="宋体"/>
    </w:rPr>
  </w:style>
  <w:style w:type="paragraph" w:customStyle="1" w:styleId="116">
    <w:name w:val="正文首行缩进两字符"/>
    <w:basedOn w:val="1"/>
    <w:qFormat/>
    <w:uiPriority w:val="0"/>
    <w:pPr>
      <w:spacing w:line="360" w:lineRule="auto"/>
      <w:ind w:firstLine="200" w:firstLineChars="200"/>
    </w:pPr>
    <w:rPr>
      <w:kern w:val="2"/>
      <w:szCs w:val="24"/>
    </w:rPr>
  </w:style>
  <w:style w:type="paragraph" w:customStyle="1" w:styleId="117">
    <w:name w:val="_正文段落"/>
    <w:basedOn w:val="1"/>
    <w:next w:val="30"/>
    <w:qFormat/>
    <w:uiPriority w:val="0"/>
    <w:pPr>
      <w:spacing w:before="50" w:after="50" w:line="360" w:lineRule="auto"/>
      <w:ind w:firstLine="200"/>
    </w:pPr>
    <w:rPr>
      <w:sz w:val="24"/>
    </w:rPr>
  </w:style>
  <w:style w:type="paragraph" w:customStyle="1" w:styleId="118">
    <w:name w:val="Char Char Char"/>
    <w:basedOn w:val="1"/>
    <w:next w:val="1"/>
    <w:qFormat/>
    <w:uiPriority w:val="0"/>
    <w:rPr>
      <w:rFonts w:ascii="Tahoma"/>
      <w:sz w:val="24"/>
    </w:rPr>
  </w:style>
  <w:style w:type="paragraph" w:customStyle="1" w:styleId="119">
    <w:name w:val="纯文本11"/>
    <w:basedOn w:val="1"/>
    <w:qFormat/>
    <w:uiPriority w:val="0"/>
    <w:pPr>
      <w:adjustRightInd w:val="0"/>
      <w:textAlignment w:val="baseline"/>
    </w:pPr>
    <w:rPr>
      <w:rFonts w:ascii="宋体" w:hAnsi="Courier New" w:eastAsia="楷体_GB2312"/>
      <w:sz w:val="28"/>
    </w:rPr>
  </w:style>
  <w:style w:type="paragraph" w:customStyle="1" w:styleId="120">
    <w:name w:val="Andy_正文"/>
    <w:basedOn w:val="1"/>
    <w:next w:val="28"/>
    <w:qFormat/>
    <w:uiPriority w:val="0"/>
    <w:pPr>
      <w:spacing w:line="360" w:lineRule="auto"/>
      <w:ind w:firstLine="480"/>
    </w:pPr>
    <w:rPr>
      <w:rFonts w:ascii="Calibri"/>
      <w:sz w:val="24"/>
    </w:rPr>
  </w:style>
  <w:style w:type="paragraph" w:styleId="121">
    <w:name w:val="Quote"/>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122">
    <w:name w:val="默认段落字体 Para Char Char Char Char Char Char Char"/>
    <w:basedOn w:val="1"/>
    <w:next w:val="1"/>
    <w:qFormat/>
    <w:uiPriority w:val="0"/>
    <w:pPr>
      <w:spacing w:line="360" w:lineRule="auto"/>
    </w:pPr>
    <w:rPr>
      <w:rFonts w:ascii="Tahoma"/>
      <w:sz w:val="24"/>
    </w:rPr>
  </w:style>
  <w:style w:type="paragraph" w:customStyle="1" w:styleId="123">
    <w:name w:val="Plain Text1"/>
    <w:basedOn w:val="1"/>
    <w:qFormat/>
    <w:uiPriority w:val="0"/>
    <w:pPr>
      <w:adjustRightInd w:val="0"/>
      <w:textAlignment w:val="baseline"/>
    </w:pPr>
    <w:rPr>
      <w:rFonts w:ascii="宋体" w:hAnsi="Courier New"/>
    </w:rPr>
  </w:style>
  <w:style w:type="paragraph" w:customStyle="1" w:styleId="124">
    <w:name w:val="TOC 标题2"/>
    <w:next w:val="1"/>
    <w:qFormat/>
    <w:uiPriority w:val="0"/>
    <w:pPr>
      <w:wordWrap w:val="0"/>
    </w:pPr>
    <w:rPr>
      <w:rFonts w:ascii="Times New Roman" w:hAnsi="Times New Roman" w:eastAsia="宋体" w:cs="Times New Roman"/>
      <w:sz w:val="32"/>
      <w:lang w:val="en-US" w:eastAsia="zh-CN" w:bidi="ar-SA"/>
    </w:rPr>
  </w:style>
  <w:style w:type="paragraph" w:customStyle="1" w:styleId="125">
    <w:name w:val="目录 22"/>
    <w:basedOn w:val="1"/>
    <w:next w:val="1"/>
    <w:qFormat/>
    <w:uiPriority w:val="0"/>
    <w:pPr>
      <w:spacing w:line="400" w:lineRule="exact"/>
      <w:ind w:left="420"/>
    </w:pPr>
    <w:rPr>
      <w:b/>
      <w:sz w:val="24"/>
    </w:rPr>
  </w:style>
  <w:style w:type="paragraph" w:customStyle="1" w:styleId="126">
    <w:name w:val="p0"/>
    <w:basedOn w:val="1"/>
    <w:next w:val="34"/>
    <w:qFormat/>
    <w:uiPriority w:val="0"/>
    <w:pPr>
      <w:widowControl/>
    </w:pPr>
    <w:rPr>
      <w:sz w:val="26"/>
    </w:rPr>
  </w:style>
  <w:style w:type="paragraph" w:customStyle="1" w:styleId="127">
    <w:name w:val="首行缩进"/>
    <w:basedOn w:val="1"/>
    <w:qFormat/>
    <w:uiPriority w:val="0"/>
    <w:pPr>
      <w:ind w:firstLine="480" w:firstLineChars="200"/>
    </w:pPr>
  </w:style>
  <w:style w:type="paragraph" w:customStyle="1" w:styleId="128">
    <w:name w:val="03 正文"/>
    <w:basedOn w:val="1"/>
    <w:qFormat/>
    <w:uiPriority w:val="0"/>
    <w:pPr>
      <w:widowControl/>
      <w:spacing w:line="500" w:lineRule="atLeast"/>
      <w:ind w:firstLine="420" w:firstLineChars="200"/>
    </w:pPr>
    <w:rPr>
      <w:szCs w:val="22"/>
    </w:rPr>
  </w:style>
  <w:style w:type="character" w:customStyle="1" w:styleId="129">
    <w:name w:val="font01"/>
    <w:basedOn w:val="47"/>
    <w:qFormat/>
    <w:uiPriority w:val="0"/>
    <w:rPr>
      <w:rFonts w:hint="eastAsia" w:ascii="宋体" w:hAnsi="宋体" w:eastAsia="宋体" w:cs="宋体"/>
      <w:color w:val="000000"/>
      <w:sz w:val="24"/>
      <w:szCs w:val="24"/>
      <w:u w:val="none"/>
    </w:rPr>
  </w:style>
  <w:style w:type="character" w:customStyle="1" w:styleId="130">
    <w:name w:val="c-icon"/>
    <w:basedOn w:val="47"/>
    <w:qFormat/>
    <w:uiPriority w:val="0"/>
  </w:style>
  <w:style w:type="character" w:customStyle="1" w:styleId="131">
    <w:name w:val="hover26"/>
    <w:basedOn w:val="47"/>
    <w:qFormat/>
    <w:uiPriority w:val="0"/>
    <w:rPr>
      <w:color w:val="315EFB"/>
    </w:rPr>
  </w:style>
  <w:style w:type="character" w:customStyle="1" w:styleId="132">
    <w:name w:val="hover27"/>
    <w:basedOn w:val="47"/>
    <w:qFormat/>
    <w:uiPriority w:val="0"/>
    <w:rPr>
      <w:color w:val="315EFB"/>
    </w:rPr>
  </w:style>
  <w:style w:type="character" w:customStyle="1" w:styleId="133">
    <w:name w:val="hover28"/>
    <w:basedOn w:val="47"/>
    <w:qFormat/>
    <w:uiPriority w:val="0"/>
  </w:style>
  <w:style w:type="character" w:customStyle="1" w:styleId="134">
    <w:name w:val="content-right_8zs401"/>
    <w:basedOn w:val="47"/>
    <w:qFormat/>
    <w:uiPriority w:val="0"/>
  </w:style>
  <w:style w:type="paragraph" w:customStyle="1" w:styleId="135">
    <w:name w:val="纯文本21"/>
    <w:basedOn w:val="1"/>
    <w:qFormat/>
    <w:uiPriority w:val="0"/>
    <w:pPr>
      <w:adjustRightInd w:val="0"/>
      <w:textAlignment w:val="baseline"/>
    </w:pPr>
    <w:rPr>
      <w:rFonts w:ascii="宋体" w:hAnsi="Courier New"/>
    </w:rPr>
  </w:style>
  <w:style w:type="paragraph" w:customStyle="1" w:styleId="136">
    <w:name w:val="正文 A"/>
    <w:qFormat/>
    <w:uiPriority w:val="0"/>
    <w:pPr>
      <w:framePr w:wrap="around" w:vAnchor="margin" w:hAnchor="text" w:yAlign="top"/>
      <w:widowControl w:val="0"/>
      <w:jc w:val="both"/>
    </w:pPr>
    <w:rPr>
      <w:rFonts w:ascii="Calibri" w:hAnsi="Arial Unicode MS" w:eastAsia="Arial Unicode MS" w:cs="Arial Unicode MS"/>
      <w:color w:val="000000"/>
      <w:kern w:val="2"/>
      <w:sz w:val="21"/>
      <w:szCs w:val="21"/>
      <w:lang w:val="en-US" w:eastAsia="zh-CN" w:bidi="ar-SA"/>
    </w:rPr>
  </w:style>
  <w:style w:type="paragraph" w:customStyle="1" w:styleId="137">
    <w:name w:val="纯文本3"/>
    <w:basedOn w:val="1"/>
    <w:qFormat/>
    <w:uiPriority w:val="0"/>
    <w:pPr>
      <w:adjustRightInd w:val="0"/>
      <w:textAlignment w:val="baseline"/>
    </w:pPr>
    <w:rPr>
      <w:rFonts w:ascii="宋体" w:hAnsi="Courier New"/>
    </w:rPr>
  </w:style>
  <w:style w:type="paragraph" w:customStyle="1" w:styleId="138">
    <w:name w:val="TableOfAuthoring"/>
    <w:basedOn w:val="1"/>
    <w:next w:val="1"/>
    <w:qFormat/>
    <w:uiPriority w:val="0"/>
    <w:pPr>
      <w:ind w:left="420" w:leftChars="200"/>
      <w:textAlignment w:val="baseline"/>
    </w:pPr>
    <w:rPr>
      <w:rFonts w:ascii="Calibri" w:hAnsi="Calibri" w:eastAsia="楷体_GB2312"/>
      <w:kern w:val="2"/>
      <w:szCs w:val="24"/>
    </w:rPr>
  </w:style>
  <w:style w:type="character" w:customStyle="1" w:styleId="139">
    <w:name w:val="font11"/>
    <w:basedOn w:val="47"/>
    <w:qFormat/>
    <w:uiPriority w:val="0"/>
    <w:rPr>
      <w:rFonts w:hint="eastAsia" w:ascii="宋体" w:hAnsi="宋体" w:eastAsia="宋体" w:cs="宋体"/>
      <w:color w:val="000000"/>
      <w:sz w:val="20"/>
      <w:szCs w:val="20"/>
      <w:u w:val="none"/>
    </w:rPr>
  </w:style>
  <w:style w:type="character" w:customStyle="1" w:styleId="140">
    <w:name w:val="font21"/>
    <w:basedOn w:val="47"/>
    <w:qFormat/>
    <w:uiPriority w:val="0"/>
    <w:rPr>
      <w:rFonts w:hint="eastAsia" w:ascii="宋体" w:hAnsi="宋体" w:eastAsia="宋体" w:cs="宋体"/>
      <w:color w:val="000000"/>
      <w:sz w:val="20"/>
      <w:szCs w:val="20"/>
      <w:u w:val="none"/>
    </w:rPr>
  </w:style>
  <w:style w:type="paragraph" w:customStyle="1" w:styleId="141">
    <w:name w:val="表格"/>
    <w:basedOn w:val="1"/>
    <w:qFormat/>
    <w:uiPriority w:val="0"/>
    <w:pPr>
      <w:widowControl/>
      <w:jc w:val="center"/>
    </w:pPr>
    <w:rPr>
      <w:rFonts w:cs="宋体"/>
      <w:color w:val="000000"/>
    </w:rPr>
  </w:style>
  <w:style w:type="paragraph" w:customStyle="1" w:styleId="142">
    <w:name w:val="报告正文"/>
    <w:basedOn w:val="1"/>
    <w:qFormat/>
    <w:uiPriority w:val="0"/>
    <w:rPr>
      <w:kern w:val="2"/>
      <w:szCs w:val="24"/>
    </w:rPr>
  </w:style>
  <w:style w:type="paragraph" w:customStyle="1" w:styleId="143">
    <w:name w:val="正文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4">
    <w:name w:val="页眉 字符"/>
    <w:basedOn w:val="47"/>
    <w:link w:val="31"/>
    <w:qFormat/>
    <w:uiPriority w:val="0"/>
    <w:rPr>
      <w:sz w:val="18"/>
    </w:rPr>
  </w:style>
  <w:style w:type="character" w:customStyle="1" w:styleId="145">
    <w:name w:val="页脚 字符"/>
    <w:basedOn w:val="47"/>
    <w:link w:val="30"/>
    <w:qFormat/>
    <w:uiPriority w:val="0"/>
    <w:rPr>
      <w:sz w:val="18"/>
    </w:rPr>
  </w:style>
  <w:style w:type="paragraph" w:customStyle="1" w:styleId="146">
    <w:name w:val="标题 31"/>
    <w:basedOn w:val="1"/>
    <w:next w:val="1"/>
    <w:qFormat/>
    <w:uiPriority w:val="9"/>
    <w:pPr>
      <w:keepNext/>
      <w:keepLines/>
      <w:jc w:val="left"/>
      <w:outlineLvl w:val="2"/>
    </w:pPr>
    <w:rPr>
      <w:rFonts w:eastAsia="楷体_GB2312"/>
      <w:b/>
      <w:sz w:val="28"/>
    </w:rPr>
  </w:style>
  <w:style w:type="paragraph" w:customStyle="1" w:styleId="147">
    <w:name w:val="正文缩进111"/>
    <w:basedOn w:val="1"/>
    <w:next w:val="1"/>
    <w:qFormat/>
    <w:uiPriority w:val="0"/>
    <w:pPr>
      <w:ind w:firstLine="420"/>
      <w:jc w:val="left"/>
    </w:pPr>
    <w:rPr>
      <w:sz w:val="24"/>
    </w:rPr>
  </w:style>
  <w:style w:type="paragraph" w:customStyle="1" w:styleId="148">
    <w:name w:val="纯文本4"/>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8891F9-CBED-460A-A4CE-747E06FD524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20927</Words>
  <Characters>21858</Characters>
  <Lines>189</Lines>
  <Paragraphs>53</Paragraphs>
  <TotalTime>5</TotalTime>
  <ScaleCrop>false</ScaleCrop>
  <LinksUpToDate>false</LinksUpToDate>
  <CharactersWithSpaces>22221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2024-04-11T17:34:00Z</dcterms:created>
  <dc:creator>雨婷1382922454</dc:creator>
  <cp:lastModifiedBy>Jiang_M</cp:lastModifiedBy>
  <cp:lastPrinted>2020-11-25T21:38:00Z</cp:lastPrinted>
  <dcterms:modified xsi:type="dcterms:W3CDTF">2026-04-27T05:54:41Z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4A1B56C555B34AC8A3F0277F3F0F656A_13</vt:lpwstr>
  </property>
  <property fmtid="{D5CDD505-2E9C-101B-9397-08002B2CF9AE}" pid="4" name="KSOTemplateDocerSaveRecord">
    <vt:lpwstr>eyJoZGlkIjoiOGJmMDA2NGQyMzZlNjM5MzA0YmFjNTc5NjdkZmMxODQiLCJ1c2VySWQiOiIxMDE3ODAyNzY3In0=</vt:lpwstr>
  </property>
</Properties>
</file>