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江苏省人民医院医用直线加速器维保服务项目</w:t>
      </w:r>
      <w:r/>
    </w:p>
    <w:p>
      <w:pPr>
        <w:pStyle w:val="843"/>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项目编号：JSZC-320000-JSHY-G2026-0089</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代理机构识别号：1009-2641HOLLYD38</w:t>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5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3"/>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770"/>
            <w:spacing w:line="480" w:lineRule="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p>
        <w:p>
          <w:pPr>
            <w:pStyle w:val="77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第四部分项目需求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t xml:space="preserve">8</w:t>
          </w:r>
          <w:r/>
        </w:p>
        <w:p>
          <w:pPr>
            <w:pStyle w:val="77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0"/>
            <w:spacing w:line="480" w:lineRule="auto"/>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0"/>
            <w:spacing w:line="480" w:lineRule="auto"/>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70"/>
            <w:jc w:val="center"/>
            <w:spacing w:line="480" w:lineRule="auto"/>
            <w:tabs>
              <w:tab w:val="right" w:pos="9740" w:leader="dot"/>
            </w:tabs>
            <w:rPr>
              <w:rFonts w:hint="eastAsia"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hint="eastAsia" w:ascii="宋体" w:hAnsi="宋体" w:cs="宋体"/>
          <w:bCs/>
          <w:color w:val="auto"/>
          <w:szCs w:val="28"/>
          <w:highlight w:val="none"/>
        </w:rPr>
      </w:pPr>
      <w:r>
        <w:rPr>
          <w:rFonts w:hint="eastAsia" w:ascii="宋体" w:hAnsi="宋体" w:cs="宋体"/>
          <w:bCs/>
          <w:color w:val="auto"/>
          <w:szCs w:val="28"/>
          <w:highlight w:val="none"/>
        </w:rPr>
      </w:r>
      <w:r/>
    </w:p>
    <w:p>
      <w:pPr>
        <w:jc w:val="left"/>
        <w:tabs>
          <w:tab w:val="left" w:pos="1445" w:leader="none"/>
        </w:tabs>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4"/>
          <w:color w:val="auto"/>
          <w:sz w:val="32"/>
          <w:highlight w:val="none"/>
        </w:rPr>
        <w:outlineLvl w:val="0"/>
      </w:pPr>
      <w:r/>
      <w:bookmarkStart w:id="1" w:name="_Toc514054470"/>
      <w:r/>
      <w:bookmarkStart w:id="2" w:name="_Toc32256"/>
      <w:r/>
      <w:bookmarkStart w:id="3" w:name="_Toc27317"/>
      <w:r>
        <w:rPr>
          <w:rStyle w:val="844"/>
          <w:rFonts w:hint="eastAsia"/>
          <w:color w:val="auto"/>
          <w:highlight w:val="none"/>
        </w:rPr>
        <w:t xml:space="preserve">第一部分招标公告</w:t>
      </w:r>
      <w:bookmarkEnd w:id="1"/>
      <w:r/>
      <w:bookmarkEnd w:id="2"/>
      <w:r/>
      <w:bookmarkEnd w:id="3"/>
      <w:r/>
      <w:r/>
    </w:p>
    <w:tbl>
      <w:tblPr>
        <w:tblStyle w:val="75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江苏省人民医院医用直线加速器维保服务项目的潜在投标人应在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w:t>
            </w:r>
            <w:r>
              <w:rPr>
                <w:rFonts w:hint="eastAsia" w:ascii="宋体" w:hAnsi="宋体" w:cs="宋体"/>
                <w:color w:val="auto"/>
                <w:sz w:val="24"/>
                <w:szCs w:val="24"/>
                <w:highlight w:val="none"/>
              </w:rPr>
              <w:t xml:space="preserve">（北京时间）前递交投标文件。</w:t>
            </w:r>
            <w:r/>
          </w:p>
        </w:tc>
      </w:tr>
    </w:tbl>
    <w:p>
      <w:pPr>
        <w:pStyle w:val="1213"/>
        <w:ind w:firstLine="480"/>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9050"/>
      <w:r/>
      <w:bookmarkStart w:id="5" w:name="_Toc2298"/>
      <w:r/>
      <w:bookmarkStart w:id="6" w:name="_Toc758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13"/>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1.项目编号：JSZC-320000-JSHY-G2026-0089</w:t>
      </w:r>
      <w:r/>
    </w:p>
    <w:p>
      <w:pPr>
        <w:pStyle w:val="1213"/>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2.项目名称：江苏省人民医院医用直线加速器维保服务项目</w:t>
      </w:r>
      <w:r/>
    </w:p>
    <w:p>
      <w:pPr>
        <w:pStyle w:val="1213"/>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3.预算金额：930万元人民币</w:t>
      </w:r>
      <w:r/>
    </w:p>
    <w:p>
      <w:pPr>
        <w:pStyle w:val="1213"/>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4.最高限价：930万元/三年(310万元/年)，超过最高限价的投标文件按无效标处理</w:t>
      </w:r>
      <w:r/>
    </w:p>
    <w:p>
      <w:pPr>
        <w:pStyle w:val="1213"/>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5.采购需求:详见招标文件第四章“项目需求”</w:t>
      </w:r>
      <w:r/>
    </w:p>
    <w:tbl>
      <w:tblPr>
        <w:tblStyle w:val="75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4437"/>
        <w:gridCol w:w="2951"/>
      </w:tblGrid>
      <w:tr>
        <w:trPr>
          <w:jc w:val="center"/>
          <w:trHeight w:val="8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3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p>
        </w:tc>
      </w:tr>
      <w:tr>
        <w:trPr>
          <w:jc w:val="center"/>
          <w:trHeight w:val="8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医用直线加速器维保服务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人民币930万元</w:t>
            </w:r>
            <w:r/>
          </w:p>
        </w:tc>
      </w:tr>
    </w:tbl>
    <w:p>
      <w:pPr>
        <w:pStyle w:val="1213"/>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bookmarkStart w:id="7" w:name="_Toc3038"/>
      <w:r>
        <w:rPr>
          <w:rFonts w:hint="eastAsia" w:ascii="宋体" w:hAnsi="宋体" w:cs="宋体"/>
          <w:color w:val="auto"/>
          <w:sz w:val="24"/>
          <w:szCs w:val="24"/>
          <w:highlight w:val="none"/>
        </w:rPr>
        <w:t xml:space="preserve">自合同签订之日起，服务期三年，合同一年一签。</w:t>
      </w:r>
      <w:r>
        <w:rPr>
          <w:rFonts w:hint="eastAsia" w:ascii="宋体" w:hAnsi="宋体" w:cs="宋体"/>
          <w:color w:val="auto"/>
          <w:spacing w:val="0"/>
          <w:sz w:val="24"/>
          <w:szCs w:val="24"/>
          <w:highlight w:val="none"/>
        </w:rPr>
        <w:t xml:space="preserve">合同服务期满根据招标人对中标人的当年考评结果决定下一年度是否续签。</w:t>
      </w:r>
      <w:r/>
    </w:p>
    <w:p>
      <w:pPr>
        <w:pStyle w:val="1213"/>
        <w:ind w:firstLine="96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7.本项目（是/否）接受联合体投标：否</w:t>
      </w:r>
      <w:r/>
    </w:p>
    <w:p>
      <w:pPr>
        <w:pStyle w:val="1213"/>
        <w:ind w:left="567" w:firstLine="0"/>
        <w:spacing w:line="360"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int="eastAsia"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具有良好的商业信誉和健全的财务会计制度（提供2024年度或2025年度财务报告，至少包含资产负债表、利润表；或投标截止时间前六个月内银行出具的资信证明；成立不满一年无须提供）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bookmarkStart w:id="19" w:name="OLE_LINK22"/>
      <w:r>
        <w:rPr>
          <w:rFonts w:hint="eastAsia" w:ascii="宋体" w:hAnsi="宋体"/>
          <w:color w:val="auto"/>
          <w:sz w:val="24"/>
          <w:szCs w:val="24"/>
          <w:highlight w:val="none"/>
        </w:rPr>
        <w:t xml:space="preserve">法律、行政法规规定的其他条件。</w:t>
      </w:r>
      <w:bookmarkEnd w:id="19"/>
      <w:r/>
      <w:r/>
    </w:p>
    <w:p>
      <w:pPr>
        <w:pStyle w:val="843"/>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1249"/>
        <w:ind w:left="709" w:firstLine="48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服务类采购。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49"/>
        <w:ind w:left="709" w:firstLine="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pStyle w:val="760"/>
        <w:ind w:left="1134"/>
        <w:spacing w:line="276" w:lineRule="auto"/>
        <w:rPr>
          <w:rFonts w:hint="eastAsia" w:ascii="宋体" w:hAnsi="宋体"/>
          <w:color w:val="auto"/>
          <w:sz w:val="24"/>
          <w:szCs w:val="24"/>
          <w:highlight w:val="none"/>
        </w:rPr>
      </w:pPr>
      <w:r/>
      <w:bookmarkStart w:id="20" w:name="OLE_LINK28"/>
      <w:r>
        <w:rPr>
          <w:rFonts w:hint="eastAsia" w:ascii="宋体" w:hAnsi="宋体"/>
          <w:color w:val="auto"/>
          <w:sz w:val="24"/>
          <w:szCs w:val="24"/>
          <w:highlight w:val="none"/>
        </w:rPr>
        <w:t xml:space="preserve">1.本项目</w:t>
      </w:r>
      <w:r>
        <w:rPr>
          <w:rFonts w:hint="eastAsia"/>
          <w:color w:val="auto"/>
          <w:sz w:val="24"/>
          <w:highlight w:val="none"/>
        </w:rPr>
        <w:t xml:space="preserve">投标人须具有医疗器械经营许可证或医疗器械经营备案凭证或医疗器械生产许可证；</w:t>
      </w:r>
      <w:r>
        <w:rPr>
          <w:rFonts w:hint="eastAsia" w:ascii="宋体" w:hAnsi="宋体"/>
          <w:color w:val="auto"/>
          <w:sz w:val="24"/>
          <w:szCs w:val="24"/>
          <w:highlight w:val="none"/>
        </w:rPr>
        <w:t xml:space="preserve">投标时需提供扫描件并加盖电子公章；</w:t>
      </w:r>
      <w:r/>
    </w:p>
    <w:p>
      <w:pPr>
        <w:ind w:left="1134"/>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2.本项目</w:t>
      </w:r>
      <w:r>
        <w:rPr>
          <w:rFonts w:hint="eastAsia" w:ascii="宋体" w:hAnsi="宋体"/>
          <w:color w:val="auto"/>
          <w:sz w:val="24"/>
          <w:szCs w:val="24"/>
          <w:highlight w:val="none"/>
        </w:rPr>
        <w:t xml:space="preserve">投标人须具</w:t>
      </w:r>
      <w:r>
        <w:rPr>
          <w:rFonts w:hint="eastAsia" w:ascii="宋体" w:hAnsi="宋体"/>
          <w:color w:val="auto"/>
          <w:sz w:val="24"/>
          <w:szCs w:val="24"/>
          <w:highlight w:val="none"/>
        </w:rPr>
        <w:t xml:space="preserve">有环保部门颁发的《辐射安全许可证》，投标时需提供扫描件并加盖电子公章。</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3.拒绝下述供应商参加本次采购活动的情形：</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3.1.供应商单位负责人为同一人或者存在直接控股、管理关系的不同供应商，不得参加同一合同项下的政府采购活动。</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3.2.凡为采购项目提供整体设计、规范编制或者项目管理、监理、检测等服务的供应商，不得再参加本项目的采购活动。</w:t>
      </w:r>
      <w:r/>
    </w:p>
    <w:p>
      <w:pPr>
        <w:ind w:left="1134"/>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3.3.拒绝列入失信被执行人、重大税收违法案件当事人名单、政府采购严重违法失信行为记录名单的供应商参与政府采购活动。</w:t>
      </w:r>
      <w:bookmarkEnd w:id="20"/>
      <w:r/>
      <w:r/>
    </w:p>
    <w:p>
      <w:pPr>
        <w:pStyle w:val="1249"/>
        <w:spacing w:line="360" w:lineRule="auto"/>
        <w:rPr>
          <w:rFonts w:hint="eastAsia" w:ascii="宋体" w:hAnsi="宋体" w:cs="宋体"/>
          <w:b/>
          <w:bCs/>
          <w:color w:val="auto"/>
          <w:sz w:val="24"/>
          <w:szCs w:val="24"/>
          <w:highlight w:val="none"/>
        </w:rPr>
        <w:outlineLvl w:val="1"/>
      </w:pPr>
      <w:r/>
      <w:bookmarkStart w:id="21" w:name="_Toc26697"/>
      <w:r/>
      <w:bookmarkStart w:id="22" w:name="_Toc1979"/>
      <w:r/>
      <w:bookmarkStart w:id="23" w:name="_Toc13339"/>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49"/>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12587"/>
      <w:r/>
      <w:bookmarkStart w:id="25" w:name="_Toc28083"/>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1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5月29</w:t>
      </w:r>
      <w:r>
        <w:rPr>
          <w:rFonts w:hint="eastAsia" w:ascii="宋体" w:hAnsi="宋体" w:cs="宋体"/>
          <w:color w:val="auto"/>
          <w:sz w:val="24"/>
          <w:szCs w:val="24"/>
          <w:highlight w:val="none"/>
        </w:rPr>
        <w:t xml:space="preserve">日0</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0分</w:t>
      </w:r>
      <w:r>
        <w:rPr>
          <w:rFonts w:hint="eastAsia" w:ascii="宋体" w:hAnsi="宋体" w:cs="宋体"/>
          <w:color w:val="auto"/>
          <w:sz w:val="24"/>
          <w:szCs w:val="24"/>
          <w:highlight w:val="none"/>
        </w:rPr>
        <w:t xml:space="preserve">（北京时间）</w:t>
      </w:r>
      <w:r/>
    </w:p>
    <w:p>
      <w:pPr>
        <w:pStyle w:val="121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3"/>
        <w:ind w:left="708" w:firstLine="0"/>
        <w:spacing w:line="360" w:lineRule="auto"/>
        <w:tabs>
          <w:tab w:val="left" w:pos="1134" w:leader="none"/>
        </w:tabs>
        <w:rPr>
          <w:rFonts w:hint="eastAsia" w:ascii="宋体" w:hAnsi="宋体" w:cs="宋体"/>
          <w:b/>
          <w:bCs/>
          <w:color w:val="auto"/>
          <w:sz w:val="24"/>
          <w:szCs w:val="24"/>
          <w:highlight w:val="none"/>
        </w:rPr>
        <w:outlineLvl w:val="1"/>
      </w:pPr>
      <w:r/>
      <w:bookmarkStart w:id="27" w:name="_Toc5544"/>
      <w:r/>
      <w:bookmarkStart w:id="28" w:name="_Toc8288"/>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13"/>
        <w:ind w:firstLine="1200"/>
        <w:spacing w:line="360"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3"/>
        <w:numPr>
          <w:ilvl w:val="0"/>
          <w:numId w:val="5"/>
        </w:numPr>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0" w:name="_Toc15265"/>
      <w:r/>
      <w:bookmarkStart w:id="31" w:name="_Toc12830"/>
      <w:r/>
      <w:bookmarkStart w:id="32" w:name="_Toc12845"/>
      <w:r>
        <w:rPr>
          <w:rFonts w:hint="eastAsia" w:ascii="宋体" w:hAnsi="宋体" w:cs="宋体"/>
          <w:b/>
          <w:bCs/>
          <w:color w:val="auto"/>
          <w:sz w:val="24"/>
          <w:szCs w:val="24"/>
          <w:highlight w:val="none"/>
        </w:rPr>
        <w:t xml:space="preserve">其他补充事宜</w:t>
      </w:r>
      <w:bookmarkEnd w:id="30"/>
      <w:r/>
      <w:bookmarkEnd w:id="31"/>
      <w:r/>
      <w:bookmarkEnd w:id="32"/>
      <w:r/>
      <w:r/>
    </w:p>
    <w:p>
      <w:pPr>
        <w:ind w:firstLine="723"/>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121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4284"/>
      <w:r/>
      <w:bookmarkStart w:id="35" w:name="_Toc26301"/>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39" w:name="_Toc29917"/>
      <w:r>
        <w:rPr>
          <w:rFonts w:hint="eastAsia" w:hAnsi="宋体" w:cs="宋体"/>
          <w:color w:val="auto"/>
          <w:szCs w:val="24"/>
          <w:highlight w:val="none"/>
        </w:rPr>
        <w:t xml:space="preserve">名称：江苏省人民医院 </w:t>
      </w:r>
      <w:r/>
    </w:p>
    <w:p>
      <w:pPr>
        <w:pStyle w:val="1032"/>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地址：南京市鼓楼区广州路300号 </w:t>
      </w:r>
      <w:r/>
    </w:p>
    <w:p>
      <w:pPr>
        <w:pStyle w:val="1032"/>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联系人：张老师</w:t>
      </w:r>
      <w:r/>
    </w:p>
    <w:p>
      <w:pPr>
        <w:pStyle w:val="1032"/>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联系方式：025-68305305</w:t>
      </w:r>
      <w:r/>
    </w:p>
    <w:p>
      <w:pPr>
        <w:pStyle w:val="1032"/>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40" w:name="_Toc17590"/>
      <w:r/>
      <w:bookmarkStart w:id="41" w:name="_Toc6514"/>
      <w:r>
        <w:rPr>
          <w:rFonts w:hint="eastAsia" w:hAnsi="宋体" w:cs="宋体"/>
          <w:color w:val="auto"/>
          <w:szCs w:val="24"/>
          <w:highlight w:val="none"/>
        </w:rPr>
        <w:t xml:space="preserve">名称：江苏弘业国际技术工程有限公司</w:t>
      </w:r>
      <w:bookmarkEnd w:id="40"/>
      <w:r/>
      <w:bookmarkEnd w:id="41"/>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42" w:name="_Toc8777"/>
      <w:r/>
      <w:bookmarkStart w:id="43" w:name="_Toc29228"/>
      <w:r>
        <w:rPr>
          <w:rFonts w:hint="eastAsia" w:hAnsi="宋体" w:cs="宋体"/>
          <w:color w:val="auto"/>
          <w:szCs w:val="24"/>
          <w:highlight w:val="none"/>
        </w:rPr>
        <w:t xml:space="preserve">地址：南京市中华路50号弘业大厦10楼</w:t>
      </w:r>
      <w:bookmarkEnd w:id="42"/>
      <w:r/>
      <w:bookmarkEnd w:id="43"/>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44" w:name="_Toc4151"/>
      <w:r/>
      <w:bookmarkStart w:id="45" w:name="_Toc30931"/>
      <w:r/>
      <w:bookmarkStart w:id="46" w:name="_Toc21139"/>
      <w:r/>
      <w:bookmarkStart w:id="47" w:name="_Toc4597"/>
      <w:r>
        <w:rPr>
          <w:rFonts w:hint="eastAsia" w:hAnsi="宋体" w:cs="宋体"/>
          <w:color w:val="auto"/>
          <w:szCs w:val="24"/>
          <w:highlight w:val="none"/>
        </w:rPr>
        <w:t xml:space="preserve">联系方式：</w:t>
      </w:r>
      <w:bookmarkEnd w:id="44"/>
      <w:r/>
      <w:bookmarkEnd w:id="45"/>
      <w:r>
        <w:rPr>
          <w:rFonts w:hint="eastAsia" w:hAnsi="宋体" w:cs="宋体"/>
          <w:color w:val="auto"/>
          <w:szCs w:val="24"/>
          <w:highlight w:val="none"/>
        </w:rPr>
        <w:t xml:space="preserve"> 025-52278674</w:t>
      </w:r>
      <w:r/>
    </w:p>
    <w:p>
      <w:pPr>
        <w:pStyle w:val="1032"/>
        <w:ind w:firstLine="720"/>
        <w:spacing w:before="0" w:beforeAutospacing="0" w:after="0" w:afterAutospacing="0" w:line="360" w:lineRule="auto"/>
        <w:rPr>
          <w:rFonts w:hint="eastAsia" w:hAnsi="宋体" w:cs="宋体"/>
          <w:color w:val="auto"/>
          <w:szCs w:val="24"/>
          <w:highlight w:val="none"/>
        </w:rPr>
        <w:outlineLvl w:val="1"/>
      </w:pPr>
      <w:r/>
      <w:bookmarkStart w:id="48" w:name="_Toc23093"/>
      <w:r/>
      <w:bookmarkStart w:id="49" w:name="_Toc2685"/>
      <w:r>
        <w:rPr>
          <w:rFonts w:hint="eastAsia" w:hAnsi="宋体" w:cs="宋体"/>
          <w:color w:val="auto"/>
          <w:szCs w:val="24"/>
          <w:highlight w:val="none"/>
        </w:rPr>
        <w:t xml:space="preserve">传  真：025-5227876</w:t>
      </w:r>
      <w:bookmarkEnd w:id="48"/>
      <w:r/>
      <w:bookmarkEnd w:id="49"/>
      <w:r>
        <w:rPr>
          <w:rFonts w:hint="eastAsia" w:hAnsi="宋体" w:cs="宋体"/>
          <w:color w:val="auto"/>
          <w:szCs w:val="24"/>
          <w:highlight w:val="none"/>
        </w:rPr>
        <w:t xml:space="preserve">1</w:t>
      </w:r>
      <w:r/>
    </w:p>
    <w:p>
      <w:pPr>
        <w:pStyle w:val="1032"/>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bookmarkEnd w:id="46"/>
      <w:r/>
      <w:bookmarkEnd w:id="47"/>
      <w:r/>
      <w:bookmarkEnd w:id="38"/>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olor w:val="auto"/>
          <w:szCs w:val="24"/>
          <w:highlight w:val="none"/>
          <w:shd w:val="clear" w:color="auto" w:fill="ffffff"/>
        </w:rPr>
        <w:t xml:space="preserve">王杰</w:t>
      </w:r>
      <w:r/>
    </w:p>
    <w:p>
      <w:pPr>
        <w:pStyle w:val="1032"/>
        <w:ind w:firstLine="720"/>
        <w:spacing w:before="0" w:beforeAutospacing="0" w:after="0" w:afterAutospacing="0" w:line="312" w:lineRule="auto"/>
        <w:rPr>
          <w:rFonts w:hint="eastAsia" w:hAnsi="宋体" w:cs="宋体"/>
          <w:color w:val="auto"/>
          <w:szCs w:val="24"/>
          <w:highlight w:val="none"/>
        </w:rPr>
        <w:outlineLvl w:val="1"/>
      </w:pPr>
      <w:r/>
      <w:bookmarkStart w:id="52" w:name="_Toc12073"/>
      <w:r/>
      <w:bookmarkStart w:id="53" w:name="_Toc13399"/>
      <w:r>
        <w:rPr>
          <w:rFonts w:hint="eastAsia" w:hAnsi="宋体" w:cs="宋体"/>
          <w:color w:val="auto"/>
          <w:szCs w:val="24"/>
          <w:highlight w:val="none"/>
        </w:rPr>
        <w:t xml:space="preserve">电话：</w:t>
      </w:r>
      <w:bookmarkEnd w:id="52"/>
      <w:r/>
      <w:bookmarkEnd w:id="53"/>
      <w:r>
        <w:rPr>
          <w:rFonts w:hint="eastAsia" w:hAnsi="宋体"/>
          <w:color w:val="auto"/>
          <w:szCs w:val="24"/>
          <w:highlight w:val="none"/>
          <w:shd w:val="clear" w:color="auto" w:fill="ffffff"/>
        </w:rPr>
        <w:t xml:space="preserve">025-52278</w:t>
      </w:r>
      <w:r>
        <w:rPr>
          <w:rFonts w:hAnsi="宋体"/>
          <w:color w:val="auto"/>
          <w:szCs w:val="24"/>
          <w:highlight w:val="none"/>
          <w:shd w:val="clear" w:color="auto" w:fill="ffffff"/>
        </w:rPr>
        <w:t xml:space="preserve">674</w:t>
      </w:r>
      <w:r/>
    </w:p>
    <w:p>
      <w:pPr>
        <w:pStyle w:val="8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4"/>
        <w:rPr>
          <w:color w:val="auto"/>
          <w:highlight w:val="none"/>
        </w:rPr>
      </w:pPr>
      <w:r/>
      <w:bookmarkStart w:id="54" w:name="_Toc10498"/>
      <w:r/>
      <w:bookmarkStart w:id="55" w:name="_Toc7212"/>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pStyle w:val="744"/>
        <w:jc w:val="both"/>
        <w:rPr>
          <w:color w:val="auto"/>
          <w:highlight w:val="none"/>
        </w:rPr>
      </w:pPr>
      <w:r>
        <w:rPr>
          <w:color w:val="auto"/>
          <w:highlight w:val="none"/>
        </w:rPr>
      </w:r>
      <w:r/>
    </w:p>
    <w:p>
      <w:pPr>
        <w:pStyle w:val="744"/>
        <w:jc w:val="both"/>
        <w:spacing w:before="0" w:after="0"/>
        <w:rPr>
          <w:color w:val="auto"/>
          <w:highlight w:val="none"/>
        </w:rPr>
      </w:pPr>
      <w:r>
        <w:rPr>
          <w:color w:val="auto"/>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pStyle w:val="755"/>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rPr>
          <w:color w:val="auto"/>
          <w:highlight w:val="none"/>
        </w:rPr>
      </w:pPr>
      <w:r>
        <w:rPr>
          <w:color w:val="auto"/>
          <w:highlight w:val="none"/>
        </w:rPr>
      </w:r>
      <w:r/>
    </w:p>
    <w:p>
      <w:pPr>
        <w:pStyle w:val="755"/>
        <w:rPr>
          <w:color w:val="auto"/>
          <w:highlight w:val="none"/>
        </w:rPr>
      </w:pPr>
      <w:r>
        <w:rPr>
          <w:color w:val="auto"/>
          <w:highlight w:val="none"/>
        </w:rPr>
      </w:r>
      <w:r/>
    </w:p>
    <w:p>
      <w:pPr>
        <w:rPr>
          <w:color w:val="auto"/>
          <w:highlight w:val="none"/>
        </w:rPr>
      </w:pPr>
      <w:r>
        <w:rPr>
          <w:color w:val="auto"/>
          <w:highlight w:val="none"/>
        </w:rPr>
      </w:r>
      <w:r/>
    </w:p>
    <w:p>
      <w:pPr>
        <w:pStyle w:val="744"/>
        <w:rPr>
          <w:color w:val="auto"/>
          <w:highlight w:val="none"/>
        </w:rPr>
      </w:pPr>
      <w:r>
        <w:rPr>
          <w:rFonts w:hint="eastAsia"/>
          <w:color w:val="auto"/>
          <w:highlight w:val="none"/>
        </w:rPr>
        <w:t xml:space="preserve">第二部分投标人须知</w:t>
      </w:r>
      <w:bookmarkEnd w:id="54"/>
      <w:r/>
      <w:bookmarkEnd w:id="55"/>
      <w:r/>
      <w:r/>
    </w:p>
    <w:p>
      <w:pPr>
        <w:pStyle w:val="968"/>
        <w:jc w:val="center"/>
        <w:keepLines w:val="0"/>
        <w:keepNext w:val="0"/>
        <w:spacing w:before="0" w:after="0" w:line="240" w:lineRule="auto"/>
        <w:rPr>
          <w:rFonts w:hint="eastAsia" w:ascii="宋体" w:hAnsi="宋体" w:eastAsia="宋体" w:cs="宋体"/>
          <w:color w:val="auto"/>
          <w:highlight w:val="none"/>
        </w:rPr>
      </w:pPr>
      <w:r/>
      <w:bookmarkStart w:id="56" w:name="_Toc10216"/>
      <w:r/>
      <w:bookmarkStart w:id="57" w:name="_Toc514054471"/>
      <w:r/>
      <w:bookmarkStart w:id="58" w:name="_Toc17216"/>
      <w:r/>
      <w:bookmarkStart w:id="59" w:name="_Toc17705"/>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75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采购人与采购代理机构的委托代理协议约定，中标供应商应在中标后向采购代理机构交纳代理服务费。代理服务费以中标通知书的中标金额作为收取的计算基数，本项目中标服务费参照发改价格[2011]534号文35%收取，应在领取中标通知书前缴纳。</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投标人在汇款时，须在汇款单上注明项目编号</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本项目不适用。</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25522"/>
            <w:r/>
            <w:bookmarkStart w:id="62"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69"/>
        <w:rPr>
          <w:rFonts w:hint="eastAsia" w:ascii="宋体" w:hAnsi="宋体" w:eastAsia="宋体" w:cs="宋体"/>
          <w:color w:val="auto"/>
          <w:highlight w:val="none"/>
        </w:rPr>
        <w:outlineLvl w:val="1"/>
      </w:pPr>
      <w:r/>
      <w:bookmarkStart w:id="63" w:name="_Toc22298"/>
      <w:r/>
      <w:bookmarkStart w:id="64" w:name="_Toc20458"/>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bookmarkStart w:id="264" w:name="_GoBack"/>
      <w:r/>
      <w:bookmarkEnd w:id="264"/>
      <w:r/>
      <w:r/>
    </w:p>
    <w:p>
      <w:pPr>
        <w:pStyle w:val="997"/>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1369"/>
        <w:rPr>
          <w:rFonts w:hint="eastAsia" w:ascii="宋体" w:hAnsi="宋体" w:eastAsia="宋体" w:cs="宋体"/>
          <w:color w:val="auto"/>
          <w:highlight w:val="none"/>
        </w:rPr>
        <w:outlineLvl w:val="1"/>
      </w:pPr>
      <w:r/>
      <w:bookmarkStart w:id="65" w:name="_Toc30610"/>
      <w:r/>
      <w:bookmarkStart w:id="66" w:name="_Toc21335"/>
      <w:r/>
      <w:bookmarkStart w:id="67" w:name="_Toc17916"/>
      <w:r/>
      <w:bookmarkStart w:id="68" w:name="_Toc514054473"/>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第四部分：项目需求；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69"/>
        <w:rPr>
          <w:rFonts w:hint="eastAsia" w:ascii="宋体" w:hAnsi="宋体" w:eastAsia="宋体" w:cs="宋体"/>
          <w:color w:val="auto"/>
          <w:highlight w:val="none"/>
        </w:rPr>
        <w:outlineLvl w:val="1"/>
      </w:pPr>
      <w:r/>
      <w:bookmarkStart w:id="69" w:name="_Toc514054474"/>
      <w:r/>
      <w:bookmarkStart w:id="70" w:name="_Toc26908"/>
      <w:r/>
      <w:bookmarkStart w:id="71" w:name="_Toc26871"/>
      <w:r/>
      <w:bookmarkStart w:id="72" w:name="_Toc20227"/>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11.1.2具有良好的商业信誉和健全的财务会计制度（提供2024年度或2025年度财务报告，至少包含资产负债表、利润表；或投标截止时间前六个月内银行出具的资信证明；成立不满一年无须提供）；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11.1.7本项目投标人须具有医疗器械经营许可证或医疗器械经营备案凭证或医疗器械生产许可证；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11.1.8本项目投标人须具有环保部门颁发的《辐射安全许可证》；</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15、中标服务费</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15.1详见投标人须知前附表</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69"/>
        <w:rPr>
          <w:rFonts w:hint="eastAsia" w:ascii="宋体" w:hAnsi="宋体" w:eastAsia="宋体" w:cs="宋体"/>
          <w:color w:val="auto"/>
          <w:highlight w:val="none"/>
        </w:rPr>
        <w:outlineLvl w:val="1"/>
      </w:pPr>
      <w:r/>
      <w:bookmarkStart w:id="76" w:name="_Toc26211"/>
      <w:r/>
      <w:bookmarkStart w:id="77" w:name="_Toc9292"/>
      <w:r/>
      <w:bookmarkStart w:id="78" w:name="_Toc5409"/>
      <w:r/>
      <w:bookmarkStart w:id="79" w:name="_Toc514054475"/>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20823298"/>
      <w:r/>
      <w:bookmarkEnd w:id="82"/>
      <w:r/>
      <w:bookmarkStart w:id="83" w:name="_Toc16938542"/>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20823300"/>
      <w:r/>
      <w:bookmarkStart w:id="86" w:name="_Toc16938544"/>
      <w:r/>
      <w:bookmarkStart w:id="87" w:name="_Toc513029228"/>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69"/>
        <w:rPr>
          <w:rFonts w:hint="eastAsia" w:ascii="宋体" w:hAnsi="宋体" w:eastAsia="宋体" w:cs="宋体"/>
          <w:color w:val="auto"/>
          <w:highlight w:val="none"/>
        </w:rPr>
        <w:outlineLvl w:val="1"/>
      </w:pPr>
      <w:r/>
      <w:bookmarkStart w:id="88" w:name="_Toc30306"/>
      <w:r/>
      <w:bookmarkStart w:id="89" w:name="_Toc27625"/>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69"/>
        <w:rPr>
          <w:rFonts w:hint="eastAsia" w:ascii="宋体" w:hAnsi="宋体" w:eastAsia="宋体" w:cs="宋体"/>
          <w:color w:val="auto"/>
          <w:highlight w:val="none"/>
        </w:rPr>
        <w:outlineLvl w:val="1"/>
      </w:pPr>
      <w:r/>
      <w:bookmarkStart w:id="91" w:name="_Toc29013"/>
      <w:r/>
      <w:bookmarkStart w:id="92" w:name="_Toc11517"/>
      <w:r/>
      <w:bookmarkStart w:id="93" w:name="_Toc13553"/>
      <w:r/>
      <w:bookmarkStart w:id="94" w:name="_Toc514054477"/>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7"/>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cs="宋体"/>
          <w:color w:val="auto"/>
          <w:sz w:val="24"/>
          <w:szCs w:val="24"/>
          <w:highlight w:val="none"/>
        </w:rPr>
      </w:pPr>
      <w:r/>
      <w:bookmarkStart w:id="98" w:name="EBd9bc59d5f2ed4fb8a64ee2e373d8cc72"/>
      <w:r/>
      <w:bookmarkStart w:id="99" w:name="_Toc81493168"/>
      <w:r/>
      <w:bookmarkStart w:id="100" w:name="_Toc9744"/>
      <w:r/>
      <w:bookmarkStart w:id="101" w:name="_Toc23173"/>
      <w:r/>
      <w:bookmarkStart w:id="102" w:name="_Toc514054478"/>
      <w:r/>
      <w:bookmarkStart w:id="103" w:name="_Toc5167"/>
      <w:r>
        <w:rPr>
          <w:rFonts w:hint="eastAsia" w:ascii="宋体" w:hAnsi="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29.15网络产品、市场准入类产品采购</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241"/>
        <w:spacing w:line="500" w:lineRule="exact"/>
        <w:rPr>
          <w:rFonts w:hint="eastAsia" w:ascii="宋体" w:hAnsi="宋体" w:cs="宋体"/>
          <w:color w:val="auto"/>
          <w:sz w:val="24"/>
          <w:szCs w:val="24"/>
          <w:highlight w:val="none"/>
        </w:rPr>
      </w:pPr>
      <w:r>
        <w:rPr>
          <w:rFonts w:hint="eastAsia" w:ascii="宋体" w:hAnsi="宋体" w:cs="宋体"/>
          <w:b/>
          <w:bCs/>
          <w:i/>
          <w:iCs/>
          <w:color w:val="auto"/>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136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69"/>
        <w:rPr>
          <w:rFonts w:hint="eastAsia" w:ascii="宋体" w:hAnsi="宋体" w:eastAsia="宋体" w:cs="宋体"/>
          <w:color w:val="auto"/>
          <w:highlight w:val="none"/>
        </w:rPr>
        <w:outlineLvl w:val="1"/>
      </w:pPr>
      <w:r/>
      <w:bookmarkStart w:id="106" w:name="_Toc25599"/>
      <w:r/>
      <w:bookmarkStart w:id="107" w:name="_Toc31894"/>
      <w:r/>
      <w:bookmarkStart w:id="108" w:name="_Toc81493169"/>
      <w:r/>
      <w:bookmarkStart w:id="109" w:name="_Toc14752"/>
      <w:r/>
      <w:bookmarkStart w:id="110" w:name="_Toc514054479"/>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69"/>
        <w:rPr>
          <w:rFonts w:hint="eastAsia" w:ascii="宋体" w:hAnsi="宋体" w:eastAsia="宋体" w:cs="宋体"/>
          <w:color w:val="auto"/>
          <w:highlight w:val="none"/>
        </w:rPr>
        <w:outlineLvl w:val="1"/>
      </w:pPr>
      <w:r/>
      <w:bookmarkStart w:id="113" w:name="_Toc514054480"/>
      <w:r/>
      <w:bookmarkStart w:id="114" w:name="_Toc10945"/>
      <w:r/>
      <w:bookmarkStart w:id="115" w:name="_Toc81493170"/>
      <w:r/>
      <w:bookmarkStart w:id="116" w:name="_Toc31322"/>
      <w:r/>
      <w:bookmarkStart w:id="117" w:name="_Toc26939"/>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69"/>
        <w:spacing w:line="360" w:lineRule="auto"/>
        <w:rPr>
          <w:rFonts w:hint="eastAsia" w:ascii="宋体" w:hAnsi="宋体" w:eastAsia="宋体" w:cs="宋体"/>
          <w:color w:val="auto"/>
          <w:highlight w:val="none"/>
        </w:rPr>
        <w:outlineLvl w:val="1"/>
      </w:pPr>
      <w:r/>
      <w:bookmarkStart w:id="118" w:name="_Toc26968"/>
      <w:r/>
      <w:bookmarkStart w:id="119" w:name="_Toc513029242"/>
      <w:r/>
      <w:bookmarkStart w:id="120" w:name="_Toc32340"/>
      <w:r/>
      <w:bookmarkStart w:id="121" w:name="_Toc120614221"/>
      <w:r/>
      <w:bookmarkStart w:id="122" w:name="_Toc20823314"/>
      <w:r/>
      <w:bookmarkStart w:id="123" w:name="_Toc16938558"/>
      <w:r/>
      <w:bookmarkStart w:id="124" w:name="_Toc479757207"/>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44"/>
        <w:spacing w:before="0" w:after="0"/>
        <w:rPr>
          <w:rFonts w:hint="eastAsia"/>
          <w:color w:val="auto"/>
          <w:highlight w:val="none"/>
        </w:rPr>
      </w:pPr>
      <w:r>
        <w:rPr>
          <w:rFonts w:hint="eastAsia"/>
          <w:color w:val="auto"/>
          <w:highlight w:val="none"/>
        </w:rPr>
        <w:br w:type="page" w:clear="all"/>
      </w:r>
      <w:bookmarkStart w:id="125" w:name="_Toc28399"/>
      <w:r/>
      <w:bookmarkStart w:id="126" w:name="_Toc2112"/>
      <w:r/>
      <w:r/>
    </w:p>
    <w:p>
      <w:pPr>
        <w:pStyle w:val="744"/>
        <w:spacing w:before="0" w:after="0"/>
        <w:rPr>
          <w:rFonts w:hint="eastAsia"/>
          <w:color w:val="auto"/>
          <w:highlight w:val="none"/>
        </w:rPr>
      </w:pPr>
      <w:r>
        <w:rPr>
          <w:rFonts w:hint="eastAsia"/>
          <w:color w:val="auto"/>
          <w:highlight w:val="none"/>
        </w:rPr>
      </w:r>
      <w:r/>
    </w:p>
    <w:p>
      <w:pPr>
        <w:pStyle w:val="744"/>
        <w:spacing w:before="0" w:after="0"/>
        <w:rPr>
          <w:color w:val="auto"/>
          <w:highlight w:val="none"/>
        </w:rPr>
      </w:pPr>
      <w:r>
        <w:rPr>
          <w:rFonts w:hint="eastAsia"/>
          <w:color w:val="auto"/>
          <w:highlight w:val="none"/>
        </w:rPr>
        <w:t xml:space="preserve">第三部分评标方法和标准</w:t>
      </w:r>
      <w:bookmarkEnd w:id="125"/>
      <w:r/>
      <w:bookmarkEnd w:id="126"/>
      <w:r/>
      <w:r/>
    </w:p>
    <w:p>
      <w:pPr>
        <w:spacing w:before="156" w:after="156" w:line="360" w:lineRule="auto"/>
        <w:rPr>
          <w:rFonts w:hint="eastAsia" w:ascii="宋体" w:hAnsi="宋体" w:cs="宋体"/>
          <w:b/>
          <w:color w:val="auto"/>
          <w:sz w:val="32"/>
          <w:szCs w:val="32"/>
          <w:highlight w:val="none"/>
        </w:rPr>
        <w:outlineLvl w:val="1"/>
      </w:pPr>
      <w:r/>
      <w:bookmarkStart w:id="127" w:name="_Toc24217_WPSOffice_Level2"/>
      <w:r/>
      <w:bookmarkStart w:id="128" w:name="_Toc17445"/>
      <w:r/>
      <w:bookmarkStart w:id="129" w:name="_Toc12296"/>
      <w:r/>
      <w:bookmarkStart w:id="130" w:name="_Toc4647"/>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5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before="156" w:after="156" w:line="360" w:lineRule="auto"/>
        <w:rPr>
          <w:rFonts w:hint="eastAsia"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5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pacing w:line="360" w:lineRule="auto"/>
        <w:rPr>
          <w:rFonts w:hint="eastAsia" w:ascii="宋体" w:hAnsi="宋体" w:cs="宋体"/>
          <w:b/>
          <w:color w:val="auto"/>
          <w:sz w:val="20"/>
          <w:szCs w:val="20"/>
          <w:highlight w:val="none"/>
        </w:rPr>
        <w:outlineLvl w:val="1"/>
      </w:pPr>
      <w:r/>
      <w:bookmarkStart w:id="133" w:name="_Toc17823"/>
      <w:r/>
      <w:bookmarkStart w:id="134" w:name="_Toc3702"/>
      <w:r/>
      <w:bookmarkStart w:id="135" w:name="_Toc11959"/>
      <w:r/>
      <w:r/>
    </w:p>
    <w:p>
      <w:pP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w:t>
      </w:r>
      <w:r/>
    </w:p>
    <w:p>
      <w:pPr>
        <w:pStyle w:val="755"/>
        <w:rPr>
          <w:rFonts w:hint="eastAsia"/>
          <w:color w:val="auto"/>
          <w:highlight w:val="none"/>
        </w:rPr>
      </w:pPr>
      <w:r>
        <w:rPr>
          <w:rFonts w:hint="eastAsia"/>
          <w:color w:val="auto"/>
          <w:highlight w:val="none"/>
        </w:rPr>
      </w:r>
      <w:r/>
    </w:p>
    <w:p>
      <w:pPr>
        <w:numPr>
          <w:ilvl w:val="0"/>
          <w:numId w:val="8"/>
        </w:numPr>
        <w:ind w:firstLine="420"/>
        <w:spacing w:line="360" w:lineRule="auto"/>
        <w:rPr>
          <w:rFonts w:hint="eastAsia"/>
          <w:color w:val="auto"/>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54"/>
        <w:tblpPr w:horzAnchor="page" w:tblpX="968" w:vertAnchor="text" w:tblpY="2878" w:leftFromText="180" w:topFromText="0" w:rightFromText="180" w:bottomFromText="0"/>
        <w:tblW w:w="9750" w:type="dxa"/>
        <w:jc w:val="center"/>
        <w:tblBorders>
          <w:top w:val="single" w:color="111111" w:sz="6" w:space="0"/>
          <w:left w:val="single" w:color="111111" w:sz="6" w:space="0"/>
          <w:bottom w:val="single" w:color="111111" w:sz="6" w:space="0"/>
          <w:right w:val="single" w:color="111111" w:sz="6" w:space="0"/>
          <w:insideH w:val="none" w:color="auto" w:sz="0" w:space="0"/>
          <w:insideV w:val="none" w:color="auto" w:sz="0" w:space="0"/>
        </w:tblBorders>
        <w:tblLayout w:type="fixed"/>
        <w:tblCellMar>
          <w:left w:w="150" w:type="dxa"/>
          <w:top w:w="150" w:type="dxa"/>
          <w:right w:w="150" w:type="dxa"/>
          <w:bottom w:w="150" w:type="dxa"/>
        </w:tblCellMar>
        <w:tblLook w:val="04A0" w:firstRow="1" w:lastRow="0" w:firstColumn="1" w:lastColumn="0" w:noHBand="0" w:noVBand="1"/>
      </w:tblPr>
      <w:tblGrid>
        <w:gridCol w:w="667"/>
        <w:gridCol w:w="900"/>
        <w:gridCol w:w="883"/>
        <w:gridCol w:w="7300"/>
      </w:tblGrid>
      <w:tr>
        <w:trPr>
          <w:jc w:val="center"/>
          <w:trHeight w:val="786"/>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1"/>
              <w:jc w:val="center"/>
              <w:rPr>
                <w:rFonts w:ascii="宋体" w:hAnsi="宋体" w:cs="宋体"/>
                <w:b/>
                <w:color w:val="auto"/>
                <w:sz w:val="22"/>
                <w:highlight w:val="none"/>
              </w:rPr>
            </w:pPr>
            <w:r>
              <w:rPr>
                <w:rFonts w:hint="eastAsia" w:ascii="宋体" w:hAnsi="宋体" w:cs="宋体"/>
                <w:b/>
                <w:color w:val="auto"/>
                <w:sz w:val="22"/>
                <w:highlight w:val="none"/>
              </w:rPr>
              <w:t xml:space="preserve">序号</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421"/>
              <w:jc w:val="center"/>
              <w:rPr>
                <w:rFonts w:ascii="宋体" w:hAnsi="宋体" w:cs="宋体"/>
                <w:b/>
                <w:color w:val="auto"/>
                <w:sz w:val="22"/>
                <w:highlight w:val="none"/>
              </w:rPr>
            </w:pPr>
            <w:r>
              <w:rPr>
                <w:rFonts w:hint="eastAsia" w:ascii="宋体" w:hAnsi="宋体" w:cs="宋体"/>
                <w:b/>
                <w:color w:val="auto"/>
                <w:sz w:val="22"/>
                <w:highlight w:val="none"/>
              </w:rPr>
              <w:t xml:space="preserve">评审</w:t>
            </w:r>
            <w:r/>
          </w:p>
          <w:p>
            <w:pPr>
              <w:pStyle w:val="1421"/>
              <w:jc w:val="center"/>
              <w:rPr>
                <w:rFonts w:ascii="宋体" w:hAnsi="宋体" w:cs="宋体"/>
                <w:b/>
                <w:color w:val="auto"/>
                <w:sz w:val="22"/>
                <w:highlight w:val="none"/>
              </w:rPr>
            </w:pPr>
            <w:r>
              <w:rPr>
                <w:rFonts w:hint="eastAsia" w:ascii="宋体" w:hAnsi="宋体" w:cs="宋体"/>
                <w:b/>
                <w:color w:val="auto"/>
                <w:sz w:val="22"/>
                <w:highlight w:val="none"/>
              </w:rPr>
              <w:t xml:space="preserve">项目</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421"/>
              <w:jc w:val="center"/>
              <w:rPr>
                <w:rFonts w:ascii="宋体" w:hAnsi="宋体" w:cs="宋体"/>
                <w:b/>
                <w:color w:val="auto"/>
                <w:sz w:val="22"/>
                <w:highlight w:val="none"/>
              </w:rPr>
            </w:pPr>
            <w:r>
              <w:rPr>
                <w:rFonts w:hint="eastAsia" w:ascii="宋体" w:hAnsi="宋体" w:cs="宋体"/>
                <w:b/>
                <w:color w:val="auto"/>
                <w:sz w:val="22"/>
                <w:highlight w:val="none"/>
              </w:rPr>
              <w:t xml:space="preserve">分值</w:t>
            </w:r>
            <w:r/>
          </w:p>
        </w:tc>
        <w:tc>
          <w:tcPr>
            <w:tcBorders>
              <w:top w:val="single" w:color="auto" w:sz="4" w:space="0"/>
              <w:left w:val="single" w:color="111111" w:sz="6" w:space="0"/>
              <w:bottom w:val="single" w:color="111111" w:sz="6" w:space="0"/>
              <w:right w:val="single" w:color="auto" w:sz="4" w:space="0"/>
            </w:tcBorders>
            <w:tcW w:w="7300" w:type="dxa"/>
            <w:vAlign w:val="center"/>
            <w:textDirection w:val="lrTb"/>
            <w:noWrap/>
          </w:tcPr>
          <w:p>
            <w:pPr>
              <w:pStyle w:val="1421"/>
              <w:jc w:val="center"/>
              <w:rPr>
                <w:rFonts w:ascii="宋体" w:hAnsi="宋体" w:cs="宋体"/>
                <w:b/>
                <w:color w:val="auto"/>
                <w:sz w:val="22"/>
                <w:highlight w:val="none"/>
              </w:rPr>
            </w:pPr>
            <w:r>
              <w:rPr>
                <w:rFonts w:hint="eastAsia" w:ascii="宋体" w:hAnsi="宋体"/>
                <w:b/>
                <w:color w:val="auto"/>
                <w:sz w:val="28"/>
                <w:szCs w:val="28"/>
                <w:highlight w:val="none"/>
              </w:rPr>
              <w:t xml:space="preserve">评审细则</w:t>
            </w:r>
            <w:r/>
          </w:p>
        </w:tc>
      </w:tr>
      <w:tr>
        <w:trPr>
          <w:jc w:val="center"/>
          <w:trHeight w:val="1391"/>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1"/>
              <w:jc w:val="center"/>
              <w:rPr>
                <w:rFonts w:ascii="宋体" w:hAnsi="宋体" w:cs="宋体"/>
                <w:color w:val="auto"/>
                <w:sz w:val="22"/>
                <w:highlight w:val="none"/>
              </w:rPr>
            </w:pPr>
            <w:r>
              <w:rPr>
                <w:rFonts w:hint="eastAsia" w:ascii="宋体" w:hAnsi="宋体" w:cs="宋体"/>
                <w:color w:val="auto"/>
                <w:sz w:val="22"/>
                <w:highlight w:val="none"/>
              </w:rPr>
              <w:t xml:space="preserve">1</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421"/>
              <w:jc w:val="center"/>
              <w:rPr>
                <w:rFonts w:hint="eastAsia" w:ascii="宋体" w:hAnsi="宋体" w:eastAsia="宋体" w:cs="宋体"/>
                <w:color w:val="auto"/>
                <w:sz w:val="22"/>
                <w:highlight w:val="none"/>
              </w:rPr>
            </w:pPr>
            <w:r>
              <w:rPr>
                <w:rFonts w:hint="eastAsia" w:ascii="宋体" w:hAnsi="宋体" w:cs="宋体"/>
                <w:color w:val="auto"/>
                <w:sz w:val="22"/>
                <w:highlight w:val="none"/>
              </w:rPr>
              <w:t xml:space="preserve">报价</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421"/>
              <w:jc w:val="center"/>
              <w:rPr>
                <w:rFonts w:ascii="宋体" w:hAnsi="宋体" w:cs="宋体"/>
                <w:color w:val="auto"/>
                <w:sz w:val="22"/>
                <w:highlight w:val="none"/>
              </w:rPr>
            </w:pPr>
            <w:r>
              <w:rPr>
                <w:rFonts w:hint="eastAsia" w:ascii="宋体" w:hAnsi="宋体" w:cs="宋体"/>
                <w:color w:val="auto"/>
                <w:sz w:val="22"/>
                <w:highlight w:val="none"/>
              </w:rPr>
              <w:t xml:space="preserve">15分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t xml:space="preserve">（初步评审合格的各投标人的投标报价经勘误、缺漏项等因素修正后的投标总价作为该投标人评标价，评标价格最低者得15分，其它家得分=评标最低价/各家的评标价×15分）。</w:t>
            </w:r>
            <w:r/>
          </w:p>
        </w:tc>
      </w:tr>
      <w:tr>
        <w:trPr>
          <w:jc w:val="center"/>
          <w:trHeight w:val="1454"/>
        </w:trPr>
        <w:tc>
          <w:tcPr>
            <w:tcBorders>
              <w:top w:val="single" w:color="111111" w:sz="6" w:space="0"/>
              <w:left w:val="single" w:color="111111" w:sz="6" w:space="0"/>
              <w:bottom w:val="single" w:color="111111" w:sz="6" w:space="0"/>
              <w:right w:val="single" w:color="111111" w:sz="6" w:space="0"/>
            </w:tcBorders>
            <w:tcW w:w="667" w:type="dxa"/>
            <w:vAlign w:val="center"/>
            <w:textDirection w:val="lrTb"/>
            <w:noWrap/>
          </w:tcPr>
          <w:p>
            <w:pPr>
              <w:pStyle w:val="1421"/>
              <w:jc w:val="center"/>
              <w:rPr>
                <w:rFonts w:hint="eastAsia" w:ascii="宋体" w:hAnsi="宋体" w:eastAsia="宋体" w:cs="宋体"/>
                <w:color w:val="auto"/>
                <w:sz w:val="22"/>
                <w:highlight w:val="none"/>
              </w:rPr>
            </w:pPr>
            <w:r>
              <w:rPr>
                <w:rFonts w:hint="eastAsia" w:ascii="宋体" w:hAnsi="宋体" w:cs="宋体"/>
                <w:color w:val="auto"/>
                <w:sz w:val="22"/>
                <w:highlight w:val="none"/>
              </w:rPr>
              <w:t xml:space="preserve">2</w:t>
            </w:r>
            <w:r/>
          </w:p>
        </w:tc>
        <w:tc>
          <w:tcPr>
            <w:tcBorders>
              <w:top w:val="single" w:color="111111" w:sz="6" w:space="0"/>
              <w:left w:val="single" w:color="111111" w:sz="6" w:space="0"/>
              <w:bottom w:val="single" w:color="111111" w:sz="6" w:space="0"/>
              <w:right w:val="single" w:color="111111" w:sz="6" w:space="0"/>
            </w:tcBorders>
            <w:tcW w:w="900" w:type="dxa"/>
            <w:vAlign w:val="center"/>
            <w:textDirection w:val="lrTb"/>
            <w:noWrap/>
          </w:tcPr>
          <w:p>
            <w:pPr>
              <w:pStyle w:val="1091"/>
              <w:jc w:val="center"/>
              <w:rPr>
                <w:rFonts w:hint="eastAsia" w:ascii="宋体" w:hAnsi="宋体"/>
                <w:bCs/>
                <w:color w:val="auto"/>
                <w:sz w:val="24"/>
                <w:highlight w:val="none"/>
              </w:rPr>
            </w:pPr>
            <w:r>
              <w:rPr>
                <w:rFonts w:hint="eastAsia"/>
                <w:color w:val="auto"/>
                <w:szCs w:val="24"/>
                <w:highlight w:val="none"/>
              </w:rPr>
              <w:t xml:space="preserve">技术要求</w:t>
            </w:r>
            <w:r/>
          </w:p>
        </w:tc>
        <w:tc>
          <w:tcPr>
            <w:tcBorders>
              <w:top w:val="single" w:color="111111" w:sz="6" w:space="0"/>
              <w:left w:val="single" w:color="111111" w:sz="6" w:space="0"/>
              <w:bottom w:val="single" w:color="111111" w:sz="6" w:space="0"/>
              <w:right w:val="single" w:color="111111" w:sz="6" w:space="0"/>
            </w:tcBorders>
            <w:tcW w:w="883" w:type="dxa"/>
            <w:vAlign w:val="center"/>
            <w:textDirection w:val="lrTb"/>
            <w:noWrap/>
          </w:tcPr>
          <w:p>
            <w:pPr>
              <w:pStyle w:val="1091"/>
              <w:jc w:val="center"/>
              <w:rPr>
                <w:rFonts w:hint="eastAsia" w:ascii="宋体" w:hAnsi="宋体"/>
                <w:bCs/>
                <w:color w:val="auto"/>
                <w:sz w:val="24"/>
                <w:highlight w:val="none"/>
              </w:rPr>
            </w:pPr>
            <w:r>
              <w:rPr>
                <w:rFonts w:hint="eastAsia" w:ascii="宋体" w:hAnsi="宋体"/>
                <w:bCs/>
                <w:color w:val="auto"/>
                <w:sz w:val="24"/>
                <w:highlight w:val="none"/>
                <w:lang w:val="en-US" w:eastAsia="zh-CN"/>
              </w:rPr>
              <w:t xml:space="preserve">40</w:t>
            </w:r>
            <w:r>
              <w:rPr>
                <w:rFonts w:hint="eastAsia" w:ascii="宋体" w:hAnsi="宋体"/>
                <w:bCs/>
                <w:color w:val="auto"/>
                <w:sz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t xml:space="preserve">满足招标文件第四章基本要求得</w:t>
            </w:r>
            <w:r>
              <w:rPr>
                <w:rFonts w:hint="eastAsia" w:ascii="宋体" w:hAnsi="宋体"/>
                <w:bCs/>
                <w:color w:val="auto"/>
                <w:sz w:val="24"/>
                <w:highlight w:val="none"/>
                <w:lang w:val="en-US" w:eastAsia="zh-CN"/>
              </w:rPr>
              <w:t xml:space="preserve">40</w:t>
            </w:r>
            <w:r>
              <w:rPr>
                <w:rFonts w:hint="eastAsia" w:ascii="宋体" w:hAnsi="宋体"/>
                <w:bCs/>
                <w:color w:val="auto"/>
                <w:sz w:val="24"/>
                <w:highlight w:val="none"/>
              </w:rPr>
              <w:t xml:space="preserve">分，正偏离不加分。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★指标不允许负偏离，有一项负偏离做无效投标文件处理；有一项▲号指标负偏离扣3分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非★号、▲号非指标每负偏离一项扣</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w:t>
            </w:r>
            <w:r>
              <w:rPr>
                <w:rFonts w:hint="eastAsia" w:ascii="宋体" w:hAnsi="宋体"/>
                <w:bCs/>
                <w:color w:val="auto"/>
                <w:sz w:val="24"/>
                <w:highlight w:val="none"/>
              </w:rPr>
              <w:t xml:space="preserve">扣完为止。</w:t>
            </w:r>
            <w:r/>
          </w:p>
        </w:tc>
      </w:tr>
      <w:tr>
        <w:trPr>
          <w:jc w:val="center"/>
          <w:trHeight w:val="90"/>
        </w:trPr>
        <w:tc>
          <w:tcPr>
            <w:tcBorders>
              <w:top w:val="single" w:color="111111" w:sz="6" w:space="0"/>
              <w:left w:val="single" w:color="111111" w:sz="6" w:space="0"/>
              <w:right w:val="single" w:color="111111" w:sz="6" w:space="0"/>
            </w:tcBorders>
            <w:tcW w:w="667" w:type="dxa"/>
            <w:vAlign w:val="center"/>
            <w:vMerge w:val="restart"/>
            <w:textDirection w:val="lrTb"/>
            <w:noWrap/>
          </w:tcPr>
          <w:p>
            <w:pPr>
              <w:pStyle w:val="1421"/>
              <w:jc w:val="center"/>
              <w:rPr>
                <w:rFonts w:hint="eastAsia" w:ascii="宋体" w:hAnsi="宋体" w:eastAsia="宋体" w:cs="宋体"/>
                <w:color w:val="auto"/>
                <w:sz w:val="22"/>
                <w:highlight w:val="none"/>
              </w:rPr>
            </w:pPr>
            <w:r>
              <w:rPr>
                <w:rFonts w:hint="eastAsia" w:ascii="宋体" w:hAnsi="宋体" w:cs="宋体"/>
                <w:color w:val="auto"/>
                <w:sz w:val="22"/>
                <w:highlight w:val="none"/>
              </w:rPr>
              <w:t xml:space="preserve">3</w:t>
            </w:r>
            <w:r/>
          </w:p>
        </w:tc>
        <w:tc>
          <w:tcPr>
            <w:tcBorders>
              <w:top w:val="single" w:color="111111" w:sz="6" w:space="0"/>
              <w:left w:val="single" w:color="111111" w:sz="6" w:space="0"/>
              <w:right w:val="single" w:color="111111" w:sz="6" w:space="0"/>
            </w:tcBorders>
            <w:tcW w:w="900" w:type="dxa"/>
            <w:vAlign w:val="center"/>
            <w:vMerge w:val="restart"/>
            <w:textDirection w:val="lrTb"/>
            <w:noWrap/>
          </w:tcPr>
          <w:p>
            <w:pPr>
              <w:pStyle w:val="1091"/>
              <w:jc w:val="center"/>
              <w:rPr>
                <w:rFonts w:hint="eastAsia" w:ascii="宋体" w:hAnsi="宋体"/>
                <w:bCs/>
                <w:color w:val="auto"/>
                <w:sz w:val="24"/>
                <w:highlight w:val="none"/>
              </w:rPr>
            </w:pPr>
            <w:r>
              <w:rPr>
                <w:rFonts w:hint="eastAsia"/>
                <w:color w:val="auto"/>
                <w:szCs w:val="24"/>
                <w:highlight w:val="none"/>
              </w:rPr>
              <w:t xml:space="preserve">服务实施</w:t>
            </w:r>
            <w:r/>
          </w:p>
        </w:tc>
        <w:tc>
          <w:tcPr>
            <w:tcBorders>
              <w:top w:val="single" w:color="111111" w:sz="6" w:space="0"/>
              <w:left w:val="single" w:color="111111" w:sz="6" w:space="0"/>
              <w:right w:val="single" w:color="111111" w:sz="6" w:space="0"/>
            </w:tcBorders>
            <w:tcW w:w="883" w:type="dxa"/>
            <w:vAlign w:val="center"/>
            <w:vMerge w:val="restart"/>
            <w:textDirection w:val="lrTb"/>
            <w:noWrap/>
          </w:tcPr>
          <w:p>
            <w:pPr>
              <w:pStyle w:val="1091"/>
              <w:jc w:val="center"/>
              <w:rPr>
                <w:rFonts w:hint="eastAsia" w:ascii="宋体" w:hAnsi="宋体"/>
                <w:bCs/>
                <w:color w:val="auto"/>
                <w:sz w:val="24"/>
                <w:highlight w:val="none"/>
              </w:rPr>
            </w:pP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1"/>
              <w:rPr>
                <w:color w:val="auto"/>
                <w:highlight w:val="none"/>
              </w:rPr>
            </w:pPr>
            <w:r>
              <w:rPr>
                <w:rFonts w:hint="eastAsia" w:ascii="宋体" w:hAnsi="宋体"/>
                <w:b/>
                <w:color w:val="auto"/>
                <w:sz w:val="24"/>
                <w:highlight w:val="none"/>
              </w:rPr>
              <w:t xml:space="preserve">3.1资质证书：（6分）：</w:t>
            </w:r>
            <w:r/>
          </w:p>
          <w:p>
            <w:pPr>
              <w:pStyle w:val="1091"/>
              <w:rPr>
                <w:rFonts w:hint="eastAsia" w:ascii="宋体" w:hAnsi="宋体"/>
                <w:bCs/>
                <w:color w:val="auto"/>
                <w:sz w:val="24"/>
                <w:highlight w:val="none"/>
              </w:rPr>
            </w:pPr>
            <w:r>
              <w:rPr>
                <w:rFonts w:hint="eastAsia" w:ascii="宋体" w:hAnsi="宋体"/>
                <w:bCs/>
                <w:color w:val="auto"/>
                <w:sz w:val="24"/>
                <w:highlight w:val="none"/>
                <w:lang w:val="en-US" w:eastAsia="zh-CN"/>
              </w:rPr>
              <w:t xml:space="preserve">3.1.1</w:t>
            </w:r>
            <w:r>
              <w:rPr>
                <w:rFonts w:hint="eastAsia" w:ascii="宋体" w:hAnsi="宋体"/>
                <w:bCs/>
                <w:color w:val="auto"/>
                <w:sz w:val="24"/>
                <w:highlight w:val="none"/>
              </w:rPr>
              <w:t xml:space="preserve">投标人提供维保设备所更换的主要零部件的原厂认证/测试合格证书，得2分，没有不得分；</w:t>
            </w:r>
            <w:r/>
          </w:p>
          <w:p>
            <w:pPr>
              <w:pStyle w:val="1091"/>
              <w:rPr>
                <w:rFonts w:hint="eastAsia" w:ascii="宋体" w:hAnsi="宋体"/>
                <w:bCs/>
                <w:color w:val="auto"/>
                <w:sz w:val="24"/>
                <w:highlight w:val="none"/>
              </w:rPr>
            </w:pPr>
            <w:r>
              <w:rPr>
                <w:rFonts w:hint="eastAsia" w:ascii="宋体" w:hAnsi="宋体"/>
                <w:bCs/>
                <w:color w:val="auto"/>
                <w:sz w:val="24"/>
                <w:highlight w:val="none"/>
                <w:lang w:val="en-US" w:eastAsia="zh-CN"/>
              </w:rPr>
              <w:t xml:space="preserve">3.1.2</w:t>
            </w:r>
            <w:r>
              <w:rPr>
                <w:rFonts w:hint="eastAsia" w:ascii="宋体" w:hAnsi="宋体"/>
                <w:bCs/>
                <w:color w:val="auto"/>
                <w:sz w:val="24"/>
                <w:highlight w:val="none"/>
              </w:rPr>
              <w:t xml:space="preserve">投标人为原生产厂家，或者具备生产厂家的维修授权，或者与生产厂家签署维修服务合作协议，得4分</w:t>
            </w:r>
            <w:r/>
          </w:p>
        </w:tc>
      </w:tr>
      <w:tr>
        <w:trPr>
          <w:jc w:val="center"/>
          <w:trHeight w:val="4806"/>
        </w:trPr>
        <w:tc>
          <w:tcPr>
            <w:tcBorders>
              <w:left w:val="single" w:color="111111" w:sz="6" w:space="0"/>
              <w:right w:val="single" w:color="111111" w:sz="6" w:space="0"/>
            </w:tcBorders>
            <w:tcW w:w="667"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right w:val="single" w:color="111111" w:sz="6" w:space="0"/>
            </w:tcBorders>
            <w:tcW w:w="900"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right w:val="single" w:color="111111" w:sz="6" w:space="0"/>
            </w:tcBorders>
            <w:tcW w:w="883" w:type="dxa"/>
            <w:vAlign w:val="center"/>
            <w:vMerge w:val="continue"/>
            <w:textDirection w:val="lrTb"/>
            <w:noWrap/>
          </w:tcPr>
          <w:p>
            <w:pPr>
              <w:pStyle w:val="1091"/>
              <w:rPr>
                <w:color w:val="auto"/>
                <w:highlight w:val="none"/>
              </w:rPr>
            </w:pPr>
            <w:r>
              <w:rPr>
                <w:color w:val="auto"/>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1"/>
              <w:rPr>
                <w:rFonts w:hint="eastAsia" w:ascii="宋体" w:hAnsi="宋体"/>
                <w:b/>
                <w:color w:val="auto"/>
                <w:sz w:val="24"/>
                <w:highlight w:val="none"/>
              </w:rPr>
            </w:pPr>
            <w:r>
              <w:rPr>
                <w:rFonts w:hint="eastAsia" w:ascii="宋体" w:hAnsi="宋体"/>
                <w:b/>
                <w:color w:val="auto"/>
                <w:sz w:val="24"/>
                <w:highlight w:val="none"/>
              </w:rPr>
              <w:t xml:space="preserve">3.2医用直线加速器维保技术能力（10分）：</w:t>
            </w:r>
            <w:r/>
          </w:p>
          <w:p>
            <w:pPr>
              <w:pStyle w:val="1091"/>
              <w:rPr>
                <w:rFonts w:hint="eastAsia" w:ascii="宋体" w:hAnsi="宋体"/>
                <w:bCs/>
                <w:color w:val="auto"/>
                <w:sz w:val="24"/>
                <w:highlight w:val="none"/>
              </w:rPr>
            </w:pPr>
            <w:r>
              <w:rPr>
                <w:rFonts w:hint="eastAsia" w:ascii="宋体" w:hAnsi="宋体"/>
                <w:bCs/>
                <w:color w:val="auto"/>
                <w:sz w:val="24"/>
                <w:highlight w:val="none"/>
                <w:lang w:val="en-US" w:eastAsia="zh-CN"/>
              </w:rPr>
              <w:t xml:space="preserve">3.2.1</w:t>
            </w:r>
            <w:r>
              <w:rPr>
                <w:rFonts w:hint="eastAsia" w:ascii="宋体" w:hAnsi="宋体"/>
                <w:bCs/>
                <w:color w:val="auto"/>
                <w:sz w:val="24"/>
                <w:highlight w:val="none"/>
              </w:rPr>
              <w:t xml:space="preserve">投标人具有直线加速器维修保养设备能力的工程师（证书必须为设备生产商颁发或授权，培训证书为2023年</w:t>
            </w:r>
            <w:r>
              <w:rPr>
                <w:rFonts w:hint="eastAsia" w:ascii="宋体" w:hAnsi="宋体"/>
                <w:bCs/>
                <w:color w:val="auto"/>
                <w:sz w:val="24"/>
                <w:highlight w:val="none"/>
                <w:lang w:val="en-US" w:eastAsia="zh-CN"/>
              </w:rPr>
              <w:t xml:space="preserve">1月1日</w:t>
            </w:r>
            <w:r>
              <w:rPr>
                <w:rFonts w:hint="eastAsia" w:ascii="宋体" w:hAnsi="宋体"/>
                <w:bCs/>
                <w:color w:val="auto"/>
                <w:sz w:val="24"/>
                <w:highlight w:val="none"/>
              </w:rPr>
              <w:t xml:space="preserve">之后颁发或有明确指定机型，</w:t>
            </w:r>
            <w:r>
              <w:rPr>
                <w:rFonts w:hint="eastAsia" w:ascii="宋体" w:hAnsi="宋体"/>
                <w:bCs/>
                <w:color w:val="auto"/>
                <w:sz w:val="24"/>
                <w:highlight w:val="none"/>
                <w:lang w:val="en-US" w:eastAsia="zh-CN"/>
              </w:rPr>
              <w:t xml:space="preserve">即</w:t>
            </w:r>
            <w:r>
              <w:rPr>
                <w:rFonts w:hint="eastAsia" w:ascii="宋体" w:hAnsi="宋体"/>
                <w:bCs/>
                <w:color w:val="auto"/>
                <w:sz w:val="24"/>
                <w:highlight w:val="none"/>
              </w:rPr>
              <w:t xml:space="preserve">培训证书无明确发证日期则纳入统计的工程师培训证书应指定机型为医科达Precise、Axesse、Infinity，认证证书可以为一人一本多机型、也可以为一人一本一机型，至少接受过三个机型中两个的纳入工程师</w:t>
            </w:r>
            <w:r>
              <w:rPr>
                <w:rFonts w:hint="eastAsia" w:ascii="宋体" w:hAnsi="宋体"/>
                <w:bCs/>
                <w:color w:val="auto"/>
                <w:sz w:val="24"/>
                <w:highlight w:val="none"/>
                <w:lang w:val="en-US" w:eastAsia="zh-CN"/>
              </w:rPr>
              <w:t xml:space="preserve">人数</w:t>
            </w:r>
            <w:r>
              <w:rPr>
                <w:rFonts w:hint="eastAsia" w:ascii="宋体" w:hAnsi="宋体"/>
                <w:bCs/>
                <w:color w:val="auto"/>
                <w:sz w:val="24"/>
                <w:highlight w:val="none"/>
              </w:rPr>
              <w:t xml:space="preserve">统计范围）。</w:t>
            </w:r>
            <w:r>
              <w:rPr>
                <w:rFonts w:hint="eastAsia" w:ascii="宋体" w:hAnsi="宋体"/>
                <w:bCs/>
                <w:color w:val="auto"/>
                <w:sz w:val="24"/>
                <w:highlight w:val="none"/>
              </w:rPr>
              <w:t xml:space="preserve">工程师每有一人得1分，最多得8分；</w:t>
            </w:r>
            <w:r/>
          </w:p>
          <w:p>
            <w:pPr>
              <w:pStyle w:val="1091"/>
              <w:rPr>
                <w:rFonts w:hint="eastAsia" w:ascii="宋体" w:hAnsi="宋体"/>
                <w:bCs/>
                <w:color w:val="auto"/>
                <w:sz w:val="24"/>
                <w:highlight w:val="none"/>
              </w:rPr>
            </w:pPr>
            <w:r>
              <w:rPr>
                <w:rFonts w:hint="eastAsia" w:ascii="宋体" w:hAnsi="宋体"/>
                <w:bCs/>
                <w:color w:val="auto"/>
                <w:sz w:val="24"/>
                <w:highlight w:val="none"/>
                <w:lang w:val="en-US" w:eastAsia="zh-CN"/>
              </w:rPr>
              <w:t xml:space="preserve">3.2.2</w:t>
            </w:r>
            <w:r>
              <w:rPr>
                <w:rFonts w:hint="eastAsia" w:ascii="宋体" w:hAnsi="宋体"/>
                <w:bCs/>
                <w:color w:val="auto"/>
                <w:sz w:val="24"/>
                <w:highlight w:val="none"/>
              </w:rPr>
              <w:t xml:space="preserve">具备医科达</w:t>
            </w:r>
            <w:r>
              <w:rPr>
                <w:rFonts w:ascii="宋体" w:hAnsi="宋体"/>
                <w:bCs/>
                <w:color w:val="auto"/>
                <w:sz w:val="24"/>
                <w:highlight w:val="none"/>
              </w:rPr>
              <w:t xml:space="preserve">Flexitron HDR</w:t>
            </w:r>
            <w:r>
              <w:rPr>
                <w:rFonts w:hint="eastAsia" w:ascii="宋体" w:hAnsi="宋体"/>
                <w:bCs/>
                <w:color w:val="auto"/>
                <w:sz w:val="24"/>
                <w:highlight w:val="none"/>
              </w:rPr>
              <w:t xml:space="preserve">型后装机维修保养设备能力的工程师（认证证书为设备生产商颁发或授权的有指定后装机型号为医科达</w:t>
            </w:r>
            <w:r>
              <w:rPr>
                <w:rFonts w:ascii="宋体" w:hAnsi="宋体"/>
                <w:bCs/>
                <w:color w:val="auto"/>
                <w:sz w:val="24"/>
                <w:highlight w:val="none"/>
              </w:rPr>
              <w:t xml:space="preserve">Flexitron HDR</w:t>
            </w:r>
            <w:r>
              <w:rPr>
                <w:rFonts w:hint="eastAsia" w:ascii="宋体" w:hAnsi="宋体"/>
                <w:bCs/>
                <w:color w:val="auto"/>
                <w:sz w:val="24"/>
                <w:highlight w:val="none"/>
              </w:rPr>
              <w:t xml:space="preserve">的培训认证证书），每个工程师得一分，最多得2分。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注：所有纳入统计的工程师需为投标单位正式员工，需提供在开标前3个月内任意一个月在投标单位缴纳社保的证明，不提供不得分。</w:t>
            </w:r>
            <w:r/>
          </w:p>
        </w:tc>
      </w:tr>
      <w:tr>
        <w:trPr>
          <w:jc w:val="center"/>
          <w:trHeight w:val="1510"/>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rPr>
                <w:rFonts w:hint="eastAsia" w:ascii="宋体" w:hAnsi="宋体"/>
                <w:b/>
                <w:color w:val="auto"/>
                <w:sz w:val="24"/>
                <w:highlight w:val="none"/>
              </w:rPr>
            </w:pPr>
            <w:r>
              <w:rPr>
                <w:rFonts w:hint="eastAsia" w:ascii="宋体" w:hAnsi="宋体"/>
                <w:b/>
                <w:color w:val="auto"/>
                <w:sz w:val="24"/>
                <w:highlight w:val="none"/>
              </w:rPr>
              <w:t xml:space="preserve">3.3工具配置及零配件储备情况：（2分）：</w:t>
            </w:r>
            <w:r/>
          </w:p>
          <w:p>
            <w:pPr>
              <w:rPr>
                <w:color w:val="auto"/>
                <w:highlight w:val="none"/>
              </w:rPr>
            </w:pPr>
            <w:r>
              <w:rPr>
                <w:color w:val="auto"/>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投标人国内设有零备件库，提供仓库地址，并提供相关证明材料，未提供不得分。（2分）（投标人如为具备厂家授权的代理商，或者与生产厂家签署维修服务合作协议的可使用厂家零备件库）</w:t>
            </w:r>
            <w:r/>
          </w:p>
        </w:tc>
      </w:tr>
      <w:tr>
        <w:trPr>
          <w:jc w:val="center"/>
          <w:trHeight w:val="203"/>
        </w:trPr>
        <w:tc>
          <w:tcPr>
            <w:tcBorders>
              <w:top w:val="single" w:color="111111" w:sz="6" w:space="0"/>
              <w:left w:val="single" w:color="111111" w:sz="6" w:space="0"/>
              <w:right w:val="single" w:color="111111" w:sz="6" w:space="0"/>
            </w:tcBorders>
            <w:tcW w:w="667" w:type="dxa"/>
            <w:vAlign w:val="center"/>
            <w:vMerge w:val="restart"/>
            <w:textDirection w:val="lrTb"/>
            <w:noWrap/>
          </w:tcPr>
          <w:p>
            <w:pPr>
              <w:pStyle w:val="1421"/>
              <w:jc w:val="center"/>
              <w:rPr>
                <w:rFonts w:hint="eastAsia" w:ascii="宋体" w:hAnsi="宋体" w:eastAsia="宋体" w:cs="宋体"/>
                <w:color w:val="auto"/>
                <w:sz w:val="22"/>
                <w:highlight w:val="none"/>
              </w:rPr>
            </w:pPr>
            <w:r>
              <w:rPr>
                <w:rFonts w:hint="eastAsia" w:ascii="宋体" w:hAnsi="宋体" w:cs="宋体"/>
                <w:color w:val="auto"/>
                <w:sz w:val="22"/>
                <w:highlight w:val="none"/>
              </w:rPr>
              <w:t xml:space="preserve">4</w:t>
            </w:r>
            <w:r/>
          </w:p>
        </w:tc>
        <w:tc>
          <w:tcPr>
            <w:tcBorders>
              <w:top w:val="single" w:color="111111" w:sz="6" w:space="0"/>
              <w:left w:val="single" w:color="111111" w:sz="6" w:space="0"/>
              <w:right w:val="single" w:color="111111" w:sz="6" w:space="0"/>
            </w:tcBorders>
            <w:tcW w:w="900" w:type="dxa"/>
            <w:vAlign w:val="center"/>
            <w:vMerge w:val="restart"/>
            <w:textDirection w:val="lrTb"/>
            <w:noWrap/>
          </w:tcPr>
          <w:p>
            <w:pPr>
              <w:pStyle w:val="1091"/>
              <w:jc w:val="center"/>
              <w:rPr>
                <w:rFonts w:hint="eastAsia" w:ascii="宋体" w:hAnsi="宋体"/>
                <w:bCs/>
                <w:color w:val="auto"/>
                <w:sz w:val="24"/>
                <w:highlight w:val="none"/>
              </w:rPr>
            </w:pPr>
            <w:r>
              <w:rPr>
                <w:rFonts w:hint="eastAsia"/>
                <w:color w:val="auto"/>
                <w:szCs w:val="24"/>
                <w:highlight w:val="none"/>
              </w:rPr>
              <w:t xml:space="preserve">服务</w:t>
            </w:r>
            <w:r>
              <w:rPr>
                <w:color w:val="auto"/>
                <w:szCs w:val="24"/>
                <w:highlight w:val="none"/>
              </w:rPr>
              <w:t xml:space="preserve">方案</w:t>
            </w:r>
            <w:r/>
          </w:p>
        </w:tc>
        <w:tc>
          <w:tcPr>
            <w:tcBorders>
              <w:top w:val="single" w:color="111111" w:sz="6" w:space="0"/>
              <w:left w:val="single" w:color="111111" w:sz="6" w:space="0"/>
              <w:right w:val="single" w:color="111111" w:sz="6" w:space="0"/>
            </w:tcBorders>
            <w:tcW w:w="883" w:type="dxa"/>
            <w:vAlign w:val="center"/>
            <w:vMerge w:val="restart"/>
            <w:textDirection w:val="lrTb"/>
            <w:noWrap/>
          </w:tcPr>
          <w:p>
            <w:pPr>
              <w:pStyle w:val="1091"/>
              <w:jc w:val="center"/>
              <w:rPr>
                <w:rFonts w:hint="eastAsia" w:ascii="宋体" w:hAnsi="宋体"/>
                <w:bCs/>
                <w:color w:val="auto"/>
                <w:sz w:val="24"/>
                <w:highlight w:val="none"/>
              </w:rPr>
            </w:pPr>
            <w:r>
              <w:rPr>
                <w:rFonts w:hint="eastAsia" w:ascii="宋体" w:hAnsi="宋体"/>
                <w:bCs/>
                <w:color w:val="auto"/>
                <w:sz w:val="24"/>
                <w:highlight w:val="none"/>
              </w:rPr>
              <w:t xml:space="preserve">12分</w:t>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1"/>
              <w:rPr>
                <w:rFonts w:hint="eastAsia" w:ascii="宋体" w:hAnsi="宋体"/>
                <w:b/>
                <w:color w:val="auto"/>
                <w:sz w:val="24"/>
                <w:highlight w:val="none"/>
              </w:rPr>
            </w:pPr>
            <w:r>
              <w:rPr>
                <w:rFonts w:hint="eastAsia" w:ascii="宋体" w:hAnsi="宋体"/>
                <w:b/>
                <w:color w:val="auto"/>
                <w:sz w:val="24"/>
                <w:highlight w:val="none"/>
              </w:rPr>
              <w:t xml:space="preserve">4.1根据投标人提供的维修维护实施方案综合评分（3分）：</w:t>
            </w:r>
            <w:r/>
          </w:p>
          <w:p>
            <w:pPr>
              <w:pStyle w:val="1091"/>
              <w:rPr>
                <w:rFonts w:hint="eastAsia" w:ascii="宋体" w:hAnsi="宋体"/>
                <w:bCs/>
                <w:color w:val="auto"/>
                <w:szCs w:val="22"/>
                <w:highlight w:val="none"/>
                <w:lang w:bidi="en-US"/>
              </w:rPr>
            </w:pPr>
            <w:r>
              <w:rPr>
                <w:rFonts w:hint="eastAsia" w:ascii="宋体" w:hAnsi="宋体"/>
                <w:bCs/>
                <w:color w:val="auto"/>
                <w:szCs w:val="22"/>
                <w:highlight w:val="none"/>
                <w:lang w:bidi="en-US"/>
              </w:rPr>
              <w:t xml:space="preserve">根据供应商对项目需求的准确理解程度、具体维护方案、服务实施方案的完整性、符合性、合理性、可实施性，根据应答情况评审：</w:t>
            </w:r>
            <w:r/>
          </w:p>
          <w:p>
            <w:pPr>
              <w:rPr>
                <w:color w:val="auto"/>
                <w:highlight w:val="none"/>
              </w:rPr>
            </w:pPr>
            <w:r>
              <w:rPr>
                <w:rFonts w:hint="eastAsia" w:ascii="宋体" w:hAnsi="宋体"/>
                <w:bCs/>
                <w:color w:val="auto"/>
                <w:sz w:val="24"/>
                <w:highlight w:val="none"/>
              </w:rPr>
              <w:t xml:space="preserve">对项目理解透彻、需求分析完整、可执行性强，完全符合本项目实际需求，得3分；对项目理解基本准确、具备一定的执行性，基本符合本项目实际需求，得2分；对项目理解较片面，可执行性一般，得1分；未描述或不能满足项目实际需求不得分。</w:t>
            </w:r>
            <w:r/>
          </w:p>
          <w:p>
            <w:pPr>
              <w:pStyle w:val="1091"/>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93"/>
        </w:trPr>
        <w:tc>
          <w:tcPr>
            <w:tcBorders>
              <w:left w:val="single" w:color="111111" w:sz="6" w:space="0"/>
              <w:right w:val="single" w:color="111111" w:sz="6" w:space="0"/>
            </w:tcBorders>
            <w:tcW w:w="667"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right w:val="single" w:color="111111" w:sz="6" w:space="0"/>
            </w:tcBorders>
            <w:tcW w:w="900"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right w:val="single" w:color="111111" w:sz="6" w:space="0"/>
            </w:tcBorders>
            <w:tcW w:w="883" w:type="dxa"/>
            <w:vAlign w:val="center"/>
            <w:vMerge w:val="continue"/>
            <w:textDirection w:val="lrTb"/>
            <w:noWrap/>
          </w:tcPr>
          <w:p>
            <w:pPr>
              <w:pStyle w:val="1091"/>
              <w:rPr>
                <w:color w:val="auto"/>
                <w:highlight w:val="none"/>
              </w:rPr>
            </w:pPr>
            <w:r>
              <w:rPr>
                <w:color w:val="auto"/>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rPr>
                <w:rFonts w:hint="eastAsia" w:ascii="宋体" w:hAnsi="宋体"/>
                <w:b/>
                <w:color w:val="auto"/>
                <w:sz w:val="24"/>
                <w:highlight w:val="none"/>
              </w:rPr>
            </w:pPr>
            <w:r>
              <w:rPr>
                <w:rFonts w:hint="eastAsia" w:ascii="宋体" w:hAnsi="宋体"/>
                <w:b/>
                <w:color w:val="auto"/>
                <w:sz w:val="24"/>
                <w:highlight w:val="none"/>
              </w:rPr>
              <w:t xml:space="preserve">4.2应急预案：供应商须有能力应对突发事件应急预案（3分）</w:t>
            </w:r>
            <w:r/>
          </w:p>
          <w:p>
            <w:pPr>
              <w:rPr>
                <w:rFonts w:hint="eastAsia" w:ascii="宋体" w:hAnsi="宋体"/>
                <w:b/>
                <w:color w:val="auto"/>
                <w:sz w:val="24"/>
                <w:highlight w:val="none"/>
              </w:rPr>
            </w:pPr>
            <w:r>
              <w:rPr>
                <w:rFonts w:hint="eastAsia" w:ascii="宋体" w:hAnsi="宋体"/>
                <w:bCs/>
                <w:color w:val="auto"/>
                <w:sz w:val="24"/>
                <w:highlight w:val="none"/>
              </w:rPr>
              <w:t xml:space="preserve">包括但不仅限于对项目紧急故障的预测、遭遇恶劣天气，医院临时要求等突发事件，根据应答情况评审。</w:t>
            </w:r>
            <w:r/>
          </w:p>
          <w:p>
            <w:pPr>
              <w:rPr>
                <w:rFonts w:hint="eastAsia" w:ascii="宋体" w:hAnsi="宋体"/>
                <w:bCs/>
                <w:color w:val="auto"/>
                <w:sz w:val="24"/>
                <w:highlight w:val="none"/>
              </w:rPr>
            </w:pPr>
            <w:r>
              <w:rPr>
                <w:rFonts w:hint="eastAsia" w:ascii="宋体" w:hAnsi="宋体"/>
                <w:bCs/>
                <w:color w:val="auto"/>
                <w:sz w:val="24"/>
                <w:highlight w:val="none"/>
              </w:rPr>
              <w:t xml:space="preserve">方案全面、合理，具有针对性，科学合理具备可执行性，针对加速管、磁控管等核心部件损坏，明确备</w:t>
            </w:r>
            <w:r>
              <w:rPr>
                <w:rFonts w:hint="eastAsia" w:ascii="宋体" w:hAnsi="宋体"/>
                <w:bCs/>
                <w:color w:val="auto"/>
                <w:sz w:val="24"/>
                <w:highlight w:val="none"/>
                <w:lang w:val="en-US" w:eastAsia="zh-CN"/>
              </w:rPr>
              <w:t xml:space="preserve">件</w:t>
            </w:r>
            <w:r>
              <w:rPr>
                <w:rFonts w:hint="eastAsia" w:ascii="宋体" w:hAnsi="宋体"/>
                <w:bCs/>
                <w:color w:val="auto"/>
                <w:sz w:val="24"/>
                <w:highlight w:val="none"/>
              </w:rPr>
              <w:t xml:space="preserve">调配方案</w:t>
            </w:r>
            <w:r>
              <w:rPr>
                <w:rFonts w:hint="eastAsia" w:ascii="宋体" w:hAnsi="宋体"/>
                <w:bCs/>
                <w:color w:val="auto"/>
                <w:sz w:val="24"/>
                <w:highlight w:val="none"/>
                <w:lang w:val="en-US" w:eastAsia="zh-CN"/>
              </w:rPr>
              <w:t xml:space="preserve">并</w:t>
            </w:r>
            <w:r>
              <w:rPr>
                <w:rFonts w:hint="eastAsia" w:ascii="宋体" w:hAnsi="宋体"/>
                <w:bCs/>
                <w:color w:val="auto"/>
                <w:sz w:val="24"/>
                <w:highlight w:val="none"/>
              </w:rPr>
              <w:t xml:space="preserve">提供厂商紧急更换流程</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同时提供远程诊断能对部分故障具有预测能力提前进行维护的</w:t>
            </w:r>
            <w:r>
              <w:rPr>
                <w:rFonts w:hint="eastAsia" w:ascii="宋体" w:hAnsi="宋体"/>
                <w:bCs/>
                <w:color w:val="auto"/>
                <w:sz w:val="24"/>
                <w:highlight w:val="none"/>
              </w:rPr>
              <w:t xml:space="preserve">得3分；</w:t>
            </w:r>
            <w:r/>
          </w:p>
          <w:p>
            <w:pPr>
              <w:rPr>
                <w:rFonts w:hint="eastAsia" w:ascii="宋体" w:hAnsi="宋体"/>
                <w:bCs/>
                <w:color w:val="auto"/>
                <w:sz w:val="24"/>
                <w:highlight w:val="none"/>
              </w:rPr>
            </w:pPr>
            <w:r>
              <w:rPr>
                <w:rFonts w:hint="eastAsia" w:ascii="宋体" w:hAnsi="宋体"/>
                <w:bCs/>
                <w:color w:val="auto"/>
                <w:sz w:val="24"/>
                <w:highlight w:val="none"/>
              </w:rPr>
              <w:t xml:space="preserve">方案考虑的相对不够全面，可行性欠缺合理的针对加速管、磁控管等核心部件损坏，明确备</w:t>
            </w:r>
            <w:r>
              <w:rPr>
                <w:rFonts w:hint="eastAsia" w:ascii="宋体" w:hAnsi="宋体"/>
                <w:bCs/>
                <w:color w:val="auto"/>
                <w:sz w:val="24"/>
                <w:highlight w:val="none"/>
                <w:lang w:val="en-US" w:eastAsia="zh-CN"/>
              </w:rPr>
              <w:t xml:space="preserve">件</w:t>
            </w:r>
            <w:r>
              <w:rPr>
                <w:rFonts w:hint="eastAsia" w:ascii="宋体" w:hAnsi="宋体"/>
                <w:bCs/>
                <w:color w:val="auto"/>
                <w:sz w:val="24"/>
                <w:highlight w:val="none"/>
              </w:rPr>
              <w:t xml:space="preserve">调配方案</w:t>
            </w:r>
            <w:r>
              <w:rPr>
                <w:rFonts w:hint="eastAsia" w:ascii="宋体" w:hAnsi="宋体"/>
                <w:bCs/>
                <w:color w:val="auto"/>
                <w:sz w:val="24"/>
                <w:highlight w:val="none"/>
                <w:lang w:val="en-US" w:eastAsia="zh-CN"/>
              </w:rPr>
              <w:t xml:space="preserve">并</w:t>
            </w:r>
            <w:r>
              <w:rPr>
                <w:rFonts w:hint="eastAsia" w:ascii="宋体" w:hAnsi="宋体"/>
                <w:bCs/>
                <w:color w:val="auto"/>
                <w:sz w:val="24"/>
                <w:highlight w:val="none"/>
              </w:rPr>
              <w:t xml:space="preserve">提供厂商紧急更换流程</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但没有远程诊断能力无法预测故障提前进行维护的</w:t>
            </w:r>
            <w:r>
              <w:rPr>
                <w:rFonts w:hint="eastAsia" w:ascii="宋体" w:hAnsi="宋体"/>
                <w:bCs/>
                <w:color w:val="auto"/>
                <w:sz w:val="24"/>
                <w:highlight w:val="none"/>
              </w:rPr>
              <w:t xml:space="preserve">得2分。</w:t>
            </w:r>
            <w:r/>
          </w:p>
          <w:p>
            <w:pPr>
              <w:rPr>
                <w:rFonts w:hint="eastAsia" w:ascii="宋体" w:hAnsi="宋体"/>
                <w:bCs/>
                <w:color w:val="auto"/>
                <w:sz w:val="24"/>
                <w:highlight w:val="none"/>
              </w:rPr>
            </w:pPr>
            <w:r>
              <w:rPr>
                <w:rFonts w:hint="eastAsia" w:ascii="宋体" w:hAnsi="宋体"/>
                <w:bCs/>
                <w:color w:val="auto"/>
                <w:sz w:val="24"/>
                <w:highlight w:val="none"/>
              </w:rPr>
              <w:t xml:space="preserve">方案不全面，且可行性差的，针对加速管、磁控管等核心部件损坏，有备</w:t>
            </w:r>
            <w:r>
              <w:rPr>
                <w:rFonts w:hint="eastAsia" w:ascii="宋体" w:hAnsi="宋体"/>
                <w:bCs/>
                <w:color w:val="auto"/>
                <w:sz w:val="24"/>
                <w:highlight w:val="none"/>
                <w:lang w:val="en-US" w:eastAsia="zh-CN"/>
              </w:rPr>
              <w:t xml:space="preserve">件</w:t>
            </w:r>
            <w:r>
              <w:rPr>
                <w:rFonts w:hint="eastAsia" w:ascii="宋体" w:hAnsi="宋体"/>
                <w:bCs/>
                <w:color w:val="auto"/>
                <w:sz w:val="24"/>
                <w:highlight w:val="none"/>
              </w:rPr>
              <w:t xml:space="preserve">调配方案</w:t>
            </w:r>
            <w:r>
              <w:rPr>
                <w:rFonts w:hint="eastAsia" w:ascii="宋体" w:hAnsi="宋体"/>
                <w:bCs/>
                <w:color w:val="auto"/>
                <w:sz w:val="24"/>
                <w:highlight w:val="none"/>
                <w:lang w:val="en-US" w:eastAsia="zh-CN"/>
              </w:rPr>
              <w:t xml:space="preserve">无</w:t>
            </w:r>
            <w:r>
              <w:rPr>
                <w:rFonts w:hint="eastAsia" w:ascii="宋体" w:hAnsi="宋体"/>
                <w:bCs/>
                <w:color w:val="auto"/>
                <w:sz w:val="24"/>
                <w:highlight w:val="none"/>
              </w:rPr>
              <w:t xml:space="preserve">厂商紧急更换流程</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无远程诊断能力无法预测故障提前进行维护</w:t>
            </w:r>
            <w:r>
              <w:rPr>
                <w:rFonts w:hint="eastAsia" w:ascii="宋体" w:hAnsi="宋体"/>
                <w:bCs/>
                <w:color w:val="auto"/>
                <w:sz w:val="24"/>
                <w:highlight w:val="none"/>
              </w:rPr>
              <w:t xml:space="preserve">得1分。</w:t>
            </w:r>
            <w:r/>
          </w:p>
          <w:p>
            <w:pPr>
              <w:rPr>
                <w:rFonts w:hint="eastAsia" w:ascii="宋体" w:hAnsi="宋体"/>
                <w:bCs/>
                <w:color w:val="auto"/>
                <w:sz w:val="24"/>
                <w:highlight w:val="none"/>
              </w:rPr>
            </w:pPr>
            <w:r>
              <w:rPr>
                <w:rFonts w:hint="eastAsia" w:ascii="宋体" w:hAnsi="宋体"/>
                <w:bCs/>
                <w:color w:val="auto"/>
                <w:sz w:val="24"/>
                <w:highlight w:val="none"/>
              </w:rPr>
              <w:t xml:space="preserve">方案不全面、不具备可执行性、未提供服务方案的不得分。</w:t>
            </w:r>
            <w:r/>
          </w:p>
        </w:tc>
      </w:tr>
      <w:tr>
        <w:trPr>
          <w:jc w:val="center"/>
          <w:trHeight w:val="1627"/>
        </w:trPr>
        <w:tc>
          <w:tcPr>
            <w:tcBorders>
              <w:left w:val="single" w:color="111111" w:sz="6" w:space="0"/>
              <w:right w:val="single" w:color="111111" w:sz="6" w:space="0"/>
            </w:tcBorders>
            <w:tcW w:w="667"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1"/>
              <w:rPr>
                <w:rFonts w:hint="eastAsia" w:ascii="宋体" w:hAnsi="宋体"/>
                <w:b/>
                <w:color w:val="auto"/>
                <w:sz w:val="24"/>
                <w:highlight w:val="none"/>
              </w:rPr>
            </w:pPr>
            <w:r>
              <w:rPr>
                <w:rFonts w:hint="eastAsia" w:ascii="宋体" w:hAnsi="宋体"/>
                <w:b/>
                <w:color w:val="auto"/>
                <w:sz w:val="24"/>
                <w:highlight w:val="none"/>
              </w:rPr>
              <w:t xml:space="preserve">4.3质量管控，根据应答情况评审（3分）：</w:t>
            </w:r>
            <w:r/>
          </w:p>
          <w:p>
            <w:pPr>
              <w:pStyle w:val="1091"/>
              <w:rPr>
                <w:rFonts w:hint="eastAsia" w:ascii="宋体" w:hAnsi="宋体"/>
                <w:b/>
                <w:color w:val="auto"/>
                <w:sz w:val="24"/>
                <w:highlight w:val="none"/>
              </w:rPr>
            </w:pPr>
            <w:r>
              <w:rPr>
                <w:rFonts w:hint="eastAsia" w:ascii="宋体" w:hAnsi="宋体"/>
                <w:bCs/>
                <w:color w:val="auto"/>
                <w:sz w:val="24"/>
                <w:highlight w:val="none"/>
              </w:rPr>
              <w:t xml:space="preserve">包括但不仅限于技术性能与质量指标管理、维保服务流程管理、</w:t>
            </w:r>
            <w:r>
              <w:rPr>
                <w:rFonts w:ascii="宋体" w:hAnsi="宋体"/>
                <w:bCs/>
                <w:color w:val="auto"/>
                <w:sz w:val="24"/>
                <w:highlight w:val="none"/>
              </w:rPr>
              <w:t xml:space="preserve">备件与供应链管理</w:t>
            </w:r>
            <w:r>
              <w:rPr>
                <w:rFonts w:hint="eastAsia" w:ascii="宋体" w:hAnsi="宋体"/>
                <w:bCs/>
                <w:color w:val="auto"/>
                <w:sz w:val="24"/>
                <w:highlight w:val="none"/>
              </w:rPr>
              <w:t xml:space="preserve">、服务质量的制度、实施方案和考核办法等。</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有详细的质量管控方案同时提供不低于生产商的维护质控方案的得3分；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有详细的质量管控方案或提供不低于生产商的维护质控方案的得2分。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有质量管控方案或通用的加速器维护质控方案的的得1分。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方案不全面、不具备可执行性、未提供服务方案的不得分。 </w:t>
            </w:r>
            <w:r/>
          </w:p>
        </w:tc>
      </w:tr>
      <w:tr>
        <w:trPr>
          <w:jc w:val="center"/>
          <w:trHeight w:val="1627"/>
        </w:trPr>
        <w:tc>
          <w:tcPr>
            <w:tcBorders>
              <w:left w:val="single" w:color="111111" w:sz="6" w:space="0"/>
              <w:bottom w:val="single" w:color="111111" w:sz="6" w:space="0"/>
              <w:right w:val="single" w:color="111111" w:sz="6" w:space="0"/>
            </w:tcBorders>
            <w:tcW w:w="667"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bottom w:val="single" w:color="111111" w:sz="6" w:space="0"/>
              <w:right w:val="single" w:color="111111" w:sz="6" w:space="0"/>
            </w:tcBorders>
            <w:tcW w:w="900"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bottom w:val="single" w:color="111111" w:sz="6" w:space="0"/>
              <w:right w:val="single" w:color="111111" w:sz="6" w:space="0"/>
            </w:tcBorders>
            <w:tcW w:w="883"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111111" w:sz="6" w:space="0"/>
              <w:left w:val="single" w:color="111111" w:sz="6" w:space="0"/>
              <w:bottom w:val="single" w:color="111111" w:sz="6" w:space="0"/>
              <w:right w:val="single" w:color="auto" w:sz="4" w:space="0"/>
            </w:tcBorders>
            <w:tcW w:w="7300" w:type="dxa"/>
            <w:vAlign w:val="center"/>
            <w:textDirection w:val="lrTb"/>
            <w:noWrap/>
          </w:tcPr>
          <w:p>
            <w:pPr>
              <w:pStyle w:val="1091"/>
              <w:rPr>
                <w:rFonts w:hint="eastAsia" w:ascii="宋体" w:hAnsi="宋体"/>
                <w:b/>
                <w:color w:val="auto"/>
                <w:sz w:val="24"/>
                <w:highlight w:val="none"/>
              </w:rPr>
            </w:pPr>
            <w:r>
              <w:rPr>
                <w:rFonts w:hint="eastAsia" w:ascii="宋体" w:hAnsi="宋体"/>
                <w:b/>
                <w:color w:val="auto"/>
                <w:sz w:val="24"/>
                <w:highlight w:val="none"/>
              </w:rPr>
              <w:t xml:space="preserve">4.4增值服务，根据应答情况评审（3分）：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考虑到医院未来发展，投标人可提供相关的数据深挖、现场保养、</w:t>
            </w:r>
            <w:r>
              <w:rPr>
                <w:rFonts w:ascii="Segoe UI" w:hAnsi="Segoe UI" w:eastAsia="Segoe UI" w:cs="Segoe UI"/>
                <w:bCs/>
                <w:color w:val="auto"/>
                <w:sz w:val="24"/>
                <w:szCs w:val="24"/>
                <w:highlight w:val="none"/>
                <w:shd w:val="clear" w:color="auto" w:fill="ffffff"/>
              </w:rPr>
              <w:t xml:space="preserve">人员能力和预防性维护</w:t>
            </w:r>
            <w:r>
              <w:rPr>
                <w:rFonts w:hint="eastAsia" w:ascii="宋体" w:hAnsi="宋体"/>
                <w:bCs/>
                <w:color w:val="auto"/>
                <w:sz w:val="24"/>
                <w:highlight w:val="none"/>
              </w:rPr>
              <w:t xml:space="preserve">等增值服务</w:t>
            </w:r>
            <w:r>
              <w:rPr>
                <w:rFonts w:ascii="Segoe UI" w:hAnsi="Segoe UI" w:eastAsia="Segoe UI" w:cs="Segoe UI"/>
                <w:bCs/>
                <w:color w:val="auto"/>
                <w:sz w:val="24"/>
                <w:szCs w:val="24"/>
                <w:highlight w:val="none"/>
                <w:shd w:val="clear" w:color="auto" w:fill="ffffff"/>
              </w:rPr>
              <w:t xml:space="preserve">软件升级、设备覆盖范围、备件保障、服务响应</w:t>
            </w:r>
            <w:r>
              <w:rPr>
                <w:rFonts w:hint="eastAsia" w:ascii="Segoe UI" w:hAnsi="Segoe UI" w:cs="Segoe UI"/>
                <w:bCs/>
                <w:color w:val="auto"/>
                <w:sz w:val="24"/>
                <w:szCs w:val="24"/>
                <w:highlight w:val="none"/>
                <w:shd w:val="clear" w:color="auto" w:fill="ffffff"/>
              </w:rPr>
              <w:t xml:space="preserve">等</w:t>
            </w:r>
            <w:r>
              <w:rPr>
                <w:rFonts w:hint="eastAsia" w:ascii="宋体" w:hAnsi="宋体"/>
                <w:bCs/>
                <w:color w:val="auto"/>
                <w:sz w:val="24"/>
                <w:highlight w:val="none"/>
              </w:rPr>
              <w:t xml:space="preserve">。</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方</w:t>
            </w:r>
            <w:r>
              <w:rPr>
                <w:rFonts w:hint="eastAsia" w:ascii="宋体" w:hAnsi="宋体"/>
                <w:bCs/>
                <w:color w:val="auto"/>
                <w:sz w:val="24"/>
                <w:highlight w:val="none"/>
              </w:rPr>
              <w:t xml:space="preserve">案全面、合理，具有针对性，科学合理具备可执行性的</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能提供基于设备日志的数据挖掘，合理设置预防性维护周期和方案，及时安排更换隐患部件，有效减少意外停机时间的</w:t>
            </w:r>
            <w:r>
              <w:rPr>
                <w:rFonts w:hint="eastAsia" w:ascii="宋体" w:hAnsi="宋体"/>
                <w:bCs/>
                <w:color w:val="auto"/>
                <w:sz w:val="24"/>
                <w:highlight w:val="none"/>
              </w:rPr>
              <w:t xml:space="preserve">得3分；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方案考虑的相对不够全面，可行性欠缺合理的</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无法提供基于设备日志的数据挖掘，但能提供完整维修日志并具备基于维修日志的数据分析，合理安排预防性维护，维护中发现隐患能及时提供配件的</w:t>
            </w:r>
            <w:r>
              <w:rPr>
                <w:rFonts w:hint="eastAsia" w:ascii="宋体" w:hAnsi="宋体"/>
                <w:bCs/>
                <w:color w:val="auto"/>
                <w:sz w:val="24"/>
                <w:highlight w:val="none"/>
              </w:rPr>
              <w:t xml:space="preserve">得2分。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方案不全面，且可行性差的</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无法进行数据分析，仅按时间安排预防性维护的</w:t>
            </w:r>
            <w:r>
              <w:rPr>
                <w:rFonts w:hint="eastAsia" w:ascii="宋体" w:hAnsi="宋体"/>
                <w:bCs/>
                <w:color w:val="auto"/>
                <w:sz w:val="24"/>
                <w:highlight w:val="none"/>
              </w:rPr>
              <w:t xml:space="preserve">得1分。</w:t>
            </w:r>
            <w:r/>
          </w:p>
          <w:p>
            <w:pPr>
              <w:pStyle w:val="1091"/>
              <w:rPr>
                <w:rFonts w:hint="eastAsia" w:ascii="宋体" w:hAnsi="宋体"/>
                <w:bCs/>
                <w:color w:val="auto"/>
                <w:sz w:val="24"/>
                <w:highlight w:val="none"/>
              </w:rPr>
            </w:pPr>
            <w:r>
              <w:rPr>
                <w:rFonts w:hint="eastAsia" w:ascii="宋体" w:hAnsi="宋体"/>
                <w:bCs/>
                <w:color w:val="auto"/>
                <w:sz w:val="24"/>
                <w:highlight w:val="none"/>
              </w:rPr>
              <w:t xml:space="preserve">方案不全面、不具备可执行性、未提供服务方案的不得分。</w:t>
            </w:r>
            <w:r/>
          </w:p>
        </w:tc>
      </w:tr>
      <w:tr>
        <w:trPr>
          <w:jc w:val="center"/>
          <w:trHeight w:val="909"/>
        </w:trPr>
        <w:tc>
          <w:tcPr>
            <w:tcBorders>
              <w:top w:val="single" w:color="111111" w:sz="6" w:space="0"/>
              <w:left w:val="single" w:color="111111" w:sz="6" w:space="0"/>
              <w:right w:val="single" w:color="111111" w:sz="6" w:space="0"/>
            </w:tcBorders>
            <w:tcW w:w="667" w:type="dxa"/>
            <w:vAlign w:val="center"/>
            <w:vMerge w:val="restart"/>
            <w:textDirection w:val="lrTb"/>
            <w:noWrap/>
          </w:tcPr>
          <w:p>
            <w:pPr>
              <w:pStyle w:val="1421"/>
              <w:jc w:val="center"/>
              <w:rPr>
                <w:rFonts w:hint="eastAsia" w:ascii="宋体" w:hAnsi="宋体" w:eastAsia="宋体" w:cs="宋体"/>
                <w:color w:val="auto"/>
                <w:sz w:val="22"/>
                <w:highlight w:val="none"/>
              </w:rPr>
            </w:pPr>
            <w:r>
              <w:rPr>
                <w:rFonts w:hint="eastAsia" w:ascii="宋体" w:hAnsi="宋体" w:cs="宋体"/>
                <w:color w:val="auto"/>
                <w:sz w:val="22"/>
                <w:highlight w:val="none"/>
              </w:rPr>
              <w:t xml:space="preserve">5</w:t>
            </w:r>
            <w:r/>
          </w:p>
        </w:tc>
        <w:tc>
          <w:tcPr>
            <w:tcBorders>
              <w:top w:val="single" w:color="111111" w:sz="6" w:space="0"/>
              <w:left w:val="single" w:color="111111" w:sz="6" w:space="0"/>
              <w:right w:val="single" w:color="111111" w:sz="6" w:space="0"/>
            </w:tcBorders>
            <w:tcW w:w="900" w:type="dxa"/>
            <w:vAlign w:val="center"/>
            <w:vMerge w:val="restart"/>
            <w:textDirection w:val="lrTb"/>
            <w:noWrap/>
          </w:tcPr>
          <w:p>
            <w:pPr>
              <w:pStyle w:val="1091"/>
              <w:jc w:val="center"/>
              <w:rPr>
                <w:rFonts w:hint="eastAsia" w:ascii="宋体" w:hAnsi="宋体"/>
                <w:bCs/>
                <w:color w:val="auto"/>
                <w:sz w:val="24"/>
                <w:highlight w:val="none"/>
              </w:rPr>
            </w:pPr>
            <w:r>
              <w:rPr>
                <w:rFonts w:hint="eastAsia"/>
                <w:color w:val="auto"/>
                <w:szCs w:val="24"/>
                <w:highlight w:val="none"/>
              </w:rPr>
              <w:t xml:space="preserve">业绩</w:t>
            </w:r>
            <w:r/>
          </w:p>
        </w:tc>
        <w:tc>
          <w:tcPr>
            <w:tcBorders>
              <w:top w:val="single" w:color="111111" w:sz="6" w:space="0"/>
              <w:left w:val="single" w:color="111111" w:sz="6" w:space="0"/>
              <w:right w:val="single" w:color="111111" w:sz="6" w:space="0"/>
            </w:tcBorders>
            <w:tcW w:w="883" w:type="dxa"/>
            <w:vAlign w:val="center"/>
            <w:vMerge w:val="restart"/>
            <w:textDirection w:val="lrTb"/>
            <w:noWrap/>
          </w:tcPr>
          <w:p>
            <w:pPr>
              <w:pStyle w:val="1091"/>
              <w:jc w:val="center"/>
              <w:rPr>
                <w:rFonts w:hint="eastAsia" w:ascii="宋体" w:hAnsi="宋体"/>
                <w:bCs/>
                <w:color w:val="auto"/>
                <w:sz w:val="24"/>
                <w:highlight w:val="none"/>
              </w:rPr>
            </w:pPr>
            <w:r>
              <w:rPr>
                <w:rFonts w:hint="eastAsia" w:ascii="宋体" w:hAnsi="宋体"/>
                <w:bCs/>
                <w:color w:val="auto"/>
                <w:sz w:val="24"/>
                <w:highlight w:val="none"/>
              </w:rPr>
              <w:t xml:space="preserve">15分</w:t>
            </w:r>
            <w:r/>
          </w:p>
        </w:tc>
        <w:tc>
          <w:tcPr>
            <w:tcBorders>
              <w:top w:val="single" w:color="111111" w:sz="6" w:space="0"/>
              <w:left w:val="single" w:color="111111" w:sz="6" w:space="0"/>
              <w:bottom w:val="single" w:color="auto" w:sz="4" w:space="0"/>
              <w:right w:val="single" w:color="auto" w:sz="4" w:space="0"/>
            </w:tcBorders>
            <w:tcW w:w="7300" w:type="dxa"/>
            <w:vAlign w:val="center"/>
            <w:textDirection w:val="lrTb"/>
            <w:noWrap/>
          </w:tcPr>
          <w:p>
            <w:pPr>
              <w:rPr>
                <w:rFonts w:hint="eastAsia" w:ascii="宋体" w:hAnsi="宋体"/>
                <w:bCs/>
                <w:color w:val="auto"/>
                <w:sz w:val="24"/>
                <w:highlight w:val="none"/>
              </w:rPr>
            </w:pPr>
            <w:r>
              <w:rPr>
                <w:rFonts w:hint="eastAsia" w:ascii="宋体" w:hAnsi="宋体"/>
                <w:bCs/>
                <w:color w:val="auto"/>
                <w:sz w:val="24"/>
                <w:highlight w:val="none"/>
              </w:rPr>
              <w:t xml:space="preserve">5.1.1投标人提供自2023年1月1日起本次保修加速器（</w:t>
            </w:r>
            <w:r>
              <w:rPr>
                <w:rFonts w:ascii="宋体" w:hAnsi="宋体"/>
                <w:bCs/>
                <w:color w:val="auto"/>
                <w:sz w:val="24"/>
                <w:highlight w:val="none"/>
              </w:rPr>
              <w:t xml:space="preserve">Precise</w:t>
            </w:r>
            <w:r>
              <w:rPr>
                <w:rFonts w:hint="eastAsia" w:ascii="宋体" w:hAnsi="宋体"/>
                <w:bCs/>
                <w:color w:val="auto"/>
                <w:sz w:val="24"/>
                <w:highlight w:val="none"/>
              </w:rPr>
              <w:t xml:space="preserve">）</w:t>
            </w:r>
            <w:r>
              <w:rPr>
                <w:rFonts w:hint="eastAsia" w:ascii="宋体" w:hAnsi="宋体"/>
                <w:bCs/>
                <w:color w:val="auto"/>
                <w:sz w:val="24"/>
                <w:highlight w:val="none"/>
                <w:lang w:val="zh-TW"/>
              </w:rPr>
              <w:t xml:space="preserve">的</w:t>
            </w:r>
            <w:r>
              <w:rPr>
                <w:rFonts w:hint="eastAsia" w:ascii="宋体" w:hAnsi="宋体"/>
                <w:bCs/>
                <w:color w:val="auto"/>
                <w:sz w:val="24"/>
                <w:highlight w:val="none"/>
              </w:rPr>
              <w:t xml:space="preserve">维保业绩（以合同复印件为准）。每提供1份得1分，最高得2分</w:t>
            </w:r>
            <w:r>
              <w:rPr>
                <w:rFonts w:hint="eastAsia" w:ascii="宋体" w:hAnsi="宋体"/>
                <w:bCs/>
                <w:color w:val="auto"/>
                <w:sz w:val="24"/>
                <w:highlight w:val="none"/>
                <w:lang w:eastAsia="zh-CN"/>
              </w:rPr>
              <w:t xml:space="preserve">；</w:t>
            </w:r>
            <w:r/>
          </w:p>
        </w:tc>
      </w:tr>
      <w:tr>
        <w:trPr>
          <w:jc w:val="center"/>
          <w:trHeight w:val="930"/>
        </w:trPr>
        <w:tc>
          <w:tcPr>
            <w:tcBorders>
              <w:left w:val="single" w:color="111111" w:sz="6" w:space="0"/>
              <w:right w:val="single" w:color="111111" w:sz="6" w:space="0"/>
            </w:tcBorders>
            <w:tcW w:w="667"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right w:val="single" w:color="111111" w:sz="6" w:space="0"/>
            </w:tcBorders>
            <w:tcW w:w="900"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right w:val="single" w:color="111111" w:sz="6" w:space="0"/>
            </w:tcBorders>
            <w:tcW w:w="883" w:type="dxa"/>
            <w:vAlign w:val="center"/>
            <w:vMerge w:val="continue"/>
            <w:textDirection w:val="lrTb"/>
            <w:noWrap/>
          </w:tcPr>
          <w:p>
            <w:pPr>
              <w:pStyle w:val="1091"/>
              <w:rPr>
                <w:color w:val="auto"/>
                <w:highlight w:val="none"/>
              </w:rPr>
            </w:pPr>
            <w:r>
              <w:rPr>
                <w:color w:val="auto"/>
                <w:highlight w:val="none"/>
              </w:rPr>
            </w:r>
            <w:r/>
          </w:p>
        </w:tc>
        <w:tc>
          <w:tcPr>
            <w:tcBorders>
              <w:top w:val="single" w:color="111111" w:sz="6" w:space="0"/>
              <w:left w:val="single" w:color="111111" w:sz="6" w:space="0"/>
              <w:bottom w:val="single" w:color="auto" w:sz="4" w:space="0"/>
              <w:right w:val="single" w:color="auto" w:sz="4" w:space="0"/>
            </w:tcBorders>
            <w:tcW w:w="7300" w:type="dxa"/>
            <w:vAlign w:val="center"/>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t xml:space="preserve">5.1.2投标人提供自2023年1月1日起本次保修加速器（</w:t>
            </w:r>
            <w:r>
              <w:rPr>
                <w:rFonts w:hint="eastAsia" w:ascii="宋体" w:hAnsi="宋体" w:cs="Arial"/>
                <w:color w:val="auto"/>
                <w:highlight w:val="none"/>
              </w:rPr>
              <w:t xml:space="preserve">Axesse</w:t>
            </w: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val="zh-TW"/>
              </w:rPr>
              <w:t xml:space="preserve">的</w:t>
            </w:r>
            <w:r>
              <w:rPr>
                <w:rFonts w:hint="eastAsia" w:ascii="宋体" w:hAnsi="宋体"/>
                <w:bCs/>
                <w:color w:val="auto"/>
                <w:sz w:val="24"/>
                <w:highlight w:val="none"/>
              </w:rPr>
              <w:t xml:space="preserve">维保业绩（以合同复印件为准）。每提供1份得1分，最高得4分；</w:t>
            </w:r>
            <w:r/>
          </w:p>
        </w:tc>
      </w:tr>
      <w:tr>
        <w:trPr>
          <w:jc w:val="center"/>
          <w:trHeight w:val="930"/>
        </w:trPr>
        <w:tc>
          <w:tcPr>
            <w:tcBorders>
              <w:left w:val="single" w:color="111111" w:sz="6" w:space="0"/>
              <w:right w:val="single" w:color="111111" w:sz="6" w:space="0"/>
            </w:tcBorders>
            <w:tcW w:w="667"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right w:val="single" w:color="111111" w:sz="6" w:space="0"/>
            </w:tcBorders>
            <w:tcW w:w="900"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left w:val="single" w:color="111111" w:sz="6" w:space="0"/>
              <w:right w:val="single" w:color="111111" w:sz="6" w:space="0"/>
            </w:tcBorders>
            <w:tcW w:w="883" w:type="dxa"/>
            <w:vAlign w:val="center"/>
            <w:vMerge w:val="continue"/>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111111" w:sz="6" w:space="0"/>
              <w:left w:val="single" w:color="111111" w:sz="6" w:space="0"/>
              <w:bottom w:val="single" w:color="auto" w:sz="4" w:space="0"/>
              <w:right w:val="single" w:color="auto" w:sz="4" w:space="0"/>
            </w:tcBorders>
            <w:tcW w:w="7300" w:type="dxa"/>
            <w:vAlign w:val="center"/>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t xml:space="preserve">5.1.3投标人提供自2023年1月1日起本次保修加速器（</w:t>
            </w:r>
            <w:r>
              <w:rPr>
                <w:rFonts w:ascii="宋体" w:hAnsi="宋体"/>
                <w:bCs/>
                <w:color w:val="auto"/>
                <w:sz w:val="24"/>
                <w:highlight w:val="none"/>
              </w:rPr>
              <w:t xml:space="preserve">Infinity</w:t>
            </w:r>
            <w:r>
              <w:rPr>
                <w:rFonts w:hint="eastAsia" w:ascii="宋体" w:hAnsi="宋体"/>
                <w:bCs/>
                <w:color w:val="auto"/>
                <w:sz w:val="24"/>
                <w:highlight w:val="none"/>
              </w:rPr>
              <w:t xml:space="preserve">）</w:t>
            </w:r>
            <w:r>
              <w:rPr>
                <w:rFonts w:hint="eastAsia" w:ascii="宋体" w:hAnsi="宋体"/>
                <w:bCs/>
                <w:color w:val="auto"/>
                <w:sz w:val="24"/>
                <w:highlight w:val="none"/>
                <w:lang w:val="zh-TW"/>
              </w:rPr>
              <w:t xml:space="preserve">的</w:t>
            </w:r>
            <w:r>
              <w:rPr>
                <w:rFonts w:hint="eastAsia" w:ascii="宋体" w:hAnsi="宋体"/>
                <w:bCs/>
                <w:color w:val="auto"/>
                <w:sz w:val="24"/>
                <w:highlight w:val="none"/>
              </w:rPr>
              <w:t xml:space="preserve">维保业绩（以合同复印件为准）。每提供1份得1分，最高得4分；</w:t>
            </w:r>
            <w:r/>
          </w:p>
        </w:tc>
      </w:tr>
      <w:tr>
        <w:trPr>
          <w:jc w:val="center"/>
          <w:trHeight w:val="1232"/>
        </w:trPr>
        <w:tc>
          <w:tcPr>
            <w:tcBorders>
              <w:left w:val="single" w:color="111111" w:sz="6" w:space="0"/>
              <w:bottom w:val="single" w:color="auto" w:sz="4" w:space="0"/>
              <w:right w:val="single" w:color="111111" w:sz="6" w:space="0"/>
            </w:tcBorders>
            <w:tcW w:w="667"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bottom w:val="single" w:color="auto" w:sz="4" w:space="0"/>
              <w:right w:val="single" w:color="111111" w:sz="6" w:space="0"/>
            </w:tcBorders>
            <w:tcW w:w="900" w:type="dxa"/>
            <w:vAlign w:val="center"/>
            <w:vMerge w:val="continue"/>
            <w:textDirection w:val="lrTb"/>
            <w:noWrap/>
          </w:tcPr>
          <w:p>
            <w:pPr>
              <w:pStyle w:val="1091"/>
              <w:rPr>
                <w:color w:val="auto"/>
                <w:highlight w:val="none"/>
              </w:rPr>
            </w:pPr>
            <w:r>
              <w:rPr>
                <w:color w:val="auto"/>
                <w:highlight w:val="none"/>
              </w:rPr>
            </w:r>
            <w:r/>
          </w:p>
        </w:tc>
        <w:tc>
          <w:tcPr>
            <w:tcBorders>
              <w:left w:val="single" w:color="111111" w:sz="6" w:space="0"/>
              <w:bottom w:val="single" w:color="auto" w:sz="4" w:space="0"/>
              <w:right w:val="single" w:color="111111" w:sz="6" w:space="0"/>
            </w:tcBorders>
            <w:tcW w:w="883" w:type="dxa"/>
            <w:vAlign w:val="center"/>
            <w:vMerge w:val="continue"/>
            <w:textDirection w:val="lrTb"/>
            <w:noWrap/>
          </w:tcPr>
          <w:p>
            <w:pPr>
              <w:pStyle w:val="1091"/>
              <w:rPr>
                <w:color w:val="auto"/>
                <w:highlight w:val="none"/>
              </w:rPr>
            </w:pPr>
            <w:r>
              <w:rPr>
                <w:color w:val="auto"/>
                <w:highlight w:val="none"/>
              </w:rPr>
            </w:r>
            <w:r/>
          </w:p>
        </w:tc>
        <w:tc>
          <w:tcPr>
            <w:tcBorders>
              <w:top w:val="single" w:color="111111" w:sz="6" w:space="0"/>
              <w:left w:val="single" w:color="111111" w:sz="6" w:space="0"/>
              <w:bottom w:val="single" w:color="auto" w:sz="4" w:space="0"/>
              <w:right w:val="single" w:color="auto" w:sz="4" w:space="0"/>
            </w:tcBorders>
            <w:tcW w:w="7300" w:type="dxa"/>
            <w:vAlign w:val="center"/>
            <w:textDirection w:val="lrTb"/>
            <w:noWrap/>
          </w:tcPr>
          <w:p>
            <w:pPr>
              <w:pStyle w:val="1091"/>
              <w:rPr>
                <w:rFonts w:hint="eastAsia" w:ascii="宋体" w:hAnsi="宋体"/>
                <w:bCs/>
                <w:color w:val="auto"/>
                <w:sz w:val="24"/>
                <w:highlight w:val="none"/>
              </w:rPr>
            </w:pPr>
            <w:r>
              <w:rPr>
                <w:rFonts w:hint="eastAsia" w:ascii="宋体" w:hAnsi="宋体"/>
                <w:bCs/>
                <w:color w:val="auto"/>
                <w:sz w:val="24"/>
                <w:highlight w:val="none"/>
              </w:rPr>
              <w:t xml:space="preserve">5.2投标人提供自2023年1月1日起本次保修后装机类型（</w:t>
            </w:r>
            <w:r>
              <w:rPr>
                <w:color w:val="auto"/>
                <w:highlight w:val="none"/>
              </w:rPr>
              <w:t xml:space="preserve"> </w:t>
            </w:r>
            <w:r>
              <w:rPr>
                <w:rFonts w:ascii="宋体" w:hAnsi="宋体"/>
                <w:bCs/>
                <w:color w:val="auto"/>
                <w:sz w:val="24"/>
                <w:highlight w:val="none"/>
              </w:rPr>
              <w:t xml:space="preserve">Flexitron HDR</w:t>
            </w:r>
            <w:r>
              <w:rPr>
                <w:rFonts w:hint="eastAsia" w:ascii="宋体" w:hAnsi="宋体"/>
                <w:bCs/>
                <w:color w:val="auto"/>
                <w:sz w:val="24"/>
                <w:highlight w:val="none"/>
              </w:rPr>
              <w:t xml:space="preserve">）</w:t>
            </w:r>
            <w:r>
              <w:rPr>
                <w:rFonts w:hint="eastAsia" w:ascii="宋体" w:hAnsi="宋体"/>
                <w:bCs/>
                <w:color w:val="auto"/>
                <w:sz w:val="24"/>
                <w:highlight w:val="none"/>
                <w:lang w:val="zh-TW"/>
              </w:rPr>
              <w:t xml:space="preserve">的</w:t>
            </w:r>
            <w:r>
              <w:rPr>
                <w:rFonts w:hint="eastAsia" w:ascii="宋体" w:hAnsi="宋体"/>
                <w:bCs/>
                <w:color w:val="auto"/>
                <w:sz w:val="24"/>
                <w:highlight w:val="none"/>
              </w:rPr>
              <w:t xml:space="preserve">维保业绩（以合同复印件为准），每提供1份得1分，最高得5分，不提供不得分。</w:t>
            </w:r>
            <w:r/>
          </w:p>
        </w:tc>
      </w:tr>
    </w:tbl>
    <w:p>
      <w:pPr>
        <w:numPr>
          <w:ilvl w:val="0"/>
          <w:numId w:val="8"/>
        </w:numPr>
        <w:ind w:firstLine="420"/>
        <w:spacing w:line="360" w:lineRule="auto"/>
        <w:rPr>
          <w:color w:val="auto"/>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rPr>
          <w:rFonts w:hint="eastAsia" w:ascii="宋体" w:hAnsi="宋体"/>
          <w:color w:val="auto"/>
          <w:sz w:val="4"/>
          <w:szCs w:val="2"/>
          <w:highlight w:val="none"/>
        </w:rPr>
      </w:pPr>
      <w:r/>
      <w:bookmarkStart w:id="136" w:name="_Toc514054481"/>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firstLine="80"/>
        <w:spacing w:line="360" w:lineRule="auto"/>
        <w:rPr>
          <w:rFonts w:hint="eastAsia" w:ascii="宋体" w:hAnsi="宋体"/>
          <w:color w:val="auto"/>
          <w:sz w:val="4"/>
          <w:szCs w:val="2"/>
          <w:highlight w:val="none"/>
        </w:rPr>
      </w:pPr>
      <w:r>
        <w:rPr>
          <w:rFonts w:hint="eastAsia" w:ascii="宋体" w:hAnsi="宋体"/>
          <w:color w:val="auto"/>
          <w:sz w:val="4"/>
          <w:szCs w:val="2"/>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（3.1）本项目对残疾人福利性单位，给予10%的价格扣除，用扣除后的价格参与评审。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rPr>
          <w:rStyle w:val="844"/>
          <w:b w:val="0"/>
          <w:color w:val="auto"/>
          <w:highlight w:val="none"/>
        </w:rPr>
        <w:outlineLvl w:val="0"/>
      </w:pPr>
      <w:r>
        <w:rPr>
          <w:b w:val="0"/>
          <w:color w:val="auto"/>
          <w:highlight w:val="none"/>
        </w:rPr>
      </w:r>
      <w:r/>
    </w:p>
    <w:p>
      <w:pPr>
        <w:rPr>
          <w:rStyle w:val="844"/>
          <w:b w:val="0"/>
          <w:color w:val="auto"/>
          <w:highlight w:val="none"/>
        </w:rPr>
        <w:outlineLvl w:val="0"/>
      </w:pPr>
      <w:r>
        <w:rPr>
          <w:b w:val="0"/>
          <w:color w:val="auto"/>
          <w:highlight w:val="none"/>
        </w:rPr>
      </w:r>
      <w:r/>
    </w:p>
    <w:p>
      <w:pPr>
        <w:pStyle w:val="755"/>
        <w:rPr>
          <w:rStyle w:val="844"/>
          <w:b w:val="0"/>
          <w:color w:val="auto"/>
          <w:highlight w:val="none"/>
        </w:rPr>
      </w:pPr>
      <w:r>
        <w:rPr>
          <w:b w:val="0"/>
          <w:color w:val="auto"/>
          <w:highlight w:val="none"/>
        </w:rPr>
      </w:r>
      <w:r/>
    </w:p>
    <w:p>
      <w:pPr>
        <w:rPr>
          <w:color w:val="auto"/>
          <w:highlight w:val="none"/>
        </w:rPr>
      </w:pPr>
      <w:r>
        <w:rPr>
          <w:color w:val="auto"/>
          <w:highlight w:val="none"/>
        </w:rPr>
      </w:r>
      <w:r/>
    </w:p>
    <w:p>
      <w:pPr>
        <w:pStyle w:val="744"/>
        <w:rPr>
          <w:rFonts w:hint="eastAsia"/>
          <w:color w:val="auto"/>
          <w:highlight w:val="none"/>
        </w:rPr>
      </w:pPr>
      <w:r/>
      <w:bookmarkStart w:id="137" w:name="_Toc8891"/>
      <w:r/>
      <w:bookmarkStart w:id="138" w:name="_Toc23169"/>
      <w:r/>
      <w:r/>
    </w:p>
    <w:p>
      <w:pPr>
        <w:pStyle w:val="7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5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p>
    <w:p>
      <w:pPr>
        <w:pStyle w:val="755"/>
        <w:rPr>
          <w:rFonts w:hint="eastAsia"/>
          <w:color w:val="auto"/>
          <w:highlight w:val="none"/>
        </w:rPr>
      </w:pPr>
      <w:r>
        <w:rPr>
          <w:rFonts w:hint="eastAsia"/>
          <w:color w:val="auto"/>
          <w:highlight w:val="none"/>
        </w:rPr>
      </w:r>
      <w:r/>
    </w:p>
    <w:p>
      <w:pPr>
        <w:pStyle w:val="744"/>
        <w:rPr>
          <w:color w:val="auto"/>
          <w:highlight w:val="none"/>
        </w:rPr>
      </w:pPr>
      <w:r>
        <w:rPr>
          <w:rFonts w:hint="eastAsia"/>
          <w:color w:val="auto"/>
          <w:highlight w:val="none"/>
        </w:rPr>
        <w:t xml:space="preserve">第四部分项目需求</w:t>
      </w:r>
      <w:bookmarkEnd w:id="136"/>
      <w:r/>
      <w:bookmarkEnd w:id="137"/>
      <w:r/>
      <w:bookmarkEnd w:id="138"/>
      <w:r/>
      <w:bookmarkStart w:id="139" w:name="_Toc514054482"/>
      <w:r/>
      <w:r/>
    </w:p>
    <w:p>
      <w:pPr>
        <w:jc w:val="left"/>
        <w:spacing w:line="360" w:lineRule="auto"/>
        <w:rPr>
          <w:rFonts w:hint="eastAsia" w:ascii="宋体" w:hAnsi="宋体" w:cs="宋体"/>
          <w:b/>
          <w:bCs/>
          <w:color w:val="auto"/>
          <w:sz w:val="28"/>
          <w:szCs w:val="28"/>
          <w:highlight w:val="none"/>
        </w:rPr>
      </w:pPr>
      <w:r/>
      <w:bookmarkStart w:id="140" w:name="_Toc5953"/>
      <w:r/>
      <w:bookmarkStart w:id="141" w:name="_Toc26554093"/>
      <w:r/>
      <w:bookmarkStart w:id="142" w:name="_Toc49090575"/>
      <w:r/>
      <w:bookmarkStart w:id="143" w:name="_Toc32119"/>
      <w:r/>
      <w:bookmarkStart w:id="144" w:name="_Toc311"/>
      <w:r>
        <w:rPr>
          <w:rFonts w:hint="eastAsia" w:ascii="宋体" w:hAnsi="宋体" w:cs="宋体"/>
          <w:b/>
          <w:bCs/>
          <w:color w:val="auto"/>
          <w:sz w:val="28"/>
          <w:szCs w:val="28"/>
          <w:highlight w:val="none"/>
        </w:rPr>
        <w:t xml:space="preserve">一、货物需求一览表 </w:t>
      </w:r>
      <w:r/>
    </w:p>
    <w:tbl>
      <w:tblPr>
        <w:tblStyle w:val="754"/>
        <w:tblW w:w="921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93"/>
        <w:gridCol w:w="2844"/>
        <w:gridCol w:w="3480"/>
        <w:gridCol w:w="1998"/>
      </w:tblGrid>
      <w:tr>
        <w:trPr>
          <w:jc w:val="center"/>
          <w:trHeight w:val="780"/>
        </w:trPr>
        <w:tc>
          <w:tcPr>
            <w:tcW w:w="8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84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 物 名 称</w:t>
            </w:r>
            <w:r/>
          </w:p>
        </w:tc>
        <w:tc>
          <w:tcPr>
            <w:tcW w:w="348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服务期限</w:t>
            </w:r>
            <w:r/>
          </w:p>
        </w:tc>
        <w:tc>
          <w:tcPr>
            <w:tcW w:w="19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服务地点</w:t>
            </w:r>
            <w:r/>
          </w:p>
        </w:tc>
      </w:tr>
      <w:tr>
        <w:trPr>
          <w:jc w:val="center"/>
          <w:trHeight w:val="698"/>
        </w:trPr>
        <w:tc>
          <w:tcPr>
            <w:tcW w:w="8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84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医科达Precise医用直线加速器</w:t>
            </w:r>
            <w:r/>
          </w:p>
        </w:tc>
        <w:tc>
          <w:tcPr>
            <w:tcW w:w="3480"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自合同签订之日起，服务期三年，合同一年一签。合同服务期满根据招标人对中标人的当年考评结果决定下一年度是否续签。</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98"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江苏省人民医院</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662"/>
        </w:trPr>
        <w:tc>
          <w:tcPr>
            <w:tcW w:w="8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84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医科达Axesse医用直线加速器</w:t>
            </w:r>
            <w:r/>
          </w:p>
        </w:tc>
        <w:tc>
          <w:tcPr>
            <w:tcW w:w="3480"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9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34"/>
        </w:trPr>
        <w:tc>
          <w:tcPr>
            <w:tcW w:w="8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84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医科达Infinity医用直线加速器</w:t>
            </w:r>
            <w:r/>
          </w:p>
        </w:tc>
        <w:tc>
          <w:tcPr>
            <w:tcW w:w="3480"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9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02"/>
        </w:trPr>
        <w:tc>
          <w:tcPr>
            <w:tcW w:w="8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84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w:t>
            </w:r>
            <w:bookmarkStart w:id="145" w:name="_Hlk226105051"/>
            <w:r>
              <w:rPr>
                <w:rFonts w:hint="eastAsia" w:ascii="宋体" w:hAnsi="宋体" w:cs="宋体"/>
                <w:color w:val="auto"/>
                <w:sz w:val="24"/>
                <w:szCs w:val="24"/>
                <w:highlight w:val="none"/>
              </w:rPr>
              <w:t xml:space="preserve">Flexitron HDR医用后装治疗机</w:t>
            </w:r>
            <w:bookmarkEnd w:id="145"/>
            <w:r/>
            <w:r/>
          </w:p>
        </w:tc>
        <w:tc>
          <w:tcPr>
            <w:tcW w:w="3480"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9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755"/>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二、技术、商务要求</w:t>
      </w:r>
      <w:r/>
    </w:p>
    <w:p>
      <w:pPr>
        <w:pStyle w:val="77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（一）维保范围</w:t>
      </w:r>
      <w:r/>
    </w:p>
    <w:p>
      <w:pPr>
        <w:ind w:firstLine="480"/>
        <w:jc w:val="left"/>
        <w:spacing w:line="360" w:lineRule="auto"/>
        <w:widowControl/>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医科达Precise、Axesse、Infinity医用直线加速器， Flexitron HDR医用</w:t>
      </w:r>
      <w:bookmarkStart w:id="146" w:name="_Hlk226105365"/>
      <w:r>
        <w:rPr>
          <w:rFonts w:hint="eastAsia" w:ascii="宋体" w:hAnsi="宋体" w:cs="宋体"/>
          <w:color w:val="auto"/>
          <w:sz w:val="24"/>
          <w:szCs w:val="24"/>
          <w:highlight w:val="none"/>
        </w:rPr>
        <w:t xml:space="preserve">后装治疗机</w:t>
      </w:r>
      <w:bookmarkEnd w:id="146"/>
      <w:r>
        <w:rPr>
          <w:rFonts w:hint="eastAsia" w:ascii="宋体" w:hAnsi="宋体" w:cs="宋体"/>
          <w:color w:val="auto"/>
          <w:sz w:val="24"/>
          <w:szCs w:val="24"/>
          <w:highlight w:val="none"/>
        </w:rPr>
        <w:t xml:space="preserve">整机保修</w:t>
      </w:r>
      <w:r>
        <w:rPr>
          <w:rFonts w:hint="eastAsia" w:ascii="宋体" w:hAnsi="宋体" w:cs="宋体"/>
          <w:bCs/>
          <w:color w:val="auto"/>
          <w:sz w:val="24"/>
          <w:szCs w:val="24"/>
          <w:highlight w:val="none"/>
        </w:rPr>
        <w:t xml:space="preserve">（数量：4台，设备具体型号、编号详见下表），整机保修（含医用直线加速器系统、后装治疗机所有配件与服务及所有的TPS系统、肿瘤信息系统、其他医用直线加速器系统附属的软硬件）。</w:t>
      </w:r>
      <w:r/>
    </w:p>
    <w:tbl>
      <w:tblPr>
        <w:tblStyle w:val="754"/>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5"/>
        <w:gridCol w:w="3260"/>
        <w:gridCol w:w="3178"/>
        <w:gridCol w:w="1756"/>
      </w:tblGrid>
      <w:tr>
        <w:trPr>
          <w:jc w:val="center"/>
          <w:trHeight w:val="558"/>
        </w:trPr>
        <w:tc>
          <w:tcPr>
            <w:tcW w:w="141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编号</w:t>
            </w:r>
            <w:r/>
          </w:p>
        </w:tc>
        <w:tc>
          <w:tcPr>
            <w:tcW w:w="3260"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317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品牌型号</w:t>
            </w:r>
            <w:r/>
          </w:p>
        </w:tc>
        <w:tc>
          <w:tcPr>
            <w:tcW w:w="1756"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SN号</w:t>
            </w:r>
            <w:r/>
          </w:p>
        </w:tc>
      </w:tr>
      <w:tr>
        <w:trPr>
          <w:jc w:val="center"/>
          <w:trHeight w:val="750"/>
        </w:trPr>
        <w:tc>
          <w:tcPr>
            <w:tcW w:w="141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26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医科达Precise医用直线加速器</w:t>
            </w:r>
            <w:r/>
          </w:p>
        </w:tc>
        <w:tc>
          <w:tcPr>
            <w:tcW w:w="3178" w:type="dxa"/>
            <w:vAlign w:val="center"/>
            <w:textDirection w:val="lrTb"/>
            <w:noWrap/>
          </w:tcPr>
          <w:p>
            <w:pPr>
              <w:ind w:left="720" w:hanging="720"/>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医科达Precise</w:t>
            </w:r>
            <w:r/>
          </w:p>
        </w:tc>
        <w:tc>
          <w:tcPr>
            <w:tcW w:w="1756"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151650</w:t>
            </w:r>
            <w:r/>
          </w:p>
        </w:tc>
      </w:tr>
      <w:tr>
        <w:trPr>
          <w:jc w:val="center"/>
          <w:trHeight w:val="750"/>
        </w:trPr>
        <w:tc>
          <w:tcPr>
            <w:tcW w:w="141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326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医科达Axesse医用直线加速器</w:t>
            </w:r>
            <w:r/>
          </w:p>
        </w:tc>
        <w:tc>
          <w:tcPr>
            <w:tcW w:w="3178" w:type="dxa"/>
            <w:vAlign w:val="center"/>
            <w:textDirection w:val="lrTb"/>
            <w:noWrap/>
          </w:tcPr>
          <w:p>
            <w:pPr>
              <w:ind w:left="720" w:hanging="720"/>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医科达Axesse</w:t>
            </w:r>
            <w:r/>
          </w:p>
        </w:tc>
        <w:tc>
          <w:tcPr>
            <w:tcW w:w="1756"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152964</w:t>
            </w:r>
            <w:r/>
          </w:p>
        </w:tc>
      </w:tr>
      <w:tr>
        <w:trPr>
          <w:jc w:val="center"/>
          <w:trHeight w:val="750"/>
        </w:trPr>
        <w:tc>
          <w:tcPr>
            <w:tcW w:w="141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326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医科达Infinity医用直线加速器</w:t>
            </w:r>
            <w:r/>
          </w:p>
        </w:tc>
        <w:tc>
          <w:tcPr>
            <w:tcW w:w="3178" w:type="dxa"/>
            <w:vAlign w:val="center"/>
            <w:textDirection w:val="lrTb"/>
            <w:noWrap/>
          </w:tcPr>
          <w:p>
            <w:pPr>
              <w:ind w:left="720" w:hanging="720"/>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医科达Infinity</w:t>
            </w:r>
            <w:r/>
          </w:p>
        </w:tc>
        <w:tc>
          <w:tcPr>
            <w:tcW w:w="1756"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157484</w:t>
            </w:r>
            <w:r/>
          </w:p>
        </w:tc>
      </w:tr>
      <w:tr>
        <w:trPr>
          <w:jc w:val="center"/>
          <w:trHeight w:val="750"/>
        </w:trPr>
        <w:tc>
          <w:tcPr>
            <w:tcW w:w="141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326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医科达Flexitron HDR医用后装治疗机</w:t>
            </w:r>
            <w:r/>
          </w:p>
        </w:tc>
        <w:tc>
          <w:tcPr>
            <w:tcW w:w="3178" w:type="dxa"/>
            <w:vAlign w:val="center"/>
            <w:textDirection w:val="lrTb"/>
            <w:noWrap/>
          </w:tcPr>
          <w:p>
            <w:pPr>
              <w:ind w:left="720" w:hanging="720"/>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医科达Flexitron HDR</w:t>
            </w:r>
            <w:r/>
          </w:p>
        </w:tc>
        <w:tc>
          <w:tcPr>
            <w:tcW w:w="1756"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二、技术、商务要求</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（一）技术要求： </w:t>
      </w:r>
      <w:r/>
    </w:p>
    <w:tbl>
      <w:tblPr>
        <w:tblStyle w:val="754"/>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2496"/>
        <w:gridCol w:w="3600"/>
        <w:gridCol w:w="972"/>
        <w:gridCol w:w="1163"/>
      </w:tblGrid>
      <w:tr>
        <w:trPr>
          <w:jc w:val="center"/>
        </w:trPr>
        <w:tc>
          <w:tcPr>
            <w:tcW w:w="983" w:type="dxa"/>
            <w:vAlign w:val="center"/>
            <w:textDirection w:val="lrTb"/>
            <w:noWrap w:val="false"/>
          </w:tcPr>
          <w:p>
            <w:pPr>
              <w:jc w:val="center"/>
              <w:rPr>
                <w:rFonts w:hint="eastAsia" w:ascii="宋体" w:hAnsi="宋体" w:cs="宋体"/>
                <w:b/>
                <w:color w:val="auto"/>
                <w:sz w:val="24"/>
                <w:szCs w:val="24"/>
                <w:highlight w:val="none"/>
              </w:rPr>
            </w:pPr>
            <w:r/>
            <w:bookmarkStart w:id="147" w:name="_Hlk227136005"/>
            <w:r>
              <w:rPr>
                <w:rFonts w:hint="eastAsia" w:ascii="宋体" w:hAnsi="宋体" w:cs="宋体"/>
                <w:b/>
                <w:color w:val="auto"/>
                <w:sz w:val="24"/>
                <w:szCs w:val="24"/>
                <w:highlight w:val="none"/>
              </w:rPr>
              <w:t xml:space="preserve">序号</w:t>
            </w:r>
            <w:r/>
          </w:p>
        </w:tc>
        <w:tc>
          <w:tcPr>
            <w:gridSpan w:val="2"/>
            <w:tcW w:w="6096"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招标要求</w:t>
            </w:r>
            <w:r/>
          </w:p>
        </w:tc>
        <w:tc>
          <w:tcPr>
            <w:tcW w:w="972"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投标方参数</w:t>
            </w:r>
            <w:r/>
          </w:p>
        </w:tc>
        <w:tc>
          <w:tcPr>
            <w:tcW w:w="1163"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偏离及说明</w:t>
            </w:r>
            <w:r/>
          </w:p>
        </w:tc>
      </w:tr>
      <w:tr>
        <w:trPr>
          <w:jc w:val="center"/>
        </w:trPr>
        <w:tc>
          <w:tcPr>
            <w:tcW w:w="983" w:type="dxa"/>
            <w:vAlign w:val="center"/>
            <w:textDirection w:val="lrTb"/>
            <w:noWrap w:val="false"/>
          </w:tcPr>
          <w:p>
            <w:pPr>
              <w:rPr>
                <w:rFonts w:hint="eastAsia" w:ascii="宋体" w:hAnsi="宋体" w:cs="宋体"/>
                <w:bCs/>
                <w:cap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bCs/>
                <w:caps/>
                <w:color w:val="auto"/>
                <w:sz w:val="24"/>
                <w:szCs w:val="24"/>
                <w:highlight w:val="none"/>
              </w:rPr>
              <w:t xml:space="preserve">1</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保修范围</w:t>
            </w:r>
            <w:r/>
          </w:p>
        </w:tc>
        <w:tc>
          <w:tcPr>
            <w:tcW w:w="3600" w:type="dxa"/>
            <w:vAlign w:val="center"/>
            <w:textDirection w:val="lrTb"/>
            <w:noWrap w:val="false"/>
          </w:tcPr>
          <w:p>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台加速器、1台后装机整机3年全保服务包括全部人工、所有配件；含所有的TPS系统、肿瘤信息系统、其他医用直线加速器系统附属的软硬件（如水冷机、激光灯等），包含设备生产厂家对本设备主机、计划系统和网络系统的非功能性软件免费升级。</w:t>
            </w:r>
            <w:r/>
          </w:p>
        </w:tc>
        <w:tc>
          <w:tcPr>
            <w:tcW w:w="972" w:type="dxa"/>
            <w:vAlign w:val="center"/>
            <w:textDirection w:val="lrTb"/>
            <w:noWrap w:val="false"/>
          </w:tcPr>
          <w:p>
            <w:pP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r>
            <w:r/>
          </w:p>
        </w:tc>
        <w:tc>
          <w:tcPr>
            <w:tcW w:w="1163" w:type="dxa"/>
            <w:vAlign w:val="center"/>
            <w:textDirection w:val="lrTb"/>
            <w:noWrap w:val="false"/>
          </w:tcPr>
          <w:p>
            <w:pP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投标人需具备客户服务专线电话</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每年365天开通，全天24小时服务；</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▲3</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投标人所更换的零备件为原厂配件；以满足设备运行要求，不会给设备带来安全隐患。(提供设备生产商的有效配件授权或承诺书复印件)</w:t>
            </w:r>
            <w:r/>
          </w:p>
        </w:tc>
        <w:tc>
          <w:tcPr>
            <w:tcW w:w="3600" w:type="dxa"/>
            <w:vAlign w:val="center"/>
            <w:textDirection w:val="lrTb"/>
            <w:noWrap w:val="false"/>
          </w:tcPr>
          <w:p>
            <w:pP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提供设备生产商的配件有效授权或有效承诺书（授权内容和时效均应有效）</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t xml:space="preserve">4</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投标人具备直线加速器行波加速管的更换能力</w:t>
            </w:r>
            <w:r/>
          </w:p>
        </w:tc>
        <w:tc>
          <w:tcPr>
            <w:tcW w:w="3600" w:type="dxa"/>
            <w:vAlign w:val="center"/>
            <w:textDirection w:val="lrTb"/>
            <w:noWrap w:val="false"/>
          </w:tcPr>
          <w:p>
            <w:pPr>
              <w:rPr>
                <w:rFonts w:hint="eastAsia" w:ascii="宋体" w:hAnsi="宋体" w:cs="宋体"/>
                <w:bCs/>
                <w:caps/>
                <w:color w:val="auto"/>
                <w:sz w:val="24"/>
                <w:szCs w:val="24"/>
                <w:highlight w:val="none"/>
              </w:rPr>
            </w:pPr>
            <w:r>
              <w:rPr>
                <w:rFonts w:hint="eastAsia" w:ascii="宋体" w:hAnsi="宋体" w:cs="宋体"/>
                <w:color w:val="auto"/>
                <w:sz w:val="24"/>
                <w:szCs w:val="24"/>
                <w:highlight w:val="none"/>
              </w:rPr>
              <w:t xml:space="preserve">提供国内医院成功更换行波加速管的维修工单证明材料</w:t>
            </w:r>
            <w:r/>
          </w:p>
        </w:tc>
        <w:tc>
          <w:tcPr>
            <w:tcW w:w="972" w:type="dxa"/>
            <w:vAlign w:val="center"/>
            <w:textDirection w:val="lrTb"/>
            <w:noWrap w:val="false"/>
          </w:tcPr>
          <w:p>
            <w:pP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r>
            <w:r/>
          </w:p>
        </w:tc>
        <w:tc>
          <w:tcPr>
            <w:tcW w:w="1163" w:type="dxa"/>
            <w:vAlign w:val="center"/>
            <w:textDirection w:val="lrTb"/>
            <w:noWrap w:val="false"/>
          </w:tcPr>
          <w:p>
            <w:pPr>
              <w:rPr>
                <w:rFonts w:hint="eastAsia" w:ascii="宋体" w:hAnsi="宋体" w:cs="宋体"/>
                <w:bCs/>
                <w:caps/>
                <w:color w:val="auto"/>
                <w:sz w:val="24"/>
                <w:szCs w:val="24"/>
                <w:highlight w:val="none"/>
              </w:rPr>
            </w:pPr>
            <w:r>
              <w:rPr>
                <w:rFonts w:hint="eastAsia" w:ascii="宋体" w:hAnsi="宋体" w:cs="宋体"/>
                <w:bCs/>
                <w:caps/>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具备数字化远程维修服务系统，实现远程服务器24小时自动监测，具备完全使用远程遥控诊断系统的能力，提供自动预警、主动预防保障服务。可以从数据库读取设备故障数据，实时用于远程诊断设备故障；同时必须遵守医院信息部门相关规定，保护医疗信息安全。</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依据国卫规划发〔2022〕29号国家卫生健康委《医疗卫生机构网络安全管理办法》要求，投标人需提供公安机关颁发的国家</w:t>
            </w:r>
            <w:bookmarkStart w:id="148" w:name="OLE_LINK1"/>
            <w:r>
              <w:rPr>
                <w:rFonts w:hint="eastAsia" w:ascii="宋体" w:hAnsi="宋体" w:cs="宋体"/>
                <w:color w:val="auto"/>
                <w:sz w:val="24"/>
                <w:szCs w:val="24"/>
                <w:highlight w:val="none"/>
              </w:rPr>
              <w:t xml:space="preserve">信息系统安全等级保护</w:t>
            </w:r>
            <w:bookmarkEnd w:id="148"/>
            <w:r>
              <w:rPr>
                <w:rFonts w:hint="eastAsia" w:ascii="宋体" w:hAnsi="宋体" w:cs="宋体"/>
                <w:color w:val="auto"/>
                <w:sz w:val="24"/>
                <w:szCs w:val="24"/>
                <w:highlight w:val="none"/>
              </w:rPr>
              <w:t xml:space="preserve">认证证书，等级应大于等于三级，提供备案证明复印件</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预防性保养：提供一年不少于4次的预防性保养，并提交维护保养报告；使保修设备保持原厂QC标准或国家质量技监部门之标准，包含但不限于如下项目：设备清洁、性能测试、校准、必要的电气环境检查等；</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496" w:type="dxa"/>
            <w:vAlign w:val="center"/>
            <w:textDirection w:val="lrTb"/>
            <w:noWrap w:val="false"/>
          </w:tcPr>
          <w:p>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投标人保修期内在硬件支持情况下，提供设备的系统软件升级补丁和技术支持，保证所有系统软件为最新版本。</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提供，提供2023年1月1日后的3例实施案例证明材料，</w:t>
            </w:r>
            <w:r>
              <w:rPr>
                <w:rFonts w:hint="eastAsia" w:ascii="宋体" w:hAnsi="宋体" w:cs="宋体"/>
                <w:color w:val="auto"/>
                <w:sz w:val="24"/>
                <w:szCs w:val="24"/>
                <w:highlight w:val="none"/>
              </w:rPr>
              <w:t xml:space="preserve">包括相关医院实施案例的工单或验收报告（需有合同甲方验收签</w:t>
            </w:r>
            <w:r>
              <w:rPr>
                <w:rFonts w:hint="eastAsia" w:ascii="宋体" w:hAnsi="宋体" w:cs="宋体"/>
                <w:color w:val="auto"/>
                <w:sz w:val="24"/>
                <w:szCs w:val="24"/>
                <w:highlight w:val="none"/>
                <w:lang w:val="en-US" w:eastAsia="zh-CN"/>
              </w:rPr>
              <w:t xml:space="preserve">字或盖</w:t>
            </w:r>
            <w:r>
              <w:rPr>
                <w:rFonts w:hint="eastAsia" w:ascii="宋体" w:hAnsi="宋体" w:cs="宋体"/>
                <w:color w:val="auto"/>
                <w:sz w:val="24"/>
                <w:szCs w:val="24"/>
                <w:highlight w:val="none"/>
              </w:rPr>
              <w:t xml:space="preserve">章）证明资料；</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2496" w:type="dxa"/>
            <w:vAlign w:val="center"/>
            <w:textDirection w:val="lrTb"/>
            <w:noWrap w:val="false"/>
          </w:tcPr>
          <w:p>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保证保修期内开机率≥97%</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（按全年365天计算，不分节假日），如开机率达不到要求，每超过一天保修期相应延长2天保修期</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2496" w:type="dxa"/>
            <w:vAlign w:val="center"/>
            <w:textDirection w:val="lrTb"/>
            <w:noWrap w:val="false"/>
          </w:tcPr>
          <w:p>
            <w:pPr>
              <w:spacing w:line="560" w:lineRule="exact"/>
              <w:rPr>
                <w:rFonts w:hint="eastAsia" w:ascii="宋体" w:hAnsi="宋体" w:cs="宋体"/>
                <w:color w:val="auto"/>
                <w:sz w:val="24"/>
                <w:szCs w:val="24"/>
                <w:highlight w:val="none"/>
              </w:rPr>
            </w:pPr>
            <w:r>
              <w:rPr>
                <w:rFonts w:hint="eastAsia" w:ascii="宋体" w:hAnsi="宋体" w:cs="宋体"/>
                <w:color w:val="auto"/>
                <w:sz w:val="21"/>
                <w:szCs w:val="21"/>
                <w:highlight w:val="none"/>
              </w:rPr>
              <w:t xml:space="preserve">提供季度、年度服务总结报告</w:t>
            </w:r>
            <w:r>
              <w:rPr>
                <w:rFonts w:hint="eastAsia" w:ascii="宋体" w:hAnsi="宋体" w:cs="宋体"/>
                <w:color w:val="auto"/>
                <w:sz w:val="24"/>
                <w:szCs w:val="24"/>
                <w:highlight w:val="none"/>
              </w:rPr>
              <w:t xml:space="preserve">、保养报告、维修维护报告，内有开机率分析、更换配件明细、保养情况、维修情况等，对当年设备运行情况进行分析，提供合理化建议；</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如因设备维保不当或者隐患未及时发现造成损失的承担全部责任；</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（提供承诺书为证明材料）</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用户报修响应时间：电话响应时间：1小时内；到达现场维修时间：24个小时内；国内配件24小时以内更换；进口配件3天内。</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具备Flexitron HDR后装机换源资质</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提供成功换源案例，包括相关医院实施案例的工单或验收报告（需有源接收单位签</w:t>
            </w:r>
            <w:r>
              <w:rPr>
                <w:rFonts w:hint="eastAsia" w:ascii="宋体" w:hAnsi="宋体" w:cs="宋体"/>
                <w:color w:val="auto"/>
                <w:sz w:val="24"/>
                <w:szCs w:val="24"/>
                <w:highlight w:val="none"/>
                <w:lang w:val="en-US" w:eastAsia="zh-CN"/>
              </w:rPr>
              <w:t xml:space="preserve">字或盖</w:t>
            </w:r>
            <w:r>
              <w:rPr>
                <w:rFonts w:hint="eastAsia" w:ascii="宋体" w:hAnsi="宋体" w:cs="宋体"/>
                <w:color w:val="auto"/>
                <w:sz w:val="24"/>
                <w:szCs w:val="24"/>
                <w:highlight w:val="none"/>
              </w:rPr>
              <w:t xml:space="preserve">章）</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有原厂配件库存</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分别提供Precise、Axesse、Infinity三类加速器2024年1月1日至今主要配件（需包括磁控管、EPID平板、CBCT球管、CBCT平板探测器、CBCT高压发生器、钛泵、叶片驱动电机、电离室）进口件应提供海关进口报关单。</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合同执行中如发生设备报废停止使用则应按实际发生的保修时间计算保修费用，最小计费单位为月，单月保修费用为单台设备年保修费/12</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投标方有全套的第三方质控设备包括三维水箱、三维剂量验证系统、二维剂量验证系统、绝对剂量仪、晨检仪</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提供设备购买发票和有效期内的计量检测报告，检测机构包括计量科学研究院、疾病预防控制中心、获得CMA（检验检测机构资质认定）或CNAS（中国合格评定国家认可委员会）认可的市场化机构</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提供相应的培训服务</w:t>
            </w:r>
            <w:r/>
          </w:p>
        </w:tc>
        <w:tc>
          <w:tcPr>
            <w:tcW w:w="36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提供培训计划</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bookmarkStart w:id="149" w:name="_Hlk179981170"/>
            <w:r>
              <w:rPr>
                <w:rFonts w:hint="eastAsia" w:ascii="宋体" w:hAnsi="宋体" w:cs="宋体"/>
                <w:color w:val="auto"/>
                <w:sz w:val="24"/>
                <w:szCs w:val="24"/>
                <w:highlight w:val="none"/>
              </w:rPr>
              <w:t xml:space="preserve">▲17</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加速器维护符合</w:t>
            </w:r>
            <w:r>
              <w:rPr>
                <w:rFonts w:hint="eastAsia" w:ascii="宋体" w:hAnsi="宋体" w:cs="宋体"/>
                <w:color w:val="auto"/>
                <w:sz w:val="24"/>
                <w:szCs w:val="24"/>
                <w:highlight w:val="none"/>
              </w:rPr>
              <w:t xml:space="preserve">辐射安全</w:t>
            </w:r>
            <w:r>
              <w:rPr>
                <w:rFonts w:hint="eastAsia" w:ascii="宋体" w:hAnsi="宋体" w:cs="宋体"/>
                <w:color w:val="auto"/>
                <w:sz w:val="24"/>
                <w:szCs w:val="24"/>
                <w:highlight w:val="none"/>
                <w:lang w:val="en-US" w:eastAsia="zh-CN"/>
              </w:rPr>
              <w:t xml:space="preserve">管理要求</w:t>
            </w:r>
            <w:r/>
          </w:p>
        </w:tc>
        <w:tc>
          <w:tcPr>
            <w:tcW w:w="3600" w:type="dxa"/>
            <w:vAlign w:val="center"/>
            <w:textDirection w:val="lrTb"/>
            <w:noWrap w:val="false"/>
          </w:tcPr>
          <w:p>
            <w:pPr>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响应，提供投标单位的《辐射安全许可证》复印件（加盖公章），证件指定的种类与范围包含销售、使用II类射线装置</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W w:w="2496"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后装机维护符合</w:t>
            </w:r>
            <w:r>
              <w:rPr>
                <w:rFonts w:hint="eastAsia" w:ascii="宋体" w:hAnsi="宋体" w:cs="宋体"/>
                <w:color w:val="auto"/>
                <w:sz w:val="24"/>
                <w:szCs w:val="24"/>
                <w:highlight w:val="none"/>
              </w:rPr>
              <w:t xml:space="preserve">辐射安全</w:t>
            </w:r>
            <w:r>
              <w:rPr>
                <w:rFonts w:hint="eastAsia" w:ascii="宋体" w:hAnsi="宋体" w:cs="宋体"/>
                <w:color w:val="auto"/>
                <w:sz w:val="24"/>
                <w:szCs w:val="24"/>
                <w:highlight w:val="none"/>
                <w:lang w:val="en-US" w:eastAsia="zh-CN"/>
              </w:rPr>
              <w:t xml:space="preserve">管理要求</w:t>
            </w:r>
            <w:r/>
          </w:p>
        </w:tc>
        <w:tc>
          <w:tcPr>
            <w:shd w:val="clear" w:color="auto" w:fill="auto"/>
            <w:tcW w:w="3600" w:type="dxa"/>
            <w:vAlign w:val="center"/>
            <w:textDirection w:val="lrTb"/>
            <w:noWrap w:val="false"/>
          </w:tcPr>
          <w:p>
            <w:pPr>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响应，提供投标单位的《辐射安全许可证》复印件（加盖公章），证件指定的种类与范围包含包含销售使用III类放射源和销售、使用III类射线装置</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983"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19</w:t>
            </w:r>
            <w:r/>
          </w:p>
        </w:tc>
        <w:tc>
          <w:tcPr>
            <w:tcW w:w="2496"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放射性运输</w:t>
            </w:r>
            <w:r>
              <w:rPr>
                <w:rFonts w:hint="eastAsia" w:ascii="宋体" w:hAnsi="宋体" w:cs="宋体"/>
                <w:color w:val="auto"/>
                <w:sz w:val="24"/>
                <w:szCs w:val="24"/>
                <w:highlight w:val="none"/>
                <w:lang w:val="en-US" w:eastAsia="zh-CN"/>
              </w:rPr>
              <w:t xml:space="preserve">符合国家关于放射性物品运输规范</w:t>
            </w:r>
            <w:r/>
          </w:p>
        </w:tc>
        <w:tc>
          <w:tcPr>
            <w:tcW w:w="3600"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响应，提供投标方的《放射性物品道路运输许可证》复印件（加盖公章）或投标方提供委托具有《放射性物品道路运输许可证》的单位按照国家法律法规运输放射性物品的承诺函</w:t>
            </w:r>
            <w:r/>
          </w:p>
        </w:tc>
        <w:tc>
          <w:tcPr>
            <w:tcW w:w="972"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6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bookmarkEnd w:id="140"/>
            <w:r/>
            <w:bookmarkEnd w:id="141"/>
            <w:r/>
            <w:bookmarkEnd w:id="142"/>
            <w:r/>
            <w:bookmarkEnd w:id="147"/>
            <w:r/>
            <w:r/>
          </w:p>
        </w:tc>
      </w:tr>
    </w:tbl>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lang w:val="zh-CN"/>
        </w:rPr>
        <w:t xml:space="preserve">（二）商务要求</w:t>
      </w:r>
      <w:r>
        <w:rPr>
          <w:rFonts w:hint="eastAsia" w:ascii="宋体" w:hAnsi="宋体" w:cs="宋体"/>
          <w:bCs/>
          <w:color w:val="auto"/>
          <w:sz w:val="24"/>
          <w:szCs w:val="24"/>
          <w:highlight w:val="none"/>
          <w:lang w:val="zh-CN"/>
        </w:rPr>
        <w:t xml:space="preserve">： </w:t>
      </w:r>
      <w:r/>
    </w:p>
    <w:p>
      <w:pPr>
        <w:spacing w:line="360" w:lineRule="auto"/>
        <w:rPr>
          <w:rFonts w:hint="eastAsia" w:ascii="宋体" w:hAnsi="宋体" w:cs="宋体"/>
          <w:b/>
          <w:bCs/>
          <w:color w:val="auto"/>
          <w:sz w:val="24"/>
          <w:szCs w:val="24"/>
          <w:highlight w:val="none"/>
        </w:rPr>
      </w:pPr>
      <w:r/>
      <w:bookmarkStart w:id="150" w:name="_Hlk183025149"/>
      <w:r/>
      <w:bookmarkStart w:id="151" w:name="_Hlk183025379"/>
      <w:r/>
      <w:bookmarkStart w:id="152" w:name="_Hlk179555667"/>
      <w:r>
        <w:rPr>
          <w:rFonts w:hint="eastAsia" w:ascii="宋体" w:hAnsi="宋体" w:cs="宋体"/>
          <w:bCs/>
          <w:color w:val="auto"/>
          <w:sz w:val="24"/>
          <w:szCs w:val="24"/>
          <w:highlight w:val="none"/>
        </w:rPr>
        <w:t xml:space="preserve">（甲方：江苏省人民医院   乙方：设备供应商）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1、付款方式：</w:t>
      </w:r>
      <w:r>
        <w:rPr>
          <w:rFonts w:ascii="宋体" w:hAnsi="宋体" w:cs="宋体"/>
          <w:bCs/>
          <w:color w:val="auto"/>
          <w:sz w:val="24"/>
          <w:szCs w:val="24"/>
          <w:highlight w:val="none"/>
        </w:rPr>
        <w:t xml:space="preserve">维保服务启动满6个月，且收到乙方开具的合规发票后，支付合同金额的50%；合同约定维保服务期限届满</w:t>
      </w:r>
      <w:r>
        <w:rPr>
          <w:rFonts w:hint="eastAsia" w:ascii="宋体" w:hAnsi="宋体" w:cs="宋体"/>
          <w:bCs/>
          <w:color w:val="auto"/>
          <w:sz w:val="24"/>
          <w:szCs w:val="24"/>
          <w:highlight w:val="none"/>
        </w:rPr>
        <w:t xml:space="preserve">且当年考核合格后，在收到</w:t>
      </w:r>
      <w:r>
        <w:rPr>
          <w:rFonts w:ascii="宋体" w:hAnsi="宋体" w:cs="宋体"/>
          <w:bCs/>
          <w:color w:val="auto"/>
          <w:sz w:val="24"/>
          <w:szCs w:val="24"/>
          <w:highlight w:val="none"/>
        </w:rPr>
        <w:t xml:space="preserve">乙方开具的合规发票后，支付剩余50%合同款项</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由于所投保修设备退役，则按照实际保修的时间（按月）计算保修费用，单月单台保修费用为单台设备年保修费/12。</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2、税：本项目执行中相关的一切税费均由乙方负担。</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3、项目报价要求：所有投标价格均为人民币报价。</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4、服务考核方案：</w:t>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维保打分表</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3615"/>
        <w:gridCol w:w="1838"/>
        <w:gridCol w:w="949"/>
      </w:tblGrid>
      <w:tr>
        <w:trPr>
          <w:jc w:val="center"/>
          <w:trHeight w:val="531"/>
        </w:trPr>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w:t>
            </w:r>
            <w:r/>
          </w:p>
        </w:tc>
        <w:tc>
          <w:tcPr>
            <w:tcW w:w="949"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rHeight w:val="567"/>
        </w:trPr>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考核日期</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考核部门</w:t>
            </w:r>
            <w:r/>
          </w:p>
        </w:tc>
        <w:tc>
          <w:tcPr>
            <w:tcW w:w="949"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rHeight w:val="570"/>
        </w:trPr>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615" w:type="dxa"/>
            <w:vAlign w:val="center"/>
            <w:textDirection w:val="lrTb"/>
            <w:noWrap/>
          </w:tcPr>
          <w:p>
            <w:pPr>
              <w:pStyle w:val="1421"/>
              <w:ind w:firstLine="1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评分项目</w:t>
            </w:r>
            <w:r/>
          </w:p>
        </w:tc>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满分</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响应时间</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到达现场时间</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8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维保服务质量</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r>
      <w:tr>
        <w:trPr>
          <w:jc w:val="center"/>
          <w:trHeight w:val="57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维保安全情况</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7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维保人员工作态度</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7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维保人员业务水平</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问题解决是否及时</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维保资料完整性</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4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保密协议遵守情况</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40"/>
        </w:trPr>
        <w:tc>
          <w:tcPr>
            <w:gridSpan w:val="2"/>
            <w:tcW w:w="5453"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总分</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r>
    </w:tbl>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  考核不合格的惩罚措施</w:t>
      </w:r>
      <w:r/>
    </w:p>
    <w:p>
      <w:pPr>
        <w:pStyle w:val="1421"/>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维保期满后根据维保考核打分表进行考核打分，按实际分值确定尾款支付比例，分数大于等于90分的全额支付尾款。得分小于90分的尾款支付比例为</w:t>
      </w:r>
      <w:r>
        <w:rPr>
          <w:rFonts w:hint="eastAsia" w:ascii="宋体" w:hAnsi="宋体" w:eastAsia="宋体" w:cs="宋体"/>
          <w:bCs/>
          <w:color w:val="auto"/>
          <w:highlight w:val="none"/>
        </w:rPr>
        <w:t xml:space="preserve">：（考核分值/考核总分）*100%。</w:t>
      </w:r>
      <w:r/>
    </w:p>
    <w:p>
      <w:pPr>
        <w:pStyle w:val="1421"/>
        <w:ind w:firstLine="480"/>
        <w:spacing w:line="360" w:lineRule="auto"/>
        <w:rPr>
          <w:rFonts w:hint="eastAsia" w:ascii="宋体" w:hAnsi="宋体" w:eastAsia="宋体" w:cs="宋体"/>
          <w:color w:val="auto"/>
          <w:highlight w:val="none"/>
        </w:rPr>
      </w:pPr>
      <w:r>
        <w:rPr>
          <w:rFonts w:hint="eastAsia" w:ascii="宋体" w:hAnsi="宋体" w:cs="宋体"/>
          <w:bCs/>
          <w:color w:val="auto"/>
          <w:sz w:val="24"/>
          <w:szCs w:val="24"/>
          <w:highlight w:val="none"/>
        </w:rPr>
        <w:t xml:space="preserve">5、</w:t>
      </w:r>
      <w:r>
        <w:rPr>
          <w:rFonts w:hint="eastAsia" w:ascii="宋体" w:hAnsi="宋体" w:eastAsia="宋体" w:cs="宋体"/>
          <w:color w:val="auto"/>
          <w:highlight w:val="none"/>
          <w:lang w:val="en-US" w:eastAsia="zh-CN"/>
        </w:rPr>
        <w:t xml:space="preserve">实施方案</w:t>
      </w:r>
      <w:r>
        <w:rPr>
          <w:rFonts w:hint="eastAsia" w:ascii="宋体" w:hAnsi="宋体" w:eastAsia="宋体" w:cs="宋体"/>
          <w:color w:val="auto"/>
          <w:highlight w:val="none"/>
        </w:rPr>
        <w:t xml:space="preserve">：</w:t>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须提供合理的维保计划表、维保人员安排并承诺中标后按此执行，投标人须每次维修保养时需通知放疗科和临床医学工程处，且保修期最后一个月需三方人员（投标人、放疗科、医学工程处）在场对设备进行全面保养，在此过程中发现的问题，不论大小，一律彻底修复。每次维修、保养都要做好记录，并留存影像资料，设备的性能指标需满足临床诊断治疗要求和设备使用的安全性要求。负责维修设备的人员要求严格遵守甲方的规章制度、工作程序及标准。</w:t>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6、质量管控</w:t>
      </w:r>
      <w:r>
        <w:rPr>
          <w:rFonts w:hint="eastAsia" w:ascii="宋体" w:hAnsi="宋体" w:eastAsia="宋体" w:cs="宋体"/>
          <w:color w:val="auto"/>
          <w:highlight w:val="none"/>
        </w:rPr>
        <w:t xml:space="preserve">：</w:t>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（1）设备进入维保后，乙方应配合甲方按厂方技术参数、国家标准等进行质量验收。若有歧义，甲方有权委托国内有资质的单位对该设备进行质量检测，费用由乙方承担。</w:t>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（2）维保结束后，甲方对设备使用后进行验收（时间由双方商定），乙方免费派工程师到达现场协助验收工作。</w:t>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（3）乙方所提供服务如验收不合格，根据甲方的要求，乙方必须无条件进行维修和配件更换，由此引起的一切损失由乙方承担。</w:t>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（4）验收项目列表</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676"/>
        <w:gridCol w:w="1927"/>
        <w:gridCol w:w="3762"/>
      </w:tblGrid>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676"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服务类型</w:t>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具体要求</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评价指标</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76"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核心指标验收</w:t>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开机率</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全年开机率≥97%（按一年365天计算）</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76" w:type="dxa"/>
            <w:vMerge w:val="restar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服务过程验收</w:t>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电话响应效率</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≤0.5小时</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工程师到场效率</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≤24小时</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故障修复效率</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到场后8-24小时内完成</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配件送达效率</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故障确认后24-72小时内</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76" w:type="dxa"/>
            <w:vMerge w:val="restar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保养验收</w:t>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保养频次</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≥4次/台年</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保养内容</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按照设备保养要求执行</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保养交付物</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按照设备保养要求执行</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676" w:type="dxa"/>
            <w:vMerge w:val="restar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维修工作验收</w:t>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测试验证</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维修完成按照设备测试要求执行</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性能达标</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维修完成符合性能指标</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书面确认</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提供书面或电子维修工单、检测报告</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年度汇总</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提供书面或电子维修年度汇总</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676"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性能质量验收</w:t>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性能质量</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保修期内的性能达标</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676" w:type="dxa"/>
            <w:vMerge w:val="restart"/>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验收文件验收</w:t>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维修验收单质量</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内容完整、时效性强</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保养报告单质量</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内容完整、时效性强</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配件更换记录质量</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内容完整、时效性强</w:t>
            </w:r>
            <w:r/>
          </w:p>
        </w:tc>
      </w:tr>
      <w:tr>
        <w:trPr>
          <w:jc w:val="center"/>
        </w:trPr>
        <w:tc>
          <w:tcPr>
            <w:tcW w:w="925"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76" w:type="dxa"/>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27"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年度维保总结质量</w:t>
            </w:r>
            <w:r/>
          </w:p>
        </w:tc>
        <w:tc>
          <w:tcPr>
            <w:tcW w:w="3762"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内容完整、时效性强</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、应急</w:t>
      </w:r>
      <w:r>
        <w:rPr>
          <w:rFonts w:hint="eastAsia" w:ascii="宋体" w:hAnsi="宋体" w:cs="宋体"/>
          <w:bCs/>
          <w:color w:val="auto"/>
          <w:sz w:val="24"/>
          <w:szCs w:val="24"/>
          <w:highlight w:val="none"/>
          <w:lang w:val="en-US" w:eastAsia="zh-CN"/>
        </w:rPr>
        <w:t xml:space="preserve">预案</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（1）投标方需提供驻地服务方案，至少包括：设有维修站和维修工程师，提供7*24小时维修服务客服电话。</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（2）请提供详细的方案。</w:t>
      </w:r>
      <w:r/>
    </w:p>
    <w:p>
      <w:pPr>
        <w:pStyle w:val="755"/>
        <w:ind w:left="0"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8、增值服务</w:t>
      </w:r>
      <w:r/>
    </w:p>
    <w:p>
      <w:pPr>
        <w:pStyle w:val="1091"/>
        <w:ind w:firstLine="480"/>
        <w:rPr>
          <w:rFonts w:hint="default" w:ascii="宋体" w:hAnsi="宋体" w:cs="宋体"/>
          <w:bCs/>
          <w:color w:val="auto"/>
          <w:sz w:val="24"/>
          <w:szCs w:val="24"/>
          <w:highlight w:val="none"/>
          <w:lang w:val="en-US" w:eastAsia="zh-CN"/>
        </w:rPr>
      </w:pPr>
      <w:r>
        <w:rPr>
          <w:rFonts w:hint="eastAsia" w:ascii="宋体" w:hAnsi="宋体"/>
          <w:bCs/>
          <w:color w:val="auto"/>
          <w:sz w:val="24"/>
          <w:highlight w:val="none"/>
        </w:rPr>
        <w:t xml:space="preserve">考虑到医院未来发展，投标人可提供相关的数据深挖、现场保养、</w:t>
      </w:r>
      <w:r>
        <w:rPr>
          <w:rFonts w:ascii="Segoe UI" w:hAnsi="Segoe UI" w:eastAsia="Segoe UI" w:cs="Segoe UI"/>
          <w:bCs/>
          <w:color w:val="auto"/>
          <w:sz w:val="24"/>
          <w:szCs w:val="24"/>
          <w:highlight w:val="none"/>
          <w:shd w:val="clear" w:color="auto" w:fill="ffffff"/>
        </w:rPr>
        <w:t xml:space="preserve">人员能力和预防性维护</w:t>
      </w:r>
      <w:r>
        <w:rPr>
          <w:rFonts w:hint="eastAsia" w:ascii="宋体" w:hAnsi="宋体"/>
          <w:bCs/>
          <w:color w:val="auto"/>
          <w:sz w:val="24"/>
          <w:highlight w:val="none"/>
        </w:rPr>
        <w:t xml:space="preserve">等增值服务</w:t>
      </w:r>
      <w:r>
        <w:rPr>
          <w:rFonts w:hint="eastAsia" w:ascii="宋体" w:hAnsi="宋体"/>
          <w:bCs/>
          <w:color w:val="auto"/>
          <w:sz w:val="24"/>
          <w:highlight w:val="none"/>
          <w:lang w:val="en-US" w:eastAsia="zh-CN"/>
        </w:rPr>
        <w:t xml:space="preserve">与</w:t>
      </w:r>
      <w:r>
        <w:rPr>
          <w:rFonts w:ascii="Segoe UI" w:hAnsi="Segoe UI" w:eastAsia="Segoe UI" w:cs="Segoe UI"/>
          <w:bCs/>
          <w:color w:val="auto"/>
          <w:sz w:val="24"/>
          <w:szCs w:val="24"/>
          <w:highlight w:val="none"/>
          <w:shd w:val="clear" w:color="auto" w:fill="ffffff"/>
        </w:rPr>
        <w:t xml:space="preserve">软件升级、</w:t>
      </w:r>
      <w:r>
        <w:rPr>
          <w:rFonts w:hint="eastAsia" w:ascii="Segoe UI" w:hAnsi="Segoe UI" w:cs="Segoe UI"/>
          <w:bCs/>
          <w:color w:val="auto"/>
          <w:sz w:val="24"/>
          <w:szCs w:val="24"/>
          <w:highlight w:val="none"/>
          <w:shd w:val="clear" w:color="auto" w:fill="ffffff"/>
          <w:lang w:val="en-US" w:eastAsia="zh-CN"/>
        </w:rPr>
        <w:t xml:space="preserve">服务</w:t>
      </w:r>
      <w:r>
        <w:rPr>
          <w:rFonts w:ascii="Segoe UI" w:hAnsi="Segoe UI" w:eastAsia="Segoe UI" w:cs="Segoe UI"/>
          <w:bCs/>
          <w:color w:val="auto"/>
          <w:sz w:val="24"/>
          <w:szCs w:val="24"/>
          <w:highlight w:val="none"/>
          <w:shd w:val="clear" w:color="auto" w:fill="ffffff"/>
        </w:rPr>
        <w:t xml:space="preserve">覆盖</w:t>
      </w:r>
      <w:r>
        <w:rPr>
          <w:rFonts w:hint="eastAsia" w:ascii="Segoe UI" w:hAnsi="Segoe UI" w:cs="Segoe UI"/>
          <w:bCs/>
          <w:color w:val="auto"/>
          <w:sz w:val="24"/>
          <w:szCs w:val="24"/>
          <w:highlight w:val="none"/>
          <w:shd w:val="clear" w:color="auto" w:fill="ffffff"/>
          <w:lang w:val="en-US" w:eastAsia="zh-CN"/>
        </w:rPr>
        <w:t xml:space="preserve">合理安排预防性维护减少意外停机</w:t>
      </w:r>
      <w:r>
        <w:rPr>
          <w:rFonts w:ascii="Segoe UI" w:hAnsi="Segoe UI" w:eastAsia="Segoe UI" w:cs="Segoe UI"/>
          <w:bCs/>
          <w:color w:val="auto"/>
          <w:sz w:val="24"/>
          <w:szCs w:val="24"/>
          <w:highlight w:val="none"/>
          <w:shd w:val="clear" w:color="auto" w:fill="ffffff"/>
        </w:rPr>
        <w:t xml:space="preserve">、备件保障、服务响应</w:t>
      </w:r>
      <w:r>
        <w:rPr>
          <w:rFonts w:hint="eastAsia" w:ascii="Segoe UI" w:hAnsi="Segoe UI" w:cs="Segoe UI"/>
          <w:bCs/>
          <w:color w:val="auto"/>
          <w:sz w:val="24"/>
          <w:szCs w:val="24"/>
          <w:highlight w:val="none"/>
          <w:shd w:val="clear" w:color="auto" w:fill="ffffff"/>
        </w:rPr>
        <w:t xml:space="preserve">等</w:t>
      </w:r>
      <w:r>
        <w:rPr>
          <w:rFonts w:hint="eastAsia" w:ascii="宋体" w:hAnsi="宋体"/>
          <w:bCs/>
          <w:color w:val="auto"/>
          <w:sz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、项目其他要求</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（1）乙方在偏离的条款中也应列明该条款里乙方所能提供的最优配置。</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（2）乙方必须保证甲方在使用、接受本项目服务或其任何一部分时不涉及任何第三方提出侵犯其专利权、版权、商标权和工业设计权等知识产权的纠纷。一旦出现，由乙方负全部责任。</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（3）其他未提及事项必须符合法律法规及相关政策文件等规定。</w:t>
      </w:r>
      <w:r/>
    </w:p>
    <w:p>
      <w:pPr>
        <w:pStyle w:val="761"/>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注：上述“商务要求”需在商务要求偏离表中逐条响应。</w:t>
      </w:r>
      <w:bookmarkEnd w:id="149"/>
      <w:r/>
      <w:bookmarkEnd w:id="150"/>
      <w:r/>
      <w:bookmarkEnd w:id="151"/>
      <w:r/>
      <w:bookmarkEnd w:id="152"/>
      <w:r/>
      <w:r/>
    </w:p>
    <w:p>
      <w:pPr>
        <w:pStyle w:val="823"/>
        <w:spacing w:line="360" w:lineRule="auto"/>
        <w:rPr>
          <w:rFonts w:hint="eastAsia" w:hAnsi="宋体"/>
          <w:color w:val="auto"/>
          <w:highlight w:val="none"/>
        </w:rPr>
      </w:pPr>
      <w:r>
        <w:rPr>
          <w:rFonts w:hint="eastAsia" w:hAnsi="宋体"/>
          <w:color w:val="auto"/>
          <w:highlight w:val="none"/>
        </w:rPr>
      </w:r>
      <w:r/>
    </w:p>
    <w:p>
      <w:pPr>
        <w:jc w:val="left"/>
        <w:spacing w:line="276" w:lineRule="auto"/>
        <w:widowControl/>
        <w:tabs>
          <w:tab w:val="left" w:pos="720"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r>
      <w:bookmarkEnd w:id="143"/>
      <w:r/>
      <w:bookmarkEnd w:id="144"/>
      <w:r/>
      <w:r/>
    </w:p>
    <w:p>
      <w:pPr>
        <w:pStyle w:val="744"/>
        <w:rPr>
          <w:color w:val="auto"/>
          <w:highlight w:val="none"/>
        </w:rPr>
      </w:pPr>
      <w:r/>
      <w:bookmarkStart w:id="153" w:name="_Toc10059"/>
      <w:r>
        <w:rPr>
          <w:rFonts w:hint="eastAsia"/>
          <w:color w:val="auto"/>
          <w:highlight w:val="none"/>
        </w:rPr>
        <w:t xml:space="preserve">第五部分合同格式及条款</w:t>
      </w:r>
      <w:bookmarkEnd w:id="139"/>
      <w:r/>
      <w:bookmarkEnd w:id="153"/>
      <w:r/>
      <w:r/>
    </w:p>
    <w:p>
      <w:pPr>
        <w:rPr>
          <w:color w:val="auto"/>
          <w:highlight w:val="none"/>
        </w:rPr>
      </w:pPr>
      <w:r>
        <w:rPr>
          <w:color w:val="auto"/>
          <w:highlight w:val="none"/>
        </w:rPr>
      </w:r>
      <w:r/>
    </w:p>
    <w:p>
      <w:pPr>
        <w:rPr>
          <w:color w:val="auto"/>
          <w:highlight w:val="none"/>
        </w:rPr>
      </w:pPr>
      <w:r>
        <w:rPr>
          <w:color w:val="auto"/>
          <w:highlight w:val="none"/>
        </w:rPr>
      </w:r>
      <w:r/>
    </w:p>
    <w:p>
      <w:pPr>
        <w:jc w:val="center"/>
        <w:keepNext/>
        <w:spacing w:line="360" w:lineRule="auto"/>
        <w:rPr>
          <w:rFonts w:hint="eastAsia" w:ascii="宋体" w:hAnsi="宋体" w:cs="宋体"/>
          <w:b/>
          <w:bCs/>
          <w:color w:val="auto"/>
          <w:spacing w:val="-20"/>
          <w:sz w:val="48"/>
          <w:szCs w:val="48"/>
          <w:highlight w:val="none"/>
        </w:rPr>
        <w:outlineLvl w:val="0"/>
      </w:pPr>
      <w:r>
        <w:rPr>
          <w:rFonts w:hint="eastAsia" w:ascii="黑体" w:eastAsia="黑体"/>
          <w:bCs/>
          <w:color w:val="auto"/>
          <w:sz w:val="44"/>
          <w:szCs w:val="28"/>
          <w:highlight w:val="none"/>
        </w:rPr>
        <w:t xml:space="preserve">合同文本</w:t>
      </w:r>
      <w:bookmarkStart w:id="154" w:name="_Hlt16619369"/>
      <w:r/>
      <w:bookmarkEnd w:id="154"/>
      <w:r/>
      <w:bookmarkStart w:id="155" w:name="_Toc3995"/>
      <w:r/>
      <w:bookmarkEnd w:id="155"/>
      <w:r/>
      <w:r/>
    </w:p>
    <w:p>
      <w:pPr>
        <w:ind w:firstLine="480"/>
        <w:spacing w:line="360" w:lineRule="auto"/>
        <w:rPr>
          <w:rFonts w:hint="eastAsia" w:hAnsi="宋体"/>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pStyle w:val="1421"/>
        <w:rPr>
          <w:rFonts w:hint="eastAsia" w:ascii="仿宋" w:hAnsi="仿宋" w:eastAsia="仿宋" w:cs="仿宋"/>
          <w:color w:val="auto"/>
          <w:highlight w:val="none"/>
          <w:shd w:val="clear" w:color="auto" w:fill="ffffff"/>
          <w:lang w:bidi="ar"/>
        </w:rPr>
      </w:pPr>
      <w:r/>
      <w:bookmarkStart w:id="156" w:name="_Toc514054483"/>
      <w:r/>
      <w:bookmarkStart w:id="157" w:name="_Toc29724"/>
      <w:r/>
      <w:bookmarkStart w:id="158" w:name="_Toc26546"/>
      <w:r/>
      <w:r/>
    </w:p>
    <w:p>
      <w:pPr>
        <w:pStyle w:val="1421"/>
        <w:rPr>
          <w:color w:val="auto"/>
          <w:highlight w:val="none"/>
        </w:rPr>
      </w:pPr>
      <w:r>
        <w:rPr>
          <w:rFonts w:ascii="仿宋" w:hAnsi="仿宋" w:eastAsia="仿宋" w:cs="仿宋"/>
          <w:color w:val="auto"/>
          <w:highlight w:val="none"/>
          <w:shd w:val="clear" w:color="auto" w:fill="ffffff"/>
          <w:lang w:bidi="ar"/>
        </w:rPr>
        <w:t xml:space="preserve">合同编号：</w:t>
      </w:r>
      <w:r>
        <w:rPr>
          <w:rFonts w:hint="eastAsia" w:ascii="微软雅黑" w:hAnsi="微软雅黑" w:eastAsia="微软雅黑" w:cs="微软雅黑"/>
          <w:color w:val="auto"/>
          <w:highlight w:val="non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签订地点：</w:t>
      </w:r>
      <w:r>
        <w:rPr>
          <w:rFonts w:hint="eastAsia" w:ascii="微软雅黑" w:hAnsi="微软雅黑" w:eastAsia="微软雅黑" w:cs="微软雅黑"/>
          <w:color w:val="auto"/>
          <w:highlight w:val="non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签订时间：</w:t>
      </w:r>
      <w:r>
        <w:rPr>
          <w:rFonts w:hint="eastAsia" w:ascii="微软雅黑" w:hAnsi="微软雅黑" w:eastAsia="微软雅黑" w:cs="微软雅黑"/>
          <w:color w:val="auto"/>
          <w:highlight w:val="non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采购人（甲方）：</w:t>
      </w:r>
      <w:r>
        <w:rPr>
          <w:rFonts w:hint="eastAsia" w:ascii="微软雅黑" w:hAnsi="微软雅黑" w:eastAsia="微软雅黑" w:cs="微软雅黑"/>
          <w:color w:val="auto"/>
          <w:highlight w:val="non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供应商（乙方）：</w:t>
      </w:r>
      <w:r>
        <w:rPr>
          <w:rFonts w:hint="eastAsia" w:ascii="微软雅黑" w:hAnsi="微软雅黑" w:eastAsia="微软雅黑" w:cs="微软雅黑"/>
          <w:color w:val="auto"/>
          <w:highlight w:val="non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依据《中华人民共和国政府采购法》、《中华人民共和国民法典》等相关法律法规，以及</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项目（项目编号：</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ascii="黑体" w:eastAsia="黑体" w:cs="黑体"/>
          <w:color w:val="auto"/>
          <w:highlight w:val="none"/>
          <w:shd w:val="clear" w:color="auto" w:fill="ffffff"/>
          <w:lang w:bidi="ar"/>
        </w:rPr>
        <w:t xml:space="preserve">一、项目基本情况：</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ascii="Calibri" w:hAnsi="Calibri" w:eastAsia="微软雅黑" w:cs="Calibri"/>
          <w:color w:val="auto"/>
          <w:highlight w:val="none"/>
          <w:shd w:val="clear" w:color="auto" w:fill="ffffff"/>
          <w:lang w:bidi="ar"/>
        </w:rPr>
        <w:t xml:space="preserve"> </w:t>
      </w:r>
      <w:r/>
    </w:p>
    <w:p>
      <w:pPr>
        <w:pStyle w:val="779"/>
        <w:ind w:left="420" w:firstLine="32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二、合同期限：</w:t>
      </w:r>
      <w:r>
        <w:rPr>
          <w:rFonts w:hint="eastAsia" w:ascii="仿宋" w:hAnsi="仿宋" w:eastAsia="仿宋" w:cs="仿宋"/>
          <w:color w:val="auto"/>
          <w:highlight w:val="none"/>
          <w:shd w:val="clear" w:color="auto" w:fill="ffffff"/>
          <w:lang w:bidi="ar"/>
        </w:rPr>
        <w:t xml:space="preserve">服务期限为</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个月。自</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日至</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日止。</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三、服务内容与质量标</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w:t>
      </w:r>
      <w:r>
        <w:rPr>
          <w:rFonts w:hint="eastAsia" w:ascii="微软雅黑" w:hAnsi="微软雅黑" w:eastAsia="微软雅黑" w:cs="微软雅黑"/>
          <w:color w:val="auto"/>
          <w:highlight w:val="none"/>
          <w:u w:val="singl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w:t>
      </w:r>
      <w:r>
        <w:rPr>
          <w:rFonts w:hint="eastAsia" w:ascii="微软雅黑" w:hAnsi="微软雅黑" w:eastAsia="微软雅黑" w:cs="微软雅黑"/>
          <w:color w:val="auto"/>
          <w:highlight w:val="none"/>
          <w:u w:val="singl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w:t>
      </w:r>
      <w:r>
        <w:rPr>
          <w:rFonts w:ascii="Calibri" w:hAnsi="Calibri" w:eastAsia="微软雅黑" w:cs="Calibri"/>
          <w:color w:val="auto"/>
          <w:highlight w:val="none"/>
          <w:shd w:val="clear" w:color="auto" w:fill="ffffff"/>
          <w:lang w:bidi="ar"/>
        </w:rPr>
        <w:t xml:space="preserve"> </w:t>
      </w:r>
      <w:r>
        <w:rPr>
          <w:rFonts w:hint="eastAsia" w:ascii="微软雅黑" w:hAnsi="微软雅黑" w:eastAsia="微软雅黑" w:cs="微软雅黑"/>
          <w:color w:val="auto"/>
          <w:highlight w:val="none"/>
          <w:u w:val="singl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四、服务费用及支付方式</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本项目服务费用由以下</w:t>
      </w:r>
      <w:r>
        <w:rPr>
          <w:rFonts w:hint="eastAsia" w:ascii="仿宋" w:hAnsi="仿宋" w:eastAsia="仿宋" w:cs="仿宋"/>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项组成：</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万元；</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万元；</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万元。</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五、服务费支付方式：</w:t>
      </w:r>
      <w:r/>
    </w:p>
    <w:p>
      <w:pPr>
        <w:pStyle w:val="779"/>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bidi="ar"/>
        </w:rPr>
      </w:pPr>
      <w:r>
        <w:rPr>
          <w:rFonts w:hint="eastAsia" w:ascii="仿宋" w:hAnsi="仿宋" w:eastAsia="仿宋" w:cs="仿宋"/>
          <w:color w:val="auto"/>
          <w:highlight w:val="none"/>
          <w:shd w:val="clear" w:color="auto" w:fill="ffffff"/>
          <w:lang w:bidi="ar"/>
        </w:rPr>
        <w:t xml:space="preserve">1. 本合同签订生效后，乙方在规定时间内按要求完成项目所有内容。</w:t>
      </w:r>
      <w:r/>
    </w:p>
    <w:p>
      <w:pPr>
        <w:pStyle w:val="779"/>
        <w:ind w:firstLine="640"/>
        <w:jc w:val="both"/>
        <w:spacing w:before="0" w:after="0" w:line="580" w:lineRule="atLeast"/>
        <w:shd w:val="clear" w:color="auto" w:fill="ffffff"/>
        <w:rPr>
          <w:color w:val="auto"/>
          <w:highlight w:val="none"/>
        </w:rPr>
      </w:pPr>
      <w:r>
        <w:rPr>
          <w:rFonts w:hint="eastAsia" w:ascii="仿宋" w:hAnsi="仿宋" w:eastAsia="仿宋" w:cs="仿宋"/>
          <w:color w:val="auto"/>
          <w:highlight w:val="none"/>
          <w:shd w:val="clear" w:color="auto" w:fill="ffffff"/>
          <w:lang w:bidi="ar"/>
        </w:rPr>
        <w:t xml:space="preserve">2.付款方</w:t>
      </w:r>
      <w:r>
        <w:rPr>
          <w:rFonts w:hint="eastAsia" w:ascii="仿宋" w:hAnsi="仿宋" w:eastAsia="仿宋" w:cs="仿宋"/>
          <w:color w:val="auto"/>
          <w:highlight w:val="none"/>
          <w:shd w:val="clear" w:color="auto" w:fill="ffffff"/>
          <w:lang w:bidi="ar"/>
        </w:rPr>
        <w:t xml:space="preserve">式：</w:t>
      </w:r>
      <w:r>
        <w:rPr>
          <w:rFonts w:hAnsi="宋体" w:cs="宋体"/>
          <w:bCs/>
          <w:color w:val="auto"/>
          <w:szCs w:val="24"/>
          <w:highlight w:val="none"/>
        </w:rPr>
        <w:t xml:space="preserve">维保服务启动满6个月，且收到乙方开具的合规发票后，支付合同金额的50%；合同约定维保服务期限届满</w:t>
      </w:r>
      <w:r>
        <w:rPr>
          <w:rFonts w:hint="eastAsia" w:hAnsi="宋体" w:cs="宋体"/>
          <w:bCs/>
          <w:color w:val="auto"/>
          <w:szCs w:val="24"/>
          <w:highlight w:val="none"/>
        </w:rPr>
        <w:t xml:space="preserve">且当年考核合格后，在收到</w:t>
      </w:r>
      <w:r>
        <w:rPr>
          <w:rFonts w:hAnsi="宋体" w:cs="宋体"/>
          <w:bCs/>
          <w:color w:val="auto"/>
          <w:szCs w:val="24"/>
          <w:highlight w:val="none"/>
        </w:rPr>
        <w:t xml:space="preserve">乙方开具的合规发票后，支付剩余50%合同款项</w:t>
      </w:r>
      <w:r>
        <w:rPr>
          <w:rFonts w:hint="eastAsia" w:hAnsi="宋体" w:cs="宋体"/>
          <w:bCs/>
          <w:color w:val="auto"/>
          <w:szCs w:val="24"/>
          <w:highlight w:val="none"/>
        </w:rPr>
        <w:t xml:space="preserve">。</w:t>
      </w:r>
      <w:r>
        <w:rPr>
          <w:rFonts w:hint="eastAsia" w:hAnsi="宋体" w:cs="宋体"/>
          <w:bCs/>
          <w:color w:val="auto"/>
          <w:szCs w:val="24"/>
          <w:highlight w:val="none"/>
        </w:rPr>
        <w:t xml:space="preserve">由于所投保修设备退役，则按照实际保修的时间（按月）计算保修费用，单月单台保修费用为单台设备年保修费/12。</w:t>
      </w:r>
      <w:r/>
    </w:p>
    <w:p>
      <w:pPr>
        <w:pStyle w:val="1421"/>
        <w:ind w:firstLine="480"/>
        <w:jc w:val="both"/>
        <w:spacing w:before="0" w:after="0" w:line="360" w:lineRule="auto"/>
        <w:shd w:val="clear" w:color="auto" w:fill="ffffff"/>
        <w:rPr>
          <w:color w:val="auto"/>
          <w:highlight w:val="none"/>
        </w:rPr>
      </w:pPr>
      <w:r>
        <w:rPr>
          <w:rFonts w:hint="eastAsia" w:ascii="宋体" w:hAnsi="宋体" w:eastAsia="宋体" w:cs="宋体"/>
          <w:color w:val="auto"/>
          <w:highlight w:val="none"/>
        </w:rPr>
        <w:t xml:space="preserve">维保期满后根据维保考核打分表进行考核打分，按实际分值确定尾款支付比例，分数大于等于90分的全额支付尾款。得分小于90分的尾款支付比例为</w:t>
      </w:r>
      <w:r>
        <w:rPr>
          <w:rFonts w:hint="eastAsia" w:ascii="宋体" w:hAnsi="宋体" w:eastAsia="宋体" w:cs="宋体"/>
          <w:bCs/>
          <w:color w:val="auto"/>
          <w:highlight w:val="none"/>
        </w:rPr>
        <w:t xml:space="preserve">：（考核分值/考核总分）*100%。</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六、知识产权</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乙方应保证所提供的服务或其任何一部分均不会侵犯任何第三方的知识产权。</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七、无权利瑕疵担保条款</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乙方保证所提供的服务的所有权完全属于乙方且无任何抵押、查封等权利瑕疵。如有权利瑕疵的，视为乙方违约。乙方应负担由此而产生的一切损失。</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八、履约保证金：无</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九、甲方的权利和义务</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甲方有权对合同规定范围内乙方的服务行为进行监督和检查，拥有监管权。有权定期核对乙方提供服务所配备的人员数量等。对甲方认为不合理的部分有权下达整改通知书，并要求乙方限期整改。</w:t>
      </w:r>
      <w:r/>
    </w:p>
    <w:p>
      <w:pPr>
        <w:pStyle w:val="779"/>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bidi="ar"/>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甲方有权依据双方签订的考评办法对乙方提供的服务进行定期考评。</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负责检查监督乙方管理工作的实施及制度的执行情况。</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4. </w:t>
      </w:r>
      <w:r>
        <w:rPr>
          <w:rFonts w:hint="eastAsia" w:ascii="仿宋" w:hAnsi="仿宋" w:eastAsia="仿宋" w:cs="仿宋"/>
          <w:color w:val="auto"/>
          <w:highlight w:val="none"/>
          <w:shd w:val="clear" w:color="auto" w:fill="ffffff"/>
          <w:lang w:bidi="ar"/>
        </w:rPr>
        <w:t xml:space="preserve">根据本合同规定，按时向乙方支付应付服务费用。</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5. </w:t>
      </w:r>
      <w:r>
        <w:rPr>
          <w:rFonts w:hint="eastAsia" w:ascii="仿宋" w:hAnsi="仿宋" w:eastAsia="仿宋" w:cs="仿宋"/>
          <w:color w:val="auto"/>
          <w:highlight w:val="none"/>
          <w:shd w:val="clear" w:color="auto" w:fill="ffffff"/>
          <w:lang w:bidi="ar"/>
        </w:rPr>
        <w:t xml:space="preserve">国家法律、法规所规定由甲方承担的其它责任。</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十、乙方的权利和义务</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对本合同规定的委托服务范围内的项目享有管理权及服务义务。</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根据本合同的规定向甲方收取相关服务费用，并有权在本项目管理范围内管理及合理使用。</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及时向甲方通告本项目服务范围内有关服务的重大事项，及时配合处理投诉。</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4. </w:t>
      </w:r>
      <w:r>
        <w:rPr>
          <w:rFonts w:hint="eastAsia" w:ascii="仿宋" w:hAnsi="仿宋" w:eastAsia="仿宋" w:cs="仿宋"/>
          <w:color w:val="auto"/>
          <w:highlight w:val="none"/>
          <w:shd w:val="clear" w:color="auto" w:fill="ffffff"/>
          <w:lang w:bidi="ar"/>
        </w:rPr>
        <w:t xml:space="preserve">接受项目行业管理部门及政府有关部门的指导，接受甲方的监督。</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5. </w:t>
      </w:r>
      <w:r>
        <w:rPr>
          <w:rFonts w:hint="eastAsia" w:ascii="仿宋" w:hAnsi="仿宋" w:eastAsia="仿宋" w:cs="仿宋"/>
          <w:color w:val="auto"/>
          <w:highlight w:val="none"/>
          <w:shd w:val="clear" w:color="auto" w:fill="ffffff"/>
          <w:lang w:bidi="ar"/>
        </w:rPr>
        <w:t xml:space="preserve">国家法律、法规所规定由乙方承担的其它责任。</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十一、违约责任</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甲乙双方必须遵守本合同并执行合同中的各项规定，保证本合同的正常履行。</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pStyle w:val="779"/>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bidi="ar"/>
        </w:rPr>
      </w:pPr>
      <w:r>
        <w:rPr>
          <w:rFonts w:hint="eastAsia" w:ascii="仿宋" w:hAnsi="仿宋" w:eastAsia="仿宋" w:cs="仿宋"/>
          <w:color w:val="auto"/>
          <w:highlight w:val="none"/>
          <w:shd w:val="clear" w:color="auto" w:fill="ffffff"/>
          <w:lang w:bidi="ar"/>
        </w:rPr>
        <w:t xml:space="preserve">3．因一方违约导致纠纷的，违约方除承担赔偿损失的违约责任外，还需负担守约方为维护合同权益所支出的包括但不限于诉讼费、律师费、交通费、鉴定费等维权费用。</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十二、不可抗力事件处理</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在合同有效期内，任何一方因不可抗力事件导致不能履行合同，则合同履行期可延长，其延长期与不可抗力影响期相同。</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不可抗力事件发生后，应立即通知对方，并寄送有关权威机构出具的证明。</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不可抗力事件延续</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天以上，双方应通过友好协商，确定是否继续履行合同。</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十三、合同纠纷的解决方式</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在执行本合同中发生的或与本合同有关的争端，双方应通过友好协商解决，协商不成的，任何一方均可以向南京市鼓楼区人民法院提起诉讼。</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在诉讼期间，除争议部分外，本合同其他部分继续执行。</w:t>
      </w:r>
      <w:r>
        <w:rPr>
          <w:rFonts w:hint="eastAsia" w:ascii="微软雅黑" w:hAnsi="微软雅黑" w:eastAsia="微软雅黑" w:cs="微软雅黑"/>
          <w:color w:val="auto"/>
          <w:highlight w:val="none"/>
          <w:shd w:val="clear" w:color="auto" w:fill="ffffff"/>
          <w:lang w:bidi="ar"/>
        </w:rPr>
        <w:t xml:space="preserve"> </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十四、合同生效及其他</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合同经双方法定代表人或授权委托代理人签字并加盖单位公章后生效。</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val="en-US" w:eastAsia="zh-CN" w:bidi="ar"/>
        </w:rPr>
        <w:t xml:space="preserve">2</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双方约定以下地址及联系方式为本合同履行及纠纷解决时的送达信息：</w:t>
      </w:r>
      <w:r/>
    </w:p>
    <w:p>
      <w:pPr>
        <w:pStyle w:val="779"/>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u w:val="single"/>
        </w:rPr>
      </w:pPr>
      <w:r>
        <w:rPr>
          <w:rFonts w:hint="eastAsia" w:ascii="仿宋" w:hAnsi="仿宋" w:eastAsia="仿宋" w:cs="仿宋"/>
          <w:color w:val="auto"/>
          <w:highlight w:val="none"/>
          <w:shd w:val="clear" w:color="auto" w:fill="ffffff"/>
          <w:lang w:bidi="ar"/>
        </w:rPr>
        <w:t xml:space="preserve">甲方：</w:t>
      </w:r>
      <w:r>
        <w:rPr>
          <w:rFonts w:hint="eastAsia" w:ascii="仿宋" w:hAnsi="仿宋" w:eastAsia="仿宋" w:cs="仿宋"/>
          <w:color w:val="auto"/>
          <w:highlight w:val="none"/>
          <w:u w:val="single"/>
          <w:shd w:val="clear" w:color="auto" w:fill="ffffff"/>
          <w:lang w:bidi="ar"/>
        </w:rPr>
        <w:t xml:space="preserve">联系地址：                                  ，</w:t>
      </w:r>
      <w:r/>
    </w:p>
    <w:p>
      <w:pPr>
        <w:pStyle w:val="779"/>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u w:val="single"/>
          <w:shd w:val="clear" w:color="auto" w:fill="ffffff"/>
          <w:lang w:bidi="ar"/>
        </w:rPr>
        <w:t xml:space="preserve">联系人：             ，   联系电话：          。 </w:t>
      </w:r>
      <w:r/>
    </w:p>
    <w:p>
      <w:pPr>
        <w:pStyle w:val="779"/>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乙方：</w:t>
      </w:r>
      <w:r>
        <w:rPr>
          <w:rFonts w:hint="eastAsia" w:ascii="仿宋" w:hAnsi="仿宋" w:eastAsia="仿宋" w:cs="仿宋"/>
          <w:color w:val="auto"/>
          <w:highlight w:val="none"/>
          <w:u w:val="single"/>
          <w:shd w:val="clear" w:color="auto" w:fill="ffffff"/>
          <w:lang w:bidi="ar"/>
        </w:rPr>
        <w:t xml:space="preserve">联系地址：                                  ，</w:t>
      </w:r>
      <w:r/>
    </w:p>
    <w:p>
      <w:pPr>
        <w:pStyle w:val="779"/>
        <w:ind w:firstLine="48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u w:val="single"/>
          <w:shd w:val="clear" w:color="auto" w:fill="ffffff"/>
          <w:lang w:bidi="ar"/>
        </w:rPr>
        <w:t xml:space="preserve">联系人：             ，</w:t>
      </w:r>
      <w:r>
        <w:rPr>
          <w:rFonts w:hint="eastAsia" w:ascii="仿宋" w:hAnsi="仿宋" w:eastAsia="仿宋" w:cs="仿宋"/>
          <w:color w:val="auto"/>
          <w:highlight w:val="none"/>
          <w:shd w:val="clear" w:color="auto" w:fill="ffffff"/>
          <w:lang w:bidi="ar"/>
        </w:rPr>
        <w:t xml:space="preserve">   </w:t>
      </w:r>
      <w:r>
        <w:rPr>
          <w:rFonts w:hint="eastAsia" w:ascii="仿宋" w:hAnsi="仿宋" w:eastAsia="仿宋" w:cs="仿宋"/>
          <w:color w:val="auto"/>
          <w:highlight w:val="none"/>
          <w:u w:val="single"/>
          <w:shd w:val="clear" w:color="auto" w:fill="ffffff"/>
          <w:lang w:bidi="ar"/>
        </w:rPr>
        <w:t xml:space="preserve">联系电话：            。</w:t>
      </w:r>
      <w:r/>
    </w:p>
    <w:p>
      <w:pPr>
        <w:pStyle w:val="779"/>
        <w:ind w:left="210" w:firstLine="32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任何一方上述送达信息有变更的，应在变更之日起</w:t>
      </w:r>
      <w:r>
        <w:rPr>
          <w:rFonts w:hint="eastAsia" w:ascii="微软雅黑" w:hAnsi="微软雅黑" w:eastAsia="微软雅黑" w:cs="微软雅黑"/>
          <w:color w:val="auto"/>
          <w:highlight w:val="none"/>
          <w:u w:val="singl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日内书面通知对方。送达信息变更未通知的，仍以本合同约定信息为准。因联系人拒收或送达信息有误及送达信息变更未通知导致相关文件未能实际送达的，相关文件退回之日视为送达之日。</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val="en-US" w:eastAsia="zh-CN" w:bidi="ar"/>
        </w:rPr>
        <w:t xml:space="preserve">3</w:t>
      </w:r>
      <w:r>
        <w:rPr>
          <w:rFonts w:hint="eastAsia" w:ascii="微软雅黑" w:hAnsi="微软雅黑" w:eastAsia="微软雅黑" w:cs="微软雅黑"/>
          <w:color w:val="auto"/>
          <w:highlight w:val="none"/>
          <w:shd w:val="clear" w:color="auto" w:fill="ffffff"/>
          <w:lang w:bidi="ar"/>
        </w:rPr>
        <w:t xml:space="preserve">.</w:t>
      </w:r>
      <w:r>
        <w:rPr>
          <w:rFonts w:hint="eastAsia" w:ascii="仿宋" w:hAnsi="仿宋" w:eastAsia="仿宋" w:cs="仿宋"/>
          <w:color w:val="auto"/>
          <w:highlight w:val="none"/>
          <w:shd w:val="clear" w:color="auto" w:fill="ffffff"/>
          <w:lang w:bidi="ar"/>
        </w:rPr>
        <w:t xml:space="preserve">本合同一式四份，甲方</w:t>
      </w:r>
      <w:r>
        <w:rPr>
          <w:rFonts w:hint="eastAsia" w:ascii="仿宋" w:hAnsi="仿宋" w:eastAsia="仿宋" w:cs="仿宋"/>
          <w:color w:val="auto"/>
          <w:highlight w:val="none"/>
          <w:shd w:val="clear" w:color="auto" w:fill="ffffff"/>
          <w:lang w:val="en-US" w:eastAsia="zh-CN" w:bidi="ar"/>
        </w:rPr>
        <w:t xml:space="preserve">三份</w:t>
      </w:r>
      <w:r>
        <w:rPr>
          <w:rFonts w:hint="eastAsia" w:ascii="仿宋" w:hAnsi="仿宋" w:eastAsia="仿宋" w:cs="仿宋"/>
          <w:color w:val="auto"/>
          <w:highlight w:val="none"/>
          <w:shd w:val="clear" w:color="auto" w:fill="ffffff"/>
          <w:lang w:bidi="ar"/>
        </w:rPr>
        <w:t xml:space="preserve">、乙方</w:t>
      </w:r>
      <w:r>
        <w:rPr>
          <w:rFonts w:hint="eastAsia" w:ascii="仿宋" w:hAnsi="仿宋" w:eastAsia="仿宋" w:cs="仿宋"/>
          <w:color w:val="auto"/>
          <w:highlight w:val="none"/>
          <w:shd w:val="clear" w:color="auto" w:fill="ffffff"/>
          <w:lang w:val="en-US" w:eastAsia="zh-CN" w:bidi="ar"/>
        </w:rPr>
        <w:t xml:space="preserve">一份</w:t>
      </w:r>
      <w:r>
        <w:rPr>
          <w:rFonts w:hint="eastAsia" w:ascii="仿宋" w:hAnsi="仿宋" w:eastAsia="仿宋" w:cs="仿宋"/>
          <w:color w:val="auto"/>
          <w:highlight w:val="none"/>
          <w:shd w:val="clear" w:color="auto" w:fill="ffffff"/>
          <w:lang w:bidi="ar"/>
        </w:rPr>
        <w:t xml:space="preserve">，具同等法律效力。</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outlineLvl w:val="1"/>
      </w:pPr>
      <w:r>
        <w:rPr>
          <w:rFonts w:hint="eastAsia" w:ascii="黑体" w:eastAsia="黑体" w:cs="黑体"/>
          <w:color w:val="auto"/>
          <w:highlight w:val="none"/>
          <w:shd w:val="clear" w:color="auto" w:fill="ffffff"/>
          <w:lang w:bidi="ar"/>
        </w:rPr>
        <w:t xml:space="preserve">十五、附件</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1. </w:t>
      </w:r>
      <w:r>
        <w:rPr>
          <w:rFonts w:hint="eastAsia" w:ascii="仿宋" w:hAnsi="仿宋" w:eastAsia="仿宋" w:cs="仿宋"/>
          <w:color w:val="auto"/>
          <w:highlight w:val="none"/>
          <w:shd w:val="clear" w:color="auto" w:fill="ffffff"/>
          <w:lang w:bidi="ar"/>
        </w:rPr>
        <w:t xml:space="preserve">项目招标文件</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2. </w:t>
      </w:r>
      <w:r>
        <w:rPr>
          <w:rFonts w:hint="eastAsia" w:ascii="仿宋" w:hAnsi="仿宋" w:eastAsia="仿宋" w:cs="仿宋"/>
          <w:color w:val="auto"/>
          <w:highlight w:val="none"/>
          <w:shd w:val="clear" w:color="auto" w:fill="ffffff"/>
          <w:lang w:bidi="ar"/>
        </w:rPr>
        <w:t xml:space="preserve">项目修改澄清文件</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3. </w:t>
      </w:r>
      <w:r>
        <w:rPr>
          <w:rFonts w:hint="eastAsia" w:ascii="仿宋" w:hAnsi="仿宋" w:eastAsia="仿宋" w:cs="仿宋"/>
          <w:color w:val="auto"/>
          <w:highlight w:val="none"/>
          <w:shd w:val="clear" w:color="auto" w:fill="ffffff"/>
          <w:lang w:bidi="ar"/>
        </w:rPr>
        <w:t xml:space="preserve">项目投标文件</w:t>
      </w:r>
      <w:r/>
    </w:p>
    <w:p>
      <w:pPr>
        <w:pStyle w:val="779"/>
        <w:ind w:firstLine="640"/>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微软雅黑" w:hAnsi="微软雅黑" w:eastAsia="微软雅黑" w:cs="微软雅黑"/>
          <w:color w:val="auto"/>
          <w:highlight w:val="none"/>
          <w:shd w:val="clear" w:color="auto" w:fill="ffffff"/>
          <w:lang w:bidi="ar"/>
        </w:rPr>
        <w:t xml:space="preserve">4. </w:t>
      </w:r>
      <w:r>
        <w:rPr>
          <w:rFonts w:hint="eastAsia" w:ascii="仿宋" w:hAnsi="仿宋" w:eastAsia="仿宋" w:cs="仿宋"/>
          <w:color w:val="auto"/>
          <w:highlight w:val="none"/>
          <w:shd w:val="clear" w:color="auto" w:fill="ffffff"/>
          <w:lang w:bidi="ar"/>
        </w:rPr>
        <w:t xml:space="preserve">中标通知书</w:t>
      </w:r>
      <w:r/>
    </w:p>
    <w:p>
      <w:pPr>
        <w:pStyle w:val="779"/>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val="en-US" w:eastAsia="zh-CN" w:bidi="ar"/>
        </w:rPr>
      </w:pPr>
      <w:r>
        <w:rPr>
          <w:rFonts w:hint="eastAsia" w:ascii="微软雅黑" w:hAnsi="微软雅黑" w:eastAsia="微软雅黑" w:cs="微软雅黑"/>
          <w:color w:val="auto"/>
          <w:highlight w:val="none"/>
          <w:shd w:val="clear" w:color="auto" w:fill="ffffff"/>
          <w:lang w:bidi="ar"/>
        </w:rPr>
        <w:t xml:space="preserve">5</w:t>
      </w:r>
      <w:r>
        <w:rPr>
          <w:rFonts w:hint="eastAsia" w:ascii="仿宋" w:hAnsi="仿宋" w:eastAsia="仿宋" w:cs="仿宋"/>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val="en-US" w:eastAsia="zh-CN" w:bidi="ar"/>
        </w:rPr>
        <w:t xml:space="preserve">维保考核打分表</w:t>
      </w:r>
      <w:r/>
    </w:p>
    <w:p>
      <w:pPr>
        <w:pStyle w:val="779"/>
        <w:ind w:firstLine="640"/>
        <w:jc w:val="both"/>
        <w:spacing w:before="0" w:beforeAutospacing="0" w:after="0" w:afterAutospacing="0" w:line="580" w:lineRule="atLeast"/>
        <w:shd w:val="clear" w:color="auto" w:fill="ffffff"/>
        <w:rPr>
          <w:rFonts w:hint="eastAsia" w:ascii="仿宋" w:hAnsi="仿宋" w:eastAsia="仿宋" w:cs="仿宋"/>
          <w:color w:val="auto"/>
          <w:highlight w:val="none"/>
          <w:shd w:val="clear" w:color="auto" w:fill="ffffff"/>
          <w:lang w:val="en-US" w:eastAsia="zh-CN" w:bidi="ar"/>
        </w:rPr>
      </w:pPr>
      <w:r>
        <w:rPr>
          <w:rFonts w:hint="eastAsia" w:ascii="微软雅黑" w:hAnsi="微软雅黑" w:eastAsia="微软雅黑" w:cs="微软雅黑"/>
          <w:color w:val="auto"/>
          <w:highlight w:val="none"/>
          <w:shd w:val="clear" w:color="auto" w:fill="ffffff"/>
          <w:lang w:val="en-US" w:eastAsia="zh-CN" w:bidi="ar"/>
        </w:rPr>
        <w:t xml:space="preserve">6.</w:t>
      </w:r>
      <w:r>
        <w:rPr>
          <w:rFonts w:hint="eastAsia" w:ascii="仿宋" w:hAnsi="仿宋" w:eastAsia="仿宋" w:cs="仿宋"/>
          <w:color w:val="auto"/>
          <w:highlight w:val="none"/>
          <w:shd w:val="clear" w:color="auto" w:fill="ffffff"/>
          <w:lang w:val="en-US" w:eastAsia="zh-CN" w:bidi="ar"/>
        </w:rPr>
        <w:t xml:space="preserve">其他</w:t>
      </w:r>
      <w:r/>
    </w:p>
    <w:p>
      <w:pPr>
        <w:pStyle w:val="779"/>
        <w:ind w:firstLine="753"/>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甲方：</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（盖章）</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乙方：</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（盖章）</w:t>
      </w:r>
      <w:r/>
    </w:p>
    <w:p>
      <w:pPr>
        <w:pStyle w:val="779"/>
        <w:ind w:firstLine="753"/>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法定代表人（授权代表）：</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法定代表人（授权代表）：</w:t>
      </w:r>
      <w:r/>
    </w:p>
    <w:p>
      <w:pPr>
        <w:pStyle w:val="779"/>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地</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址：</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地</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址：</w:t>
      </w:r>
      <w:r/>
    </w:p>
    <w:p>
      <w:pPr>
        <w:pStyle w:val="779"/>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开户银行：</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开户银行：</w:t>
      </w:r>
      <w:r/>
    </w:p>
    <w:p>
      <w:pPr>
        <w:pStyle w:val="779"/>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账号：</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账号：</w:t>
      </w:r>
      <w:r/>
    </w:p>
    <w:p>
      <w:pPr>
        <w:pStyle w:val="779"/>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电</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话：</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电</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话：</w:t>
      </w:r>
      <w:r/>
    </w:p>
    <w:p>
      <w:pPr>
        <w:pStyle w:val="779"/>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传</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真：</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传</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真：</w:t>
      </w:r>
      <w:r/>
    </w:p>
    <w:p>
      <w:pPr>
        <w:pStyle w:val="779"/>
        <w:ind w:firstLine="842"/>
        <w:jc w:val="both"/>
        <w:spacing w:before="0" w:beforeAutospacing="0" w:after="0" w:afterAutospacing="0" w:line="580" w:lineRule="atLeast"/>
        <w:shd w:val="clear" w:color="auto" w:fill="ffffff"/>
        <w:rPr>
          <w:rFonts w:hint="eastAsia" w:ascii="微软雅黑" w:hAnsi="微软雅黑" w:eastAsia="微软雅黑" w:cs="微软雅黑"/>
          <w:color w:val="auto"/>
          <w:highlight w:val="none"/>
        </w:rPr>
      </w:pPr>
      <w:r>
        <w:rPr>
          <w:rFonts w:hint="eastAsia" w:ascii="仿宋" w:hAnsi="仿宋" w:eastAsia="仿宋" w:cs="仿宋"/>
          <w:color w:val="auto"/>
          <w:highlight w:val="none"/>
          <w:shd w:val="clear" w:color="auto" w:fill="ffffff"/>
          <w:lang w:bidi="ar"/>
        </w:rPr>
        <w:t xml:space="preserve">签约日期：</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签约日期：</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年</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月</w:t>
      </w:r>
      <w:r>
        <w:rPr>
          <w:rFonts w:hint="eastAsia" w:ascii="微软雅黑" w:hAnsi="微软雅黑" w:eastAsia="微软雅黑" w:cs="微软雅黑"/>
          <w:color w:val="auto"/>
          <w:highlight w:val="none"/>
          <w:shd w:val="clear" w:color="auto" w:fill="ffffff"/>
          <w:lang w:bidi="ar"/>
        </w:rPr>
        <w:t xml:space="preserve">  </w:t>
      </w:r>
      <w:r>
        <w:rPr>
          <w:rFonts w:hint="eastAsia" w:ascii="仿宋" w:hAnsi="仿宋" w:eastAsia="仿宋" w:cs="仿宋"/>
          <w:color w:val="auto"/>
          <w:highlight w:val="none"/>
          <w:shd w:val="clear" w:color="auto" w:fill="ffffff"/>
          <w:lang w:bidi="ar"/>
        </w:rPr>
        <w:t xml:space="preserve">日</w:t>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jc w:val="cente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b/>
          <w:color w:val="auto"/>
          <w:sz w:val="32"/>
          <w:szCs w:val="32"/>
          <w:highlight w:val="none"/>
        </w:rPr>
      </w:pPr>
      <w:r>
        <w:rPr>
          <w:b/>
          <w:color w:val="auto"/>
          <w:sz w:val="32"/>
          <w:szCs w:val="32"/>
          <w:highlight w:val="none"/>
        </w:rPr>
      </w:r>
      <w:r/>
    </w:p>
    <w:p>
      <w:pPr>
        <w:rPr>
          <w:b/>
          <w:color w:val="auto"/>
          <w:sz w:val="32"/>
          <w:szCs w:val="32"/>
          <w:highlight w:val="none"/>
        </w:rPr>
      </w:pPr>
      <w:r>
        <w:rPr>
          <w:b/>
          <w:color w:val="auto"/>
          <w:sz w:val="32"/>
          <w:szCs w:val="32"/>
          <w:highlight w:val="none"/>
        </w:rPr>
      </w:r>
      <w:r/>
    </w:p>
    <w:p>
      <w:pPr>
        <w:pStyle w:val="755"/>
        <w:rPr>
          <w:color w:val="auto"/>
          <w:highlight w:val="none"/>
        </w:rPr>
      </w:pPr>
      <w:r>
        <w:rPr>
          <w:color w:val="auto"/>
          <w:highlight w:val="none"/>
        </w:rPr>
      </w:r>
      <w:r/>
    </w:p>
    <w:p>
      <w:pPr>
        <w:jc w:val="center"/>
        <w:rPr>
          <w:b/>
          <w:color w:val="auto"/>
          <w:sz w:val="32"/>
          <w:szCs w:val="32"/>
          <w:highlight w:val="none"/>
        </w:rPr>
      </w:pPr>
      <w:r>
        <w:rPr>
          <w:b/>
          <w:color w:val="auto"/>
          <w:sz w:val="32"/>
          <w:szCs w:val="32"/>
          <w:highlight w:val="none"/>
        </w:rPr>
      </w:r>
      <w:r/>
    </w:p>
    <w:p>
      <w:pPr>
        <w:pStyle w:val="1421"/>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附件：</w:t>
      </w:r>
      <w:r>
        <w:rPr>
          <w:rFonts w:hint="eastAsia" w:ascii="宋体" w:hAnsi="宋体" w:eastAsia="宋体" w:cs="宋体"/>
          <w:color w:val="auto"/>
          <w:highlight w:val="none"/>
        </w:rPr>
        <w:t xml:space="preserve">维保</w:t>
      </w:r>
      <w:r>
        <w:rPr>
          <w:rFonts w:hint="eastAsia" w:ascii="宋体" w:hAnsi="宋体" w:eastAsia="宋体" w:cs="宋体"/>
          <w:color w:val="auto"/>
          <w:highlight w:val="none"/>
          <w:lang w:val="en-US" w:eastAsia="zh-CN"/>
        </w:rPr>
        <w:t xml:space="preserve">考核</w:t>
      </w:r>
      <w:r>
        <w:rPr>
          <w:rFonts w:hint="eastAsia" w:ascii="宋体" w:hAnsi="宋体" w:eastAsia="宋体" w:cs="宋体"/>
          <w:color w:val="auto"/>
          <w:highlight w:val="none"/>
        </w:rPr>
        <w:t xml:space="preserve">打分表</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3615"/>
        <w:gridCol w:w="1838"/>
        <w:gridCol w:w="949"/>
      </w:tblGrid>
      <w:tr>
        <w:trPr>
          <w:jc w:val="center"/>
          <w:trHeight w:val="531"/>
        </w:trPr>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地点</w:t>
            </w:r>
            <w:r/>
          </w:p>
        </w:tc>
        <w:tc>
          <w:tcPr>
            <w:tcW w:w="949"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rHeight w:val="567"/>
        </w:trPr>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考核日期</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考核部门</w:t>
            </w:r>
            <w:r/>
          </w:p>
        </w:tc>
        <w:tc>
          <w:tcPr>
            <w:tcW w:w="949"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rHeight w:val="570"/>
        </w:trPr>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615" w:type="dxa"/>
            <w:vAlign w:val="center"/>
            <w:textDirection w:val="lrTb"/>
            <w:noWrap/>
          </w:tcPr>
          <w:p>
            <w:pPr>
              <w:pStyle w:val="1421"/>
              <w:ind w:firstLine="12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评分项目</w:t>
            </w:r>
            <w:r/>
          </w:p>
        </w:tc>
        <w:tc>
          <w:tcPr>
            <w:tcW w:w="1838"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得分</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满分</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响应时间</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到达现场时间</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8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维保服务质量</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r>
      <w:tr>
        <w:trPr>
          <w:jc w:val="center"/>
          <w:trHeight w:val="57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维保安全情况</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7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维保人员工作态度</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7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维保人员业务水平</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问题解决是否及时</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p>
        </w:tc>
      </w:tr>
      <w:tr>
        <w:trPr>
          <w:jc w:val="center"/>
          <w:trHeight w:val="555"/>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维保资料完整性</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40"/>
        </w:trPr>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615"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保密协议遵守情况</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r>
      <w:tr>
        <w:trPr>
          <w:jc w:val="center"/>
          <w:trHeight w:val="540"/>
        </w:trPr>
        <w:tc>
          <w:tcPr>
            <w:gridSpan w:val="2"/>
            <w:tcW w:w="5453"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总分</w:t>
            </w:r>
            <w:r/>
          </w:p>
        </w:tc>
        <w:tc>
          <w:tcPr>
            <w:tcW w:w="1838" w:type="dxa"/>
            <w:vAlign w:val="center"/>
            <w:textDirection w:val="lrTb"/>
            <w:noWrap/>
          </w:tcPr>
          <w:p>
            <w:pPr>
              <w:pStyle w:val="1421"/>
              <w:ind w:firstLine="7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949" w:type="dxa"/>
            <w:vAlign w:val="center"/>
            <w:textDirection w:val="lrTb"/>
            <w:noWrap/>
          </w:tcPr>
          <w:p>
            <w:pPr>
              <w:pStyle w:val="14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44"/>
        <w:pageBreakBefore/>
        <w:rPr>
          <w:color w:val="auto"/>
          <w:highlight w:val="none"/>
        </w:rPr>
      </w:pPr>
      <w:r>
        <w:rPr>
          <w:rFonts w:hint="eastAsia"/>
          <w:color w:val="auto"/>
          <w:highlight w:val="none"/>
        </w:rPr>
        <w:t xml:space="preserve">第六部分</w:t>
      </w:r>
      <w:r>
        <w:rPr>
          <w:rFonts w:hint="eastAsia" w:eastAsia="宋体"/>
          <w:color w:val="auto"/>
          <w:highlight w:val="none"/>
        </w:rPr>
        <w:t xml:space="preserve"> </w:t>
      </w:r>
      <w:r>
        <w:rPr>
          <w:rFonts w:hint="eastAsia"/>
          <w:color w:val="auto"/>
          <w:highlight w:val="none"/>
        </w:rPr>
        <w:t xml:space="preserve">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16009"/>
      <w:r/>
      <w:bookmarkStart w:id="160" w:name="_Toc21788"/>
      <w:r/>
      <w:bookmarkStart w:id="161" w:name="_Toc26779"/>
      <w:r/>
      <w:bookmarkStart w:id="162"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0"/>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2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6"/>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6"/>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       </w:t>
      </w:r>
      <w:r/>
    </w:p>
    <w:p>
      <w:pPr>
        <w:pStyle w:val="1032"/>
        <w:ind w:firstLine="723"/>
        <w:jc w:val="both"/>
        <w:rPr>
          <w:rFonts w:hint="eastAsia" w:hAnsi="宋体" w:cs="宋体"/>
          <w:color w:val="auto"/>
          <w:highlight w:val="none"/>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1032"/>
        <w:spacing w:line="0" w:lineRule="atLeast"/>
        <w:rPr>
          <w:rFonts w:hint="eastAsia" w:hAnsi="宋体" w:cs="宋体"/>
          <w:color w:val="auto"/>
          <w:highlight w:val="none"/>
        </w:rPr>
      </w:pPr>
      <w:r>
        <w:rPr>
          <w:rFonts w:hint="eastAsia" w:hAnsi="宋体" w:cs="宋体"/>
          <w:color w:val="auto"/>
          <w:highlight w:val="none"/>
        </w:rPr>
        <w:t xml:space="preserve"> </w:t>
      </w:r>
      <w:r/>
    </w:p>
    <w:p>
      <w:pPr>
        <w:pStyle w:val="1032"/>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164203464"/>
      <w:r/>
      <w:bookmarkStart w:id="165" w:name="_Toc28278"/>
      <w:r/>
      <w:bookmarkStart w:id="166" w:name="_Toc29318"/>
      <w:r/>
      <w:bookmarkStart w:id="167" w:name="_Toc21292"/>
      <w:r/>
      <w:bookmarkStart w:id="168" w:name="_Toc11040"/>
      <w:r/>
      <w:r/>
    </w:p>
    <w:p>
      <w:pPr>
        <w:pStyle w:val="1248"/>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9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9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98"/>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9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98"/>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98"/>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6"/>
        <w:rPr>
          <w:rFonts w:hint="eastAsia"/>
          <w:color w:val="auto"/>
          <w:highlight w:val="none"/>
        </w:rPr>
        <w:outlineLvl w:val="1"/>
      </w:pPr>
      <w:r>
        <w:rPr>
          <w:color w:val="auto"/>
          <w:highlight w:val="none"/>
        </w:rPr>
        <w:br w:type="page" w:clear="all"/>
      </w:r>
      <w:bookmarkStart w:id="170" w:name="_Toc24265"/>
      <w:r/>
      <w:bookmarkStart w:id="171" w:name="_Toc164203465"/>
      <w:r/>
      <w:bookmarkStart w:id="172" w:name="_Toc15353"/>
      <w:r/>
      <w:bookmarkStart w:id="173" w:name="_Toc30008"/>
      <w:r/>
      <w:bookmarkStart w:id="174" w:name="_Toc1147"/>
      <w:r/>
      <w:bookmarkStart w:id="175" w:name="_Toc13486"/>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pStyle w:val="1302"/>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2"/>
        <w:rPr>
          <w:rFonts w:hint="eastAsia"/>
          <w:color w:val="auto"/>
          <w:highlight w:val="none"/>
        </w:rPr>
        <w:outlineLvl w:val="1"/>
      </w:pPr>
      <w:r/>
      <w:bookmarkStart w:id="176" w:name="_Toc18935"/>
      <w:r/>
      <w:bookmarkStart w:id="177" w:name="_Toc15822"/>
      <w:r/>
      <w:bookmarkStart w:id="178" w:name="_Toc18278"/>
      <w:r/>
      <w:bookmarkStart w:id="179" w:name="_Toc4877"/>
      <w:r/>
      <w:bookmarkStart w:id="180" w:name="_Toc164203466"/>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59"/>
        <w:rPr>
          <w:color w:val="auto"/>
          <w:highlight w:val="none"/>
        </w:rPr>
      </w:pPr>
      <w:r>
        <w:rPr>
          <w:rFonts w:hint="eastAsia" w:ascii="宋体"/>
          <w:bCs/>
          <w:color w:val="auto"/>
          <w:szCs w:val="32"/>
          <w:highlight w:val="none"/>
        </w:rPr>
        <w:t xml:space="preserve">提供符合招标文件要求的资料</w:t>
      </w:r>
      <w:r/>
    </w:p>
    <w:p>
      <w:pPr>
        <w:pStyle w:val="1396"/>
        <w:rPr>
          <w:rFonts w:hint="eastAsia"/>
          <w:color w:val="auto"/>
          <w:highlight w:val="none"/>
        </w:rPr>
        <w:outlineLvl w:val="1"/>
      </w:pPr>
      <w:r>
        <w:rPr>
          <w:color w:val="auto"/>
          <w:highlight w:val="none"/>
        </w:rPr>
        <w:br w:type="page" w:clear="all"/>
      </w:r>
      <w:bookmarkStart w:id="181" w:name="_Toc11562_WPSOffice_Level2"/>
      <w:r/>
      <w:bookmarkStart w:id="182" w:name="_Toc29626"/>
      <w:r/>
      <w:bookmarkStart w:id="183" w:name="_Toc514054489"/>
      <w:r/>
      <w:bookmarkStart w:id="184" w:name="_Toc1350"/>
      <w:r/>
      <w:bookmarkStart w:id="185" w:name="_Toc3360"/>
      <w:r/>
      <w:bookmarkStart w:id="186" w:name="_Toc164203467"/>
      <w:r/>
      <w:bookmarkStart w:id="187" w:name="_Toc2650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3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4"/>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4"/>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4"/>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34"/>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4"/>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4"/>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29"/>
        <w:ind w:firstLine="720"/>
        <w:rPr>
          <w:color w:val="auto"/>
          <w:highlight w:val="none"/>
        </w:rPr>
      </w:pPr>
      <w:r>
        <w:rPr>
          <w:rFonts w:hint="eastAsia" w:ascii="仿宋_GB2312" w:eastAsia="仿宋_GB2312"/>
          <w:color w:val="auto"/>
          <w:sz w:val="24"/>
          <w:highlight w:val="none"/>
        </w:rPr>
        <w:t xml:space="preserve">年月日</w:t>
      </w:r>
      <w:r/>
    </w:p>
    <w:p>
      <w:pPr>
        <w:pStyle w:val="1142"/>
        <w:spacing w:after="100" w:afterAutospacing="1"/>
        <w:rPr>
          <w:rFonts w:ascii="宋体" w:hAnsi="宋体" w:cs="Arial"/>
          <w:bCs/>
          <w:color w:val="auto"/>
          <w:highlight w:val="none"/>
        </w:rPr>
      </w:pPr>
      <w:r>
        <w:rPr>
          <w:color w:val="auto"/>
          <w:highlight w:val="none"/>
        </w:rPr>
        <w:br w:type="page" w:clear="all"/>
      </w:r>
      <w:bookmarkStart w:id="188" w:name="_Toc467_WPSOffice_Level2"/>
      <w:r/>
      <w:bookmarkStart w:id="189" w:name="_Toc514054490"/>
      <w:r/>
      <w:bookmarkStart w:id="190" w:name="_Toc13419"/>
      <w:r/>
      <w:bookmarkStart w:id="191" w:name="_Toc5571_WPSOffice_Level2"/>
      <w:r/>
      <w:bookmarkStart w:id="192" w:name="_Toc514054491"/>
      <w:r/>
      <w:bookmarkStart w:id="193" w:name="_Toc19673"/>
      <w:r/>
      <w:bookmarkStart w:id="194" w:name="_Toc10808"/>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59"/>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1"/>
        <w:rPr>
          <w:rFonts w:hint="eastAsia"/>
          <w:color w:val="auto"/>
          <w:highlight w:val="none"/>
        </w:rPr>
        <w:outlineLvl w:val="1"/>
      </w:pPr>
      <w:r/>
      <w:bookmarkStart w:id="195" w:name="_Toc16607"/>
      <w:r/>
      <w:bookmarkStart w:id="196" w:name="_Toc164203468"/>
      <w:r/>
      <w:bookmarkStart w:id="197" w:name="_Toc25541"/>
      <w:r/>
      <w:bookmarkStart w:id="198" w:name="_Toc12145"/>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57"/>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57"/>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5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5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309"/>
        <w:ind w:firstLine="720"/>
        <w:rPr>
          <w:color w:val="auto"/>
          <w:highlight w:val="none"/>
        </w:rPr>
      </w:pPr>
      <w:r>
        <w:rPr>
          <w:rFonts w:hint="eastAsia" w:ascii="仿宋_GB2312" w:eastAsia="仿宋_GB2312"/>
          <w:color w:val="auto"/>
          <w:sz w:val="24"/>
          <w:highlight w:val="none"/>
        </w:rPr>
        <w:t xml:space="preserve">年月日</w:t>
      </w:r>
      <w:r/>
    </w:p>
    <w:p>
      <w:pPr>
        <w:rPr>
          <w:rFonts w:hint="eastAsia" w:ascii="仿宋" w:hAnsi="仿宋" w:eastAsia="仿宋" w:cs="仿宋"/>
          <w:color w:val="auto"/>
          <w:sz w:val="24"/>
          <w:szCs w:val="24"/>
          <w:highlight w:val="none"/>
        </w:rPr>
      </w:pPr>
      <w:r>
        <w:rPr>
          <w:color w:val="auto"/>
          <w:highlight w:val="none"/>
        </w:rPr>
        <w:br w:type="page" w:clear="all"/>
      </w:r>
      <w:bookmarkStart w:id="200" w:name="_Toc30396"/>
      <w:r/>
      <w:bookmarkStart w:id="201" w:name="_Toc19202"/>
      <w:r/>
      <w:r/>
    </w:p>
    <w:p>
      <w:pPr>
        <w:pStyle w:val="1118"/>
        <w:rPr>
          <w:rFonts w:hint="eastAsia"/>
          <w:color w:val="auto"/>
          <w:highlight w:val="none"/>
        </w:rPr>
        <w:outlineLvl w:val="1"/>
      </w:pPr>
      <w:r>
        <w:rPr>
          <w:rFonts w:hint="eastAsia"/>
          <w:color w:val="auto"/>
          <w:highlight w:val="none"/>
        </w:rPr>
        <w:t xml:space="preserve">七、承诺函</w:t>
      </w:r>
      <w:r/>
    </w:p>
    <w:p>
      <w:pPr>
        <w:rPr>
          <w:color w:val="auto"/>
          <w:highlight w:val="none"/>
        </w:rPr>
      </w:pPr>
      <w:r>
        <w:rPr>
          <w:color w:val="auto"/>
          <w:highlight w:val="none"/>
        </w:rPr>
      </w:r>
      <w:r/>
    </w:p>
    <w:p>
      <w:pPr>
        <w:rPr>
          <w:color w:val="auto"/>
          <w:highlight w:val="none"/>
        </w:rPr>
      </w:pPr>
      <w:r>
        <w:rPr>
          <w:color w:val="auto"/>
          <w:highlight w:val="none"/>
        </w:rPr>
      </w:r>
      <w:r/>
    </w:p>
    <w:p>
      <w:pPr>
        <w:pStyle w:val="1156"/>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156"/>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156"/>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156"/>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156"/>
        <w:spacing w:line="360" w:lineRule="auto"/>
        <w:rPr>
          <w:rFonts w:ascii="仿宋_GB2312" w:hAnsi="Times New Roman" w:eastAsia="仿宋_GB2312"/>
          <w:b w:val="0"/>
          <w:color w:val="auto"/>
          <w:sz w:val="24"/>
          <w:highlight w:val="none"/>
        </w:rPr>
        <w:outlineLvl w:val="1"/>
      </w:pPr>
      <w:r>
        <w:rPr>
          <w:rFonts w:ascii="仿宋_GB2312" w:hAnsi="Times New Roman" w:eastAsia="仿宋_GB2312"/>
          <w:b w:val="0"/>
          <w:color w:val="auto"/>
          <w:sz w:val="24"/>
          <w:highlight w:val="none"/>
        </w:rPr>
      </w:r>
      <w:r/>
    </w:p>
    <w:p>
      <w:pPr>
        <w:pStyle w:val="1156"/>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156"/>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r>
      <w:r/>
    </w:p>
    <w:p>
      <w:pPr>
        <w:pStyle w:val="11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7"/>
        <w:spacing w:line="520" w:lineRule="exact"/>
        <w:rPr>
          <w:rFonts w:hint="eastAsia"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34"/>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134"/>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3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13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13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13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67"/>
        <w:jc w:val="right"/>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righ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357"/>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134"/>
        <w:jc w:val="center"/>
        <w:spacing w:line="60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134"/>
        <w:spacing w:line="60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34"/>
        <w:spacing w:line="600" w:lineRule="exact"/>
        <w:rPr>
          <w:rFonts w:hint="eastAsia"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134"/>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134"/>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134"/>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134"/>
        <w:ind w:firstLine="480"/>
        <w:spacing w:line="600" w:lineRule="exact"/>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ind w:firstLine="480"/>
        <w:jc w:val="righ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61"/>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118"/>
        <w:rPr>
          <w:rFonts w:hint="eastAsia"/>
          <w:color w:val="auto"/>
          <w:highlight w:val="none"/>
        </w:rPr>
        <w:outlineLvl w:val="1"/>
      </w:pPr>
      <w:r/>
      <w:bookmarkStart w:id="202" w:name="_Toc164203469"/>
      <w:r/>
      <w:bookmarkStart w:id="203" w:name="_Toc26700"/>
      <w:r/>
      <w:bookmarkStart w:id="204" w:name="_Toc20806"/>
      <w:r/>
      <w:bookmarkStart w:id="205" w:name="_Toc28775"/>
      <w:r>
        <w:rPr>
          <w:rFonts w:hint="eastAsia"/>
          <w:color w:val="auto"/>
          <w:highlight w:val="none"/>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96"/>
        <w:spacing w:line="580" w:lineRule="exact"/>
        <w:tabs>
          <w:tab w:val="left" w:pos="1498" w:leader="none"/>
        </w:tabs>
        <w:rPr>
          <w:rFonts w:ascii="仿宋_GB2312" w:eastAsia="仿宋_GB2312"/>
          <w:color w:val="auto"/>
          <w:sz w:val="24"/>
          <w:szCs w:val="22"/>
          <w:highlight w:val="none"/>
        </w:rPr>
      </w:pPr>
      <w:r/>
      <w:bookmarkStart w:id="206" w:name="_Toc22395"/>
      <w:r/>
      <w:bookmarkStart w:id="207" w:name="_Toc19604"/>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pStyle w:val="1196"/>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6"/>
        <w:numPr>
          <w:ilvl w:val="0"/>
          <w:numId w:val="10"/>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p>
    <w:p>
      <w:pPr>
        <w:pStyle w:val="1227"/>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投标人名称：（加盖CA电子公章）</w:t>
      </w:r>
      <w:r/>
    </w:p>
    <w:p>
      <w:pPr>
        <w:pStyle w:val="122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18"/>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64203470"/>
      <w:r/>
      <w:bookmarkStart w:id="209" w:name="_Toc12153"/>
      <w:r/>
      <w:bookmarkStart w:id="210" w:name="_Toc14010"/>
      <w:r/>
      <w:bookmarkStart w:id="211" w:name="_Toc10914"/>
      <w:r>
        <w:rPr>
          <w:rFonts w:hint="eastAsia"/>
          <w:color w:val="auto"/>
          <w:highlight w:val="none"/>
        </w:rPr>
        <w:t xml:space="preserve">十一、法定代表人身份证明或授权委托书</w:t>
      </w:r>
      <w:bookmarkEnd w:id="206"/>
      <w:r/>
      <w:bookmarkEnd w:id="207"/>
      <w:r/>
      <w:bookmarkEnd w:id="208"/>
      <w:r/>
      <w:bookmarkEnd w:id="209"/>
      <w:r/>
      <w:bookmarkEnd w:id="210"/>
      <w:r/>
      <w:bookmarkEnd w:id="211"/>
      <w:r/>
      <w:r/>
    </w:p>
    <w:p>
      <w:pPr>
        <w:pStyle w:val="135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1"/>
        <w:spacing w:line="480" w:lineRule="exact"/>
        <w:rPr>
          <w:rFonts w:eastAsia="仿宋_GB2312"/>
          <w:color w:val="auto"/>
          <w:sz w:val="24"/>
          <w:highlight w:val="none"/>
        </w:rPr>
      </w:pPr>
      <w:r>
        <w:rPr>
          <w:rFonts w:eastAsia="仿宋_GB2312"/>
          <w:color w:val="auto"/>
          <w:sz w:val="24"/>
          <w:highlight w:val="none"/>
        </w:rPr>
      </w:r>
      <w:r/>
    </w:p>
    <w:p>
      <w:pPr>
        <w:pStyle w:val="1261"/>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61"/>
        <w:spacing w:line="480" w:lineRule="exact"/>
        <w:rPr>
          <w:rFonts w:eastAsia="仿宋_GB2312"/>
          <w:color w:val="auto"/>
          <w:sz w:val="24"/>
          <w:highlight w:val="none"/>
        </w:rPr>
      </w:pPr>
      <w:r>
        <w:rPr>
          <w:rFonts w:eastAsia="仿宋_GB2312"/>
          <w:color w:val="auto"/>
          <w:sz w:val="24"/>
          <w:highlight w:val="none"/>
        </w:rPr>
        <w:t xml:space="preserve">单位性质：</w:t>
      </w:r>
      <w:r/>
    </w:p>
    <w:p>
      <w:pPr>
        <w:pStyle w:val="1261"/>
        <w:spacing w:line="480" w:lineRule="exact"/>
        <w:rPr>
          <w:rFonts w:eastAsia="仿宋_GB2312"/>
          <w:color w:val="auto"/>
          <w:sz w:val="24"/>
          <w:highlight w:val="none"/>
        </w:rPr>
      </w:pPr>
      <w:r>
        <w:rPr>
          <w:rFonts w:eastAsia="仿宋_GB2312"/>
          <w:color w:val="auto"/>
          <w:sz w:val="24"/>
          <w:highlight w:val="none"/>
        </w:rPr>
        <w:t xml:space="preserve">地址：</w:t>
      </w:r>
      <w:r/>
    </w:p>
    <w:p>
      <w:pPr>
        <w:pStyle w:val="1261"/>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61"/>
        <w:spacing w:line="480" w:lineRule="exact"/>
        <w:rPr>
          <w:rFonts w:eastAsia="仿宋_GB2312"/>
          <w:color w:val="auto"/>
          <w:sz w:val="24"/>
          <w:highlight w:val="none"/>
        </w:rPr>
      </w:pPr>
      <w:r>
        <w:rPr>
          <w:rFonts w:eastAsia="仿宋_GB2312"/>
          <w:color w:val="auto"/>
          <w:sz w:val="24"/>
          <w:highlight w:val="none"/>
        </w:rPr>
        <w:t xml:space="preserve">经营期限：</w:t>
      </w:r>
      <w:r/>
    </w:p>
    <w:p>
      <w:pPr>
        <w:pStyle w:val="1261"/>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61"/>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261"/>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89"/>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61"/>
        <w:jc w:val="right"/>
        <w:spacing w:line="480" w:lineRule="exact"/>
        <w:rPr>
          <w:rFonts w:eastAsia="仿宋_GB2312"/>
          <w:color w:val="auto"/>
          <w:sz w:val="24"/>
          <w:highlight w:val="none"/>
        </w:rPr>
      </w:pPr>
      <w:r>
        <w:rPr>
          <w:rFonts w:eastAsia="仿宋_GB2312"/>
          <w:color w:val="auto"/>
          <w:sz w:val="24"/>
          <w:highlight w:val="none"/>
        </w:rPr>
      </w:r>
      <w:r/>
    </w:p>
    <w:p>
      <w:pPr>
        <w:pStyle w:val="1261"/>
        <w:jc w:val="right"/>
        <w:spacing w:line="480" w:lineRule="exact"/>
        <w:rPr>
          <w:rFonts w:eastAsia="仿宋_GB2312"/>
          <w:color w:val="auto"/>
          <w:sz w:val="24"/>
          <w:highlight w:val="none"/>
        </w:rPr>
      </w:pPr>
      <w:r>
        <w:rPr>
          <w:rFonts w:eastAsia="仿宋_GB2312"/>
          <w:color w:val="auto"/>
          <w:sz w:val="24"/>
          <w:highlight w:val="none"/>
        </w:rPr>
      </w:r>
      <w:r/>
    </w:p>
    <w:p>
      <w:pPr>
        <w:pStyle w:val="138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5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28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5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5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24999"/>
      <w:r/>
      <w:bookmarkStart w:id="213" w:name="_Toc164203471"/>
      <w:r/>
      <w:bookmarkStart w:id="214" w:name="_Toc18616"/>
      <w:r/>
      <w:bookmarkStart w:id="215" w:name="_Toc6146"/>
      <w:r/>
      <w:bookmarkStart w:id="216" w:name="_Toc5779"/>
      <w:r/>
      <w:bookmarkStart w:id="217" w:name="_Toc12853"/>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89"/>
        <w:ind w:firstLine="445"/>
        <w:jc w:val="center"/>
        <w:spacing w:line="700" w:lineRule="exact"/>
        <w:rPr>
          <w:rFonts w:hint="eastAsia" w:ascii="仿宋" w:hAnsi="仿宋" w:eastAsia="仿宋" w:cs="仿宋"/>
          <w:color w:val="auto"/>
          <w:sz w:val="24"/>
          <w:szCs w:val="24"/>
          <w:highlight w:val="none"/>
        </w:rPr>
      </w:pPr>
      <w:r>
        <w:rPr>
          <w:rFonts w:hint="eastAsia" w:ascii="仿宋_GB2312" w:eastAsia="仿宋_GB2312"/>
          <w:color w:val="auto"/>
          <w:sz w:val="24"/>
          <w:highlight w:val="none"/>
        </w:rPr>
        <w:t xml:space="preserve">    单位名称：（加盖CA电子公章）</w:t>
      </w:r>
      <w:r/>
    </w:p>
    <w:p>
      <w:pPr>
        <w:pStyle w:val="1358"/>
        <w:ind w:firstLine="425"/>
        <w:jc w:val="center"/>
        <w:spacing w:line="560" w:lineRule="exact"/>
        <w:rPr>
          <w:rFonts w:hint="eastAsia" w:ascii="仿宋" w:hAnsi="仿宋" w:eastAsia="仿宋" w:cs="仿宋"/>
          <w:color w:val="auto"/>
          <w:sz w:val="24"/>
          <w:szCs w:val="24"/>
          <w:highlight w:val="none"/>
          <w:u w:val="single"/>
        </w:rPr>
      </w:pPr>
      <w:r>
        <w:rPr>
          <w:rFonts w:hint="eastAsia" w:ascii="仿宋_GB2312" w:eastAsia="仿宋_GB2312"/>
          <w:color w:val="auto"/>
          <w:sz w:val="24"/>
          <w:highlight w:val="none"/>
        </w:rPr>
        <w:t xml:space="preserve">           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ind w:firstLine="3600"/>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投标人代表（签字）：</w:t>
      </w:r>
      <w:r/>
    </w:p>
    <w:p>
      <w:pPr>
        <w:ind w:firstLine="360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66"/>
        <w:numPr>
          <w:ilvl w:val="0"/>
          <w:numId w:val="11"/>
        </w:numPr>
        <w:jc w:val="both"/>
        <w:rPr>
          <w:rFonts w:hint="eastAsia"/>
          <w:color w:val="auto"/>
          <w:highlight w:val="none"/>
        </w:rPr>
        <w:outlineLvl w:val="1"/>
      </w:pPr>
      <w:r>
        <w:rPr>
          <w:color w:val="auto"/>
          <w:highlight w:val="none"/>
        </w:rPr>
        <w:t xml:space="preserve">开标一览表</w:t>
      </w:r>
      <w:bookmarkEnd w:id="212"/>
      <w:r/>
      <w:bookmarkEnd w:id="213"/>
      <w:r/>
      <w:bookmarkEnd w:id="214"/>
      <w:r/>
      <w:bookmarkEnd w:id="215"/>
      <w:r/>
      <w:bookmarkEnd w:id="216"/>
      <w:r/>
      <w:bookmarkEnd w:id="217"/>
      <w:r/>
      <w:r/>
    </w:p>
    <w:p>
      <w:pPr>
        <w:pStyle w:val="1266"/>
        <w:jc w:val="both"/>
        <w:rPr>
          <w:rFonts w:hint="eastAsia"/>
          <w:color w:val="auto"/>
          <w:highlight w:val="none"/>
        </w:rPr>
        <w:outlineLvl w:val="1"/>
      </w:pPr>
      <w:r>
        <w:rPr>
          <w:rFonts w:hint="eastAsia"/>
          <w:color w:val="auto"/>
          <w:highlight w:val="none"/>
        </w:rPr>
      </w:r>
      <w:r/>
    </w:p>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项目编号：</w:t>
      </w:r>
      <w:r/>
    </w:p>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货币单位：人民币元     </w:t>
      </w:r>
      <w:r/>
    </w:p>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分包号：      </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1903"/>
        <w:gridCol w:w="4471"/>
      </w:tblGrid>
      <w:tr>
        <w:trPr/>
        <w:tc>
          <w:tcPr>
            <w:tcW w:w="2546" w:type="dxa"/>
            <w:vAlign w:val="center"/>
            <w:textDirection w:val="lrTb"/>
            <w:noWrap w:val="false"/>
          </w:tcPr>
          <w:p>
            <w:pPr>
              <w:pStyle w:val="1127"/>
              <w:spacing w:line="700" w:lineRule="exact"/>
              <w:rPr>
                <w:rFonts w:ascii="仿宋_GB2312" w:eastAsia="仿宋_GB2312"/>
                <w:color w:val="auto"/>
                <w:sz w:val="24"/>
                <w:highlight w:val="none"/>
              </w:rPr>
            </w:pPr>
            <w:r/>
            <w:bookmarkStart w:id="219" w:name="OLE_LINK35"/>
            <w:r>
              <w:rPr>
                <w:rFonts w:hint="eastAsia" w:ascii="仿宋_GB2312" w:eastAsia="仿宋_GB2312"/>
                <w:color w:val="auto"/>
                <w:sz w:val="24"/>
                <w:highlight w:val="none"/>
              </w:rPr>
              <w:t xml:space="preserve">项目名称</w:t>
            </w:r>
            <w:bookmarkEnd w:id="219"/>
            <w:r/>
            <w:r/>
          </w:p>
        </w:tc>
        <w:tc>
          <w:tcPr>
            <w:tcW w:w="1903" w:type="dxa"/>
            <w:vAlign w:val="center"/>
            <w:textDirection w:val="lrTb"/>
            <w:noWrap w:val="false"/>
          </w:tcPr>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项目内容</w:t>
            </w:r>
            <w:r/>
          </w:p>
        </w:tc>
        <w:tc>
          <w:tcPr>
            <w:tcW w:w="4471" w:type="dxa"/>
            <w:vAlign w:val="center"/>
            <w:textDirection w:val="lrTb"/>
            <w:noWrap w:val="false"/>
          </w:tcPr>
          <w:p>
            <w:pPr>
              <w:pStyle w:val="1127"/>
              <w:jc w:val="center"/>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总价</w:t>
            </w:r>
            <w:r/>
          </w:p>
        </w:tc>
      </w:tr>
      <w:tr>
        <w:trPr>
          <w:trHeight w:val="2220"/>
        </w:trPr>
        <w:tc>
          <w:tcPr>
            <w:tcW w:w="2546" w:type="dxa"/>
            <w:vAlign w:val="center"/>
            <w:textDirection w:val="lrTb"/>
            <w:noWrap w:val="false"/>
          </w:tcPr>
          <w:p>
            <w:pPr>
              <w:pStyle w:val="1127"/>
              <w:spacing w:line="700" w:lineRule="exact"/>
              <w:rPr>
                <w:rFonts w:ascii="仿宋_GB2312" w:eastAsia="仿宋_GB2312"/>
                <w:color w:val="auto"/>
                <w:sz w:val="24"/>
                <w:highlight w:val="none"/>
              </w:rPr>
            </w:pPr>
            <w:r>
              <w:rPr>
                <w:rFonts w:ascii="仿宋_GB2312" w:eastAsia="仿宋_GB2312"/>
                <w:color w:val="auto"/>
                <w:sz w:val="24"/>
                <w:highlight w:val="none"/>
              </w:rPr>
            </w:r>
            <w:r/>
          </w:p>
        </w:tc>
        <w:tc>
          <w:tcPr>
            <w:tcW w:w="1903" w:type="dxa"/>
            <w:vAlign w:val="center"/>
            <w:textDirection w:val="lrTb"/>
            <w:noWrap w:val="false"/>
          </w:tcPr>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详见投标文件</w:t>
            </w:r>
            <w:r/>
          </w:p>
        </w:tc>
        <w:tc>
          <w:tcPr>
            <w:tcW w:w="4471" w:type="dxa"/>
            <w:vAlign w:val="center"/>
            <w:textDirection w:val="lrTb"/>
            <w:noWrap w:val="false"/>
          </w:tcPr>
          <w:p>
            <w:pPr>
              <w:pStyle w:val="1127"/>
              <w:jc w:val="center"/>
              <w:spacing w:line="700" w:lineRule="exact"/>
              <w:rPr>
                <w:color w:val="auto"/>
                <w:highlight w:val="none"/>
              </w:rPr>
            </w:pPr>
            <w:r>
              <w:rPr>
                <w:rFonts w:hint="eastAsia" w:ascii="仿宋_GB2312" w:eastAsia="仿宋_GB2312"/>
                <w:color w:val="auto"/>
                <w:sz w:val="24"/>
                <w:highlight w:val="none"/>
              </w:rPr>
              <w:t xml:space="preserve">（小写）___________元</w:t>
            </w:r>
            <w:r>
              <w:rPr>
                <w:rFonts w:hint="eastAsia"/>
                <w:color w:val="auto"/>
                <w:highlight w:val="none"/>
              </w:rPr>
              <w:t xml:space="preserve">/三年</w:t>
            </w:r>
            <w:r/>
          </w:p>
          <w:p>
            <w:pPr>
              <w:pStyle w:val="1127"/>
              <w:jc w:val="center"/>
              <w:spacing w:line="700" w:lineRule="exact"/>
              <w:rPr>
                <w:color w:val="auto"/>
                <w:highlight w:val="none"/>
              </w:rPr>
            </w:pPr>
            <w:r>
              <w:rPr>
                <w:rFonts w:hint="eastAsia" w:ascii="仿宋_GB2312" w:eastAsia="仿宋_GB2312"/>
                <w:color w:val="auto"/>
                <w:sz w:val="24"/>
                <w:highlight w:val="none"/>
              </w:rPr>
              <w:t xml:space="preserve">（大写）____________元</w:t>
            </w:r>
            <w:r>
              <w:rPr>
                <w:rFonts w:hint="eastAsia"/>
                <w:color w:val="auto"/>
                <w:highlight w:val="none"/>
              </w:rPr>
              <w:t xml:space="preserve">/三年</w:t>
            </w:r>
            <w:r/>
          </w:p>
        </w:tc>
      </w:tr>
      <w:tr>
        <w:trPr/>
        <w:tc>
          <w:tcPr>
            <w:tcW w:w="2546" w:type="dxa"/>
            <w:vAlign w:val="center"/>
            <w:textDirection w:val="lrTb"/>
            <w:noWrap w:val="false"/>
          </w:tcPr>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服务期限</w:t>
            </w:r>
            <w:r/>
          </w:p>
        </w:tc>
        <w:tc>
          <w:tcPr>
            <w:gridSpan w:val="2"/>
            <w:tcW w:w="6374" w:type="dxa"/>
            <w:vAlign w:val="center"/>
            <w:textDirection w:val="lrTb"/>
            <w:noWrap w:val="false"/>
          </w:tcPr>
          <w:p>
            <w:pPr>
              <w:jc w:val="left"/>
              <w:rPr>
                <w:rFonts w:ascii="仿宋_GB2312" w:eastAsia="仿宋_GB2312"/>
                <w:color w:val="auto"/>
                <w:sz w:val="24"/>
                <w:highlight w:val="none"/>
              </w:rPr>
            </w:pPr>
            <w:r>
              <w:rPr>
                <w:rFonts w:hint="eastAsia" w:ascii="宋体" w:hAnsi="宋体" w:cs="宋体"/>
                <w:color w:val="auto"/>
                <w:sz w:val="24"/>
                <w:szCs w:val="24"/>
                <w:highlight w:val="none"/>
              </w:rPr>
              <w:t xml:space="preserve">自合同签订之日起，服务期三年，合同一年一签。合同服务期满根据招标人对中标人的当年考评结果决定下一年度是否续签。</w:t>
            </w:r>
            <w:r/>
          </w:p>
        </w:tc>
      </w:tr>
    </w:tbl>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p>
    <w:p>
      <w:pPr>
        <w:pStyle w:val="1127"/>
        <w:ind w:firstLine="0"/>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投标人公章：（电子签章）                                 </w:t>
      </w:r>
      <w:r/>
    </w:p>
    <w:p>
      <w:pPr>
        <w:pStyle w:val="1127"/>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                                        日期：       年      月      日</w:t>
      </w:r>
      <w:r/>
    </w:p>
    <w:p>
      <w:pPr>
        <w:jc w:val="left"/>
        <w:widowControl/>
        <w:rPr>
          <w:rFonts w:hint="eastAsia" w:ascii="黑体" w:hAnsi="黑体" w:eastAsia="黑体"/>
          <w:b/>
          <w:color w:val="auto"/>
          <w:sz w:val="32"/>
          <w:szCs w:val="24"/>
          <w:highlight w:val="none"/>
        </w:rPr>
      </w:pPr>
      <w:r/>
      <w:bookmarkStart w:id="220" w:name="_Toc164203472"/>
      <w:r/>
      <w:bookmarkStart w:id="221" w:name="_Toc8851"/>
      <w:r/>
      <w:bookmarkStart w:id="222" w:name="_Toc4471"/>
      <w:r/>
      <w:bookmarkStart w:id="223" w:name="_Toc24436"/>
      <w:r/>
      <w:bookmarkStart w:id="224" w:name="_Toc31564"/>
      <w:r>
        <w:rPr>
          <w:rFonts w:hint="eastAsia"/>
          <w:color w:val="auto"/>
          <w:highlight w:val="none"/>
        </w:rPr>
        <w:br w:type="page" w:clear="all"/>
      </w:r>
      <w:r/>
    </w:p>
    <w:p>
      <w:pPr>
        <w:pStyle w:val="1287"/>
        <w:numPr>
          <w:ilvl w:val="0"/>
          <w:numId w:val="12"/>
        </w:numPr>
        <w:rPr>
          <w:rFonts w:hint="eastAsia"/>
          <w:color w:val="auto"/>
          <w:highlight w:val="none"/>
        </w:rPr>
        <w:outlineLvl w:val="1"/>
      </w:pPr>
      <w:r/>
      <w:bookmarkStart w:id="225" w:name="_Toc7189"/>
      <w:r>
        <w:rPr>
          <w:color w:val="auto"/>
          <w:highlight w:val="none"/>
        </w:rPr>
        <w:t xml:space="preserve">明细报价表</w:t>
      </w:r>
      <w:bookmarkEnd w:id="220"/>
      <w:r/>
      <w:bookmarkEnd w:id="221"/>
      <w:r/>
      <w:bookmarkEnd w:id="222"/>
      <w:r/>
      <w:bookmarkEnd w:id="223"/>
      <w:r/>
      <w:bookmarkEnd w:id="224"/>
      <w:r/>
      <w:bookmarkEnd w:id="225"/>
      <w:r/>
      <w:r/>
    </w:p>
    <w:p>
      <w:pPr>
        <w:pStyle w:val="1287"/>
        <w:ind w:firstLine="643"/>
        <w:rPr>
          <w:rFonts w:hint="eastAsia"/>
          <w:color w:val="auto"/>
          <w:highlight w:val="none"/>
        </w:rPr>
        <w:outlineLvl w:val="1"/>
      </w:pPr>
      <w:r>
        <w:rPr>
          <w:rFonts w:hint="eastAsia"/>
          <w:color w:val="auto"/>
          <w:highlight w:val="none"/>
        </w:rPr>
      </w:r>
      <w:r/>
    </w:p>
    <w:p>
      <w:pPr>
        <w:rPr>
          <w:rFonts w:hint="eastAsia" w:cs="宋体" w:asciiTheme="minorEastAsia" w:hAnsiTheme="minorEastAsia" w:eastAsiaTheme="minorEastAsia"/>
          <w:color w:val="auto"/>
          <w:sz w:val="24"/>
          <w:highlight w:val="none"/>
        </w:rPr>
      </w:pPr>
      <w:r/>
      <w:bookmarkStart w:id="226" w:name="_Toc10632"/>
      <w:r/>
      <w:bookmarkStart w:id="227" w:name="_Toc27976"/>
      <w:r>
        <w:rPr>
          <w:rFonts w:hint="eastAsia" w:cs="宋体" w:asciiTheme="minorEastAsia" w:hAnsiTheme="minorEastAsia" w:eastAsiaTheme="minorEastAsia"/>
          <w:color w:val="auto"/>
          <w:sz w:val="24"/>
          <w:highlight w:val="none"/>
        </w:rPr>
        <w:t xml:space="preserve">投标人全称（加盖CA电子签章）：</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项目名称：</w:t>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招标编号： </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42"/>
        <w:gridCol w:w="1782"/>
        <w:gridCol w:w="1619"/>
        <w:gridCol w:w="1276"/>
        <w:gridCol w:w="1084"/>
        <w:gridCol w:w="1443"/>
        <w:gridCol w:w="1586"/>
        <w:gridCol w:w="817"/>
      </w:tblGrid>
      <w:tr>
        <w:trPr>
          <w:trHeight w:val="6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（元/台/年）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（元/三年）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1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医科达Precise医用直线加速器维保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医科达Axesse医用直线加速器维保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医科达Infinity医用直线加速器维保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医科达Flexitron HDR医用后装治疗机维保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top"/>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9"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投标总报价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元/年</w:t>
            </w:r>
            <w:r/>
          </w:p>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元/三年</w:t>
            </w:r>
            <w:r/>
          </w:p>
        </w:tc>
      </w:tr>
    </w:tbl>
    <w:p>
      <w:pPr>
        <w:spacing w:line="85" w:lineRule="atLeast"/>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r>
      <w:r/>
    </w:p>
    <w:p>
      <w:pPr>
        <w:spacing w:line="85" w:lineRule="atLeast"/>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p>
      <w:pPr>
        <w:spacing w:line="85" w:lineRule="atLeast"/>
        <w:tabs>
          <w:tab w:val="left" w:pos="312" w:leader="none"/>
        </w:tabs>
        <w:rPr>
          <w:rFonts w:hint="eastAsia"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1.投标报价采用总承包方式，“投标总报价”应包括所投服务（包含与服务相关的货物）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仿宋_GB2312" w:eastAsia="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rPr>
        <w:t xml:space="preserve">2.</w:t>
      </w:r>
      <w:r>
        <w:rPr>
          <w:rFonts w:hint="eastAsia" w:asciiTheme="minorEastAsia" w:hAnsiTheme="minorEastAsia" w:eastAsiaTheme="minorEastAsia" w:cstheme="minorEastAsia"/>
          <w:color w:val="auto"/>
          <w:sz w:val="24"/>
          <w:highlight w:val="none"/>
        </w:rPr>
        <w:t xml:space="preserve"> 投标人应分项进行填报，表中表格行数可自行添加。招标文件中未列出的相关辅助材料和在实施过程中涉及到的其它一切费用应在报价时一并考虑，项目实施过程中不再单独结算</w:t>
      </w:r>
      <w:r>
        <w:rPr>
          <w:rFonts w:hint="eastAsia" w:asciiTheme="minorEastAsia" w:hAnsiTheme="minorEastAsia" w:eastAsiaTheme="minorEastAsia"/>
          <w:color w:val="auto"/>
          <w:sz w:val="24"/>
          <w:highlight w:val="none"/>
        </w:rPr>
        <w:t xml:space="preserve">“投标分项报价表”中“投标报价总计”数额应当与“开标一览表”中“投标总报价”数额一致。 </w:t>
      </w:r>
      <w:r/>
    </w:p>
    <w:p>
      <w:pPr>
        <w:shd w:val="nil" w:color="auto"/>
        <w:rPr>
          <w:rFonts w:hAnsi="宋体"/>
          <w:color w:val="auto"/>
          <w:highlight w:val="none"/>
        </w:rPr>
      </w:pPr>
      <w:r>
        <w:rPr>
          <w:rFonts w:hAnsi="宋体"/>
          <w:bCs/>
          <w:color w:val="auto"/>
          <w:highlight w:val="none"/>
        </w:rPr>
        <w:br w:type="page" w:clear="all"/>
      </w:r>
      <w:r>
        <w:rPr>
          <w:rFonts w:hAnsi="宋体"/>
          <w:bCs/>
          <w:color w:val="auto"/>
          <w:highlight w:val="none"/>
        </w:rPr>
      </w:r>
      <w:r/>
    </w:p>
    <w:p>
      <w:pPr>
        <w:pStyle w:val="824"/>
        <w:ind w:firstLine="0"/>
        <w:rPr>
          <w:rFonts w:hAnsi="宋体"/>
          <w:bCs/>
          <w:color w:val="auto"/>
          <w:highlight w:val="none"/>
        </w:rPr>
      </w:pPr>
      <w:r>
        <w:rPr>
          <w:rFonts w:hAnsi="宋体"/>
          <w:bCs/>
          <w:color w:val="auto"/>
          <w:highlight w:val="none"/>
        </w:rPr>
      </w:r>
      <w:r/>
    </w:p>
    <w:p>
      <w:pPr>
        <w:pStyle w:val="1287"/>
        <w:rPr>
          <w:rFonts w:hint="eastAsia"/>
          <w:color w:val="auto"/>
          <w:highlight w:val="none"/>
        </w:rPr>
        <w:outlineLvl w:val="1"/>
      </w:pPr>
      <w:r/>
      <w:bookmarkStart w:id="228" w:name="_Toc26570"/>
      <w:r/>
      <w:bookmarkStart w:id="229" w:name="_Toc22253"/>
      <w:r/>
      <w:bookmarkStart w:id="230" w:name="_Toc164203481"/>
      <w:r/>
      <w:bookmarkStart w:id="231" w:name="_Toc18680"/>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26"/>
      <w:r/>
      <w:bookmarkEnd w:id="227"/>
      <w:r/>
      <w:bookmarkEnd w:id="228"/>
      <w:r/>
      <w:bookmarkEnd w:id="229"/>
      <w:r/>
      <w:bookmarkEnd w:id="230"/>
      <w:r/>
      <w:bookmarkEnd w:id="231"/>
      <w:r/>
      <w:r/>
    </w:p>
    <w:p>
      <w:pPr>
        <w:contextualSpacing/>
        <w:ind w:firstLine="420"/>
        <w:jc w:val="center"/>
        <w:spacing w:line="360" w:lineRule="auto"/>
        <w:rPr>
          <w:rFonts w:hint="eastAsia" w:hAnsi="宋体" w:cs="宋体"/>
          <w:bCs/>
          <w:color w:val="auto"/>
          <w:highlight w:val="none"/>
        </w:rPr>
      </w:pPr>
      <w:r/>
      <w:bookmarkStart w:id="232" w:name="_Toc12023"/>
      <w:r/>
      <w:bookmarkStart w:id="233" w:name="_Toc16234"/>
      <w:r>
        <w:rPr>
          <w:rFonts w:hint="eastAsia" w:hAnsi="宋体" w:cs="宋体"/>
          <w:bCs/>
          <w:color w:val="auto"/>
          <w:highlight w:val="none"/>
        </w:rPr>
        <w:t xml:space="preserve">中小企业声明函</w:t>
      </w:r>
      <w:r>
        <w:rPr>
          <w:rFonts w:hint="eastAsia" w:hAnsi="宋体" w:cs="宋体"/>
          <w:bCs/>
          <w:color w:val="auto"/>
          <w:highlight w:val="none"/>
        </w:rPr>
        <w:t xml:space="preserve">（服务）</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本公司（联合体）郑重声明，根据《政府采购促进中小企业发展管理办法》（财库﹝2020﹞46号）的规定，本公司（联合体）参加</w:t>
      </w:r>
      <w:r>
        <w:rPr>
          <w:rFonts w:hint="eastAsia" w:hAnsi="宋体" w:cs="宋体"/>
          <w:color w:val="auto"/>
          <w:highlight w:val="none"/>
          <w:u w:val="single"/>
        </w:rPr>
        <w:t xml:space="preserve">（单位名称）</w:t>
      </w:r>
      <w:r>
        <w:rPr>
          <w:rFonts w:hint="eastAsia" w:hAnsi="宋体" w:cs="宋体"/>
          <w:color w:val="auto"/>
          <w:highlight w:val="none"/>
        </w:rPr>
        <w:t xml:space="preserve">的</w:t>
      </w:r>
      <w:r>
        <w:rPr>
          <w:rFonts w:hint="eastAsia" w:hAnsi="宋体" w:cs="宋体"/>
          <w:color w:val="auto"/>
          <w:highlight w:val="none"/>
          <w:u w:val="single"/>
        </w:rPr>
        <w:t xml:space="preserve">（项目名称）</w:t>
      </w:r>
      <w:r>
        <w:rPr>
          <w:rFonts w:hint="eastAsia"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2.</w:t>
      </w:r>
      <w:r>
        <w:rPr>
          <w:rFonts w:hint="eastAsia" w:hAnsi="宋体" w:cs="宋体"/>
          <w:color w:val="auto"/>
          <w:highlight w:val="none"/>
          <w:u w:val="single"/>
        </w:rPr>
        <w:t xml:space="preserve">（标的名称）</w:t>
      </w:r>
      <w:r>
        <w:rPr>
          <w:rFonts w:hint="eastAsia" w:hAnsi="宋体" w:cs="宋体"/>
          <w:color w:val="auto"/>
          <w:highlight w:val="none"/>
        </w:rPr>
        <w:t xml:space="preserve">，属于</w:t>
      </w:r>
      <w:r>
        <w:rPr>
          <w:rFonts w:hint="eastAsia" w:hAnsi="宋体" w:cs="宋体"/>
          <w:color w:val="auto"/>
          <w:highlight w:val="none"/>
          <w:u w:val="single"/>
        </w:rPr>
        <w:t xml:space="preserve">（招标文件中明确的所属行业）</w:t>
      </w:r>
      <w:r>
        <w:rPr>
          <w:rFonts w:hint="eastAsia" w:hAnsi="宋体" w:cs="宋体"/>
          <w:color w:val="auto"/>
          <w:highlight w:val="none"/>
        </w:rPr>
        <w:t xml:space="preserve">；承建（承接）企业为</w:t>
      </w:r>
      <w:r>
        <w:rPr>
          <w:rFonts w:hint="eastAsia" w:hAnsi="宋体" w:cs="宋体"/>
          <w:color w:val="auto"/>
          <w:highlight w:val="none"/>
          <w:u w:val="single"/>
        </w:rPr>
        <w:t xml:space="preserve">（企业名称）</w:t>
      </w:r>
      <w:r>
        <w:rPr>
          <w:rFonts w:hint="eastAsia" w:hAnsi="宋体" w:cs="宋体"/>
          <w:color w:val="auto"/>
          <w:highlight w:val="none"/>
        </w:rPr>
        <w:t xml:space="preserve">，从业人员人，营业收入为万元，资产总额为万元，属于</w:t>
      </w:r>
      <w:r>
        <w:rPr>
          <w:rFonts w:hint="eastAsia"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中型企业、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小型企业、</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微型企业）</w:t>
      </w: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61"/>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投标人名称（盖章）：</w:t>
      </w:r>
      <w:r/>
    </w:p>
    <w:p>
      <w:pPr>
        <w:pStyle w:val="761"/>
        <w:ind w:firstLine="600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contextualSpacing/>
        <w:jc w:val="left"/>
        <w:spacing w:line="360" w:lineRule="auto"/>
        <w:rPr>
          <w:rFonts w:hint="eastAsia" w:hAnsi="宋体" w:cs="宋体"/>
          <w:color w:val="auto"/>
          <w:highlight w:val="none"/>
        </w:rPr>
      </w:pPr>
      <w:r>
        <w:rPr>
          <w:rFonts w:hint="eastAsia" w:hAnsi="宋体" w:cs="宋体"/>
          <w:color w:val="auto"/>
          <w:highlight w:val="none"/>
        </w:rPr>
      </w:r>
      <w:r/>
    </w:p>
    <w:p>
      <w:pPr>
        <w:contextualSpacing/>
        <w:ind w:firstLine="420"/>
        <w:jc w:val="left"/>
        <w:spacing w:line="360" w:lineRule="auto"/>
        <w:rPr>
          <w:rFonts w:hint="eastAsia" w:hAnsi="宋体" w:cs="宋体"/>
          <w:color w:val="auto"/>
          <w:highlight w:val="none"/>
        </w:rPr>
      </w:pPr>
      <w:r>
        <w:rPr>
          <w:rFonts w:hint="eastAsia" w:hAnsi="宋体" w:cs="宋体"/>
          <w:color w:val="auto"/>
          <w:highlight w:val="none"/>
        </w:rPr>
      </w:r>
      <w:r/>
    </w:p>
    <w:p>
      <w:pPr>
        <w:pStyle w:val="761"/>
        <w:ind w:right="2742" w:firstLine="578"/>
        <w:jc w:val="right"/>
        <w:spacing w:before="29" w:line="316" w:lineRule="auto"/>
        <w:rPr>
          <w:rFonts w:hint="eastAsia" w:ascii="宋体" w:hAnsi="宋体" w:eastAsia="宋体" w:cs="宋体"/>
          <w:color w:val="auto"/>
          <w:spacing w:val="24"/>
          <w:highlight w:val="none"/>
        </w:rPr>
      </w:pPr>
      <w:r>
        <w:rPr>
          <w:rFonts w:hint="eastAsia" w:ascii="宋体" w:hAnsi="宋体" w:eastAsia="宋体" w:cs="宋体"/>
          <w:color w:val="auto"/>
          <w:spacing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68"/>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32"/>
        <w:ind w:firstLine="420"/>
        <w:spacing w:before="300" w:after="452"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中小微企业划型标准如下：</w:t>
      </w:r>
      <w:r/>
    </w:p>
    <w:tbl>
      <w:tblPr>
        <w:tblStyle w:val="75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int="eastAsia" w:hAnsi="宋体" w:cs="宋体"/>
                <w:color w:val="auto"/>
                <w:sz w:val="21"/>
                <w:szCs w:val="21"/>
                <w:highlight w:val="none"/>
              </w:rPr>
            </w:pPr>
            <w:r>
              <w:rPr>
                <w:rStyle w:val="1040"/>
                <w:rFonts w:hint="eastAsia" w:hAnsi="宋体" w:cs="宋体"/>
                <w:color w:val="auto"/>
                <w:sz w:val="21"/>
                <w:szCs w:val="21"/>
                <w:highlight w:val="none"/>
              </w:rPr>
              <w:t xml:space="preserve">X＜10</w:t>
            </w:r>
            <w:r/>
          </w:p>
        </w:tc>
      </w:tr>
    </w:tbl>
    <w:p>
      <w:pPr>
        <w:pStyle w:val="1032"/>
        <w:ind w:firstLine="420"/>
        <w:spacing w:before="300" w:after="452" w:line="360" w:lineRule="auto"/>
        <w:rPr>
          <w:rStyle w:val="1040"/>
          <w:rFonts w:hint="eastAsia" w:hAnsi="宋体" w:cs="宋体"/>
          <w:color w:val="auto"/>
          <w:sz w:val="21"/>
          <w:szCs w:val="21"/>
          <w:highlight w:val="none"/>
        </w:rPr>
      </w:pPr>
      <w:r>
        <w:rPr>
          <w:rStyle w:val="1040"/>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
    </w:p>
    <w:p>
      <w:pPr>
        <w:rPr>
          <w:rFonts w:hint="eastAsia" w:ascii="黑体" w:hAnsi="黑体" w:eastAsia="黑体"/>
          <w:color w:val="auto"/>
          <w:sz w:val="32"/>
          <w:highlight w:val="none"/>
        </w:rPr>
      </w:pPr>
      <w:r/>
      <w:bookmarkStart w:id="237" w:name="_Toc1060"/>
      <w:r/>
      <w:bookmarkEnd w:id="237"/>
      <w:r/>
      <w:r/>
    </w:p>
    <w:p>
      <w:pPr>
        <w:pStyle w:val="1254"/>
        <w:rPr>
          <w:rFonts w:hint="eastAsia"/>
          <w:color w:val="auto"/>
          <w:highlight w:val="none"/>
        </w:rPr>
        <w:outlineLvl w:val="1"/>
      </w:pPr>
      <w:r/>
      <w:bookmarkStart w:id="238" w:name="_Toc15535"/>
      <w:r/>
      <w:bookmarkStart w:id="239" w:name="_Toc4596"/>
      <w:r/>
      <w:bookmarkStart w:id="240" w:name="_Toc356"/>
      <w:r/>
      <w:bookmarkStart w:id="241" w:name="_Toc164203482"/>
      <w:r>
        <w:rPr>
          <w:rFonts w:hint="eastAsia"/>
          <w:color w:val="auto"/>
          <w:highlight w:val="none"/>
        </w:rPr>
        <w:t xml:space="preserve">十五、</w:t>
      </w:r>
      <w:r>
        <w:rPr>
          <w:color w:val="auto"/>
          <w:highlight w:val="none"/>
        </w:rPr>
        <w:t xml:space="preserve">响应偏差表</w:t>
      </w:r>
      <w:bookmarkEnd w:id="232"/>
      <w:r/>
      <w:bookmarkEnd w:id="233"/>
      <w:r/>
      <w:bookmarkEnd w:id="238"/>
      <w:r/>
      <w:bookmarkEnd w:id="239"/>
      <w:r/>
      <w:bookmarkEnd w:id="240"/>
      <w:r/>
      <w:bookmarkEnd w:id="241"/>
      <w:r/>
      <w:r/>
    </w:p>
    <w:p>
      <w:pPr>
        <w:pStyle w:val="1068"/>
        <w:jc w:val="center"/>
        <w:rPr>
          <w:color w:val="auto"/>
          <w:sz w:val="32"/>
          <w:szCs w:val="32"/>
          <w:highlight w:val="none"/>
        </w:rPr>
      </w:pPr>
      <w:r>
        <w:rPr>
          <w:rFonts w:hint="eastAsia"/>
          <w:color w:val="auto"/>
          <w:sz w:val="32"/>
          <w:szCs w:val="32"/>
          <w:highlight w:val="none"/>
        </w:rPr>
        <w:t xml:space="preserve">（一）技术响应偏差表</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67"/>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92"/>
        <w:jc w:val="center"/>
        <w:rPr>
          <w:rFonts w:hint="eastAsia"/>
          <w:color w:val="auto"/>
          <w:highlight w:val="none"/>
        </w:rPr>
      </w:pPr>
      <w:r>
        <w:rPr>
          <w:rFonts w:hint="eastAsia" w:hAnsi="宋体"/>
          <w:bCs/>
          <w:color w:val="auto"/>
          <w:sz w:val="24"/>
          <w:szCs w:val="28"/>
          <w:highlight w:val="none"/>
        </w:rPr>
        <w:t xml:space="preserve">注：1.投标人须对照招标文件第四部分“</w:t>
      </w:r>
      <w:r>
        <w:rPr>
          <w:rFonts w:hint="eastAsia" w:ascii="宋体" w:hAnsi="宋体" w:cs="宋体"/>
          <w:bCs/>
          <w:color w:val="auto"/>
          <w:sz w:val="24"/>
          <w:szCs w:val="36"/>
          <w:highlight w:val="none"/>
        </w:rPr>
        <w:t xml:space="preserve">项目</w:t>
      </w:r>
      <w:r>
        <w:rPr>
          <w:rFonts w:hint="eastAsia" w:hAnsi="宋体"/>
          <w:bCs/>
          <w:color w:val="auto"/>
          <w:sz w:val="24"/>
          <w:szCs w:val="28"/>
          <w:highlight w:val="none"/>
        </w:rPr>
        <w:t xml:space="preserve">需求”，逐条说明所提供货物和服务已对招标文件的技术规格做出了实质性的响应，并申明与技术规格条文的偏差和例外。</w:t>
      </w:r>
      <w:r/>
    </w:p>
    <w:p>
      <w:pPr>
        <w:rPr>
          <w:color w:val="auto"/>
          <w:highlight w:val="none"/>
        </w:rPr>
      </w:pPr>
      <w:r/>
      <w:bookmarkStart w:id="242" w:name="_Toc8566"/>
      <w:r/>
      <w:bookmarkStart w:id="243" w:name="_Toc9396"/>
      <w:r>
        <w:rPr>
          <w:color w:val="auto"/>
          <w:highlight w:val="none"/>
        </w:rPr>
        <w:br w:type="page" w:clear="all"/>
      </w:r>
      <w:r/>
    </w:p>
    <w:p>
      <w:pPr>
        <w:pStyle w:val="1068"/>
        <w:jc w:val="center"/>
        <w:rPr>
          <w:color w:val="auto"/>
          <w:sz w:val="32"/>
          <w:szCs w:val="32"/>
          <w:highlight w:val="none"/>
        </w:rPr>
      </w:pPr>
      <w:r>
        <w:rPr>
          <w:rFonts w:hint="eastAsia"/>
          <w:color w:val="auto"/>
          <w:sz w:val="32"/>
          <w:szCs w:val="32"/>
          <w:highlight w:val="none"/>
        </w:rPr>
        <w:t xml:space="preserve">（二）投标商务偏离表</w:t>
      </w:r>
      <w:bookmarkEnd w:id="242"/>
      <w:r/>
      <w:bookmarkEnd w:id="243"/>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7"/>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127"/>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67"/>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int="eastAsia" w:hAnsi="宋体" w:cs="宋体"/>
          <w:color w:val="auto"/>
          <w:highlight w:val="none"/>
        </w:rPr>
      </w:pPr>
      <w:r>
        <w:rPr>
          <w:rFonts w:hint="eastAsia" w:hAnsi="宋体" w:cs="宋体"/>
          <w:color w:val="auto"/>
          <w:highlight w:val="none"/>
        </w:rPr>
        <w:t xml:space="preserve">注：</w:t>
      </w:r>
      <w:r/>
    </w:p>
    <w:p>
      <w:pPr>
        <w:ind w:left="210"/>
        <w:spacing w:line="360" w:lineRule="auto"/>
        <w:rPr>
          <w:rFonts w:hint="eastAsia"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2"/>
        <w:rPr>
          <w:rFonts w:hint="eastAsia"/>
          <w:color w:val="auto"/>
          <w:highlight w:val="none"/>
        </w:rPr>
        <w:outlineLvl w:val="1"/>
      </w:pPr>
      <w:r>
        <w:rPr>
          <w:color w:val="auto"/>
          <w:highlight w:val="none"/>
        </w:rPr>
        <w:br w:type="page" w:clear="all"/>
      </w:r>
      <w:bookmarkStart w:id="244" w:name="_Toc15828"/>
      <w:r/>
      <w:bookmarkEnd w:id="244"/>
      <w:r/>
      <w:bookmarkStart w:id="245" w:name="_Toc26943"/>
      <w:r/>
      <w:bookmarkEnd w:id="245"/>
      <w:r/>
      <w:r/>
    </w:p>
    <w:p>
      <w:pPr>
        <w:pStyle w:val="1362"/>
        <w:rPr>
          <w:rFonts w:hint="eastAsia"/>
          <w:color w:val="auto"/>
          <w:highlight w:val="none"/>
        </w:rPr>
        <w:outlineLvl w:val="1"/>
      </w:pPr>
      <w:r/>
      <w:bookmarkStart w:id="246" w:name="_Toc514054502"/>
      <w:r/>
      <w:bookmarkStart w:id="247" w:name="_Toc20188"/>
      <w:r/>
      <w:bookmarkStart w:id="248" w:name="_Toc25001_WPSOffice_Level2"/>
      <w:r/>
      <w:bookmarkStart w:id="249" w:name="_Toc164203484"/>
      <w:r/>
      <w:bookmarkStart w:id="250" w:name="_Toc109"/>
      <w:r/>
      <w:bookmarkStart w:id="251" w:name="_Toc7579"/>
      <w:r/>
      <w:bookmarkStart w:id="252" w:name="_Toc5519"/>
      <w:r/>
      <w:bookmarkStart w:id="253" w:name="_Toc21179"/>
      <w:r>
        <w:rPr>
          <w:color w:val="auto"/>
          <w:highlight w:val="none"/>
        </w:rPr>
        <w:t xml:space="preserve">十</w:t>
      </w:r>
      <w:r>
        <w:rPr>
          <w:rFonts w:hint="eastAsia"/>
          <w:color w:val="auto"/>
          <w:highlight w:val="none"/>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6"/>
      <w:r/>
      <w:bookmarkEnd w:id="247"/>
      <w:r/>
      <w:bookmarkEnd w:id="248"/>
      <w:r/>
      <w:r/>
    </w:p>
    <w:p>
      <w:pPr>
        <w:pStyle w:val="1201"/>
        <w:jc w:val="center"/>
        <w:spacing w:line="560" w:lineRule="exact"/>
        <w:rPr>
          <w:rFonts w:ascii="宋体"/>
          <w:b/>
          <w:bCs/>
          <w:color w:val="auto"/>
          <w:sz w:val="32"/>
          <w:szCs w:val="32"/>
          <w:highlight w:val="none"/>
        </w:rPr>
      </w:pPr>
      <w:r/>
      <w:bookmarkStart w:id="254" w:name="_Toc2882_WPSOffice_Level2"/>
      <w:r>
        <w:rPr>
          <w:rFonts w:hint="eastAsia" w:ascii="宋体"/>
          <w:b/>
          <w:bCs/>
          <w:color w:val="auto"/>
          <w:sz w:val="32"/>
          <w:szCs w:val="32"/>
          <w:highlight w:val="none"/>
        </w:rPr>
        <w:t xml:space="preserve">按照招标文件要求，格式自拟</w:t>
      </w:r>
      <w:bookmarkEnd w:id="254"/>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0"/>
        <w:rPr>
          <w:rFonts w:hint="eastAsia"/>
          <w:color w:val="auto"/>
          <w:highlight w:val="none"/>
        </w:rPr>
        <w:outlineLvl w:val="1"/>
      </w:pPr>
      <w:r/>
      <w:bookmarkStart w:id="255" w:name="_Toc14378"/>
      <w:r>
        <w:rPr>
          <w:color w:val="auto"/>
          <w:highlight w:val="none"/>
        </w:rPr>
        <w:t xml:space="preserve">十</w:t>
      </w:r>
      <w:r>
        <w:rPr>
          <w:rFonts w:hint="eastAsia"/>
          <w:color w:val="auto"/>
          <w:highlight w:val="none"/>
        </w:rPr>
        <w:t xml:space="preserve">七</w:t>
      </w:r>
      <w:r>
        <w:rPr>
          <w:color w:val="auto"/>
          <w:highlight w:val="none"/>
        </w:rPr>
        <w:t xml:space="preserve">、类似项目业绩一览表</w:t>
      </w:r>
      <w:bookmarkEnd w:id="249"/>
      <w:r/>
      <w:bookmarkEnd w:id="250"/>
      <w:r/>
      <w:bookmarkEnd w:id="251"/>
      <w:r/>
      <w:bookmarkEnd w:id="252"/>
      <w:r/>
      <w:bookmarkEnd w:id="253"/>
      <w:r/>
      <w:bookmarkEnd w:id="255"/>
      <w:r/>
      <w:r/>
    </w:p>
    <w:p>
      <w:pPr>
        <w:pStyle w:val="1243"/>
        <w:jc w:val="center"/>
        <w:rPr>
          <w:b/>
          <w:color w:val="auto"/>
          <w:sz w:val="32"/>
          <w:szCs w:val="32"/>
          <w:highlight w:val="none"/>
        </w:rPr>
      </w:pPr>
      <w:r>
        <w:rPr>
          <w:rFonts w:hint="eastAsia"/>
          <w:b/>
          <w:color w:val="auto"/>
          <w:sz w:val="32"/>
          <w:szCs w:val="32"/>
          <w:highlight w:val="none"/>
        </w:rPr>
        <w:t xml:space="preserve">类似项目业绩一览表</w:t>
      </w:r>
      <w:r/>
    </w:p>
    <w:tbl>
      <w:tblPr>
        <w:tblStyle w:val="7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0"/>
        <w:rPr>
          <w:rFonts w:hint="eastAsia"/>
          <w:color w:val="auto"/>
          <w:highlight w:val="none"/>
        </w:rPr>
        <w:outlineLvl w:val="1"/>
      </w:pPr>
      <w:r>
        <w:rPr>
          <w:color w:val="auto"/>
          <w:highlight w:val="none"/>
        </w:rPr>
        <w:br w:type="page" w:clear="all"/>
      </w:r>
      <w:bookmarkStart w:id="256" w:name="_Toc6607"/>
      <w:r/>
      <w:bookmarkStart w:id="257" w:name="_Toc15753"/>
      <w:r/>
      <w:bookmarkStart w:id="258" w:name="_Toc5295"/>
      <w:r/>
      <w:bookmarkStart w:id="259" w:name="_Toc164203485"/>
      <w:r/>
      <w:bookmarkStart w:id="260" w:name="_Toc20255"/>
      <w:r/>
      <w:bookmarkStart w:id="261" w:name="_Toc14046"/>
      <w:r/>
      <w:r/>
    </w:p>
    <w:p>
      <w:pPr>
        <w:pStyle w:val="1230"/>
        <w:rPr>
          <w:rFonts w:hint="eastAsia"/>
          <w:color w:val="auto"/>
          <w:highlight w:val="none"/>
        </w:rPr>
        <w:outlineLvl w:val="1"/>
      </w:pPr>
      <w:r>
        <w:rPr>
          <w:rFonts w:hint="eastAsia"/>
          <w:color w:val="auto"/>
          <w:highlight w:val="none"/>
        </w:rPr>
        <w:t xml:space="preserve">十八</w:t>
      </w:r>
      <w:r>
        <w:rPr>
          <w:color w:val="auto"/>
          <w:highlight w:val="none"/>
        </w:rPr>
        <w:t xml:space="preserve">、投标所需其他材料</w:t>
      </w:r>
      <w:bookmarkEnd w:id="256"/>
      <w:r/>
      <w:bookmarkEnd w:id="257"/>
      <w:r/>
      <w:bookmarkEnd w:id="258"/>
      <w:r/>
      <w:bookmarkEnd w:id="259"/>
      <w:r/>
      <w:bookmarkEnd w:id="260"/>
      <w:r/>
      <w:bookmarkEnd w:id="261"/>
      <w:r/>
      <w:r/>
    </w:p>
    <w:p>
      <w:pPr>
        <w:pStyle w:val="1367"/>
        <w:ind w:firstLine="420"/>
        <w:spacing w:line="360" w:lineRule="auto"/>
        <w:rPr>
          <w:color w:val="auto"/>
          <w:highlight w:val="none"/>
        </w:rPr>
      </w:pPr>
      <w:r>
        <w:rPr>
          <w:rFonts w:hint="eastAsia"/>
          <w:color w:val="auto"/>
          <w:highlight w:val="none"/>
        </w:rPr>
        <w:t xml:space="preserve">请在此文档中增加投标所需其他相关内容（包括资格要求、评分办法、项目需求中涉及的证件证明及其它投标人认为有必要提供的资料），如没有请空置。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int="eastAsia" w:hAnsi="宋体" w:cs="宋体"/>
          <w:bCs/>
          <w:color w:val="auto"/>
          <w:sz w:val="44"/>
          <w:szCs w:val="44"/>
          <w:highlight w:val="none"/>
        </w:rPr>
        <w:outlineLvl w:val="0"/>
      </w:pPr>
      <w:r/>
      <w:bookmarkStart w:id="262" w:name="_Toc3075"/>
      <w:r>
        <w:rPr>
          <w:rFonts w:hint="eastAsia" w:hAnsi="宋体" w:cs="宋体"/>
          <w:bCs/>
          <w:color w:val="auto"/>
          <w:sz w:val="44"/>
          <w:szCs w:val="44"/>
          <w:highlight w:val="none"/>
        </w:rPr>
        <w:t xml:space="preserve">第七部分：特别提醒</w:t>
      </w:r>
      <w:bookmarkEnd w:id="262"/>
      <w:r/>
      <w:r/>
    </w:p>
    <w:p>
      <w:pPr>
        <w:jc w:val="center"/>
        <w:spacing w:line="360" w:lineRule="auto"/>
        <w:rPr>
          <w:rFonts w:hint="eastAsia" w:hAnsi="宋体" w:cs="宋体"/>
          <w:bCs/>
          <w:color w:val="auto"/>
          <w:sz w:val="44"/>
          <w:szCs w:val="44"/>
          <w:highlight w:val="none"/>
        </w:rPr>
        <w:outlineLvl w:val="0"/>
      </w:pPr>
      <w:r/>
      <w:bookmarkStart w:id="263" w:name="_Toc31159"/>
      <w:r>
        <w:rPr>
          <w:rFonts w:hint="eastAsia" w:hAnsi="宋体" w:cs="宋体"/>
          <w:bCs/>
          <w:color w:val="auto"/>
          <w:sz w:val="44"/>
          <w:szCs w:val="44"/>
          <w:highlight w:val="none"/>
        </w:rPr>
        <w:t xml:space="preserve">（有关围标串标情形的判定）</w:t>
      </w:r>
      <w:bookmarkEnd w:id="263"/>
      <w:r/>
      <w:r/>
    </w:p>
    <w:p>
      <w:pPr>
        <w:spacing w:line="360" w:lineRule="auto"/>
        <w:rPr>
          <w:rFonts w:hint="eastAsia" w:hAnsi="宋体"/>
          <w:bCs/>
          <w:color w:val="auto"/>
          <w:sz w:val="32"/>
          <w:szCs w:val="32"/>
          <w:highlight w:val="none"/>
        </w:rPr>
      </w:pPr>
      <w:r>
        <w:rPr>
          <w:rFonts w:hint="eastAsia" w:hAnsi="宋体"/>
          <w:bCs/>
          <w:color w:val="auto"/>
          <w:sz w:val="32"/>
          <w:szCs w:val="32"/>
          <w:highlight w:val="none"/>
        </w:rPr>
      </w:r>
      <w:r/>
    </w:p>
    <w:p>
      <w:pPr>
        <w:spacing w:line="360" w:lineRule="auto"/>
        <w:tabs>
          <w:tab w:val="left" w:pos="3965" w:leader="none"/>
        </w:tabs>
        <w:rPr>
          <w:rFonts w:hint="eastAsia"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int="eastAsia"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int="eastAsia"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int="eastAsia"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int="eastAsia"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int="eastAsia"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int="eastAsia"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int="eastAsia"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int="eastAsia"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int="eastAsia" w:hAnsi="宋体" w:cs="Arial"/>
          <w:color w:val="auto"/>
          <w:highlight w:val="none"/>
        </w:rPr>
      </w:pPr>
      <w:r>
        <w:rPr>
          <w:rFonts w:hint="eastAsia" w:hAnsi="宋体" w:cs="Arial"/>
          <w:color w:val="auto"/>
          <w:highlight w:val="none"/>
        </w:rPr>
      </w:r>
      <w:r/>
    </w:p>
    <w:p>
      <w:pPr>
        <w:spacing w:line="360" w:lineRule="auto"/>
        <w:rPr>
          <w:rFonts w:hint="eastAsia"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spacing w:line="330" w:lineRule="atLeast"/>
      <w:widowControl/>
      <w:rPr>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                            公开·公平·公正·诚实信用</w:t>
    </w:r>
    <w:r/>
  </w:p>
  <w:p>
    <w:pPr>
      <w:pStyle w:val="769"/>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2"/>
  </w:num>
  <w:num w:numId="5">
    <w:abstractNumId w:val="4"/>
  </w:num>
  <w:num w:numId="6">
    <w:abstractNumId w:val="7"/>
  </w:num>
  <w:num w:numId="7">
    <w:abstractNumId w:val="10"/>
  </w:num>
  <w:num w:numId="8">
    <w:abstractNumId w:val="11"/>
  </w:num>
  <w:num w:numId="9">
    <w:abstractNumId w:val="6"/>
    <w:lvlOverride w:ilvl="0">
      <w:startOverride w:val="1"/>
    </w:lvlOverride>
  </w:num>
  <w:num w:numId="10">
    <w:abstractNumId w:val="0"/>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3">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2">
    <w:name w:val="TOC Heading"/>
    <w:uiPriority w:val="39"/>
    <w:unhideWhenUsed/>
  </w:style>
  <w:style w:type="paragraph" w:styleId="743" w:default="1">
    <w:name w:val="Normal"/>
    <w:next w:val="755"/>
    <w:uiPriority w:val="0"/>
    <w:qFormat/>
    <w:pPr>
      <w:jc w:val="both"/>
      <w:widowControl w:val="off"/>
    </w:pPr>
    <w:rPr>
      <w:rFonts w:ascii="Times New Roman" w:hAnsi="Times New Roman" w:eastAsia="宋体" w:cs="Times New Roman"/>
      <w:sz w:val="21"/>
      <w:szCs w:val="22"/>
      <w:lang w:val="en-US" w:eastAsia="zh-CN" w:bidi="ar-SA"/>
    </w:rPr>
  </w:style>
  <w:style w:type="paragraph" w:styleId="744">
    <w:name w:val="Heading 1"/>
    <w:basedOn w:val="743"/>
    <w:next w:val="743"/>
    <w:link w:val="844"/>
    <w:uiPriority w:val="9"/>
    <w:qFormat/>
    <w:pPr>
      <w:jc w:val="center"/>
      <w:keepLines/>
      <w:keepNext/>
      <w:spacing w:before="480" w:after="200"/>
      <w:outlineLvl w:val="0"/>
    </w:pPr>
    <w:rPr>
      <w:rFonts w:ascii="宋体" w:hAnsi="宋体" w:eastAsia="Arial" w:cs="宋体"/>
      <w:b/>
      <w:color w:val="000000"/>
      <w:sz w:val="44"/>
      <w:szCs w:val="44"/>
    </w:rPr>
  </w:style>
  <w:style w:type="paragraph" w:styleId="745">
    <w:name w:val="Heading 2"/>
    <w:basedOn w:val="743"/>
    <w:next w:val="757"/>
    <w:uiPriority w:val="9"/>
    <w:semiHidden/>
    <w:unhideWhenUsed/>
    <w:qFormat/>
    <w:pPr>
      <w:keepLines/>
      <w:keepNext/>
      <w:spacing w:before="360" w:after="200"/>
      <w:outlineLvl w:val="1"/>
    </w:pPr>
    <w:rPr>
      <w:rFonts w:ascii="Arial" w:hAnsi="Arial" w:eastAsia="Arial" w:cs="Arial"/>
      <w:sz w:val="34"/>
    </w:rPr>
  </w:style>
  <w:style w:type="paragraph" w:styleId="746">
    <w:name w:val="Heading 3"/>
    <w:basedOn w:val="743"/>
    <w:next w:val="743"/>
    <w:uiPriority w:val="9"/>
    <w:semiHidden/>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uiPriority w:val="9"/>
    <w:semiHidden/>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845"/>
    <w:uiPriority w:val="9"/>
    <w:semiHidden/>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846"/>
    <w:uiPriority w:val="9"/>
    <w:semiHidden/>
    <w:unhideWhenUsed/>
    <w:qFormat/>
    <w:pPr>
      <w:keepLines/>
      <w:keepNext/>
      <w:spacing w:before="320" w:after="200"/>
      <w:outlineLvl w:val="5"/>
    </w:pPr>
    <w:rPr>
      <w:rFonts w:ascii="Arial" w:hAnsi="Arial" w:eastAsia="Arial" w:cs="Arial"/>
      <w:b/>
      <w:bCs/>
      <w:sz w:val="22"/>
    </w:rPr>
  </w:style>
  <w:style w:type="paragraph" w:styleId="750">
    <w:name w:val="Heading 7"/>
    <w:basedOn w:val="743"/>
    <w:next w:val="743"/>
    <w:link w:val="847"/>
    <w:uiPriority w:val="9"/>
    <w:qFormat/>
    <w:pPr>
      <w:keepLines/>
      <w:keepNext/>
      <w:spacing w:before="320" w:after="200"/>
      <w:outlineLvl w:val="6"/>
    </w:pPr>
    <w:rPr>
      <w:rFonts w:ascii="Arial" w:hAnsi="Arial" w:eastAsia="Arial" w:cs="Arial"/>
      <w:b/>
      <w:bCs/>
      <w:i/>
      <w:iCs/>
      <w:sz w:val="22"/>
    </w:rPr>
  </w:style>
  <w:style w:type="paragraph" w:styleId="751">
    <w:name w:val="Heading 8"/>
    <w:basedOn w:val="743"/>
    <w:next w:val="743"/>
    <w:link w:val="848"/>
    <w:uiPriority w:val="9"/>
    <w:qFormat/>
    <w:pPr>
      <w:keepLines/>
      <w:keepNext/>
      <w:spacing w:before="320" w:after="200"/>
      <w:outlineLvl w:val="7"/>
    </w:pPr>
    <w:rPr>
      <w:rFonts w:ascii="Arial" w:hAnsi="Arial" w:eastAsia="Arial" w:cs="Arial"/>
      <w:i/>
      <w:iCs/>
      <w:sz w:val="22"/>
    </w:rPr>
  </w:style>
  <w:style w:type="paragraph" w:styleId="752">
    <w:name w:val="Heading 9"/>
    <w:basedOn w:val="743"/>
    <w:next w:val="743"/>
    <w:link w:val="849"/>
    <w:uiPriority w:val="9"/>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customStyle="1">
    <w:name w:val="正文文本缩进1"/>
    <w:basedOn w:val="756"/>
    <w:next w:val="743"/>
    <w:uiPriority w:val="99"/>
    <w:qFormat/>
    <w:pPr>
      <w:ind w:left="420"/>
      <w:spacing w:after="120"/>
    </w:pPr>
    <w:rPr>
      <w:rFonts w:ascii="Calibri" w:hAnsi="Calibri" w:cs="Calibri"/>
    </w:rPr>
  </w:style>
  <w:style w:type="paragraph" w:styleId="756"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757">
    <w:name w:val="Normal Indent"/>
    <w:basedOn w:val="743"/>
    <w:uiPriority w:val="0"/>
    <w:qFormat/>
    <w:pPr>
      <w:ind w:firstLine="420"/>
    </w:pPr>
  </w:style>
  <w:style w:type="paragraph" w:styleId="758">
    <w:name w:val="toc 7"/>
    <w:basedOn w:val="743"/>
    <w:next w:val="743"/>
    <w:uiPriority w:val="39"/>
    <w:qFormat/>
    <w:pPr>
      <w:ind w:left="1701"/>
      <w:spacing w:after="57"/>
    </w:pPr>
  </w:style>
  <w:style w:type="paragraph" w:styleId="759">
    <w:name w:val="Caption"/>
    <w:basedOn w:val="743"/>
    <w:next w:val="743"/>
    <w:uiPriority w:val="35"/>
    <w:qFormat/>
    <w:pPr>
      <w:spacing w:line="276" w:lineRule="auto"/>
    </w:pPr>
    <w:rPr>
      <w:b/>
      <w:bCs/>
      <w:color w:val="4f81bd"/>
      <w:sz w:val="18"/>
      <w:szCs w:val="18"/>
    </w:rPr>
  </w:style>
  <w:style w:type="paragraph" w:styleId="760">
    <w:name w:val="annotation text"/>
    <w:basedOn w:val="743"/>
    <w:uiPriority w:val="99"/>
    <w:qFormat/>
    <w:pPr>
      <w:jc w:val="left"/>
    </w:pPr>
  </w:style>
  <w:style w:type="paragraph" w:styleId="761">
    <w:name w:val="Body Text"/>
    <w:basedOn w:val="743"/>
    <w:next w:val="743"/>
    <w:uiPriority w:val="0"/>
    <w:qFormat/>
    <w:pPr>
      <w:spacing w:after="120"/>
    </w:pPr>
    <w:rPr>
      <w:rFonts w:eastAsia="Times New Roman"/>
    </w:rPr>
  </w:style>
  <w:style w:type="paragraph" w:styleId="762">
    <w:name w:val="Body Text Indent"/>
    <w:basedOn w:val="743"/>
    <w:link w:val="1415"/>
    <w:uiPriority w:val="99"/>
    <w:qFormat/>
    <w:pPr>
      <w:ind w:left="420"/>
      <w:spacing w:after="120"/>
    </w:pPr>
  </w:style>
  <w:style w:type="paragraph" w:styleId="763">
    <w:name w:val="toc 5"/>
    <w:basedOn w:val="743"/>
    <w:next w:val="743"/>
    <w:uiPriority w:val="39"/>
    <w:qFormat/>
    <w:pPr>
      <w:ind w:left="1134"/>
      <w:spacing w:after="57"/>
    </w:pPr>
  </w:style>
  <w:style w:type="paragraph" w:styleId="764">
    <w:name w:val="toc 3"/>
    <w:basedOn w:val="743"/>
    <w:next w:val="743"/>
    <w:uiPriority w:val="39"/>
    <w:qFormat/>
    <w:pPr>
      <w:ind w:left="567"/>
      <w:spacing w:after="57"/>
    </w:pPr>
  </w:style>
  <w:style w:type="paragraph" w:styleId="765">
    <w:name w:val="toc 8"/>
    <w:basedOn w:val="743"/>
    <w:next w:val="743"/>
    <w:uiPriority w:val="39"/>
    <w:qFormat/>
    <w:pPr>
      <w:ind w:left="1984"/>
      <w:spacing w:after="57"/>
    </w:pPr>
  </w:style>
  <w:style w:type="paragraph" w:styleId="766">
    <w:name w:val="Date"/>
    <w:basedOn w:val="743"/>
    <w:next w:val="743"/>
    <w:link w:val="1413"/>
    <w:uiPriority w:val="99"/>
    <w:qFormat/>
    <w:pPr>
      <w:ind w:left="100"/>
    </w:pPr>
  </w:style>
  <w:style w:type="paragraph" w:styleId="767">
    <w:name w:val="endnote text"/>
    <w:basedOn w:val="743"/>
    <w:link w:val="965"/>
    <w:uiPriority w:val="99"/>
    <w:qFormat/>
    <w:rPr>
      <w:sz w:val="20"/>
    </w:rPr>
  </w:style>
  <w:style w:type="paragraph" w:styleId="768">
    <w:name w:val="Footer"/>
    <w:basedOn w:val="743"/>
    <w:link w:val="857"/>
    <w:uiPriority w:val="99"/>
    <w:qFormat/>
    <w:pPr>
      <w:tabs>
        <w:tab w:val="center" w:pos="7143" w:leader="none"/>
        <w:tab w:val="right" w:pos="14287" w:leader="none"/>
      </w:tabs>
    </w:pPr>
  </w:style>
  <w:style w:type="paragraph" w:styleId="769">
    <w:name w:val="Header"/>
    <w:basedOn w:val="743"/>
    <w:uiPriority w:val="99"/>
    <w:qFormat/>
    <w:pPr>
      <w:tabs>
        <w:tab w:val="center" w:pos="7143" w:leader="none"/>
        <w:tab w:val="right" w:pos="14287" w:leader="none"/>
      </w:tabs>
    </w:pPr>
  </w:style>
  <w:style w:type="paragraph" w:styleId="770">
    <w:name w:val="toc 1"/>
    <w:basedOn w:val="743"/>
    <w:next w:val="743"/>
    <w:uiPriority w:val="39"/>
    <w:qFormat/>
    <w:pPr>
      <w:spacing w:after="57"/>
    </w:pPr>
  </w:style>
  <w:style w:type="paragraph" w:styleId="771">
    <w:name w:val="toc 4"/>
    <w:basedOn w:val="743"/>
    <w:next w:val="743"/>
    <w:uiPriority w:val="39"/>
    <w:qFormat/>
    <w:pPr>
      <w:ind w:left="850"/>
      <w:spacing w:after="57"/>
    </w:pPr>
  </w:style>
  <w:style w:type="paragraph" w:styleId="772">
    <w:name w:val="Subtitle"/>
    <w:basedOn w:val="743"/>
    <w:next w:val="743"/>
    <w:link w:val="852"/>
    <w:uiPriority w:val="11"/>
    <w:qFormat/>
    <w:pPr>
      <w:spacing w:before="200" w:after="200"/>
    </w:pPr>
    <w:rPr>
      <w:sz w:val="24"/>
      <w:szCs w:val="24"/>
    </w:rPr>
  </w:style>
  <w:style w:type="paragraph" w:styleId="773">
    <w:name w:val="footnote text"/>
    <w:basedOn w:val="743"/>
    <w:link w:val="964"/>
    <w:uiPriority w:val="0"/>
    <w:qFormat/>
    <w:pPr>
      <w:spacing w:after="40"/>
    </w:pPr>
    <w:rPr>
      <w:sz w:val="18"/>
    </w:rPr>
  </w:style>
  <w:style w:type="paragraph" w:styleId="774">
    <w:name w:val="toc 6"/>
    <w:basedOn w:val="743"/>
    <w:next w:val="743"/>
    <w:uiPriority w:val="39"/>
    <w:qFormat/>
    <w:pPr>
      <w:ind w:left="1417"/>
      <w:spacing w:after="57"/>
    </w:pPr>
  </w:style>
  <w:style w:type="paragraph" w:styleId="775">
    <w:name w:val="table of figures"/>
    <w:basedOn w:val="743"/>
    <w:next w:val="743"/>
    <w:uiPriority w:val="99"/>
    <w:qFormat/>
  </w:style>
  <w:style w:type="paragraph" w:styleId="776">
    <w:name w:val="toc 2"/>
    <w:basedOn w:val="743"/>
    <w:next w:val="743"/>
    <w:uiPriority w:val="39"/>
    <w:qFormat/>
    <w:pPr>
      <w:ind w:left="283"/>
      <w:spacing w:after="57"/>
    </w:pPr>
  </w:style>
  <w:style w:type="paragraph" w:styleId="777">
    <w:name w:val="toc 9"/>
    <w:basedOn w:val="743"/>
    <w:next w:val="743"/>
    <w:uiPriority w:val="39"/>
    <w:qFormat/>
    <w:pPr>
      <w:ind w:left="2268"/>
      <w:spacing w:after="57"/>
    </w:pPr>
  </w:style>
  <w:style w:type="paragraph" w:styleId="778">
    <w:name w:val="HTML Preformatted"/>
    <w:basedOn w:val="74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79">
    <w:name w:val="Normal (Web)"/>
    <w:basedOn w:val="743"/>
    <w:uiPriority w:val="0"/>
    <w:qFormat/>
    <w:pPr>
      <w:jc w:val="left"/>
      <w:spacing w:before="100" w:beforeAutospacing="1" w:after="100" w:afterAutospacing="1"/>
      <w:widowControl/>
    </w:pPr>
    <w:rPr>
      <w:rFonts w:ascii="宋体" w:eastAsia="Times New Roman"/>
      <w:sz w:val="24"/>
      <w:szCs w:val="20"/>
    </w:rPr>
  </w:style>
  <w:style w:type="paragraph" w:styleId="780">
    <w:name w:val="Title"/>
    <w:basedOn w:val="743"/>
    <w:next w:val="743"/>
    <w:link w:val="851"/>
    <w:uiPriority w:val="10"/>
    <w:qFormat/>
    <w:pPr>
      <w:contextualSpacing/>
      <w:spacing w:before="300" w:after="200"/>
    </w:pPr>
    <w:rPr>
      <w:sz w:val="48"/>
      <w:szCs w:val="48"/>
    </w:rPr>
  </w:style>
  <w:style w:type="paragraph" w:styleId="781">
    <w:name w:val="Body Text First Indent 2"/>
    <w:basedOn w:val="762"/>
    <w:uiPriority w:val="0"/>
    <w:qFormat/>
    <w:pPr>
      <w:ind w:left="200" w:firstLine="200"/>
    </w:p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3"/>
    <w:uiPriority w:val="0"/>
    <w:qFormat/>
    <w:rPr>
      <w:b/>
    </w:rPr>
  </w:style>
  <w:style w:type="character" w:styleId="784">
    <w:name w:val="endnote reference"/>
    <w:uiPriority w:val="99"/>
    <w:qFormat/>
    <w:rPr>
      <w:vertAlign w:val="superscript"/>
    </w:rPr>
  </w:style>
  <w:style w:type="character" w:styleId="785">
    <w:name w:val="Emphasis"/>
    <w:uiPriority w:val="0"/>
    <w:qFormat/>
    <w:rPr>
      <w:i/>
    </w:rPr>
  </w:style>
  <w:style w:type="character" w:styleId="786">
    <w:name w:val="Hyperlink"/>
    <w:uiPriority w:val="99"/>
    <w:qFormat/>
    <w:rPr>
      <w:color w:val="0000ff"/>
      <w:u w:val="single"/>
    </w:rPr>
  </w:style>
  <w:style w:type="character" w:styleId="787">
    <w:name w:val="annotation reference"/>
    <w:basedOn w:val="753"/>
    <w:uiPriority w:val="99"/>
    <w:qFormat/>
    <w:rPr>
      <w:sz w:val="21"/>
      <w:szCs w:val="21"/>
    </w:rPr>
  </w:style>
  <w:style w:type="character" w:styleId="788">
    <w:name w:val="footnote reference"/>
    <w:uiPriority w:val="0"/>
    <w:qFormat/>
    <w:rPr>
      <w:vertAlign w:val="superscript"/>
    </w:rPr>
  </w:style>
  <w:style w:type="character" w:styleId="789" w:customStyle="1">
    <w:name w:val="Heading 1 Char"/>
    <w:basedOn w:val="753"/>
    <w:uiPriority w:val="9"/>
    <w:qFormat/>
    <w:rPr>
      <w:rFonts w:ascii="Arial" w:hAnsi="Arial" w:eastAsia="Arial" w:cs="Arial"/>
      <w:sz w:val="40"/>
      <w:szCs w:val="40"/>
    </w:rPr>
  </w:style>
  <w:style w:type="character" w:styleId="790" w:customStyle="1">
    <w:name w:val="Heading 2 Char"/>
    <w:basedOn w:val="753"/>
    <w:uiPriority w:val="9"/>
    <w:qFormat/>
    <w:rPr>
      <w:rFonts w:ascii="Arial" w:hAnsi="Arial" w:eastAsia="Arial" w:cs="Arial"/>
      <w:sz w:val="34"/>
    </w:rPr>
  </w:style>
  <w:style w:type="character" w:styleId="791" w:customStyle="1">
    <w:name w:val="Heading 3 Char"/>
    <w:basedOn w:val="753"/>
    <w:uiPriority w:val="9"/>
    <w:qFormat/>
    <w:rPr>
      <w:rFonts w:ascii="Arial" w:hAnsi="Arial" w:eastAsia="Arial" w:cs="Arial"/>
      <w:sz w:val="30"/>
      <w:szCs w:val="30"/>
    </w:rPr>
  </w:style>
  <w:style w:type="character" w:styleId="792" w:customStyle="1">
    <w:name w:val="Heading 4 Char"/>
    <w:basedOn w:val="753"/>
    <w:uiPriority w:val="9"/>
    <w:qFormat/>
    <w:rPr>
      <w:rFonts w:ascii="Arial" w:hAnsi="Arial" w:eastAsia="Arial" w:cs="Arial"/>
      <w:b/>
      <w:bCs/>
      <w:sz w:val="26"/>
      <w:szCs w:val="26"/>
    </w:rPr>
  </w:style>
  <w:style w:type="character" w:styleId="793" w:customStyle="1">
    <w:name w:val="Heading 5 Char"/>
    <w:basedOn w:val="753"/>
    <w:uiPriority w:val="9"/>
    <w:qFormat/>
    <w:rPr>
      <w:rFonts w:ascii="Arial" w:hAnsi="Arial" w:eastAsia="Arial" w:cs="Arial"/>
      <w:b/>
      <w:bCs/>
      <w:sz w:val="24"/>
      <w:szCs w:val="24"/>
    </w:rPr>
  </w:style>
  <w:style w:type="character" w:styleId="794" w:customStyle="1">
    <w:name w:val="Heading 6 Char"/>
    <w:basedOn w:val="753"/>
    <w:uiPriority w:val="9"/>
    <w:qFormat/>
    <w:rPr>
      <w:rFonts w:ascii="Arial" w:hAnsi="Arial" w:eastAsia="Arial" w:cs="Arial"/>
      <w:b/>
      <w:bCs/>
      <w:sz w:val="22"/>
      <w:szCs w:val="22"/>
    </w:rPr>
  </w:style>
  <w:style w:type="character" w:styleId="795" w:customStyle="1">
    <w:name w:val="Heading 7 Char"/>
    <w:basedOn w:val="753"/>
    <w:uiPriority w:val="9"/>
    <w:qFormat/>
    <w:rPr>
      <w:rFonts w:ascii="Arial" w:hAnsi="Arial" w:eastAsia="Arial" w:cs="Arial"/>
      <w:b/>
      <w:bCs/>
      <w:i/>
      <w:iCs/>
      <w:sz w:val="22"/>
      <w:szCs w:val="22"/>
    </w:rPr>
  </w:style>
  <w:style w:type="character" w:styleId="796" w:customStyle="1">
    <w:name w:val="Heading 8 Char"/>
    <w:basedOn w:val="753"/>
    <w:uiPriority w:val="9"/>
    <w:qFormat/>
    <w:rPr>
      <w:rFonts w:ascii="Arial" w:hAnsi="Arial" w:eastAsia="Arial" w:cs="Arial"/>
      <w:i/>
      <w:iCs/>
      <w:sz w:val="22"/>
      <w:szCs w:val="22"/>
    </w:rPr>
  </w:style>
  <w:style w:type="character" w:styleId="797" w:customStyle="1">
    <w:name w:val="Heading 9 Char"/>
    <w:basedOn w:val="753"/>
    <w:uiPriority w:val="9"/>
    <w:qFormat/>
    <w:rPr>
      <w:rFonts w:ascii="Arial" w:hAnsi="Arial" w:eastAsia="Arial" w:cs="Arial"/>
      <w:i/>
      <w:iCs/>
      <w:sz w:val="21"/>
      <w:szCs w:val="21"/>
    </w:rPr>
  </w:style>
  <w:style w:type="character" w:styleId="798" w:customStyle="1">
    <w:name w:val="Title Char"/>
    <w:basedOn w:val="753"/>
    <w:uiPriority w:val="10"/>
    <w:qFormat/>
    <w:rPr>
      <w:sz w:val="48"/>
      <w:szCs w:val="48"/>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3"/>
    <w:uiPriority w:val="99"/>
    <w:qFormat/>
  </w:style>
  <w:style w:type="character" w:styleId="802" w:customStyle="1">
    <w:name w:val="Footer Char"/>
    <w:basedOn w:val="753"/>
    <w:uiPriority w:val="99"/>
    <w:qFormat/>
  </w:style>
  <w:style w:type="table" w:styleId="803" w:customStyle="1">
    <w:name w:val="无格式表格 11"/>
    <w:basedOn w:val="75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5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5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5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5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9" w:customStyle="1">
    <w:name w:val="网格表 21"/>
    <w:basedOn w:val="75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0" w:customStyle="1">
    <w:name w:val="网格表 31"/>
    <w:basedOn w:val="75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5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2"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3" w:customStyle="1">
    <w:name w:val="网格表 6 彩色1"/>
    <w:basedOn w:val="75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4" w:customStyle="1">
    <w:name w:val="网格表 7 彩色1"/>
    <w:basedOn w:val="75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5" w:customStyle="1">
    <w:name w:val="清单表 1 浅色1"/>
    <w:basedOn w:val="75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6" w:customStyle="1">
    <w:name w:val="清单表 21"/>
    <w:basedOn w:val="75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7"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9" w:customStyle="1">
    <w:name w:val="清单表 5 深色1"/>
    <w:basedOn w:val="75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0" w:customStyle="1">
    <w:name w:val="清单表 6 彩色1"/>
    <w:basedOn w:val="75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1" w:customStyle="1">
    <w:name w:val="清单表 7 彩色1"/>
    <w:basedOn w:val="75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2" w:customStyle="1">
    <w:name w:val="TOC 标题1"/>
    <w:uiPriority w:val="39"/>
    <w:unhideWhenUsed/>
    <w:qFormat/>
    <w:rPr>
      <w:rFonts w:ascii="Times New Roman" w:hAnsi="Times New Roman" w:eastAsia="宋体" w:cs="Times New Roman"/>
      <w:lang w:val="en-US" w:eastAsia="zh-CN" w:bidi="ar-SA"/>
    </w:rPr>
  </w:style>
  <w:style w:type="paragraph" w:styleId="82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24" w:customStyle="1">
    <w:name w:val="正文首行缩进11"/>
    <w:basedOn w:val="825"/>
    <w:uiPriority w:val="99"/>
    <w:unhideWhenUsed/>
    <w:qFormat/>
    <w:pPr>
      <w:ind w:firstLine="420"/>
    </w:pPr>
  </w:style>
  <w:style w:type="paragraph" w:styleId="825" w:customStyle="1">
    <w:name w:val="正文文本12"/>
    <w:basedOn w:val="743"/>
    <w:uiPriority w:val="0"/>
    <w:qFormat/>
    <w:rPr>
      <w:rFonts w:ascii="楷体_GB2312" w:hAnsi="Arial" w:eastAsia="楷体_GB2312"/>
      <w:sz w:val="28"/>
      <w:szCs w:val="28"/>
    </w:rPr>
  </w:style>
  <w:style w:type="paragraph" w:styleId="826" w:customStyle="1">
    <w:name w:val="样式1"/>
    <w:basedOn w:val="827"/>
    <w:next w:val="743"/>
    <w:uiPriority w:val="0"/>
    <w:qFormat/>
    <w:pPr>
      <w:tabs>
        <w:tab w:val="left" w:pos="0" w:leader="none"/>
        <w:tab w:val="left" w:pos="840" w:leader="none"/>
      </w:tabs>
    </w:pPr>
    <w:rPr>
      <w:rFonts w:ascii="Arial" w:hAnsi="Arial" w:eastAsia="幼圆" w:cs="Arial"/>
      <w:sz w:val="24"/>
      <w:szCs w:val="20"/>
    </w:rPr>
  </w:style>
  <w:style w:type="paragraph" w:styleId="827" w:customStyle="1">
    <w:name w:val="列表编号1"/>
    <w:basedOn w:val="743"/>
    <w:uiPriority w:val="0"/>
    <w:qFormat/>
    <w:pPr>
      <w:spacing w:line="360" w:lineRule="auto"/>
      <w:tabs>
        <w:tab w:val="left" w:pos="0" w:leader="none"/>
        <w:tab w:val="left" w:pos="840" w:leader="none"/>
      </w:tabs>
    </w:pPr>
  </w:style>
  <w:style w:type="paragraph" w:styleId="828" w:customStyle="1">
    <w:name w:val="TOC 标题112"/>
    <w:uiPriority w:val="39"/>
    <w:qFormat/>
    <w:rPr>
      <w:rFonts w:ascii="Times New Roman" w:hAnsi="Times New Roman" w:eastAsia="宋体" w:cs="Times New Roman"/>
      <w:lang w:val="en-US" w:eastAsia="zh-CN" w:bidi="ar-SA"/>
    </w:rPr>
  </w:style>
  <w:style w:type="character" w:styleId="829" w:customStyle="1">
    <w:name w:val="Heading 1 Char_434700aa-fe40-4ee6-9069-0a69300fd62b"/>
    <w:basedOn w:val="753"/>
    <w:uiPriority w:val="9"/>
    <w:qFormat/>
    <w:rPr>
      <w:rFonts w:ascii="Arial" w:hAnsi="Arial" w:eastAsia="Arial" w:cs="Arial"/>
      <w:sz w:val="40"/>
      <w:szCs w:val="40"/>
    </w:rPr>
  </w:style>
  <w:style w:type="character" w:styleId="830" w:customStyle="1">
    <w:name w:val="Heading 5 Char_925b8ece-8082-461d-ae29-1d41b41a7251"/>
    <w:basedOn w:val="753"/>
    <w:uiPriority w:val="9"/>
    <w:qFormat/>
    <w:rPr>
      <w:rFonts w:ascii="Arial" w:hAnsi="Arial" w:eastAsia="Arial" w:cs="Arial"/>
      <w:b/>
      <w:bCs/>
      <w:sz w:val="24"/>
      <w:szCs w:val="24"/>
    </w:rPr>
  </w:style>
  <w:style w:type="character" w:styleId="831" w:customStyle="1">
    <w:name w:val="Heading 6 Char_a35ea97a-1ce8-4d9b-8930-2f6c61bf63ec"/>
    <w:basedOn w:val="753"/>
    <w:uiPriority w:val="9"/>
    <w:qFormat/>
    <w:rPr>
      <w:rFonts w:ascii="Arial" w:hAnsi="Arial" w:eastAsia="Arial" w:cs="Arial"/>
      <w:b/>
      <w:bCs/>
      <w:sz w:val="22"/>
      <w:szCs w:val="22"/>
    </w:rPr>
  </w:style>
  <w:style w:type="character" w:styleId="832" w:customStyle="1">
    <w:name w:val="Heading 7 Char_187ddb87-c7bc-4839-9585-67a43c484026"/>
    <w:basedOn w:val="753"/>
    <w:uiPriority w:val="9"/>
    <w:qFormat/>
    <w:rPr>
      <w:rFonts w:ascii="Arial" w:hAnsi="Arial" w:eastAsia="Arial" w:cs="Arial"/>
      <w:b/>
      <w:bCs/>
      <w:i/>
      <w:iCs/>
      <w:sz w:val="22"/>
      <w:szCs w:val="22"/>
    </w:rPr>
  </w:style>
  <w:style w:type="character" w:styleId="833" w:customStyle="1">
    <w:name w:val="Heading 8 Char_f86cc6f1-e07f-46cd-8999-b4d6f395b7ab"/>
    <w:basedOn w:val="753"/>
    <w:uiPriority w:val="9"/>
    <w:qFormat/>
    <w:rPr>
      <w:rFonts w:ascii="Arial" w:hAnsi="Arial" w:eastAsia="Arial" w:cs="Arial"/>
      <w:i/>
      <w:iCs/>
      <w:sz w:val="22"/>
      <w:szCs w:val="22"/>
    </w:rPr>
  </w:style>
  <w:style w:type="character" w:styleId="834" w:customStyle="1">
    <w:name w:val="Heading 9 Char_78d770f5-7fe8-45f8-a379-5ea7765ab889"/>
    <w:basedOn w:val="753"/>
    <w:uiPriority w:val="9"/>
    <w:qFormat/>
    <w:rPr>
      <w:rFonts w:ascii="Arial" w:hAnsi="Arial" w:eastAsia="Arial" w:cs="Arial"/>
      <w:i/>
      <w:iCs/>
      <w:sz w:val="21"/>
      <w:szCs w:val="21"/>
    </w:rPr>
  </w:style>
  <w:style w:type="character" w:styleId="835" w:customStyle="1">
    <w:name w:val="Title Char_cba70f7b-6b0c-40c3-9c1d-79b000d9620e"/>
    <w:basedOn w:val="753"/>
    <w:uiPriority w:val="10"/>
    <w:qFormat/>
    <w:rPr>
      <w:sz w:val="48"/>
      <w:szCs w:val="48"/>
    </w:rPr>
  </w:style>
  <w:style w:type="character" w:styleId="836" w:customStyle="1">
    <w:name w:val="Subtitle Char"/>
    <w:basedOn w:val="753"/>
    <w:uiPriority w:val="11"/>
    <w:qFormat/>
    <w:rPr>
      <w:sz w:val="24"/>
      <w:szCs w:val="24"/>
    </w:rPr>
  </w:style>
  <w:style w:type="character" w:styleId="837" w:customStyle="1">
    <w:name w:val="Quote Char_7b531250-58de-49b9-9d0c-04cfbc5a8719"/>
    <w:uiPriority w:val="29"/>
    <w:qFormat/>
    <w:rPr>
      <w:i/>
    </w:rPr>
  </w:style>
  <w:style w:type="character" w:styleId="838" w:customStyle="1">
    <w:name w:val="Intense Quote Char_0c2ead29-d2a6-4ac5-8f7c-28c2f003bdba"/>
    <w:uiPriority w:val="30"/>
    <w:qFormat/>
    <w:rPr>
      <w:i/>
    </w:rPr>
  </w:style>
  <w:style w:type="character" w:styleId="839" w:customStyle="1">
    <w:name w:val="Caption Char"/>
    <w:uiPriority w:val="99"/>
    <w:qFormat/>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11"/>
    <w:uiPriority w:val="39"/>
    <w:qFormat/>
    <w:rPr>
      <w:rFonts w:ascii="Times New Roman" w:hAnsi="Times New Roman" w:eastAsia="宋体" w:cs="Times New Roman"/>
      <w:lang w:val="en-US" w:eastAsia="zh-CN" w:bidi="ar-SA"/>
    </w:rPr>
  </w:style>
  <w:style w:type="paragraph" w:styleId="843" w:customStyle="1">
    <w:name w:val="正文文本1"/>
    <w:basedOn w:val="743"/>
    <w:next w:val="743"/>
    <w:link w:val="978"/>
    <w:uiPriority w:val="0"/>
    <w:qFormat/>
    <w:pPr>
      <w:spacing w:line="60" w:lineRule="auto"/>
    </w:pPr>
    <w:rPr>
      <w:rFonts w:ascii="仿宋_GB2312" w:eastAsia="仿宋_GB2312"/>
      <w:sz w:val="32"/>
    </w:rPr>
  </w:style>
  <w:style w:type="character" w:styleId="844" w:customStyle="1">
    <w:name w:val="标题 1 字符1"/>
    <w:link w:val="744"/>
    <w:uiPriority w:val="9"/>
    <w:qFormat/>
    <w:rPr>
      <w:rFonts w:ascii="宋体" w:hAnsi="宋体" w:eastAsia="Arial" w:cs="宋体"/>
      <w:b/>
      <w:color w:val="000000"/>
      <w:sz w:val="44"/>
      <w:szCs w:val="44"/>
      <w:highlight w:val="none"/>
      <w:lang w:val="en-US" w:eastAsia="zh-CN" w:bidi="ar-SA"/>
    </w:rPr>
  </w:style>
  <w:style w:type="character" w:styleId="845" w:customStyle="1">
    <w:name w:val="标题 5 字符"/>
    <w:link w:val="748"/>
    <w:uiPriority w:val="9"/>
    <w:qFormat/>
    <w:rPr>
      <w:rFonts w:ascii="Arial" w:hAnsi="Arial" w:eastAsia="Arial" w:cs="Arial"/>
      <w:b/>
      <w:bCs/>
      <w:sz w:val="24"/>
      <w:szCs w:val="24"/>
    </w:rPr>
  </w:style>
  <w:style w:type="character" w:styleId="846" w:customStyle="1">
    <w:name w:val="标题 6 字符"/>
    <w:link w:val="749"/>
    <w:uiPriority w:val="9"/>
    <w:qFormat/>
    <w:rPr>
      <w:rFonts w:ascii="Arial" w:hAnsi="Arial" w:eastAsia="Arial" w:cs="Arial"/>
      <w:b/>
      <w:bCs/>
      <w:sz w:val="22"/>
      <w:szCs w:val="22"/>
    </w:rPr>
  </w:style>
  <w:style w:type="character" w:styleId="847" w:customStyle="1">
    <w:name w:val="标题 7 字符"/>
    <w:link w:val="750"/>
    <w:uiPriority w:val="9"/>
    <w:qFormat/>
    <w:rPr>
      <w:rFonts w:ascii="Arial" w:hAnsi="Arial" w:eastAsia="Arial" w:cs="Arial"/>
      <w:b/>
      <w:bCs/>
      <w:i/>
      <w:iCs/>
      <w:sz w:val="22"/>
      <w:szCs w:val="22"/>
    </w:rPr>
  </w:style>
  <w:style w:type="character" w:styleId="848" w:customStyle="1">
    <w:name w:val="标题 8 字符"/>
    <w:link w:val="751"/>
    <w:uiPriority w:val="9"/>
    <w:qFormat/>
    <w:rPr>
      <w:rFonts w:ascii="Arial" w:hAnsi="Arial" w:eastAsia="Arial" w:cs="Arial"/>
      <w:i/>
      <w:iCs/>
      <w:sz w:val="22"/>
      <w:szCs w:val="22"/>
    </w:rPr>
  </w:style>
  <w:style w:type="character" w:styleId="849" w:customStyle="1">
    <w:name w:val="标题 9 字符"/>
    <w:link w:val="752"/>
    <w:uiPriority w:val="9"/>
    <w:qFormat/>
    <w:rPr>
      <w:rFonts w:ascii="Arial" w:hAnsi="Arial" w:eastAsia="Arial" w:cs="Arial"/>
      <w:i/>
      <w:iCs/>
      <w:sz w:val="21"/>
      <w:szCs w:val="21"/>
    </w:rPr>
  </w:style>
  <w:style w:type="paragraph" w:styleId="850">
    <w:name w:val="No Spacing"/>
    <w:uiPriority w:val="1"/>
    <w:qFormat/>
    <w:rPr>
      <w:rFonts w:ascii="Times New Roman" w:hAnsi="Times New Roman" w:eastAsia="宋体" w:cs="Times New Roman"/>
      <w:lang w:val="en-US" w:eastAsia="zh-CN" w:bidi="ar-SA"/>
    </w:rPr>
  </w:style>
  <w:style w:type="character" w:styleId="851" w:customStyle="1">
    <w:name w:val="标题 字符"/>
    <w:link w:val="780"/>
    <w:uiPriority w:val="10"/>
    <w:qFormat/>
    <w:rPr>
      <w:sz w:val="48"/>
      <w:szCs w:val="48"/>
    </w:rPr>
  </w:style>
  <w:style w:type="character" w:styleId="852" w:customStyle="1">
    <w:name w:val="副标题 字符"/>
    <w:link w:val="772"/>
    <w:uiPriority w:val="11"/>
    <w:qFormat/>
    <w:rPr>
      <w:sz w:val="24"/>
      <w:szCs w:val="24"/>
    </w:rPr>
  </w:style>
  <w:style w:type="paragraph" w:styleId="853">
    <w:name w:val="Quote"/>
    <w:basedOn w:val="743"/>
    <w:next w:val="743"/>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43"/>
    <w:next w:val="743"/>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页脚 字符1"/>
    <w:link w:val="768"/>
    <w:uiPriority w:val="99"/>
    <w:qFormat/>
  </w:style>
  <w:style w:type="table" w:styleId="8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4" w:customStyle="1">
    <w:name w:val="脚注文本 字符"/>
    <w:link w:val="773"/>
    <w:uiPriority w:val="0"/>
    <w:qFormat/>
    <w:rPr>
      <w:sz w:val="18"/>
    </w:rPr>
  </w:style>
  <w:style w:type="character" w:styleId="965" w:customStyle="1">
    <w:name w:val="尾注文本 字符"/>
    <w:link w:val="767"/>
    <w:uiPriority w:val="99"/>
    <w:qFormat/>
    <w:rPr>
      <w:sz w:val="20"/>
    </w:rPr>
  </w:style>
  <w:style w:type="paragraph" w:styleId="966" w:customStyle="1">
    <w:name w:val="TOC 标题11"/>
    <w:uiPriority w:val="39"/>
    <w:qFormat/>
    <w:rPr>
      <w:rFonts w:ascii="Times New Roman" w:hAnsi="Times New Roman" w:eastAsia="宋体" w:cs="Times New Roman"/>
      <w:lang w:val="en-US" w:eastAsia="zh-CN" w:bidi="ar-SA"/>
    </w:rPr>
  </w:style>
  <w:style w:type="paragraph" w:styleId="967" w:customStyle="1">
    <w:name w:val="标题 11"/>
    <w:basedOn w:val="743"/>
    <w:next w:val="743"/>
    <w:link w:val="979"/>
    <w:uiPriority w:val="0"/>
    <w:qFormat/>
    <w:pPr>
      <w:keepLines/>
      <w:keepNext/>
      <w:spacing w:before="340" w:after="330" w:line="576" w:lineRule="auto"/>
      <w:outlineLvl w:val="0"/>
    </w:pPr>
    <w:rPr>
      <w:b/>
      <w:sz w:val="44"/>
      <w:szCs w:val="20"/>
    </w:rPr>
  </w:style>
  <w:style w:type="paragraph" w:styleId="968" w:customStyle="1">
    <w:name w:val="标题 21"/>
    <w:basedOn w:val="743"/>
    <w:next w:val="743"/>
    <w:link w:val="980"/>
    <w:uiPriority w:val="0"/>
    <w:qFormat/>
    <w:pPr>
      <w:keepLines/>
      <w:keepNext/>
      <w:spacing w:before="260" w:after="260" w:line="413" w:lineRule="auto"/>
      <w:outlineLvl w:val="1"/>
    </w:pPr>
    <w:rPr>
      <w:rFonts w:ascii="Arial" w:hAnsi="Arial" w:eastAsia="黑体"/>
      <w:b/>
      <w:sz w:val="32"/>
      <w:szCs w:val="20"/>
    </w:rPr>
  </w:style>
  <w:style w:type="paragraph" w:styleId="969" w:customStyle="1">
    <w:name w:val="标题 31"/>
    <w:basedOn w:val="743"/>
    <w:next w:val="743"/>
    <w:link w:val="981"/>
    <w:uiPriority w:val="0"/>
    <w:qFormat/>
    <w:pPr>
      <w:keepLines/>
      <w:keepNext/>
      <w:spacing w:before="260" w:after="260" w:line="413" w:lineRule="auto"/>
      <w:outlineLvl w:val="2"/>
    </w:pPr>
    <w:rPr>
      <w:b/>
      <w:sz w:val="32"/>
      <w:szCs w:val="20"/>
    </w:rPr>
  </w:style>
  <w:style w:type="paragraph" w:styleId="970" w:customStyle="1">
    <w:name w:val="标题 41"/>
    <w:basedOn w:val="743"/>
    <w:next w:val="743"/>
    <w:link w:val="98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1" w:customStyle="1">
    <w:name w:val="标题 51"/>
    <w:basedOn w:val="743"/>
    <w:next w:val="74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43"/>
    <w:next w:val="74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43"/>
    <w:next w:val="74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43"/>
    <w:next w:val="74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43"/>
    <w:next w:val="743"/>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qFormat/>
  </w:style>
  <w:style w:type="table" w:styleId="977" w:customStyle="1">
    <w:name w:val="普通表格1"/>
    <w:uiPriority w:val="0"/>
    <w:qFormat/>
    <w:tblPr>
      <w:tblCellMar>
        <w:left w:w="0" w:type="dxa"/>
        <w:top w:w="0" w:type="dxa"/>
        <w:right w:w="0" w:type="dxa"/>
        <w:bottom w:w="0" w:type="dxa"/>
      </w:tblCellMar>
    </w:tblPr>
  </w:style>
  <w:style w:type="character" w:styleId="978" w:customStyle="1">
    <w:name w:val="正文文本 字符"/>
    <w:link w:val="843"/>
    <w:uiPriority w:val="0"/>
    <w:qFormat/>
    <w:rPr>
      <w:rFonts w:ascii="仿宋_GB2312" w:eastAsia="仿宋_GB2312"/>
      <w:sz w:val="32"/>
      <w:szCs w:val="22"/>
    </w:rPr>
  </w:style>
  <w:style w:type="character" w:styleId="979" w:customStyle="1">
    <w:name w:val="标题 1 字符"/>
    <w:link w:val="967"/>
    <w:uiPriority w:val="0"/>
    <w:qFormat/>
    <w:rPr>
      <w:b/>
      <w:sz w:val="44"/>
    </w:rPr>
  </w:style>
  <w:style w:type="character" w:styleId="980" w:customStyle="1">
    <w:name w:val="标题 2 字符"/>
    <w:link w:val="968"/>
    <w:uiPriority w:val="0"/>
    <w:qFormat/>
    <w:rPr>
      <w:rFonts w:ascii="Arial" w:hAnsi="Arial" w:eastAsia="黑体"/>
      <w:b/>
      <w:sz w:val="32"/>
    </w:rPr>
  </w:style>
  <w:style w:type="character" w:styleId="981" w:customStyle="1">
    <w:name w:val="标题 3 字符"/>
    <w:link w:val="969"/>
    <w:uiPriority w:val="0"/>
    <w:qFormat/>
    <w:rPr>
      <w:b/>
      <w:sz w:val="32"/>
    </w:rPr>
  </w:style>
  <w:style w:type="character" w:styleId="982" w:customStyle="1">
    <w:name w:val="标题 4 字符"/>
    <w:link w:val="970"/>
    <w:uiPriority w:val="0"/>
    <w:qFormat/>
    <w:rPr>
      <w:rFonts w:ascii="宋体" w:eastAsia="宋体"/>
      <w:color w:val="800000"/>
      <w:sz w:val="28"/>
      <w:lang w:val="en-US" w:eastAsia="zh-CN" w:bidi="ar-SA"/>
    </w:rPr>
  </w:style>
  <w:style w:type="paragraph" w:styleId="983" w:customStyle="1">
    <w:name w:val="目录 71"/>
    <w:basedOn w:val="743"/>
    <w:next w:val="743"/>
    <w:uiPriority w:val="0"/>
    <w:qFormat/>
    <w:pPr>
      <w:ind w:left="1260"/>
      <w:jc w:val="left"/>
    </w:pPr>
    <w:rPr>
      <w:rFonts w:ascii="Calibri" w:hAnsi="Calibri" w:cs="Calibri"/>
      <w:sz w:val="18"/>
      <w:szCs w:val="18"/>
    </w:rPr>
  </w:style>
  <w:style w:type="paragraph" w:styleId="984" w:customStyle="1">
    <w:name w:val="列表项目符号 41"/>
    <w:basedOn w:val="743"/>
    <w:uiPriority w:val="0"/>
    <w:qFormat/>
    <w:pPr>
      <w:ind w:left="360" w:hanging="360"/>
      <w:spacing w:line="380" w:lineRule="exact"/>
      <w:tabs>
        <w:tab w:val="left" w:pos="360" w:leader="none"/>
      </w:tabs>
    </w:pPr>
    <w:rPr>
      <w:rFonts w:ascii="Calibri" w:hAnsi="Calibri"/>
      <w:sz w:val="28"/>
    </w:rPr>
  </w:style>
  <w:style w:type="paragraph" w:styleId="985" w:customStyle="1">
    <w:name w:val="索引 81"/>
    <w:basedOn w:val="743"/>
    <w:next w:val="743"/>
    <w:uiPriority w:val="0"/>
    <w:qFormat/>
    <w:pPr>
      <w:ind w:left="1400"/>
    </w:pPr>
    <w:rPr>
      <w:rFonts w:ascii="Calibri" w:hAnsi="Calibri"/>
    </w:rPr>
  </w:style>
  <w:style w:type="paragraph" w:styleId="986" w:customStyle="1">
    <w:name w:val="正文缩进11"/>
    <w:basedOn w:val="743"/>
    <w:uiPriority w:val="0"/>
    <w:qFormat/>
    <w:pPr>
      <w:ind w:firstLine="420"/>
    </w:pPr>
    <w:rPr>
      <w:rFonts w:ascii="宋体"/>
      <w:color w:val="000000"/>
      <w:sz w:val="24"/>
      <w:szCs w:val="20"/>
    </w:rPr>
  </w:style>
  <w:style w:type="paragraph" w:styleId="987" w:customStyle="1">
    <w:name w:val="题注1"/>
    <w:basedOn w:val="743"/>
    <w:next w:val="743"/>
    <w:link w:val="988"/>
    <w:uiPriority w:val="0"/>
    <w:qFormat/>
    <w:pPr>
      <w:spacing w:line="360" w:lineRule="auto"/>
      <w:tabs>
        <w:tab w:val="left" w:pos="0" w:leader="none"/>
      </w:tabs>
    </w:pPr>
    <w:rPr>
      <w:rFonts w:ascii="Arial" w:hAnsi="Arial" w:eastAsia="黑体"/>
      <w:sz w:val="20"/>
      <w:szCs w:val="20"/>
    </w:rPr>
  </w:style>
  <w:style w:type="character" w:styleId="988" w:customStyle="1">
    <w:name w:val="题注 字符"/>
    <w:link w:val="987"/>
    <w:uiPriority w:val="0"/>
    <w:qFormat/>
    <w:rPr>
      <w:rFonts w:ascii="Arial" w:hAnsi="Arial" w:eastAsia="黑体" w:cs="Arial"/>
    </w:rPr>
  </w:style>
  <w:style w:type="paragraph" w:styleId="989" w:customStyle="1">
    <w:name w:val="索引 51"/>
    <w:basedOn w:val="743"/>
    <w:next w:val="743"/>
    <w:uiPriority w:val="0"/>
    <w:qFormat/>
    <w:pPr>
      <w:ind w:left="800"/>
    </w:pPr>
    <w:rPr>
      <w:rFonts w:ascii="Calibri" w:hAnsi="Calibri"/>
    </w:rPr>
  </w:style>
  <w:style w:type="paragraph" w:styleId="990" w:customStyle="1">
    <w:name w:val="列表项目符号1"/>
    <w:basedOn w:val="743"/>
    <w:uiPriority w:val="0"/>
    <w:qFormat/>
    <w:pPr>
      <w:ind w:left="962" w:hanging="480"/>
      <w:spacing w:line="360" w:lineRule="auto"/>
      <w:tabs>
        <w:tab w:val="left" w:pos="840" w:leader="none"/>
      </w:tabs>
    </w:pPr>
    <w:rPr>
      <w:sz w:val="24"/>
    </w:rPr>
  </w:style>
  <w:style w:type="paragraph" w:styleId="991" w:customStyle="1">
    <w:name w:val="文档结构图1"/>
    <w:basedOn w:val="743"/>
    <w:uiPriority w:val="0"/>
    <w:qFormat/>
    <w:pPr>
      <w:shd w:val="clear" w:color="auto" w:fill="000080"/>
    </w:pPr>
  </w:style>
  <w:style w:type="paragraph" w:styleId="992" w:customStyle="1">
    <w:name w:val="批注文字1"/>
    <w:basedOn w:val="743"/>
    <w:link w:val="993"/>
    <w:uiPriority w:val="99"/>
    <w:qFormat/>
    <w:pPr>
      <w:jc w:val="left"/>
    </w:pPr>
    <w:rPr>
      <w:rFonts w:ascii="Calibri" w:hAnsi="Calibri"/>
      <w:szCs w:val="20"/>
    </w:rPr>
  </w:style>
  <w:style w:type="character" w:styleId="993" w:customStyle="1">
    <w:name w:val="批注文字 字符"/>
    <w:link w:val="992"/>
    <w:uiPriority w:val="99"/>
    <w:qFormat/>
    <w:rPr>
      <w:rFonts w:ascii="Calibri" w:hAnsi="Calibri" w:eastAsia="宋体" w:cs="Times New Roman"/>
      <w:sz w:val="21"/>
    </w:rPr>
  </w:style>
  <w:style w:type="paragraph" w:styleId="994" w:customStyle="1">
    <w:name w:val="索引 61"/>
    <w:basedOn w:val="743"/>
    <w:next w:val="743"/>
    <w:uiPriority w:val="0"/>
    <w:qFormat/>
    <w:pPr>
      <w:ind w:left="1000"/>
    </w:pPr>
    <w:rPr>
      <w:rFonts w:ascii="Calibri" w:hAnsi="Calibri"/>
    </w:rPr>
  </w:style>
  <w:style w:type="paragraph" w:styleId="995" w:customStyle="1">
    <w:name w:val="正文文本 31"/>
    <w:basedOn w:val="743"/>
    <w:uiPriority w:val="0"/>
    <w:qFormat/>
    <w:rPr>
      <w:color w:val="000000"/>
    </w:rPr>
  </w:style>
  <w:style w:type="paragraph" w:styleId="996" w:customStyle="1">
    <w:name w:val="列表项目符号 31"/>
    <w:basedOn w:val="743"/>
    <w:uiPriority w:val="0"/>
    <w:qFormat/>
    <w:pPr>
      <w:ind w:left="1200" w:hanging="360"/>
      <w:spacing w:line="380" w:lineRule="exact"/>
      <w:tabs>
        <w:tab w:val="left" w:pos="1200" w:leader="none"/>
      </w:tabs>
    </w:pPr>
    <w:rPr>
      <w:rFonts w:ascii="Calibri" w:hAnsi="Calibri"/>
      <w:sz w:val="28"/>
    </w:rPr>
  </w:style>
  <w:style w:type="paragraph" w:styleId="997" w:customStyle="1">
    <w:name w:val="正文文本缩进11"/>
    <w:basedOn w:val="743"/>
    <w:uiPriority w:val="0"/>
    <w:qFormat/>
    <w:pPr>
      <w:ind w:firstLine="225"/>
    </w:pPr>
    <w:rPr>
      <w:rFonts w:ascii="仿宋_GB2312" w:eastAsia="仿宋_GB2312"/>
      <w:sz w:val="32"/>
    </w:rPr>
  </w:style>
  <w:style w:type="paragraph" w:styleId="998" w:customStyle="1">
    <w:name w:val="文本块1"/>
    <w:basedOn w:val="743"/>
    <w:uiPriority w:val="0"/>
    <w:qFormat/>
    <w:pPr>
      <w:ind w:left="1548" w:right="12" w:hanging="2405"/>
      <w:spacing w:line="360" w:lineRule="exact"/>
    </w:pPr>
    <w:rPr>
      <w:rFonts w:ascii="宋体"/>
      <w:bCs/>
      <w:sz w:val="28"/>
    </w:rPr>
  </w:style>
  <w:style w:type="paragraph" w:styleId="999" w:customStyle="1">
    <w:name w:val="列表项目符号 21"/>
    <w:basedOn w:val="743"/>
    <w:uiPriority w:val="0"/>
    <w:qFormat/>
    <w:pPr>
      <w:ind w:left="720" w:hanging="360"/>
      <w:spacing w:line="360" w:lineRule="auto"/>
      <w:tabs>
        <w:tab w:val="left" w:pos="720" w:leader="none"/>
      </w:tabs>
    </w:pPr>
    <w:rPr>
      <w:sz w:val="24"/>
    </w:rPr>
  </w:style>
  <w:style w:type="paragraph" w:styleId="1000" w:customStyle="1">
    <w:name w:val="HTML 地址1"/>
    <w:basedOn w:val="743"/>
    <w:uiPriority w:val="0"/>
    <w:qFormat/>
    <w:rPr>
      <w:i/>
      <w:iCs/>
    </w:rPr>
  </w:style>
  <w:style w:type="paragraph" w:styleId="1001" w:customStyle="1">
    <w:name w:val="索引 41"/>
    <w:basedOn w:val="743"/>
    <w:next w:val="743"/>
    <w:uiPriority w:val="0"/>
    <w:qFormat/>
    <w:pPr>
      <w:ind w:left="600"/>
    </w:pPr>
    <w:rPr>
      <w:rFonts w:ascii="Calibri" w:hAnsi="Calibri"/>
    </w:rPr>
  </w:style>
  <w:style w:type="paragraph" w:styleId="1002" w:customStyle="1">
    <w:name w:val="目录 51"/>
    <w:basedOn w:val="743"/>
    <w:next w:val="743"/>
    <w:uiPriority w:val="0"/>
    <w:qFormat/>
    <w:pPr>
      <w:ind w:left="840"/>
      <w:jc w:val="left"/>
    </w:pPr>
    <w:rPr>
      <w:rFonts w:ascii="Calibri" w:hAnsi="Calibri" w:cs="Calibri"/>
      <w:sz w:val="18"/>
      <w:szCs w:val="18"/>
    </w:rPr>
  </w:style>
  <w:style w:type="paragraph" w:styleId="1003" w:customStyle="1">
    <w:name w:val="目录 31"/>
    <w:basedOn w:val="743"/>
    <w:next w:val="743"/>
    <w:uiPriority w:val="39"/>
    <w:qFormat/>
    <w:pPr>
      <w:ind w:left="420"/>
      <w:jc w:val="left"/>
    </w:pPr>
    <w:rPr>
      <w:rFonts w:ascii="Calibri" w:hAnsi="Calibri" w:cs="Calibri"/>
      <w:i/>
      <w:iCs/>
      <w:sz w:val="20"/>
      <w:szCs w:val="20"/>
    </w:rPr>
  </w:style>
  <w:style w:type="paragraph" w:styleId="1004" w:customStyle="1">
    <w:name w:val="纯文本11"/>
    <w:basedOn w:val="743"/>
    <w:uiPriority w:val="0"/>
    <w:qFormat/>
    <w:rPr>
      <w:rFonts w:ascii="宋体"/>
      <w:szCs w:val="21"/>
    </w:rPr>
  </w:style>
  <w:style w:type="paragraph" w:styleId="1005" w:customStyle="1">
    <w:name w:val="列表项目符号 51"/>
    <w:basedOn w:val="743"/>
    <w:uiPriority w:val="0"/>
    <w:qFormat/>
    <w:pPr>
      <w:ind w:left="720" w:hanging="360"/>
      <w:spacing w:line="380" w:lineRule="exact"/>
      <w:tabs>
        <w:tab w:val="left" w:pos="720" w:leader="none"/>
      </w:tabs>
    </w:pPr>
    <w:rPr>
      <w:rFonts w:ascii="Calibri" w:hAnsi="Calibri"/>
      <w:sz w:val="28"/>
    </w:rPr>
  </w:style>
  <w:style w:type="paragraph" w:styleId="1006" w:customStyle="1">
    <w:name w:val="目录 81"/>
    <w:basedOn w:val="743"/>
    <w:next w:val="743"/>
    <w:uiPriority w:val="0"/>
    <w:qFormat/>
    <w:pPr>
      <w:ind w:left="1470"/>
      <w:jc w:val="left"/>
    </w:pPr>
    <w:rPr>
      <w:rFonts w:ascii="Calibri" w:hAnsi="Calibri" w:cs="Calibri"/>
      <w:sz w:val="18"/>
      <w:szCs w:val="18"/>
    </w:rPr>
  </w:style>
  <w:style w:type="paragraph" w:styleId="1007" w:customStyle="1">
    <w:name w:val="索引 31"/>
    <w:basedOn w:val="743"/>
    <w:next w:val="743"/>
    <w:uiPriority w:val="0"/>
    <w:qFormat/>
    <w:pPr>
      <w:ind w:left="400"/>
    </w:pPr>
    <w:rPr>
      <w:rFonts w:ascii="Calibri" w:hAnsi="Calibri"/>
    </w:rPr>
  </w:style>
  <w:style w:type="paragraph" w:styleId="1008" w:customStyle="1">
    <w:name w:val="日期1"/>
    <w:basedOn w:val="743"/>
    <w:next w:val="743"/>
    <w:uiPriority w:val="0"/>
    <w:qFormat/>
    <w:pPr>
      <w:ind w:left="2500"/>
    </w:pPr>
  </w:style>
  <w:style w:type="paragraph" w:styleId="1009" w:customStyle="1">
    <w:name w:val="正文文本缩进 21"/>
    <w:basedOn w:val="743"/>
    <w:uiPriority w:val="0"/>
    <w:qFormat/>
    <w:pPr>
      <w:ind w:firstLine="225"/>
      <w:jc w:val="left"/>
      <w:spacing w:line="540" w:lineRule="exact"/>
    </w:pPr>
    <w:rPr>
      <w:rFonts w:ascii="仿宋_GB2312" w:eastAsia="仿宋_GB2312"/>
      <w:sz w:val="32"/>
    </w:rPr>
  </w:style>
  <w:style w:type="paragraph" w:styleId="1010" w:customStyle="1">
    <w:name w:val="尾注文本1"/>
    <w:basedOn w:val="743"/>
    <w:uiPriority w:val="0"/>
    <w:qFormat/>
    <w:pPr>
      <w:jc w:val="left"/>
      <w:widowControl/>
    </w:pPr>
    <w:rPr>
      <w:rFonts w:ascii="宋体"/>
      <w:bCs/>
      <w:szCs w:val="21"/>
    </w:rPr>
  </w:style>
  <w:style w:type="paragraph" w:styleId="1011" w:customStyle="1">
    <w:name w:val="批注框文本1"/>
    <w:basedOn w:val="743"/>
    <w:uiPriority w:val="0"/>
    <w:qFormat/>
    <w:rPr>
      <w:sz w:val="18"/>
      <w:szCs w:val="20"/>
    </w:rPr>
  </w:style>
  <w:style w:type="paragraph" w:styleId="1012" w:customStyle="1">
    <w:name w:val="页脚1"/>
    <w:basedOn w:val="743"/>
    <w:link w:val="1013"/>
    <w:uiPriority w:val="99"/>
    <w:qFormat/>
    <w:pPr>
      <w:jc w:val="left"/>
      <w:tabs>
        <w:tab w:val="center" w:pos="4153" w:leader="none"/>
        <w:tab w:val="right" w:pos="8306" w:leader="none"/>
      </w:tabs>
    </w:pPr>
    <w:rPr>
      <w:rFonts w:ascii="Calibri" w:hAnsi="Calibri"/>
      <w:sz w:val="18"/>
      <w:szCs w:val="18"/>
    </w:rPr>
  </w:style>
  <w:style w:type="character" w:styleId="1013" w:customStyle="1">
    <w:name w:val="页脚 字符"/>
    <w:link w:val="1012"/>
    <w:uiPriority w:val="99"/>
    <w:qFormat/>
    <w:rPr>
      <w:rFonts w:ascii="Calibri" w:hAnsi="Calibri" w:eastAsia="宋体" w:cs="Times New Roman"/>
      <w:sz w:val="18"/>
      <w:szCs w:val="18"/>
    </w:rPr>
  </w:style>
  <w:style w:type="paragraph" w:styleId="1014" w:customStyle="1">
    <w:name w:val="寄信人地址11"/>
    <w:basedOn w:val="743"/>
    <w:uiPriority w:val="0"/>
    <w:qFormat/>
    <w:rPr>
      <w:rFonts w:ascii="Arial" w:hAnsi="Arial"/>
    </w:rPr>
  </w:style>
  <w:style w:type="paragraph" w:styleId="1015" w:customStyle="1">
    <w:name w:val="页眉1"/>
    <w:basedOn w:val="743"/>
    <w:link w:val="1016"/>
    <w:uiPriority w:val="99"/>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字符"/>
    <w:link w:val="1015"/>
    <w:uiPriority w:val="99"/>
    <w:qFormat/>
    <w:rPr>
      <w:sz w:val="18"/>
      <w:szCs w:val="18"/>
    </w:rPr>
  </w:style>
  <w:style w:type="paragraph" w:styleId="1017" w:customStyle="1">
    <w:name w:val="目录 11"/>
    <w:basedOn w:val="743"/>
    <w:next w:val="743"/>
    <w:uiPriority w:val="39"/>
    <w:qFormat/>
    <w:pPr>
      <w:jc w:val="left"/>
      <w:spacing w:before="120" w:after="120"/>
    </w:pPr>
    <w:rPr>
      <w:rFonts w:ascii="Calibri" w:hAnsi="Calibri" w:cs="Calibri"/>
      <w:b/>
      <w:bCs/>
      <w:caps/>
      <w:sz w:val="20"/>
      <w:szCs w:val="20"/>
    </w:rPr>
  </w:style>
  <w:style w:type="paragraph" w:styleId="1018" w:customStyle="1">
    <w:name w:val="目录 41"/>
    <w:basedOn w:val="743"/>
    <w:next w:val="743"/>
    <w:uiPriority w:val="0"/>
    <w:qFormat/>
    <w:pPr>
      <w:ind w:left="630"/>
      <w:jc w:val="left"/>
    </w:pPr>
    <w:rPr>
      <w:rFonts w:ascii="Calibri" w:hAnsi="Calibri" w:cs="Calibri"/>
      <w:sz w:val="18"/>
      <w:szCs w:val="18"/>
    </w:rPr>
  </w:style>
  <w:style w:type="paragraph" w:styleId="1019" w:customStyle="1">
    <w:name w:val="索引标题1"/>
    <w:basedOn w:val="743"/>
    <w:next w:val="1020"/>
    <w:uiPriority w:val="0"/>
    <w:qFormat/>
    <w:rPr>
      <w:rFonts w:ascii="Calibri" w:hAnsi="Calibri"/>
    </w:rPr>
  </w:style>
  <w:style w:type="paragraph" w:styleId="1020" w:customStyle="1">
    <w:name w:val="索引 11"/>
    <w:basedOn w:val="743"/>
    <w:next w:val="743"/>
    <w:uiPriority w:val="0"/>
    <w:qFormat/>
    <w:rPr>
      <w:rFonts w:ascii="Calibri" w:hAnsi="Calibri"/>
    </w:rPr>
  </w:style>
  <w:style w:type="paragraph" w:styleId="1021" w:customStyle="1">
    <w:name w:val="脚注文本1"/>
    <w:basedOn w:val="743"/>
    <w:uiPriority w:val="0"/>
    <w:qFormat/>
    <w:pPr>
      <w:jc w:val="left"/>
    </w:pPr>
    <w:rPr>
      <w:rFonts w:ascii="宋体"/>
      <w:bCs/>
      <w:sz w:val="18"/>
      <w:szCs w:val="18"/>
    </w:rPr>
  </w:style>
  <w:style w:type="paragraph" w:styleId="1022" w:customStyle="1">
    <w:name w:val="目录 61"/>
    <w:basedOn w:val="743"/>
    <w:next w:val="743"/>
    <w:uiPriority w:val="0"/>
    <w:qFormat/>
    <w:pPr>
      <w:ind w:left="1050"/>
      <w:jc w:val="left"/>
    </w:pPr>
    <w:rPr>
      <w:rFonts w:ascii="Calibri" w:hAnsi="Calibri" w:cs="Calibri"/>
      <w:sz w:val="18"/>
      <w:szCs w:val="18"/>
    </w:rPr>
  </w:style>
  <w:style w:type="paragraph" w:styleId="1023" w:customStyle="1">
    <w:name w:val="正文文本缩进 31"/>
    <w:basedOn w:val="743"/>
    <w:uiPriority w:val="0"/>
    <w:qFormat/>
    <w:pPr>
      <w:ind w:firstLine="213"/>
    </w:pPr>
    <w:rPr>
      <w:rFonts w:ascii="仿宋_GB2312" w:eastAsia="仿宋_GB2312"/>
      <w:sz w:val="30"/>
    </w:rPr>
  </w:style>
  <w:style w:type="paragraph" w:styleId="1024" w:customStyle="1">
    <w:name w:val="索引 71"/>
    <w:basedOn w:val="743"/>
    <w:next w:val="743"/>
    <w:uiPriority w:val="0"/>
    <w:qFormat/>
    <w:pPr>
      <w:ind w:left="1200"/>
    </w:pPr>
    <w:rPr>
      <w:rFonts w:ascii="Calibri" w:hAnsi="Calibri"/>
    </w:rPr>
  </w:style>
  <w:style w:type="paragraph" w:styleId="1025" w:customStyle="1">
    <w:name w:val="索引 91"/>
    <w:basedOn w:val="743"/>
    <w:next w:val="743"/>
    <w:uiPriority w:val="0"/>
    <w:qFormat/>
    <w:pPr>
      <w:ind w:left="1600"/>
    </w:pPr>
    <w:rPr>
      <w:rFonts w:ascii="Calibri" w:hAnsi="Calibri"/>
    </w:rPr>
  </w:style>
  <w:style w:type="paragraph" w:styleId="1026" w:customStyle="1">
    <w:name w:val="图表目录11"/>
    <w:basedOn w:val="743"/>
    <w:next w:val="743"/>
    <w:uiPriority w:val="0"/>
    <w:qFormat/>
    <w:pPr>
      <w:ind w:left="400" w:hanging="200"/>
      <w:jc w:val="left"/>
      <w:widowControl/>
    </w:pPr>
    <w:rPr>
      <w:rFonts w:ascii="宋体"/>
      <w:bCs/>
      <w:szCs w:val="21"/>
    </w:rPr>
  </w:style>
  <w:style w:type="paragraph" w:styleId="1027" w:customStyle="1">
    <w:name w:val="目录 21"/>
    <w:basedOn w:val="743"/>
    <w:next w:val="743"/>
    <w:uiPriority w:val="39"/>
    <w:qFormat/>
    <w:pPr>
      <w:ind w:left="210"/>
      <w:jc w:val="left"/>
    </w:pPr>
    <w:rPr>
      <w:rFonts w:ascii="Calibri" w:hAnsi="Calibri" w:cs="Calibri"/>
      <w:smallCaps/>
      <w:sz w:val="20"/>
      <w:szCs w:val="20"/>
    </w:rPr>
  </w:style>
  <w:style w:type="paragraph" w:styleId="1028" w:customStyle="1">
    <w:name w:val="目录 91"/>
    <w:basedOn w:val="743"/>
    <w:next w:val="743"/>
    <w:uiPriority w:val="0"/>
    <w:qFormat/>
    <w:pPr>
      <w:ind w:left="1680"/>
      <w:jc w:val="left"/>
    </w:pPr>
    <w:rPr>
      <w:rFonts w:ascii="Calibri" w:hAnsi="Calibri" w:cs="Calibri"/>
      <w:sz w:val="18"/>
      <w:szCs w:val="18"/>
    </w:rPr>
  </w:style>
  <w:style w:type="paragraph" w:styleId="1029" w:customStyle="1">
    <w:name w:val="正文文本 21"/>
    <w:basedOn w:val="743"/>
    <w:uiPriority w:val="0"/>
    <w:qFormat/>
    <w:pPr>
      <w:spacing w:line="560" w:lineRule="exact"/>
    </w:pPr>
    <w:rPr>
      <w:rFonts w:ascii="仿宋_GB2312" w:eastAsia="仿宋_GB2312"/>
      <w:sz w:val="28"/>
      <w:szCs w:val="30"/>
    </w:rPr>
  </w:style>
  <w:style w:type="paragraph" w:styleId="1030" w:customStyle="1">
    <w:name w:val="列表接续 21"/>
    <w:basedOn w:val="743"/>
    <w:uiPriority w:val="0"/>
    <w:qFormat/>
    <w:pPr>
      <w:ind w:left="840"/>
      <w:spacing w:after="120"/>
    </w:pPr>
  </w:style>
  <w:style w:type="paragraph" w:styleId="1031" w:customStyle="1">
    <w:name w:val="HTML 预设格式1"/>
    <w:basedOn w:val="7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2" w:customStyle="1">
    <w:name w:val="普通(网站)1"/>
    <w:basedOn w:val="743"/>
    <w:uiPriority w:val="0"/>
    <w:qFormat/>
    <w:pPr>
      <w:jc w:val="left"/>
      <w:spacing w:before="100" w:beforeAutospacing="1" w:after="100" w:afterAutospacing="1"/>
      <w:widowControl/>
    </w:pPr>
    <w:rPr>
      <w:rFonts w:ascii="宋体"/>
      <w:sz w:val="24"/>
      <w:szCs w:val="20"/>
    </w:rPr>
  </w:style>
  <w:style w:type="paragraph" w:styleId="1033" w:customStyle="1">
    <w:name w:val="索引 21"/>
    <w:basedOn w:val="743"/>
    <w:next w:val="743"/>
    <w:uiPriority w:val="0"/>
    <w:qFormat/>
    <w:pPr>
      <w:ind w:left="200"/>
    </w:pPr>
    <w:rPr>
      <w:rFonts w:ascii="Calibri" w:hAnsi="Calibri"/>
    </w:rPr>
  </w:style>
  <w:style w:type="paragraph" w:styleId="1034" w:customStyle="1">
    <w:name w:val="标题1"/>
    <w:basedOn w:val="743"/>
    <w:uiPriority w:val="0"/>
    <w:qFormat/>
    <w:pPr>
      <w:jc w:val="center"/>
      <w:spacing w:before="240" w:after="60"/>
      <w:outlineLvl w:val="0"/>
    </w:pPr>
    <w:rPr>
      <w:rFonts w:ascii="Cambria" w:hAnsi="Cambria"/>
      <w:b/>
      <w:bCs/>
      <w:sz w:val="32"/>
      <w:szCs w:val="32"/>
    </w:rPr>
  </w:style>
  <w:style w:type="paragraph" w:styleId="1035" w:customStyle="1">
    <w:name w:val="批注主题1"/>
    <w:basedOn w:val="992"/>
    <w:next w:val="992"/>
    <w:uiPriority w:val="0"/>
    <w:qFormat/>
    <w:rPr>
      <w:b/>
    </w:rPr>
  </w:style>
  <w:style w:type="paragraph" w:styleId="1036" w:customStyle="1">
    <w:name w:val="正文首行缩进1"/>
    <w:basedOn w:val="743"/>
    <w:next w:val="743"/>
    <w:uiPriority w:val="0"/>
    <w:qFormat/>
    <w:pPr>
      <w:ind w:firstLine="100"/>
      <w:spacing w:after="120"/>
    </w:pPr>
  </w:style>
  <w:style w:type="paragraph" w:styleId="1037" w:customStyle="1">
    <w:name w:val="正文首行缩进 21"/>
    <w:basedOn w:val="997"/>
    <w:link w:val="1038"/>
    <w:uiPriority w:val="0"/>
    <w:qFormat/>
    <w:pPr>
      <w:ind w:left="200" w:firstLine="200"/>
      <w:spacing w:after="120"/>
    </w:pPr>
    <w:rPr>
      <w:rFonts w:ascii="Times New Roman"/>
      <w:sz w:val="24"/>
      <w:szCs w:val="24"/>
    </w:rPr>
  </w:style>
  <w:style w:type="character" w:styleId="1038" w:customStyle="1">
    <w:name w:val="正文文本首行缩进 2 字符"/>
    <w:link w:val="1037"/>
    <w:uiPriority w:val="0"/>
    <w:qFormat/>
    <w:rPr>
      <w:rFonts w:eastAsia="仿宋_GB2312"/>
      <w:sz w:val="24"/>
      <w:szCs w:val="24"/>
      <w:lang w:bidi="ar-SA"/>
    </w:rPr>
  </w:style>
  <w:style w:type="table" w:styleId="1039" w:customStyle="1">
    <w:name w:val="网格型1"/>
    <w:basedOn w:val="977"/>
    <w:uiPriority w:val="0"/>
    <w:qFormat/>
    <w:tblPr/>
  </w:style>
  <w:style w:type="character" w:styleId="1040" w:customStyle="1">
    <w:name w:val="要点1"/>
    <w:uiPriority w:val="0"/>
    <w:qFormat/>
    <w:rPr>
      <w:b/>
    </w:rPr>
  </w:style>
  <w:style w:type="character" w:styleId="1041" w:customStyle="1">
    <w:name w:val="尾注引用1"/>
    <w:uiPriority w:val="0"/>
    <w:qFormat/>
    <w:rPr>
      <w:vertAlign w:val="superscript"/>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强调1"/>
    <w:uiPriority w:val="0"/>
    <w:qFormat/>
    <w:rPr>
      <w:color w:val="cc0033"/>
    </w:rPr>
  </w:style>
  <w:style w:type="character" w:styleId="1045" w:customStyle="1">
    <w:name w:val="HTML 打字机1"/>
    <w:uiPriority w:val="0"/>
    <w:qFormat/>
    <w:rPr>
      <w:rFonts w:ascii="宋体" w:eastAsia="宋体" w:cs="宋体"/>
      <w:sz w:val="24"/>
      <w:szCs w:val="24"/>
      <w:lang w:bidi="ar-SA"/>
    </w:rPr>
  </w:style>
  <w:style w:type="character" w:styleId="1046" w:customStyle="1">
    <w:name w:val="超链接1"/>
    <w:uiPriority w:val="99"/>
    <w:qFormat/>
    <w:rPr>
      <w:color w:val="0000ff"/>
      <w:u w:val="single"/>
    </w:rPr>
  </w:style>
  <w:style w:type="character" w:styleId="1047" w:customStyle="1">
    <w:name w:val="批注引用1"/>
    <w:uiPriority w:val="0"/>
    <w:qFormat/>
    <w:rPr>
      <w:sz w:val="21"/>
    </w:rPr>
  </w:style>
  <w:style w:type="character" w:styleId="1048" w:customStyle="1">
    <w:name w:val="脚注引用1"/>
    <w:uiPriority w:val="0"/>
    <w:qFormat/>
    <w:rPr>
      <w:vertAlign w:val="superscript"/>
    </w:rPr>
  </w:style>
  <w:style w:type="paragraph" w:styleId="1049" w:customStyle="1">
    <w:name w:val="样式 正文首行缩进 2 + Arial"/>
    <w:basedOn w:val="743"/>
    <w:next w:val="743"/>
    <w:uiPriority w:val="0"/>
    <w:qFormat/>
    <w:pPr>
      <w:ind w:firstLine="200"/>
      <w:spacing w:after="120" w:line="320" w:lineRule="atLeast"/>
    </w:pPr>
    <w:rPr>
      <w:rFonts w:ascii="Arial" w:hAnsi="Arial"/>
    </w:rPr>
  </w:style>
  <w:style w:type="character" w:styleId="1050" w:customStyle="1">
    <w:name w:val="Comment Text Char"/>
    <w:uiPriority w:val="0"/>
    <w:qFormat/>
    <w:rPr>
      <w:rFonts w:cs="Times New Roman"/>
      <w:sz w:val="21"/>
      <w:szCs w:val="21"/>
      <w:lang w:bidi="ar-SA"/>
    </w:rPr>
  </w:style>
  <w:style w:type="character" w:styleId="1051" w:customStyle="1">
    <w:name w:val="纯文本 Char_0"/>
    <w:link w:val="1052"/>
    <w:uiPriority w:val="0"/>
    <w:qFormat/>
    <w:rPr>
      <w:rFonts w:ascii="宋体" w:hAnsi="Courier New" w:cs="Courier New"/>
      <w:sz w:val="21"/>
      <w:szCs w:val="21"/>
    </w:rPr>
  </w:style>
  <w:style w:type="paragraph" w:styleId="1052" w:customStyle="1">
    <w:name w:val="纯文本_0"/>
    <w:basedOn w:val="1053"/>
    <w:link w:val="1051"/>
    <w:uiPriority w:val="0"/>
    <w:qFormat/>
    <w:rPr>
      <w:rFonts w:ascii="宋体" w:hAnsi="Courier New"/>
      <w:szCs w:val="21"/>
    </w:rPr>
  </w:style>
  <w:style w:type="paragraph" w:styleId="105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4" w:customStyle="1">
    <w:name w:val="ca-51"/>
    <w:uiPriority w:val="0"/>
    <w:qFormat/>
    <w:rPr>
      <w:rFonts w:ascii="楷体_GB2312" w:eastAsia="楷体_GB2312"/>
      <w:b/>
      <w:bCs/>
      <w:spacing w:val="-20"/>
      <w:sz w:val="24"/>
      <w:szCs w:val="24"/>
    </w:rPr>
  </w:style>
  <w:style w:type="character" w:styleId="1055" w:customStyle="1">
    <w:name w:val="Heading 4 Char_de27d71f-764f-47bd-84d1-49c3f4abdbf0"/>
    <w:uiPriority w:val="0"/>
    <w:qFormat/>
    <w:rPr>
      <w:rFonts w:ascii="Cambria" w:hAnsi="Cambria" w:eastAsia="宋体" w:cs="Cambria"/>
      <w:b/>
      <w:bCs/>
      <w:sz w:val="28"/>
      <w:szCs w:val="28"/>
      <w:lang w:bidi="ar-SA"/>
    </w:rPr>
  </w:style>
  <w:style w:type="character" w:styleId="1056" w:customStyle="1">
    <w:name w:val="正文缩进 Char1_0"/>
    <w:link w:val="1057"/>
    <w:uiPriority w:val="0"/>
    <w:qFormat/>
    <w:rPr>
      <w:sz w:val="21"/>
      <w:szCs w:val="22"/>
    </w:rPr>
  </w:style>
  <w:style w:type="paragraph" w:styleId="1057" w:customStyle="1">
    <w:name w:val="正文缩进_0"/>
    <w:basedOn w:val="1053"/>
    <w:link w:val="1056"/>
    <w:uiPriority w:val="0"/>
    <w:qFormat/>
    <w:pPr>
      <w:ind w:firstLine="420"/>
    </w:pPr>
    <w:rPr>
      <w:szCs w:val="22"/>
    </w:rPr>
  </w:style>
  <w:style w:type="character" w:styleId="1058" w:customStyle="1">
    <w:name w:val="Header Char1"/>
    <w:uiPriority w:val="0"/>
    <w:qFormat/>
    <w:rPr>
      <w:rFonts w:cs="Times New Roman"/>
      <w:sz w:val="18"/>
      <w:szCs w:val="18"/>
      <w:lang w:bidi="ar-SA"/>
    </w:rPr>
  </w:style>
  <w:style w:type="character" w:styleId="1059" w:customStyle="1">
    <w:name w:val="正文文本缩进 2 Char"/>
    <w:link w:val="1060"/>
    <w:uiPriority w:val="0"/>
    <w:qFormat/>
    <w:rPr>
      <w:rFonts w:hAnsi="Times New Roman"/>
      <w:sz w:val="21"/>
      <w:szCs w:val="20"/>
    </w:rPr>
  </w:style>
  <w:style w:type="paragraph" w:styleId="1060" w:customStyle="1">
    <w:name w:val="正文文本缩进 2_0"/>
    <w:basedOn w:val="1061"/>
    <w:link w:val="1059"/>
    <w:uiPriority w:val="0"/>
    <w:qFormat/>
    <w:pPr>
      <w:ind w:firstLine="525"/>
      <w:spacing w:line="420" w:lineRule="exact"/>
    </w:pPr>
  </w:style>
  <w:style w:type="paragraph" w:styleId="106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2" w:customStyle="1">
    <w:name w:val="Heading 3 Char_a5a6c394-65ab-4144-8017-81f81103df3a"/>
    <w:uiPriority w:val="0"/>
    <w:qFormat/>
    <w:rPr>
      <w:rFonts w:cs="Times New Roman"/>
      <w:b/>
      <w:bCs/>
      <w:sz w:val="32"/>
      <w:szCs w:val="32"/>
      <w:lang w:bidi="ar-SA"/>
    </w:rPr>
  </w:style>
  <w:style w:type="character" w:styleId="1063" w:customStyle="1">
    <w:name w:val="ca-21"/>
    <w:uiPriority w:val="0"/>
    <w:qFormat/>
    <w:rPr>
      <w:rFonts w:ascii="宋体" w:eastAsia="宋体"/>
      <w:sz w:val="21"/>
    </w:rPr>
  </w:style>
  <w:style w:type="character" w:styleId="1064" w:customStyle="1">
    <w:name w:val="Plain Text Char"/>
    <w:uiPriority w:val="0"/>
    <w:qFormat/>
    <w:rPr>
      <w:rFonts w:ascii="宋体" w:eastAsia="宋体"/>
      <w:sz w:val="21"/>
      <w:lang w:val="en-US" w:eastAsia="zh-CN"/>
    </w:rPr>
  </w:style>
  <w:style w:type="character" w:styleId="1065" w:customStyle="1">
    <w:name w:val="maywed421"/>
    <w:uiPriority w:val="0"/>
    <w:qFormat/>
    <w:rPr>
      <w:color w:val="366fb6"/>
      <w:u w:val="none"/>
    </w:rPr>
  </w:style>
  <w:style w:type="character" w:styleId="1066" w:customStyle="1">
    <w:name w:val="纯文本 Char_0_0"/>
    <w:link w:val="1067"/>
    <w:uiPriority w:val="0"/>
    <w:qFormat/>
    <w:rPr>
      <w:rFonts w:ascii="宋体" w:hAnsi="Courier New"/>
      <w:sz w:val="21"/>
      <w:szCs w:val="21"/>
    </w:rPr>
  </w:style>
  <w:style w:type="paragraph" w:styleId="1067" w:customStyle="1">
    <w:name w:val="纯文本_0_0"/>
    <w:basedOn w:val="1068"/>
    <w:link w:val="1066"/>
    <w:uiPriority w:val="0"/>
    <w:qFormat/>
    <w:rPr>
      <w:rFonts w:ascii="宋体" w:hAnsi="Courier New"/>
      <w:szCs w:val="21"/>
    </w:rPr>
  </w:style>
  <w:style w:type="paragraph" w:styleId="106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69" w:customStyle="1">
    <w:name w:val="style15"/>
    <w:uiPriority w:val="0"/>
    <w:qFormat/>
  </w:style>
  <w:style w:type="character" w:styleId="1070" w:customStyle="1">
    <w:name w:val="正文（标记） Char2"/>
    <w:link w:val="1071"/>
    <w:uiPriority w:val="0"/>
    <w:qFormat/>
    <w:rPr>
      <w:sz w:val="24"/>
      <w:szCs w:val="24"/>
    </w:rPr>
  </w:style>
  <w:style w:type="paragraph" w:styleId="1071" w:customStyle="1">
    <w:name w:val="正文（标记）"/>
    <w:basedOn w:val="743"/>
    <w:link w:val="1070"/>
    <w:uiPriority w:val="0"/>
    <w:qFormat/>
    <w:pPr>
      <w:spacing w:before="50" w:after="50"/>
      <w:tabs>
        <w:tab w:val="left" w:pos="0" w:leader="none"/>
        <w:tab w:val="left" w:pos="840" w:leader="none"/>
      </w:tabs>
    </w:pPr>
    <w:rPr>
      <w:sz w:val="24"/>
      <w:szCs w:val="24"/>
    </w:rPr>
  </w:style>
  <w:style w:type="character" w:styleId="1072" w:customStyle="1">
    <w:name w:val="段落 Char"/>
    <w:uiPriority w:val="0"/>
    <w:qFormat/>
    <w:rPr>
      <w:rFonts w:ascii="仿宋_GB2312" w:eastAsia="仿宋_GB2312"/>
      <w:sz w:val="24"/>
      <w:szCs w:val="24"/>
      <w:lang w:val="en-US" w:eastAsia="zh-CN" w:bidi="ar-SA"/>
    </w:rPr>
  </w:style>
  <w:style w:type="character" w:styleId="1073" w:customStyle="1">
    <w:name w:val="Char Char2"/>
    <w:uiPriority w:val="0"/>
    <w:qFormat/>
    <w:rPr>
      <w:sz w:val="18"/>
      <w:szCs w:val="18"/>
    </w:rPr>
  </w:style>
  <w:style w:type="character" w:styleId="1074" w:customStyle="1">
    <w:name w:val="style91"/>
    <w:uiPriority w:val="0"/>
    <w:qFormat/>
    <w:rPr>
      <w:color w:val="2060c0"/>
      <w:sz w:val="24"/>
      <w:szCs w:val="24"/>
    </w:rPr>
  </w:style>
  <w:style w:type="character" w:styleId="1075" w:customStyle="1">
    <w:name w:val="普通文字1 Char"/>
    <w:uiPriority w:val="0"/>
    <w:qFormat/>
    <w:rPr>
      <w:rFonts w:ascii="宋体" w:eastAsia="宋体" w:cs="Courier New"/>
      <w:sz w:val="21"/>
      <w:szCs w:val="21"/>
      <w:lang w:val="en-US" w:eastAsia="zh-CN" w:bidi="ar-SA"/>
    </w:rPr>
  </w:style>
  <w:style w:type="character" w:styleId="1076" w:customStyle="1">
    <w:name w:val="正文文本缩进 Char"/>
    <w:link w:val="1077"/>
    <w:uiPriority w:val="0"/>
    <w:qFormat/>
    <w:rPr>
      <w:rFonts w:hAnsi="Times New Roman"/>
      <w:szCs w:val="20"/>
    </w:rPr>
  </w:style>
  <w:style w:type="paragraph" w:styleId="1077" w:customStyle="1">
    <w:name w:val="正文文本缩进_0"/>
    <w:basedOn w:val="1061"/>
    <w:link w:val="1076"/>
    <w:uiPriority w:val="0"/>
    <w:qFormat/>
    <w:pPr>
      <w:ind w:firstLine="420"/>
      <w:spacing w:line="360" w:lineRule="auto"/>
    </w:pPr>
    <w:rPr>
      <w:sz w:val="20"/>
    </w:rPr>
  </w:style>
  <w:style w:type="character" w:styleId="1078" w:customStyle="1">
    <w:name w:val="Char Char21"/>
    <w:uiPriority w:val="0"/>
    <w:qFormat/>
    <w:rPr>
      <w:sz w:val="18"/>
      <w:szCs w:val="18"/>
    </w:rPr>
  </w:style>
  <w:style w:type="character" w:styleId="1079" w:customStyle="1">
    <w:name w:val="ca-41"/>
    <w:uiPriority w:val="0"/>
    <w:qFormat/>
    <w:rPr>
      <w:rFonts w:ascii="宋体" w:eastAsia="宋体"/>
      <w:b/>
      <w:bCs/>
      <w:color w:val="000000"/>
      <w:spacing w:val="-20"/>
      <w:sz w:val="21"/>
      <w:szCs w:val="21"/>
    </w:rPr>
  </w:style>
  <w:style w:type="character" w:styleId="1080" w:customStyle="1">
    <w:name w:val="question-title"/>
    <w:uiPriority w:val="0"/>
    <w:qFormat/>
  </w:style>
  <w:style w:type="character" w:styleId="1081" w:customStyle="1">
    <w:name w:val="A1"/>
    <w:uiPriority w:val="0"/>
    <w:qFormat/>
    <w:rPr>
      <w:rFonts w:ascii="Univers LT Std 45 Light" w:hAnsi="宋体" w:eastAsia="Univers LT Std 45 Light" w:cs="Univers LT Std 45 Light"/>
      <w:color w:val="221e1f"/>
      <w:sz w:val="10"/>
      <w:szCs w:val="10"/>
    </w:rPr>
  </w:style>
  <w:style w:type="character" w:styleId="1082" w:customStyle="1">
    <w:name w:val="style161"/>
    <w:uiPriority w:val="0"/>
    <w:qFormat/>
    <w:rPr>
      <w:rFonts w:ascii="Verdana" w:hAnsi="Verdana" w:eastAsia="宋体"/>
      <w:b/>
      <w:color w:val="0a246a"/>
      <w:sz w:val="24"/>
      <w:szCs w:val="24"/>
      <w:lang w:val="en-US" w:eastAsia="zh-CN" w:bidi="ar-SA"/>
    </w:rPr>
  </w:style>
  <w:style w:type="character" w:styleId="1083" w:customStyle="1">
    <w:name w:val="ca-31"/>
    <w:uiPriority w:val="0"/>
    <w:qFormat/>
    <w:rPr>
      <w:rFonts w:ascii="宋体" w:eastAsia="宋体"/>
      <w:color w:val="000000"/>
      <w:sz w:val="21"/>
      <w:szCs w:val="21"/>
    </w:rPr>
  </w:style>
  <w:style w:type="character" w:styleId="1084" w:customStyle="1">
    <w:name w:val="apple-converted-space"/>
    <w:uiPriority w:val="0"/>
    <w:qFormat/>
  </w:style>
  <w:style w:type="character" w:styleId="1085" w:customStyle="1">
    <w:name w:val="Footer Char1"/>
    <w:uiPriority w:val="0"/>
    <w:qFormat/>
    <w:rPr>
      <w:rFonts w:cs="Times New Roman"/>
      <w:sz w:val="18"/>
      <w:szCs w:val="18"/>
      <w:lang w:bidi="ar-SA"/>
    </w:rPr>
  </w:style>
  <w:style w:type="character" w:styleId="1086" w:customStyle="1">
    <w:name w:val="A0"/>
    <w:uiPriority w:val="0"/>
    <w:qFormat/>
    <w:rPr>
      <w:rFonts w:ascii=".....?." w:hAnsi="宋体" w:eastAsia=".....?."/>
      <w:color w:val="000000"/>
      <w:sz w:val="22"/>
    </w:rPr>
  </w:style>
  <w:style w:type="character" w:styleId="1087" w:customStyle="1">
    <w:name w:val="Char Char23"/>
    <w:uiPriority w:val="0"/>
    <w:qFormat/>
    <w:rPr>
      <w:sz w:val="24"/>
      <w:szCs w:val="21"/>
      <w:lang w:bidi="ar-SA"/>
    </w:rPr>
  </w:style>
  <w:style w:type="character" w:styleId="1088" w:customStyle="1">
    <w:name w:val="Char Char1"/>
    <w:uiPriority w:val="0"/>
    <w:qFormat/>
    <w:rPr>
      <w:rFonts w:ascii="宋体" w:eastAsia="宋体"/>
      <w:sz w:val="21"/>
      <w:lang w:val="en-US" w:eastAsia="zh-CN"/>
    </w:rPr>
  </w:style>
  <w:style w:type="character" w:styleId="1089" w:customStyle="1">
    <w:name w:val="apple-style-span"/>
    <w:uiPriority w:val="0"/>
    <w:qFormat/>
    <w:rPr>
      <w:rFonts w:ascii="宋体" w:hAnsi="宋体" w:cs="Times New Roman"/>
    </w:rPr>
  </w:style>
  <w:style w:type="character" w:styleId="1090" w:customStyle="1">
    <w:name w:val="无间隔 字符"/>
    <w:link w:val="1091"/>
    <w:uiPriority w:val="0"/>
    <w:qFormat/>
    <w:rPr>
      <w:sz w:val="22"/>
      <w:lang w:val="en-US" w:eastAsia="zh-CN" w:bidi="ar-SA"/>
    </w:rPr>
  </w:style>
  <w:style w:type="paragraph" w:styleId="1091" w:customStyle="1">
    <w:name w:val="无间隔1"/>
    <w:link w:val="1090"/>
    <w:uiPriority w:val="0"/>
    <w:qFormat/>
    <w:rPr>
      <w:rFonts w:ascii="Times New Roman" w:hAnsi="Times New Roman" w:eastAsia="宋体" w:cs="Times New Roman"/>
      <w:sz w:val="22"/>
      <w:lang w:val="en-US" w:eastAsia="zh-CN" w:bidi="ar-SA"/>
    </w:rPr>
  </w:style>
  <w:style w:type="character" w:styleId="1092" w:customStyle="1">
    <w:name w:val="Char Char3"/>
    <w:uiPriority w:val="0"/>
    <w:qFormat/>
    <w:rPr>
      <w:rFonts w:ascii="宋体" w:eastAsia="宋体"/>
      <w:sz w:val="18"/>
      <w:szCs w:val="18"/>
      <w:lang w:val="en-US" w:eastAsia="zh-CN" w:bidi="ar-SA"/>
    </w:rPr>
  </w:style>
  <w:style w:type="character" w:styleId="1093" w:customStyle="1">
    <w:name w:val="z12 style23"/>
    <w:uiPriority w:val="0"/>
    <w:qFormat/>
  </w:style>
  <w:style w:type="character" w:styleId="1094" w:customStyle="1">
    <w:name w:val="font41"/>
    <w:uiPriority w:val="0"/>
    <w:qFormat/>
    <w:rPr>
      <w:rFonts w:hint="eastAsia" w:ascii="宋体" w:hAnsi="宋体" w:eastAsia="宋体" w:cs="宋体"/>
      <w:color w:val="000000"/>
      <w:sz w:val="24"/>
      <w:szCs w:val="24"/>
      <w:u w:val="none"/>
    </w:rPr>
  </w:style>
  <w:style w:type="character" w:styleId="1095" w:customStyle="1">
    <w:name w:val="font11"/>
    <w:uiPriority w:val="0"/>
    <w:qFormat/>
    <w:rPr>
      <w:rFonts w:ascii="Times" w:hAnsi="Times" w:eastAsia="Times" w:cs="Times"/>
      <w:color w:val="000000"/>
      <w:sz w:val="24"/>
      <w:szCs w:val="24"/>
      <w:u w:val="none"/>
    </w:rPr>
  </w:style>
  <w:style w:type="character" w:styleId="1096" w:customStyle="1">
    <w:name w:val="Plain Text Char1"/>
    <w:uiPriority w:val="0"/>
    <w:qFormat/>
    <w:rPr>
      <w:rFonts w:ascii="宋体" w:eastAsia="宋体"/>
      <w:sz w:val="21"/>
      <w:szCs w:val="21"/>
      <w:lang w:val="en-US" w:eastAsia="zh-CN" w:bidi="ar-SA"/>
    </w:rPr>
  </w:style>
  <w:style w:type="character" w:styleId="1097" w:customStyle="1">
    <w:name w:val="Char Char"/>
    <w:uiPriority w:val="0"/>
    <w:qFormat/>
    <w:rPr>
      <w:rFonts w:eastAsia="宋体"/>
      <w:sz w:val="18"/>
      <w:lang w:val="en-US" w:eastAsia="zh-CN"/>
    </w:rPr>
  </w:style>
  <w:style w:type="character" w:styleId="1098" w:customStyle="1">
    <w:name w:val="wj1"/>
    <w:uiPriority w:val="0"/>
    <w:qFormat/>
    <w:rPr>
      <w:color w:val="000000"/>
      <w:sz w:val="18"/>
      <w:szCs w:val="18"/>
      <w:u w:val="none"/>
    </w:rPr>
  </w:style>
  <w:style w:type="character" w:styleId="1099" w:customStyle="1">
    <w:name w:val="Heading 2 Char_e7971b2e-95ff-491d-afd8-0e6cfcc6c1b2"/>
    <w:uiPriority w:val="0"/>
    <w:qFormat/>
    <w:rPr>
      <w:rFonts w:ascii="Arial" w:hAnsi="Arial" w:eastAsia="黑体"/>
      <w:b/>
      <w:bCs/>
      <w:sz w:val="32"/>
      <w:szCs w:val="32"/>
      <w:lang w:val="en-US" w:eastAsia="zh-CN" w:bidi="ar-SA"/>
    </w:rPr>
  </w:style>
  <w:style w:type="character" w:styleId="1100" w:customStyle="1">
    <w:name w:val="z1"/>
    <w:uiPriority w:val="0"/>
    <w:qFormat/>
  </w:style>
  <w:style w:type="character" w:styleId="1101" w:customStyle="1">
    <w:name w:val="font01"/>
    <w:uiPriority w:val="0"/>
    <w:qFormat/>
    <w:rPr>
      <w:rFonts w:hint="eastAsia" w:ascii="宋体" w:hAnsi="宋体" w:eastAsia="宋体" w:cs="宋体"/>
      <w:color w:val="000000"/>
      <w:sz w:val="24"/>
      <w:szCs w:val="24"/>
      <w:u w:val="none"/>
    </w:rPr>
  </w:style>
  <w:style w:type="character" w:styleId="1102" w:customStyle="1">
    <w:name w:val="Footer Char_f0e3e3bf-5b2e-454d-aedf-db4c0b3a23ed"/>
    <w:uiPriority w:val="0"/>
    <w:qFormat/>
    <w:rPr>
      <w:rFonts w:eastAsia="宋体"/>
      <w:sz w:val="18"/>
      <w:lang w:val="en-US" w:eastAsia="zh-CN"/>
    </w:rPr>
  </w:style>
  <w:style w:type="character" w:styleId="1103" w:customStyle="1">
    <w:name w:val="Header Char_9800ef60-2583-47c5-8652-b7f35f90c311"/>
    <w:uiPriority w:val="0"/>
    <w:qFormat/>
    <w:rPr>
      <w:rFonts w:eastAsia="宋体"/>
      <w:sz w:val="18"/>
      <w:lang w:val="en-US" w:eastAsia="zh-CN"/>
    </w:rPr>
  </w:style>
  <w:style w:type="character" w:styleId="1104" w:customStyle="1">
    <w:name w:val="ca-01"/>
    <w:uiPriority w:val="0"/>
    <w:qFormat/>
    <w:rPr>
      <w:rFonts w:ascii="宋体" w:eastAsia="宋体"/>
      <w:b/>
      <w:bCs/>
      <w:spacing w:val="-20"/>
      <w:sz w:val="24"/>
      <w:szCs w:val="24"/>
    </w:rPr>
  </w:style>
  <w:style w:type="character" w:styleId="1105" w:customStyle="1">
    <w:name w:val="font51"/>
    <w:uiPriority w:val="99"/>
    <w:qFormat/>
    <w:rPr>
      <w:rFonts w:ascii="宋体" w:hAnsi="宋体" w:eastAsia="宋体" w:cs="宋体"/>
      <w:color w:val="000000"/>
      <w:sz w:val="22"/>
      <w:szCs w:val="22"/>
    </w:rPr>
  </w:style>
  <w:style w:type="character" w:styleId="1106" w:customStyle="1">
    <w:name w:val="font21"/>
    <w:uiPriority w:val="0"/>
    <w:qFormat/>
    <w:rPr>
      <w:rFonts w:ascii="Times New Roman" w:hAnsi="Times New Roman"/>
      <w:color w:val="000000"/>
      <w:sz w:val="20"/>
      <w:u w:val="none"/>
    </w:rPr>
  </w:style>
  <w:style w:type="character" w:styleId="1107" w:customStyle="1">
    <w:name w:val="font31"/>
    <w:uiPriority w:val="0"/>
    <w:qFormat/>
    <w:rPr>
      <w:rFonts w:ascii="Arial" w:hAnsi="Arial" w:cs="Arial"/>
      <w:color w:val="000000"/>
      <w:sz w:val="22"/>
      <w:szCs w:val="22"/>
      <w:u w:val="none"/>
    </w:rPr>
  </w:style>
  <w:style w:type="character" w:styleId="1108" w:customStyle="1">
    <w:name w:val="正文（编号） Char Char"/>
    <w:link w:val="1109"/>
    <w:uiPriority w:val="0"/>
    <w:qFormat/>
    <w:rPr>
      <w:sz w:val="24"/>
      <w:szCs w:val="24"/>
    </w:rPr>
  </w:style>
  <w:style w:type="paragraph" w:styleId="1109" w:customStyle="1">
    <w:name w:val="正文（编号）"/>
    <w:basedOn w:val="1110"/>
    <w:link w:val="1108"/>
    <w:uiPriority w:val="0"/>
    <w:qFormat/>
    <w:pPr>
      <w:ind w:left="720" w:firstLine="0"/>
      <w:tabs>
        <w:tab w:val="left" w:pos="720" w:leader="none"/>
        <w:tab w:val="left" w:pos="780" w:leader="none"/>
      </w:tabs>
    </w:pPr>
    <w:rPr>
      <w:szCs w:val="24"/>
    </w:rPr>
  </w:style>
  <w:style w:type="paragraph" w:styleId="1110" w:customStyle="1">
    <w:name w:val="正文（缩进）"/>
    <w:basedOn w:val="743"/>
    <w:uiPriority w:val="0"/>
    <w:qFormat/>
    <w:pPr>
      <w:ind w:firstLine="200"/>
      <w:spacing w:before="50" w:after="50" w:line="360" w:lineRule="auto"/>
    </w:pPr>
    <w:rPr>
      <w:sz w:val="24"/>
    </w:rPr>
  </w:style>
  <w:style w:type="character" w:styleId="1111" w:customStyle="1">
    <w:name w:val="marklong"/>
    <w:uiPriority w:val="0"/>
    <w:qFormat/>
  </w:style>
  <w:style w:type="character" w:styleId="1112" w:customStyle="1">
    <w:name w:val="标题 2 Char Char Char"/>
    <w:uiPriority w:val="0"/>
    <w:qFormat/>
    <w:rPr>
      <w:rFonts w:ascii="Arial" w:hAnsi="Arial" w:eastAsia="宋体" w:cs="Arial"/>
      <w:b/>
      <w:bCs/>
      <w:i/>
      <w:iCs/>
      <w:sz w:val="28"/>
      <w:szCs w:val="28"/>
      <w:lang w:val="en-US" w:eastAsia="zh-CN" w:bidi="ar-SA"/>
    </w:rPr>
  </w:style>
  <w:style w:type="character" w:styleId="1113" w:customStyle="1">
    <w:name w:val="ca-1"/>
    <w:uiPriority w:val="0"/>
    <w:qFormat/>
  </w:style>
  <w:style w:type="character" w:styleId="1114" w:customStyle="1">
    <w:name w:val="ca-11"/>
    <w:uiPriority w:val="0"/>
    <w:qFormat/>
    <w:rPr>
      <w:rFonts w:ascii="宋体" w:eastAsia="宋体"/>
      <w:b/>
      <w:bCs/>
      <w:color w:val="000000"/>
      <w:spacing w:val="-20"/>
      <w:sz w:val="28"/>
      <w:szCs w:val="28"/>
    </w:rPr>
  </w:style>
  <w:style w:type="character" w:styleId="1115" w:customStyle="1">
    <w:name w:val="正文（缩进） Char Char"/>
    <w:uiPriority w:val="0"/>
    <w:qFormat/>
    <w:rPr>
      <w:rFonts w:eastAsia="宋体"/>
      <w:sz w:val="24"/>
      <w:szCs w:val="24"/>
      <w:lang w:val="en-US" w:eastAsia="zh-CN" w:bidi="ar-SA"/>
    </w:rPr>
  </w:style>
  <w:style w:type="character" w:styleId="1116" w:customStyle="1">
    <w:name w:val="Char Char31"/>
    <w:uiPriority w:val="0"/>
    <w:qFormat/>
    <w:rPr>
      <w:rFonts w:ascii="Arial" w:hAnsi="Arial" w:eastAsia="黑体" w:cs="Times New Roman"/>
      <w:b/>
      <w:bCs/>
      <w:sz w:val="32"/>
      <w:szCs w:val="32"/>
      <w:lang w:val="en-US" w:eastAsia="zh-CN" w:bidi="ar-SA"/>
    </w:rPr>
  </w:style>
  <w:style w:type="paragraph" w:styleId="1117" w:customStyle="1">
    <w:name w:val="表文1"/>
    <w:basedOn w:val="743"/>
    <w:uiPriority w:val="0"/>
    <w:qFormat/>
    <w:pPr>
      <w:ind w:firstLine="196"/>
      <w:spacing w:line="360" w:lineRule="auto"/>
      <w:widowControl/>
    </w:pPr>
    <w:rPr>
      <w:rFonts w:ascii="宋体"/>
      <w:sz w:val="24"/>
    </w:rPr>
  </w:style>
  <w:style w:type="paragraph" w:styleId="1118" w:customStyle="1">
    <w:name w:val="Normal_6_0"/>
    <w:uiPriority w:val="0"/>
    <w:qFormat/>
    <w:rPr>
      <w:rFonts w:ascii="黑体" w:hAnsi="黑体" w:eastAsia="黑体" w:cs="Times New Roman"/>
      <w:b/>
      <w:sz w:val="32"/>
      <w:szCs w:val="24"/>
      <w:lang w:val="en-US" w:eastAsia="zh-CN" w:bidi="ar-SA"/>
    </w:rPr>
  </w:style>
  <w:style w:type="paragraph" w:styleId="1119" w:customStyle="1">
    <w:name w:val="Char Char Char"/>
    <w:basedOn w:val="743"/>
    <w:uiPriority w:val="0"/>
    <w:qFormat/>
    <w:rPr>
      <w:rFonts w:ascii="Calibri" w:hAnsi="Calibri"/>
      <w:szCs w:val="21"/>
    </w:rPr>
  </w:style>
  <w:style w:type="paragraph" w:styleId="1120" w:customStyle="1">
    <w:name w:val="标题二、"/>
    <w:basedOn w:val="743"/>
    <w:uiPriority w:val="99"/>
    <w:qFormat/>
    <w:pPr>
      <w:ind w:firstLine="200"/>
      <w:spacing w:line="360" w:lineRule="auto"/>
      <w:outlineLvl w:val="2"/>
    </w:pPr>
    <w:rPr>
      <w:rFonts w:ascii="宋体" w:hAnsi="宋体"/>
      <w:b/>
      <w:szCs w:val="21"/>
    </w:rPr>
  </w:style>
  <w:style w:type="paragraph" w:styleId="1121" w:customStyle="1">
    <w:name w:val="无标题正文 Char Char Char Char Char Char Char Char Char Char Char Char Char Char Char Char Char Char Char Char Char Char Char Char Char Char Char1 Char"/>
    <w:basedOn w:val="743"/>
    <w:uiPriority w:val="0"/>
    <w:qFormat/>
    <w:pPr>
      <w:jc w:val="center"/>
      <w:spacing w:after="160" w:line="240" w:lineRule="exact"/>
      <w:widowControl/>
    </w:pPr>
    <w:rPr>
      <w:rFonts w:ascii="Arial" w:hAnsi="Arial"/>
      <w:sz w:val="20"/>
      <w:szCs w:val="20"/>
      <w:lang w:eastAsia="en-US"/>
    </w:rPr>
  </w:style>
  <w:style w:type="paragraph" w:styleId="1122" w:customStyle="1">
    <w:name w:val="xl2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Normal_9_0"/>
    <w:uiPriority w:val="0"/>
    <w:qFormat/>
    <w:rPr>
      <w:rFonts w:ascii="Times New Roman" w:hAnsi="Times New Roman" w:eastAsia="Times New Roman" w:cs="Times New Roman"/>
      <w:sz w:val="24"/>
      <w:szCs w:val="24"/>
      <w:lang w:val="en-US" w:eastAsia="zh-CN" w:bidi="ar-SA"/>
    </w:rPr>
  </w:style>
  <w:style w:type="paragraph" w:styleId="1124"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pa-6"/>
    <w:basedOn w:val="743"/>
    <w:uiPriority w:val="0"/>
    <w:qFormat/>
    <w:pPr>
      <w:spacing w:line="360" w:lineRule="atLeast"/>
      <w:widowControl/>
    </w:pPr>
    <w:rPr>
      <w:rFonts w:ascii="宋体"/>
      <w:sz w:val="24"/>
      <w:szCs w:val="20"/>
    </w:rPr>
  </w:style>
  <w:style w:type="paragraph" w:styleId="1126"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28"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前言、引言标题"/>
    <w:next w:val="74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1" w:customStyle="1">
    <w:name w:val="Char Char Char Char Char Char Char Char Char Char"/>
    <w:basedOn w:val="743"/>
    <w:uiPriority w:val="0"/>
    <w:qFormat/>
    <w:rPr>
      <w:rFonts w:ascii="Tahoma" w:hAnsi="Tahoma"/>
      <w:sz w:val="24"/>
      <w:szCs w:val="20"/>
    </w:rPr>
  </w:style>
  <w:style w:type="paragraph" w:styleId="1132" w:customStyle="1">
    <w:name w:val="篇名"/>
    <w:next w:val="96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3"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WPSOffice手动目录 1"/>
    <w:uiPriority w:val="0"/>
    <w:qFormat/>
    <w:rPr>
      <w:rFonts w:ascii="Times New Roman" w:hAnsi="Times New Roman" w:eastAsia="宋体" w:cs="Times New Roman"/>
      <w:lang w:val="en-US" w:eastAsia="zh-CN" w:bidi="ar-SA"/>
    </w:rPr>
  </w:style>
  <w:style w:type="paragraph" w:styleId="113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参考资料清单+倾斜+蓝色"/>
    <w:basedOn w:val="743"/>
    <w:uiPriority w:val="0"/>
    <w:qFormat/>
    <w:pPr>
      <w:spacing w:line="360" w:lineRule="auto"/>
    </w:pPr>
    <w:rPr>
      <w:rFonts w:ascii="Arial" w:hAnsi="Arial"/>
      <w:i/>
      <w:iCs/>
      <w:color w:val="0000ff"/>
      <w:szCs w:val="21"/>
    </w:rPr>
  </w:style>
  <w:style w:type="paragraph" w:styleId="1139" w:customStyle="1">
    <w:name w:val="Normal_8"/>
    <w:uiPriority w:val="0"/>
    <w:qFormat/>
    <w:rPr>
      <w:rFonts w:ascii="Times New Roman" w:hAnsi="Times New Roman" w:eastAsia="Times New Roman" w:cs="Times New Roman"/>
      <w:sz w:val="24"/>
      <w:szCs w:val="24"/>
      <w:lang w:val="en-US" w:eastAsia="zh-CN" w:bidi="ar-SA"/>
    </w:rPr>
  </w:style>
  <w:style w:type="paragraph" w:styleId="1140" w:customStyle="1">
    <w:name w:val="缩进正文"/>
    <w:basedOn w:val="743"/>
    <w:uiPriority w:val="0"/>
    <w:qFormat/>
    <w:pPr>
      <w:ind w:left="1418" w:firstLine="425"/>
      <w:jc w:val="left"/>
      <w:spacing w:after="200" w:line="400" w:lineRule="exact"/>
      <w:widowControl/>
    </w:pPr>
    <w:rPr>
      <w:rFonts w:ascii="宋体"/>
      <w:sz w:val="24"/>
      <w:szCs w:val="20"/>
    </w:rPr>
  </w:style>
  <w:style w:type="paragraph" w:styleId="1141" w:customStyle="1">
    <w:name w:val="Normal_2"/>
    <w:uiPriority w:val="0"/>
    <w:qFormat/>
    <w:rPr>
      <w:rFonts w:ascii="黑体" w:hAnsi="黑体" w:eastAsia="黑体" w:cs="Times New Roman"/>
      <w:b/>
      <w:sz w:val="32"/>
      <w:szCs w:val="24"/>
      <w:lang w:val="en-US" w:eastAsia="zh-CN" w:bidi="ar-SA"/>
    </w:rPr>
  </w:style>
  <w:style w:type="paragraph" w:styleId="1142" w:customStyle="1">
    <w:name w:val="Normal_1_2"/>
    <w:uiPriority w:val="0"/>
    <w:qFormat/>
    <w:rPr>
      <w:rFonts w:ascii="Times New Roman" w:hAnsi="Times New Roman" w:eastAsia="Times New Roman" w:cs="Times New Roman"/>
      <w:sz w:val="24"/>
      <w:szCs w:val="24"/>
      <w:lang w:val="en-US" w:eastAsia="zh-CN" w:bidi="ar-SA"/>
    </w:rPr>
  </w:style>
  <w:style w:type="paragraph" w:styleId="1143" w:customStyle="1">
    <w:name w:val="默认段落字体 Para Char Char Char Char Char Char Char Char Char1"/>
    <w:basedOn w:val="743"/>
    <w:uiPriority w:val="0"/>
    <w:qFormat/>
    <w:rPr>
      <w:rFonts w:ascii="Tahoma" w:hAnsi="Tahoma"/>
      <w:sz w:val="24"/>
      <w:szCs w:val="20"/>
    </w:rPr>
  </w:style>
  <w:style w:type="paragraph" w:styleId="1144" w:customStyle="1">
    <w:name w:val="样式 序号----------- + 仿宋_GB2312"/>
    <w:basedOn w:val="1145"/>
    <w:uiPriority w:val="0"/>
    <w:qFormat/>
    <w:pPr>
      <w:ind w:firstLine="200"/>
      <w:spacing w:line="360" w:lineRule="auto"/>
    </w:pPr>
    <w:rPr>
      <w:rFonts w:ascii="仿宋_GB2312" w:eastAsia="仿宋_GB2312"/>
      <w:bCs w:val="0"/>
    </w:rPr>
  </w:style>
  <w:style w:type="paragraph" w:styleId="1145" w:customStyle="1">
    <w:name w:val="序号-----------"/>
    <w:basedOn w:val="743"/>
    <w:uiPriority w:val="0"/>
    <w:qFormat/>
    <w:pPr>
      <w:jc w:val="left"/>
      <w:widowControl/>
    </w:pPr>
    <w:rPr>
      <w:rFonts w:ascii="宋体"/>
      <w:bCs/>
      <w:szCs w:val="21"/>
    </w:rPr>
  </w:style>
  <w:style w:type="paragraph" w:styleId="1146" w:customStyle="1">
    <w:name w:val="pa-8"/>
    <w:basedOn w:val="743"/>
    <w:uiPriority w:val="0"/>
    <w:qFormat/>
    <w:pPr>
      <w:ind w:firstLine="480"/>
      <w:spacing w:line="280" w:lineRule="atLeast"/>
      <w:widowControl/>
    </w:pPr>
    <w:rPr>
      <w:rFonts w:ascii="宋体" w:cs="宋体"/>
      <w:sz w:val="24"/>
    </w:rPr>
  </w:style>
  <w:style w:type="paragraph" w:styleId="1147" w:customStyle="1">
    <w:name w:val="Indent Normal"/>
    <w:basedOn w:val="743"/>
    <w:uiPriority w:val="0"/>
    <w:qFormat/>
    <w:pPr>
      <w:ind w:firstLine="150"/>
    </w:pPr>
    <w:rPr>
      <w:sz w:val="24"/>
      <w:szCs w:val="20"/>
    </w:rPr>
  </w:style>
  <w:style w:type="paragraph" w:styleId="1148" w:customStyle="1">
    <w:name w:val="Normal_3"/>
    <w:uiPriority w:val="0"/>
    <w:qFormat/>
    <w:rPr>
      <w:rFonts w:ascii="黑体" w:hAnsi="黑体" w:eastAsia="黑体" w:cs="Times New Roman"/>
      <w:b/>
      <w:sz w:val="32"/>
      <w:szCs w:val="24"/>
      <w:lang w:val="en-US" w:eastAsia="zh-CN" w:bidi="ar-SA"/>
    </w:rPr>
  </w:style>
  <w:style w:type="paragraph" w:styleId="1149" w:customStyle="1">
    <w:name w:val="寄信人地址1"/>
    <w:basedOn w:val="756"/>
    <w:uiPriority w:val="99"/>
    <w:qFormat/>
    <w:rPr>
      <w:rFonts w:ascii="Arial" w:hAnsi="Arial" w:cs="Arial"/>
    </w:rPr>
  </w:style>
  <w:style w:type="paragraph" w:styleId="1150" w:customStyle="1">
    <w:name w:val="标题2"/>
    <w:basedOn w:val="743"/>
    <w:uiPriority w:val="0"/>
    <w:qFormat/>
    <w:pPr>
      <w:tabs>
        <w:tab w:val="left" w:pos="0" w:leader="none"/>
      </w:tabs>
    </w:pPr>
    <w:rPr>
      <w:rFonts w:ascii="黑体" w:eastAsia="黑体"/>
      <w:sz w:val="24"/>
    </w:rPr>
  </w:style>
  <w:style w:type="paragraph" w:styleId="1151" w:customStyle="1">
    <w:name w:val="Normal_10"/>
    <w:uiPriority w:val="0"/>
    <w:qFormat/>
    <w:rPr>
      <w:rFonts w:ascii="黑体" w:hAnsi="黑体" w:eastAsia="黑体" w:cs="Times New Roman"/>
      <w:b/>
      <w:sz w:val="32"/>
      <w:szCs w:val="24"/>
      <w:lang w:val="en-US" w:eastAsia="zh-CN" w:bidi="ar-SA"/>
    </w:rPr>
  </w:style>
  <w:style w:type="paragraph" w:styleId="1152" w:customStyle="1">
    <w:name w:val="样式3"/>
    <w:basedOn w:val="969"/>
    <w:uiPriority w:val="0"/>
    <w:qFormat/>
    <w:pPr>
      <w:spacing w:line="415" w:lineRule="auto"/>
    </w:pPr>
    <w:rPr>
      <w:rFonts w:ascii="Calibri" w:hAnsi="Calibri"/>
      <w:bCs/>
      <w:color w:val="000000"/>
      <w:sz w:val="28"/>
      <w:szCs w:val="28"/>
    </w:rPr>
  </w:style>
  <w:style w:type="paragraph" w:styleId="1153" w:customStyle="1">
    <w:name w:val="样式6"/>
    <w:basedOn w:val="82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4" w:customStyle="1">
    <w:name w:val="Char1 Char Char Char"/>
    <w:basedOn w:val="743"/>
    <w:uiPriority w:val="0"/>
    <w:qFormat/>
    <w:rPr>
      <w:szCs w:val="20"/>
    </w:rPr>
  </w:style>
  <w:style w:type="paragraph" w:styleId="1155" w:customStyle="1">
    <w:name w:val="纯文本2"/>
    <w:basedOn w:val="743"/>
    <w:uiPriority w:val="0"/>
    <w:qFormat/>
    <w:rPr>
      <w:rFonts w:ascii="宋体" w:hAnsi="Courier New" w:eastAsia="楷体_GB2312"/>
      <w:sz w:val="26"/>
      <w:szCs w:val="20"/>
    </w:rPr>
  </w:style>
  <w:style w:type="paragraph" w:styleId="1156" w:customStyle="1">
    <w:name w:val="Normal_4_0"/>
    <w:uiPriority w:val="0"/>
    <w:qFormat/>
    <w:rPr>
      <w:rFonts w:ascii="黑体" w:hAnsi="黑体" w:eastAsia="黑体" w:cs="Times New Roman"/>
      <w:b/>
      <w:sz w:val="32"/>
      <w:szCs w:val="24"/>
      <w:lang w:val="en-US" w:eastAsia="zh-CN" w:bidi="ar-SA"/>
    </w:rPr>
  </w:style>
  <w:style w:type="paragraph" w:styleId="1157" w:customStyle="1">
    <w:name w:val="三级条标题"/>
    <w:basedOn w:val="1158"/>
    <w:next w:val="1160"/>
    <w:uiPriority w:val="0"/>
    <w:qFormat/>
    <w:pPr>
      <w:ind w:left="1050"/>
      <w:outlineLvl w:val="4"/>
    </w:pPr>
  </w:style>
  <w:style w:type="paragraph" w:styleId="1158" w:customStyle="1">
    <w:name w:val="二级条标题"/>
    <w:basedOn w:val="1159"/>
    <w:next w:val="1160"/>
    <w:uiPriority w:val="0"/>
    <w:qFormat/>
    <w:pPr>
      <w:ind w:left="360"/>
      <w:outlineLvl w:val="3"/>
    </w:pPr>
  </w:style>
  <w:style w:type="paragraph" w:styleId="1159" w:customStyle="1">
    <w:name w:val="一级条标题"/>
    <w:next w:val="1160"/>
    <w:uiPriority w:val="0"/>
    <w:qFormat/>
    <w:pPr>
      <w:outlineLvl w:val="2"/>
    </w:pPr>
    <w:rPr>
      <w:rFonts w:ascii="Times New Roman" w:hAnsi="Times New Roman" w:eastAsia="黑体" w:cs="Times New Roman"/>
      <w:sz w:val="21"/>
      <w:lang w:val="en-US" w:eastAsia="zh-CN" w:bidi="ar-SA"/>
    </w:rPr>
  </w:style>
  <w:style w:type="paragraph" w:styleId="1160" w:customStyle="1">
    <w:name w:val="段"/>
    <w:uiPriority w:val="0"/>
    <w:qFormat/>
    <w:pPr>
      <w:ind w:firstLine="200"/>
      <w:jc w:val="both"/>
    </w:pPr>
    <w:rPr>
      <w:rFonts w:ascii="宋体" w:hAnsi="Times New Roman" w:eastAsia="宋体" w:cs="Times New Roman"/>
      <w:sz w:val="21"/>
      <w:lang w:val="en-US" w:eastAsia="zh-CN" w:bidi="ar-SA"/>
    </w:rPr>
  </w:style>
  <w:style w:type="paragraph" w:styleId="1161" w:customStyle="1">
    <w:name w:val="Normal_5_0"/>
    <w:uiPriority w:val="0"/>
    <w:qFormat/>
    <w:rPr>
      <w:rFonts w:ascii="黑体" w:hAnsi="黑体" w:eastAsia="黑体" w:cs="Times New Roman"/>
      <w:b/>
      <w:sz w:val="32"/>
      <w:szCs w:val="24"/>
      <w:lang w:val="en-US" w:eastAsia="zh-CN" w:bidi="ar-SA"/>
    </w:rPr>
  </w:style>
  <w:style w:type="paragraph" w:styleId="1162" w:customStyle="1">
    <w:name w:val="Normal_14_0"/>
    <w:uiPriority w:val="0"/>
    <w:qFormat/>
    <w:rPr>
      <w:rFonts w:ascii="黑体" w:hAnsi="黑体" w:eastAsia="黑体" w:cs="Times New Roman"/>
      <w:b/>
      <w:sz w:val="32"/>
      <w:szCs w:val="24"/>
      <w:lang w:val="en-US" w:eastAsia="zh-CN" w:bidi="ar-SA"/>
    </w:rPr>
  </w:style>
  <w:style w:type="paragraph" w:styleId="1163" w:customStyle="1">
    <w:name w:val="技术方案2"/>
    <w:basedOn w:val="743"/>
    <w:uiPriority w:val="0"/>
    <w:qFormat/>
    <w:pPr>
      <w:spacing w:line="480" w:lineRule="auto"/>
    </w:pPr>
    <w:rPr>
      <w:rFonts w:ascii="宋体"/>
      <w:b/>
      <w:bCs/>
      <w:sz w:val="36"/>
    </w:rPr>
  </w:style>
  <w:style w:type="paragraph" w:styleId="116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5" w:customStyle="1">
    <w:name w:val="Normal_0_0"/>
    <w:uiPriority w:val="0"/>
    <w:qFormat/>
    <w:rPr>
      <w:rFonts w:ascii="黑体" w:hAnsi="黑体" w:eastAsia="黑体" w:cs="Times New Roman"/>
      <w:b/>
      <w:sz w:val="40"/>
      <w:szCs w:val="24"/>
      <w:lang w:val="en-US" w:eastAsia="zh-CN" w:bidi="ar-SA"/>
    </w:rPr>
  </w:style>
  <w:style w:type="paragraph" w:styleId="1166" w:customStyle="1">
    <w:name w:val="表格标题"/>
    <w:basedOn w:val="743"/>
    <w:uiPriority w:val="0"/>
    <w:qFormat/>
    <w:pPr>
      <w:jc w:val="center"/>
    </w:pPr>
    <w:rPr>
      <w:b/>
    </w:rPr>
  </w:style>
  <w:style w:type="paragraph" w:styleId="1167" w:customStyle="1">
    <w:name w:val="表中文字"/>
    <w:basedOn w:val="743"/>
    <w:uiPriority w:val="0"/>
    <w:qFormat/>
    <w:pPr>
      <w:widowControl/>
    </w:pPr>
    <w:rPr>
      <w:rFonts w:ascii="Calibri" w:hAnsi="Calibri"/>
      <w:szCs w:val="20"/>
    </w:rPr>
  </w:style>
  <w:style w:type="paragraph" w:styleId="1168" w:customStyle="1">
    <w:name w:val="Char"/>
    <w:basedOn w:val="743"/>
    <w:uiPriority w:val="0"/>
    <w:qFormat/>
    <w:pPr>
      <w:jc w:val="left"/>
      <w:spacing w:after="160" w:line="240" w:lineRule="exact"/>
      <w:widowControl/>
    </w:pPr>
    <w:rPr>
      <w:rFonts w:ascii="Verdana" w:hAnsi="Verdana"/>
      <w:sz w:val="20"/>
      <w:szCs w:val="20"/>
      <w:lang w:eastAsia="en-US"/>
    </w:rPr>
  </w:style>
  <w:style w:type="paragraph" w:styleId="1169" w:customStyle="1">
    <w:name w:val="pbody"/>
    <w:basedOn w:val="743"/>
    <w:uiPriority w:val="0"/>
    <w:qFormat/>
    <w:pPr>
      <w:jc w:val="left"/>
      <w:spacing w:before="100" w:beforeAutospacing="1" w:after="100" w:afterAutospacing="1" w:line="360" w:lineRule="auto"/>
      <w:widowControl/>
    </w:pPr>
    <w:rPr>
      <w:rFonts w:ascii="宋体" w:cs="宋体"/>
      <w:sz w:val="24"/>
    </w:rPr>
  </w:style>
  <w:style w:type="paragraph" w:styleId="117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1" w:customStyle="1">
    <w:name w:val="Normal_9"/>
    <w:uiPriority w:val="0"/>
    <w:qFormat/>
    <w:rPr>
      <w:rFonts w:ascii="黑体" w:hAnsi="黑体" w:eastAsia="黑体" w:cs="Times New Roman"/>
      <w:b/>
      <w:sz w:val="32"/>
      <w:szCs w:val="24"/>
      <w:lang w:val="en-US" w:eastAsia="zh-CN" w:bidi="ar-SA"/>
    </w:rPr>
  </w:style>
  <w:style w:type="paragraph" w:styleId="1172" w:customStyle="1">
    <w:name w:val="表格正文"/>
    <w:basedOn w:val="743"/>
    <w:uiPriority w:val="0"/>
    <w:qFormat/>
    <w:pPr>
      <w:spacing w:line="300" w:lineRule="auto"/>
      <w:tabs>
        <w:tab w:val="left" w:pos="420" w:leader="none"/>
      </w:tabs>
    </w:pPr>
  </w:style>
  <w:style w:type="paragraph" w:styleId="1173" w:customStyle="1">
    <w:name w:val="目录 1_0"/>
    <w:basedOn w:val="1061"/>
    <w:next w:val="1061"/>
    <w:uiPriority w:val="0"/>
    <w:qFormat/>
    <w:pPr>
      <w:jc w:val="left"/>
    </w:pPr>
    <w:rPr>
      <w:rFonts w:hint="eastAsia" w:ascii="宋体" w:hAnsi="宋体"/>
      <w:b/>
      <w:sz w:val="24"/>
    </w:rPr>
  </w:style>
  <w:style w:type="paragraph" w:styleId="117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17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78" w:customStyle="1">
    <w:name w:val="标书2"/>
    <w:next w:val="1179"/>
    <w:uiPriority w:val="0"/>
    <w:qFormat/>
    <w:rPr>
      <w:rFonts w:ascii="Times New Roman" w:hAnsi="Times New Roman" w:eastAsia="黑体" w:cs="宋体"/>
      <w:b/>
      <w:sz w:val="44"/>
      <w:lang w:val="en-US" w:eastAsia="zh-CN" w:bidi="ar-SA"/>
    </w:rPr>
  </w:style>
  <w:style w:type="paragraph" w:styleId="117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0" w:customStyle="1">
    <w:name w:val="xl38"/>
    <w:basedOn w:val="74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p0"/>
    <w:basedOn w:val="743"/>
    <w:uiPriority w:val="0"/>
    <w:qFormat/>
    <w:pPr>
      <w:widowControl/>
    </w:pPr>
    <w:rPr>
      <w:szCs w:val="21"/>
    </w:rPr>
  </w:style>
  <w:style w:type="paragraph" w:styleId="1182" w:customStyle="1">
    <w:name w:val="ibm-list-next"/>
    <w:basedOn w:val="743"/>
    <w:uiPriority w:val="0"/>
    <w:qFormat/>
    <w:pPr>
      <w:jc w:val="left"/>
      <w:spacing w:before="100" w:beforeAutospacing="1" w:after="100" w:afterAutospacing="1"/>
      <w:widowControl/>
    </w:pPr>
    <w:rPr>
      <w:rFonts w:ascii="宋体" w:cs="宋体"/>
      <w:sz w:val="24"/>
    </w:rPr>
  </w:style>
  <w:style w:type="paragraph" w:styleId="1183" w:customStyle="1">
    <w:name w:val="WPSOffice手动目录 2"/>
    <w:uiPriority w:val="0"/>
    <w:qFormat/>
    <w:rPr>
      <w:rFonts w:ascii="Times New Roman" w:hAnsi="Times New Roman" w:eastAsia="宋体" w:cs="Times New Roman"/>
      <w:lang w:val="en-US" w:eastAsia="zh-CN" w:bidi="ar-SA"/>
    </w:rPr>
  </w:style>
  <w:style w:type="paragraph" w:styleId="1184" w:customStyle="1">
    <w:name w:val="正文文字缩进 3"/>
    <w:basedOn w:val="743"/>
    <w:uiPriority w:val="0"/>
    <w:qFormat/>
    <w:pPr>
      <w:ind w:left="420" w:firstLine="420"/>
      <w:spacing w:line="312" w:lineRule="auto"/>
    </w:pPr>
    <w:rPr>
      <w:rFonts w:ascii="黑体" w:hAnsi="黑体" w:cs="宋体"/>
      <w:bCs/>
      <w:color w:val="000000"/>
      <w:sz w:val="24"/>
    </w:rPr>
  </w:style>
  <w:style w:type="paragraph" w:styleId="1185" w:customStyle="1">
    <w:name w:val="pa-9"/>
    <w:basedOn w:val="743"/>
    <w:uiPriority w:val="0"/>
    <w:qFormat/>
    <w:pPr>
      <w:jc w:val="center"/>
      <w:spacing w:line="360" w:lineRule="atLeast"/>
      <w:widowControl/>
    </w:pPr>
    <w:rPr>
      <w:rFonts w:ascii="宋体" w:cs="宋体"/>
      <w:sz w:val="24"/>
    </w:rPr>
  </w:style>
  <w:style w:type="paragraph" w:styleId="1186" w:customStyle="1">
    <w:name w:val="表格文字"/>
    <w:basedOn w:val="743"/>
    <w:uiPriority w:val="0"/>
    <w:qFormat/>
    <w:pPr>
      <w:jc w:val="left"/>
    </w:pPr>
    <w:rPr>
      <w:sz w:val="18"/>
    </w:rPr>
  </w:style>
  <w:style w:type="paragraph" w:styleId="1187" w:customStyle="1">
    <w:name w:val="Figure and Table Title"/>
    <w:basedOn w:val="743"/>
    <w:uiPriority w:val="0"/>
    <w:qFormat/>
    <w:pPr>
      <w:ind w:left="2160"/>
      <w:jc w:val="left"/>
      <w:widowControl/>
    </w:pPr>
    <w:rPr>
      <w:rFonts w:ascii="Helvetica-Light" w:hAnsi="Helvetica-Light"/>
      <w:b/>
      <w:bCs/>
      <w:sz w:val="20"/>
      <w:lang w:eastAsia="en-US"/>
    </w:rPr>
  </w:style>
  <w:style w:type="paragraph" w:styleId="118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0" w:customStyle="1">
    <w:name w:val="首页小标题"/>
    <w:next w:val="1191"/>
    <w:uiPriority w:val="0"/>
    <w:qFormat/>
    <w:pPr>
      <w:jc w:val="center"/>
    </w:pPr>
    <w:rPr>
      <w:rFonts w:ascii="Times New Roman" w:hAnsi="Times New Roman" w:eastAsia="宋体" w:cs="宋体"/>
      <w:sz w:val="44"/>
      <w:lang w:val="en-US" w:eastAsia="zh-CN" w:bidi="ar-SA"/>
    </w:rPr>
  </w:style>
  <w:style w:type="paragraph" w:styleId="1191" w:customStyle="1">
    <w:name w:val="首页空格"/>
    <w:uiPriority w:val="0"/>
    <w:qFormat/>
    <w:pPr>
      <w:jc w:val="center"/>
    </w:pPr>
    <w:rPr>
      <w:rFonts w:ascii="Times New Roman" w:hAnsi="Times New Roman" w:eastAsia="宋体" w:cs="宋体"/>
      <w:sz w:val="72"/>
      <w:lang w:val="en-US" w:eastAsia="zh-CN" w:bidi="ar-SA"/>
    </w:rPr>
  </w:style>
  <w:style w:type="paragraph" w:styleId="1192" w:customStyle="1">
    <w:name w:val="纯文本1"/>
    <w:basedOn w:val="743"/>
    <w:uiPriority w:val="0"/>
    <w:qFormat/>
    <w:rPr>
      <w:rFonts w:ascii="宋体" w:hAnsi="Courier New" w:eastAsia="楷体_GB2312"/>
      <w:sz w:val="26"/>
      <w:szCs w:val="20"/>
    </w:rPr>
  </w:style>
  <w:style w:type="paragraph" w:styleId="1193" w:customStyle="1">
    <w:name w:val="xl41"/>
    <w:basedOn w:val="74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4" w:customStyle="1">
    <w:name w:val="表头"/>
    <w:basedOn w:val="1195"/>
    <w:uiPriority w:val="0"/>
    <w:qFormat/>
    <w:pPr>
      <w:ind w:left="0" w:firstLine="0"/>
      <w:spacing w:line="240" w:lineRule="auto"/>
    </w:pPr>
    <w:rPr>
      <w:sz w:val="20"/>
    </w:rPr>
  </w:style>
  <w:style w:type="paragraph" w:styleId="1195" w:customStyle="1">
    <w:name w:val="正文1"/>
    <w:basedOn w:val="743"/>
    <w:uiPriority w:val="0"/>
    <w:qFormat/>
    <w:pPr>
      <w:ind w:left="357" w:firstLine="420"/>
      <w:jc w:val="left"/>
      <w:spacing w:line="360" w:lineRule="auto"/>
      <w:widowControl/>
    </w:pPr>
    <w:rPr>
      <w:rFonts w:cs="Arial"/>
      <w:szCs w:val="20"/>
    </w:rPr>
  </w:style>
  <w:style w:type="paragraph" w:styleId="1196"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表格序号"/>
    <w:uiPriority w:val="0"/>
    <w:qFormat/>
    <w:rPr>
      <w:rFonts w:ascii="Times New Roman" w:hAnsi="Times New Roman" w:eastAsia="仿宋_GB2312" w:cs="宋体"/>
      <w:sz w:val="21"/>
      <w:lang w:val="en-US" w:eastAsia="zh-CN" w:bidi="ar-SA"/>
    </w:rPr>
  </w:style>
  <w:style w:type="paragraph" w:styleId="1198"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Normal_15"/>
    <w:uiPriority w:val="0"/>
    <w:qFormat/>
    <w:rPr>
      <w:rFonts w:ascii="黑体" w:hAnsi="黑体" w:eastAsia="黑体" w:cs="Times New Roman"/>
      <w:b/>
      <w:sz w:val="32"/>
      <w:szCs w:val="24"/>
      <w:lang w:val="en-US" w:eastAsia="zh-CN" w:bidi="ar-SA"/>
    </w:rPr>
  </w:style>
  <w:style w:type="paragraph" w:styleId="1200">
    <w:name w:val="List Paragraph"/>
    <w:basedOn w:val="743"/>
    <w:link w:val="1414"/>
    <w:uiPriority w:val="34"/>
    <w:qFormat/>
    <w:pPr>
      <w:ind w:firstLine="200"/>
    </w:pPr>
    <w:rPr>
      <w:rFonts w:ascii="Calibri" w:hAnsi="Calibri"/>
    </w:rPr>
  </w:style>
  <w:style w:type="paragraph" w:styleId="120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正文（首行缩进）"/>
    <w:basedOn w:val="743"/>
    <w:uiPriority w:val="0"/>
    <w:qFormat/>
    <w:pPr>
      <w:ind w:firstLine="482"/>
      <w:spacing w:before="120" w:line="360" w:lineRule="auto"/>
      <w:widowControl/>
    </w:pPr>
    <w:rPr>
      <w:rFonts w:ascii="Calibri" w:hAnsi="Calibri"/>
      <w:sz w:val="24"/>
      <w:szCs w:val="20"/>
    </w:rPr>
  </w:style>
  <w:style w:type="paragraph" w:styleId="1203"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技术方案3"/>
    <w:basedOn w:val="743"/>
    <w:uiPriority w:val="0"/>
    <w:qFormat/>
    <w:pPr>
      <w:spacing w:line="360" w:lineRule="auto"/>
    </w:pPr>
    <w:rPr>
      <w:rFonts w:ascii="宋体"/>
      <w:b/>
      <w:bCs/>
      <w:sz w:val="32"/>
    </w:rPr>
  </w:style>
  <w:style w:type="paragraph" w:styleId="1205" w:customStyle="1">
    <w:name w:val="默认段落字体 Para Char Char Char Char Char"/>
    <w:basedOn w:val="743"/>
    <w:uiPriority w:val="0"/>
    <w:qFormat/>
    <w:pPr>
      <w:ind w:firstLine="200"/>
      <w:jc w:val="left"/>
      <w:spacing w:before="100" w:beforeAutospacing="1" w:after="100" w:afterAutospacing="1" w:line="360" w:lineRule="auto"/>
    </w:pPr>
    <w:rPr>
      <w:rFonts w:ascii="Arial" w:hAnsi="Arial"/>
      <w:sz w:val="24"/>
      <w:lang w:eastAsia="en-US"/>
    </w:rPr>
  </w:style>
  <w:style w:type="paragraph" w:styleId="1206"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pa-10"/>
    <w:basedOn w:val="743"/>
    <w:uiPriority w:val="0"/>
    <w:qFormat/>
    <w:pPr>
      <w:spacing w:line="240" w:lineRule="atLeast"/>
      <w:widowControl/>
    </w:pPr>
    <w:rPr>
      <w:rFonts w:ascii="宋体" w:cs="宋体"/>
      <w:sz w:val="24"/>
    </w:rPr>
  </w:style>
  <w:style w:type="paragraph" w:styleId="1208" w:customStyle="1">
    <w:name w:val="pa-5"/>
    <w:basedOn w:val="743"/>
    <w:uiPriority w:val="0"/>
    <w:qFormat/>
    <w:pPr>
      <w:spacing w:line="280" w:lineRule="atLeast"/>
      <w:widowControl/>
    </w:pPr>
    <w:rPr>
      <w:rFonts w:ascii="宋体" w:cs="宋体"/>
      <w:sz w:val="24"/>
    </w:rPr>
  </w:style>
  <w:style w:type="paragraph" w:styleId="120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0" w:customStyle="1">
    <w:name w:val="新段落缩进"/>
    <w:basedOn w:val="743"/>
    <w:uiPriority w:val="0"/>
    <w:qFormat/>
    <w:pPr>
      <w:ind w:firstLine="200"/>
      <w:spacing w:line="400" w:lineRule="exact"/>
    </w:pPr>
    <w:rPr>
      <w:rFonts w:ascii="仿宋_GB2312" w:eastAsia="仿宋_GB2312"/>
      <w:sz w:val="24"/>
    </w:rPr>
  </w:style>
  <w:style w:type="paragraph" w:styleId="121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pa-2"/>
    <w:basedOn w:val="743"/>
    <w:uiPriority w:val="0"/>
    <w:qFormat/>
    <w:pPr>
      <w:spacing w:line="360" w:lineRule="atLeast"/>
      <w:widowControl/>
    </w:pPr>
    <w:rPr>
      <w:rFonts w:ascii="宋体" w:cs="宋体"/>
      <w:sz w:val="24"/>
    </w:rPr>
  </w:style>
  <w:style w:type="paragraph" w:styleId="1213" w:customStyle="1">
    <w:name w:val="列出段落1"/>
    <w:basedOn w:val="743"/>
    <w:uiPriority w:val="99"/>
    <w:qFormat/>
    <w:pPr>
      <w:ind w:firstLine="200"/>
    </w:pPr>
    <w:rPr>
      <w:rFonts w:ascii="Calibri" w:hAnsi="Calibri"/>
    </w:rPr>
  </w:style>
  <w:style w:type="paragraph" w:styleId="1214" w:customStyle="1">
    <w:name w:val="说明书2级标题"/>
    <w:basedOn w:val="743"/>
    <w:next w:val="1215"/>
    <w:uiPriority w:val="0"/>
    <w:qFormat/>
    <w:pPr>
      <w:numPr>
        <w:ilvl w:val="2"/>
        <w:numId w:val="1"/>
      </w:numPr>
      <w:spacing w:before="100"/>
    </w:pPr>
    <w:rPr>
      <w:rFonts w:ascii="Calibri" w:hAnsi="Calibri" w:eastAsia="黑体"/>
      <w:sz w:val="28"/>
      <w:szCs w:val="28"/>
    </w:rPr>
  </w:style>
  <w:style w:type="paragraph" w:styleId="1215" w:customStyle="1">
    <w:name w:val="说明书3级标题"/>
    <w:basedOn w:val="743"/>
    <w:next w:val="743"/>
    <w:uiPriority w:val="0"/>
    <w:qFormat/>
    <w:pPr>
      <w:numPr>
        <w:ilvl w:val="2"/>
        <w:numId w:val="2"/>
      </w:numPr>
      <w:spacing w:line="360" w:lineRule="auto"/>
    </w:pPr>
    <w:rPr>
      <w:rFonts w:ascii="Calibri" w:hAnsi="Calibri" w:eastAsia="黑体"/>
      <w:sz w:val="24"/>
    </w:rPr>
  </w:style>
  <w:style w:type="paragraph" w:styleId="1216" w:customStyle="1">
    <w:name w:val="Char Char1 Char Char Char Char Char Char Char Char"/>
    <w:basedOn w:val="743"/>
    <w:uiPriority w:val="0"/>
    <w:qFormat/>
    <w:pPr>
      <w:jc w:val="left"/>
      <w:spacing w:after="160" w:line="240" w:lineRule="exact"/>
      <w:widowControl/>
    </w:pPr>
  </w:style>
  <w:style w:type="paragraph" w:styleId="1217" w:customStyle="1">
    <w:name w:val="Normal_11_0"/>
    <w:uiPriority w:val="0"/>
    <w:qFormat/>
    <w:rPr>
      <w:rFonts w:ascii="黑体" w:hAnsi="黑体" w:eastAsia="黑体" w:cs="Times New Roman"/>
      <w:b/>
      <w:sz w:val="32"/>
      <w:szCs w:val="24"/>
      <w:lang w:val="en-US" w:eastAsia="zh-CN" w:bidi="ar-SA"/>
    </w:rPr>
  </w:style>
  <w:style w:type="paragraph" w:styleId="1218" w:customStyle="1">
    <w:name w:val="首页标题小初"/>
    <w:uiPriority w:val="0"/>
    <w:qFormat/>
    <w:pPr>
      <w:jc w:val="center"/>
    </w:pPr>
    <w:rPr>
      <w:rFonts w:ascii="黑体" w:hAnsi="Times New Roman" w:eastAsia="黑体" w:cs="宋体"/>
      <w:sz w:val="72"/>
      <w:lang w:val="en-US" w:eastAsia="zh-CN" w:bidi="ar-SA"/>
    </w:rPr>
  </w:style>
  <w:style w:type="paragraph" w:styleId="1219" w:customStyle="1">
    <w:name w:val="xl3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1" w:customStyle="1">
    <w:name w:val="附图标题"/>
    <w:basedOn w:val="987"/>
    <w:next w:val="986"/>
    <w:uiPriority w:val="0"/>
    <w:qFormat/>
    <w:pPr>
      <w:ind w:left="780" w:hanging="480"/>
      <w:jc w:val="center"/>
      <w:spacing w:after="100"/>
      <w:tabs>
        <w:tab w:val="left" w:pos="780" w:leader="none"/>
      </w:tabs>
    </w:pPr>
    <w:rPr>
      <w:b/>
      <w:sz w:val="21"/>
    </w:rPr>
  </w:style>
  <w:style w:type="paragraph" w:styleId="1222" w:customStyle="1">
    <w:name w:val="Normal_7"/>
    <w:uiPriority w:val="0"/>
    <w:qFormat/>
    <w:rPr>
      <w:rFonts w:ascii="黑体" w:hAnsi="黑体" w:eastAsia="黑体" w:cs="Times New Roman"/>
      <w:b/>
      <w:sz w:val="32"/>
      <w:szCs w:val="24"/>
      <w:lang w:val="en-US" w:eastAsia="zh-CN" w:bidi="ar-SA"/>
    </w:rPr>
  </w:style>
  <w:style w:type="paragraph" w:styleId="1223"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五级条标题"/>
    <w:basedOn w:val="1225"/>
    <w:next w:val="1160"/>
    <w:uiPriority w:val="0"/>
    <w:qFormat/>
    <w:pPr>
      <w:outlineLvl w:val="6"/>
    </w:pPr>
  </w:style>
  <w:style w:type="paragraph" w:styleId="1225" w:customStyle="1">
    <w:name w:val="四级条标题"/>
    <w:basedOn w:val="1157"/>
    <w:next w:val="1160"/>
    <w:uiPriority w:val="0"/>
    <w:qFormat/>
    <w:pPr>
      <w:ind w:left="0"/>
      <w:outlineLvl w:val="5"/>
    </w:pPr>
  </w:style>
  <w:style w:type="paragraph" w:styleId="122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标准小四"/>
    <w:basedOn w:val="743"/>
    <w:uiPriority w:val="0"/>
    <w:qFormat/>
    <w:pPr>
      <w:ind w:firstLine="200"/>
      <w:spacing w:line="360" w:lineRule="auto"/>
    </w:pPr>
    <w:rPr>
      <w:rFonts w:ascii="Arial" w:hAnsi="Arial"/>
      <w:sz w:val="24"/>
      <w:szCs w:val="21"/>
    </w:rPr>
  </w:style>
  <w:style w:type="paragraph" w:styleId="122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0" w:customStyle="1">
    <w:name w:val="Normal_18_0"/>
    <w:uiPriority w:val="0"/>
    <w:qFormat/>
    <w:rPr>
      <w:rFonts w:ascii="黑体" w:hAnsi="黑体" w:eastAsia="黑体" w:cs="Times New Roman"/>
      <w:b/>
      <w:sz w:val="32"/>
      <w:szCs w:val="24"/>
      <w:lang w:val="en-US" w:eastAsia="zh-CN" w:bidi="ar-SA"/>
    </w:rPr>
  </w:style>
  <w:style w:type="paragraph" w:styleId="1231" w:customStyle="1">
    <w:name w:val="a0"/>
    <w:basedOn w:val="743"/>
    <w:uiPriority w:val="0"/>
    <w:qFormat/>
    <w:pPr>
      <w:jc w:val="left"/>
      <w:spacing w:before="100" w:beforeAutospacing="1" w:after="100" w:afterAutospacing="1"/>
      <w:widowControl/>
    </w:pPr>
    <w:rPr>
      <w:rFonts w:ascii="宋体"/>
      <w:sz w:val="24"/>
    </w:rPr>
  </w:style>
  <w:style w:type="paragraph" w:styleId="1232" w:customStyle="1">
    <w:name w:val="正文（黑体）"/>
    <w:basedOn w:val="743"/>
    <w:next w:val="743"/>
    <w:uiPriority w:val="0"/>
    <w:qFormat/>
    <w:pPr>
      <w:ind w:firstLine="200"/>
      <w:spacing w:before="50" w:after="50" w:line="360" w:lineRule="auto"/>
    </w:pPr>
    <w:rPr>
      <w:rFonts w:ascii="黑体" w:eastAsia="黑体"/>
      <w:color w:val="000080"/>
      <w:sz w:val="24"/>
    </w:rPr>
  </w:style>
  <w:style w:type="paragraph" w:styleId="1233"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4" w:customStyle="1">
    <w:name w:val="加点正文缩进"/>
    <w:basedOn w:val="743"/>
    <w:uiPriority w:val="0"/>
    <w:qFormat/>
    <w:pPr>
      <w:ind w:left="962" w:hanging="480"/>
      <w:spacing w:line="300" w:lineRule="auto"/>
      <w:tabs>
        <w:tab w:val="left" w:pos="840" w:leader="none"/>
      </w:tabs>
    </w:pPr>
    <w:rPr>
      <w:sz w:val="24"/>
    </w:rPr>
  </w:style>
  <w:style w:type="paragraph" w:styleId="123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Normal_1_1"/>
    <w:uiPriority w:val="0"/>
    <w:qFormat/>
    <w:rPr>
      <w:rFonts w:ascii="黑体" w:hAnsi="黑体" w:eastAsia="黑体" w:cs="Times New Roman"/>
      <w:b/>
      <w:sz w:val="32"/>
      <w:szCs w:val="24"/>
      <w:lang w:val="en-US" w:eastAsia="zh-CN" w:bidi="ar-SA"/>
    </w:rPr>
  </w:style>
  <w:style w:type="paragraph" w:styleId="1237" w:customStyle="1">
    <w:name w:val="技术方案正文样式"/>
    <w:basedOn w:val="743"/>
    <w:uiPriority w:val="0"/>
    <w:qFormat/>
    <w:pPr>
      <w:ind w:firstLine="200"/>
      <w:spacing w:line="400" w:lineRule="exact"/>
    </w:pPr>
    <w:rPr>
      <w:rFonts w:ascii="宋体" w:cs="宋体"/>
      <w:sz w:val="24"/>
      <w:szCs w:val="21"/>
    </w:rPr>
  </w:style>
  <w:style w:type="paragraph" w:styleId="1238" w:customStyle="1">
    <w:name w:val="首页标题 一号"/>
    <w:basedOn w:val="1218"/>
    <w:uiPriority w:val="0"/>
    <w:qFormat/>
    <w:rPr>
      <w:sz w:val="52"/>
    </w:rPr>
  </w:style>
  <w:style w:type="paragraph" w:styleId="1239" w:customStyle="1">
    <w:name w:val="样式 正文2 + 首行缩进:  0 厘米 段后: 1.5 行"/>
    <w:basedOn w:val="74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0" w:customStyle="1">
    <w:name w:val="Table Text/Title"/>
    <w:basedOn w:val="743"/>
    <w:uiPriority w:val="0"/>
    <w:qFormat/>
    <w:pPr>
      <w:jc w:val="left"/>
      <w:widowControl/>
    </w:pPr>
    <w:rPr>
      <w:rFonts w:ascii="宋体"/>
      <w:b/>
      <w:bCs/>
      <w:sz w:val="20"/>
      <w:szCs w:val="20"/>
      <w:lang w:eastAsia="en-US"/>
    </w:rPr>
  </w:style>
  <w:style w:type="paragraph" w:styleId="1241" w:customStyle="1">
    <w:name w:val="样式 序号----------- + 仿宋_GB23121"/>
    <w:basedOn w:val="1145"/>
    <w:uiPriority w:val="0"/>
    <w:qFormat/>
    <w:pPr>
      <w:spacing w:line="360" w:lineRule="auto"/>
    </w:pPr>
    <w:rPr>
      <w:rFonts w:ascii="仿宋_GB2312" w:eastAsia="仿宋_GB2312"/>
      <w:bCs w:val="0"/>
    </w:rPr>
  </w:style>
  <w:style w:type="paragraph" w:styleId="1242" w:customStyle="1">
    <w:name w:val="Char Char Char Char1"/>
    <w:basedOn w:val="743"/>
    <w:uiPriority w:val="0"/>
    <w:qFormat/>
    <w:pPr>
      <w:ind w:firstLine="200"/>
      <w:spacing w:line="360" w:lineRule="auto"/>
    </w:pPr>
    <w:rPr>
      <w:sz w:val="24"/>
      <w:szCs w:val="20"/>
    </w:rPr>
  </w:style>
  <w:style w:type="paragraph" w:styleId="124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4" w:customStyle="1">
    <w:name w:val="Char1"/>
    <w:basedOn w:val="743"/>
    <w:uiPriority w:val="0"/>
    <w:qFormat/>
    <w:pPr>
      <w:ind w:left="360" w:right="202" w:firstLine="360"/>
      <w:spacing w:line="480" w:lineRule="auto"/>
      <w:tabs>
        <w:tab w:val="left" w:pos="360" w:leader="none"/>
      </w:tabs>
    </w:pPr>
    <w:rPr>
      <w:sz w:val="24"/>
    </w:rPr>
  </w:style>
  <w:style w:type="paragraph" w:styleId="124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章标题"/>
    <w:next w:val="116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7"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Normal_0_1"/>
    <w:uiPriority w:val="0"/>
    <w:qFormat/>
    <w:rPr>
      <w:rFonts w:ascii="黑体" w:hAnsi="黑体" w:eastAsia="黑体" w:cs="Times New Roman"/>
      <w:b/>
      <w:sz w:val="32"/>
      <w:szCs w:val="24"/>
      <w:lang w:val="en-US" w:eastAsia="zh-CN" w:bidi="ar-SA"/>
    </w:rPr>
  </w:style>
  <w:style w:type="paragraph" w:styleId="1249" w:customStyle="1">
    <w:name w:val="列表段落1"/>
    <w:basedOn w:val="743"/>
    <w:uiPriority w:val="34"/>
    <w:qFormat/>
    <w:pPr>
      <w:ind w:firstLine="420"/>
    </w:pPr>
  </w:style>
  <w:style w:type="paragraph" w:styleId="1250" w:customStyle="1">
    <w:name w:val="默认段落字体 Para Char Char Char Char Char Char Char Char Char1 Char Char Char Char Char Char Char Char"/>
    <w:basedOn w:val="991"/>
    <w:uiPriority w:val="0"/>
    <w:qFormat/>
    <w:rPr>
      <w:rFonts w:ascii="Calibri" w:hAnsi="Calibri"/>
    </w:rPr>
  </w:style>
  <w:style w:type="paragraph" w:styleId="1251" w:customStyle="1">
    <w:name w:val="Normal_7_0"/>
    <w:uiPriority w:val="0"/>
    <w:qFormat/>
    <w:rPr>
      <w:rFonts w:ascii="黑体" w:hAnsi="黑体" w:eastAsia="黑体" w:cs="Times New Roman"/>
      <w:b/>
      <w:sz w:val="32"/>
      <w:szCs w:val="24"/>
      <w:lang w:val="en-US" w:eastAsia="zh-CN" w:bidi="ar-SA"/>
    </w:rPr>
  </w:style>
  <w:style w:type="paragraph" w:styleId="1252" w:customStyle="1">
    <w:name w:val="Char Char Char Char Char 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25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4" w:customStyle="1">
    <w:name w:val="Normal_12_0"/>
    <w:uiPriority w:val="0"/>
    <w:qFormat/>
    <w:rPr>
      <w:rFonts w:ascii="黑体" w:hAnsi="黑体" w:eastAsia="黑体" w:cs="Times New Roman"/>
      <w:b/>
      <w:sz w:val="32"/>
      <w:szCs w:val="24"/>
      <w:lang w:val="en-US" w:eastAsia="zh-CN" w:bidi="ar-SA"/>
    </w:rPr>
  </w:style>
  <w:style w:type="paragraph" w:styleId="1255" w:customStyle="1">
    <w:name w:val="ul"/>
    <w:basedOn w:val="74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58" w:customStyle="1">
    <w:name w:val="Normal_18"/>
    <w:uiPriority w:val="0"/>
    <w:qFormat/>
    <w:rPr>
      <w:rFonts w:ascii="黑体" w:hAnsi="黑体" w:eastAsia="黑体" w:cs="Times New Roman"/>
      <w:b/>
      <w:sz w:val="32"/>
      <w:szCs w:val="24"/>
      <w:lang w:val="en-US" w:eastAsia="zh-CN" w:bidi="ar-SA"/>
    </w:rPr>
  </w:style>
  <w:style w:type="paragraph" w:styleId="1259" w:customStyle="1">
    <w:name w:val="xl34"/>
    <w:basedOn w:val="743"/>
    <w:uiPriority w:val="0"/>
    <w:qFormat/>
    <w:pPr>
      <w:jc w:val="center"/>
      <w:spacing w:before="100" w:beforeAutospacing="1" w:after="100" w:afterAutospacing="1"/>
      <w:widowControl/>
    </w:pPr>
    <w:rPr>
      <w:rFonts w:ascii="Arial Unicode MS" w:hAnsi="Arial Unicode MS" w:eastAsia="Arial Unicode MS"/>
      <w:sz w:val="24"/>
    </w:rPr>
  </w:style>
  <w:style w:type="paragraph" w:styleId="1260" w:customStyle="1">
    <w:name w:val="Normal_0_3"/>
    <w:uiPriority w:val="0"/>
    <w:qFormat/>
    <w:rPr>
      <w:rFonts w:ascii="黑体" w:hAnsi="黑体" w:eastAsia="黑体" w:cs="Times New Roman"/>
      <w:b/>
      <w:sz w:val="32"/>
      <w:szCs w:val="24"/>
      <w:lang w:val="en-US" w:eastAsia="zh-CN" w:bidi="ar-SA"/>
    </w:rPr>
  </w:style>
  <w:style w:type="paragraph" w:styleId="126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2" w:customStyle="1">
    <w:name w:val="修订1"/>
    <w:uiPriority w:val="0"/>
    <w:qFormat/>
    <w:rPr>
      <w:rFonts w:ascii="Times New Roman" w:hAnsi="Times New Roman" w:eastAsia="宋体" w:cs="Times New Roman"/>
      <w:sz w:val="21"/>
      <w:szCs w:val="24"/>
      <w:lang w:val="en-US" w:eastAsia="zh-CN" w:bidi="ar-SA"/>
    </w:rPr>
  </w:style>
  <w:style w:type="paragraph" w:styleId="1263" w:customStyle="1">
    <w:name w:val="Char11"/>
    <w:basedOn w:val="743"/>
    <w:uiPriority w:val="0"/>
    <w:qFormat/>
    <w:rPr>
      <w:szCs w:val="21"/>
    </w:rPr>
  </w:style>
  <w:style w:type="paragraph" w:styleId="126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5" w:customStyle="1">
    <w:name w:val="Normal_12"/>
    <w:uiPriority w:val="0"/>
    <w:qFormat/>
    <w:rPr>
      <w:rFonts w:ascii="黑体" w:hAnsi="黑体" w:eastAsia="黑体" w:cs="Times New Roman"/>
      <w:b/>
      <w:sz w:val="32"/>
      <w:szCs w:val="24"/>
      <w:lang w:val="en-US" w:eastAsia="zh-CN" w:bidi="ar-SA"/>
    </w:rPr>
  </w:style>
  <w:style w:type="paragraph" w:styleId="1266" w:customStyle="1">
    <w:name w:val="Normal_8_0"/>
    <w:uiPriority w:val="0"/>
    <w:qFormat/>
    <w:rPr>
      <w:rFonts w:ascii="黑体" w:hAnsi="黑体" w:eastAsia="黑体" w:cs="Times New Roman"/>
      <w:b/>
      <w:sz w:val="32"/>
      <w:szCs w:val="24"/>
      <w:lang w:val="en-US" w:eastAsia="zh-CN" w:bidi="ar-SA"/>
    </w:rPr>
  </w:style>
  <w:style w:type="paragraph" w:styleId="1267" w:customStyle="1">
    <w:name w:val="文档正文"/>
    <w:basedOn w:val="743"/>
    <w:uiPriority w:val="0"/>
    <w:qFormat/>
    <w:rPr>
      <w:rFonts w:ascii="宋体"/>
      <w:szCs w:val="20"/>
    </w:rPr>
  </w:style>
  <w:style w:type="paragraph" w:styleId="1268" w:customStyle="1">
    <w:name w:val="技术方案正文"/>
    <w:basedOn w:val="743"/>
    <w:uiPriority w:val="0"/>
    <w:qFormat/>
    <w:pPr>
      <w:ind w:firstLine="480"/>
      <w:spacing w:line="360" w:lineRule="auto"/>
    </w:pPr>
    <w:rPr>
      <w:rFonts w:ascii="宋体"/>
      <w:sz w:val="24"/>
    </w:rPr>
  </w:style>
  <w:style w:type="paragraph" w:styleId="1269" w:customStyle="1">
    <w:name w:val="xl2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普通正文"/>
    <w:basedOn w:val="743"/>
    <w:uiPriority w:val="0"/>
    <w:qFormat/>
    <w:pPr>
      <w:ind w:firstLine="425"/>
      <w:jc w:val="left"/>
    </w:pPr>
    <w:rPr>
      <w:rFonts w:ascii="宋体"/>
      <w:sz w:val="20"/>
      <w:szCs w:val="20"/>
    </w:rPr>
  </w:style>
  <w:style w:type="paragraph" w:styleId="127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2" w:customStyle="1">
    <w:name w:val="Normal_0_2"/>
    <w:uiPriority w:val="0"/>
    <w:qFormat/>
    <w:rPr>
      <w:rFonts w:ascii="黑体" w:hAnsi="黑体" w:eastAsia="黑体" w:cs="Times New Roman"/>
      <w:b/>
      <w:sz w:val="32"/>
      <w:szCs w:val="24"/>
      <w:lang w:val="en-US" w:eastAsia="zh-CN" w:bidi="ar-SA"/>
    </w:rPr>
  </w:style>
  <w:style w:type="paragraph" w:styleId="1273"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样式4"/>
    <w:basedOn w:val="969"/>
    <w:uiPriority w:val="0"/>
    <w:qFormat/>
    <w:pPr>
      <w:spacing w:line="415" w:lineRule="auto"/>
    </w:pPr>
    <w:rPr>
      <w:rFonts w:ascii="Calibri" w:hAnsi="Calibri"/>
      <w:bCs/>
      <w:color w:val="000000"/>
      <w:sz w:val="28"/>
      <w:szCs w:val="28"/>
    </w:rPr>
  </w:style>
  <w:style w:type="paragraph" w:styleId="1276" w:customStyle="1">
    <w:name w:val="pa-4"/>
    <w:basedOn w:val="743"/>
    <w:uiPriority w:val="0"/>
    <w:qFormat/>
    <w:pPr>
      <w:jc w:val="center"/>
      <w:spacing w:line="280" w:lineRule="atLeast"/>
      <w:widowControl/>
    </w:pPr>
    <w:rPr>
      <w:rFonts w:ascii="宋体" w:cs="宋体"/>
      <w:sz w:val="24"/>
    </w:rPr>
  </w:style>
  <w:style w:type="paragraph" w:styleId="1277" w:customStyle="1">
    <w:name w:val="Normal_1"/>
    <w:uiPriority w:val="0"/>
    <w:qFormat/>
    <w:rPr>
      <w:rFonts w:ascii="黑体" w:hAnsi="黑体" w:eastAsia="黑体" w:cs="Times New Roman"/>
      <w:b/>
      <w:sz w:val="32"/>
      <w:szCs w:val="24"/>
      <w:lang w:val="en-US" w:eastAsia="zh-CN" w:bidi="ar-SA"/>
    </w:rPr>
  </w:style>
  <w:style w:type="paragraph" w:styleId="1278" w:customStyle="1">
    <w:name w:val="标书3"/>
    <w:next w:val="1179"/>
    <w:uiPriority w:val="0"/>
    <w:qFormat/>
    <w:pPr>
      <w:jc w:val="center"/>
      <w:widowControl w:val="off"/>
    </w:pPr>
    <w:rPr>
      <w:rFonts w:ascii="Times New Roman" w:hAnsi="Times New Roman" w:eastAsia="黑体" w:cs="Times New Roman"/>
      <w:b/>
      <w:sz w:val="44"/>
      <w:szCs w:val="24"/>
      <w:lang w:val="en-US" w:eastAsia="zh-CN" w:bidi="ar-SA"/>
    </w:rPr>
  </w:style>
  <w:style w:type="paragraph" w:styleId="1279" w:customStyle="1">
    <w:name w:val="Char2"/>
    <w:basedOn w:val="743"/>
    <w:uiPriority w:val="0"/>
    <w:qFormat/>
    <w:pPr>
      <w:tabs>
        <w:tab w:val="left" w:pos="360" w:leader="none"/>
      </w:tabs>
    </w:pPr>
    <w:rPr>
      <w:rFonts w:ascii="仿宋_GB2312" w:eastAsia="仿宋_GB2312"/>
      <w:b/>
      <w:sz w:val="24"/>
    </w:rPr>
  </w:style>
  <w:style w:type="paragraph" w:styleId="128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正文（首行缩进两字）"/>
    <w:basedOn w:val="743"/>
    <w:uiPriority w:val="0"/>
    <w:qFormat/>
    <w:pPr>
      <w:spacing w:line="312" w:lineRule="auto"/>
    </w:pPr>
    <w:rPr>
      <w:rFonts w:ascii="宋体" w:cs="宋体"/>
      <w:sz w:val="24"/>
    </w:rPr>
  </w:style>
  <w:style w:type="paragraph" w:styleId="1282" w:customStyle="1">
    <w:name w:val="首页标题"/>
    <w:uiPriority w:val="0"/>
    <w:qFormat/>
    <w:pPr>
      <w:jc w:val="center"/>
    </w:pPr>
    <w:rPr>
      <w:rFonts w:ascii="宋体" w:hAnsi="Times New Roman" w:eastAsia="宋体" w:cs="宋体"/>
      <w:sz w:val="72"/>
      <w:szCs w:val="72"/>
      <w:lang w:val="en-US" w:eastAsia="zh-CN" w:bidi="ar-SA"/>
    </w:rPr>
  </w:style>
  <w:style w:type="paragraph" w:styleId="128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5" w:customStyle="1">
    <w:name w:val="pa-3"/>
    <w:basedOn w:val="743"/>
    <w:uiPriority w:val="0"/>
    <w:qFormat/>
    <w:pPr>
      <w:jc w:val="left"/>
      <w:spacing w:before="150" w:after="150"/>
      <w:widowControl/>
    </w:pPr>
    <w:rPr>
      <w:rFonts w:ascii="宋体" w:cs="宋体"/>
      <w:sz w:val="24"/>
    </w:rPr>
  </w:style>
  <w:style w:type="paragraph" w:styleId="1286" w:customStyle="1">
    <w:name w:val="图号"/>
    <w:basedOn w:val="74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7" w:customStyle="1">
    <w:name w:val="Normal_10_0"/>
    <w:uiPriority w:val="0"/>
    <w:qFormat/>
    <w:rPr>
      <w:rFonts w:ascii="黑体" w:hAnsi="黑体" w:eastAsia="黑体" w:cs="Times New Roman"/>
      <w:b/>
      <w:sz w:val="32"/>
      <w:szCs w:val="24"/>
      <w:lang w:val="en-US" w:eastAsia="zh-CN" w:bidi="ar-SA"/>
    </w:rPr>
  </w:style>
  <w:style w:type="paragraph" w:styleId="1288" w:customStyle="1">
    <w:name w:val="Normal_6"/>
    <w:uiPriority w:val="0"/>
    <w:qFormat/>
    <w:rPr>
      <w:rFonts w:ascii="黑体" w:hAnsi="黑体" w:eastAsia="黑体" w:cs="Times New Roman"/>
      <w:b/>
      <w:sz w:val="32"/>
      <w:szCs w:val="24"/>
      <w:lang w:val="en-US" w:eastAsia="zh-CN" w:bidi="ar-SA"/>
    </w:rPr>
  </w:style>
  <w:style w:type="paragraph" w:styleId="1289" w:customStyle="1">
    <w:name w:val="Char Char Char Char"/>
    <w:basedOn w:val="743"/>
    <w:uiPriority w:val="0"/>
    <w:qFormat/>
    <w:pPr>
      <w:ind w:left="560" w:firstLine="200"/>
      <w:jc w:val="left"/>
      <w:spacing w:after="120" w:line="360" w:lineRule="auto"/>
      <w:widowControl/>
    </w:pPr>
    <w:rPr>
      <w:rFonts w:ascii="Verdana" w:hAnsi="Verdana"/>
      <w:sz w:val="24"/>
    </w:rPr>
  </w:style>
  <w:style w:type="paragraph" w:styleId="1290" w:customStyle="1">
    <w:name w:val="font9"/>
    <w:basedOn w:val="743"/>
    <w:uiPriority w:val="0"/>
    <w:qFormat/>
    <w:pPr>
      <w:jc w:val="left"/>
      <w:spacing w:before="100" w:beforeAutospacing="1" w:after="100" w:afterAutospacing="1"/>
      <w:widowControl/>
    </w:pPr>
    <w:rPr>
      <w:rFonts w:ascii="宋体"/>
      <w:color w:val="000000"/>
      <w:sz w:val="18"/>
      <w:szCs w:val="18"/>
    </w:rPr>
  </w:style>
  <w:style w:type="paragraph" w:styleId="1291" w:customStyle="1">
    <w:name w:val="Body Text First Indent 21"/>
    <w:basedOn w:val="997"/>
    <w:uiPriority w:val="99"/>
    <w:qFormat/>
    <w:pPr>
      <w:ind w:firstLine="420"/>
    </w:pPr>
  </w:style>
  <w:style w:type="paragraph" w:styleId="1292" w:customStyle="1">
    <w:name w:val="CM17"/>
    <w:basedOn w:val="743"/>
    <w:next w:val="743"/>
    <w:uiPriority w:val="0"/>
    <w:qFormat/>
    <w:pPr>
      <w:jc w:val="left"/>
      <w:spacing w:after="273" w:line="360" w:lineRule="auto"/>
    </w:pPr>
    <w:rPr>
      <w:rFonts w:ascii="宋体"/>
      <w:sz w:val="24"/>
    </w:rPr>
  </w:style>
  <w:style w:type="paragraph" w:styleId="1293" w:customStyle="1">
    <w:name w:val="pa-0"/>
    <w:basedOn w:val="743"/>
    <w:uiPriority w:val="0"/>
    <w:qFormat/>
    <w:pPr>
      <w:ind w:firstLine="480"/>
      <w:spacing w:line="360" w:lineRule="atLeast"/>
      <w:widowControl/>
    </w:pPr>
    <w:rPr>
      <w:rFonts w:ascii="宋体" w:cs="宋体"/>
      <w:sz w:val="24"/>
    </w:rPr>
  </w:style>
  <w:style w:type="paragraph" w:styleId="129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D&amp;L"/>
    <w:basedOn w:val="1015"/>
    <w:uiPriority w:val="0"/>
    <w:qFormat/>
    <w:pPr>
      <w:spacing w:line="240" w:lineRule="atLeast"/>
      <w:pBdr>
        <w:bottom w:val="single" w:color="000000" w:sz="18" w:space="1"/>
      </w:pBdr>
    </w:pPr>
    <w:rPr>
      <w:sz w:val="24"/>
      <w:szCs w:val="20"/>
    </w:rPr>
  </w:style>
  <w:style w:type="paragraph" w:styleId="1296" w:customStyle="1">
    <w:name w:val="Normal_16"/>
    <w:uiPriority w:val="0"/>
    <w:qFormat/>
    <w:rPr>
      <w:rFonts w:ascii="黑体" w:hAnsi="黑体" w:eastAsia="黑体" w:cs="Times New Roman"/>
      <w:b/>
      <w:sz w:val="32"/>
      <w:szCs w:val="24"/>
      <w:lang w:val="en-US" w:eastAsia="zh-CN" w:bidi="ar-SA"/>
    </w:rPr>
  </w:style>
  <w:style w:type="paragraph" w:styleId="1297"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98" w:customStyle="1">
    <w:name w:val="font5"/>
    <w:basedOn w:val="743"/>
    <w:uiPriority w:val="0"/>
    <w:qFormat/>
    <w:pPr>
      <w:jc w:val="left"/>
      <w:spacing w:before="100" w:beforeAutospacing="1" w:after="100" w:afterAutospacing="1"/>
      <w:widowControl/>
    </w:pPr>
    <w:rPr>
      <w:rFonts w:ascii="宋体"/>
      <w:sz w:val="18"/>
      <w:szCs w:val="18"/>
    </w:rPr>
  </w:style>
  <w:style w:type="paragraph" w:styleId="1299"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大汉方案正文 Char"/>
    <w:basedOn w:val="743"/>
    <w:uiPriority w:val="0"/>
    <w:qFormat/>
    <w:pPr>
      <w:ind w:firstLine="200"/>
      <w:spacing w:line="360" w:lineRule="auto"/>
    </w:pPr>
    <w:rPr>
      <w:rFonts w:ascii="Arial" w:hAnsi="Arial"/>
      <w:sz w:val="24"/>
    </w:rPr>
  </w:style>
  <w:style w:type="paragraph" w:styleId="1301" w:customStyle="1">
    <w:name w:val="样式2"/>
    <w:basedOn w:val="969"/>
    <w:uiPriority w:val="0"/>
    <w:qFormat/>
    <w:pPr>
      <w:spacing w:line="415" w:lineRule="auto"/>
    </w:pPr>
    <w:rPr>
      <w:rFonts w:ascii="Calibri" w:hAnsi="Calibri"/>
      <w:bCs/>
      <w:color w:val="000000"/>
      <w:sz w:val="28"/>
      <w:szCs w:val="28"/>
    </w:rPr>
  </w:style>
  <w:style w:type="paragraph" w:styleId="1302" w:customStyle="1">
    <w:name w:val="Normal_2_0"/>
    <w:uiPriority w:val="0"/>
    <w:qFormat/>
    <w:rPr>
      <w:rFonts w:ascii="黑体" w:hAnsi="黑体" w:eastAsia="黑体" w:cs="Times New Roman"/>
      <w:b/>
      <w:sz w:val="32"/>
      <w:szCs w:val="24"/>
      <w:lang w:val="en-US" w:eastAsia="zh-CN" w:bidi="ar-SA"/>
    </w:rPr>
  </w:style>
  <w:style w:type="paragraph" w:styleId="1303" w:customStyle="1">
    <w:name w:val="序号"/>
    <w:next w:val="743"/>
    <w:uiPriority w:val="0"/>
    <w:qFormat/>
    <w:pPr>
      <w:jc w:val="center"/>
    </w:pPr>
    <w:rPr>
      <w:rFonts w:ascii="Times New Roman" w:hAnsi="Times New Roman" w:eastAsia="仿宋_GB2312" w:cs="Times New Roman"/>
      <w:bCs/>
      <w:sz w:val="21"/>
      <w:szCs w:val="44"/>
      <w:lang w:val="en-US" w:eastAsia="zh-CN" w:bidi="ar-SA"/>
    </w:rPr>
  </w:style>
  <w:style w:type="paragraph" w:styleId="1304" w:customStyle="1">
    <w:name w:val="Normal_4"/>
    <w:uiPriority w:val="0"/>
    <w:qFormat/>
    <w:rPr>
      <w:rFonts w:ascii="黑体" w:hAnsi="黑体" w:eastAsia="黑体" w:cs="Times New Roman"/>
      <w:b/>
      <w:sz w:val="32"/>
      <w:szCs w:val="24"/>
      <w:lang w:val="en-US" w:eastAsia="zh-CN" w:bidi="ar-SA"/>
    </w:rPr>
  </w:style>
  <w:style w:type="paragraph" w:styleId="1305" w:customStyle="1">
    <w:name w:val="xl35"/>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txt"/>
    <w:basedOn w:val="743"/>
    <w:uiPriority w:val="0"/>
    <w:qFormat/>
    <w:pPr>
      <w:jc w:val="left"/>
      <w:spacing w:before="100" w:beforeAutospacing="1" w:after="100" w:afterAutospacing="1"/>
      <w:widowControl/>
    </w:pPr>
    <w:rPr>
      <w:rFonts w:ascii="宋体" w:cs="宋体"/>
      <w:sz w:val="24"/>
    </w:rPr>
  </w:style>
  <w:style w:type="paragraph" w:styleId="1307" w:customStyle="1">
    <w:name w:val="样式5"/>
    <w:basedOn w:val="969"/>
    <w:uiPriority w:val="0"/>
    <w:qFormat/>
    <w:pPr>
      <w:spacing w:line="415" w:lineRule="auto"/>
    </w:pPr>
    <w:rPr>
      <w:rFonts w:ascii="Calibri" w:hAnsi="Calibri"/>
      <w:bCs/>
      <w:color w:val="000000"/>
      <w:sz w:val="28"/>
      <w:szCs w:val="28"/>
    </w:rPr>
  </w:style>
  <w:style w:type="paragraph" w:styleId="1308" w:customStyle="1">
    <w:name w:val="font7"/>
    <w:basedOn w:val="743"/>
    <w:uiPriority w:val="0"/>
    <w:qFormat/>
    <w:pPr>
      <w:jc w:val="left"/>
      <w:spacing w:before="100" w:beforeAutospacing="1" w:after="100" w:afterAutospacing="1"/>
      <w:widowControl/>
    </w:pPr>
    <w:rPr>
      <w:rFonts w:ascii="宋体"/>
      <w:sz w:val="20"/>
      <w:szCs w:val="20"/>
    </w:rPr>
  </w:style>
  <w:style w:type="paragraph" w:styleId="1309"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xl37"/>
    <w:basedOn w:val="74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1" w:customStyle="1">
    <w:name w:val="编号"/>
    <w:basedOn w:val="743"/>
    <w:next w:val="1179"/>
    <w:uiPriority w:val="0"/>
    <w:qFormat/>
    <w:pPr>
      <w:ind w:left="420" w:right="-136" w:hanging="420"/>
      <w:widowControl/>
      <w:tabs>
        <w:tab w:val="left" w:pos="420" w:leader="none"/>
      </w:tabs>
    </w:pPr>
    <w:rPr>
      <w:rFonts w:ascii="仿宋_GB2312" w:eastAsia="仿宋_GB2312"/>
      <w:b/>
      <w:bCs/>
      <w:sz w:val="24"/>
      <w:szCs w:val="21"/>
    </w:rPr>
  </w:style>
  <w:style w:type="paragraph" w:styleId="1312" w:customStyle="1">
    <w:name w:val="TOC 标题2"/>
    <w:basedOn w:val="967"/>
    <w:next w:val="743"/>
    <w:uiPriority w:val="0"/>
    <w:qFormat/>
    <w:pPr>
      <w:spacing w:before="480" w:after="0" w:line="276" w:lineRule="auto"/>
      <w:widowControl/>
      <w:outlineLvl w:val="9"/>
    </w:pPr>
    <w:rPr>
      <w:rFonts w:ascii="Cambria" w:hAnsi="Cambria"/>
      <w:color w:val="365f91"/>
      <w:sz w:val="28"/>
    </w:rPr>
  </w:style>
  <w:style w:type="paragraph" w:styleId="1313" w:customStyle="1">
    <w:name w:val="Sourcetext bullet"/>
    <w:basedOn w:val="74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4" w:customStyle="1">
    <w:name w:val="xl40"/>
    <w:basedOn w:val="74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5" w:customStyle="1">
    <w:name w:val="font8"/>
    <w:basedOn w:val="743"/>
    <w:uiPriority w:val="0"/>
    <w:qFormat/>
    <w:pPr>
      <w:jc w:val="left"/>
      <w:spacing w:before="100" w:beforeAutospacing="1" w:after="100" w:afterAutospacing="1"/>
      <w:widowControl/>
    </w:pPr>
    <w:rPr>
      <w:rFonts w:ascii="Arial" w:hAnsi="Arial" w:cs="Arial"/>
      <w:color w:val="000000"/>
      <w:sz w:val="18"/>
      <w:szCs w:val="18"/>
    </w:rPr>
  </w:style>
  <w:style w:type="paragraph" w:styleId="1316" w:customStyle="1">
    <w:name w:val="Char Char Char Char Char Char Char Char Char Char1"/>
    <w:basedOn w:val="743"/>
    <w:uiPriority w:val="0"/>
    <w:qFormat/>
    <w:rPr>
      <w:rFonts w:ascii="Tahoma" w:hAnsi="Tahoma" w:cs="Tahoma"/>
      <w:sz w:val="24"/>
    </w:rPr>
  </w:style>
  <w:style w:type="paragraph" w:styleId="1317" w:customStyle="1">
    <w:name w:val="Char Char Char Char Char Char Char1"/>
    <w:basedOn w:val="743"/>
    <w:uiPriority w:val="0"/>
    <w:qFormat/>
    <w:pPr>
      <w:jc w:val="left"/>
      <w:spacing w:after="160" w:line="240" w:lineRule="exact"/>
      <w:widowControl/>
    </w:pPr>
    <w:rPr>
      <w:rFonts w:ascii="Verdana" w:hAnsi="Verdana"/>
      <w:sz w:val="20"/>
      <w:szCs w:val="20"/>
      <w:lang w:eastAsia="en-US"/>
    </w:rPr>
  </w:style>
  <w:style w:type="paragraph" w:styleId="1318" w:customStyle="1">
    <w:name w:val="xl31"/>
    <w:basedOn w:val="74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9"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Normal_11"/>
    <w:uiPriority w:val="0"/>
    <w:qFormat/>
    <w:rPr>
      <w:rFonts w:ascii="黑体" w:hAnsi="黑体" w:eastAsia="黑体" w:cs="Times New Roman"/>
      <w:b/>
      <w:sz w:val="32"/>
      <w:szCs w:val="24"/>
      <w:lang w:val="en-US" w:eastAsia="zh-CN" w:bidi="ar-SA"/>
    </w:rPr>
  </w:style>
  <w:style w:type="paragraph" w:styleId="1321" w:customStyle="1">
    <w:name w:val="Char12"/>
    <w:basedOn w:val="743"/>
    <w:uiPriority w:val="0"/>
    <w:qFormat/>
    <w:pPr>
      <w:ind w:left="360" w:right="202" w:firstLine="360"/>
      <w:spacing w:line="480" w:lineRule="auto"/>
      <w:tabs>
        <w:tab w:val="left" w:pos="360" w:leader="none"/>
      </w:tabs>
    </w:pPr>
    <w:rPr>
      <w:sz w:val="24"/>
    </w:rPr>
  </w:style>
  <w:style w:type="paragraph" w:styleId="132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3" w:customStyle="1">
    <w:name w:val="xl3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4"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style42"/>
    <w:basedOn w:val="743"/>
    <w:uiPriority w:val="0"/>
    <w:qFormat/>
    <w:pPr>
      <w:jc w:val="left"/>
      <w:spacing w:before="100" w:beforeAutospacing="1" w:after="100" w:afterAutospacing="1"/>
      <w:widowControl/>
    </w:pPr>
    <w:rPr>
      <w:rFonts w:ascii="宋体" w:cs="宋体"/>
      <w:color w:val="000000"/>
      <w:sz w:val="15"/>
      <w:szCs w:val="15"/>
    </w:rPr>
  </w:style>
  <w:style w:type="paragraph" w:styleId="1326"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327" w:customStyle="1">
    <w:name w:val="font6"/>
    <w:basedOn w:val="743"/>
    <w:uiPriority w:val="0"/>
    <w:qFormat/>
    <w:pPr>
      <w:jc w:val="left"/>
      <w:spacing w:before="100" w:beforeAutospacing="1" w:after="100" w:afterAutospacing="1"/>
      <w:widowControl/>
    </w:pPr>
    <w:rPr>
      <w:sz w:val="20"/>
      <w:szCs w:val="20"/>
    </w:rPr>
  </w:style>
  <w:style w:type="paragraph" w:styleId="1328" w:customStyle="1">
    <w:name w:val="样式 正文首行缩进 + 宋体 首行缩进:  0.74 厘米"/>
    <w:basedOn w:val="1036"/>
    <w:uiPriority w:val="0"/>
    <w:qFormat/>
    <w:pPr>
      <w:ind w:firstLine="210"/>
      <w:spacing w:before="120" w:after="0" w:line="380" w:lineRule="exact"/>
    </w:pPr>
    <w:rPr>
      <w:rFonts w:ascii="宋体" w:cs="宋体"/>
      <w:sz w:val="24"/>
      <w:szCs w:val="20"/>
    </w:rPr>
  </w:style>
  <w:style w:type="paragraph" w:styleId="132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Normal_17_0"/>
    <w:uiPriority w:val="0"/>
    <w:qFormat/>
    <w:rPr>
      <w:rFonts w:ascii="黑体" w:hAnsi="黑体" w:eastAsia="黑体" w:cs="Times New Roman"/>
      <w:b/>
      <w:sz w:val="32"/>
      <w:szCs w:val="24"/>
      <w:lang w:val="en-US" w:eastAsia="zh-CN" w:bidi="ar-SA"/>
    </w:rPr>
  </w:style>
  <w:style w:type="paragraph" w:styleId="1331" w:customStyle="1">
    <w:name w:val="Char Char Char Char Char Char Char Char Char Char2"/>
    <w:basedOn w:val="743"/>
    <w:uiPriority w:val="0"/>
    <w:qFormat/>
    <w:rPr>
      <w:rFonts w:ascii="Tahoma" w:hAnsi="Tahoma"/>
      <w:sz w:val="24"/>
      <w:szCs w:val="20"/>
    </w:rPr>
  </w:style>
  <w:style w:type="paragraph" w:styleId="133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4" w:customStyle="1">
    <w:name w:val="Char Char Char Char Char Char Char1 Char"/>
    <w:basedOn w:val="743"/>
    <w:uiPriority w:val="0"/>
    <w:qFormat/>
    <w:rPr>
      <w:rFonts w:ascii="Tahoma" w:hAnsi="Tahoma"/>
      <w:sz w:val="24"/>
      <w:szCs w:val="20"/>
    </w:rPr>
  </w:style>
  <w:style w:type="paragraph" w:styleId="1335" w:customStyle="1">
    <w:name w:val="Char Char1 Char Char Char Char Char Char"/>
    <w:basedOn w:val="743"/>
    <w:uiPriority w:val="0"/>
    <w:qFormat/>
    <w:pPr>
      <w:jc w:val="center"/>
      <w:widowControl/>
    </w:pPr>
    <w:rPr>
      <w:szCs w:val="20"/>
    </w:rPr>
  </w:style>
  <w:style w:type="paragraph" w:styleId="1336" w:customStyle="1">
    <w:name w:val="Normal Paragraph Char"/>
    <w:basedOn w:val="743"/>
    <w:uiPriority w:val="0"/>
    <w:qFormat/>
    <w:pPr>
      <w:ind w:firstLine="425"/>
      <w:spacing w:before="120" w:line="360" w:lineRule="auto"/>
      <w:widowControl/>
    </w:pPr>
    <w:rPr>
      <w:rFonts w:ascii="Calibri" w:hAnsi="Calibri"/>
      <w:sz w:val="24"/>
    </w:rPr>
  </w:style>
  <w:style w:type="paragraph" w:styleId="1337" w:customStyle="1">
    <w:name w:val="Char Char Char Char Char Char Char Char Char Char Char Char Char1"/>
    <w:basedOn w:val="743"/>
    <w:uiPriority w:val="0"/>
    <w:qFormat/>
    <w:pPr>
      <w:jc w:val="left"/>
      <w:spacing w:after="160" w:line="240" w:lineRule="exact"/>
      <w:widowControl/>
    </w:pPr>
    <w:rPr>
      <w:rFonts w:ascii="Arial" w:hAnsi="Arial" w:eastAsia="Times New Roman" w:cs="Verdana"/>
      <w:b/>
      <w:sz w:val="24"/>
      <w:szCs w:val="32"/>
      <w:lang w:eastAsia="en-US"/>
    </w:rPr>
  </w:style>
  <w:style w:type="paragraph" w:styleId="1338" w:customStyle="1">
    <w:name w:val="默认段落字体 Para Char"/>
    <w:basedOn w:val="743"/>
    <w:uiPriority w:val="0"/>
    <w:qFormat/>
    <w:rPr>
      <w:rFonts w:ascii="宋体"/>
      <w:b/>
      <w:sz w:val="28"/>
      <w:szCs w:val="28"/>
    </w:rPr>
  </w:style>
  <w:style w:type="paragraph" w:styleId="13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_0"/>
    <w:uiPriority w:val="0"/>
    <w:qFormat/>
    <w:rPr>
      <w:rFonts w:ascii="Times New Roman" w:hAnsi="Times New Roman" w:eastAsia="Times New Roman" w:cs="Times New Roman"/>
      <w:sz w:val="24"/>
      <w:szCs w:val="24"/>
      <w:lang w:val="en-US" w:eastAsia="zh-CN" w:bidi="ar-SA"/>
    </w:rPr>
  </w:style>
  <w:style w:type="paragraph" w:styleId="1341" w:customStyle="1">
    <w:name w:val="Char Char Char1"/>
    <w:basedOn w:val="743"/>
    <w:uiPriority w:val="0"/>
    <w:qFormat/>
    <w:rPr>
      <w:rFonts w:ascii="Tahoma" w:hAnsi="Tahoma"/>
      <w:sz w:val="24"/>
      <w:szCs w:val="20"/>
    </w:rPr>
  </w:style>
  <w:style w:type="paragraph" w:styleId="1342" w:customStyle="1">
    <w:name w:val="Normal1"/>
    <w:uiPriority w:val="0"/>
    <w:qFormat/>
    <w:rPr>
      <w:rFonts w:ascii="Times New Roman" w:hAnsi="Times New Roman" w:eastAsia="Times New Roman" w:cs="Times New Roman"/>
      <w:sz w:val="24"/>
      <w:szCs w:val="24"/>
      <w:lang w:val="en-US" w:eastAsia="zh-CN" w:bidi="ar-SA"/>
    </w:rPr>
  </w:style>
  <w:style w:type="paragraph" w:styleId="1343" w:customStyle="1">
    <w:name w:val="xl33"/>
    <w:basedOn w:val="74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4" w:customStyle="1">
    <w:name w:val="表格"/>
    <w:basedOn w:val="743"/>
    <w:uiPriority w:val="0"/>
    <w:qFormat/>
    <w:pPr>
      <w:ind w:firstLine="21"/>
    </w:pPr>
    <w:rPr>
      <w:rFonts w:ascii="宋体"/>
      <w:szCs w:val="20"/>
    </w:rPr>
  </w:style>
  <w:style w:type="paragraph" w:styleId="134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4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xl39"/>
    <w:basedOn w:val="74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49" w:customStyle="1">
    <w:name w:val="项目"/>
    <w:basedOn w:val="743"/>
    <w:uiPriority w:val="0"/>
    <w:qFormat/>
    <w:pPr>
      <w:ind w:left="840" w:hanging="420"/>
      <w:spacing w:before="60" w:after="60" w:line="360" w:lineRule="auto"/>
      <w:tabs>
        <w:tab w:val="left" w:pos="840" w:leader="none"/>
      </w:tabs>
    </w:pPr>
    <w:rPr>
      <w:rFonts w:ascii="宋体"/>
      <w:szCs w:val="20"/>
    </w:rPr>
  </w:style>
  <w:style w:type="paragraph" w:styleId="135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Bullet"/>
    <w:basedOn w:val="74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2" w:customStyle="1">
    <w:name w:val="保密事宜内容"/>
    <w:basedOn w:val="74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规范正文"/>
    <w:basedOn w:val="743"/>
    <w:uiPriority w:val="0"/>
    <w:qFormat/>
    <w:pPr>
      <w:ind w:left="480"/>
      <w:spacing w:line="360" w:lineRule="auto"/>
    </w:pPr>
    <w:rPr>
      <w:sz w:val="24"/>
      <w:szCs w:val="20"/>
    </w:rPr>
  </w:style>
  <w:style w:type="paragraph" w:styleId="135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6"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5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5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特点"/>
    <w:basedOn w:val="743"/>
    <w:next w:val="743"/>
    <w:uiPriority w:val="0"/>
    <w:qFormat/>
    <w:pPr>
      <w:jc w:val="center"/>
      <w:spacing w:line="360" w:lineRule="auto"/>
    </w:pPr>
    <w:rPr>
      <w:rFonts w:ascii="Arial" w:hAnsi="Arial"/>
      <w:sz w:val="24"/>
      <w:szCs w:val="20"/>
    </w:rPr>
  </w:style>
  <w:style w:type="paragraph" w:styleId="1361" w:customStyle="1">
    <w:name w:val="正文小四"/>
    <w:basedOn w:val="743"/>
    <w:uiPriority w:val="0"/>
    <w:qFormat/>
    <w:pPr>
      <w:spacing w:line="312" w:lineRule="auto"/>
    </w:pPr>
    <w:rPr>
      <w:rFonts w:ascii="Calibri" w:hAnsi="Calibri"/>
      <w:sz w:val="24"/>
    </w:rPr>
  </w:style>
  <w:style w:type="paragraph" w:styleId="1362" w:customStyle="1">
    <w:name w:val="Normal_15_0"/>
    <w:uiPriority w:val="0"/>
    <w:qFormat/>
    <w:rPr>
      <w:rFonts w:ascii="黑体" w:hAnsi="黑体" w:eastAsia="黑体" w:cs="Times New Roman"/>
      <w:b/>
      <w:sz w:val="32"/>
      <w:szCs w:val="24"/>
      <w:lang w:val="en-US" w:eastAsia="zh-CN" w:bidi="ar-SA"/>
    </w:rPr>
  </w:style>
  <w:style w:type="paragraph" w:styleId="1363" w:customStyle="1">
    <w:name w:val="tabletext"/>
    <w:basedOn w:val="743"/>
    <w:uiPriority w:val="0"/>
    <w:qFormat/>
    <w:pPr>
      <w:jc w:val="left"/>
      <w:spacing w:before="100" w:beforeAutospacing="1" w:after="100" w:afterAutospacing="1"/>
      <w:widowControl/>
    </w:pPr>
    <w:rPr>
      <w:rFonts w:ascii="宋体"/>
      <w:sz w:val="24"/>
    </w:rPr>
  </w:style>
  <w:style w:type="paragraph" w:styleId="1364" w:customStyle="1">
    <w:name w:val="表内容"/>
    <w:basedOn w:val="1195"/>
    <w:uiPriority w:val="0"/>
    <w:qFormat/>
    <w:pPr>
      <w:ind w:left="0" w:firstLine="0"/>
      <w:spacing w:line="320" w:lineRule="exact"/>
    </w:pPr>
    <w:rPr>
      <w:sz w:val="20"/>
    </w:rPr>
  </w:style>
  <w:style w:type="paragraph" w:styleId="1365" w:customStyle="1">
    <w:name w:val="Char13"/>
    <w:basedOn w:val="743"/>
    <w:uiPriority w:val="0"/>
    <w:qFormat/>
  </w:style>
  <w:style w:type="paragraph" w:styleId="1366" w:customStyle="1">
    <w:name w:val="我的样式"/>
    <w:basedOn w:val="743"/>
    <w:uiPriority w:val="0"/>
    <w:qFormat/>
    <w:pPr>
      <w:ind w:firstLine="420"/>
      <w:jc w:val="left"/>
      <w:spacing w:after="120"/>
      <w:widowControl/>
    </w:pPr>
    <w:rPr>
      <w:rFonts w:ascii="宋体"/>
      <w:color w:val="000000"/>
      <w:sz w:val="24"/>
      <w:szCs w:val="16"/>
    </w:rPr>
  </w:style>
  <w:style w:type="paragraph" w:styleId="1367"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编号1"/>
    <w:next w:val="117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69" w:customStyle="1">
    <w:name w:val="Normal_0"/>
    <w:uiPriority w:val="0"/>
    <w:qFormat/>
    <w:rPr>
      <w:rFonts w:ascii="黑体" w:hAnsi="黑体" w:eastAsia="黑体" w:cs="Times New Roman"/>
      <w:b/>
      <w:sz w:val="32"/>
      <w:szCs w:val="24"/>
      <w:lang w:val="en-US" w:eastAsia="zh-CN" w:bidi="ar-SA"/>
    </w:rPr>
  </w:style>
  <w:style w:type="paragraph" w:styleId="1370" w:customStyle="1">
    <w:name w:val="首页单位日期"/>
    <w:basedOn w:val="743"/>
    <w:uiPriority w:val="0"/>
    <w:qFormat/>
    <w:pPr>
      <w:jc w:val="center"/>
      <w:widowControl/>
    </w:pPr>
    <w:rPr>
      <w:rFonts w:ascii="宋体" w:cs="宋体"/>
      <w:bCs/>
      <w:sz w:val="28"/>
      <w:szCs w:val="20"/>
    </w:rPr>
  </w:style>
  <w:style w:type="paragraph" w:styleId="1371" w:customStyle="1">
    <w:name w:val="Normal Paragraph"/>
    <w:basedOn w:val="743"/>
    <w:uiPriority w:val="0"/>
    <w:qFormat/>
    <w:pPr>
      <w:ind w:firstLine="425"/>
      <w:spacing w:before="120" w:line="360" w:lineRule="auto"/>
      <w:widowControl/>
    </w:pPr>
    <w:rPr>
      <w:rFonts w:ascii="Calibri" w:hAnsi="Calibri"/>
      <w:sz w:val="24"/>
      <w:szCs w:val="20"/>
    </w:rPr>
  </w:style>
  <w:style w:type="paragraph" w:styleId="1372" w:customStyle="1">
    <w:name w:val="xl36"/>
    <w:basedOn w:val="74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3" w:customStyle="1">
    <w:name w:val="È±Ê¡ÎÄ±¾"/>
    <w:basedOn w:val="743"/>
    <w:uiPriority w:val="0"/>
    <w:qFormat/>
    <w:pPr>
      <w:jc w:val="left"/>
      <w:spacing w:line="360" w:lineRule="auto"/>
      <w:widowControl/>
    </w:pPr>
    <w:rPr>
      <w:sz w:val="24"/>
      <w:szCs w:val="20"/>
    </w:rPr>
  </w:style>
  <w:style w:type="paragraph" w:styleId="1374" w:customStyle="1">
    <w:name w:val="Char Char Char Char Char Char Char Char Char Char3"/>
    <w:basedOn w:val="743"/>
    <w:uiPriority w:val="0"/>
    <w:qFormat/>
    <w:rPr>
      <w:rFonts w:ascii="Tahoma" w:hAnsi="Tahoma"/>
      <w:sz w:val="24"/>
      <w:szCs w:val="20"/>
    </w:rPr>
  </w:style>
  <w:style w:type="paragraph" w:styleId="1375" w:customStyle="1">
    <w:name w:val="a1"/>
    <w:basedOn w:val="743"/>
    <w:uiPriority w:val="0"/>
    <w:qFormat/>
    <w:pPr>
      <w:jc w:val="left"/>
      <w:spacing w:before="100" w:beforeAutospacing="1" w:after="100" w:afterAutospacing="1"/>
      <w:widowControl/>
    </w:pPr>
    <w:rPr>
      <w:rFonts w:ascii="宋体"/>
      <w:sz w:val="24"/>
    </w:rPr>
  </w:style>
  <w:style w:type="paragraph" w:styleId="1376"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xl2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正文段"/>
    <w:basedOn w:val="743"/>
    <w:uiPriority w:val="0"/>
    <w:qFormat/>
    <w:pPr>
      <w:ind w:firstLine="425"/>
      <w:spacing w:after="240" w:line="240" w:lineRule="atLeast"/>
      <w:widowControl/>
    </w:pPr>
    <w:rPr>
      <w:sz w:val="24"/>
      <w:szCs w:val="20"/>
    </w:rPr>
  </w:style>
  <w:style w:type="paragraph" w:styleId="1380" w:customStyle="1">
    <w:name w:val="Normal_16_0"/>
    <w:uiPriority w:val="0"/>
    <w:qFormat/>
    <w:rPr>
      <w:rFonts w:ascii="黑体" w:hAnsi="黑体" w:eastAsia="黑体" w:cs="Times New Roman"/>
      <w:b/>
      <w:sz w:val="32"/>
      <w:szCs w:val="24"/>
      <w:lang w:val="en-US" w:eastAsia="zh-CN" w:bidi="ar-SA"/>
    </w:rPr>
  </w:style>
  <w:style w:type="paragraph" w:styleId="1381" w:customStyle="1">
    <w:name w:val="Normal_17"/>
    <w:uiPriority w:val="0"/>
    <w:qFormat/>
    <w:rPr>
      <w:rFonts w:ascii="黑体" w:hAnsi="黑体" w:eastAsia="黑体" w:cs="Times New Roman"/>
      <w:b/>
      <w:sz w:val="32"/>
      <w:szCs w:val="24"/>
      <w:lang w:val="en-US" w:eastAsia="zh-CN" w:bidi="ar-SA"/>
    </w:rPr>
  </w:style>
  <w:style w:type="paragraph" w:styleId="1382" w:customStyle="1">
    <w:name w:val="xl42"/>
    <w:basedOn w:val="74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3" w:customStyle="1">
    <w:name w:val="列出段落[858D7CFB-ED40-4347-BF05-701D383B685F][858D7CFB-ED40-4347-BF05-701D383B685F]"/>
    <w:basedOn w:val="743"/>
    <w:uiPriority w:val="0"/>
    <w:qFormat/>
    <w:pPr>
      <w:ind w:firstLine="200"/>
    </w:pPr>
    <w:rPr>
      <w:rFonts w:ascii="Calibri" w:hAnsi="Calibri"/>
    </w:rPr>
  </w:style>
  <w:style w:type="paragraph" w:styleId="1384" w:customStyle="1">
    <w:name w:val="缺省文本"/>
    <w:basedOn w:val="743"/>
    <w:uiPriority w:val="0"/>
    <w:qFormat/>
    <w:pPr>
      <w:jc w:val="left"/>
    </w:pPr>
    <w:rPr>
      <w:sz w:val="24"/>
      <w:szCs w:val="20"/>
    </w:rPr>
  </w:style>
  <w:style w:type="paragraph" w:styleId="1385" w:customStyle="1">
    <w:name w:val="Normal_13"/>
    <w:uiPriority w:val="0"/>
    <w:qFormat/>
    <w:rPr>
      <w:rFonts w:ascii="黑体" w:hAnsi="黑体" w:eastAsia="黑体" w:cs="Times New Roman"/>
      <w:b/>
      <w:sz w:val="32"/>
      <w:szCs w:val="24"/>
      <w:lang w:val="en-US" w:eastAsia="zh-CN" w:bidi="ar-SA"/>
    </w:rPr>
  </w:style>
  <w:style w:type="paragraph" w:styleId="138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87" w:customStyle="1">
    <w:name w:val="FA正文+标号"/>
    <w:basedOn w:val="74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8" w:customStyle="1">
    <w:name w:val="附图居中"/>
    <w:basedOn w:val="743"/>
    <w:next w:val="1221"/>
    <w:uiPriority w:val="0"/>
    <w:qFormat/>
    <w:pPr>
      <w:ind w:left="1271" w:hanging="420"/>
      <w:jc w:val="center"/>
      <w:keepNext/>
      <w:spacing w:line="360" w:lineRule="auto"/>
      <w:tabs>
        <w:tab w:val="left" w:pos="0" w:leader="none"/>
      </w:tabs>
    </w:pPr>
    <w:rPr>
      <w:caps/>
      <w:sz w:val="24"/>
    </w:rPr>
  </w:style>
  <w:style w:type="paragraph" w:styleId="138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0" w:customStyle="1">
    <w:name w:val="正文 + 宋体"/>
    <w:basedOn w:val="743"/>
    <w:uiPriority w:val="0"/>
    <w:qFormat/>
    <w:pPr>
      <w:ind w:firstLine="250"/>
    </w:pPr>
    <w:rPr>
      <w:rFonts w:ascii="宋体"/>
      <w:szCs w:val="21"/>
    </w:rPr>
  </w:style>
  <w:style w:type="paragraph" w:styleId="1391" w:customStyle="1">
    <w:name w:val="Normal_5"/>
    <w:uiPriority w:val="0"/>
    <w:qFormat/>
    <w:rPr>
      <w:rFonts w:ascii="黑体" w:hAnsi="黑体" w:eastAsia="黑体" w:cs="Times New Roman"/>
      <w:b/>
      <w:sz w:val="32"/>
      <w:szCs w:val="24"/>
      <w:lang w:val="en-US" w:eastAsia="zh-CN" w:bidi="ar-SA"/>
    </w:rPr>
  </w:style>
  <w:style w:type="paragraph" w:styleId="1392" w:customStyle="1">
    <w:name w:val="Normal_13_0"/>
    <w:uiPriority w:val="0"/>
    <w:qFormat/>
    <w:rPr>
      <w:rFonts w:ascii="黑体" w:hAnsi="黑体" w:eastAsia="黑体" w:cs="Times New Roman"/>
      <w:b/>
      <w:sz w:val="32"/>
      <w:szCs w:val="24"/>
      <w:lang w:val="en-US" w:eastAsia="zh-CN" w:bidi="ar-SA"/>
    </w:rPr>
  </w:style>
  <w:style w:type="paragraph" w:styleId="1393" w:customStyle="1">
    <w:name w:val="Normal_14"/>
    <w:uiPriority w:val="0"/>
    <w:qFormat/>
    <w:rPr>
      <w:rFonts w:ascii="黑体" w:hAnsi="黑体" w:eastAsia="黑体" w:cs="Times New Roman"/>
      <w:b/>
      <w:sz w:val="32"/>
      <w:szCs w:val="24"/>
      <w:lang w:val="en-US" w:eastAsia="zh-CN" w:bidi="ar-SA"/>
    </w:rPr>
  </w:style>
  <w:style w:type="paragraph" w:styleId="139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5"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Normal_3_0"/>
    <w:uiPriority w:val="0"/>
    <w:qFormat/>
    <w:rPr>
      <w:rFonts w:ascii="黑体" w:hAnsi="黑体" w:eastAsia="黑体" w:cs="Times New Roman"/>
      <w:b/>
      <w:sz w:val="32"/>
      <w:szCs w:val="24"/>
      <w:lang w:val="en-US" w:eastAsia="zh-CN" w:bidi="ar-SA"/>
    </w:rPr>
  </w:style>
  <w:style w:type="paragraph" w:styleId="1397" w:customStyle="1">
    <w:name w:val="保密事宜格式"/>
    <w:basedOn w:val="9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8" w:customStyle="1">
    <w:name w:val="样式 正文缩进 + (中文) 仿宋_GB2312 小四 Char"/>
    <w:basedOn w:val="986"/>
    <w:uiPriority w:val="0"/>
    <w:qFormat/>
    <w:pPr>
      <w:ind w:firstLine="200"/>
      <w:spacing w:line="360" w:lineRule="auto"/>
    </w:pPr>
    <w:rPr>
      <w:szCs w:val="24"/>
    </w:rPr>
  </w:style>
  <w:style w:type="paragraph" w:styleId="1399" w:customStyle="1">
    <w:name w:val="默认段落字体 Para Char Char Char Char Char Char Char Char Char Char Char Char Char Char"/>
    <w:basedOn w:val="991"/>
    <w:uiPriority w:val="0"/>
    <w:qFormat/>
    <w:rPr>
      <w:rFonts w:ascii="Tahoma" w:hAnsi="Tahoma"/>
      <w:sz w:val="24"/>
    </w:rPr>
  </w:style>
  <w:style w:type="character" w:styleId="1400" w:customStyle="1">
    <w:name w:val="font71"/>
    <w:uiPriority w:val="0"/>
    <w:qFormat/>
    <w:rPr>
      <w:rFonts w:hint="eastAsia" w:ascii="宋体" w:hAnsi="宋体" w:eastAsia="宋体" w:cs="宋体"/>
      <w:color w:val="ff0000"/>
      <w:sz w:val="24"/>
      <w:szCs w:val="24"/>
      <w:u w:val="none"/>
    </w:rPr>
  </w:style>
  <w:style w:type="paragraph" w:styleId="1401" w:customStyle="1">
    <w:name w:val="正文缩进1"/>
    <w:basedOn w:val="743"/>
    <w:uiPriority w:val="0"/>
    <w:qFormat/>
    <w:pPr>
      <w:ind w:firstLine="420"/>
    </w:pPr>
    <w:rPr>
      <w:szCs w:val="20"/>
    </w:rPr>
  </w:style>
  <w:style w:type="character" w:styleId="1402" w:customStyle="1">
    <w:name w:val="占位符文本1"/>
    <w:uiPriority w:val="99"/>
    <w:qFormat/>
    <w:rPr>
      <w:color w:val="808080"/>
    </w:rPr>
  </w:style>
  <w:style w:type="paragraph" w:styleId="1403" w:customStyle="1">
    <w:name w:val="B2"/>
    <w:basedOn w:val="743"/>
    <w:uiPriority w:val="0"/>
    <w:qFormat/>
    <w:pPr>
      <w:numPr>
        <w:ilvl w:val="1"/>
        <w:numId w:val="4"/>
      </w:numPr>
      <w:tabs>
        <w:tab w:val="left" w:pos="1418" w:leader="none"/>
      </w:tabs>
      <w:outlineLvl w:val="1"/>
    </w:pPr>
    <w:rPr>
      <w:rFonts w:ascii="Arial Narrow" w:hAnsi="Arial Narrow" w:eastAsia="仿宋"/>
      <w:sz w:val="24"/>
      <w:szCs w:val="24"/>
    </w:rPr>
  </w:style>
  <w:style w:type="paragraph" w:styleId="1404" w:customStyle="1">
    <w:name w:val="B1"/>
    <w:basedOn w:val="74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5" w:customStyle="1">
    <w:name w:val="正文文本11"/>
    <w:basedOn w:val="743"/>
    <w:next w:val="743"/>
    <w:uiPriority w:val="0"/>
    <w:qFormat/>
    <w:rPr>
      <w:rFonts w:ascii="楷体_GB2312" w:hAnsi="Arial" w:eastAsia="楷体_GB2312"/>
      <w:sz w:val="28"/>
      <w:szCs w:val="28"/>
    </w:rPr>
  </w:style>
  <w:style w:type="paragraph" w:styleId="1406" w:customStyle="1">
    <w:name w:val="Table Text"/>
    <w:basedOn w:val="743"/>
    <w:uiPriority w:val="0"/>
    <w:qFormat/>
    <w:rPr>
      <w:rFonts w:ascii="宋体" w:hAnsi="宋体" w:cs="宋体"/>
      <w:sz w:val="17"/>
      <w:szCs w:val="17"/>
      <w:lang w:eastAsia="en-US"/>
    </w:rPr>
  </w:style>
  <w:style w:type="table" w:styleId="1407" w:customStyle="1">
    <w:name w:val="Table Normal"/>
    <w:uiPriority w:val="0"/>
    <w:qFormat/>
    <w:tblPr>
      <w:tblCellMar>
        <w:left w:w="0" w:type="dxa"/>
        <w:top w:w="0" w:type="dxa"/>
        <w:right w:w="0" w:type="dxa"/>
        <w:bottom w:w="0" w:type="dxa"/>
      </w:tblCellMar>
    </w:tblPr>
  </w:style>
  <w:style w:type="character" w:styleId="1408" w:customStyle="1">
    <w:name w:val="mark"/>
    <w:uiPriority w:val="0"/>
    <w:qFormat/>
    <w:rPr>
      <w:rFonts w:ascii="Times New Roman" w:hAnsi="Times New Roman" w:eastAsia="宋体" w:cs="Times New Roman"/>
    </w:rPr>
  </w:style>
  <w:style w:type="paragraph" w:styleId="1409" w:customStyle="1">
    <w:name w:val="标题 311"/>
    <w:basedOn w:val="743"/>
    <w:next w:val="743"/>
    <w:uiPriority w:val="0"/>
    <w:qFormat/>
    <w:pPr>
      <w:keepLines/>
      <w:keepNext/>
      <w:spacing w:before="260" w:after="260" w:line="416" w:lineRule="auto"/>
      <w:outlineLvl w:val="2"/>
    </w:pPr>
    <w:rPr>
      <w:b/>
      <w:sz w:val="32"/>
      <w:szCs w:val="20"/>
    </w:rPr>
  </w:style>
  <w:style w:type="paragraph" w:styleId="1410" w:customStyle="1">
    <w:name w:val="p16"/>
    <w:basedOn w:val="743"/>
    <w:uiPriority w:val="0"/>
    <w:qFormat/>
    <w:pPr>
      <w:widowControl/>
    </w:pPr>
    <w:rPr>
      <w:rFonts w:ascii="宋体" w:hAnsi="宋体" w:cs="宋体"/>
      <w:b/>
      <w:color w:val="000000"/>
      <w:position w:val="-10"/>
      <w:sz w:val="28"/>
      <w:szCs w:val="28"/>
    </w:rPr>
  </w:style>
  <w:style w:type="paragraph" w:styleId="1411" w:customStyle="1">
    <w:name w:val="p19"/>
    <w:basedOn w:val="743"/>
    <w:uiPriority w:val="0"/>
    <w:qFormat/>
    <w:pPr>
      <w:widowControl/>
    </w:pPr>
    <w:rPr>
      <w:rFonts w:ascii="宋体" w:hAnsi="宋体" w:cs="宋体"/>
      <w:b/>
      <w:color w:val="000000"/>
      <w:position w:val="-10"/>
      <w:sz w:val="28"/>
      <w:szCs w:val="28"/>
    </w:rPr>
  </w:style>
  <w:style w:type="paragraph" w:styleId="1412" w:customStyle="1">
    <w:name w:val="修订2"/>
    <w:uiPriority w:val="99"/>
    <w:qFormat/>
    <w:rPr>
      <w:rFonts w:ascii="Times New Roman" w:hAnsi="Times New Roman" w:eastAsia="宋体" w:cs="Times New Roman"/>
      <w:sz w:val="21"/>
      <w:szCs w:val="22"/>
      <w:lang w:val="en-US" w:eastAsia="zh-CN" w:bidi="ar-SA"/>
    </w:rPr>
  </w:style>
  <w:style w:type="character" w:styleId="1413" w:customStyle="1">
    <w:name w:val="日期 字符"/>
    <w:basedOn w:val="753"/>
    <w:link w:val="766"/>
    <w:uiPriority w:val="99"/>
    <w:qFormat/>
    <w:rPr>
      <w:sz w:val="21"/>
      <w:szCs w:val="22"/>
    </w:rPr>
  </w:style>
  <w:style w:type="character" w:styleId="1414" w:customStyle="1">
    <w:name w:val="列表段落 字符"/>
    <w:link w:val="1200"/>
    <w:uiPriority w:val="34"/>
    <w:qFormat/>
    <w:rPr>
      <w:rFonts w:ascii="Calibri" w:hAnsi="Calibri"/>
      <w:sz w:val="21"/>
      <w:szCs w:val="22"/>
    </w:rPr>
  </w:style>
  <w:style w:type="character" w:styleId="1415" w:customStyle="1">
    <w:name w:val="正文文本缩进 字符"/>
    <w:basedOn w:val="753"/>
    <w:link w:val="762"/>
    <w:uiPriority w:val="99"/>
    <w:qFormat/>
    <w:rPr>
      <w:sz w:val="21"/>
      <w:szCs w:val="22"/>
    </w:rPr>
  </w:style>
  <w:style w:type="character" w:styleId="1416" w:customStyle="1">
    <w:name w:val="标题 2 Char"/>
    <w:uiPriority w:val="0"/>
    <w:qFormat/>
    <w:rPr>
      <w:rFonts w:ascii="Cambria" w:hAnsi="Cambria" w:eastAsia="宋体" w:cs="Times New Roman"/>
      <w:b/>
      <w:bCs/>
      <w:sz w:val="32"/>
      <w:szCs w:val="32"/>
    </w:rPr>
  </w:style>
  <w:style w:type="paragraph" w:styleId="1417" w:customStyle="1">
    <w:name w:val="列表段落2"/>
    <w:basedOn w:val="743"/>
    <w:uiPriority w:val="34"/>
    <w:qFormat/>
    <w:pPr>
      <w:ind w:firstLine="420"/>
    </w:pPr>
  </w:style>
  <w:style w:type="paragraph" w:styleId="1418" w:customStyle="1">
    <w:name w:val="RZM投标图片和表格"/>
    <w:basedOn w:val="743"/>
    <w:uiPriority w:val="0"/>
    <w:qFormat/>
  </w:style>
  <w:style w:type="paragraph" w:styleId="1419" w:customStyle="1">
    <w:name w:val="NormalIndent"/>
    <w:basedOn w:val="743"/>
    <w:uiPriority w:val="0"/>
    <w:qFormat/>
    <w:pPr>
      <w:ind w:firstLine="420"/>
    </w:pPr>
  </w:style>
  <w:style w:type="paragraph" w:styleId="1420" w:customStyle="1">
    <w:name w:val="列出段落2"/>
    <w:basedOn w:val="743"/>
    <w:uiPriority w:val="99"/>
    <w:unhideWhenUsed/>
    <w:qFormat/>
    <w:pPr>
      <w:ind w:firstLine="420"/>
    </w:pPr>
  </w:style>
  <w:style w:type="paragraph" w:styleId="1421" w:customStyle="1">
    <w:name w:val="正文2"/>
    <w:uiPriority w:val="0"/>
    <w:qFormat/>
    <w:rPr>
      <w:rFonts w:ascii="Times New Roman" w:hAnsi="Times New Roman" w:eastAsia="Times New Roman" w:cs="Times New Roman"/>
      <w:sz w:val="24"/>
      <w:szCs w:val="24"/>
      <w:lang w:val="en-US" w:eastAsia="zh-CN" w:bidi="ar-SA"/>
    </w:rPr>
  </w:style>
  <w:style w:type="paragraph" w:styleId="1422"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42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102</cp:revision>
  <dcterms:created xsi:type="dcterms:W3CDTF">2025-04-14T07:55:00Z</dcterms:created>
  <dcterms:modified xsi:type="dcterms:W3CDTF">2026-05-08T01:15:49Z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D849CFF33EA64879B1402906544F39E2_13</vt:lpwstr>
  </property>
  <property fmtid="{D5CDD505-2E9C-101B-9397-08002B2CF9AE}" pid="4" name="KSOTemplateDocerSaveRecord">
    <vt:lpwstr>eyJoZGlkIjoiYzQyMzdkOTA4NGFjNTcxZjM5YWQ3NWUxNmJiYmMzN2MiLCJ1c2VySWQiOiIzMTg5MzgxNzEifQ==</vt:lpwstr>
  </property>
</Properties>
</file>