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9F29D">
      <w:pPr>
        <w:pStyle w:val="28"/>
        <w:spacing w:before="0" w:after="0"/>
        <w:ind w:firstLine="0" w:firstLineChars="0"/>
        <w:textAlignment w:val="baseline"/>
        <w:rPr>
          <w:rFonts w:ascii="仿宋" w:hAnsi="仿宋" w:eastAsia="仿宋" w:cs="仿宋"/>
          <w:b/>
          <w:bCs/>
          <w:sz w:val="84"/>
        </w:rPr>
      </w:pPr>
    </w:p>
    <w:p w14:paraId="727E40AB">
      <w:pPr>
        <w:jc w:val="center"/>
        <w:rPr>
          <w:rFonts w:ascii="仿宋" w:hAnsi="仿宋" w:eastAsia="仿宋" w:cs="仿宋"/>
          <w:b/>
          <w:bCs/>
          <w:sz w:val="96"/>
          <w:szCs w:val="96"/>
        </w:rPr>
      </w:pPr>
      <w:r>
        <w:rPr>
          <w:rFonts w:hint="eastAsia" w:ascii="仿宋" w:hAnsi="仿宋" w:eastAsia="仿宋" w:cs="仿宋"/>
          <w:b/>
          <w:bCs/>
          <w:sz w:val="96"/>
          <w:szCs w:val="96"/>
        </w:rPr>
        <w:t>竞争性磋商文件</w:t>
      </w:r>
    </w:p>
    <w:p w14:paraId="0D0DCAC1">
      <w:pPr>
        <w:pStyle w:val="28"/>
        <w:spacing w:before="0" w:after="0"/>
        <w:ind w:firstLine="1687"/>
        <w:jc w:val="center"/>
        <w:textAlignment w:val="baseline"/>
        <w:rPr>
          <w:rFonts w:ascii="仿宋" w:hAnsi="仿宋" w:eastAsia="仿宋" w:cs="仿宋"/>
          <w:b/>
          <w:bCs/>
          <w:sz w:val="84"/>
        </w:rPr>
      </w:pPr>
    </w:p>
    <w:p w14:paraId="42D0523F">
      <w:pPr>
        <w:pStyle w:val="28"/>
        <w:spacing w:before="0" w:after="0"/>
        <w:ind w:firstLine="723"/>
        <w:textAlignment w:val="baseline"/>
        <w:rPr>
          <w:rFonts w:ascii="仿宋" w:hAnsi="仿宋" w:eastAsia="仿宋" w:cs="仿宋"/>
          <w:b/>
          <w:bCs/>
          <w:sz w:val="36"/>
          <w:szCs w:val="36"/>
        </w:rPr>
      </w:pPr>
    </w:p>
    <w:p w14:paraId="6BCA0450">
      <w:pPr>
        <w:pStyle w:val="28"/>
        <w:spacing w:before="0" w:after="0"/>
        <w:ind w:firstLine="723"/>
        <w:textAlignment w:val="baseline"/>
        <w:rPr>
          <w:rFonts w:ascii="仿宋" w:hAnsi="仿宋" w:eastAsia="仿宋" w:cs="仿宋"/>
          <w:b/>
          <w:bCs/>
          <w:sz w:val="36"/>
          <w:szCs w:val="36"/>
        </w:rPr>
      </w:pPr>
    </w:p>
    <w:p w14:paraId="30B67BEF">
      <w:pPr>
        <w:spacing w:line="600" w:lineRule="auto"/>
        <w:jc w:val="center"/>
        <w:rPr>
          <w:rFonts w:ascii="仿宋" w:hAnsi="仿宋" w:eastAsia="仿宋" w:cs="仿宋"/>
          <w:b/>
          <w:bCs/>
          <w:sz w:val="36"/>
          <w:szCs w:val="36"/>
        </w:rPr>
      </w:pPr>
      <w:r>
        <w:rPr>
          <w:rFonts w:hint="eastAsia" w:ascii="仿宋" w:hAnsi="仿宋" w:eastAsia="仿宋" w:cs="仿宋"/>
          <w:b/>
          <w:bCs/>
          <w:sz w:val="36"/>
          <w:szCs w:val="36"/>
        </w:rPr>
        <w:t>项目名称：江苏省农业农村厅2026年度</w:t>
      </w:r>
    </w:p>
    <w:p w14:paraId="2B7FA438">
      <w:pPr>
        <w:spacing w:line="600" w:lineRule="auto"/>
        <w:jc w:val="center"/>
        <w:rPr>
          <w:rFonts w:ascii="仿宋" w:hAnsi="仿宋" w:eastAsia="仿宋" w:cs="仿宋"/>
          <w:b/>
          <w:bCs/>
          <w:sz w:val="36"/>
          <w:szCs w:val="36"/>
        </w:rPr>
      </w:pPr>
      <w:r>
        <w:rPr>
          <w:rFonts w:hint="eastAsia" w:ascii="仿宋" w:hAnsi="仿宋" w:eastAsia="仿宋" w:cs="仿宋"/>
          <w:b/>
          <w:bCs/>
          <w:sz w:val="36"/>
          <w:szCs w:val="36"/>
        </w:rPr>
        <w:t xml:space="preserve">       网络与数据安全支撑保障运维</w:t>
      </w:r>
    </w:p>
    <w:p w14:paraId="0109FCE3">
      <w:pPr>
        <w:spacing w:line="600" w:lineRule="auto"/>
        <w:jc w:val="center"/>
        <w:rPr>
          <w:rFonts w:hint="eastAsia" w:ascii="仿宋" w:hAnsi="仿宋" w:eastAsia="仿宋" w:cs="仿宋"/>
          <w:b/>
          <w:bCs/>
          <w:sz w:val="36"/>
          <w:szCs w:val="36"/>
          <w:u w:val="single"/>
          <w:lang w:eastAsia="zh-CN"/>
        </w:rPr>
      </w:pPr>
      <w:r>
        <w:rPr>
          <w:rFonts w:hint="eastAsia" w:ascii="仿宋" w:hAnsi="仿宋" w:eastAsia="仿宋" w:cs="仿宋"/>
          <w:b/>
          <w:bCs/>
          <w:sz w:val="36"/>
          <w:szCs w:val="36"/>
        </w:rPr>
        <w:t>项目编号：</w:t>
      </w:r>
      <w:r>
        <w:rPr>
          <w:rFonts w:hint="eastAsia" w:ascii="仿宋" w:hAnsi="仿宋" w:eastAsia="仿宋" w:cs="仿宋"/>
          <w:b/>
          <w:bCs/>
          <w:sz w:val="36"/>
          <w:szCs w:val="36"/>
          <w:lang w:eastAsia="zh-CN"/>
        </w:rPr>
        <w:t>JSZC-320000-ZCZB-C2026-0003</w:t>
      </w:r>
    </w:p>
    <w:p w14:paraId="78B22EAA">
      <w:pPr>
        <w:pStyle w:val="28"/>
        <w:spacing w:before="0" w:after="0"/>
        <w:ind w:firstLine="723"/>
        <w:jc w:val="both"/>
        <w:textAlignment w:val="baseline"/>
        <w:rPr>
          <w:rFonts w:ascii="仿宋" w:hAnsi="仿宋" w:eastAsia="仿宋" w:cs="仿宋"/>
          <w:b/>
          <w:bCs/>
          <w:sz w:val="36"/>
          <w:szCs w:val="36"/>
        </w:rPr>
      </w:pPr>
    </w:p>
    <w:p w14:paraId="1F419981">
      <w:pPr>
        <w:pStyle w:val="28"/>
        <w:spacing w:before="0" w:after="0"/>
        <w:ind w:firstLine="0" w:firstLineChars="0"/>
        <w:jc w:val="both"/>
        <w:textAlignment w:val="baseline"/>
        <w:rPr>
          <w:rFonts w:ascii="仿宋" w:hAnsi="仿宋" w:eastAsia="仿宋" w:cs="仿宋"/>
          <w:b/>
          <w:bCs/>
          <w:sz w:val="36"/>
          <w:szCs w:val="36"/>
        </w:rPr>
      </w:pPr>
    </w:p>
    <w:p w14:paraId="779BA190">
      <w:pPr>
        <w:pStyle w:val="28"/>
        <w:spacing w:before="0" w:after="0"/>
        <w:ind w:firstLine="0" w:firstLineChars="0"/>
        <w:jc w:val="both"/>
        <w:textAlignment w:val="baseline"/>
        <w:rPr>
          <w:rFonts w:ascii="仿宋" w:hAnsi="仿宋" w:eastAsia="仿宋" w:cs="仿宋"/>
          <w:b/>
          <w:bCs/>
          <w:sz w:val="36"/>
          <w:szCs w:val="36"/>
        </w:rPr>
      </w:pPr>
    </w:p>
    <w:p w14:paraId="4B44119E">
      <w:pPr>
        <w:pStyle w:val="28"/>
        <w:spacing w:before="0" w:after="0"/>
        <w:ind w:firstLine="723"/>
        <w:jc w:val="both"/>
        <w:textAlignment w:val="baseline"/>
        <w:rPr>
          <w:rFonts w:ascii="仿宋" w:hAnsi="仿宋" w:eastAsia="仿宋" w:cs="仿宋"/>
          <w:b/>
          <w:bCs/>
          <w:sz w:val="36"/>
          <w:szCs w:val="36"/>
        </w:rPr>
      </w:pPr>
    </w:p>
    <w:p w14:paraId="06CF1633">
      <w:pPr>
        <w:pStyle w:val="28"/>
        <w:spacing w:before="0" w:after="0"/>
        <w:ind w:firstLine="723"/>
        <w:jc w:val="both"/>
        <w:textAlignment w:val="baseline"/>
        <w:rPr>
          <w:rFonts w:ascii="仿宋" w:hAnsi="仿宋" w:eastAsia="仿宋" w:cs="仿宋"/>
          <w:b/>
          <w:bCs/>
          <w:sz w:val="36"/>
          <w:szCs w:val="36"/>
        </w:rPr>
      </w:pPr>
    </w:p>
    <w:p w14:paraId="27A918B0">
      <w:pPr>
        <w:pStyle w:val="28"/>
        <w:spacing w:before="0" w:after="0"/>
        <w:ind w:firstLine="723"/>
        <w:jc w:val="both"/>
        <w:textAlignment w:val="baseline"/>
        <w:rPr>
          <w:rFonts w:ascii="仿宋" w:hAnsi="仿宋" w:eastAsia="仿宋" w:cs="仿宋"/>
          <w:b/>
          <w:bCs/>
          <w:sz w:val="36"/>
          <w:szCs w:val="36"/>
        </w:rPr>
      </w:pPr>
    </w:p>
    <w:p w14:paraId="30BA9DD8">
      <w:pPr>
        <w:pStyle w:val="28"/>
        <w:spacing w:before="0" w:after="0" w:line="600" w:lineRule="auto"/>
        <w:ind w:firstLine="0" w:firstLineChars="0"/>
        <w:jc w:val="center"/>
        <w:rPr>
          <w:rFonts w:ascii="仿宋" w:hAnsi="仿宋" w:eastAsia="仿宋" w:cs="仿宋"/>
          <w:b/>
          <w:bCs/>
          <w:sz w:val="36"/>
          <w:szCs w:val="36"/>
        </w:rPr>
      </w:pPr>
      <w:r>
        <w:rPr>
          <w:rFonts w:hint="eastAsia" w:ascii="仿宋" w:hAnsi="仿宋" w:eastAsia="仿宋" w:cs="仿宋"/>
          <w:b/>
          <w:bCs/>
          <w:sz w:val="36"/>
          <w:szCs w:val="36"/>
        </w:rPr>
        <w:t>采 购 人：江苏省农业信息中心</w:t>
      </w:r>
    </w:p>
    <w:p w14:paraId="470286E2">
      <w:pPr>
        <w:pStyle w:val="28"/>
        <w:spacing w:before="0" w:after="0" w:line="600" w:lineRule="auto"/>
        <w:ind w:firstLine="0" w:firstLineChars="0"/>
        <w:jc w:val="center"/>
        <w:rPr>
          <w:rFonts w:ascii="仿宋" w:hAnsi="仿宋" w:eastAsia="仿宋" w:cs="仿宋"/>
          <w:b/>
          <w:bCs/>
          <w:sz w:val="36"/>
          <w:szCs w:val="36"/>
        </w:rPr>
      </w:pPr>
      <w:r>
        <w:rPr>
          <w:rFonts w:hint="eastAsia" w:ascii="仿宋" w:hAnsi="仿宋" w:eastAsia="仿宋" w:cs="仿宋"/>
          <w:b/>
          <w:bCs/>
          <w:sz w:val="36"/>
          <w:szCs w:val="36"/>
        </w:rPr>
        <w:t>代理机构：江苏臻采招标代理有限公司</w:t>
      </w:r>
    </w:p>
    <w:p w14:paraId="3B8D58F3">
      <w:pPr>
        <w:spacing w:line="600" w:lineRule="auto"/>
        <w:jc w:val="center"/>
        <w:rPr>
          <w:rFonts w:ascii="仿宋" w:hAnsi="仿宋" w:eastAsia="仿宋" w:cs="仿宋"/>
          <w:b/>
          <w:bCs/>
          <w:szCs w:val="36"/>
        </w:rPr>
      </w:pPr>
      <w:r>
        <w:rPr>
          <w:rFonts w:hint="eastAsia" w:ascii="仿宋" w:hAnsi="仿宋" w:eastAsia="仿宋" w:cs="仿宋"/>
          <w:b/>
          <w:bCs/>
          <w:sz w:val="36"/>
          <w:szCs w:val="36"/>
        </w:rPr>
        <w:t>二 〇 二 六 年 四</w:t>
      </w:r>
      <w:r>
        <w:rPr>
          <w:rFonts w:hint="eastAsia" w:ascii="仿宋" w:hAnsi="仿宋" w:eastAsia="仿宋" w:cs="仿宋"/>
          <w:b/>
          <w:bCs/>
          <w:sz w:val="32"/>
          <w:szCs w:val="32"/>
        </w:rPr>
        <w:t xml:space="preserve"> 月</w:t>
      </w:r>
    </w:p>
    <w:p w14:paraId="4A81B93B">
      <w:pPr>
        <w:spacing w:line="600" w:lineRule="auto"/>
        <w:jc w:val="center"/>
        <w:textAlignment w:val="baseline"/>
        <w:rPr>
          <w:rFonts w:ascii="仿宋" w:hAnsi="仿宋" w:eastAsia="仿宋" w:cs="仿宋"/>
          <w:b/>
          <w:bCs/>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624" w:footer="964" w:gutter="0"/>
          <w:cols w:space="720" w:num="1"/>
          <w:titlePg/>
          <w:docGrid w:type="lines" w:linePitch="312" w:charSpace="0"/>
        </w:sectPr>
      </w:pPr>
    </w:p>
    <w:sdt>
      <w:sdtPr>
        <w:rPr>
          <w:rFonts w:hint="eastAsia" w:ascii="仿宋" w:hAnsi="仿宋" w:eastAsia="仿宋" w:cs="仿宋"/>
          <w:b/>
          <w:bCs/>
        </w:rPr>
        <w:id w:val="147452488"/>
        <w15:color w:val="DBDBDB"/>
      </w:sdtPr>
      <w:sdtEndPr>
        <w:rPr>
          <w:rFonts w:hint="eastAsia" w:ascii="仿宋" w:hAnsi="仿宋" w:eastAsia="仿宋" w:cs="仿宋"/>
          <w:b/>
          <w:bCs/>
        </w:rPr>
      </w:sdtEndPr>
      <w:sdtContent>
        <w:p w14:paraId="689D181D">
          <w:pPr>
            <w:spacing w:after="0" w:line="240" w:lineRule="auto"/>
            <w:jc w:val="center"/>
            <w:rPr>
              <w:rFonts w:ascii="仿宋" w:hAnsi="仿宋" w:eastAsia="仿宋" w:cs="仿宋"/>
              <w:b/>
              <w:bCs/>
              <w:sz w:val="28"/>
              <w:szCs w:val="28"/>
            </w:rPr>
          </w:pPr>
          <w:bookmarkStart w:id="0" w:name="_Toc5114"/>
          <w:bookmarkStart w:id="1" w:name="_Toc2039"/>
          <w:bookmarkStart w:id="2" w:name="_Toc21586"/>
          <w:bookmarkStart w:id="3" w:name="_Toc21568"/>
          <w:bookmarkStart w:id="4" w:name="_Toc17453"/>
          <w:bookmarkStart w:id="5" w:name="_Toc2312"/>
          <w:bookmarkStart w:id="6" w:name="_Toc21936"/>
          <w:bookmarkStart w:id="7" w:name="_Toc31010"/>
          <w:bookmarkStart w:id="8" w:name="_Toc13193"/>
          <w:bookmarkStart w:id="9" w:name="_Toc29723"/>
          <w:r>
            <w:rPr>
              <w:rFonts w:hint="eastAsia" w:ascii="仿宋" w:hAnsi="仿宋" w:eastAsia="仿宋" w:cs="仿宋"/>
              <w:b/>
              <w:bCs/>
              <w:sz w:val="28"/>
              <w:szCs w:val="28"/>
            </w:rPr>
            <w:t>目  录</w:t>
          </w:r>
        </w:p>
        <w:p w14:paraId="579ABF91">
          <w:pPr>
            <w:pStyle w:val="15"/>
            <w:tabs>
              <w:tab w:val="right" w:leader="dot" w:pos="9746"/>
            </w:tabs>
            <w:rPr>
              <w:rFonts w:ascii="仿宋" w:hAnsi="仿宋" w:eastAsia="仿宋" w:cs="仿宋"/>
              <w:sz w:val="24"/>
              <w:szCs w:val="24"/>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TOC \o "1-1" \h \u </w:instrText>
          </w:r>
          <w:r>
            <w:rPr>
              <w:rFonts w:hint="eastAsia" w:ascii="仿宋" w:hAnsi="仿宋" w:eastAsia="仿宋" w:cs="仿宋"/>
              <w:sz w:val="36"/>
              <w:szCs w:val="36"/>
            </w:rPr>
            <w:fldChar w:fldCharType="separate"/>
          </w:r>
          <w:r>
            <w:fldChar w:fldCharType="begin"/>
          </w:r>
          <w:r>
            <w:instrText xml:space="preserve"> HYPERLINK \l "_Toc22635" </w:instrText>
          </w:r>
          <w:r>
            <w:fldChar w:fldCharType="separate"/>
          </w:r>
          <w:r>
            <w:rPr>
              <w:rFonts w:hint="eastAsia" w:ascii="仿宋" w:hAnsi="仿宋" w:eastAsia="仿宋" w:cs="仿宋"/>
              <w:sz w:val="24"/>
              <w:szCs w:val="24"/>
            </w:rPr>
            <w:t>第一章 采购邀请（采购公告）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_Toc22635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245C132">
          <w:pPr>
            <w:pStyle w:val="15"/>
            <w:tabs>
              <w:tab w:val="right" w:leader="dot" w:pos="9746"/>
            </w:tabs>
            <w:rPr>
              <w:rFonts w:ascii="仿宋" w:hAnsi="仿宋" w:eastAsia="仿宋" w:cs="仿宋"/>
              <w:sz w:val="24"/>
              <w:szCs w:val="24"/>
            </w:rPr>
          </w:pPr>
          <w:r>
            <w:fldChar w:fldCharType="begin"/>
          </w:r>
          <w:r>
            <w:instrText xml:space="preserve"> HYPERLINK \l "_Toc14414" </w:instrText>
          </w:r>
          <w:r>
            <w:fldChar w:fldCharType="separate"/>
          </w:r>
          <w:r>
            <w:rPr>
              <w:rFonts w:hint="eastAsia" w:ascii="仿宋" w:hAnsi="仿宋" w:eastAsia="仿宋" w:cs="仿宋"/>
              <w:sz w:val="24"/>
              <w:szCs w:val="24"/>
            </w:rPr>
            <w:t>第二章 磋商须知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_Toc14414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3A625AE">
          <w:pPr>
            <w:pStyle w:val="15"/>
            <w:tabs>
              <w:tab w:val="right" w:leader="dot" w:pos="9746"/>
            </w:tabs>
            <w:rPr>
              <w:rFonts w:ascii="仿宋" w:hAnsi="仿宋" w:eastAsia="仿宋" w:cs="仿宋"/>
              <w:sz w:val="24"/>
              <w:szCs w:val="24"/>
            </w:rPr>
          </w:pPr>
          <w:r>
            <w:fldChar w:fldCharType="begin"/>
          </w:r>
          <w:r>
            <w:instrText xml:space="preserve"> HYPERLINK \l "_Toc10878" </w:instrText>
          </w:r>
          <w:r>
            <w:fldChar w:fldCharType="separate"/>
          </w:r>
          <w:r>
            <w:rPr>
              <w:rFonts w:hint="eastAsia" w:ascii="仿宋" w:hAnsi="仿宋" w:eastAsia="仿宋" w:cs="仿宋"/>
              <w:sz w:val="24"/>
              <w:szCs w:val="24"/>
            </w:rPr>
            <w:t>第三章 合同条款及格式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_Toc10878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302ED09">
          <w:pPr>
            <w:pStyle w:val="15"/>
            <w:tabs>
              <w:tab w:val="right" w:leader="dot" w:pos="9746"/>
            </w:tabs>
            <w:rPr>
              <w:rFonts w:ascii="仿宋" w:hAnsi="仿宋" w:eastAsia="仿宋" w:cs="仿宋"/>
              <w:sz w:val="24"/>
              <w:szCs w:val="24"/>
            </w:rPr>
          </w:pPr>
          <w:r>
            <w:fldChar w:fldCharType="begin"/>
          </w:r>
          <w:r>
            <w:instrText xml:space="preserve"> HYPERLINK \l "_Toc25683" </w:instrText>
          </w:r>
          <w:r>
            <w:fldChar w:fldCharType="separate"/>
          </w:r>
          <w:r>
            <w:rPr>
              <w:rFonts w:hint="eastAsia" w:ascii="仿宋" w:hAnsi="仿宋" w:eastAsia="仿宋" w:cs="仿宋"/>
              <w:sz w:val="24"/>
              <w:szCs w:val="56"/>
            </w:rPr>
            <w:t>第四章 项目需求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_Toc25683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8EC8BF4">
          <w:pPr>
            <w:pStyle w:val="15"/>
            <w:tabs>
              <w:tab w:val="right" w:leader="dot" w:pos="9746"/>
            </w:tabs>
            <w:rPr>
              <w:rFonts w:ascii="仿宋" w:hAnsi="仿宋" w:eastAsia="仿宋" w:cs="仿宋"/>
              <w:sz w:val="24"/>
              <w:szCs w:val="24"/>
            </w:rPr>
          </w:pPr>
          <w:r>
            <w:fldChar w:fldCharType="begin"/>
          </w:r>
          <w:r>
            <w:instrText xml:space="preserve"> HYPERLINK \l "_Toc29652" </w:instrText>
          </w:r>
          <w:r>
            <w:fldChar w:fldCharType="separate"/>
          </w:r>
          <w:r>
            <w:rPr>
              <w:rFonts w:hint="eastAsia" w:ascii="仿宋" w:hAnsi="仿宋" w:eastAsia="仿宋" w:cs="仿宋"/>
              <w:sz w:val="24"/>
              <w:szCs w:val="24"/>
            </w:rPr>
            <w:t>第五章 评审方法与评审标准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_Toc29652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6C0BC48">
          <w:pPr>
            <w:pStyle w:val="15"/>
            <w:tabs>
              <w:tab w:val="right" w:leader="dot" w:pos="9746"/>
            </w:tabs>
            <w:rPr>
              <w:rFonts w:ascii="仿宋" w:hAnsi="仿宋" w:eastAsia="仿宋" w:cs="仿宋"/>
              <w:sz w:val="24"/>
              <w:szCs w:val="24"/>
            </w:rPr>
          </w:pPr>
          <w:r>
            <w:fldChar w:fldCharType="begin"/>
          </w:r>
          <w:r>
            <w:instrText xml:space="preserve"> HYPERLINK \l "_Toc965" </w:instrText>
          </w:r>
          <w:r>
            <w:fldChar w:fldCharType="separate"/>
          </w:r>
          <w:r>
            <w:rPr>
              <w:rFonts w:hint="eastAsia" w:ascii="仿宋" w:hAnsi="仿宋" w:eastAsia="仿宋" w:cs="仿宋"/>
              <w:sz w:val="24"/>
              <w:szCs w:val="24"/>
            </w:rPr>
            <w:t>第六章 响应文件格式</w:t>
          </w:r>
          <w:r>
            <w:rPr>
              <w:rFonts w:hint="eastAsia" w:ascii="仿宋" w:hAnsi="仿宋" w:eastAsia="仿宋" w:cs="仿宋"/>
              <w:sz w:val="24"/>
              <w:szCs w:val="24"/>
            </w:rPr>
            <w:tab/>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sz w:val="24"/>
              <w:szCs w:val="24"/>
            </w:rPr>
            <w:t>1</w:t>
          </w:r>
        </w:p>
        <w:p w14:paraId="616A90A3">
          <w:pPr>
            <w:rPr>
              <w:rFonts w:ascii="仿宋" w:hAnsi="仿宋" w:eastAsia="仿宋" w:cs="仿宋"/>
            </w:rPr>
          </w:pPr>
          <w:r>
            <w:rPr>
              <w:rFonts w:hint="eastAsia" w:ascii="仿宋" w:hAnsi="仿宋" w:eastAsia="仿宋" w:cs="仿宋"/>
              <w:sz w:val="28"/>
              <w:szCs w:val="36"/>
            </w:rPr>
            <w:fldChar w:fldCharType="end"/>
          </w:r>
        </w:p>
      </w:sdtContent>
    </w:sdt>
    <w:p w14:paraId="7B77419B">
      <w:pPr>
        <w:pageBreakBefore/>
        <w:widowControl/>
        <w:ind w:left="630" w:leftChars="300" w:right="1049"/>
        <w:jc w:val="center"/>
        <w:textAlignment w:val="baseline"/>
        <w:outlineLvl w:val="0"/>
        <w:rPr>
          <w:rFonts w:ascii="仿宋" w:hAnsi="仿宋" w:eastAsia="仿宋" w:cs="仿宋"/>
          <w:b/>
          <w:bCs/>
          <w:sz w:val="40"/>
        </w:rPr>
        <w:sectPr>
          <w:footerReference r:id="rId11" w:type="default"/>
          <w:pgSz w:w="11906" w:h="16838"/>
          <w:pgMar w:top="1440" w:right="1080" w:bottom="1440" w:left="1080" w:header="567" w:footer="567" w:gutter="0"/>
          <w:pgNumType w:start="1"/>
          <w:cols w:space="0" w:num="1"/>
          <w:docGrid w:type="lines" w:linePitch="317" w:charSpace="0"/>
        </w:sectPr>
      </w:pPr>
      <w:bookmarkStart w:id="10" w:name="_Toc24230"/>
      <w:bookmarkStart w:id="11" w:name="_Toc22635"/>
    </w:p>
    <w:p w14:paraId="1A8D1AB6">
      <w:pPr>
        <w:pageBreakBefore/>
        <w:widowControl/>
        <w:ind w:left="630" w:leftChars="300" w:right="1049"/>
        <w:jc w:val="center"/>
        <w:textAlignment w:val="baseline"/>
        <w:outlineLvl w:val="0"/>
        <w:rPr>
          <w:rFonts w:ascii="仿宋" w:hAnsi="仿宋" w:eastAsia="仿宋" w:cs="仿宋"/>
          <w:b/>
          <w:bCs/>
          <w:sz w:val="40"/>
        </w:rPr>
      </w:pPr>
      <w:r>
        <w:rPr>
          <w:rFonts w:hint="eastAsia" w:ascii="仿宋" w:hAnsi="仿宋" w:eastAsia="仿宋" w:cs="仿宋"/>
          <w:b/>
          <w:bCs/>
          <w:sz w:val="40"/>
        </w:rPr>
        <w:t>第一章 采购邀请</w:t>
      </w:r>
      <w:bookmarkEnd w:id="0"/>
      <w:bookmarkEnd w:id="1"/>
      <w:bookmarkEnd w:id="2"/>
      <w:bookmarkEnd w:id="3"/>
      <w:bookmarkEnd w:id="4"/>
      <w:bookmarkEnd w:id="5"/>
      <w:bookmarkEnd w:id="6"/>
      <w:bookmarkEnd w:id="7"/>
      <w:bookmarkEnd w:id="8"/>
      <w:bookmarkEnd w:id="9"/>
      <w:bookmarkEnd w:id="10"/>
      <w:r>
        <w:rPr>
          <w:rFonts w:hint="eastAsia" w:ascii="仿宋" w:hAnsi="仿宋" w:eastAsia="仿宋" w:cs="仿宋"/>
          <w:b/>
          <w:bCs/>
          <w:sz w:val="40"/>
        </w:rPr>
        <w:t>（采购公告）</w:t>
      </w:r>
      <w:bookmarkEnd w:id="11"/>
    </w:p>
    <w:p w14:paraId="5A1607C1">
      <w:pPr>
        <w:snapToGrid w:val="0"/>
        <w:spacing w:line="360" w:lineRule="auto"/>
        <w:ind w:firstLine="480" w:firstLineChars="200"/>
        <w:textAlignment w:val="baseline"/>
        <w:rPr>
          <w:rFonts w:ascii="仿宋" w:hAnsi="仿宋" w:eastAsia="仿宋" w:cs="仿宋"/>
          <w:sz w:val="24"/>
          <w:szCs w:val="24"/>
        </w:rPr>
      </w:pPr>
      <w:r>
        <w:rPr>
          <w:rFonts w:hint="eastAsia" w:ascii="仿宋" w:hAnsi="仿宋" w:eastAsia="仿宋" w:cs="仿宋"/>
          <w:sz w:val="24"/>
          <w:szCs w:val="24"/>
        </w:rPr>
        <w:t>江苏臻采招标代理有限公司受</w:t>
      </w:r>
      <w:r>
        <w:rPr>
          <w:rFonts w:hint="eastAsia" w:ascii="仿宋" w:hAnsi="仿宋" w:eastAsia="仿宋" w:cs="仿宋"/>
          <w:b/>
          <w:bCs/>
          <w:sz w:val="24"/>
          <w:szCs w:val="24"/>
        </w:rPr>
        <w:t>江苏省农业信息中心</w:t>
      </w:r>
      <w:r>
        <w:rPr>
          <w:rFonts w:hint="eastAsia" w:ascii="仿宋" w:hAnsi="仿宋" w:eastAsia="仿宋" w:cs="仿宋"/>
          <w:sz w:val="24"/>
          <w:szCs w:val="24"/>
        </w:rPr>
        <w:t>的委托，就</w:t>
      </w:r>
      <w:r>
        <w:rPr>
          <w:rFonts w:hint="eastAsia" w:ascii="仿宋" w:hAnsi="仿宋" w:eastAsia="仿宋" w:cs="仿宋"/>
          <w:b/>
          <w:bCs/>
          <w:sz w:val="24"/>
          <w:szCs w:val="24"/>
        </w:rPr>
        <w:t>江苏省农业农村厅2026年度网络与数据安全支撑保障运维</w:t>
      </w:r>
      <w:r>
        <w:rPr>
          <w:rFonts w:hint="eastAsia" w:ascii="仿宋" w:hAnsi="仿宋" w:eastAsia="仿宋" w:cs="仿宋"/>
          <w:sz w:val="24"/>
          <w:szCs w:val="24"/>
        </w:rPr>
        <w:t>实施竞争性磋商采购，兹邀请符合条件的供应商参加磋商及报价。</w:t>
      </w:r>
      <w:bookmarkStart w:id="12" w:name="_Toc18014"/>
      <w:bookmarkStart w:id="13" w:name="_Toc4777"/>
      <w:bookmarkStart w:id="14" w:name="_Toc14696"/>
      <w:bookmarkStart w:id="15" w:name="_Toc6109"/>
      <w:bookmarkStart w:id="16" w:name="_Toc10111"/>
      <w:bookmarkStart w:id="17" w:name="_Toc6028"/>
      <w:bookmarkStart w:id="18" w:name="_Toc7488"/>
      <w:bookmarkStart w:id="19" w:name="_Toc8153"/>
      <w:bookmarkStart w:id="20" w:name="_Toc2936"/>
    </w:p>
    <w:p w14:paraId="4FF3F59B">
      <w:pPr>
        <w:pBdr>
          <w:top w:val="single" w:color="auto" w:sz="4" w:space="1"/>
          <w:left w:val="single" w:color="auto" w:sz="4" w:space="0"/>
          <w:bottom w:val="single" w:color="auto" w:sz="4" w:space="1"/>
          <w:right w:val="single" w:color="auto" w:sz="4" w:space="4"/>
        </w:pBdr>
        <w:ind w:firstLine="482" w:firstLineChars="200"/>
        <w:rPr>
          <w:rFonts w:ascii="仿宋" w:hAnsi="仿宋" w:eastAsia="仿宋" w:cs="仿宋"/>
          <w:b/>
          <w:bCs/>
          <w:sz w:val="24"/>
          <w:szCs w:val="24"/>
        </w:rPr>
      </w:pPr>
      <w:r>
        <w:rPr>
          <w:rFonts w:hint="eastAsia" w:ascii="仿宋" w:hAnsi="仿宋" w:eastAsia="仿宋" w:cs="仿宋"/>
          <w:b/>
          <w:bCs/>
          <w:sz w:val="24"/>
          <w:szCs w:val="24"/>
        </w:rPr>
        <w:t>项目概况</w:t>
      </w:r>
    </w:p>
    <w:p w14:paraId="3F9E7F68">
      <w:pPr>
        <w:pBdr>
          <w:top w:val="single" w:color="auto" w:sz="4" w:space="1"/>
          <w:left w:val="single" w:color="auto" w:sz="4" w:space="0"/>
          <w:bottom w:val="single" w:color="auto" w:sz="4" w:space="1"/>
          <w:right w:val="single" w:color="auto" w:sz="4" w:space="4"/>
        </w:pBdr>
        <w:ind w:firstLine="482" w:firstLineChars="200"/>
        <w:rPr>
          <w:rFonts w:ascii="仿宋" w:hAnsi="仿宋" w:eastAsia="仿宋" w:cs="仿宋"/>
          <w:sz w:val="24"/>
          <w:szCs w:val="24"/>
        </w:rPr>
      </w:pPr>
      <w:r>
        <w:rPr>
          <w:rFonts w:hint="eastAsia" w:ascii="仿宋" w:hAnsi="仿宋" w:eastAsia="仿宋" w:cs="仿宋"/>
          <w:b/>
          <w:bCs/>
          <w:sz w:val="24"/>
          <w:szCs w:val="24"/>
          <w:u w:val="single"/>
        </w:rPr>
        <w:t xml:space="preserve">江苏省农业农村厅2026年度网络与数据安全支撑保障运维 </w:t>
      </w:r>
      <w:r>
        <w:rPr>
          <w:rFonts w:hint="eastAsia" w:ascii="仿宋" w:hAnsi="仿宋" w:eastAsia="仿宋" w:cs="仿宋"/>
          <w:sz w:val="24"/>
          <w:szCs w:val="24"/>
        </w:rPr>
        <w:t>的潜在供应商应在</w:t>
      </w:r>
      <w:r>
        <w:rPr>
          <w:rFonts w:hint="eastAsia" w:ascii="仿宋" w:hAnsi="仿宋" w:eastAsia="仿宋" w:cs="仿宋"/>
          <w:sz w:val="24"/>
          <w:szCs w:val="24"/>
          <w:lang w:eastAsia="zh-CN"/>
        </w:rPr>
        <w:t>“苏采云”系统内下载（</w:t>
      </w:r>
      <w:r>
        <w:rPr>
          <w:rFonts w:hint="eastAsia" w:ascii="仿宋" w:hAnsi="仿宋" w:eastAsia="仿宋" w:cs="仿宋"/>
          <w:sz w:val="24"/>
          <w:szCs w:val="24"/>
          <w:lang w:val="en-US" w:eastAsia="zh-CN"/>
        </w:rPr>
        <w:t>供应商必须在苏采云系统中获取采购文件，方能参与政府采购项目</w:t>
      </w:r>
      <w:r>
        <w:rPr>
          <w:rFonts w:hint="eastAsia" w:ascii="仿宋" w:hAnsi="仿宋" w:eastAsia="仿宋" w:cs="仿宋"/>
          <w:sz w:val="24"/>
          <w:szCs w:val="24"/>
          <w:lang w:eastAsia="zh-CN"/>
        </w:rPr>
        <w:t>）</w:t>
      </w:r>
      <w:r>
        <w:rPr>
          <w:rFonts w:hint="eastAsia" w:ascii="仿宋" w:hAnsi="仿宋" w:eastAsia="仿宋" w:cs="仿宋"/>
          <w:sz w:val="24"/>
          <w:szCs w:val="24"/>
        </w:rPr>
        <w:t>获取采购文件，并于</w:t>
      </w:r>
      <w:r>
        <w:rPr>
          <w:rFonts w:hint="eastAsia" w:ascii="仿宋" w:hAnsi="仿宋" w:eastAsia="仿宋" w:cs="仿宋"/>
          <w:sz w:val="24"/>
          <w:szCs w:val="24"/>
          <w:u w:val="single"/>
        </w:rPr>
        <w:t>2026年5月</w:t>
      </w:r>
      <w:r>
        <w:rPr>
          <w:rFonts w:hint="eastAsia" w:ascii="仿宋" w:hAnsi="仿宋" w:eastAsia="仿宋" w:cs="仿宋"/>
          <w:sz w:val="24"/>
          <w:szCs w:val="24"/>
          <w:u w:val="single"/>
          <w:lang w:val="en-US" w:eastAsia="zh-CN"/>
        </w:rPr>
        <w:t>9</w:t>
      </w:r>
      <w:r>
        <w:rPr>
          <w:rFonts w:hint="eastAsia" w:ascii="仿宋" w:hAnsi="仿宋" w:eastAsia="仿宋" w:cs="仿宋"/>
          <w:sz w:val="24"/>
          <w:szCs w:val="24"/>
          <w:u w:val="single"/>
        </w:rPr>
        <w:t>日</w:t>
      </w:r>
      <w:r>
        <w:rPr>
          <w:rFonts w:hint="eastAsia" w:ascii="仿宋" w:hAnsi="仿宋" w:eastAsia="仿宋" w:cs="仿宋"/>
          <w:sz w:val="24"/>
          <w:szCs w:val="24"/>
          <w:u w:val="single"/>
          <w:lang w:val="en-US" w:eastAsia="zh-CN"/>
        </w:rPr>
        <w:t>14</w:t>
      </w:r>
      <w:r>
        <w:rPr>
          <w:rFonts w:hint="eastAsia" w:ascii="仿宋" w:hAnsi="仿宋" w:eastAsia="仿宋" w:cs="仿宋"/>
          <w:sz w:val="24"/>
          <w:szCs w:val="24"/>
          <w:u w:val="single"/>
        </w:rPr>
        <w:t>点</w:t>
      </w:r>
      <w:r>
        <w:rPr>
          <w:rFonts w:hint="eastAsia" w:ascii="仿宋" w:hAnsi="仿宋" w:eastAsia="仿宋" w:cs="仿宋"/>
          <w:sz w:val="24"/>
          <w:szCs w:val="24"/>
          <w:u w:val="single"/>
          <w:lang w:val="en-US" w:eastAsia="zh-CN"/>
        </w:rPr>
        <w:t>0</w:t>
      </w:r>
      <w:r>
        <w:rPr>
          <w:rFonts w:hint="eastAsia" w:ascii="仿宋" w:hAnsi="仿宋" w:eastAsia="仿宋" w:cs="仿宋"/>
          <w:sz w:val="24"/>
          <w:szCs w:val="24"/>
          <w:u w:val="single"/>
        </w:rPr>
        <w:t>0分</w:t>
      </w:r>
      <w:r>
        <w:rPr>
          <w:rFonts w:hint="eastAsia" w:ascii="仿宋" w:hAnsi="仿宋" w:eastAsia="仿宋" w:cs="仿宋"/>
          <w:bCs/>
          <w:sz w:val="24"/>
          <w:szCs w:val="24"/>
        </w:rPr>
        <w:t>（北京时间）前提交响应文件</w:t>
      </w:r>
      <w:r>
        <w:rPr>
          <w:rFonts w:hint="eastAsia" w:ascii="仿宋" w:hAnsi="仿宋" w:eastAsia="仿宋" w:cs="仿宋"/>
          <w:sz w:val="24"/>
          <w:szCs w:val="24"/>
        </w:rPr>
        <w:t>。</w:t>
      </w:r>
    </w:p>
    <w:p w14:paraId="1D3F4CA1">
      <w:pPr>
        <w:snapToGrid w:val="0"/>
        <w:spacing w:line="360" w:lineRule="auto"/>
        <w:rPr>
          <w:rFonts w:ascii="仿宋" w:hAnsi="仿宋" w:eastAsia="仿宋" w:cs="仿宋"/>
          <w:b/>
        </w:rPr>
      </w:pPr>
    </w:p>
    <w:p w14:paraId="39EE0026">
      <w:pPr>
        <w:numPr>
          <w:ilvl w:val="0"/>
          <w:numId w:val="2"/>
        </w:numPr>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项目基本概况</w:t>
      </w:r>
    </w:p>
    <w:p w14:paraId="37C433CF">
      <w:pPr>
        <w:pStyle w:val="31"/>
        <w:spacing w:line="360" w:lineRule="auto"/>
        <w:ind w:left="420" w:firstLine="0" w:firstLineChars="0"/>
        <w:rPr>
          <w:rFonts w:hint="eastAsia" w:ascii="仿宋" w:hAnsi="仿宋" w:eastAsia="仿宋" w:cs="仿宋"/>
          <w:sz w:val="24"/>
          <w:szCs w:val="24"/>
          <w:lang w:eastAsia="zh-CN"/>
        </w:rPr>
      </w:pPr>
      <w:r>
        <w:rPr>
          <w:rFonts w:hint="eastAsia" w:ascii="仿宋" w:hAnsi="仿宋" w:eastAsia="仿宋" w:cs="仿宋"/>
          <w:sz w:val="24"/>
          <w:szCs w:val="24"/>
        </w:rPr>
        <w:t>1.项目编号：</w:t>
      </w:r>
      <w:r>
        <w:rPr>
          <w:rFonts w:hint="eastAsia" w:ascii="仿宋" w:hAnsi="仿宋" w:eastAsia="仿宋" w:cs="仿宋"/>
          <w:sz w:val="24"/>
          <w:szCs w:val="24"/>
          <w:lang w:eastAsia="zh-CN"/>
        </w:rPr>
        <w:t>JSZC-320000-ZCZB-C2026-0003</w:t>
      </w:r>
    </w:p>
    <w:p w14:paraId="36AA4C48">
      <w:pPr>
        <w:pStyle w:val="31"/>
        <w:spacing w:line="360" w:lineRule="auto"/>
        <w:ind w:left="420" w:firstLine="0" w:firstLineChars="0"/>
        <w:rPr>
          <w:rFonts w:ascii="仿宋" w:hAnsi="仿宋" w:eastAsia="仿宋" w:cs="仿宋"/>
          <w:sz w:val="24"/>
          <w:szCs w:val="24"/>
        </w:rPr>
      </w:pPr>
      <w:r>
        <w:rPr>
          <w:rFonts w:hint="eastAsia" w:ascii="仿宋" w:hAnsi="仿宋" w:eastAsia="仿宋" w:cs="仿宋"/>
          <w:sz w:val="24"/>
          <w:szCs w:val="24"/>
        </w:rPr>
        <w:t>2.项目名称：江苏省农业农村厅2026年度网络与数据安全支撑保障运维</w:t>
      </w:r>
    </w:p>
    <w:p w14:paraId="5E501346">
      <w:pPr>
        <w:pStyle w:val="31"/>
        <w:spacing w:line="360" w:lineRule="auto"/>
        <w:ind w:left="420" w:firstLine="0" w:firstLineChars="0"/>
        <w:rPr>
          <w:rFonts w:ascii="仿宋" w:hAnsi="仿宋" w:eastAsia="仿宋" w:cs="仿宋"/>
          <w:sz w:val="24"/>
          <w:szCs w:val="24"/>
        </w:rPr>
      </w:pPr>
      <w:r>
        <w:rPr>
          <w:rFonts w:hint="eastAsia" w:ascii="仿宋" w:hAnsi="仿宋" w:eastAsia="仿宋" w:cs="仿宋"/>
          <w:sz w:val="24"/>
          <w:szCs w:val="24"/>
        </w:rPr>
        <w:t>3.预算金额：人民币189万元</w:t>
      </w:r>
    </w:p>
    <w:p w14:paraId="19035DA3">
      <w:pPr>
        <w:pStyle w:val="31"/>
        <w:spacing w:line="360" w:lineRule="auto"/>
        <w:ind w:left="420" w:firstLine="0" w:firstLineChars="0"/>
        <w:rPr>
          <w:rFonts w:ascii="仿宋" w:hAnsi="仿宋" w:eastAsia="仿宋" w:cs="仿宋"/>
          <w:sz w:val="24"/>
          <w:szCs w:val="24"/>
        </w:rPr>
      </w:pPr>
      <w:r>
        <w:rPr>
          <w:rFonts w:hint="eastAsia" w:ascii="仿宋" w:hAnsi="仿宋" w:eastAsia="仿宋" w:cs="仿宋"/>
          <w:sz w:val="24"/>
          <w:szCs w:val="24"/>
        </w:rPr>
        <w:t>4.最高限价：人民币189万元</w:t>
      </w:r>
    </w:p>
    <w:p w14:paraId="610DE85F">
      <w:pPr>
        <w:pStyle w:val="31"/>
        <w:spacing w:line="360" w:lineRule="auto"/>
        <w:ind w:left="420" w:firstLine="482"/>
        <w:rPr>
          <w:rFonts w:ascii="仿宋" w:hAnsi="仿宋" w:eastAsia="仿宋" w:cs="仿宋"/>
          <w:sz w:val="24"/>
          <w:szCs w:val="24"/>
        </w:rPr>
      </w:pPr>
      <w:r>
        <w:rPr>
          <w:rFonts w:hint="eastAsia" w:ascii="仿宋" w:hAnsi="仿宋" w:eastAsia="仿宋" w:cs="仿宋"/>
          <w:b/>
          <w:bCs/>
          <w:i/>
          <w:iCs/>
          <w:sz w:val="24"/>
          <w:szCs w:val="24"/>
          <w:u w:val="single"/>
        </w:rPr>
        <w:t>最终报价超过政府采购预算和最高限价的为无效报价，按照无效响应处理。</w:t>
      </w:r>
    </w:p>
    <w:p w14:paraId="0F88EF5F">
      <w:pPr>
        <w:pStyle w:val="31"/>
        <w:spacing w:line="360" w:lineRule="auto"/>
        <w:ind w:left="420" w:firstLine="0" w:firstLineChars="0"/>
        <w:rPr>
          <w:rFonts w:ascii="仿宋" w:hAnsi="仿宋" w:eastAsia="仿宋" w:cs="仿宋"/>
          <w:sz w:val="24"/>
          <w:szCs w:val="24"/>
        </w:rPr>
      </w:pPr>
      <w:r>
        <w:rPr>
          <w:rFonts w:hint="eastAsia" w:ascii="仿宋" w:hAnsi="仿宋" w:eastAsia="仿宋" w:cs="仿宋"/>
          <w:sz w:val="24"/>
          <w:szCs w:val="24"/>
        </w:rPr>
        <w:t>5.采购需求（简介）：</w:t>
      </w:r>
      <w:r>
        <w:rPr>
          <w:rFonts w:hint="eastAsia" w:ascii="仿宋" w:hAnsi="仿宋" w:eastAsia="仿宋" w:cs="仿宋"/>
          <w:sz w:val="24"/>
          <w:szCs w:val="24"/>
          <w:lang w:val="zh-CN"/>
        </w:rPr>
        <w:t>为全面落实厅党组网络安全工作责任制要求，切实提升厅机关及直属单位网络与数据安全保障能力，依据《中华人民共和国网络安全法》《中华人民共和国数据安全法》等法律法规，进一步提升全厅信息系统、计算机网络与数据安全运行保障能力。本项目将围绕全厅在建在用政务信息系统及相关联网计算机及网络设施资产，通过开展全维度安全检测、风险评估、攻防演练、应急处置、制度建设、安全运维支撑和数据安全检查等系列工作，健全安全管理体系，强化技术防护能力，提升全员安全意识，完善应急响应机制，全面夯实全厅网络与数据安全保障基础，确保政务信息系统和厅计算机网络安全稳定运行。</w:t>
      </w:r>
      <w:bookmarkStart w:id="186" w:name="_GoBack"/>
      <w:bookmarkEnd w:id="186"/>
    </w:p>
    <w:p w14:paraId="2A7ABB45">
      <w:pPr>
        <w:pStyle w:val="31"/>
        <w:spacing w:line="360" w:lineRule="auto"/>
        <w:ind w:left="420" w:firstLine="0" w:firstLineChars="0"/>
        <w:rPr>
          <w:rFonts w:ascii="仿宋" w:hAnsi="仿宋" w:eastAsia="仿宋" w:cs="仿宋"/>
        </w:rPr>
      </w:pPr>
      <w:r>
        <w:rPr>
          <w:rFonts w:hint="eastAsia" w:ascii="仿宋" w:hAnsi="仿宋" w:eastAsia="仿宋" w:cs="仿宋"/>
          <w:sz w:val="24"/>
          <w:szCs w:val="24"/>
        </w:rPr>
        <w:t>6.服务时间：自合同签订之日起一年。</w:t>
      </w:r>
    </w:p>
    <w:p w14:paraId="22ECE1D0">
      <w:pPr>
        <w:pStyle w:val="31"/>
        <w:spacing w:line="360" w:lineRule="auto"/>
        <w:ind w:left="420" w:firstLine="0" w:firstLineChars="0"/>
        <w:rPr>
          <w:rFonts w:ascii="仿宋" w:hAnsi="仿宋" w:eastAsia="仿宋" w:cs="仿宋"/>
          <w:sz w:val="24"/>
          <w:szCs w:val="24"/>
        </w:rPr>
      </w:pPr>
      <w:r>
        <w:rPr>
          <w:rFonts w:hint="eastAsia" w:ascii="仿宋" w:hAnsi="仿宋" w:eastAsia="仿宋" w:cs="仿宋"/>
          <w:sz w:val="24"/>
          <w:szCs w:val="24"/>
        </w:rPr>
        <w:t>7.本项目（是/否）接受联合体：不接受联合体。</w:t>
      </w:r>
    </w:p>
    <w:p w14:paraId="20EBCE6C">
      <w:pPr>
        <w:tabs>
          <w:tab w:val="left" w:pos="7810"/>
        </w:tabs>
        <w:snapToGrid w:val="0"/>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 xml:space="preserve">二、申请人的资格要求 </w:t>
      </w:r>
      <w:r>
        <w:rPr>
          <w:rFonts w:hint="eastAsia" w:ascii="仿宋" w:hAnsi="仿宋" w:eastAsia="仿宋" w:cs="仿宋"/>
          <w:b/>
          <w:bCs/>
          <w:sz w:val="24"/>
          <w:szCs w:val="24"/>
        </w:rPr>
        <w:tab/>
      </w:r>
    </w:p>
    <w:p w14:paraId="5C89B8F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 xml:space="preserve">（一）满足《中华人民共和国政府采购法》第二十二条规定： </w:t>
      </w:r>
    </w:p>
    <w:p w14:paraId="3904E4FD">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1、具有独立承担民事责任的能力（提供法人或者其他组织的营业执照复印件并加盖公章，或者自然人的身份证明）；</w:t>
      </w:r>
    </w:p>
    <w:p w14:paraId="00A097F7">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2、具有良好的商业信誉和健全的财务会计制度（提供2024年度/2025年度财务报告或银行出具的企业资信证明，法人或者其他组织成立未满一年的可提供近半年内任一月的资产负债和利润表）；</w:t>
      </w:r>
    </w:p>
    <w:p w14:paraId="011C261F">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3、具有履行合同所必需的设备和专业技术能力（根据项目需求提供履行合同所必需的设备和专业技术能力的证明材料或声明函）；</w:t>
      </w:r>
    </w:p>
    <w:p w14:paraId="3E9C998E">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4、有依法缴纳税收和社会保障资金的良好记录（提供参加本次采购活动前依法缴纳税收及社会保险的凭据。依法免缴、迟缴的应提供相应文件证明）；</w:t>
      </w:r>
    </w:p>
    <w:p w14:paraId="6031E531">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5、参加本次采购活动前3年内在经营活动中没有重大违法记录（提供参加本次采购活动前3年内在经营活动中没有重大违法记录的书面声明）；</w:t>
      </w:r>
    </w:p>
    <w:p w14:paraId="334EADE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6、法律、行政法规规定的其他条件。</w:t>
      </w:r>
    </w:p>
    <w:p w14:paraId="73F15DD1">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（二）落实政府采购政策需满足的资格要求：</w:t>
      </w:r>
    </w:p>
    <w:p w14:paraId="7A3FC911">
      <w:pPr>
        <w:snapToGrid w:val="0"/>
        <w:spacing w:line="360" w:lineRule="auto"/>
        <w:ind w:firstLine="480" w:firstLineChars="200"/>
        <w:rPr>
          <w:rFonts w:ascii="仿宋" w:hAnsi="仿宋" w:eastAsia="仿宋" w:cs="仿宋"/>
          <w:sz w:val="24"/>
          <w:szCs w:val="24"/>
        </w:rPr>
      </w:pPr>
      <w:r>
        <w:rPr>
          <w:rFonts w:hint="eastAsia" w:ascii="仿宋" w:hAnsi="仿宋" w:eastAsia="仿宋" w:cs="仿宋"/>
          <w:bCs/>
          <w:color w:val="auto"/>
          <w:sz w:val="24"/>
        </w:rPr>
        <w:t>本项目</w:t>
      </w:r>
      <w:r>
        <w:rPr>
          <w:rFonts w:hint="eastAsia" w:ascii="仿宋" w:hAnsi="仿宋" w:eastAsia="仿宋" w:cs="仿宋"/>
          <w:bCs/>
          <w:color w:val="auto"/>
          <w:sz w:val="24"/>
          <w:lang w:val="en-US" w:eastAsia="zh-CN"/>
        </w:rPr>
        <w:t>不</w:t>
      </w:r>
      <w:r>
        <w:rPr>
          <w:rFonts w:hint="eastAsia" w:ascii="仿宋" w:hAnsi="仿宋" w:eastAsia="仿宋" w:cs="仿宋"/>
          <w:bCs/>
          <w:color w:val="auto"/>
          <w:sz w:val="24"/>
        </w:rPr>
        <w:t>专门面向中小企业采购</w:t>
      </w:r>
      <w:r>
        <w:rPr>
          <w:rFonts w:hint="eastAsia" w:ascii="仿宋" w:hAnsi="仿宋" w:eastAsia="仿宋" w:cs="仿宋"/>
          <w:bCs/>
          <w:sz w:val="24"/>
        </w:rPr>
        <w:t>，执行价格扣除优惠政策，供应商为小微企业的，报价给予</w:t>
      </w:r>
      <w:r>
        <w:rPr>
          <w:rFonts w:hint="eastAsia" w:ascii="仿宋" w:hAnsi="仿宋" w:eastAsia="仿宋" w:cs="仿宋"/>
          <w:b/>
          <w:sz w:val="24"/>
          <w:u w:val="single"/>
        </w:rPr>
        <w:t>10%</w:t>
      </w:r>
      <w:r>
        <w:rPr>
          <w:rFonts w:hint="eastAsia" w:ascii="仿宋" w:hAnsi="仿宋" w:eastAsia="仿宋" w:cs="仿宋"/>
          <w:bCs/>
          <w:sz w:val="24"/>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543FEB82">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本项目采购标的对应的中小企业划分标准所属行业为：</w:t>
      </w:r>
      <w:r>
        <w:rPr>
          <w:rFonts w:hint="eastAsia" w:ascii="仿宋" w:hAnsi="仿宋" w:eastAsia="仿宋" w:cs="仿宋"/>
          <w:sz w:val="24"/>
          <w:szCs w:val="24"/>
          <w:u w:val="single"/>
        </w:rPr>
        <w:t xml:space="preserve"> 其他未列明行业</w:t>
      </w:r>
      <w:r>
        <w:rPr>
          <w:rFonts w:hint="eastAsia" w:ascii="仿宋" w:hAnsi="仿宋" w:eastAsia="仿宋" w:cs="仿宋"/>
          <w:b/>
          <w:bCs/>
          <w:sz w:val="24"/>
          <w:szCs w:val="24"/>
          <w:u w:val="single"/>
        </w:rPr>
        <w:t>。</w:t>
      </w:r>
    </w:p>
    <w:p w14:paraId="6A97900E">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（三）本项目的特定资格要求：</w:t>
      </w:r>
      <w:r>
        <w:rPr>
          <w:rFonts w:hint="eastAsia" w:ascii="仿宋" w:hAnsi="仿宋" w:eastAsia="仿宋" w:cs="仿宋"/>
          <w:b/>
          <w:bCs/>
          <w:i/>
          <w:iCs/>
          <w:sz w:val="24"/>
          <w:szCs w:val="24"/>
          <w:u w:val="single"/>
        </w:rPr>
        <w:t>无</w:t>
      </w:r>
      <w:r>
        <w:rPr>
          <w:rFonts w:hint="eastAsia" w:ascii="仿宋" w:hAnsi="仿宋" w:eastAsia="仿宋" w:cs="仿宋"/>
          <w:sz w:val="24"/>
          <w:szCs w:val="24"/>
        </w:rPr>
        <w:t>。</w:t>
      </w:r>
    </w:p>
    <w:p w14:paraId="0E4607D0">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（四）拒绝下述供应商参加本次采购活动</w:t>
      </w:r>
    </w:p>
    <w:p w14:paraId="0F13D746">
      <w:pPr>
        <w:snapToGrid w:val="0"/>
        <w:spacing w:line="360" w:lineRule="auto"/>
        <w:ind w:firstLine="480" w:firstLineChars="200"/>
        <w:rPr>
          <w:rFonts w:ascii="仿宋" w:hAnsi="仿宋" w:eastAsia="仿宋" w:cs="仿宋"/>
          <w:sz w:val="24"/>
          <w:szCs w:val="32"/>
        </w:rPr>
      </w:pPr>
      <w:r>
        <w:rPr>
          <w:rFonts w:hint="eastAsia" w:ascii="仿宋" w:hAnsi="仿宋" w:eastAsia="仿宋" w:cs="仿宋"/>
          <w:sz w:val="24"/>
          <w:szCs w:val="32"/>
        </w:rPr>
        <w:t>1、凡为采购项目提供整体设计、规范编制或者项目管理、监理、检测等服务的供应商，不得再参加该采购项目的其他采购活动。</w:t>
      </w:r>
    </w:p>
    <w:p w14:paraId="40C73436">
      <w:pPr>
        <w:snapToGrid w:val="0"/>
        <w:spacing w:line="360" w:lineRule="auto"/>
        <w:ind w:firstLine="480" w:firstLineChars="200"/>
        <w:rPr>
          <w:rFonts w:ascii="仿宋" w:hAnsi="仿宋" w:eastAsia="仿宋" w:cs="仿宋"/>
          <w:sz w:val="24"/>
          <w:szCs w:val="32"/>
        </w:rPr>
      </w:pPr>
      <w:r>
        <w:rPr>
          <w:rFonts w:hint="eastAsia" w:ascii="仿宋" w:hAnsi="仿宋" w:eastAsia="仿宋" w:cs="仿宋"/>
          <w:sz w:val="24"/>
          <w:szCs w:val="32"/>
        </w:rPr>
        <w:t>2、供应商单位负责人为同一人或者存在直接控股、管理关系的不同供应商，不得参加同一合同项下的采购活动。</w:t>
      </w:r>
    </w:p>
    <w:p w14:paraId="79590FB2">
      <w:pPr>
        <w:spacing w:line="360" w:lineRule="auto"/>
        <w:ind w:firstLine="480"/>
        <w:rPr>
          <w:rFonts w:ascii="仿宋" w:hAnsi="仿宋" w:eastAsia="仿宋" w:cs="仿宋"/>
          <w:sz w:val="24"/>
          <w:szCs w:val="24"/>
        </w:rPr>
      </w:pPr>
      <w:r>
        <w:rPr>
          <w:rFonts w:hint="eastAsia" w:ascii="仿宋" w:hAnsi="仿宋" w:eastAsia="仿宋" w:cs="仿宋"/>
          <w:sz w:val="24"/>
          <w:szCs w:val="32"/>
        </w:rPr>
        <w:t>3、在磋商截止日前被“信用中国”网站(www.creditchina.gov.cn</w:t>
      </w:r>
      <w:r>
        <w:rPr>
          <w:rFonts w:hint="eastAsia" w:ascii="仿宋" w:hAnsi="仿宋" w:eastAsia="仿宋" w:cs="仿宋"/>
          <w:bCs/>
          <w:sz w:val="24"/>
        </w:rPr>
        <w:t>）</w:t>
      </w:r>
      <w:r>
        <w:rPr>
          <w:rFonts w:hint="eastAsia" w:ascii="仿宋" w:hAnsi="仿宋" w:eastAsia="仿宋" w:cs="仿宋"/>
          <w:sz w:val="24"/>
          <w:szCs w:val="32"/>
        </w:rPr>
        <w:t>、中国政府采购网(www.ccgp.gov.cn</w:t>
      </w:r>
      <w:r>
        <w:rPr>
          <w:rFonts w:hint="eastAsia" w:ascii="仿宋" w:hAnsi="仿宋" w:eastAsia="仿宋" w:cs="仿宋"/>
          <w:bCs/>
          <w:sz w:val="24"/>
        </w:rPr>
        <w:t>）</w:t>
      </w:r>
      <w:r>
        <w:rPr>
          <w:rFonts w:hint="eastAsia" w:ascii="仿宋" w:hAnsi="仿宋" w:eastAsia="仿宋" w:cs="仿宋"/>
          <w:sz w:val="24"/>
          <w:szCs w:val="32"/>
        </w:rPr>
        <w:t xml:space="preserve"> 列入失信被执行人、重大税收违法案件当事人、政府采购严重违法失信行为记录名单的供应商（须提供网页截图）</w:t>
      </w:r>
      <w:r>
        <w:rPr>
          <w:rFonts w:hint="eastAsia" w:ascii="仿宋" w:hAnsi="仿宋" w:eastAsia="仿宋" w:cs="仿宋"/>
          <w:sz w:val="24"/>
          <w:szCs w:val="24"/>
        </w:rPr>
        <w:t>。</w:t>
      </w:r>
    </w:p>
    <w:p w14:paraId="6BC7572F">
      <w:pPr>
        <w:tabs>
          <w:tab w:val="left" w:pos="7810"/>
        </w:tabs>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三、获取采购文件</w:t>
      </w:r>
    </w:p>
    <w:p w14:paraId="6D0EDC5C">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1.时间：自</w:t>
      </w:r>
      <w:r>
        <w:rPr>
          <w:rFonts w:hint="eastAsia" w:ascii="仿宋" w:hAnsi="仿宋" w:eastAsia="仿宋" w:cs="仿宋"/>
          <w:sz w:val="24"/>
          <w:szCs w:val="24"/>
          <w:lang w:eastAsia="zh-CN"/>
        </w:rPr>
        <w:t>磋商文件公告</w:t>
      </w:r>
      <w:r>
        <w:rPr>
          <w:rFonts w:hint="eastAsia" w:ascii="仿宋" w:hAnsi="仿宋" w:eastAsia="仿宋" w:cs="仿宋"/>
          <w:sz w:val="24"/>
          <w:szCs w:val="24"/>
        </w:rPr>
        <w:t xml:space="preserve">发布之日起5个工作日 </w:t>
      </w:r>
    </w:p>
    <w:p w14:paraId="6339882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2.地点：在“江苏政府采购网”下载</w:t>
      </w:r>
    </w:p>
    <w:p w14:paraId="5585D01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获取</w:t>
      </w:r>
      <w:r>
        <w:rPr>
          <w:rFonts w:hint="eastAsia" w:ascii="仿宋" w:hAnsi="仿宋" w:eastAsia="仿宋" w:cs="仿宋"/>
          <w:sz w:val="24"/>
          <w:szCs w:val="24"/>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仿宋" w:hAnsi="仿宋" w:eastAsia="仿宋" w:cs="仿宋"/>
          <w:sz w:val="24"/>
          <w:szCs w:val="24"/>
          <w:lang w:val="zh-CN"/>
        </w:rPr>
        <w:t>（文件后缀名为“.kedt”）</w:t>
      </w:r>
      <w:r>
        <w:rPr>
          <w:rFonts w:hint="eastAsia" w:ascii="仿宋" w:hAnsi="仿宋" w:eastAsia="仿宋" w:cs="仿宋"/>
          <w:sz w:val="24"/>
          <w:szCs w:val="24"/>
        </w:rPr>
        <w:t xml:space="preserve">并进行操作。 </w:t>
      </w:r>
    </w:p>
    <w:p w14:paraId="159C1759">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4.售价：</w:t>
      </w:r>
      <w:r>
        <w:rPr>
          <w:rFonts w:hint="eastAsia" w:ascii="仿宋" w:hAnsi="仿宋" w:eastAsia="仿宋" w:cs="仿宋"/>
          <w:sz w:val="24"/>
          <w:szCs w:val="24"/>
          <w:lang w:val="en-US" w:eastAsia="zh-CN"/>
        </w:rPr>
        <w:t>500</w:t>
      </w:r>
      <w:r>
        <w:rPr>
          <w:rFonts w:hint="eastAsia" w:ascii="仿宋" w:hAnsi="仿宋" w:eastAsia="仿宋" w:cs="仿宋"/>
          <w:sz w:val="24"/>
          <w:szCs w:val="24"/>
        </w:rPr>
        <w:t>元(支付方式详见附件“采购文件登记表”）。</w:t>
      </w:r>
    </w:p>
    <w:p w14:paraId="1EDEB78A">
      <w:pPr>
        <w:tabs>
          <w:tab w:val="left" w:pos="7810"/>
        </w:tabs>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四、提交响应文件截止时间、开标时间和地点</w:t>
      </w:r>
    </w:p>
    <w:p w14:paraId="02CFCD0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1.截止时间</w:t>
      </w:r>
      <w:r>
        <w:rPr>
          <w:rFonts w:hint="eastAsia" w:ascii="仿宋" w:hAnsi="仿宋" w:eastAsia="仿宋" w:cs="仿宋"/>
          <w:sz w:val="24"/>
          <w:szCs w:val="24"/>
          <w:lang w:eastAsia="zh-CN"/>
        </w:rPr>
        <w:t>：202</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年</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9</w:t>
      </w:r>
      <w:r>
        <w:rPr>
          <w:rFonts w:hint="eastAsia" w:ascii="仿宋" w:hAnsi="仿宋" w:eastAsia="仿宋" w:cs="仿宋"/>
          <w:sz w:val="24"/>
          <w:szCs w:val="24"/>
        </w:rPr>
        <w:t>日14点00分（北京时间）。</w:t>
      </w:r>
    </w:p>
    <w:p w14:paraId="23786D8B">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2.地点：江苏省政府采购交易系统（以下简称“苏采云系统”）网上开标大厅</w:t>
      </w:r>
    </w:p>
    <w:p w14:paraId="16F96EB8">
      <w:pPr>
        <w:tabs>
          <w:tab w:val="left" w:pos="7810"/>
        </w:tabs>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五、公告期限</w:t>
      </w:r>
    </w:p>
    <w:p w14:paraId="55B059F6">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本次磋商公告期限为三个工作日。</w:t>
      </w:r>
    </w:p>
    <w:p w14:paraId="7A30867C">
      <w:pPr>
        <w:numPr>
          <w:ilvl w:val="0"/>
          <w:numId w:val="3"/>
        </w:numPr>
        <w:tabs>
          <w:tab w:val="left" w:pos="7810"/>
        </w:tabs>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开启</w:t>
      </w:r>
    </w:p>
    <w:p w14:paraId="710F6532">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1.时间：2026年5月</w:t>
      </w:r>
      <w:r>
        <w:rPr>
          <w:rFonts w:hint="eastAsia" w:ascii="仿宋" w:hAnsi="仿宋" w:eastAsia="仿宋" w:cs="仿宋"/>
          <w:sz w:val="24"/>
          <w:szCs w:val="24"/>
          <w:lang w:val="en-US" w:eastAsia="zh-CN"/>
        </w:rPr>
        <w:t>9</w:t>
      </w:r>
      <w:r>
        <w:rPr>
          <w:rFonts w:hint="eastAsia" w:ascii="仿宋" w:hAnsi="仿宋" w:eastAsia="仿宋" w:cs="仿宋"/>
          <w:sz w:val="24"/>
          <w:szCs w:val="24"/>
        </w:rPr>
        <w:t>日</w:t>
      </w:r>
      <w:r>
        <w:rPr>
          <w:rFonts w:hint="eastAsia" w:ascii="仿宋" w:hAnsi="仿宋" w:eastAsia="仿宋" w:cs="仿宋"/>
          <w:sz w:val="24"/>
          <w:szCs w:val="24"/>
          <w:lang w:val="en-US" w:eastAsia="zh-CN"/>
        </w:rPr>
        <w:t>下</w:t>
      </w:r>
      <w:r>
        <w:rPr>
          <w:rFonts w:hint="eastAsia" w:ascii="仿宋" w:hAnsi="仿宋" w:eastAsia="仿宋" w:cs="仿宋"/>
          <w:sz w:val="24"/>
          <w:szCs w:val="24"/>
        </w:rPr>
        <w:t>午</w:t>
      </w:r>
      <w:r>
        <w:rPr>
          <w:rFonts w:hint="eastAsia" w:ascii="仿宋" w:hAnsi="仿宋" w:eastAsia="仿宋" w:cs="仿宋"/>
          <w:sz w:val="24"/>
          <w:szCs w:val="24"/>
          <w:lang w:val="en-US" w:eastAsia="zh-CN"/>
        </w:rPr>
        <w:t>14</w:t>
      </w:r>
      <w:r>
        <w:rPr>
          <w:rFonts w:hint="eastAsia" w:ascii="仿宋" w:hAnsi="仿宋" w:eastAsia="仿宋" w:cs="仿宋"/>
          <w:sz w:val="24"/>
          <w:szCs w:val="24"/>
        </w:rPr>
        <w:t>：</w:t>
      </w:r>
      <w:r>
        <w:rPr>
          <w:rFonts w:hint="eastAsia" w:ascii="仿宋" w:hAnsi="仿宋" w:eastAsia="仿宋" w:cs="仿宋"/>
          <w:sz w:val="24"/>
          <w:szCs w:val="24"/>
          <w:lang w:val="en-US" w:eastAsia="zh-CN"/>
        </w:rPr>
        <w:t>0</w:t>
      </w:r>
      <w:r>
        <w:rPr>
          <w:rFonts w:hint="eastAsia" w:ascii="仿宋" w:hAnsi="仿宋" w:eastAsia="仿宋" w:cs="仿宋"/>
          <w:sz w:val="24"/>
          <w:szCs w:val="24"/>
        </w:rPr>
        <w:t>0</w:t>
      </w:r>
    </w:p>
    <w:p w14:paraId="405D21C5">
      <w:pPr>
        <w:adjustRightInd w:val="0"/>
        <w:snapToGrid w:val="0"/>
        <w:spacing w:line="360" w:lineRule="auto"/>
        <w:ind w:firstLine="480" w:firstLineChars="200"/>
        <w:rPr>
          <w:rFonts w:ascii="仿宋" w:hAnsi="仿宋" w:eastAsia="仿宋" w:cs="仿宋"/>
          <w:b/>
          <w:bCs/>
          <w:sz w:val="24"/>
          <w:szCs w:val="24"/>
        </w:rPr>
      </w:pPr>
      <w:r>
        <w:rPr>
          <w:rFonts w:hint="eastAsia" w:ascii="仿宋" w:hAnsi="仿宋" w:eastAsia="仿宋" w:cs="仿宋"/>
          <w:sz w:val="24"/>
          <w:szCs w:val="24"/>
        </w:rPr>
        <w:t>2.地点：</w:t>
      </w:r>
      <w:r>
        <w:rPr>
          <w:rFonts w:hint="eastAsia" w:ascii="仿宋" w:hAnsi="仿宋" w:eastAsia="仿宋" w:cs="仿宋"/>
          <w:spacing w:val="-6"/>
          <w:sz w:val="24"/>
          <w:szCs w:val="24"/>
        </w:rPr>
        <w:t>南京市秦淮区蓝旗街6号秦淮硅巷柳树湾科技园15号楼4楼</w:t>
      </w:r>
      <w:r>
        <w:rPr>
          <w:rFonts w:hint="eastAsia" w:ascii="仿宋" w:hAnsi="仿宋" w:eastAsia="仿宋" w:cs="仿宋"/>
          <w:sz w:val="24"/>
          <w:szCs w:val="24"/>
        </w:rPr>
        <w:t>会议室</w:t>
      </w:r>
    </w:p>
    <w:p w14:paraId="41B18E5D">
      <w:pPr>
        <w:tabs>
          <w:tab w:val="left" w:pos="7810"/>
        </w:tabs>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七、其他补充事宜</w:t>
      </w:r>
    </w:p>
    <w:p w14:paraId="23E5C74F">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1.本次采购不收取磋商保证金。</w:t>
      </w:r>
    </w:p>
    <w:p w14:paraId="08CA3D75">
      <w:pPr>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招标</w:t>
      </w:r>
      <w:r>
        <w:rPr>
          <w:rFonts w:hint="eastAsia" w:ascii="仿宋" w:hAnsi="仿宋" w:eastAsia="仿宋" w:cs="仿宋"/>
          <w:sz w:val="24"/>
          <w:szCs w:val="24"/>
        </w:rPr>
        <w:t>代理编号：JSZC-202604031310</w:t>
      </w:r>
    </w:p>
    <w:p w14:paraId="2D9FBA9F">
      <w:pPr>
        <w:snapToGrid w:val="0"/>
        <w:spacing w:line="360" w:lineRule="auto"/>
        <w:ind w:firstLine="480" w:firstLineChars="200"/>
        <w:rPr>
          <w:rFonts w:ascii="仿宋" w:hAnsi="仿宋" w:eastAsia="仿宋" w:cs="仿宋"/>
          <w:sz w:val="24"/>
          <w:szCs w:val="24"/>
          <w:highlight w:val="yellow"/>
        </w:rPr>
      </w:pPr>
      <w:r>
        <w:rPr>
          <w:rFonts w:hint="eastAsia" w:ascii="仿宋" w:hAnsi="仿宋" w:eastAsia="仿宋" w:cs="仿宋"/>
          <w:sz w:val="24"/>
          <w:szCs w:val="24"/>
        </w:rPr>
        <w:t>3.现场勘察及答疑：本项目不组织现场勘查。</w:t>
      </w:r>
    </w:p>
    <w:p w14:paraId="5AE1EE63">
      <w:pPr>
        <w:snapToGrid w:val="0"/>
        <w:spacing w:line="360" w:lineRule="auto"/>
        <w:ind w:firstLine="480" w:firstLineChars="200"/>
        <w:rPr>
          <w:rFonts w:hint="eastAsia" w:ascii="仿宋" w:hAnsi="仿宋" w:eastAsia="仿宋" w:cs="仿宋"/>
          <w:bCs/>
          <w:sz w:val="24"/>
        </w:rPr>
      </w:pPr>
      <w:r>
        <w:rPr>
          <w:rFonts w:hint="eastAsia" w:ascii="仿宋" w:hAnsi="仿宋" w:eastAsia="仿宋" w:cs="仿宋"/>
          <w:sz w:val="24"/>
          <w:szCs w:val="24"/>
        </w:rPr>
        <w:t>4.请各位供应商领取本次磋商文件后，认真阅读各项内容，进行必要的准备，按照磋商文件的要求详细填写和编制响应文件，并按以上确定的时间、地点准时参加磋商活动。</w:t>
      </w:r>
      <w:r>
        <w:rPr>
          <w:rFonts w:hint="eastAsia" w:ascii="仿宋" w:hAnsi="仿宋" w:eastAsia="仿宋" w:cs="仿宋"/>
          <w:bCs/>
          <w:sz w:val="24"/>
        </w:rPr>
        <w:t>有关本次磋商的事项若存在变动或修改，敬请及时关注“</w:t>
      </w:r>
      <w:r>
        <w:rPr>
          <w:rFonts w:hint="eastAsia" w:ascii="仿宋" w:hAnsi="仿宋" w:eastAsia="仿宋" w:cs="仿宋"/>
          <w:bCs/>
          <w:sz w:val="24"/>
          <w:szCs w:val="24"/>
        </w:rPr>
        <w:t>江苏政府采购网</w:t>
      </w:r>
      <w:r>
        <w:rPr>
          <w:rFonts w:hint="eastAsia" w:ascii="仿宋" w:hAnsi="仿宋" w:eastAsia="仿宋" w:cs="仿宋"/>
          <w:bCs/>
          <w:sz w:val="24"/>
        </w:rPr>
        <w:t>”发布的信息更正公告。</w:t>
      </w:r>
    </w:p>
    <w:p w14:paraId="41329DAD">
      <w:pPr>
        <w:snapToGrid w:val="0"/>
        <w:spacing w:line="360" w:lineRule="auto"/>
        <w:ind w:firstLine="480" w:firstLineChars="200"/>
        <w:rPr>
          <w:rFonts w:hint="eastAsia" w:ascii="仿宋" w:hAnsi="仿宋" w:eastAsia="仿宋" w:cs="仿宋"/>
          <w:bCs/>
          <w:sz w:val="24"/>
          <w:lang w:eastAsia="zh-CN"/>
        </w:rPr>
      </w:pPr>
      <w:r>
        <w:rPr>
          <w:rFonts w:hint="eastAsia" w:ascii="仿宋" w:hAnsi="仿宋" w:eastAsia="仿宋" w:cs="仿宋"/>
          <w:bCs/>
          <w:sz w:val="24"/>
          <w:lang w:val="en-US" w:eastAsia="zh-CN"/>
        </w:rPr>
        <w:t>5.</w:t>
      </w:r>
      <w:r>
        <w:rPr>
          <w:rFonts w:hint="eastAsia" w:ascii="仿宋" w:hAnsi="仿宋" w:eastAsia="仿宋" w:cs="仿宋"/>
          <w:bCs/>
          <w:sz w:val="24"/>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025-83633744、025-83633743</w:t>
      </w:r>
      <w:r>
        <w:rPr>
          <w:rFonts w:hint="eastAsia" w:ascii="仿宋" w:hAnsi="仿宋" w:eastAsia="仿宋" w:cs="仿宋"/>
          <w:bCs/>
          <w:sz w:val="24"/>
          <w:lang w:eastAsia="zh-CN"/>
        </w:rPr>
        <w:t>。</w:t>
      </w:r>
    </w:p>
    <w:p w14:paraId="3B2B545D">
      <w:pPr>
        <w:adjustRightInd w:val="0"/>
        <w:snapToGrid w:val="0"/>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八、凡对本次采购提出询问，请按以下方式联系。</w:t>
      </w:r>
    </w:p>
    <w:p w14:paraId="0C7BC59C">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1.采购人信息</w:t>
      </w:r>
    </w:p>
    <w:p w14:paraId="322BF48E">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单位名称：江苏省农业信息中心</w:t>
      </w:r>
    </w:p>
    <w:p w14:paraId="4139E081">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单位地址：南京市鼓楼区龙江小区月光广场8号</w:t>
      </w:r>
    </w:p>
    <w:p w14:paraId="292D7CB0">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联系人：徐月洁、马陈承</w:t>
      </w:r>
    </w:p>
    <w:p w14:paraId="1A029A06">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联系电话：025-86263604</w:t>
      </w:r>
    </w:p>
    <w:p w14:paraId="314D59FD">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2.采购代理机构信息</w:t>
      </w:r>
    </w:p>
    <w:p w14:paraId="5708B7ED">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单位名称：江苏臻采招标代理有限公司</w:t>
      </w:r>
    </w:p>
    <w:p w14:paraId="27684160">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单位地址：南京市秦淮区蓝旗街6号秦淮硅巷柳树湾科技园15号楼4楼</w:t>
      </w:r>
    </w:p>
    <w:p w14:paraId="25A3F3AC">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联系人：徐工     </w:t>
      </w:r>
    </w:p>
    <w:p w14:paraId="55C768BB">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电话：025-85382797转8009</w:t>
      </w:r>
    </w:p>
    <w:p w14:paraId="792C15CF">
      <w:pPr>
        <w:pStyle w:val="29"/>
        <w:pageBreakBefore/>
        <w:spacing w:after="317"/>
        <w:rPr>
          <w:rFonts w:ascii="仿宋" w:hAnsi="仿宋" w:eastAsia="仿宋" w:cs="仿宋"/>
        </w:rPr>
      </w:pPr>
      <w:bookmarkStart w:id="21" w:name="_Toc12957"/>
      <w:bookmarkStart w:id="22" w:name="_Toc25811"/>
      <w:bookmarkStart w:id="23" w:name="_Toc29925"/>
      <w:bookmarkStart w:id="24" w:name="_Toc14178"/>
      <w:bookmarkStart w:id="25" w:name="_Toc14414"/>
      <w:bookmarkStart w:id="26" w:name="_Toc24653"/>
      <w:r>
        <w:rPr>
          <w:rFonts w:hint="eastAsia" w:ascii="仿宋" w:hAnsi="仿宋" w:eastAsia="仿宋" w:cs="仿宋"/>
        </w:rPr>
        <w:t>第二章 磋商须知</w:t>
      </w:r>
      <w:bookmarkEnd w:id="21"/>
      <w:bookmarkEnd w:id="22"/>
      <w:bookmarkEnd w:id="23"/>
      <w:bookmarkEnd w:id="24"/>
      <w:bookmarkEnd w:id="25"/>
      <w:bookmarkEnd w:id="26"/>
    </w:p>
    <w:p w14:paraId="1041C942">
      <w:pPr>
        <w:pStyle w:val="30"/>
        <w:spacing w:line="360" w:lineRule="auto"/>
        <w:jc w:val="both"/>
        <w:textAlignment w:val="baseline"/>
        <w:rPr>
          <w:rFonts w:ascii="仿宋" w:hAnsi="仿宋" w:eastAsia="仿宋" w:cs="仿宋"/>
        </w:rPr>
      </w:pPr>
      <w:r>
        <w:rPr>
          <w:rFonts w:hint="eastAsia" w:ascii="仿宋" w:hAnsi="仿宋" w:eastAsia="仿宋" w:cs="仿宋"/>
        </w:rPr>
        <w:t>一、总则</w:t>
      </w:r>
      <w:bookmarkEnd w:id="12"/>
      <w:bookmarkEnd w:id="13"/>
      <w:bookmarkEnd w:id="14"/>
      <w:bookmarkEnd w:id="15"/>
      <w:bookmarkEnd w:id="16"/>
      <w:bookmarkEnd w:id="17"/>
      <w:bookmarkEnd w:id="18"/>
      <w:bookmarkEnd w:id="19"/>
      <w:bookmarkEnd w:id="20"/>
    </w:p>
    <w:p w14:paraId="155FA047">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1.采购方式</w:t>
      </w:r>
    </w:p>
    <w:p w14:paraId="59808BD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 本次政府采购活动采取竞争性磋商(以下简称“磋商”)方式，本文件仅适用于采购公告中所述项目。</w:t>
      </w:r>
    </w:p>
    <w:p w14:paraId="4B5F98EB">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2.合格的供应商</w:t>
      </w:r>
    </w:p>
    <w:p w14:paraId="2AE8192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 满足采购公告对供应商资格要求的规定。</w:t>
      </w:r>
    </w:p>
    <w:p w14:paraId="5375F06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 满足磋商文件规定的实质性要求和条件。</w:t>
      </w:r>
    </w:p>
    <w:p w14:paraId="3CA71CB2">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3.适用法律</w:t>
      </w:r>
    </w:p>
    <w:p w14:paraId="59B1CA3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3.1 本次采购及由此产生的合同受中华人民共和国有关的法律法规制约和保护。</w:t>
      </w:r>
    </w:p>
    <w:p w14:paraId="21036F3E">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4.磋商费用</w:t>
      </w:r>
    </w:p>
    <w:p w14:paraId="6CAACD1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4.1 供应商应自行承担所有与参加采购有关的费用，无论采购过程中的做法和结果如何，采购代理机构在任何情况下均无义务和责任承担这些费用。</w:t>
      </w:r>
    </w:p>
    <w:p w14:paraId="73FB5354">
      <w:pPr>
        <w:pStyle w:val="44"/>
        <w:spacing w:before="0" w:beforeLines="0" w:after="0" w:afterLines="0" w:line="360" w:lineRule="auto"/>
        <w:ind w:firstLine="422"/>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4.2代理费用收取方式及标准：按以下第4.2.2种方式执行 </w:t>
      </w:r>
    </w:p>
    <w:p w14:paraId="5EE25239">
      <w:pPr>
        <w:pStyle w:val="44"/>
        <w:spacing w:before="0" w:beforeLines="0" w:after="0" w:afterLines="0" w:line="360" w:lineRule="auto"/>
        <w:ind w:firstLine="422"/>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4.2.1无需支付；</w:t>
      </w:r>
    </w:p>
    <w:p w14:paraId="481A4335">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b w:val="0"/>
          <w:bCs/>
          <w:color w:val="000000"/>
          <w:sz w:val="24"/>
          <w:szCs w:val="24"/>
        </w:rPr>
        <w:t>4.2.2成交供应商支付，具体方式及标准为：</w:t>
      </w:r>
      <w:r>
        <w:rPr>
          <w:rFonts w:hint="eastAsia" w:ascii="仿宋" w:hAnsi="仿宋" w:eastAsia="仿宋" w:cs="仿宋"/>
          <w:sz w:val="24"/>
          <w:szCs w:val="24"/>
          <w:highlight w:val="none"/>
        </w:rPr>
        <w:t>本次采购代理服务费的收取按照苏招协（[2022]002号）《江苏省招标代理服务收费的指导意见》规定的费率直接计算，由成交供应商领取《成交通知书》时向采购代理机构缴纳。根据财库〔2018〕2号《政府招标代理机构管理暂行办法》第十五条之规定，凭《成交通知书》与采购人签订合同。</w:t>
      </w:r>
    </w:p>
    <w:p w14:paraId="387F92FA">
      <w:pPr>
        <w:shd w:val="clear" w:color="auto" w:fill="auto"/>
        <w:snapToGrid w:val="0"/>
        <w:spacing w:line="360" w:lineRule="auto"/>
        <w:ind w:firstLine="482" w:firstLineChars="20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5、磋商文件的约束力</w:t>
      </w:r>
    </w:p>
    <w:p w14:paraId="254D29C0">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供应商一旦购买了本磋商文件并决定参加磋商，即被认为接受了本磋商文件的规定和约束。</w:t>
      </w:r>
    </w:p>
    <w:p w14:paraId="6D4404B4">
      <w:pPr>
        <w:shd w:val="clear" w:color="auto" w:fill="auto"/>
        <w:snapToGrid w:val="0"/>
        <w:spacing w:line="360" w:lineRule="auto"/>
        <w:ind w:firstLine="562" w:firstLineChars="200"/>
        <w:outlineLvl w:val="1"/>
        <w:rPr>
          <w:rFonts w:hint="eastAsia" w:ascii="仿宋" w:hAnsi="仿宋" w:eastAsia="仿宋" w:cs="仿宋"/>
          <w:b/>
          <w:color w:val="000000"/>
          <w:sz w:val="28"/>
          <w:szCs w:val="22"/>
          <w:highlight w:val="none"/>
        </w:rPr>
      </w:pPr>
      <w:bookmarkStart w:id="27" w:name="_Toc7399"/>
      <w:bookmarkStart w:id="28" w:name="_Toc61149553"/>
      <w:bookmarkStart w:id="29" w:name="_Toc17306"/>
      <w:bookmarkStart w:id="30" w:name="_Toc14577351"/>
      <w:bookmarkStart w:id="31" w:name="_Toc8875"/>
      <w:bookmarkStart w:id="32" w:name="_Toc513029213"/>
      <w:bookmarkStart w:id="33" w:name="_Toc462564072"/>
      <w:bookmarkStart w:id="34" w:name="_Toc27104"/>
      <w:bookmarkStart w:id="35" w:name="_Toc443"/>
      <w:bookmarkStart w:id="36" w:name="_Toc31687"/>
      <w:r>
        <w:rPr>
          <w:rFonts w:hint="eastAsia" w:ascii="仿宋" w:hAnsi="仿宋" w:eastAsia="仿宋" w:cs="仿宋"/>
          <w:b/>
          <w:color w:val="000000"/>
          <w:sz w:val="28"/>
          <w:szCs w:val="22"/>
          <w:highlight w:val="none"/>
        </w:rPr>
        <w:t>二、磋商响应文件的编制</w:t>
      </w:r>
      <w:bookmarkEnd w:id="27"/>
      <w:bookmarkEnd w:id="28"/>
      <w:bookmarkEnd w:id="29"/>
      <w:bookmarkEnd w:id="30"/>
      <w:bookmarkEnd w:id="31"/>
      <w:bookmarkEnd w:id="32"/>
      <w:bookmarkEnd w:id="33"/>
      <w:bookmarkEnd w:id="34"/>
      <w:bookmarkEnd w:id="35"/>
      <w:bookmarkEnd w:id="36"/>
    </w:p>
    <w:p w14:paraId="3155FF87">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6.磋商文件构成</w:t>
      </w:r>
    </w:p>
    <w:p w14:paraId="1C4013F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6.1 磋商文件由以下部分组成：</w:t>
      </w:r>
    </w:p>
    <w:p w14:paraId="4BEBBD6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（1）磋商邀请</w:t>
      </w:r>
    </w:p>
    <w:p w14:paraId="07EF943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（2）供应商须知</w:t>
      </w:r>
    </w:p>
    <w:p w14:paraId="4D123DD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（3）合同文本</w:t>
      </w:r>
    </w:p>
    <w:p w14:paraId="54A666A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（4）采购需求</w:t>
      </w:r>
    </w:p>
    <w:p w14:paraId="0F9FEC1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（5）评审方法与评审标准</w:t>
      </w:r>
    </w:p>
    <w:p w14:paraId="7C2A568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（6）响应文件格式</w:t>
      </w:r>
    </w:p>
    <w:p w14:paraId="105B194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供应商应仔细检查磋商文件是否齐全，如有缺漏请立即与采购代理机构联系。</w:t>
      </w:r>
    </w:p>
    <w:p w14:paraId="48F7D39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71063DC">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7.磋商文件的澄清</w:t>
      </w:r>
    </w:p>
    <w:p w14:paraId="354A524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7.1 任何要求对磋商文件进行澄清的供应商，应在磋商截止期五日前按</w:t>
      </w:r>
      <w:r>
        <w:rPr>
          <w:rFonts w:hint="eastAsia" w:ascii="仿宋" w:hAnsi="仿宋" w:eastAsia="仿宋" w:cs="仿宋"/>
          <w:color w:val="000000"/>
          <w:sz w:val="24"/>
          <w:szCs w:val="24"/>
          <w:lang w:eastAsia="zh-CN"/>
        </w:rPr>
        <w:t>磋商</w:t>
      </w:r>
      <w:r>
        <w:rPr>
          <w:rFonts w:hint="eastAsia" w:ascii="仿宋" w:hAnsi="仿宋" w:eastAsia="仿宋" w:cs="仿宋"/>
          <w:color w:val="000000"/>
          <w:sz w:val="24"/>
          <w:szCs w:val="24"/>
        </w:rPr>
        <w:t>公告中的通讯地址，以书面形式通知采购代理机构。</w:t>
      </w:r>
    </w:p>
    <w:p w14:paraId="35949EF3">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8.磋商文件的修改</w:t>
      </w:r>
    </w:p>
    <w:p w14:paraId="04DDF597">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1F4193CD">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8.2在响应文件提交截止时间前，采购代理机构可以对磋商文件进行修改。</w:t>
      </w:r>
    </w:p>
    <w:p w14:paraId="6E050204">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8.3采购代理机构有权按照法定的要求推迟响应文件递交截止日期和磋商日期。</w:t>
      </w:r>
    </w:p>
    <w:p w14:paraId="52CA442B">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76B068CB">
      <w:pPr>
        <w:shd w:val="clear" w:color="auto" w:fill="auto"/>
        <w:snapToGrid w:val="0"/>
        <w:spacing w:line="360" w:lineRule="auto"/>
        <w:ind w:firstLine="480" w:firstLineChars="200"/>
        <w:rPr>
          <w:rFonts w:hint="eastAsia" w:ascii="仿宋" w:hAnsi="仿宋" w:eastAsia="仿宋" w:cs="仿宋"/>
          <w:bCs/>
          <w:color w:val="000000"/>
          <w:sz w:val="24"/>
          <w:highlight w:val="none"/>
        </w:rPr>
      </w:pPr>
      <w:r>
        <w:rPr>
          <w:rFonts w:hint="eastAsia" w:ascii="仿宋" w:hAnsi="仿宋" w:eastAsia="仿宋" w:cs="仿宋"/>
          <w:color w:val="000000"/>
          <w:sz w:val="24"/>
          <w:szCs w:val="24"/>
          <w:highlight w:val="none"/>
        </w:rPr>
        <w:t>8.5供应商应及时登录“苏采云”系统获取澄清答疑文件（修改后磋商文件），如因供应商原因未能及时下载澄清和修改后的磋商文件，由此造成的相关责任，由供应商承担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bCs/>
          <w:color w:val="000000"/>
          <w:sz w:val="24"/>
          <w:highlight w:val="none"/>
        </w:rPr>
        <w:t>。</w:t>
      </w:r>
    </w:p>
    <w:p w14:paraId="4AF46A73">
      <w:pPr>
        <w:snapToGrid w:val="0"/>
        <w:spacing w:line="360" w:lineRule="auto"/>
        <w:ind w:firstLine="562" w:firstLineChars="200"/>
        <w:outlineLvl w:val="1"/>
        <w:rPr>
          <w:rFonts w:hint="eastAsia" w:ascii="仿宋" w:hAnsi="仿宋" w:eastAsia="仿宋" w:cs="仿宋"/>
          <w:b/>
          <w:color w:val="000000"/>
          <w:sz w:val="28"/>
          <w:szCs w:val="22"/>
        </w:rPr>
      </w:pPr>
      <w:bookmarkStart w:id="37" w:name="_Toc32556"/>
      <w:bookmarkStart w:id="38" w:name="_Toc19091"/>
      <w:bookmarkStart w:id="39" w:name="_Toc20921"/>
      <w:bookmarkStart w:id="40" w:name="_Toc14295"/>
      <w:bookmarkStart w:id="41" w:name="_Toc9965"/>
      <w:bookmarkStart w:id="42" w:name="_Toc14484_WPSOffice_Level2"/>
      <w:bookmarkStart w:id="43" w:name="_Toc18678"/>
      <w:bookmarkStart w:id="44" w:name="_Toc29996"/>
      <w:r>
        <w:rPr>
          <w:rFonts w:hint="eastAsia" w:ascii="仿宋" w:hAnsi="仿宋" w:eastAsia="仿宋" w:cs="仿宋"/>
          <w:b/>
          <w:color w:val="000000"/>
          <w:sz w:val="28"/>
          <w:szCs w:val="22"/>
          <w:lang w:eastAsia="zh-CN"/>
        </w:rPr>
        <w:t>三、</w:t>
      </w:r>
      <w:bookmarkEnd w:id="37"/>
      <w:bookmarkEnd w:id="38"/>
      <w:bookmarkEnd w:id="39"/>
      <w:bookmarkEnd w:id="40"/>
      <w:bookmarkEnd w:id="41"/>
      <w:bookmarkEnd w:id="42"/>
      <w:bookmarkEnd w:id="43"/>
      <w:bookmarkEnd w:id="44"/>
      <w:r>
        <w:rPr>
          <w:rFonts w:hint="eastAsia" w:ascii="仿宋" w:hAnsi="仿宋" w:eastAsia="仿宋" w:cs="仿宋"/>
          <w:b/>
          <w:color w:val="000000"/>
          <w:sz w:val="28"/>
          <w:szCs w:val="22"/>
        </w:rPr>
        <w:t>响应文件的编制</w:t>
      </w:r>
    </w:p>
    <w:p w14:paraId="2A23E5A9">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9.响应文件的语言及度量衡单位</w:t>
      </w:r>
    </w:p>
    <w:p w14:paraId="385F786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9.1 供应商提交的响应文件以及供应商与采购代理机构就有关磋商的所有来往通知、函件和文件均应使用</w:t>
      </w:r>
      <w:r>
        <w:rPr>
          <w:rFonts w:hint="eastAsia" w:ascii="仿宋" w:hAnsi="仿宋" w:eastAsia="仿宋" w:cs="仿宋"/>
          <w:b/>
          <w:bCs/>
          <w:color w:val="000000"/>
          <w:sz w:val="24"/>
          <w:szCs w:val="24"/>
        </w:rPr>
        <w:t>简体中文</w:t>
      </w:r>
      <w:r>
        <w:rPr>
          <w:rFonts w:hint="eastAsia" w:ascii="仿宋" w:hAnsi="仿宋" w:eastAsia="仿宋" w:cs="仿宋"/>
          <w:color w:val="000000"/>
          <w:sz w:val="24"/>
          <w:szCs w:val="24"/>
        </w:rPr>
        <w:t>。</w:t>
      </w:r>
    </w:p>
    <w:p w14:paraId="6EEC72AF">
      <w:pPr>
        <w:spacing w:beforeLines="0" w:afterLines="0" w:line="360" w:lineRule="auto"/>
        <w:ind w:left="479" w:leftChars="228" w:firstLine="0"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9.2 除技术性能另有规定外，响应文件所使用的度量衡单位，均须采用国家法定计量单位。</w:t>
      </w:r>
      <w:r>
        <w:rPr>
          <w:rFonts w:hint="eastAsia" w:ascii="仿宋" w:hAnsi="仿宋" w:eastAsia="仿宋" w:cs="仿宋"/>
          <w:b/>
          <w:color w:val="000000"/>
          <w:kern w:val="2"/>
          <w:sz w:val="24"/>
          <w:szCs w:val="24"/>
          <w:lang w:val="en-US" w:eastAsia="zh-CN" w:bidi="ar-SA"/>
        </w:rPr>
        <w:t>10.响应文件构成</w:t>
      </w:r>
    </w:p>
    <w:p w14:paraId="00320C96">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4430BDA3">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各供应商在编制响应文件时请按照磋商文件第六章规定的格式进行，混乱的编排导致响应文件被误读或磋商小组查找不到有效文件是供应商的风险。</w:t>
      </w:r>
    </w:p>
    <w:p w14:paraId="40D8AEC4">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10.2供应商编写的响应文件应包括资格证明文件、</w:t>
      </w:r>
      <w:r>
        <w:rPr>
          <w:rFonts w:hint="eastAsia" w:ascii="仿宋" w:hAnsi="仿宋" w:eastAsia="仿宋" w:cs="仿宋"/>
          <w:b w:val="0"/>
          <w:bCs/>
          <w:color w:val="000000"/>
          <w:sz w:val="24"/>
          <w:szCs w:val="24"/>
          <w:highlight w:val="none"/>
          <w:lang w:eastAsia="zh-CN"/>
        </w:rPr>
        <w:t>报价明细表</w:t>
      </w:r>
      <w:r>
        <w:rPr>
          <w:rFonts w:hint="eastAsia" w:ascii="仿宋" w:hAnsi="仿宋" w:eastAsia="仿宋" w:cs="仿宋"/>
          <w:b w:val="0"/>
          <w:bCs/>
          <w:color w:val="000000"/>
          <w:sz w:val="24"/>
          <w:szCs w:val="24"/>
          <w:highlight w:val="none"/>
        </w:rPr>
        <w:t>、响应及偏离表、其他证明文件、磋商申请及声明函、开标一览表等部分。</w:t>
      </w:r>
    </w:p>
    <w:p w14:paraId="258FD316">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777023C3">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4B34E5A6">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10.5如标书制作工具中格式和内容与“江苏省政府采购网”发布的磋商文件不一致，请以“江苏省政府采购网”发布的磋商文件为准。</w:t>
      </w:r>
    </w:p>
    <w:p w14:paraId="583E1995">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10.6成交后按相关要求提供与电子响应文件一致的纸质打印响应文件2份。 </w:t>
      </w:r>
    </w:p>
    <w:p w14:paraId="0063B0CD">
      <w:pPr>
        <w:spacing w:beforeLines="0" w:afterLines="0" w:line="360" w:lineRule="auto"/>
        <w:ind w:firstLine="420"/>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64C30723">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11.证明磋商响应标的符合磋商文件规定的文件</w:t>
      </w:r>
    </w:p>
    <w:p w14:paraId="7B12F62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11.1 供应商应按照法律、法规、规章和规范性文件以及磋商文件要求提交证明文件，证明其响应标的符合磋商文件规定。</w:t>
      </w:r>
    </w:p>
    <w:p w14:paraId="196EC33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11.2 磋商文件对证明文件无明确形式要求的，证明文件可以以文字资料、图纸和数据等形式提交。</w:t>
      </w:r>
    </w:p>
    <w:p w14:paraId="5F28B38D">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12.磋商报价明细表</w:t>
      </w:r>
    </w:p>
    <w:p w14:paraId="7D8BB7B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12.1 供应商应按照磋商文件规定格式填磋商报价明细表</w:t>
      </w:r>
      <w:r>
        <w:rPr>
          <w:rFonts w:hint="eastAsia" w:ascii="仿宋" w:hAnsi="仿宋" w:eastAsia="仿宋" w:cs="仿宋"/>
          <w:color w:val="000000"/>
          <w:sz w:val="24"/>
          <w:szCs w:val="24"/>
          <w:lang w:eastAsia="zh-CN"/>
        </w:rPr>
        <w:t>（如有的话）</w:t>
      </w:r>
      <w:r>
        <w:rPr>
          <w:rFonts w:hint="eastAsia" w:ascii="仿宋" w:hAnsi="仿宋" w:eastAsia="仿宋" w:cs="仿宋"/>
          <w:color w:val="000000"/>
          <w:sz w:val="24"/>
          <w:szCs w:val="24"/>
        </w:rPr>
        <w:t>。</w:t>
      </w:r>
    </w:p>
    <w:p w14:paraId="59DCFD4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12.2 响应文件中的单价和总价无特殊规定的采用人民币报价，以元为单位标注。磋商文件另有规定的按规定执行。</w:t>
      </w:r>
    </w:p>
    <w:p w14:paraId="2AEFB5CA">
      <w:pPr>
        <w:spacing w:beforeLines="0" w:afterLines="0"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12.3 本项目不接受备选的投标方案或有选择的报价，只允许有一个报价。供应商响应文件中的报价作为首次报价，不公开；以最后报价作为评审价。投标报价内容包括：完成本项目所涉及到的一切相关费用。</w:t>
      </w:r>
    </w:p>
    <w:p w14:paraId="6CBEFCC8">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13.响应及偏离表</w:t>
      </w:r>
    </w:p>
    <w:p w14:paraId="4AFFAAF6">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13.1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供应商需对磋商文件中的服务要求与商务要求逐项作出响应或偏离说明。</w:t>
      </w:r>
    </w:p>
    <w:p w14:paraId="42869F8B">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13.2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供应商可在响应文件中提供认为需要的其他技术文件或说明。</w:t>
      </w:r>
    </w:p>
    <w:p w14:paraId="64E02EF7">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.磋商响应函</w:t>
      </w:r>
    </w:p>
    <w:p w14:paraId="466F824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供应商应按照磋商文件规定格式完整、正确填报磋商响应函。</w:t>
      </w:r>
    </w:p>
    <w:p w14:paraId="6B46966E">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.磋商有效期</w:t>
      </w:r>
    </w:p>
    <w:p w14:paraId="7377C28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.1 磋商有效期为采购公告规定的提交</w:t>
      </w:r>
      <w:r>
        <w:rPr>
          <w:rFonts w:hint="eastAsia" w:ascii="仿宋" w:hAnsi="仿宋" w:eastAsia="仿宋" w:cs="仿宋"/>
          <w:color w:val="000000"/>
          <w:sz w:val="24"/>
          <w:szCs w:val="24"/>
          <w:highlight w:val="none"/>
        </w:rPr>
        <w:t>响应文件截止之日起</w:t>
      </w:r>
      <w:r>
        <w:rPr>
          <w:rFonts w:hint="eastAsia" w:ascii="仿宋" w:hAnsi="仿宋" w:eastAsia="仿宋" w:cs="仿宋"/>
          <w:color w:val="000000"/>
          <w:sz w:val="24"/>
          <w:szCs w:val="24"/>
          <w:highlight w:val="none"/>
          <w:lang w:val="zh-CN"/>
        </w:rPr>
        <w:t>六十天</w:t>
      </w:r>
      <w:r>
        <w:rPr>
          <w:rFonts w:hint="eastAsia" w:ascii="仿宋" w:hAnsi="仿宋" w:eastAsia="仿宋" w:cs="仿宋"/>
          <w:color w:val="000000"/>
          <w:sz w:val="24"/>
          <w:szCs w:val="24"/>
          <w:highlight w:val="none"/>
        </w:rPr>
        <w:t>。磋商有效期比规</w:t>
      </w:r>
      <w:r>
        <w:rPr>
          <w:rFonts w:hint="eastAsia" w:ascii="仿宋" w:hAnsi="仿宋" w:eastAsia="仿宋" w:cs="仿宋"/>
          <w:color w:val="000000"/>
          <w:sz w:val="24"/>
          <w:szCs w:val="24"/>
        </w:rPr>
        <w:t>定短的将被视为非实质性响应磋商文件而被拒绝。</w:t>
      </w:r>
    </w:p>
    <w:p w14:paraId="73CCE6CF">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.磋商有效期的延长</w:t>
      </w:r>
    </w:p>
    <w:p w14:paraId="4C77A7E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p>
    <w:p w14:paraId="5F5A4509">
      <w:pPr>
        <w:snapToGrid w:val="0"/>
        <w:spacing w:before="0" w:beforeLines="-2147483648" w:after="0" w:afterLines="-2147483648" w:line="360" w:lineRule="auto"/>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四、响应文件的递交</w:t>
      </w:r>
    </w:p>
    <w:p w14:paraId="44DE303E">
      <w:pPr>
        <w:snapToGrid w:val="0"/>
        <w:spacing w:before="0" w:beforeLines="0" w:after="0" w:afterLines="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17.响应文件的递交</w:t>
      </w:r>
    </w:p>
    <w:p w14:paraId="4B4F85A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17.1 供应商应当按照《操作手册》规定，在采购公告规定的提交响应文件截止时间前制作并上传电子响应文件。</w:t>
      </w:r>
    </w:p>
    <w:p w14:paraId="27AAFCB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17.2 供应商应充分考虑网络环境、网络带宽等因素可能产生的影响，如因供应商自身原因造成的电子响应文件上传不成功的，按照本磋商文件第二章第24.3条规定做无效响应处理。</w:t>
      </w:r>
    </w:p>
    <w:p w14:paraId="6274BC2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17.3 采购代理机构可以按照规定，通过修改磋商文件酌情延长提交响应文件截止日期，在此情况下，供应商的所有权利和义务均以延长后新的截止日期为准。</w:t>
      </w:r>
    </w:p>
    <w:p w14:paraId="387DEE82">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18.响应文件的拒收</w:t>
      </w:r>
    </w:p>
    <w:p w14:paraId="1BC28EA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18.1 提交响应文件截止时间后上传的任何响应文件将被拒绝。</w:t>
      </w:r>
    </w:p>
    <w:p w14:paraId="7F23BC62">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19.响应文件的撤回和修改</w:t>
      </w:r>
    </w:p>
    <w:p w14:paraId="5979714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 响应文件的撤回</w:t>
      </w:r>
    </w:p>
    <w:p w14:paraId="20AD894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19.1.1 供应商可在提交响应文件截止时间前，撤回其电子响应文件，具体操作方法见《操作手册》。</w:t>
      </w:r>
    </w:p>
    <w:p w14:paraId="07B4235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19.1.2 供应商撤回电子响应文件，则认为其不再参与本项目磋商活动。</w:t>
      </w:r>
    </w:p>
    <w:p w14:paraId="6EA9A11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 响应文件的修改</w:t>
      </w:r>
    </w:p>
    <w:p w14:paraId="557CC5A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19.2.1 供应商可在提交响应文件截止时间前，对其电子响应文件进行修改，具体操作方法见《操作手册》。</w:t>
      </w:r>
    </w:p>
    <w:p w14:paraId="30C4641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19.2.2 提交响应文件截止时间之后，供应商不得对其电子响应文件作任何修改。</w:t>
      </w:r>
    </w:p>
    <w:p w14:paraId="5D6929C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19.3 在提交响应文件截止时间至磋商文件中规定的磋商有效期满之间的这段时间内，供应商不得撤回其响应文件。</w:t>
      </w:r>
    </w:p>
    <w:p w14:paraId="4F0F33FC">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五、响应文件的解密与评审</w:t>
      </w:r>
    </w:p>
    <w:p w14:paraId="68F401D5">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20.响应文件解密</w:t>
      </w:r>
    </w:p>
    <w:p w14:paraId="4EC5C1B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20.1 供应商应当按照《操作手册》规定，在苏采云系统规定的时间内对响应文件进行解密。</w:t>
      </w:r>
    </w:p>
    <w:p w14:paraId="2F6C1BBD">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21.磋商</w:t>
      </w:r>
    </w:p>
    <w:p w14:paraId="30B7524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21.1 采购代理机构将依法组织磋商小组对响应文件进行评审。</w:t>
      </w:r>
    </w:p>
    <w:p w14:paraId="3D71C1C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21.2 磋商小组由采购人代表和有关方面专家组成，人员构成符合政府采购有关规定。</w:t>
      </w:r>
    </w:p>
    <w:p w14:paraId="06C2375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21.3 磋商小组独立工作，负责评审所有响应文件并推荐成交候选人，或根据采购人授权直接确定成交供应商。</w:t>
      </w:r>
    </w:p>
    <w:p w14:paraId="6292C549">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22.评审过程的保密与公正</w:t>
      </w:r>
    </w:p>
    <w:p w14:paraId="51D818C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22.1 磋商小组、采购人和采购代理机构工作人员、相关监督人员等与评审工作有关的人员，对评审情况以及在评审过程中获悉的国家秘密、商业秘密负有保密责任。</w:t>
      </w:r>
    </w:p>
    <w:p w14:paraId="565C71E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22.2 供应商不得以任何方式影响评审过程，否则其响应文件将被作为无效响应文件。</w:t>
      </w:r>
    </w:p>
    <w:p w14:paraId="013EE89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22.3 采购代理机构和磋商小组不向未成交的供应商解释未成交原因，也不公布评审过程中的相关细节。</w:t>
      </w:r>
    </w:p>
    <w:p w14:paraId="1E114B3E">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23.评审过程中的澄清</w:t>
      </w:r>
    </w:p>
    <w:p w14:paraId="27E2DEF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23.1 项目评审期间，磋商小组有权要求供应商对响应文件中含义不明确、同类问题表述不一致或者有明显文字和计算错误的内容等作出必要的澄清、说明或者补正。</w:t>
      </w:r>
    </w:p>
    <w:p w14:paraId="1B21DA3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供应商的澄清、说明或者补正不得超出响应文件的范围或者改变响应文件的实质性内容。</w:t>
      </w:r>
    </w:p>
    <w:p w14:paraId="4E185C2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磋商小组并非对每个供应商都做澄清要求。</w:t>
      </w:r>
    </w:p>
    <w:p w14:paraId="38BF44A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23.2 需要供应商进行澄清、说明和补正的，磋商小组将通过苏采云系统向供应商发出</w:t>
      </w:r>
      <w:r>
        <w:rPr>
          <w:rFonts w:hint="eastAsia" w:ascii="仿宋" w:hAnsi="仿宋" w:eastAsia="仿宋" w:cs="仿宋"/>
          <w:color w:val="000000"/>
          <w:sz w:val="24"/>
          <w:szCs w:val="24"/>
          <w:lang w:val="zh-CN"/>
        </w:rPr>
        <w:t>《澄清要求函》</w:t>
      </w:r>
      <w:r>
        <w:rPr>
          <w:rFonts w:hint="eastAsia" w:ascii="仿宋" w:hAnsi="仿宋" w:eastAsia="仿宋" w:cs="仿宋"/>
          <w:color w:val="000000"/>
          <w:sz w:val="24"/>
          <w:szCs w:val="24"/>
        </w:rPr>
        <w:t>，接到</w:t>
      </w:r>
      <w:r>
        <w:rPr>
          <w:rFonts w:hint="eastAsia" w:ascii="仿宋" w:hAnsi="仿宋" w:eastAsia="仿宋" w:cs="仿宋"/>
          <w:color w:val="000000"/>
          <w:sz w:val="24"/>
          <w:szCs w:val="24"/>
          <w:lang w:val="zh-CN"/>
        </w:rPr>
        <w:t>《澄清要求函》</w:t>
      </w:r>
      <w:r>
        <w:rPr>
          <w:rFonts w:hint="eastAsia" w:ascii="仿宋" w:hAnsi="仿宋" w:eastAsia="仿宋" w:cs="仿宋"/>
          <w:color w:val="000000"/>
          <w:sz w:val="24"/>
          <w:szCs w:val="24"/>
        </w:rPr>
        <w:t>的供应商应当按照要求在苏采云系统中提交</w:t>
      </w:r>
      <w:r>
        <w:rPr>
          <w:rFonts w:hint="eastAsia" w:ascii="仿宋" w:hAnsi="仿宋" w:eastAsia="仿宋" w:cs="仿宋"/>
          <w:color w:val="000000"/>
          <w:sz w:val="24"/>
          <w:szCs w:val="24"/>
          <w:lang w:val="zh-CN"/>
        </w:rPr>
        <w:t>《澄清响应函》</w:t>
      </w:r>
      <w:r>
        <w:rPr>
          <w:rFonts w:hint="eastAsia" w:ascii="仿宋" w:hAnsi="仿宋" w:eastAsia="仿宋" w:cs="仿宋"/>
          <w:color w:val="000000"/>
          <w:sz w:val="24"/>
          <w:szCs w:val="24"/>
        </w:rPr>
        <w:t>并加盖电子公章。澄清、说明和补正的内容作为响应文件的补充部分，具体操作方式见《操作手册》。</w:t>
      </w:r>
    </w:p>
    <w:p w14:paraId="4BA10DA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23.3 接到磋商小组澄清、说明和补正要求的供应商如未按规定做出澄清、说明和补正，其风险由供应商自行承担。</w:t>
      </w:r>
    </w:p>
    <w:p w14:paraId="1EBE52C3">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24.响应文件的审查</w:t>
      </w:r>
    </w:p>
    <w:p w14:paraId="04E7611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 响应文件审查分为资格审查和符合性审查。</w:t>
      </w:r>
    </w:p>
    <w:p w14:paraId="3B6CE46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24.1.1 资格审查。依据法律法规和磋商文件的规定，磋商小组对响应文件中的资格证明文件进行审查，以确定供应商是否具备参加磋商的资格。</w:t>
      </w:r>
    </w:p>
    <w:p w14:paraId="3B80EA9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磋商小组进行资格审查时，将在“信用中国”网站（www.creditchina.gov.cn）查询供应商的信用记录，以确定供应商是否具备磋商资格,查询结果留存并归档。</w:t>
      </w:r>
    </w:p>
    <w:p w14:paraId="526AC3A3">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接受联合体的项目，联合体成员存在不良信用记录的，视同联合体存在不良</w:t>
      </w:r>
      <w:r>
        <w:rPr>
          <w:rFonts w:hint="eastAsia" w:ascii="仿宋" w:hAnsi="仿宋" w:eastAsia="仿宋" w:cs="仿宋"/>
          <w:color w:val="000000"/>
          <w:sz w:val="24"/>
          <w:szCs w:val="24"/>
        </w:rPr>
        <w:t>信</w:t>
      </w:r>
      <w:r>
        <w:rPr>
          <w:rFonts w:hint="eastAsia" w:ascii="仿宋" w:hAnsi="仿宋" w:eastAsia="仿宋" w:cs="仿宋"/>
          <w:color w:val="000000"/>
          <w:sz w:val="24"/>
          <w:szCs w:val="24"/>
          <w:lang w:val="zh-CN"/>
        </w:rPr>
        <w:t>用记录。</w:t>
      </w:r>
    </w:p>
    <w:p w14:paraId="6034035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24.1.2 符合性审查。依据磋商文件的规定，由磋商小组从有效性、完整性和对磋商文件的响应程度等方面对响应文件进行审查，以确定是否对磋商文件的实质性要求作出响应。</w:t>
      </w:r>
    </w:p>
    <w:p w14:paraId="27AAC34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24.1.3 未通过资格审查或符合性审查的供应商，磋商小组将通过苏采云系统告知具体原因，评审结束后将不再接受有关询问。</w:t>
      </w:r>
    </w:p>
    <w:p w14:paraId="656651E8">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24.2 在详细评审之前，磋商小组将首先审查每份响应文件是否实质性响应了磋商文件的要求。实质性响应的响应文件应该是与磋商文件要求的条款、条件和规格相符，没有重大偏离或保留的文件。</w:t>
      </w:r>
    </w:p>
    <w:p w14:paraId="6C28478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zh-CN"/>
        </w:rPr>
        <w:t>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rPr>
        <w:t>采购人</w:t>
      </w:r>
      <w:r>
        <w:rPr>
          <w:rFonts w:hint="eastAsia" w:ascii="仿宋" w:hAnsi="仿宋" w:eastAsia="仿宋" w:cs="仿宋"/>
          <w:color w:val="000000"/>
          <w:sz w:val="24"/>
          <w:szCs w:val="24"/>
          <w:lang w:val="zh-CN"/>
        </w:rPr>
        <w:t>的权利或供应商的义务，纠正这些偏离或保留将会对其他实质性响应的供应商产生不公正的影响。重大偏离的认定</w:t>
      </w:r>
      <w:r>
        <w:rPr>
          <w:rFonts w:hint="eastAsia" w:ascii="仿宋" w:hAnsi="仿宋" w:eastAsia="仿宋" w:cs="仿宋"/>
          <w:color w:val="000000"/>
          <w:sz w:val="24"/>
          <w:szCs w:val="24"/>
        </w:rPr>
        <w:t>由</w:t>
      </w:r>
      <w:r>
        <w:rPr>
          <w:rFonts w:hint="eastAsia" w:ascii="仿宋" w:hAnsi="仿宋" w:eastAsia="仿宋" w:cs="仿宋"/>
          <w:color w:val="000000"/>
          <w:sz w:val="24"/>
          <w:szCs w:val="24"/>
          <w:lang w:val="zh-CN"/>
        </w:rPr>
        <w:t>磋商小组</w:t>
      </w:r>
      <w:r>
        <w:rPr>
          <w:rFonts w:hint="eastAsia" w:ascii="仿宋" w:hAnsi="仿宋" w:eastAsia="仿宋" w:cs="仿宋"/>
          <w:color w:val="000000"/>
          <w:sz w:val="24"/>
          <w:szCs w:val="24"/>
        </w:rPr>
        <w:t>按照</w:t>
      </w:r>
      <w:r>
        <w:rPr>
          <w:rFonts w:hint="eastAsia" w:ascii="仿宋" w:hAnsi="仿宋" w:eastAsia="仿宋" w:cs="仿宋"/>
          <w:color w:val="000000"/>
          <w:sz w:val="24"/>
          <w:szCs w:val="24"/>
          <w:lang w:val="zh-CN"/>
        </w:rPr>
        <w:t>少数服从多数的原则作出结论。</w:t>
      </w:r>
      <w:r>
        <w:rPr>
          <w:rFonts w:hint="eastAsia" w:ascii="仿宋" w:hAnsi="仿宋" w:eastAsia="仿宋" w:cs="仿宋"/>
          <w:color w:val="000000"/>
          <w:sz w:val="24"/>
          <w:szCs w:val="24"/>
        </w:rPr>
        <w:t>磋商小组认</w:t>
      </w:r>
      <w:r>
        <w:rPr>
          <w:rFonts w:hint="eastAsia" w:ascii="仿宋" w:hAnsi="仿宋" w:eastAsia="仿宋" w:cs="仿宋"/>
          <w:color w:val="000000"/>
          <w:sz w:val="24"/>
          <w:szCs w:val="24"/>
          <w:lang w:val="zh-CN"/>
        </w:rPr>
        <w:t>定响应文件的响应性只根据响应文件本身的内容，而不寻求外部的证据。</w:t>
      </w:r>
    </w:p>
    <w:p w14:paraId="75675FE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 未实质性响应磋商文件的情形</w:t>
      </w:r>
    </w:p>
    <w:p w14:paraId="0635057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 供应商在苏采云系统规定的时间内未成功解密电子响应文件。</w:t>
      </w:r>
    </w:p>
    <w:p w14:paraId="2EF455D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24.3.2 供应商未按照磋商文件要求上传电子响应文件。</w:t>
      </w:r>
    </w:p>
    <w:p w14:paraId="432297A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24.3.3 同一供应商提交两个（含两个）以上不同的响应文件或者最后报价。</w:t>
      </w:r>
    </w:p>
    <w:p w14:paraId="16B3227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24.3.4 供应商不具备磋商文件中规定的资格要求。</w:t>
      </w:r>
    </w:p>
    <w:p w14:paraId="3E88F15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24.3.5 供应商的最后报价超过了采购预算或最高限价或单价上限。</w:t>
      </w:r>
    </w:p>
    <w:p w14:paraId="0DAE97C5">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24.3.6 不符合磋商文件中规定的实质性要求和条件（</w:t>
      </w:r>
      <w:r>
        <w:rPr>
          <w:rFonts w:hint="eastAsia" w:ascii="仿宋" w:hAnsi="仿宋" w:eastAsia="仿宋" w:cs="仿宋"/>
          <w:b/>
          <w:color w:val="000000"/>
          <w:sz w:val="24"/>
          <w:szCs w:val="24"/>
        </w:rPr>
        <w:t>本文件中斜体且有下划线部分</w:t>
      </w:r>
      <w:r>
        <w:rPr>
          <w:rFonts w:hint="eastAsia" w:ascii="仿宋" w:hAnsi="仿宋" w:eastAsia="仿宋" w:cs="仿宋"/>
          <w:b/>
          <w:color w:val="000000"/>
          <w:sz w:val="24"/>
          <w:szCs w:val="24"/>
          <w:lang w:val="zh-CN"/>
        </w:rPr>
        <w:t>或者打“</w:t>
      </w:r>
      <w:r>
        <w:rPr>
          <w:rFonts w:hint="eastAsia" w:ascii="仿宋" w:hAnsi="仿宋" w:eastAsia="仿宋" w:cs="仿宋"/>
          <w:b/>
          <w:color w:val="000000"/>
          <w:sz w:val="24"/>
          <w:szCs w:val="24"/>
        </w:rPr>
        <w:t>★</w:t>
      </w:r>
      <w:r>
        <w:rPr>
          <w:rFonts w:hint="eastAsia" w:ascii="仿宋" w:hAnsi="仿宋" w:eastAsia="仿宋" w:cs="仿宋"/>
          <w:b/>
          <w:color w:val="000000"/>
          <w:sz w:val="24"/>
          <w:szCs w:val="24"/>
          <w:lang w:val="zh-CN"/>
        </w:rPr>
        <w:t>”内容，</w:t>
      </w:r>
      <w:r>
        <w:rPr>
          <w:rFonts w:hint="eastAsia" w:ascii="仿宋" w:hAnsi="仿宋" w:eastAsia="仿宋" w:cs="仿宋"/>
          <w:b/>
          <w:color w:val="000000"/>
          <w:sz w:val="24"/>
          <w:szCs w:val="24"/>
        </w:rPr>
        <w:t>为实质性要求和条件</w:t>
      </w:r>
      <w:r>
        <w:rPr>
          <w:rFonts w:hint="eastAsia" w:ascii="仿宋" w:hAnsi="仿宋" w:eastAsia="仿宋" w:cs="仿宋"/>
          <w:color w:val="000000"/>
          <w:sz w:val="24"/>
          <w:szCs w:val="24"/>
        </w:rPr>
        <w:t>）。</w:t>
      </w:r>
    </w:p>
    <w:p w14:paraId="77FC86B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B62D2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24.3.8 响应文件含有采购人不能接受的附加条件。</w:t>
      </w:r>
    </w:p>
    <w:p w14:paraId="1010B03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24.3.9 磋商小组</w:t>
      </w:r>
      <w:r>
        <w:rPr>
          <w:rFonts w:hint="eastAsia" w:ascii="仿宋" w:hAnsi="仿宋" w:eastAsia="仿宋" w:cs="仿宋"/>
          <w:color w:val="000000"/>
          <w:sz w:val="24"/>
          <w:szCs w:val="24"/>
          <w:lang w:val="zh-CN"/>
        </w:rPr>
        <w:t>发现</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报价低于采购项目预算50%，或者低于采购项目最高限价45%，或者认为</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的报价过低，有可能影响产品或服务质量或不能诚信履约的，应当启动异常低价投标审查机制，通过苏采云系统要求</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在合理的时间内提供项目具体成本测算等与报价合理性相关的书面说明及相关证明材料。</w:t>
      </w:r>
      <w:r>
        <w:rPr>
          <w:rFonts w:hint="eastAsia" w:ascii="仿宋" w:hAnsi="仿宋" w:eastAsia="仿宋" w:cs="仿宋"/>
          <w:color w:val="000000"/>
          <w:sz w:val="24"/>
          <w:szCs w:val="24"/>
        </w:rPr>
        <w:t>供应商</w:t>
      </w:r>
      <w:r>
        <w:rPr>
          <w:rFonts w:hint="eastAsia" w:ascii="仿宋" w:hAnsi="仿宋" w:eastAsia="仿宋" w:cs="仿宋"/>
          <w:color w:val="000000"/>
          <w:sz w:val="24"/>
          <w:szCs w:val="24"/>
          <w:lang w:val="zh-CN"/>
        </w:rPr>
        <w:t>不提供书面说明及证明材料，或者书面说明、证明材料不能证明其报价合理性的，</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应当将其作为无效</w:t>
      </w:r>
      <w:r>
        <w:rPr>
          <w:rFonts w:hint="eastAsia" w:ascii="仿宋" w:hAnsi="仿宋" w:eastAsia="仿宋" w:cs="仿宋"/>
          <w:color w:val="000000"/>
          <w:sz w:val="24"/>
          <w:szCs w:val="24"/>
        </w:rPr>
        <w:t>响应</w:t>
      </w:r>
      <w:r>
        <w:rPr>
          <w:rFonts w:hint="eastAsia" w:ascii="仿宋" w:hAnsi="仿宋" w:eastAsia="仿宋" w:cs="仿宋"/>
          <w:color w:val="000000"/>
          <w:sz w:val="24"/>
          <w:szCs w:val="24"/>
          <w:lang w:val="zh-CN"/>
        </w:rPr>
        <w:t>处理。</w:t>
      </w:r>
    </w:p>
    <w:p w14:paraId="0658743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24.3.10 响应文件未按照磋商文件要求加盖电子公章。</w:t>
      </w:r>
    </w:p>
    <w:p w14:paraId="7FC02A3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24.3.11 法律法规及本磋商文件规定的其他无效响应的情形。</w:t>
      </w:r>
    </w:p>
    <w:p w14:paraId="7181137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24.4 未实质性响应磋商文件的响应文件按无效响应处理。</w:t>
      </w:r>
    </w:p>
    <w:p w14:paraId="4A4D1BE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24.5 如果响应文件实质上没有响应磋商文件的要求，磋商小组将予以拒绝，供应商不得通过修改或撤销不合要求的偏离或保留而使其成为实质性响应的文件。</w:t>
      </w:r>
    </w:p>
    <w:p w14:paraId="72508E8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24.6 供应商在项目评审全过程中应保持通讯畅通，</w:t>
      </w:r>
      <w:r>
        <w:rPr>
          <w:rFonts w:hint="eastAsia" w:ascii="仿宋" w:hAnsi="仿宋" w:eastAsia="仿宋" w:cs="仿宋"/>
          <w:color w:val="000000"/>
          <w:sz w:val="24"/>
          <w:szCs w:val="24"/>
          <w:lang w:val="zh-CN"/>
        </w:rPr>
        <w:t>及时登录苏采云系统查阅、答复相关信息，并安排专人与采购代理机构及磋商小组联系。</w:t>
      </w:r>
    </w:p>
    <w:p w14:paraId="780A708A">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25.磋商程序及评审方法与评审标准</w:t>
      </w:r>
    </w:p>
    <w:p w14:paraId="12A460C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 磋商程序</w:t>
      </w:r>
    </w:p>
    <w:p w14:paraId="5427372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25.1.1 磋商小组将与通过资格审查和符合性审查的供应商分别进行磋商。磋商小组通过苏采云系统向供应商发出《磋商函》，供应商应当按照要求在苏采云系统提交《磋商响应函》并加盖电子公章。</w:t>
      </w:r>
    </w:p>
    <w:p w14:paraId="07744F9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CBD981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25.1.2 磋商结束后，磋商小组将在苏采云系统向所有实质性响应的供应商发出《最后报价要求函》及最后报价格式表，要求所有实质性响应的供应商在规定时间内提交最后报价。最后报价是供应商响应文件的有效组成部分。</w:t>
      </w:r>
    </w:p>
    <w:p w14:paraId="3370BE6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7BB445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 评审方法与评审标准</w:t>
      </w:r>
    </w:p>
    <w:p w14:paraId="09CE984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25.2.1 评审方法。见磋商文件第五章。</w:t>
      </w:r>
    </w:p>
    <w:p w14:paraId="524EE2A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25.2.2 评审标准。见磋商文件第五章。</w:t>
      </w:r>
    </w:p>
    <w:p w14:paraId="7B8A4D5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 采购活动终止</w:t>
      </w:r>
    </w:p>
    <w:p w14:paraId="7D93F674">
      <w:pPr>
        <w:spacing w:beforeLines="0" w:afterLines="0" w:line="360" w:lineRule="auto"/>
        <w:ind w:firstLine="422"/>
        <w:rPr>
          <w:rFonts w:hint="eastAsia" w:ascii="仿宋" w:hAnsi="仿宋" w:eastAsia="仿宋" w:cs="仿宋"/>
          <w:b/>
          <w:color w:val="000000"/>
          <w:sz w:val="24"/>
          <w:szCs w:val="24"/>
        </w:rPr>
      </w:pPr>
      <w:r>
        <w:rPr>
          <w:rFonts w:hint="eastAsia" w:ascii="仿宋" w:hAnsi="仿宋" w:eastAsia="仿宋" w:cs="仿宋"/>
          <w:b/>
          <w:color w:val="000000"/>
          <w:sz w:val="24"/>
          <w:szCs w:val="24"/>
        </w:rPr>
        <w:t>出现下列情形之一的，本次采购活动终止：</w:t>
      </w:r>
    </w:p>
    <w:p w14:paraId="3A23194E">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25.3.1 因情况变化，不再符合竞争性磋商采购方式适用情形。</w:t>
      </w:r>
    </w:p>
    <w:p w14:paraId="259AA7E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25.3.2 出现影响采购公正的违法、违规行为。</w:t>
      </w:r>
    </w:p>
    <w:p w14:paraId="7041AE7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25.3.3 在苏采云系统规定时间内成功解密电子响应文件的供应商不足三家。</w:t>
      </w:r>
    </w:p>
    <w:p w14:paraId="508C94E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25.3.4 磋商过程中符合要求的供应商或者提交最后报价且未超过采购预算或最高限价的供应商不足三家。</w:t>
      </w:r>
    </w:p>
    <w:p w14:paraId="043FC840">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2</w:t>
      </w:r>
      <w:r>
        <w:rPr>
          <w:rFonts w:hint="eastAsia" w:ascii="仿宋" w:hAnsi="仿宋" w:eastAsia="仿宋" w:cs="仿宋"/>
          <w:color w:val="000000"/>
          <w:sz w:val="24"/>
          <w:szCs w:val="24"/>
        </w:rPr>
        <w:t>5</w:t>
      </w:r>
      <w:r>
        <w:rPr>
          <w:rFonts w:hint="eastAsia" w:ascii="仿宋" w:hAnsi="仿宋" w:eastAsia="仿宋" w:cs="仿宋"/>
          <w:color w:val="000000"/>
          <w:sz w:val="24"/>
          <w:szCs w:val="24"/>
          <w:lang w:val="zh-CN"/>
        </w:rPr>
        <w:t>.3.5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法律法规规定的其他应当终止情形。</w:t>
      </w:r>
    </w:p>
    <w:p w14:paraId="2B56AFC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zh-CN"/>
        </w:rPr>
        <w:t>25.4 如出现25.</w:t>
      </w: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或25.3</w:t>
      </w:r>
      <w:r>
        <w:rPr>
          <w:rFonts w:hint="eastAsia" w:ascii="仿宋" w:hAnsi="仿宋" w:eastAsia="仿宋" w:cs="仿宋"/>
          <w:color w:val="000000"/>
          <w:sz w:val="24"/>
          <w:szCs w:val="24"/>
        </w:rPr>
        <w:t>.4</w:t>
      </w:r>
      <w:r>
        <w:rPr>
          <w:rFonts w:hint="eastAsia" w:ascii="仿宋" w:hAnsi="仿宋" w:eastAsia="仿宋" w:cs="仿宋"/>
          <w:color w:val="000000"/>
          <w:sz w:val="24"/>
          <w:szCs w:val="24"/>
          <w:lang w:val="zh-CN"/>
        </w:rPr>
        <w:t>情形，</w:t>
      </w:r>
      <w:r>
        <w:rPr>
          <w:rFonts w:hint="eastAsia" w:ascii="仿宋" w:hAnsi="仿宋" w:eastAsia="仿宋" w:cs="仿宋"/>
          <w:color w:val="000000"/>
          <w:sz w:val="24"/>
          <w:szCs w:val="24"/>
        </w:rPr>
        <w:t>采购</w:t>
      </w:r>
      <w:r>
        <w:rPr>
          <w:rFonts w:hint="eastAsia" w:ascii="仿宋" w:hAnsi="仿宋" w:eastAsia="仿宋" w:cs="仿宋"/>
          <w:color w:val="000000"/>
          <w:sz w:val="24"/>
          <w:szCs w:val="24"/>
          <w:lang w:val="zh-CN"/>
        </w:rPr>
        <w:t>活动失败，</w:t>
      </w:r>
      <w:r>
        <w:rPr>
          <w:rFonts w:hint="eastAsia" w:ascii="仿宋" w:hAnsi="仿宋" w:eastAsia="仿宋" w:cs="仿宋"/>
          <w:color w:val="000000"/>
          <w:sz w:val="24"/>
          <w:szCs w:val="24"/>
        </w:rPr>
        <w:t>磋商小组应对磋商</w:t>
      </w:r>
      <w:r>
        <w:rPr>
          <w:rFonts w:hint="eastAsia" w:ascii="仿宋" w:hAnsi="仿宋" w:eastAsia="仿宋" w:cs="仿宋"/>
          <w:color w:val="000000"/>
          <w:sz w:val="24"/>
          <w:szCs w:val="24"/>
          <w:lang w:val="zh-CN"/>
        </w:rPr>
        <w:t>文件是否存在不合理条款</w:t>
      </w:r>
      <w:r>
        <w:rPr>
          <w:rFonts w:hint="eastAsia" w:ascii="仿宋" w:hAnsi="仿宋" w:eastAsia="仿宋" w:cs="仿宋"/>
          <w:color w:val="000000"/>
          <w:sz w:val="24"/>
          <w:szCs w:val="24"/>
        </w:rPr>
        <w:t>进行论证，并在评审报告中写明</w:t>
      </w:r>
      <w:r>
        <w:rPr>
          <w:rFonts w:hint="eastAsia" w:ascii="仿宋" w:hAnsi="仿宋" w:eastAsia="仿宋" w:cs="仿宋"/>
          <w:color w:val="000000"/>
          <w:sz w:val="24"/>
          <w:szCs w:val="24"/>
          <w:lang w:val="zh-CN"/>
        </w:rPr>
        <w:t>论证意见。</w:t>
      </w:r>
    </w:p>
    <w:p w14:paraId="1CF736F4">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六、成交</w:t>
      </w:r>
    </w:p>
    <w:p w14:paraId="58E7A032">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26.确定成交单位</w:t>
      </w:r>
    </w:p>
    <w:p w14:paraId="0B4C34D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26.1 成交候选供应商的确定原则和数量见磋商文件第五章。</w:t>
      </w:r>
    </w:p>
    <w:p w14:paraId="164A948C">
      <w:pPr>
        <w:spacing w:beforeLines="0" w:afterLines="0" w:line="360" w:lineRule="auto"/>
        <w:ind w:firstLine="420"/>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26.2 </w:t>
      </w:r>
      <w:r>
        <w:rPr>
          <w:rFonts w:hint="eastAsia" w:ascii="仿宋" w:hAnsi="仿宋" w:eastAsia="仿宋" w:cs="仿宋"/>
          <w:color w:val="000000"/>
          <w:sz w:val="24"/>
          <w:szCs w:val="24"/>
          <w:lang w:val="zh-CN"/>
        </w:rPr>
        <w:t>按以下第（</w:t>
      </w:r>
      <w:r>
        <w:rPr>
          <w:rFonts w:hint="eastAsia" w:ascii="仿宋" w:hAnsi="仿宋" w:eastAsia="仿宋" w:cs="仿宋"/>
          <w:color w:val="000000"/>
          <w:sz w:val="24"/>
          <w:szCs w:val="24"/>
          <w:lang w:eastAsia="zh-CN"/>
        </w:rPr>
        <w:t>1</w:t>
      </w:r>
      <w:r>
        <w:rPr>
          <w:rFonts w:hint="eastAsia" w:ascii="仿宋" w:hAnsi="仿宋" w:eastAsia="仿宋" w:cs="仿宋"/>
          <w:color w:val="000000"/>
          <w:sz w:val="24"/>
          <w:szCs w:val="24"/>
          <w:lang w:val="zh-CN"/>
        </w:rPr>
        <w:t>）种方式确定</w:t>
      </w:r>
      <w:r>
        <w:rPr>
          <w:rFonts w:hint="eastAsia" w:ascii="仿宋" w:hAnsi="仿宋" w:eastAsia="仿宋" w:cs="仿宋"/>
          <w:color w:val="000000"/>
          <w:sz w:val="24"/>
          <w:szCs w:val="24"/>
        </w:rPr>
        <w:t>成交供应商</w:t>
      </w:r>
    </w:p>
    <w:p w14:paraId="18ED9E4E">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直接确定排名第一的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为</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04F694DC">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（2）采购人在</w:t>
      </w:r>
      <w:r>
        <w:rPr>
          <w:rFonts w:hint="eastAsia" w:ascii="仿宋" w:hAnsi="仿宋" w:eastAsia="仿宋" w:cs="仿宋"/>
          <w:color w:val="000000"/>
          <w:sz w:val="24"/>
          <w:szCs w:val="24"/>
        </w:rPr>
        <w:t>磋商小组</w:t>
      </w:r>
      <w:r>
        <w:rPr>
          <w:rFonts w:hint="eastAsia" w:ascii="仿宋" w:hAnsi="仿宋" w:eastAsia="仿宋" w:cs="仿宋"/>
          <w:color w:val="000000"/>
          <w:sz w:val="24"/>
          <w:szCs w:val="24"/>
          <w:lang w:val="zh-CN"/>
        </w:rPr>
        <w:t>推荐的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中按顺序确定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496D28CF">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按第二种方式确定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的，采购代理机构自评审结束之日起两个工作日内将评审报告送交采购人，采购人自收到评审报告之日起五个工作日内，在评审报告推荐的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rPr>
        <w:t>成交候选供应商</w:t>
      </w:r>
      <w:r>
        <w:rPr>
          <w:rFonts w:hint="eastAsia" w:ascii="仿宋" w:hAnsi="仿宋" w:eastAsia="仿宋" w:cs="仿宋"/>
          <w:color w:val="000000"/>
          <w:sz w:val="24"/>
          <w:szCs w:val="24"/>
          <w:lang w:val="zh-CN"/>
        </w:rPr>
        <w:t>中按顺序确定</w:t>
      </w:r>
      <w:r>
        <w:rPr>
          <w:rFonts w:hint="eastAsia" w:ascii="仿宋" w:hAnsi="仿宋" w:eastAsia="仿宋" w:cs="仿宋"/>
          <w:color w:val="000000"/>
          <w:sz w:val="24"/>
          <w:szCs w:val="24"/>
        </w:rPr>
        <w:t>成交供应商</w:t>
      </w:r>
      <w:r>
        <w:rPr>
          <w:rFonts w:hint="eastAsia" w:ascii="仿宋" w:hAnsi="仿宋" w:eastAsia="仿宋" w:cs="仿宋"/>
          <w:color w:val="000000"/>
          <w:sz w:val="24"/>
          <w:szCs w:val="24"/>
          <w:lang w:val="zh-CN"/>
        </w:rPr>
        <w:t>。</w:t>
      </w:r>
    </w:p>
    <w:p w14:paraId="025DB43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26.3 采购代理机构将在“江苏政府采购网”发布成交结果公告，公告期限为1个工作日。</w:t>
      </w:r>
    </w:p>
    <w:p w14:paraId="789BA29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26.4 </w:t>
      </w:r>
      <w:r>
        <w:rPr>
          <w:rFonts w:hint="eastAsia" w:ascii="仿宋" w:hAnsi="仿宋" w:eastAsia="仿宋" w:cs="仿宋"/>
          <w:b/>
          <w:color w:val="000000"/>
          <w:sz w:val="24"/>
          <w:szCs w:val="24"/>
        </w:rPr>
        <w:t>若有充分证据证明成交供应商有下列情况之一的，一经查实将被取消成交资格：</w:t>
      </w:r>
    </w:p>
    <w:p w14:paraId="73A8C0FF">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26.4.1 提供虚假材料谋取成交。</w:t>
      </w:r>
    </w:p>
    <w:p w14:paraId="69D07A7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26.4.2 向评审专家、采购人或采购代理机构工作人员行贿或者提供其他不正当利益。</w:t>
      </w:r>
    </w:p>
    <w:p w14:paraId="38BA100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26.4.3 与其他供应商、评审专家、采购人或采购代理机构工作人员恶意串通。</w:t>
      </w:r>
    </w:p>
    <w:p w14:paraId="0AC3FCF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26.4.4 不满足本磋商文件规定的实质性要求，但在评审过程中未被磋商小组发现。</w:t>
      </w:r>
    </w:p>
    <w:p w14:paraId="53F166A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26.4.5 采取不正当手段诋毁、排挤其他供应商。</w:t>
      </w:r>
    </w:p>
    <w:p w14:paraId="7288191D">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27.成交通知书</w:t>
      </w:r>
    </w:p>
    <w:p w14:paraId="63B2ABAD">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 成交结果确定后，采购代理机构将向成交供应商发出《成交通知书》。成交供应商可在成交结果公告届满之日起三十日内，登录苏采云系统下载。    </w:t>
      </w:r>
    </w:p>
    <w:p w14:paraId="44F4173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因系统存储空间有限，成交结果公告届满之日起三十日后，苏采云系统不再保证提供下载《成交通知书》服务，因未及时下载而造成的不利后果由成交供应商自行承担。</w:t>
      </w:r>
    </w:p>
    <w:p w14:paraId="23E3634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27.2 《成交通知书》是合同的一个组成部分，对采购人和成交供应商均具有法律效力。《成交通知书》发出后，采购人改变成交结果的，或者成交供应商放弃成交项目的，应当依法承担法律责任。</w:t>
      </w:r>
    </w:p>
    <w:p w14:paraId="6D30334B">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七、授予合同</w:t>
      </w:r>
    </w:p>
    <w:p w14:paraId="278A8D7F">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28.签订合同</w:t>
      </w:r>
    </w:p>
    <w:p w14:paraId="146D565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28.l 成交供应商应当在《成交通知书》发出之日起三十日内，按照磋商文件确定的事项与采购人签订政府采购合同。采购人于合同签订后2个工作日内通过苏采云系统进行公示。</w:t>
      </w:r>
    </w:p>
    <w:p w14:paraId="152D2F91">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28.2 磋商文件、成交供应商的响应文件及磋商过程中有关澄清、承诺文件均作为合同附件。</w:t>
      </w:r>
    </w:p>
    <w:p w14:paraId="36DD3F0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A1EB1F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28.4 成交供应商因自身原因拒绝与采购人签订合同的，</w:t>
      </w:r>
      <w:r>
        <w:rPr>
          <w:rFonts w:hint="eastAsia" w:ascii="仿宋" w:hAnsi="仿宋" w:eastAsia="仿宋" w:cs="仿宋"/>
          <w:color w:val="000000"/>
          <w:sz w:val="24"/>
          <w:szCs w:val="24"/>
          <w:lang w:val="zh-CN"/>
        </w:rPr>
        <w:t>不得参加采购人</w:t>
      </w:r>
      <w:r>
        <w:rPr>
          <w:rFonts w:hint="eastAsia" w:ascii="仿宋" w:hAnsi="仿宋" w:eastAsia="仿宋" w:cs="仿宋"/>
          <w:color w:val="000000"/>
          <w:sz w:val="24"/>
          <w:szCs w:val="24"/>
        </w:rPr>
        <w:t>重新组织的</w:t>
      </w:r>
      <w:r>
        <w:rPr>
          <w:rFonts w:hint="eastAsia" w:ascii="仿宋" w:hAnsi="仿宋" w:eastAsia="仿宋" w:cs="仿宋"/>
          <w:color w:val="000000"/>
          <w:sz w:val="24"/>
          <w:szCs w:val="24"/>
          <w:lang w:val="zh-CN"/>
        </w:rPr>
        <w:t>采购活动</w:t>
      </w:r>
      <w:r>
        <w:rPr>
          <w:rFonts w:hint="eastAsia" w:ascii="仿宋" w:hAnsi="仿宋" w:eastAsia="仿宋" w:cs="仿宋"/>
          <w:color w:val="000000"/>
          <w:sz w:val="24"/>
          <w:szCs w:val="24"/>
        </w:rPr>
        <w:t>，且将可能被拒绝参加该采购人</w:t>
      </w:r>
      <w:r>
        <w:rPr>
          <w:rFonts w:hint="eastAsia" w:ascii="仿宋" w:hAnsi="仿宋" w:eastAsia="仿宋" w:cs="仿宋"/>
          <w:color w:val="000000"/>
          <w:sz w:val="24"/>
          <w:szCs w:val="24"/>
          <w:lang w:val="zh-CN"/>
        </w:rPr>
        <w:t>一年内</w:t>
      </w:r>
      <w:r>
        <w:rPr>
          <w:rFonts w:hint="eastAsia" w:ascii="仿宋" w:hAnsi="仿宋" w:eastAsia="仿宋" w:cs="仿宋"/>
          <w:color w:val="000000"/>
          <w:sz w:val="24"/>
          <w:szCs w:val="24"/>
        </w:rPr>
        <w:t>的其他</w:t>
      </w:r>
      <w:r>
        <w:rPr>
          <w:rFonts w:hint="eastAsia" w:ascii="仿宋" w:hAnsi="仿宋" w:eastAsia="仿宋" w:cs="仿宋"/>
          <w:color w:val="000000"/>
          <w:sz w:val="24"/>
          <w:szCs w:val="24"/>
          <w:lang w:val="zh-CN"/>
        </w:rPr>
        <w:t>政府采购活动。</w:t>
      </w:r>
    </w:p>
    <w:p w14:paraId="0F1249EC">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28.5 本项目的非主体、非关键性工作是否允许分包按以下第2 种方式确定：</w:t>
      </w:r>
    </w:p>
    <w:p w14:paraId="7A3F17DB">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（1）允许分包，允许大中型企业向一家或者多家小微企业分包，分包具体内容、金额或比例：    ；       </w:t>
      </w:r>
    </w:p>
    <w:p w14:paraId="141ABFF6">
      <w:pPr>
        <w:spacing w:beforeLines="0" w:afterLines="0" w:line="360" w:lineRule="auto"/>
        <w:ind w:firstLine="42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（2）不允许分包。未经采购人同意，成交供应商也不得采用分包形式履行合同,否则采购人有权终止合同。转包或分包造成采购人损失的，成交供应商应承担相应赔偿责任。</w:t>
      </w:r>
    </w:p>
    <w:p w14:paraId="6B630E08">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28.6</w:t>
      </w:r>
      <w:r>
        <w:rPr>
          <w:rFonts w:hint="eastAsia" w:ascii="仿宋" w:hAnsi="仿宋" w:eastAsia="仿宋" w:cs="仿宋"/>
          <w:color w:val="000000"/>
          <w:sz w:val="24"/>
          <w:szCs w:val="24"/>
        </w:rPr>
        <w:t>履约保证金</w:t>
      </w:r>
    </w:p>
    <w:p w14:paraId="2EAEF089">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按照以下第1方式确定履约保证收取方式。</w:t>
      </w:r>
    </w:p>
    <w:p w14:paraId="704A1700">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(1)不收取履约保证金。</w:t>
      </w:r>
    </w:p>
    <w:p w14:paraId="5E62174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(2)履约保证金应在采购合同签订前提交，履约保证金的金额     ，除银行电汇、网上银行、数字人民币外，供应商还可选用银行保函、担保公司的保证担保或保险公司的保证保险等多种形式向采购人缴纳；</w:t>
      </w:r>
    </w:p>
    <w:p w14:paraId="68946FBC">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98C8AC3">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履约保证金退还的条件：按以下第 b 种方式实行：</w:t>
      </w:r>
    </w:p>
    <w:p w14:paraId="0116D61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a、货物类项目，项目验收合格，出具验收报告及履约保证金收据申请退付；</w:t>
      </w:r>
    </w:p>
    <w:p w14:paraId="073FC28B">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b、服务类项目，项目履约期满评价合格，出具履约评价报告及履约保证金收据申请退付；</w:t>
      </w:r>
    </w:p>
    <w:p w14:paraId="758CFE52">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c、工程类项目，项目完工验收合格，出具完工证明及履约保证金收据申请退付；</w:t>
      </w:r>
    </w:p>
    <w:p w14:paraId="194A8DF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履约保证金退还时间：采购单位收到供应商退付申请后5个工作日内退还；</w:t>
      </w:r>
    </w:p>
    <w:p w14:paraId="7FD6ED5A">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履约保证金不予退还情形：除不可抗力外，供应商不履行与采购人订立的采购合同的，履约保证金不予退还，给采购人造成的损失超过履约保证金数额的，还应当对超过部分予以赔偿；</w:t>
      </w:r>
    </w:p>
    <w:p w14:paraId="6536E8B7">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逾期退还履约保证金的违约责任：除应当退还履约保证金外，还应当按中国人民银行同期贷款基准利率上浮 20％后的利率支付超期资金占用费，但因供应商自身原因导致无法及时退还的除外。</w:t>
      </w:r>
    </w:p>
    <w:p w14:paraId="0C6A3274">
      <w:pPr>
        <w:spacing w:beforeLines="0" w:afterLines="0" w:line="360" w:lineRule="auto"/>
        <w:ind w:firstLine="420"/>
        <w:rPr>
          <w:rFonts w:hint="eastAsia" w:ascii="仿宋" w:hAnsi="仿宋" w:eastAsia="仿宋" w:cs="仿宋"/>
          <w:color w:val="000000"/>
          <w:sz w:val="24"/>
          <w:szCs w:val="24"/>
          <w:lang w:val="en-US"/>
        </w:rPr>
      </w:pPr>
      <w:r>
        <w:rPr>
          <w:rFonts w:hint="eastAsia" w:ascii="仿宋" w:hAnsi="仿宋" w:eastAsia="仿宋" w:cs="仿宋"/>
          <w:color w:val="000000"/>
          <w:sz w:val="24"/>
          <w:szCs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231DE6D2">
      <w:pPr>
        <w:pStyle w:val="44"/>
        <w:spacing w:before="0" w:beforeLines="0" w:after="0" w:afterLines="0" w:line="360" w:lineRule="auto"/>
        <w:ind w:firstLine="422"/>
        <w:rPr>
          <w:rFonts w:hint="eastAsia" w:ascii="仿宋" w:hAnsi="仿宋" w:eastAsia="仿宋" w:cs="仿宋"/>
          <w:color w:val="000000"/>
          <w:sz w:val="24"/>
          <w:szCs w:val="24"/>
        </w:rPr>
      </w:pPr>
      <w:r>
        <w:rPr>
          <w:rFonts w:hint="eastAsia" w:ascii="仿宋" w:hAnsi="仿宋" w:eastAsia="仿宋" w:cs="仿宋"/>
          <w:color w:val="000000"/>
          <w:sz w:val="24"/>
          <w:szCs w:val="24"/>
        </w:rPr>
        <w:t>29.标的物的追加</w:t>
      </w:r>
    </w:p>
    <w:p w14:paraId="26379254">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5931A5F3">
      <w:pPr>
        <w:pStyle w:val="44"/>
        <w:spacing w:before="0" w:beforeLines="0" w:after="0" w:afterLines="0" w:line="360" w:lineRule="auto"/>
        <w:ind w:firstLine="42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30.政府采购履约资金扶持政策</w:t>
      </w:r>
    </w:p>
    <w:p w14:paraId="5B762D6A">
      <w:pPr>
        <w:spacing w:beforeLines="0" w:afterLines="0" w:line="360" w:lineRule="auto"/>
        <w:ind w:firstLine="4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30.1 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1ACA90C2">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八、质疑</w:t>
      </w:r>
    </w:p>
    <w:p w14:paraId="42C05E5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31</w:t>
      </w:r>
      <w:r>
        <w:rPr>
          <w:rFonts w:hint="eastAsia" w:ascii="仿宋" w:hAnsi="仿宋" w:eastAsia="仿宋" w:cs="仿宋"/>
          <w:color w:val="000000"/>
          <w:sz w:val="24"/>
          <w:szCs w:val="24"/>
          <w:lang w:val="zh-CN"/>
        </w:rPr>
        <w:t>.提出质疑的供应商应当是参与所质疑项目采购活动的供应商，潜在供应商依法获取其可质疑的采购文件的，可以对采购文件提出质疑。</w:t>
      </w:r>
    </w:p>
    <w:p w14:paraId="467A05E4">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32</w:t>
      </w:r>
      <w:r>
        <w:rPr>
          <w:rFonts w:hint="eastAsia" w:ascii="仿宋" w:hAnsi="仿宋" w:eastAsia="仿宋" w:cs="仿宋"/>
          <w:color w:val="000000"/>
          <w:sz w:val="24"/>
          <w:szCs w:val="24"/>
          <w:lang w:val="zh-CN"/>
        </w:rPr>
        <w:t>.供应商认为采购文件、采购过程和采购结果使自己的权益受到损害的，可以在知道或应知其权益受到损害之日起七个工作日内，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rPr>
        <w:t>按照第3</w:t>
      </w:r>
      <w:r>
        <w:rPr>
          <w:rFonts w:hint="eastAsia" w:ascii="仿宋" w:hAnsi="仿宋" w:eastAsia="仿宋" w:cs="仿宋"/>
          <w:color w:val="000000"/>
          <w:sz w:val="24"/>
          <w:szCs w:val="24"/>
          <w:lang w:val="zh-CN"/>
        </w:rPr>
        <w:t>4</w:t>
      </w:r>
      <w:r>
        <w:rPr>
          <w:rFonts w:hint="eastAsia" w:ascii="仿宋" w:hAnsi="仿宋" w:eastAsia="仿宋" w:cs="仿宋"/>
          <w:color w:val="000000"/>
          <w:sz w:val="24"/>
          <w:szCs w:val="24"/>
        </w:rPr>
        <w:t>条</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第35</w:t>
      </w:r>
      <w:r>
        <w:rPr>
          <w:rFonts w:hint="eastAsia" w:ascii="仿宋" w:hAnsi="仿宋" w:eastAsia="仿宋" w:cs="仿宋"/>
          <w:color w:val="000000"/>
          <w:sz w:val="24"/>
          <w:szCs w:val="24"/>
          <w:lang w:val="zh-CN"/>
        </w:rPr>
        <w:t>条</w:t>
      </w:r>
      <w:r>
        <w:rPr>
          <w:rFonts w:hint="eastAsia" w:ascii="仿宋" w:hAnsi="仿宋" w:eastAsia="仿宋" w:cs="仿宋"/>
          <w:color w:val="000000"/>
          <w:sz w:val="24"/>
          <w:szCs w:val="24"/>
        </w:rPr>
        <w:t>之</w:t>
      </w:r>
      <w:r>
        <w:rPr>
          <w:rFonts w:hint="eastAsia" w:ascii="仿宋" w:hAnsi="仿宋" w:eastAsia="仿宋" w:cs="仿宋"/>
          <w:color w:val="000000"/>
          <w:sz w:val="24"/>
          <w:szCs w:val="24"/>
          <w:lang w:val="zh-CN"/>
        </w:rPr>
        <w:t>规定以书面形式向采购人或采购代理机构提出质疑。</w:t>
      </w:r>
      <w:r>
        <w:rPr>
          <w:rFonts w:hint="eastAsia" w:ascii="仿宋" w:hAnsi="仿宋" w:eastAsia="仿宋" w:cs="仿宋"/>
          <w:b/>
          <w:color w:val="000000"/>
          <w:sz w:val="24"/>
          <w:szCs w:val="24"/>
          <w:lang w:val="zh-CN"/>
        </w:rPr>
        <w:t>上述应知其权益受到损害之日是指：</w:t>
      </w:r>
    </w:p>
    <w:p w14:paraId="2DC42786">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对采购文件提出质疑的，为收到采购文件之日或者采购文件公告期限届满之日。</w:t>
      </w:r>
    </w:p>
    <w:p w14:paraId="69E75742">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对采购过程提出质疑的，为各采购程序环节结束之日。</w:t>
      </w:r>
    </w:p>
    <w:p w14:paraId="4937C421">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2.3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对成交结果提出质疑的，为成交结果公告期限届满之日。</w:t>
      </w:r>
    </w:p>
    <w:p w14:paraId="4EAA8DF0">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33.</w:t>
      </w:r>
      <w:r>
        <w:rPr>
          <w:rFonts w:hint="eastAsia" w:ascii="仿宋" w:hAnsi="仿宋" w:eastAsia="仿宋" w:cs="仿宋"/>
          <w:color w:val="000000"/>
          <w:sz w:val="24"/>
          <w:szCs w:val="24"/>
          <w:lang w:val="zh-CN"/>
        </w:rPr>
        <w:t>供应商应当在法定质疑期内一次性提出针对同一采购程序环节的质疑。供应商如在法定期限内对同一采购程序环节提出多次质疑的，采购代理机构</w:t>
      </w:r>
      <w:r>
        <w:rPr>
          <w:rFonts w:hint="eastAsia" w:ascii="仿宋" w:hAnsi="仿宋" w:eastAsia="仿宋" w:cs="仿宋"/>
          <w:color w:val="000000"/>
          <w:sz w:val="24"/>
          <w:szCs w:val="24"/>
        </w:rPr>
        <w:t>或</w:t>
      </w:r>
      <w:r>
        <w:rPr>
          <w:rFonts w:hint="eastAsia" w:ascii="仿宋" w:hAnsi="仿宋" w:eastAsia="仿宋" w:cs="仿宋"/>
          <w:color w:val="000000"/>
          <w:sz w:val="24"/>
          <w:szCs w:val="24"/>
          <w:lang w:val="zh-CN"/>
        </w:rPr>
        <w:t>采购人将只对供应商第一次质疑作出答复。</w:t>
      </w:r>
    </w:p>
    <w:p w14:paraId="341B8FFD">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34.</w:t>
      </w:r>
      <w:r>
        <w:rPr>
          <w:rFonts w:hint="eastAsia" w:ascii="仿宋" w:hAnsi="仿宋" w:eastAsia="仿宋" w:cs="仿宋"/>
          <w:color w:val="000000"/>
          <w:sz w:val="24"/>
          <w:szCs w:val="24"/>
          <w:lang w:val="zh-CN"/>
        </w:rPr>
        <w:t>供应商提出质疑应提交《质疑函》原件，且尽可能通过邮寄方式送达，采购代理机构和采购人不接受无运单的快件。《质疑函》应按照本磋商文件中《质疑函范本》</w:t>
      </w:r>
      <w:r>
        <w:rPr>
          <w:rFonts w:hint="eastAsia" w:ascii="仿宋" w:hAnsi="仿宋" w:eastAsia="仿宋" w:cs="仿宋"/>
          <w:color w:val="000000"/>
          <w:sz w:val="24"/>
          <w:szCs w:val="24"/>
        </w:rPr>
        <w:t>的</w:t>
      </w:r>
      <w:r>
        <w:rPr>
          <w:rFonts w:hint="eastAsia" w:ascii="仿宋" w:hAnsi="仿宋" w:eastAsia="仿宋" w:cs="仿宋"/>
          <w:color w:val="000000"/>
          <w:sz w:val="24"/>
          <w:szCs w:val="24"/>
          <w:lang w:val="zh-CN"/>
        </w:rPr>
        <w:t>格式和内容填写。</w:t>
      </w:r>
    </w:p>
    <w:p w14:paraId="185FCD81">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供应商如组成联合体参加采购活动，《质疑函范本》中要求加盖公章之处，联合体各方均须按要求加盖公章。</w:t>
      </w:r>
    </w:p>
    <w:p w14:paraId="343D0356">
      <w:pPr>
        <w:spacing w:beforeLines="0" w:afterLines="0" w:line="360" w:lineRule="auto"/>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35.</w:t>
      </w:r>
      <w:r>
        <w:rPr>
          <w:rFonts w:hint="eastAsia" w:ascii="仿宋" w:hAnsi="仿宋" w:eastAsia="仿宋" w:cs="仿宋"/>
          <w:b/>
          <w:color w:val="000000"/>
          <w:sz w:val="24"/>
          <w:szCs w:val="24"/>
          <w:lang w:val="zh-CN"/>
        </w:rPr>
        <w:t>供应商（含潜在供应商）对采购方式、采购需求、供应商资格条件、评审方法与评审标准、合同文本的询问</w:t>
      </w:r>
      <w:r>
        <w:rPr>
          <w:rFonts w:hint="eastAsia" w:ascii="仿宋" w:hAnsi="仿宋" w:eastAsia="仿宋" w:cs="仿宋"/>
          <w:b/>
          <w:color w:val="000000"/>
          <w:sz w:val="24"/>
          <w:szCs w:val="24"/>
        </w:rPr>
        <w:t>或</w:t>
      </w:r>
      <w:r>
        <w:rPr>
          <w:rFonts w:hint="eastAsia" w:ascii="仿宋" w:hAnsi="仿宋" w:eastAsia="仿宋" w:cs="仿宋"/>
          <w:b/>
          <w:color w:val="000000"/>
          <w:sz w:val="24"/>
          <w:szCs w:val="24"/>
          <w:lang w:val="zh-CN"/>
        </w:rPr>
        <w:t>质疑向采购人提出，由采购人负责答复。</w:t>
      </w:r>
      <w:r>
        <w:rPr>
          <w:rFonts w:hint="eastAsia" w:ascii="仿宋" w:hAnsi="仿宋" w:eastAsia="仿宋" w:cs="仿宋"/>
          <w:color w:val="000000"/>
          <w:sz w:val="24"/>
          <w:szCs w:val="24"/>
          <w:lang w:val="zh-CN"/>
        </w:rPr>
        <w:t>供应商对</w:t>
      </w:r>
      <w:r>
        <w:rPr>
          <w:rFonts w:hint="eastAsia" w:ascii="仿宋" w:hAnsi="仿宋" w:eastAsia="仿宋" w:cs="仿宋"/>
          <w:color w:val="000000"/>
          <w:sz w:val="24"/>
          <w:szCs w:val="24"/>
        </w:rPr>
        <w:t>采购过程、采购结果</w:t>
      </w:r>
      <w:r>
        <w:rPr>
          <w:rFonts w:hint="eastAsia" w:ascii="仿宋" w:hAnsi="仿宋" w:eastAsia="仿宋" w:cs="仿宋"/>
          <w:color w:val="000000"/>
          <w:sz w:val="24"/>
          <w:szCs w:val="24"/>
          <w:lang w:val="zh-CN"/>
        </w:rPr>
        <w:t>的询问</w:t>
      </w:r>
      <w:r>
        <w:rPr>
          <w:rFonts w:hint="eastAsia" w:ascii="仿宋" w:hAnsi="仿宋" w:eastAsia="仿宋" w:cs="仿宋"/>
          <w:color w:val="000000"/>
          <w:sz w:val="24"/>
          <w:szCs w:val="24"/>
        </w:rPr>
        <w:t>或</w:t>
      </w:r>
      <w:r>
        <w:rPr>
          <w:rFonts w:hint="eastAsia" w:ascii="仿宋" w:hAnsi="仿宋" w:eastAsia="仿宋" w:cs="仿宋"/>
          <w:color w:val="000000"/>
          <w:sz w:val="24"/>
          <w:szCs w:val="24"/>
          <w:lang w:val="zh-CN"/>
        </w:rPr>
        <w:t>质疑向采购代理机构提出，由采购代理机构负责答复。</w:t>
      </w:r>
      <w:r>
        <w:rPr>
          <w:rFonts w:hint="eastAsia" w:ascii="仿宋" w:hAnsi="仿宋" w:eastAsia="仿宋" w:cs="仿宋"/>
          <w:color w:val="000000"/>
          <w:sz w:val="24"/>
          <w:szCs w:val="24"/>
        </w:rPr>
        <w:t xml:space="preserve">  </w:t>
      </w:r>
    </w:p>
    <w:p w14:paraId="522638F3">
      <w:pPr>
        <w:spacing w:beforeLines="0" w:afterLines="0" w:line="360" w:lineRule="auto"/>
        <w:ind w:firstLine="422"/>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采购人《质疑</w:t>
      </w:r>
      <w:r>
        <w:rPr>
          <w:rFonts w:hint="eastAsia" w:ascii="仿宋" w:hAnsi="仿宋" w:eastAsia="仿宋" w:cs="仿宋"/>
          <w:b/>
          <w:color w:val="000000"/>
          <w:sz w:val="24"/>
          <w:szCs w:val="24"/>
          <w:highlight w:val="none"/>
        </w:rPr>
        <w:t>函</w:t>
      </w:r>
      <w:r>
        <w:rPr>
          <w:rFonts w:hint="eastAsia" w:ascii="仿宋" w:hAnsi="仿宋" w:eastAsia="仿宋" w:cs="仿宋"/>
          <w:b/>
          <w:color w:val="000000"/>
          <w:sz w:val="24"/>
          <w:szCs w:val="24"/>
          <w:highlight w:val="none"/>
          <w:lang w:val="zh-CN"/>
        </w:rPr>
        <w:t>》接收人及联系方式见采购文件第一章。</w:t>
      </w:r>
    </w:p>
    <w:p w14:paraId="2A9E040C">
      <w:pPr>
        <w:spacing w:beforeLines="0" w:afterLines="0"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采购代理机构《质疑函》收件人地址：南京市秦淮区蓝旗街6号秦淮硅巷柳树湾科技园15号楼</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val="zh-CN"/>
        </w:rPr>
        <w:t>楼，联系电话：025-</w:t>
      </w:r>
      <w:r>
        <w:rPr>
          <w:rFonts w:hint="eastAsia" w:ascii="仿宋" w:hAnsi="仿宋" w:eastAsia="仿宋" w:cs="仿宋"/>
          <w:color w:val="000000"/>
          <w:sz w:val="24"/>
          <w:szCs w:val="24"/>
          <w:highlight w:val="none"/>
          <w:lang w:val="en-US" w:eastAsia="zh-CN"/>
        </w:rPr>
        <w:t>85382797</w:t>
      </w:r>
      <w:r>
        <w:rPr>
          <w:rFonts w:hint="eastAsia" w:ascii="仿宋" w:hAnsi="仿宋" w:eastAsia="仿宋" w:cs="仿宋"/>
          <w:color w:val="000000"/>
          <w:sz w:val="24"/>
          <w:szCs w:val="24"/>
          <w:highlight w:val="none"/>
          <w:lang w:val="zh-CN"/>
        </w:rPr>
        <w:t>。</w:t>
      </w:r>
      <w:r>
        <w:rPr>
          <w:rFonts w:hint="eastAsia" w:ascii="仿宋" w:hAnsi="仿宋" w:eastAsia="仿宋" w:cs="仿宋"/>
          <w:color w:val="000000"/>
          <w:sz w:val="24"/>
          <w:szCs w:val="24"/>
          <w:highlight w:val="none"/>
        </w:rPr>
        <w:t xml:space="preserve"> </w:t>
      </w:r>
    </w:p>
    <w:p w14:paraId="3C111E5A">
      <w:pPr>
        <w:spacing w:beforeLines="0" w:afterLines="0" w:line="360" w:lineRule="auto"/>
        <w:ind w:firstLine="422"/>
        <w:rPr>
          <w:rFonts w:hint="eastAsia" w:ascii="仿宋" w:hAnsi="仿宋" w:eastAsia="仿宋" w:cs="仿宋"/>
          <w:b/>
          <w:color w:val="000000"/>
          <w:sz w:val="24"/>
          <w:szCs w:val="24"/>
          <w:lang w:val="zh-CN"/>
        </w:rPr>
      </w:pPr>
      <w:r>
        <w:rPr>
          <w:rFonts w:hint="eastAsia" w:ascii="仿宋" w:hAnsi="仿宋" w:eastAsia="仿宋" w:cs="仿宋"/>
          <w:b/>
          <w:color w:val="000000"/>
          <w:sz w:val="24"/>
          <w:szCs w:val="24"/>
        </w:rPr>
        <w:t>由采购人负责答复的质疑，采购人将《质疑答复函》抄送</w:t>
      </w:r>
      <w:r>
        <w:rPr>
          <w:rFonts w:hint="eastAsia" w:ascii="仿宋" w:hAnsi="仿宋" w:eastAsia="仿宋" w:cs="仿宋"/>
          <w:b/>
          <w:color w:val="000000"/>
          <w:sz w:val="24"/>
          <w:szCs w:val="24"/>
          <w:lang w:val="zh-CN"/>
        </w:rPr>
        <w:t>采购代理机构</w:t>
      </w:r>
      <w:r>
        <w:rPr>
          <w:rFonts w:hint="eastAsia" w:ascii="仿宋" w:hAnsi="仿宋" w:eastAsia="仿宋" w:cs="仿宋"/>
          <w:b/>
          <w:color w:val="000000"/>
          <w:sz w:val="24"/>
          <w:szCs w:val="24"/>
        </w:rPr>
        <w:t>。</w:t>
      </w:r>
    </w:p>
    <w:p w14:paraId="6CFCEF4A">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以下情形的质疑不予受理：</w:t>
      </w:r>
    </w:p>
    <w:p w14:paraId="68AAD69F">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内容不符合《政府采购质疑和投诉办法》第十二条规定的质疑。</w:t>
      </w:r>
    </w:p>
    <w:p w14:paraId="5CB26BCF">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超出政府采购法定期限的质疑。</w:t>
      </w:r>
    </w:p>
    <w:p w14:paraId="3D5534E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以传真、电子邮件等方式递交的非原件形式的质疑。</w:t>
      </w:r>
    </w:p>
    <w:p w14:paraId="36647AE6">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.4</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未参加采购活动或在采购活动中自身权益未受到损害的供应商所提出的质疑。</w:t>
      </w:r>
    </w:p>
    <w:p w14:paraId="1F425986">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36</w:t>
      </w:r>
      <w:r>
        <w:rPr>
          <w:rFonts w:hint="eastAsia" w:ascii="仿宋" w:hAnsi="仿宋" w:eastAsia="仿宋" w:cs="仿宋"/>
          <w:color w:val="000000"/>
          <w:sz w:val="24"/>
          <w:szCs w:val="24"/>
          <w:lang w:val="zh-CN"/>
        </w:rPr>
        <w:t>.5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供应商组成联合体参加采购活动，联合体中任何一方或多方未按要求签字或盖章、加盖公章的质疑。</w:t>
      </w:r>
    </w:p>
    <w:p w14:paraId="3624D13B">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zh-CN"/>
        </w:rPr>
        <w:t>6.</w:t>
      </w:r>
      <w:r>
        <w:rPr>
          <w:rFonts w:hint="eastAsia" w:ascii="仿宋" w:hAnsi="仿宋" w:eastAsia="仿宋" w:cs="仿宋"/>
          <w:color w:val="000000"/>
          <w:sz w:val="24"/>
          <w:szCs w:val="24"/>
        </w:rPr>
        <w:t>6</w:t>
      </w:r>
      <w:r>
        <w:rPr>
          <w:rFonts w:hint="eastAsia" w:ascii="仿宋" w:hAnsi="仿宋" w:eastAsia="仿宋" w:cs="仿宋"/>
          <w:color w:val="000000"/>
          <w:sz w:val="24"/>
          <w:szCs w:val="24"/>
          <w:lang w:val="zh-CN"/>
        </w:rPr>
        <w:t xml:space="preserve"> 法律法规规定的</w:t>
      </w:r>
      <w:r>
        <w:rPr>
          <w:rFonts w:hint="eastAsia" w:ascii="仿宋" w:hAnsi="仿宋" w:eastAsia="仿宋" w:cs="仿宋"/>
          <w:color w:val="000000"/>
          <w:sz w:val="24"/>
          <w:szCs w:val="24"/>
        </w:rPr>
        <w:t>其他</w:t>
      </w:r>
      <w:r>
        <w:rPr>
          <w:rFonts w:hint="eastAsia" w:ascii="仿宋" w:hAnsi="仿宋" w:eastAsia="仿宋" w:cs="仿宋"/>
          <w:color w:val="000000"/>
          <w:sz w:val="24"/>
          <w:szCs w:val="24"/>
          <w:lang w:val="zh-CN"/>
        </w:rPr>
        <w:t>不予受理情形。</w:t>
      </w:r>
    </w:p>
    <w:p w14:paraId="6A209648">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37</w:t>
      </w:r>
      <w:r>
        <w:rPr>
          <w:rFonts w:hint="eastAsia" w:ascii="仿宋" w:hAnsi="仿宋" w:eastAsia="仿宋" w:cs="仿宋"/>
          <w:color w:val="000000"/>
          <w:sz w:val="24"/>
          <w:szCs w:val="24"/>
          <w:lang w:val="zh-CN"/>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316ECC86">
      <w:pPr>
        <w:snapToGrid w:val="0"/>
        <w:spacing w:before="0" w:beforeLines="-2147483648" w:after="0" w:afterLines="-2147483648"/>
        <w:ind w:firstLine="562" w:firstLineChars="200"/>
        <w:outlineLvl w:val="1"/>
        <w:rPr>
          <w:rFonts w:hint="eastAsia" w:ascii="仿宋" w:hAnsi="仿宋" w:eastAsia="仿宋" w:cs="仿宋"/>
          <w:b/>
          <w:bCs w:val="0"/>
          <w:color w:val="000000"/>
          <w:sz w:val="28"/>
          <w:szCs w:val="22"/>
        </w:rPr>
      </w:pPr>
      <w:r>
        <w:rPr>
          <w:rFonts w:hint="eastAsia" w:ascii="仿宋" w:hAnsi="仿宋" w:eastAsia="仿宋" w:cs="仿宋"/>
          <w:b/>
          <w:bCs w:val="0"/>
          <w:color w:val="000000"/>
          <w:sz w:val="28"/>
          <w:szCs w:val="22"/>
        </w:rPr>
        <w:t>九、政策功能落实</w:t>
      </w:r>
    </w:p>
    <w:p w14:paraId="5AA36CC2">
      <w:pPr>
        <w:pStyle w:val="44"/>
        <w:spacing w:before="0" w:beforeLines="0" w:after="0" w:afterLines="0" w:line="360" w:lineRule="auto"/>
        <w:ind w:firstLine="422"/>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38.促进中小企业发展</w:t>
      </w:r>
    </w:p>
    <w:p w14:paraId="3698FCC5">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38.1 本项目</w:t>
      </w:r>
      <w:r>
        <w:rPr>
          <w:rFonts w:hint="eastAsia" w:ascii="仿宋" w:hAnsi="仿宋" w:eastAsia="仿宋" w:cs="仿宋"/>
          <w:color w:val="000000"/>
          <w:sz w:val="24"/>
          <w:szCs w:val="24"/>
          <w:lang w:val="zh-CN"/>
        </w:rPr>
        <w:t>服务由中小企业承接的，</w:t>
      </w:r>
      <w:r>
        <w:rPr>
          <w:rFonts w:hint="eastAsia" w:ascii="仿宋" w:hAnsi="仿宋" w:eastAsia="仿宋" w:cs="仿宋"/>
          <w:color w:val="000000"/>
          <w:sz w:val="24"/>
          <w:szCs w:val="24"/>
        </w:rPr>
        <w:t>参与磋商的供应商</w:t>
      </w:r>
      <w:r>
        <w:rPr>
          <w:rFonts w:hint="eastAsia" w:ascii="仿宋" w:hAnsi="仿宋" w:eastAsia="仿宋" w:cs="仿宋"/>
          <w:color w:val="000000"/>
          <w:sz w:val="24"/>
          <w:szCs w:val="24"/>
          <w:lang w:val="zh-CN"/>
        </w:rPr>
        <w:t>享受中小企业扶持政策。</w:t>
      </w:r>
    </w:p>
    <w:p w14:paraId="5FE9F29F">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38.2 </w:t>
      </w:r>
      <w:r>
        <w:rPr>
          <w:rFonts w:hint="eastAsia" w:ascii="仿宋" w:hAnsi="仿宋" w:eastAsia="仿宋" w:cs="仿宋"/>
          <w:color w:val="000000"/>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710EF4D">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38.3 </w:t>
      </w:r>
      <w:r>
        <w:rPr>
          <w:rFonts w:hint="eastAsia" w:ascii="仿宋" w:hAnsi="仿宋" w:eastAsia="仿宋" w:cs="仿宋"/>
          <w:color w:val="000000"/>
          <w:sz w:val="24"/>
          <w:szCs w:val="24"/>
          <w:lang w:val="zh-CN"/>
        </w:rPr>
        <w:t>中小企业参加政府采购活动，应当出具《中小企业声明函》，否则不享受相关中小企业</w:t>
      </w:r>
      <w:r>
        <w:rPr>
          <w:rFonts w:hint="eastAsia" w:ascii="仿宋" w:hAnsi="仿宋" w:eastAsia="仿宋" w:cs="仿宋"/>
          <w:color w:val="000000"/>
          <w:sz w:val="24"/>
          <w:szCs w:val="24"/>
        </w:rPr>
        <w:t>支持</w:t>
      </w:r>
      <w:r>
        <w:rPr>
          <w:rFonts w:hint="eastAsia" w:ascii="仿宋" w:hAnsi="仿宋" w:eastAsia="仿宋" w:cs="仿宋"/>
          <w:color w:val="000000"/>
          <w:sz w:val="24"/>
          <w:szCs w:val="24"/>
          <w:lang w:val="zh-CN"/>
        </w:rPr>
        <w:t>政策。</w:t>
      </w:r>
    </w:p>
    <w:p w14:paraId="2D91D519">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38.4 </w:t>
      </w:r>
      <w:r>
        <w:rPr>
          <w:rFonts w:hint="eastAsia" w:ascii="仿宋" w:hAnsi="仿宋" w:eastAsia="仿宋" w:cs="仿宋"/>
          <w:color w:val="000000"/>
          <w:sz w:val="24"/>
          <w:szCs w:val="24"/>
          <w:lang w:val="zh-CN"/>
        </w:rPr>
        <w:t>以联合体形式参加政府采购活动，联合体各方均为中小企业的，联合体视同中小企业。其中，联合体各方均为小微企业的，联合体视同小微企业。</w:t>
      </w:r>
    </w:p>
    <w:p w14:paraId="672BDF07">
      <w:pPr>
        <w:spacing w:beforeLines="0" w:afterLines="0" w:line="360" w:lineRule="auto"/>
        <w:ind w:firstLine="42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8</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5</w:t>
      </w: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监狱和戒毒企业（简称监狱企业）视同小型、微型企业</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按照</w:t>
      </w:r>
      <w:r>
        <w:rPr>
          <w:rFonts w:hint="eastAsia" w:ascii="仿宋" w:hAnsi="仿宋" w:eastAsia="仿宋" w:cs="仿宋"/>
          <w:color w:val="000000"/>
          <w:sz w:val="24"/>
          <w:szCs w:val="24"/>
          <w:lang w:val="zh-CN"/>
        </w:rPr>
        <w:t>《关于政府采购支持监狱企业发展有关问题的通知》（财库〔2014〕68号）</w:t>
      </w:r>
      <w:r>
        <w:rPr>
          <w:rFonts w:hint="eastAsia" w:ascii="仿宋" w:hAnsi="仿宋" w:eastAsia="仿宋" w:cs="仿宋"/>
          <w:color w:val="000000"/>
          <w:sz w:val="24"/>
          <w:szCs w:val="24"/>
        </w:rPr>
        <w:t>规定，</w:t>
      </w:r>
      <w:r>
        <w:rPr>
          <w:rFonts w:hint="eastAsia" w:ascii="仿宋" w:hAnsi="仿宋" w:eastAsia="仿宋" w:cs="仿宋"/>
          <w:color w:val="000000"/>
          <w:sz w:val="24"/>
          <w:szCs w:val="24"/>
          <w:lang w:val="zh-CN"/>
        </w:rPr>
        <w:t>监狱企业需提供由省级以上监狱管理局、戒毒管理局(含新疆生产建设兵团)出具的属于监狱企业的证明文件。</w:t>
      </w:r>
    </w:p>
    <w:p w14:paraId="775AB5D6">
      <w:pPr>
        <w:snapToGrid w:val="0"/>
        <w:spacing w:after="0" w:line="360" w:lineRule="auto"/>
        <w:ind w:firstLine="480" w:firstLineChars="200"/>
        <w:textAlignment w:val="baseline"/>
        <w:rPr>
          <w:rFonts w:hint="eastAsia" w:ascii="仿宋" w:hAnsi="仿宋" w:eastAsia="仿宋" w:cs="仿宋"/>
          <w:b/>
          <w:bCs/>
          <w:iCs/>
          <w:sz w:val="24"/>
        </w:rPr>
      </w:pPr>
      <w:r>
        <w:rPr>
          <w:rFonts w:hint="eastAsia" w:ascii="仿宋" w:hAnsi="仿宋" w:eastAsia="仿宋" w:cs="仿宋"/>
          <w:color w:val="000000"/>
          <w:sz w:val="24"/>
          <w:szCs w:val="24"/>
          <w:lang w:val="zh-CN"/>
        </w:rPr>
        <w:t>3</w:t>
      </w:r>
      <w:r>
        <w:rPr>
          <w:rFonts w:hint="eastAsia" w:ascii="仿宋" w:hAnsi="仿宋" w:eastAsia="仿宋" w:cs="仿宋"/>
          <w:color w:val="000000"/>
          <w:sz w:val="24"/>
          <w:szCs w:val="24"/>
        </w:rPr>
        <w:t>8</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6</w:t>
      </w:r>
      <w:r>
        <w:rPr>
          <w:rFonts w:hint="eastAsia" w:ascii="仿宋" w:hAnsi="仿宋" w:eastAsia="仿宋" w:cs="仿宋"/>
          <w:color w:val="000000"/>
          <w:sz w:val="24"/>
          <w:szCs w:val="24"/>
          <w:lang w:val="zh-CN"/>
        </w:rPr>
        <w:t xml:space="preserve"> 残疾人福利性单位</w:t>
      </w:r>
      <w:r>
        <w:rPr>
          <w:rFonts w:hint="eastAsia" w:ascii="仿宋" w:hAnsi="仿宋" w:eastAsia="仿宋" w:cs="仿宋"/>
          <w:color w:val="000000"/>
          <w:sz w:val="24"/>
          <w:szCs w:val="24"/>
        </w:rPr>
        <w:t>视同小型、微型企业</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rPr>
        <w:t>按照《关于促进残疾人就业政府采购政策的通知》（财库〔2017〕141号）规定，残疾人福利单位需</w:t>
      </w:r>
      <w:r>
        <w:rPr>
          <w:rFonts w:hint="eastAsia" w:ascii="仿宋" w:hAnsi="仿宋" w:eastAsia="仿宋" w:cs="仿宋"/>
          <w:color w:val="000000"/>
          <w:sz w:val="24"/>
          <w:szCs w:val="24"/>
          <w:lang w:val="zh-CN"/>
        </w:rPr>
        <w:t>提供《残疾人福利性单位声明函》</w:t>
      </w:r>
      <w:r>
        <w:rPr>
          <w:rFonts w:hint="eastAsia" w:ascii="仿宋" w:hAnsi="仿宋" w:eastAsia="仿宋" w:cs="仿宋"/>
          <w:sz w:val="24"/>
        </w:rPr>
        <w:t>。</w:t>
      </w:r>
    </w:p>
    <w:p w14:paraId="2C8F1D24">
      <w:pPr>
        <w:pStyle w:val="29"/>
        <w:pageBreakBefore/>
        <w:spacing w:afterLines="0" w:line="360" w:lineRule="auto"/>
        <w:rPr>
          <w:rFonts w:ascii="仿宋" w:hAnsi="仿宋" w:eastAsia="仿宋" w:cs="仿宋"/>
          <w:sz w:val="40"/>
        </w:rPr>
      </w:pPr>
      <w:bookmarkStart w:id="45" w:name="_Toc11440"/>
      <w:bookmarkStart w:id="46" w:name="_Toc22226"/>
      <w:bookmarkStart w:id="47" w:name="_Toc10878"/>
      <w:bookmarkStart w:id="48" w:name="_Toc26345"/>
      <w:bookmarkStart w:id="49" w:name="_Toc22543"/>
      <w:bookmarkStart w:id="50" w:name="_Toc18399"/>
      <w:bookmarkStart w:id="51" w:name="_Toc17473"/>
      <w:bookmarkStart w:id="52" w:name="_Toc14481"/>
      <w:bookmarkStart w:id="53" w:name="_Toc16945"/>
      <w:bookmarkStart w:id="54" w:name="_Toc11813"/>
      <w:bookmarkStart w:id="55" w:name="_Toc22544"/>
      <w:bookmarkStart w:id="56" w:name="_Toc12283"/>
      <w:bookmarkStart w:id="57" w:name="_Toc28209"/>
      <w:bookmarkStart w:id="58" w:name="_Toc32263"/>
      <w:bookmarkStart w:id="59" w:name="_Toc324237148"/>
      <w:bookmarkStart w:id="60" w:name="_Toc324237156"/>
      <w:bookmarkStart w:id="61" w:name="_Toc18960"/>
      <w:r>
        <w:rPr>
          <w:rFonts w:hint="eastAsia" w:ascii="仿宋" w:hAnsi="仿宋" w:eastAsia="仿宋" w:cs="仿宋"/>
          <w:sz w:val="40"/>
        </w:rPr>
        <w:t>第三章 合同条款及格式</w:t>
      </w:r>
      <w:bookmarkEnd w:id="45"/>
      <w:bookmarkEnd w:id="46"/>
      <w:bookmarkEnd w:id="47"/>
      <w:bookmarkEnd w:id="48"/>
      <w:bookmarkEnd w:id="49"/>
      <w:bookmarkEnd w:id="50"/>
      <w:bookmarkEnd w:id="51"/>
      <w:bookmarkEnd w:id="52"/>
      <w:bookmarkEnd w:id="53"/>
      <w:bookmarkEnd w:id="54"/>
      <w:bookmarkEnd w:id="55"/>
      <w:bookmarkEnd w:id="56"/>
      <w:bookmarkEnd w:id="57"/>
    </w:p>
    <w:p w14:paraId="56D3E9CE">
      <w:pPr>
        <w:spacing w:line="360" w:lineRule="auto"/>
        <w:rPr>
          <w:rFonts w:ascii="仿宋" w:hAnsi="仿宋" w:eastAsia="仿宋" w:cs="仿宋"/>
          <w:sz w:val="24"/>
        </w:rPr>
      </w:pPr>
      <w:bookmarkStart w:id="62" w:name="_Toc19757"/>
      <w:bookmarkStart w:id="63" w:name="_Toc26827"/>
      <w:bookmarkStart w:id="64" w:name="_Toc7771"/>
      <w:bookmarkStart w:id="65" w:name="_Toc8481"/>
      <w:bookmarkStart w:id="66" w:name="_Toc20024"/>
      <w:bookmarkStart w:id="67" w:name="_Toc14854"/>
      <w:bookmarkStart w:id="68" w:name="_Toc24491"/>
      <w:bookmarkStart w:id="69" w:name="_Toc21090"/>
      <w:bookmarkStart w:id="70" w:name="_Toc12199"/>
      <w:bookmarkStart w:id="71" w:name="_Toc12525"/>
      <w:bookmarkStart w:id="72" w:name="_Toc13407"/>
      <w:bookmarkStart w:id="73" w:name="_Toc3329"/>
      <w:bookmarkStart w:id="74" w:name="_Toc4309"/>
      <w:bookmarkStart w:id="75" w:name="_Toc4412"/>
      <w:bookmarkStart w:id="76" w:name="_Toc10506"/>
      <w:bookmarkStart w:id="77" w:name="_Toc9647"/>
      <w:bookmarkStart w:id="78" w:name="_Toc16569"/>
      <w:r>
        <w:rPr>
          <w:rFonts w:hint="eastAsia" w:ascii="仿宋" w:hAnsi="仿宋" w:eastAsia="仿宋" w:cs="仿宋"/>
          <w:sz w:val="24"/>
        </w:rPr>
        <w:t>委托方（甲方）：[  ]</w:t>
      </w:r>
    </w:p>
    <w:p w14:paraId="4788DD94">
      <w:pPr>
        <w:spacing w:line="360" w:lineRule="auto"/>
        <w:rPr>
          <w:rFonts w:ascii="仿宋" w:hAnsi="仿宋" w:eastAsia="仿宋" w:cs="仿宋"/>
          <w:sz w:val="24"/>
        </w:rPr>
      </w:pPr>
      <w:r>
        <w:rPr>
          <w:rFonts w:hint="eastAsia" w:ascii="仿宋" w:hAnsi="仿宋" w:eastAsia="仿宋" w:cs="仿宋"/>
          <w:sz w:val="24"/>
        </w:rPr>
        <w:t xml:space="preserve">地址：[  ]     </w:t>
      </w:r>
    </w:p>
    <w:p w14:paraId="5D27D19F">
      <w:pPr>
        <w:spacing w:line="360" w:lineRule="auto"/>
        <w:rPr>
          <w:rFonts w:ascii="仿宋" w:hAnsi="仿宋" w:eastAsia="仿宋" w:cs="仿宋"/>
          <w:sz w:val="24"/>
        </w:rPr>
      </w:pPr>
      <w:r>
        <w:rPr>
          <w:rFonts w:hint="eastAsia" w:ascii="仿宋" w:hAnsi="仿宋" w:eastAsia="仿宋" w:cs="仿宋"/>
          <w:sz w:val="24"/>
        </w:rPr>
        <w:t xml:space="preserve">法定代表人/负责人：[  ]        </w:t>
      </w:r>
    </w:p>
    <w:p w14:paraId="121B5720">
      <w:pPr>
        <w:spacing w:line="360" w:lineRule="auto"/>
        <w:rPr>
          <w:rFonts w:ascii="仿宋" w:hAnsi="仿宋" w:eastAsia="仿宋" w:cs="仿宋"/>
          <w:sz w:val="24"/>
        </w:rPr>
      </w:pPr>
      <w:r>
        <w:rPr>
          <w:rFonts w:hint="eastAsia" w:ascii="仿宋" w:hAnsi="仿宋" w:eastAsia="仿宋" w:cs="仿宋"/>
          <w:sz w:val="24"/>
        </w:rPr>
        <w:t xml:space="preserve">项目联系人：[  ]           </w:t>
      </w:r>
    </w:p>
    <w:p w14:paraId="2B738F10">
      <w:pPr>
        <w:spacing w:line="360" w:lineRule="auto"/>
        <w:rPr>
          <w:rFonts w:ascii="仿宋" w:hAnsi="仿宋" w:eastAsia="仿宋" w:cs="仿宋"/>
          <w:sz w:val="24"/>
        </w:rPr>
      </w:pPr>
      <w:r>
        <w:rPr>
          <w:rFonts w:hint="eastAsia" w:ascii="仿宋" w:hAnsi="仿宋" w:eastAsia="仿宋" w:cs="仿宋"/>
          <w:sz w:val="24"/>
        </w:rPr>
        <w:t xml:space="preserve">联系电话：[  ]                      </w:t>
      </w:r>
    </w:p>
    <w:p w14:paraId="31DA51D7">
      <w:pPr>
        <w:spacing w:line="360" w:lineRule="auto"/>
        <w:rPr>
          <w:rFonts w:ascii="仿宋" w:hAnsi="仿宋" w:eastAsia="仿宋" w:cs="仿宋"/>
          <w:sz w:val="24"/>
        </w:rPr>
      </w:pPr>
    </w:p>
    <w:p w14:paraId="6063AF98">
      <w:pPr>
        <w:spacing w:line="360" w:lineRule="auto"/>
        <w:rPr>
          <w:rFonts w:ascii="仿宋" w:hAnsi="仿宋" w:eastAsia="仿宋" w:cs="仿宋"/>
          <w:sz w:val="24"/>
        </w:rPr>
      </w:pPr>
      <w:r>
        <w:rPr>
          <w:rFonts w:hint="eastAsia" w:ascii="仿宋" w:hAnsi="仿宋" w:eastAsia="仿宋" w:cs="仿宋"/>
          <w:sz w:val="24"/>
        </w:rPr>
        <w:t xml:space="preserve">受托方（乙方）：[  ]                        </w:t>
      </w:r>
    </w:p>
    <w:p w14:paraId="4F50C499">
      <w:pPr>
        <w:spacing w:line="360" w:lineRule="auto"/>
        <w:rPr>
          <w:rFonts w:ascii="仿宋" w:hAnsi="仿宋" w:eastAsia="仿宋" w:cs="仿宋"/>
          <w:sz w:val="24"/>
        </w:rPr>
      </w:pPr>
      <w:r>
        <w:rPr>
          <w:rFonts w:hint="eastAsia" w:ascii="仿宋" w:hAnsi="仿宋" w:eastAsia="仿宋" w:cs="仿宋"/>
          <w:sz w:val="24"/>
        </w:rPr>
        <w:t xml:space="preserve">地址：[  ]     </w:t>
      </w:r>
    </w:p>
    <w:p w14:paraId="10395F0D">
      <w:pPr>
        <w:spacing w:line="360" w:lineRule="auto"/>
        <w:rPr>
          <w:rFonts w:ascii="仿宋" w:hAnsi="仿宋" w:eastAsia="仿宋" w:cs="仿宋"/>
          <w:sz w:val="24"/>
        </w:rPr>
      </w:pPr>
      <w:r>
        <w:rPr>
          <w:rFonts w:hint="eastAsia" w:ascii="仿宋" w:hAnsi="仿宋" w:eastAsia="仿宋" w:cs="仿宋"/>
          <w:sz w:val="24"/>
        </w:rPr>
        <w:t xml:space="preserve">法定代表人/负责人：[  ]        </w:t>
      </w:r>
    </w:p>
    <w:p w14:paraId="2F6C5AC6">
      <w:pPr>
        <w:spacing w:line="360" w:lineRule="auto"/>
        <w:rPr>
          <w:rFonts w:ascii="仿宋" w:hAnsi="仿宋" w:eastAsia="仿宋" w:cs="仿宋"/>
          <w:sz w:val="24"/>
        </w:rPr>
      </w:pPr>
      <w:r>
        <w:rPr>
          <w:rFonts w:hint="eastAsia" w:ascii="仿宋" w:hAnsi="仿宋" w:eastAsia="仿宋" w:cs="仿宋"/>
          <w:sz w:val="24"/>
        </w:rPr>
        <w:t xml:space="preserve">项目联系人：[  ]                                             </w:t>
      </w:r>
    </w:p>
    <w:p w14:paraId="64109EC5">
      <w:pPr>
        <w:spacing w:line="360" w:lineRule="auto"/>
        <w:rPr>
          <w:rFonts w:ascii="仿宋" w:hAnsi="仿宋" w:eastAsia="仿宋" w:cs="仿宋"/>
          <w:sz w:val="24"/>
        </w:rPr>
      </w:pPr>
      <w:r>
        <w:rPr>
          <w:rFonts w:hint="eastAsia" w:ascii="仿宋" w:hAnsi="仿宋" w:eastAsia="仿宋" w:cs="仿宋"/>
          <w:sz w:val="24"/>
        </w:rPr>
        <w:t xml:space="preserve">联系电话：[  ]                   </w:t>
      </w:r>
    </w:p>
    <w:p w14:paraId="25A46108">
      <w:pPr>
        <w:spacing w:line="360" w:lineRule="auto"/>
        <w:rPr>
          <w:rFonts w:ascii="仿宋" w:hAnsi="仿宋" w:eastAsia="仿宋" w:cs="仿宋"/>
          <w:sz w:val="24"/>
        </w:rPr>
      </w:pPr>
    </w:p>
    <w:p w14:paraId="2AB47720">
      <w:pPr>
        <w:spacing w:line="360" w:lineRule="auto"/>
        <w:rPr>
          <w:rFonts w:ascii="仿宋" w:hAnsi="仿宋" w:eastAsia="仿宋" w:cs="仿宋"/>
          <w:sz w:val="24"/>
        </w:rPr>
      </w:pPr>
      <w:r>
        <w:rPr>
          <w:rFonts w:hint="eastAsia" w:ascii="仿宋" w:hAnsi="仿宋" w:eastAsia="仿宋" w:cs="仿宋"/>
          <w:sz w:val="24"/>
        </w:rPr>
        <w:t>本合同甲方委托乙方就[  ]项目（“项目”）进行[  ]的专项服务，并支付相应的服务报酬。双方经过平等协商，在真实、充分地表达各自意愿的基础上，根据《中华人民共和国民法典》的规定，达成如下合同，并由双方共同恪守。</w:t>
      </w:r>
    </w:p>
    <w:p w14:paraId="1DC52CFD">
      <w:pPr>
        <w:spacing w:line="360" w:lineRule="auto"/>
        <w:rPr>
          <w:rFonts w:ascii="仿宋" w:hAnsi="仿宋" w:eastAsia="仿宋" w:cs="仿宋"/>
          <w:sz w:val="24"/>
        </w:rPr>
      </w:pPr>
    </w:p>
    <w:p w14:paraId="017BC536">
      <w:pPr>
        <w:spacing w:line="360" w:lineRule="auto"/>
        <w:rPr>
          <w:rFonts w:ascii="仿宋" w:hAnsi="仿宋" w:eastAsia="仿宋" w:cs="仿宋"/>
          <w:sz w:val="24"/>
        </w:rPr>
      </w:pPr>
      <w:r>
        <w:rPr>
          <w:rFonts w:hint="eastAsia" w:ascii="仿宋" w:hAnsi="仿宋" w:eastAsia="仿宋" w:cs="仿宋"/>
          <w:sz w:val="24"/>
        </w:rPr>
        <w:t>第一条 甲方委托乙方进行服务的内容如下：</w:t>
      </w:r>
    </w:p>
    <w:p w14:paraId="56E7FCE5">
      <w:pPr>
        <w:spacing w:line="360" w:lineRule="auto"/>
        <w:rPr>
          <w:rFonts w:ascii="仿宋" w:hAnsi="仿宋" w:eastAsia="仿宋" w:cs="仿宋"/>
          <w:sz w:val="24"/>
        </w:rPr>
      </w:pPr>
      <w:r>
        <w:rPr>
          <w:rFonts w:hint="eastAsia" w:ascii="仿宋" w:hAnsi="仿宋" w:eastAsia="仿宋" w:cs="仿宋"/>
          <w:sz w:val="24"/>
        </w:rPr>
        <w:t>1.1服务的目标：[  ]。</w:t>
      </w:r>
    </w:p>
    <w:p w14:paraId="67433654">
      <w:pPr>
        <w:spacing w:line="360" w:lineRule="auto"/>
        <w:rPr>
          <w:rFonts w:ascii="仿宋" w:hAnsi="仿宋" w:eastAsia="仿宋" w:cs="仿宋"/>
          <w:sz w:val="24"/>
        </w:rPr>
      </w:pPr>
      <w:r>
        <w:rPr>
          <w:rFonts w:hint="eastAsia" w:ascii="仿宋" w:hAnsi="仿宋" w:eastAsia="仿宋" w:cs="仿宋"/>
          <w:sz w:val="24"/>
        </w:rPr>
        <w:t>1.2服务的内容：[  ]。</w:t>
      </w:r>
    </w:p>
    <w:p w14:paraId="130F2A5A">
      <w:pPr>
        <w:spacing w:line="360" w:lineRule="auto"/>
        <w:rPr>
          <w:rFonts w:ascii="仿宋" w:hAnsi="仿宋" w:eastAsia="仿宋" w:cs="仿宋"/>
          <w:sz w:val="24"/>
        </w:rPr>
      </w:pPr>
      <w:r>
        <w:rPr>
          <w:rFonts w:hint="eastAsia" w:ascii="仿宋" w:hAnsi="仿宋" w:eastAsia="仿宋" w:cs="仿宋"/>
          <w:sz w:val="24"/>
        </w:rPr>
        <w:t>1.3服务的方式：[  ]。</w:t>
      </w:r>
    </w:p>
    <w:p w14:paraId="1F581BD4">
      <w:pPr>
        <w:spacing w:line="360" w:lineRule="auto"/>
        <w:rPr>
          <w:rFonts w:ascii="仿宋" w:hAnsi="仿宋" w:eastAsia="仿宋" w:cs="仿宋"/>
          <w:sz w:val="24"/>
        </w:rPr>
      </w:pPr>
      <w:r>
        <w:rPr>
          <w:rFonts w:hint="eastAsia" w:ascii="仿宋" w:hAnsi="仿宋" w:eastAsia="仿宋" w:cs="仿宋"/>
          <w:sz w:val="24"/>
        </w:rPr>
        <w:t>第二条 乙方应按下列要求完成服务工作：</w:t>
      </w:r>
    </w:p>
    <w:p w14:paraId="7FFC94F7">
      <w:pPr>
        <w:spacing w:line="360" w:lineRule="auto"/>
        <w:rPr>
          <w:rFonts w:ascii="仿宋" w:hAnsi="仿宋" w:eastAsia="仿宋" w:cs="仿宋"/>
          <w:sz w:val="24"/>
        </w:rPr>
      </w:pPr>
      <w:r>
        <w:rPr>
          <w:rFonts w:hint="eastAsia" w:ascii="仿宋" w:hAnsi="仿宋" w:eastAsia="仿宋" w:cs="仿宋"/>
          <w:sz w:val="24"/>
        </w:rPr>
        <w:t>2.1服务地点：[  ]。</w:t>
      </w:r>
    </w:p>
    <w:p w14:paraId="307ACF5A">
      <w:pPr>
        <w:spacing w:line="360" w:lineRule="auto"/>
        <w:rPr>
          <w:rFonts w:ascii="仿宋" w:hAnsi="仿宋" w:eastAsia="仿宋" w:cs="仿宋"/>
          <w:sz w:val="24"/>
        </w:rPr>
      </w:pPr>
      <w:r>
        <w:rPr>
          <w:rFonts w:hint="eastAsia" w:ascii="仿宋" w:hAnsi="仿宋" w:eastAsia="仿宋" w:cs="仿宋"/>
          <w:sz w:val="24"/>
        </w:rPr>
        <w:t>2.2服务期限：[  ]。</w:t>
      </w:r>
    </w:p>
    <w:p w14:paraId="04EB80FC">
      <w:pPr>
        <w:spacing w:line="360" w:lineRule="auto"/>
        <w:rPr>
          <w:rFonts w:ascii="仿宋" w:hAnsi="仿宋" w:eastAsia="仿宋" w:cs="仿宋"/>
          <w:sz w:val="24"/>
        </w:rPr>
      </w:pPr>
      <w:r>
        <w:rPr>
          <w:rFonts w:hint="eastAsia" w:ascii="仿宋" w:hAnsi="仿宋" w:eastAsia="仿宋" w:cs="仿宋"/>
          <w:sz w:val="24"/>
        </w:rPr>
        <w:t>2.3服务进度：[  ]。</w:t>
      </w:r>
    </w:p>
    <w:p w14:paraId="6B53D8CF">
      <w:pPr>
        <w:spacing w:line="360" w:lineRule="auto"/>
        <w:rPr>
          <w:rFonts w:ascii="仿宋" w:hAnsi="仿宋" w:eastAsia="仿宋" w:cs="仿宋"/>
          <w:sz w:val="24"/>
        </w:rPr>
      </w:pPr>
      <w:r>
        <w:rPr>
          <w:rFonts w:hint="eastAsia" w:ascii="仿宋" w:hAnsi="仿宋" w:eastAsia="仿宋" w:cs="仿宋"/>
          <w:sz w:val="24"/>
        </w:rPr>
        <w:t>2.4服务质量要求：[  ]。</w:t>
      </w:r>
    </w:p>
    <w:p w14:paraId="748BB5D7">
      <w:pPr>
        <w:spacing w:line="360" w:lineRule="auto"/>
        <w:rPr>
          <w:rFonts w:ascii="仿宋" w:hAnsi="仿宋" w:eastAsia="仿宋" w:cs="仿宋"/>
          <w:sz w:val="24"/>
        </w:rPr>
      </w:pPr>
      <w:r>
        <w:rPr>
          <w:rFonts w:hint="eastAsia" w:ascii="仿宋" w:hAnsi="仿宋" w:eastAsia="仿宋" w:cs="仿宋"/>
          <w:sz w:val="24"/>
        </w:rPr>
        <w:t>第三条 为保证乙方有效进行服务工作，甲方应当向乙方提供必要的资料及工作条件。</w:t>
      </w:r>
    </w:p>
    <w:p w14:paraId="469D54C7">
      <w:pPr>
        <w:spacing w:line="360" w:lineRule="auto"/>
        <w:rPr>
          <w:rFonts w:ascii="仿宋" w:hAnsi="仿宋" w:eastAsia="仿宋" w:cs="仿宋"/>
          <w:sz w:val="24"/>
        </w:rPr>
      </w:pPr>
      <w:r>
        <w:rPr>
          <w:rFonts w:hint="eastAsia" w:ascii="仿宋" w:hAnsi="仿宋" w:eastAsia="仿宋" w:cs="仿宋"/>
          <w:sz w:val="24"/>
        </w:rPr>
        <w:t>第四条 甲方向乙方支付服务报酬及支付方式为：</w:t>
      </w:r>
    </w:p>
    <w:p w14:paraId="18971238">
      <w:pPr>
        <w:spacing w:line="360" w:lineRule="auto"/>
        <w:rPr>
          <w:rFonts w:ascii="仿宋" w:hAnsi="仿宋" w:eastAsia="仿宋" w:cs="仿宋"/>
          <w:sz w:val="24"/>
        </w:rPr>
      </w:pPr>
      <w:r>
        <w:rPr>
          <w:rFonts w:hint="eastAsia" w:ascii="仿宋" w:hAnsi="仿宋" w:eastAsia="仿宋" w:cs="仿宋"/>
          <w:sz w:val="24"/>
        </w:rPr>
        <w:t>4.1本合同费用总额（含税价）：人民币大写[  ]元，小写[  ]元；其中价款为人民币大写[  ]元，小写[  ]元。</w:t>
      </w:r>
    </w:p>
    <w:p w14:paraId="74F888A0">
      <w:pPr>
        <w:spacing w:line="360" w:lineRule="auto"/>
        <w:rPr>
          <w:rFonts w:ascii="仿宋" w:hAnsi="仿宋" w:eastAsia="仿宋" w:cs="仿宋"/>
          <w:sz w:val="24"/>
        </w:rPr>
      </w:pPr>
      <w:r>
        <w:rPr>
          <w:rFonts w:hint="eastAsia" w:ascii="仿宋" w:hAnsi="仿宋" w:eastAsia="仿宋" w:cs="仿宋"/>
          <w:sz w:val="24"/>
        </w:rPr>
        <w:t>本合同费用总额已包括甲方就乙方履行本合同所应支付的全部报酬、所需的全部费用及税费（包括但不限于营业税、增值税等）。</w:t>
      </w:r>
    </w:p>
    <w:p w14:paraId="71841925">
      <w:pPr>
        <w:spacing w:line="360" w:lineRule="auto"/>
        <w:rPr>
          <w:rFonts w:ascii="仿宋" w:hAnsi="仿宋" w:eastAsia="仿宋" w:cs="仿宋"/>
          <w:sz w:val="24"/>
        </w:rPr>
      </w:pPr>
      <w:r>
        <w:rPr>
          <w:rFonts w:hint="eastAsia" w:ascii="仿宋" w:hAnsi="仿宋" w:eastAsia="仿宋" w:cs="仿宋"/>
          <w:sz w:val="24"/>
        </w:rPr>
        <w:t>除另有约定外，甲方无需就本合同项下委托事项向乙方支付上述费用之外的任何其他费用及税费（包括但不限于营业税、增值税等）。</w:t>
      </w:r>
    </w:p>
    <w:p w14:paraId="3E641AA0">
      <w:pPr>
        <w:spacing w:line="360" w:lineRule="auto"/>
        <w:rPr>
          <w:rFonts w:ascii="仿宋" w:hAnsi="仿宋" w:eastAsia="仿宋" w:cs="仿宋"/>
          <w:sz w:val="24"/>
        </w:rPr>
      </w:pPr>
      <w:r>
        <w:rPr>
          <w:rFonts w:hint="eastAsia" w:ascii="仿宋" w:hAnsi="仿宋" w:eastAsia="仿宋" w:cs="仿宋"/>
          <w:sz w:val="24"/>
        </w:rPr>
        <w:t>4.2甲方凭乙方开具的相应金额的、符合国家规定的[增值税专用/增值税普通/营业税/其他]发票支付本合同费用总额，并按以下第[  ]种方式向乙方付款：</w:t>
      </w:r>
    </w:p>
    <w:p w14:paraId="038A8532">
      <w:pPr>
        <w:spacing w:line="360" w:lineRule="auto"/>
        <w:rPr>
          <w:rFonts w:ascii="仿宋" w:hAnsi="仿宋" w:eastAsia="仿宋" w:cs="仿宋"/>
          <w:sz w:val="24"/>
        </w:rPr>
      </w:pPr>
      <w:r>
        <w:rPr>
          <w:rFonts w:hint="eastAsia" w:ascii="仿宋" w:hAnsi="仿宋" w:eastAsia="仿宋" w:cs="仿宋"/>
          <w:sz w:val="24"/>
        </w:rPr>
        <w:t>（1）一次性支付</w:t>
      </w:r>
    </w:p>
    <w:p w14:paraId="75974CC5">
      <w:pPr>
        <w:spacing w:line="360" w:lineRule="auto"/>
        <w:rPr>
          <w:rFonts w:ascii="仿宋" w:hAnsi="仿宋" w:eastAsia="仿宋" w:cs="仿宋"/>
          <w:sz w:val="24"/>
        </w:rPr>
      </w:pPr>
      <w:r>
        <w:rPr>
          <w:rFonts w:hint="eastAsia" w:ascii="仿宋" w:hAnsi="仿宋" w:eastAsia="仿宋" w:cs="仿宋"/>
          <w:sz w:val="24"/>
        </w:rPr>
        <w:t>乙方完成服务工作并经甲方验收合格后[  ]个工作日内，甲方向乙方支付本合同费用总额。</w:t>
      </w:r>
    </w:p>
    <w:p w14:paraId="4CE6CA24">
      <w:pPr>
        <w:spacing w:line="360" w:lineRule="auto"/>
        <w:rPr>
          <w:rFonts w:ascii="仿宋" w:hAnsi="仿宋" w:eastAsia="仿宋" w:cs="仿宋"/>
          <w:sz w:val="24"/>
        </w:rPr>
      </w:pPr>
      <w:r>
        <w:rPr>
          <w:rFonts w:hint="eastAsia" w:ascii="仿宋" w:hAnsi="仿宋" w:eastAsia="仿宋" w:cs="仿宋"/>
          <w:sz w:val="24"/>
        </w:rPr>
        <w:t>（2）分期支付</w:t>
      </w:r>
    </w:p>
    <w:p w14:paraId="3461484E">
      <w:pPr>
        <w:spacing w:line="360" w:lineRule="auto"/>
        <w:rPr>
          <w:rFonts w:ascii="仿宋" w:hAnsi="仿宋" w:eastAsia="仿宋" w:cs="仿宋"/>
          <w:sz w:val="24"/>
        </w:rPr>
      </w:pPr>
      <w:r>
        <w:rPr>
          <w:rFonts w:hint="eastAsia" w:ascii="仿宋" w:hAnsi="仿宋" w:eastAsia="仿宋" w:cs="仿宋"/>
          <w:sz w:val="24"/>
        </w:rPr>
        <w:t>甲方分期向乙方支付本合同费用总额：[  ]。</w:t>
      </w:r>
    </w:p>
    <w:p w14:paraId="0DFA2578">
      <w:pPr>
        <w:spacing w:line="360" w:lineRule="auto"/>
        <w:rPr>
          <w:rFonts w:ascii="仿宋" w:hAnsi="仿宋" w:eastAsia="仿宋" w:cs="仿宋"/>
          <w:sz w:val="24"/>
        </w:rPr>
      </w:pPr>
      <w:r>
        <w:rPr>
          <w:rFonts w:hint="eastAsia" w:ascii="仿宋" w:hAnsi="仿宋" w:eastAsia="仿宋" w:cs="仿宋"/>
          <w:sz w:val="24"/>
        </w:rPr>
        <w:t>4.3因乙方未按甲方要求出具相应票据导致的延迟付款，甲方不承担违约责任。</w:t>
      </w:r>
    </w:p>
    <w:p w14:paraId="64759466">
      <w:pPr>
        <w:spacing w:line="360" w:lineRule="auto"/>
        <w:rPr>
          <w:rFonts w:ascii="仿宋" w:hAnsi="仿宋" w:eastAsia="仿宋" w:cs="仿宋"/>
          <w:sz w:val="24"/>
        </w:rPr>
      </w:pPr>
      <w:r>
        <w:rPr>
          <w:rFonts w:hint="eastAsia" w:ascii="仿宋" w:hAnsi="仿宋" w:eastAsia="仿宋" w:cs="仿宋"/>
          <w:sz w:val="24"/>
        </w:rPr>
        <w:t>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p>
    <w:p w14:paraId="5EFC01E5">
      <w:pPr>
        <w:spacing w:line="360" w:lineRule="auto"/>
        <w:rPr>
          <w:rFonts w:ascii="仿宋" w:hAnsi="仿宋" w:eastAsia="仿宋" w:cs="仿宋"/>
          <w:sz w:val="24"/>
        </w:rPr>
      </w:pPr>
      <w:r>
        <w:rPr>
          <w:rFonts w:hint="eastAsia" w:ascii="仿宋" w:hAnsi="仿宋" w:eastAsia="仿宋" w:cs="仿宋"/>
          <w:sz w:val="24"/>
        </w:rPr>
        <w:t>4.5本合同费用总额的所有支付由甲方以[   ]（银行转账或承兑期不超过六个月的汇票、电汇、支票等方式）付至乙方。甲乙双方银行账户信息和纳税人信息：</w:t>
      </w:r>
    </w:p>
    <w:p w14:paraId="28047C93">
      <w:pPr>
        <w:widowControl/>
        <w:autoSpaceDE w:val="0"/>
        <w:autoSpaceDN w:val="0"/>
        <w:spacing w:line="360" w:lineRule="auto"/>
        <w:textAlignment w:val="bottom"/>
        <w:rPr>
          <w:rFonts w:ascii="仿宋" w:hAnsi="仿宋" w:eastAsia="仿宋" w:cs="仿宋"/>
          <w:sz w:val="24"/>
        </w:rPr>
      </w:pPr>
      <w:r>
        <w:rPr>
          <w:rFonts w:hint="eastAsia" w:ascii="仿宋" w:hAnsi="仿宋" w:eastAsia="仿宋" w:cs="仿宋"/>
          <w:sz w:val="24"/>
        </w:rPr>
        <w:t>甲方信息如下：                          乙方信息如下：</w:t>
      </w:r>
    </w:p>
    <w:p w14:paraId="3C22E3F4">
      <w:pPr>
        <w:widowControl/>
        <w:autoSpaceDE w:val="0"/>
        <w:autoSpaceDN w:val="0"/>
        <w:spacing w:line="360" w:lineRule="auto"/>
        <w:textAlignment w:val="bottom"/>
        <w:rPr>
          <w:rFonts w:ascii="仿宋" w:hAnsi="仿宋" w:eastAsia="仿宋" w:cs="仿宋"/>
          <w:sz w:val="24"/>
        </w:rPr>
      </w:pPr>
      <w:r>
        <w:rPr>
          <w:rFonts w:hint="eastAsia" w:ascii="仿宋" w:hAnsi="仿宋" w:eastAsia="仿宋" w:cs="仿宋"/>
          <w:sz w:val="24"/>
        </w:rPr>
        <w:t xml:space="preserve">开户行：[  ]                            开户行：[  ]      </w:t>
      </w:r>
    </w:p>
    <w:p w14:paraId="126C9E0F">
      <w:pPr>
        <w:widowControl/>
        <w:autoSpaceDE w:val="0"/>
        <w:autoSpaceDN w:val="0"/>
        <w:spacing w:line="360" w:lineRule="auto"/>
        <w:textAlignment w:val="bottom"/>
        <w:rPr>
          <w:rFonts w:ascii="仿宋" w:hAnsi="仿宋" w:eastAsia="仿宋" w:cs="仿宋"/>
          <w:sz w:val="24"/>
        </w:rPr>
      </w:pPr>
      <w:r>
        <w:rPr>
          <w:rFonts w:hint="eastAsia" w:ascii="仿宋" w:hAnsi="仿宋" w:eastAsia="仿宋" w:cs="仿宋"/>
          <w:sz w:val="24"/>
        </w:rPr>
        <w:t>户名：[  ]                              户名：[  ]</w:t>
      </w:r>
    </w:p>
    <w:p w14:paraId="1162DB9A">
      <w:pPr>
        <w:widowControl/>
        <w:autoSpaceDE w:val="0"/>
        <w:autoSpaceDN w:val="0"/>
        <w:spacing w:line="360" w:lineRule="auto"/>
        <w:textAlignment w:val="bottom"/>
        <w:rPr>
          <w:rFonts w:ascii="仿宋" w:hAnsi="仿宋" w:eastAsia="仿宋" w:cs="仿宋"/>
          <w:sz w:val="24"/>
        </w:rPr>
      </w:pPr>
      <w:r>
        <w:rPr>
          <w:rFonts w:hint="eastAsia" w:ascii="仿宋" w:hAnsi="仿宋" w:eastAsia="仿宋" w:cs="仿宋"/>
          <w:sz w:val="24"/>
        </w:rPr>
        <w:t>账号：[  ]                              账号：[  ]</w:t>
      </w:r>
    </w:p>
    <w:p w14:paraId="1ED7CA22">
      <w:pPr>
        <w:spacing w:line="360" w:lineRule="auto"/>
        <w:rPr>
          <w:rFonts w:ascii="仿宋" w:hAnsi="仿宋" w:eastAsia="仿宋" w:cs="仿宋"/>
          <w:sz w:val="24"/>
        </w:rPr>
      </w:pPr>
      <w:r>
        <w:rPr>
          <w:rFonts w:hint="eastAsia" w:ascii="仿宋" w:hAnsi="仿宋" w:eastAsia="仿宋" w:cs="仿宋"/>
          <w:sz w:val="24"/>
        </w:rPr>
        <w:t>行号：[  ]                              行号：[  ]</w:t>
      </w:r>
    </w:p>
    <w:p w14:paraId="3E2F1278">
      <w:pPr>
        <w:spacing w:line="360" w:lineRule="auto"/>
        <w:rPr>
          <w:rFonts w:ascii="仿宋" w:hAnsi="仿宋" w:eastAsia="仿宋" w:cs="仿宋"/>
          <w:sz w:val="24"/>
        </w:rPr>
      </w:pPr>
      <w:r>
        <w:rPr>
          <w:rFonts w:hint="eastAsia" w:ascii="仿宋" w:hAnsi="仿宋" w:eastAsia="仿宋" w:cs="仿宋"/>
          <w:sz w:val="24"/>
        </w:rPr>
        <w:t>4.6若根据本合同约定乙方应当支付违约金和/或承担赔偿责任，则甲方有权从上述任何一笔付款中直接扣除相应金额。</w:t>
      </w:r>
    </w:p>
    <w:p w14:paraId="08C10A4C">
      <w:pPr>
        <w:spacing w:line="360" w:lineRule="auto"/>
        <w:rPr>
          <w:rFonts w:ascii="仿宋" w:hAnsi="仿宋" w:eastAsia="仿宋" w:cs="仿宋"/>
          <w:sz w:val="24"/>
        </w:rPr>
      </w:pPr>
      <w:r>
        <w:rPr>
          <w:rFonts w:hint="eastAsia" w:ascii="仿宋" w:hAnsi="仿宋" w:eastAsia="仿宋" w:cs="仿宋"/>
          <w:sz w:val="24"/>
        </w:rPr>
        <w:t>第五条 保密</w:t>
      </w:r>
    </w:p>
    <w:p w14:paraId="064392E3">
      <w:pPr>
        <w:spacing w:line="360" w:lineRule="auto"/>
        <w:rPr>
          <w:rFonts w:ascii="仿宋" w:hAnsi="仿宋" w:eastAsia="仿宋" w:cs="仿宋"/>
          <w:sz w:val="24"/>
        </w:rPr>
      </w:pPr>
      <w:r>
        <w:rPr>
          <w:rFonts w:hint="eastAsia" w:ascii="仿宋" w:hAnsi="仿宋" w:eastAsia="仿宋" w:cs="仿宋"/>
          <w:sz w:val="24"/>
        </w:rPr>
        <w:t>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24F5B90C">
      <w:pPr>
        <w:spacing w:line="360" w:lineRule="auto"/>
        <w:rPr>
          <w:rFonts w:ascii="仿宋" w:hAnsi="仿宋" w:eastAsia="仿宋" w:cs="仿宋"/>
          <w:sz w:val="24"/>
        </w:rPr>
      </w:pPr>
      <w:r>
        <w:rPr>
          <w:rFonts w:hint="eastAsia" w:ascii="仿宋" w:hAnsi="仿宋" w:eastAsia="仿宋" w:cs="仿宋"/>
          <w:sz w:val="24"/>
        </w:rPr>
        <w:t>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7C481976">
      <w:pPr>
        <w:spacing w:line="360" w:lineRule="auto"/>
        <w:rPr>
          <w:rFonts w:ascii="仿宋" w:hAnsi="仿宋" w:eastAsia="仿宋" w:cs="仿宋"/>
          <w:sz w:val="24"/>
        </w:rPr>
      </w:pPr>
      <w:r>
        <w:rPr>
          <w:rFonts w:hint="eastAsia" w:ascii="仿宋" w:hAnsi="仿宋" w:eastAsia="仿宋" w:cs="仿宋"/>
          <w:sz w:val="24"/>
        </w:rPr>
        <w:t>5.3 当出现下述情况时，本条对保密资料的限制不适用。当保密资料：</w:t>
      </w:r>
    </w:p>
    <w:p w14:paraId="4E4C3881">
      <w:pPr>
        <w:spacing w:line="360" w:lineRule="auto"/>
        <w:rPr>
          <w:rFonts w:ascii="仿宋" w:hAnsi="仿宋" w:eastAsia="仿宋" w:cs="仿宋"/>
          <w:sz w:val="24"/>
        </w:rPr>
      </w:pPr>
      <w:r>
        <w:rPr>
          <w:rFonts w:hint="eastAsia" w:ascii="仿宋" w:hAnsi="仿宋" w:eastAsia="仿宋" w:cs="仿宋"/>
          <w:sz w:val="24"/>
        </w:rPr>
        <w:t>（1）并非乙方的过错而已经进入公有领域的。</w:t>
      </w:r>
    </w:p>
    <w:p w14:paraId="5387CD58">
      <w:pPr>
        <w:spacing w:line="360" w:lineRule="auto"/>
        <w:rPr>
          <w:rFonts w:ascii="仿宋" w:hAnsi="仿宋" w:eastAsia="仿宋" w:cs="仿宋"/>
          <w:sz w:val="24"/>
        </w:rPr>
      </w:pPr>
      <w:r>
        <w:rPr>
          <w:rFonts w:hint="eastAsia" w:ascii="仿宋" w:hAnsi="仿宋" w:eastAsia="仿宋" w:cs="仿宋"/>
          <w:sz w:val="24"/>
        </w:rPr>
        <w:t>（2）已通过该方的有关记录证明是由乙方独立开发的。</w:t>
      </w:r>
    </w:p>
    <w:p w14:paraId="2256DA2C">
      <w:pPr>
        <w:spacing w:line="360" w:lineRule="auto"/>
        <w:rPr>
          <w:rFonts w:ascii="仿宋" w:hAnsi="仿宋" w:eastAsia="仿宋" w:cs="仿宋"/>
          <w:sz w:val="24"/>
        </w:rPr>
      </w:pPr>
      <w:r>
        <w:rPr>
          <w:rFonts w:hint="eastAsia" w:ascii="仿宋" w:hAnsi="仿宋" w:eastAsia="仿宋" w:cs="仿宋"/>
          <w:sz w:val="24"/>
        </w:rPr>
        <w:t>（3）由乙方从没有违反对甲方的保密义务的人合法取得的。</w:t>
      </w:r>
    </w:p>
    <w:p w14:paraId="332D2500">
      <w:pPr>
        <w:spacing w:line="360" w:lineRule="auto"/>
        <w:rPr>
          <w:rFonts w:ascii="仿宋" w:hAnsi="仿宋" w:eastAsia="仿宋" w:cs="仿宋"/>
          <w:sz w:val="24"/>
        </w:rPr>
      </w:pPr>
      <w:r>
        <w:rPr>
          <w:rFonts w:hint="eastAsia" w:ascii="仿宋" w:hAnsi="仿宋" w:eastAsia="仿宋" w:cs="仿宋"/>
          <w:sz w:val="24"/>
        </w:rPr>
        <w:t>（4）法律要求乙方披露的，但乙方应在合理的时间提前通知甲方，使其得以采取其认为必要的保护措施。</w:t>
      </w:r>
    </w:p>
    <w:p w14:paraId="136131D3">
      <w:pPr>
        <w:spacing w:line="360" w:lineRule="auto"/>
        <w:rPr>
          <w:rFonts w:ascii="仿宋" w:hAnsi="仿宋" w:eastAsia="仿宋" w:cs="仿宋"/>
          <w:sz w:val="24"/>
        </w:rPr>
      </w:pPr>
      <w:r>
        <w:rPr>
          <w:rFonts w:hint="eastAsia" w:ascii="仿宋" w:hAnsi="仿宋" w:eastAsia="仿宋" w:cs="仿宋"/>
          <w:sz w:val="24"/>
        </w:rPr>
        <w:t>5.4如乙方违反本合同关于保密的约定，乙方应赔偿因此而给甲方造成的一切损失。</w:t>
      </w:r>
    </w:p>
    <w:p w14:paraId="3D739719">
      <w:pPr>
        <w:spacing w:line="360" w:lineRule="auto"/>
        <w:rPr>
          <w:rFonts w:ascii="仿宋" w:hAnsi="仿宋" w:eastAsia="仿宋" w:cs="仿宋"/>
          <w:sz w:val="24"/>
        </w:rPr>
      </w:pPr>
      <w:r>
        <w:rPr>
          <w:rFonts w:hint="eastAsia" w:ascii="仿宋" w:hAnsi="仿宋" w:eastAsia="仿宋" w:cs="仿宋"/>
          <w:sz w:val="24"/>
        </w:rPr>
        <w:t>5.5本保密条款自保密资料提供或披露之日起至本合同终止或解除后[  ]年内持续有效。</w:t>
      </w:r>
    </w:p>
    <w:p w14:paraId="31B1C5E4">
      <w:pPr>
        <w:spacing w:line="360" w:lineRule="auto"/>
        <w:rPr>
          <w:rFonts w:ascii="仿宋" w:hAnsi="仿宋" w:eastAsia="仿宋" w:cs="仿宋"/>
          <w:sz w:val="24"/>
        </w:rPr>
      </w:pPr>
      <w:r>
        <w:rPr>
          <w:rFonts w:hint="eastAsia" w:ascii="仿宋" w:hAnsi="仿宋" w:eastAsia="仿宋" w:cs="仿宋"/>
          <w:sz w:val="24"/>
        </w:rPr>
        <w:t>第六条 未经甲方事先书面同意，乙方不得将本合同项目部分或全部服务工作转由第三人承担。</w:t>
      </w:r>
    </w:p>
    <w:p w14:paraId="011BF2A5">
      <w:pPr>
        <w:spacing w:line="360" w:lineRule="auto"/>
        <w:rPr>
          <w:rFonts w:ascii="仿宋" w:hAnsi="仿宋" w:eastAsia="仿宋" w:cs="仿宋"/>
          <w:sz w:val="24"/>
        </w:rPr>
      </w:pPr>
      <w:r>
        <w:rPr>
          <w:rFonts w:hint="eastAsia" w:ascii="仿宋" w:hAnsi="仿宋" w:eastAsia="仿宋" w:cs="仿宋"/>
          <w:sz w:val="24"/>
        </w:rPr>
        <w:t>第七条  侵权处理</w:t>
      </w:r>
    </w:p>
    <w:p w14:paraId="169D27D1">
      <w:pPr>
        <w:spacing w:line="360" w:lineRule="auto"/>
        <w:rPr>
          <w:rFonts w:ascii="仿宋" w:hAnsi="仿宋" w:eastAsia="仿宋" w:cs="仿宋"/>
          <w:sz w:val="24"/>
        </w:rPr>
      </w:pPr>
      <w:r>
        <w:rPr>
          <w:rFonts w:hint="eastAsia" w:ascii="仿宋" w:hAnsi="仿宋" w:eastAsia="仿宋" w:cs="仿宋"/>
          <w:sz w:val="24"/>
        </w:rPr>
        <w:t>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2B77A036">
      <w:pPr>
        <w:spacing w:line="360" w:lineRule="auto"/>
        <w:rPr>
          <w:rFonts w:ascii="仿宋" w:hAnsi="仿宋" w:eastAsia="仿宋" w:cs="仿宋"/>
          <w:sz w:val="24"/>
        </w:rPr>
      </w:pPr>
      <w:r>
        <w:rPr>
          <w:rFonts w:hint="eastAsia" w:ascii="仿宋" w:hAnsi="仿宋" w:eastAsia="仿宋" w:cs="仿宋"/>
          <w:sz w:val="24"/>
        </w:rPr>
        <w:t>7.2如果在侵权指控的审理过程中有关机关禁止甲方继续使用服务成果的部分或全部，乙方应当采取以下措施之一：</w:t>
      </w:r>
    </w:p>
    <w:p w14:paraId="685C695E">
      <w:pPr>
        <w:spacing w:line="360" w:lineRule="auto"/>
        <w:rPr>
          <w:rFonts w:ascii="仿宋" w:hAnsi="仿宋" w:eastAsia="仿宋" w:cs="仿宋"/>
          <w:sz w:val="24"/>
        </w:rPr>
      </w:pPr>
      <w:r>
        <w:rPr>
          <w:rFonts w:hint="eastAsia" w:ascii="仿宋" w:hAnsi="仿宋" w:eastAsia="仿宋" w:cs="仿宋"/>
          <w:sz w:val="24"/>
        </w:rPr>
        <w:t>（1）使甲方重新免费获得使用上述服务成果的权利。</w:t>
      </w:r>
    </w:p>
    <w:p w14:paraId="688478A2">
      <w:pPr>
        <w:spacing w:line="360" w:lineRule="auto"/>
        <w:rPr>
          <w:rFonts w:ascii="仿宋" w:hAnsi="仿宋" w:eastAsia="仿宋" w:cs="仿宋"/>
          <w:sz w:val="24"/>
        </w:rPr>
      </w:pPr>
      <w:r>
        <w:rPr>
          <w:rFonts w:hint="eastAsia" w:ascii="仿宋" w:hAnsi="仿宋" w:eastAsia="仿宋" w:cs="仿宋"/>
          <w:sz w:val="24"/>
        </w:rPr>
        <w:t>（2）免费更换或改造上述服务成果，使甲方不受上述禁令限制继续使用服务成果。</w:t>
      </w:r>
    </w:p>
    <w:p w14:paraId="12AA3CB1">
      <w:pPr>
        <w:spacing w:line="360" w:lineRule="auto"/>
        <w:rPr>
          <w:rFonts w:ascii="仿宋" w:hAnsi="仿宋" w:eastAsia="仿宋" w:cs="仿宋"/>
          <w:sz w:val="24"/>
        </w:rPr>
      </w:pPr>
      <w:r>
        <w:rPr>
          <w:rFonts w:hint="eastAsia" w:ascii="仿宋" w:hAnsi="仿宋" w:eastAsia="仿宋" w:cs="仿宋"/>
          <w:sz w:val="24"/>
        </w:rPr>
        <w:t>（3）其它使甲方对服务成果拥有合法使用权，或其它弥补甲方受损利益、实现合同目的的合理方式。</w:t>
      </w:r>
    </w:p>
    <w:p w14:paraId="4F93124C">
      <w:pPr>
        <w:spacing w:line="360" w:lineRule="auto"/>
        <w:rPr>
          <w:rFonts w:ascii="仿宋" w:hAnsi="仿宋" w:eastAsia="仿宋" w:cs="仿宋"/>
          <w:sz w:val="24"/>
        </w:rPr>
      </w:pPr>
      <w:r>
        <w:rPr>
          <w:rFonts w:hint="eastAsia" w:ascii="仿宋" w:hAnsi="仿宋" w:eastAsia="仿宋" w:cs="仿宋"/>
          <w:sz w:val="24"/>
        </w:rPr>
        <w:t>乙方采取上述措施不能免除乙方就甲方因此遭受的损失进行赔偿的义务。</w:t>
      </w:r>
    </w:p>
    <w:p w14:paraId="520964EE">
      <w:pPr>
        <w:spacing w:line="360" w:lineRule="auto"/>
        <w:rPr>
          <w:rFonts w:ascii="仿宋" w:hAnsi="仿宋" w:eastAsia="仿宋" w:cs="仿宋"/>
          <w:sz w:val="24"/>
        </w:rPr>
      </w:pPr>
      <w:r>
        <w:rPr>
          <w:rFonts w:hint="eastAsia" w:ascii="仿宋" w:hAnsi="仿宋" w:eastAsia="仿宋" w:cs="仿宋"/>
          <w:sz w:val="24"/>
        </w:rPr>
        <w:t>第八条 项目服务成果的权利归属</w:t>
      </w:r>
    </w:p>
    <w:p w14:paraId="4BF5DCBF">
      <w:pPr>
        <w:spacing w:line="360" w:lineRule="auto"/>
        <w:rPr>
          <w:rFonts w:ascii="仿宋" w:hAnsi="仿宋" w:eastAsia="仿宋" w:cs="仿宋"/>
          <w:sz w:val="24"/>
        </w:rPr>
      </w:pPr>
      <w:r>
        <w:rPr>
          <w:rFonts w:hint="eastAsia" w:ascii="仿宋" w:hAnsi="仿宋" w:eastAsia="仿宋" w:cs="仿宋"/>
          <w:sz w:val="24"/>
        </w:rPr>
        <w:t>8.1双方确定，乙方所完成的服务成果的所有权利，包括但不限于知识产权、专利申请权和所有权，归甲方所有。</w:t>
      </w:r>
    </w:p>
    <w:p w14:paraId="48FF39CB">
      <w:pPr>
        <w:spacing w:line="360" w:lineRule="auto"/>
        <w:rPr>
          <w:rFonts w:ascii="仿宋" w:hAnsi="仿宋" w:eastAsia="仿宋" w:cs="仿宋"/>
          <w:sz w:val="24"/>
        </w:rPr>
      </w:pPr>
      <w:r>
        <w:rPr>
          <w:rFonts w:hint="eastAsia" w:ascii="仿宋" w:hAnsi="仿宋" w:eastAsia="仿宋" w:cs="仿宋"/>
          <w:sz w:val="24"/>
        </w:rPr>
        <w:t>8.2双方确定，甲方利用乙方的服务成果所完成的新的成果的所有权利，包括但不限于知识产权、专利申请权和所有权，归甲方所有。</w:t>
      </w:r>
    </w:p>
    <w:p w14:paraId="1E31169A">
      <w:pPr>
        <w:spacing w:line="360" w:lineRule="auto"/>
        <w:rPr>
          <w:rFonts w:ascii="仿宋" w:hAnsi="仿宋" w:eastAsia="仿宋" w:cs="仿宋"/>
          <w:sz w:val="24"/>
        </w:rPr>
      </w:pPr>
      <w:r>
        <w:rPr>
          <w:rFonts w:hint="eastAsia" w:ascii="仿宋" w:hAnsi="仿宋" w:eastAsia="仿宋" w:cs="仿宋"/>
          <w:sz w:val="24"/>
        </w:rPr>
        <w:t>8.3乙方未经甲方书面同意，不得使用本合同中涉及的内容与信息做任何形式的推广。</w:t>
      </w:r>
    </w:p>
    <w:p w14:paraId="3E3DB719">
      <w:pPr>
        <w:spacing w:line="360" w:lineRule="auto"/>
        <w:rPr>
          <w:rFonts w:ascii="仿宋" w:hAnsi="仿宋" w:eastAsia="仿宋" w:cs="仿宋"/>
          <w:sz w:val="24"/>
        </w:rPr>
      </w:pPr>
      <w:r>
        <w:rPr>
          <w:rFonts w:hint="eastAsia" w:ascii="仿宋" w:hAnsi="仿宋" w:eastAsia="仿宋" w:cs="仿宋"/>
          <w:sz w:val="24"/>
        </w:rPr>
        <w:t>第九条 违约责任</w:t>
      </w:r>
    </w:p>
    <w:p w14:paraId="1CEF96C3">
      <w:pPr>
        <w:spacing w:line="360" w:lineRule="auto"/>
        <w:rPr>
          <w:rFonts w:ascii="仿宋" w:hAnsi="仿宋" w:eastAsia="仿宋" w:cs="仿宋"/>
          <w:sz w:val="24"/>
        </w:rPr>
      </w:pPr>
      <w:r>
        <w:rPr>
          <w:rFonts w:hint="eastAsia" w:ascii="仿宋" w:hAnsi="仿宋" w:eastAsia="仿宋" w:cs="仿宋"/>
          <w:sz w:val="24"/>
        </w:rPr>
        <w:t>9.1双方确定，任何一方未履行或未完全履行本合同项下的义务，均构成违约。违约方应赔偿因违约给对方造成的一切损失。</w:t>
      </w:r>
    </w:p>
    <w:p w14:paraId="4525146C">
      <w:pPr>
        <w:spacing w:line="360" w:lineRule="auto"/>
        <w:rPr>
          <w:rFonts w:ascii="仿宋" w:hAnsi="仿宋" w:eastAsia="仿宋" w:cs="仿宋"/>
          <w:sz w:val="24"/>
        </w:rPr>
      </w:pPr>
      <w:r>
        <w:rPr>
          <w:rFonts w:hint="eastAsia" w:ascii="仿宋" w:hAnsi="仿宋" w:eastAsia="仿宋" w:cs="仿宋"/>
          <w:sz w:val="24"/>
        </w:rPr>
        <w:t>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p>
    <w:p w14:paraId="4F7BCA36">
      <w:pPr>
        <w:spacing w:line="360" w:lineRule="auto"/>
        <w:rPr>
          <w:rFonts w:ascii="仿宋" w:hAnsi="仿宋" w:eastAsia="仿宋" w:cs="仿宋"/>
          <w:sz w:val="24"/>
        </w:rPr>
      </w:pPr>
      <w:r>
        <w:rPr>
          <w:rFonts w:hint="eastAsia" w:ascii="仿宋" w:hAnsi="仿宋" w:eastAsia="仿宋" w:cs="仿宋"/>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p>
    <w:p w14:paraId="13A211F7">
      <w:pPr>
        <w:spacing w:line="360" w:lineRule="auto"/>
        <w:rPr>
          <w:rFonts w:ascii="仿宋" w:hAnsi="仿宋" w:eastAsia="仿宋" w:cs="仿宋"/>
          <w:sz w:val="24"/>
        </w:rPr>
      </w:pPr>
      <w:r>
        <w:rPr>
          <w:rFonts w:hint="eastAsia" w:ascii="仿宋" w:hAnsi="仿宋" w:eastAsia="仿宋" w:cs="仿宋"/>
          <w:sz w:val="24"/>
        </w:rPr>
        <w:t>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p>
    <w:p w14:paraId="75C1B726">
      <w:pPr>
        <w:spacing w:line="360" w:lineRule="auto"/>
        <w:rPr>
          <w:rFonts w:ascii="仿宋" w:hAnsi="仿宋" w:eastAsia="仿宋" w:cs="仿宋"/>
          <w:sz w:val="24"/>
        </w:rPr>
      </w:pPr>
      <w:r>
        <w:rPr>
          <w:rFonts w:hint="eastAsia" w:ascii="仿宋" w:hAnsi="仿宋" w:eastAsia="仿宋" w:cs="仿宋"/>
          <w:sz w:val="24"/>
        </w:rPr>
        <w:t>第十一条 双方确定，出现下列情形之一，致使本合同的履行成为不必要或不可能的，可以解除本合同：</w:t>
      </w:r>
    </w:p>
    <w:p w14:paraId="3837936D">
      <w:pPr>
        <w:spacing w:line="360" w:lineRule="auto"/>
        <w:rPr>
          <w:rFonts w:ascii="仿宋" w:hAnsi="仿宋" w:eastAsia="仿宋" w:cs="仿宋"/>
          <w:sz w:val="24"/>
        </w:rPr>
      </w:pPr>
      <w:r>
        <w:rPr>
          <w:rFonts w:hint="eastAsia" w:ascii="仿宋" w:hAnsi="仿宋" w:eastAsia="仿宋" w:cs="仿宋"/>
          <w:sz w:val="24"/>
        </w:rPr>
        <w:t>11.1发生不可抗力。</w:t>
      </w:r>
    </w:p>
    <w:p w14:paraId="235B830F">
      <w:pPr>
        <w:spacing w:line="360" w:lineRule="auto"/>
        <w:rPr>
          <w:rFonts w:ascii="仿宋" w:hAnsi="仿宋" w:eastAsia="仿宋" w:cs="仿宋"/>
          <w:sz w:val="24"/>
        </w:rPr>
      </w:pPr>
      <w:r>
        <w:rPr>
          <w:rFonts w:hint="eastAsia" w:ascii="仿宋" w:hAnsi="仿宋" w:eastAsia="仿宋" w:cs="仿宋"/>
          <w:sz w:val="24"/>
        </w:rPr>
        <w:t>11.2[  ]。</w:t>
      </w:r>
    </w:p>
    <w:p w14:paraId="5D7923E0">
      <w:pPr>
        <w:spacing w:line="360" w:lineRule="auto"/>
        <w:rPr>
          <w:rFonts w:ascii="仿宋" w:hAnsi="仿宋" w:eastAsia="仿宋" w:cs="仿宋"/>
          <w:sz w:val="24"/>
        </w:rPr>
      </w:pPr>
      <w:r>
        <w:rPr>
          <w:rFonts w:hint="eastAsia" w:ascii="仿宋" w:hAnsi="仿宋" w:eastAsia="仿宋" w:cs="仿宋"/>
          <w:sz w:val="24"/>
        </w:rPr>
        <w:t>第十二条 法律适用和争议解决</w:t>
      </w:r>
    </w:p>
    <w:p w14:paraId="2F688FF7">
      <w:pPr>
        <w:spacing w:line="360" w:lineRule="auto"/>
        <w:rPr>
          <w:rFonts w:ascii="仿宋" w:hAnsi="仿宋" w:eastAsia="仿宋" w:cs="仿宋"/>
          <w:sz w:val="24"/>
        </w:rPr>
      </w:pPr>
      <w:r>
        <w:rPr>
          <w:rFonts w:hint="eastAsia" w:ascii="仿宋" w:hAnsi="仿宋" w:eastAsia="仿宋" w:cs="仿宋"/>
          <w:sz w:val="24"/>
        </w:rPr>
        <w:t>12.1本合同适用中华人民共和国法律。</w:t>
      </w:r>
    </w:p>
    <w:p w14:paraId="5CBE4814">
      <w:pPr>
        <w:spacing w:line="360" w:lineRule="auto"/>
        <w:rPr>
          <w:rFonts w:ascii="仿宋" w:hAnsi="仿宋" w:eastAsia="仿宋" w:cs="仿宋"/>
          <w:sz w:val="24"/>
        </w:rPr>
      </w:pPr>
      <w:r>
        <w:rPr>
          <w:rFonts w:hint="eastAsia" w:ascii="仿宋" w:hAnsi="仿宋" w:eastAsia="仿宋" w:cs="仿宋"/>
          <w:sz w:val="24"/>
        </w:rPr>
        <w:t>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p>
    <w:p w14:paraId="1BBDF250">
      <w:pPr>
        <w:spacing w:line="360" w:lineRule="auto"/>
        <w:rPr>
          <w:rFonts w:ascii="仿宋" w:hAnsi="仿宋" w:eastAsia="仿宋" w:cs="仿宋"/>
          <w:sz w:val="24"/>
        </w:rPr>
      </w:pPr>
      <w:r>
        <w:rPr>
          <w:rFonts w:hint="eastAsia" w:ascii="仿宋" w:hAnsi="仿宋" w:eastAsia="仿宋" w:cs="仿宋"/>
          <w:sz w:val="24"/>
        </w:rPr>
        <w:t>第十三条 双方确定，本合同及相关附件中所涉及的有关名词和技术术语，其定义和解释如下：</w:t>
      </w:r>
    </w:p>
    <w:p w14:paraId="5ACC4F6F">
      <w:pPr>
        <w:spacing w:line="360" w:lineRule="auto"/>
        <w:rPr>
          <w:rFonts w:ascii="仿宋" w:hAnsi="仿宋" w:eastAsia="仿宋" w:cs="仿宋"/>
          <w:sz w:val="24"/>
        </w:rPr>
      </w:pPr>
      <w:r>
        <w:rPr>
          <w:rFonts w:hint="eastAsia" w:ascii="仿宋" w:hAnsi="仿宋" w:eastAsia="仿宋" w:cs="仿宋"/>
          <w:sz w:val="24"/>
        </w:rPr>
        <w:t xml:space="preserve">13.1“不可抗力”：地震、台风、水灾、火灾、战争以及其它本合同各方不能预见，并且对其发生和后果不能防止或不能避免且不可克服的客观情况。 </w:t>
      </w:r>
    </w:p>
    <w:p w14:paraId="7C895198">
      <w:pPr>
        <w:spacing w:line="360" w:lineRule="auto"/>
        <w:rPr>
          <w:rFonts w:ascii="仿宋" w:hAnsi="仿宋" w:eastAsia="仿宋" w:cs="仿宋"/>
          <w:sz w:val="24"/>
        </w:rPr>
      </w:pPr>
      <w:r>
        <w:rPr>
          <w:rFonts w:hint="eastAsia" w:ascii="仿宋" w:hAnsi="仿宋" w:eastAsia="仿宋" w:cs="仿宋"/>
          <w:sz w:val="24"/>
        </w:rPr>
        <w:t>13.2[  ]。</w:t>
      </w:r>
    </w:p>
    <w:p w14:paraId="28B73345">
      <w:pPr>
        <w:spacing w:line="360" w:lineRule="auto"/>
        <w:rPr>
          <w:rFonts w:ascii="仿宋" w:hAnsi="仿宋" w:eastAsia="仿宋" w:cs="仿宋"/>
          <w:sz w:val="24"/>
        </w:rPr>
      </w:pPr>
      <w:r>
        <w:rPr>
          <w:rFonts w:hint="eastAsia" w:ascii="仿宋" w:hAnsi="仿宋" w:eastAsia="仿宋" w:cs="仿宋"/>
          <w:sz w:val="24"/>
        </w:rPr>
        <w:t>第十四条  双方约定本合同其他相关事项为：</w:t>
      </w:r>
    </w:p>
    <w:p w14:paraId="42F9180D">
      <w:pPr>
        <w:spacing w:line="360" w:lineRule="auto"/>
        <w:rPr>
          <w:rFonts w:ascii="仿宋" w:hAnsi="仿宋" w:eastAsia="仿宋" w:cs="仿宋"/>
          <w:sz w:val="24"/>
        </w:rPr>
      </w:pPr>
      <w:r>
        <w:rPr>
          <w:rFonts w:hint="eastAsia" w:ascii="仿宋" w:hAnsi="仿宋" w:eastAsia="仿宋" w:cs="仿宋"/>
          <w:sz w:val="24"/>
        </w:rPr>
        <w:t>14.1任何一方未经另一方同意，不得向任何第三方透露本合同的签订及其内容。甲方向其关联公司透露的，不在此限。</w:t>
      </w:r>
    </w:p>
    <w:p w14:paraId="528374F0">
      <w:pPr>
        <w:spacing w:line="360" w:lineRule="auto"/>
        <w:rPr>
          <w:rFonts w:ascii="仿宋" w:hAnsi="仿宋" w:eastAsia="仿宋" w:cs="仿宋"/>
          <w:sz w:val="24"/>
        </w:rPr>
      </w:pPr>
      <w:r>
        <w:rPr>
          <w:rFonts w:hint="eastAsia" w:ascii="仿宋" w:hAnsi="仿宋" w:eastAsia="仿宋" w:cs="仿宋"/>
          <w:sz w:val="24"/>
        </w:rPr>
        <w:t>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p>
    <w:p w14:paraId="408AD0EB">
      <w:pPr>
        <w:spacing w:line="360" w:lineRule="auto"/>
        <w:rPr>
          <w:rFonts w:ascii="仿宋" w:hAnsi="仿宋" w:eastAsia="仿宋" w:cs="仿宋"/>
          <w:sz w:val="24"/>
        </w:rPr>
      </w:pPr>
      <w:r>
        <w:rPr>
          <w:rFonts w:hint="eastAsia" w:ascii="仿宋" w:hAnsi="仿宋" w:eastAsia="仿宋" w:cs="仿宋"/>
          <w:sz w:val="24"/>
        </w:rPr>
        <w:t>14.3本合同替代此前双方所有关于本合同事项的口头或书面的纪要、备忘录、合同和协议。</w:t>
      </w:r>
    </w:p>
    <w:p w14:paraId="4C3F28B9">
      <w:pPr>
        <w:spacing w:line="360" w:lineRule="auto"/>
        <w:rPr>
          <w:rFonts w:ascii="仿宋" w:hAnsi="仿宋" w:eastAsia="仿宋" w:cs="仿宋"/>
          <w:sz w:val="24"/>
        </w:rPr>
      </w:pPr>
      <w:r>
        <w:rPr>
          <w:rFonts w:hint="eastAsia" w:ascii="仿宋" w:hAnsi="仿宋" w:eastAsia="仿宋" w:cs="仿宋"/>
          <w:sz w:val="24"/>
        </w:rPr>
        <w:t>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1484158D">
      <w:pPr>
        <w:spacing w:line="360" w:lineRule="auto"/>
        <w:rPr>
          <w:rFonts w:ascii="仿宋" w:hAnsi="仿宋" w:eastAsia="仿宋" w:cs="仿宋"/>
          <w:sz w:val="24"/>
        </w:rPr>
      </w:pPr>
      <w:r>
        <w:rPr>
          <w:rFonts w:hint="eastAsia" w:ascii="仿宋" w:hAnsi="仿宋" w:eastAsia="仿宋" w:cs="仿宋"/>
          <w:sz w:val="24"/>
        </w:rPr>
        <w:t>第十五条 本合同自双方法定代表人或授权代表签字并加盖单位公章或合同专用章之日起生效。本合同一式[  ]份，甲方执[  ]份，乙方执[  ]份，具有同等法律效力。</w:t>
      </w:r>
    </w:p>
    <w:p w14:paraId="525BF016">
      <w:pPr>
        <w:spacing w:line="360" w:lineRule="auto"/>
        <w:rPr>
          <w:rFonts w:ascii="仿宋" w:hAnsi="仿宋" w:eastAsia="仿宋" w:cs="仿宋"/>
          <w:sz w:val="24"/>
        </w:rPr>
      </w:pPr>
      <w:r>
        <w:rPr>
          <w:rFonts w:hint="eastAsia" w:ascii="仿宋" w:hAnsi="仿宋" w:eastAsia="仿宋" w:cs="仿宋"/>
          <w:sz w:val="24"/>
        </w:rPr>
        <w:t>第十六条 附件为本合同不可分割的部分。若附件与合同正文有任何冲突，以合同正文为准。</w:t>
      </w:r>
    </w:p>
    <w:p w14:paraId="3085B7C9">
      <w:pPr>
        <w:spacing w:line="360" w:lineRule="auto"/>
        <w:rPr>
          <w:rFonts w:ascii="仿宋" w:hAnsi="仿宋" w:eastAsia="仿宋" w:cs="仿宋"/>
          <w:sz w:val="24"/>
        </w:rPr>
      </w:pPr>
      <w:r>
        <w:rPr>
          <w:rFonts w:hint="eastAsia" w:ascii="仿宋" w:hAnsi="仿宋" w:eastAsia="仿宋" w:cs="仿宋"/>
          <w:sz w:val="24"/>
        </w:rPr>
        <w:t>补充附页</w:t>
      </w:r>
    </w:p>
    <w:p w14:paraId="64D9FC61">
      <w:pPr>
        <w:spacing w:line="360" w:lineRule="auto"/>
        <w:rPr>
          <w:rFonts w:ascii="仿宋" w:hAnsi="仿宋" w:eastAsia="仿宋" w:cs="仿宋"/>
          <w:sz w:val="24"/>
        </w:rPr>
      </w:pPr>
      <w:r>
        <w:rPr>
          <w:rFonts w:hint="eastAsia" w:ascii="仿宋" w:hAnsi="仿宋" w:eastAsia="仿宋" w:cs="仿宋"/>
          <w:sz w:val="24"/>
        </w:rPr>
        <w:t>经友好协商，对本合同条款补充、修改如下，本补充附页为合同正文的一部分，与合同正文冲突时，以本补充附页为准：</w:t>
      </w:r>
    </w:p>
    <w:p w14:paraId="2D10E0AF">
      <w:pPr>
        <w:spacing w:line="360" w:lineRule="auto"/>
        <w:rPr>
          <w:rFonts w:ascii="仿宋" w:hAnsi="仿宋" w:eastAsia="仿宋" w:cs="仿宋"/>
          <w:sz w:val="24"/>
        </w:rPr>
      </w:pPr>
    </w:p>
    <w:p w14:paraId="12432BFB">
      <w:pPr>
        <w:spacing w:line="360" w:lineRule="auto"/>
        <w:rPr>
          <w:rFonts w:ascii="仿宋" w:hAnsi="仿宋" w:eastAsia="仿宋" w:cs="仿宋"/>
          <w:sz w:val="24"/>
        </w:rPr>
      </w:pPr>
      <w:r>
        <w:rPr>
          <w:rFonts w:hint="eastAsia" w:ascii="仿宋" w:hAnsi="仿宋" w:eastAsia="仿宋" w:cs="仿宋"/>
          <w:sz w:val="24"/>
        </w:rPr>
        <w:t xml:space="preserve">甲方：[  ]         </w:t>
      </w:r>
    </w:p>
    <w:p w14:paraId="4F3F02A8">
      <w:pPr>
        <w:spacing w:line="360" w:lineRule="auto"/>
        <w:rPr>
          <w:rFonts w:ascii="仿宋" w:hAnsi="仿宋" w:eastAsia="仿宋" w:cs="仿宋"/>
          <w:sz w:val="24"/>
        </w:rPr>
      </w:pPr>
      <w:r>
        <w:rPr>
          <w:rFonts w:hint="eastAsia" w:ascii="仿宋" w:hAnsi="仿宋" w:eastAsia="仿宋" w:cs="仿宋"/>
          <w:sz w:val="24"/>
        </w:rPr>
        <w:t>法定代表人/负责人</w:t>
      </w:r>
    </w:p>
    <w:p w14:paraId="7847DBE4">
      <w:pPr>
        <w:spacing w:line="360" w:lineRule="auto"/>
        <w:rPr>
          <w:rFonts w:ascii="仿宋" w:hAnsi="仿宋" w:eastAsia="仿宋" w:cs="仿宋"/>
          <w:sz w:val="24"/>
        </w:rPr>
      </w:pPr>
      <w:r>
        <w:rPr>
          <w:rFonts w:hint="eastAsia" w:ascii="仿宋" w:hAnsi="仿宋" w:eastAsia="仿宋" w:cs="仿宋"/>
          <w:sz w:val="24"/>
        </w:rPr>
        <w:t xml:space="preserve">或授权代表：（签字）         </w:t>
      </w:r>
    </w:p>
    <w:p w14:paraId="6D3B390C">
      <w:pPr>
        <w:spacing w:line="360" w:lineRule="auto"/>
        <w:rPr>
          <w:rFonts w:ascii="仿宋" w:hAnsi="仿宋" w:eastAsia="仿宋" w:cs="仿宋"/>
          <w:sz w:val="24"/>
        </w:rPr>
      </w:pPr>
      <w:r>
        <w:rPr>
          <w:rFonts w:hint="eastAsia" w:ascii="仿宋" w:hAnsi="仿宋" w:eastAsia="仿宋" w:cs="仿宋"/>
          <w:sz w:val="24"/>
        </w:rPr>
        <w:t>[  ]年[  ]月[  ]日</w:t>
      </w:r>
    </w:p>
    <w:p w14:paraId="13D4AB25">
      <w:pPr>
        <w:spacing w:line="360" w:lineRule="auto"/>
        <w:rPr>
          <w:rFonts w:ascii="仿宋" w:hAnsi="仿宋" w:eastAsia="仿宋" w:cs="仿宋"/>
          <w:sz w:val="24"/>
        </w:rPr>
      </w:pPr>
    </w:p>
    <w:p w14:paraId="5D041A8F">
      <w:pPr>
        <w:spacing w:line="360" w:lineRule="auto"/>
        <w:rPr>
          <w:rFonts w:ascii="仿宋" w:hAnsi="仿宋" w:eastAsia="仿宋" w:cs="仿宋"/>
          <w:sz w:val="24"/>
        </w:rPr>
      </w:pPr>
      <w:r>
        <w:rPr>
          <w:rFonts w:hint="eastAsia" w:ascii="仿宋" w:hAnsi="仿宋" w:eastAsia="仿宋" w:cs="仿宋"/>
          <w:sz w:val="24"/>
        </w:rPr>
        <w:t xml:space="preserve">乙方：[  ] </w:t>
      </w:r>
    </w:p>
    <w:p w14:paraId="418CB7DC">
      <w:pPr>
        <w:spacing w:line="360" w:lineRule="auto"/>
        <w:rPr>
          <w:rFonts w:ascii="仿宋" w:hAnsi="仿宋" w:eastAsia="仿宋" w:cs="仿宋"/>
          <w:sz w:val="24"/>
        </w:rPr>
      </w:pPr>
      <w:r>
        <w:rPr>
          <w:rFonts w:hint="eastAsia" w:ascii="仿宋" w:hAnsi="仿宋" w:eastAsia="仿宋" w:cs="仿宋"/>
          <w:sz w:val="24"/>
        </w:rPr>
        <w:t xml:space="preserve">法定代表人/负责人                     </w:t>
      </w:r>
    </w:p>
    <w:p w14:paraId="3CC41A56">
      <w:pPr>
        <w:spacing w:line="360" w:lineRule="auto"/>
        <w:rPr>
          <w:rFonts w:ascii="仿宋" w:hAnsi="仿宋" w:eastAsia="仿宋" w:cs="仿宋"/>
          <w:sz w:val="24"/>
        </w:rPr>
      </w:pPr>
      <w:r>
        <w:rPr>
          <w:rFonts w:hint="eastAsia" w:ascii="仿宋" w:hAnsi="仿宋" w:eastAsia="仿宋" w:cs="仿宋"/>
          <w:sz w:val="24"/>
        </w:rPr>
        <w:t>或授权代表：（签字）</w:t>
      </w:r>
    </w:p>
    <w:p w14:paraId="3D15D589">
      <w:pPr>
        <w:spacing w:line="360" w:lineRule="auto"/>
        <w:rPr>
          <w:rFonts w:ascii="仿宋" w:hAnsi="仿宋" w:eastAsia="仿宋" w:cs="仿宋"/>
          <w:sz w:val="24"/>
        </w:rPr>
      </w:pPr>
      <w:r>
        <w:rPr>
          <w:rFonts w:hint="eastAsia" w:ascii="仿宋" w:hAnsi="仿宋" w:eastAsia="仿宋" w:cs="仿宋"/>
          <w:sz w:val="24"/>
        </w:rPr>
        <w:t>[  ]年[  ]月[  ]日</w:t>
      </w:r>
    </w:p>
    <w:p w14:paraId="7A187909">
      <w:pPr>
        <w:spacing w:line="360" w:lineRule="auto"/>
        <w:rPr>
          <w:rFonts w:ascii="仿宋" w:hAnsi="仿宋" w:eastAsia="仿宋" w:cs="仿宋"/>
          <w:sz w:val="24"/>
        </w:rPr>
      </w:pPr>
    </w:p>
    <w:p w14:paraId="3BA0F23A">
      <w:pPr>
        <w:pStyle w:val="3"/>
        <w:keepNext w:val="0"/>
        <w:pageBreakBefore/>
        <w:numPr>
          <w:ilvl w:val="0"/>
          <w:numId w:val="0"/>
        </w:numPr>
        <w:spacing w:after="312"/>
        <w:ind w:firstLine="883" w:firstLineChars="200"/>
        <w:textAlignment w:val="baseline"/>
        <w:rPr>
          <w:rFonts w:ascii="仿宋" w:hAnsi="仿宋" w:eastAsia="仿宋" w:cs="仿宋"/>
          <w:b/>
          <w:bCs/>
          <w:sz w:val="44"/>
          <w:szCs w:val="44"/>
        </w:rPr>
      </w:pPr>
      <w:bookmarkStart w:id="79" w:name="_Toc25683"/>
      <w:r>
        <w:rPr>
          <w:rFonts w:hint="eastAsia" w:ascii="仿宋" w:hAnsi="仿宋" w:eastAsia="仿宋" w:cs="仿宋"/>
          <w:b/>
          <w:bCs/>
          <w:sz w:val="44"/>
          <w:szCs w:val="44"/>
        </w:rPr>
        <w:t>第四章 项目需求</w:t>
      </w:r>
      <w:bookmarkEnd w:id="58"/>
      <w:bookmarkEnd w:id="59"/>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E7933EB">
      <w:pPr>
        <w:pStyle w:val="30"/>
        <w:numPr>
          <w:ilvl w:val="0"/>
          <w:numId w:val="4"/>
        </w:numPr>
        <w:wordWrap w:val="0"/>
        <w:spacing w:after="0" w:line="560" w:lineRule="exact"/>
        <w:ind w:left="-199" w:leftChars="-95" w:firstLine="0"/>
        <w:rPr>
          <w:rFonts w:ascii="Times New Roman" w:hAnsi="Times New Roman" w:eastAsia="仿宋"/>
          <w:lang w:val="zh-CN"/>
        </w:rPr>
      </w:pPr>
      <w:bookmarkStart w:id="80" w:name="_Toc23308"/>
      <w:bookmarkStart w:id="81" w:name="_Toc21448"/>
      <w:bookmarkStart w:id="82" w:name="_Toc20222"/>
      <w:bookmarkStart w:id="83" w:name="_Toc15806"/>
      <w:bookmarkStart w:id="84" w:name="_Toc29781"/>
      <w:bookmarkStart w:id="85" w:name="_Toc4121"/>
      <w:bookmarkStart w:id="86" w:name="_Toc6599"/>
      <w:bookmarkStart w:id="87" w:name="_Toc8217"/>
      <w:bookmarkStart w:id="88" w:name="_Toc10141"/>
      <w:bookmarkStart w:id="89" w:name="_Toc31247"/>
      <w:bookmarkStart w:id="90" w:name="_Toc20907"/>
      <w:bookmarkStart w:id="91" w:name="_Toc16326"/>
      <w:bookmarkStart w:id="92" w:name="_Toc17095"/>
      <w:bookmarkStart w:id="93" w:name="_Toc20735"/>
      <w:bookmarkStart w:id="94" w:name="_Toc19017"/>
      <w:bookmarkStart w:id="95" w:name="_Toc7112"/>
      <w:bookmarkStart w:id="96" w:name="_Toc17145"/>
      <w:bookmarkStart w:id="97" w:name="_Toc26584"/>
      <w:r>
        <w:rPr>
          <w:rFonts w:ascii="Times New Roman" w:hAnsi="Times New Roman" w:eastAsia="仿宋"/>
          <w:lang w:val="zh-CN"/>
        </w:rPr>
        <w:t>项目</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ascii="Times New Roman" w:hAnsi="Times New Roman" w:eastAsia="仿宋"/>
        </w:rPr>
        <w:t>概况</w:t>
      </w:r>
    </w:p>
    <w:p w14:paraId="79E436A0">
      <w:pPr>
        <w:wordWrap w:val="0"/>
        <w:spacing w:after="0" w:line="560" w:lineRule="exact"/>
        <w:ind w:firstLine="480" w:firstLineChars="200"/>
        <w:rPr>
          <w:rFonts w:ascii="Times New Roman" w:hAnsi="Times New Roman" w:eastAsia="仿宋" w:cs="Times New Roman"/>
          <w:sz w:val="24"/>
          <w:szCs w:val="24"/>
          <w:lang w:val="zh-CN"/>
        </w:rPr>
      </w:pPr>
      <w:r>
        <w:rPr>
          <w:rFonts w:ascii="Times New Roman" w:hAnsi="Times New Roman" w:eastAsia="仿宋" w:cs="Times New Roman"/>
          <w:sz w:val="24"/>
          <w:szCs w:val="24"/>
          <w:lang w:val="zh-CN"/>
        </w:rPr>
        <w:t>为全面落实</w:t>
      </w:r>
      <w:r>
        <w:rPr>
          <w:rFonts w:hint="eastAsia" w:ascii="Times New Roman" w:hAnsi="Times New Roman" w:eastAsia="仿宋" w:cs="Times New Roman"/>
          <w:sz w:val="24"/>
          <w:szCs w:val="24"/>
        </w:rPr>
        <w:t>厅党组</w:t>
      </w:r>
      <w:r>
        <w:rPr>
          <w:rFonts w:ascii="Times New Roman" w:hAnsi="Times New Roman" w:eastAsia="仿宋" w:cs="Times New Roman"/>
          <w:sz w:val="24"/>
          <w:szCs w:val="24"/>
          <w:lang w:val="zh-CN"/>
        </w:rPr>
        <w:t>网络安全工作责任制要求，切实提升厅机关及直属单位网络与数据安全保障能力，依据《中华人民共和国网络安全法》《中华人民共和国数据安全法》等法律法规，</w:t>
      </w:r>
      <w:r>
        <w:rPr>
          <w:rFonts w:hint="eastAsia" w:ascii="Times New Roman" w:hAnsi="Times New Roman" w:eastAsia="仿宋" w:cs="Times New Roman"/>
          <w:sz w:val="24"/>
          <w:szCs w:val="24"/>
        </w:rPr>
        <w:t>进一步提升全厅信息系统、计算机网络与数据安全运行保障能力</w:t>
      </w:r>
      <w:r>
        <w:rPr>
          <w:rFonts w:ascii="Times New Roman" w:hAnsi="Times New Roman" w:eastAsia="仿宋" w:cs="Times New Roman"/>
          <w:sz w:val="24"/>
          <w:szCs w:val="24"/>
          <w:lang w:val="zh-CN"/>
        </w:rPr>
        <w:t>。本项目将围绕全厅在建在用政务信息系统及相关</w:t>
      </w:r>
      <w:r>
        <w:rPr>
          <w:rFonts w:hint="eastAsia" w:ascii="Times New Roman" w:hAnsi="Times New Roman" w:eastAsia="仿宋" w:cs="Times New Roman"/>
          <w:sz w:val="24"/>
          <w:szCs w:val="24"/>
        </w:rPr>
        <w:t>联网计算机及网络设施</w:t>
      </w:r>
      <w:r>
        <w:rPr>
          <w:rFonts w:ascii="Times New Roman" w:hAnsi="Times New Roman" w:eastAsia="仿宋" w:cs="Times New Roman"/>
          <w:sz w:val="24"/>
          <w:szCs w:val="24"/>
          <w:lang w:val="zh-CN"/>
        </w:rPr>
        <w:t>资产，通过开展全维度安全检测、风险评估、</w:t>
      </w:r>
      <w:r>
        <w:rPr>
          <w:rFonts w:hint="eastAsia" w:ascii="Times New Roman" w:hAnsi="Times New Roman" w:eastAsia="仿宋" w:cs="Times New Roman"/>
          <w:sz w:val="24"/>
          <w:szCs w:val="24"/>
        </w:rPr>
        <w:t>攻防演练、</w:t>
      </w:r>
      <w:r>
        <w:rPr>
          <w:rFonts w:ascii="Times New Roman" w:hAnsi="Times New Roman" w:eastAsia="仿宋" w:cs="Times New Roman"/>
          <w:sz w:val="24"/>
          <w:szCs w:val="24"/>
          <w:lang w:val="zh-CN"/>
        </w:rPr>
        <w:t>应急处置、制度建设</w:t>
      </w:r>
      <w:r>
        <w:rPr>
          <w:rFonts w:hint="eastAsia" w:ascii="Times New Roman" w:hAnsi="Times New Roman" w:eastAsia="仿宋" w:cs="Times New Roman"/>
          <w:sz w:val="24"/>
          <w:szCs w:val="24"/>
          <w:lang w:val="zh-CN"/>
        </w:rPr>
        <w:t>、</w:t>
      </w:r>
      <w:r>
        <w:rPr>
          <w:rFonts w:hint="eastAsia" w:ascii="Times New Roman" w:hAnsi="Times New Roman" w:eastAsia="仿宋" w:cs="Times New Roman"/>
          <w:sz w:val="24"/>
          <w:szCs w:val="24"/>
        </w:rPr>
        <w:t>安全运维支撑和数据安全检查等</w:t>
      </w:r>
      <w:r>
        <w:rPr>
          <w:rFonts w:ascii="Times New Roman" w:hAnsi="Times New Roman" w:eastAsia="仿宋" w:cs="Times New Roman"/>
          <w:sz w:val="24"/>
          <w:szCs w:val="24"/>
          <w:lang w:val="zh-CN"/>
        </w:rPr>
        <w:t>系列工作，健全安全管理体系，强化技术防护能力，提升全员安全意识，完善应急响应机制，全面夯实全厅网络与数据安全保障基础，确保政务信息系统</w:t>
      </w:r>
      <w:r>
        <w:rPr>
          <w:rFonts w:hint="eastAsia" w:ascii="Times New Roman" w:hAnsi="Times New Roman" w:eastAsia="仿宋" w:cs="Times New Roman"/>
          <w:sz w:val="24"/>
          <w:szCs w:val="24"/>
        </w:rPr>
        <w:t>和厅计算机网络</w:t>
      </w:r>
      <w:r>
        <w:rPr>
          <w:rFonts w:ascii="Times New Roman" w:hAnsi="Times New Roman" w:eastAsia="仿宋" w:cs="Times New Roman"/>
          <w:sz w:val="24"/>
          <w:szCs w:val="24"/>
          <w:lang w:val="zh-CN"/>
        </w:rPr>
        <w:t>安全稳定运行。</w:t>
      </w:r>
    </w:p>
    <w:p w14:paraId="0B0ADB85">
      <w:pPr>
        <w:pStyle w:val="30"/>
        <w:numPr>
          <w:ilvl w:val="0"/>
          <w:numId w:val="4"/>
        </w:numPr>
        <w:wordWrap w:val="0"/>
        <w:spacing w:after="0" w:line="560" w:lineRule="exact"/>
        <w:ind w:left="-199" w:leftChars="-95" w:firstLine="0"/>
        <w:rPr>
          <w:rFonts w:ascii="Times New Roman" w:hAnsi="Times New Roman" w:eastAsia="仿宋"/>
        </w:rPr>
      </w:pPr>
      <w:r>
        <w:rPr>
          <w:rFonts w:ascii="Times New Roman" w:hAnsi="Times New Roman" w:eastAsia="仿宋"/>
        </w:rPr>
        <w:t>项目内容</w:t>
      </w:r>
    </w:p>
    <w:p w14:paraId="7DA4CD1C">
      <w:pPr>
        <w:pStyle w:val="42"/>
        <w:wordWrap w:val="0"/>
        <w:spacing w:after="0" w:line="560" w:lineRule="exact"/>
        <w:ind w:left="480" w:firstLine="0" w:firstLineChars="0"/>
        <w:rPr>
          <w:rFonts w:ascii="Times New Roman" w:hAnsi="Times New Roman" w:eastAsia="仿宋" w:cs="Times New Roman"/>
          <w:bCs/>
          <w:sz w:val="24"/>
          <w:szCs w:val="24"/>
        </w:rPr>
      </w:pPr>
      <w:r>
        <w:rPr>
          <w:rFonts w:hint="eastAsia" w:ascii="Times New Roman" w:hAnsi="Times New Roman" w:eastAsia="仿宋" w:cs="Times New Roman"/>
          <w:bCs/>
          <w:sz w:val="24"/>
          <w:szCs w:val="24"/>
        </w:rPr>
        <w:t>1、</w:t>
      </w:r>
      <w:r>
        <w:rPr>
          <w:rFonts w:ascii="Times New Roman" w:hAnsi="Times New Roman" w:eastAsia="仿宋" w:cs="Times New Roman"/>
          <w:bCs/>
          <w:sz w:val="24"/>
          <w:szCs w:val="24"/>
        </w:rPr>
        <w:t>服务要求</w:t>
      </w:r>
    </w:p>
    <w:p w14:paraId="33973EB5">
      <w:pPr>
        <w:pStyle w:val="34"/>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1）资产管理：全面开展厅机关及直属单位信息化资产全生命周期核查管理工作。采用内部自查与上门清查相结合、人工统计与技术探测相结合的方式，对全厅所有联网信息化资产开展拉网式、全覆盖核查。核查范围覆盖厅机关及所有直属单位，包含但不限于部署于互联网、政务外网、政务云、阿里云等所有非涉密网络环境下的服务器、终端、网络设备、安全设备、业务系统、网站等全类型信息化资产。建立全厅统一的信息化资产台账，实现资产动态更新管理，并严格按照省委网信办相关工作要求，按时保质完成资产普查、信息动态更新及规范上报工作。</w:t>
      </w:r>
    </w:p>
    <w:p w14:paraId="4DA288AF">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（2）制度规范：落实国家、省有关法律法规</w:t>
      </w:r>
      <w:r>
        <w:rPr>
          <w:rFonts w:hint="eastAsia" w:ascii="Times New Roman" w:hAnsi="Times New Roman" w:eastAsia="仿宋" w:cs="Times New Roman"/>
          <w:bCs/>
          <w:sz w:val="24"/>
          <w:szCs w:val="24"/>
        </w:rPr>
        <w:t>和</w:t>
      </w:r>
      <w:r>
        <w:rPr>
          <w:rFonts w:ascii="Times New Roman" w:hAnsi="Times New Roman" w:eastAsia="仿宋" w:cs="Times New Roman"/>
          <w:bCs/>
          <w:sz w:val="24"/>
          <w:szCs w:val="24"/>
        </w:rPr>
        <w:t>政策标准，协助采购人在全面梳理摸排全</w:t>
      </w:r>
      <w:r>
        <w:rPr>
          <w:rFonts w:hint="eastAsia" w:ascii="Times New Roman" w:hAnsi="Times New Roman" w:eastAsia="仿宋" w:cs="Times New Roman"/>
          <w:bCs/>
          <w:sz w:val="24"/>
          <w:szCs w:val="24"/>
        </w:rPr>
        <w:t>厅</w:t>
      </w:r>
      <w:r>
        <w:rPr>
          <w:rFonts w:ascii="Times New Roman" w:hAnsi="Times New Roman" w:eastAsia="仿宋" w:cs="Times New Roman"/>
          <w:bCs/>
          <w:sz w:val="24"/>
          <w:szCs w:val="24"/>
        </w:rPr>
        <w:t>安全管理资产的基础上，研究制定科学合理、具有可操作性的标准规范与管理制度，主要工作内容包括：</w:t>
      </w:r>
    </w:p>
    <w:p w14:paraId="3543EA72">
      <w:pPr>
        <w:pStyle w:val="34"/>
        <w:numPr>
          <w:ilvl w:val="0"/>
          <w:numId w:val="5"/>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制定安全运营管理制度，细化网络和数据安全事件监测预警、事件处置、服务外包管理等工作要求，明确安全事件分类、预警等级、监测手段、监测要求，细化预警流程及责任分工。</w:t>
      </w:r>
    </w:p>
    <w:p w14:paraId="3BC19796">
      <w:pPr>
        <w:pStyle w:val="34"/>
        <w:numPr>
          <w:ilvl w:val="0"/>
          <w:numId w:val="5"/>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协助</w:t>
      </w:r>
      <w:r>
        <w:rPr>
          <w:rFonts w:hint="eastAsia" w:ascii="Times New Roman" w:hAnsi="Times New Roman" w:eastAsia="仿宋" w:cs="Times New Roman"/>
          <w:bCs/>
          <w:sz w:val="24"/>
          <w:szCs w:val="24"/>
        </w:rPr>
        <w:t>完善</w:t>
      </w:r>
      <w:r>
        <w:rPr>
          <w:rFonts w:ascii="Times New Roman" w:hAnsi="Times New Roman" w:eastAsia="仿宋" w:cs="Times New Roman"/>
          <w:bCs/>
          <w:sz w:val="24"/>
          <w:szCs w:val="24"/>
        </w:rPr>
        <w:t xml:space="preserve">安全事件报告机制，优化完善安全事件处置流程，保障安全事件信息及时准确传递、处置流程标准规范。  </w:t>
      </w:r>
    </w:p>
    <w:p w14:paraId="26D03C11">
      <w:pPr>
        <w:pStyle w:val="34"/>
        <w:numPr>
          <w:ilvl w:val="0"/>
          <w:numId w:val="5"/>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修订完善网络和数据安全应急预案，按事件类别等级细化基础设施、通用技术组件、业务应用系统等应急预案。 </w:t>
      </w:r>
    </w:p>
    <w:p w14:paraId="13D4D4A8">
      <w:pPr>
        <w:pStyle w:val="34"/>
        <w:numPr>
          <w:ilvl w:val="0"/>
          <w:numId w:val="5"/>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制定网络和数据安全风险评估工作指南，定期识别、分析和评估网络和数据资产潜在安全风险，提出应对措施，配合修订完善我厅网络和数据安全工作考核办法。</w:t>
      </w:r>
    </w:p>
    <w:p w14:paraId="54F9EDE8">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（3）漏洞扫描：建立常态化漏洞全生命周期闭环管控机制，</w:t>
      </w:r>
      <w:r>
        <w:rPr>
          <w:rFonts w:ascii="Times New Roman" w:hAnsi="Times New Roman" w:eastAsia="仿宋" w:cs="Times New Roman"/>
          <w:bCs/>
          <w:color w:val="auto"/>
          <w:sz w:val="24"/>
          <w:szCs w:val="24"/>
        </w:rPr>
        <w:t>每</w:t>
      </w:r>
      <w:r>
        <w:rPr>
          <w:rFonts w:hint="eastAsia" w:ascii="Times New Roman" w:hAnsi="Times New Roman" w:eastAsia="仿宋" w:cs="Times New Roman"/>
          <w:bCs/>
          <w:color w:val="auto"/>
          <w:sz w:val="24"/>
          <w:szCs w:val="24"/>
          <w:lang w:val="en-US" w:eastAsia="zh-CN"/>
        </w:rPr>
        <w:t>季度</w:t>
      </w:r>
      <w:r>
        <w:rPr>
          <w:rFonts w:ascii="Times New Roman" w:hAnsi="Times New Roman" w:eastAsia="仿宋" w:cs="Times New Roman"/>
          <w:bCs/>
          <w:color w:val="auto"/>
          <w:sz w:val="24"/>
          <w:szCs w:val="24"/>
        </w:rPr>
        <w:t>开展1次</w:t>
      </w:r>
      <w:r>
        <w:rPr>
          <w:rFonts w:ascii="Times New Roman" w:hAnsi="Times New Roman" w:eastAsia="仿宋" w:cs="Times New Roman"/>
          <w:bCs/>
          <w:sz w:val="24"/>
          <w:szCs w:val="24"/>
        </w:rPr>
        <w:t>全覆盖漏洞扫描，严格执行初测排查、整改指导、复测验证全流程管理。采用搭载国家级权威安全漏洞知识库的专业工具，对全厅管理终端、服务器、网络设备、网站及业务系统等全资产开展扫描，出具规范漏洞扫描报告。对自主发现的漏洞分级登记，推送责任</w:t>
      </w:r>
      <w:r>
        <w:rPr>
          <w:rFonts w:hint="eastAsia" w:ascii="Times New Roman" w:hAnsi="Times New Roman" w:eastAsia="仿宋" w:cs="Times New Roman"/>
          <w:bCs/>
          <w:sz w:val="24"/>
          <w:szCs w:val="24"/>
        </w:rPr>
        <w:t>处室（单位）</w:t>
      </w:r>
      <w:r>
        <w:rPr>
          <w:rFonts w:ascii="Times New Roman" w:hAnsi="Times New Roman" w:eastAsia="仿宋" w:cs="Times New Roman"/>
          <w:bCs/>
          <w:sz w:val="24"/>
          <w:szCs w:val="24"/>
        </w:rPr>
        <w:t>整改并提供技术指导；对各级主管部门通报的漏洞完成验证、督办，按要求反馈处置结果。同步开展同源漏洞排查，防范同类风险重复出现，对整改结果全面复测，确保漏洞管控闭环、风险有效消除。</w:t>
      </w:r>
    </w:p>
    <w:p w14:paraId="76BC8C32">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（4）应急演练：制定贴合业务实际的实战化应急演练方案，选取 1-2 个核心重要信息系统开展1次全流程应急演练，覆盖勒索病毒攻击、数据泄露、网络入侵、拒绝服务攻击等典型高风险场景，规范检测、抑制、根除、恢复、复盘全闭环应急处置环节。演练完成后全面复盘总结，锤炼应急保障队伍实战协同能力，优化应急预案与处置机制，严格落实网络安全责任制要求，出具完整规范的应急演练总结报告。</w:t>
      </w:r>
    </w:p>
    <w:p w14:paraId="7DB8E64C">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5）安全加固和策略分析：制定分级分类安全加固实施方案，全程跟进各系统加固进度，加固后开展完整性、可用性专项测试，确保不影响业务系统安全稳定运行，为每台加固对象编制专属操作指引与加固报告。全面梳理安全设备访问控制规则，制定标准化访问控制表，打通态势感知与防火墙、入侵防御等设备的数据联动通道。常态化开展访问控制策略合规性检查与管理员操作全流程审计，出具专项检查报告。</w:t>
      </w:r>
    </w:p>
    <w:p w14:paraId="47FC4999">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（6）重要时期安全值守：组织制定全周期重保专项工作方案，严格执行 “零报告” 制度，针对护网行动、重大会议活动、法定节假日、国家公祭日等关键时段，组建专项保障团队，派驻资深安全工程师开展7×24小时现场值守。事前完成风险前置排查与专项加固，事中开展全天候安全监测、实时预警与应急处置，事后复盘优化防护策略，全程做好值班值守、事件闭环处置与台账归档，出具重保专项总结报告，确保重保期间网络与业务系统安全稳定运行。</w:t>
      </w:r>
    </w:p>
    <w:p w14:paraId="35587B4E">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7）供应链安全性检测：配置专业技术工具和专业安全检测技术人员，通过构建“技术工具扫描+人工专业复核”的双重保障机制，从配置合规性、漏洞风险、应用安全性等多维度进行严格把关，提前发现并消除系统平台存在的安全隐患。主要工作内容包括：</w:t>
      </w:r>
    </w:p>
    <w:p w14:paraId="721372B2">
      <w:pPr>
        <w:pStyle w:val="34"/>
        <w:numPr>
          <w:ilvl w:val="0"/>
          <w:numId w:val="6"/>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安全基线检查：提取各项配置参数，与预设的安全基线进行自动化比对。重点核查权限设置中是否存在越权配置、账户管理里是否有冗余或弱密码账户、服务与协议配置是否启用了不必要的高危服务或协议。结合工具扫描结果进行人工复核，判断配置是否符合实际业务需求，避免机械套用安全基线导致业务中断。</w:t>
      </w:r>
    </w:p>
    <w:p w14:paraId="5BFA5303">
      <w:pPr>
        <w:pStyle w:val="34"/>
        <w:numPr>
          <w:ilvl w:val="0"/>
          <w:numId w:val="6"/>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漏洞检查与修复：运用专业漏洞检查工具，依据最新漏洞库，对系统平台全方位检查，精准定位操作系统、数据库、中间件、应用程序等层面漏洞，提供修复建议并协助完成修复。</w:t>
      </w:r>
    </w:p>
    <w:p w14:paraId="6AC02423">
      <w:pPr>
        <w:pStyle w:val="34"/>
        <w:numPr>
          <w:ilvl w:val="0"/>
          <w:numId w:val="6"/>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应用技术检测：对上线业务应用深度检测，包括渗透测试，挖掘SQL注入、跨站脚本攻击、敏感信息泄露、身份认证绕过等常见安全漏洞，确保应用安全运行。根据业务流程设计针对性的测试用例，手动验证工具检测出的漏洞，特别是逻辑漏洞和业务相关漏洞。与开发人员紧密协作，共同分析漏洞产生原因，指导开发人员进行代码修复。修复完成后，由开发人员进行单元测试，安全测试人员进行回归测试，确保漏洞修复有效且未引入新的安全问题。</w:t>
      </w:r>
    </w:p>
    <w:p w14:paraId="13C71BCE">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（8）攻防演练：组织开展1次实战化红蓝对抗攻防演练，组建</w:t>
      </w:r>
      <w:r>
        <w:rPr>
          <w:rFonts w:hint="eastAsia" w:ascii="Times New Roman" w:hAnsi="Times New Roman" w:eastAsia="仿宋" w:cs="Times New Roman"/>
          <w:bCs/>
          <w:sz w:val="24"/>
          <w:szCs w:val="24"/>
        </w:rPr>
        <w:t>不少于3家具有网络安全检测能力的单位作为攻击队伍，攻击队伍的检测费用由中标方支付。</w:t>
      </w:r>
      <w:r>
        <w:rPr>
          <w:rFonts w:ascii="Times New Roman" w:hAnsi="Times New Roman" w:eastAsia="仿宋" w:cs="Times New Roman"/>
          <w:bCs/>
          <w:sz w:val="24"/>
          <w:szCs w:val="24"/>
        </w:rPr>
        <w:t>以不影响业务系统正常运行为前提，采用不限攻击路径与手段的黑盒实战模式，对参演目标系统开展全维度模拟攻击。精准挖掘系统、应用及网络设备等层面潜在安全漏洞，深度还原真实攻击手法与路径，形成攻防演练专项报告与整改方案。通过演练复盘总结，针对性推进安全整改，强化跨部门协同联动，全面提升全厅网络安全防护与应急响应实战能力。通过攻防演练，可以深入了解网络攻击方式和相应的网络安全漏洞，进</w:t>
      </w:r>
      <w:r>
        <w:rPr>
          <w:rFonts w:hint="eastAsia" w:ascii="Times New Roman" w:hAnsi="Times New Roman" w:eastAsia="仿宋" w:cs="Times New Roman"/>
          <w:bCs/>
          <w:sz w:val="24"/>
          <w:szCs w:val="24"/>
        </w:rPr>
        <w:t>而有</w:t>
      </w:r>
      <w:r>
        <w:rPr>
          <w:rFonts w:ascii="Times New Roman" w:hAnsi="Times New Roman" w:eastAsia="仿宋" w:cs="Times New Roman"/>
          <w:bCs/>
          <w:sz w:val="24"/>
          <w:szCs w:val="24"/>
        </w:rPr>
        <w:t>针对性地进行安全整改，提升自身的安全防御能力，促进处室（单位）之间的协作。</w:t>
      </w:r>
    </w:p>
    <w:p w14:paraId="0124BD8C">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（9）入侵痕迹检查：每季度开展一次全量入侵痕迹专项检查，覆盖厅机房及政务云所有在用物理服务器与虚拟机。采用多引擎恶意代码检测 + 人工深度溯源模式，精准识别木马、后门等恶意程序，排查异常登录、权限篡改等入侵行为，同步开展主机基础环境安全评估与失陷检测，出具专项检测报告。经运维及开发单位确认后，完成恶意程序清理与风险闭环处置。</w:t>
      </w:r>
    </w:p>
    <w:p w14:paraId="73E83DEE">
      <w:pPr>
        <w:pStyle w:val="34"/>
        <w:wordWrap w:val="0"/>
        <w:spacing w:after="0" w:line="560" w:lineRule="exact"/>
        <w:ind w:firstLine="480"/>
        <w:rPr>
          <w:rFonts w:ascii="Times New Roman" w:hAnsi="Times New Roman" w:eastAsia="仿宋" w:cs="Times New Roman"/>
          <w:bCs/>
          <w:sz w:val="24"/>
          <w:szCs w:val="24"/>
        </w:rPr>
      </w:pPr>
      <w:r>
        <w:rPr>
          <w:rFonts w:hint="eastAsia" w:ascii="Times New Roman" w:hAnsi="Times New Roman" w:eastAsia="仿宋" w:cs="Times New Roman"/>
          <w:bCs/>
          <w:sz w:val="24"/>
          <w:szCs w:val="24"/>
        </w:rPr>
        <w:t>（10）“两高一弱”安全检查：利用专业工具检测采购人系统平台存在的高危漏洞、高危端口、弱口令，开展弱口令专项检查，及时清理问题隐患，协助完成整改加固。每次检查后形成检查报告，梳理隐患并提供整改建议，协助完成整改后，通过二次扫描和人工复核验证效果，形成管理闭环。</w:t>
      </w:r>
    </w:p>
    <w:p w14:paraId="5E03C928">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（11）日常监测预警：根据全厅网络情况，</w:t>
      </w:r>
      <w:r>
        <w:rPr>
          <w:rFonts w:hint="eastAsia" w:ascii="Times New Roman" w:hAnsi="Times New Roman" w:eastAsia="仿宋" w:cs="Times New Roman"/>
          <w:bCs/>
          <w:sz w:val="24"/>
          <w:szCs w:val="24"/>
        </w:rPr>
        <w:t>构建威胁感知、响应、处置全链条纵深防御体系，全面夯实精准化威胁监测、全方位态势感知、体系化联动处置的核心能力。以网络和数据安全态势月报为常态化管控核心抓手，加大重要信息系统安全检查力度，按月度完成全厅安全态势汇总分析、风险隐患研判预警、问题整改跟踪督办，并出具监测报告和威胁分析报告，实现安全风险全周期闭环管理。对全厅互联网、政务外网、政务云全场景业务开展统一监测、统一预警，针对网页篡改、安全漏洞等常规安全事件，执行实时响应与闭环处置。</w:t>
      </w:r>
    </w:p>
    <w:p w14:paraId="3680A4F9">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对相关网络安全主管部门和技术平台发现及通报的各层面的系统漏洞、国内外最新网络安全漏洞进行跟踪，持续开展重要漏洞披露平台的跟踪与分析，在发现高危风险后实时向系统责任处室（单位）发送安全预警通告，并由其运维团队通过每月或实时通过书面报告的形式将监测与处理结果进行报告。</w:t>
      </w:r>
    </w:p>
    <w:p w14:paraId="1551A8C1">
      <w:pPr>
        <w:pStyle w:val="34"/>
        <w:wordWrap w:val="0"/>
        <w:spacing w:after="0" w:line="560" w:lineRule="exact"/>
        <w:ind w:left="210" w:leftChars="100" w:firstLine="480"/>
        <w:rPr>
          <w:rFonts w:ascii="Times New Roman" w:hAnsi="Times New Roman" w:eastAsia="仿宋" w:cs="Times New Roman"/>
          <w:bCs/>
          <w:sz w:val="24"/>
          <w:szCs w:val="24"/>
        </w:rPr>
      </w:pPr>
      <w:r>
        <w:rPr>
          <w:rFonts w:ascii="Times New Roman" w:hAnsi="Times New Roman" w:eastAsia="仿宋" w:cs="Times New Roman"/>
          <w:bCs/>
          <w:sz w:val="24"/>
          <w:szCs w:val="24"/>
        </w:rPr>
        <w:t>监测预警及响应标准：</w:t>
      </w:r>
    </w:p>
    <w:p w14:paraId="51E34D31">
      <w:pPr>
        <w:pStyle w:val="34"/>
        <w:numPr>
          <w:ilvl w:val="0"/>
          <w:numId w:val="7"/>
        </w:numPr>
        <w:wordWrap w:val="0"/>
        <w:spacing w:after="0" w:line="560" w:lineRule="exact"/>
        <w:ind w:left="691" w:leftChars="329"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整体监测要求：对我厅的互联网业务及政务外网业务，提供7*24小时不间断监测服务；</w:t>
      </w:r>
    </w:p>
    <w:p w14:paraId="7AF9631B">
      <w:pPr>
        <w:pStyle w:val="34"/>
        <w:numPr>
          <w:ilvl w:val="0"/>
          <w:numId w:val="7"/>
        </w:numPr>
        <w:wordWrap w:val="0"/>
        <w:spacing w:after="0" w:line="560" w:lineRule="exact"/>
        <w:ind w:left="691" w:leftChars="329"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针对服务范围内资产扫描到的高危可利用漏洞，提供漏洞修复方案和安全设备防护策略。</w:t>
      </w:r>
    </w:p>
    <w:p w14:paraId="49947E2D">
      <w:pPr>
        <w:pStyle w:val="34"/>
        <w:numPr>
          <w:ilvl w:val="0"/>
          <w:numId w:val="7"/>
        </w:numPr>
        <w:wordWrap w:val="0"/>
        <w:spacing w:after="0" w:line="560" w:lineRule="exact"/>
        <w:ind w:left="691" w:leftChars="329"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对我厅所有互联网资产开展24小时的日常监测服务，跟踪和匹配主流漏洞平台发布的漏洞信息，及时进行预警通报。并对突发的安全事件进行响应，开展定位、分析、协调、处理，提交事件调查和处理报告。</w:t>
      </w:r>
    </w:p>
    <w:p w14:paraId="54A8B344">
      <w:pPr>
        <w:pStyle w:val="34"/>
        <w:numPr>
          <w:ilvl w:val="0"/>
          <w:numId w:val="7"/>
        </w:numPr>
        <w:wordWrap w:val="0"/>
        <w:spacing w:after="0" w:line="560" w:lineRule="exact"/>
        <w:ind w:left="691" w:leftChars="329" w:firstLineChars="0"/>
        <w:rPr>
          <w:rFonts w:ascii="Times New Roman" w:hAnsi="Times New Roman" w:eastAsia="仿宋" w:cs="Times New Roman"/>
          <w:sz w:val="24"/>
          <w:szCs w:val="24"/>
        </w:rPr>
      </w:pPr>
      <w:r>
        <w:rPr>
          <w:rFonts w:hint="eastAsia" w:ascii="Times New Roman" w:hAnsi="Times New Roman" w:eastAsia="仿宋" w:cs="Times New Roman"/>
          <w:sz w:val="24"/>
          <w:szCs w:val="24"/>
        </w:rPr>
        <w:t>对政务云上系统</w:t>
      </w:r>
    </w:p>
    <w:p w14:paraId="667C9B5E">
      <w:pPr>
        <w:pStyle w:val="34"/>
        <w:numPr>
          <w:ilvl w:val="0"/>
          <w:numId w:val="8"/>
        </w:numPr>
        <w:wordWrap w:val="0"/>
        <w:spacing w:after="0" w:line="560" w:lineRule="exact"/>
        <w:ind w:left="1050" w:leftChars="500"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通过采集安全设备和监测工具的安全告警和安全日志，结合大数据分析、人工智能等技术手段，提供7*24小时持续不间断的安全威胁分析鉴定。</w:t>
      </w:r>
    </w:p>
    <w:p w14:paraId="0A424B0A">
      <w:pPr>
        <w:pStyle w:val="34"/>
        <w:numPr>
          <w:ilvl w:val="0"/>
          <w:numId w:val="8"/>
        </w:numPr>
        <w:wordWrap w:val="0"/>
        <w:spacing w:after="0" w:line="560" w:lineRule="exact"/>
        <w:ind w:left="1050" w:leftChars="500"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及时发现重大安全漏洞，制定解决方案，通过应急检测服务迅速、精准</w:t>
      </w:r>
      <w:r>
        <w:rPr>
          <w:rFonts w:hint="eastAsia" w:ascii="Times New Roman" w:hAnsi="Times New Roman" w:eastAsia="仿宋" w:cs="Times New Roman"/>
          <w:bCs/>
          <w:sz w:val="24"/>
          <w:szCs w:val="24"/>
        </w:rPr>
        <w:t>地</w:t>
      </w:r>
      <w:r>
        <w:rPr>
          <w:rFonts w:ascii="Times New Roman" w:hAnsi="Times New Roman" w:eastAsia="仿宋" w:cs="Times New Roman"/>
          <w:bCs/>
          <w:sz w:val="24"/>
          <w:szCs w:val="24"/>
        </w:rPr>
        <w:t>梳理出受影响的资产与设备，从而快速进行漏洞修复，缩短漏洞的影响范围。</w:t>
      </w:r>
    </w:p>
    <w:p w14:paraId="20F2CF85">
      <w:pPr>
        <w:pStyle w:val="34"/>
        <w:numPr>
          <w:ilvl w:val="0"/>
          <w:numId w:val="8"/>
        </w:numPr>
        <w:wordWrap w:val="0"/>
        <w:spacing w:after="0" w:line="560" w:lineRule="exact"/>
        <w:ind w:left="1050" w:leftChars="500"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针对我厅突发安全事件，按事件级别及事件影响范围，在规定时间内对突发的重要安全事件进行响应，立即开展定位、分析、协调、处理，提交事件调查和处理报告。</w:t>
      </w:r>
    </w:p>
    <w:p w14:paraId="1BC8A37E">
      <w:pPr>
        <w:pStyle w:val="34"/>
        <w:numPr>
          <w:ilvl w:val="0"/>
          <w:numId w:val="8"/>
        </w:numPr>
        <w:wordWrap w:val="0"/>
        <w:spacing w:after="0" w:line="560" w:lineRule="exact"/>
        <w:ind w:left="1050" w:leftChars="500"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可视化展示服务成果，能通过可视化的数据，清晰</w:t>
      </w:r>
      <w:r>
        <w:rPr>
          <w:rFonts w:hint="eastAsia" w:ascii="Times New Roman" w:hAnsi="Times New Roman" w:eastAsia="仿宋" w:cs="Times New Roman"/>
          <w:bCs/>
          <w:sz w:val="24"/>
          <w:szCs w:val="24"/>
        </w:rPr>
        <w:t>地</w:t>
      </w:r>
      <w:r>
        <w:rPr>
          <w:rFonts w:ascii="Times New Roman" w:hAnsi="Times New Roman" w:eastAsia="仿宋" w:cs="Times New Roman"/>
          <w:bCs/>
          <w:sz w:val="24"/>
          <w:szCs w:val="24"/>
        </w:rPr>
        <w:t>了解系统安全状况。</w:t>
      </w:r>
    </w:p>
    <w:p w14:paraId="690D9D5F">
      <w:pPr>
        <w:pStyle w:val="34"/>
        <w:numPr>
          <w:ilvl w:val="0"/>
          <w:numId w:val="7"/>
        </w:numPr>
        <w:wordWrap w:val="0"/>
        <w:spacing w:after="0" w:line="560" w:lineRule="exact"/>
        <w:ind w:left="691" w:leftChars="329" w:firstLineChars="0"/>
        <w:rPr>
          <w:rFonts w:ascii="Times New Roman" w:hAnsi="Times New Roman" w:eastAsia="仿宋" w:cs="Times New Roman"/>
          <w:sz w:val="24"/>
          <w:szCs w:val="24"/>
        </w:rPr>
      </w:pPr>
      <w:r>
        <w:rPr>
          <w:rFonts w:hint="eastAsia" w:ascii="Times New Roman" w:hAnsi="Times New Roman" w:eastAsia="仿宋" w:cs="Times New Roman"/>
          <w:sz w:val="24"/>
          <w:szCs w:val="24"/>
        </w:rPr>
        <w:t>在宁办公区流量监测</w:t>
      </w:r>
    </w:p>
    <w:p w14:paraId="01062F15">
      <w:pPr>
        <w:pStyle w:val="34"/>
        <w:numPr>
          <w:ilvl w:val="0"/>
          <w:numId w:val="9"/>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为在宁办公区</w:t>
      </w:r>
      <w:r>
        <w:rPr>
          <w:rFonts w:hint="eastAsia" w:ascii="Times New Roman" w:hAnsi="Times New Roman" w:eastAsia="仿宋" w:cs="Times New Roman"/>
          <w:bCs/>
          <w:sz w:val="24"/>
          <w:szCs w:val="24"/>
        </w:rPr>
        <w:t>提供</w:t>
      </w:r>
      <w:r>
        <w:rPr>
          <w:rFonts w:ascii="Times New Roman" w:hAnsi="Times New Roman" w:eastAsia="仿宋" w:cs="Times New Roman"/>
          <w:bCs/>
          <w:sz w:val="24"/>
          <w:szCs w:val="24"/>
        </w:rPr>
        <w:t>专属的网络流量监测</w:t>
      </w:r>
      <w:r>
        <w:rPr>
          <w:rFonts w:hint="eastAsia" w:ascii="Times New Roman" w:hAnsi="Times New Roman" w:eastAsia="仿宋" w:cs="Times New Roman"/>
          <w:bCs/>
          <w:sz w:val="24"/>
          <w:szCs w:val="24"/>
        </w:rPr>
        <w:t>服务</w:t>
      </w:r>
      <w:r>
        <w:rPr>
          <w:rFonts w:ascii="Times New Roman" w:hAnsi="Times New Roman" w:eastAsia="仿宋" w:cs="Times New Roman"/>
          <w:bCs/>
          <w:sz w:val="24"/>
          <w:szCs w:val="24"/>
        </w:rPr>
        <w:t>，提供7*24小时全时段流量监测，实现对厅在宁办公区互联网、政务外网出口及内部各网段流量的全量采集、解析与分析。</w:t>
      </w:r>
    </w:p>
    <w:p w14:paraId="0F50EE19">
      <w:pPr>
        <w:pStyle w:val="34"/>
        <w:numPr>
          <w:ilvl w:val="0"/>
          <w:numId w:val="9"/>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提供终端安全自动化编排处置，发现告警后能对终端恶意进程进行查杀、对攻击IP/受害IP/恶意请求流量进行阻断，实现威胁发现到解决的闭环处置。</w:t>
      </w:r>
    </w:p>
    <w:p w14:paraId="2956AF11">
      <w:pPr>
        <w:pStyle w:val="34"/>
        <w:numPr>
          <w:ilvl w:val="0"/>
          <w:numId w:val="9"/>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监测范围覆盖各办公区互联网、政务外网联网终端、办公设备、内部服务器及网络设备，可识别HTTP/HTTPS、FTP、SMTP、SSH等各类网络协议流量。</w:t>
      </w:r>
    </w:p>
    <w:p w14:paraId="7988D79B">
      <w:pPr>
        <w:pStyle w:val="34"/>
        <w:numPr>
          <w:ilvl w:val="0"/>
          <w:numId w:val="9"/>
        </w:numPr>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具备异常流量识别能力，可及时发现大流量下载、恶意外联、网络拥塞、端口扫描、DDoS攻击前兆等异常流量行为，触发实时告警并推送至安全运维团队。</w:t>
      </w:r>
    </w:p>
    <w:p w14:paraId="4D9C17FB">
      <w:pPr>
        <w:pStyle w:val="34"/>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（12）渗透测试：通过扫描已经发现的安全漏洞，模拟入侵者的攻击方法对互联网系统进行非破坏性质攻击性测试，保证整个渗透测试过程都在可以控制和调整的范围之内。每</w:t>
      </w:r>
      <w:r>
        <w:rPr>
          <w:rFonts w:hint="eastAsia" w:ascii="Times New Roman" w:hAnsi="Times New Roman" w:eastAsia="仿宋" w:cs="Times New Roman"/>
          <w:bCs/>
          <w:sz w:val="24"/>
          <w:szCs w:val="24"/>
          <w:lang w:val="en-US" w:eastAsia="zh-CN"/>
        </w:rPr>
        <w:t>季度</w:t>
      </w:r>
      <w:r>
        <w:rPr>
          <w:rFonts w:ascii="Times New Roman" w:hAnsi="Times New Roman" w:eastAsia="仿宋" w:cs="Times New Roman"/>
          <w:bCs/>
          <w:sz w:val="24"/>
          <w:szCs w:val="24"/>
        </w:rPr>
        <w:t>开展一次渗透测试，通过渗透测试发现系统是否存在被恶意攻击者真实利用的安全漏洞情况、防护情况和数据安全情况，以及可能发生的安全风险事件，并且检测已有安全产品及安全策略是否能够实时防御安全攻击。评估目标系统当前的风险等级和安全防护能力的高低，针对发现的安全风险，提出安全解决方案，完善现有防御体系，优化安全策略。</w:t>
      </w:r>
    </w:p>
    <w:p w14:paraId="3B9D67EE">
      <w:pPr>
        <w:pStyle w:val="34"/>
        <w:wordWrap w:val="0"/>
        <w:spacing w:after="0" w:line="560" w:lineRule="exact"/>
        <w:ind w:firstLineChars="0"/>
        <w:rPr>
          <w:rFonts w:ascii="Times New Roman" w:hAnsi="Times New Roman" w:eastAsia="仿宋" w:cs="Times New Roman"/>
          <w:bCs/>
          <w:sz w:val="24"/>
          <w:szCs w:val="24"/>
        </w:rPr>
      </w:pPr>
      <w:r>
        <w:rPr>
          <w:rFonts w:ascii="Times New Roman" w:hAnsi="Times New Roman" w:eastAsia="仿宋" w:cs="Times New Roman"/>
          <w:bCs/>
          <w:sz w:val="24"/>
          <w:szCs w:val="24"/>
        </w:rPr>
        <w:t>对渗透测试范围中发现的信息系统资产漏洞、木马、后门等恶意程序，出具渗透测试报告。有新设备或新业务上线时，对业务及设备进行安全扫描检查，并提供结果报告。对于报告中发现的风险，提供切实可行的解决方案。</w:t>
      </w:r>
    </w:p>
    <w:p w14:paraId="6777C47B">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13）网络安全运维支撑：针对信息系统在等级保护测评及密码测评过程中发现的不足（中高危漏洞）提供整改咨询与指导，提出整改优化建议，并对整改后的问题进行复测与确认，增强信息系统运维支撑人员的网络安全技能。</w:t>
      </w:r>
    </w:p>
    <w:p w14:paraId="736C26B0">
      <w:pPr>
        <w:pStyle w:val="34"/>
        <w:wordWrap w:val="0"/>
        <w:spacing w:after="0" w:line="560" w:lineRule="exact"/>
        <w:ind w:firstLine="480"/>
        <w:rPr>
          <w:rFonts w:ascii="Times New Roman" w:hAnsi="Times New Roman" w:eastAsia="仿宋" w:cs="Times New Roman"/>
          <w:bCs/>
          <w:sz w:val="24"/>
          <w:szCs w:val="24"/>
        </w:rPr>
      </w:pPr>
      <w:bookmarkStart w:id="98" w:name="OLE_LINK2"/>
      <w:bookmarkStart w:id="99" w:name="OLE_LINK3"/>
      <w:r>
        <w:rPr>
          <w:rFonts w:ascii="Times New Roman" w:hAnsi="Times New Roman" w:eastAsia="仿宋" w:cs="Times New Roman"/>
          <w:bCs/>
          <w:sz w:val="24"/>
          <w:szCs w:val="24"/>
        </w:rPr>
        <w:t>（14）数据安全：</w:t>
      </w:r>
      <w:bookmarkEnd w:id="98"/>
      <w:r>
        <w:rPr>
          <w:rFonts w:ascii="Times New Roman" w:hAnsi="Times New Roman" w:eastAsia="仿宋" w:cs="Times New Roman"/>
          <w:bCs/>
          <w:sz w:val="24"/>
          <w:szCs w:val="24"/>
        </w:rPr>
        <w:t>针对指定的系统开展数据分类分级，并开展数据安全风险评估</w:t>
      </w:r>
      <w:r>
        <w:rPr>
          <w:rFonts w:hint="eastAsia" w:ascii="Times New Roman" w:hAnsi="Times New Roman" w:eastAsia="仿宋" w:cs="Times New Roman"/>
          <w:bCs/>
          <w:sz w:val="24"/>
          <w:szCs w:val="24"/>
        </w:rPr>
        <w:t>和数据安全检查</w:t>
      </w:r>
      <w:r>
        <w:rPr>
          <w:rFonts w:ascii="Times New Roman" w:hAnsi="Times New Roman" w:eastAsia="仿宋" w:cs="Times New Roman"/>
          <w:bCs/>
          <w:sz w:val="24"/>
          <w:szCs w:val="24"/>
        </w:rPr>
        <w:t>。对重要数据平台全链条业务环节进行全面梳理，深入分析数据全生命周期各环节在制度、管理、技术等层面存在的安全风险，从合规和风险管理角度出发，结合重要数据原则、业务结合原则、综合</w:t>
      </w:r>
      <w:bookmarkEnd w:id="99"/>
      <w:r>
        <w:rPr>
          <w:rFonts w:ascii="Times New Roman" w:hAnsi="Times New Roman" w:eastAsia="仿宋" w:cs="Times New Roman"/>
          <w:bCs/>
          <w:sz w:val="24"/>
          <w:szCs w:val="24"/>
        </w:rPr>
        <w:t>分析原则进行评估，并出具数据安全风险评估报告。在服务过程中协助我厅发现自身数据安全问题和短板，明确数据安全保护需求。数据安全风险评估包括数据资产、数据应用场景、数据威胁、脆弱性、安全措施等要素，需设计相应可实施的评估服务内容。基于评估结果，针对性提出数据安全解决方案和分阶段风险控制安全规划方案。</w:t>
      </w:r>
    </w:p>
    <w:p w14:paraId="3D3D53C3">
      <w:pPr>
        <w:pStyle w:val="34"/>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（15）</w:t>
      </w:r>
      <w:r>
        <w:rPr>
          <w:rFonts w:hint="eastAsia" w:ascii="Times New Roman" w:hAnsi="Times New Roman" w:eastAsia="仿宋" w:cs="Times New Roman"/>
          <w:bCs/>
          <w:sz w:val="24"/>
          <w:szCs w:val="24"/>
        </w:rPr>
        <w:t>宣传培训</w:t>
      </w:r>
      <w:r>
        <w:rPr>
          <w:rFonts w:ascii="Times New Roman" w:hAnsi="Times New Roman" w:eastAsia="仿宋" w:cs="Times New Roman"/>
          <w:bCs/>
          <w:sz w:val="24"/>
          <w:szCs w:val="24"/>
        </w:rPr>
        <w:t>：</w:t>
      </w:r>
      <w:r>
        <w:rPr>
          <w:rFonts w:hint="eastAsia" w:ascii="Times New Roman" w:hAnsi="Times New Roman" w:eastAsia="仿宋" w:cs="Times New Roman"/>
          <w:bCs/>
          <w:sz w:val="24"/>
          <w:szCs w:val="24"/>
        </w:rPr>
        <w:t>面向厅机关及直属单位全体人员开展网络和数据安全宣传培训工作，全面提升全员安全意识与防护技能。重点做好国家网络和数据安全宣传周活动支撑，定制制作网络安全宣传视频（</w:t>
      </w:r>
      <w:r>
        <w:rPr>
          <w:rFonts w:ascii="Times New Roman" w:hAnsi="Times New Roman" w:eastAsia="仿宋" w:cs="Times New Roman"/>
          <w:bCs/>
          <w:sz w:val="24"/>
          <w:szCs w:val="24"/>
        </w:rPr>
        <w:t>中标方应保证提供的全部视频素材及内容拥有合法、完整的知识产权，不存在任何版权侵权或权属纠纷。如因视频内容引发版权争议、法律诉讼及相关损失，均由中标方自行妥善处理，并承担由此产生的一切法律责任与经济损失</w:t>
      </w:r>
      <w:r>
        <w:rPr>
          <w:rFonts w:hint="eastAsia" w:ascii="Times New Roman" w:hAnsi="Times New Roman" w:eastAsia="仿宋" w:cs="Times New Roman"/>
          <w:bCs/>
          <w:sz w:val="24"/>
          <w:szCs w:val="24"/>
        </w:rPr>
        <w:t>）。</w:t>
      </w:r>
    </w:p>
    <w:p w14:paraId="1B844744">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2、工具要求</w:t>
      </w:r>
    </w:p>
    <w:p w14:paraId="0D9C7B6A">
      <w:pPr>
        <w:pStyle w:val="41"/>
        <w:wordWrap w:val="0"/>
        <w:spacing w:line="560" w:lineRule="exact"/>
        <w:ind w:left="420" w:firstLine="0"/>
        <w:jc w:val="left"/>
        <w:rPr>
          <w:rFonts w:ascii="Times New Roman" w:hAnsi="Times New Roman" w:eastAsia="仿宋"/>
          <w:sz w:val="24"/>
        </w:rPr>
      </w:pPr>
      <w:r>
        <w:rPr>
          <w:rFonts w:ascii="Times New Roman" w:hAnsi="Times New Roman" w:eastAsia="仿宋"/>
          <w:bCs/>
          <w:sz w:val="24"/>
        </w:rPr>
        <w:t>提供以下安全技术工具，满足日常政务云和在宁办公区安全检测防护服务需求。</w:t>
      </w:r>
    </w:p>
    <w:p w14:paraId="66A7DF14">
      <w:pPr>
        <w:pStyle w:val="41"/>
        <w:numPr>
          <w:ilvl w:val="0"/>
          <w:numId w:val="10"/>
        </w:numPr>
        <w:wordWrap w:val="0"/>
        <w:spacing w:line="560" w:lineRule="exact"/>
        <w:ind w:left="0" w:firstLine="420"/>
        <w:jc w:val="left"/>
        <w:rPr>
          <w:rFonts w:ascii="Times New Roman" w:hAnsi="Times New Roman" w:eastAsia="仿宋"/>
          <w:sz w:val="24"/>
        </w:rPr>
      </w:pPr>
      <w:r>
        <w:rPr>
          <w:rFonts w:ascii="Times New Roman" w:hAnsi="Times New Roman" w:eastAsia="仿宋"/>
          <w:sz w:val="24"/>
        </w:rPr>
        <w:t>政务云</w:t>
      </w:r>
      <w:bookmarkStart w:id="100" w:name="OLE_LINK5"/>
      <w:r>
        <w:rPr>
          <w:rFonts w:ascii="Times New Roman" w:hAnsi="Times New Roman" w:eastAsia="仿宋"/>
          <w:sz w:val="24"/>
        </w:rPr>
        <w:t>流量传感器</w:t>
      </w:r>
      <w:bookmarkEnd w:id="100"/>
    </w:p>
    <w:tbl>
      <w:tblPr>
        <w:tblStyle w:val="21"/>
        <w:tblW w:w="9072" w:type="dxa"/>
        <w:jc w:val="center"/>
        <w:tblLayout w:type="fixed"/>
        <w:tblCellMar>
          <w:top w:w="0" w:type="dxa"/>
          <w:left w:w="108" w:type="dxa"/>
          <w:bottom w:w="0" w:type="dxa"/>
          <w:right w:w="108" w:type="dxa"/>
        </w:tblCellMar>
      </w:tblPr>
      <w:tblGrid>
        <w:gridCol w:w="1207"/>
        <w:gridCol w:w="1208"/>
        <w:gridCol w:w="6657"/>
      </w:tblGrid>
      <w:tr w14:paraId="5C2C8F42">
        <w:tblPrEx>
          <w:tblCellMar>
            <w:top w:w="0" w:type="dxa"/>
            <w:left w:w="108" w:type="dxa"/>
            <w:bottom w:w="0" w:type="dxa"/>
            <w:right w:w="108" w:type="dxa"/>
          </w:tblCellMar>
        </w:tblPrEx>
        <w:trPr>
          <w:trHeight w:val="280" w:hRule="atLeast"/>
          <w:jc w:val="center"/>
        </w:trPr>
        <w:tc>
          <w:tcPr>
            <w:tcW w:w="24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40167">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指标项</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5A9E7642">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指标要求</w:t>
            </w:r>
          </w:p>
        </w:tc>
      </w:tr>
      <w:tr w14:paraId="39DDA48B">
        <w:tblPrEx>
          <w:tblCellMar>
            <w:top w:w="0" w:type="dxa"/>
            <w:left w:w="108" w:type="dxa"/>
            <w:bottom w:w="0" w:type="dxa"/>
            <w:right w:w="108" w:type="dxa"/>
          </w:tblCellMar>
        </w:tblPrEx>
        <w:trPr>
          <w:trHeight w:val="540" w:hRule="atLeast"/>
          <w:jc w:val="center"/>
        </w:trPr>
        <w:tc>
          <w:tcPr>
            <w:tcW w:w="120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05931B">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流量采集</w:t>
            </w: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78D707A4">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网络协议</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6EA7D90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常见协议识别并还原网络流量，用于取证分析、威胁发现，支持：tcp、udp、icmp、http、dns、dhcp、smtp、pop3、imap、webmail、db2、oracle、mysql、mssql-db、sctp、sybase、smb、sip、ftp、snmp、telnet、nfs、ssl、ssh、ldap、radius、kerberos、netbios、ntp、vnc、ipv6、gtp、tidb、kingbase、mqtt等。</w:t>
            </w:r>
          </w:p>
        </w:tc>
      </w:tr>
      <w:tr w14:paraId="470D3F85">
        <w:tblPrEx>
          <w:tblCellMar>
            <w:top w:w="0" w:type="dxa"/>
            <w:left w:w="108" w:type="dxa"/>
            <w:bottom w:w="0" w:type="dxa"/>
            <w:right w:w="108" w:type="dxa"/>
          </w:tblCellMar>
        </w:tblPrEx>
        <w:trPr>
          <w:trHeight w:val="9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1F9987F9">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41F1044C">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文件协议</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05238F8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流量中出现文件传输行为进行发现和还原，并记录文件MD5发送至分析设备，如可执行文件（EXE、DLL、OCX、SYS、COM、apk等）、压缩格式文件（RAR、ZIP、GZ、7Z等）、文档类型文件（word、excel、pdf、rtf、ppt等）。</w:t>
            </w:r>
          </w:p>
        </w:tc>
      </w:tr>
      <w:tr w14:paraId="1D301533">
        <w:tblPrEx>
          <w:tblCellMar>
            <w:top w:w="0" w:type="dxa"/>
            <w:left w:w="108" w:type="dxa"/>
            <w:bottom w:w="0" w:type="dxa"/>
            <w:right w:w="108" w:type="dxa"/>
          </w:tblCellMar>
        </w:tblPrEx>
        <w:trPr>
          <w:trHeight w:val="28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16199DEE">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31DEDED1">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告警过滤</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44C9B17A">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▲系统本地需具备攻击告警的过滤能力，能够针对IP地址或端口对攻击告警进行过滤，支持攻击特征高亮展示，方便分析人员事件分析。（提供产品界面截图，并加盖投标方公章）</w:t>
            </w:r>
          </w:p>
        </w:tc>
      </w:tr>
      <w:tr w14:paraId="0E8EE86B">
        <w:trPr>
          <w:trHeight w:val="54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4E43B44B">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2EB17297">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隧道封装</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5754908C">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支持多层 VLAN、VXLAN、MPLS、GRE等网络流量的解析检测。云场景下，支持GENEVE协议双层隧道封装流量的解析检测。</w:t>
            </w:r>
          </w:p>
        </w:tc>
      </w:tr>
      <w:tr w14:paraId="28DF7830">
        <w:tblPrEx>
          <w:tblCellMar>
            <w:top w:w="0" w:type="dxa"/>
            <w:left w:w="108" w:type="dxa"/>
            <w:bottom w:w="0" w:type="dxa"/>
            <w:right w:w="108" w:type="dxa"/>
          </w:tblCellMar>
        </w:tblPrEx>
        <w:trPr>
          <w:trHeight w:val="280" w:hRule="atLeast"/>
          <w:jc w:val="center"/>
        </w:trPr>
        <w:tc>
          <w:tcPr>
            <w:tcW w:w="120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7EF00E">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威胁</w:t>
            </w:r>
          </w:p>
          <w:p w14:paraId="2EED9BB4">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检测</w:t>
            </w: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6EC3758A">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威胁情报</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47AA5634">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支持基于流量实时IOC匹配功能，设备具备主流的IOC，情报总量100+万条。</w:t>
            </w:r>
          </w:p>
        </w:tc>
      </w:tr>
      <w:tr w14:paraId="1C42AF91">
        <w:tblPrEx>
          <w:tblCellMar>
            <w:top w:w="0" w:type="dxa"/>
            <w:left w:w="108" w:type="dxa"/>
            <w:bottom w:w="0" w:type="dxa"/>
            <w:right w:w="108" w:type="dxa"/>
          </w:tblCellMar>
        </w:tblPrEx>
        <w:trPr>
          <w:trHeight w:val="28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18E064C9">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1FC2EBE8">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更新规则</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9F9B072">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▲新增加及更新规则，使用标签进行醒目标记展示，新增规则产生的告警在告警详情进行标签标记展示。（提供产品界面截图，并加投标方公章）</w:t>
            </w:r>
          </w:p>
        </w:tc>
      </w:tr>
      <w:tr w14:paraId="300C68D5">
        <w:tblPrEx>
          <w:tblCellMar>
            <w:top w:w="0" w:type="dxa"/>
            <w:left w:w="108" w:type="dxa"/>
            <w:bottom w:w="0" w:type="dxa"/>
            <w:right w:w="108" w:type="dxa"/>
          </w:tblCellMar>
        </w:tblPrEx>
        <w:trPr>
          <w:trHeight w:val="28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3EC09715">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234B699C">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远程工</w:t>
            </w:r>
          </w:p>
          <w:p w14:paraId="069C3814">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具检测</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1C6FBDE0">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支持包括：向日葵、ToDesk、Sorillus、Stowaway、CcRemote、DWservice等在内的不低于6种远控/远程工具检测</w:t>
            </w:r>
          </w:p>
        </w:tc>
      </w:tr>
      <w:tr w14:paraId="3435D65F">
        <w:tblPrEx>
          <w:tblCellMar>
            <w:top w:w="0" w:type="dxa"/>
            <w:left w:w="108" w:type="dxa"/>
            <w:bottom w:w="0" w:type="dxa"/>
            <w:right w:w="108" w:type="dxa"/>
          </w:tblCellMar>
        </w:tblPrEx>
        <w:trPr>
          <w:trHeight w:val="28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414ADC3D">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shd w:val="clear" w:color="auto" w:fill="auto"/>
            <w:vAlign w:val="center"/>
          </w:tcPr>
          <w:p w14:paraId="0FA5AF81">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检测能</w:t>
            </w:r>
          </w:p>
          <w:p w14:paraId="75CE3FBE">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力扩展</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25912AB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▲系统需具备攻击检测能力的扩展功能，支持自定义漏洞、自定义威胁情报。（提供产品界面截图，并加盖投标方公章）</w:t>
            </w:r>
          </w:p>
        </w:tc>
      </w:tr>
      <w:tr w14:paraId="138EBD1D">
        <w:tblPrEx>
          <w:tblCellMar>
            <w:top w:w="0" w:type="dxa"/>
            <w:left w:w="108" w:type="dxa"/>
            <w:bottom w:w="0" w:type="dxa"/>
            <w:right w:w="108" w:type="dxa"/>
          </w:tblCellMar>
        </w:tblPrEx>
        <w:trPr>
          <w:trHeight w:val="280" w:hRule="atLeast"/>
          <w:jc w:val="center"/>
        </w:trPr>
        <w:tc>
          <w:tcPr>
            <w:tcW w:w="1207" w:type="dxa"/>
            <w:vMerge w:val="continue"/>
            <w:tcBorders>
              <w:top w:val="single" w:color="auto" w:sz="4" w:space="0"/>
              <w:left w:val="single" w:color="auto" w:sz="4" w:space="0"/>
              <w:bottom w:val="single" w:color="auto" w:sz="4" w:space="0"/>
              <w:right w:val="single" w:color="auto" w:sz="4" w:space="0"/>
            </w:tcBorders>
            <w:vAlign w:val="center"/>
          </w:tcPr>
          <w:p w14:paraId="11E74E2C">
            <w:pPr>
              <w:widowControl/>
              <w:wordWrap w:val="0"/>
              <w:spacing w:after="0" w:line="240" w:lineRule="auto"/>
              <w:jc w:val="left"/>
              <w:rPr>
                <w:rFonts w:ascii="Times New Roman" w:hAnsi="Times New Roman" w:eastAsia="仿宋" w:cs="Times New Roman"/>
                <w:kern w:val="0"/>
                <w:sz w:val="24"/>
                <w:szCs w:val="24"/>
              </w:rPr>
            </w:pPr>
          </w:p>
        </w:tc>
        <w:tc>
          <w:tcPr>
            <w:tcW w:w="1208" w:type="dxa"/>
            <w:tcBorders>
              <w:top w:val="single" w:color="auto" w:sz="4" w:space="0"/>
              <w:left w:val="single" w:color="auto" w:sz="4" w:space="0"/>
              <w:bottom w:val="single" w:color="auto" w:sz="4" w:space="0"/>
              <w:right w:val="single" w:color="auto" w:sz="4" w:space="0"/>
            </w:tcBorders>
            <w:vAlign w:val="center"/>
          </w:tcPr>
          <w:p w14:paraId="4DE082DB">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暴力破</w:t>
            </w:r>
          </w:p>
          <w:p w14:paraId="5679CBAD">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解检测</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462AF42E">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支持rdp/ftp/telnet/smtp/redis/rlogin/ssh/mysql/mssql/imap/POP3等在内的网络协议的账号暴力猜解检测；支持撞库、登录页面爆破行为检测；支持手动配置暴力猜解告警阈值，减少业务行为误报。</w:t>
            </w:r>
          </w:p>
        </w:tc>
      </w:tr>
      <w:tr w14:paraId="62BE9161">
        <w:tblPrEx>
          <w:tblCellMar>
            <w:top w:w="0" w:type="dxa"/>
            <w:left w:w="108" w:type="dxa"/>
            <w:bottom w:w="0" w:type="dxa"/>
            <w:right w:w="108" w:type="dxa"/>
          </w:tblCellMar>
        </w:tblPrEx>
        <w:trPr>
          <w:trHeight w:val="90" w:hRule="atLeast"/>
          <w:jc w:val="center"/>
        </w:trPr>
        <w:tc>
          <w:tcPr>
            <w:tcW w:w="24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5BFB79">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配套服务</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36EAB275">
            <w:pPr>
              <w:widowControl/>
              <w:wordWrap w:val="0"/>
              <w:spacing w:after="0" w:line="240" w:lineRule="auto"/>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合同有效期内厂家技术支撑及产品升级服务</w:t>
            </w:r>
          </w:p>
        </w:tc>
      </w:tr>
    </w:tbl>
    <w:p w14:paraId="18B0978E">
      <w:pPr>
        <w:pStyle w:val="41"/>
        <w:wordWrap w:val="0"/>
        <w:spacing w:line="560" w:lineRule="exact"/>
        <w:ind w:left="420" w:firstLine="0"/>
        <w:jc w:val="left"/>
        <w:rPr>
          <w:rFonts w:ascii="Times New Roman" w:hAnsi="Times New Roman" w:eastAsia="仿宋"/>
          <w:sz w:val="24"/>
        </w:rPr>
      </w:pPr>
    </w:p>
    <w:p w14:paraId="55FB766C">
      <w:pPr>
        <w:pStyle w:val="41"/>
        <w:numPr>
          <w:ilvl w:val="0"/>
          <w:numId w:val="10"/>
        </w:numPr>
        <w:wordWrap w:val="0"/>
        <w:spacing w:line="560" w:lineRule="exact"/>
        <w:ind w:left="0" w:firstLine="420"/>
        <w:jc w:val="left"/>
        <w:rPr>
          <w:rFonts w:ascii="Times New Roman" w:hAnsi="Times New Roman" w:eastAsia="仿宋"/>
          <w:sz w:val="24"/>
        </w:rPr>
      </w:pPr>
      <w:r>
        <w:rPr>
          <w:rFonts w:ascii="Times New Roman" w:hAnsi="Times New Roman" w:eastAsia="仿宋"/>
          <w:sz w:val="24"/>
        </w:rPr>
        <w:t>政务云安全分析平台</w:t>
      </w:r>
    </w:p>
    <w:tbl>
      <w:tblPr>
        <w:tblStyle w:val="21"/>
        <w:tblW w:w="9072" w:type="dxa"/>
        <w:jc w:val="center"/>
        <w:tblLayout w:type="fixed"/>
        <w:tblCellMar>
          <w:top w:w="0" w:type="dxa"/>
          <w:left w:w="108" w:type="dxa"/>
          <w:bottom w:w="0" w:type="dxa"/>
          <w:right w:w="108" w:type="dxa"/>
        </w:tblCellMar>
      </w:tblPr>
      <w:tblGrid>
        <w:gridCol w:w="1209"/>
        <w:gridCol w:w="1206"/>
        <w:gridCol w:w="6657"/>
      </w:tblGrid>
      <w:tr w14:paraId="0CAC4A32">
        <w:tblPrEx>
          <w:tblCellMar>
            <w:top w:w="0" w:type="dxa"/>
            <w:left w:w="108" w:type="dxa"/>
            <w:bottom w:w="0" w:type="dxa"/>
            <w:right w:w="108" w:type="dxa"/>
          </w:tblCellMar>
        </w:tblPrEx>
        <w:trPr>
          <w:trHeight w:val="280" w:hRule="atLeast"/>
          <w:jc w:val="center"/>
        </w:trPr>
        <w:tc>
          <w:tcPr>
            <w:tcW w:w="24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05AA1F">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指标项</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95E67F8">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指标要求</w:t>
            </w:r>
          </w:p>
        </w:tc>
      </w:tr>
      <w:tr w14:paraId="0DE7E4E4">
        <w:tblPrEx>
          <w:tblCellMar>
            <w:top w:w="0" w:type="dxa"/>
            <w:left w:w="108" w:type="dxa"/>
            <w:bottom w:w="0" w:type="dxa"/>
            <w:right w:w="108" w:type="dxa"/>
          </w:tblCellMar>
        </w:tblPrEx>
        <w:trPr>
          <w:trHeight w:val="90" w:hRule="atLeast"/>
          <w:jc w:val="center"/>
        </w:trPr>
        <w:tc>
          <w:tcPr>
            <w:tcW w:w="12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93DCF0">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资产管理</w:t>
            </w: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36EF0F64">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资产分</w:t>
            </w:r>
          </w:p>
          <w:p w14:paraId="179C1A0D">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组管理</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5D26803">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支持对资产进行标签化、权重管理，资产分组，地理信息配置功能。</w:t>
            </w:r>
          </w:p>
        </w:tc>
      </w:tr>
      <w:tr w14:paraId="5A36C14E">
        <w:tblPrEx>
          <w:tblCellMar>
            <w:top w:w="0" w:type="dxa"/>
            <w:left w:w="108" w:type="dxa"/>
            <w:bottom w:w="0" w:type="dxa"/>
            <w:right w:w="108" w:type="dxa"/>
          </w:tblCellMar>
        </w:tblPrEx>
        <w:trPr>
          <w:trHeight w:val="90" w:hRule="atLeast"/>
          <w:jc w:val="center"/>
        </w:trPr>
        <w:tc>
          <w:tcPr>
            <w:tcW w:w="1209" w:type="dxa"/>
            <w:vMerge w:val="continue"/>
            <w:tcBorders>
              <w:top w:val="single" w:color="auto" w:sz="4" w:space="0"/>
              <w:left w:val="single" w:color="auto" w:sz="4" w:space="0"/>
              <w:bottom w:val="single" w:color="auto" w:sz="4" w:space="0"/>
              <w:right w:val="single" w:color="auto" w:sz="4" w:space="0"/>
            </w:tcBorders>
            <w:vAlign w:val="center"/>
          </w:tcPr>
          <w:p w14:paraId="56752C83">
            <w:pPr>
              <w:widowControl/>
              <w:wordWrap w:val="0"/>
              <w:spacing w:after="0" w:line="240" w:lineRule="auto"/>
              <w:jc w:val="left"/>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0373C876">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资产分</w:t>
            </w:r>
          </w:p>
          <w:p w14:paraId="78679F90">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析专项</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08D1AC0E">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针对资产及资产分组之间互访场景进行专项统计分析，分析信息包括：访问时间、源IP、源资产组、目的IP、目的资产组、互访协议、目的端口、互访次数，访问拓扑，访问次数排名。（提供产品界面截图，并加盖厂家公章）</w:t>
            </w:r>
          </w:p>
        </w:tc>
      </w:tr>
      <w:tr w14:paraId="24E11669">
        <w:tblPrEx>
          <w:tblCellMar>
            <w:top w:w="0" w:type="dxa"/>
            <w:left w:w="108" w:type="dxa"/>
            <w:bottom w:w="0" w:type="dxa"/>
            <w:right w:w="108" w:type="dxa"/>
          </w:tblCellMar>
        </w:tblPrEx>
        <w:trPr>
          <w:trHeight w:val="810" w:hRule="atLeast"/>
          <w:jc w:val="center"/>
        </w:trPr>
        <w:tc>
          <w:tcPr>
            <w:tcW w:w="12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91B61A">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告警分析</w:t>
            </w: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43EDD28D">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应用安</w:t>
            </w:r>
          </w:p>
          <w:p w14:paraId="155FB66C">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全分析</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3EE29140">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支持基于web应用威胁专项分析，发现攻击应用的攻击者以及使用的ATT&amp;CK技术手段，并展示应用TOP排名，攻击结果数量，告警类型TOP排名的呈现。</w:t>
            </w:r>
          </w:p>
        </w:tc>
      </w:tr>
      <w:tr w14:paraId="087E1835">
        <w:tblPrEx>
          <w:tblCellMar>
            <w:top w:w="0" w:type="dxa"/>
            <w:left w:w="108" w:type="dxa"/>
            <w:bottom w:w="0" w:type="dxa"/>
            <w:right w:w="108" w:type="dxa"/>
          </w:tblCellMar>
        </w:tblPrEx>
        <w:trPr>
          <w:trHeight w:val="90" w:hRule="atLeast"/>
          <w:jc w:val="center"/>
        </w:trPr>
        <w:tc>
          <w:tcPr>
            <w:tcW w:w="1209" w:type="dxa"/>
            <w:vMerge w:val="continue"/>
            <w:tcBorders>
              <w:top w:val="single" w:color="auto" w:sz="4" w:space="0"/>
              <w:left w:val="single" w:color="auto" w:sz="4" w:space="0"/>
              <w:bottom w:val="single" w:color="auto" w:sz="4" w:space="0"/>
              <w:right w:val="single" w:color="auto" w:sz="4" w:space="0"/>
            </w:tcBorders>
            <w:vAlign w:val="center"/>
          </w:tcPr>
          <w:p w14:paraId="4CE46FF9">
            <w:pPr>
              <w:widowControl/>
              <w:wordWrap w:val="0"/>
              <w:spacing w:after="0" w:line="240" w:lineRule="auto"/>
              <w:jc w:val="left"/>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41FD0745">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挖矿专</w:t>
            </w:r>
          </w:p>
          <w:p w14:paraId="44969226">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项分析</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1C35485">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基于挖矿行为的挖矿阶段分析挖矿告警，可识别6个挖矿阶段，包括恶意代码传输、远控通信、连接矿池、登录矿池、获取挖矿任务、提交挖矿份额，支持根据检索结果实时统计，包括挖矿币种分布、挖矿告警趋势，同时支持挖矿态势大屏展示等。（提供产品界面截图，并加盖投标方公章）</w:t>
            </w:r>
          </w:p>
        </w:tc>
      </w:tr>
      <w:tr w14:paraId="7CCFF2F4">
        <w:tblPrEx>
          <w:tblCellMar>
            <w:top w:w="0" w:type="dxa"/>
            <w:left w:w="108" w:type="dxa"/>
            <w:bottom w:w="0" w:type="dxa"/>
            <w:right w:w="108" w:type="dxa"/>
          </w:tblCellMar>
        </w:tblPrEx>
        <w:trPr>
          <w:trHeight w:val="280" w:hRule="atLeast"/>
          <w:jc w:val="center"/>
        </w:trPr>
        <w:tc>
          <w:tcPr>
            <w:tcW w:w="1209" w:type="dxa"/>
            <w:vMerge w:val="continue"/>
            <w:tcBorders>
              <w:top w:val="single" w:color="auto" w:sz="4" w:space="0"/>
              <w:left w:val="single" w:color="auto" w:sz="4" w:space="0"/>
              <w:bottom w:val="single" w:color="auto" w:sz="4" w:space="0"/>
              <w:right w:val="single" w:color="auto" w:sz="4" w:space="0"/>
            </w:tcBorders>
            <w:vAlign w:val="center"/>
          </w:tcPr>
          <w:p w14:paraId="7B047DF1">
            <w:pPr>
              <w:widowControl/>
              <w:wordWrap w:val="0"/>
              <w:spacing w:after="0" w:line="240" w:lineRule="auto"/>
              <w:jc w:val="left"/>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vAlign w:val="center"/>
          </w:tcPr>
          <w:p w14:paraId="5A0B68C7">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攻击视角专项分析</w:t>
            </w:r>
          </w:p>
        </w:tc>
        <w:tc>
          <w:tcPr>
            <w:tcW w:w="6657" w:type="dxa"/>
            <w:tcBorders>
              <w:top w:val="single" w:color="auto" w:sz="4" w:space="0"/>
              <w:left w:val="single" w:color="auto" w:sz="4" w:space="0"/>
              <w:bottom w:val="single" w:color="auto" w:sz="4" w:space="0"/>
              <w:right w:val="single" w:color="auto" w:sz="4" w:space="0"/>
            </w:tcBorders>
            <w:shd w:val="clear" w:color="auto" w:fill="auto"/>
          </w:tcPr>
          <w:p w14:paraId="2021909F">
            <w:pPr>
              <w:wordWrap w:val="0"/>
              <w:spacing w:after="0"/>
              <w:rPr>
                <w:rFonts w:ascii="Times New Roman" w:hAnsi="Times New Roman" w:eastAsia="仿宋" w:cs="Times New Roman"/>
                <w:sz w:val="24"/>
                <w:szCs w:val="24"/>
              </w:rPr>
            </w:pPr>
            <w:r>
              <w:rPr>
                <w:rFonts w:ascii="Times New Roman" w:hAnsi="Times New Roman" w:eastAsia="仿宋" w:cs="Times New Roman"/>
                <w:kern w:val="0"/>
                <w:sz w:val="24"/>
                <w:szCs w:val="24"/>
              </w:rPr>
              <w:t>▲</w:t>
            </w:r>
            <w:r>
              <w:rPr>
                <w:rFonts w:ascii="Times New Roman" w:hAnsi="Times New Roman" w:eastAsia="仿宋" w:cs="Times New Roman"/>
                <w:sz w:val="24"/>
                <w:szCs w:val="24"/>
              </w:rPr>
              <w:t>支持基于APT组织情报及IP地理信息检测发现攻击者所属组织、归属国家及地域等信息，基于规则检测发现攻击者所用到的全部攻击手段，用于对攻击者进行画像分析。并展示：攻击IP，攻击IP归属地，受害IP，攻击类型，资产组，最近攻击时间，攻击次数。</w:t>
            </w:r>
            <w:r>
              <w:rPr>
                <w:rFonts w:ascii="Times New Roman" w:hAnsi="Times New Roman" w:eastAsia="仿宋" w:cs="Times New Roman"/>
                <w:kern w:val="0"/>
                <w:sz w:val="24"/>
                <w:szCs w:val="24"/>
              </w:rPr>
              <w:t>（提供产品界面截图，并加盖投标方公章）</w:t>
            </w:r>
          </w:p>
        </w:tc>
      </w:tr>
      <w:tr w14:paraId="3F118960">
        <w:tblPrEx>
          <w:tblCellMar>
            <w:top w:w="0" w:type="dxa"/>
            <w:left w:w="108" w:type="dxa"/>
            <w:bottom w:w="0" w:type="dxa"/>
            <w:right w:w="108" w:type="dxa"/>
          </w:tblCellMar>
        </w:tblPrEx>
        <w:trPr>
          <w:trHeight w:val="540" w:hRule="atLeast"/>
          <w:jc w:val="center"/>
        </w:trPr>
        <w:tc>
          <w:tcPr>
            <w:tcW w:w="1209" w:type="dxa"/>
            <w:vMerge w:val="continue"/>
            <w:tcBorders>
              <w:top w:val="single" w:color="auto" w:sz="4" w:space="0"/>
              <w:left w:val="single" w:color="auto" w:sz="4" w:space="0"/>
              <w:bottom w:val="single" w:color="auto" w:sz="4" w:space="0"/>
              <w:right w:val="single" w:color="auto" w:sz="4" w:space="0"/>
            </w:tcBorders>
            <w:vAlign w:val="center"/>
          </w:tcPr>
          <w:p w14:paraId="0FF86373">
            <w:pPr>
              <w:widowControl/>
              <w:wordWrap w:val="0"/>
              <w:spacing w:after="0" w:line="240" w:lineRule="auto"/>
              <w:jc w:val="left"/>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5818D569">
            <w:pPr>
              <w:widowControl/>
              <w:wordWrap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告警研判</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2224F66">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自动智能分析研判告警，并提供研判依据、研判结果、处置建议；支持配置自动研判开关、自动研判告警范围、自动研判优先级。</w:t>
            </w:r>
          </w:p>
        </w:tc>
      </w:tr>
      <w:tr w14:paraId="0355321A">
        <w:tblPrEx>
          <w:tblCellMar>
            <w:top w:w="0" w:type="dxa"/>
            <w:left w:w="108" w:type="dxa"/>
            <w:bottom w:w="0" w:type="dxa"/>
            <w:right w:w="108" w:type="dxa"/>
          </w:tblCellMar>
        </w:tblPrEx>
        <w:trPr>
          <w:trHeight w:val="520" w:hRule="atLeast"/>
          <w:jc w:val="center"/>
        </w:trPr>
        <w:tc>
          <w:tcPr>
            <w:tcW w:w="12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9D8479">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威胁溯源</w:t>
            </w: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6012B3E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异常登录行为溯源</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1C47E9B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支持检测SMTP、POP3、SSH、RDP、FTP、MSSQL、MYSQL、REDIS、ES、ORACLE等协议的异常登录行为；检测类型包括：非正常时间访问，特权帐号登录， 明文密码泄露</w:t>
            </w:r>
          </w:p>
        </w:tc>
      </w:tr>
      <w:tr w14:paraId="1E3671BF">
        <w:tblPrEx>
          <w:tblCellMar>
            <w:top w:w="0" w:type="dxa"/>
            <w:left w:w="108" w:type="dxa"/>
            <w:bottom w:w="0" w:type="dxa"/>
            <w:right w:w="108" w:type="dxa"/>
          </w:tblCellMar>
        </w:tblPrEx>
        <w:trPr>
          <w:trHeight w:val="520" w:hRule="atLeast"/>
          <w:jc w:val="center"/>
        </w:trPr>
        <w:tc>
          <w:tcPr>
            <w:tcW w:w="120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090946">
            <w:pPr>
              <w:widowControl/>
              <w:wordWrap w:val="0"/>
              <w:spacing w:after="0" w:line="240" w:lineRule="auto"/>
              <w:jc w:val="center"/>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37F4FAE0">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异常数据库行为溯源</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405B2594">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mysql、mssql、oracle、sybase等常见数据库支持的SQL日志中的敏感语句进行检测，支持自定义数据库高危行为特征，可定义数据库类型、高危操作类型，展示源IP，目的IP，源地域，源IP资产组，目的IP地域，数据库类型，数据库用户，高危操作，SQL，发生时间等信息</w:t>
            </w:r>
          </w:p>
        </w:tc>
      </w:tr>
      <w:tr w14:paraId="5C3FFA23">
        <w:tblPrEx>
          <w:tblCellMar>
            <w:top w:w="0" w:type="dxa"/>
            <w:left w:w="108" w:type="dxa"/>
            <w:bottom w:w="0" w:type="dxa"/>
            <w:right w:w="108" w:type="dxa"/>
          </w:tblCellMar>
        </w:tblPrEx>
        <w:trPr>
          <w:trHeight w:val="90" w:hRule="atLeast"/>
          <w:jc w:val="center"/>
        </w:trPr>
        <w:tc>
          <w:tcPr>
            <w:tcW w:w="1209" w:type="dxa"/>
            <w:vMerge w:val="continue"/>
            <w:tcBorders>
              <w:top w:val="single" w:color="auto" w:sz="4" w:space="0"/>
              <w:left w:val="single" w:color="auto" w:sz="4" w:space="0"/>
              <w:bottom w:val="single" w:color="auto" w:sz="4" w:space="0"/>
              <w:right w:val="single" w:color="auto" w:sz="4" w:space="0"/>
            </w:tcBorders>
            <w:vAlign w:val="center"/>
          </w:tcPr>
          <w:p w14:paraId="5AA72B9B">
            <w:pPr>
              <w:widowControl/>
              <w:wordWrap w:val="0"/>
              <w:spacing w:after="0" w:line="240" w:lineRule="auto"/>
              <w:jc w:val="left"/>
              <w:rPr>
                <w:rFonts w:ascii="Times New Roman" w:hAnsi="Times New Roman" w:eastAsia="仿宋" w:cs="Times New Roman"/>
                <w:kern w:val="0"/>
                <w:sz w:val="24"/>
                <w:szCs w:val="24"/>
              </w:rPr>
            </w:pPr>
          </w:p>
        </w:tc>
        <w:tc>
          <w:tcPr>
            <w:tcW w:w="1206" w:type="dxa"/>
            <w:tcBorders>
              <w:top w:val="single" w:color="auto" w:sz="4" w:space="0"/>
              <w:left w:val="single" w:color="auto" w:sz="4" w:space="0"/>
              <w:bottom w:val="single" w:color="auto" w:sz="4" w:space="0"/>
              <w:right w:val="single" w:color="auto" w:sz="4" w:space="0"/>
            </w:tcBorders>
            <w:shd w:val="clear" w:color="auto" w:fill="auto"/>
            <w:vAlign w:val="center"/>
          </w:tcPr>
          <w:p w14:paraId="622BC2CA">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异常访问行为溯源</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039C4892">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支持资产横向访问分析，能展示源资产ip、目的资产ip、端口、协议、banner、时间等详细信息，且能自定义源ip白名单。</w:t>
            </w:r>
          </w:p>
        </w:tc>
      </w:tr>
      <w:tr w14:paraId="3EBAE88E">
        <w:tblPrEx>
          <w:tblCellMar>
            <w:top w:w="0" w:type="dxa"/>
            <w:left w:w="108" w:type="dxa"/>
            <w:bottom w:w="0" w:type="dxa"/>
            <w:right w:w="108" w:type="dxa"/>
          </w:tblCellMar>
        </w:tblPrEx>
        <w:trPr>
          <w:trHeight w:val="90" w:hRule="atLeast"/>
          <w:jc w:val="center"/>
        </w:trPr>
        <w:tc>
          <w:tcPr>
            <w:tcW w:w="24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8A957D">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配套服务</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37B8004A">
            <w:pPr>
              <w:widowControl/>
              <w:wordWrap w:val="0"/>
              <w:spacing w:after="0" w:line="240" w:lineRule="auto"/>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合同有效期内厂家技术支撑及产品升级服务</w:t>
            </w:r>
          </w:p>
        </w:tc>
      </w:tr>
    </w:tbl>
    <w:p w14:paraId="2449F9B5">
      <w:pPr>
        <w:wordWrap w:val="0"/>
        <w:spacing w:after="0" w:line="560" w:lineRule="exact"/>
        <w:ind w:firstLine="480" w:firstLineChars="200"/>
        <w:jc w:val="lef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                                    </w:t>
      </w:r>
    </w:p>
    <w:p w14:paraId="111C3E60">
      <w:pPr>
        <w:pStyle w:val="41"/>
        <w:numPr>
          <w:ilvl w:val="0"/>
          <w:numId w:val="10"/>
        </w:numPr>
        <w:wordWrap w:val="0"/>
        <w:spacing w:line="560" w:lineRule="exact"/>
        <w:ind w:left="0" w:firstLine="420"/>
        <w:jc w:val="left"/>
        <w:rPr>
          <w:rFonts w:ascii="Times New Roman" w:hAnsi="Times New Roman" w:eastAsia="仿宋"/>
          <w:sz w:val="24"/>
        </w:rPr>
      </w:pPr>
      <w:r>
        <w:rPr>
          <w:rFonts w:ascii="Times New Roman" w:hAnsi="Times New Roman" w:eastAsia="仿宋"/>
          <w:sz w:val="24"/>
        </w:rPr>
        <w:t>政务云服务器防护</w:t>
      </w:r>
    </w:p>
    <w:tbl>
      <w:tblPr>
        <w:tblStyle w:val="21"/>
        <w:tblW w:w="9072" w:type="dxa"/>
        <w:jc w:val="center"/>
        <w:tblLayout w:type="fixed"/>
        <w:tblCellMar>
          <w:top w:w="0" w:type="dxa"/>
          <w:left w:w="108" w:type="dxa"/>
          <w:bottom w:w="0" w:type="dxa"/>
          <w:right w:w="108" w:type="dxa"/>
        </w:tblCellMar>
      </w:tblPr>
      <w:tblGrid>
        <w:gridCol w:w="1134"/>
        <w:gridCol w:w="1248"/>
        <w:gridCol w:w="6690"/>
      </w:tblGrid>
      <w:tr w14:paraId="0ECBEA40">
        <w:tblPrEx>
          <w:tblCellMar>
            <w:top w:w="0" w:type="dxa"/>
            <w:left w:w="108" w:type="dxa"/>
            <w:bottom w:w="0" w:type="dxa"/>
            <w:right w:w="108" w:type="dxa"/>
          </w:tblCellMar>
        </w:tblPrEx>
        <w:trPr>
          <w:trHeight w:val="280" w:hRule="atLeast"/>
          <w:jc w:val="center"/>
        </w:trPr>
        <w:tc>
          <w:tcPr>
            <w:tcW w:w="23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F157B2">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指标项</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B48A218">
            <w:pPr>
              <w:widowControl/>
              <w:wordWrap w:val="0"/>
              <w:spacing w:after="0" w:line="240" w:lineRule="auto"/>
              <w:jc w:val="center"/>
              <w:rPr>
                <w:rFonts w:ascii="Times New Roman" w:hAnsi="Times New Roman" w:eastAsia="仿宋" w:cs="Times New Roman"/>
                <w:b/>
                <w:bCs/>
                <w:kern w:val="0"/>
                <w:sz w:val="24"/>
                <w:szCs w:val="24"/>
              </w:rPr>
            </w:pPr>
            <w:r>
              <w:rPr>
                <w:rFonts w:ascii="Times New Roman" w:hAnsi="Times New Roman" w:eastAsia="仿宋" w:cs="Times New Roman"/>
                <w:b/>
                <w:bCs/>
                <w:kern w:val="0"/>
                <w:sz w:val="24"/>
                <w:szCs w:val="24"/>
              </w:rPr>
              <w:t>指标要求</w:t>
            </w:r>
          </w:p>
        </w:tc>
      </w:tr>
      <w:tr w14:paraId="7B7DE77D">
        <w:tblPrEx>
          <w:tblCellMar>
            <w:top w:w="0" w:type="dxa"/>
            <w:left w:w="108" w:type="dxa"/>
            <w:bottom w:w="0" w:type="dxa"/>
            <w:right w:w="108" w:type="dxa"/>
          </w:tblCellMar>
        </w:tblPrEx>
        <w:trPr>
          <w:trHeight w:val="840" w:hRule="atLeast"/>
          <w:jc w:val="center"/>
        </w:trPr>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3C20CF8">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风险</w:t>
            </w:r>
          </w:p>
          <w:p w14:paraId="4AB32CA6">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发现</w:t>
            </w: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42C748EF">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风险总览</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249E4DA3">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统计总风险及各类风险数量，展示影响服务器信息。通过各类图表展示安全评分趋势、风险项趋势、账户风险类型分布、口令风险应用排行Top5/Top10、漏洞风险项数量Top5/Top10、配置风险排行Top5/Top10等相关统计信息。</w:t>
            </w:r>
          </w:p>
        </w:tc>
      </w:tr>
      <w:tr w14:paraId="116969FB">
        <w:tblPrEx>
          <w:tblCellMar>
            <w:top w:w="0" w:type="dxa"/>
            <w:left w:w="108" w:type="dxa"/>
            <w:bottom w:w="0" w:type="dxa"/>
            <w:right w:w="108" w:type="dxa"/>
          </w:tblCellMar>
        </w:tblPrEx>
        <w:trPr>
          <w:trHeight w:val="84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3F436B11">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760D221D">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RCE利用风险监测</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5D5C204">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监控和分析目标主机的网络流量和应用程序行为，以防范远程命令执行（RCE）攻击。通过深入分析对外服务进程的执行命令行参数、网络连接以及其他相关数据，能够发现并记录异常的远程命令执行活动，一旦发现潜在的RCE利用行为，将立即产生告警。同时支持追溯攻击路径，显示每个命令的执行调用链。</w:t>
            </w:r>
          </w:p>
        </w:tc>
      </w:tr>
      <w:tr w14:paraId="592109B8">
        <w:tblPrEx>
          <w:tblCellMar>
            <w:top w:w="0" w:type="dxa"/>
            <w:left w:w="108" w:type="dxa"/>
            <w:bottom w:w="0" w:type="dxa"/>
            <w:right w:w="108" w:type="dxa"/>
          </w:tblCellMar>
        </w:tblPrEx>
        <w:trPr>
          <w:trHeight w:val="28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00484E7C">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57796F5E">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无文件攻击检测</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5599429D">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基于九种关键行为进行检测，包括命令执行、文件下载、脚本执行、文件创建、数据执行以及敏感调用等。通过实时监控和特征比对，能够发现服务器上的无文件攻击事件。</w:t>
            </w:r>
          </w:p>
        </w:tc>
      </w:tr>
      <w:tr w14:paraId="40ABA499">
        <w:tblPrEx>
          <w:tblCellMar>
            <w:top w:w="0" w:type="dxa"/>
            <w:left w:w="108" w:type="dxa"/>
            <w:bottom w:w="0" w:type="dxa"/>
            <w:right w:w="108" w:type="dxa"/>
          </w:tblCellMar>
        </w:tblPrEx>
        <w:trPr>
          <w:trHeight w:val="56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20E47034">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3C7BD07E">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恶意扫描风险检测</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6BE5032A">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攻击者发起的恶意扫描行为进行识别，可防护端口扫描和扫描器扫描行为，以攻击和受害两种视角展示扫描信息包括：发生时间、受害IP、攻击IP、攻击类型、扫描端口、扫描次数、在威胁情报中是否为黑IP等信息。</w:t>
            </w:r>
          </w:p>
        </w:tc>
      </w:tr>
      <w:tr w14:paraId="7FE82660">
        <w:tblPrEx>
          <w:tblCellMar>
            <w:top w:w="0" w:type="dxa"/>
            <w:left w:w="108" w:type="dxa"/>
            <w:bottom w:w="0" w:type="dxa"/>
            <w:right w:w="108" w:type="dxa"/>
          </w:tblCellMar>
        </w:tblPrEx>
        <w:trPr>
          <w:trHeight w:val="560" w:hRule="atLeast"/>
          <w:jc w:val="center"/>
        </w:trPr>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4C28CC">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w:t>
            </w:r>
          </w:p>
          <w:p w14:paraId="667B4E53">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防护</w:t>
            </w: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7E8CB91E">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注册表监控与防护</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4593C70">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支持监控和保护指定的注册表项、键值。 设置可信进程和可信注册表项/值允许操作。</w:t>
            </w:r>
          </w:p>
        </w:tc>
      </w:tr>
      <w:tr w14:paraId="1FE1EF05">
        <w:tblPrEx>
          <w:tblCellMar>
            <w:top w:w="0" w:type="dxa"/>
            <w:left w:w="108" w:type="dxa"/>
            <w:bottom w:w="0" w:type="dxa"/>
            <w:right w:w="108" w:type="dxa"/>
          </w:tblCellMar>
        </w:tblPrEx>
        <w:trPr>
          <w:trHeight w:val="9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7EB6FF96">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1D1EABC3">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虚拟补丁</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78E2621C">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▲支持主机虚拟补丁功能，灵活对服务器批量开启、关闭该功能。（提供产品界面截图，并加盖投标方公章）</w:t>
            </w:r>
          </w:p>
        </w:tc>
      </w:tr>
      <w:tr w14:paraId="00EBECE5">
        <w:tblPrEx>
          <w:tblCellMar>
            <w:top w:w="0" w:type="dxa"/>
            <w:left w:w="108" w:type="dxa"/>
            <w:bottom w:w="0" w:type="dxa"/>
            <w:right w:w="108" w:type="dxa"/>
          </w:tblCellMar>
        </w:tblPrEx>
        <w:trPr>
          <w:trHeight w:val="840" w:hRule="atLeast"/>
          <w:jc w:val="center"/>
        </w:trPr>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943F9B">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应用</w:t>
            </w:r>
          </w:p>
          <w:p w14:paraId="78EFC7B8">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防护</w:t>
            </w: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26B81FEF">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口令复</w:t>
            </w:r>
          </w:p>
          <w:p w14:paraId="573C3074">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用防护</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3AE9F0F">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▲支持对不同账号使用同一密码的口令复用行为进行检测，支持统计相同密码的账户数量、账户所在服务器、账户名称、账户状态等信息，并支持导出。（提供产品界面截图，并加盖投标方公章）</w:t>
            </w:r>
          </w:p>
        </w:tc>
      </w:tr>
      <w:tr w14:paraId="5255C7CF">
        <w:tblPrEx>
          <w:tblCellMar>
            <w:top w:w="0" w:type="dxa"/>
            <w:left w:w="108" w:type="dxa"/>
            <w:bottom w:w="0" w:type="dxa"/>
            <w:right w:w="108" w:type="dxa"/>
          </w:tblCellMar>
        </w:tblPrEx>
        <w:trPr>
          <w:trHeight w:val="112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61A51B15">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13AF1795">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主机微</w:t>
            </w:r>
          </w:p>
          <w:p w14:paraId="5CF3008B">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隔离</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5702FA8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▲支持一键全部启用以及全部停用微隔离策略，灵活设置微隔离规则，支持直接引用对象、设置主机共享规则、同时支持对单台主机个性化的规则策略制定。（提供产品界面截图，并加盖投标方公章）</w:t>
            </w:r>
          </w:p>
        </w:tc>
      </w:tr>
      <w:tr w14:paraId="24B2EB77">
        <w:tblPrEx>
          <w:tblCellMar>
            <w:top w:w="0" w:type="dxa"/>
            <w:left w:w="108" w:type="dxa"/>
            <w:bottom w:w="0" w:type="dxa"/>
            <w:right w:w="108" w:type="dxa"/>
          </w:tblCellMar>
        </w:tblPrEx>
        <w:trPr>
          <w:trHeight w:val="280" w:hRule="atLeast"/>
          <w:jc w:val="center"/>
        </w:trPr>
        <w:tc>
          <w:tcPr>
            <w:tcW w:w="1134" w:type="dxa"/>
            <w:vMerge w:val="continue"/>
            <w:tcBorders>
              <w:top w:val="single" w:color="auto" w:sz="4" w:space="0"/>
              <w:left w:val="single" w:color="auto" w:sz="4" w:space="0"/>
              <w:bottom w:val="single" w:color="auto" w:sz="4" w:space="0"/>
              <w:right w:val="single" w:color="auto" w:sz="4" w:space="0"/>
            </w:tcBorders>
            <w:vAlign w:val="center"/>
          </w:tcPr>
          <w:p w14:paraId="675DC09A">
            <w:pPr>
              <w:widowControl/>
              <w:wordWrap w:val="0"/>
              <w:spacing w:after="0" w:line="240" w:lineRule="auto"/>
              <w:jc w:val="left"/>
              <w:rPr>
                <w:rFonts w:ascii="Times New Roman" w:hAnsi="Times New Roman" w:eastAsia="仿宋" w:cs="Times New Roman"/>
                <w:kern w:val="0"/>
                <w:sz w:val="24"/>
                <w:szCs w:val="24"/>
              </w:rPr>
            </w:pPr>
          </w:p>
        </w:tc>
        <w:tc>
          <w:tcPr>
            <w:tcW w:w="1248" w:type="dxa"/>
            <w:tcBorders>
              <w:top w:val="single" w:color="auto" w:sz="4" w:space="0"/>
              <w:left w:val="single" w:color="auto" w:sz="4" w:space="0"/>
              <w:bottom w:val="single" w:color="auto" w:sz="4" w:space="0"/>
              <w:right w:val="single" w:color="auto" w:sz="4" w:space="0"/>
            </w:tcBorders>
            <w:shd w:val="clear" w:color="auto" w:fill="auto"/>
            <w:vAlign w:val="center"/>
          </w:tcPr>
          <w:p w14:paraId="7B2AC621">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后门程</w:t>
            </w:r>
          </w:p>
          <w:p w14:paraId="5F170149">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序防护</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715AB239">
            <w:pPr>
              <w:widowControl/>
              <w:wordWrap w:val="0"/>
              <w:spacing w:after="0" w:line="240" w:lineRule="auto"/>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展示后门文件的发现时间、后门名称、后门类型、风险等级、来源、命中规则、文件类型、文件路径、文件大小、文件访问权限、文件所属用户、文件所属用户组、文件MD5、文件创建时间、文件修改时间、文件最近访问时间等信息。</w:t>
            </w:r>
          </w:p>
        </w:tc>
      </w:tr>
      <w:tr w14:paraId="4CF1FB46">
        <w:tblPrEx>
          <w:tblCellMar>
            <w:top w:w="0" w:type="dxa"/>
            <w:left w:w="108" w:type="dxa"/>
            <w:bottom w:w="0" w:type="dxa"/>
            <w:right w:w="108" w:type="dxa"/>
          </w:tblCellMar>
        </w:tblPrEx>
        <w:trPr>
          <w:trHeight w:val="90" w:hRule="atLeast"/>
          <w:jc w:val="center"/>
        </w:trPr>
        <w:tc>
          <w:tcPr>
            <w:tcW w:w="23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5CE8F0">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配套服务</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1F3AC5E6">
            <w:pPr>
              <w:widowControl/>
              <w:wordWrap w:val="0"/>
              <w:spacing w:after="0" w:line="240" w:lineRule="auto"/>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合同有效期内厂家技术支撑及产品升级服务</w:t>
            </w:r>
          </w:p>
        </w:tc>
      </w:tr>
    </w:tbl>
    <w:p w14:paraId="0F5F2674">
      <w:pPr>
        <w:wordWrap w:val="0"/>
        <w:spacing w:after="0" w:line="560" w:lineRule="exact"/>
        <w:ind w:firstLine="480" w:firstLineChars="200"/>
        <w:jc w:val="lef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       </w:t>
      </w:r>
    </w:p>
    <w:p w14:paraId="1309F0D7">
      <w:pPr>
        <w:pStyle w:val="41"/>
        <w:numPr>
          <w:ilvl w:val="0"/>
          <w:numId w:val="10"/>
        </w:numPr>
        <w:ind w:left="0" w:firstLine="420"/>
        <w:jc w:val="left"/>
        <w:rPr>
          <w:rFonts w:ascii="Times New Roman" w:hAnsi="Times New Roman" w:eastAsia="仿宋"/>
          <w:kern w:val="0"/>
          <w:sz w:val="24"/>
        </w:rPr>
      </w:pPr>
      <w:r>
        <w:rPr>
          <w:rFonts w:ascii="Times New Roman" w:hAnsi="Times New Roman" w:eastAsia="仿宋"/>
          <w:kern w:val="0"/>
          <w:sz w:val="24"/>
        </w:rPr>
        <w:t>在宁办公区政务外网流量监测</w:t>
      </w:r>
    </w:p>
    <w:tbl>
      <w:tblPr>
        <w:tblStyle w:val="2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5"/>
        <w:gridCol w:w="6697"/>
      </w:tblGrid>
      <w:tr w14:paraId="52A5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 w:hRule="atLeast"/>
          <w:jc w:val="center"/>
        </w:trPr>
        <w:tc>
          <w:tcPr>
            <w:tcW w:w="2375" w:type="dxa"/>
            <w:shd w:val="clear" w:color="auto" w:fill="auto"/>
            <w:vAlign w:val="center"/>
          </w:tcPr>
          <w:p w14:paraId="04756038">
            <w:pPr>
              <w:widowControl/>
              <w:spacing w:after="0" w:line="240" w:lineRule="auto"/>
              <w:jc w:val="center"/>
              <w:rPr>
                <w:rFonts w:ascii="Times New Roman" w:hAnsi="Times New Roman" w:eastAsia="仿宋" w:cs="Times New Roman"/>
                <w:b/>
                <w:kern w:val="0"/>
                <w:sz w:val="24"/>
                <w:szCs w:val="24"/>
              </w:rPr>
            </w:pPr>
            <w:r>
              <w:rPr>
                <w:rFonts w:ascii="Times New Roman" w:hAnsi="Times New Roman" w:eastAsia="仿宋" w:cs="Times New Roman"/>
                <w:b/>
                <w:kern w:val="0"/>
                <w:sz w:val="24"/>
                <w:szCs w:val="24"/>
              </w:rPr>
              <w:t>指标项</w:t>
            </w:r>
          </w:p>
        </w:tc>
        <w:tc>
          <w:tcPr>
            <w:tcW w:w="6697" w:type="dxa"/>
            <w:shd w:val="clear" w:color="auto" w:fill="auto"/>
            <w:vAlign w:val="center"/>
          </w:tcPr>
          <w:p w14:paraId="43A9626C">
            <w:pPr>
              <w:widowControl/>
              <w:spacing w:after="0" w:line="240" w:lineRule="auto"/>
              <w:jc w:val="center"/>
              <w:rPr>
                <w:rFonts w:ascii="Times New Roman" w:hAnsi="Times New Roman" w:eastAsia="仿宋" w:cs="Times New Roman"/>
                <w:b/>
                <w:kern w:val="0"/>
                <w:sz w:val="24"/>
                <w:szCs w:val="24"/>
              </w:rPr>
            </w:pPr>
            <w:r>
              <w:rPr>
                <w:rFonts w:ascii="Times New Roman" w:hAnsi="Times New Roman" w:eastAsia="仿宋" w:cs="Times New Roman"/>
                <w:b/>
                <w:kern w:val="0"/>
                <w:sz w:val="24"/>
                <w:szCs w:val="24"/>
              </w:rPr>
              <w:t>指标要求</w:t>
            </w:r>
          </w:p>
        </w:tc>
      </w:tr>
      <w:tr w14:paraId="1E1B0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vMerge w:val="restart"/>
            <w:vAlign w:val="center"/>
          </w:tcPr>
          <w:p w14:paraId="07CF23AA">
            <w:pPr>
              <w:wordWrap w:val="0"/>
              <w:adjustRightInd w:val="0"/>
              <w:snapToGrid w:val="0"/>
              <w:spacing w:after="0" w:line="240" w:lineRule="auto"/>
              <w:jc w:val="center"/>
              <w:rPr>
                <w:rFonts w:ascii="Times New Roman" w:hAnsi="Times New Roman" w:eastAsia="仿宋" w:cs="Times New Roman"/>
                <w:sz w:val="24"/>
                <w:szCs w:val="24"/>
              </w:rPr>
            </w:pPr>
            <w:r>
              <w:rPr>
                <w:rFonts w:ascii="Times New Roman" w:hAnsi="Times New Roman" w:eastAsia="仿宋" w:cs="Times New Roman"/>
                <w:sz w:val="24"/>
                <w:szCs w:val="24"/>
              </w:rPr>
              <w:t>终端威胁</w:t>
            </w:r>
          </w:p>
        </w:tc>
        <w:tc>
          <w:tcPr>
            <w:tcW w:w="6697" w:type="dxa"/>
            <w:vAlign w:val="center"/>
          </w:tcPr>
          <w:p w14:paraId="7FDD4EF2">
            <w:pPr>
              <w:wordWrap w:val="0"/>
              <w:adjustRightInd w:val="0"/>
              <w:snapToGrid w:val="0"/>
              <w:spacing w:after="0" w:line="240" w:lineRule="auto"/>
              <w:rPr>
                <w:rFonts w:ascii="Times New Roman" w:hAnsi="Times New Roman" w:eastAsia="仿宋" w:cs="Times New Roman"/>
                <w:sz w:val="24"/>
                <w:szCs w:val="24"/>
              </w:rPr>
            </w:pPr>
            <w:r>
              <w:rPr>
                <w:rFonts w:ascii="Times New Roman" w:hAnsi="Times New Roman" w:eastAsia="仿宋" w:cs="Times New Roman"/>
                <w:sz w:val="24"/>
                <w:szCs w:val="24"/>
              </w:rPr>
              <w:t>支持以受害资产维度进行告警分析，包括资产安全状态分布、风险资产TOP10、资产告警详情，详情包括：资产名称、风险值、登录资产IP、资产组、漏洞数、告警事件数、失陷状态。</w:t>
            </w:r>
          </w:p>
        </w:tc>
      </w:tr>
      <w:tr w14:paraId="36C7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vMerge w:val="continue"/>
            <w:vAlign w:val="center"/>
          </w:tcPr>
          <w:p w14:paraId="072DDF12">
            <w:pPr>
              <w:wordWrap w:val="0"/>
              <w:adjustRightInd w:val="0"/>
              <w:snapToGrid w:val="0"/>
              <w:spacing w:after="0" w:line="240" w:lineRule="auto"/>
              <w:jc w:val="center"/>
              <w:rPr>
                <w:rFonts w:ascii="Times New Roman" w:hAnsi="Times New Roman" w:eastAsia="仿宋" w:cs="Times New Roman"/>
                <w:sz w:val="24"/>
                <w:szCs w:val="24"/>
              </w:rPr>
            </w:pPr>
          </w:p>
        </w:tc>
        <w:tc>
          <w:tcPr>
            <w:tcW w:w="6697" w:type="dxa"/>
            <w:vAlign w:val="center"/>
          </w:tcPr>
          <w:p w14:paraId="55BD1E49">
            <w:pPr>
              <w:wordWrap w:val="0"/>
              <w:adjustRightInd w:val="0"/>
              <w:snapToGrid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支持以主机资产维度进行告警分析，包括资产威胁级别统计、攻击维度统计、重点资产统计、失陷资产分布、告警资产趋势图。</w:t>
            </w:r>
          </w:p>
        </w:tc>
      </w:tr>
      <w:tr w14:paraId="0F56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vAlign w:val="center"/>
          </w:tcPr>
          <w:p w14:paraId="7D4FA67E">
            <w:pPr>
              <w:wordWrap w:val="0"/>
              <w:adjustRightInd w:val="0"/>
              <w:snapToGrid w:val="0"/>
              <w:spacing w:after="0" w:line="240" w:lineRule="auto"/>
              <w:jc w:val="center"/>
              <w:rPr>
                <w:rFonts w:ascii="Times New Roman" w:hAnsi="Times New Roman" w:eastAsia="仿宋" w:cs="Times New Roman"/>
                <w:sz w:val="24"/>
                <w:szCs w:val="24"/>
              </w:rPr>
            </w:pPr>
            <w:r>
              <w:rPr>
                <w:rFonts w:ascii="Times New Roman" w:hAnsi="Times New Roman" w:eastAsia="仿宋" w:cs="Times New Roman"/>
                <w:sz w:val="24"/>
                <w:szCs w:val="24"/>
              </w:rPr>
              <w:t>邮件行为分析</w:t>
            </w:r>
          </w:p>
        </w:tc>
        <w:tc>
          <w:tcPr>
            <w:tcW w:w="6697" w:type="dxa"/>
            <w:vAlign w:val="center"/>
          </w:tcPr>
          <w:p w14:paraId="11EA1B45">
            <w:pPr>
              <w:wordWrap w:val="0"/>
              <w:adjustRightInd w:val="0"/>
              <w:snapToGrid w:val="0"/>
              <w:spacing w:after="0" w:line="240" w:lineRule="auto"/>
              <w:rPr>
                <w:rFonts w:ascii="Times New Roman" w:hAnsi="Times New Roman" w:eastAsia="仿宋" w:cs="Times New Roman"/>
                <w:sz w:val="24"/>
                <w:szCs w:val="24"/>
              </w:rPr>
            </w:pPr>
            <w:r>
              <w:rPr>
                <w:rFonts w:ascii="Times New Roman" w:hAnsi="Times New Roman" w:eastAsia="仿宋" w:cs="Times New Roman"/>
                <w:sz w:val="24"/>
                <w:szCs w:val="24"/>
              </w:rPr>
              <w:t>支持邮件行为分析，包括邮件异常类型分布、邮件异常类型统计、邮件日志详情。</w:t>
            </w:r>
          </w:p>
        </w:tc>
      </w:tr>
      <w:tr w14:paraId="29CB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vAlign w:val="center"/>
          </w:tcPr>
          <w:p w14:paraId="64AEA840">
            <w:pPr>
              <w:wordWrap w:val="0"/>
              <w:adjustRightInd w:val="0"/>
              <w:snapToGrid w:val="0"/>
              <w:spacing w:after="0" w:line="240" w:lineRule="auto"/>
              <w:jc w:val="center"/>
              <w:rPr>
                <w:rFonts w:ascii="Times New Roman" w:hAnsi="Times New Roman" w:eastAsia="仿宋" w:cs="Times New Roman"/>
                <w:sz w:val="24"/>
                <w:szCs w:val="24"/>
              </w:rPr>
            </w:pPr>
            <w:r>
              <w:rPr>
                <w:rFonts w:ascii="Times New Roman" w:hAnsi="Times New Roman" w:eastAsia="仿宋" w:cs="Times New Roman"/>
                <w:sz w:val="24"/>
                <w:szCs w:val="24"/>
              </w:rPr>
              <w:t>访问行为分析</w:t>
            </w:r>
          </w:p>
        </w:tc>
        <w:tc>
          <w:tcPr>
            <w:tcW w:w="6697" w:type="dxa"/>
            <w:vAlign w:val="center"/>
          </w:tcPr>
          <w:p w14:paraId="225609D2">
            <w:pPr>
              <w:wordWrap w:val="0"/>
              <w:adjustRightInd w:val="0"/>
              <w:snapToGrid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支持外部访问分析，包括访问地域分布、被访问IP资产TOP10、外部访问日志详情。</w:t>
            </w:r>
          </w:p>
        </w:tc>
      </w:tr>
      <w:tr w14:paraId="1416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vAlign w:val="center"/>
          </w:tcPr>
          <w:p w14:paraId="59253A92">
            <w:pPr>
              <w:wordWrap w:val="0"/>
              <w:adjustRightInd w:val="0"/>
              <w:snapToGrid w:val="0"/>
              <w:spacing w:after="0" w:line="240" w:lineRule="auto"/>
              <w:jc w:val="center"/>
              <w:rPr>
                <w:rFonts w:ascii="Times New Roman" w:hAnsi="Times New Roman" w:eastAsia="仿宋" w:cs="Times New Roman"/>
                <w:sz w:val="24"/>
                <w:szCs w:val="24"/>
              </w:rPr>
            </w:pPr>
            <w:r>
              <w:rPr>
                <w:rFonts w:ascii="Times New Roman" w:hAnsi="Times New Roman" w:eastAsia="仿宋" w:cs="Times New Roman"/>
                <w:sz w:val="24"/>
                <w:szCs w:val="24"/>
              </w:rPr>
              <w:t>响应处置</w:t>
            </w:r>
          </w:p>
        </w:tc>
        <w:tc>
          <w:tcPr>
            <w:tcW w:w="6697" w:type="dxa"/>
            <w:vAlign w:val="center"/>
          </w:tcPr>
          <w:p w14:paraId="1611678E">
            <w:pPr>
              <w:wordWrap w:val="0"/>
              <w:adjustRightInd w:val="0"/>
              <w:snapToGrid w:val="0"/>
              <w:spacing w:after="0" w:line="24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可与用户已部署网络安全产品进行适配，形成安全联动机制，包括</w:t>
            </w:r>
            <w:r>
              <w:rPr>
                <w:rFonts w:ascii="Times New Roman" w:hAnsi="Times New Roman" w:eastAsia="仿宋" w:cs="Times New Roman"/>
                <w:sz w:val="24"/>
                <w:szCs w:val="24"/>
              </w:rPr>
              <w:t>防火墙处置工作流，上网行为管理处置工作流，终端杀毒处置工作流。</w:t>
            </w:r>
          </w:p>
        </w:tc>
      </w:tr>
      <w:tr w14:paraId="28E9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75" w:type="dxa"/>
            <w:vMerge w:val="restart"/>
            <w:vAlign w:val="center"/>
          </w:tcPr>
          <w:p w14:paraId="57F4C2A9">
            <w:pPr>
              <w:wordWrap w:val="0"/>
              <w:adjustRightInd w:val="0"/>
              <w:snapToGrid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资产感知</w:t>
            </w:r>
          </w:p>
        </w:tc>
        <w:tc>
          <w:tcPr>
            <w:tcW w:w="6697" w:type="dxa"/>
            <w:vAlign w:val="center"/>
          </w:tcPr>
          <w:p w14:paraId="0E5A9761">
            <w:pPr>
              <w:wordWrap w:val="0"/>
              <w:adjustRightInd w:val="0"/>
              <w:snapToGrid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支持自动从流量中识别资产信息包含：IP、端口、服务、操作系统、MAC，支持对资产进行分组管理及对应内网网段的录入。</w:t>
            </w:r>
          </w:p>
        </w:tc>
      </w:tr>
      <w:tr w14:paraId="1651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jc w:val="center"/>
        </w:trPr>
        <w:tc>
          <w:tcPr>
            <w:tcW w:w="2375" w:type="dxa"/>
            <w:vMerge w:val="continue"/>
            <w:vAlign w:val="center"/>
          </w:tcPr>
          <w:p w14:paraId="1E623C4D">
            <w:pPr>
              <w:wordWrap w:val="0"/>
              <w:adjustRightInd w:val="0"/>
              <w:snapToGrid w:val="0"/>
              <w:spacing w:after="0" w:line="240" w:lineRule="auto"/>
              <w:jc w:val="center"/>
              <w:rPr>
                <w:rFonts w:ascii="Times New Roman" w:hAnsi="Times New Roman" w:eastAsia="仿宋" w:cs="Times New Roman"/>
                <w:kern w:val="0"/>
                <w:sz w:val="24"/>
                <w:szCs w:val="24"/>
              </w:rPr>
            </w:pPr>
          </w:p>
        </w:tc>
        <w:tc>
          <w:tcPr>
            <w:tcW w:w="6697" w:type="dxa"/>
            <w:vAlign w:val="center"/>
          </w:tcPr>
          <w:p w14:paraId="4343F457">
            <w:pPr>
              <w:wordWrap w:val="0"/>
              <w:adjustRightInd w:val="0"/>
              <w:snapToGrid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支持展示资产漏洞信息，信息包括：资产IP、资产名称、资产组、漏洞名称、最近发现时间、威胁级别、漏洞来源、漏洞披露时间、CVE编号、CNNVD编号。</w:t>
            </w:r>
          </w:p>
        </w:tc>
      </w:tr>
      <w:tr w14:paraId="13CE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6" w:hRule="atLeast"/>
          <w:jc w:val="center"/>
        </w:trPr>
        <w:tc>
          <w:tcPr>
            <w:tcW w:w="2375" w:type="dxa"/>
            <w:vMerge w:val="continue"/>
            <w:vAlign w:val="center"/>
          </w:tcPr>
          <w:p w14:paraId="34B7215E">
            <w:pPr>
              <w:wordWrap w:val="0"/>
              <w:adjustRightInd w:val="0"/>
              <w:snapToGrid w:val="0"/>
              <w:spacing w:after="0" w:line="240" w:lineRule="auto"/>
              <w:jc w:val="center"/>
              <w:rPr>
                <w:rFonts w:ascii="Times New Roman" w:hAnsi="Times New Roman" w:eastAsia="仿宋" w:cs="Times New Roman"/>
                <w:kern w:val="0"/>
                <w:sz w:val="24"/>
                <w:szCs w:val="24"/>
              </w:rPr>
            </w:pPr>
          </w:p>
        </w:tc>
        <w:tc>
          <w:tcPr>
            <w:tcW w:w="6697" w:type="dxa"/>
            <w:vAlign w:val="center"/>
          </w:tcPr>
          <w:p w14:paraId="5EA645C8">
            <w:pPr>
              <w:wordWrap w:val="0"/>
              <w:adjustRightInd w:val="0"/>
              <w:snapToGrid w:val="0"/>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通过主机资产详情查看全部关联告警，同时针对单个资产也支持检索场景配置，关联告警支持按照IP归并，支持多维统计，包括但不限于：告警资产数量，不同攻击结果/攻击维度的资产数量，失陷资产组分布，未处置告警/全部告警、不同攻击结果/攻击维度告警数量、告警类型分布情况、攻击阶段分布情况、告警趋势图。（提供产品界面截图，并加盖投标方公章）</w:t>
            </w:r>
          </w:p>
        </w:tc>
      </w:tr>
      <w:tr w14:paraId="32C6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75" w:type="dxa"/>
            <w:shd w:val="clear" w:color="auto" w:fill="auto"/>
            <w:vAlign w:val="center"/>
          </w:tcPr>
          <w:p w14:paraId="79F67124">
            <w:pPr>
              <w:widowControl/>
              <w:wordWrap w:val="0"/>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配套服务</w:t>
            </w:r>
          </w:p>
        </w:tc>
        <w:tc>
          <w:tcPr>
            <w:tcW w:w="6697" w:type="dxa"/>
            <w:shd w:val="clear" w:color="auto" w:fill="auto"/>
            <w:vAlign w:val="center"/>
          </w:tcPr>
          <w:p w14:paraId="07EA573F">
            <w:pPr>
              <w:widowControl/>
              <w:wordWrap w:val="0"/>
              <w:spacing w:after="0" w:line="240" w:lineRule="auto"/>
              <w:jc w:val="left"/>
              <w:rPr>
                <w:rFonts w:ascii="Times New Roman" w:hAnsi="Times New Roman" w:eastAsia="方正仿宋_GBK" w:cs="Times New Roman"/>
                <w:sz w:val="24"/>
                <w:szCs w:val="24"/>
              </w:rPr>
            </w:pPr>
            <w:r>
              <w:rPr>
                <w:rFonts w:hint="eastAsia" w:ascii="Times New Roman" w:hAnsi="Times New Roman" w:eastAsia="仿宋" w:cs="Times New Roman"/>
                <w:kern w:val="0"/>
                <w:sz w:val="24"/>
                <w:szCs w:val="24"/>
              </w:rPr>
              <w:t>合同有效期内厂家技术支撑及产品升级服务</w:t>
            </w:r>
          </w:p>
        </w:tc>
      </w:tr>
    </w:tbl>
    <w:p w14:paraId="401430E1">
      <w:pPr>
        <w:wordWrap w:val="0"/>
        <w:spacing w:after="0" w:line="560" w:lineRule="exact"/>
        <w:ind w:firstLine="480" w:firstLineChars="200"/>
        <w:jc w:val="left"/>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     </w:t>
      </w:r>
    </w:p>
    <w:p w14:paraId="1B1B6CBF">
      <w:pPr>
        <w:pStyle w:val="41"/>
        <w:numPr>
          <w:ilvl w:val="0"/>
          <w:numId w:val="10"/>
        </w:numPr>
        <w:ind w:left="0" w:firstLine="420"/>
        <w:jc w:val="left"/>
        <w:rPr>
          <w:rFonts w:ascii="Times New Roman" w:hAnsi="Times New Roman" w:eastAsia="仿宋"/>
          <w:kern w:val="0"/>
          <w:sz w:val="24"/>
        </w:rPr>
      </w:pPr>
      <w:r>
        <w:rPr>
          <w:rFonts w:ascii="Times New Roman" w:hAnsi="Times New Roman" w:eastAsia="仿宋"/>
          <w:kern w:val="0"/>
          <w:sz w:val="24"/>
        </w:rPr>
        <w:t xml:space="preserve">在宁办公区互联网流量监测  </w:t>
      </w:r>
    </w:p>
    <w:tbl>
      <w:tblPr>
        <w:tblStyle w:val="21"/>
        <w:tblW w:w="9072" w:type="dxa"/>
        <w:jc w:val="center"/>
        <w:tblLayout w:type="fixed"/>
        <w:tblCellMar>
          <w:top w:w="0" w:type="dxa"/>
          <w:left w:w="108" w:type="dxa"/>
          <w:bottom w:w="0" w:type="dxa"/>
          <w:right w:w="108" w:type="dxa"/>
        </w:tblCellMar>
      </w:tblPr>
      <w:tblGrid>
        <w:gridCol w:w="2415"/>
        <w:gridCol w:w="6657"/>
      </w:tblGrid>
      <w:tr w14:paraId="31E3AB93">
        <w:tblPrEx>
          <w:tblCellMar>
            <w:top w:w="0" w:type="dxa"/>
            <w:left w:w="108" w:type="dxa"/>
            <w:bottom w:w="0" w:type="dxa"/>
            <w:right w:w="108" w:type="dxa"/>
          </w:tblCellMar>
        </w:tblPrEx>
        <w:trPr>
          <w:trHeight w:val="28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2A6B5863">
            <w:pPr>
              <w:widowControl/>
              <w:spacing w:after="0" w:line="240" w:lineRule="auto"/>
              <w:jc w:val="center"/>
              <w:rPr>
                <w:rFonts w:ascii="仿宋" w:hAnsi="仿宋" w:eastAsia="仿宋" w:cs="仿宋"/>
                <w:b/>
                <w:bCs/>
                <w:kern w:val="0"/>
                <w:sz w:val="24"/>
                <w:szCs w:val="24"/>
              </w:rPr>
            </w:pPr>
            <w:r>
              <w:rPr>
                <w:rFonts w:ascii="仿宋" w:hAnsi="仿宋" w:eastAsia="仿宋" w:cs="仿宋"/>
                <w:b/>
                <w:bCs/>
                <w:kern w:val="0"/>
                <w:sz w:val="24"/>
                <w:szCs w:val="24"/>
              </w:rPr>
              <w:t>指标项</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6B9A77E1">
            <w:pPr>
              <w:widowControl/>
              <w:spacing w:after="0" w:line="240" w:lineRule="auto"/>
              <w:jc w:val="center"/>
              <w:rPr>
                <w:rFonts w:ascii="仿宋" w:hAnsi="仿宋" w:eastAsia="仿宋" w:cs="仿宋"/>
                <w:b/>
                <w:bCs/>
                <w:kern w:val="0"/>
                <w:sz w:val="24"/>
                <w:szCs w:val="24"/>
              </w:rPr>
            </w:pPr>
            <w:r>
              <w:rPr>
                <w:rFonts w:ascii="仿宋" w:hAnsi="仿宋" w:eastAsia="仿宋" w:cs="仿宋"/>
                <w:b/>
                <w:bCs/>
                <w:kern w:val="0"/>
                <w:sz w:val="24"/>
                <w:szCs w:val="24"/>
              </w:rPr>
              <w:t>指标要求</w:t>
            </w:r>
          </w:p>
        </w:tc>
      </w:tr>
      <w:tr w14:paraId="17F8D9EE">
        <w:tblPrEx>
          <w:tblCellMar>
            <w:top w:w="0" w:type="dxa"/>
            <w:left w:w="108" w:type="dxa"/>
            <w:bottom w:w="0" w:type="dxa"/>
            <w:right w:w="108" w:type="dxa"/>
          </w:tblCellMar>
        </w:tblPrEx>
        <w:trPr>
          <w:trHeight w:val="28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1558A931">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工作台</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308E8AD">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支持自定义个性化配置，支持以拖拽组件的方式进行画布页面设置</w:t>
            </w:r>
          </w:p>
        </w:tc>
      </w:tr>
      <w:tr w14:paraId="3D1ECFA9">
        <w:tblPrEx>
          <w:tblCellMar>
            <w:top w:w="0" w:type="dxa"/>
            <w:left w:w="108" w:type="dxa"/>
            <w:bottom w:w="0" w:type="dxa"/>
            <w:right w:w="108" w:type="dxa"/>
          </w:tblCellMar>
        </w:tblPrEx>
        <w:trPr>
          <w:trHeight w:val="28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50989179">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态势可视</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52331FEA">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支持安全态势的可视化呈现，以大屏的方式从攻击事件、资产安全、追踪溯源、运行监测等多个维度进行可视化展示，并可根据“组织架构”筛选大屏展示数据范围，支持自定义大屏轮播时间和大屏轮播顺序</w:t>
            </w:r>
          </w:p>
        </w:tc>
      </w:tr>
      <w:tr w14:paraId="067C5FE0">
        <w:tblPrEx>
          <w:tblCellMar>
            <w:top w:w="0" w:type="dxa"/>
            <w:left w:w="108" w:type="dxa"/>
            <w:bottom w:w="0" w:type="dxa"/>
            <w:right w:w="108" w:type="dxa"/>
          </w:tblCellMar>
        </w:tblPrEx>
        <w:trPr>
          <w:trHeight w:val="28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14950F0D">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监测中心</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593C5857">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告警监控支持查看告警的基本信息、受害者、攻击者、处置响应、举证全文信息，其中受害者和攻击者支持查看响应ATT&amp;CK矩阵视图</w:t>
            </w:r>
          </w:p>
        </w:tc>
      </w:tr>
      <w:tr w14:paraId="04741B1A">
        <w:tblPrEx>
          <w:tblCellMar>
            <w:top w:w="0" w:type="dxa"/>
            <w:left w:w="108" w:type="dxa"/>
            <w:bottom w:w="0" w:type="dxa"/>
            <w:right w:w="108" w:type="dxa"/>
          </w:tblCellMar>
        </w:tblPrEx>
        <w:trPr>
          <w:trHeight w:val="280" w:hRule="atLeast"/>
          <w:jc w:val="center"/>
        </w:trPr>
        <w:tc>
          <w:tcPr>
            <w:tcW w:w="24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A23C54">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分析中心</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3A99CBB9">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▲可对所有安全模型进行管理，具体可进行新增、删除、启用、告警等具体操作，创建定义模型，包含规则模型、统计模型、情报模型、AI 模型、关联模型。（提供第三方权威机构检测报告并加盖</w:t>
            </w:r>
            <w:r>
              <w:rPr>
                <w:rFonts w:hint="eastAsia" w:ascii="仿宋" w:hAnsi="仿宋" w:eastAsia="仿宋" w:cs="仿宋"/>
                <w:kern w:val="0"/>
                <w:sz w:val="24"/>
                <w:szCs w:val="24"/>
              </w:rPr>
              <w:t>厂家</w:t>
            </w:r>
            <w:r>
              <w:rPr>
                <w:rFonts w:ascii="仿宋" w:hAnsi="仿宋" w:eastAsia="仿宋" w:cs="仿宋"/>
                <w:kern w:val="0"/>
                <w:sz w:val="24"/>
                <w:szCs w:val="24"/>
              </w:rPr>
              <w:t>公章）</w:t>
            </w:r>
          </w:p>
        </w:tc>
      </w:tr>
      <w:tr w14:paraId="7EFDAEAE">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689E9B">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2122715D">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支持输入IP、域名、文件 HASH、URL、邮箱信息进行本地情报碰撞查询，可展示情报标签、情报类型、危险等级、运营商、家族信息等内容</w:t>
            </w:r>
          </w:p>
        </w:tc>
      </w:tr>
      <w:tr w14:paraId="15229DF2">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94F04D">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1BE548E5">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满足用户对告警级别的调整，通过自定义配置过滤条件对告警级别进行调整，并支持选择适用不同的组织架构；告警级别支持相对级别的升降和绝对级别的高、中、低，规则可选择长期生效或定期生效（提供产品</w:t>
            </w:r>
            <w:r>
              <w:rPr>
                <w:rFonts w:hint="eastAsia" w:ascii="仿宋" w:hAnsi="仿宋" w:eastAsia="仿宋" w:cs="仿宋"/>
                <w:kern w:val="0"/>
                <w:sz w:val="24"/>
                <w:szCs w:val="24"/>
              </w:rPr>
              <w:t>界面截图</w:t>
            </w:r>
            <w:r>
              <w:rPr>
                <w:rFonts w:ascii="仿宋" w:hAnsi="仿宋" w:eastAsia="仿宋" w:cs="仿宋"/>
                <w:kern w:val="0"/>
                <w:sz w:val="24"/>
                <w:szCs w:val="24"/>
              </w:rPr>
              <w:t>并加盖</w:t>
            </w:r>
            <w:r>
              <w:rPr>
                <w:rFonts w:hint="eastAsia" w:ascii="仿宋" w:hAnsi="仿宋" w:eastAsia="仿宋" w:cs="仿宋"/>
                <w:kern w:val="0"/>
                <w:sz w:val="24"/>
                <w:szCs w:val="24"/>
              </w:rPr>
              <w:t>厂家</w:t>
            </w:r>
            <w:r>
              <w:rPr>
                <w:rFonts w:ascii="仿宋" w:hAnsi="仿宋" w:eastAsia="仿宋" w:cs="仿宋"/>
                <w:kern w:val="0"/>
                <w:sz w:val="24"/>
                <w:szCs w:val="24"/>
              </w:rPr>
              <w:t>公章）</w:t>
            </w:r>
          </w:p>
        </w:tc>
      </w:tr>
      <w:tr w14:paraId="7CDB5629">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655159">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0079F3DF">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支持智能检索语句分析，支持检索语句的中文、英文、拼音智能联想，支持逻辑运算符与字段值的自动提示补全；支持将检索语句一键翻译为中文，提高可读性；保留搜索语句历史记录</w:t>
            </w:r>
          </w:p>
        </w:tc>
      </w:tr>
      <w:tr w14:paraId="7CE333D2">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16C7CD">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443606D7">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实现实体间网络互访关系的多级钻取，支持通过端口、协议、异常访问类型、攻击链等过滤关联关系，支持实体间网络互访关系的多级钻取，通过一键溯源进行威胁关系的自动拓展</w:t>
            </w:r>
          </w:p>
        </w:tc>
      </w:tr>
      <w:tr w14:paraId="1042A97E">
        <w:tblPrEx>
          <w:tblCellMar>
            <w:top w:w="0" w:type="dxa"/>
            <w:left w:w="108" w:type="dxa"/>
            <w:bottom w:w="0" w:type="dxa"/>
            <w:right w:w="108" w:type="dxa"/>
          </w:tblCellMar>
        </w:tblPrEx>
        <w:trPr>
          <w:trHeight w:val="280" w:hRule="atLeast"/>
          <w:jc w:val="center"/>
        </w:trPr>
        <w:tc>
          <w:tcPr>
            <w:tcW w:w="24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7FBA5C">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响应中心</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3D0BF24B">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支持前端拖拽式交互设计安全风险分析研判策略和联动响应剧本，支持多种策略编排动作，包括但不限于数据源、分析组件、处置响应等，可自动判断策略编排是否合理并弹窗提示</w:t>
            </w:r>
          </w:p>
        </w:tc>
      </w:tr>
      <w:tr w14:paraId="5A0C74D4">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C8D87A">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18CFC08D">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将联动设备能力封装，实现和不同产品的联动，支持设置3层递进阻断策略（如第一次阻断10分钟，第二次阻断30分钟，第三次永久阻断）；支持查看封禁设备数、封禁IP数、自动封禁IP数、本日解禁IP数、封禁订阅规则数、封禁SOAR剧本数，支持查看最近7天封禁IP趋势及防护设备封禁IP分布；支持封禁策略批量删除、解禁、导出（提供产品</w:t>
            </w:r>
            <w:r>
              <w:rPr>
                <w:rFonts w:hint="eastAsia" w:ascii="仿宋" w:hAnsi="仿宋" w:eastAsia="仿宋" w:cs="仿宋"/>
                <w:kern w:val="0"/>
                <w:sz w:val="24"/>
                <w:szCs w:val="24"/>
              </w:rPr>
              <w:t>界面截图</w:t>
            </w:r>
            <w:r>
              <w:rPr>
                <w:rFonts w:ascii="仿宋" w:hAnsi="仿宋" w:eastAsia="仿宋" w:cs="仿宋"/>
                <w:kern w:val="0"/>
                <w:sz w:val="24"/>
                <w:szCs w:val="24"/>
              </w:rPr>
              <w:t>并加盖</w:t>
            </w:r>
            <w:r>
              <w:rPr>
                <w:rFonts w:hint="eastAsia" w:ascii="仿宋" w:hAnsi="仿宋" w:eastAsia="仿宋" w:cs="仿宋"/>
                <w:kern w:val="0"/>
                <w:sz w:val="24"/>
                <w:szCs w:val="24"/>
              </w:rPr>
              <w:t>厂家</w:t>
            </w:r>
            <w:r>
              <w:rPr>
                <w:rFonts w:ascii="仿宋" w:hAnsi="仿宋" w:eastAsia="仿宋" w:cs="仿宋"/>
                <w:kern w:val="0"/>
                <w:sz w:val="24"/>
                <w:szCs w:val="24"/>
              </w:rPr>
              <w:t>公章）</w:t>
            </w:r>
          </w:p>
        </w:tc>
      </w:tr>
      <w:tr w14:paraId="4FA5C247">
        <w:tblPrEx>
          <w:tblCellMar>
            <w:top w:w="0" w:type="dxa"/>
            <w:left w:w="108" w:type="dxa"/>
            <w:bottom w:w="0" w:type="dxa"/>
            <w:right w:w="108" w:type="dxa"/>
          </w:tblCellMar>
        </w:tblPrEx>
        <w:trPr>
          <w:trHeight w:val="280" w:hRule="atLeast"/>
          <w:jc w:val="center"/>
        </w:trPr>
        <w:tc>
          <w:tcPr>
            <w:tcW w:w="24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84BD1A">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运营中心</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1EDE9C61">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情报源管理支持对接威胁情报中心，支持情报离线更新及在线更新，支持查看情报源中有效情报数、最近更新条数、最近更新时间、今日更新情报数、昨日命中情报数等</w:t>
            </w:r>
          </w:p>
        </w:tc>
      </w:tr>
      <w:tr w14:paraId="0895B0BD">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D38ED4">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tcPr>
          <w:p w14:paraId="6291D28D">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内置运营简报、安全分析运营、风险资产等多种报告模板，支持手动生成报告或以订阅方式自动生成报告，报告订阅可设定报告发送周期和报告生成时间，并可支持选择相应组织架构，通过邮件方式发送一位或多位收件人</w:t>
            </w:r>
          </w:p>
        </w:tc>
      </w:tr>
      <w:tr w14:paraId="65FAC788">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79C6D3">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tcPr>
          <w:p w14:paraId="151291D2">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支持预警、通报、工单功能，工单详情与备注支持多种内容格式，包括但不限于文字、图片、超链接、表格、代码片段、附件等类型；支持将预警信息直接转为内部通报，通报可直接派发工单</w:t>
            </w:r>
          </w:p>
        </w:tc>
      </w:tr>
      <w:tr w14:paraId="41B52AB9">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72AD5C">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tcPr>
          <w:p w14:paraId="5F582F43">
            <w:pPr>
              <w:widowControl/>
              <w:spacing w:after="0" w:line="240" w:lineRule="auto"/>
              <w:jc w:val="left"/>
              <w:rPr>
                <w:rFonts w:ascii="仿宋" w:hAnsi="仿宋" w:eastAsia="仿宋" w:cs="仿宋"/>
                <w:kern w:val="0"/>
                <w:sz w:val="24"/>
                <w:szCs w:val="24"/>
                <w:lang w:eastAsia="zh-Hans"/>
              </w:rPr>
            </w:pPr>
            <w:r>
              <w:rPr>
                <w:rFonts w:ascii="仿宋" w:hAnsi="仿宋" w:eastAsia="仿宋" w:cs="仿宋"/>
                <w:kern w:val="0"/>
                <w:sz w:val="24"/>
                <w:szCs w:val="24"/>
              </w:rPr>
              <w:t>▲</w:t>
            </w:r>
            <w:r>
              <w:rPr>
                <w:rFonts w:ascii="仿宋" w:hAnsi="仿宋" w:eastAsia="仿宋" w:cs="仿宋"/>
                <w:kern w:val="0"/>
                <w:sz w:val="24"/>
                <w:szCs w:val="24"/>
                <w:lang w:eastAsia="zh-Hans"/>
              </w:rPr>
              <w:t>通过工单处理情况、总资产数、风险资产数、风险概率等信息，对总部及分部的工作行为及取得的工作业绩进行评估，并运用评估结果对总部及分部的工作行为和业绩产生正面的引导</w:t>
            </w:r>
            <w:r>
              <w:rPr>
                <w:rFonts w:ascii="仿宋" w:hAnsi="仿宋" w:eastAsia="仿宋" w:cs="仿宋"/>
                <w:kern w:val="0"/>
                <w:sz w:val="24"/>
                <w:szCs w:val="24"/>
              </w:rPr>
              <w:t>（提供第三方权威机构检测报告并加盖</w:t>
            </w:r>
            <w:r>
              <w:rPr>
                <w:rFonts w:hint="eastAsia" w:ascii="仿宋" w:hAnsi="仿宋" w:eastAsia="仿宋" w:cs="仿宋"/>
                <w:kern w:val="0"/>
                <w:sz w:val="24"/>
                <w:szCs w:val="24"/>
              </w:rPr>
              <w:t>厂家</w:t>
            </w:r>
            <w:r>
              <w:rPr>
                <w:rFonts w:ascii="仿宋" w:hAnsi="仿宋" w:eastAsia="仿宋" w:cs="仿宋"/>
                <w:kern w:val="0"/>
                <w:sz w:val="24"/>
                <w:szCs w:val="24"/>
              </w:rPr>
              <w:t>公章）</w:t>
            </w:r>
          </w:p>
        </w:tc>
      </w:tr>
      <w:tr w14:paraId="29E8DD08">
        <w:tblPrEx>
          <w:tblCellMar>
            <w:top w:w="0" w:type="dxa"/>
            <w:left w:w="108" w:type="dxa"/>
            <w:bottom w:w="0" w:type="dxa"/>
            <w:right w:w="108" w:type="dxa"/>
          </w:tblCellMar>
        </w:tblPrEx>
        <w:trPr>
          <w:trHeight w:val="280" w:hRule="atLeast"/>
          <w:jc w:val="center"/>
        </w:trPr>
        <w:tc>
          <w:tcPr>
            <w:tcW w:w="24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5C6C8C">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资产中心</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0EC53E16">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支持任意两天的历史风险资产对比，对比风险资产评级变化、资产评分变化，历史风险资产对比数据，包括：新增、变动、修复、不变、风险上升、风险下降，以及维持不变</w:t>
            </w:r>
          </w:p>
        </w:tc>
      </w:tr>
      <w:tr w14:paraId="66989A3E">
        <w:tblPrEx>
          <w:tblCellMar>
            <w:top w:w="0" w:type="dxa"/>
            <w:left w:w="108" w:type="dxa"/>
            <w:bottom w:w="0" w:type="dxa"/>
            <w:right w:w="108" w:type="dxa"/>
          </w:tblCellMar>
        </w:tblPrEx>
        <w:trPr>
          <w:trHeight w:val="280" w:hRule="atLeast"/>
          <w:jc w:val="center"/>
        </w:trPr>
        <w:tc>
          <w:tcPr>
            <w:tcW w:w="24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628542">
            <w:pPr>
              <w:widowControl/>
              <w:spacing w:after="0" w:line="240" w:lineRule="auto"/>
              <w:jc w:val="center"/>
              <w:rPr>
                <w:rFonts w:ascii="仿宋" w:hAnsi="仿宋" w:eastAsia="仿宋" w:cs="仿宋"/>
                <w:kern w:val="0"/>
                <w:sz w:val="24"/>
                <w:szCs w:val="24"/>
              </w:rPr>
            </w:pP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24D6FF57">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rPr>
              <w:t>▲对资产的概况信息进行展示,具有资产概况、访问关系、行为画像、服务端口、访问端口、脆弱性等功能（提供第三方权威机构检测报告并加盖</w:t>
            </w:r>
            <w:r>
              <w:rPr>
                <w:rFonts w:hint="eastAsia" w:ascii="仿宋" w:hAnsi="仿宋" w:eastAsia="仿宋" w:cs="仿宋"/>
                <w:kern w:val="0"/>
                <w:sz w:val="24"/>
                <w:szCs w:val="24"/>
              </w:rPr>
              <w:t>厂家</w:t>
            </w:r>
            <w:r>
              <w:rPr>
                <w:rFonts w:ascii="仿宋" w:hAnsi="仿宋" w:eastAsia="仿宋" w:cs="仿宋"/>
                <w:kern w:val="0"/>
                <w:sz w:val="24"/>
                <w:szCs w:val="24"/>
              </w:rPr>
              <w:t>公章）</w:t>
            </w:r>
          </w:p>
        </w:tc>
      </w:tr>
      <w:tr w14:paraId="25BB151C">
        <w:tblPrEx>
          <w:tblCellMar>
            <w:top w:w="0" w:type="dxa"/>
            <w:left w:w="108" w:type="dxa"/>
            <w:bottom w:w="0" w:type="dxa"/>
            <w:right w:w="108" w:type="dxa"/>
          </w:tblCellMar>
        </w:tblPrEx>
        <w:trPr>
          <w:trHeight w:val="28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62FB64C9">
            <w:pPr>
              <w:widowControl/>
              <w:spacing w:after="0" w:line="240" w:lineRule="auto"/>
              <w:jc w:val="center"/>
              <w:rPr>
                <w:rFonts w:ascii="仿宋" w:hAnsi="仿宋" w:eastAsia="仿宋" w:cs="仿宋"/>
                <w:kern w:val="0"/>
                <w:sz w:val="24"/>
                <w:szCs w:val="24"/>
              </w:rPr>
            </w:pPr>
            <w:r>
              <w:rPr>
                <w:rFonts w:ascii="仿宋" w:hAnsi="仿宋" w:eastAsia="仿宋" w:cs="仿宋"/>
                <w:kern w:val="0"/>
                <w:sz w:val="24"/>
                <w:szCs w:val="24"/>
              </w:rPr>
              <w:t>运维管理</w:t>
            </w:r>
          </w:p>
        </w:tc>
        <w:tc>
          <w:tcPr>
            <w:tcW w:w="6657" w:type="dxa"/>
            <w:tcBorders>
              <w:top w:val="single" w:color="auto" w:sz="4" w:space="0"/>
              <w:left w:val="single" w:color="auto" w:sz="4" w:space="0"/>
              <w:bottom w:val="single" w:color="auto" w:sz="4" w:space="0"/>
              <w:right w:val="single" w:color="auto" w:sz="4" w:space="0"/>
            </w:tcBorders>
            <w:shd w:val="clear" w:color="auto" w:fill="auto"/>
          </w:tcPr>
          <w:p w14:paraId="719802F6">
            <w:pPr>
              <w:widowControl/>
              <w:spacing w:after="0" w:line="240" w:lineRule="auto"/>
              <w:jc w:val="left"/>
              <w:rPr>
                <w:rFonts w:ascii="仿宋" w:hAnsi="仿宋" w:eastAsia="仿宋" w:cs="仿宋"/>
                <w:kern w:val="0"/>
                <w:sz w:val="24"/>
                <w:szCs w:val="24"/>
              </w:rPr>
            </w:pPr>
            <w:r>
              <w:rPr>
                <w:rFonts w:ascii="仿宋" w:hAnsi="仿宋" w:eastAsia="仿宋" w:cs="仿宋"/>
                <w:kern w:val="0"/>
                <w:sz w:val="24"/>
                <w:szCs w:val="24"/>
                <w:lang w:eastAsia="zh-Hans"/>
              </w:rPr>
              <w:t>支持一键巡检功能，检查项包含但不限于数据健康、探针健康检查、大数据集群健康、实时流计算引擎健康、管理服务健康、服务器节点健康等多种维度检查，提供巡检处置建议，并能将巡检结果导出PDF格式分析</w:t>
            </w:r>
          </w:p>
        </w:tc>
      </w:tr>
      <w:tr w14:paraId="23922371">
        <w:tblPrEx>
          <w:tblCellMar>
            <w:top w:w="0" w:type="dxa"/>
            <w:left w:w="108" w:type="dxa"/>
            <w:bottom w:w="0" w:type="dxa"/>
            <w:right w:w="108" w:type="dxa"/>
          </w:tblCellMar>
        </w:tblPrEx>
        <w:trPr>
          <w:trHeight w:val="90" w:hRule="atLeast"/>
          <w:jc w:val="center"/>
        </w:trPr>
        <w:tc>
          <w:tcPr>
            <w:tcW w:w="2415" w:type="dxa"/>
            <w:tcBorders>
              <w:top w:val="single" w:color="auto" w:sz="4" w:space="0"/>
              <w:left w:val="single" w:color="auto" w:sz="4" w:space="0"/>
              <w:bottom w:val="single" w:color="auto" w:sz="4" w:space="0"/>
              <w:right w:val="single" w:color="auto" w:sz="4" w:space="0"/>
            </w:tcBorders>
            <w:shd w:val="clear" w:color="auto" w:fill="auto"/>
            <w:vAlign w:val="center"/>
          </w:tcPr>
          <w:p w14:paraId="56A37D31">
            <w:pPr>
              <w:widowControl/>
              <w:wordWrap w:val="0"/>
              <w:spacing w:after="0" w:line="240" w:lineRule="auto"/>
              <w:jc w:val="center"/>
              <w:rPr>
                <w:rFonts w:ascii="仿宋" w:hAnsi="仿宋" w:eastAsia="仿宋" w:cs="仿宋"/>
                <w:kern w:val="0"/>
                <w:sz w:val="24"/>
                <w:szCs w:val="24"/>
              </w:rPr>
            </w:pPr>
            <w:r>
              <w:rPr>
                <w:rFonts w:ascii="Times New Roman" w:hAnsi="Times New Roman" w:eastAsia="仿宋" w:cs="Times New Roman"/>
                <w:kern w:val="0"/>
                <w:sz w:val="24"/>
                <w:szCs w:val="24"/>
              </w:rPr>
              <w:t>配套服务</w:t>
            </w:r>
          </w:p>
        </w:tc>
        <w:tc>
          <w:tcPr>
            <w:tcW w:w="6657" w:type="dxa"/>
            <w:tcBorders>
              <w:top w:val="single" w:color="auto" w:sz="4" w:space="0"/>
              <w:left w:val="single" w:color="auto" w:sz="4" w:space="0"/>
              <w:bottom w:val="single" w:color="auto" w:sz="4" w:space="0"/>
              <w:right w:val="single" w:color="auto" w:sz="4" w:space="0"/>
            </w:tcBorders>
            <w:shd w:val="clear" w:color="auto" w:fill="auto"/>
            <w:vAlign w:val="center"/>
          </w:tcPr>
          <w:p w14:paraId="740169FC">
            <w:pPr>
              <w:widowControl/>
              <w:wordWrap w:val="0"/>
              <w:spacing w:after="0" w:line="240" w:lineRule="auto"/>
              <w:jc w:val="left"/>
              <w:rPr>
                <w:rFonts w:ascii="仿宋" w:hAnsi="仿宋" w:eastAsia="仿宋" w:cs="仿宋"/>
                <w:kern w:val="0"/>
                <w:sz w:val="24"/>
                <w:szCs w:val="24"/>
              </w:rPr>
            </w:pPr>
            <w:r>
              <w:rPr>
                <w:rFonts w:hint="eastAsia" w:ascii="Times New Roman" w:hAnsi="Times New Roman" w:eastAsia="仿宋" w:cs="Times New Roman"/>
                <w:kern w:val="0"/>
                <w:sz w:val="24"/>
                <w:szCs w:val="24"/>
              </w:rPr>
              <w:t>合同有效期内厂家技术支撑及产品升级服务</w:t>
            </w:r>
          </w:p>
        </w:tc>
      </w:tr>
    </w:tbl>
    <w:p w14:paraId="1798C1B0">
      <w:pPr>
        <w:ind w:firstLine="480" w:firstLineChars="200"/>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w:t>
      </w:r>
    </w:p>
    <w:p w14:paraId="1BB805FF">
      <w:pPr>
        <w:pStyle w:val="41"/>
        <w:numPr>
          <w:ilvl w:val="0"/>
          <w:numId w:val="10"/>
        </w:numPr>
        <w:ind w:left="0" w:firstLine="420"/>
        <w:jc w:val="left"/>
        <w:rPr>
          <w:rFonts w:ascii="Times New Roman" w:hAnsi="Times New Roman" w:eastAsia="仿宋"/>
          <w:kern w:val="0"/>
          <w:sz w:val="24"/>
        </w:rPr>
      </w:pPr>
      <w:bookmarkStart w:id="101" w:name="OLE_LINK4"/>
      <w:r>
        <w:rPr>
          <w:rFonts w:ascii="Times New Roman" w:hAnsi="Times New Roman" w:eastAsia="仿宋"/>
          <w:kern w:val="0"/>
          <w:sz w:val="24"/>
        </w:rPr>
        <w:t>数据分类分级</w:t>
      </w:r>
    </w:p>
    <w:tbl>
      <w:tblPr>
        <w:tblStyle w:val="21"/>
        <w:tblW w:w="9072" w:type="dxa"/>
        <w:jc w:val="center"/>
        <w:tblLayout w:type="fixed"/>
        <w:tblCellMar>
          <w:top w:w="0" w:type="dxa"/>
          <w:left w:w="108" w:type="dxa"/>
          <w:bottom w:w="0" w:type="dxa"/>
          <w:right w:w="108" w:type="dxa"/>
        </w:tblCellMar>
      </w:tblPr>
      <w:tblGrid>
        <w:gridCol w:w="2382"/>
        <w:gridCol w:w="6690"/>
      </w:tblGrid>
      <w:tr w14:paraId="25FA7846">
        <w:tblPrEx>
          <w:tblCellMar>
            <w:top w:w="0" w:type="dxa"/>
            <w:left w:w="108" w:type="dxa"/>
            <w:bottom w:w="0" w:type="dxa"/>
            <w:right w:w="108" w:type="dxa"/>
          </w:tblCellMar>
        </w:tblPrEx>
        <w:trPr>
          <w:trHeight w:val="280" w:hRule="atLeast"/>
          <w:jc w:val="center"/>
        </w:trPr>
        <w:tc>
          <w:tcPr>
            <w:tcW w:w="2382" w:type="dxa"/>
            <w:tcBorders>
              <w:top w:val="single" w:color="auto" w:sz="4" w:space="0"/>
              <w:left w:val="single" w:color="auto" w:sz="4" w:space="0"/>
              <w:bottom w:val="single" w:color="auto" w:sz="4" w:space="0"/>
              <w:right w:val="single" w:color="auto" w:sz="4" w:space="0"/>
            </w:tcBorders>
            <w:shd w:val="clear" w:color="auto" w:fill="auto"/>
            <w:vAlign w:val="center"/>
          </w:tcPr>
          <w:p w14:paraId="77373004">
            <w:pPr>
              <w:widowControl/>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指标项</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260284A4">
            <w:pPr>
              <w:widowControl/>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指标要求</w:t>
            </w:r>
          </w:p>
        </w:tc>
      </w:tr>
      <w:tr w14:paraId="42548A7E">
        <w:tblPrEx>
          <w:tblCellMar>
            <w:top w:w="0" w:type="dxa"/>
            <w:left w:w="108" w:type="dxa"/>
            <w:bottom w:w="0" w:type="dxa"/>
            <w:right w:w="108" w:type="dxa"/>
          </w:tblCellMar>
        </w:tblPrEx>
        <w:trPr>
          <w:trHeight w:val="840" w:hRule="atLeast"/>
          <w:jc w:val="center"/>
        </w:trPr>
        <w:tc>
          <w:tcPr>
            <w:tcW w:w="2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F78A19">
            <w:pPr>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数据源资产管理</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15D4DBD6">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支持数据库类型包括但不限于MySQL、Oracle、PostgreSQL、UXDB、MSSQL、MariaDB、Informix、Sysbase、DM、DB2、GBase、CacheDB、KingBase、Oscar、Oceanbase、GoldenDB、TiDB、MyCat、DBLE、DRDS、Hive、Inceptor、Impala、MongoDB等</w:t>
            </w:r>
          </w:p>
        </w:tc>
      </w:tr>
      <w:tr w14:paraId="1A47F8E8">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4146DD">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6AA8A280">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支持通过FTP/SFTP/LOCAL文件协议对csv、txt等文件进行分类分级</w:t>
            </w:r>
          </w:p>
        </w:tc>
      </w:tr>
      <w:tr w14:paraId="1B30ADC4">
        <w:tblPrEx>
          <w:tblCellMar>
            <w:top w:w="0" w:type="dxa"/>
            <w:left w:w="108" w:type="dxa"/>
            <w:bottom w:w="0" w:type="dxa"/>
            <w:right w:w="108" w:type="dxa"/>
          </w:tblCellMar>
        </w:tblPrEx>
        <w:trPr>
          <w:trHeight w:val="28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F47A85">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56FBEC45">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于数据源中所包含的数据质量进行评估，评估指标包含：字段总数、字段注释存在数、有含义的字段注释数、有含义的字段注释去重数、表总数、表注释存在数、有含义的表注释数、有含义的表注释去重数（提供产品界面截图并加盖厂家公章）</w:t>
            </w:r>
          </w:p>
        </w:tc>
      </w:tr>
      <w:tr w14:paraId="59347DC8">
        <w:tblPrEx>
          <w:tblCellMar>
            <w:top w:w="0" w:type="dxa"/>
            <w:left w:w="108" w:type="dxa"/>
            <w:bottom w:w="0" w:type="dxa"/>
            <w:right w:w="108" w:type="dxa"/>
          </w:tblCellMar>
        </w:tblPrEx>
        <w:trPr>
          <w:trHeight w:val="56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11C719">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62F7C4C">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以库、表、列方式对于数据资产目录进行可视化展示，数据表资产信息包含：数据源、主机、库名、Schema、行业模版、分类、分级、是否梳理、业务系统、部门、责任人、最后梳理时间、字段数、敏感字段数、已梳理占比，数据字段资产信息包含：字段名、字段注释、类型、规则名称、分类、分级、是否敏感、是否梳理、最后梳理时间、查看样本数据</w:t>
            </w:r>
          </w:p>
        </w:tc>
      </w:tr>
      <w:tr w14:paraId="619E1834">
        <w:tblPrEx>
          <w:tblCellMar>
            <w:top w:w="0" w:type="dxa"/>
            <w:left w:w="108" w:type="dxa"/>
            <w:bottom w:w="0" w:type="dxa"/>
            <w:right w:w="108" w:type="dxa"/>
          </w:tblCellMar>
        </w:tblPrEx>
        <w:trPr>
          <w:trHeight w:val="560" w:hRule="atLeast"/>
          <w:jc w:val="center"/>
        </w:trPr>
        <w:tc>
          <w:tcPr>
            <w:tcW w:w="2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DF427D">
            <w:pPr>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分类分级管理</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7A56591D">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支持对于结构化分类分级任务进行管理，包含任务创建、编辑、开始执行、批量执行、批量调度等功能</w:t>
            </w:r>
          </w:p>
        </w:tc>
      </w:tr>
      <w:tr w14:paraId="1CF6276E">
        <w:tblPrEx>
          <w:tblCellMar>
            <w:top w:w="0" w:type="dxa"/>
            <w:left w:w="108" w:type="dxa"/>
            <w:bottom w:w="0" w:type="dxa"/>
            <w:right w:w="108" w:type="dxa"/>
          </w:tblCellMar>
        </w:tblPrEx>
        <w:trPr>
          <w:trHeight w:val="84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0A85F9">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5F24E3E6">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可对于结构化分类分级任务进行相关配置，包括：抽样策略、执行逻辑、分类预选、字段含义识别、数据表筛选，其中执行逻辑中包含分类分级规则匹配规则、小模型分析、大模型分析</w:t>
            </w:r>
          </w:p>
        </w:tc>
      </w:tr>
      <w:tr w14:paraId="5E5D2B1A">
        <w:tblPrEx>
          <w:tblCellMar>
            <w:top w:w="0" w:type="dxa"/>
            <w:left w:w="108" w:type="dxa"/>
            <w:bottom w:w="0" w:type="dxa"/>
            <w:right w:w="108" w:type="dxa"/>
          </w:tblCellMar>
        </w:tblPrEx>
        <w:trPr>
          <w:trHeight w:val="94"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E2287A">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35F6A3D">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支持对于非结构化文件进行分类分级，可支持的文件类型包括：doxc/doc/txt/pdf/dcm，且支持非结构化分类分级模版的维护</w:t>
            </w:r>
          </w:p>
        </w:tc>
      </w:tr>
      <w:tr w14:paraId="3E60E544">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A47CB51">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88C0EAD">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支持数据分类分级的标准化项目管理流程，涵盖任务分配、数据打标、结果审核、结果验收、结果发布等环节</w:t>
            </w:r>
          </w:p>
        </w:tc>
      </w:tr>
      <w:tr w14:paraId="2E5576E5">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85456A">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AC687F6">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支持数据分类分级模版管理，且内置金融、政府、运营商、医疗、教育等行业通用模版及个人信息安全规范模版，其中个人信息相关识别规则不少于200条</w:t>
            </w:r>
          </w:p>
        </w:tc>
      </w:tr>
      <w:tr w14:paraId="1F16EF83">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9B5E85">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2DF1AD46">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▲支持对于分类分级框架进行自动化校验，校验错误包含：精炼性检测失败、业务含义明确性检测失败、分类间唯一性检测失败，且支持人工根据检测结果进行调整（提供产品界面截图并加盖厂家公章）</w:t>
            </w:r>
          </w:p>
        </w:tc>
      </w:tr>
      <w:tr w14:paraId="09D546D9">
        <w:tblPrEx>
          <w:tblCellMar>
            <w:top w:w="0" w:type="dxa"/>
            <w:left w:w="108" w:type="dxa"/>
            <w:bottom w:w="0" w:type="dxa"/>
            <w:right w:w="108" w:type="dxa"/>
          </w:tblCellMar>
        </w:tblPrEx>
        <w:trPr>
          <w:trHeight w:val="28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57DA60">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2BF8229D">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支持用户自定义分类分级规则，规则判断主体包含字段内容、字段名、字段注释、表名、表注释等，匹配方式包括正则匹配、字典匹配，且支持通过AND和OR进行多个规则的组合</w:t>
            </w:r>
          </w:p>
        </w:tc>
      </w:tr>
      <w:tr w14:paraId="1B3AE21C">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9EC917">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2A34193E">
            <w:pPr>
              <w:spacing w:after="0" w:line="240" w:lineRule="auto"/>
              <w:rPr>
                <w:rFonts w:ascii="Times New Roman" w:hAnsi="Times New Roman" w:eastAsia="仿宋" w:cs="Times New Roman"/>
                <w:kern w:val="0"/>
                <w:sz w:val="24"/>
                <w:szCs w:val="24"/>
              </w:rPr>
            </w:pPr>
            <w:r>
              <w:rPr>
                <w:rFonts w:hint="eastAsia" w:ascii="仿宋" w:hAnsi="仿宋" w:eastAsia="仿宋" w:cs="仿宋"/>
                <w:sz w:val="24"/>
                <w:szCs w:val="24"/>
              </w:rPr>
              <w:t>▲支持有监督学习模型的训练，模型算法包括传统集成学习、快速神经网络、深度神经网络等至少3种类型，传统集成学习支持分类器数量配置，快速神经网络支持训练轮数、学习率、最小词频、n-gram配置，深度神经网络支持训练轮数、学习率、批处理大小、滤波器数量配置，以便满足不同场景的学习训练要求（提供产品界面截图并加盖原厂公章）</w:t>
            </w:r>
          </w:p>
        </w:tc>
      </w:tr>
      <w:tr w14:paraId="378DA02D">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vAlign w:val="center"/>
          </w:tcPr>
          <w:p w14:paraId="7AE00372">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6BAAB31">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系统具备多租户管理能力，系统管理员可对于租户进行新建、编辑、删除、启用、停用等操作。租户之间数据相互隔离不可见、不可管理，并具备独立且完整的分类分级相关功能及配置</w:t>
            </w:r>
          </w:p>
        </w:tc>
      </w:tr>
      <w:tr w14:paraId="452B865A">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037108">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BAD33D5">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支持对于结构化分类分级任务进行管理，包含任务创建、编辑、开始执行、批量执行、批量调度等功能</w:t>
            </w:r>
          </w:p>
        </w:tc>
      </w:tr>
      <w:tr w14:paraId="18FF4097">
        <w:tblPrEx>
          <w:tblCellMar>
            <w:top w:w="0" w:type="dxa"/>
            <w:left w:w="108" w:type="dxa"/>
            <w:bottom w:w="0" w:type="dxa"/>
            <w:right w:w="108" w:type="dxa"/>
          </w:tblCellMar>
        </w:tblPrEx>
        <w:trPr>
          <w:trHeight w:val="90" w:hRule="atLeast"/>
          <w:jc w:val="center"/>
        </w:trPr>
        <w:tc>
          <w:tcPr>
            <w:tcW w:w="23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2038EC9">
            <w:pPr>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系统安全管理</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05DC2B1">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系统本身安全至少包括但不限于：强密码校验、密码尝试次数、密码锁定时长、密码有效期、页面超时时长等</w:t>
            </w:r>
          </w:p>
        </w:tc>
      </w:tr>
      <w:tr w14:paraId="0C6F8C21">
        <w:tblPrEx>
          <w:tblCellMar>
            <w:top w:w="0" w:type="dxa"/>
            <w:left w:w="108" w:type="dxa"/>
            <w:bottom w:w="0" w:type="dxa"/>
            <w:right w:w="108" w:type="dxa"/>
          </w:tblCellMar>
        </w:tblPrEx>
        <w:trPr>
          <w:trHeight w:val="90" w:hRule="atLeast"/>
          <w:jc w:val="center"/>
        </w:trPr>
        <w:tc>
          <w:tcPr>
            <w:tcW w:w="23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ABE147">
            <w:pPr>
              <w:spacing w:after="0" w:line="240" w:lineRule="auto"/>
              <w:rPr>
                <w:rFonts w:ascii="Times New Roman" w:hAnsi="Times New Roman" w:eastAsia="仿宋" w:cs="Times New Roman"/>
                <w:kern w:val="0"/>
                <w:sz w:val="24"/>
                <w:szCs w:val="24"/>
              </w:rPr>
            </w:pP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0BDCF9E1">
            <w:pPr>
              <w:spacing w:after="0" w:line="240" w:lineRule="auto"/>
              <w:rPr>
                <w:rFonts w:ascii="Times New Roman" w:hAnsi="Times New Roman" w:eastAsia="仿宋" w:cs="Times New Roman"/>
                <w:kern w:val="0"/>
                <w:sz w:val="24"/>
                <w:szCs w:val="24"/>
              </w:rPr>
            </w:pPr>
            <w:r>
              <w:rPr>
                <w:rFonts w:ascii="Times New Roman" w:hAnsi="Times New Roman" w:eastAsia="仿宋" w:cs="Times New Roman"/>
                <w:kern w:val="0"/>
                <w:sz w:val="24"/>
                <w:szCs w:val="24"/>
              </w:rPr>
              <w:t>系统本身需支持“三权分立”功能，至少包含系统管理员、安全管理员、审计管理员、权限管理员</w:t>
            </w:r>
          </w:p>
        </w:tc>
      </w:tr>
      <w:tr w14:paraId="0667A7E8">
        <w:tblPrEx>
          <w:tblCellMar>
            <w:top w:w="0" w:type="dxa"/>
            <w:left w:w="108" w:type="dxa"/>
            <w:bottom w:w="0" w:type="dxa"/>
            <w:right w:w="108" w:type="dxa"/>
          </w:tblCellMar>
        </w:tblPrEx>
        <w:trPr>
          <w:trHeight w:val="90" w:hRule="atLeast"/>
          <w:jc w:val="center"/>
        </w:trPr>
        <w:tc>
          <w:tcPr>
            <w:tcW w:w="2382" w:type="dxa"/>
            <w:tcBorders>
              <w:top w:val="single" w:color="auto" w:sz="4" w:space="0"/>
              <w:left w:val="single" w:color="auto" w:sz="4" w:space="0"/>
              <w:bottom w:val="single" w:color="auto" w:sz="4" w:space="0"/>
              <w:right w:val="single" w:color="auto" w:sz="4" w:space="0"/>
            </w:tcBorders>
            <w:shd w:val="clear" w:color="auto" w:fill="auto"/>
            <w:vAlign w:val="center"/>
          </w:tcPr>
          <w:p w14:paraId="2B202B4A">
            <w:pPr>
              <w:widowControl/>
              <w:spacing w:after="0" w:line="240" w:lineRule="auto"/>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配套服务</w:t>
            </w:r>
          </w:p>
        </w:tc>
        <w:tc>
          <w:tcPr>
            <w:tcW w:w="6690" w:type="dxa"/>
            <w:tcBorders>
              <w:top w:val="single" w:color="auto" w:sz="4" w:space="0"/>
              <w:left w:val="single" w:color="auto" w:sz="4" w:space="0"/>
              <w:bottom w:val="single" w:color="auto" w:sz="4" w:space="0"/>
              <w:right w:val="single" w:color="auto" w:sz="4" w:space="0"/>
            </w:tcBorders>
            <w:shd w:val="clear" w:color="auto" w:fill="auto"/>
            <w:vAlign w:val="center"/>
          </w:tcPr>
          <w:p w14:paraId="3842DCBF">
            <w:pPr>
              <w:widowControl/>
              <w:spacing w:after="0" w:line="240" w:lineRule="auto"/>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合同有效期内厂家技术支撑及产品升级服务</w:t>
            </w:r>
          </w:p>
        </w:tc>
      </w:tr>
      <w:bookmarkEnd w:id="101"/>
    </w:tbl>
    <w:p w14:paraId="3F7353D1">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3、人员要求</w:t>
      </w:r>
    </w:p>
    <w:p w14:paraId="125BCFFE">
      <w:pPr>
        <w:wordWrap w:val="0"/>
        <w:spacing w:after="0" w:line="560" w:lineRule="exact"/>
        <w:ind w:firstLine="480" w:firstLineChars="200"/>
        <w:rPr>
          <w:rFonts w:ascii="Times New Roman" w:hAnsi="Times New Roman" w:eastAsia="仿宋" w:cs="Times New Roman"/>
          <w:bCs/>
          <w:sz w:val="24"/>
          <w:szCs w:val="24"/>
        </w:rPr>
      </w:pPr>
      <w:r>
        <w:rPr>
          <w:rFonts w:hint="eastAsia" w:ascii="Times New Roman" w:hAnsi="Times New Roman" w:eastAsia="仿宋" w:cs="Times New Roman"/>
          <w:bCs/>
          <w:sz w:val="24"/>
          <w:szCs w:val="24"/>
        </w:rPr>
        <w:t>本项目拟投入项目组成员不得少于4 名，设置项目经理 1 名、技术负责人 1 名、网络安全负责人 1 名、保障安全运维工程师 2 名，所有人员资质证书复印件须加盖供应商公章，未按要求提供的不予认可。各岗位具体要求如下：</w:t>
      </w:r>
    </w:p>
    <w:p w14:paraId="69CBA58E">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（1）</w:t>
      </w:r>
      <w:r>
        <w:rPr>
          <w:rFonts w:hint="eastAsia" w:ascii="Times New Roman" w:hAnsi="Times New Roman" w:eastAsia="仿宋" w:cs="Times New Roman"/>
          <w:bCs/>
          <w:sz w:val="24"/>
          <w:szCs w:val="24"/>
        </w:rPr>
        <w:t>项目经理 1 名，总体负责本次安全运维项目全流程统筹管理工作。要求项目经理具有本科及以上学历，五年以上同类型政务网络与数据安全运维项目管理工作经验，熟悉国家网络安全等级保护、商用密码应用安全性评估、数据安全管理等法律法规及技术标准，具备扎实的网络安全技术能力与全流程项目管控能力。须具备与信息化相关专业的高级工程师证书，同时具备计算机技术与软件专业技术资格高级（系统规划与管理师）证书、信息安全保障人员认证证书（CISAW）、ITSS IT 服务项目经理证书 。</w:t>
      </w:r>
    </w:p>
    <w:p w14:paraId="1A523AF2">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（2）</w:t>
      </w:r>
      <w:r>
        <w:rPr>
          <w:rFonts w:hint="eastAsia" w:ascii="Times New Roman" w:hAnsi="Times New Roman" w:eastAsia="仿宋" w:cs="Times New Roman"/>
          <w:bCs/>
          <w:sz w:val="24"/>
          <w:szCs w:val="24"/>
        </w:rPr>
        <w:t>技术负责人 1 名，全面负责项目技术方案落地、技术攻坚、安全技术验证与全流程技术质量管理工作。要求具备三年以上政务网络安全项目技术管理经验，精通网络安全攻防、漏洞挖掘与修复、数据安全防护、渗透测试等核心技术，具备丰富的政务信息系统安全防护项目实操经验。须具备高级网络信息安全工程师证书、注册信息安全专业人员证书（CISP）、网络安全能力认证证书（CCSC ）。</w:t>
      </w:r>
    </w:p>
    <w:p w14:paraId="4A783CC5">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（3）</w:t>
      </w:r>
      <w:r>
        <w:rPr>
          <w:rFonts w:hint="eastAsia" w:ascii="Times New Roman" w:hAnsi="Times New Roman" w:eastAsia="仿宋" w:cs="Times New Roman"/>
          <w:bCs/>
          <w:sz w:val="24"/>
          <w:szCs w:val="24"/>
        </w:rPr>
        <w:t>网络安全负责人 1 名，专项负责项目安全运营体系建设、风险管控、应急处置、安全制度规范落地与重保工作统筹。要求具备三年以上政务行业网络与数据安全运营相关工作经验，熟悉政务信息系统安全防护要求、应急处置流程与网络安全责任制相关规定。须具备注册信息安全工程师证书（CISP）、信息安全保障人员认证证书（CISAW）、计算机技术与软件专业技术资格高级（信息系统项目管理师）证书。</w:t>
      </w:r>
    </w:p>
    <w:p w14:paraId="50659245">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（4）</w:t>
      </w:r>
      <w:r>
        <w:rPr>
          <w:rFonts w:hint="eastAsia" w:ascii="Times New Roman" w:hAnsi="Times New Roman" w:eastAsia="仿宋" w:cs="Times New Roman"/>
          <w:bCs/>
          <w:sz w:val="24"/>
          <w:szCs w:val="24"/>
        </w:rPr>
        <w:t>安全运维工程师 2 名，负责日常安全运维、7×24 小时监测预警、现场值守、漏洞整改指导、安全事件应急处置等一线执行工作。要求具有两年及以上同类型项目安全运维工作经验，具备扎实的安全运维实操能力，熟悉政务网络环境与常见安全设备、系统的运维操作。每名工程师须至少具备信息安全保障人员认证证书（CISAW）或信息安全工程师证书。</w:t>
      </w:r>
    </w:p>
    <w:p w14:paraId="1FEC3527">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4、运维计划要求</w:t>
      </w:r>
    </w:p>
    <w:p w14:paraId="191DCCE4">
      <w:pPr>
        <w:wordWrap w:val="0"/>
        <w:spacing w:after="0" w:line="560" w:lineRule="exact"/>
        <w:ind w:firstLine="480" w:firstLineChars="200"/>
        <w:rPr>
          <w:rFonts w:ascii="Times New Roman" w:hAnsi="Times New Roman" w:eastAsia="仿宋" w:cs="Times New Roman"/>
          <w:bCs/>
          <w:sz w:val="24"/>
          <w:szCs w:val="24"/>
        </w:rPr>
      </w:pPr>
      <w:r>
        <w:rPr>
          <w:rFonts w:hint="eastAsia" w:ascii="Times New Roman" w:hAnsi="Times New Roman" w:eastAsia="仿宋" w:cs="Times New Roman"/>
          <w:bCs/>
          <w:sz w:val="24"/>
          <w:szCs w:val="24"/>
        </w:rPr>
        <w:t>本次安全运维项目服务期为1年，本次项目开展分为四个阶段，分别为项目准备阶段、实施方案阶段、现场实施阶段，总结验收阶段。需提供项目实施方案，明确各阶段工作内容与交付。</w:t>
      </w:r>
    </w:p>
    <w:p w14:paraId="60151893">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5、项目保密要求</w:t>
      </w:r>
    </w:p>
    <w:p w14:paraId="60954C52">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必须严格规范项目组成员的行为，执行各项保密制度，合同签订完成后签订保密协议，对在项目实施过程中接触的各类信息进行保密管理，杜绝敏感信息泄露事件的发生。</w:t>
      </w:r>
    </w:p>
    <w:p w14:paraId="02AC6042">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6、项目验收要求</w:t>
      </w:r>
    </w:p>
    <w:p w14:paraId="14441E76">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必须严格规范项目组成员的行为，执行各项保密制度，合同签订完成后签订保密协议，对在项目实施过程中接触的各类信息进行保密管理，杜绝敏感信息泄露事件的发生。</w:t>
      </w:r>
    </w:p>
    <w:p w14:paraId="3FFB20D5">
      <w:pPr>
        <w:wordWrap w:val="0"/>
        <w:spacing w:after="0" w:line="560" w:lineRule="exact"/>
        <w:ind w:firstLine="480" w:firstLineChars="200"/>
        <w:rPr>
          <w:rFonts w:ascii="Times New Roman" w:hAnsi="Times New Roman" w:eastAsia="仿宋" w:cs="Times New Roman"/>
          <w:bCs/>
          <w:sz w:val="24"/>
          <w:szCs w:val="24"/>
        </w:rPr>
      </w:pPr>
      <w:r>
        <w:rPr>
          <w:rFonts w:ascii="Times New Roman" w:hAnsi="Times New Roman" w:eastAsia="仿宋" w:cs="Times New Roman"/>
          <w:bCs/>
          <w:sz w:val="24"/>
          <w:szCs w:val="24"/>
        </w:rPr>
        <w:t>7、供应商要求</w:t>
      </w:r>
    </w:p>
    <w:p w14:paraId="724C061E">
      <w:pPr>
        <w:wordWrap w:val="0"/>
        <w:spacing w:after="0" w:line="560" w:lineRule="exact"/>
        <w:ind w:firstLine="480" w:firstLineChars="200"/>
        <w:rPr>
          <w:rFonts w:ascii="Times New Roman" w:hAnsi="Times New Roman" w:eastAsia="仿宋" w:cs="Times New Roman"/>
          <w:b/>
        </w:rPr>
      </w:pPr>
      <w:r>
        <w:rPr>
          <w:rFonts w:ascii="Times New Roman" w:hAnsi="Times New Roman" w:eastAsia="仿宋" w:cs="Times New Roman"/>
          <w:bCs/>
          <w:sz w:val="24"/>
          <w:szCs w:val="24"/>
        </w:rPr>
        <w:t>至少具备1种资质证书，证书类别包含ISO27001《信息安全管理体系认证证书》、国家信息安全测评信息安全服务资质证书（安全运营类一级及以上）、国家信息安全测评信息安全服务资质证书（风险评估或安全运维一级及以上）、中国网络安全审查技术与认证中心信息安全服务资质证书（信息系统网络安全审计）、中国国家信息安全漏洞库（CNNVD）技术支撑单位、检验检测机构资质认定证书（CMA）。</w:t>
      </w:r>
      <w:r>
        <w:rPr>
          <w:rFonts w:ascii="Times New Roman" w:hAnsi="Times New Roman" w:eastAsia="仿宋" w:cs="Times New Roman"/>
          <w:b/>
        </w:rPr>
        <w:t xml:space="preserve"> </w:t>
      </w:r>
    </w:p>
    <w:p w14:paraId="73E7D87A">
      <w:pPr>
        <w:pStyle w:val="30"/>
        <w:numPr>
          <w:ilvl w:val="0"/>
          <w:numId w:val="4"/>
        </w:numPr>
        <w:wordWrap w:val="0"/>
        <w:spacing w:after="0" w:line="560" w:lineRule="exact"/>
        <w:ind w:left="-199" w:leftChars="-95" w:firstLine="0"/>
        <w:rPr>
          <w:rFonts w:ascii="Times New Roman" w:hAnsi="Times New Roman" w:eastAsia="仿宋"/>
          <w:lang w:val="zh-CN"/>
        </w:rPr>
      </w:pPr>
      <w:r>
        <w:rPr>
          <w:rFonts w:ascii="Times New Roman" w:hAnsi="Times New Roman" w:eastAsia="仿宋"/>
        </w:rPr>
        <w:t>商务条款</w:t>
      </w:r>
    </w:p>
    <w:p w14:paraId="2E2ADAF3">
      <w:pPr>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1、服务时间：自合同签订之日起一年。</w:t>
      </w:r>
    </w:p>
    <w:p w14:paraId="6E5AFF09">
      <w:pPr>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2、服务地点：南京。</w:t>
      </w:r>
    </w:p>
    <w:p w14:paraId="6A733CF9">
      <w:pPr>
        <w:wordWrap w:val="0"/>
        <w:spacing w:after="0" w:line="560" w:lineRule="exact"/>
        <w:ind w:firstLine="480"/>
        <w:rPr>
          <w:rFonts w:ascii="Times New Roman" w:hAnsi="Times New Roman" w:eastAsia="仿宋" w:cs="Times New Roman"/>
          <w:bCs/>
          <w:sz w:val="24"/>
          <w:szCs w:val="24"/>
        </w:rPr>
      </w:pPr>
      <w:r>
        <w:rPr>
          <w:rFonts w:ascii="Times New Roman" w:hAnsi="Times New Roman" w:eastAsia="仿宋" w:cs="Times New Roman"/>
          <w:bCs/>
          <w:sz w:val="24"/>
          <w:szCs w:val="24"/>
        </w:rPr>
        <w:t>3、支付方式：分期支付。</w:t>
      </w:r>
    </w:p>
    <w:p w14:paraId="34F8BF1A">
      <w:pPr>
        <w:wordWrap w:val="0"/>
        <w:spacing w:after="0" w:line="560" w:lineRule="exact"/>
        <w:ind w:firstLine="480"/>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1）第一期付款：合同签订后7个工作日内，乙方需向甲方缴纳合同总价10%的资金额度作为该项目的履约保证金（乙方也可按甲方要求提交相关银行出具的针对该项目的同等额度履约保函），甲方在收到乙方缴纳的履约保证金（或提交的履约保函）后7个工作日内，向乙方支付合同总价50%的项目款，作为预付款。</w:t>
      </w:r>
    </w:p>
    <w:p w14:paraId="786773CE">
      <w:pPr>
        <w:wordWrap w:val="0"/>
        <w:spacing w:after="0" w:line="560" w:lineRule="exact"/>
        <w:ind w:firstLine="480"/>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（2）第二期付款：本年度</w:t>
      </w:r>
      <w:r>
        <w:rPr>
          <w:rFonts w:hint="eastAsia" w:ascii="Times New Roman" w:hAnsi="Times New Roman" w:eastAsia="仿宋" w:cs="Times New Roman"/>
          <w:bCs/>
          <w:color w:val="auto"/>
          <w:sz w:val="24"/>
          <w:szCs w:val="24"/>
          <w:highlight w:val="none"/>
          <w:lang w:val="en-US" w:eastAsia="zh-CN"/>
        </w:rPr>
        <w:t>年底</w:t>
      </w:r>
      <w:r>
        <w:rPr>
          <w:rFonts w:hint="eastAsia" w:ascii="Times New Roman" w:hAnsi="Times New Roman" w:eastAsia="仿宋" w:cs="Times New Roman"/>
          <w:bCs/>
          <w:color w:val="auto"/>
          <w:sz w:val="24"/>
          <w:szCs w:val="24"/>
          <w:highlight w:val="none"/>
        </w:rPr>
        <w:t>前，经甲方确认乙方无服务质量问题并通过项目阶段性</w:t>
      </w:r>
      <w:r>
        <w:rPr>
          <w:rFonts w:hint="eastAsia" w:ascii="Times New Roman" w:hAnsi="Times New Roman" w:eastAsia="仿宋" w:cs="Times New Roman"/>
          <w:bCs/>
          <w:color w:val="auto"/>
          <w:sz w:val="24"/>
          <w:szCs w:val="24"/>
          <w:highlight w:val="none"/>
          <w:lang w:val="en-US" w:eastAsia="zh-CN"/>
        </w:rPr>
        <w:t>考核</w:t>
      </w:r>
      <w:r>
        <w:rPr>
          <w:rFonts w:hint="eastAsia" w:ascii="Times New Roman" w:hAnsi="Times New Roman" w:eastAsia="仿宋" w:cs="Times New Roman"/>
          <w:bCs/>
          <w:color w:val="auto"/>
          <w:sz w:val="24"/>
          <w:szCs w:val="24"/>
          <w:highlight w:val="none"/>
        </w:rPr>
        <w:t>后7个工作日内，由甲方视实际情况向乙方支付合同总价的50%。</w:t>
      </w:r>
    </w:p>
    <w:p w14:paraId="197254FF">
      <w:pPr>
        <w:wordWrap w:val="0"/>
        <w:spacing w:after="0" w:line="560" w:lineRule="exact"/>
        <w:ind w:firstLine="480"/>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（3）履约保证金退还：合同履约结束，经甲方确认乙方无服务质量问题并通过</w:t>
      </w:r>
      <w:r>
        <w:rPr>
          <w:rFonts w:hint="eastAsia" w:ascii="Times New Roman" w:hAnsi="Times New Roman" w:eastAsia="仿宋" w:cs="Times New Roman"/>
          <w:bCs/>
          <w:color w:val="auto"/>
          <w:sz w:val="24"/>
          <w:szCs w:val="24"/>
          <w:highlight w:val="none"/>
          <w:lang w:val="en-US" w:eastAsia="zh-CN"/>
        </w:rPr>
        <w:t>最终验收</w:t>
      </w:r>
      <w:r>
        <w:rPr>
          <w:rFonts w:hint="eastAsia" w:ascii="Times New Roman" w:hAnsi="Times New Roman" w:eastAsia="仿宋" w:cs="Times New Roman"/>
          <w:bCs/>
          <w:color w:val="auto"/>
          <w:sz w:val="24"/>
          <w:szCs w:val="24"/>
          <w:highlight w:val="none"/>
        </w:rPr>
        <w:t>后7个工作日内，由甲方向乙方退还履约保证金（或协助乙方完成履约保函撤销手续）。</w:t>
      </w:r>
    </w:p>
    <w:p w14:paraId="53FAD07A">
      <w:pPr>
        <w:wordWrap w:val="0"/>
        <w:spacing w:after="0" w:line="560" w:lineRule="exact"/>
        <w:ind w:firstLine="480"/>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（4）因乙方未按甲方要求出具相应票据导致的延迟付款，甲方不承担违约责任。若乙方提供发票顺延/遇法定节假日的，则甲方的付款时间相应顺延。</w:t>
      </w:r>
    </w:p>
    <w:p w14:paraId="127ED2AB">
      <w:pPr>
        <w:wordWrap w:val="0"/>
        <w:spacing w:after="0" w:line="560" w:lineRule="exact"/>
        <w:ind w:firstLine="480"/>
        <w:rPr>
          <w:rFonts w:hint="eastAsia"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rPr>
        <w:t>（5）本项目的付款时间为甲方向政府采购支付部门提出支付申请的时间，不含支付部门审查的时间，乙方应充分理解财政预算下达和支付审核所需时间，不因此延迟交付成果和向甲方索赔任何额外费用及追究甲方责任。</w:t>
      </w:r>
    </w:p>
    <w:p w14:paraId="2144BC2D">
      <w:pPr>
        <w:spacing w:line="360" w:lineRule="auto"/>
        <w:ind w:firstLine="480"/>
        <w:rPr>
          <w:rFonts w:ascii="仿宋" w:hAnsi="仿宋" w:eastAsia="仿宋" w:cs="仿宋"/>
          <w:b/>
          <w:i/>
          <w:iCs/>
          <w:sz w:val="24"/>
          <w:szCs w:val="24"/>
          <w:u w:val="single"/>
        </w:rPr>
      </w:pPr>
      <w:r>
        <w:rPr>
          <w:rFonts w:hint="eastAsia" w:ascii="仿宋" w:hAnsi="仿宋" w:eastAsia="仿宋" w:cs="仿宋"/>
          <w:b/>
          <w:i/>
          <w:iCs/>
          <w:sz w:val="24"/>
          <w:szCs w:val="24"/>
          <w:u w:val="single"/>
        </w:rPr>
        <w:t>4、所有报价、承诺事项及重要证明文件均须加盖公司公章。</w:t>
      </w:r>
    </w:p>
    <w:p w14:paraId="39436B70">
      <w:pPr>
        <w:pStyle w:val="29"/>
        <w:pageBreakBefore/>
        <w:spacing w:after="317" w:line="360" w:lineRule="auto"/>
        <w:textAlignment w:val="baseline"/>
        <w:rPr>
          <w:rFonts w:ascii="仿宋" w:hAnsi="仿宋" w:eastAsia="仿宋" w:cs="仿宋"/>
          <w:sz w:val="40"/>
        </w:rPr>
      </w:pPr>
      <w:bookmarkStart w:id="102" w:name="_Toc2013"/>
      <w:bookmarkStart w:id="103" w:name="_Toc29652"/>
      <w:bookmarkStart w:id="104" w:name="_Toc12740"/>
      <w:bookmarkStart w:id="105" w:name="_Toc6651"/>
      <w:bookmarkStart w:id="106" w:name="_Toc10125"/>
      <w:bookmarkStart w:id="107" w:name="_Toc14747"/>
      <w:bookmarkStart w:id="108" w:name="_Toc30554"/>
      <w:bookmarkStart w:id="109" w:name="_Toc8215"/>
      <w:bookmarkStart w:id="110" w:name="_Toc4369"/>
      <w:bookmarkStart w:id="111" w:name="_Toc25710"/>
      <w:bookmarkStart w:id="112" w:name="_Toc20507"/>
      <w:bookmarkStart w:id="113" w:name="_Toc11206"/>
      <w:r>
        <w:rPr>
          <w:rFonts w:hint="eastAsia" w:ascii="仿宋" w:hAnsi="仿宋" w:eastAsia="仿宋" w:cs="仿宋"/>
          <w:sz w:val="40"/>
        </w:rPr>
        <w:t>第五章 评审方法与评审标准</w:t>
      </w:r>
      <w:bookmarkEnd w:id="60"/>
      <w:bookmarkEnd w:id="61"/>
      <w:bookmarkEnd w:id="102"/>
      <w:bookmarkEnd w:id="103"/>
      <w:bookmarkEnd w:id="104"/>
      <w:bookmarkEnd w:id="105"/>
      <w:bookmarkEnd w:id="106"/>
      <w:bookmarkEnd w:id="107"/>
      <w:bookmarkEnd w:id="108"/>
      <w:bookmarkEnd w:id="109"/>
      <w:bookmarkEnd w:id="110"/>
      <w:bookmarkEnd w:id="111"/>
      <w:bookmarkEnd w:id="112"/>
      <w:bookmarkEnd w:id="113"/>
    </w:p>
    <w:p w14:paraId="59522298">
      <w:pPr>
        <w:pStyle w:val="30"/>
        <w:spacing w:line="360" w:lineRule="auto"/>
        <w:jc w:val="both"/>
        <w:textAlignment w:val="baseline"/>
        <w:rPr>
          <w:rFonts w:ascii="仿宋" w:hAnsi="仿宋" w:eastAsia="仿宋" w:cs="仿宋"/>
          <w:kern w:val="0"/>
        </w:rPr>
      </w:pPr>
      <w:bookmarkStart w:id="114" w:name="_Toc27014"/>
      <w:bookmarkStart w:id="115" w:name="_Toc24443"/>
      <w:bookmarkStart w:id="116" w:name="_Toc28602"/>
      <w:bookmarkStart w:id="117" w:name="_Toc10921"/>
      <w:bookmarkStart w:id="118" w:name="_Toc29596"/>
      <w:bookmarkStart w:id="119" w:name="_Toc19406"/>
      <w:bookmarkStart w:id="120" w:name="_Toc29851"/>
      <w:bookmarkStart w:id="121" w:name="_Toc8431"/>
      <w:bookmarkStart w:id="122" w:name="_Toc20057"/>
      <w:bookmarkStart w:id="123" w:name="_Toc28173"/>
      <w:bookmarkStart w:id="124" w:name="_Toc22523"/>
      <w:bookmarkStart w:id="125" w:name="_Toc3647"/>
      <w:bookmarkStart w:id="126" w:name="_Toc965"/>
      <w:bookmarkStart w:id="127" w:name="_Toc30094"/>
      <w:bookmarkStart w:id="128" w:name="_Toc15428"/>
      <w:bookmarkStart w:id="129" w:name="_Toc6348"/>
      <w:bookmarkStart w:id="130" w:name="_Toc21249"/>
      <w:bookmarkStart w:id="131" w:name="_Toc19520"/>
      <w:bookmarkStart w:id="132" w:name="_Toc11427"/>
      <w:bookmarkStart w:id="133" w:name="_Toc525"/>
      <w:bookmarkStart w:id="134" w:name="_Toc31260"/>
      <w:bookmarkStart w:id="135" w:name="_Toc9244"/>
      <w:r>
        <w:rPr>
          <w:rFonts w:hint="eastAsia" w:ascii="仿宋" w:hAnsi="仿宋" w:eastAsia="仿宋" w:cs="仿宋"/>
          <w:kern w:val="0"/>
        </w:rPr>
        <w:t xml:space="preserve">    一、评审方法与评审原则</w:t>
      </w:r>
      <w:bookmarkEnd w:id="114"/>
      <w:bookmarkEnd w:id="115"/>
      <w:bookmarkEnd w:id="116"/>
      <w:bookmarkEnd w:id="117"/>
      <w:bookmarkEnd w:id="118"/>
      <w:bookmarkEnd w:id="119"/>
      <w:bookmarkEnd w:id="120"/>
      <w:bookmarkEnd w:id="121"/>
      <w:bookmarkEnd w:id="122"/>
      <w:bookmarkEnd w:id="123"/>
    </w:p>
    <w:p w14:paraId="66F6E8BC">
      <w:pPr>
        <w:snapToGrid w:val="0"/>
        <w:spacing w:line="360" w:lineRule="auto"/>
        <w:ind w:firstLine="480" w:firstLineChars="200"/>
        <w:textAlignment w:val="baseline"/>
        <w:rPr>
          <w:rFonts w:ascii="仿宋" w:hAnsi="仿宋" w:eastAsia="仿宋" w:cs="仿宋"/>
          <w:sz w:val="24"/>
          <w:szCs w:val="24"/>
          <w:lang w:val="zh-CN"/>
        </w:rPr>
      </w:pPr>
      <w:r>
        <w:rPr>
          <w:rFonts w:hint="eastAsia" w:ascii="仿宋" w:hAnsi="仿宋" w:eastAsia="仿宋" w:cs="仿宋"/>
          <w:sz w:val="24"/>
          <w:szCs w:val="24"/>
          <w:lang w:val="zh-CN"/>
        </w:rPr>
        <w:t>磋商小组将对确定为实质性响应采购文件要求的响应文件进行评价和比较，评审采用综合评分法。采用综合评分法的，评审结果按评审后得分由高到低顺序</w:t>
      </w:r>
      <w:r>
        <w:rPr>
          <w:rFonts w:hint="eastAsia" w:ascii="仿宋" w:hAnsi="仿宋" w:eastAsia="仿宋" w:cs="仿宋"/>
          <w:sz w:val="24"/>
          <w:szCs w:val="24"/>
        </w:rPr>
        <w:t>排列</w:t>
      </w:r>
      <w:r>
        <w:rPr>
          <w:rFonts w:hint="eastAsia" w:ascii="仿宋" w:hAnsi="仿宋" w:eastAsia="仿宋" w:cs="仿宋"/>
          <w:sz w:val="24"/>
          <w:szCs w:val="24"/>
          <w:lang w:val="zh-CN"/>
        </w:rPr>
        <w:t>。得分相同的，按磋商</w:t>
      </w:r>
      <w:r>
        <w:rPr>
          <w:rFonts w:hint="eastAsia" w:ascii="仿宋" w:hAnsi="仿宋" w:eastAsia="仿宋" w:cs="仿宋"/>
          <w:sz w:val="24"/>
          <w:szCs w:val="24"/>
        </w:rPr>
        <w:t>最终</w:t>
      </w:r>
      <w:r>
        <w:rPr>
          <w:rFonts w:hint="eastAsia" w:ascii="仿宋" w:hAnsi="仿宋" w:eastAsia="仿宋" w:cs="仿宋"/>
          <w:sz w:val="24"/>
          <w:szCs w:val="24"/>
          <w:lang w:val="zh-CN"/>
        </w:rPr>
        <w:t>报价由低到高顺序排列。得分且磋商</w:t>
      </w:r>
      <w:r>
        <w:rPr>
          <w:rFonts w:hint="eastAsia" w:ascii="仿宋" w:hAnsi="仿宋" w:eastAsia="仿宋" w:cs="仿宋"/>
          <w:sz w:val="24"/>
          <w:szCs w:val="24"/>
        </w:rPr>
        <w:t>最终</w:t>
      </w:r>
      <w:r>
        <w:rPr>
          <w:rFonts w:hint="eastAsia" w:ascii="仿宋" w:hAnsi="仿宋" w:eastAsia="仿宋" w:cs="仿宋"/>
          <w:sz w:val="24"/>
          <w:szCs w:val="24"/>
          <w:lang w:val="zh-CN"/>
        </w:rPr>
        <w:t>报价相同的</w:t>
      </w:r>
      <w:r>
        <w:rPr>
          <w:rFonts w:hint="eastAsia" w:ascii="仿宋" w:hAnsi="仿宋" w:eastAsia="仿宋" w:cs="仿宋"/>
          <w:sz w:val="24"/>
          <w:szCs w:val="24"/>
          <w:lang w:val="en-US" w:eastAsia="zh-CN"/>
        </w:rPr>
        <w:t>并列</w:t>
      </w:r>
      <w:r>
        <w:rPr>
          <w:rFonts w:hint="eastAsia" w:ascii="仿宋" w:hAnsi="仿宋" w:eastAsia="仿宋" w:cs="仿宋"/>
          <w:sz w:val="24"/>
          <w:szCs w:val="24"/>
          <w:lang w:val="zh-CN"/>
        </w:rPr>
        <w:t>，响应文件满足磋商文件全部实质性要求，且按照评审因素的</w:t>
      </w:r>
      <w:r>
        <w:rPr>
          <w:rFonts w:hint="eastAsia" w:ascii="仿宋" w:hAnsi="仿宋" w:eastAsia="仿宋" w:cs="宋体"/>
          <w:kern w:val="0"/>
          <w:sz w:val="24"/>
          <w:szCs w:val="24"/>
        </w:rPr>
        <w:t>量化指标</w:t>
      </w:r>
      <w:r>
        <w:rPr>
          <w:rFonts w:hint="eastAsia" w:ascii="仿宋" w:hAnsi="仿宋" w:eastAsia="仿宋" w:cs="仿宋"/>
          <w:sz w:val="24"/>
          <w:szCs w:val="24"/>
          <w:lang w:val="zh-CN"/>
        </w:rPr>
        <w:t>评审得分由高到低按顺序推荐3名成交候选人，由采购人确定1名成交供应商。具体打分办法如下：</w:t>
      </w:r>
    </w:p>
    <w:p w14:paraId="26508C1F">
      <w:pPr>
        <w:pStyle w:val="30"/>
        <w:numPr>
          <w:ilvl w:val="0"/>
          <w:numId w:val="11"/>
        </w:numPr>
        <w:spacing w:line="360" w:lineRule="auto"/>
        <w:ind w:left="1110" w:hanging="420"/>
        <w:textAlignment w:val="baseline"/>
        <w:rPr>
          <w:rFonts w:ascii="仿宋" w:hAnsi="仿宋" w:eastAsia="仿宋" w:cs="仿宋"/>
        </w:rPr>
      </w:pPr>
      <w:bookmarkStart w:id="136" w:name="_Toc32460"/>
      <w:bookmarkStart w:id="137" w:name="_Toc19408"/>
      <w:bookmarkStart w:id="138" w:name="_Toc21820"/>
      <w:bookmarkStart w:id="139" w:name="_Toc12011"/>
      <w:bookmarkStart w:id="140" w:name="_Toc30006"/>
      <w:bookmarkStart w:id="141" w:name="_Toc9896"/>
      <w:bookmarkStart w:id="142" w:name="_Toc15724"/>
      <w:bookmarkStart w:id="143" w:name="_Toc31111"/>
      <w:bookmarkStart w:id="144" w:name="_Toc20964"/>
      <w:bookmarkStart w:id="145" w:name="_Toc9689"/>
      <w:r>
        <w:rPr>
          <w:rFonts w:hint="eastAsia" w:ascii="仿宋" w:hAnsi="仿宋" w:eastAsia="仿宋" w:cs="仿宋"/>
          <w:kern w:val="0"/>
        </w:rPr>
        <w:t>评审标准</w:t>
      </w:r>
      <w:bookmarkEnd w:id="136"/>
      <w:bookmarkEnd w:id="137"/>
      <w:bookmarkEnd w:id="138"/>
      <w:bookmarkEnd w:id="139"/>
      <w:bookmarkEnd w:id="140"/>
      <w:bookmarkEnd w:id="141"/>
      <w:bookmarkEnd w:id="142"/>
      <w:bookmarkEnd w:id="143"/>
      <w:bookmarkEnd w:id="144"/>
      <w:bookmarkEnd w:id="145"/>
    </w:p>
    <w:tbl>
      <w:tblPr>
        <w:tblStyle w:val="21"/>
        <w:tblW w:w="9214"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6483"/>
        <w:gridCol w:w="746"/>
      </w:tblGrid>
      <w:tr w14:paraId="5087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shd w:val="clear" w:color="000000" w:fill="D9D9D9"/>
            <w:vAlign w:val="center"/>
          </w:tcPr>
          <w:p w14:paraId="339351F9">
            <w:pPr>
              <w:widowControl/>
              <w:spacing w:after="0" w:line="240" w:lineRule="auto"/>
              <w:jc w:val="center"/>
              <w:rPr>
                <w:rFonts w:ascii="仿宋" w:hAnsi="仿宋" w:eastAsia="仿宋" w:cs="宋体"/>
                <w:b/>
                <w:bCs/>
                <w:kern w:val="0"/>
                <w:sz w:val="24"/>
                <w:szCs w:val="24"/>
              </w:rPr>
            </w:pPr>
            <w:r>
              <w:rPr>
                <w:rFonts w:hint="eastAsia" w:ascii="仿宋" w:hAnsi="仿宋" w:eastAsia="仿宋" w:cs="宋体"/>
                <w:b/>
                <w:bCs/>
                <w:kern w:val="0"/>
                <w:sz w:val="24"/>
                <w:szCs w:val="24"/>
              </w:rPr>
              <w:t>序号</w:t>
            </w:r>
          </w:p>
        </w:tc>
        <w:tc>
          <w:tcPr>
            <w:tcW w:w="1276" w:type="dxa"/>
            <w:shd w:val="clear" w:color="000000" w:fill="D9D9D9"/>
            <w:vAlign w:val="center"/>
          </w:tcPr>
          <w:p w14:paraId="7A0F0776">
            <w:pPr>
              <w:widowControl/>
              <w:spacing w:after="0" w:line="240" w:lineRule="auto"/>
              <w:jc w:val="center"/>
              <w:rPr>
                <w:rFonts w:ascii="仿宋" w:hAnsi="仿宋" w:eastAsia="仿宋" w:cs="宋体"/>
                <w:b/>
                <w:bCs/>
                <w:kern w:val="0"/>
                <w:sz w:val="24"/>
                <w:szCs w:val="24"/>
              </w:rPr>
            </w:pPr>
            <w:r>
              <w:rPr>
                <w:rFonts w:hint="eastAsia" w:ascii="仿宋" w:hAnsi="仿宋" w:eastAsia="仿宋" w:cs="宋体"/>
                <w:b/>
                <w:bCs/>
                <w:kern w:val="0"/>
                <w:sz w:val="24"/>
                <w:szCs w:val="24"/>
              </w:rPr>
              <w:t>评审因素</w:t>
            </w:r>
          </w:p>
        </w:tc>
        <w:tc>
          <w:tcPr>
            <w:tcW w:w="6483" w:type="dxa"/>
            <w:shd w:val="clear" w:color="000000" w:fill="D9D9D9"/>
            <w:vAlign w:val="center"/>
          </w:tcPr>
          <w:p w14:paraId="26D02D8F">
            <w:pPr>
              <w:widowControl/>
              <w:spacing w:after="0" w:line="240" w:lineRule="auto"/>
              <w:jc w:val="center"/>
              <w:rPr>
                <w:rFonts w:ascii="仿宋" w:hAnsi="仿宋" w:eastAsia="仿宋" w:cs="宋体"/>
                <w:b/>
                <w:bCs/>
                <w:kern w:val="0"/>
                <w:sz w:val="24"/>
                <w:szCs w:val="24"/>
              </w:rPr>
            </w:pPr>
            <w:r>
              <w:rPr>
                <w:rFonts w:hint="eastAsia" w:ascii="仿宋" w:hAnsi="仿宋" w:eastAsia="仿宋" w:cs="宋体"/>
                <w:b/>
                <w:bCs/>
                <w:kern w:val="0"/>
                <w:sz w:val="24"/>
                <w:szCs w:val="24"/>
              </w:rPr>
              <w:t>评审细则</w:t>
            </w:r>
          </w:p>
        </w:tc>
        <w:tc>
          <w:tcPr>
            <w:tcW w:w="746" w:type="dxa"/>
            <w:shd w:val="clear" w:color="000000" w:fill="D9D9D9"/>
            <w:vAlign w:val="center"/>
          </w:tcPr>
          <w:p w14:paraId="4A27955B">
            <w:pPr>
              <w:widowControl/>
              <w:spacing w:after="0" w:line="240" w:lineRule="auto"/>
              <w:jc w:val="center"/>
              <w:rPr>
                <w:rFonts w:ascii="仿宋" w:hAnsi="仿宋" w:eastAsia="仿宋" w:cs="宋体"/>
                <w:b/>
                <w:bCs/>
                <w:kern w:val="0"/>
                <w:sz w:val="24"/>
                <w:szCs w:val="24"/>
              </w:rPr>
            </w:pPr>
            <w:r>
              <w:rPr>
                <w:rFonts w:hint="eastAsia" w:ascii="仿宋" w:hAnsi="仿宋" w:eastAsia="仿宋" w:cs="宋体"/>
                <w:b/>
                <w:bCs/>
                <w:kern w:val="0"/>
                <w:sz w:val="24"/>
                <w:szCs w:val="24"/>
              </w:rPr>
              <w:t>得分</w:t>
            </w:r>
          </w:p>
        </w:tc>
      </w:tr>
      <w:tr w14:paraId="73DD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09" w:type="dxa"/>
            <w:shd w:val="clear" w:color="auto" w:fill="auto"/>
            <w:vAlign w:val="center"/>
          </w:tcPr>
          <w:p w14:paraId="203D6FC7">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1</w:t>
            </w:r>
          </w:p>
        </w:tc>
        <w:tc>
          <w:tcPr>
            <w:tcW w:w="1276" w:type="dxa"/>
            <w:shd w:val="clear" w:color="auto" w:fill="auto"/>
            <w:vAlign w:val="center"/>
          </w:tcPr>
          <w:p w14:paraId="11560E9A">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价格标准（</w:t>
            </w:r>
            <w:r>
              <w:rPr>
                <w:rFonts w:ascii="仿宋" w:hAnsi="仿宋" w:eastAsia="仿宋" w:cs="Times New Roman"/>
                <w:kern w:val="0"/>
                <w:sz w:val="24"/>
                <w:szCs w:val="24"/>
              </w:rPr>
              <w:t>10</w:t>
            </w:r>
            <w:r>
              <w:rPr>
                <w:rFonts w:hint="eastAsia" w:ascii="仿宋" w:hAnsi="仿宋" w:eastAsia="仿宋" w:cs="宋体"/>
                <w:kern w:val="0"/>
                <w:sz w:val="24"/>
                <w:szCs w:val="24"/>
              </w:rPr>
              <w:t>）</w:t>
            </w:r>
          </w:p>
        </w:tc>
        <w:tc>
          <w:tcPr>
            <w:tcW w:w="6483" w:type="dxa"/>
            <w:shd w:val="clear" w:color="auto" w:fill="auto"/>
            <w:vAlign w:val="center"/>
          </w:tcPr>
          <w:p w14:paraId="68E9E63D">
            <w:pPr>
              <w:widowControl/>
              <w:spacing w:after="0" w:line="240" w:lineRule="auto"/>
              <w:ind w:firstLine="480" w:firstLineChars="200"/>
            </w:pPr>
            <w:r>
              <w:rPr>
                <w:rFonts w:hint="eastAsia" w:ascii="仿宋" w:hAnsi="仿宋" w:eastAsia="仿宋" w:cs="宋体"/>
                <w:kern w:val="0"/>
                <w:sz w:val="24"/>
                <w:szCs w:val="24"/>
              </w:rPr>
              <w:t>采用低价优先法计算，即满足磋商文件要求且响应价格最低的磋商报价为评审基准价，其价格分为满分。其他供应商的价格分统一按照下列公式计算：磋商报价得分</w:t>
            </w:r>
            <w:r>
              <w:rPr>
                <w:rFonts w:ascii="仿宋" w:hAnsi="仿宋" w:eastAsia="仿宋" w:cs="Times New Roman"/>
                <w:kern w:val="0"/>
                <w:sz w:val="24"/>
                <w:szCs w:val="24"/>
              </w:rPr>
              <w:t>=</w:t>
            </w:r>
            <w:r>
              <w:rPr>
                <w:rFonts w:hint="eastAsia" w:ascii="仿宋" w:hAnsi="仿宋" w:eastAsia="仿宋" w:cs="宋体"/>
                <w:kern w:val="0"/>
                <w:sz w:val="24"/>
                <w:szCs w:val="24"/>
              </w:rPr>
              <w:t>（评审基准价</w:t>
            </w:r>
            <w:r>
              <w:rPr>
                <w:rFonts w:ascii="仿宋" w:hAnsi="仿宋" w:eastAsia="仿宋" w:cs="Times New Roman"/>
                <w:kern w:val="0"/>
                <w:sz w:val="24"/>
                <w:szCs w:val="24"/>
              </w:rPr>
              <w:t>/</w:t>
            </w:r>
            <w:r>
              <w:rPr>
                <w:rFonts w:hint="eastAsia" w:ascii="仿宋" w:hAnsi="仿宋" w:eastAsia="仿宋" w:cs="宋体"/>
                <w:kern w:val="0"/>
                <w:sz w:val="24"/>
                <w:szCs w:val="24"/>
              </w:rPr>
              <w:t>投标报价）</w:t>
            </w:r>
            <w:r>
              <w:rPr>
                <w:rFonts w:ascii="仿宋" w:hAnsi="仿宋" w:eastAsia="仿宋" w:cs="Times New Roman"/>
                <w:kern w:val="0"/>
                <w:sz w:val="24"/>
                <w:szCs w:val="24"/>
              </w:rPr>
              <w:t>×10</w:t>
            </w:r>
            <w:r>
              <w:rPr>
                <w:rFonts w:hint="eastAsia" w:ascii="仿宋" w:hAnsi="仿宋" w:eastAsia="仿宋" w:cs="Times New Roman"/>
                <w:kern w:val="0"/>
                <w:sz w:val="24"/>
                <w:szCs w:val="24"/>
              </w:rPr>
              <w:t>。（小数点保留两位）</w:t>
            </w:r>
          </w:p>
        </w:tc>
        <w:tc>
          <w:tcPr>
            <w:tcW w:w="746" w:type="dxa"/>
            <w:shd w:val="clear" w:color="auto" w:fill="auto"/>
            <w:vAlign w:val="center"/>
          </w:tcPr>
          <w:p w14:paraId="0A8223C3">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10</w:t>
            </w:r>
          </w:p>
        </w:tc>
      </w:tr>
      <w:tr w14:paraId="7F6F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709" w:type="dxa"/>
            <w:shd w:val="clear" w:color="auto" w:fill="auto"/>
            <w:vAlign w:val="center"/>
          </w:tcPr>
          <w:p w14:paraId="60C4383F">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2</w:t>
            </w:r>
          </w:p>
        </w:tc>
        <w:tc>
          <w:tcPr>
            <w:tcW w:w="1276" w:type="dxa"/>
            <w:shd w:val="clear" w:color="auto" w:fill="auto"/>
            <w:vAlign w:val="center"/>
          </w:tcPr>
          <w:p w14:paraId="4D6851AE">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安全服务工具要求</w:t>
            </w:r>
            <w:r>
              <w:rPr>
                <w:rFonts w:hint="eastAsia" w:ascii="仿宋" w:hAnsi="仿宋" w:eastAsia="仿宋" w:cs="宋体"/>
                <w:kern w:val="0"/>
                <w:sz w:val="24"/>
                <w:szCs w:val="24"/>
              </w:rPr>
              <w:br w:type="textWrapping"/>
            </w:r>
            <w:r>
              <w:rPr>
                <w:rFonts w:hint="eastAsia" w:ascii="仿宋" w:hAnsi="仿宋" w:eastAsia="仿宋" w:cs="宋体"/>
                <w:kern w:val="0"/>
                <w:sz w:val="24"/>
                <w:szCs w:val="24"/>
              </w:rPr>
              <w:t>（</w:t>
            </w:r>
            <w:r>
              <w:rPr>
                <w:rFonts w:ascii="仿宋" w:hAnsi="仿宋" w:eastAsia="仿宋" w:cs="宋体"/>
                <w:kern w:val="0"/>
                <w:sz w:val="24"/>
                <w:szCs w:val="24"/>
              </w:rPr>
              <w:t>18</w:t>
            </w:r>
            <w:r>
              <w:rPr>
                <w:rFonts w:hint="eastAsia" w:ascii="仿宋" w:hAnsi="仿宋" w:eastAsia="仿宋" w:cs="宋体"/>
                <w:kern w:val="0"/>
                <w:sz w:val="24"/>
                <w:szCs w:val="24"/>
              </w:rPr>
              <w:t>）</w:t>
            </w:r>
          </w:p>
        </w:tc>
        <w:tc>
          <w:tcPr>
            <w:tcW w:w="6483" w:type="dxa"/>
            <w:shd w:val="clear" w:color="auto" w:fill="auto"/>
            <w:vAlign w:val="center"/>
          </w:tcPr>
          <w:p w14:paraId="6CC48A25">
            <w:pPr>
              <w:widowControl/>
              <w:spacing w:after="0" w:line="240" w:lineRule="auto"/>
              <w:ind w:firstLine="480"/>
              <w:rPr>
                <w:rFonts w:ascii="仿宋" w:hAnsi="仿宋" w:eastAsia="仿宋" w:cs="Times New Roman"/>
                <w:b/>
                <w:kern w:val="0"/>
                <w:sz w:val="24"/>
                <w:szCs w:val="24"/>
              </w:rPr>
            </w:pPr>
            <w:r>
              <w:rPr>
                <w:rFonts w:hint="eastAsia" w:ascii="仿宋" w:hAnsi="仿宋" w:eastAsia="仿宋" w:cs="Times New Roman"/>
                <w:kern w:val="0"/>
                <w:sz w:val="24"/>
                <w:szCs w:val="24"/>
              </w:rPr>
              <w:t>供应商提供的安全服务工具技术参数完全满足或高于磋商文件安全服务工具技术要求的得</w:t>
            </w:r>
            <w:r>
              <w:rPr>
                <w:rFonts w:ascii="仿宋" w:hAnsi="仿宋" w:eastAsia="仿宋" w:cs="Times New Roman"/>
                <w:kern w:val="0"/>
                <w:sz w:val="24"/>
                <w:szCs w:val="24"/>
              </w:rPr>
              <w:t>18</w:t>
            </w:r>
            <w:r>
              <w:rPr>
                <w:rFonts w:hint="eastAsia" w:ascii="仿宋" w:hAnsi="仿宋" w:eastAsia="仿宋" w:cs="Times New Roman"/>
                <w:kern w:val="0"/>
                <w:sz w:val="24"/>
                <w:szCs w:val="24"/>
              </w:rPr>
              <w:t>分；带</w:t>
            </w:r>
            <w:r>
              <w:rPr>
                <w:rFonts w:ascii="仿宋" w:hAnsi="仿宋" w:eastAsia="仿宋" w:cs="Times New Roman"/>
                <w:kern w:val="0"/>
                <w:sz w:val="24"/>
                <w:szCs w:val="24"/>
              </w:rPr>
              <w:t>“</w:t>
            </w:r>
            <w:r>
              <w:rPr>
                <w:rFonts w:hint="eastAsia" w:ascii="仿宋" w:hAnsi="仿宋" w:eastAsia="仿宋" w:cs="Times New Roman"/>
                <w:kern w:val="0"/>
                <w:sz w:val="24"/>
                <w:szCs w:val="24"/>
              </w:rPr>
              <w:t>▲</w:t>
            </w:r>
            <w:r>
              <w:rPr>
                <w:rFonts w:ascii="仿宋" w:hAnsi="仿宋" w:eastAsia="仿宋" w:cs="Times New Roman"/>
                <w:kern w:val="0"/>
                <w:sz w:val="24"/>
                <w:szCs w:val="24"/>
              </w:rPr>
              <w:t>”</w:t>
            </w:r>
            <w:r>
              <w:rPr>
                <w:rFonts w:hint="eastAsia" w:ascii="仿宋" w:hAnsi="仿宋" w:eastAsia="仿宋" w:cs="Times New Roman"/>
                <w:kern w:val="0"/>
                <w:sz w:val="24"/>
                <w:szCs w:val="24"/>
              </w:rPr>
              <w:t>号技术参数每有</w:t>
            </w:r>
            <w:r>
              <w:rPr>
                <w:rFonts w:ascii="仿宋" w:hAnsi="仿宋" w:eastAsia="仿宋" w:cs="Times New Roman"/>
                <w:kern w:val="0"/>
                <w:sz w:val="24"/>
                <w:szCs w:val="24"/>
              </w:rPr>
              <w:t>1</w:t>
            </w:r>
            <w:r>
              <w:rPr>
                <w:rFonts w:hint="eastAsia" w:ascii="仿宋" w:hAnsi="仿宋" w:eastAsia="仿宋" w:cs="Times New Roman"/>
                <w:kern w:val="0"/>
                <w:sz w:val="24"/>
                <w:szCs w:val="24"/>
              </w:rPr>
              <w:t>项负偏离扣</w:t>
            </w:r>
            <w:r>
              <w:rPr>
                <w:rFonts w:ascii="仿宋" w:hAnsi="仿宋" w:eastAsia="仿宋" w:cs="Times New Roman"/>
                <w:kern w:val="0"/>
                <w:sz w:val="24"/>
                <w:szCs w:val="24"/>
              </w:rPr>
              <w:t>1</w:t>
            </w:r>
            <w:r>
              <w:rPr>
                <w:rFonts w:hint="eastAsia" w:ascii="仿宋" w:hAnsi="仿宋" w:eastAsia="仿宋" w:cs="Times New Roman"/>
                <w:kern w:val="0"/>
                <w:sz w:val="24"/>
                <w:szCs w:val="24"/>
              </w:rPr>
              <w:t>分，其余技术参数每有</w:t>
            </w:r>
            <w:r>
              <w:rPr>
                <w:rFonts w:ascii="仿宋" w:hAnsi="仿宋" w:eastAsia="仿宋" w:cs="Times New Roman"/>
                <w:kern w:val="0"/>
                <w:sz w:val="24"/>
                <w:szCs w:val="24"/>
              </w:rPr>
              <w:t>1</w:t>
            </w:r>
            <w:r>
              <w:rPr>
                <w:rFonts w:hint="eastAsia" w:ascii="仿宋" w:hAnsi="仿宋" w:eastAsia="仿宋" w:cs="Times New Roman"/>
                <w:kern w:val="0"/>
                <w:sz w:val="24"/>
                <w:szCs w:val="24"/>
              </w:rPr>
              <w:t>项负偏离扣0.5分，扣完为止。</w:t>
            </w:r>
          </w:p>
          <w:p w14:paraId="14623754">
            <w:pPr>
              <w:widowControl/>
              <w:spacing w:after="0" w:line="240" w:lineRule="auto"/>
              <w:rPr>
                <w:rFonts w:ascii="仿宋" w:hAnsi="仿宋" w:eastAsia="仿宋" w:cs="Times New Roman"/>
                <w:b/>
                <w:kern w:val="0"/>
                <w:sz w:val="24"/>
                <w:szCs w:val="24"/>
              </w:rPr>
            </w:pPr>
            <w:r>
              <w:rPr>
                <w:rFonts w:hint="eastAsia" w:ascii="仿宋" w:hAnsi="仿宋" w:eastAsia="仿宋" w:cs="Times New Roman"/>
                <w:b/>
                <w:kern w:val="0"/>
                <w:sz w:val="24"/>
                <w:szCs w:val="24"/>
              </w:rPr>
              <w:t>供应商需在</w:t>
            </w:r>
            <w:r>
              <w:rPr>
                <w:rFonts w:ascii="仿宋" w:hAnsi="仿宋" w:eastAsia="仿宋" w:cs="Times New Roman"/>
                <w:b/>
                <w:kern w:val="0"/>
                <w:sz w:val="24"/>
                <w:szCs w:val="24"/>
              </w:rPr>
              <w:t>“</w:t>
            </w:r>
            <w:r>
              <w:rPr>
                <w:rFonts w:hint="eastAsia" w:ascii="仿宋" w:hAnsi="仿宋" w:eastAsia="仿宋" w:cs="Times New Roman"/>
                <w:b/>
                <w:kern w:val="0"/>
                <w:sz w:val="24"/>
                <w:szCs w:val="24"/>
              </w:rPr>
              <w:t>技术条款偏离表</w:t>
            </w:r>
            <w:r>
              <w:rPr>
                <w:rFonts w:ascii="仿宋" w:hAnsi="仿宋" w:eastAsia="仿宋" w:cs="Times New Roman"/>
                <w:b/>
                <w:kern w:val="0"/>
                <w:sz w:val="24"/>
                <w:szCs w:val="24"/>
              </w:rPr>
              <w:t>”</w:t>
            </w:r>
            <w:r>
              <w:rPr>
                <w:rFonts w:hint="eastAsia" w:ascii="仿宋" w:hAnsi="仿宋" w:eastAsia="仿宋" w:cs="Times New Roman"/>
                <w:b/>
                <w:kern w:val="0"/>
                <w:sz w:val="24"/>
                <w:szCs w:val="24"/>
              </w:rPr>
              <w:t>中如实逐项填列所提供的技术参数，并按磋商文件要求提供相应证明材料，复制磋商文件参数而又无相关资料证实的，磋商小组有权做负偏离处理。</w:t>
            </w:r>
          </w:p>
        </w:tc>
        <w:tc>
          <w:tcPr>
            <w:tcW w:w="746" w:type="dxa"/>
            <w:shd w:val="clear" w:color="auto" w:fill="auto"/>
            <w:vAlign w:val="center"/>
          </w:tcPr>
          <w:p w14:paraId="3894A7BD">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18</w:t>
            </w:r>
          </w:p>
        </w:tc>
      </w:tr>
      <w:tr w14:paraId="4390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09" w:type="dxa"/>
            <w:vMerge w:val="restart"/>
            <w:shd w:val="clear" w:color="auto" w:fill="auto"/>
            <w:vAlign w:val="center"/>
          </w:tcPr>
          <w:p w14:paraId="5BD65B38">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p w14:paraId="0BF6EA84">
            <w:pPr>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　</w:t>
            </w:r>
          </w:p>
        </w:tc>
        <w:tc>
          <w:tcPr>
            <w:tcW w:w="1276" w:type="dxa"/>
            <w:vMerge w:val="restart"/>
            <w:shd w:val="clear" w:color="auto" w:fill="auto"/>
            <w:vAlign w:val="center"/>
          </w:tcPr>
          <w:p w14:paraId="764B6AA3">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技术方案（</w:t>
            </w:r>
            <w:r>
              <w:rPr>
                <w:rFonts w:ascii="仿宋" w:hAnsi="仿宋" w:eastAsia="仿宋" w:cs="宋体"/>
                <w:kern w:val="0"/>
                <w:sz w:val="24"/>
                <w:szCs w:val="24"/>
              </w:rPr>
              <w:t>45</w:t>
            </w:r>
            <w:r>
              <w:rPr>
                <w:rFonts w:hint="eastAsia" w:ascii="仿宋" w:hAnsi="仿宋" w:eastAsia="仿宋" w:cs="宋体"/>
                <w:kern w:val="0"/>
                <w:sz w:val="24"/>
                <w:szCs w:val="24"/>
              </w:rPr>
              <w:t>）</w:t>
            </w:r>
          </w:p>
          <w:p w14:paraId="55AA5072">
            <w:pPr>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　</w:t>
            </w:r>
          </w:p>
        </w:tc>
        <w:tc>
          <w:tcPr>
            <w:tcW w:w="6483" w:type="dxa"/>
            <w:shd w:val="clear" w:color="auto" w:fill="auto"/>
            <w:vAlign w:val="center"/>
          </w:tcPr>
          <w:p w14:paraId="1999D717">
            <w:pPr>
              <w:widowControl/>
              <w:spacing w:after="0" w:line="240" w:lineRule="auto"/>
              <w:jc w:val="left"/>
              <w:rPr>
                <w:rFonts w:ascii="仿宋" w:hAnsi="仿宋" w:eastAsia="仿宋" w:cs="宋体"/>
                <w:sz w:val="24"/>
                <w:szCs w:val="24"/>
              </w:rPr>
            </w:pPr>
            <w:r>
              <w:rPr>
                <w:rFonts w:hint="eastAsia" w:ascii="仿宋" w:hAnsi="仿宋" w:eastAsia="仿宋"/>
                <w:sz w:val="24"/>
                <w:szCs w:val="24"/>
              </w:rPr>
              <w:t xml:space="preserve">    3.1根据响应文件中资产管理方案进行评分。需包含服务内容、服务流程、服务内容和方法、交付成果、信息收集内容、情报梳理、探测范围、资产核查表等内容，做到科学合理，内容具体，具备可行性。优于项目需求的得</w:t>
            </w:r>
            <w:r>
              <w:rPr>
                <w:rFonts w:ascii="仿宋" w:hAnsi="仿宋" w:eastAsia="仿宋"/>
                <w:sz w:val="24"/>
                <w:szCs w:val="24"/>
              </w:rPr>
              <w:t>3</w:t>
            </w:r>
            <w:r>
              <w:rPr>
                <w:rFonts w:hint="eastAsia" w:ascii="仿宋" w:hAnsi="仿宋" w:eastAsia="仿宋"/>
                <w:sz w:val="24"/>
                <w:szCs w:val="24"/>
              </w:rPr>
              <w:t>分，符合项目需求的得</w:t>
            </w:r>
            <w:r>
              <w:rPr>
                <w:rFonts w:ascii="仿宋" w:hAnsi="仿宋" w:eastAsia="仿宋"/>
                <w:sz w:val="24"/>
                <w:szCs w:val="24"/>
              </w:rPr>
              <w:t>1</w:t>
            </w:r>
            <w:r>
              <w:rPr>
                <w:rFonts w:hint="eastAsia" w:ascii="仿宋" w:hAnsi="仿宋" w:eastAsia="仿宋"/>
                <w:sz w:val="24"/>
                <w:szCs w:val="24"/>
              </w:rPr>
              <w:t>分，不符合项目需求的不得分。</w:t>
            </w:r>
          </w:p>
        </w:tc>
        <w:tc>
          <w:tcPr>
            <w:tcW w:w="746" w:type="dxa"/>
            <w:shd w:val="clear" w:color="auto" w:fill="auto"/>
            <w:vAlign w:val="center"/>
          </w:tcPr>
          <w:p w14:paraId="5D3E1BB1">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04E5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09" w:type="dxa"/>
            <w:vMerge w:val="continue"/>
            <w:vAlign w:val="center"/>
          </w:tcPr>
          <w:p w14:paraId="5E252C9E">
            <w:pPr>
              <w:spacing w:after="0" w:line="240" w:lineRule="auto"/>
              <w:jc w:val="center"/>
              <w:rPr>
                <w:rFonts w:ascii="仿宋" w:hAnsi="仿宋" w:eastAsia="仿宋" w:cs="Times New Roman"/>
                <w:kern w:val="0"/>
                <w:sz w:val="24"/>
                <w:szCs w:val="24"/>
              </w:rPr>
            </w:pPr>
          </w:p>
        </w:tc>
        <w:tc>
          <w:tcPr>
            <w:tcW w:w="1276" w:type="dxa"/>
            <w:vMerge w:val="continue"/>
            <w:vAlign w:val="center"/>
          </w:tcPr>
          <w:p w14:paraId="30B2F492">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484C9B6E">
            <w:pPr>
              <w:rPr>
                <w:rFonts w:ascii="仿宋" w:hAnsi="仿宋" w:eastAsia="仿宋"/>
                <w:sz w:val="24"/>
                <w:szCs w:val="24"/>
              </w:rPr>
            </w:pPr>
            <w:r>
              <w:rPr>
                <w:rFonts w:hint="eastAsia" w:ascii="仿宋" w:hAnsi="仿宋" w:eastAsia="仿宋"/>
                <w:sz w:val="24"/>
                <w:szCs w:val="24"/>
              </w:rPr>
              <w:t xml:space="preserve">    3.2根据响应文件中制度规范方案进行评分。需包含安全运营工作规范方案、应急预案方案、重保规范方案等内容，做到科学合理，内容具体，具备可行性。优于项目需求的得</w:t>
            </w:r>
            <w:r>
              <w:rPr>
                <w:rFonts w:ascii="仿宋" w:hAnsi="仿宋" w:eastAsia="仿宋"/>
                <w:sz w:val="24"/>
                <w:szCs w:val="24"/>
              </w:rPr>
              <w:t>3</w:t>
            </w:r>
            <w:r>
              <w:rPr>
                <w:rFonts w:hint="eastAsia" w:ascii="仿宋" w:hAnsi="仿宋" w:eastAsia="仿宋"/>
                <w:sz w:val="24"/>
                <w:szCs w:val="24"/>
              </w:rPr>
              <w:t>分，符合项目需求的得</w:t>
            </w:r>
            <w:r>
              <w:rPr>
                <w:rFonts w:ascii="仿宋" w:hAnsi="仿宋" w:eastAsia="仿宋"/>
                <w:sz w:val="24"/>
                <w:szCs w:val="24"/>
              </w:rPr>
              <w:t>1</w:t>
            </w:r>
            <w:r>
              <w:rPr>
                <w:rFonts w:hint="eastAsia" w:ascii="仿宋" w:hAnsi="仿宋" w:eastAsia="仿宋"/>
                <w:sz w:val="24"/>
                <w:szCs w:val="24"/>
              </w:rPr>
              <w:t>分，不符合项目需求的不得分。</w:t>
            </w:r>
          </w:p>
        </w:tc>
        <w:tc>
          <w:tcPr>
            <w:tcW w:w="746" w:type="dxa"/>
            <w:shd w:val="clear" w:color="auto" w:fill="auto"/>
            <w:vAlign w:val="center"/>
          </w:tcPr>
          <w:p w14:paraId="1711BE8B">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47B6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709" w:type="dxa"/>
            <w:vMerge w:val="continue"/>
            <w:vAlign w:val="center"/>
          </w:tcPr>
          <w:p w14:paraId="69591513">
            <w:pPr>
              <w:spacing w:after="0" w:line="240" w:lineRule="auto"/>
              <w:jc w:val="center"/>
              <w:rPr>
                <w:rFonts w:ascii="仿宋" w:hAnsi="仿宋" w:eastAsia="仿宋" w:cs="Times New Roman"/>
                <w:kern w:val="0"/>
                <w:sz w:val="24"/>
                <w:szCs w:val="24"/>
              </w:rPr>
            </w:pPr>
          </w:p>
        </w:tc>
        <w:tc>
          <w:tcPr>
            <w:tcW w:w="1276" w:type="dxa"/>
            <w:vMerge w:val="continue"/>
            <w:vAlign w:val="center"/>
          </w:tcPr>
          <w:p w14:paraId="6B47C327">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30F77CCF">
            <w:pPr>
              <w:rPr>
                <w:rFonts w:ascii="仿宋" w:hAnsi="仿宋" w:eastAsia="仿宋"/>
                <w:sz w:val="24"/>
                <w:szCs w:val="24"/>
              </w:rPr>
            </w:pPr>
            <w:r>
              <w:rPr>
                <w:rFonts w:hint="eastAsia" w:ascii="仿宋" w:hAnsi="仿宋" w:eastAsia="仿宋"/>
                <w:sz w:val="24"/>
                <w:szCs w:val="24"/>
              </w:rPr>
              <w:t xml:space="preserve">    3.3根据响应文件中漏洞扫描方案进行评分。需包含服务内容、服务流程、服务内容和方法、交付成果、风险规避措施、风险视角漏洞导出结果等内容，做到科学合理，内容具体，具备可行性。优于项目需求的得3分，符合项目需求的得1分，不符合项目需求的不得分。</w:t>
            </w:r>
          </w:p>
        </w:tc>
        <w:tc>
          <w:tcPr>
            <w:tcW w:w="746" w:type="dxa"/>
            <w:shd w:val="clear" w:color="auto" w:fill="auto"/>
            <w:vAlign w:val="center"/>
          </w:tcPr>
          <w:p w14:paraId="78BDE6C9">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225F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709" w:type="dxa"/>
            <w:vMerge w:val="continue"/>
            <w:vAlign w:val="center"/>
          </w:tcPr>
          <w:p w14:paraId="59EE74E3">
            <w:pPr>
              <w:spacing w:after="0" w:line="240" w:lineRule="auto"/>
              <w:jc w:val="center"/>
              <w:rPr>
                <w:rFonts w:ascii="仿宋" w:hAnsi="仿宋" w:eastAsia="仿宋" w:cs="Times New Roman"/>
                <w:kern w:val="0"/>
                <w:sz w:val="24"/>
                <w:szCs w:val="24"/>
              </w:rPr>
            </w:pPr>
          </w:p>
        </w:tc>
        <w:tc>
          <w:tcPr>
            <w:tcW w:w="1276" w:type="dxa"/>
            <w:vMerge w:val="continue"/>
            <w:vAlign w:val="center"/>
          </w:tcPr>
          <w:p w14:paraId="2CEF568C">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037EC77A">
            <w:pPr>
              <w:rPr>
                <w:rFonts w:ascii="仿宋" w:hAnsi="仿宋" w:eastAsia="仿宋"/>
                <w:sz w:val="24"/>
                <w:szCs w:val="24"/>
              </w:rPr>
            </w:pPr>
            <w:r>
              <w:rPr>
                <w:rFonts w:hint="eastAsia" w:ascii="仿宋" w:hAnsi="仿宋" w:eastAsia="仿宋"/>
                <w:sz w:val="24"/>
                <w:szCs w:val="24"/>
              </w:rPr>
              <w:t xml:space="preserve">    3.4根据响应文件中应急演练方案进行评分。需包含服务内容、服务流程、服务内容和方法、应急响应方案、应急现场概述、事件排查过程、应急响应总结报告等内容，做到科学合理，内容具体，具备可行性。优于项目需求的得3分，符合项目需求的得1分，不符合项目需求的不得分。</w:t>
            </w:r>
          </w:p>
        </w:tc>
        <w:tc>
          <w:tcPr>
            <w:tcW w:w="746" w:type="dxa"/>
            <w:shd w:val="clear" w:color="auto" w:fill="auto"/>
            <w:vAlign w:val="center"/>
          </w:tcPr>
          <w:p w14:paraId="1862CC27">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6F0B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709" w:type="dxa"/>
            <w:vMerge w:val="continue"/>
            <w:vAlign w:val="center"/>
          </w:tcPr>
          <w:p w14:paraId="56281B59">
            <w:pPr>
              <w:spacing w:after="0" w:line="240" w:lineRule="auto"/>
              <w:jc w:val="center"/>
              <w:rPr>
                <w:rFonts w:ascii="仿宋" w:hAnsi="仿宋" w:eastAsia="仿宋" w:cs="Times New Roman"/>
                <w:kern w:val="0"/>
                <w:sz w:val="24"/>
                <w:szCs w:val="24"/>
              </w:rPr>
            </w:pPr>
          </w:p>
        </w:tc>
        <w:tc>
          <w:tcPr>
            <w:tcW w:w="1276" w:type="dxa"/>
            <w:vMerge w:val="continue"/>
            <w:vAlign w:val="center"/>
          </w:tcPr>
          <w:p w14:paraId="07B76ED8">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1AAC04D0">
            <w:pPr>
              <w:rPr>
                <w:rFonts w:ascii="仿宋" w:hAnsi="仿宋" w:eastAsia="仿宋"/>
                <w:sz w:val="24"/>
                <w:szCs w:val="24"/>
              </w:rPr>
            </w:pPr>
            <w:r>
              <w:rPr>
                <w:rFonts w:hint="eastAsia" w:ascii="仿宋" w:hAnsi="仿宋" w:eastAsia="仿宋"/>
                <w:sz w:val="24"/>
                <w:szCs w:val="24"/>
              </w:rPr>
              <w:t xml:space="preserve">    3.5根据响应文件中安全加固和策略分析方案进行评分。需包含服务内容、服务流程、服务内容和方法、交付成果、安全访问策略等内容，做到科学合理，内容具体，具备可行性。优于项目需求的得3分，符合项目需求的得1分，不符合项目需求的不得分。</w:t>
            </w:r>
          </w:p>
        </w:tc>
        <w:tc>
          <w:tcPr>
            <w:tcW w:w="746" w:type="dxa"/>
            <w:shd w:val="clear" w:color="auto" w:fill="auto"/>
            <w:vAlign w:val="center"/>
          </w:tcPr>
          <w:p w14:paraId="09CC57CE">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0D0C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rPr>
        <w:tc>
          <w:tcPr>
            <w:tcW w:w="709" w:type="dxa"/>
            <w:vMerge w:val="continue"/>
            <w:vAlign w:val="center"/>
          </w:tcPr>
          <w:p w14:paraId="66610761">
            <w:pPr>
              <w:spacing w:after="0" w:line="240" w:lineRule="auto"/>
              <w:jc w:val="center"/>
              <w:rPr>
                <w:rFonts w:ascii="仿宋" w:hAnsi="仿宋" w:eastAsia="仿宋" w:cs="Times New Roman"/>
                <w:kern w:val="0"/>
                <w:sz w:val="24"/>
                <w:szCs w:val="24"/>
              </w:rPr>
            </w:pPr>
          </w:p>
        </w:tc>
        <w:tc>
          <w:tcPr>
            <w:tcW w:w="1276" w:type="dxa"/>
            <w:vMerge w:val="continue"/>
            <w:vAlign w:val="center"/>
          </w:tcPr>
          <w:p w14:paraId="7EEE1522">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265C9BE4">
            <w:pPr>
              <w:rPr>
                <w:rFonts w:ascii="仿宋" w:hAnsi="仿宋" w:eastAsia="仿宋"/>
                <w:sz w:val="24"/>
                <w:szCs w:val="24"/>
              </w:rPr>
            </w:pPr>
            <w:r>
              <w:rPr>
                <w:rFonts w:hint="eastAsia" w:ascii="仿宋" w:hAnsi="仿宋" w:eastAsia="仿宋"/>
                <w:sz w:val="24"/>
                <w:szCs w:val="24"/>
              </w:rPr>
              <w:t xml:space="preserve">    3.6根据响应文件中重要时期安全值守方案进行评分。需包含服务内容、服务流程、服务内容和方法、交付成果、支撑平台、防守方案等内容，做到科学合理，内容具体，具备可行性。优于项目需求的得3分，符合项目需求的得1分，不符合项目需求的不得分。</w:t>
            </w:r>
          </w:p>
        </w:tc>
        <w:tc>
          <w:tcPr>
            <w:tcW w:w="746" w:type="dxa"/>
            <w:shd w:val="clear" w:color="auto" w:fill="auto"/>
            <w:vAlign w:val="center"/>
          </w:tcPr>
          <w:p w14:paraId="0140A190">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0D38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trPr>
        <w:tc>
          <w:tcPr>
            <w:tcW w:w="709" w:type="dxa"/>
            <w:vMerge w:val="continue"/>
            <w:vAlign w:val="center"/>
          </w:tcPr>
          <w:p w14:paraId="0E8818D7">
            <w:pPr>
              <w:spacing w:after="0" w:line="240" w:lineRule="auto"/>
              <w:jc w:val="center"/>
              <w:rPr>
                <w:rFonts w:ascii="仿宋" w:hAnsi="仿宋" w:eastAsia="仿宋" w:cs="Times New Roman"/>
                <w:kern w:val="0"/>
                <w:sz w:val="24"/>
                <w:szCs w:val="24"/>
              </w:rPr>
            </w:pPr>
          </w:p>
        </w:tc>
        <w:tc>
          <w:tcPr>
            <w:tcW w:w="1276" w:type="dxa"/>
            <w:vMerge w:val="continue"/>
            <w:vAlign w:val="center"/>
          </w:tcPr>
          <w:p w14:paraId="25B82678">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5D7B30C1">
            <w:pPr>
              <w:rPr>
                <w:rFonts w:ascii="仿宋" w:hAnsi="仿宋" w:eastAsia="仿宋"/>
                <w:sz w:val="24"/>
                <w:szCs w:val="24"/>
              </w:rPr>
            </w:pPr>
            <w:r>
              <w:rPr>
                <w:rFonts w:hint="eastAsia" w:ascii="仿宋" w:hAnsi="仿宋" w:eastAsia="仿宋"/>
                <w:sz w:val="24"/>
                <w:szCs w:val="24"/>
              </w:rPr>
              <w:t xml:space="preserve">    3.7根据响应文件中供应链安全性检测方案进行评分。需包含软件供应链合规检查、代码安全检测、开源组件检测、上线前安全检查、软件供应链应急响应、软件供应链安全教育与培训、代码检测报告等内容，做到科学合理，内容具体，具备可行性。优于项目需求的得3分，符合项目需求的得1分，不符合项目需求的不得分。</w:t>
            </w:r>
          </w:p>
        </w:tc>
        <w:tc>
          <w:tcPr>
            <w:tcW w:w="746" w:type="dxa"/>
            <w:shd w:val="clear" w:color="auto" w:fill="auto"/>
            <w:vAlign w:val="center"/>
          </w:tcPr>
          <w:p w14:paraId="6E03CB19">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78CF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709" w:type="dxa"/>
            <w:vMerge w:val="continue"/>
            <w:vAlign w:val="center"/>
          </w:tcPr>
          <w:p w14:paraId="40565F85">
            <w:pPr>
              <w:spacing w:after="0" w:line="240" w:lineRule="auto"/>
              <w:jc w:val="center"/>
              <w:rPr>
                <w:rFonts w:ascii="仿宋" w:hAnsi="仿宋" w:eastAsia="仿宋" w:cs="Times New Roman"/>
                <w:kern w:val="0"/>
                <w:sz w:val="24"/>
                <w:szCs w:val="24"/>
              </w:rPr>
            </w:pPr>
          </w:p>
        </w:tc>
        <w:tc>
          <w:tcPr>
            <w:tcW w:w="1276" w:type="dxa"/>
            <w:vMerge w:val="continue"/>
            <w:vAlign w:val="center"/>
          </w:tcPr>
          <w:p w14:paraId="5FC5B683">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4D6419F0">
            <w:pPr>
              <w:rPr>
                <w:rFonts w:ascii="仿宋" w:hAnsi="仿宋" w:eastAsia="仿宋"/>
                <w:sz w:val="24"/>
                <w:szCs w:val="24"/>
              </w:rPr>
            </w:pPr>
            <w:r>
              <w:rPr>
                <w:rFonts w:hint="eastAsia" w:ascii="仿宋" w:hAnsi="仿宋" w:eastAsia="仿宋"/>
                <w:sz w:val="24"/>
                <w:szCs w:val="24"/>
              </w:rPr>
              <w:t xml:space="preserve">    3.8根据响应文件中攻防演练方案进行评分。需包含服务内容、服务流程、服务内容和方法、交付成果、风险规避措施等内容，做到科学合理，内容具体，具备可行性。优于项目需求的得3分，符合项目需求的得1分，不符合项目需求的不得分。</w:t>
            </w:r>
          </w:p>
        </w:tc>
        <w:tc>
          <w:tcPr>
            <w:tcW w:w="746" w:type="dxa"/>
            <w:shd w:val="clear" w:color="auto" w:fill="auto"/>
            <w:vAlign w:val="center"/>
          </w:tcPr>
          <w:p w14:paraId="63C9F89A">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35A0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trPr>
        <w:tc>
          <w:tcPr>
            <w:tcW w:w="709" w:type="dxa"/>
            <w:vMerge w:val="continue"/>
            <w:vAlign w:val="center"/>
          </w:tcPr>
          <w:p w14:paraId="155BBB76">
            <w:pPr>
              <w:spacing w:after="0" w:line="240" w:lineRule="auto"/>
              <w:jc w:val="center"/>
              <w:rPr>
                <w:rFonts w:ascii="仿宋" w:hAnsi="仿宋" w:eastAsia="仿宋" w:cs="Times New Roman"/>
                <w:kern w:val="0"/>
                <w:sz w:val="24"/>
                <w:szCs w:val="24"/>
              </w:rPr>
            </w:pPr>
          </w:p>
        </w:tc>
        <w:tc>
          <w:tcPr>
            <w:tcW w:w="1276" w:type="dxa"/>
            <w:vMerge w:val="continue"/>
            <w:vAlign w:val="center"/>
          </w:tcPr>
          <w:p w14:paraId="70E43B05">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392D127C">
            <w:pPr>
              <w:rPr>
                <w:rFonts w:ascii="仿宋" w:hAnsi="仿宋" w:eastAsia="仿宋"/>
                <w:sz w:val="24"/>
                <w:szCs w:val="24"/>
              </w:rPr>
            </w:pPr>
            <w:r>
              <w:rPr>
                <w:rFonts w:hint="eastAsia" w:ascii="仿宋" w:hAnsi="仿宋" w:eastAsia="仿宋"/>
                <w:sz w:val="24"/>
                <w:szCs w:val="24"/>
              </w:rPr>
              <w:t xml:space="preserve">    3.9根据响应文件中入侵痕迹检查方案进行评分。需包含服务内容、服务流程、服务内容和方法、交付成果、基础环境评估、失陷检测、基于入侵风险的安全检查表等内容，做到科学合理，内容具体，具备可行性。优于项目需求的得3分，符合项目需求的得1分，不符合项目需求的不得分。</w:t>
            </w:r>
          </w:p>
        </w:tc>
        <w:tc>
          <w:tcPr>
            <w:tcW w:w="746" w:type="dxa"/>
            <w:shd w:val="clear" w:color="auto" w:fill="auto"/>
            <w:vAlign w:val="center"/>
          </w:tcPr>
          <w:p w14:paraId="248B6A34">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654D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709" w:type="dxa"/>
            <w:vMerge w:val="continue"/>
            <w:vAlign w:val="center"/>
          </w:tcPr>
          <w:p w14:paraId="46287A9C">
            <w:pPr>
              <w:spacing w:after="0" w:line="240" w:lineRule="auto"/>
              <w:jc w:val="center"/>
              <w:rPr>
                <w:rFonts w:ascii="仿宋" w:hAnsi="仿宋" w:eastAsia="仿宋" w:cs="Times New Roman"/>
                <w:kern w:val="0"/>
                <w:sz w:val="24"/>
                <w:szCs w:val="24"/>
              </w:rPr>
            </w:pPr>
          </w:p>
        </w:tc>
        <w:tc>
          <w:tcPr>
            <w:tcW w:w="1276" w:type="dxa"/>
            <w:vMerge w:val="continue"/>
            <w:vAlign w:val="center"/>
          </w:tcPr>
          <w:p w14:paraId="31688DC1">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3C3E4400">
            <w:pPr>
              <w:rPr>
                <w:rFonts w:ascii="仿宋" w:hAnsi="仿宋" w:eastAsia="仿宋"/>
                <w:sz w:val="24"/>
                <w:szCs w:val="24"/>
              </w:rPr>
            </w:pPr>
            <w:r>
              <w:rPr>
                <w:rFonts w:hint="eastAsia" w:ascii="仿宋" w:hAnsi="仿宋" w:eastAsia="仿宋"/>
                <w:sz w:val="24"/>
                <w:szCs w:val="24"/>
              </w:rPr>
              <w:t xml:space="preserve">    3.</w:t>
            </w:r>
            <w:r>
              <w:rPr>
                <w:rFonts w:ascii="仿宋" w:hAnsi="仿宋" w:eastAsia="仿宋"/>
                <w:sz w:val="24"/>
                <w:szCs w:val="24"/>
              </w:rPr>
              <w:t>10</w:t>
            </w:r>
            <w:r>
              <w:rPr>
                <w:rFonts w:hint="eastAsia" w:ascii="仿宋" w:hAnsi="仿宋" w:eastAsia="仿宋"/>
                <w:sz w:val="24"/>
                <w:szCs w:val="24"/>
              </w:rPr>
              <w:t>根据响应文件中“两高一弱”安全检查方案进行评分。需包含设计目标、核心定义与分级标准、检查范围与对象、服务实施方法等内容，做到科学合理，内容具体，具备可行性。优于项目需求的得3分，符合项目需求的得1分，不符合项目需求的不得分。</w:t>
            </w:r>
          </w:p>
        </w:tc>
        <w:tc>
          <w:tcPr>
            <w:tcW w:w="746" w:type="dxa"/>
            <w:shd w:val="clear" w:color="auto" w:fill="auto"/>
            <w:vAlign w:val="center"/>
          </w:tcPr>
          <w:p w14:paraId="70779FE5">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2238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trPr>
        <w:tc>
          <w:tcPr>
            <w:tcW w:w="709" w:type="dxa"/>
            <w:vMerge w:val="continue"/>
            <w:vAlign w:val="center"/>
          </w:tcPr>
          <w:p w14:paraId="243256E7">
            <w:pPr>
              <w:spacing w:after="0" w:line="240" w:lineRule="auto"/>
              <w:jc w:val="center"/>
              <w:rPr>
                <w:rFonts w:ascii="仿宋" w:hAnsi="仿宋" w:eastAsia="仿宋" w:cs="Times New Roman"/>
                <w:kern w:val="0"/>
                <w:sz w:val="24"/>
                <w:szCs w:val="24"/>
              </w:rPr>
            </w:pPr>
          </w:p>
        </w:tc>
        <w:tc>
          <w:tcPr>
            <w:tcW w:w="1276" w:type="dxa"/>
            <w:vMerge w:val="continue"/>
            <w:vAlign w:val="center"/>
          </w:tcPr>
          <w:p w14:paraId="6F54C36A">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0B4A0E91">
            <w:pPr>
              <w:rPr>
                <w:rFonts w:ascii="仿宋" w:hAnsi="仿宋" w:eastAsia="仿宋"/>
                <w:sz w:val="24"/>
                <w:szCs w:val="24"/>
              </w:rPr>
            </w:pPr>
            <w:r>
              <w:rPr>
                <w:rFonts w:hint="eastAsia" w:ascii="仿宋" w:hAnsi="仿宋" w:eastAsia="仿宋"/>
                <w:sz w:val="24"/>
                <w:szCs w:val="24"/>
              </w:rPr>
              <w:t xml:space="preserve">    3.1</w:t>
            </w:r>
            <w:r>
              <w:rPr>
                <w:rFonts w:ascii="仿宋" w:hAnsi="仿宋" w:eastAsia="仿宋"/>
                <w:sz w:val="24"/>
                <w:szCs w:val="24"/>
              </w:rPr>
              <w:t>1</w:t>
            </w:r>
            <w:r>
              <w:rPr>
                <w:rFonts w:hint="eastAsia" w:ascii="仿宋" w:hAnsi="仿宋" w:eastAsia="仿宋"/>
                <w:sz w:val="24"/>
                <w:szCs w:val="24"/>
              </w:rPr>
              <w:t>根据响应文件中日常监测预警方案进行评分。需包含网络监测、异常行为监测、威胁情报监测、弱口令监测、安全事件通报、安全态势通报、服务方案保障、服务目录清单、安全运营工作规范、安全运营报告、网络和数据安全态势月报模板等内容，做到科学合理，内容具体，具备可行性。优于项目需求的得3分，符合项目需求的得1分，不符合项目需求的不得分。</w:t>
            </w:r>
          </w:p>
        </w:tc>
        <w:tc>
          <w:tcPr>
            <w:tcW w:w="746" w:type="dxa"/>
            <w:shd w:val="clear" w:color="auto" w:fill="auto"/>
            <w:vAlign w:val="center"/>
          </w:tcPr>
          <w:p w14:paraId="047685AC">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3403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atLeast"/>
        </w:trPr>
        <w:tc>
          <w:tcPr>
            <w:tcW w:w="709" w:type="dxa"/>
            <w:vMerge w:val="continue"/>
            <w:vAlign w:val="center"/>
          </w:tcPr>
          <w:p w14:paraId="261BFF10">
            <w:pPr>
              <w:spacing w:after="0" w:line="240" w:lineRule="auto"/>
              <w:jc w:val="center"/>
              <w:rPr>
                <w:rFonts w:ascii="仿宋" w:hAnsi="仿宋" w:eastAsia="仿宋" w:cs="Times New Roman"/>
                <w:kern w:val="0"/>
                <w:sz w:val="24"/>
                <w:szCs w:val="24"/>
              </w:rPr>
            </w:pPr>
          </w:p>
        </w:tc>
        <w:tc>
          <w:tcPr>
            <w:tcW w:w="1276" w:type="dxa"/>
            <w:vMerge w:val="continue"/>
            <w:vAlign w:val="center"/>
          </w:tcPr>
          <w:p w14:paraId="2E6D6E3E">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7664BBAD">
            <w:pPr>
              <w:rPr>
                <w:rFonts w:ascii="仿宋" w:hAnsi="仿宋" w:eastAsia="仿宋"/>
                <w:sz w:val="24"/>
                <w:szCs w:val="24"/>
              </w:rPr>
            </w:pPr>
            <w:r>
              <w:rPr>
                <w:rFonts w:hint="eastAsia" w:ascii="仿宋" w:hAnsi="仿宋" w:eastAsia="仿宋"/>
                <w:sz w:val="24"/>
                <w:szCs w:val="24"/>
              </w:rPr>
              <w:t xml:space="preserve">   </w:t>
            </w:r>
            <w:bookmarkStart w:id="146" w:name="OLE_LINK8"/>
            <w:r>
              <w:rPr>
                <w:rFonts w:hint="eastAsia" w:ascii="仿宋" w:hAnsi="仿宋" w:eastAsia="仿宋"/>
                <w:sz w:val="24"/>
                <w:szCs w:val="24"/>
              </w:rPr>
              <w:t xml:space="preserve"> 3.1</w:t>
            </w:r>
            <w:r>
              <w:rPr>
                <w:rFonts w:ascii="仿宋" w:hAnsi="仿宋" w:eastAsia="仿宋"/>
                <w:sz w:val="24"/>
                <w:szCs w:val="24"/>
              </w:rPr>
              <w:t>2</w:t>
            </w:r>
            <w:r>
              <w:rPr>
                <w:rFonts w:hint="eastAsia" w:ascii="仿宋" w:hAnsi="仿宋" w:eastAsia="仿宋"/>
                <w:sz w:val="24"/>
                <w:szCs w:val="24"/>
              </w:rPr>
              <w:t>根据响应文件中渗透测试方案进行评分。需包含服务内容、服务流程、服务内容和方法、交付成果、参考依据、系统备份与恢复措施、风险规避措施、渗透测试报告、安全问题报告等内容，做到科学合理，内容具体，具备可行性。优于项目需求的得3分，符合项目需求的得1分，不符合项目需求的不得分。</w:t>
            </w:r>
            <w:bookmarkEnd w:id="146"/>
          </w:p>
        </w:tc>
        <w:tc>
          <w:tcPr>
            <w:tcW w:w="746" w:type="dxa"/>
            <w:shd w:val="clear" w:color="auto" w:fill="auto"/>
            <w:vAlign w:val="center"/>
          </w:tcPr>
          <w:p w14:paraId="1847B5A7">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2CA7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709" w:type="dxa"/>
            <w:vMerge w:val="continue"/>
            <w:vAlign w:val="center"/>
          </w:tcPr>
          <w:p w14:paraId="4D5DE4B3">
            <w:pPr>
              <w:spacing w:after="0" w:line="240" w:lineRule="auto"/>
              <w:jc w:val="center"/>
              <w:rPr>
                <w:rFonts w:ascii="仿宋" w:hAnsi="仿宋" w:eastAsia="仿宋" w:cs="Times New Roman"/>
                <w:kern w:val="0"/>
                <w:sz w:val="24"/>
                <w:szCs w:val="24"/>
              </w:rPr>
            </w:pPr>
          </w:p>
        </w:tc>
        <w:tc>
          <w:tcPr>
            <w:tcW w:w="1276" w:type="dxa"/>
            <w:vMerge w:val="continue"/>
            <w:vAlign w:val="center"/>
          </w:tcPr>
          <w:p w14:paraId="3D278F78">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62DE3A9B">
            <w:pPr>
              <w:ind w:firstLine="480" w:firstLineChars="200"/>
              <w:rPr>
                <w:rFonts w:ascii="仿宋" w:hAnsi="仿宋" w:eastAsia="仿宋"/>
                <w:sz w:val="24"/>
                <w:szCs w:val="24"/>
              </w:rPr>
            </w:pPr>
            <w:r>
              <w:rPr>
                <w:rFonts w:hint="eastAsia" w:ascii="仿宋" w:hAnsi="仿宋" w:eastAsia="仿宋"/>
                <w:sz w:val="24"/>
                <w:szCs w:val="24"/>
              </w:rPr>
              <w:t>3.1</w:t>
            </w:r>
            <w:r>
              <w:rPr>
                <w:rFonts w:ascii="仿宋" w:hAnsi="仿宋" w:eastAsia="仿宋"/>
                <w:sz w:val="24"/>
                <w:szCs w:val="24"/>
              </w:rPr>
              <w:t>3</w:t>
            </w:r>
            <w:r>
              <w:rPr>
                <w:rFonts w:hint="eastAsia" w:ascii="仿宋" w:hAnsi="仿宋" w:eastAsia="仿宋"/>
                <w:sz w:val="24"/>
                <w:szCs w:val="24"/>
              </w:rPr>
              <w:t>根据响应文件中</w:t>
            </w:r>
            <w:r>
              <w:rPr>
                <w:rFonts w:ascii="Times New Roman" w:hAnsi="Times New Roman" w:eastAsia="仿宋" w:cs="Times New Roman"/>
                <w:bCs/>
                <w:sz w:val="24"/>
                <w:szCs w:val="24"/>
              </w:rPr>
              <w:t>网络安全运维支撑</w:t>
            </w:r>
            <w:r>
              <w:rPr>
                <w:rFonts w:hint="eastAsia" w:ascii="仿宋" w:hAnsi="仿宋" w:eastAsia="仿宋"/>
                <w:sz w:val="24"/>
                <w:szCs w:val="24"/>
              </w:rPr>
              <w:t>方案进行评分。需包含安全响应处置、安全应急响应、安全策略调优等内容，做到科学合理，内容具体，具备可行性。优于项目需求的得</w:t>
            </w:r>
            <w:r>
              <w:rPr>
                <w:rFonts w:ascii="仿宋" w:hAnsi="仿宋" w:eastAsia="仿宋"/>
                <w:sz w:val="24"/>
                <w:szCs w:val="24"/>
              </w:rPr>
              <w:t>3</w:t>
            </w:r>
            <w:r>
              <w:rPr>
                <w:rFonts w:hint="eastAsia" w:ascii="仿宋" w:hAnsi="仿宋" w:eastAsia="仿宋"/>
                <w:sz w:val="24"/>
                <w:szCs w:val="24"/>
              </w:rPr>
              <w:t>分，符合项目需求的得</w:t>
            </w:r>
            <w:r>
              <w:rPr>
                <w:rFonts w:ascii="仿宋" w:hAnsi="仿宋" w:eastAsia="仿宋"/>
                <w:sz w:val="24"/>
                <w:szCs w:val="24"/>
              </w:rPr>
              <w:t>1</w:t>
            </w:r>
            <w:r>
              <w:rPr>
                <w:rFonts w:hint="eastAsia" w:ascii="仿宋" w:hAnsi="仿宋" w:eastAsia="仿宋"/>
                <w:sz w:val="24"/>
                <w:szCs w:val="24"/>
              </w:rPr>
              <w:t>分，不符合项目需求的不得分。</w:t>
            </w:r>
          </w:p>
        </w:tc>
        <w:tc>
          <w:tcPr>
            <w:tcW w:w="746" w:type="dxa"/>
            <w:shd w:val="clear" w:color="auto" w:fill="auto"/>
            <w:vAlign w:val="center"/>
          </w:tcPr>
          <w:p w14:paraId="677C8CAF">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7E6F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trPr>
        <w:tc>
          <w:tcPr>
            <w:tcW w:w="709" w:type="dxa"/>
            <w:vMerge w:val="continue"/>
            <w:vAlign w:val="center"/>
          </w:tcPr>
          <w:p w14:paraId="0496C602">
            <w:pPr>
              <w:spacing w:after="0" w:line="240" w:lineRule="auto"/>
              <w:jc w:val="center"/>
              <w:rPr>
                <w:rFonts w:ascii="仿宋" w:hAnsi="仿宋" w:eastAsia="仿宋" w:cs="Times New Roman"/>
                <w:kern w:val="0"/>
                <w:sz w:val="24"/>
                <w:szCs w:val="24"/>
              </w:rPr>
            </w:pPr>
          </w:p>
        </w:tc>
        <w:tc>
          <w:tcPr>
            <w:tcW w:w="1276" w:type="dxa"/>
            <w:vMerge w:val="continue"/>
            <w:vAlign w:val="center"/>
          </w:tcPr>
          <w:p w14:paraId="3FD85B2D">
            <w:pPr>
              <w:spacing w:after="0" w:line="240" w:lineRule="auto"/>
              <w:jc w:val="center"/>
              <w:rPr>
                <w:rFonts w:ascii="仿宋" w:hAnsi="仿宋" w:eastAsia="仿宋" w:cs="宋体"/>
                <w:kern w:val="0"/>
                <w:sz w:val="24"/>
                <w:szCs w:val="24"/>
              </w:rPr>
            </w:pPr>
          </w:p>
        </w:tc>
        <w:tc>
          <w:tcPr>
            <w:tcW w:w="6483" w:type="dxa"/>
            <w:shd w:val="clear" w:color="auto" w:fill="auto"/>
            <w:vAlign w:val="center"/>
          </w:tcPr>
          <w:p w14:paraId="31654378">
            <w:pPr>
              <w:ind w:firstLine="480" w:firstLineChars="200"/>
              <w:rPr>
                <w:rFonts w:ascii="仿宋" w:hAnsi="仿宋" w:eastAsia="仿宋"/>
                <w:sz w:val="24"/>
                <w:szCs w:val="24"/>
              </w:rPr>
            </w:pPr>
            <w:r>
              <w:rPr>
                <w:rFonts w:hint="eastAsia" w:ascii="仿宋" w:hAnsi="仿宋" w:eastAsia="仿宋"/>
                <w:sz w:val="24"/>
                <w:szCs w:val="24"/>
              </w:rPr>
              <w:t>3.1</w:t>
            </w:r>
            <w:r>
              <w:rPr>
                <w:rFonts w:ascii="仿宋" w:hAnsi="仿宋" w:eastAsia="仿宋"/>
                <w:sz w:val="24"/>
                <w:szCs w:val="24"/>
              </w:rPr>
              <w:t>4</w:t>
            </w:r>
            <w:r>
              <w:rPr>
                <w:rFonts w:hint="eastAsia" w:ascii="仿宋" w:hAnsi="仿宋" w:eastAsia="仿宋"/>
                <w:sz w:val="24"/>
                <w:szCs w:val="24"/>
              </w:rPr>
              <w:t>根据响应文件中数据安全方案进行评分。需包含服务内容、服务流程、服务内容和方法、交付成果、网站个人信息泄露评估、关键数据资产识别、数据应用场景识别、数据威胁识别及分析、数据脆弱性识别及分析、风险分析及评估结果、数据安全风险评估服务方案等内容，做到科学合理，内容具体，具备可行性。优于项目需求的得3分，符合项目需求的得1分，不符合项目需求的不得分。</w:t>
            </w:r>
          </w:p>
        </w:tc>
        <w:tc>
          <w:tcPr>
            <w:tcW w:w="746" w:type="dxa"/>
            <w:shd w:val="clear" w:color="auto" w:fill="auto"/>
            <w:vAlign w:val="center"/>
          </w:tcPr>
          <w:p w14:paraId="6315E07C">
            <w:pPr>
              <w:widowControl/>
              <w:spacing w:after="0" w:line="240" w:lineRule="auto"/>
              <w:jc w:val="center"/>
              <w:rPr>
                <w:rFonts w:ascii="仿宋" w:hAnsi="仿宋" w:eastAsia="仿宋" w:cs="Times New Roman"/>
                <w:kern w:val="0"/>
                <w:sz w:val="24"/>
                <w:szCs w:val="24"/>
              </w:rPr>
            </w:pPr>
            <w:r>
              <w:rPr>
                <w:rFonts w:hint="eastAsia" w:ascii="仿宋" w:hAnsi="仿宋" w:eastAsia="仿宋" w:cs="Times New Roman"/>
                <w:kern w:val="0"/>
                <w:sz w:val="24"/>
                <w:szCs w:val="24"/>
              </w:rPr>
              <w:t>3</w:t>
            </w:r>
          </w:p>
        </w:tc>
      </w:tr>
      <w:tr w14:paraId="05D5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709" w:type="dxa"/>
            <w:vMerge w:val="continue"/>
            <w:shd w:val="clear" w:color="auto" w:fill="auto"/>
            <w:vAlign w:val="center"/>
          </w:tcPr>
          <w:p w14:paraId="7F019FD4">
            <w:pPr>
              <w:widowControl/>
              <w:spacing w:after="0" w:line="240" w:lineRule="auto"/>
              <w:jc w:val="center"/>
              <w:rPr>
                <w:rFonts w:ascii="仿宋" w:hAnsi="仿宋" w:eastAsia="仿宋" w:cs="Times New Roman"/>
                <w:kern w:val="0"/>
                <w:sz w:val="24"/>
                <w:szCs w:val="24"/>
              </w:rPr>
            </w:pPr>
          </w:p>
        </w:tc>
        <w:tc>
          <w:tcPr>
            <w:tcW w:w="1276" w:type="dxa"/>
            <w:vMerge w:val="continue"/>
            <w:shd w:val="clear" w:color="auto" w:fill="auto"/>
            <w:vAlign w:val="center"/>
          </w:tcPr>
          <w:p w14:paraId="6170A5C4">
            <w:pPr>
              <w:widowControl/>
              <w:spacing w:after="0" w:line="240" w:lineRule="auto"/>
              <w:jc w:val="center"/>
              <w:rPr>
                <w:rFonts w:ascii="仿宋" w:hAnsi="仿宋" w:eastAsia="仿宋" w:cs="宋体"/>
                <w:kern w:val="0"/>
                <w:sz w:val="24"/>
                <w:szCs w:val="24"/>
              </w:rPr>
            </w:pPr>
          </w:p>
        </w:tc>
        <w:tc>
          <w:tcPr>
            <w:tcW w:w="6483" w:type="dxa"/>
            <w:shd w:val="clear" w:color="auto" w:fill="auto"/>
            <w:vAlign w:val="center"/>
          </w:tcPr>
          <w:p w14:paraId="7743A12C">
            <w:pPr>
              <w:rPr>
                <w:rFonts w:ascii="仿宋" w:hAnsi="仿宋" w:eastAsia="仿宋"/>
                <w:sz w:val="24"/>
                <w:szCs w:val="24"/>
              </w:rPr>
            </w:pPr>
            <w:r>
              <w:rPr>
                <w:rFonts w:hint="eastAsia" w:ascii="仿宋" w:hAnsi="仿宋" w:eastAsia="仿宋"/>
                <w:sz w:val="24"/>
                <w:szCs w:val="24"/>
              </w:rPr>
              <w:t xml:space="preserve">    3.1</w:t>
            </w:r>
            <w:r>
              <w:rPr>
                <w:rFonts w:ascii="仿宋" w:hAnsi="仿宋" w:eastAsia="仿宋"/>
                <w:sz w:val="24"/>
                <w:szCs w:val="24"/>
              </w:rPr>
              <w:t>5</w:t>
            </w:r>
            <w:r>
              <w:rPr>
                <w:rFonts w:hint="eastAsia" w:ascii="仿宋" w:hAnsi="仿宋" w:eastAsia="仿宋"/>
                <w:sz w:val="24"/>
                <w:szCs w:val="24"/>
              </w:rPr>
              <w:t>根据响应文件中宣传培训方案进行评分。需包含总体目标、培训对象分层与需求分析、核心培训内容设计、培训实施计划与保障、宣传周支撑方案等内容，做到科学合理，内容具体，具备可行性。优于项目需求的得3分，符合项目需求的得1分，不符合项目需求的不得分。</w:t>
            </w:r>
          </w:p>
        </w:tc>
        <w:tc>
          <w:tcPr>
            <w:tcW w:w="746" w:type="dxa"/>
            <w:shd w:val="clear" w:color="auto" w:fill="auto"/>
            <w:vAlign w:val="center"/>
          </w:tcPr>
          <w:p w14:paraId="4D7DDB61">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3</w:t>
            </w:r>
          </w:p>
        </w:tc>
      </w:tr>
      <w:tr w14:paraId="719B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3" w:hRule="atLeast"/>
        </w:trPr>
        <w:tc>
          <w:tcPr>
            <w:tcW w:w="709" w:type="dxa"/>
            <w:shd w:val="clear" w:color="auto" w:fill="auto"/>
            <w:vAlign w:val="center"/>
          </w:tcPr>
          <w:p w14:paraId="3098FB73">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4</w:t>
            </w:r>
          </w:p>
        </w:tc>
        <w:tc>
          <w:tcPr>
            <w:tcW w:w="1276" w:type="dxa"/>
            <w:shd w:val="clear" w:color="auto" w:fill="auto"/>
            <w:vAlign w:val="center"/>
          </w:tcPr>
          <w:p w14:paraId="43309039">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人员资质（</w:t>
            </w:r>
            <w:r>
              <w:rPr>
                <w:rFonts w:ascii="仿宋" w:hAnsi="仿宋" w:eastAsia="仿宋" w:cs="Times New Roman"/>
                <w:kern w:val="0"/>
                <w:sz w:val="24"/>
                <w:szCs w:val="24"/>
              </w:rPr>
              <w:t>12</w:t>
            </w:r>
            <w:r>
              <w:rPr>
                <w:rFonts w:hint="eastAsia" w:ascii="仿宋" w:hAnsi="仿宋" w:eastAsia="仿宋" w:cs="宋体"/>
                <w:kern w:val="0"/>
                <w:sz w:val="24"/>
                <w:szCs w:val="24"/>
              </w:rPr>
              <w:t>）</w:t>
            </w:r>
          </w:p>
        </w:tc>
        <w:tc>
          <w:tcPr>
            <w:tcW w:w="6483" w:type="dxa"/>
            <w:shd w:val="clear" w:color="auto" w:fill="auto"/>
            <w:vAlign w:val="center"/>
          </w:tcPr>
          <w:p w14:paraId="3FE80850">
            <w:pPr>
              <w:widowControl/>
              <w:spacing w:after="0" w:line="240" w:lineRule="auto"/>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4.1供应商拟投入的项目经理需同时具备高级工程师（通信工程或电子信息专业）职称认证证书、系统规划与管理师证书、信息安全保障人员认证证书（CISAW）、ITSS IT 服务项目经理证书，1个证书得1分，此项最高得4分；</w:t>
            </w:r>
          </w:p>
          <w:p w14:paraId="0EE91CB6">
            <w:pPr>
              <w:widowControl/>
              <w:spacing w:after="0" w:line="240" w:lineRule="auto"/>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4.2供应商拟投入的技术负责人同时具备高级网络信息安全工程师证书、注册信息安全专业人员证书（CISP）、网络安全能力认证证书（CCSC），1个证书得1分，此项最高得3分；</w:t>
            </w:r>
          </w:p>
          <w:p w14:paraId="52A80A07">
            <w:pPr>
              <w:widowControl/>
              <w:spacing w:after="0" w:line="240" w:lineRule="auto"/>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4.3供应商拟投入的网络安全负责人同时具备注册信息安全工程师证书（CISP）、信息安全保障人员认证证书（CISAW）、信息系统项目管理师证书。1个证书得1分，此项最高得3分；</w:t>
            </w:r>
          </w:p>
          <w:p w14:paraId="6B8FEAE3">
            <w:pPr>
              <w:widowControl/>
              <w:spacing w:after="0" w:line="240" w:lineRule="auto"/>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4.4现场保障安全运维工程师2名，具有信息安全保障人员认证证书（CISAW）、网络安全能力认证证书（CCSC）、ITSS IT服务工程师证书、信息安全工程师证书的，每有1类证书得0.5分，每人最多得1分，此项最高得2分。</w:t>
            </w:r>
          </w:p>
          <w:p w14:paraId="79238B54">
            <w:pPr>
              <w:widowControl/>
              <w:spacing w:after="0" w:line="240" w:lineRule="auto"/>
              <w:jc w:val="left"/>
              <w:rPr>
                <w:rFonts w:ascii="仿宋" w:hAnsi="仿宋" w:eastAsia="仿宋" w:cs="Times New Roman"/>
                <w:kern w:val="0"/>
                <w:sz w:val="24"/>
                <w:szCs w:val="24"/>
              </w:rPr>
            </w:pPr>
            <w:r>
              <w:rPr>
                <w:rFonts w:ascii="仿宋" w:hAnsi="仿宋" w:eastAsia="仿宋" w:cs="Times New Roman"/>
                <w:kern w:val="0"/>
                <w:sz w:val="24"/>
                <w:szCs w:val="24"/>
              </w:rPr>
              <w:t xml:space="preserve">  </w:t>
            </w:r>
          </w:p>
          <w:p w14:paraId="52C15168">
            <w:pPr>
              <w:widowControl/>
              <w:spacing w:after="0" w:line="240" w:lineRule="auto"/>
              <w:jc w:val="left"/>
              <w:rPr>
                <w:rFonts w:ascii="仿宋" w:hAnsi="仿宋" w:eastAsia="仿宋" w:cs="Times New Roman"/>
                <w:b/>
                <w:kern w:val="0"/>
                <w:sz w:val="24"/>
                <w:szCs w:val="24"/>
              </w:rPr>
            </w:pPr>
            <w:r>
              <w:rPr>
                <w:rFonts w:hint="eastAsia" w:ascii="仿宋" w:hAnsi="仿宋" w:eastAsia="仿宋" w:cs="Times New Roman"/>
                <w:b/>
                <w:kern w:val="0"/>
                <w:sz w:val="24"/>
                <w:szCs w:val="24"/>
              </w:rPr>
              <w:t>以上需提供供应商为其缴纳社保的有效证明材料及相关证书复印件证明资料并加盖供应商公章，未按要求提供的不得分。</w:t>
            </w:r>
          </w:p>
        </w:tc>
        <w:tc>
          <w:tcPr>
            <w:tcW w:w="746" w:type="dxa"/>
            <w:shd w:val="clear" w:color="auto" w:fill="auto"/>
            <w:vAlign w:val="center"/>
          </w:tcPr>
          <w:p w14:paraId="4FBEA542">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12</w:t>
            </w:r>
          </w:p>
        </w:tc>
      </w:tr>
      <w:tr w14:paraId="270D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3" w:hRule="atLeast"/>
        </w:trPr>
        <w:tc>
          <w:tcPr>
            <w:tcW w:w="709" w:type="dxa"/>
            <w:shd w:val="clear" w:color="auto" w:fill="auto"/>
            <w:vAlign w:val="center"/>
          </w:tcPr>
          <w:p w14:paraId="231BAC00">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5</w:t>
            </w:r>
          </w:p>
        </w:tc>
        <w:tc>
          <w:tcPr>
            <w:tcW w:w="1276" w:type="dxa"/>
            <w:shd w:val="clear" w:color="auto" w:fill="auto"/>
            <w:vAlign w:val="center"/>
          </w:tcPr>
          <w:p w14:paraId="7AB484C9">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履约能力（</w:t>
            </w:r>
            <w:r>
              <w:rPr>
                <w:rFonts w:ascii="仿宋" w:hAnsi="仿宋" w:eastAsia="仿宋" w:cs="宋体"/>
                <w:kern w:val="0"/>
                <w:sz w:val="24"/>
                <w:szCs w:val="24"/>
              </w:rPr>
              <w:t>9</w:t>
            </w:r>
            <w:r>
              <w:rPr>
                <w:rFonts w:hint="eastAsia" w:ascii="仿宋" w:hAnsi="仿宋" w:eastAsia="仿宋" w:cs="宋体"/>
                <w:kern w:val="0"/>
                <w:sz w:val="24"/>
                <w:szCs w:val="24"/>
              </w:rPr>
              <w:t>）</w:t>
            </w:r>
          </w:p>
        </w:tc>
        <w:tc>
          <w:tcPr>
            <w:tcW w:w="6483" w:type="dxa"/>
            <w:shd w:val="clear" w:color="auto" w:fill="auto"/>
            <w:vAlign w:val="center"/>
          </w:tcPr>
          <w:p w14:paraId="3BCD5AC4">
            <w:pPr>
              <w:widowControl/>
              <w:spacing w:after="0" w:line="240" w:lineRule="auto"/>
              <w:ind w:firstLine="480"/>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5.1供应商具有ISO20000信息技术服务管理体系认证证书、ISO27001信息安全管理体系认证证书、ISO27701隐私信息安全管理体系认证证书、ISO22301业务连续性管理体系认证证书的，每提供一个得1分，最多得4分，不提供不得分。</w:t>
            </w:r>
          </w:p>
          <w:p w14:paraId="77F55840">
            <w:pPr>
              <w:widowControl/>
              <w:spacing w:after="0" w:line="240" w:lineRule="auto"/>
              <w:ind w:firstLine="480"/>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5.2供应商具有中国网络安全审查认证和市场监管大数据中心颁发的CCRC信息安全服务资质认证三级及以上（安全集成）的得3分，未按要求提供的不得分。</w:t>
            </w:r>
          </w:p>
          <w:p w14:paraId="618D49BC">
            <w:pPr>
              <w:widowControl/>
              <w:spacing w:after="0" w:line="240" w:lineRule="auto"/>
              <w:ind w:firstLine="480"/>
              <w:jc w:val="left"/>
              <w:rPr>
                <w:rFonts w:hint="eastAsia" w:ascii="仿宋" w:hAnsi="仿宋" w:eastAsia="仿宋" w:cs="Times New Roman"/>
                <w:kern w:val="0"/>
                <w:sz w:val="24"/>
                <w:szCs w:val="24"/>
              </w:rPr>
            </w:pPr>
            <w:r>
              <w:rPr>
                <w:rFonts w:hint="eastAsia" w:ascii="仿宋" w:hAnsi="仿宋" w:eastAsia="仿宋" w:cs="Times New Roman"/>
                <w:kern w:val="0"/>
                <w:sz w:val="24"/>
                <w:szCs w:val="24"/>
              </w:rPr>
              <w:t>5.3供应商具有中国通信工业协会颁发的CCIA信息系统业务安全服务资质三级及以上得2分，未按要求提供的不得分。</w:t>
            </w:r>
          </w:p>
          <w:p w14:paraId="74691D86">
            <w:pPr>
              <w:spacing w:line="360" w:lineRule="exact"/>
              <w:jc w:val="left"/>
              <w:rPr>
                <w:rFonts w:ascii="仿宋" w:hAnsi="仿宋" w:eastAsia="仿宋" w:cs="Times New Roman"/>
                <w:b/>
                <w:kern w:val="0"/>
                <w:sz w:val="24"/>
                <w:szCs w:val="24"/>
              </w:rPr>
            </w:pPr>
            <w:r>
              <w:rPr>
                <w:rFonts w:hint="eastAsia" w:ascii="仿宋" w:hAnsi="仿宋" w:eastAsia="仿宋" w:cs="Times New Roman"/>
                <w:b/>
                <w:bCs/>
                <w:kern w:val="0"/>
                <w:sz w:val="24"/>
                <w:szCs w:val="24"/>
                <w:lang w:val="en-US" w:eastAsia="zh-CN"/>
              </w:rPr>
              <w:t>以上需</w:t>
            </w:r>
            <w:r>
              <w:rPr>
                <w:rFonts w:hint="eastAsia" w:ascii="仿宋" w:hAnsi="仿宋" w:eastAsia="仿宋" w:cs="Times New Roman"/>
                <w:b/>
                <w:bCs/>
                <w:kern w:val="0"/>
                <w:sz w:val="24"/>
                <w:szCs w:val="24"/>
              </w:rPr>
              <w:t>提供相关证书复印件并加盖供应商公章。</w:t>
            </w:r>
          </w:p>
        </w:tc>
        <w:tc>
          <w:tcPr>
            <w:tcW w:w="746" w:type="dxa"/>
            <w:shd w:val="clear" w:color="auto" w:fill="auto"/>
            <w:vAlign w:val="center"/>
          </w:tcPr>
          <w:p w14:paraId="522F30D8">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9</w:t>
            </w:r>
          </w:p>
        </w:tc>
      </w:tr>
      <w:tr w14:paraId="0D00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09" w:type="dxa"/>
            <w:shd w:val="clear" w:color="auto" w:fill="auto"/>
            <w:vAlign w:val="center"/>
          </w:tcPr>
          <w:p w14:paraId="5608A926">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6</w:t>
            </w:r>
          </w:p>
        </w:tc>
        <w:tc>
          <w:tcPr>
            <w:tcW w:w="1276" w:type="dxa"/>
            <w:shd w:val="clear" w:color="auto" w:fill="auto"/>
            <w:vAlign w:val="center"/>
          </w:tcPr>
          <w:p w14:paraId="320492E8">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业绩（6）</w:t>
            </w:r>
          </w:p>
        </w:tc>
        <w:tc>
          <w:tcPr>
            <w:tcW w:w="6483" w:type="dxa"/>
            <w:shd w:val="clear" w:color="auto" w:fill="auto"/>
            <w:vAlign w:val="center"/>
          </w:tcPr>
          <w:p w14:paraId="2AAEF63A">
            <w:pPr>
              <w:widowControl/>
              <w:spacing w:after="0" w:line="240" w:lineRule="auto"/>
              <w:rPr>
                <w:rFonts w:hint="eastAsia" w:ascii="仿宋" w:hAnsi="仿宋" w:eastAsia="仿宋" w:cs="宋体"/>
                <w:kern w:val="0"/>
                <w:sz w:val="24"/>
                <w:szCs w:val="24"/>
              </w:rPr>
            </w:pPr>
            <w:r>
              <w:rPr>
                <w:rFonts w:hint="eastAsia" w:ascii="仿宋" w:hAnsi="仿宋" w:eastAsia="仿宋" w:cs="宋体"/>
                <w:kern w:val="0"/>
                <w:sz w:val="24"/>
                <w:szCs w:val="24"/>
              </w:rPr>
              <w:t>自2023年4月1日（以合同签订日期为准）以来，提供承接过网络安全服务或类似项目的，每有一个有效案例得2分，最高得6分。</w:t>
            </w:r>
          </w:p>
          <w:p w14:paraId="1BFD42BF">
            <w:pPr>
              <w:widowControl/>
              <w:spacing w:after="0" w:line="240" w:lineRule="auto"/>
              <w:rPr>
                <w:rFonts w:ascii="仿宋" w:hAnsi="仿宋" w:eastAsia="仿宋" w:cs="宋体"/>
                <w:kern w:val="0"/>
                <w:sz w:val="24"/>
                <w:szCs w:val="24"/>
              </w:rPr>
            </w:pPr>
            <w:r>
              <w:rPr>
                <w:rFonts w:hint="eastAsia" w:ascii="仿宋" w:hAnsi="仿宋" w:eastAsia="仿宋" w:cs="宋体"/>
                <w:b/>
                <w:kern w:val="0"/>
                <w:sz w:val="24"/>
                <w:szCs w:val="24"/>
              </w:rPr>
              <w:t>提供有效合同复印件并加盖供应商公章。</w:t>
            </w:r>
          </w:p>
        </w:tc>
        <w:tc>
          <w:tcPr>
            <w:tcW w:w="746" w:type="dxa"/>
            <w:shd w:val="clear" w:color="auto" w:fill="auto"/>
            <w:vAlign w:val="center"/>
          </w:tcPr>
          <w:p w14:paraId="1AF28B35">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6</w:t>
            </w:r>
          </w:p>
        </w:tc>
      </w:tr>
      <w:tr w14:paraId="0916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468" w:type="dxa"/>
            <w:gridSpan w:val="3"/>
            <w:shd w:val="clear" w:color="auto" w:fill="auto"/>
            <w:vAlign w:val="center"/>
          </w:tcPr>
          <w:p w14:paraId="0B696BE9">
            <w:pPr>
              <w:widowControl/>
              <w:spacing w:after="0" w:line="240" w:lineRule="auto"/>
              <w:jc w:val="center"/>
              <w:rPr>
                <w:rFonts w:ascii="仿宋" w:hAnsi="仿宋" w:eastAsia="仿宋" w:cs="宋体"/>
                <w:kern w:val="0"/>
                <w:sz w:val="24"/>
                <w:szCs w:val="24"/>
              </w:rPr>
            </w:pPr>
            <w:r>
              <w:rPr>
                <w:rFonts w:hint="eastAsia" w:ascii="仿宋" w:hAnsi="仿宋" w:eastAsia="仿宋" w:cs="宋体"/>
                <w:kern w:val="0"/>
                <w:sz w:val="24"/>
                <w:szCs w:val="24"/>
              </w:rPr>
              <w:t>合计</w:t>
            </w:r>
          </w:p>
        </w:tc>
        <w:tc>
          <w:tcPr>
            <w:tcW w:w="746" w:type="dxa"/>
            <w:shd w:val="clear" w:color="auto" w:fill="auto"/>
            <w:vAlign w:val="center"/>
          </w:tcPr>
          <w:p w14:paraId="36C2C3B9">
            <w:pPr>
              <w:widowControl/>
              <w:spacing w:after="0" w:line="240" w:lineRule="auto"/>
              <w:jc w:val="center"/>
              <w:rPr>
                <w:rFonts w:ascii="仿宋" w:hAnsi="仿宋" w:eastAsia="仿宋" w:cs="Times New Roman"/>
                <w:kern w:val="0"/>
                <w:sz w:val="24"/>
                <w:szCs w:val="24"/>
              </w:rPr>
            </w:pPr>
            <w:r>
              <w:rPr>
                <w:rFonts w:ascii="仿宋" w:hAnsi="仿宋" w:eastAsia="仿宋" w:cs="Times New Roman"/>
                <w:kern w:val="0"/>
                <w:sz w:val="24"/>
                <w:szCs w:val="24"/>
              </w:rPr>
              <w:t>100</w:t>
            </w:r>
          </w:p>
        </w:tc>
      </w:tr>
    </w:tbl>
    <w:p w14:paraId="19C6C80D">
      <w:pPr>
        <w:textAlignment w:val="baseline"/>
        <w:rPr>
          <w:rFonts w:ascii="仿宋" w:hAnsi="仿宋" w:eastAsia="仿宋" w:cs="仿宋"/>
          <w:b/>
          <w:bCs/>
          <w:sz w:val="20"/>
        </w:rPr>
      </w:pPr>
      <w:r>
        <w:rPr>
          <w:rFonts w:hint="eastAsia" w:ascii="仿宋" w:hAnsi="仿宋" w:eastAsia="仿宋" w:cs="仿宋"/>
          <w:b/>
          <w:bCs/>
        </w:rPr>
        <w:t>说明：</w:t>
      </w:r>
    </w:p>
    <w:p w14:paraId="459BF862">
      <w:pPr>
        <w:spacing w:line="240" w:lineRule="exact"/>
        <w:rPr>
          <w:rFonts w:hint="eastAsia" w:ascii="仿宋" w:hAnsi="仿宋" w:eastAsia="仿宋" w:cs="仿宋"/>
          <w:lang w:eastAsia="zh-CN"/>
        </w:rPr>
      </w:pPr>
      <w:r>
        <w:rPr>
          <w:rFonts w:hint="eastAsia" w:ascii="仿宋" w:hAnsi="仿宋" w:eastAsia="仿宋" w:cs="仿宋"/>
        </w:rPr>
        <w:t>（</w:t>
      </w:r>
      <w:r>
        <w:rPr>
          <w:rFonts w:hint="eastAsia" w:ascii="仿宋" w:hAnsi="仿宋" w:eastAsia="仿宋" w:cs="仿宋"/>
          <w:lang w:val="en-US" w:eastAsia="zh-CN"/>
        </w:rPr>
        <w:t>一</w:t>
      </w:r>
      <w:r>
        <w:rPr>
          <w:rFonts w:hint="eastAsia" w:ascii="仿宋" w:hAnsi="仿宋" w:eastAsia="仿宋" w:cs="仿宋"/>
        </w:rPr>
        <w:t>）对于专门面向中小企业或小型、微型企业的项目，只面向中小企业或小型、微型企业采购。对于非专门面向中小企业的项目，对小型和微型企业产品的价格给予10%的扣除，用扣除后的价格参与评审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仿宋"/>
          <w:lang w:eastAsia="zh-CN"/>
        </w:rPr>
        <w:t>。</w:t>
      </w:r>
    </w:p>
    <w:p w14:paraId="1018AF28">
      <w:pPr>
        <w:spacing w:line="240" w:lineRule="exact"/>
        <w:rPr>
          <w:rFonts w:hint="eastAsia" w:ascii="仿宋" w:hAnsi="仿宋" w:eastAsia="仿宋" w:cs="仿宋"/>
        </w:rPr>
      </w:pPr>
      <w:r>
        <w:rPr>
          <w:rFonts w:hint="eastAsia" w:ascii="仿宋" w:hAnsi="仿宋" w:eastAsia="仿宋" w:cs="仿宋"/>
        </w:rPr>
        <w:t>供应商提供的货物、工程或者服务符合下列情形的，享受本办法规定的中小企业扶持政策：</w:t>
      </w:r>
    </w:p>
    <w:p w14:paraId="6B8BB8E3">
      <w:pPr>
        <w:spacing w:line="240" w:lineRule="exact"/>
        <w:rPr>
          <w:rFonts w:hint="eastAsia" w:ascii="仿宋" w:hAnsi="仿宋" w:eastAsia="仿宋" w:cs="仿宋"/>
        </w:rPr>
      </w:pPr>
      <w:r>
        <w:rPr>
          <w:rFonts w:hint="eastAsia" w:ascii="仿宋" w:hAnsi="仿宋" w:eastAsia="仿宋" w:cs="仿宋"/>
          <w:lang w:val="en-US" w:eastAsia="zh-CN"/>
        </w:rPr>
        <w:t>1.</w:t>
      </w:r>
      <w:r>
        <w:rPr>
          <w:rFonts w:hint="eastAsia" w:ascii="仿宋" w:hAnsi="仿宋" w:eastAsia="仿宋" w:cs="仿宋"/>
        </w:rPr>
        <w:t>在货物采购项目中，货物由中小企业制造，即货物由中小企业生产且使用该中小企业商号或者注册商标；</w:t>
      </w:r>
    </w:p>
    <w:p w14:paraId="6692C14B">
      <w:pPr>
        <w:spacing w:line="240" w:lineRule="exact"/>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在工程采购项目中，工程由中小企业承建，即工程施工单位为中小企业；</w:t>
      </w:r>
    </w:p>
    <w:p w14:paraId="15EFF9FB">
      <w:pPr>
        <w:spacing w:line="240" w:lineRule="exact"/>
        <w:rPr>
          <w:rFonts w:hint="eastAsia" w:ascii="仿宋" w:hAnsi="仿宋" w:eastAsia="仿宋" w:cs="仿宋"/>
        </w:rPr>
      </w:pPr>
      <w:r>
        <w:rPr>
          <w:rFonts w:hint="eastAsia" w:ascii="仿宋" w:hAnsi="仿宋" w:eastAsia="仿宋" w:cs="仿宋"/>
          <w:lang w:val="en-US" w:eastAsia="zh-CN"/>
        </w:rPr>
        <w:t>3.</w:t>
      </w:r>
      <w:r>
        <w:rPr>
          <w:rFonts w:hint="eastAsia" w:ascii="仿宋" w:hAnsi="仿宋" w:eastAsia="仿宋" w:cs="仿宋"/>
        </w:rPr>
        <w:t>在服务采购项目中，服务由中小企业承接，即提供服务的人员为中小企业依照《中华人民共和国劳动合同法》订立劳动合同的从业人员。</w:t>
      </w:r>
    </w:p>
    <w:p w14:paraId="083672FE">
      <w:pPr>
        <w:spacing w:line="240" w:lineRule="exact"/>
        <w:rPr>
          <w:rFonts w:hint="eastAsia" w:ascii="仿宋" w:hAnsi="仿宋" w:eastAsia="仿宋" w:cs="仿宋"/>
        </w:rPr>
      </w:pPr>
      <w:r>
        <w:rPr>
          <w:rFonts w:hint="eastAsia" w:ascii="仿宋" w:hAnsi="仿宋" w:eastAsia="仿宋" w:cs="仿宋"/>
        </w:rPr>
        <w:t>在货物采购项目中，供应商提供的货物既有中小企业制造货物，也有大型企业制造货物的，不享受本办法规定的中小企业扶持政策。</w:t>
      </w:r>
    </w:p>
    <w:p w14:paraId="6732451D">
      <w:pPr>
        <w:spacing w:line="240" w:lineRule="exact"/>
        <w:rPr>
          <w:rFonts w:hint="eastAsia" w:ascii="仿宋" w:hAnsi="仿宋" w:eastAsia="仿宋" w:cs="仿宋"/>
        </w:rPr>
      </w:pPr>
      <w:r>
        <w:rPr>
          <w:rFonts w:hint="eastAsia" w:ascii="仿宋" w:hAnsi="仿宋" w:eastAsia="仿宋" w:cs="仿宋"/>
        </w:rPr>
        <w:t>以联合体形式参加政府采购活动，联合体各方均为中小企业的，联合体视同中小企业。其中，联合体各方均为小微企业的，联合体视同小微企业。</w:t>
      </w:r>
    </w:p>
    <w:p w14:paraId="542CF4D1">
      <w:pPr>
        <w:spacing w:line="240" w:lineRule="exact"/>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二</w:t>
      </w:r>
      <w:r>
        <w:rPr>
          <w:rFonts w:hint="eastAsia" w:ascii="仿宋" w:hAnsi="仿宋" w:eastAsia="仿宋" w:cs="仿宋"/>
        </w:rPr>
        <w:t>）参加政府采购活动的中小企业应当提供《中小企业声明函》、由省级以上监狱管理局戒毒管理局(含新疆生产建设兵团)出具的属于监狱企业的证明文件或《残疾人福利性单位声明函》。</w:t>
      </w:r>
    </w:p>
    <w:p w14:paraId="103A05B9">
      <w:pPr>
        <w:spacing w:line="240" w:lineRule="exact"/>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三</w:t>
      </w:r>
      <w:r>
        <w:rPr>
          <w:rFonts w:hint="eastAsia" w:ascii="仿宋" w:hAnsi="仿宋" w:eastAsia="仿宋" w:cs="仿宋"/>
        </w:rPr>
        <w:t>）根据46号文第九条，接受大中型企业与小微企业组成联合体或者允许大中型企业向一家或者多家小微企业分包的采购项目，对于联合协议或者分包意向协议约定小微企业的合同份额占到合同总金额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3048E08C">
      <w:pPr>
        <w:spacing w:line="240" w:lineRule="exact"/>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四）</w:t>
      </w:r>
      <w:r>
        <w:rPr>
          <w:rFonts w:hint="eastAsia" w:ascii="仿宋" w:hAnsi="仿宋" w:eastAsia="仿宋" w:cs="仿宋"/>
        </w:rPr>
        <w:t>异常低价的处理</w:t>
      </w:r>
    </w:p>
    <w:p w14:paraId="77EB1BEB">
      <w:pPr>
        <w:spacing w:line="240" w:lineRule="exact"/>
        <w:rPr>
          <w:rFonts w:hint="eastAsia" w:ascii="仿宋" w:hAnsi="仿宋" w:eastAsia="仿宋" w:cs="仿宋"/>
        </w:rPr>
      </w:pPr>
      <w:r>
        <w:rPr>
          <w:rFonts w:hint="eastAsia" w:ascii="仿宋" w:hAnsi="仿宋" w:eastAsia="仿宋" w:cs="仿宋"/>
          <w:lang w:eastAsia="zh-CN"/>
        </w:rPr>
        <w:t>1</w:t>
      </w:r>
      <w:r>
        <w:rPr>
          <w:rFonts w:hint="eastAsia" w:ascii="仿宋" w:hAnsi="仿宋" w:eastAsia="仿宋" w:cs="仿宋"/>
          <w:lang w:val="en-US" w:eastAsia="zh-CN"/>
        </w:rPr>
        <w:t>.</w:t>
      </w:r>
      <w:r>
        <w:rPr>
          <w:rFonts w:hint="eastAsia" w:ascii="仿宋" w:hAnsi="仿宋" w:eastAsia="仿宋" w:cs="仿宋"/>
        </w:rPr>
        <w:t>评审过程中出现下列情形之一的，评审委员会将启动异常低价投标（响应）审查程序：</w:t>
      </w:r>
    </w:p>
    <w:p w14:paraId="42E56596">
      <w:pPr>
        <w:spacing w:line="240" w:lineRule="exact"/>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1）</w:t>
      </w:r>
      <w:r>
        <w:rPr>
          <w:rFonts w:hint="eastAsia" w:ascii="仿宋" w:hAnsi="仿宋" w:eastAsia="仿宋" w:cs="仿宋"/>
        </w:rPr>
        <w:t>投标（响应）报价低于全部通过符合性审查供应商投标（响应）报价平均值50%的，即投标（响应）报价&lt;全部通过符合性审查供应商投标（响应）报价平均值×50%；</w:t>
      </w:r>
    </w:p>
    <w:p w14:paraId="03D25B7F">
      <w:pPr>
        <w:spacing w:line="240" w:lineRule="exact"/>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2）</w:t>
      </w:r>
      <w:r>
        <w:rPr>
          <w:rFonts w:hint="eastAsia" w:ascii="仿宋" w:hAnsi="仿宋" w:eastAsia="仿宋" w:cs="仿宋"/>
        </w:rPr>
        <w:t>投标（响应）报价低于通过符合性审查的次低报价供应商投标（响应）报价50%的，即投标（响应）报价&lt;通过符合性审查的次低报价供应商投标（响应）报价×50%；</w:t>
      </w:r>
    </w:p>
    <w:p w14:paraId="0E5BC86C">
      <w:pPr>
        <w:spacing w:line="240" w:lineRule="exact"/>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3）</w:t>
      </w:r>
      <w:r>
        <w:rPr>
          <w:rFonts w:hint="eastAsia" w:ascii="仿宋" w:hAnsi="仿宋" w:eastAsia="仿宋" w:cs="仿宋"/>
        </w:rPr>
        <w:t>投标（响应）报价低于采购项目最高限价45%的，即投标（响应）报价&lt;采购项目最高限价×45%（未设定最高限价的采购项目，以采购项目预算金额作为最高限价）；</w:t>
      </w:r>
    </w:p>
    <w:p w14:paraId="1EDB1853">
      <w:pPr>
        <w:spacing w:line="240" w:lineRule="exact"/>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4）</w:t>
      </w:r>
      <w:r>
        <w:rPr>
          <w:rFonts w:hint="eastAsia" w:ascii="仿宋" w:hAnsi="仿宋" w:eastAsia="仿宋" w:cs="仿宋"/>
        </w:rPr>
        <w:t>评审委员会基于专业判断，认为供应商报价过低，有可能影响产品质量或者不能诚信履约的其他情形。</w:t>
      </w:r>
    </w:p>
    <w:p w14:paraId="4A2AB89C">
      <w:pPr>
        <w:spacing w:line="240" w:lineRule="exact"/>
        <w:rPr>
          <w:rFonts w:hint="eastAsia" w:ascii="仿宋" w:hAnsi="仿宋" w:eastAsia="仿宋" w:cs="仿宋"/>
        </w:rPr>
      </w:pPr>
      <w:r>
        <w:rPr>
          <w:rFonts w:hint="eastAsia" w:ascii="仿宋" w:hAnsi="仿宋" w:eastAsia="仿宋" w:cs="仿宋"/>
          <w:lang w:val="en-US" w:eastAsia="zh-CN"/>
        </w:rPr>
        <w:t>2.</w:t>
      </w:r>
      <w:r>
        <w:rPr>
          <w:rFonts w:hint="eastAsia" w:ascii="仿宋" w:hAnsi="仿宋" w:eastAsia="仿宋" w:cs="仿宋"/>
        </w:rPr>
        <w:t>评审委员会启动异常低价投标（响应）审查后，属于前述第</w:t>
      </w:r>
      <w:r>
        <w:rPr>
          <w:rFonts w:hint="eastAsia" w:ascii="仿宋" w:hAnsi="仿宋" w:eastAsia="仿宋" w:cs="仿宋"/>
          <w:lang w:eastAsia="zh-CN"/>
        </w:rPr>
        <w:t>（</w:t>
      </w:r>
      <w:r>
        <w:rPr>
          <w:rFonts w:hint="eastAsia" w:ascii="仿宋" w:hAnsi="仿宋" w:eastAsia="仿宋" w:cs="仿宋"/>
          <w:lang w:val="en-US" w:eastAsia="zh-CN"/>
        </w:rPr>
        <w:t>1）</w:t>
      </w:r>
      <w:r>
        <w:rPr>
          <w:rFonts w:hint="eastAsia" w:ascii="仿宋" w:hAnsi="仿宋" w:eastAsia="仿宋" w:cs="仿宋"/>
        </w:rPr>
        <w:t>项至第</w:t>
      </w:r>
      <w:r>
        <w:rPr>
          <w:rFonts w:hint="eastAsia" w:ascii="仿宋" w:hAnsi="仿宋" w:eastAsia="仿宋" w:cs="仿宋"/>
          <w:lang w:eastAsia="zh-CN"/>
        </w:rPr>
        <w:t>（</w:t>
      </w:r>
      <w:r>
        <w:rPr>
          <w:rFonts w:hint="eastAsia" w:ascii="仿宋" w:hAnsi="仿宋" w:eastAsia="仿宋" w:cs="仿宋"/>
          <w:lang w:val="en-US" w:eastAsia="zh-CN"/>
        </w:rPr>
        <w:t>4）</w:t>
      </w:r>
      <w:r>
        <w:rPr>
          <w:rFonts w:hint="eastAsia" w:ascii="仿宋" w:hAnsi="仿宋" w:eastAsia="仿宋" w:cs="仿宋"/>
        </w:rPr>
        <w:t>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仿宋" w:hAnsi="仿宋" w:eastAsia="仿宋" w:cs="仿宋"/>
          <w:lang w:val="en-US" w:eastAsia="zh-CN"/>
        </w:rPr>
        <w:t>（3）</w:t>
      </w:r>
      <w:r>
        <w:rPr>
          <w:rFonts w:hint="eastAsia" w:ascii="仿宋" w:hAnsi="仿宋" w:eastAsia="仿宋" w:cs="仿宋"/>
        </w:rPr>
        <w:t>项情形，供应商已随投标（响应）文件一并提交相关书面说明及必要的证明材料的，在评审现场可不再重复提交。</w:t>
      </w:r>
    </w:p>
    <w:p w14:paraId="49058877">
      <w:pPr>
        <w:spacing w:line="240" w:lineRule="exact"/>
        <w:rPr>
          <w:rFonts w:ascii="仿宋" w:hAnsi="仿宋" w:eastAsia="仿宋" w:cs="仿宋"/>
          <w:sz w:val="20"/>
        </w:rPr>
      </w:pPr>
      <w:r>
        <w:rPr>
          <w:rFonts w:hint="eastAsia" w:ascii="仿宋" w:hAnsi="仿宋" w:eastAsia="仿宋" w:cs="仿宋"/>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C512A5">
      <w:pPr>
        <w:pStyle w:val="29"/>
        <w:pageBreakBefore/>
        <w:spacing w:after="317" w:line="360" w:lineRule="auto"/>
        <w:textAlignment w:val="baseline"/>
        <w:rPr>
          <w:rFonts w:ascii="仿宋" w:hAnsi="仿宋" w:eastAsia="仿宋" w:cs="仿宋"/>
        </w:rPr>
      </w:pPr>
      <w:r>
        <w:rPr>
          <w:rFonts w:hint="eastAsia" w:ascii="仿宋" w:hAnsi="仿宋" w:eastAsia="仿宋" w:cs="仿宋"/>
        </w:rPr>
        <w:t>第六章 响应文件格式</w:t>
      </w:r>
      <w:bookmarkEnd w:id="124"/>
      <w:bookmarkEnd w:id="125"/>
      <w:bookmarkEnd w:id="126"/>
      <w:bookmarkEnd w:id="127"/>
      <w:bookmarkEnd w:id="128"/>
      <w:bookmarkEnd w:id="129"/>
      <w:bookmarkEnd w:id="130"/>
      <w:bookmarkEnd w:id="131"/>
      <w:bookmarkEnd w:id="132"/>
      <w:bookmarkEnd w:id="133"/>
      <w:bookmarkEnd w:id="134"/>
      <w:bookmarkEnd w:id="135"/>
    </w:p>
    <w:p w14:paraId="5640894C">
      <w:pPr>
        <w:pStyle w:val="28"/>
        <w:spacing w:before="0" w:after="0"/>
        <w:ind w:firstLine="0" w:firstLineChars="0"/>
        <w:jc w:val="center"/>
        <w:textAlignment w:val="baseline"/>
        <w:rPr>
          <w:rFonts w:ascii="仿宋" w:hAnsi="仿宋" w:eastAsia="仿宋" w:cs="仿宋"/>
          <w:b/>
          <w:bCs/>
          <w:sz w:val="72"/>
          <w:szCs w:val="72"/>
        </w:rPr>
      </w:pPr>
    </w:p>
    <w:p w14:paraId="5CCC449E">
      <w:pPr>
        <w:pStyle w:val="28"/>
        <w:shd w:val="clear" w:color="auto" w:fill="auto"/>
        <w:spacing w:before="0" w:after="0"/>
        <w:ind w:firstLine="0" w:firstLineChars="0"/>
        <w:jc w:val="center"/>
        <w:rPr>
          <w:rFonts w:hint="eastAsia" w:asciiTheme="minorEastAsia" w:hAnsiTheme="minorEastAsia" w:eastAsiaTheme="minorEastAsia" w:cstheme="minorEastAsia"/>
          <w:b/>
          <w:bCs/>
          <w:color w:val="000000"/>
          <w:sz w:val="72"/>
          <w:szCs w:val="72"/>
          <w:highlight w:val="none"/>
        </w:rPr>
      </w:pPr>
      <w:r>
        <w:rPr>
          <w:rFonts w:hint="eastAsia" w:asciiTheme="minorEastAsia" w:hAnsiTheme="minorEastAsia" w:eastAsiaTheme="minorEastAsia" w:cstheme="minorEastAsia"/>
          <w:b/>
          <w:bCs/>
          <w:color w:val="000000"/>
          <w:sz w:val="72"/>
          <w:szCs w:val="72"/>
          <w:highlight w:val="none"/>
        </w:rPr>
        <w:t>响</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应</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文</w:t>
      </w:r>
      <w:r>
        <w:rPr>
          <w:rFonts w:hint="eastAsia" w:asciiTheme="minorEastAsia" w:hAnsiTheme="minorEastAsia" w:eastAsiaTheme="minorEastAsia" w:cstheme="minorEastAsia"/>
          <w:b/>
          <w:bCs/>
          <w:color w:val="000000"/>
          <w:sz w:val="72"/>
          <w:szCs w:val="72"/>
          <w:highlight w:val="none"/>
          <w:lang w:val="en-US" w:eastAsia="zh-CN"/>
        </w:rPr>
        <w:t xml:space="preserve">  </w:t>
      </w:r>
      <w:r>
        <w:rPr>
          <w:rFonts w:hint="eastAsia" w:asciiTheme="minorEastAsia" w:hAnsiTheme="minorEastAsia" w:eastAsiaTheme="minorEastAsia" w:cstheme="minorEastAsia"/>
          <w:b/>
          <w:bCs/>
          <w:color w:val="000000"/>
          <w:sz w:val="72"/>
          <w:szCs w:val="72"/>
          <w:highlight w:val="none"/>
        </w:rPr>
        <w:t>件</w:t>
      </w:r>
    </w:p>
    <w:p w14:paraId="038C3468">
      <w:pPr>
        <w:pStyle w:val="28"/>
        <w:shd w:val="clear" w:color="auto" w:fill="auto"/>
        <w:spacing w:before="0" w:after="0"/>
        <w:ind w:firstLine="0" w:firstLineChars="0"/>
        <w:jc w:val="center"/>
        <w:rPr>
          <w:rFonts w:hint="eastAsia" w:asciiTheme="minorEastAsia" w:hAnsiTheme="minorEastAsia" w:eastAsiaTheme="minorEastAsia" w:cstheme="minorEastAsia"/>
          <w:b/>
          <w:bCs/>
          <w:color w:val="000000"/>
          <w:sz w:val="52"/>
          <w:szCs w:val="52"/>
          <w:highlight w:val="none"/>
        </w:rPr>
      </w:pPr>
      <w:bookmarkStart w:id="147" w:name="_Toc27695"/>
      <w:bookmarkStart w:id="148" w:name="_Toc3841"/>
    </w:p>
    <w:bookmarkEnd w:id="147"/>
    <w:bookmarkEnd w:id="148"/>
    <w:p w14:paraId="785C528A">
      <w:pPr>
        <w:pStyle w:val="28"/>
        <w:shd w:val="clear" w:color="auto" w:fill="auto"/>
        <w:spacing w:before="0" w:after="0"/>
        <w:ind w:firstLine="0" w:firstLineChars="0"/>
        <w:jc w:val="center"/>
        <w:rPr>
          <w:rFonts w:hint="eastAsia" w:asciiTheme="minorEastAsia" w:hAnsiTheme="minorEastAsia" w:eastAsiaTheme="minorEastAsia" w:cstheme="minorEastAsia"/>
          <w:b/>
          <w:bCs/>
          <w:color w:val="000000"/>
          <w:sz w:val="32"/>
          <w:szCs w:val="32"/>
          <w:highlight w:val="none"/>
        </w:rPr>
      </w:pPr>
    </w:p>
    <w:p w14:paraId="07FCBB34">
      <w:pPr>
        <w:pStyle w:val="28"/>
        <w:shd w:val="clear" w:color="auto" w:fill="auto"/>
        <w:spacing w:before="0" w:after="0"/>
        <w:ind w:firstLine="0" w:firstLineChars="0"/>
        <w:rPr>
          <w:rFonts w:hint="eastAsia" w:asciiTheme="minorEastAsia" w:hAnsiTheme="minorEastAsia" w:eastAsiaTheme="minorEastAsia" w:cstheme="minorEastAsia"/>
          <w:color w:val="000000"/>
          <w:highlight w:val="none"/>
        </w:rPr>
      </w:pPr>
    </w:p>
    <w:p w14:paraId="78FB4B29">
      <w:pPr>
        <w:pStyle w:val="28"/>
        <w:shd w:val="clear" w:color="auto" w:fill="auto"/>
        <w:spacing w:before="0" w:after="0"/>
        <w:ind w:firstLine="0" w:firstLineChars="0"/>
        <w:rPr>
          <w:rFonts w:hint="eastAsia" w:asciiTheme="minorEastAsia" w:hAnsiTheme="minorEastAsia" w:eastAsiaTheme="minorEastAsia" w:cstheme="minorEastAsia"/>
          <w:color w:val="000000"/>
          <w:highlight w:val="none"/>
        </w:rPr>
      </w:pPr>
    </w:p>
    <w:p w14:paraId="3F505B47">
      <w:pPr>
        <w:pStyle w:val="28"/>
        <w:shd w:val="clear" w:color="auto" w:fill="auto"/>
        <w:spacing w:before="0" w:after="0"/>
        <w:ind w:firstLine="0" w:firstLineChars="0"/>
        <w:rPr>
          <w:rFonts w:hint="eastAsia" w:asciiTheme="minorEastAsia" w:hAnsiTheme="minorEastAsia" w:eastAsiaTheme="minorEastAsia" w:cstheme="minorEastAsia"/>
          <w:color w:val="000000"/>
          <w:highlight w:val="none"/>
        </w:rPr>
      </w:pPr>
    </w:p>
    <w:p w14:paraId="413F60E2">
      <w:pPr>
        <w:pStyle w:val="28"/>
        <w:shd w:val="clear" w:color="auto" w:fill="auto"/>
        <w:spacing w:before="0" w:after="0"/>
        <w:rPr>
          <w:rFonts w:hint="eastAsia" w:asciiTheme="minorEastAsia" w:hAnsiTheme="minorEastAsia" w:eastAsiaTheme="minorEastAsia" w:cstheme="minorEastAsia"/>
          <w:color w:val="000000"/>
          <w:highlight w:val="none"/>
        </w:rPr>
      </w:pPr>
    </w:p>
    <w:p w14:paraId="1DFFDE69">
      <w:pPr>
        <w:spacing w:beforeLines="0" w:afterLines="0"/>
        <w:ind w:firstLine="1905" w:firstLineChars="527"/>
        <w:rPr>
          <w:rFonts w:hint="eastAsia" w:ascii="宋体" w:hAnsi="宋体" w:eastAsia="宋体" w:cs="宋体"/>
          <w:b/>
          <w:color w:val="000000"/>
          <w:sz w:val="36"/>
          <w:szCs w:val="21"/>
        </w:rPr>
      </w:pPr>
      <w:bookmarkStart w:id="149" w:name="_Toc28"/>
      <w:bookmarkStart w:id="150" w:name="_Toc16453"/>
      <w:bookmarkStart w:id="151" w:name="_Toc25917"/>
      <w:bookmarkStart w:id="152" w:name="_Toc32649"/>
      <w:r>
        <w:rPr>
          <w:rFonts w:hint="eastAsia" w:ascii="宋体" w:hAnsi="宋体" w:eastAsia="宋体" w:cs="宋体"/>
          <w:b/>
          <w:color w:val="000000"/>
          <w:sz w:val="36"/>
          <w:szCs w:val="21"/>
        </w:rPr>
        <w:t>项 目 名 称：</w:t>
      </w:r>
      <w:r>
        <w:rPr>
          <w:rFonts w:hint="eastAsia" w:ascii="宋体" w:hAnsi="宋体" w:eastAsia="宋体" w:cs="宋体"/>
          <w:b/>
          <w:color w:val="000000"/>
          <w:sz w:val="36"/>
          <w:szCs w:val="21"/>
          <w:u w:val="single"/>
        </w:rPr>
        <w:t xml:space="preserve">                   </w:t>
      </w:r>
    </w:p>
    <w:p w14:paraId="2566E5BC">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r>
        <w:rPr>
          <w:rFonts w:hint="eastAsia" w:ascii="宋体" w:hAnsi="宋体" w:eastAsia="宋体" w:cs="宋体"/>
          <w:b/>
          <w:color w:val="000000"/>
          <w:sz w:val="36"/>
          <w:szCs w:val="21"/>
          <w:u w:val="single"/>
        </w:rPr>
        <w:t xml:space="preserve">                   </w:t>
      </w:r>
    </w:p>
    <w:p w14:paraId="4A4E791E">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供应商名称 ：</w:t>
      </w:r>
      <w:r>
        <w:rPr>
          <w:rFonts w:hint="eastAsia" w:ascii="宋体" w:hAnsi="宋体" w:eastAsia="宋体" w:cs="宋体"/>
          <w:b/>
          <w:bCs w:val="0"/>
          <w:color w:val="000000"/>
          <w:sz w:val="36"/>
          <w:szCs w:val="21"/>
          <w:u w:val="single"/>
        </w:rPr>
        <w:t>（加盖电子公章）</w:t>
      </w:r>
      <w:r>
        <w:rPr>
          <w:rFonts w:hint="eastAsia" w:ascii="宋体" w:hAnsi="宋体" w:eastAsia="宋体" w:cs="宋体"/>
          <w:b/>
          <w:color w:val="000000"/>
          <w:sz w:val="36"/>
          <w:szCs w:val="21"/>
          <w:u w:val="single"/>
        </w:rPr>
        <w:t xml:space="preserve">   </w:t>
      </w:r>
    </w:p>
    <w:p w14:paraId="45050211">
      <w:pPr>
        <w:spacing w:beforeLines="0" w:afterLines="0"/>
        <w:ind w:firstLine="1905" w:firstLineChars="527"/>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日      期 ：</w:t>
      </w:r>
      <w:r>
        <w:rPr>
          <w:rFonts w:hint="eastAsia" w:ascii="宋体" w:hAnsi="宋体" w:eastAsia="宋体" w:cs="宋体"/>
          <w:b/>
          <w:color w:val="000000"/>
          <w:sz w:val="36"/>
          <w:szCs w:val="21"/>
          <w:u w:val="single"/>
        </w:rPr>
        <w:t xml:space="preserve">                   </w:t>
      </w:r>
    </w:p>
    <w:bookmarkEnd w:id="149"/>
    <w:bookmarkEnd w:id="150"/>
    <w:bookmarkEnd w:id="151"/>
    <w:bookmarkEnd w:id="152"/>
    <w:p w14:paraId="637F40AE">
      <w:pPr>
        <w:shd w:val="clear" w:color="auto" w:fill="auto"/>
        <w:spacing w:line="360" w:lineRule="auto"/>
        <w:jc w:val="center"/>
        <w:rPr>
          <w:rFonts w:hint="eastAsia" w:asciiTheme="minorEastAsia" w:hAnsiTheme="minorEastAsia" w:eastAsiaTheme="minorEastAsia" w:cstheme="minorEastAsia"/>
          <w:b/>
          <w:bCs/>
          <w:color w:val="000000"/>
          <w:sz w:val="36"/>
          <w:szCs w:val="36"/>
          <w:highlight w:val="none"/>
          <w:u w:val="single"/>
        </w:rPr>
      </w:pPr>
      <w:r>
        <w:rPr>
          <w:rFonts w:hint="eastAsia" w:asciiTheme="minorEastAsia" w:hAnsiTheme="minorEastAsia" w:eastAsiaTheme="minorEastAsia" w:cstheme="minorEastAsia"/>
          <w:b/>
          <w:bCs/>
          <w:color w:val="000000"/>
          <w:sz w:val="36"/>
          <w:szCs w:val="36"/>
          <w:highlight w:val="none"/>
          <w:u w:val="single"/>
        </w:rPr>
        <w:br w:type="page"/>
      </w:r>
      <w:bookmarkStart w:id="153" w:name="_Toc9798"/>
      <w:bookmarkStart w:id="154" w:name="_Toc27163"/>
    </w:p>
    <w:p w14:paraId="0C2C5DD8">
      <w:pPr>
        <w:spacing w:beforeLines="0" w:afterLines="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响应文件目录</w:t>
      </w:r>
    </w:p>
    <w:p w14:paraId="61E8DA10">
      <w:pPr>
        <w:spacing w:beforeLines="0" w:afterLines="0" w:line="440" w:lineRule="exact"/>
        <w:jc w:val="center"/>
        <w:rPr>
          <w:rFonts w:hint="eastAsia" w:ascii="宋体" w:hAnsi="宋体" w:eastAsia="宋体" w:cs="宋体"/>
          <w:b/>
          <w:color w:val="000000"/>
          <w:sz w:val="32"/>
          <w:szCs w:val="32"/>
        </w:rPr>
      </w:pPr>
    </w:p>
    <w:p w14:paraId="66C54B18">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一、</w:t>
      </w:r>
      <w:r>
        <w:rPr>
          <w:rFonts w:hint="eastAsia" w:ascii="宋体" w:hAnsi="宋体" w:eastAsia="宋体" w:cs="宋体"/>
          <w:color w:val="000000"/>
          <w:sz w:val="28"/>
          <w:szCs w:val="28"/>
          <w:highlight w:val="none"/>
        </w:rPr>
        <w:t>法人授权书</w:t>
      </w:r>
    </w:p>
    <w:p w14:paraId="10A9C39C">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二</w:t>
      </w:r>
      <w:r>
        <w:rPr>
          <w:rFonts w:hint="eastAsia" w:ascii="宋体" w:hAnsi="宋体" w:eastAsia="宋体" w:cs="宋体"/>
          <w:color w:val="000000"/>
          <w:sz w:val="28"/>
          <w:szCs w:val="28"/>
          <w:highlight w:val="none"/>
        </w:rPr>
        <w:t>、磋商响应函</w:t>
      </w:r>
    </w:p>
    <w:p w14:paraId="2AFB5A8B">
      <w:pPr>
        <w:spacing w:beforeLines="0" w:afterLines="0" w:line="600" w:lineRule="exact"/>
        <w:ind w:firstLine="56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三</w:t>
      </w:r>
      <w:r>
        <w:rPr>
          <w:rFonts w:hint="eastAsia" w:ascii="宋体" w:hAnsi="宋体" w:eastAsia="宋体" w:cs="宋体"/>
          <w:color w:val="000000"/>
          <w:sz w:val="28"/>
          <w:szCs w:val="28"/>
          <w:highlight w:val="none"/>
        </w:rPr>
        <w:t>、报价</w:t>
      </w:r>
      <w:r>
        <w:rPr>
          <w:rFonts w:hint="eastAsia" w:ascii="宋体" w:hAnsi="宋体" w:eastAsia="宋体" w:cs="宋体"/>
          <w:color w:val="000000"/>
          <w:sz w:val="28"/>
          <w:szCs w:val="28"/>
          <w:highlight w:val="none"/>
          <w:lang w:eastAsia="zh-CN"/>
        </w:rPr>
        <w:t>一览表</w:t>
      </w:r>
    </w:p>
    <w:p w14:paraId="0C546543">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四</w:t>
      </w:r>
      <w:r>
        <w:rPr>
          <w:rFonts w:hint="eastAsia" w:ascii="宋体" w:hAnsi="宋体" w:eastAsia="宋体" w:cs="宋体"/>
          <w:color w:val="000000"/>
          <w:sz w:val="28"/>
          <w:szCs w:val="28"/>
          <w:highlight w:val="none"/>
        </w:rPr>
        <w:t>、报价明细表</w:t>
      </w:r>
    </w:p>
    <w:p w14:paraId="1785566E">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五</w:t>
      </w:r>
      <w:r>
        <w:rPr>
          <w:rFonts w:hint="eastAsia" w:ascii="宋体" w:hAnsi="宋体" w:eastAsia="宋体" w:cs="宋体"/>
          <w:color w:val="000000"/>
          <w:sz w:val="28"/>
          <w:szCs w:val="28"/>
          <w:highlight w:val="none"/>
        </w:rPr>
        <w:t>、商务要求响应及偏离表</w:t>
      </w:r>
    </w:p>
    <w:p w14:paraId="590C6182">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六</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eastAsia="zh-CN"/>
        </w:rPr>
        <w:t>服务</w:t>
      </w:r>
      <w:r>
        <w:rPr>
          <w:rFonts w:hint="eastAsia" w:ascii="宋体" w:hAnsi="宋体" w:eastAsia="宋体" w:cs="宋体"/>
          <w:color w:val="000000"/>
          <w:sz w:val="28"/>
          <w:szCs w:val="28"/>
          <w:highlight w:val="none"/>
        </w:rPr>
        <w:t>要求响应及偏离表</w:t>
      </w:r>
    </w:p>
    <w:p w14:paraId="24B95886">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七</w:t>
      </w:r>
      <w:r>
        <w:rPr>
          <w:rFonts w:hint="eastAsia" w:ascii="宋体" w:hAnsi="宋体" w:eastAsia="宋体" w:cs="宋体"/>
          <w:color w:val="000000"/>
          <w:sz w:val="28"/>
          <w:szCs w:val="28"/>
          <w:highlight w:val="none"/>
        </w:rPr>
        <w:t>、拟投入项目人员一览表</w:t>
      </w:r>
    </w:p>
    <w:p w14:paraId="2A6A6B00">
      <w:pPr>
        <w:spacing w:beforeLines="0" w:afterLines="0" w:line="600" w:lineRule="exact"/>
        <w:ind w:firstLine="56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八</w:t>
      </w:r>
      <w:r>
        <w:rPr>
          <w:rFonts w:hint="eastAsia" w:ascii="宋体" w:hAnsi="宋体" w:eastAsia="宋体" w:cs="宋体"/>
          <w:color w:val="000000"/>
          <w:sz w:val="28"/>
          <w:szCs w:val="28"/>
          <w:highlight w:val="none"/>
          <w:lang w:eastAsia="zh-CN"/>
        </w:rPr>
        <w:t>、业绩</w:t>
      </w:r>
    </w:p>
    <w:p w14:paraId="0B8756F7">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九</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中小企业声明函（如有）</w:t>
      </w:r>
    </w:p>
    <w:p w14:paraId="2D19030D">
      <w:pPr>
        <w:numPr>
          <w:ilvl w:val="-1"/>
          <w:numId w:val="0"/>
        </w:numPr>
        <w:spacing w:beforeLines="0" w:afterLines="0" w:line="600" w:lineRule="exact"/>
        <w:ind w:firstLine="560" w:firstLineChars="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十、</w:t>
      </w:r>
      <w:r>
        <w:rPr>
          <w:rFonts w:hint="eastAsia" w:ascii="宋体" w:hAnsi="宋体" w:eastAsia="宋体" w:cs="宋体"/>
          <w:color w:val="000000"/>
          <w:sz w:val="28"/>
          <w:szCs w:val="28"/>
          <w:highlight w:val="none"/>
        </w:rPr>
        <w:t>残疾人福利性单位声明函（如有）</w:t>
      </w:r>
    </w:p>
    <w:p w14:paraId="1FE7DB24">
      <w:pPr>
        <w:spacing w:beforeLines="0" w:afterLines="0" w:line="600" w:lineRule="exact"/>
        <w:ind w:firstLine="560" w:firstLineChars="20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十</w:t>
      </w:r>
      <w:r>
        <w:rPr>
          <w:rFonts w:hint="eastAsia" w:ascii="宋体" w:hAnsi="宋体" w:cs="宋体"/>
          <w:color w:val="000000"/>
          <w:sz w:val="28"/>
          <w:szCs w:val="28"/>
          <w:highlight w:val="none"/>
          <w:lang w:val="en-US" w:eastAsia="zh-CN"/>
        </w:rPr>
        <w:t>一</w:t>
      </w:r>
      <w:r>
        <w:rPr>
          <w:rFonts w:hint="eastAsia" w:ascii="宋体" w:hAnsi="宋体" w:eastAsia="宋体" w:cs="宋体"/>
          <w:color w:val="000000"/>
          <w:sz w:val="28"/>
          <w:szCs w:val="28"/>
          <w:highlight w:val="none"/>
          <w:lang w:eastAsia="zh-CN"/>
        </w:rPr>
        <w:t>、方案与承诺（格式自拟）</w:t>
      </w:r>
    </w:p>
    <w:p w14:paraId="6DB4B3D3">
      <w:pPr>
        <w:spacing w:beforeLines="0" w:afterLines="0"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十</w:t>
      </w:r>
      <w:r>
        <w:rPr>
          <w:rFonts w:hint="eastAsia" w:ascii="宋体" w:hAnsi="宋体" w:cs="宋体"/>
          <w:color w:val="000000"/>
          <w:sz w:val="28"/>
          <w:szCs w:val="28"/>
          <w:highlight w:val="none"/>
          <w:lang w:val="en-US" w:eastAsia="zh-CN"/>
        </w:rPr>
        <w:t>二</w:t>
      </w:r>
      <w:r>
        <w:rPr>
          <w:rFonts w:hint="eastAsia" w:ascii="宋体" w:hAnsi="宋体" w:eastAsia="宋体" w:cs="宋体"/>
          <w:color w:val="000000"/>
          <w:sz w:val="28"/>
          <w:szCs w:val="28"/>
          <w:highlight w:val="none"/>
          <w:lang w:eastAsia="zh-CN"/>
        </w:rPr>
        <w:t>、其他（</w:t>
      </w:r>
      <w:r>
        <w:rPr>
          <w:rFonts w:hint="eastAsia" w:ascii="宋体" w:hAnsi="宋体" w:eastAsia="宋体" w:cs="宋体"/>
          <w:color w:val="000000"/>
          <w:sz w:val="28"/>
          <w:szCs w:val="28"/>
          <w:highlight w:val="none"/>
        </w:rPr>
        <w:t>如有）</w:t>
      </w:r>
    </w:p>
    <w:p w14:paraId="00FDDCDF">
      <w:pPr>
        <w:spacing w:beforeLines="0" w:afterLines="0" w:line="600" w:lineRule="exact"/>
        <w:ind w:firstLine="560" w:firstLineChars="200"/>
        <w:rPr>
          <w:rFonts w:hint="eastAsia" w:ascii="宋体" w:hAnsi="宋体" w:eastAsia="宋体" w:cs="宋体"/>
          <w:color w:val="000000"/>
          <w:sz w:val="28"/>
          <w:szCs w:val="28"/>
          <w:highlight w:val="none"/>
          <w:lang w:eastAsia="zh-CN"/>
        </w:rPr>
      </w:pPr>
    </w:p>
    <w:p w14:paraId="46FD5DAC">
      <w:pPr>
        <w:pStyle w:val="20"/>
        <w:numPr>
          <w:ilvl w:val="-1"/>
          <w:numId w:val="0"/>
        </w:numPr>
        <w:ind w:firstLine="560" w:firstLineChars="200"/>
        <w:rPr>
          <w:rFonts w:hint="eastAsia" w:ascii="宋体" w:hAnsi="宋体" w:eastAsia="宋体" w:cs="宋体"/>
          <w:sz w:val="28"/>
          <w:szCs w:val="21"/>
        </w:rPr>
      </w:pPr>
    </w:p>
    <w:p w14:paraId="532F68A1">
      <w:pPr>
        <w:spacing w:beforeLines="0" w:afterLines="0" w:line="600" w:lineRule="exact"/>
        <w:ind w:firstLine="560"/>
        <w:rPr>
          <w:rFonts w:hint="eastAsia" w:ascii="宋体" w:hAnsi="宋体" w:eastAsia="宋体" w:cs="宋体"/>
          <w:color w:val="000000"/>
          <w:sz w:val="28"/>
          <w:szCs w:val="28"/>
        </w:rPr>
      </w:pPr>
    </w:p>
    <w:p w14:paraId="1430471F">
      <w:pPr>
        <w:pStyle w:val="46"/>
        <w:ind w:left="0" w:leftChars="0" w:firstLine="0" w:firstLineChars="0"/>
        <w:rPr>
          <w:rFonts w:hint="eastAsia" w:ascii="宋体" w:hAnsi="宋体" w:eastAsia="宋体" w:cs="宋体"/>
          <w:color w:val="000000"/>
          <w:sz w:val="28"/>
          <w:szCs w:val="28"/>
        </w:rPr>
      </w:pPr>
    </w:p>
    <w:p w14:paraId="286B2F8A">
      <w:pPr>
        <w:pStyle w:val="30"/>
        <w:keepNext w:val="0"/>
        <w:keepLines w:val="0"/>
        <w:pageBreakBefore/>
        <w:widowControl/>
        <w:numPr>
          <w:ilvl w:val="255"/>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kern w:val="0"/>
          <w:sz w:val="32"/>
          <w:szCs w:val="32"/>
        </w:rPr>
      </w:pPr>
      <w:r>
        <w:rPr>
          <w:rFonts w:hint="eastAsia" w:ascii="宋体" w:hAnsi="宋体" w:eastAsia="宋体" w:cs="宋体"/>
          <w:snapToGrid w:val="0"/>
          <w:color w:val="000000"/>
          <w:kern w:val="0"/>
          <w:sz w:val="32"/>
          <w:szCs w:val="32"/>
        </w:rPr>
        <w:t>一、法人授权书</w:t>
      </w:r>
    </w:p>
    <w:p w14:paraId="7D68DB97">
      <w:pPr>
        <w:spacing w:beforeLines="-2147483648" w:afterLines="-2147483648" w:line="240" w:lineRule="auto"/>
        <w:jc w:val="center"/>
        <w:outlineLvl w:val="9"/>
        <w:rPr>
          <w:rFonts w:hint="eastAsia" w:ascii="宋体" w:hAnsi="宋体" w:eastAsia="宋体" w:cs="宋体"/>
          <w:sz w:val="32"/>
          <w:szCs w:val="21"/>
          <w:lang w:val="zh-CN"/>
        </w:rPr>
      </w:pPr>
      <w:r>
        <w:rPr>
          <w:rFonts w:hint="eastAsia" w:ascii="宋体" w:hAnsi="宋体" w:eastAsia="宋体" w:cs="宋体"/>
          <w:sz w:val="32"/>
          <w:szCs w:val="21"/>
          <w:lang w:val="zh-CN"/>
        </w:rPr>
        <w:t>法人授权书</w:t>
      </w:r>
    </w:p>
    <w:p w14:paraId="3F16FC61">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本授权书声明：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（被授权人的姓名）作为我方就编号为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的项目采购活动的合法代理人，以本单位名义全权处理一切与该项目采购有关的事务。</w:t>
      </w:r>
    </w:p>
    <w:p w14:paraId="1F0F2041">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本授权书于______年____月____日起生效，特此声明。</w:t>
      </w:r>
    </w:p>
    <w:p w14:paraId="17484F87">
      <w:pPr>
        <w:pStyle w:val="48"/>
        <w:spacing w:beforeLines="0" w:afterLines="0" w:line="480" w:lineRule="auto"/>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p>
    <w:p w14:paraId="1E05E80D">
      <w:pPr>
        <w:pStyle w:val="48"/>
        <w:spacing w:beforeLines="0" w:afterLines="0" w:line="480" w:lineRule="auto"/>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被授权人联系电话：（手机）</w:t>
      </w:r>
    </w:p>
    <w:p w14:paraId="0F69F729">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授权单位名称：（加盖电子公章）</w:t>
      </w:r>
    </w:p>
    <w:p w14:paraId="03C9EAA9">
      <w:pPr>
        <w:pStyle w:val="48"/>
        <w:spacing w:beforeLines="0" w:afterLines="0" w:line="480" w:lineRule="auto"/>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单位地址：</w:t>
      </w:r>
    </w:p>
    <w:p w14:paraId="2C1B79D3">
      <w:pPr>
        <w:pStyle w:val="48"/>
        <w:spacing w:beforeLines="0" w:afterLines="0" w:line="48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    期：</w:t>
      </w:r>
      <w:bookmarkStart w:id="155" w:name="_Hlt26671380"/>
      <w:bookmarkEnd w:id="155"/>
      <w:bookmarkStart w:id="156" w:name="_Hlt26955070"/>
      <w:bookmarkEnd w:id="156"/>
      <w:bookmarkStart w:id="157" w:name="_格式3__银行出具的资信证明"/>
      <w:bookmarkEnd w:id="157"/>
    </w:p>
    <w:p w14:paraId="608988FD">
      <w:pPr>
        <w:tabs>
          <w:tab w:val="left" w:pos="360"/>
        </w:tabs>
        <w:spacing w:beforeLines="0" w:afterLines="0"/>
        <w:ind w:firstLine="480"/>
        <w:rPr>
          <w:rFonts w:hint="eastAsia" w:ascii="宋体" w:hAnsi="宋体" w:eastAsia="宋体" w:cs="宋体"/>
          <w:color w:val="000000"/>
          <w:sz w:val="24"/>
          <w:szCs w:val="24"/>
          <w:u w:val="single"/>
        </w:rPr>
      </w:pPr>
    </w:p>
    <w:p w14:paraId="6DDEF5BD">
      <w:pPr>
        <w:tabs>
          <w:tab w:val="left" w:pos="360"/>
        </w:tabs>
        <w:spacing w:beforeLines="0" w:afterLines="0"/>
        <w:ind w:firstLine="480"/>
        <w:rPr>
          <w:rFonts w:hint="eastAsia" w:ascii="宋体" w:hAnsi="宋体" w:eastAsia="宋体" w:cs="宋体"/>
          <w:color w:val="000000"/>
          <w:sz w:val="24"/>
          <w:szCs w:val="24"/>
          <w:u w:val="single"/>
        </w:rPr>
      </w:pPr>
    </w:p>
    <w:p w14:paraId="357869F5">
      <w:pPr>
        <w:tabs>
          <w:tab w:val="left" w:pos="360"/>
        </w:tabs>
        <w:spacing w:beforeLines="0" w:afterLines="0"/>
        <w:ind w:firstLine="480"/>
        <w:rPr>
          <w:rFonts w:hint="eastAsia" w:ascii="宋体" w:hAnsi="宋体" w:eastAsia="宋体" w:cs="宋体"/>
          <w:color w:val="000000"/>
          <w:sz w:val="24"/>
          <w:szCs w:val="24"/>
          <w:u w:val="single"/>
        </w:rPr>
      </w:pPr>
    </w:p>
    <w:p w14:paraId="7D9F0024">
      <w:pPr>
        <w:tabs>
          <w:tab w:val="left" w:pos="360"/>
        </w:tabs>
        <w:spacing w:beforeLines="0" w:afterLines="0"/>
        <w:ind w:firstLine="480"/>
        <w:rPr>
          <w:rFonts w:hint="eastAsia" w:ascii="宋体" w:hAnsi="宋体" w:eastAsia="宋体" w:cs="宋体"/>
          <w:color w:val="000000"/>
          <w:sz w:val="24"/>
          <w:szCs w:val="24"/>
          <w:u w:val="single"/>
        </w:rPr>
      </w:pPr>
    </w:p>
    <w:p w14:paraId="2FCDFEE6">
      <w:pPr>
        <w:spacing w:line="360" w:lineRule="auto"/>
        <w:jc w:val="center"/>
        <w:rPr>
          <w:rFonts w:hint="eastAsia" w:ascii="宋体" w:hAnsi="宋体" w:eastAsia="宋体" w:cs="宋体"/>
          <w:color w:val="000000"/>
        </w:rPr>
      </w:pPr>
      <w:r>
        <w:rPr>
          <w:rFonts w:hint="eastAsia" w:ascii="宋体" w:hAnsi="宋体" w:eastAsia="宋体" w:cs="宋体"/>
          <w:color w:val="000000"/>
        </w:rPr>
        <w:br w:type="page"/>
      </w:r>
    </w:p>
    <w:p w14:paraId="27723A98">
      <w:pPr>
        <w:pStyle w:val="30"/>
        <w:numPr>
          <w:ilvl w:val="255"/>
          <w:numId w:val="0"/>
        </w:numPr>
        <w:spacing w:line="360" w:lineRule="auto"/>
        <w:rPr>
          <w:rFonts w:hint="eastAsia" w:ascii="宋体" w:hAnsi="宋体" w:eastAsia="宋体" w:cs="宋体"/>
          <w:snapToGrid w:val="0"/>
          <w:color w:val="000000"/>
          <w:kern w:val="0"/>
          <w:sz w:val="32"/>
          <w:szCs w:val="32"/>
        </w:rPr>
      </w:pPr>
      <w:bookmarkStart w:id="158" w:name="_Toc22742"/>
      <w:bookmarkStart w:id="159" w:name="_Toc3101"/>
      <w:bookmarkStart w:id="160" w:name="_Toc30238"/>
      <w:bookmarkStart w:id="161" w:name="_Toc14000"/>
      <w:bookmarkStart w:id="162" w:name="_Toc1849"/>
      <w:r>
        <w:rPr>
          <w:rFonts w:hint="eastAsia" w:ascii="宋体" w:hAnsi="宋体" w:cs="宋体"/>
          <w:snapToGrid w:val="0"/>
          <w:color w:val="000000"/>
          <w:kern w:val="0"/>
          <w:sz w:val="32"/>
          <w:szCs w:val="32"/>
          <w:lang w:val="en-US" w:eastAsia="zh-CN"/>
        </w:rPr>
        <w:t>二</w:t>
      </w:r>
      <w:r>
        <w:rPr>
          <w:rFonts w:hint="eastAsia" w:ascii="宋体" w:hAnsi="宋体" w:eastAsia="宋体" w:cs="宋体"/>
          <w:snapToGrid w:val="0"/>
          <w:color w:val="000000"/>
          <w:kern w:val="0"/>
          <w:sz w:val="32"/>
          <w:szCs w:val="32"/>
        </w:rPr>
        <w:t>、磋商响应函</w:t>
      </w:r>
    </w:p>
    <w:p w14:paraId="0A6E22A7">
      <w:pPr>
        <w:spacing w:beforeLines="-2147483648" w:afterLines="-2147483648" w:line="240" w:lineRule="auto"/>
        <w:jc w:val="center"/>
        <w:outlineLvl w:val="9"/>
        <w:rPr>
          <w:rFonts w:hint="eastAsia" w:ascii="宋体" w:hAnsi="宋体" w:eastAsia="宋体" w:cs="宋体"/>
          <w:sz w:val="32"/>
          <w:szCs w:val="21"/>
          <w:lang w:val="zh-CN"/>
        </w:rPr>
      </w:pPr>
      <w:r>
        <w:rPr>
          <w:rFonts w:hint="eastAsia" w:ascii="宋体" w:hAnsi="宋体" w:eastAsia="宋体" w:cs="宋体"/>
          <w:sz w:val="32"/>
          <w:szCs w:val="21"/>
        </w:rPr>
        <w:t>磋商响应函</w:t>
      </w:r>
    </w:p>
    <w:p w14:paraId="36700CE0">
      <w:pPr>
        <w:spacing w:beforeLines="0" w:afterLines="0" w:line="240" w:lineRule="auto"/>
        <w:jc w:val="left"/>
        <w:rPr>
          <w:rFonts w:hint="eastAsia" w:ascii="宋体" w:hAnsi="宋体" w:eastAsia="宋体" w:cs="宋体"/>
          <w:color w:val="000000"/>
          <w:sz w:val="24"/>
          <w:szCs w:val="21"/>
        </w:rPr>
      </w:pPr>
      <w:r>
        <w:rPr>
          <w:rFonts w:hint="eastAsia" w:ascii="宋体" w:hAnsi="宋体" w:eastAsia="宋体" w:cs="宋体"/>
          <w:color w:val="000000"/>
          <w:sz w:val="24"/>
          <w:szCs w:val="21"/>
        </w:rPr>
        <w:t>致：</w:t>
      </w:r>
      <w:r>
        <w:rPr>
          <w:rFonts w:hint="eastAsia" w:ascii="宋体" w:hAnsi="宋体" w:eastAsia="宋体" w:cs="宋体"/>
          <w:color w:val="000000"/>
          <w:sz w:val="24"/>
        </w:rPr>
        <w:t>江苏臻采招标代理有限公司</w:t>
      </w:r>
    </w:p>
    <w:p w14:paraId="7ACA2A16">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根据贵方编号为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w:t>
      </w:r>
      <w:r>
        <w:rPr>
          <w:rFonts w:hint="eastAsia" w:ascii="宋体" w:hAnsi="宋体" w:eastAsia="宋体" w:cs="宋体"/>
          <w:color w:val="000000"/>
          <w:sz w:val="24"/>
          <w:szCs w:val="21"/>
        </w:rPr>
        <w:t>项目磋商文件，我方正式提</w:t>
      </w:r>
      <w:r>
        <w:rPr>
          <w:rFonts w:hint="eastAsia" w:ascii="宋体" w:hAnsi="宋体" w:eastAsia="宋体" w:cs="宋体"/>
          <w:color w:val="000000"/>
          <w:sz w:val="24"/>
          <w:szCs w:val="24"/>
        </w:rPr>
        <w:t>交磋商响应函，</w:t>
      </w:r>
      <w:r>
        <w:rPr>
          <w:rFonts w:hint="eastAsia" w:ascii="宋体" w:hAnsi="宋体" w:eastAsia="宋体" w:cs="宋体"/>
          <w:color w:val="000000"/>
          <w:sz w:val="24"/>
          <w:szCs w:val="21"/>
        </w:rPr>
        <w:t>并宣布同意如下内容：</w:t>
      </w:r>
    </w:p>
    <w:p w14:paraId="2920A0A4">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1.按磋商文件规定的各项要求，向买方提供所需服务（包含与货物相关的服务及与服务相关的货物）。</w:t>
      </w:r>
    </w:p>
    <w:p w14:paraId="3A9F33BE">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2.我们完全理解贵方不一定将合同授予最低报价的供应商。</w:t>
      </w:r>
    </w:p>
    <w:p w14:paraId="2DDAC6B2">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3.我们已详细审核全部磋商文件及其有效补充文件，我们知道必须放弃提出含糊不清或误解问题的权利。</w:t>
      </w:r>
    </w:p>
    <w:p w14:paraId="7E970771">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4.我们同意从规定的磋商日期起遵循本响应文件，并在规定的磋商有效期期满之前均具有约束力。</w:t>
      </w:r>
    </w:p>
    <w:p w14:paraId="08C61623">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5.同意向贵方提供贵方可能另外要求的与磋商有关的任何证据或资料，并保证我方已提供和将要提供的文件是真实的、准确的。</w:t>
      </w:r>
    </w:p>
    <w:p w14:paraId="545A62E6">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6.一旦我方成交，我方将根据磋商文件的规定，严格履行合同的责任和义务,并保证在磋商文件规定的时间完成项目，交付买方验收、使用。</w:t>
      </w:r>
    </w:p>
    <w:p w14:paraId="576A61B5">
      <w:pPr>
        <w:spacing w:beforeLines="0" w:afterLines="0" w:line="24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7.我方为：</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大型企业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微型企业（在对应</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内</w:t>
      </w:r>
      <w:r>
        <w:rPr>
          <w:rFonts w:hint="eastAsia" w:ascii="宋体" w:hAnsi="宋体" w:eastAsia="宋体" w:cs="宋体"/>
          <w:color w:val="000000"/>
          <w:sz w:val="24"/>
          <w:szCs w:val="24"/>
          <w:lang w:val="zh-CN"/>
        </w:rPr>
        <w:t>打“√”</w:t>
      </w:r>
      <w:r>
        <w:rPr>
          <w:rFonts w:hint="eastAsia" w:ascii="宋体" w:hAnsi="宋体" w:eastAsia="宋体" w:cs="宋体"/>
          <w:color w:val="000000"/>
          <w:sz w:val="24"/>
          <w:szCs w:val="24"/>
        </w:rPr>
        <w:t>）</w:t>
      </w:r>
    </w:p>
    <w:p w14:paraId="6BD1D8A4">
      <w:pPr>
        <w:spacing w:beforeLines="0" w:afterLines="0" w:line="240" w:lineRule="auto"/>
        <w:ind w:firstLine="480"/>
        <w:jc w:val="left"/>
        <w:rPr>
          <w:rFonts w:hint="eastAsia" w:ascii="宋体" w:hAnsi="宋体" w:eastAsia="宋体" w:cs="宋体"/>
          <w:color w:val="000000"/>
          <w:sz w:val="24"/>
          <w:szCs w:val="21"/>
        </w:rPr>
      </w:pPr>
      <w:r>
        <w:rPr>
          <w:rFonts w:hint="eastAsia" w:ascii="宋体" w:hAnsi="宋体" w:eastAsia="宋体" w:cs="宋体"/>
          <w:color w:val="000000"/>
          <w:sz w:val="24"/>
          <w:szCs w:val="21"/>
        </w:rPr>
        <w:t>8.我方与本磋商有关的正式通讯地址为：</w:t>
      </w:r>
    </w:p>
    <w:p w14:paraId="2C62DE4D">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地  址：</w:t>
      </w:r>
    </w:p>
    <w:p w14:paraId="6FD02B8F">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邮  编：</w:t>
      </w:r>
    </w:p>
    <w:p w14:paraId="42E2DD07">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电  话：</w:t>
      </w:r>
    </w:p>
    <w:p w14:paraId="40EEFD1A">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传  真：</w:t>
      </w:r>
    </w:p>
    <w:p w14:paraId="40079955">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开户行：</w:t>
      </w:r>
    </w:p>
    <w:p w14:paraId="7A377CA1">
      <w:pPr>
        <w:pStyle w:val="28"/>
        <w:spacing w:before="0" w:beforeLines="0" w:after="0" w:afterLines="0" w:line="24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账  号：</w:t>
      </w:r>
    </w:p>
    <w:p w14:paraId="1E5735D3">
      <w:pPr>
        <w:spacing w:beforeLines="0" w:afterLines="0" w:line="240" w:lineRule="auto"/>
        <w:ind w:right="180"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供应商名称：（加盖电子公章）</w:t>
      </w:r>
    </w:p>
    <w:p w14:paraId="5EDDFA72">
      <w:pPr>
        <w:pStyle w:val="28"/>
        <w:spacing w:before="0" w:beforeLines="0" w:after="0" w:afterLines="0" w:line="240" w:lineRule="auto"/>
        <w:rPr>
          <w:rFonts w:hint="eastAsia" w:ascii="宋体" w:hAnsi="宋体" w:eastAsia="宋体" w:cs="宋体"/>
          <w:color w:val="000000"/>
          <w:sz w:val="24"/>
          <w:szCs w:val="21"/>
        </w:rPr>
      </w:pPr>
      <w:r>
        <w:rPr>
          <w:rFonts w:hint="eastAsia" w:ascii="宋体" w:hAnsi="宋体" w:eastAsia="宋体" w:cs="宋体"/>
          <w:color w:val="000000"/>
          <w:sz w:val="24"/>
          <w:szCs w:val="21"/>
        </w:rPr>
        <w:t>日  期：</w:t>
      </w:r>
    </w:p>
    <w:p w14:paraId="6BA116EE">
      <w:pPr>
        <w:pStyle w:val="28"/>
        <w:spacing w:before="0" w:beforeLines="0" w:after="0" w:afterLines="0" w:line="240" w:lineRule="auto"/>
        <w:rPr>
          <w:rFonts w:hint="eastAsia" w:ascii="宋体" w:hAnsi="宋体" w:eastAsia="宋体" w:cs="宋体"/>
          <w:color w:val="000000"/>
          <w:sz w:val="24"/>
          <w:szCs w:val="21"/>
        </w:rPr>
      </w:pPr>
    </w:p>
    <w:bookmarkEnd w:id="158"/>
    <w:bookmarkEnd w:id="159"/>
    <w:bookmarkEnd w:id="160"/>
    <w:bookmarkEnd w:id="161"/>
    <w:bookmarkEnd w:id="162"/>
    <w:p w14:paraId="48E1F28A">
      <w:pPr>
        <w:pStyle w:val="30"/>
        <w:numPr>
          <w:ilvl w:val="255"/>
          <w:numId w:val="0"/>
        </w:numPr>
        <w:rPr>
          <w:rFonts w:hint="eastAsia" w:ascii="宋体" w:hAnsi="宋体" w:eastAsia="宋体" w:cs="宋体"/>
          <w:snapToGrid w:val="0"/>
          <w:color w:val="000000"/>
          <w:kern w:val="0"/>
          <w:sz w:val="32"/>
          <w:szCs w:val="32"/>
          <w:lang w:eastAsia="zh-CN"/>
        </w:rPr>
      </w:pPr>
      <w:bookmarkStart w:id="163" w:name="_Toc11385"/>
      <w:bookmarkStart w:id="164" w:name="_Toc26536"/>
      <w:bookmarkStart w:id="165" w:name="_Toc12235"/>
      <w:bookmarkStart w:id="166" w:name="_Toc8568"/>
      <w:bookmarkStart w:id="167" w:name="_Toc10758"/>
    </w:p>
    <w:p w14:paraId="7861ABAB">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r>
        <w:rPr>
          <w:rFonts w:hint="eastAsia" w:ascii="宋体" w:hAnsi="宋体" w:cs="宋体"/>
          <w:snapToGrid w:val="0"/>
          <w:color w:val="000000"/>
          <w:kern w:val="0"/>
          <w:sz w:val="32"/>
          <w:szCs w:val="32"/>
          <w:lang w:val="en-US" w:eastAsia="zh-CN"/>
        </w:rPr>
        <w:t>三</w:t>
      </w:r>
      <w:r>
        <w:rPr>
          <w:rFonts w:hint="eastAsia" w:ascii="宋体" w:hAnsi="宋体" w:eastAsia="宋体" w:cs="宋体"/>
          <w:snapToGrid w:val="0"/>
          <w:color w:val="000000"/>
          <w:kern w:val="0"/>
          <w:sz w:val="32"/>
          <w:szCs w:val="32"/>
          <w:lang w:eastAsia="zh-CN"/>
        </w:rPr>
        <w:t>、</w:t>
      </w:r>
      <w:r>
        <w:rPr>
          <w:rFonts w:hint="eastAsia" w:ascii="宋体" w:hAnsi="宋体" w:eastAsia="宋体" w:cs="宋体"/>
          <w:snapToGrid w:val="0"/>
          <w:color w:val="000000"/>
          <w:kern w:val="0"/>
          <w:sz w:val="32"/>
          <w:szCs w:val="32"/>
        </w:rPr>
        <w:t>报价</w:t>
      </w:r>
      <w:r>
        <w:rPr>
          <w:rFonts w:hint="eastAsia" w:ascii="宋体" w:hAnsi="宋体" w:eastAsia="宋体" w:cs="宋体"/>
          <w:snapToGrid w:val="0"/>
          <w:color w:val="000000"/>
          <w:kern w:val="0"/>
          <w:sz w:val="32"/>
          <w:szCs w:val="32"/>
          <w:lang w:eastAsia="zh-CN"/>
        </w:rPr>
        <w:t>一览表</w:t>
      </w:r>
    </w:p>
    <w:p w14:paraId="179AEB09">
      <w:pPr>
        <w:numPr>
          <w:ilvl w:val="-1"/>
          <w:numId w:val="0"/>
        </w:numPr>
        <w:spacing w:beforeLines="0" w:afterLines="0" w:line="360" w:lineRule="auto"/>
        <w:jc w:val="center"/>
        <w:rPr>
          <w:rFonts w:hint="eastAsia" w:ascii="宋体" w:hAnsi="宋体" w:eastAsia="宋体" w:cs="宋体"/>
          <w:color w:val="000000"/>
          <w:sz w:val="32"/>
          <w:szCs w:val="32"/>
        </w:rPr>
      </w:pPr>
      <w:r>
        <w:rPr>
          <w:rFonts w:hint="eastAsia" w:ascii="宋体" w:hAnsi="宋体" w:eastAsia="宋体" w:cs="宋体"/>
          <w:color w:val="000000"/>
          <w:sz w:val="32"/>
          <w:szCs w:val="32"/>
          <w:lang w:eastAsia="zh-CN"/>
        </w:rPr>
        <w:t>报价一览表</w:t>
      </w:r>
    </w:p>
    <w:p w14:paraId="378802F7">
      <w:pPr>
        <w:numPr>
          <w:ilvl w:val="-1"/>
          <w:numId w:val="0"/>
        </w:numPr>
        <w:spacing w:beforeLines="0" w:afterLines="0"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供应商名称：（加盖电子公章）</w:t>
      </w:r>
    </w:p>
    <w:p w14:paraId="34BCC19B">
      <w:pPr>
        <w:numPr>
          <w:ilvl w:val="-1"/>
          <w:numId w:val="0"/>
        </w:numPr>
        <w:spacing w:beforeLines="0" w:afterLines="0"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p w14:paraId="510E39FD">
      <w:pPr>
        <w:numPr>
          <w:ilvl w:val="-1"/>
          <w:numId w:val="0"/>
        </w:numPr>
        <w:spacing w:beforeLines="0" w:afterLines="0" w:line="360" w:lineRule="auto"/>
        <w:jc w:val="both"/>
        <w:rPr>
          <w:rFonts w:hint="eastAsia" w:ascii="宋体" w:hAnsi="宋体" w:eastAsia="宋体" w:cs="宋体"/>
          <w:color w:val="000000"/>
          <w:sz w:val="32"/>
          <w:szCs w:val="32"/>
          <w:lang w:val="en-US" w:eastAsia="zh-CN"/>
        </w:rPr>
      </w:pPr>
      <w:r>
        <w:rPr>
          <w:rFonts w:hint="eastAsia" w:ascii="宋体" w:hAnsi="宋体" w:eastAsia="宋体" w:cs="宋体"/>
          <w:color w:val="000000"/>
          <w:sz w:val="24"/>
          <w:szCs w:val="24"/>
          <w:lang w:val="en-US" w:eastAsia="zh-CN"/>
        </w:rPr>
        <w:t>项目编号：</w:t>
      </w:r>
      <w:r>
        <w:rPr>
          <w:rFonts w:hint="eastAsia" w:ascii="宋体" w:hAnsi="宋体" w:eastAsia="宋体" w:cs="宋体"/>
          <w:color w:val="000000"/>
          <w:sz w:val="24"/>
          <w:szCs w:val="24"/>
        </w:rPr>
        <w:t xml:space="preserve">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17"/>
        <w:gridCol w:w="5692"/>
      </w:tblGrid>
      <w:tr w14:paraId="7874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817" w:type="dxa"/>
            <w:vAlign w:val="center"/>
          </w:tcPr>
          <w:p w14:paraId="0547AC63">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rPr>
              <w:t>总报价</w:t>
            </w:r>
          </w:p>
        </w:tc>
        <w:tc>
          <w:tcPr>
            <w:tcW w:w="5692" w:type="dxa"/>
            <w:vAlign w:val="center"/>
          </w:tcPr>
          <w:p w14:paraId="22DF2161">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w:t>
            </w:r>
            <w:r>
              <w:rPr>
                <w:rFonts w:hint="eastAsia" w:ascii="宋体" w:hAnsi="宋体" w:eastAsia="宋体" w:cs="宋体"/>
                <w:color w:val="000000"/>
                <w:sz w:val="24"/>
                <w:szCs w:val="24"/>
                <w:u w:val="single"/>
                <w:vertAlign w:val="baseline"/>
              </w:rPr>
              <w:t> 　　    　</w:t>
            </w:r>
            <w:r>
              <w:rPr>
                <w:rFonts w:hint="eastAsia" w:ascii="宋体" w:hAnsi="宋体" w:eastAsia="宋体" w:cs="宋体"/>
                <w:color w:val="000000"/>
                <w:sz w:val="24"/>
                <w:szCs w:val="24"/>
                <w:vertAlign w:val="baseline"/>
              </w:rPr>
              <w:t>元</w:t>
            </w:r>
          </w:p>
          <w:p w14:paraId="52821BF0">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人民币 (大写)：</w:t>
            </w:r>
          </w:p>
        </w:tc>
      </w:tr>
      <w:tr w14:paraId="52CE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817" w:type="dxa"/>
            <w:vAlign w:val="center"/>
          </w:tcPr>
          <w:p w14:paraId="374B7FF6">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rPr>
              <w:t>服务</w:t>
            </w:r>
            <w:r>
              <w:rPr>
                <w:rFonts w:hint="eastAsia" w:cs="宋体"/>
                <w:color w:val="000000"/>
                <w:sz w:val="24"/>
                <w:szCs w:val="24"/>
                <w:vertAlign w:val="baseline"/>
                <w:lang w:val="en-US" w:eastAsia="zh-CN"/>
              </w:rPr>
              <w:t>时间</w:t>
            </w:r>
          </w:p>
        </w:tc>
        <w:tc>
          <w:tcPr>
            <w:tcW w:w="5692" w:type="dxa"/>
            <w:vAlign w:val="center"/>
          </w:tcPr>
          <w:p w14:paraId="5EB0BD33">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p>
        </w:tc>
      </w:tr>
      <w:tr w14:paraId="21AC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817" w:type="dxa"/>
            <w:vAlign w:val="center"/>
          </w:tcPr>
          <w:p w14:paraId="71F84926">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项目负责人</w:t>
            </w:r>
          </w:p>
        </w:tc>
        <w:tc>
          <w:tcPr>
            <w:tcW w:w="5692" w:type="dxa"/>
            <w:vAlign w:val="center"/>
          </w:tcPr>
          <w:p w14:paraId="408E7E17">
            <w:pPr>
              <w:pStyle w:val="19"/>
              <w:spacing w:before="0" w:beforeLines="0" w:beforeAutospacing="0" w:after="0" w:afterLines="0" w:afterAutospacing="0" w:line="360" w:lineRule="auto"/>
              <w:jc w:val="center"/>
              <w:rPr>
                <w:rFonts w:hint="eastAsia" w:ascii="宋体" w:hAnsi="宋体" w:eastAsia="宋体" w:cs="宋体"/>
                <w:color w:val="000000"/>
                <w:sz w:val="24"/>
                <w:szCs w:val="24"/>
                <w:vertAlign w:val="baseline"/>
              </w:rPr>
            </w:pPr>
          </w:p>
        </w:tc>
      </w:tr>
    </w:tbl>
    <w:p w14:paraId="61069BAB">
      <w:pPr>
        <w:pStyle w:val="19"/>
        <w:spacing w:before="0" w:beforeLines="0" w:beforeAutospacing="0" w:after="0" w:afterLines="0" w:afterAutospacing="0" w:line="360" w:lineRule="auto"/>
        <w:rPr>
          <w:rFonts w:hint="eastAsia" w:ascii="宋体" w:hAnsi="宋体" w:eastAsia="宋体" w:cs="宋体"/>
          <w:color w:val="000000"/>
          <w:sz w:val="24"/>
          <w:szCs w:val="24"/>
        </w:rPr>
      </w:pPr>
    </w:p>
    <w:p w14:paraId="58DEBCD6">
      <w:pPr>
        <w:spacing w:beforeLines="0" w:afterLines="0" w:line="240" w:lineRule="atLeast"/>
        <w:ind w:firstLine="7379" w:firstLineChars="3500"/>
        <w:rPr>
          <w:rStyle w:val="24"/>
          <w:rFonts w:hint="eastAsia" w:ascii="宋体" w:hAnsi="宋体" w:eastAsia="宋体" w:cs="宋体"/>
          <w:color w:val="000000"/>
          <w:sz w:val="21"/>
          <w:szCs w:val="21"/>
        </w:rPr>
      </w:pPr>
      <w:r>
        <w:rPr>
          <w:rStyle w:val="24"/>
          <w:rFonts w:hint="eastAsia" w:ascii="宋体" w:hAnsi="宋体" w:eastAsia="宋体" w:cs="宋体"/>
          <w:color w:val="000000"/>
          <w:sz w:val="21"/>
          <w:szCs w:val="21"/>
          <w:lang w:eastAsia="zh-CN"/>
        </w:rPr>
        <w:t>日</w:t>
      </w:r>
      <w:r>
        <w:rPr>
          <w:rStyle w:val="24"/>
          <w:rFonts w:hint="eastAsia" w:ascii="宋体" w:hAnsi="宋体" w:eastAsia="宋体" w:cs="宋体"/>
          <w:color w:val="000000"/>
          <w:sz w:val="21"/>
          <w:szCs w:val="21"/>
          <w:lang w:val="en-US" w:eastAsia="zh-CN"/>
        </w:rPr>
        <w:t xml:space="preserve">  </w:t>
      </w:r>
      <w:r>
        <w:rPr>
          <w:rStyle w:val="24"/>
          <w:rFonts w:hint="eastAsia" w:ascii="宋体" w:hAnsi="宋体" w:eastAsia="宋体" w:cs="宋体"/>
          <w:color w:val="000000"/>
          <w:sz w:val="21"/>
          <w:szCs w:val="21"/>
          <w:lang w:eastAsia="zh-CN"/>
        </w:rPr>
        <w:t>期：</w:t>
      </w:r>
    </w:p>
    <w:p w14:paraId="08E03402">
      <w:pPr>
        <w:spacing w:beforeLines="0" w:afterLines="0" w:line="240" w:lineRule="atLeast"/>
        <w:rPr>
          <w:rStyle w:val="24"/>
          <w:rFonts w:hint="eastAsia" w:ascii="宋体" w:hAnsi="宋体" w:eastAsia="宋体" w:cs="宋体"/>
          <w:color w:val="000000"/>
          <w:sz w:val="21"/>
          <w:szCs w:val="21"/>
        </w:rPr>
      </w:pPr>
      <w:r>
        <w:rPr>
          <w:rStyle w:val="24"/>
          <w:rFonts w:hint="eastAsia" w:ascii="宋体" w:hAnsi="宋体" w:eastAsia="宋体" w:cs="宋体"/>
          <w:color w:val="000000"/>
          <w:sz w:val="21"/>
          <w:szCs w:val="21"/>
        </w:rPr>
        <w:t>注:</w:t>
      </w:r>
    </w:p>
    <w:p w14:paraId="061FCDC8">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1.所有价格均以人民币表示；</w:t>
      </w:r>
    </w:p>
    <w:p w14:paraId="11D44A3D">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2.报价应包括磋商文件所规定的采购范围的全部内容（各类人工、税费、管理费以及一切技术和服务费等）。供应商漏报的费用，视为此项费用已隐含在响应报价中，成交后不得再向采购人收取任何费用；</w:t>
      </w:r>
    </w:p>
    <w:p w14:paraId="3DB20A4C">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3.磋商文件未列明，而供应商认为必需的费用也需列入报价；</w:t>
      </w:r>
    </w:p>
    <w:p w14:paraId="022194BB">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rPr>
        <w:t>4.供应商不得实质性改动报价一览表格式及内容。</w:t>
      </w:r>
    </w:p>
    <w:p w14:paraId="20E25A3B">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Theme="minorEastAsia" w:hAnsiTheme="minorEastAsia" w:eastAsiaTheme="minorEastAsia" w:cstheme="minorEastAsia"/>
          <w:bCs/>
          <w:color w:val="000000"/>
          <w:sz w:val="20"/>
          <w:szCs w:val="20"/>
          <w:highlight w:val="none"/>
        </w:rPr>
      </w:pPr>
      <w:r>
        <w:rPr>
          <w:rFonts w:hint="eastAsia" w:ascii="宋体" w:hAnsi="宋体" w:eastAsia="宋体" w:cs="宋体"/>
          <w:color w:val="000000"/>
          <w:sz w:val="20"/>
          <w:szCs w:val="20"/>
          <w:lang w:val="en-US" w:eastAsia="zh-CN"/>
        </w:rPr>
        <w:t>5.</w:t>
      </w:r>
      <w:r>
        <w:rPr>
          <w:rFonts w:hint="eastAsia" w:asciiTheme="minorEastAsia" w:hAnsiTheme="minorEastAsia" w:eastAsiaTheme="minorEastAsia" w:cstheme="minorEastAsia"/>
          <w:bCs/>
          <w:color w:val="000000"/>
          <w:sz w:val="20"/>
          <w:szCs w:val="20"/>
          <w:highlight w:val="none"/>
        </w:rPr>
        <w:t>异常低价的处理</w:t>
      </w:r>
    </w:p>
    <w:p w14:paraId="6FB87974">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Theme="minorEastAsia" w:hAnsiTheme="minorEastAsia" w:eastAsiaTheme="minorEastAsia" w:cstheme="minorEastAsia"/>
          <w:bCs/>
          <w:color w:val="000000"/>
          <w:sz w:val="20"/>
          <w:szCs w:val="20"/>
          <w:highlight w:val="none"/>
          <w:lang w:val="en-US" w:eastAsia="zh-CN"/>
        </w:rPr>
        <w:t>a.</w:t>
      </w:r>
      <w:r>
        <w:rPr>
          <w:rFonts w:hint="eastAsia" w:ascii="宋体" w:hAnsi="宋体" w:eastAsia="宋体" w:cs="宋体"/>
          <w:color w:val="000000"/>
          <w:sz w:val="20"/>
          <w:szCs w:val="20"/>
        </w:rPr>
        <w:t>评审过程中出现下列情形之一的，评审委员会将启动异常低价投标（响应）审查程序：</w:t>
      </w:r>
    </w:p>
    <w:p w14:paraId="0BB6187D">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1）</w:t>
      </w:r>
      <w:r>
        <w:rPr>
          <w:rFonts w:hint="eastAsia" w:ascii="宋体" w:hAnsi="宋体" w:eastAsia="宋体" w:cs="宋体"/>
          <w:color w:val="000000"/>
          <w:sz w:val="20"/>
          <w:szCs w:val="20"/>
        </w:rPr>
        <w:t>投标（响应）报价低于全部通过符合性审查供应商投标（响应）报价平均值50%的，即投标（响应）报价&lt;全部通过符合性审查供应商投标（响应）报价平均值×50%；</w:t>
      </w:r>
    </w:p>
    <w:p w14:paraId="3561BED0">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2）</w:t>
      </w:r>
      <w:r>
        <w:rPr>
          <w:rFonts w:hint="eastAsia" w:ascii="宋体" w:hAnsi="宋体" w:eastAsia="宋体" w:cs="宋体"/>
          <w:color w:val="000000"/>
          <w:sz w:val="20"/>
          <w:szCs w:val="20"/>
        </w:rPr>
        <w:t>投标（响应）报价低于通过符合性审查的次低报价供应商投标（响应）报价50%的，即投标（响应）报价&lt;通过符合性审查的次低报价供应商投标（响应）报价×50%；</w:t>
      </w:r>
    </w:p>
    <w:p w14:paraId="27B283EE">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3）</w:t>
      </w:r>
      <w:r>
        <w:rPr>
          <w:rFonts w:hint="eastAsia" w:ascii="宋体" w:hAnsi="宋体" w:eastAsia="宋体" w:cs="宋体"/>
          <w:color w:val="000000"/>
          <w:sz w:val="20"/>
          <w:szCs w:val="20"/>
        </w:rPr>
        <w:t>投标（响应）报价低于采购项目最高限价45%的，即投标（响应）报价&lt;采购项目最高限价×45%（未设定最高限价的采购项目，以采购项目预算金额作为最高限价）；</w:t>
      </w:r>
    </w:p>
    <w:p w14:paraId="48ED6B1F">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4）</w:t>
      </w:r>
      <w:r>
        <w:rPr>
          <w:rFonts w:hint="eastAsia" w:ascii="宋体" w:hAnsi="宋体" w:eastAsia="宋体" w:cs="宋体"/>
          <w:color w:val="000000"/>
          <w:sz w:val="20"/>
          <w:szCs w:val="20"/>
        </w:rPr>
        <w:t>评审委员会基于专业判断，认为供应商报价过低，有可能影响产品质量或者不能诚信履约的其他情形。</w:t>
      </w:r>
    </w:p>
    <w:p w14:paraId="34A7D194">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b.</w:t>
      </w:r>
      <w:r>
        <w:rPr>
          <w:rFonts w:hint="eastAsia" w:ascii="宋体" w:hAnsi="宋体" w:eastAsia="宋体" w:cs="宋体"/>
          <w:color w:val="000000"/>
          <w:sz w:val="20"/>
          <w:szCs w:val="20"/>
        </w:rPr>
        <w:t>评审委员会启动异常低价投标（响应）审查后，属于前述第</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1）</w:t>
      </w:r>
      <w:r>
        <w:rPr>
          <w:rFonts w:hint="eastAsia" w:ascii="宋体" w:hAnsi="宋体" w:eastAsia="宋体" w:cs="宋体"/>
          <w:color w:val="000000"/>
          <w:sz w:val="20"/>
          <w:szCs w:val="20"/>
        </w:rPr>
        <w:t>项至第</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4）</w:t>
      </w:r>
      <w:r>
        <w:rPr>
          <w:rFonts w:hint="eastAsia" w:ascii="宋体" w:hAnsi="宋体" w:eastAsia="宋体" w:cs="宋体"/>
          <w:color w:val="000000"/>
          <w:sz w:val="20"/>
          <w:szCs w:val="20"/>
        </w:rPr>
        <w:t>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color w:val="000000"/>
          <w:sz w:val="20"/>
          <w:szCs w:val="20"/>
          <w:lang w:val="en-US" w:eastAsia="zh-CN"/>
        </w:rPr>
        <w:t>（3）</w:t>
      </w:r>
      <w:r>
        <w:rPr>
          <w:rFonts w:hint="eastAsia" w:ascii="宋体" w:hAnsi="宋体" w:eastAsia="宋体" w:cs="宋体"/>
          <w:color w:val="000000"/>
          <w:sz w:val="20"/>
          <w:szCs w:val="20"/>
        </w:rPr>
        <w:t>项情形，供应商已随投标（响应）文件一并提交相关书面说明及必要的证明材料的，在评审现场可不再重复提交。</w:t>
      </w:r>
    </w:p>
    <w:p w14:paraId="6F11962C">
      <w:pPr>
        <w:keepNext w:val="0"/>
        <w:keepLines w:val="0"/>
        <w:pageBreakBefore w:val="0"/>
        <w:widowControl w:val="0"/>
        <w:kinsoku/>
        <w:wordWrap/>
        <w:overflowPunct/>
        <w:topLinePunct w:val="0"/>
        <w:autoSpaceDE/>
        <w:autoSpaceDN/>
        <w:bidi w:val="0"/>
        <w:adjustRightInd/>
        <w:snapToGrid/>
        <w:spacing w:beforeLines="0" w:after="0" w:afterLines="0" w:line="280" w:lineRule="exact"/>
        <w:textAlignment w:val="auto"/>
        <w:rPr>
          <w:rFonts w:hint="eastAsia" w:ascii="宋体" w:hAnsi="宋体" w:eastAsia="宋体" w:cs="宋体"/>
          <w:lang w:val="en-US" w:eastAsia="zh-CN"/>
        </w:rPr>
      </w:pPr>
      <w:r>
        <w:rPr>
          <w:rFonts w:hint="eastAsia" w:ascii="宋体" w:hAnsi="宋体" w:eastAsia="宋体" w:cs="宋体"/>
          <w:color w:val="000000"/>
          <w:sz w:val="20"/>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0"/>
          <w:szCs w:val="20"/>
          <w:lang w:val="zh-CN"/>
        </w:rPr>
        <w:t>。</w:t>
      </w:r>
    </w:p>
    <w:p w14:paraId="70548212">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r>
        <w:rPr>
          <w:rFonts w:hint="eastAsia" w:ascii="宋体" w:hAnsi="宋体" w:cs="宋体"/>
          <w:snapToGrid w:val="0"/>
          <w:color w:val="000000"/>
          <w:kern w:val="0"/>
          <w:sz w:val="32"/>
          <w:szCs w:val="32"/>
          <w:lang w:val="en-US" w:eastAsia="zh-CN"/>
        </w:rPr>
        <w:t>四</w:t>
      </w:r>
      <w:r>
        <w:rPr>
          <w:rFonts w:hint="eastAsia" w:ascii="宋体" w:hAnsi="宋体" w:eastAsia="宋体" w:cs="宋体"/>
          <w:snapToGrid w:val="0"/>
          <w:color w:val="000000"/>
          <w:kern w:val="0"/>
          <w:sz w:val="32"/>
          <w:szCs w:val="32"/>
          <w:lang w:val="en-US" w:eastAsia="zh-CN"/>
        </w:rPr>
        <w:t>、报价明细表</w:t>
      </w:r>
    </w:p>
    <w:bookmarkEnd w:id="163"/>
    <w:bookmarkEnd w:id="164"/>
    <w:bookmarkEnd w:id="165"/>
    <w:bookmarkEnd w:id="166"/>
    <w:bookmarkEnd w:id="167"/>
    <w:p w14:paraId="2CF476E9">
      <w:pPr>
        <w:spacing w:line="240" w:lineRule="auto"/>
        <w:jc w:val="center"/>
        <w:rPr>
          <w:rFonts w:hint="eastAsia" w:ascii="宋体" w:hAnsi="宋体" w:eastAsia="宋体" w:cs="宋体"/>
          <w:sz w:val="24"/>
          <w:lang w:val="en-US" w:eastAsia="zh-CN"/>
        </w:rPr>
      </w:pPr>
      <w:r>
        <w:rPr>
          <w:rFonts w:hint="eastAsia" w:ascii="宋体" w:hAnsi="宋体" w:eastAsia="宋体" w:cs="宋体"/>
          <w:sz w:val="32"/>
          <w:szCs w:val="21"/>
        </w:rPr>
        <w:t>报价明细表</w:t>
      </w:r>
    </w:p>
    <w:p w14:paraId="2F94B327">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供应商名称：（加盖电子公章）</w:t>
      </w:r>
    </w:p>
    <w:p w14:paraId="17730F1A">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项目名称：</w:t>
      </w:r>
    </w:p>
    <w:p w14:paraId="25012080">
      <w:pPr>
        <w:spacing w:line="360" w:lineRule="auto"/>
        <w:ind w:firstLine="420" w:firstLineChars="175"/>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项目编号：</w:t>
      </w:r>
    </w:p>
    <w:tbl>
      <w:tblPr>
        <w:tblStyle w:val="2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924"/>
        <w:gridCol w:w="1810"/>
        <w:gridCol w:w="1639"/>
        <w:gridCol w:w="1271"/>
        <w:gridCol w:w="1467"/>
      </w:tblGrid>
      <w:tr w14:paraId="20EE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3F790357">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924" w:type="dxa"/>
            <w:vAlign w:val="center"/>
          </w:tcPr>
          <w:p w14:paraId="2081F61A">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服务名称</w:t>
            </w:r>
          </w:p>
        </w:tc>
        <w:tc>
          <w:tcPr>
            <w:tcW w:w="1810" w:type="dxa"/>
            <w:vAlign w:val="center"/>
          </w:tcPr>
          <w:p w14:paraId="34CB0096">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服务内容</w:t>
            </w:r>
          </w:p>
        </w:tc>
        <w:tc>
          <w:tcPr>
            <w:tcW w:w="1639" w:type="dxa"/>
            <w:vAlign w:val="center"/>
          </w:tcPr>
          <w:p w14:paraId="6AE25CB9">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数量/单位</w:t>
            </w:r>
          </w:p>
        </w:tc>
        <w:tc>
          <w:tcPr>
            <w:tcW w:w="1271" w:type="dxa"/>
            <w:vAlign w:val="center"/>
          </w:tcPr>
          <w:p w14:paraId="090C0412">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w:t>
            </w:r>
          </w:p>
          <w:p w14:paraId="2D04D885">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（元）</w:t>
            </w:r>
          </w:p>
        </w:tc>
        <w:tc>
          <w:tcPr>
            <w:tcW w:w="1467" w:type="dxa"/>
            <w:vAlign w:val="center"/>
          </w:tcPr>
          <w:p w14:paraId="2DF31FB7">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单项合计价</w:t>
            </w:r>
          </w:p>
          <w:p w14:paraId="63146833">
            <w:pPr>
              <w:spacing w:line="0"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（元）</w:t>
            </w:r>
          </w:p>
        </w:tc>
      </w:tr>
      <w:tr w14:paraId="3A31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72F1149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25AF809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58E48FB2">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53698903">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12BA20C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0987CF88">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2D9E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0E018D66">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6C9A471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75A515D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5942C712">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71DBD6C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19CB76F3">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2AABF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4652769D">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649D44B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00621EF7">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4F4A8E38">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7A3EE5CA">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5A0270BD">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608D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21C9030C">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3786B69B">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46182A94">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28265A8A">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626C33C0">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6C0A41DC">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304E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4" w:type="dxa"/>
            <w:vAlign w:val="center"/>
          </w:tcPr>
          <w:p w14:paraId="3211E4C9">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924" w:type="dxa"/>
            <w:vAlign w:val="center"/>
          </w:tcPr>
          <w:p w14:paraId="7382BE18">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810" w:type="dxa"/>
            <w:vAlign w:val="center"/>
          </w:tcPr>
          <w:p w14:paraId="79C39F11">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639" w:type="dxa"/>
            <w:vAlign w:val="center"/>
          </w:tcPr>
          <w:p w14:paraId="60BA5539">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271" w:type="dxa"/>
            <w:vAlign w:val="center"/>
          </w:tcPr>
          <w:p w14:paraId="676443E5">
            <w:pPr>
              <w:spacing w:line="0" w:lineRule="atLeast"/>
              <w:jc w:val="center"/>
              <w:rPr>
                <w:rFonts w:hint="eastAsia" w:ascii="宋体" w:hAnsi="宋体" w:eastAsia="宋体" w:cs="宋体"/>
                <w:color w:val="000000" w:themeColor="text1"/>
                <w:sz w:val="24"/>
                <w14:textFill>
                  <w14:solidFill>
                    <w14:schemeClr w14:val="tx1"/>
                  </w14:solidFill>
                </w14:textFill>
              </w:rPr>
            </w:pPr>
          </w:p>
        </w:tc>
        <w:tc>
          <w:tcPr>
            <w:tcW w:w="1467" w:type="dxa"/>
            <w:vAlign w:val="center"/>
          </w:tcPr>
          <w:p w14:paraId="0C8DA061">
            <w:pPr>
              <w:spacing w:line="0" w:lineRule="atLeast"/>
              <w:jc w:val="center"/>
              <w:rPr>
                <w:rFonts w:hint="eastAsia" w:ascii="宋体" w:hAnsi="宋体" w:eastAsia="宋体" w:cs="宋体"/>
                <w:color w:val="000000" w:themeColor="text1"/>
                <w:sz w:val="24"/>
                <w14:textFill>
                  <w14:solidFill>
                    <w14:schemeClr w14:val="tx1"/>
                  </w14:solidFill>
                </w14:textFill>
              </w:rPr>
            </w:pPr>
          </w:p>
        </w:tc>
      </w:tr>
      <w:tr w14:paraId="0547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6097" w:type="dxa"/>
            <w:gridSpan w:val="4"/>
            <w:vAlign w:val="center"/>
          </w:tcPr>
          <w:p w14:paraId="4B4D12E0">
            <w:pPr>
              <w:spacing w:line="0" w:lineRule="atLeast"/>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报价总计（小写）：</w:t>
            </w:r>
          </w:p>
          <w:p w14:paraId="66D9E7E0">
            <w:pPr>
              <w:spacing w:line="0" w:lineRule="atLeast"/>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（大写）：</w:t>
            </w:r>
          </w:p>
        </w:tc>
        <w:tc>
          <w:tcPr>
            <w:tcW w:w="1271" w:type="dxa"/>
            <w:vAlign w:val="center"/>
          </w:tcPr>
          <w:p w14:paraId="50A167AC">
            <w:pPr>
              <w:spacing w:line="0" w:lineRule="atLeast"/>
              <w:jc w:val="left"/>
              <w:rPr>
                <w:rFonts w:hint="eastAsia" w:ascii="宋体" w:hAnsi="宋体" w:eastAsia="宋体" w:cs="宋体"/>
                <w:color w:val="000000" w:themeColor="text1"/>
                <w14:textFill>
                  <w14:solidFill>
                    <w14:schemeClr w14:val="tx1"/>
                  </w14:solidFill>
                </w14:textFill>
              </w:rPr>
            </w:pPr>
          </w:p>
        </w:tc>
        <w:tc>
          <w:tcPr>
            <w:tcW w:w="1467" w:type="dxa"/>
            <w:vAlign w:val="center"/>
          </w:tcPr>
          <w:p w14:paraId="5B130F85">
            <w:pPr>
              <w:spacing w:line="0" w:lineRule="atLeast"/>
              <w:jc w:val="left"/>
              <w:rPr>
                <w:rFonts w:hint="eastAsia" w:ascii="宋体" w:hAnsi="宋体" w:eastAsia="宋体" w:cs="宋体"/>
                <w:color w:val="000000" w:themeColor="text1"/>
                <w14:textFill>
                  <w14:solidFill>
                    <w14:schemeClr w14:val="tx1"/>
                  </w14:solidFill>
                </w14:textFill>
              </w:rPr>
            </w:pPr>
          </w:p>
        </w:tc>
      </w:tr>
    </w:tbl>
    <w:p w14:paraId="1878E1EC">
      <w:pPr>
        <w:pStyle w:val="20"/>
        <w:ind w:firstLine="0" w:firstLineChars="0"/>
        <w:rPr>
          <w:rFonts w:hint="eastAsia" w:ascii="宋体" w:hAnsi="宋体" w:eastAsia="宋体" w:cs="宋体"/>
          <w:color w:val="000000"/>
          <w:sz w:val="24"/>
        </w:rPr>
      </w:pPr>
    </w:p>
    <w:p w14:paraId="707FD793">
      <w:pPr>
        <w:rPr>
          <w:rFonts w:hint="eastAsia" w:ascii="宋体" w:hAnsi="宋体" w:eastAsia="宋体" w:cs="宋体"/>
          <w:color w:val="000000"/>
          <w:sz w:val="24"/>
        </w:rPr>
      </w:pPr>
    </w:p>
    <w:p w14:paraId="0135D5AC">
      <w:pPr>
        <w:spacing w:line="0" w:lineRule="atLeast"/>
        <w:rPr>
          <w:rFonts w:hint="eastAsia" w:ascii="宋体" w:hAnsi="宋体" w:eastAsia="宋体" w:cs="宋体"/>
          <w:b/>
          <w:bCs/>
          <w:color w:val="000000"/>
        </w:rPr>
      </w:pPr>
    </w:p>
    <w:p w14:paraId="0952EA8D">
      <w:pPr>
        <w:spacing w:line="0" w:lineRule="atLeast"/>
        <w:rPr>
          <w:rFonts w:hint="eastAsia" w:ascii="宋体" w:hAnsi="宋体" w:eastAsia="宋体" w:cs="宋体"/>
          <w:b/>
          <w:bCs/>
          <w:color w:val="000000"/>
        </w:rPr>
      </w:pPr>
    </w:p>
    <w:p w14:paraId="4CFCC624">
      <w:pPr>
        <w:spacing w:line="0" w:lineRule="atLeast"/>
        <w:ind w:firstLine="422" w:firstLineChars="200"/>
        <w:rPr>
          <w:rFonts w:hint="eastAsia" w:ascii="宋体" w:hAnsi="宋体" w:eastAsia="宋体" w:cs="宋体"/>
          <w:b/>
          <w:bCs/>
          <w:color w:val="000000"/>
        </w:rPr>
      </w:pPr>
      <w:r>
        <w:rPr>
          <w:rFonts w:hint="eastAsia" w:ascii="宋体" w:hAnsi="宋体" w:eastAsia="宋体" w:cs="宋体"/>
          <w:b/>
          <w:bCs/>
          <w:color w:val="000000"/>
        </w:rPr>
        <w:t>价格构成或报价要求：</w:t>
      </w:r>
    </w:p>
    <w:p w14:paraId="184A2AC9">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1、此表为表样，行数可自行添加，但表式不变；</w:t>
      </w:r>
    </w:p>
    <w:p w14:paraId="705818C3">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2、后续服务及其他所有费用由供应商自行计算填列；</w:t>
      </w:r>
    </w:p>
    <w:p w14:paraId="7EBAF66F">
      <w:pPr>
        <w:spacing w:line="0" w:lineRule="atLeast"/>
        <w:ind w:left="210" w:leftChars="100" w:firstLine="420" w:firstLineChars="200"/>
        <w:rPr>
          <w:rFonts w:hint="eastAsia" w:ascii="宋体" w:hAnsi="宋体" w:eastAsia="宋体" w:cs="宋体"/>
          <w:color w:val="000000"/>
        </w:rPr>
      </w:pPr>
      <w:r>
        <w:rPr>
          <w:rFonts w:hint="eastAsia" w:ascii="宋体" w:hAnsi="宋体" w:eastAsia="宋体" w:cs="宋体"/>
          <w:color w:val="000000"/>
        </w:rPr>
        <w:t>3、上表中的“报价总计”应当等于“报价一览表”中“总报价”。</w:t>
      </w:r>
    </w:p>
    <w:p w14:paraId="658CFB6E">
      <w:pPr>
        <w:ind w:firstLine="480" w:firstLineChars="200"/>
        <w:rPr>
          <w:rFonts w:hint="eastAsia" w:ascii="宋体" w:hAnsi="宋体" w:eastAsia="宋体" w:cs="宋体"/>
          <w:color w:val="000000"/>
          <w:sz w:val="24"/>
        </w:rPr>
      </w:pPr>
    </w:p>
    <w:p w14:paraId="6C969595">
      <w:pPr>
        <w:pStyle w:val="20"/>
        <w:ind w:firstLine="480"/>
        <w:rPr>
          <w:rFonts w:hint="eastAsia" w:ascii="宋体" w:hAnsi="宋体" w:eastAsia="宋体" w:cs="宋体"/>
          <w:color w:val="000000"/>
          <w:sz w:val="24"/>
        </w:rPr>
      </w:pPr>
    </w:p>
    <w:p w14:paraId="67F5612C">
      <w:pPr>
        <w:rPr>
          <w:rFonts w:hint="eastAsia" w:ascii="宋体" w:hAnsi="宋体" w:eastAsia="宋体" w:cs="宋体"/>
          <w:color w:val="000000"/>
          <w:sz w:val="24"/>
        </w:rPr>
      </w:pPr>
    </w:p>
    <w:p w14:paraId="7992B128">
      <w:pPr>
        <w:rPr>
          <w:rFonts w:hint="eastAsia"/>
          <w:lang w:val="en-US" w:eastAsia="zh-CN"/>
        </w:rPr>
      </w:pPr>
      <w:bookmarkStart w:id="168" w:name="_Toc22428"/>
      <w:bookmarkStart w:id="169" w:name="_Toc31616"/>
      <w:bookmarkStart w:id="170" w:name="_Toc11522"/>
      <w:bookmarkStart w:id="171" w:name="_Toc3859"/>
      <w:bookmarkStart w:id="172" w:name="_Toc2456"/>
    </w:p>
    <w:p w14:paraId="26D430B7">
      <w:pPr>
        <w:pStyle w:val="30"/>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lang w:val="en-US" w:eastAsia="zh-CN"/>
        </w:rPr>
      </w:pPr>
      <w:r>
        <w:rPr>
          <w:rFonts w:hint="eastAsia" w:ascii="宋体" w:hAnsi="宋体" w:cs="宋体"/>
          <w:b/>
          <w:bCs/>
          <w:snapToGrid w:val="0"/>
          <w:color w:val="000000"/>
          <w:kern w:val="0"/>
          <w:sz w:val="32"/>
          <w:szCs w:val="32"/>
          <w:lang w:val="en-US" w:eastAsia="zh-CN"/>
        </w:rPr>
        <w:t>五</w:t>
      </w:r>
      <w:r>
        <w:rPr>
          <w:rFonts w:hint="eastAsia" w:ascii="宋体" w:hAnsi="宋体" w:eastAsia="宋体" w:cs="宋体"/>
          <w:snapToGrid w:val="0"/>
          <w:color w:val="000000"/>
          <w:kern w:val="0"/>
          <w:sz w:val="32"/>
          <w:szCs w:val="32"/>
          <w:lang w:val="en-US" w:eastAsia="zh-CN"/>
        </w:rPr>
        <w:t>、商务要求响应及偏离表</w:t>
      </w:r>
    </w:p>
    <w:bookmarkEnd w:id="168"/>
    <w:bookmarkEnd w:id="169"/>
    <w:bookmarkEnd w:id="170"/>
    <w:bookmarkEnd w:id="171"/>
    <w:bookmarkEnd w:id="172"/>
    <w:p w14:paraId="30FFF606">
      <w:pPr>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商务要求响应及偏离表</w:t>
      </w:r>
    </w:p>
    <w:p w14:paraId="3CD39DE3">
      <w:pPr>
        <w:spacing w:line="360" w:lineRule="auto"/>
        <w:ind w:firstLine="420" w:firstLineChars="175"/>
        <w:jc w:val="lef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供应商名称：（加盖电子公章）</w:t>
      </w:r>
    </w:p>
    <w:p w14:paraId="7BB6027E">
      <w:pPr>
        <w:spacing w:line="360" w:lineRule="auto"/>
        <w:ind w:firstLine="420" w:firstLineChars="175"/>
        <w:jc w:val="lef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项目名称：</w:t>
      </w:r>
    </w:p>
    <w:p w14:paraId="7DE0CF33">
      <w:pPr>
        <w:spacing w:line="360" w:lineRule="auto"/>
        <w:ind w:firstLine="420" w:firstLineChars="175"/>
        <w:jc w:val="lef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24"/>
          <w:szCs w:val="21"/>
          <w:lang w:val="en-US" w:eastAsia="zh-CN"/>
        </w:rPr>
        <w:t>项目编号：</w:t>
      </w:r>
      <w:r>
        <w:rPr>
          <w:rFonts w:hint="eastAsia" w:ascii="宋体" w:hAnsi="宋体" w:eastAsia="宋体" w:cs="宋体"/>
          <w:b w:val="0"/>
          <w:bCs w:val="0"/>
          <w:color w:val="000000"/>
          <w:sz w:val="24"/>
          <w:szCs w:val="21"/>
        </w:rPr>
        <w:t xml:space="preserve"> </w:t>
      </w:r>
      <w:r>
        <w:rPr>
          <w:rFonts w:hint="eastAsia" w:ascii="宋体" w:hAnsi="宋体" w:eastAsia="宋体" w:cs="宋体"/>
          <w:b w:val="0"/>
          <w:bCs w:val="0"/>
          <w:color w:val="000000"/>
          <w:sz w:val="32"/>
          <w:szCs w:val="32"/>
        </w:rPr>
        <w:t xml:space="preserve"> </w:t>
      </w:r>
    </w:p>
    <w:tbl>
      <w:tblPr>
        <w:tblStyle w:val="21"/>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9"/>
        <w:gridCol w:w="1565"/>
        <w:gridCol w:w="2474"/>
        <w:gridCol w:w="2735"/>
        <w:gridCol w:w="1436"/>
      </w:tblGrid>
      <w:tr w14:paraId="554945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68E1DA4">
            <w:pPr>
              <w:widowControl/>
              <w:spacing w:line="360" w:lineRule="auto"/>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序号</w:t>
            </w:r>
          </w:p>
        </w:tc>
        <w:tc>
          <w:tcPr>
            <w:tcW w:w="1565" w:type="dxa"/>
            <w:tcBorders>
              <w:top w:val="single" w:color="auto" w:sz="4" w:space="0"/>
              <w:left w:val="single" w:color="auto" w:sz="4" w:space="0"/>
              <w:bottom w:val="single" w:color="auto" w:sz="4" w:space="0"/>
              <w:right w:val="single" w:color="auto" w:sz="4" w:space="0"/>
            </w:tcBorders>
            <w:vAlign w:val="center"/>
          </w:tcPr>
          <w:p w14:paraId="75141822">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商务要求条目</w:t>
            </w:r>
          </w:p>
        </w:tc>
        <w:tc>
          <w:tcPr>
            <w:tcW w:w="2474" w:type="dxa"/>
            <w:tcBorders>
              <w:top w:val="single" w:color="auto" w:sz="4" w:space="0"/>
              <w:left w:val="single" w:color="auto" w:sz="4" w:space="0"/>
              <w:bottom w:val="single" w:color="auto" w:sz="4" w:space="0"/>
              <w:right w:val="single" w:color="auto" w:sz="4" w:space="0"/>
            </w:tcBorders>
            <w:vAlign w:val="center"/>
          </w:tcPr>
          <w:p w14:paraId="1EEEBE5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磋商文件中的商务要求</w:t>
            </w:r>
          </w:p>
        </w:tc>
        <w:tc>
          <w:tcPr>
            <w:tcW w:w="2735" w:type="dxa"/>
            <w:tcBorders>
              <w:top w:val="single" w:color="auto" w:sz="4" w:space="0"/>
              <w:left w:val="single" w:color="auto" w:sz="4" w:space="0"/>
              <w:bottom w:val="single" w:color="auto" w:sz="4" w:space="0"/>
              <w:right w:val="single" w:color="auto" w:sz="4" w:space="0"/>
            </w:tcBorders>
            <w:vAlign w:val="center"/>
          </w:tcPr>
          <w:p w14:paraId="480928A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响应供应商的承诺或说明</w:t>
            </w:r>
          </w:p>
        </w:tc>
        <w:tc>
          <w:tcPr>
            <w:tcW w:w="1436" w:type="dxa"/>
            <w:tcBorders>
              <w:top w:val="single" w:color="auto" w:sz="4" w:space="0"/>
              <w:left w:val="single" w:color="auto" w:sz="4" w:space="0"/>
              <w:bottom w:val="single" w:color="auto" w:sz="4" w:space="0"/>
              <w:right w:val="single" w:color="auto" w:sz="4" w:space="0"/>
            </w:tcBorders>
            <w:vAlign w:val="center"/>
          </w:tcPr>
          <w:p w14:paraId="226A9EF0">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偏离情况</w:t>
            </w:r>
          </w:p>
          <w:p w14:paraId="6F601D1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w:t>
            </w:r>
          </w:p>
        </w:tc>
      </w:tr>
      <w:tr w14:paraId="63B8C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770DCE33">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1565" w:type="dxa"/>
            <w:tcBorders>
              <w:top w:val="single" w:color="auto" w:sz="4" w:space="0"/>
              <w:left w:val="single" w:color="auto" w:sz="4" w:space="0"/>
              <w:bottom w:val="single" w:color="auto" w:sz="4" w:space="0"/>
              <w:right w:val="single" w:color="auto" w:sz="4" w:space="0"/>
            </w:tcBorders>
            <w:vAlign w:val="center"/>
          </w:tcPr>
          <w:p w14:paraId="67AC6094">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5B01F6E4">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75695C98">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66123644">
            <w:pPr>
              <w:widowControl/>
              <w:spacing w:line="360" w:lineRule="auto"/>
              <w:jc w:val="left"/>
              <w:textAlignment w:val="center"/>
              <w:rPr>
                <w:rFonts w:hint="eastAsia" w:ascii="宋体" w:hAnsi="宋体" w:eastAsia="宋体" w:cs="宋体"/>
                <w:color w:val="000000"/>
                <w:sz w:val="22"/>
                <w:szCs w:val="22"/>
              </w:rPr>
            </w:pPr>
          </w:p>
        </w:tc>
      </w:tr>
      <w:tr w14:paraId="78B52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42204063">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2</w:t>
            </w:r>
          </w:p>
        </w:tc>
        <w:tc>
          <w:tcPr>
            <w:tcW w:w="1565" w:type="dxa"/>
            <w:tcBorders>
              <w:top w:val="single" w:color="auto" w:sz="4" w:space="0"/>
              <w:left w:val="single" w:color="auto" w:sz="4" w:space="0"/>
              <w:bottom w:val="single" w:color="auto" w:sz="4" w:space="0"/>
              <w:right w:val="single" w:color="auto" w:sz="4" w:space="0"/>
            </w:tcBorders>
            <w:vAlign w:val="center"/>
          </w:tcPr>
          <w:p w14:paraId="6A52EE4E">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0A8D0619">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5F2FA5CD">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1F89692">
            <w:pPr>
              <w:widowControl/>
              <w:spacing w:line="360" w:lineRule="auto"/>
              <w:jc w:val="left"/>
              <w:textAlignment w:val="center"/>
              <w:rPr>
                <w:rFonts w:hint="eastAsia" w:ascii="宋体" w:hAnsi="宋体" w:eastAsia="宋体" w:cs="宋体"/>
                <w:color w:val="000000"/>
                <w:sz w:val="22"/>
                <w:szCs w:val="22"/>
              </w:rPr>
            </w:pPr>
          </w:p>
        </w:tc>
      </w:tr>
      <w:tr w14:paraId="53D6E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58460496">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565" w:type="dxa"/>
            <w:tcBorders>
              <w:top w:val="single" w:color="auto" w:sz="4" w:space="0"/>
              <w:left w:val="single" w:color="auto" w:sz="4" w:space="0"/>
              <w:bottom w:val="single" w:color="auto" w:sz="4" w:space="0"/>
              <w:right w:val="single" w:color="auto" w:sz="4" w:space="0"/>
            </w:tcBorders>
            <w:vAlign w:val="center"/>
          </w:tcPr>
          <w:p w14:paraId="112AD06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28AA896">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0C7244CF">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6C66329">
            <w:pPr>
              <w:widowControl/>
              <w:spacing w:line="360" w:lineRule="auto"/>
              <w:jc w:val="left"/>
              <w:textAlignment w:val="center"/>
              <w:rPr>
                <w:rFonts w:hint="eastAsia" w:ascii="宋体" w:hAnsi="宋体" w:eastAsia="宋体" w:cs="宋体"/>
                <w:color w:val="000000"/>
                <w:sz w:val="22"/>
                <w:szCs w:val="22"/>
              </w:rPr>
            </w:pPr>
          </w:p>
        </w:tc>
      </w:tr>
      <w:tr w14:paraId="45C601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77001197">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1565" w:type="dxa"/>
            <w:tcBorders>
              <w:top w:val="single" w:color="auto" w:sz="4" w:space="0"/>
              <w:left w:val="single" w:color="auto" w:sz="4" w:space="0"/>
              <w:bottom w:val="single" w:color="auto" w:sz="4" w:space="0"/>
              <w:right w:val="single" w:color="auto" w:sz="4" w:space="0"/>
            </w:tcBorders>
            <w:vAlign w:val="center"/>
          </w:tcPr>
          <w:p w14:paraId="58AFB93A">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6861CB25">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0ABB4BEC">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E5C4B6A">
            <w:pPr>
              <w:widowControl/>
              <w:spacing w:line="360" w:lineRule="auto"/>
              <w:jc w:val="left"/>
              <w:textAlignment w:val="center"/>
              <w:rPr>
                <w:rFonts w:hint="eastAsia" w:ascii="宋体" w:hAnsi="宋体" w:eastAsia="宋体" w:cs="宋体"/>
                <w:color w:val="000000"/>
                <w:sz w:val="22"/>
                <w:szCs w:val="22"/>
              </w:rPr>
            </w:pPr>
          </w:p>
        </w:tc>
      </w:tr>
      <w:tr w14:paraId="415830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5836EC45">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1565" w:type="dxa"/>
            <w:tcBorders>
              <w:top w:val="single" w:color="auto" w:sz="4" w:space="0"/>
              <w:left w:val="single" w:color="auto" w:sz="4" w:space="0"/>
              <w:bottom w:val="single" w:color="auto" w:sz="4" w:space="0"/>
              <w:right w:val="single" w:color="auto" w:sz="4" w:space="0"/>
            </w:tcBorders>
            <w:vAlign w:val="center"/>
          </w:tcPr>
          <w:p w14:paraId="4E12EFA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4781AD2B">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54DD24FC">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42E0B3A2">
            <w:pPr>
              <w:widowControl/>
              <w:spacing w:line="360" w:lineRule="auto"/>
              <w:jc w:val="left"/>
              <w:textAlignment w:val="center"/>
              <w:rPr>
                <w:rFonts w:hint="eastAsia" w:ascii="宋体" w:hAnsi="宋体" w:eastAsia="宋体" w:cs="宋体"/>
                <w:color w:val="000000"/>
                <w:sz w:val="22"/>
                <w:szCs w:val="22"/>
              </w:rPr>
            </w:pPr>
          </w:p>
        </w:tc>
      </w:tr>
      <w:tr w14:paraId="0C0B2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6F535352">
            <w:pPr>
              <w:widowControl/>
              <w:spacing w:line="360" w:lineRule="auto"/>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6</w:t>
            </w:r>
          </w:p>
        </w:tc>
        <w:tc>
          <w:tcPr>
            <w:tcW w:w="1565" w:type="dxa"/>
            <w:tcBorders>
              <w:top w:val="single" w:color="auto" w:sz="4" w:space="0"/>
              <w:left w:val="single" w:color="auto" w:sz="4" w:space="0"/>
              <w:bottom w:val="single" w:color="auto" w:sz="4" w:space="0"/>
              <w:right w:val="single" w:color="auto" w:sz="4" w:space="0"/>
            </w:tcBorders>
            <w:vAlign w:val="center"/>
          </w:tcPr>
          <w:p w14:paraId="6AB0709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0DDD32BF">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79F07897">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194F2355">
            <w:pPr>
              <w:widowControl/>
              <w:spacing w:line="360" w:lineRule="auto"/>
              <w:jc w:val="left"/>
              <w:textAlignment w:val="center"/>
              <w:rPr>
                <w:rFonts w:hint="eastAsia" w:ascii="宋体" w:hAnsi="宋体" w:eastAsia="宋体" w:cs="宋体"/>
                <w:color w:val="000000"/>
                <w:sz w:val="22"/>
                <w:szCs w:val="22"/>
              </w:rPr>
            </w:pPr>
          </w:p>
        </w:tc>
      </w:tr>
      <w:tr w14:paraId="41DE59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2398583B">
            <w:pPr>
              <w:widowControl/>
              <w:spacing w:line="360" w:lineRule="auto"/>
              <w:jc w:val="center"/>
              <w:textAlignment w:val="center"/>
              <w:rPr>
                <w:rFonts w:hint="eastAsia" w:ascii="宋体" w:hAnsi="宋体" w:eastAsia="宋体" w:cs="宋体"/>
                <w:color w:val="000000"/>
                <w:sz w:val="22"/>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D9FFC">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C6F4423">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1395D865">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769B60D2">
            <w:pPr>
              <w:widowControl/>
              <w:spacing w:line="360" w:lineRule="auto"/>
              <w:jc w:val="left"/>
              <w:textAlignment w:val="center"/>
              <w:rPr>
                <w:rFonts w:hint="eastAsia" w:ascii="宋体" w:hAnsi="宋体" w:eastAsia="宋体" w:cs="宋体"/>
                <w:color w:val="000000"/>
                <w:sz w:val="22"/>
                <w:szCs w:val="22"/>
              </w:rPr>
            </w:pPr>
          </w:p>
        </w:tc>
      </w:tr>
      <w:tr w14:paraId="44F250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0A0CAA7D">
            <w:pPr>
              <w:widowControl/>
              <w:spacing w:line="360" w:lineRule="auto"/>
              <w:jc w:val="left"/>
              <w:textAlignment w:val="center"/>
              <w:rPr>
                <w:rFonts w:hint="eastAsia" w:ascii="宋体" w:hAnsi="宋体" w:eastAsia="宋体" w:cs="宋体"/>
                <w:color w:val="000000"/>
                <w:sz w:val="22"/>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F53CCD">
            <w:pPr>
              <w:widowControl/>
              <w:spacing w:line="360" w:lineRule="auto"/>
              <w:jc w:val="left"/>
              <w:textAlignment w:val="center"/>
              <w:rPr>
                <w:rFonts w:hint="eastAsia" w:ascii="宋体" w:hAnsi="宋体" w:eastAsia="宋体" w:cs="宋体"/>
                <w:color w:val="000000"/>
                <w:sz w:val="22"/>
                <w:szCs w:val="22"/>
              </w:rPr>
            </w:pPr>
          </w:p>
        </w:tc>
        <w:tc>
          <w:tcPr>
            <w:tcW w:w="2474" w:type="dxa"/>
            <w:tcBorders>
              <w:top w:val="single" w:color="auto" w:sz="4" w:space="0"/>
              <w:left w:val="single" w:color="auto" w:sz="4" w:space="0"/>
              <w:bottom w:val="single" w:color="auto" w:sz="4" w:space="0"/>
              <w:right w:val="single" w:color="auto" w:sz="4" w:space="0"/>
            </w:tcBorders>
            <w:vAlign w:val="center"/>
          </w:tcPr>
          <w:p w14:paraId="352A5193">
            <w:pPr>
              <w:widowControl/>
              <w:spacing w:line="360" w:lineRule="auto"/>
              <w:jc w:val="left"/>
              <w:textAlignment w:val="center"/>
              <w:rPr>
                <w:rFonts w:hint="eastAsia" w:ascii="宋体" w:hAnsi="宋体" w:eastAsia="宋体" w:cs="宋体"/>
                <w:color w:val="000000"/>
                <w:sz w:val="22"/>
                <w:szCs w:val="22"/>
              </w:rPr>
            </w:pPr>
          </w:p>
        </w:tc>
        <w:tc>
          <w:tcPr>
            <w:tcW w:w="2735" w:type="dxa"/>
            <w:tcBorders>
              <w:top w:val="single" w:color="auto" w:sz="4" w:space="0"/>
              <w:left w:val="single" w:color="auto" w:sz="4" w:space="0"/>
              <w:bottom w:val="single" w:color="auto" w:sz="4" w:space="0"/>
              <w:right w:val="single" w:color="auto" w:sz="4" w:space="0"/>
            </w:tcBorders>
            <w:vAlign w:val="center"/>
          </w:tcPr>
          <w:p w14:paraId="33884AB9">
            <w:pPr>
              <w:widowControl/>
              <w:spacing w:line="360" w:lineRule="auto"/>
              <w:jc w:val="left"/>
              <w:textAlignment w:val="center"/>
              <w:rPr>
                <w:rFonts w:hint="eastAsia" w:ascii="宋体" w:hAnsi="宋体" w:eastAsia="宋体" w:cs="宋体"/>
                <w:color w:val="000000"/>
                <w:sz w:val="22"/>
                <w:szCs w:val="22"/>
              </w:rPr>
            </w:pPr>
          </w:p>
        </w:tc>
        <w:tc>
          <w:tcPr>
            <w:tcW w:w="1436" w:type="dxa"/>
            <w:tcBorders>
              <w:top w:val="single" w:color="auto" w:sz="4" w:space="0"/>
              <w:left w:val="single" w:color="auto" w:sz="4" w:space="0"/>
              <w:bottom w:val="single" w:color="auto" w:sz="4" w:space="0"/>
              <w:right w:val="single" w:color="auto" w:sz="4" w:space="0"/>
            </w:tcBorders>
            <w:vAlign w:val="center"/>
          </w:tcPr>
          <w:p w14:paraId="0EA75847">
            <w:pPr>
              <w:widowControl/>
              <w:spacing w:line="360" w:lineRule="auto"/>
              <w:jc w:val="left"/>
              <w:textAlignment w:val="center"/>
              <w:rPr>
                <w:rFonts w:hint="eastAsia" w:ascii="宋体" w:hAnsi="宋体" w:eastAsia="宋体" w:cs="宋体"/>
                <w:color w:val="000000"/>
                <w:sz w:val="22"/>
                <w:szCs w:val="22"/>
              </w:rPr>
            </w:pPr>
          </w:p>
        </w:tc>
      </w:tr>
    </w:tbl>
    <w:p w14:paraId="7632E4F9">
      <w:pPr>
        <w:rPr>
          <w:rFonts w:hint="eastAsia" w:ascii="宋体" w:hAnsi="宋体" w:eastAsia="宋体" w:cs="宋体"/>
          <w:color w:val="000000"/>
        </w:rPr>
      </w:pPr>
    </w:p>
    <w:p w14:paraId="720BE854">
      <w:pPr>
        <w:spacing w:line="0" w:lineRule="atLeast"/>
        <w:rPr>
          <w:rFonts w:hint="eastAsia" w:ascii="宋体" w:hAnsi="宋体" w:eastAsia="宋体" w:cs="宋体"/>
          <w:color w:val="000000"/>
        </w:rPr>
      </w:pPr>
    </w:p>
    <w:p w14:paraId="4DDCC03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填写说明：</w:t>
      </w:r>
    </w:p>
    <w:p w14:paraId="28C71F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1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①</w:t>
      </w:r>
      <w:r>
        <w:rPr>
          <w:rFonts w:hint="eastAsia" w:ascii="宋体" w:hAnsi="宋体" w:eastAsia="宋体" w:cs="宋体"/>
          <w:color w:val="000000"/>
          <w:sz w:val="24"/>
        </w:rPr>
        <w:fldChar w:fldCharType="end"/>
      </w:r>
      <w:r>
        <w:rPr>
          <w:rFonts w:hint="eastAsia" w:ascii="宋体" w:hAnsi="宋体" w:eastAsia="宋体" w:cs="宋体"/>
          <w:color w:val="000000"/>
          <w:sz w:val="24"/>
        </w:rPr>
        <w:t>此表为表样，行数可自行添加，但表式不变。</w:t>
      </w:r>
    </w:p>
    <w:p w14:paraId="7A02E9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2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②</w:t>
      </w:r>
      <w:r>
        <w:rPr>
          <w:rFonts w:hint="eastAsia" w:ascii="宋体" w:hAnsi="宋体" w:eastAsia="宋体" w:cs="宋体"/>
          <w:color w:val="000000"/>
          <w:sz w:val="24"/>
        </w:rPr>
        <w:fldChar w:fldCharType="end"/>
      </w:r>
      <w:r>
        <w:rPr>
          <w:rFonts w:hint="eastAsia" w:ascii="宋体" w:hAnsi="宋体" w:eastAsia="宋体" w:cs="宋体"/>
          <w:color w:val="000000"/>
          <w:sz w:val="24"/>
        </w:rPr>
        <w:t>是否偏离用符号“+、-”分别表示正偏离、负偏离。</w:t>
      </w:r>
    </w:p>
    <w:p w14:paraId="5CD1D2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3 \* GB3</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③</w:t>
      </w:r>
      <w:r>
        <w:rPr>
          <w:rFonts w:hint="eastAsia" w:ascii="宋体" w:hAnsi="宋体" w:eastAsia="宋体" w:cs="宋体"/>
          <w:color w:val="000000"/>
          <w:sz w:val="24"/>
        </w:rPr>
        <w:fldChar w:fldCharType="end"/>
      </w:r>
      <w:r>
        <w:rPr>
          <w:rFonts w:hint="eastAsia" w:ascii="宋体" w:hAnsi="宋体" w:eastAsia="宋体" w:cs="宋体"/>
          <w:color w:val="000000"/>
          <w:sz w:val="24"/>
        </w:rPr>
        <w:t>供应商必须阅读本采购文件中所有商务要求</w:t>
      </w:r>
      <w:r>
        <w:rPr>
          <w:rFonts w:hint="eastAsia" w:ascii="宋体" w:hAnsi="宋体" w:eastAsia="宋体" w:cs="宋体"/>
          <w:color w:val="000000"/>
          <w:sz w:val="24"/>
          <w:lang w:eastAsia="zh-CN"/>
        </w:rPr>
        <w:t>，并列入上表</w:t>
      </w:r>
      <w:r>
        <w:rPr>
          <w:rFonts w:hint="eastAsia" w:ascii="宋体" w:hAnsi="宋体" w:eastAsia="宋体" w:cs="宋体"/>
          <w:color w:val="000000"/>
          <w:sz w:val="24"/>
        </w:rPr>
        <w:t>。</w:t>
      </w:r>
    </w:p>
    <w:p w14:paraId="788BC3C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④若响应文件中出现与此表表述不一致的，以此表为准。</w:t>
      </w:r>
    </w:p>
    <w:p w14:paraId="302EDE7D">
      <w:pPr>
        <w:pStyle w:val="30"/>
        <w:keepNext w:val="0"/>
        <w:keepLines w:val="0"/>
        <w:pageBreakBefore/>
        <w:widowControl w:val="0"/>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32"/>
          <w:szCs w:val="32"/>
        </w:rPr>
      </w:pPr>
      <w:bookmarkStart w:id="173" w:name="_Toc27488"/>
      <w:bookmarkStart w:id="174" w:name="_Toc7161"/>
      <w:bookmarkStart w:id="175" w:name="_Toc23079"/>
      <w:bookmarkStart w:id="176" w:name="_Toc4599"/>
      <w:bookmarkStart w:id="177" w:name="_Toc24645"/>
      <w:r>
        <w:rPr>
          <w:rFonts w:hint="eastAsia" w:ascii="宋体" w:hAnsi="宋体" w:cs="宋体"/>
          <w:snapToGrid w:val="0"/>
          <w:color w:val="000000"/>
          <w:kern w:val="0"/>
          <w:sz w:val="32"/>
          <w:szCs w:val="32"/>
          <w:lang w:val="en-US" w:eastAsia="zh-CN"/>
        </w:rPr>
        <w:t>六</w:t>
      </w:r>
      <w:r>
        <w:rPr>
          <w:rFonts w:hint="eastAsia" w:ascii="宋体" w:hAnsi="宋体" w:eastAsia="宋体" w:cs="宋体"/>
          <w:snapToGrid w:val="0"/>
          <w:color w:val="000000"/>
          <w:kern w:val="0"/>
          <w:sz w:val="32"/>
          <w:szCs w:val="32"/>
        </w:rPr>
        <w:t>、</w:t>
      </w:r>
      <w:r>
        <w:rPr>
          <w:rFonts w:hint="eastAsia" w:ascii="宋体" w:hAnsi="宋体" w:eastAsia="宋体" w:cs="宋体"/>
          <w:snapToGrid w:val="0"/>
          <w:color w:val="000000"/>
          <w:kern w:val="0"/>
          <w:sz w:val="32"/>
          <w:szCs w:val="32"/>
          <w:lang w:eastAsia="zh-CN"/>
        </w:rPr>
        <w:t>服务</w:t>
      </w:r>
      <w:r>
        <w:rPr>
          <w:rFonts w:hint="eastAsia" w:ascii="宋体" w:hAnsi="宋体" w:eastAsia="宋体" w:cs="宋体"/>
          <w:snapToGrid w:val="0"/>
          <w:color w:val="000000"/>
          <w:kern w:val="0"/>
          <w:sz w:val="32"/>
          <w:szCs w:val="32"/>
        </w:rPr>
        <w:t>要求响应及偏离表</w:t>
      </w:r>
    </w:p>
    <w:p w14:paraId="2D5774F5">
      <w:pPr>
        <w:spacing w:beforeLines="-2147483648" w:afterLines="-2147483648" w:line="240" w:lineRule="auto"/>
        <w:jc w:val="center"/>
        <w:outlineLvl w:val="9"/>
        <w:rPr>
          <w:rFonts w:hint="eastAsia" w:ascii="宋体" w:hAnsi="宋体" w:eastAsia="宋体" w:cs="宋体"/>
          <w:sz w:val="32"/>
          <w:szCs w:val="21"/>
        </w:rPr>
      </w:pPr>
      <w:r>
        <w:rPr>
          <w:rFonts w:hint="eastAsia" w:ascii="宋体" w:hAnsi="宋体" w:eastAsia="宋体" w:cs="宋体"/>
          <w:sz w:val="32"/>
          <w:lang w:eastAsia="zh-CN"/>
        </w:rPr>
        <w:t>服务</w:t>
      </w:r>
      <w:r>
        <w:rPr>
          <w:rFonts w:hint="eastAsia" w:ascii="宋体" w:hAnsi="宋体" w:eastAsia="宋体" w:cs="宋体"/>
          <w:sz w:val="32"/>
          <w:szCs w:val="21"/>
        </w:rPr>
        <w:t>要求响应及偏离表</w:t>
      </w:r>
    </w:p>
    <w:bookmarkEnd w:id="173"/>
    <w:bookmarkEnd w:id="174"/>
    <w:bookmarkEnd w:id="175"/>
    <w:bookmarkEnd w:id="176"/>
    <w:bookmarkEnd w:id="177"/>
    <w:p w14:paraId="065242C9">
      <w:pPr>
        <w:spacing w:line="360" w:lineRule="auto"/>
        <w:ind w:firstLine="420" w:firstLineChars="175"/>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供应商名称：（加盖电子公章）</w:t>
      </w:r>
    </w:p>
    <w:p w14:paraId="1265D682">
      <w:pPr>
        <w:spacing w:line="360" w:lineRule="auto"/>
        <w:ind w:firstLine="420" w:firstLineChars="175"/>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项目名称：</w:t>
      </w:r>
    </w:p>
    <w:p w14:paraId="45EC8E2E">
      <w:pPr>
        <w:spacing w:line="360" w:lineRule="auto"/>
        <w:ind w:firstLine="420" w:firstLineChars="175"/>
        <w:jc w:val="left"/>
        <w:rPr>
          <w:rFonts w:hint="eastAsia" w:ascii="宋体" w:hAnsi="宋体" w:eastAsia="宋体" w:cs="宋体"/>
          <w:color w:val="000000"/>
          <w:sz w:val="24"/>
        </w:rPr>
      </w:pPr>
      <w:r>
        <w:rPr>
          <w:rFonts w:hint="eastAsia" w:ascii="宋体" w:hAnsi="宋体" w:eastAsia="宋体" w:cs="宋体"/>
          <w:color w:val="000000"/>
          <w:sz w:val="24"/>
          <w:lang w:val="en-US" w:eastAsia="zh-CN"/>
        </w:rPr>
        <w:t>项目编号：</w:t>
      </w:r>
      <w:r>
        <w:rPr>
          <w:rFonts w:hint="eastAsia" w:ascii="宋体" w:hAnsi="宋体" w:eastAsia="宋体" w:cs="宋体"/>
          <w:color w:val="000000"/>
          <w:sz w:val="24"/>
        </w:rPr>
        <w:t xml:space="preserve"> </w:t>
      </w:r>
    </w:p>
    <w:tbl>
      <w:tblPr>
        <w:tblStyle w:val="21"/>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19"/>
        <w:gridCol w:w="1890"/>
        <w:gridCol w:w="2298"/>
        <w:gridCol w:w="1788"/>
        <w:gridCol w:w="2148"/>
      </w:tblGrid>
      <w:tr w14:paraId="1A4AE5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67299EF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序号</w:t>
            </w:r>
          </w:p>
        </w:tc>
        <w:tc>
          <w:tcPr>
            <w:tcW w:w="1890" w:type="dxa"/>
            <w:tcBorders>
              <w:top w:val="single" w:color="auto" w:sz="4" w:space="0"/>
              <w:left w:val="single" w:color="auto" w:sz="4" w:space="0"/>
              <w:bottom w:val="single" w:color="auto" w:sz="4" w:space="0"/>
              <w:right w:val="single" w:color="auto" w:sz="4" w:space="0"/>
            </w:tcBorders>
            <w:vAlign w:val="center"/>
          </w:tcPr>
          <w:p w14:paraId="42C595CC">
            <w:pPr>
              <w:widowControl/>
              <w:ind w:firstLine="0" w:firstLineChars="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服务需求条目</w:t>
            </w:r>
          </w:p>
        </w:tc>
        <w:tc>
          <w:tcPr>
            <w:tcW w:w="2298" w:type="dxa"/>
            <w:tcBorders>
              <w:top w:val="single" w:color="auto" w:sz="4" w:space="0"/>
              <w:left w:val="single" w:color="auto" w:sz="4" w:space="0"/>
              <w:bottom w:val="single" w:color="auto" w:sz="4" w:space="0"/>
              <w:right w:val="single" w:color="auto" w:sz="4" w:space="0"/>
            </w:tcBorders>
            <w:vAlign w:val="center"/>
          </w:tcPr>
          <w:p w14:paraId="311081E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采购文件中的</w:t>
            </w:r>
          </w:p>
          <w:p w14:paraId="61558AF5">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服务要求</w:t>
            </w:r>
          </w:p>
        </w:tc>
        <w:tc>
          <w:tcPr>
            <w:tcW w:w="1788" w:type="dxa"/>
            <w:tcBorders>
              <w:top w:val="single" w:color="auto" w:sz="4" w:space="0"/>
              <w:left w:val="single" w:color="auto" w:sz="4" w:space="0"/>
              <w:bottom w:val="single" w:color="auto" w:sz="4" w:space="0"/>
              <w:right w:val="single" w:color="auto" w:sz="4" w:space="0"/>
            </w:tcBorders>
            <w:vAlign w:val="center"/>
          </w:tcPr>
          <w:p w14:paraId="29C0D0BE">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供应商</w:t>
            </w:r>
          </w:p>
          <w:p w14:paraId="6514C68A">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的承诺或说明</w:t>
            </w:r>
          </w:p>
        </w:tc>
        <w:tc>
          <w:tcPr>
            <w:tcW w:w="2148" w:type="dxa"/>
            <w:tcBorders>
              <w:top w:val="single" w:color="auto" w:sz="4" w:space="0"/>
              <w:left w:val="single" w:color="auto" w:sz="4" w:space="0"/>
              <w:bottom w:val="single" w:color="auto" w:sz="4" w:space="0"/>
              <w:right w:val="single" w:color="auto" w:sz="4" w:space="0"/>
            </w:tcBorders>
            <w:vAlign w:val="center"/>
          </w:tcPr>
          <w:p w14:paraId="69117AD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偏离情况</w:t>
            </w:r>
          </w:p>
          <w:p w14:paraId="5EA27AB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4"/>
                <w:szCs w:val="24"/>
              </w:rPr>
              <w:t>（+/-/=）</w:t>
            </w:r>
          </w:p>
        </w:tc>
      </w:tr>
      <w:tr w14:paraId="17B766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464A6EA5">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1890" w:type="dxa"/>
            <w:tcBorders>
              <w:top w:val="single" w:color="auto" w:sz="4" w:space="0"/>
              <w:left w:val="single" w:color="auto" w:sz="4" w:space="0"/>
              <w:bottom w:val="single" w:color="auto" w:sz="4" w:space="0"/>
              <w:right w:val="single" w:color="auto" w:sz="4" w:space="0"/>
            </w:tcBorders>
            <w:vAlign w:val="center"/>
          </w:tcPr>
          <w:p w14:paraId="30837CF8">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3F5E0571">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1503A79B">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484199D5">
            <w:pPr>
              <w:widowControl/>
              <w:jc w:val="left"/>
              <w:textAlignment w:val="center"/>
              <w:rPr>
                <w:rFonts w:hint="eastAsia" w:ascii="宋体" w:hAnsi="宋体" w:eastAsia="宋体" w:cs="宋体"/>
                <w:color w:val="000000"/>
                <w:sz w:val="22"/>
                <w:szCs w:val="22"/>
              </w:rPr>
            </w:pPr>
          </w:p>
        </w:tc>
      </w:tr>
      <w:tr w14:paraId="3C6BD2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1F2B228">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2</w:t>
            </w:r>
          </w:p>
        </w:tc>
        <w:tc>
          <w:tcPr>
            <w:tcW w:w="1890" w:type="dxa"/>
            <w:tcBorders>
              <w:top w:val="single" w:color="auto" w:sz="4" w:space="0"/>
              <w:left w:val="single" w:color="auto" w:sz="4" w:space="0"/>
              <w:bottom w:val="single" w:color="auto" w:sz="4" w:space="0"/>
              <w:right w:val="single" w:color="auto" w:sz="4" w:space="0"/>
            </w:tcBorders>
            <w:vAlign w:val="center"/>
          </w:tcPr>
          <w:p w14:paraId="06A9A25E">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34C6B11D">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45856B85">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2A7A99D2">
            <w:pPr>
              <w:widowControl/>
              <w:jc w:val="left"/>
              <w:textAlignment w:val="center"/>
              <w:rPr>
                <w:rFonts w:hint="eastAsia" w:ascii="宋体" w:hAnsi="宋体" w:eastAsia="宋体" w:cs="宋体"/>
                <w:color w:val="000000"/>
                <w:sz w:val="22"/>
                <w:szCs w:val="22"/>
              </w:rPr>
            </w:pPr>
          </w:p>
        </w:tc>
      </w:tr>
      <w:tr w14:paraId="7AAEF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0F6CB2BF">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890" w:type="dxa"/>
            <w:tcBorders>
              <w:top w:val="single" w:color="auto" w:sz="4" w:space="0"/>
              <w:left w:val="single" w:color="auto" w:sz="4" w:space="0"/>
              <w:bottom w:val="single" w:color="auto" w:sz="4" w:space="0"/>
              <w:right w:val="single" w:color="auto" w:sz="4" w:space="0"/>
            </w:tcBorders>
            <w:vAlign w:val="center"/>
          </w:tcPr>
          <w:p w14:paraId="5811FB4A">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44E21EAC">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31BF8FB1">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1CF83FA9">
            <w:pPr>
              <w:widowControl/>
              <w:jc w:val="left"/>
              <w:textAlignment w:val="center"/>
              <w:rPr>
                <w:rFonts w:hint="eastAsia" w:ascii="宋体" w:hAnsi="宋体" w:eastAsia="宋体" w:cs="宋体"/>
                <w:color w:val="000000"/>
                <w:sz w:val="22"/>
                <w:szCs w:val="22"/>
              </w:rPr>
            </w:pPr>
          </w:p>
        </w:tc>
      </w:tr>
      <w:tr w14:paraId="7CAC5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2687DC92">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1890" w:type="dxa"/>
            <w:tcBorders>
              <w:top w:val="single" w:color="auto" w:sz="4" w:space="0"/>
              <w:left w:val="single" w:color="auto" w:sz="4" w:space="0"/>
              <w:bottom w:val="single" w:color="auto" w:sz="4" w:space="0"/>
              <w:right w:val="single" w:color="auto" w:sz="4" w:space="0"/>
            </w:tcBorders>
            <w:vAlign w:val="center"/>
          </w:tcPr>
          <w:p w14:paraId="452586A9">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4BABCF05">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1931D38D">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278D8ECF">
            <w:pPr>
              <w:widowControl/>
              <w:jc w:val="left"/>
              <w:textAlignment w:val="center"/>
              <w:rPr>
                <w:rFonts w:hint="eastAsia" w:ascii="宋体" w:hAnsi="宋体" w:eastAsia="宋体" w:cs="宋体"/>
                <w:color w:val="000000"/>
                <w:sz w:val="22"/>
                <w:szCs w:val="22"/>
              </w:rPr>
            </w:pPr>
          </w:p>
        </w:tc>
      </w:tr>
      <w:tr w14:paraId="0E211F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79EE4D88">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1890" w:type="dxa"/>
            <w:tcBorders>
              <w:top w:val="single" w:color="auto" w:sz="4" w:space="0"/>
              <w:left w:val="single" w:color="auto" w:sz="4" w:space="0"/>
              <w:bottom w:val="single" w:color="auto" w:sz="4" w:space="0"/>
              <w:right w:val="single" w:color="auto" w:sz="4" w:space="0"/>
            </w:tcBorders>
            <w:vAlign w:val="center"/>
          </w:tcPr>
          <w:p w14:paraId="462161CD">
            <w:pPr>
              <w:widowControl/>
              <w:jc w:val="left"/>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09B1D802">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06B872BD">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6D165E00">
            <w:pPr>
              <w:widowControl/>
              <w:jc w:val="left"/>
              <w:textAlignment w:val="center"/>
              <w:rPr>
                <w:rFonts w:hint="eastAsia" w:ascii="宋体" w:hAnsi="宋体" w:eastAsia="宋体" w:cs="宋体"/>
                <w:color w:val="000000"/>
                <w:sz w:val="22"/>
                <w:szCs w:val="22"/>
              </w:rPr>
            </w:pPr>
          </w:p>
        </w:tc>
      </w:tr>
      <w:tr w14:paraId="5F571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27C955D1">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6</w:t>
            </w:r>
          </w:p>
        </w:tc>
        <w:tc>
          <w:tcPr>
            <w:tcW w:w="1890" w:type="dxa"/>
            <w:tcBorders>
              <w:top w:val="single" w:color="auto" w:sz="4" w:space="0"/>
              <w:left w:val="single" w:color="auto" w:sz="4" w:space="0"/>
              <w:bottom w:val="single" w:color="auto" w:sz="4" w:space="0"/>
              <w:right w:val="single" w:color="auto" w:sz="4" w:space="0"/>
            </w:tcBorders>
            <w:vAlign w:val="center"/>
          </w:tcPr>
          <w:p w14:paraId="71EDF336">
            <w:pPr>
              <w:widowControl/>
              <w:jc w:val="center"/>
              <w:textAlignment w:val="center"/>
              <w:rPr>
                <w:rFonts w:hint="eastAsia" w:ascii="宋体" w:hAnsi="宋体" w:eastAsia="宋体" w:cs="宋体"/>
                <w:color w:val="000000"/>
                <w:sz w:val="22"/>
                <w:szCs w:val="22"/>
              </w:rPr>
            </w:pPr>
          </w:p>
        </w:tc>
        <w:tc>
          <w:tcPr>
            <w:tcW w:w="2298" w:type="dxa"/>
            <w:tcBorders>
              <w:top w:val="single" w:color="auto" w:sz="4" w:space="0"/>
              <w:left w:val="single" w:color="auto" w:sz="4" w:space="0"/>
              <w:bottom w:val="single" w:color="auto" w:sz="4" w:space="0"/>
              <w:right w:val="single" w:color="auto" w:sz="4" w:space="0"/>
            </w:tcBorders>
            <w:vAlign w:val="center"/>
          </w:tcPr>
          <w:p w14:paraId="509858F9">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7F9A3A1F">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5AB4A627">
            <w:pPr>
              <w:widowControl/>
              <w:jc w:val="left"/>
              <w:textAlignment w:val="center"/>
              <w:rPr>
                <w:rFonts w:hint="eastAsia" w:ascii="宋体" w:hAnsi="宋体" w:eastAsia="宋体" w:cs="宋体"/>
                <w:color w:val="000000"/>
                <w:sz w:val="22"/>
                <w:szCs w:val="22"/>
              </w:rPr>
            </w:pPr>
          </w:p>
        </w:tc>
      </w:tr>
      <w:tr w14:paraId="5DA73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919" w:type="dxa"/>
            <w:tcBorders>
              <w:top w:val="single" w:color="auto" w:sz="4" w:space="0"/>
              <w:left w:val="single" w:color="auto" w:sz="4" w:space="0"/>
              <w:bottom w:val="single" w:color="auto" w:sz="4" w:space="0"/>
              <w:right w:val="single" w:color="auto" w:sz="4" w:space="0"/>
            </w:tcBorders>
            <w:vAlign w:val="center"/>
          </w:tcPr>
          <w:p w14:paraId="59ED14CA">
            <w:pPr>
              <w:widowControl/>
              <w:jc w:val="center"/>
              <w:textAlignment w:val="center"/>
              <w:rPr>
                <w:rFonts w:hint="eastAsia" w:ascii="宋体" w:hAnsi="宋体" w:eastAsia="宋体" w:cs="宋体"/>
                <w:color w:val="000000"/>
                <w:sz w:val="22"/>
                <w:szCs w:val="22"/>
              </w:rPr>
            </w:pPr>
          </w:p>
        </w:tc>
        <w:tc>
          <w:tcPr>
            <w:tcW w:w="1890" w:type="dxa"/>
            <w:tcBorders>
              <w:top w:val="single" w:color="auto" w:sz="4" w:space="0"/>
              <w:left w:val="single" w:color="auto" w:sz="4" w:space="0"/>
              <w:bottom w:val="single" w:color="auto" w:sz="4" w:space="0"/>
              <w:right w:val="single" w:color="auto" w:sz="4" w:space="0"/>
            </w:tcBorders>
            <w:vAlign w:val="center"/>
          </w:tcPr>
          <w:p w14:paraId="70CC21A9">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（本表可根据需要自行添加行）</w:t>
            </w:r>
          </w:p>
        </w:tc>
        <w:tc>
          <w:tcPr>
            <w:tcW w:w="2298" w:type="dxa"/>
            <w:tcBorders>
              <w:top w:val="single" w:color="auto" w:sz="4" w:space="0"/>
              <w:left w:val="single" w:color="auto" w:sz="4" w:space="0"/>
              <w:bottom w:val="single" w:color="auto" w:sz="4" w:space="0"/>
              <w:right w:val="single" w:color="auto" w:sz="4" w:space="0"/>
            </w:tcBorders>
            <w:vAlign w:val="center"/>
          </w:tcPr>
          <w:p w14:paraId="623434B9">
            <w:pPr>
              <w:widowControl/>
              <w:jc w:val="left"/>
              <w:textAlignment w:val="center"/>
              <w:rPr>
                <w:rFonts w:hint="eastAsia" w:ascii="宋体" w:hAnsi="宋体" w:eastAsia="宋体" w:cs="宋体"/>
                <w:color w:val="000000"/>
                <w:sz w:val="22"/>
                <w:szCs w:val="22"/>
              </w:rPr>
            </w:pPr>
          </w:p>
        </w:tc>
        <w:tc>
          <w:tcPr>
            <w:tcW w:w="1788" w:type="dxa"/>
            <w:tcBorders>
              <w:top w:val="single" w:color="auto" w:sz="4" w:space="0"/>
              <w:left w:val="single" w:color="auto" w:sz="4" w:space="0"/>
              <w:bottom w:val="single" w:color="auto" w:sz="4" w:space="0"/>
              <w:right w:val="single" w:color="auto" w:sz="4" w:space="0"/>
            </w:tcBorders>
            <w:vAlign w:val="center"/>
          </w:tcPr>
          <w:p w14:paraId="07D77F71">
            <w:pPr>
              <w:widowControl/>
              <w:jc w:val="left"/>
              <w:textAlignment w:val="center"/>
              <w:rPr>
                <w:rFonts w:hint="eastAsia" w:ascii="宋体" w:hAnsi="宋体" w:eastAsia="宋体" w:cs="宋体"/>
                <w:color w:val="000000"/>
                <w:sz w:val="22"/>
                <w:szCs w:val="22"/>
              </w:rPr>
            </w:pPr>
          </w:p>
        </w:tc>
        <w:tc>
          <w:tcPr>
            <w:tcW w:w="2148" w:type="dxa"/>
            <w:tcBorders>
              <w:top w:val="single" w:color="auto" w:sz="4" w:space="0"/>
              <w:left w:val="single" w:color="auto" w:sz="4" w:space="0"/>
              <w:bottom w:val="single" w:color="auto" w:sz="4" w:space="0"/>
              <w:right w:val="single" w:color="auto" w:sz="4" w:space="0"/>
            </w:tcBorders>
            <w:vAlign w:val="center"/>
          </w:tcPr>
          <w:p w14:paraId="7140CA8B">
            <w:pPr>
              <w:widowControl/>
              <w:jc w:val="left"/>
              <w:textAlignment w:val="center"/>
              <w:rPr>
                <w:rFonts w:hint="eastAsia" w:ascii="宋体" w:hAnsi="宋体" w:eastAsia="宋体" w:cs="宋体"/>
                <w:color w:val="000000"/>
                <w:sz w:val="22"/>
                <w:szCs w:val="22"/>
              </w:rPr>
            </w:pPr>
          </w:p>
        </w:tc>
      </w:tr>
    </w:tbl>
    <w:p w14:paraId="4633C9EB">
      <w:pPr>
        <w:tabs>
          <w:tab w:val="left" w:pos="142"/>
        </w:tabs>
        <w:spacing w:line="500" w:lineRule="exact"/>
        <w:ind w:firstLine="480" w:firstLineChars="200"/>
        <w:jc w:val="left"/>
        <w:rPr>
          <w:rFonts w:hint="eastAsia" w:ascii="宋体" w:hAnsi="宋体" w:eastAsia="宋体" w:cs="宋体"/>
          <w:color w:val="000000"/>
          <w:sz w:val="24"/>
          <w:szCs w:val="24"/>
        </w:rPr>
      </w:pPr>
    </w:p>
    <w:p w14:paraId="4BD6244C">
      <w:pPr>
        <w:tabs>
          <w:tab w:val="left" w:pos="142"/>
        </w:tabs>
        <w:spacing w:line="500" w:lineRule="exact"/>
        <w:ind w:firstLine="480" w:firstLineChars="200"/>
        <w:jc w:val="left"/>
        <w:rPr>
          <w:rFonts w:hint="eastAsia" w:ascii="宋体" w:hAnsi="宋体" w:eastAsia="宋体" w:cs="宋体"/>
          <w:color w:val="000000"/>
          <w:sz w:val="24"/>
          <w:szCs w:val="24"/>
        </w:rPr>
      </w:pPr>
    </w:p>
    <w:p w14:paraId="713B4EF9">
      <w:pPr>
        <w:tabs>
          <w:tab w:val="left" w:pos="142"/>
        </w:tabs>
        <w:spacing w:line="500" w:lineRule="exact"/>
        <w:ind w:firstLine="480" w:firstLineChars="200"/>
        <w:jc w:val="left"/>
        <w:rPr>
          <w:rFonts w:hint="eastAsia" w:ascii="宋体" w:hAnsi="宋体" w:eastAsia="宋体" w:cs="宋体"/>
          <w:color w:val="000000"/>
          <w:sz w:val="24"/>
          <w:szCs w:val="24"/>
        </w:rPr>
      </w:pPr>
    </w:p>
    <w:p w14:paraId="0B519E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填写说明：</w:t>
      </w:r>
    </w:p>
    <w:p w14:paraId="5542C0D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①此表为表样，行数可自行添加，但表式不变。</w:t>
      </w:r>
    </w:p>
    <w:p w14:paraId="7CED34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②是否偏离用符号“+、-”分别表示正偏离、负偏离。</w:t>
      </w:r>
    </w:p>
    <w:p w14:paraId="32F1B9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③供应商必须仔细阅读本采购文件中所有服务要求，并列入上表。</w:t>
      </w:r>
    </w:p>
    <w:p w14:paraId="40572F98">
      <w:pPr>
        <w:pStyle w:val="20"/>
        <w:spacing w:line="360" w:lineRule="auto"/>
        <w:ind w:firstLine="480"/>
        <w:rPr>
          <w:rFonts w:hint="eastAsia" w:ascii="宋体" w:hAnsi="宋体" w:eastAsia="宋体" w:cs="宋体"/>
          <w:color w:val="000000"/>
          <w:sz w:val="32"/>
          <w:szCs w:val="32"/>
        </w:rPr>
      </w:pPr>
      <w:r>
        <w:rPr>
          <w:rFonts w:hint="eastAsia" w:ascii="宋体" w:hAnsi="宋体" w:eastAsia="宋体" w:cs="宋体"/>
          <w:color w:val="000000"/>
          <w:sz w:val="24"/>
        </w:rPr>
        <w:t>④若响应文件中出现与此表表述不一致的，以此表为准。</w:t>
      </w:r>
      <w:bookmarkStart w:id="178" w:name="_Toc20527"/>
      <w:bookmarkStart w:id="179" w:name="_Toc15783"/>
      <w:bookmarkStart w:id="180" w:name="_Toc4008"/>
      <w:bookmarkStart w:id="181" w:name="_Toc32726"/>
      <w:bookmarkStart w:id="182" w:name="_Toc26322"/>
    </w:p>
    <w:p w14:paraId="558F969C">
      <w:pPr>
        <w:pStyle w:val="30"/>
        <w:keepNext w:val="0"/>
        <w:keepLines w:val="0"/>
        <w:pageBreakBefore/>
        <w:widowControl/>
        <w:numPr>
          <w:ilvl w:val="255"/>
          <w:numId w:val="0"/>
        </w:numPr>
        <w:kinsoku/>
        <w:wordWrap/>
        <w:overflowPunct/>
        <w:topLinePunct w:val="0"/>
        <w:autoSpaceDE/>
        <w:autoSpaceDN/>
        <w:bidi w:val="0"/>
        <w:adjustRightInd/>
        <w:snapToGrid/>
        <w:textAlignment w:val="auto"/>
        <w:rPr>
          <w:rFonts w:hint="eastAsia" w:ascii="宋体" w:hAnsi="宋体" w:eastAsia="宋体" w:cs="宋体"/>
          <w:snapToGrid w:val="0"/>
          <w:color w:val="000000"/>
          <w:kern w:val="0"/>
          <w:sz w:val="28"/>
          <w:szCs w:val="28"/>
          <w:lang w:eastAsia="zh-CN"/>
        </w:rPr>
      </w:pPr>
      <w:r>
        <w:rPr>
          <w:rFonts w:hint="eastAsia" w:ascii="宋体" w:hAnsi="宋体" w:cs="宋体"/>
          <w:snapToGrid w:val="0"/>
          <w:color w:val="000000"/>
          <w:kern w:val="0"/>
          <w:sz w:val="28"/>
          <w:szCs w:val="28"/>
          <w:lang w:val="en-US" w:eastAsia="zh-CN"/>
        </w:rPr>
        <w:t>七</w:t>
      </w:r>
      <w:r>
        <w:rPr>
          <w:rFonts w:hint="eastAsia" w:ascii="宋体" w:hAnsi="宋体" w:cs="宋体"/>
          <w:snapToGrid w:val="0"/>
          <w:color w:val="000000"/>
          <w:kern w:val="0"/>
          <w:sz w:val="28"/>
          <w:szCs w:val="28"/>
          <w:lang w:eastAsia="zh-CN"/>
        </w:rPr>
        <w:t>、</w:t>
      </w:r>
      <w:r>
        <w:rPr>
          <w:rFonts w:hint="eastAsia" w:ascii="宋体" w:hAnsi="宋体" w:cs="宋体"/>
          <w:snapToGrid w:val="0"/>
          <w:color w:val="000000"/>
          <w:kern w:val="0"/>
        </w:rPr>
        <w:t>拟投入项目人员一览表</w:t>
      </w:r>
    </w:p>
    <w:p w14:paraId="687EA069">
      <w:pPr>
        <w:jc w:val="center"/>
        <w:outlineLvl w:val="9"/>
        <w:rPr>
          <w:rFonts w:hint="eastAsia" w:ascii="宋体" w:hAnsi="宋体" w:eastAsia="宋体" w:cs="宋体"/>
          <w:b w:val="0"/>
          <w:bCs w:val="0"/>
          <w:snapToGrid/>
          <w:kern w:val="2"/>
          <w:sz w:val="32"/>
          <w:szCs w:val="21"/>
        </w:rPr>
      </w:pPr>
      <w:r>
        <w:rPr>
          <w:rFonts w:hint="eastAsia" w:ascii="宋体" w:hAnsi="宋体" w:eastAsia="宋体" w:cs="宋体"/>
          <w:b w:val="0"/>
          <w:bCs w:val="0"/>
          <w:snapToGrid/>
          <w:kern w:val="2"/>
          <w:sz w:val="32"/>
          <w:szCs w:val="21"/>
        </w:rPr>
        <w:t>拟投入项目人员一览表</w:t>
      </w:r>
    </w:p>
    <w:p w14:paraId="1D032F2E">
      <w:pPr>
        <w:spacing w:line="360" w:lineRule="auto"/>
        <w:ind w:firstLine="420" w:firstLineChars="175"/>
        <w:jc w:val="left"/>
        <w:rPr>
          <w:rFonts w:hint="eastAsia" w:ascii="宋体" w:hAnsi="宋体" w:eastAsia="宋体" w:cs="宋体"/>
          <w:b w:val="0"/>
          <w:bCs w:val="0"/>
          <w:snapToGrid/>
          <w:color w:val="000000"/>
          <w:kern w:val="2"/>
          <w:sz w:val="24"/>
          <w:szCs w:val="21"/>
          <w:lang w:val="en-US" w:eastAsia="zh-CN"/>
        </w:rPr>
      </w:pPr>
      <w:r>
        <w:rPr>
          <w:rFonts w:hint="eastAsia" w:ascii="宋体" w:hAnsi="宋体" w:eastAsia="宋体" w:cs="宋体"/>
          <w:b w:val="0"/>
          <w:bCs w:val="0"/>
          <w:snapToGrid/>
          <w:color w:val="000000"/>
          <w:kern w:val="2"/>
          <w:sz w:val="24"/>
          <w:szCs w:val="21"/>
          <w:lang w:val="en-US" w:eastAsia="zh-CN"/>
        </w:rPr>
        <w:t>供应商名称：（加盖电子公章）</w:t>
      </w:r>
    </w:p>
    <w:p w14:paraId="35F96F41">
      <w:pPr>
        <w:spacing w:line="360" w:lineRule="auto"/>
        <w:ind w:firstLine="420" w:firstLineChars="175"/>
        <w:jc w:val="left"/>
        <w:rPr>
          <w:rFonts w:hint="eastAsia" w:ascii="宋体" w:hAnsi="宋体" w:eastAsia="宋体" w:cs="宋体"/>
          <w:b w:val="0"/>
          <w:bCs w:val="0"/>
          <w:snapToGrid/>
          <w:color w:val="000000"/>
          <w:kern w:val="2"/>
          <w:sz w:val="24"/>
          <w:szCs w:val="21"/>
          <w:lang w:val="en-US" w:eastAsia="zh-CN"/>
        </w:rPr>
      </w:pPr>
      <w:r>
        <w:rPr>
          <w:rFonts w:hint="eastAsia" w:ascii="宋体" w:hAnsi="宋体" w:eastAsia="宋体" w:cs="宋体"/>
          <w:b w:val="0"/>
          <w:bCs w:val="0"/>
          <w:snapToGrid/>
          <w:color w:val="000000"/>
          <w:kern w:val="2"/>
          <w:sz w:val="24"/>
          <w:szCs w:val="21"/>
          <w:lang w:val="en-US" w:eastAsia="zh-CN"/>
        </w:rPr>
        <w:t>项目名称：</w:t>
      </w:r>
    </w:p>
    <w:p w14:paraId="595B713F">
      <w:pPr>
        <w:spacing w:line="360" w:lineRule="auto"/>
        <w:ind w:firstLine="420" w:firstLineChars="175"/>
        <w:jc w:val="left"/>
        <w:rPr>
          <w:rFonts w:hint="eastAsia" w:ascii="宋体" w:hAnsi="宋体" w:eastAsia="宋体" w:cs="宋体"/>
          <w:snapToGrid/>
          <w:color w:val="000000"/>
          <w:kern w:val="2"/>
          <w:sz w:val="24"/>
          <w:szCs w:val="21"/>
        </w:rPr>
      </w:pPr>
      <w:r>
        <w:rPr>
          <w:rFonts w:hint="eastAsia" w:ascii="宋体" w:hAnsi="宋体" w:eastAsia="宋体" w:cs="宋体"/>
          <w:b w:val="0"/>
          <w:bCs w:val="0"/>
          <w:snapToGrid/>
          <w:color w:val="000000"/>
          <w:kern w:val="2"/>
          <w:sz w:val="24"/>
          <w:szCs w:val="21"/>
          <w:lang w:val="en-US" w:eastAsia="zh-CN"/>
        </w:rPr>
        <w:t>项目编号：</w:t>
      </w:r>
      <w:r>
        <w:rPr>
          <w:rFonts w:hint="eastAsia" w:ascii="宋体" w:hAnsi="宋体" w:eastAsia="宋体" w:cs="宋体"/>
          <w:b w:val="0"/>
          <w:bCs w:val="0"/>
          <w:snapToGrid/>
          <w:color w:val="000000"/>
          <w:kern w:val="2"/>
          <w:sz w:val="24"/>
          <w:szCs w:val="21"/>
        </w:rPr>
        <w:t xml:space="preserve"> </w:t>
      </w:r>
    </w:p>
    <w:tbl>
      <w:tblPr>
        <w:tblStyle w:val="21"/>
        <w:tblW w:w="9696" w:type="dxa"/>
        <w:jc w:val="center"/>
        <w:tblLayout w:type="fixed"/>
        <w:tblCellMar>
          <w:top w:w="0" w:type="dxa"/>
          <w:left w:w="108" w:type="dxa"/>
          <w:bottom w:w="0" w:type="dxa"/>
          <w:right w:w="108" w:type="dxa"/>
        </w:tblCellMar>
      </w:tblPr>
      <w:tblGrid>
        <w:gridCol w:w="766"/>
        <w:gridCol w:w="896"/>
        <w:gridCol w:w="783"/>
        <w:gridCol w:w="750"/>
        <w:gridCol w:w="973"/>
        <w:gridCol w:w="931"/>
        <w:gridCol w:w="1020"/>
        <w:gridCol w:w="994"/>
        <w:gridCol w:w="882"/>
        <w:gridCol w:w="850"/>
        <w:gridCol w:w="851"/>
      </w:tblGrid>
      <w:tr w14:paraId="4FA6BB2C">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8E60B06">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序号</w:t>
            </w:r>
          </w:p>
        </w:tc>
        <w:tc>
          <w:tcPr>
            <w:tcW w:w="896" w:type="dxa"/>
            <w:tcBorders>
              <w:top w:val="single" w:color="000000" w:sz="4" w:space="0"/>
              <w:left w:val="nil"/>
              <w:bottom w:val="single" w:color="000000" w:sz="4" w:space="0"/>
              <w:right w:val="single" w:color="000000" w:sz="4" w:space="0"/>
            </w:tcBorders>
            <w:noWrap w:val="0"/>
            <w:vAlign w:val="center"/>
          </w:tcPr>
          <w:p w14:paraId="52DCFC00">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姓名</w:t>
            </w:r>
          </w:p>
        </w:tc>
        <w:tc>
          <w:tcPr>
            <w:tcW w:w="783" w:type="dxa"/>
            <w:tcBorders>
              <w:top w:val="single" w:color="000000" w:sz="4" w:space="0"/>
              <w:left w:val="nil"/>
              <w:bottom w:val="single" w:color="000000" w:sz="4" w:space="0"/>
              <w:right w:val="single" w:color="000000" w:sz="4" w:space="0"/>
            </w:tcBorders>
            <w:noWrap w:val="0"/>
            <w:vAlign w:val="center"/>
          </w:tcPr>
          <w:p w14:paraId="143C85CE">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性别</w:t>
            </w:r>
          </w:p>
        </w:tc>
        <w:tc>
          <w:tcPr>
            <w:tcW w:w="750" w:type="dxa"/>
            <w:tcBorders>
              <w:top w:val="single" w:color="000000" w:sz="4" w:space="0"/>
              <w:left w:val="nil"/>
              <w:bottom w:val="single" w:color="000000" w:sz="4" w:space="0"/>
              <w:right w:val="single" w:color="000000" w:sz="4" w:space="0"/>
            </w:tcBorders>
            <w:noWrap w:val="0"/>
            <w:vAlign w:val="center"/>
          </w:tcPr>
          <w:p w14:paraId="74E80B2D">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年龄</w:t>
            </w:r>
          </w:p>
        </w:tc>
        <w:tc>
          <w:tcPr>
            <w:tcW w:w="973" w:type="dxa"/>
            <w:tcBorders>
              <w:top w:val="single" w:color="000000" w:sz="4" w:space="0"/>
              <w:left w:val="nil"/>
              <w:bottom w:val="single" w:color="000000" w:sz="4" w:space="0"/>
              <w:right w:val="single" w:color="000000" w:sz="4" w:space="0"/>
            </w:tcBorders>
            <w:noWrap w:val="0"/>
            <w:vAlign w:val="center"/>
          </w:tcPr>
          <w:p w14:paraId="4F513289">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专业</w:t>
            </w:r>
          </w:p>
        </w:tc>
        <w:tc>
          <w:tcPr>
            <w:tcW w:w="931" w:type="dxa"/>
            <w:tcBorders>
              <w:top w:val="single" w:color="000000" w:sz="4" w:space="0"/>
              <w:left w:val="nil"/>
              <w:bottom w:val="single" w:color="000000" w:sz="4" w:space="0"/>
              <w:right w:val="single" w:color="000000" w:sz="4" w:space="0"/>
            </w:tcBorders>
            <w:noWrap w:val="0"/>
            <w:vAlign w:val="center"/>
          </w:tcPr>
          <w:p w14:paraId="6AC5D69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学历</w:t>
            </w:r>
          </w:p>
        </w:tc>
        <w:tc>
          <w:tcPr>
            <w:tcW w:w="1020" w:type="dxa"/>
            <w:tcBorders>
              <w:top w:val="single" w:color="000000" w:sz="4" w:space="0"/>
              <w:left w:val="nil"/>
              <w:bottom w:val="single" w:color="000000" w:sz="4" w:space="0"/>
              <w:right w:val="single" w:color="000000" w:sz="4" w:space="0"/>
            </w:tcBorders>
            <w:noWrap w:val="0"/>
            <w:vAlign w:val="center"/>
          </w:tcPr>
          <w:p w14:paraId="73D2402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执业</w:t>
            </w:r>
          </w:p>
          <w:p w14:paraId="491E0336">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资格</w:t>
            </w:r>
          </w:p>
        </w:tc>
        <w:tc>
          <w:tcPr>
            <w:tcW w:w="994" w:type="dxa"/>
            <w:tcBorders>
              <w:top w:val="single" w:color="000000" w:sz="4" w:space="0"/>
              <w:left w:val="nil"/>
              <w:bottom w:val="single" w:color="000000" w:sz="4" w:space="0"/>
              <w:right w:val="single" w:color="000000" w:sz="4" w:space="0"/>
            </w:tcBorders>
            <w:noWrap w:val="0"/>
            <w:vAlign w:val="center"/>
          </w:tcPr>
          <w:p w14:paraId="46989567">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证书号</w:t>
            </w:r>
          </w:p>
        </w:tc>
        <w:tc>
          <w:tcPr>
            <w:tcW w:w="882" w:type="dxa"/>
            <w:tcBorders>
              <w:top w:val="single" w:color="000000" w:sz="4" w:space="0"/>
              <w:left w:val="nil"/>
              <w:bottom w:val="single" w:color="000000" w:sz="4" w:space="0"/>
              <w:right w:val="single" w:color="000000" w:sz="4" w:space="0"/>
            </w:tcBorders>
            <w:noWrap w:val="0"/>
            <w:vAlign w:val="center"/>
          </w:tcPr>
          <w:p w14:paraId="508819B3">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5DB392D8">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7D53541C">
            <w:pPr>
              <w:pStyle w:val="30"/>
              <w:numPr>
                <w:ilvl w:val="255"/>
                <w:numId w:val="0"/>
              </w:numPr>
              <w:jc w:val="center"/>
              <w:rPr>
                <w:rFonts w:hint="eastAsia" w:ascii="宋体" w:hAnsi="宋体" w:eastAsia="宋体" w:cs="宋体"/>
                <w:b w:val="0"/>
                <w:bCs w:val="0"/>
                <w:snapToGrid w:val="0"/>
                <w:color w:val="000000"/>
                <w:kern w:val="0"/>
                <w:sz w:val="24"/>
                <w:szCs w:val="24"/>
              </w:rPr>
            </w:pPr>
            <w:r>
              <w:rPr>
                <w:rFonts w:hint="eastAsia" w:ascii="宋体" w:hAnsi="宋体" w:eastAsia="宋体" w:cs="宋体"/>
                <w:b w:val="0"/>
                <w:bCs w:val="0"/>
                <w:snapToGrid w:val="0"/>
                <w:color w:val="000000"/>
                <w:kern w:val="0"/>
                <w:sz w:val="24"/>
                <w:szCs w:val="24"/>
              </w:rPr>
              <w:t>备注</w:t>
            </w:r>
          </w:p>
        </w:tc>
      </w:tr>
      <w:tr w14:paraId="7A15E0A0">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445D776">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1AF18CF0">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7288B53B">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5FD76FE">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726AA48">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04733C60">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40364ACD">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3B20DCC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2B8D3894">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543039B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32723331">
            <w:pPr>
              <w:pStyle w:val="30"/>
              <w:numPr>
                <w:ilvl w:val="255"/>
                <w:numId w:val="0"/>
              </w:numPr>
              <w:rPr>
                <w:rFonts w:hint="eastAsia" w:ascii="宋体" w:hAnsi="宋体" w:eastAsia="宋体" w:cs="宋体"/>
                <w:snapToGrid w:val="0"/>
                <w:color w:val="000000"/>
                <w:kern w:val="0"/>
                <w:sz w:val="28"/>
                <w:szCs w:val="28"/>
              </w:rPr>
            </w:pPr>
          </w:p>
        </w:tc>
      </w:tr>
      <w:tr w14:paraId="485CF8C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545F38EB">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11132E37">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40A7ECC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3DE6D3A">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4C5C376F">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40877B5F">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59D4913">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41AD82E1">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2907E9E">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76FEB59">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6E3639B2">
            <w:pPr>
              <w:pStyle w:val="30"/>
              <w:numPr>
                <w:ilvl w:val="255"/>
                <w:numId w:val="0"/>
              </w:numPr>
              <w:rPr>
                <w:rFonts w:hint="eastAsia" w:ascii="宋体" w:hAnsi="宋体" w:eastAsia="宋体" w:cs="宋体"/>
                <w:snapToGrid w:val="0"/>
                <w:color w:val="000000"/>
                <w:kern w:val="0"/>
                <w:sz w:val="28"/>
                <w:szCs w:val="28"/>
              </w:rPr>
            </w:pPr>
          </w:p>
        </w:tc>
      </w:tr>
      <w:tr w14:paraId="45BF704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0D625C11">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5F1C5958">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62C85FA">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4DCCEFE1">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8E0887D">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65DF872B">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44F3089A">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9ED4F46">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4F9AF293">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684CDC4">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6C7BA8A3">
            <w:pPr>
              <w:pStyle w:val="30"/>
              <w:numPr>
                <w:ilvl w:val="255"/>
                <w:numId w:val="0"/>
              </w:numPr>
              <w:rPr>
                <w:rFonts w:hint="eastAsia" w:ascii="宋体" w:hAnsi="宋体" w:eastAsia="宋体" w:cs="宋体"/>
                <w:snapToGrid w:val="0"/>
                <w:color w:val="000000"/>
                <w:kern w:val="0"/>
                <w:sz w:val="28"/>
                <w:szCs w:val="28"/>
              </w:rPr>
            </w:pPr>
          </w:p>
        </w:tc>
      </w:tr>
      <w:tr w14:paraId="61CAB53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F092C55">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7BC2AE73">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49648127">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7634BC0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22113DB5">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2B427825">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0F02D658">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5CDE96C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018FADD0">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6562A2F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23B05F06">
            <w:pPr>
              <w:pStyle w:val="30"/>
              <w:numPr>
                <w:ilvl w:val="255"/>
                <w:numId w:val="0"/>
              </w:numPr>
              <w:rPr>
                <w:rFonts w:hint="eastAsia" w:ascii="宋体" w:hAnsi="宋体" w:eastAsia="宋体" w:cs="宋体"/>
                <w:snapToGrid w:val="0"/>
                <w:color w:val="000000"/>
                <w:kern w:val="0"/>
                <w:sz w:val="28"/>
                <w:szCs w:val="28"/>
              </w:rPr>
            </w:pPr>
          </w:p>
        </w:tc>
      </w:tr>
      <w:tr w14:paraId="7EE0A38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1ADBD4A4">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5DF9887">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21280889">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18B3D257">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5D0CA6B7">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71885F1C">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663F91C8">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E545EA3">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3FC8D134">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3AD5D750">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95B5BC4">
            <w:pPr>
              <w:pStyle w:val="30"/>
              <w:numPr>
                <w:ilvl w:val="255"/>
                <w:numId w:val="0"/>
              </w:numPr>
              <w:rPr>
                <w:rFonts w:hint="eastAsia" w:ascii="宋体" w:hAnsi="宋体" w:eastAsia="宋体" w:cs="宋体"/>
                <w:snapToGrid w:val="0"/>
                <w:color w:val="000000"/>
                <w:kern w:val="0"/>
                <w:sz w:val="28"/>
                <w:szCs w:val="28"/>
              </w:rPr>
            </w:pPr>
          </w:p>
        </w:tc>
      </w:tr>
      <w:tr w14:paraId="6C5BF6E4">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2EE82CF2">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D80EA39">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26CE2B0">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6B246578">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062EC576">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656492CB">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EABACD3">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051A78E7">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4EDCEABD">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1E786C03">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ADEAD71">
            <w:pPr>
              <w:pStyle w:val="30"/>
              <w:numPr>
                <w:ilvl w:val="255"/>
                <w:numId w:val="0"/>
              </w:numPr>
              <w:rPr>
                <w:rFonts w:hint="eastAsia" w:ascii="宋体" w:hAnsi="宋体" w:eastAsia="宋体" w:cs="宋体"/>
                <w:snapToGrid w:val="0"/>
                <w:color w:val="000000"/>
                <w:kern w:val="0"/>
                <w:sz w:val="28"/>
                <w:szCs w:val="28"/>
              </w:rPr>
            </w:pPr>
          </w:p>
        </w:tc>
      </w:tr>
      <w:tr w14:paraId="0559C1DD">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294D3D42">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404EA306">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72B96DA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3C5C076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1CD77B63">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3778AA33">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191B2D95">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7B0CFEC4">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8C2876F">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21EFC4D6">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4F73A5E">
            <w:pPr>
              <w:pStyle w:val="30"/>
              <w:numPr>
                <w:ilvl w:val="255"/>
                <w:numId w:val="0"/>
              </w:numPr>
              <w:rPr>
                <w:rFonts w:hint="eastAsia" w:ascii="宋体" w:hAnsi="宋体" w:eastAsia="宋体" w:cs="宋体"/>
                <w:snapToGrid w:val="0"/>
                <w:color w:val="000000"/>
                <w:kern w:val="0"/>
                <w:sz w:val="28"/>
                <w:szCs w:val="28"/>
              </w:rPr>
            </w:pPr>
          </w:p>
        </w:tc>
      </w:tr>
      <w:tr w14:paraId="31EB6286">
        <w:tblPrEx>
          <w:tblCellMar>
            <w:top w:w="0" w:type="dxa"/>
            <w:left w:w="108" w:type="dxa"/>
            <w:bottom w:w="0" w:type="dxa"/>
            <w:right w:w="108" w:type="dxa"/>
          </w:tblCellMar>
        </w:tblPrEx>
        <w:trPr>
          <w:jc w:val="center"/>
        </w:trPr>
        <w:tc>
          <w:tcPr>
            <w:tcW w:w="766" w:type="dxa"/>
            <w:tcBorders>
              <w:top w:val="single" w:color="000000" w:sz="4" w:space="0"/>
              <w:left w:val="single" w:color="000000" w:sz="4" w:space="0"/>
              <w:bottom w:val="single" w:color="000000" w:sz="4" w:space="0"/>
              <w:right w:val="single" w:color="000000" w:sz="4" w:space="0"/>
            </w:tcBorders>
            <w:noWrap w:val="0"/>
          </w:tcPr>
          <w:p w14:paraId="5C2C7654">
            <w:pPr>
              <w:pStyle w:val="30"/>
              <w:numPr>
                <w:ilvl w:val="255"/>
                <w:numId w:val="0"/>
              </w:numPr>
              <w:rPr>
                <w:rFonts w:hint="eastAsia" w:ascii="宋体" w:hAnsi="宋体" w:eastAsia="宋体" w:cs="宋体"/>
                <w:snapToGrid w:val="0"/>
                <w:color w:val="000000"/>
                <w:kern w:val="0"/>
                <w:sz w:val="28"/>
                <w:szCs w:val="28"/>
              </w:rPr>
            </w:pPr>
          </w:p>
        </w:tc>
        <w:tc>
          <w:tcPr>
            <w:tcW w:w="896" w:type="dxa"/>
            <w:tcBorders>
              <w:top w:val="single" w:color="000000" w:sz="4" w:space="0"/>
              <w:left w:val="nil"/>
              <w:bottom w:val="single" w:color="000000" w:sz="4" w:space="0"/>
              <w:right w:val="single" w:color="000000" w:sz="4" w:space="0"/>
            </w:tcBorders>
            <w:noWrap w:val="0"/>
          </w:tcPr>
          <w:p w14:paraId="55EDA2D9">
            <w:pPr>
              <w:pStyle w:val="30"/>
              <w:numPr>
                <w:ilvl w:val="255"/>
                <w:numId w:val="0"/>
              </w:numPr>
              <w:rPr>
                <w:rFonts w:hint="eastAsia" w:ascii="宋体" w:hAnsi="宋体" w:eastAsia="宋体" w:cs="宋体"/>
                <w:snapToGrid w:val="0"/>
                <w:color w:val="000000"/>
                <w:kern w:val="0"/>
                <w:sz w:val="28"/>
                <w:szCs w:val="28"/>
              </w:rPr>
            </w:pPr>
          </w:p>
        </w:tc>
        <w:tc>
          <w:tcPr>
            <w:tcW w:w="783" w:type="dxa"/>
            <w:tcBorders>
              <w:top w:val="single" w:color="000000" w:sz="4" w:space="0"/>
              <w:left w:val="nil"/>
              <w:bottom w:val="single" w:color="000000" w:sz="4" w:space="0"/>
              <w:right w:val="single" w:color="000000" w:sz="4" w:space="0"/>
            </w:tcBorders>
            <w:noWrap w:val="0"/>
          </w:tcPr>
          <w:p w14:paraId="119236E5">
            <w:pPr>
              <w:pStyle w:val="30"/>
              <w:numPr>
                <w:ilvl w:val="255"/>
                <w:numId w:val="0"/>
              </w:numPr>
              <w:rPr>
                <w:rFonts w:hint="eastAsia" w:ascii="宋体" w:hAnsi="宋体" w:eastAsia="宋体" w:cs="宋体"/>
                <w:snapToGrid w:val="0"/>
                <w:color w:val="000000"/>
                <w:kern w:val="0"/>
                <w:sz w:val="28"/>
                <w:szCs w:val="28"/>
              </w:rPr>
            </w:pPr>
          </w:p>
        </w:tc>
        <w:tc>
          <w:tcPr>
            <w:tcW w:w="750" w:type="dxa"/>
            <w:tcBorders>
              <w:top w:val="single" w:color="000000" w:sz="4" w:space="0"/>
              <w:left w:val="nil"/>
              <w:bottom w:val="single" w:color="000000" w:sz="4" w:space="0"/>
              <w:right w:val="single" w:color="000000" w:sz="4" w:space="0"/>
            </w:tcBorders>
            <w:noWrap w:val="0"/>
          </w:tcPr>
          <w:p w14:paraId="3EF0A914">
            <w:pPr>
              <w:pStyle w:val="30"/>
              <w:numPr>
                <w:ilvl w:val="255"/>
                <w:numId w:val="0"/>
              </w:numPr>
              <w:rPr>
                <w:rFonts w:hint="eastAsia" w:ascii="宋体" w:hAnsi="宋体" w:eastAsia="宋体" w:cs="宋体"/>
                <w:snapToGrid w:val="0"/>
                <w:color w:val="000000"/>
                <w:kern w:val="0"/>
                <w:sz w:val="28"/>
                <w:szCs w:val="28"/>
              </w:rPr>
            </w:pPr>
          </w:p>
        </w:tc>
        <w:tc>
          <w:tcPr>
            <w:tcW w:w="973" w:type="dxa"/>
            <w:tcBorders>
              <w:top w:val="single" w:color="000000" w:sz="4" w:space="0"/>
              <w:left w:val="nil"/>
              <w:bottom w:val="single" w:color="000000" w:sz="4" w:space="0"/>
              <w:right w:val="single" w:color="000000" w:sz="4" w:space="0"/>
            </w:tcBorders>
            <w:noWrap w:val="0"/>
          </w:tcPr>
          <w:p w14:paraId="32CACB11">
            <w:pPr>
              <w:pStyle w:val="30"/>
              <w:numPr>
                <w:ilvl w:val="255"/>
                <w:numId w:val="0"/>
              </w:numPr>
              <w:rPr>
                <w:rFonts w:hint="eastAsia" w:ascii="宋体" w:hAnsi="宋体" w:eastAsia="宋体" w:cs="宋体"/>
                <w:snapToGrid w:val="0"/>
                <w:color w:val="000000"/>
                <w:kern w:val="0"/>
                <w:sz w:val="28"/>
                <w:szCs w:val="28"/>
              </w:rPr>
            </w:pPr>
          </w:p>
        </w:tc>
        <w:tc>
          <w:tcPr>
            <w:tcW w:w="931" w:type="dxa"/>
            <w:tcBorders>
              <w:top w:val="single" w:color="000000" w:sz="4" w:space="0"/>
              <w:left w:val="nil"/>
              <w:bottom w:val="single" w:color="000000" w:sz="4" w:space="0"/>
              <w:right w:val="single" w:color="000000" w:sz="4" w:space="0"/>
            </w:tcBorders>
            <w:noWrap w:val="0"/>
          </w:tcPr>
          <w:p w14:paraId="3B4E8488">
            <w:pPr>
              <w:pStyle w:val="30"/>
              <w:numPr>
                <w:ilvl w:val="255"/>
                <w:numId w:val="0"/>
              </w:numPr>
              <w:rPr>
                <w:rFonts w:hint="eastAsia" w:ascii="宋体" w:hAnsi="宋体" w:eastAsia="宋体" w:cs="宋体"/>
                <w:snapToGrid w:val="0"/>
                <w:color w:val="000000"/>
                <w:kern w:val="0"/>
                <w:sz w:val="28"/>
                <w:szCs w:val="28"/>
              </w:rPr>
            </w:pPr>
          </w:p>
        </w:tc>
        <w:tc>
          <w:tcPr>
            <w:tcW w:w="1020" w:type="dxa"/>
            <w:tcBorders>
              <w:top w:val="single" w:color="000000" w:sz="4" w:space="0"/>
              <w:left w:val="nil"/>
              <w:bottom w:val="single" w:color="000000" w:sz="4" w:space="0"/>
              <w:right w:val="single" w:color="000000" w:sz="4" w:space="0"/>
            </w:tcBorders>
            <w:noWrap w:val="0"/>
          </w:tcPr>
          <w:p w14:paraId="5AFD6034">
            <w:pPr>
              <w:pStyle w:val="30"/>
              <w:numPr>
                <w:ilvl w:val="255"/>
                <w:numId w:val="0"/>
              </w:numPr>
              <w:rPr>
                <w:rFonts w:hint="eastAsia" w:ascii="宋体" w:hAnsi="宋体" w:eastAsia="宋体" w:cs="宋体"/>
                <w:snapToGrid w:val="0"/>
                <w:color w:val="000000"/>
                <w:kern w:val="0"/>
                <w:sz w:val="28"/>
                <w:szCs w:val="28"/>
              </w:rPr>
            </w:pPr>
          </w:p>
        </w:tc>
        <w:tc>
          <w:tcPr>
            <w:tcW w:w="994" w:type="dxa"/>
            <w:tcBorders>
              <w:top w:val="single" w:color="000000" w:sz="4" w:space="0"/>
              <w:left w:val="nil"/>
              <w:bottom w:val="single" w:color="000000" w:sz="4" w:space="0"/>
              <w:right w:val="single" w:color="000000" w:sz="4" w:space="0"/>
            </w:tcBorders>
            <w:noWrap w:val="0"/>
          </w:tcPr>
          <w:p w14:paraId="716E3D48">
            <w:pPr>
              <w:pStyle w:val="30"/>
              <w:numPr>
                <w:ilvl w:val="255"/>
                <w:numId w:val="0"/>
              </w:numPr>
              <w:rPr>
                <w:rFonts w:hint="eastAsia" w:ascii="宋体" w:hAnsi="宋体" w:eastAsia="宋体" w:cs="宋体"/>
                <w:snapToGrid w:val="0"/>
                <w:color w:val="000000"/>
                <w:kern w:val="0"/>
                <w:sz w:val="28"/>
                <w:szCs w:val="28"/>
              </w:rPr>
            </w:pPr>
          </w:p>
        </w:tc>
        <w:tc>
          <w:tcPr>
            <w:tcW w:w="882" w:type="dxa"/>
            <w:tcBorders>
              <w:top w:val="single" w:color="000000" w:sz="4" w:space="0"/>
              <w:left w:val="nil"/>
              <w:bottom w:val="single" w:color="000000" w:sz="4" w:space="0"/>
              <w:right w:val="single" w:color="000000" w:sz="4" w:space="0"/>
            </w:tcBorders>
            <w:noWrap w:val="0"/>
          </w:tcPr>
          <w:p w14:paraId="6A495BFF">
            <w:pPr>
              <w:pStyle w:val="30"/>
              <w:numPr>
                <w:ilvl w:val="255"/>
                <w:numId w:val="0"/>
              </w:numPr>
              <w:rPr>
                <w:rFonts w:hint="eastAsia" w:ascii="宋体" w:hAnsi="宋体" w:eastAsia="宋体" w:cs="宋体"/>
                <w:snapToGrid w:val="0"/>
                <w:color w:val="000000"/>
                <w:kern w:val="0"/>
                <w:sz w:val="28"/>
                <w:szCs w:val="28"/>
              </w:rPr>
            </w:pPr>
          </w:p>
        </w:tc>
        <w:tc>
          <w:tcPr>
            <w:tcW w:w="850" w:type="dxa"/>
            <w:tcBorders>
              <w:top w:val="single" w:color="000000" w:sz="4" w:space="0"/>
              <w:left w:val="nil"/>
              <w:bottom w:val="single" w:color="000000" w:sz="4" w:space="0"/>
              <w:right w:val="single" w:color="000000" w:sz="4" w:space="0"/>
            </w:tcBorders>
            <w:noWrap w:val="0"/>
          </w:tcPr>
          <w:p w14:paraId="59EA2E11">
            <w:pPr>
              <w:pStyle w:val="30"/>
              <w:numPr>
                <w:ilvl w:val="255"/>
                <w:numId w:val="0"/>
              </w:numPr>
              <w:rPr>
                <w:rFonts w:hint="eastAsia" w:ascii="宋体" w:hAnsi="宋体" w:eastAsia="宋体" w:cs="宋体"/>
                <w:snapToGrid w:val="0"/>
                <w:color w:val="000000"/>
                <w:kern w:val="0"/>
                <w:sz w:val="28"/>
                <w:szCs w:val="28"/>
              </w:rPr>
            </w:pPr>
          </w:p>
        </w:tc>
        <w:tc>
          <w:tcPr>
            <w:tcW w:w="851" w:type="dxa"/>
            <w:tcBorders>
              <w:top w:val="single" w:color="000000" w:sz="4" w:space="0"/>
              <w:left w:val="nil"/>
              <w:bottom w:val="single" w:color="000000" w:sz="4" w:space="0"/>
              <w:right w:val="single" w:color="000000" w:sz="4" w:space="0"/>
            </w:tcBorders>
            <w:noWrap w:val="0"/>
          </w:tcPr>
          <w:p w14:paraId="5088A44A">
            <w:pPr>
              <w:pStyle w:val="30"/>
              <w:numPr>
                <w:ilvl w:val="255"/>
                <w:numId w:val="0"/>
              </w:numPr>
              <w:rPr>
                <w:rFonts w:hint="eastAsia" w:ascii="宋体" w:hAnsi="宋体" w:eastAsia="宋体" w:cs="宋体"/>
                <w:snapToGrid w:val="0"/>
                <w:color w:val="000000"/>
                <w:kern w:val="0"/>
                <w:sz w:val="28"/>
                <w:szCs w:val="28"/>
              </w:rPr>
            </w:pPr>
          </w:p>
        </w:tc>
      </w:tr>
    </w:tbl>
    <w:p w14:paraId="3D01BB01">
      <w:pPr>
        <w:rPr>
          <w:rFonts w:hint="eastAsia"/>
        </w:rPr>
      </w:pPr>
    </w:p>
    <w:p w14:paraId="6CD05AE0">
      <w:pPr>
        <w:rPr>
          <w:rFonts w:hint="eastAsia"/>
        </w:rPr>
      </w:pPr>
    </w:p>
    <w:p w14:paraId="527220EF">
      <w:pPr>
        <w:rPr>
          <w:rFonts w:hint="eastAsia"/>
        </w:rPr>
      </w:pPr>
    </w:p>
    <w:p w14:paraId="57C77D27">
      <w:pPr>
        <w:rPr>
          <w:rFonts w:hint="eastAsia"/>
        </w:rPr>
      </w:pPr>
    </w:p>
    <w:p w14:paraId="51A6D983">
      <w:pPr>
        <w:rPr>
          <w:rFonts w:hint="eastAsia" w:ascii="宋体" w:hAnsi="宋体" w:eastAsia="宋体" w:cs="宋体"/>
          <w:snapToGrid w:val="0"/>
          <w:color w:val="000000"/>
          <w:kern w:val="0"/>
          <w:sz w:val="28"/>
          <w:szCs w:val="28"/>
        </w:rPr>
      </w:pPr>
    </w:p>
    <w:p w14:paraId="2005F652">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cs="宋体"/>
          <w:snapToGrid w:val="0"/>
          <w:color w:val="000000"/>
          <w:kern w:val="0"/>
          <w:sz w:val="28"/>
          <w:szCs w:val="28"/>
          <w:lang w:eastAsia="zh-CN"/>
        </w:rPr>
      </w:pPr>
      <w:r>
        <w:rPr>
          <w:rFonts w:hint="eastAsia" w:ascii="宋体" w:hAnsi="宋体" w:cs="宋体"/>
          <w:snapToGrid w:val="0"/>
          <w:color w:val="000000"/>
          <w:kern w:val="0"/>
          <w:sz w:val="28"/>
          <w:szCs w:val="28"/>
          <w:lang w:val="en-US" w:eastAsia="zh-CN"/>
        </w:rPr>
        <w:t>八、</w:t>
      </w:r>
      <w:r>
        <w:rPr>
          <w:rFonts w:hint="eastAsia" w:ascii="宋体" w:hAnsi="宋体" w:cs="宋体"/>
          <w:snapToGrid w:val="0"/>
          <w:color w:val="000000"/>
          <w:kern w:val="0"/>
          <w:sz w:val="28"/>
          <w:szCs w:val="28"/>
          <w:lang w:eastAsia="zh-CN"/>
        </w:rPr>
        <w:t>业绩（</w:t>
      </w:r>
      <w:r>
        <w:rPr>
          <w:rFonts w:hint="eastAsia" w:ascii="宋体" w:hAnsi="宋体" w:cs="宋体"/>
          <w:snapToGrid w:val="0"/>
          <w:color w:val="000000"/>
          <w:kern w:val="0"/>
          <w:sz w:val="28"/>
          <w:szCs w:val="28"/>
          <w:lang w:val="en-US" w:eastAsia="zh-CN"/>
        </w:rPr>
        <w:t>加盖电子公章</w:t>
      </w:r>
      <w:r>
        <w:rPr>
          <w:rFonts w:hint="eastAsia" w:ascii="宋体" w:hAnsi="宋体" w:cs="宋体"/>
          <w:snapToGrid w:val="0"/>
          <w:color w:val="000000"/>
          <w:kern w:val="0"/>
          <w:sz w:val="28"/>
          <w:szCs w:val="28"/>
          <w:lang w:eastAsia="zh-CN"/>
        </w:rPr>
        <w:t>）</w:t>
      </w:r>
    </w:p>
    <w:p w14:paraId="45C718E4">
      <w:pPr>
        <w:rPr>
          <w:rFonts w:hint="eastAsia"/>
          <w:lang w:eastAsia="zh-CN"/>
        </w:rPr>
      </w:pPr>
    </w:p>
    <w:p w14:paraId="2CF05E16">
      <w:pPr>
        <w:rPr>
          <w:rFonts w:hint="eastAsia"/>
        </w:rPr>
      </w:pPr>
    </w:p>
    <w:p w14:paraId="7E91732C">
      <w:pPr>
        <w:rPr>
          <w:rFonts w:hint="eastAsia"/>
        </w:rPr>
      </w:pPr>
    </w:p>
    <w:p w14:paraId="756C3B01">
      <w:pPr>
        <w:rPr>
          <w:rFonts w:hint="eastAsia"/>
        </w:rPr>
      </w:pPr>
    </w:p>
    <w:p w14:paraId="79DD5EA0">
      <w:pPr>
        <w:rPr>
          <w:rFonts w:hint="eastAsia"/>
        </w:rPr>
      </w:pPr>
    </w:p>
    <w:p w14:paraId="539F9895">
      <w:pPr>
        <w:rPr>
          <w:rFonts w:hint="eastAsia"/>
        </w:rPr>
      </w:pPr>
    </w:p>
    <w:p w14:paraId="16F481B9">
      <w:pPr>
        <w:rPr>
          <w:rFonts w:hint="eastAsia"/>
        </w:rPr>
      </w:pPr>
    </w:p>
    <w:p w14:paraId="7C569A95">
      <w:pPr>
        <w:rPr>
          <w:rFonts w:hint="eastAsia"/>
        </w:rPr>
      </w:pPr>
    </w:p>
    <w:p w14:paraId="779C2ABE">
      <w:pPr>
        <w:rPr>
          <w:rFonts w:hint="eastAsia"/>
        </w:rPr>
      </w:pPr>
    </w:p>
    <w:p w14:paraId="79DC1FF1">
      <w:pPr>
        <w:rPr>
          <w:rFonts w:hint="eastAsia"/>
        </w:rPr>
      </w:pPr>
    </w:p>
    <w:p w14:paraId="3A433A37">
      <w:pPr>
        <w:rPr>
          <w:rFonts w:hint="eastAsia"/>
        </w:rPr>
      </w:pPr>
    </w:p>
    <w:p w14:paraId="7661645D">
      <w:pPr>
        <w:rPr>
          <w:rFonts w:hint="eastAsia"/>
        </w:rPr>
      </w:pPr>
    </w:p>
    <w:p w14:paraId="124B9546">
      <w:pPr>
        <w:rPr>
          <w:rFonts w:hint="eastAsia"/>
        </w:rPr>
      </w:pPr>
    </w:p>
    <w:p w14:paraId="2BD4C746">
      <w:pPr>
        <w:rPr>
          <w:rFonts w:hint="eastAsia"/>
        </w:rPr>
      </w:pPr>
    </w:p>
    <w:p w14:paraId="2D16D726">
      <w:pPr>
        <w:rPr>
          <w:rFonts w:hint="eastAsia"/>
        </w:rPr>
      </w:pPr>
    </w:p>
    <w:p w14:paraId="25EF1AA5">
      <w:pPr>
        <w:rPr>
          <w:rFonts w:hint="eastAsia"/>
        </w:rPr>
      </w:pPr>
    </w:p>
    <w:p w14:paraId="03EEF111">
      <w:pPr>
        <w:rPr>
          <w:rFonts w:hint="eastAsia"/>
        </w:rPr>
      </w:pPr>
    </w:p>
    <w:p w14:paraId="1D52DF8B">
      <w:pPr>
        <w:rPr>
          <w:rFonts w:hint="eastAsia"/>
        </w:rPr>
      </w:pPr>
    </w:p>
    <w:p w14:paraId="44971CD8">
      <w:pPr>
        <w:rPr>
          <w:rFonts w:hint="eastAsia"/>
        </w:rPr>
      </w:pPr>
    </w:p>
    <w:p w14:paraId="331BBFB4">
      <w:pPr>
        <w:rPr>
          <w:rFonts w:hint="eastAsia"/>
        </w:rPr>
      </w:pPr>
    </w:p>
    <w:p w14:paraId="685255B6">
      <w:pPr>
        <w:rPr>
          <w:rFonts w:hint="eastAsia"/>
        </w:rPr>
      </w:pPr>
    </w:p>
    <w:p w14:paraId="37731B52">
      <w:pPr>
        <w:rPr>
          <w:rFonts w:hint="eastAsia"/>
        </w:rPr>
      </w:pPr>
    </w:p>
    <w:p w14:paraId="25E2AA1C">
      <w:pPr>
        <w:rPr>
          <w:rFonts w:hint="eastAsia"/>
        </w:rPr>
      </w:pPr>
    </w:p>
    <w:p w14:paraId="2A9838DA">
      <w:pPr>
        <w:rPr>
          <w:rFonts w:hint="eastAsia"/>
        </w:rPr>
      </w:pPr>
    </w:p>
    <w:p w14:paraId="7E48A931">
      <w:pPr>
        <w:rPr>
          <w:rFonts w:hint="eastAsia"/>
        </w:rPr>
      </w:pPr>
    </w:p>
    <w:p w14:paraId="1F63B24E">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default" w:ascii="宋体" w:hAnsi="宋体" w:eastAsia="宋体" w:cs="宋体"/>
          <w:snapToGrid w:val="0"/>
          <w:color w:val="000000"/>
          <w:kern w:val="0"/>
          <w:sz w:val="28"/>
          <w:szCs w:val="28"/>
        </w:rPr>
      </w:pPr>
      <w:r>
        <w:rPr>
          <w:rFonts w:hint="eastAsia" w:ascii="宋体" w:hAnsi="宋体" w:cs="宋体"/>
          <w:snapToGrid w:val="0"/>
          <w:color w:val="000000"/>
          <w:kern w:val="0"/>
          <w:sz w:val="28"/>
          <w:szCs w:val="28"/>
          <w:lang w:val="en-US" w:eastAsia="zh-CN"/>
        </w:rPr>
        <w:t>九、</w:t>
      </w:r>
      <w:r>
        <w:rPr>
          <w:rFonts w:hint="default" w:ascii="宋体" w:hAnsi="宋体" w:eastAsia="宋体" w:cs="宋体"/>
          <w:snapToGrid w:val="0"/>
          <w:color w:val="000000"/>
          <w:kern w:val="0"/>
          <w:sz w:val="28"/>
          <w:szCs w:val="28"/>
        </w:rPr>
        <w:t>中小企业声明函</w:t>
      </w:r>
      <w:r>
        <w:rPr>
          <w:rFonts w:hint="default" w:ascii="宋体" w:hAnsi="宋体" w:eastAsia="宋体" w:cs="宋体"/>
          <w:snapToGrid w:val="0"/>
          <w:color w:val="000000"/>
          <w:kern w:val="0"/>
          <w:sz w:val="28"/>
          <w:szCs w:val="28"/>
          <w:lang w:eastAsia="zh-CN"/>
        </w:rPr>
        <w:t>（如有）</w:t>
      </w:r>
    </w:p>
    <w:p w14:paraId="4440DE7D">
      <w:pPr>
        <w:spacing w:beforeLines="-2147483648" w:afterLines="-2147483648" w:line="240" w:lineRule="auto"/>
        <w:jc w:val="center"/>
        <w:outlineLvl w:val="9"/>
        <w:rPr>
          <w:rFonts w:hint="eastAsia" w:ascii="宋体" w:hAnsi="宋体" w:eastAsia="宋体" w:cs="宋体"/>
          <w:sz w:val="32"/>
          <w:szCs w:val="21"/>
        </w:rPr>
      </w:pPr>
      <w:r>
        <w:rPr>
          <w:rFonts w:hint="eastAsia" w:ascii="宋体" w:hAnsi="宋体" w:eastAsia="宋体" w:cs="宋体"/>
          <w:sz w:val="32"/>
          <w:szCs w:val="21"/>
        </w:rPr>
        <w:t>中小企业声明函（服务）</w:t>
      </w:r>
    </w:p>
    <w:p w14:paraId="4EB5244F">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XXXXXXXXXXXXXXXXXXXXXXXXX</w:t>
      </w:r>
      <w:r>
        <w:rPr>
          <w:rFonts w:hint="eastAsia" w:ascii="宋体" w:hAnsi="宋体" w:eastAsia="宋体" w:cs="宋体"/>
          <w:color w:val="000000"/>
          <w:sz w:val="24"/>
          <w:szCs w:val="24"/>
        </w:rPr>
        <w:t>（单位名称）采购编号为</w:t>
      </w:r>
      <w:r>
        <w:rPr>
          <w:rFonts w:hint="eastAsia" w:ascii="宋体" w:hAnsi="宋体" w:eastAsia="宋体" w:cs="宋体"/>
          <w:color w:val="000000"/>
          <w:sz w:val="24"/>
          <w:szCs w:val="24"/>
          <w:u w:val="single"/>
        </w:rPr>
        <w:t>XXXXXXXXXXXXXXXXXXXXXXXXX</w:t>
      </w:r>
      <w:r>
        <w:rPr>
          <w:rFonts w:hint="eastAsia" w:ascii="宋体" w:hAnsi="宋体" w:eastAsia="宋体" w:cs="宋体"/>
          <w:color w:val="000000"/>
          <w:sz w:val="24"/>
          <w:szCs w:val="24"/>
        </w:rPr>
        <w:t>项目（采购包号：</w:t>
      </w:r>
      <w:r>
        <w:rPr>
          <w:rFonts w:hint="eastAsia" w:ascii="宋体" w:hAnsi="宋体" w:eastAsia="宋体" w:cs="宋体"/>
          <w:color w:val="000000"/>
          <w:sz w:val="24"/>
          <w:szCs w:val="24"/>
          <w:u w:val="single"/>
        </w:rPr>
        <w:t>XXX</w:t>
      </w:r>
      <w:r>
        <w:rPr>
          <w:rFonts w:hint="eastAsia" w:ascii="宋体" w:hAnsi="宋体" w:eastAsia="宋体" w:cs="宋体"/>
          <w:color w:val="000000"/>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171CD128">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w:t>
      </w:r>
    </w:p>
    <w:p w14:paraId="127851CC">
      <w:pPr>
        <w:spacing w:beforeLines="0" w:afterLines="0" w:line="360" w:lineRule="auto"/>
        <w:ind w:firstLine="360"/>
        <w:rPr>
          <w:rFonts w:hint="eastAsia" w:ascii="宋体" w:hAnsi="宋体" w:eastAsia="宋体" w:cs="宋体"/>
          <w:i w:val="0"/>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行业（磋商文件中明确的所属行业）；承接企业为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中型企业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 xml:space="preserve">小型企业 </w:t>
      </w:r>
      <w:r>
        <w:rPr>
          <w:rFonts w:hint="eastAsia" w:ascii="宋体" w:hAnsi="宋体" w:eastAsia="宋体" w:cs="宋体"/>
          <w:color w:val="000000"/>
          <w:sz w:val="24"/>
          <w:szCs w:val="24"/>
        </w:rPr>
        <w:sym w:font="Wingdings" w:char="F0A8"/>
      </w:r>
      <w:r>
        <w:rPr>
          <w:rFonts w:hint="eastAsia" w:ascii="宋体" w:hAnsi="宋体" w:eastAsia="宋体" w:cs="宋体"/>
          <w:color w:val="000000"/>
          <w:sz w:val="24"/>
          <w:szCs w:val="24"/>
        </w:rPr>
        <w:t>微型企业。</w:t>
      </w:r>
    </w:p>
    <w:p w14:paraId="7ACB0ABA">
      <w:pPr>
        <w:spacing w:beforeLines="0" w:afterLines="0"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3C1FF95D">
      <w:pPr>
        <w:spacing w:beforeLines="0" w:afterLines="0"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674926CA">
      <w:pPr>
        <w:spacing w:beforeLines="0" w:afterLines="0" w:line="360" w:lineRule="auto"/>
        <w:ind w:right="180" w:firstLine="36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企业名称：（加盖电子公章）</w:t>
      </w:r>
    </w:p>
    <w:p w14:paraId="306E137D">
      <w:pPr>
        <w:spacing w:beforeLines="0" w:afterLines="0" w:line="360" w:lineRule="auto"/>
        <w:ind w:firstLine="600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59DD7B6D">
      <w:pPr>
        <w:widowControl/>
        <w:spacing w:beforeLines="0" w:afterLines="0" w:line="360" w:lineRule="auto"/>
        <w:ind w:firstLine="480"/>
        <w:rPr>
          <w:rFonts w:hint="eastAsia" w:ascii="宋体" w:hAnsi="宋体" w:eastAsia="宋体" w:cs="宋体"/>
          <w:color w:val="000000"/>
          <w:sz w:val="24"/>
          <w:szCs w:val="24"/>
        </w:rPr>
      </w:pPr>
    </w:p>
    <w:p w14:paraId="2F874C00">
      <w:pPr>
        <w:spacing w:beforeLines="0" w:afterLines="0" w:line="240" w:lineRule="auto"/>
        <w:ind w:firstLine="480"/>
        <w:rPr>
          <w:rFonts w:hint="eastAsia" w:ascii="宋体" w:hAnsi="宋体" w:cs="宋体"/>
          <w:snapToGrid w:val="0"/>
          <w:color w:val="000000"/>
          <w:kern w:val="0"/>
          <w:sz w:val="28"/>
          <w:szCs w:val="28"/>
          <w:lang w:val="en-US" w:eastAsia="zh-CN"/>
        </w:rPr>
      </w:pPr>
      <w:r>
        <w:rPr>
          <w:rFonts w:hint="eastAsia" w:ascii="宋体" w:hAnsi="宋体" w:eastAsia="宋体" w:cs="宋体"/>
          <w:color w:val="000000"/>
          <w:sz w:val="21"/>
          <w:szCs w:val="21"/>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4942317B">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sz w:val="28"/>
          <w:szCs w:val="28"/>
        </w:rPr>
      </w:pPr>
      <w:r>
        <w:rPr>
          <w:rFonts w:hint="eastAsia" w:ascii="宋体" w:hAnsi="宋体" w:cs="宋体"/>
          <w:snapToGrid w:val="0"/>
          <w:color w:val="000000"/>
          <w:kern w:val="0"/>
          <w:sz w:val="28"/>
          <w:szCs w:val="28"/>
          <w:lang w:val="en-US" w:eastAsia="zh-CN"/>
        </w:rPr>
        <w:t>十、</w:t>
      </w:r>
      <w:r>
        <w:rPr>
          <w:rFonts w:hint="eastAsia" w:ascii="宋体" w:hAnsi="宋体" w:eastAsia="宋体" w:cs="宋体"/>
          <w:snapToGrid w:val="0"/>
          <w:color w:val="000000"/>
          <w:kern w:val="0"/>
          <w:sz w:val="28"/>
          <w:szCs w:val="28"/>
        </w:rPr>
        <w:t>残疾人福利性单位声明函</w:t>
      </w:r>
      <w:r>
        <w:rPr>
          <w:rFonts w:hint="eastAsia" w:ascii="宋体" w:hAnsi="宋体" w:eastAsia="宋体" w:cs="宋体"/>
          <w:snapToGrid w:val="0"/>
          <w:color w:val="000000"/>
          <w:kern w:val="0"/>
          <w:sz w:val="28"/>
          <w:szCs w:val="28"/>
          <w:lang w:eastAsia="zh-CN"/>
        </w:rPr>
        <w:t>（如有）</w:t>
      </w:r>
    </w:p>
    <w:p w14:paraId="764BBF0A">
      <w:pPr>
        <w:adjustRightInd/>
        <w:snapToGrid/>
        <w:spacing w:line="240" w:lineRule="auto"/>
        <w:jc w:val="center"/>
        <w:outlineLvl w:val="9"/>
        <w:rPr>
          <w:rFonts w:hint="eastAsia" w:ascii="宋体" w:hAnsi="宋体" w:eastAsia="宋体" w:cs="宋体"/>
          <w:sz w:val="32"/>
          <w:szCs w:val="21"/>
        </w:rPr>
      </w:pPr>
      <w:r>
        <w:rPr>
          <w:rFonts w:hint="eastAsia" w:ascii="宋体" w:hAnsi="宋体" w:eastAsia="宋体" w:cs="宋体"/>
          <w:sz w:val="32"/>
          <w:szCs w:val="21"/>
        </w:rPr>
        <w:t>残疾人福利性单位声明函</w:t>
      </w:r>
    </w:p>
    <w:p w14:paraId="00179D88">
      <w:pPr>
        <w:adjustRightInd w:val="0"/>
        <w:snapToGrid w:val="0"/>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2"/>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参加</w:t>
      </w:r>
      <w:r>
        <w:rPr>
          <w:rFonts w:hint="eastAsia" w:ascii="宋体" w:hAnsi="宋体" w:eastAsia="宋体" w:cs="宋体"/>
          <w:sz w:val="24"/>
          <w:szCs w:val="24"/>
          <w:u w:val="single"/>
        </w:rPr>
        <w:t>XXXXXXXXXXXXXXXXXXXXXXXXX</w:t>
      </w:r>
      <w:r>
        <w:rPr>
          <w:rFonts w:hint="eastAsia" w:ascii="宋体" w:hAnsi="宋体" w:eastAsia="宋体" w:cs="宋体"/>
          <w:sz w:val="24"/>
          <w:szCs w:val="24"/>
        </w:rPr>
        <w:t>（单位名称）项目编号为</w:t>
      </w:r>
      <w:r>
        <w:rPr>
          <w:rFonts w:hint="eastAsia" w:ascii="宋体" w:hAnsi="宋体" w:eastAsia="宋体" w:cs="宋体"/>
          <w:sz w:val="24"/>
          <w:szCs w:val="24"/>
          <w:u w:val="single"/>
        </w:rPr>
        <w:t>XXXXXXXXXXXXXXXXXXXXXXXXX</w:t>
      </w:r>
      <w:r>
        <w:rPr>
          <w:rFonts w:hint="eastAsia" w:ascii="宋体" w:hAnsi="宋体" w:eastAsia="宋体" w:cs="宋体"/>
          <w:sz w:val="24"/>
          <w:szCs w:val="24"/>
        </w:rPr>
        <w:t>项目）的采购活动</w:t>
      </w:r>
      <w:r>
        <w:rPr>
          <w:rFonts w:hint="eastAsia" w:ascii="宋体" w:hAnsi="宋体" w:eastAsia="宋体" w:cs="宋体"/>
          <w:sz w:val="24"/>
          <w:szCs w:val="22"/>
        </w:rPr>
        <w:t>，</w:t>
      </w:r>
      <w:r>
        <w:rPr>
          <w:rFonts w:hint="eastAsia" w:ascii="宋体" w:hAnsi="宋体" w:eastAsia="宋体" w:cs="宋体"/>
          <w:sz w:val="24"/>
          <w:szCs w:val="24"/>
        </w:rPr>
        <w:t>服务全部由本单位提供</w:t>
      </w:r>
      <w:r>
        <w:rPr>
          <w:rFonts w:hint="eastAsia" w:ascii="宋体" w:hAnsi="宋体" w:eastAsia="宋体" w:cs="宋体"/>
          <w:sz w:val="24"/>
          <w:szCs w:val="21"/>
        </w:rPr>
        <w:t>。</w:t>
      </w:r>
    </w:p>
    <w:p w14:paraId="7649D155">
      <w:pPr>
        <w:adjustRightInd w:val="0"/>
        <w:snapToGrid w:val="0"/>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本单位对上述声明的真实性负责，如有虚假，将依法承担相应责任。</w:t>
      </w:r>
    </w:p>
    <w:p w14:paraId="66F67401">
      <w:pPr>
        <w:pStyle w:val="46"/>
        <w:adjustRightInd w:val="0"/>
        <w:snapToGrid w:val="0"/>
        <w:spacing w:line="360" w:lineRule="auto"/>
        <w:rPr>
          <w:rFonts w:hint="eastAsia" w:ascii="宋体" w:hAnsi="宋体" w:eastAsia="宋体" w:cs="宋体"/>
          <w:sz w:val="24"/>
          <w:szCs w:val="24"/>
        </w:rPr>
      </w:pPr>
    </w:p>
    <w:p w14:paraId="23C7F9BB">
      <w:pPr>
        <w:adjustRightInd w:val="0"/>
        <w:snapToGrid w:val="0"/>
        <w:spacing w:line="360" w:lineRule="auto"/>
        <w:rPr>
          <w:rFonts w:hint="eastAsia" w:ascii="宋体" w:hAnsi="宋体" w:eastAsia="宋体" w:cs="宋体"/>
          <w:sz w:val="21"/>
          <w:szCs w:val="22"/>
        </w:rPr>
      </w:pPr>
    </w:p>
    <w:p w14:paraId="4F32E4D7">
      <w:pPr>
        <w:pStyle w:val="20"/>
        <w:rPr>
          <w:rFonts w:hint="eastAsia" w:ascii="宋体" w:hAnsi="宋体" w:eastAsia="宋体" w:cs="宋体"/>
          <w:sz w:val="21"/>
          <w:szCs w:val="22"/>
        </w:rPr>
      </w:pPr>
    </w:p>
    <w:p w14:paraId="70BCF3F9">
      <w:pPr>
        <w:rPr>
          <w:rFonts w:hint="eastAsia" w:ascii="宋体" w:hAnsi="宋体" w:eastAsia="宋体" w:cs="宋体"/>
          <w:sz w:val="21"/>
          <w:szCs w:val="22"/>
        </w:rPr>
      </w:pPr>
    </w:p>
    <w:p w14:paraId="6FE92FA5">
      <w:pPr>
        <w:pStyle w:val="20"/>
        <w:rPr>
          <w:rFonts w:hint="eastAsia" w:ascii="宋体" w:hAnsi="宋体" w:eastAsia="宋体" w:cs="宋体"/>
          <w:sz w:val="21"/>
          <w:szCs w:val="22"/>
        </w:rPr>
      </w:pPr>
    </w:p>
    <w:p w14:paraId="10CA1301">
      <w:pPr>
        <w:rPr>
          <w:rFonts w:hint="eastAsia" w:ascii="宋体" w:hAnsi="宋体" w:eastAsia="宋体" w:cs="宋体"/>
          <w:sz w:val="21"/>
          <w:szCs w:val="22"/>
        </w:rPr>
      </w:pPr>
    </w:p>
    <w:p w14:paraId="11A67D22">
      <w:pPr>
        <w:pStyle w:val="20"/>
        <w:rPr>
          <w:rFonts w:hint="eastAsia" w:ascii="宋体" w:hAnsi="宋体" w:eastAsia="宋体" w:cs="宋体"/>
          <w:sz w:val="28"/>
          <w:szCs w:val="21"/>
        </w:rPr>
      </w:pPr>
    </w:p>
    <w:p w14:paraId="17EDE145">
      <w:pPr>
        <w:adjustRightInd w:val="0"/>
        <w:snapToGrid w:val="0"/>
        <w:spacing w:line="360" w:lineRule="auto"/>
        <w:ind w:right="180" w:firstLine="360" w:firstLineChars="150"/>
        <w:jc w:val="center"/>
        <w:rPr>
          <w:rFonts w:hint="eastAsia" w:ascii="宋体" w:hAnsi="宋体" w:eastAsia="宋体" w:cs="宋体"/>
          <w:sz w:val="24"/>
          <w:szCs w:val="24"/>
        </w:rPr>
      </w:pPr>
      <w:r>
        <w:rPr>
          <w:rFonts w:hint="eastAsia" w:ascii="宋体" w:hAnsi="宋体" w:eastAsia="宋体" w:cs="宋体"/>
          <w:sz w:val="24"/>
          <w:szCs w:val="24"/>
        </w:rPr>
        <w:t xml:space="preserve">                                       供应商名称：（加盖电子公章）</w:t>
      </w:r>
    </w:p>
    <w:p w14:paraId="72DAA4F2">
      <w:pPr>
        <w:adjustRightInd w:val="0"/>
        <w:snapToGrid w:val="0"/>
        <w:spacing w:line="360" w:lineRule="auto"/>
        <w:ind w:right="180" w:firstLine="360" w:firstLineChars="150"/>
        <w:jc w:val="center"/>
        <w:rPr>
          <w:rFonts w:hint="eastAsia" w:ascii="宋体" w:hAnsi="宋体" w:eastAsia="宋体" w:cs="宋体"/>
          <w:sz w:val="24"/>
          <w:szCs w:val="24"/>
        </w:rPr>
      </w:pPr>
      <w:r>
        <w:rPr>
          <w:rFonts w:hint="eastAsia" w:ascii="宋体" w:hAnsi="宋体" w:eastAsia="宋体" w:cs="宋体"/>
          <w:sz w:val="24"/>
          <w:szCs w:val="24"/>
        </w:rPr>
        <w:t xml:space="preserve">                     日    期：</w:t>
      </w:r>
    </w:p>
    <w:p w14:paraId="606A5C9D">
      <w:pPr>
        <w:adjustRightInd w:val="0"/>
        <w:snapToGrid w:val="0"/>
        <w:spacing w:line="360" w:lineRule="auto"/>
        <w:ind w:firstLine="480" w:firstLineChars="200"/>
        <w:rPr>
          <w:rFonts w:hint="eastAsia" w:ascii="宋体" w:hAnsi="宋体" w:eastAsia="宋体" w:cs="宋体"/>
          <w:sz w:val="24"/>
          <w:szCs w:val="22"/>
        </w:rPr>
      </w:pPr>
    </w:p>
    <w:p w14:paraId="2ABABEE4">
      <w:pPr>
        <w:adjustRightInd w:val="0"/>
        <w:snapToGrid w:val="0"/>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备注：</w:t>
      </w:r>
    </w:p>
    <w:p w14:paraId="15C3CF60">
      <w:pPr>
        <w:adjustRightInd/>
        <w:snapToGrid/>
        <w:spacing w:line="360" w:lineRule="auto"/>
        <w:ind w:firstLine="480" w:firstLineChars="200"/>
        <w:outlineLvl w:val="9"/>
        <w:rPr>
          <w:rFonts w:hint="eastAsia" w:ascii="宋体" w:hAnsi="宋体" w:eastAsia="宋体" w:cs="宋体"/>
          <w:sz w:val="24"/>
          <w:szCs w:val="21"/>
        </w:rPr>
      </w:pPr>
      <w:r>
        <w:rPr>
          <w:rFonts w:hint="eastAsia" w:ascii="宋体" w:hAnsi="宋体" w:eastAsia="宋体" w:cs="宋体"/>
          <w:sz w:val="24"/>
          <w:szCs w:val="21"/>
        </w:rPr>
        <w:t>1.供应商如不提供此声明函，价格将不做相应扣除。</w:t>
      </w:r>
    </w:p>
    <w:p w14:paraId="3DF1E3AA">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2.成交供应商为残疾人福利性单位的，此声明函将随成交结果同时公告，接受社会监督。</w:t>
      </w:r>
    </w:p>
    <w:p w14:paraId="1E24D455">
      <w:pPr>
        <w:rPr>
          <w:rFonts w:hint="eastAsia" w:ascii="宋体" w:hAnsi="宋体" w:eastAsia="宋体" w:cs="宋体"/>
          <w:sz w:val="24"/>
          <w:szCs w:val="22"/>
        </w:rPr>
      </w:pPr>
    </w:p>
    <w:p w14:paraId="0624EBEE">
      <w:pPr>
        <w:pStyle w:val="20"/>
        <w:rPr>
          <w:rFonts w:hint="eastAsia" w:ascii="宋体" w:hAnsi="宋体" w:eastAsia="宋体" w:cs="宋体"/>
          <w:sz w:val="24"/>
          <w:szCs w:val="22"/>
        </w:rPr>
      </w:pPr>
    </w:p>
    <w:p w14:paraId="69281417">
      <w:pPr>
        <w:pStyle w:val="20"/>
        <w:ind w:left="0" w:leftChars="0" w:firstLine="0" w:firstLineChars="0"/>
        <w:rPr>
          <w:rFonts w:hint="eastAsia" w:ascii="宋体" w:hAnsi="宋体" w:eastAsia="宋体" w:cs="宋体"/>
          <w:sz w:val="24"/>
          <w:szCs w:val="22"/>
        </w:rPr>
      </w:pPr>
    </w:p>
    <w:bookmarkEnd w:id="178"/>
    <w:bookmarkEnd w:id="179"/>
    <w:bookmarkEnd w:id="180"/>
    <w:bookmarkEnd w:id="181"/>
    <w:bookmarkEnd w:id="182"/>
    <w:p w14:paraId="16788F6D">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rPr>
      </w:pPr>
      <w:r>
        <w:rPr>
          <w:rFonts w:hint="eastAsia" w:ascii="宋体" w:hAnsi="宋体" w:cs="宋体"/>
          <w:snapToGrid w:val="0"/>
          <w:color w:val="000000"/>
          <w:kern w:val="0"/>
          <w:lang w:val="en-US" w:eastAsia="zh-CN"/>
        </w:rPr>
        <w:t>十一、</w:t>
      </w:r>
      <w:r>
        <w:rPr>
          <w:rFonts w:hint="eastAsia" w:ascii="宋体" w:hAnsi="宋体" w:eastAsia="宋体" w:cs="宋体"/>
          <w:snapToGrid w:val="0"/>
          <w:color w:val="000000"/>
          <w:kern w:val="0"/>
          <w:lang w:eastAsia="zh-CN"/>
        </w:rPr>
        <w:t>方案与承诺（格式自拟</w:t>
      </w:r>
      <w:r>
        <w:rPr>
          <w:rFonts w:hint="eastAsia" w:ascii="宋体" w:hAnsi="宋体" w:cs="宋体"/>
          <w:snapToGrid w:val="0"/>
          <w:color w:val="000000"/>
          <w:kern w:val="0"/>
          <w:lang w:eastAsia="zh-CN"/>
        </w:rPr>
        <w:t>，</w:t>
      </w:r>
      <w:r>
        <w:rPr>
          <w:rFonts w:hint="eastAsia" w:ascii="宋体" w:hAnsi="宋体" w:eastAsia="宋体" w:cs="宋体"/>
          <w:snapToGrid w:val="0"/>
          <w:color w:val="000000"/>
          <w:kern w:val="0"/>
          <w:lang w:val="en-US" w:eastAsia="zh-CN"/>
        </w:rPr>
        <w:t>加盖电子公章</w:t>
      </w:r>
      <w:r>
        <w:rPr>
          <w:rFonts w:hint="eastAsia" w:ascii="宋体" w:hAnsi="宋体" w:eastAsia="宋体" w:cs="宋体"/>
          <w:snapToGrid w:val="0"/>
          <w:color w:val="000000"/>
          <w:kern w:val="0"/>
          <w:lang w:eastAsia="zh-CN"/>
        </w:rPr>
        <w:t>）</w:t>
      </w:r>
    </w:p>
    <w:p w14:paraId="666D78D7">
      <w:pPr>
        <w:rPr>
          <w:rFonts w:hint="eastAsia"/>
          <w:lang w:eastAsia="zh-CN"/>
        </w:rPr>
      </w:pPr>
    </w:p>
    <w:p w14:paraId="77CBDDE2">
      <w:pPr>
        <w:rPr>
          <w:rFonts w:hint="eastAsia"/>
          <w:lang w:eastAsia="zh-CN"/>
        </w:rPr>
      </w:pPr>
    </w:p>
    <w:p w14:paraId="56074118">
      <w:pPr>
        <w:rPr>
          <w:rFonts w:hint="eastAsia"/>
          <w:lang w:eastAsia="zh-CN"/>
        </w:rPr>
      </w:pPr>
    </w:p>
    <w:p w14:paraId="1BAE13F8">
      <w:pPr>
        <w:rPr>
          <w:rFonts w:hint="eastAsia"/>
          <w:lang w:eastAsia="zh-CN"/>
        </w:rPr>
      </w:pPr>
    </w:p>
    <w:p w14:paraId="3C9B19D7">
      <w:pPr>
        <w:rPr>
          <w:rFonts w:hint="eastAsia"/>
          <w:lang w:eastAsia="zh-CN"/>
        </w:rPr>
      </w:pPr>
    </w:p>
    <w:p w14:paraId="70B9BF51">
      <w:pPr>
        <w:rPr>
          <w:rFonts w:hint="eastAsia"/>
          <w:lang w:eastAsia="zh-CN"/>
        </w:rPr>
      </w:pPr>
    </w:p>
    <w:p w14:paraId="77A618DE">
      <w:pPr>
        <w:rPr>
          <w:rFonts w:hint="eastAsia"/>
          <w:lang w:eastAsia="zh-CN"/>
        </w:rPr>
      </w:pPr>
    </w:p>
    <w:p w14:paraId="77CCC767">
      <w:pPr>
        <w:rPr>
          <w:rFonts w:hint="eastAsia"/>
          <w:lang w:eastAsia="zh-CN"/>
        </w:rPr>
      </w:pPr>
    </w:p>
    <w:p w14:paraId="14951B1D">
      <w:pPr>
        <w:rPr>
          <w:rFonts w:hint="eastAsia"/>
          <w:lang w:eastAsia="zh-CN"/>
        </w:rPr>
      </w:pPr>
    </w:p>
    <w:p w14:paraId="1A5C68B0">
      <w:pPr>
        <w:rPr>
          <w:rFonts w:hint="eastAsia"/>
          <w:lang w:eastAsia="zh-CN"/>
        </w:rPr>
      </w:pPr>
    </w:p>
    <w:p w14:paraId="08FC1C7D">
      <w:pPr>
        <w:rPr>
          <w:rFonts w:hint="eastAsia"/>
          <w:lang w:eastAsia="zh-CN"/>
        </w:rPr>
      </w:pPr>
    </w:p>
    <w:p w14:paraId="255D36E2">
      <w:pPr>
        <w:rPr>
          <w:rFonts w:hint="eastAsia"/>
          <w:lang w:eastAsia="zh-CN"/>
        </w:rPr>
      </w:pPr>
    </w:p>
    <w:p w14:paraId="4B8B0D53">
      <w:pPr>
        <w:rPr>
          <w:rFonts w:hint="eastAsia"/>
          <w:lang w:eastAsia="zh-CN"/>
        </w:rPr>
      </w:pPr>
    </w:p>
    <w:p w14:paraId="5F4EB8ED">
      <w:pPr>
        <w:rPr>
          <w:rFonts w:hint="eastAsia"/>
          <w:lang w:eastAsia="zh-CN"/>
        </w:rPr>
      </w:pPr>
    </w:p>
    <w:p w14:paraId="28D944FC">
      <w:pPr>
        <w:rPr>
          <w:rFonts w:hint="eastAsia"/>
          <w:lang w:eastAsia="zh-CN"/>
        </w:rPr>
      </w:pPr>
    </w:p>
    <w:p w14:paraId="2F76C33B">
      <w:pPr>
        <w:rPr>
          <w:rFonts w:hint="eastAsia"/>
          <w:lang w:eastAsia="zh-CN"/>
        </w:rPr>
      </w:pPr>
    </w:p>
    <w:p w14:paraId="14124C67">
      <w:pPr>
        <w:rPr>
          <w:rFonts w:hint="eastAsia"/>
          <w:lang w:eastAsia="zh-CN"/>
        </w:rPr>
      </w:pPr>
    </w:p>
    <w:p w14:paraId="64824B07">
      <w:pPr>
        <w:rPr>
          <w:rFonts w:hint="eastAsia"/>
          <w:lang w:eastAsia="zh-CN"/>
        </w:rPr>
      </w:pPr>
    </w:p>
    <w:p w14:paraId="07CE5A28">
      <w:pPr>
        <w:rPr>
          <w:rFonts w:hint="eastAsia"/>
          <w:lang w:eastAsia="zh-CN"/>
        </w:rPr>
      </w:pPr>
    </w:p>
    <w:p w14:paraId="74F135CB">
      <w:pPr>
        <w:rPr>
          <w:rFonts w:hint="eastAsia"/>
          <w:lang w:eastAsia="zh-CN"/>
        </w:rPr>
      </w:pPr>
    </w:p>
    <w:p w14:paraId="0DBECF76">
      <w:pPr>
        <w:rPr>
          <w:rFonts w:hint="eastAsia"/>
          <w:lang w:eastAsia="zh-CN"/>
        </w:rPr>
      </w:pPr>
    </w:p>
    <w:p w14:paraId="2AB0BA59">
      <w:pPr>
        <w:rPr>
          <w:rFonts w:hint="eastAsia"/>
          <w:lang w:eastAsia="zh-CN"/>
        </w:rPr>
      </w:pPr>
    </w:p>
    <w:p w14:paraId="7F8C0D79">
      <w:pPr>
        <w:rPr>
          <w:rFonts w:hint="eastAsia"/>
          <w:lang w:eastAsia="zh-CN"/>
        </w:rPr>
      </w:pPr>
    </w:p>
    <w:p w14:paraId="216EA48E">
      <w:pPr>
        <w:rPr>
          <w:rFonts w:hint="eastAsia"/>
          <w:lang w:eastAsia="zh-CN"/>
        </w:rPr>
      </w:pPr>
    </w:p>
    <w:p w14:paraId="549D1AF3">
      <w:pPr>
        <w:rPr>
          <w:rFonts w:hint="eastAsia"/>
          <w:lang w:eastAsia="zh-CN"/>
        </w:rPr>
      </w:pPr>
    </w:p>
    <w:p w14:paraId="13DA9C46">
      <w:pPr>
        <w:pStyle w:val="30"/>
        <w:keepNext w:val="0"/>
        <w:keepLines w:val="0"/>
        <w:pageBreakBefore/>
        <w:widowControl/>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snapToGrid w:val="0"/>
          <w:color w:val="000000"/>
          <w:kern w:val="0"/>
          <w:lang w:eastAsia="zh-CN"/>
        </w:rPr>
      </w:pPr>
      <w:r>
        <w:rPr>
          <w:rFonts w:hint="eastAsia" w:ascii="宋体" w:hAnsi="宋体" w:cs="宋体"/>
          <w:snapToGrid w:val="0"/>
          <w:color w:val="000000"/>
          <w:kern w:val="0"/>
          <w:lang w:val="en-US" w:eastAsia="zh-CN"/>
        </w:rPr>
        <w:t>十二、</w:t>
      </w:r>
      <w:r>
        <w:rPr>
          <w:rFonts w:hint="eastAsia" w:ascii="宋体" w:hAnsi="宋体" w:eastAsia="宋体" w:cs="宋体"/>
          <w:snapToGrid w:val="0"/>
          <w:color w:val="000000"/>
          <w:kern w:val="0"/>
          <w:lang w:eastAsia="zh-CN"/>
        </w:rPr>
        <w:t>其他（如有</w:t>
      </w:r>
      <w:r>
        <w:rPr>
          <w:rFonts w:hint="eastAsia" w:ascii="宋体" w:hAnsi="宋体" w:cs="宋体"/>
          <w:snapToGrid w:val="0"/>
          <w:color w:val="000000"/>
          <w:kern w:val="0"/>
          <w:lang w:eastAsia="zh-CN"/>
        </w:rPr>
        <w:t>，</w:t>
      </w:r>
      <w:r>
        <w:rPr>
          <w:rFonts w:hint="eastAsia" w:ascii="宋体" w:hAnsi="宋体" w:eastAsia="宋体" w:cs="宋体"/>
          <w:snapToGrid w:val="0"/>
          <w:color w:val="000000"/>
          <w:kern w:val="0"/>
          <w:lang w:val="en-US" w:eastAsia="zh-CN"/>
        </w:rPr>
        <w:t>加盖电子公章</w:t>
      </w:r>
      <w:r>
        <w:rPr>
          <w:rFonts w:hint="eastAsia" w:ascii="宋体" w:hAnsi="宋体" w:eastAsia="宋体" w:cs="宋体"/>
          <w:snapToGrid w:val="0"/>
          <w:color w:val="000000"/>
          <w:kern w:val="0"/>
          <w:lang w:eastAsia="zh-CN"/>
        </w:rPr>
        <w:t>）</w:t>
      </w:r>
    </w:p>
    <w:bookmarkEnd w:id="153"/>
    <w:bookmarkEnd w:id="154"/>
    <w:p w14:paraId="53D70D42">
      <w:pPr>
        <w:pStyle w:val="20"/>
        <w:ind w:left="0" w:leftChars="0" w:firstLine="0" w:firstLineChars="0"/>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183" w:name="_Toc4301"/>
      <w:bookmarkStart w:id="184" w:name="_Toc19567"/>
      <w:bookmarkStart w:id="185" w:name="_Toc17017"/>
    </w:p>
    <w:bookmarkEnd w:id="183"/>
    <w:bookmarkEnd w:id="184"/>
    <w:bookmarkEnd w:id="185"/>
    <w:p w14:paraId="387703BC">
      <w:pPr>
        <w:rPr>
          <w:rFonts w:hint="eastAsia" w:asciiTheme="minorEastAsia" w:hAnsiTheme="minorEastAsia" w:eastAsiaTheme="minorEastAsia" w:cstheme="minorEastAsia"/>
        </w:rPr>
      </w:pPr>
    </w:p>
    <w:p w14:paraId="1E22324A">
      <w:pPr>
        <w:rPr>
          <w:rFonts w:hint="eastAsia" w:asciiTheme="minorEastAsia" w:hAnsiTheme="minorEastAsia" w:eastAsiaTheme="minorEastAsia" w:cstheme="minorEastAsia"/>
        </w:rPr>
      </w:pPr>
    </w:p>
    <w:p w14:paraId="1DE3E414">
      <w:pPr>
        <w:spacing w:line="588" w:lineRule="exact"/>
        <w:ind w:right="1560" w:firstLine="420" w:firstLineChars="200"/>
        <w:jc w:val="center"/>
        <w:textAlignment w:val="baseline"/>
        <w:rPr>
          <w:rFonts w:ascii="仿宋" w:hAnsi="仿宋" w:eastAsia="仿宋" w:cs="仿宋"/>
        </w:rPr>
      </w:pPr>
    </w:p>
    <w:sectPr>
      <w:headerReference r:id="rId12" w:type="default"/>
      <w:footerReference r:id="rId13" w:type="default"/>
      <w:pgSz w:w="11906" w:h="16838"/>
      <w:pgMar w:top="1440" w:right="1080" w:bottom="1440" w:left="1080" w:header="851" w:footer="992" w:gutter="0"/>
      <w:cols w:space="0" w:num="1"/>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A34EB">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D93C2">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1F2B">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4E28E">
    <w:pPr>
      <w:pStyle w:val="13"/>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0AC72">
    <w:pPr>
      <w:pStyle w:val="13"/>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0FB57">
                          <w:pPr>
                            <w:pStyle w:val="13"/>
                            <w:ind w:firstLine="36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840FB57">
                    <w:pPr>
                      <w:pStyle w:val="13"/>
                      <w:ind w:firstLine="36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6DF6D">
    <w:pPr>
      <w:pStyle w:val="14"/>
      <w:pBdr>
        <w:bottom w:val="single" w:color="auto" w:sz="4" w:space="1"/>
      </w:pBdr>
      <w:spacing w:line="240" w:lineRule="atLeast"/>
      <w:ind w:firstLine="0" w:firstLineChars="0"/>
      <w:jc w:val="both"/>
      <w:rPr>
        <w:rFonts w:ascii="楷体" w:hAnsi="楷体" w:eastAsia="楷体" w:cs="楷体"/>
      </w:rPr>
    </w:pPr>
  </w:p>
  <w:p w14:paraId="4DF612FB">
    <w:pPr>
      <w:pStyle w:val="14"/>
      <w:pBdr>
        <w:bottom w:val="single" w:color="auto" w:sz="4" w:space="1"/>
      </w:pBdr>
      <w:spacing w:line="240" w:lineRule="atLeast"/>
      <w:ind w:firstLine="0" w:firstLineChars="0"/>
      <w:jc w:val="both"/>
      <w:rPr>
        <w:rFonts w:ascii="楷体" w:hAnsi="楷体" w:eastAsia="仿宋" w:cs="楷体"/>
      </w:rPr>
    </w:pPr>
    <w:r>
      <w:rPr>
        <w:rFonts w:hint="eastAsia" w:ascii="仿宋" w:hAnsi="仿宋" w:eastAsia="仿宋" w:cs="仿宋"/>
        <w:lang w:eastAsia="zh-CN"/>
      </w:rPr>
      <w:t>JSZC-320000-ZCZB-C2026-0003</w:t>
    </w:r>
    <w:r>
      <w:rPr>
        <w:rFonts w:hint="eastAsia" w:ascii="仿宋" w:hAnsi="仿宋" w:eastAsia="仿宋" w:cs="仿宋"/>
      </w:rPr>
      <w:t xml:space="preserve">                                                        江苏臻采招标代理有限公司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22D1">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B7E06">
    <w:pPr>
      <w:pStyle w:val="14"/>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36468">
    <w:pPr>
      <w:pStyle w:val="14"/>
      <w:pBdr>
        <w:bottom w:val="single" w:color="auto" w:sz="4" w:space="1"/>
      </w:pBdr>
      <w:spacing w:line="240" w:lineRule="auto"/>
      <w:ind w:firstLine="0" w:firstLineChars="0"/>
      <w:rPr>
        <w:rFonts w:ascii="仿宋" w:hAnsi="仿宋" w:eastAsia="仿宋" w:cs="仿宋"/>
      </w:rPr>
    </w:pPr>
    <w:r>
      <w:rPr>
        <w:rFonts w:hint="eastAsia" w:ascii="仿宋" w:hAnsi="仿宋" w:eastAsia="仿宋" w:cs="仿宋"/>
        <w:lang w:eastAsia="zh-CN"/>
      </w:rPr>
      <w:t>JSZC-320000-ZCZB-C2026-0003</w:t>
    </w:r>
    <w:r>
      <w:rPr>
        <w:rFonts w:hint="eastAsia" w:ascii="仿宋" w:hAnsi="仿宋" w:eastAsia="仿宋" w:cs="仿宋"/>
      </w:rPr>
      <w:t xml:space="preserve">                                                         江苏臻采招标代理有限公司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E75315"/>
    <w:multiLevelType w:val="singleLevel"/>
    <w:tmpl w:val="B6E75315"/>
    <w:lvl w:ilvl="0" w:tentative="0">
      <w:start w:val="1"/>
      <w:numFmt w:val="chineseCounting"/>
      <w:suff w:val="nothing"/>
      <w:lvlText w:val="%1、"/>
      <w:lvlJc w:val="left"/>
      <w:rPr>
        <w:rFonts w:hint="eastAsia"/>
      </w:rPr>
    </w:lvl>
  </w:abstractNum>
  <w:abstractNum w:abstractNumId="1">
    <w:nsid w:val="00000004"/>
    <w:multiLevelType w:val="singleLevel"/>
    <w:tmpl w:val="00000004"/>
    <w:lvl w:ilvl="0" w:tentative="0">
      <w:start w:val="2"/>
      <w:numFmt w:val="chineseCounting"/>
      <w:suff w:val="nothing"/>
      <w:lvlText w:val="%1、"/>
      <w:lvlJc w:val="left"/>
      <w:rPr>
        <w:rFonts w:hint="eastAsia"/>
      </w:rPr>
    </w:lvl>
  </w:abstractNum>
  <w:abstractNum w:abstractNumId="2">
    <w:nsid w:val="00000007"/>
    <w:multiLevelType w:val="multilevel"/>
    <w:tmpl w:val="00000007"/>
    <w:lvl w:ilvl="0" w:tentative="0">
      <w:start w:val="1"/>
      <w:numFmt w:val="decimal"/>
      <w:pStyle w:val="3"/>
      <w:suff w:val="nothing"/>
      <w:lvlText w:val="第 %1 部分 "/>
      <w:lvlJc w:val="left"/>
      <w:rPr>
        <w:rFonts w:hint="eastAsia" w:ascii="黑体" w:hAnsi="宋体" w:eastAsia="黑体"/>
        <w:b/>
        <w:bCs/>
        <w:i w:val="0"/>
        <w:iCs w:val="0"/>
        <w:caps w:val="0"/>
        <w:smallCaps w:val="0"/>
        <w:spacing w:val="0"/>
        <w:position w:val="0"/>
        <w:u w:val="none"/>
        <w:vertAlign w:val="baseline"/>
      </w:rPr>
    </w:lvl>
    <w:lvl w:ilvl="1" w:tentative="0">
      <w:start w:val="1"/>
      <w:numFmt w:val="decimal"/>
      <w:pStyle w:val="4"/>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3">
    <w:nsid w:val="142805F7"/>
    <w:multiLevelType w:val="multilevel"/>
    <w:tmpl w:val="142805F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19FE50CF"/>
    <w:multiLevelType w:val="multilevel"/>
    <w:tmpl w:val="19FE50CF"/>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391513FC"/>
    <w:multiLevelType w:val="multilevel"/>
    <w:tmpl w:val="391513FC"/>
    <w:lvl w:ilvl="0" w:tentative="0">
      <w:start w:val="1"/>
      <w:numFmt w:val="decimal"/>
      <w:lvlText w:val="%1)"/>
      <w:lvlJc w:val="left"/>
      <w:pPr>
        <w:ind w:left="1531" w:hanging="420"/>
      </w:pPr>
    </w:lvl>
    <w:lvl w:ilvl="1" w:tentative="0">
      <w:start w:val="1"/>
      <w:numFmt w:val="lowerLetter"/>
      <w:lvlText w:val="%2)"/>
      <w:lvlJc w:val="left"/>
      <w:pPr>
        <w:ind w:left="1951" w:hanging="420"/>
      </w:pPr>
    </w:lvl>
    <w:lvl w:ilvl="2" w:tentative="0">
      <w:start w:val="1"/>
      <w:numFmt w:val="lowerRoman"/>
      <w:lvlText w:val="%3."/>
      <w:lvlJc w:val="right"/>
      <w:pPr>
        <w:ind w:left="2371" w:hanging="420"/>
      </w:pPr>
    </w:lvl>
    <w:lvl w:ilvl="3" w:tentative="0">
      <w:start w:val="1"/>
      <w:numFmt w:val="decimal"/>
      <w:lvlText w:val="%4."/>
      <w:lvlJc w:val="left"/>
      <w:pPr>
        <w:ind w:left="2791" w:hanging="420"/>
      </w:pPr>
    </w:lvl>
    <w:lvl w:ilvl="4" w:tentative="0">
      <w:start w:val="1"/>
      <w:numFmt w:val="lowerLetter"/>
      <w:lvlText w:val="%5)"/>
      <w:lvlJc w:val="left"/>
      <w:pPr>
        <w:ind w:left="3211" w:hanging="420"/>
      </w:pPr>
    </w:lvl>
    <w:lvl w:ilvl="5" w:tentative="0">
      <w:start w:val="1"/>
      <w:numFmt w:val="lowerRoman"/>
      <w:lvlText w:val="%6."/>
      <w:lvlJc w:val="right"/>
      <w:pPr>
        <w:ind w:left="3631" w:hanging="420"/>
      </w:pPr>
    </w:lvl>
    <w:lvl w:ilvl="6" w:tentative="0">
      <w:start w:val="1"/>
      <w:numFmt w:val="decimal"/>
      <w:lvlText w:val="%7."/>
      <w:lvlJc w:val="left"/>
      <w:pPr>
        <w:ind w:left="4051" w:hanging="420"/>
      </w:pPr>
    </w:lvl>
    <w:lvl w:ilvl="7" w:tentative="0">
      <w:start w:val="1"/>
      <w:numFmt w:val="lowerLetter"/>
      <w:lvlText w:val="%8)"/>
      <w:lvlJc w:val="left"/>
      <w:pPr>
        <w:ind w:left="4471" w:hanging="420"/>
      </w:pPr>
    </w:lvl>
    <w:lvl w:ilvl="8" w:tentative="0">
      <w:start w:val="1"/>
      <w:numFmt w:val="lowerRoman"/>
      <w:lvlText w:val="%9."/>
      <w:lvlJc w:val="right"/>
      <w:pPr>
        <w:ind w:left="4891" w:hanging="420"/>
      </w:pPr>
    </w:lvl>
  </w:abstractNum>
  <w:abstractNum w:abstractNumId="6">
    <w:nsid w:val="3D6FA580"/>
    <w:multiLevelType w:val="singleLevel"/>
    <w:tmpl w:val="3D6FA580"/>
    <w:lvl w:ilvl="0" w:tentative="0">
      <w:start w:val="6"/>
      <w:numFmt w:val="chineseCounting"/>
      <w:suff w:val="nothing"/>
      <w:lvlText w:val="%1、"/>
      <w:lvlJc w:val="left"/>
      <w:rPr>
        <w:rFonts w:hint="eastAsia"/>
      </w:rPr>
    </w:lvl>
  </w:abstractNum>
  <w:abstractNum w:abstractNumId="7">
    <w:nsid w:val="3F22B744"/>
    <w:multiLevelType w:val="singleLevel"/>
    <w:tmpl w:val="3F22B744"/>
    <w:lvl w:ilvl="0" w:tentative="0">
      <w:start w:val="1"/>
      <w:numFmt w:val="chineseCounting"/>
      <w:suff w:val="nothing"/>
      <w:lvlText w:val="%1、"/>
      <w:lvlJc w:val="left"/>
      <w:pPr>
        <w:ind w:left="0" w:firstLine="420"/>
      </w:pPr>
      <w:rPr>
        <w:rFonts w:hint="eastAsia"/>
      </w:rPr>
    </w:lvl>
  </w:abstractNum>
  <w:abstractNum w:abstractNumId="8">
    <w:nsid w:val="51B42B1C"/>
    <w:multiLevelType w:val="multilevel"/>
    <w:tmpl w:val="51B42B1C"/>
    <w:lvl w:ilvl="0" w:tentative="0">
      <w:start w:val="1"/>
      <w:numFmt w:val="decimal"/>
      <w:lvlText w:val="%1)"/>
      <w:lvlJc w:val="left"/>
      <w:pPr>
        <w:ind w:left="1110" w:hanging="420"/>
      </w:pPr>
    </w:lvl>
    <w:lvl w:ilvl="1" w:tentative="0">
      <w:start w:val="1"/>
      <w:numFmt w:val="lowerLetter"/>
      <w:lvlText w:val="%2)"/>
      <w:lvlJc w:val="left"/>
      <w:pPr>
        <w:ind w:left="1530" w:hanging="420"/>
      </w:pPr>
    </w:lvl>
    <w:lvl w:ilvl="2" w:tentative="0">
      <w:start w:val="1"/>
      <w:numFmt w:val="lowerRoman"/>
      <w:lvlText w:val="%3."/>
      <w:lvlJc w:val="right"/>
      <w:pPr>
        <w:ind w:left="1950" w:hanging="420"/>
      </w:pPr>
    </w:lvl>
    <w:lvl w:ilvl="3" w:tentative="0">
      <w:start w:val="1"/>
      <w:numFmt w:val="decimal"/>
      <w:lvlText w:val="%4."/>
      <w:lvlJc w:val="left"/>
      <w:pPr>
        <w:ind w:left="2370" w:hanging="420"/>
      </w:pPr>
    </w:lvl>
    <w:lvl w:ilvl="4" w:tentative="0">
      <w:start w:val="1"/>
      <w:numFmt w:val="lowerLetter"/>
      <w:lvlText w:val="%5)"/>
      <w:lvlJc w:val="left"/>
      <w:pPr>
        <w:ind w:left="2790" w:hanging="420"/>
      </w:pPr>
    </w:lvl>
    <w:lvl w:ilvl="5" w:tentative="0">
      <w:start w:val="1"/>
      <w:numFmt w:val="lowerRoman"/>
      <w:lvlText w:val="%6."/>
      <w:lvlJc w:val="right"/>
      <w:pPr>
        <w:ind w:left="3210" w:hanging="420"/>
      </w:pPr>
    </w:lvl>
    <w:lvl w:ilvl="6" w:tentative="0">
      <w:start w:val="1"/>
      <w:numFmt w:val="decimal"/>
      <w:lvlText w:val="%7."/>
      <w:lvlJc w:val="left"/>
      <w:pPr>
        <w:ind w:left="3630" w:hanging="420"/>
      </w:pPr>
    </w:lvl>
    <w:lvl w:ilvl="7" w:tentative="0">
      <w:start w:val="1"/>
      <w:numFmt w:val="lowerLetter"/>
      <w:lvlText w:val="%8)"/>
      <w:lvlJc w:val="left"/>
      <w:pPr>
        <w:ind w:left="4050" w:hanging="420"/>
      </w:pPr>
    </w:lvl>
    <w:lvl w:ilvl="8" w:tentative="0">
      <w:start w:val="1"/>
      <w:numFmt w:val="lowerRoman"/>
      <w:lvlText w:val="%9."/>
      <w:lvlJc w:val="right"/>
      <w:pPr>
        <w:ind w:left="4470" w:hanging="420"/>
      </w:pPr>
    </w:lvl>
  </w:abstractNum>
  <w:abstractNum w:abstractNumId="9">
    <w:nsid w:val="54C96531"/>
    <w:multiLevelType w:val="multilevel"/>
    <w:tmpl w:val="54C96531"/>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555D1F04"/>
    <w:multiLevelType w:val="multilevel"/>
    <w:tmpl w:val="555D1F04"/>
    <w:lvl w:ilvl="0" w:tentative="0">
      <w:start w:val="1"/>
      <w:numFmt w:val="decimal"/>
      <w:lvlText w:val="%1)"/>
      <w:lvlJc w:val="left"/>
      <w:pPr>
        <w:ind w:left="1110" w:hanging="420"/>
      </w:pPr>
    </w:lvl>
    <w:lvl w:ilvl="1" w:tentative="0">
      <w:start w:val="1"/>
      <w:numFmt w:val="lowerLetter"/>
      <w:lvlText w:val="%2)"/>
      <w:lvlJc w:val="left"/>
      <w:pPr>
        <w:ind w:left="1530" w:hanging="420"/>
      </w:pPr>
    </w:lvl>
    <w:lvl w:ilvl="2" w:tentative="0">
      <w:start w:val="1"/>
      <w:numFmt w:val="lowerRoman"/>
      <w:lvlText w:val="%3."/>
      <w:lvlJc w:val="right"/>
      <w:pPr>
        <w:ind w:left="1950" w:hanging="420"/>
      </w:pPr>
    </w:lvl>
    <w:lvl w:ilvl="3" w:tentative="0">
      <w:start w:val="1"/>
      <w:numFmt w:val="decimal"/>
      <w:lvlText w:val="%4."/>
      <w:lvlJc w:val="left"/>
      <w:pPr>
        <w:ind w:left="2370" w:hanging="420"/>
      </w:pPr>
    </w:lvl>
    <w:lvl w:ilvl="4" w:tentative="0">
      <w:start w:val="1"/>
      <w:numFmt w:val="lowerLetter"/>
      <w:lvlText w:val="%5)"/>
      <w:lvlJc w:val="left"/>
      <w:pPr>
        <w:ind w:left="2790" w:hanging="420"/>
      </w:pPr>
    </w:lvl>
    <w:lvl w:ilvl="5" w:tentative="0">
      <w:start w:val="1"/>
      <w:numFmt w:val="lowerRoman"/>
      <w:lvlText w:val="%6."/>
      <w:lvlJc w:val="right"/>
      <w:pPr>
        <w:ind w:left="3210" w:hanging="420"/>
      </w:pPr>
    </w:lvl>
    <w:lvl w:ilvl="6" w:tentative="0">
      <w:start w:val="1"/>
      <w:numFmt w:val="decimal"/>
      <w:lvlText w:val="%7."/>
      <w:lvlJc w:val="left"/>
      <w:pPr>
        <w:ind w:left="3630" w:hanging="420"/>
      </w:pPr>
    </w:lvl>
    <w:lvl w:ilvl="7" w:tentative="0">
      <w:start w:val="1"/>
      <w:numFmt w:val="lowerLetter"/>
      <w:lvlText w:val="%8)"/>
      <w:lvlJc w:val="left"/>
      <w:pPr>
        <w:ind w:left="4050" w:hanging="420"/>
      </w:pPr>
    </w:lvl>
    <w:lvl w:ilvl="8" w:tentative="0">
      <w:start w:val="1"/>
      <w:numFmt w:val="lowerRoman"/>
      <w:lvlText w:val="%9."/>
      <w:lvlJc w:val="right"/>
      <w:pPr>
        <w:ind w:left="4470" w:hanging="420"/>
      </w:pPr>
    </w:lvl>
  </w:abstractNum>
  <w:num w:numId="1">
    <w:abstractNumId w:val="2"/>
  </w:num>
  <w:num w:numId="2">
    <w:abstractNumId w:val="0"/>
  </w:num>
  <w:num w:numId="3">
    <w:abstractNumId w:val="6"/>
  </w:num>
  <w:num w:numId="4">
    <w:abstractNumId w:val="7"/>
  </w:num>
  <w:num w:numId="5">
    <w:abstractNumId w:val="10"/>
  </w:num>
  <w:num w:numId="6">
    <w:abstractNumId w:val="8"/>
  </w:num>
  <w:num w:numId="7">
    <w:abstractNumId w:val="9"/>
  </w:num>
  <w:num w:numId="8">
    <w:abstractNumId w:val="4"/>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9"/>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yZGEyN2E4MTBjZDZiMWI1NmFkNGQyMmRmMDFhYjAifQ=="/>
  </w:docVars>
  <w:rsids>
    <w:rsidRoot w:val="764500C9"/>
    <w:rsid w:val="0002227D"/>
    <w:rsid w:val="000374E4"/>
    <w:rsid w:val="00063B20"/>
    <w:rsid w:val="000B3560"/>
    <w:rsid w:val="001D68FF"/>
    <w:rsid w:val="00207EDD"/>
    <w:rsid w:val="002D427D"/>
    <w:rsid w:val="002E27AE"/>
    <w:rsid w:val="00332F62"/>
    <w:rsid w:val="003B4F7F"/>
    <w:rsid w:val="003E2A51"/>
    <w:rsid w:val="004153B9"/>
    <w:rsid w:val="004452CA"/>
    <w:rsid w:val="00515A0D"/>
    <w:rsid w:val="00545DD0"/>
    <w:rsid w:val="00576837"/>
    <w:rsid w:val="005B5939"/>
    <w:rsid w:val="005C0075"/>
    <w:rsid w:val="005E22CE"/>
    <w:rsid w:val="00630F5A"/>
    <w:rsid w:val="0063797F"/>
    <w:rsid w:val="00641E35"/>
    <w:rsid w:val="00655082"/>
    <w:rsid w:val="006905B7"/>
    <w:rsid w:val="00697268"/>
    <w:rsid w:val="00712BDA"/>
    <w:rsid w:val="00777A46"/>
    <w:rsid w:val="007F389A"/>
    <w:rsid w:val="00826CC5"/>
    <w:rsid w:val="00884617"/>
    <w:rsid w:val="008E1986"/>
    <w:rsid w:val="009169A2"/>
    <w:rsid w:val="00921C94"/>
    <w:rsid w:val="0095677F"/>
    <w:rsid w:val="0097350A"/>
    <w:rsid w:val="009909EA"/>
    <w:rsid w:val="00A33FA6"/>
    <w:rsid w:val="00AF64AB"/>
    <w:rsid w:val="00B208DD"/>
    <w:rsid w:val="00B23003"/>
    <w:rsid w:val="00B61DA3"/>
    <w:rsid w:val="00B806C4"/>
    <w:rsid w:val="00C011BF"/>
    <w:rsid w:val="00C03B25"/>
    <w:rsid w:val="00C14B91"/>
    <w:rsid w:val="00C23B4A"/>
    <w:rsid w:val="00CF6A74"/>
    <w:rsid w:val="00D36B92"/>
    <w:rsid w:val="00D57FF1"/>
    <w:rsid w:val="00DC1D8B"/>
    <w:rsid w:val="00DD6E15"/>
    <w:rsid w:val="00E056ED"/>
    <w:rsid w:val="00E9110D"/>
    <w:rsid w:val="00EC3478"/>
    <w:rsid w:val="00EC57D5"/>
    <w:rsid w:val="00F27D08"/>
    <w:rsid w:val="00F30870"/>
    <w:rsid w:val="01626374"/>
    <w:rsid w:val="018502B5"/>
    <w:rsid w:val="019422A6"/>
    <w:rsid w:val="01A06E9D"/>
    <w:rsid w:val="020E3ABD"/>
    <w:rsid w:val="0210222A"/>
    <w:rsid w:val="026D2DA0"/>
    <w:rsid w:val="028A1957"/>
    <w:rsid w:val="032A279F"/>
    <w:rsid w:val="037B196F"/>
    <w:rsid w:val="03C73C40"/>
    <w:rsid w:val="043B2EAD"/>
    <w:rsid w:val="047D0B51"/>
    <w:rsid w:val="04B30C95"/>
    <w:rsid w:val="04D22D00"/>
    <w:rsid w:val="04F217D9"/>
    <w:rsid w:val="052352B1"/>
    <w:rsid w:val="0534113D"/>
    <w:rsid w:val="053C6EDC"/>
    <w:rsid w:val="058218B8"/>
    <w:rsid w:val="058D549D"/>
    <w:rsid w:val="05D12528"/>
    <w:rsid w:val="05E645AA"/>
    <w:rsid w:val="0620067D"/>
    <w:rsid w:val="0659561B"/>
    <w:rsid w:val="066957A4"/>
    <w:rsid w:val="06700A8E"/>
    <w:rsid w:val="06C44870"/>
    <w:rsid w:val="06C45BA7"/>
    <w:rsid w:val="06C50E73"/>
    <w:rsid w:val="06D223A9"/>
    <w:rsid w:val="07325917"/>
    <w:rsid w:val="08690845"/>
    <w:rsid w:val="09C7388E"/>
    <w:rsid w:val="09E83B71"/>
    <w:rsid w:val="0A416F02"/>
    <w:rsid w:val="0A456833"/>
    <w:rsid w:val="0AB85257"/>
    <w:rsid w:val="0B1F2F4E"/>
    <w:rsid w:val="0B2674CC"/>
    <w:rsid w:val="0BFE4EEC"/>
    <w:rsid w:val="0C6557E4"/>
    <w:rsid w:val="0CE3778F"/>
    <w:rsid w:val="0D9602CC"/>
    <w:rsid w:val="0DA47D15"/>
    <w:rsid w:val="0E1032A1"/>
    <w:rsid w:val="0E1F1149"/>
    <w:rsid w:val="0E56100F"/>
    <w:rsid w:val="0E660B78"/>
    <w:rsid w:val="0E882FE5"/>
    <w:rsid w:val="0EA969AA"/>
    <w:rsid w:val="0EDE5518"/>
    <w:rsid w:val="0F072309"/>
    <w:rsid w:val="0F4415A9"/>
    <w:rsid w:val="0F443720"/>
    <w:rsid w:val="0F8A741A"/>
    <w:rsid w:val="0F9B1E29"/>
    <w:rsid w:val="10000F3D"/>
    <w:rsid w:val="10404EC5"/>
    <w:rsid w:val="105370C7"/>
    <w:rsid w:val="105A46BB"/>
    <w:rsid w:val="10606175"/>
    <w:rsid w:val="11252F1A"/>
    <w:rsid w:val="11BE4AFF"/>
    <w:rsid w:val="125908D2"/>
    <w:rsid w:val="12BE7183"/>
    <w:rsid w:val="136F4921"/>
    <w:rsid w:val="137F2DB6"/>
    <w:rsid w:val="13C06F2A"/>
    <w:rsid w:val="13E72ADA"/>
    <w:rsid w:val="141334FE"/>
    <w:rsid w:val="141F09C2"/>
    <w:rsid w:val="14626706"/>
    <w:rsid w:val="14D42C8D"/>
    <w:rsid w:val="14D964F6"/>
    <w:rsid w:val="14DC5885"/>
    <w:rsid w:val="150C68CB"/>
    <w:rsid w:val="15277D36"/>
    <w:rsid w:val="152B1668"/>
    <w:rsid w:val="15C62573"/>
    <w:rsid w:val="15C94DE8"/>
    <w:rsid w:val="168F3A04"/>
    <w:rsid w:val="16A3500D"/>
    <w:rsid w:val="16C60CFC"/>
    <w:rsid w:val="16CF7BB0"/>
    <w:rsid w:val="16DE0D4E"/>
    <w:rsid w:val="16E11692"/>
    <w:rsid w:val="16F5513D"/>
    <w:rsid w:val="171C1C63"/>
    <w:rsid w:val="17383A9A"/>
    <w:rsid w:val="17473074"/>
    <w:rsid w:val="17B17D7F"/>
    <w:rsid w:val="17F378CF"/>
    <w:rsid w:val="17F63141"/>
    <w:rsid w:val="18A33B4C"/>
    <w:rsid w:val="18AD1DCB"/>
    <w:rsid w:val="18B21538"/>
    <w:rsid w:val="18BD7EDC"/>
    <w:rsid w:val="19186BCA"/>
    <w:rsid w:val="19406BEB"/>
    <w:rsid w:val="19F52027"/>
    <w:rsid w:val="1A563D75"/>
    <w:rsid w:val="1AC40CD3"/>
    <w:rsid w:val="1AFE6CB6"/>
    <w:rsid w:val="1B653C2B"/>
    <w:rsid w:val="1BE2234B"/>
    <w:rsid w:val="1C0B72B1"/>
    <w:rsid w:val="1C961170"/>
    <w:rsid w:val="1CB4699D"/>
    <w:rsid w:val="1CBE55B6"/>
    <w:rsid w:val="1CD86955"/>
    <w:rsid w:val="1D0D54B9"/>
    <w:rsid w:val="1D4B3D09"/>
    <w:rsid w:val="1DB268C5"/>
    <w:rsid w:val="1DBB6F17"/>
    <w:rsid w:val="1DF510EF"/>
    <w:rsid w:val="1E9A1D9F"/>
    <w:rsid w:val="1EDD33D4"/>
    <w:rsid w:val="1EEE0A06"/>
    <w:rsid w:val="1F444396"/>
    <w:rsid w:val="1F624061"/>
    <w:rsid w:val="1FB922B6"/>
    <w:rsid w:val="200E01D7"/>
    <w:rsid w:val="20375D57"/>
    <w:rsid w:val="20873494"/>
    <w:rsid w:val="20EE083E"/>
    <w:rsid w:val="211C0A4D"/>
    <w:rsid w:val="213A031C"/>
    <w:rsid w:val="21A015F5"/>
    <w:rsid w:val="22433284"/>
    <w:rsid w:val="22546672"/>
    <w:rsid w:val="225C679B"/>
    <w:rsid w:val="22644903"/>
    <w:rsid w:val="22832569"/>
    <w:rsid w:val="228A52D3"/>
    <w:rsid w:val="22A9157D"/>
    <w:rsid w:val="22D90B99"/>
    <w:rsid w:val="235B489E"/>
    <w:rsid w:val="23875946"/>
    <w:rsid w:val="23B11D5C"/>
    <w:rsid w:val="2412732E"/>
    <w:rsid w:val="242723CA"/>
    <w:rsid w:val="24C41C93"/>
    <w:rsid w:val="24DF75B7"/>
    <w:rsid w:val="24E24F53"/>
    <w:rsid w:val="25A11B95"/>
    <w:rsid w:val="25C1725E"/>
    <w:rsid w:val="25CB0DD3"/>
    <w:rsid w:val="262F1860"/>
    <w:rsid w:val="26422613"/>
    <w:rsid w:val="26A2565A"/>
    <w:rsid w:val="26D54ECD"/>
    <w:rsid w:val="26FC4342"/>
    <w:rsid w:val="27702CEA"/>
    <w:rsid w:val="27DF6F67"/>
    <w:rsid w:val="27E168C8"/>
    <w:rsid w:val="27F20CBB"/>
    <w:rsid w:val="281766AF"/>
    <w:rsid w:val="283D7CCB"/>
    <w:rsid w:val="28964FEA"/>
    <w:rsid w:val="28AE4351"/>
    <w:rsid w:val="28E6001E"/>
    <w:rsid w:val="28F35A83"/>
    <w:rsid w:val="29887DFD"/>
    <w:rsid w:val="2A415045"/>
    <w:rsid w:val="2A7A79DB"/>
    <w:rsid w:val="2B894A64"/>
    <w:rsid w:val="2BB601D7"/>
    <w:rsid w:val="2BD44BCD"/>
    <w:rsid w:val="2C422574"/>
    <w:rsid w:val="2C8121F8"/>
    <w:rsid w:val="2CA220C6"/>
    <w:rsid w:val="2CA927FA"/>
    <w:rsid w:val="2CE455E0"/>
    <w:rsid w:val="2CF02708"/>
    <w:rsid w:val="2D5460BA"/>
    <w:rsid w:val="2D5F02DC"/>
    <w:rsid w:val="2DB651CE"/>
    <w:rsid w:val="2DD22B23"/>
    <w:rsid w:val="2DE57862"/>
    <w:rsid w:val="2E1365C0"/>
    <w:rsid w:val="2E53502F"/>
    <w:rsid w:val="2E6463FD"/>
    <w:rsid w:val="2EDA6E9C"/>
    <w:rsid w:val="2FAF353A"/>
    <w:rsid w:val="2FFB056A"/>
    <w:rsid w:val="3004646E"/>
    <w:rsid w:val="306901F3"/>
    <w:rsid w:val="30A448A3"/>
    <w:rsid w:val="30B359F5"/>
    <w:rsid w:val="30B87426"/>
    <w:rsid w:val="30BE5A68"/>
    <w:rsid w:val="30DC589F"/>
    <w:rsid w:val="30FA610C"/>
    <w:rsid w:val="318D46C1"/>
    <w:rsid w:val="31A1597F"/>
    <w:rsid w:val="31E90E35"/>
    <w:rsid w:val="320C5940"/>
    <w:rsid w:val="320E382B"/>
    <w:rsid w:val="323A4620"/>
    <w:rsid w:val="3260395B"/>
    <w:rsid w:val="32E80292"/>
    <w:rsid w:val="3361163C"/>
    <w:rsid w:val="336946EC"/>
    <w:rsid w:val="337D232D"/>
    <w:rsid w:val="33A97DE9"/>
    <w:rsid w:val="33C00B55"/>
    <w:rsid w:val="340E6C8E"/>
    <w:rsid w:val="34724240"/>
    <w:rsid w:val="34C673D6"/>
    <w:rsid w:val="352B0250"/>
    <w:rsid w:val="3566572C"/>
    <w:rsid w:val="358B4481"/>
    <w:rsid w:val="35E148C1"/>
    <w:rsid w:val="36730100"/>
    <w:rsid w:val="370C5E5F"/>
    <w:rsid w:val="376778FC"/>
    <w:rsid w:val="37904CE2"/>
    <w:rsid w:val="379D3729"/>
    <w:rsid w:val="37B409D1"/>
    <w:rsid w:val="3836588A"/>
    <w:rsid w:val="388457C5"/>
    <w:rsid w:val="389231C7"/>
    <w:rsid w:val="38936601"/>
    <w:rsid w:val="3962712F"/>
    <w:rsid w:val="397274C1"/>
    <w:rsid w:val="398C14D9"/>
    <w:rsid w:val="398D4278"/>
    <w:rsid w:val="39A71116"/>
    <w:rsid w:val="39D8182D"/>
    <w:rsid w:val="3A283CA3"/>
    <w:rsid w:val="3A873428"/>
    <w:rsid w:val="3A8834F8"/>
    <w:rsid w:val="3AA41785"/>
    <w:rsid w:val="3AC34295"/>
    <w:rsid w:val="3B183024"/>
    <w:rsid w:val="3B3236F8"/>
    <w:rsid w:val="3B34332F"/>
    <w:rsid w:val="3B860C92"/>
    <w:rsid w:val="3B892174"/>
    <w:rsid w:val="3B936B4F"/>
    <w:rsid w:val="3BA46ED8"/>
    <w:rsid w:val="3BE46816"/>
    <w:rsid w:val="3C2A5659"/>
    <w:rsid w:val="3C654D26"/>
    <w:rsid w:val="3C7B6465"/>
    <w:rsid w:val="3D363C36"/>
    <w:rsid w:val="3D3D3705"/>
    <w:rsid w:val="3D633C0A"/>
    <w:rsid w:val="3F292BA3"/>
    <w:rsid w:val="3F381EE7"/>
    <w:rsid w:val="3F9A4950"/>
    <w:rsid w:val="3FAA1280"/>
    <w:rsid w:val="41032081"/>
    <w:rsid w:val="41816BDF"/>
    <w:rsid w:val="41961147"/>
    <w:rsid w:val="41986319"/>
    <w:rsid w:val="4205408F"/>
    <w:rsid w:val="42BF495A"/>
    <w:rsid w:val="42F75A6F"/>
    <w:rsid w:val="43591A91"/>
    <w:rsid w:val="44110F59"/>
    <w:rsid w:val="441909AD"/>
    <w:rsid w:val="441E33ED"/>
    <w:rsid w:val="44655746"/>
    <w:rsid w:val="45216F7A"/>
    <w:rsid w:val="45556C1D"/>
    <w:rsid w:val="4557299B"/>
    <w:rsid w:val="456C19B1"/>
    <w:rsid w:val="46457B2A"/>
    <w:rsid w:val="47836DC1"/>
    <w:rsid w:val="48C540C0"/>
    <w:rsid w:val="48CC6FD5"/>
    <w:rsid w:val="48E82B89"/>
    <w:rsid w:val="490270C2"/>
    <w:rsid w:val="493F0A68"/>
    <w:rsid w:val="495A03DF"/>
    <w:rsid w:val="49956188"/>
    <w:rsid w:val="4A1C1F7D"/>
    <w:rsid w:val="4A39294E"/>
    <w:rsid w:val="4B673D07"/>
    <w:rsid w:val="4B922747"/>
    <w:rsid w:val="4BF04BBE"/>
    <w:rsid w:val="4CCF44CA"/>
    <w:rsid w:val="4DC204EB"/>
    <w:rsid w:val="4DEA7E67"/>
    <w:rsid w:val="4DFC2FC7"/>
    <w:rsid w:val="4E285222"/>
    <w:rsid w:val="4EEC05F8"/>
    <w:rsid w:val="4F3855EC"/>
    <w:rsid w:val="4F797711"/>
    <w:rsid w:val="4FD550A2"/>
    <w:rsid w:val="50AB003F"/>
    <w:rsid w:val="50CC6933"/>
    <w:rsid w:val="510E7D88"/>
    <w:rsid w:val="512E1092"/>
    <w:rsid w:val="51305806"/>
    <w:rsid w:val="516F2435"/>
    <w:rsid w:val="51D24241"/>
    <w:rsid w:val="51DD4905"/>
    <w:rsid w:val="527252B8"/>
    <w:rsid w:val="52773616"/>
    <w:rsid w:val="52C66C65"/>
    <w:rsid w:val="53831FA8"/>
    <w:rsid w:val="53BF452D"/>
    <w:rsid w:val="53C315D6"/>
    <w:rsid w:val="54075D3C"/>
    <w:rsid w:val="542D593B"/>
    <w:rsid w:val="54372316"/>
    <w:rsid w:val="54C16083"/>
    <w:rsid w:val="554051FA"/>
    <w:rsid w:val="55453AE8"/>
    <w:rsid w:val="56093AF7"/>
    <w:rsid w:val="5684380C"/>
    <w:rsid w:val="569F71AF"/>
    <w:rsid w:val="56AB4841"/>
    <w:rsid w:val="56AD4B11"/>
    <w:rsid w:val="570D3802"/>
    <w:rsid w:val="57451B52"/>
    <w:rsid w:val="57744F93"/>
    <w:rsid w:val="57792C45"/>
    <w:rsid w:val="579730CB"/>
    <w:rsid w:val="58993514"/>
    <w:rsid w:val="58C163D9"/>
    <w:rsid w:val="595028AA"/>
    <w:rsid w:val="59574990"/>
    <w:rsid w:val="59656A6D"/>
    <w:rsid w:val="599D70BF"/>
    <w:rsid w:val="5A023CF9"/>
    <w:rsid w:val="5A3400BB"/>
    <w:rsid w:val="5A6A0A65"/>
    <w:rsid w:val="5A8913F1"/>
    <w:rsid w:val="5AC430CC"/>
    <w:rsid w:val="5B296730"/>
    <w:rsid w:val="5B3A63B2"/>
    <w:rsid w:val="5B3F79BE"/>
    <w:rsid w:val="5BBC7778"/>
    <w:rsid w:val="5C3166BC"/>
    <w:rsid w:val="5C3201A5"/>
    <w:rsid w:val="5CA74588"/>
    <w:rsid w:val="5CB07976"/>
    <w:rsid w:val="5CC613FD"/>
    <w:rsid w:val="5CD66444"/>
    <w:rsid w:val="5D1F2797"/>
    <w:rsid w:val="5D2B6C2E"/>
    <w:rsid w:val="5DC3391C"/>
    <w:rsid w:val="5E2818A0"/>
    <w:rsid w:val="5E947656"/>
    <w:rsid w:val="5F5C7154"/>
    <w:rsid w:val="5F905079"/>
    <w:rsid w:val="60161979"/>
    <w:rsid w:val="602C50B7"/>
    <w:rsid w:val="602D5EE7"/>
    <w:rsid w:val="60C018E5"/>
    <w:rsid w:val="61D01CF8"/>
    <w:rsid w:val="61E353B6"/>
    <w:rsid w:val="62316557"/>
    <w:rsid w:val="627036B6"/>
    <w:rsid w:val="62BA520D"/>
    <w:rsid w:val="63452778"/>
    <w:rsid w:val="637846F9"/>
    <w:rsid w:val="638567A7"/>
    <w:rsid w:val="63A159FD"/>
    <w:rsid w:val="63A66D95"/>
    <w:rsid w:val="63D01E3F"/>
    <w:rsid w:val="641125B3"/>
    <w:rsid w:val="64244CEF"/>
    <w:rsid w:val="642A5891"/>
    <w:rsid w:val="648945E4"/>
    <w:rsid w:val="64E8113B"/>
    <w:rsid w:val="652D1C01"/>
    <w:rsid w:val="65534AD5"/>
    <w:rsid w:val="65F737B9"/>
    <w:rsid w:val="67082171"/>
    <w:rsid w:val="67535538"/>
    <w:rsid w:val="67A352B0"/>
    <w:rsid w:val="67ED1A09"/>
    <w:rsid w:val="67F40245"/>
    <w:rsid w:val="67FA1B80"/>
    <w:rsid w:val="6821237A"/>
    <w:rsid w:val="6842701C"/>
    <w:rsid w:val="684F5168"/>
    <w:rsid w:val="685965B2"/>
    <w:rsid w:val="695F613F"/>
    <w:rsid w:val="698514C1"/>
    <w:rsid w:val="6A383AFE"/>
    <w:rsid w:val="6A75300F"/>
    <w:rsid w:val="6A9D3B1B"/>
    <w:rsid w:val="6B1B40B9"/>
    <w:rsid w:val="6D1A2E8D"/>
    <w:rsid w:val="6D337899"/>
    <w:rsid w:val="6D4C1214"/>
    <w:rsid w:val="6D6C6CA9"/>
    <w:rsid w:val="6DE60142"/>
    <w:rsid w:val="6E223E11"/>
    <w:rsid w:val="6E464647"/>
    <w:rsid w:val="6E4E23C0"/>
    <w:rsid w:val="6E5879DA"/>
    <w:rsid w:val="6E9F4E0D"/>
    <w:rsid w:val="6EBF6A16"/>
    <w:rsid w:val="6EF03395"/>
    <w:rsid w:val="6EF34A3C"/>
    <w:rsid w:val="6F0A64BA"/>
    <w:rsid w:val="6F150E28"/>
    <w:rsid w:val="6F586007"/>
    <w:rsid w:val="6F6F075E"/>
    <w:rsid w:val="6F85243F"/>
    <w:rsid w:val="6FC10353"/>
    <w:rsid w:val="6FD15F90"/>
    <w:rsid w:val="6FE911D4"/>
    <w:rsid w:val="70041CEA"/>
    <w:rsid w:val="70113A6A"/>
    <w:rsid w:val="704F34CF"/>
    <w:rsid w:val="70746064"/>
    <w:rsid w:val="70CC1BE0"/>
    <w:rsid w:val="716E4667"/>
    <w:rsid w:val="71B77266"/>
    <w:rsid w:val="71E0761F"/>
    <w:rsid w:val="724F3DEC"/>
    <w:rsid w:val="732C1A0A"/>
    <w:rsid w:val="73B57063"/>
    <w:rsid w:val="73F7554E"/>
    <w:rsid w:val="7423694A"/>
    <w:rsid w:val="744709C2"/>
    <w:rsid w:val="74652FE8"/>
    <w:rsid w:val="74A8053B"/>
    <w:rsid w:val="751E7C07"/>
    <w:rsid w:val="7527105F"/>
    <w:rsid w:val="7533487A"/>
    <w:rsid w:val="75CB1CA0"/>
    <w:rsid w:val="75EB4796"/>
    <w:rsid w:val="760D6F22"/>
    <w:rsid w:val="762A53DF"/>
    <w:rsid w:val="764500C9"/>
    <w:rsid w:val="76580711"/>
    <w:rsid w:val="76796B5D"/>
    <w:rsid w:val="767E1A12"/>
    <w:rsid w:val="76830F93"/>
    <w:rsid w:val="76874EE2"/>
    <w:rsid w:val="771607E2"/>
    <w:rsid w:val="77A613DD"/>
    <w:rsid w:val="77D00208"/>
    <w:rsid w:val="77D51242"/>
    <w:rsid w:val="780F5746"/>
    <w:rsid w:val="78713CBA"/>
    <w:rsid w:val="789B25C4"/>
    <w:rsid w:val="7915769B"/>
    <w:rsid w:val="7A174984"/>
    <w:rsid w:val="7A205624"/>
    <w:rsid w:val="7A37631C"/>
    <w:rsid w:val="7AAC4F5C"/>
    <w:rsid w:val="7AC760AD"/>
    <w:rsid w:val="7ACB1436"/>
    <w:rsid w:val="7B6A670A"/>
    <w:rsid w:val="7BA613DD"/>
    <w:rsid w:val="7BB32946"/>
    <w:rsid w:val="7C021CBC"/>
    <w:rsid w:val="7C47503C"/>
    <w:rsid w:val="7D58774B"/>
    <w:rsid w:val="7DB61C4E"/>
    <w:rsid w:val="7DDB3462"/>
    <w:rsid w:val="7DDF30B9"/>
    <w:rsid w:val="7E1C0204"/>
    <w:rsid w:val="7E6B444F"/>
    <w:rsid w:val="7F4D213E"/>
    <w:rsid w:val="7F4F6393"/>
    <w:rsid w:val="7F6753B1"/>
    <w:rsid w:val="7FE2301B"/>
    <w:rsid w:val="7FFB6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numPr>
        <w:ilvl w:val="0"/>
        <w:numId w:val="1"/>
      </w:numPr>
      <w:spacing w:line="360" w:lineRule="auto"/>
      <w:ind w:firstLine="200" w:firstLineChars="200"/>
      <w:jc w:val="center"/>
      <w:outlineLvl w:val="0"/>
    </w:pPr>
    <w:rPr>
      <w:rFonts w:ascii="楷体_GB2312" w:eastAsia="楷体_GB2312" w:cs="Times New Roman"/>
      <w:sz w:val="28"/>
      <w:szCs w:val="28"/>
    </w:rPr>
  </w:style>
  <w:style w:type="paragraph" w:styleId="4">
    <w:name w:val="heading 2"/>
    <w:basedOn w:val="1"/>
    <w:next w:val="1"/>
    <w:qFormat/>
    <w:uiPriority w:val="0"/>
    <w:pPr>
      <w:keepNext/>
      <w:keepLines/>
      <w:numPr>
        <w:ilvl w:val="1"/>
        <w:numId w:val="1"/>
      </w:numPr>
      <w:spacing w:before="260" w:after="260" w:line="415" w:lineRule="auto"/>
      <w:ind w:firstLine="200" w:firstLineChars="200"/>
      <w:jc w:val="center"/>
      <w:outlineLvl w:val="1"/>
    </w:pPr>
    <w:rPr>
      <w:rFonts w:ascii="Arial" w:hAnsi="Arial" w:eastAsia="幼圆" w:cs="Times New Roman"/>
      <w:b/>
      <w:bCs/>
      <w:sz w:val="44"/>
      <w:szCs w:val="44"/>
    </w:rPr>
  </w:style>
  <w:style w:type="paragraph" w:styleId="2">
    <w:name w:val="heading 4"/>
    <w:basedOn w:val="1"/>
    <w:next w:val="1"/>
    <w:qFormat/>
    <w:uiPriority w:val="9"/>
    <w:pPr>
      <w:keepNext/>
      <w:keepLines/>
      <w:spacing w:line="376" w:lineRule="auto"/>
      <w:outlineLvl w:val="3"/>
    </w:pPr>
    <w:rPr>
      <w:rFonts w:ascii="Cambria" w:hAnsi="Cambria" w:cs="Times New Roman"/>
      <w:b/>
      <w:bCs/>
      <w:kern w:val="0"/>
      <w:sz w:val="28"/>
      <w:szCs w:val="28"/>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qFormat/>
    <w:uiPriority w:val="0"/>
    <w:pPr>
      <w:jc w:val="left"/>
    </w:pPr>
  </w:style>
  <w:style w:type="paragraph" w:styleId="7">
    <w:name w:val="Salutation"/>
    <w:basedOn w:val="1"/>
    <w:next w:val="1"/>
    <w:qFormat/>
    <w:uiPriority w:val="0"/>
    <w:rPr>
      <w:rFonts w:ascii="Times New Roman" w:hAnsi="Times New Roman" w:cs="Times New Roman"/>
    </w:rPr>
  </w:style>
  <w:style w:type="paragraph" w:styleId="8">
    <w:name w:val="Body Text"/>
    <w:basedOn w:val="1"/>
    <w:next w:val="1"/>
    <w:qFormat/>
    <w:uiPriority w:val="0"/>
    <w:pPr>
      <w:autoSpaceDE w:val="0"/>
      <w:autoSpaceDN w:val="0"/>
      <w:jc w:val="left"/>
    </w:pPr>
    <w:rPr>
      <w:rFonts w:ascii="宋体" w:hAnsi="宋体" w:cs="宋体"/>
      <w:kern w:val="0"/>
      <w:lang w:val="zh-CN" w:bidi="zh-CN"/>
    </w:rPr>
  </w:style>
  <w:style w:type="paragraph" w:styleId="9">
    <w:name w:val="Body Text Indent"/>
    <w:basedOn w:val="1"/>
    <w:next w:val="10"/>
    <w:qFormat/>
    <w:uiPriority w:val="99"/>
    <w:pPr>
      <w:snapToGrid w:val="0"/>
      <w:spacing w:line="440" w:lineRule="exact"/>
      <w:ind w:firstLine="403" w:firstLineChars="192"/>
    </w:pPr>
    <w:rPr>
      <w:rFonts w:ascii="宋体" w:hAnsi="宋体" w:cs="宋体"/>
    </w:rPr>
  </w:style>
  <w:style w:type="paragraph" w:styleId="10">
    <w:name w:val="envelope return"/>
    <w:basedOn w:val="1"/>
    <w:qFormat/>
    <w:uiPriority w:val="0"/>
    <w:pPr>
      <w:snapToGrid w:val="0"/>
    </w:pPr>
    <w:rPr>
      <w:rFonts w:ascii="Arial" w:hAnsi="Arial"/>
    </w:rPr>
  </w:style>
  <w:style w:type="paragraph" w:styleId="11">
    <w:name w:val="index 4"/>
    <w:basedOn w:val="1"/>
    <w:next w:val="1"/>
    <w:qFormat/>
    <w:uiPriority w:val="99"/>
    <w:pPr>
      <w:ind w:left="600" w:leftChars="600"/>
    </w:pPr>
    <w:rPr>
      <w:rFonts w:ascii="Verdana" w:hAnsi="Verdana"/>
      <w:szCs w:val="20"/>
    </w:rPr>
  </w:style>
  <w:style w:type="paragraph" w:styleId="12">
    <w:name w:val="Balloon Text"/>
    <w:basedOn w:val="1"/>
    <w:link w:val="43"/>
    <w:qFormat/>
    <w:uiPriority w:val="0"/>
    <w:pPr>
      <w:spacing w:after="0" w:line="240" w:lineRule="auto"/>
    </w:pPr>
    <w:rPr>
      <w:sz w:val="18"/>
      <w:szCs w:val="18"/>
    </w:rPr>
  </w:style>
  <w:style w:type="paragraph" w:styleId="13">
    <w:name w:val="footer"/>
    <w:basedOn w:val="1"/>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5">
    <w:name w:val="toc 1"/>
    <w:basedOn w:val="1"/>
    <w:next w:val="1"/>
    <w:qFormat/>
    <w:uiPriority w:val="0"/>
    <w:pPr>
      <w:spacing w:before="120" w:after="120"/>
      <w:jc w:val="left"/>
    </w:pPr>
    <w:rPr>
      <w:b/>
      <w:bCs/>
      <w:caps/>
      <w:sz w:val="20"/>
      <w:szCs w:val="20"/>
    </w:rPr>
  </w:style>
  <w:style w:type="paragraph" w:styleId="16">
    <w:name w:val="toc 2"/>
    <w:basedOn w:val="1"/>
    <w:next w:val="1"/>
    <w:qFormat/>
    <w:uiPriority w:val="39"/>
    <w:pPr>
      <w:ind w:left="210"/>
      <w:jc w:val="left"/>
    </w:pPr>
    <w:rPr>
      <w:smallCaps/>
      <w:sz w:val="20"/>
      <w:szCs w:val="20"/>
    </w:rPr>
  </w:style>
  <w:style w:type="paragraph" w:styleId="17">
    <w:name w:val="Body Text 2"/>
    <w:basedOn w:val="1"/>
    <w:unhideWhenUsed/>
    <w:qFormat/>
    <w:uiPriority w:val="99"/>
    <w:pPr>
      <w:spacing w:after="120" w:line="480" w:lineRule="auto"/>
    </w:pPr>
  </w:style>
  <w:style w:type="paragraph" w:styleId="1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0">
    <w:name w:val="Body Text First Indent 2"/>
    <w:basedOn w:val="9"/>
    <w:next w:val="1"/>
    <w:qFormat/>
    <w:uiPriority w:val="99"/>
    <w:pPr>
      <w:ind w:firstLine="420" w:firstLineChars="200"/>
    </w:pPr>
  </w:style>
  <w:style w:type="table" w:styleId="22">
    <w:name w:val="Table Grid"/>
    <w:basedOn w:val="2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annotation reference"/>
    <w:basedOn w:val="23"/>
    <w:qFormat/>
    <w:uiPriority w:val="0"/>
    <w:rPr>
      <w:sz w:val="21"/>
      <w:szCs w:val="21"/>
    </w:rPr>
  </w:style>
  <w:style w:type="paragraph" w:customStyle="1" w:styleId="26">
    <w:name w:val="DAS正文"/>
    <w:qFormat/>
    <w:uiPriority w:val="0"/>
    <w:pPr>
      <w:widowControl w:val="0"/>
      <w:spacing w:after="160" w:line="360" w:lineRule="auto"/>
      <w:ind w:right="181" w:firstLine="480"/>
      <w:jc w:val="both"/>
    </w:pPr>
    <w:rPr>
      <w:rFonts w:ascii="Verdana" w:hAnsi="Verdana" w:eastAsia="宋体" w:cs="Times New Roman"/>
      <w:kern w:val="2"/>
      <w:sz w:val="21"/>
      <w:szCs w:val="24"/>
      <w:lang w:val="en-US" w:eastAsia="zh-CN" w:bidi="ar-SA"/>
    </w:rPr>
  </w:style>
  <w:style w:type="paragraph" w:customStyle="1" w:styleId="27">
    <w:name w:val="报告正文"/>
    <w:basedOn w:val="1"/>
    <w:qFormat/>
    <w:uiPriority w:val="0"/>
    <w:pPr>
      <w:adjustRightInd w:val="0"/>
      <w:snapToGrid w:val="0"/>
      <w:ind w:firstLine="560" w:firstLineChars="200"/>
    </w:pPr>
    <w:rPr>
      <w:kern w:val="0"/>
      <w:szCs w:val="20"/>
      <w:lang w:val="zh-CN"/>
    </w:rPr>
  </w:style>
  <w:style w:type="paragraph" w:customStyle="1" w:styleId="28">
    <w:name w:val="普通正文"/>
    <w:basedOn w:val="1"/>
    <w:qFormat/>
    <w:uiPriority w:val="0"/>
    <w:pPr>
      <w:adjustRightInd w:val="0"/>
      <w:spacing w:before="120" w:after="120" w:line="360" w:lineRule="auto"/>
      <w:ind w:firstLine="480" w:firstLineChars="200"/>
      <w:jc w:val="left"/>
    </w:pPr>
    <w:rPr>
      <w:rFonts w:ascii="Arial" w:hAnsi="Arial" w:cs="Times New Roman"/>
      <w:kern w:val="0"/>
      <w:sz w:val="24"/>
      <w:szCs w:val="24"/>
    </w:rPr>
  </w:style>
  <w:style w:type="paragraph" w:customStyle="1" w:styleId="29">
    <w:name w:val="一级目录"/>
    <w:next w:val="1"/>
    <w:qFormat/>
    <w:uiPriority w:val="99"/>
    <w:pPr>
      <w:spacing w:after="160" w:afterLines="100" w:line="278" w:lineRule="auto"/>
      <w:jc w:val="center"/>
      <w:outlineLvl w:val="0"/>
    </w:pPr>
    <w:rPr>
      <w:rFonts w:ascii="黑体" w:hAnsi="Times New Roman" w:eastAsia="黑体" w:cs="Times New Roman"/>
      <w:b/>
      <w:bCs/>
      <w:kern w:val="2"/>
      <w:sz w:val="44"/>
      <w:szCs w:val="44"/>
      <w:lang w:val="en-US" w:eastAsia="zh-CN" w:bidi="ar-SA"/>
    </w:rPr>
  </w:style>
  <w:style w:type="paragraph" w:customStyle="1" w:styleId="30">
    <w:name w:val="二级目录"/>
    <w:next w:val="1"/>
    <w:qFormat/>
    <w:uiPriority w:val="99"/>
    <w:pPr>
      <w:tabs>
        <w:tab w:val="left" w:pos="720"/>
      </w:tabs>
      <w:spacing w:after="160" w:line="278" w:lineRule="auto"/>
      <w:ind w:left="720" w:hanging="720"/>
      <w:outlineLvl w:val="1"/>
    </w:pPr>
    <w:rPr>
      <w:rFonts w:ascii="Calibri" w:hAnsi="Calibri" w:eastAsia="宋体" w:cs="Times New Roman"/>
      <w:b/>
      <w:bCs/>
      <w:kern w:val="2"/>
      <w:sz w:val="28"/>
      <w:szCs w:val="28"/>
      <w:lang w:val="en-US" w:eastAsia="zh-CN" w:bidi="ar-SA"/>
    </w:rPr>
  </w:style>
  <w:style w:type="paragraph" w:customStyle="1" w:styleId="31">
    <w:name w:val="列表段落1"/>
    <w:basedOn w:val="1"/>
    <w:qFormat/>
    <w:uiPriority w:val="1"/>
    <w:pPr>
      <w:ind w:firstLine="420" w:firstLineChars="200"/>
    </w:pPr>
    <w:rPr>
      <w:rFonts w:cs="Times New Roman"/>
      <w:szCs w:val="22"/>
    </w:rPr>
  </w:style>
  <w:style w:type="paragraph" w:customStyle="1" w:styleId="32">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33">
    <w:name w:val="NormalCharacter"/>
    <w:qFormat/>
    <w:uiPriority w:val="0"/>
  </w:style>
  <w:style w:type="paragraph" w:customStyle="1" w:styleId="34">
    <w:name w:val="列出段落1"/>
    <w:basedOn w:val="1"/>
    <w:qFormat/>
    <w:uiPriority w:val="34"/>
    <w:pPr>
      <w:ind w:firstLine="420" w:firstLineChars="200"/>
    </w:pPr>
  </w:style>
  <w:style w:type="paragraph" w:customStyle="1" w:styleId="35">
    <w:name w:val="_Style 3"/>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36">
    <w:name w:val="Char1"/>
    <w:basedOn w:val="1"/>
    <w:qFormat/>
    <w:uiPriority w:val="99"/>
    <w:rPr>
      <w:rFonts w:ascii="Tahoma" w:hAnsi="Tahoma" w:cs="Tahoma"/>
      <w:sz w:val="24"/>
      <w:szCs w:val="24"/>
    </w:rPr>
  </w:style>
  <w:style w:type="paragraph" w:customStyle="1" w:styleId="37">
    <w:name w:val="WPSOffice手动目录 1"/>
    <w:qFormat/>
    <w:uiPriority w:val="0"/>
    <w:pPr>
      <w:spacing w:after="160" w:line="278" w:lineRule="auto"/>
    </w:pPr>
    <w:rPr>
      <w:rFonts w:ascii="Times New Roman" w:hAnsi="Times New Roman" w:eastAsia="宋体" w:cs="Times New Roman"/>
      <w:lang w:val="en-US" w:eastAsia="zh-CN" w:bidi="ar-SA"/>
    </w:rPr>
  </w:style>
  <w:style w:type="paragraph" w:customStyle="1" w:styleId="38">
    <w:name w:val="正文1"/>
    <w:qFormat/>
    <w:uiPriority w:val="0"/>
    <w:pPr>
      <w:spacing w:after="160" w:line="278" w:lineRule="auto"/>
      <w:jc w:val="both"/>
    </w:pPr>
    <w:rPr>
      <w:rFonts w:ascii="Times New Roman" w:hAnsi="Times New Roman" w:eastAsia="宋体" w:cs="Times New Roman"/>
      <w:kern w:val="2"/>
      <w:sz w:val="21"/>
      <w:szCs w:val="21"/>
      <w:lang w:val="en-US" w:eastAsia="zh-CN" w:bidi="ar-SA"/>
    </w:rPr>
  </w:style>
  <w:style w:type="paragraph" w:customStyle="1" w:styleId="39">
    <w:name w:val="无间隔1"/>
    <w:qFormat/>
    <w:uiPriority w:val="99"/>
    <w:pPr>
      <w:widowControl w:val="0"/>
      <w:spacing w:after="160" w:line="278" w:lineRule="auto"/>
      <w:jc w:val="both"/>
    </w:pPr>
    <w:rPr>
      <w:rFonts w:ascii="Calibri" w:hAnsi="Calibri" w:eastAsia="宋体" w:cs="Calibri"/>
      <w:kern w:val="2"/>
      <w:sz w:val="21"/>
      <w:szCs w:val="21"/>
      <w:lang w:val="en-US" w:eastAsia="zh-CN" w:bidi="ar-SA"/>
    </w:rPr>
  </w:style>
  <w:style w:type="paragraph" w:customStyle="1" w:styleId="40">
    <w:name w:val="qq正文"/>
    <w:basedOn w:val="1"/>
    <w:qFormat/>
    <w:uiPriority w:val="0"/>
    <w:pPr>
      <w:snapToGrid w:val="0"/>
      <w:spacing w:line="360" w:lineRule="auto"/>
      <w:ind w:firstLine="200" w:firstLineChars="200"/>
    </w:pPr>
    <w:rPr>
      <w:rFonts w:ascii="Times New Roman" w:hAnsi="Times New Roman" w:cs="Times New Roman"/>
      <w:sz w:val="24"/>
      <w:szCs w:val="24"/>
    </w:rPr>
  </w:style>
  <w:style w:type="paragraph" w:customStyle="1" w:styleId="41">
    <w:name w:val="_Style 39"/>
    <w:basedOn w:val="1"/>
    <w:next w:val="1"/>
    <w:qFormat/>
    <w:uiPriority w:val="34"/>
    <w:pPr>
      <w:snapToGrid w:val="0"/>
      <w:spacing w:after="0" w:line="300" w:lineRule="auto"/>
      <w:ind w:firstLine="420"/>
    </w:pPr>
    <w:rPr>
      <w:rFonts w:cs="Times New Roman"/>
      <w:szCs w:val="24"/>
    </w:rPr>
  </w:style>
  <w:style w:type="paragraph" w:customStyle="1" w:styleId="42">
    <w:name w:val="列出段落2"/>
    <w:basedOn w:val="1"/>
    <w:qFormat/>
    <w:uiPriority w:val="99"/>
    <w:pPr>
      <w:ind w:firstLine="420" w:firstLineChars="200"/>
    </w:pPr>
  </w:style>
  <w:style w:type="character" w:customStyle="1" w:styleId="43">
    <w:name w:val="批注框文本 字符"/>
    <w:basedOn w:val="23"/>
    <w:link w:val="12"/>
    <w:qFormat/>
    <w:uiPriority w:val="0"/>
    <w:rPr>
      <w:rFonts w:ascii="Calibri" w:hAnsi="Calibri" w:cs="Calibri"/>
      <w:kern w:val="2"/>
      <w:sz w:val="18"/>
      <w:szCs w:val="18"/>
    </w:rPr>
  </w:style>
  <w:style w:type="paragraph" w:customStyle="1" w:styleId="44">
    <w:name w:val="标题 41"/>
    <w:basedOn w:val="1"/>
    <w:next w:val="45"/>
    <w:unhideWhenUsed/>
    <w:qFormat/>
    <w:uiPriority w:val="0"/>
    <w:pPr>
      <w:keepNext/>
      <w:keepLines/>
      <w:spacing w:before="280" w:beforeLines="0" w:after="290" w:afterLines="0" w:line="376" w:lineRule="auto"/>
      <w:outlineLvl w:val="3"/>
    </w:pPr>
    <w:rPr>
      <w:rFonts w:hint="default" w:ascii="Arial" w:hAnsi="Arial" w:eastAsia="黑体" w:cs="Arial"/>
      <w:b/>
      <w:sz w:val="28"/>
      <w:szCs w:val="28"/>
    </w:rPr>
  </w:style>
  <w:style w:type="paragraph" w:customStyle="1" w:styleId="45">
    <w:name w:val="正文缩进1"/>
    <w:basedOn w:val="1"/>
    <w:unhideWhenUsed/>
    <w:qFormat/>
    <w:uiPriority w:val="0"/>
    <w:pPr>
      <w:spacing w:beforeLines="0" w:afterLines="0"/>
      <w:ind w:firstLine="420"/>
    </w:pPr>
    <w:rPr>
      <w:rFonts w:hint="default"/>
      <w:sz w:val="21"/>
      <w:szCs w:val="21"/>
    </w:rPr>
  </w:style>
  <w:style w:type="paragraph" w:customStyle="1" w:styleId="46">
    <w:name w:val="索引 41"/>
    <w:basedOn w:val="1"/>
    <w:next w:val="1"/>
    <w:unhideWhenUsed/>
    <w:qFormat/>
    <w:uiPriority w:val="0"/>
    <w:pPr>
      <w:spacing w:beforeLines="0" w:afterLines="0"/>
      <w:ind w:left="1260"/>
    </w:pPr>
    <w:rPr>
      <w:rFonts w:hint="default" w:ascii="Calibri" w:hAnsi="Calibri" w:eastAsia="Calibri" w:cs="宋体"/>
      <w:sz w:val="20"/>
      <w:szCs w:val="22"/>
      <w:lang w:val="zh-CN"/>
    </w:rPr>
  </w:style>
  <w:style w:type="paragraph" w:customStyle="1" w:styleId="47">
    <w:name w:val="正文文本 211"/>
    <w:basedOn w:val="1"/>
    <w:unhideWhenUsed/>
    <w:qFormat/>
    <w:uiPriority w:val="99"/>
    <w:pPr>
      <w:spacing w:beforeLines="0" w:afterLines="0"/>
      <w:jc w:val="center"/>
    </w:pPr>
    <w:rPr>
      <w:rFonts w:hint="default"/>
      <w:b/>
      <w:sz w:val="20"/>
      <w:szCs w:val="20"/>
    </w:rPr>
  </w:style>
  <w:style w:type="paragraph" w:customStyle="1" w:styleId="48">
    <w:name w:val="Char"/>
    <w:basedOn w:val="1"/>
    <w:unhideWhenUsed/>
    <w:qFormat/>
    <w:uiPriority w:val="0"/>
    <w:pPr>
      <w:tabs>
        <w:tab w:val="left" w:pos="360"/>
      </w:tabs>
      <w:spacing w:beforeLines="0" w:afterLines="0"/>
      <w:ind w:firstLine="200"/>
    </w:pPr>
    <w:rPr>
      <w:rFonts w:hint="default"/>
      <w:sz w:val="28"/>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20798</Words>
  <Characters>22139</Characters>
  <Lines>297</Lines>
  <Paragraphs>83</Paragraphs>
  <TotalTime>7</TotalTime>
  <ScaleCrop>false</ScaleCrop>
  <LinksUpToDate>false</LinksUpToDate>
  <CharactersWithSpaces>22820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2021-10-22T17:50:00Z</dcterms:created>
  <dc:creator>oem</dc:creator>
  <cp:lastModifiedBy>徐舒舒</cp:lastModifiedBy>
  <cp:lastPrinted>2025-04-15T02:06:00Z</cp:lastPrinted>
  <dcterms:modified xsi:type="dcterms:W3CDTF">2026-04-27T06:40:30Z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642992CDF7A846ACA52C595781CDC0E5_13</vt:lpwstr>
  </property>
  <property fmtid="{D5CDD505-2E9C-101B-9397-08002B2CF9AE}" pid="4" name="KSOTemplateDocerSaveRecord">
    <vt:lpwstr>eyJoZGlkIjoiZThiN2MyYTNmZjE0NjJlYzA2ZTJkZjVjMWE5ZTY4MjYiLCJ1c2VySWQiOiI1OTE4NjkyMTQifQ==</vt:lpwstr>
  </property>
</Properties>
</file>