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项目名称：南京市江宁医院数据中心网络建设项目</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项目编号：JSZC-320115-NJZZ-G2026-0011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采购人：南京市江宁医院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4</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受南京市江宁医院（采购单位）委托，南京众智工程咨询有限公司（以下简称“招标代理机构”）就南京市江宁医院数据中心网络建设项目（项目名称）项目进行公开招标采购，欢迎符合条件的供应商投标。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1.项目编号：JSZC-320115-NJZZ-G2026-0011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2.项目名称：南京市江宁医院数据中心网络建设项目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3.预算金额：369.3万元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4.最高限价：本项目最高限价369.3万元。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5.采购需求（简介）：本项目为南京市江宁医院数据中心网络产品采购。（详细内容见本招标文件第四章）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6.合同履行期限：交货期为合同签订后20天内。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w:t>
      </w:r>
      <w:r>
        <w:rPr>
          <w:rFonts w:ascii="SimSun" w:hAnsi="SimSun" w:eastAsia="SimSun" w:cs="SimSun"/>
          <w:color w:val="000000"/>
          <w:sz w:val="21"/>
        </w:rPr>
        <w:t xml:space="preserve">满足《中华人民共和国政府采购法》第二十二条规定，并提供下列材料：</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本项目按照采用以下第（4）种方式落实政府采购促进中小企业发展的要求：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1.提交投标文件截止时间、开标时间：2026年05月11日14时30分（北京时间）。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1.本项目采购标的对应的中小企业划分标准所属行业</w:t>
      </w:r>
      <w:r>
        <w:rPr>
          <w:rFonts w:ascii="SimSun" w:hAnsi="SimSun" w:eastAsia="SimSun" w:cs="SimSun"/>
          <w:color w:val="000000"/>
          <w:sz w:val="21"/>
        </w:rPr>
        <w:t xml:space="preserve">为：工业。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2.本项目不接受进口产品投标。</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5.本次招标不收取投标保证金。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6.本项目不组织集中勘察及答疑，供应商如对采购需求有疑问，请咨询采购单位联系人。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802"/>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10.有关本次招标的事项若存在变动或修改，敬请及时关注“江苏政府采购网”（www.ccgp-jiangsu.gov.cn）发布的信息更正公告。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11.中标人在领取中标通知书时应提供与苏采云系统中一致的投标文件 2份，交采购代理机构归档使用。</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名称：南京市江宁医院 </w:t>
      </w:r>
      <w:r>
        <w:rPr>
          <w:rFonts w:ascii="SimSun" w:hAnsi="SimSun" w:eastAsia="SimSun" w:cs="SimSun"/>
          <w:color w:val="0000ff"/>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地址：南京市江宁区湖山路169号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联系人：王老师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none"/>
        </w:rPr>
        <w:t xml:space="preserve">025</w:t>
      </w:r>
      <w:r>
        <w:rPr>
          <w:rFonts w:ascii="SimSun" w:hAnsi="SimSun" w:eastAsia="SimSun" w:cs="SimSun"/>
          <w:color w:val="000000"/>
          <w:sz w:val="21"/>
        </w:rPr>
        <w:t xml:space="preserve">-52087739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联系方式：谭工 025-52896520-20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w:t>
      </w:r>
      <w:r>
        <w:rPr>
          <w:rFonts w:ascii="KaiTi" w:hAnsi="KaiTi" w:eastAsia="KaiTi" w:cs="KaiTi"/>
          <w:b/>
          <w:color w:val="000000"/>
          <w:sz w:val="21"/>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w:t>
      </w:r>
      <w:r>
        <w:rPr>
          <w:rFonts w:ascii="KaiTi" w:hAnsi="KaiTi" w:eastAsia="KaiTi" w:cs="KaiTi"/>
          <w:b/>
          <w:color w:val="000000"/>
          <w:sz w:val="21"/>
        </w:rPr>
        <w:t xml:space="preserve">.合格的投标人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3</w:t>
      </w:r>
      <w:r>
        <w:rPr>
          <w:rFonts w:ascii="KaiTi" w:hAnsi="KaiTi" w:eastAsia="KaiTi" w:cs="KaiTi"/>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4</w:t>
      </w:r>
      <w:r>
        <w:rPr>
          <w:rFonts w:ascii="KaiTi" w:hAnsi="KaiTi" w:eastAsia="KaiTi" w:cs="KaiTi"/>
          <w:b/>
          <w:color w:val="000000"/>
          <w:sz w:val="21"/>
        </w:rPr>
        <w:t xml:space="preserve">.投标费用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6</w:t>
      </w:r>
      <w:r>
        <w:rPr>
          <w:rFonts w:ascii="KaiTi" w:hAnsi="KaiTi" w:eastAsia="KaiTi" w:cs="KaiTi"/>
          <w:b/>
          <w:color w:val="000000"/>
          <w:sz w:val="21"/>
        </w:rPr>
        <w:t xml:space="preserve">.招标文件构成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7</w:t>
      </w:r>
      <w:r>
        <w:rPr>
          <w:rFonts w:ascii="KaiTi" w:hAnsi="KaiTi" w:eastAsia="KaiTi" w:cs="KaiTi"/>
          <w:b/>
          <w:color w:val="000000"/>
          <w:sz w:val="21"/>
        </w:rPr>
        <w:t xml:space="preserve">.招标文件的澄清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8</w:t>
      </w:r>
      <w:r>
        <w:rPr>
          <w:rFonts w:ascii="KaiTi" w:hAnsi="KaiTi" w:eastAsia="KaiTi" w:cs="KaiTi"/>
          <w:b/>
          <w:color w:val="000000"/>
          <w:sz w:val="21"/>
        </w:rPr>
        <w:t xml:space="preserve">.招标文件的修改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8.1 在投标截止时间前，</w:t>
      </w:r>
      <w:r>
        <w:rPr>
          <w:rFonts w:ascii="SimSun" w:hAnsi="SimSun" w:eastAsia="SimSun" w:cs="SimSun"/>
          <w:color w:val="000000"/>
          <w:sz w:val="21"/>
        </w:rPr>
        <w:t xml:space="preserve">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9</w:t>
      </w:r>
      <w:r>
        <w:rPr>
          <w:rFonts w:ascii="KaiTi" w:hAnsi="KaiTi" w:eastAsia="KaiTi" w:cs="KaiTi"/>
          <w:b/>
          <w:color w:val="000000"/>
          <w:sz w:val="21"/>
        </w:rPr>
        <w:t xml:space="preserve">.投标文件的语言及度量衡单位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10</w:t>
      </w:r>
      <w:r>
        <w:rPr>
          <w:rFonts w:ascii="KaiTi" w:hAnsi="KaiTi" w:eastAsia="KaiTi" w:cs="KaiTi"/>
          <w:b/>
          <w:color w:val="000000"/>
          <w:sz w:val="21"/>
        </w:rPr>
        <w:t xml:space="preserve">.投标文件构成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11</w:t>
      </w:r>
      <w:r>
        <w:rPr>
          <w:rFonts w:ascii="KaiTi" w:hAnsi="KaiTi" w:eastAsia="KaiTi" w:cs="KaiTi"/>
          <w:b/>
          <w:color w:val="000000"/>
          <w:sz w:val="21"/>
        </w:rPr>
        <w:t xml:space="preserve">.证明投标人及投标标的符合招标文件规定的文件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14</w:t>
      </w:r>
      <w:r>
        <w:rPr>
          <w:rFonts w:ascii="KaiTi" w:hAnsi="KaiTi" w:eastAsia="KaiTi" w:cs="KaiTi"/>
          <w:b/>
          <w:color w:val="000000"/>
          <w:sz w:val="21"/>
        </w:rPr>
        <w:t xml:space="preserve">.投标函和开标一览表及核心产品品牌一览表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投标人应按照招标文件规定格式完整、正确填报投标函、开标一览表及核心产品品牌一览表。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核心产品品牌一览表中所投核心产品品牌缺项的将视为无效投标。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17</w:t>
      </w:r>
      <w:r>
        <w:rPr>
          <w:rFonts w:ascii="KaiTi" w:hAnsi="KaiTi" w:eastAsia="KaiTi" w:cs="KaiTi"/>
          <w:b/>
          <w:color w:val="000000"/>
          <w:sz w:val="21"/>
        </w:rPr>
        <w:t xml:space="preserve">.投标文件的递交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w:t>
      </w:r>
      <w:r>
        <w:rPr>
          <w:rFonts w:ascii="KaiTi" w:hAnsi="KaiTi" w:eastAsia="KaiTi" w:cs="KaiTi"/>
          <w:b/>
          <w:color w:val="000000"/>
          <w:sz w:val="21"/>
        </w:rPr>
        <w:t xml:space="preserve">8.投标文件的拒收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w:t>
      </w:r>
      <w:r>
        <w:rPr>
          <w:rFonts w:ascii="KaiTi" w:hAnsi="KaiTi" w:eastAsia="KaiTi" w:cs="KaiTi"/>
          <w:b/>
          <w:color w:val="000000"/>
          <w:sz w:val="21"/>
        </w:rPr>
        <w:t xml:space="preserve">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w:t>
      </w:r>
      <w:r>
        <w:rPr>
          <w:rFonts w:ascii="KaiTi" w:hAnsi="KaiTi" w:eastAsia="KaiTi" w:cs="KaiTi"/>
          <w:b/>
          <w:color w:val="000000"/>
          <w:sz w:val="21"/>
        </w:rPr>
        <w:t xml:space="preserve">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w:t>
      </w:r>
      <w:r>
        <w:rPr>
          <w:rFonts w:ascii="KaiTi" w:hAnsi="KaiTi" w:eastAsia="KaiTi" w:cs="KaiTi"/>
          <w:b/>
          <w:color w:val="000000"/>
          <w:sz w:val="21"/>
        </w:rPr>
        <w:t xml:space="preserve">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w:t>
      </w:r>
      <w:r>
        <w:rPr>
          <w:rFonts w:ascii="KaiTi" w:hAnsi="KaiTi" w:eastAsia="KaiTi" w:cs="KaiTi"/>
          <w:b/>
          <w:color w:val="000000"/>
          <w:sz w:val="21"/>
        </w:rPr>
        <w:t xml:space="preserve">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评委会并非对每个投标人都作澄清要求。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w:t>
      </w:r>
      <w:r>
        <w:rPr>
          <w:rFonts w:ascii="KaiTi" w:hAnsi="KaiTi" w:eastAsia="KaiTi" w:cs="KaiTi"/>
          <w:b/>
          <w:color w:val="000000"/>
          <w:sz w:val="21"/>
        </w:rPr>
        <w:t xml:space="preserve">4.投标文件的审查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25.1.7 不符合招标文件中实质性要求和条件（</w:t>
      </w:r>
      <w:r>
        <w:rPr>
          <w:rFonts w:ascii="SimSun" w:hAnsi="SimSun" w:eastAsia="SimSun" w:cs="SimSun"/>
          <w:b/>
          <w:color w:val="000000"/>
          <w:sz w:val="21"/>
        </w:rPr>
        <w:t xml:space="preserve">本招标文件中斜体且有下划线部分，或者打“★”内容为实质性要求和条件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w:t>
      </w:r>
      <w:r>
        <w:rPr>
          <w:rFonts w:ascii="KaiTi" w:hAnsi="KaiTi" w:eastAsia="KaiTi" w:cs="KaiTi"/>
          <w:b/>
          <w:color w:val="000000"/>
          <w:sz w:val="21"/>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w:t>
      </w:r>
      <w:r>
        <w:rPr>
          <w:rFonts w:ascii="SimSun" w:hAnsi="SimSun" w:eastAsia="SimSun" w:cs="SimSun"/>
          <w:b/>
          <w:color w:val="000000"/>
          <w:sz w:val="21"/>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w:t>
      </w:r>
      <w:r>
        <w:rPr>
          <w:rFonts w:ascii="SimSun" w:hAnsi="SimSun" w:eastAsia="SimSun" w:cs="SimSun"/>
          <w:b/>
          <w:color w:val="000000"/>
          <w:sz w:val="21"/>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中标人因自身原因拒绝与采购人签订合同的，不得参加采购人重新组织的采购活动，且将可能被拒绝参加该采购人一年内的其他政府采购活动。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29.货物（包含与货物相关的服务）的追加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1"/>
        </w:rPr>
        <w:t xml:space="preserve">上述应知其权益受到损害之日是指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35.《质疑函》接收部门为本次招标代理机构注明的联系地址和联系方式。</w:t>
      </w:r>
      <w:r>
        <w:rPr>
          <w:rFonts w:ascii="SimSun" w:hAnsi="SimSun" w:eastAsia="SimSun" w:cs="SimSun"/>
          <w:color w:val="0000ff"/>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1"/>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43.对本GC品的支持政策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43.1为贯彻落实《国务院办公厅关于在政府采购中实施本GC品标准及相关政策的通知》  （国办发〔2025〕34号），在政府采购中实施本GC品标准及相关政策。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43.2本项目中既有本GC品又有非本GC品参与竞争的，依法对本GC品给予价格评审优惠，对本GC品的报价给予20%的价格扣除，用扣除后的价格参与评审。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43.3当采购项目或者采购包中含有多种产品，供应商为该采购项目或者采购包提供的符合本GC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十、其他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44.代理服务费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 本次采购的代理服务费由成交供应商承担；参照《江苏省政府采购代理服务收费指导意见》苏政采协（2024）20号文招标收费基准费率计算。开具增值税普通发票。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 中标供应商向采购代理机构支付所有费用后到采购代理机构领取中标通知书。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代理费汇款账号：10366000000495882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w:t>
      </w:r>
      <w:r>
        <w:rPr>
          <w:rFonts w:ascii="SimSun" w:hAnsi="SimSun" w:eastAsia="SimSun" w:cs="SimSun"/>
          <w:color w:val="000000"/>
          <w:sz w:val="24"/>
        </w:rPr>
        <w:t xml:space="preserve">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政府采购合同（货物）</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甲、乙双方根据南京众智工程咨询有限公司组织的</w:t>
      </w:r>
      <w:r>
        <w:rPr>
          <w:rFonts w:ascii="Times New Roman" w:hAnsi="Times New Roman" w:eastAsia="Times New Roman" w:cs="Times New Roman"/>
          <w:color w:val="000000"/>
          <w:sz w:val="24"/>
        </w:rPr>
        <w:t xml:space="preserve">____________________</w:t>
      </w:r>
      <w:r>
        <w:rPr>
          <w:rFonts w:ascii="SimSun" w:hAnsi="SimSun" w:eastAsia="SimSun" w:cs="SimSun"/>
          <w:color w:val="000000"/>
          <w:sz w:val="24"/>
        </w:rPr>
        <w:t xml:space="preserve">项目公开招标结果，签署本合同。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履行地点：采购人指定地点。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二、合同金额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本合同金额为（大写）：____________________圆（____________________元）人民币。</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5"/>
        <w:gridCol w:w="495"/>
        <w:gridCol w:w="495"/>
        <w:gridCol w:w="495"/>
        <w:gridCol w:w="495"/>
        <w:gridCol w:w="985"/>
        <w:gridCol w:w="3932"/>
        <w:gridCol w:w="9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备注：以上价格含包装、装卸、运输、保险、安装、税费等所有费用。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乙方应按招标文件规定的时间向甲方提供使用货物(包含与货物相关的服务)的有关技术资料。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乙方保证所供产品、服务质量合格，不得弄虚作假、不得提供假冒伪劣产品、不合格服务或任意提供合同（协议）外产品、服务。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乙方向甲方提供营业执照复印件、信用报告、个人授权书、质量承诺书等相关证件，并加盖公章。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五、产权担保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本项目乙方无需缴纳履约保证金。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八、合同款项支付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付款方式：自本合同签订之日起15日内,乙方出具全额发票，甲方向乙方支付合同额的30%作为预付款；项目验收合格后凭验收单、收据和合同复印件15日内，甲方向乙方支付合同额的60%；项目整体验收合格后满12个月的15日内，甲方向乙方支付合同额的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8.1.2满足合同约定支付条件的，甲方收到乙方发票后10个工作日内，将资金支付到合同约定的乙方账户。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根据工业和信息化部关于印发《保障中小企业款项支付投诉处理暂行办法》的通知（工信部企业〔2021〕224 号），甲方未按合同约定支付款项的，乙方可以向有关部门投诉。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当采购数量与实际使用数量不一致时，乙方应根据实际使用量供货，合同的最终结算金额按实际使用量乘以成交单价进行计算。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九、税费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十、质量保修范围和保修期及售后服务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乙方提供的货物在质保期内因货物本身的质量问题发生故障，乙方应负责免费更换。对达不到技术要求者，根据实际情况，经双方协商可按以下方式处理：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更换：由乙方承担所发生的全部费用。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贬值处理：由甲乙双方合议定价。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10.2.3 退货处理：乙方应退还甲方支付的合同款，同时应承担该货物的直接费用（运输、保险、检验、货款利息及银行手续费等）。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如在使用过程中发生质量问题，乙方应在接到甲方通知后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质保期内，乙方应对货物出现的质量及安全问题负责处理解决并承担一切费用。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质保期为自交货验收合格之日起</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年，因人为因素出现的故障不在质保范围内。超过质保期的乙方负责终生维修，维修时只收取部件成本费。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十一、项目验收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如有必要，甲方可邀请参加本项目投标的其他投标人或第三方专业机构及专家参与验收，相关意见将作为验收结论的参考。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十二、货物的包装、发运及运输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十三、违约责任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甲方无正当理由拒收货物的，应向乙方偿付拒收货物总价款的</w:t>
      </w:r>
      <w:r>
        <w:rPr>
          <w:rFonts w:ascii="SimSun" w:hAnsi="SimSun" w:eastAsia="SimSun" w:cs="SimSun"/>
          <w:color w:val="000000"/>
          <w:sz w:val="24"/>
          <w:u w:val="single"/>
        </w:rPr>
        <w:t xml:space="preserve">    </w:t>
      </w:r>
      <w:r>
        <w:rPr>
          <w:rFonts w:ascii="SimSun" w:hAnsi="SimSun" w:eastAsia="SimSun" w:cs="SimSun"/>
          <w:color w:val="000000"/>
          <w:sz w:val="24"/>
        </w:rPr>
        <w:t xml:space="preserve">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乙方逾期交付货物的，应按逾期交货总额每日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甲乙双方因合同签订、履行而发生的一切争议，应通过友好协商解决。协商不成的由甲方住所地人民法院管辖。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本合同经双方加盖单位公章后生效。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本合同未尽事宜，遵照《中华人民共和国民法典》《中华人民共和国政府采购法》有关条文执行。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《*******合同》补充协议（合同附件）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如遇招标/采购文件及合同未约定事项，双方可友好协商签订补充协议。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项目属性：</w:t>
      </w:r>
      <w:r>
        <w:rPr>
          <w:rFonts w:ascii="SimSun" w:hAnsi="SimSun" w:eastAsia="SimSun" w:cs="SimSun"/>
          <w:color w:val="000000"/>
          <w:sz w:val="21"/>
        </w:rPr>
        <w:t xml:space="preserve">货物类项目。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信息化建设标准与规范体系下，推动国家医疗健康大数据建设相关标准，信息化水平的提升已成为提升服务质量、优化管理流程、促进医疗资源合理分配的关键。特别是对于正处于高速发展阶段的多院区医院而言，构建高效、稳定、可扩展的IT基础设施是实现智慧医疗、提升患者就医体验的基础保障。近年来，云计算、大数据、人工智能等技术的广泛应用，对医院信息化建设提出了更高的要求。</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二</w:t>
      </w:r>
      <w:r>
        <w:rPr>
          <w:rFonts w:ascii="SimSun" w:hAnsi="SimSun" w:eastAsia="SimSun" w:cs="SimSun"/>
          <w:color w:val="000000"/>
          <w:sz w:val="21"/>
        </w:rPr>
        <w:t xml:space="preserve">）</w:t>
      </w:r>
      <w:r>
        <w:rPr>
          <w:rFonts w:ascii="SimSun" w:hAnsi="SimSun" w:eastAsia="SimSun" w:cs="SimSun"/>
          <w:color w:val="000000"/>
          <w:sz w:val="21"/>
        </w:rPr>
        <w:t xml:space="preserve">项目建设需求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有数据中心网络由于建成年份久、设备停产多年，导致售后服务停摆、存在运维困难，且园区与数据中心未分离，园区网络环路会直接影响数据中心流量转发，引发业务中断。设备端口不足，无法平滑扩容。且设备为进口产品，已退出中国，存在严重的安全隐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目前数据中心网络存在网络架构不合理、设备缺少冗余可靠性设计、缺乏先进性和可扩展性等问题，亟需整改。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（三）建设目标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搭建多Fabric的SDN网络（湖山路Fabric+鼓山路Fabric），通过SDN控制器快速配置网络，对网络的架构进行灵活调整，形成完整的3DC（两个双活中心、一个容灾中心）网络架构，使得业务可以在多院区之间无缝切换，满足医院未来5至8年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三、产品清单</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449"/>
        <w:gridCol w:w="679"/>
        <w:gridCol w:w="822"/>
        <w:gridCol w:w="1197"/>
        <w:gridCol w:w="1530"/>
        <w:gridCol w:w="1325"/>
        <w:gridCol w:w="802"/>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数据中心核心交换机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数据中心接入交换机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数据中心管理交换机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数据中心SDN控制器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四、拟采购标的需要满足的技术、商务要求</w:t>
      </w:r>
      <w:r>
        <w:rPr>
          <w:rFonts w:ascii="SimSun" w:hAnsi="SimSun" w:eastAsia="SimSun" w:cs="SimSun"/>
          <w:b/>
          <w:color w:val="c00000"/>
          <w:sz w:val="21"/>
        </w:rPr>
        <w:t xml:space="preserve">（如对本项目清单有疑问的请及时联系招标代理公司工作人员取得准确信息，如：GC、GCH）</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（一）技术要求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1"/>
        <w:gridCol w:w="1060"/>
        <w:gridCol w:w="7614"/>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1" w:type="dxa"/>
            <w:vAlign w:val="center"/>
            <w:textDirection w:val="lrTb"/>
            <w:noWrap w:val="false"/>
          </w:tcPr>
          <w:p>
            <w:pPr>
              <w:ind w:left="21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ind w:left="21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14" w:type="dxa"/>
            <w:vAlign w:val="center"/>
            <w:textDirection w:val="lrTb"/>
            <w:noWrap w:val="false"/>
          </w:tcPr>
          <w:p>
            <w:pPr>
              <w:ind w:left="21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功能、性能、配置不低于以下要求</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1"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数据中心核心交换机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14"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★1.GC非OEM，设备CPU和转发芯片关键芯片要求GCH，满足相关要求；</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★2.交换容量≥950Tbps，包转发率≥230000 Mpps，以官网最小值为准；</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★3.整机业务槽位数≥4个，交换网板插槽数量≥8个；</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★4.实配2块主控引擎，4块交换网板，4个交流电源，48个25G光口，24个100G光口；</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★5.配置24块10G万兆多模光模块、24块25G多模光模块、12块100G多模光模块、12块100G单模光模块、1根5米100G集群线缆；</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（需提供以上1-5项内容的承诺函并加盖投标人公章，格式自拟）</w:t>
            </w:r>
            <w:r>
              <w:rPr>
                <w:rFonts w:ascii="SimSun" w:hAnsi="SimSun" w:eastAsia="SimSun" w:cs="SimSun"/>
                <w:color w:val="000000"/>
                <w:sz w:val="21"/>
              </w:rPr>
              <w:t xml:space="preserve">。</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▲6.框式数据中心设备支持风扇框冗余设计，风扇框槽位数≥3个；</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（需提供含链接官网证明截图或具备CMA/CNAS标识的第三方检测报告扫描件并加盖投标人公章）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7.采用信元交换，提高整体转发性能；</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8.支持跨框链路聚合，要求配对设备有独立的控制平面，不能用堆叠等多虚一技术实现；</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9.支持MacSec二层加密技术；</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10.支持RIP、OSPF、ISIS、BGP、RIPng、OSPFv3、ISISv6、BGP4+；</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11.支持Vxlan协议，且支持BGP EVPN协议；</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12.支持VXLAN over IPv6，IPv6 VXLAN over IPv4；</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13.支持VxLAN OAM: VxLAN ping,VxLANtracert；</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14.支持PFC死锁预防，AI ECN；</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▲15.支持数据面故障快速恢复功能，能够基于数据面快速感知端口故障，并结合故障本地快速收敛、故障远程通告、故障远程快速收敛等功能，实现业务无感知的故障快速收敛效果；</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（需提供含链接官网证明截图或具备CMA/CNAS标识的第三方检测报告扫描件并加盖投标人公章）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▲16.支持秒级故障恢复能力，针对静默故障导致的业务会话级异常，如链路故障，转发表项异常，转发器件异常等，提供基于数据面的故障快速感知和快速收敛能力；</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（需提供含链接官网证明截图或具备CMA/CNAS标识的第三方检测报告扫描件并加盖投标人公章）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17.支持微分段功能，可实现东西向安全隔离；</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18.支持ERSPAN,Telemetry运维功能；</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19.支持路径可视，以及支持接口级的丢包、流量、时延分析，实现高精度的业务级丢包检测；</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20.支持SNMP V1/V2/V3、Telnet、RMON、SSH。</w:t>
            </w:r>
            <w:r/>
          </w:p>
        </w:tc>
      </w:tr>
      <w:tr>
        <w:trPr>
          <w:trHeight w:val="6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1"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数据中心接入交换机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14"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★1.GC非OEM，设备CPU和转发芯片关键芯片要求GCH，满足相关要求；</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★2.交换容量≥8Tbps，包转发率≥2400 Mpps，以官网最小值为准；</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★3.提供≥48个10/25GE SFP28接口，≥8个40/100GE QSFP28接口；</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★4.提供24块10G万兆多模光模块、24块25G多模光模块、2块100G多模光模块、2块100G单模光模块、1根5米100G堆叠线缆；</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（需提供以上1-4项内容的承诺函并加盖投标人公章，格式自拟）</w:t>
            </w:r>
            <w:r>
              <w:rPr>
                <w:rFonts w:ascii="SimSun" w:hAnsi="SimSun" w:eastAsia="SimSun" w:cs="SimSun"/>
                <w:color w:val="000000"/>
                <w:sz w:val="21"/>
              </w:rPr>
              <w:t xml:space="preserve">。</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5.设备端口具备平滑升级的能力，能同通过软件许可实现将25G端口提升到50G，100G端口提升到200G使用；</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▲6.设备核心CPU处理芯片≥16核，2GHz，设备内存≥16G；</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（需提供含链接官网证明截图或具备CMA/CNAS标识的第三方检测报告扫描件并加盖投标人公章）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7.支持跨框链路聚合，要求配对设备有独立的控制平面，不能用堆叠等多虚一技术实现；</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8.支持RIP、OSPF、ISIS、BGP 、RIPng、OSPFv3、ISISv6、BGP4+；</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9.支持Vxlan协议，且支持BGP EVPN协议；</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10.支持VXLAN over IPv6，IPv6 VXLAN over IPv4；</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11.支持VxLAN OAM: VxLAN ping, VxLANtracert；</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12.支持PFC死锁预防，AI ECN；</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▲13.支持PTP（1588v2）精密时间协议，用于设备之间的高精度时间同步，也可用来进行设备之间的频率同步；</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（需提供含链接官网证明截图或具备CMA/CNAS标识的第三方检测报告扫描件并加盖投标人公章）</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▲14.支持数据面故障快速恢复功能，能够基于数据面快速感知端口故障，并结合故障本地快速收敛、故障远程通告、故障远程快速收敛等功能，实现业务无感知的故障快收敛效果；</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（需提供含链接官网证明截图或具备CMA/CNAS标识的第三方检测报告扫描件并加盖投标人公章）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▲15.支持秒级故障恢复能力，针对静默故障导致的业务会话级异常，如链路故障，转发表项异常，转发器件异常等，提供基于数据面的故障快速感知和快速收敛能力，提升网络级可靠性；</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（需提供含链接官网证明截图或具备CMA/CNAS标识的第三方检测报告并加盖投标人公章）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16.支持ERSPAN, Telemetry运维功能；</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17.支持路径可视，以及支持接口级的丢包、流量、时延分析，实现高精度的业务级丢包检测；</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18.支持Netstream流量分析功能；</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19.支持SNMP V1/V2/V3、Telnet、RMON、SSH。</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1"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数据中心管理交换机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14"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★1.GC非OEM，设备CPU和转发芯片关键芯片要求GCH，满足相关要求；</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★2.交换容量≥670Gbps，包转发率≥200Mpps，以官网最小值为准；</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★3.支持≥48个千兆电口，≥4个万兆光口；</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★4.提供4块10G万兆多模光模块、1根10G堆叠线缆；</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（需提供以上1-4项内容的承诺函并加盖投标人公章，格式自拟）</w:t>
            </w:r>
            <w:r>
              <w:rPr>
                <w:rFonts w:ascii="SimSun" w:hAnsi="SimSun" w:eastAsia="SimSun" w:cs="SimSun"/>
                <w:color w:val="000000"/>
                <w:sz w:val="21"/>
              </w:rPr>
              <w:t xml:space="preserve">。</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5.支持网络切片功能；</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6.设备支持安全启动及数字签名功能；</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▲7.为保证系统可靠运行，未来升级预留空间，未来可以安装第三方软件，设备内存≥2GB；</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（需提供含链接官网证明截图或具备CMA/CNAS标识的第三方检测报告扫描件并加盖投标人公章）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8.设备支持复位按钮和清配置按钮，可快速键恢复出厂配置及短按复位设备的功能；</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9.支持4K个VLAN，支持Voice VLAN，基于端口的VLAN，基于MAC的VLAN，基于协议的VLAN；</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10.支持RIP、RIPng、OSPF、OSPFv3路由协议；</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11.支持防ARP攻击、DOS攻击、ICMP防攻击、CPU保护；</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12.支持以太网环网保护协议ERPS；</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13.支持Telemetry技术。</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1"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数据中心SDN控制器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14"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★1.支持统一对网络设备进行网络管理，以及与业界主流的云平台或第三方APP对接；</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★2.提供本次项目数据中心核心交换机和接入交换机的SDN授权管理许可；</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★3.配置≥3台GCH硬件服务器，组建集群。单台性能不低于：2颗48核2.6GHz处理器、256GB内存、6块1.92T SATA SSD,8个GE电口,6个10GE/25GE光口,冗余电源风扇；</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★4.原厂SDN交付服务；</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（需提供以上1-4项内容的承诺函并加盖投标人公章，格式自拟）</w:t>
            </w:r>
            <w:r>
              <w:rPr>
                <w:rFonts w:ascii="SimSun" w:hAnsi="SimSun" w:eastAsia="SimSun" w:cs="SimSun"/>
                <w:color w:val="000000"/>
                <w:sz w:val="21"/>
              </w:rPr>
              <w:t xml:space="preserve">。</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5.支持安装在X86/ARM物理服务器上；</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6.支持分布式集群部署，单节点故障不影响系统运行，集群故障不影响现网运行业务；</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7.支持与业界主流OpenStack云平台、Kubernetes容器编排平台或第三方APP对接，由云平台或第三方APP通过标准接口调用，完成网络业务发放；</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8.支持与计算资源管理系统如VMWare vCenter、Mircosoft System Center、Nutanix对接，实现网络与计算资源协同部署；</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9.支持网络设备、服务器、虚拟网络、虚拟机、业务等多层视图可视，支持业务与网络映射；</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仿真校验功能，以现网配置、拓扑和资源作为输入，针对待变更配置，通过网络建模和形式化验证算法，基于现网仿真剩余网络资源是否足够，呈现详细的连通性互访关系，分析待变更配置对原有业务的影响，通过此功能在进行网络配置变更时可预先评估变更风险；</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（需提供含链接官网证明截图或具备CMA/CNAS标识的第三方检测报告扫描件并加盖投标人公章）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11.支持异地容灾方式部署，当主数据中心的控制器集群故障时，异地容灾控制器可以接替所有当前的配置；</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▲12.支持业务回滚、租户回滚、全网回滚三级回滚实现网络业务的快速恢复；</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（需提供含链接官网证明截图或具备CMA/CNAS标识的第三方检测报告扫描件并加盖投标人公章）</w:t>
            </w:r>
            <w:r/>
          </w:p>
          <w:p>
            <w:pPr>
              <w:ind w:left="210" w:right="0" w:firstLine="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13.SDN控制器最大支持管理物理网络设备数量≥1500台，管理物理服务器数量≥8000台，管理VM数量≥150000台。</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★（二）商务要求</w:t>
      </w:r>
      <w:r>
        <w:rPr>
          <w:rFonts w:ascii="SimSun" w:hAnsi="SimSun" w:eastAsia="SimSun" w:cs="SimSun"/>
          <w:b/>
          <w:color w:val="000000"/>
          <w:sz w:val="21"/>
        </w:rPr>
        <w:t xml:space="preserve">（需提供承诺函并加盖投标人公章，格式自拟）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1.报价要求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（1）完成此次所有产品的系统集成与平台搭建，报价应包含与本次采购项目有关的所有费用。项目实施所需所有辅材，包含涉及到的各类跳线、电源线缆、交换机模块等相关配件和辅材等。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（2）供应商的任何错漏、优惠、竞争性报价不得作为减轻责任、减少服务、增加收费、降低服务质量的理由。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（3）供应商报价除包含采购文件中列明的项目外还应包括保障服务正常运行应当具有的物资和服务，对服务正常运行应当具有的物资和服务理解不一致的以采购单位理解为准。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2.实施要求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中标供应商提供设备安装日程计划。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供产品必须是全新的原装正品，符合国家规定的质量标准，不得私自添加或更改，保证所有产品原材料及部件均是全新的纯正部件，不得以废、旧材料制作，产品必须符合行业设计及采购人的品质要求。交货时所有产品应完好，物品配件齐全，否则视为不合格产品。在未验收前，货物保管、安全均由中标供应商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（3）安全实施要求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确保此次建设的数据中心网络系统在访问量、交易量和用户数增长以及应用系统增加时具备良好的可扩展性。整体系统应具备可扩展性，能够快速调配所需的网络资源以及安全防护规则，能将应用快速上线，满足日益增加的用户需求的能力。在方案设计中，将主要考虑虚拟化、云计算等新兴IT技术发展趋势，使整体网络架构满足未来至少5-8年的技术可靠、性能可按需扩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②确保在最小中断医院业务的前提下完成整体割接，两个数据中心的现有系统数据需在最小中断业务的情况下平滑迁移至新的数据中心网络中。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人具备服务器、存储、虚拟化、超融合、备份容灾等设备的项目集成能力，以确保数据中心网络割接的平滑性。投标人负责协调并负责将连接在原有数据中心网络设备割接至新建网络中，负责服务器、虚拟化、存储的系统迁移前置准备工作并根据医院计划安排进行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④中标供应商需提供不少于3人的项目实施团队，其中项目经理1人负责项目的实施方案、进度、沟通以及验收等工作，项目工程师2人负责项目的安装调试、系统集成、升级迁移等工作。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（4）质量控制要求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中标供应商负责对此次采购的所有软硬件设备的集成，负责设计、安装、实施、优化和部署以及后续的运维技术支持。签订合同时，中标供应商提供针对此次项目的深化设计方案，方案经过医院审核同意后才能实施，所需费用包含在合同报价中。签订合同时，中标供应商提供详细实施方案,该方案中包括但不限于本项目可实现的目标和性能指标、设备清单（设备名称、主要配置参数、部署地点等）、场地要求及其准备、供电接口需求和相关改造工作，散热和其他环境需求、设备布局、布线方案、设备部署配置、与用户现有计算机、网络、存储系统的互联、项目管理和推进措</w:t>
      </w:r>
      <w:r>
        <w:rPr>
          <w:rFonts w:ascii="SimSun" w:hAnsi="SimSun" w:eastAsia="SimSun" w:cs="SimSun"/>
          <w:color w:val="000000"/>
          <w:sz w:val="21"/>
        </w:rPr>
        <w:t xml:space="preserve">施等内容。过程中涉及的重大方案确定以及投标产品的任何变更，需通过采购人组织的信息化专家组织论证。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②中标供应商需要与采购人各家软件方单位配合，交叉实施，按照项目建设进度进行项目实施，负责全新数据中心网络集群系统的搭建。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③系统部署、安装完成后，按照系统要求的基本功能逐一测试。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单项测试：单项产品安装完成后，由中标供应商进行产品自身性能的测试。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网络联机测试：系统安装完成后，由中标供应商对所有部署、安装的产品进行联网运行，并进行相应的联机测试。系统运行正常，联机测试通过。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④如发现与招标文件要求或投标文件不一致或中标候选人有意拖延测试，将视为虚假应标并作为废标处理。因此所带来的所有损失由投标人自行承担（情节严重者将列入政府采购黑名单）。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（5）业务系统和数据迁移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要求此次新建架构和医院原有数据中心之间的架构做到相互兼容，同时根据项目建设进度的需求，在最小化影响业务的情况下，需将医院的原有机房设备，快速、平稳的迁移至此次建设的平台之上，以保证能够同时支撑医院的诊疗业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②迁移前必须做好原有业务系统和数据的容灾保护，如在迁移过程中出现重大灾难事故，需要中标供应商提供相应的软硬件进行灾难应急。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中标供应商负责将医院原有的数据中心设备迁移到此次新建数据中心网络上，并保证数据和应用的安全性和及时性，一旦出现任何数据丢失或长时间的业务宕机，所有后果由中标供应商负责，有权要求中标供应商给予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（6）质保（维保）及售后要求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①质保期限：本项目整体质保期不低于5年（质保期的计算自所有设备安装调试到位并通过验收合格后开始）。质保期内维修及配件等费用由中标供应商承担。</w:t>
      </w:r>
      <w:r>
        <w:rPr>
          <w:rFonts w:ascii="SimSun" w:hAnsi="SimSun" w:eastAsia="SimSun" w:cs="SimSun"/>
          <w:b/>
          <w:color w:val="000000"/>
          <w:sz w:val="21"/>
        </w:rPr>
        <w:t xml:space="preserve">（供应商须提供原厂质保承诺函并加盖投标人公章，格式自拟）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在质保期内提供7*24小时免费维护维修及技术支持；接到故障通知时，2小时内上门，24小时内解决问题。遇到特殊情况，根据医院安排提供人员保障服务。期限内每月巡检合同及项目清单中所包含设备，并认真做好巡检记录，巡检文本进行归档。巡检内容包括硬件设备运行状况、配套软件的运行情况，发现的问题及解决的方法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③中标供应商针对此次项目中的所有软硬件产品在签订合同时均需提供原厂针对此次项目的质保承诺函原件，如无法提供的，医院可拒绝签订合同并根据国家相应的法律法规进行处置。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（7）技术培训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应向采购人提供软硬件设备管理维护的现场技术培训以及相关厂商的专业认证培训（费用包含在投标总价中），包括相关设备性能、系统软件部署、运行维护流程等；提供相关软件环境使用维护的现场技术培训（费用包含在投标总价中），包括相关系统软件、应用软件的操作培训课程。有关培训的内容，包括但不限于：培训人员与人数、培训的详细课程、培训方式、培训教材安排等。</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①验收方法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的国家标准、行业标准、地方标准或者其他现行标准、规范要求；采购人为确保系统和设备质量，中标供应商要根据医院的要求进行检测验收，其中涉及到双活架构的验证（包括：数据中心出口切换、链路故障测试、设备故障测试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②验收文件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系统竣工文件至少包括以下资料：系统测试报告、系统试运行报告、系统施工过程文件、用户使用意见、设备移交清单等详细的技术资料、医院要求的其他资料。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③核心功能验收指标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关闭任意一台数据中心核心交换机或数据中心接入交换机，而不影响医院整个数据中心的相关业务系统。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针对数据中心网络的物理&amp;逻辑故障进行实时演练，确保网络的可靠性。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本合同签订之日起15日内,供应商出具全额发票，采购人向供应商支付合同额的30%作为预付款；项目验收合格后凭验收单、收据和合同复印件15日内，采购人向供应商支付合同额的60%；项目整体验收合格后满12个月的15日内，采购人向供应商支付合同额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（2）满足合同约定支付条件的，采购人收到供应商发票后10个工作日内，将资金支付到合同约定的投标人账户。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4.交付时间及地点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（1）交付时间：交货期为合同签订后20天内，质保期为验收合格后5年。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（2）交付地点：采购人指定地点。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5.中标供应商签订合同时提供投标文件中所提供的证明材料原件，提交采购人核验。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3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2.小企业（含小型、微型企业）应当符合以下条件：货物由小微企业制造，即货物由小微企业生产且使用该小微企业商号或者注册商标。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五、残疾人福利性单位的价格扣除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六、对本国产品的价格扣除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3.本国产品标准请参照《国务院办公厅关于在政府采购中实施本国产品标准及相关政策的通知》（国办发〔2025〕34号）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八、上述价格扣除政策仅适用于“非专门面向中小企业采购项目”。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九、评标标准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6"/>
        <w:gridCol w:w="6133"/>
        <w:gridCol w:w="630"/>
        <w:gridCol w:w="874"/>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3"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采用低价优先</w:t>
            </w:r>
            <w:r>
              <w:rPr>
                <w:rFonts w:ascii="SimSun" w:hAnsi="SimSun" w:eastAsia="SimSun" w:cs="SimSun"/>
                <w:color w:val="000000"/>
                <w:sz w:val="21"/>
              </w:rPr>
              <w:t xml:space="preserve">法计算，即满足招标文件要求且投标价格最低的投标</w:t>
            </w:r>
            <w:r>
              <w:rPr>
                <w:rFonts w:ascii="SimSun" w:hAnsi="SimSun" w:eastAsia="SimSun" w:cs="SimSun"/>
                <w:color w:val="000000"/>
                <w:spacing w:val="1"/>
                <w:sz w:val="21"/>
              </w:rPr>
              <w:t xml:space="preserve">报价为评标基准</w:t>
            </w:r>
            <w:r>
              <w:rPr>
                <w:rFonts w:ascii="SimSun" w:hAnsi="SimSun" w:eastAsia="SimSun" w:cs="SimSun"/>
                <w:color w:val="000000"/>
                <w:sz w:val="21"/>
              </w:rPr>
              <w:t xml:space="preserve">价，其价格分为满分。其他投标人的价格分统一按</w:t>
            </w:r>
            <w:r>
              <w:rPr>
                <w:rFonts w:ascii="SimSun" w:hAnsi="SimSun" w:eastAsia="SimSun" w:cs="SimSun"/>
                <w:color w:val="000000"/>
                <w:spacing w:val="-1"/>
                <w:sz w:val="21"/>
              </w:rPr>
              <w:t xml:space="preserve">照下列公</w:t>
            </w:r>
            <w:r>
              <w:rPr>
                <w:rFonts w:ascii="SimSun" w:hAnsi="SimSun" w:eastAsia="SimSun" w:cs="SimSun"/>
                <w:color w:val="000000"/>
                <w:sz w:val="21"/>
              </w:rPr>
              <w:t xml:space="preserve">式计算：投标报价得分=(评标基准价/投标报价)×30（小数点保留两位）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2.技术部分</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产品功能、性能、配置要求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3"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产品技术参数全部满足招标要求的得满分35分；打★号指标为必须满足项，如有负偏离将作为无效投标；打▲号为重要指标，有一项负偏扣2分；其他指标，有一项负偏扣1分，扣完为止。严重负偏离影响设备性能的经半数以上评委认定，本项得零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产品认证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本次项目在升级割接过程中涉及到与原CISCO设备进行对接，项目所投数据中心核心交换机产品支持与CISCO设备通过OSPF和BGP协议对接。通过对接测试的，得5分，未通过对接测试或未提供对接测试报告的不得分。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需提供具有CMA/CNAS标识的第三方检测报告扫描件并加盖投标人公章。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3"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评委根据供应商响应招标文件的技术要求，清晰阐述技术方案，能够充分理解项目建设背景，对用户的现状需求有深入分析，方案思路清晰，系统整体架构设计先进、合理、可行、可靠、规范和完备性，内容描述详细，可操作性强。按照技术方案的科学性、完整性、合理性等进行综合评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（1）技术方案详细完整、有针对性、可操作性强的，得6分，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（2）技术方案较详细较完整、针对性较强、可操作性较强的，得4分，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（3）技术方案完整性、针对性、可操作性一般的，得2分，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售后服务保障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3"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评委根据投标人提供的售后服务方案（包括但不限于：售后服务措施、技术支持等方面）进行综合评分：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（1）售后服务方案科学、完整、合理的，得6分；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（2）售后服务方案较科学、较完整、较合理的，得4分；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（3）售后服务方案基本合理的，得2分；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3"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评委根据投标人针对本项目所投产品对最终用户工程师提供的维护技术培训方案(包括但不限于：培训时间、培训师资、培训方式等方面)进行综合评分：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（1）培训方案科学、全面且切实可行，提供相应培训材料，满足本项目要求的，得6分；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（2）培训方案较科学、可行，培训材料较完整，较能满足本项目要求的，得4分；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（3）培训方案基本可行，培训材料基本完整，基本 能满足本项目要求的，得2分； </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（4）未提供的不得分。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3.商务部分</w:t>
            </w:r>
            <w:r/>
          </w:p>
        </w:tc>
      </w:tr>
      <w:tr>
        <w:trPr>
          <w:trHeight w:val="2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3"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投标人拟投入本项目的项目负责人（1人）：</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（1）具有信息系统项目管理师证书得1分；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（2）具有通信类高级工程师证书得1分；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（3）网络工程师证书得1分；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项目负责人和技术负责人不为同一人。</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以上需提供相关人员证书扫描件及投标人为其缴纳的近半年内任意1个月的社保缴纳证明并加盖投标人公章，证明材料缺项或未提供的不得分。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3"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投标人拟投入本项目的技术负责人（1人）：</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（1）具有</w:t>
            </w:r>
            <w:r>
              <w:rPr>
                <w:rFonts w:ascii="SimSun" w:hAnsi="SimSun" w:eastAsia="SimSun" w:cs="SimSun"/>
                <w:color w:val="000000"/>
                <w:sz w:val="21"/>
              </w:rPr>
              <w:t xml:space="preserve">网络工程师</w:t>
            </w:r>
            <w:r>
              <w:rPr>
                <w:rFonts w:ascii="SimSun" w:hAnsi="SimSun" w:eastAsia="SimSun" w:cs="SimSun"/>
                <w:color w:val="000000"/>
                <w:spacing w:val="1"/>
                <w:sz w:val="21"/>
              </w:rPr>
              <w:t xml:space="preserve">证书得1分；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（2）具有</w:t>
            </w:r>
            <w:r>
              <w:rPr>
                <w:rFonts w:ascii="SimSun" w:hAnsi="SimSun" w:eastAsia="SimSun" w:cs="SimSun"/>
                <w:color w:val="000000"/>
                <w:sz w:val="21"/>
              </w:rPr>
              <w:t xml:space="preserve">ITSS IT服务工程师</w:t>
            </w:r>
            <w:r>
              <w:rPr>
                <w:rFonts w:ascii="SimSun" w:hAnsi="SimSun" w:eastAsia="SimSun" w:cs="SimSun"/>
                <w:color w:val="000000"/>
                <w:spacing w:val="1"/>
                <w:sz w:val="21"/>
              </w:rPr>
              <w:t xml:space="preserve">证书得1分；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（3）具有</w:t>
            </w:r>
            <w:r>
              <w:rPr>
                <w:rFonts w:ascii="SimSun" w:hAnsi="SimSun" w:eastAsia="SimSun" w:cs="SimSun"/>
                <w:color w:val="000000"/>
                <w:sz w:val="21"/>
              </w:rPr>
              <w:t xml:space="preserve">通信专业技术人员职业资格证书</w:t>
            </w:r>
            <w:r>
              <w:rPr>
                <w:rFonts w:ascii="SimSun" w:hAnsi="SimSun" w:eastAsia="SimSun" w:cs="SimSun"/>
                <w:color w:val="000000"/>
                <w:spacing w:val="1"/>
                <w:sz w:val="21"/>
              </w:rPr>
              <w:t xml:space="preserve">得1分。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项目负责人和技术负责人不为同一人。</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以上需提供相关人员证书扫描件及投标人为其缴纳的近半年内任意1个月的社保缴纳证明并加盖投标人公章，证明材料缺项或未提供的不得分。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团队成员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3"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除项目负责人和技术负责人外，投标人拟投入本项目的团队成员中：</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（1）具有网络工程师证书的，得1分；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（2）具有CISAW信息安全保障人员证书的，得1分；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（3）具有CISP注册信息安全专业人员证书的，每提供一人得1分，最多得1分；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本项最多得3分，以上人员一人多证不重复计分。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（提供相关人员证书扫描件及投标人为其缴纳的的近半年内任意1个月的社保缴纳证明并加盖投标人公章，证明材料缺项或未提供的不得分）。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行业证书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3"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投标人具有有效期内CCID信息系统服务交付能力等级证书（范围覆盖信息系统集成实施）一级、GCH信息系统集成和服务能力等级证书LS4或以上，每拥有一个证书得1.5分，满分3分。</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以上需提供证书扫描件并加盖投标人公章。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33"/>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85" w:type="dxa"/>
            <w:vAlign w:val="center"/>
            <w:textDirection w:val="lrTb"/>
            <w:noWrap w:val="false"/>
          </w:tcPr>
          <w:p>
            <w:pPr>
              <w:ind w:left="0" w:right="0" w:firstLine="42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 </w:t>
      </w:r>
      <w:r/>
    </w:p>
    <w:p>
      <w:pPr>
        <w:ind w:left="0" w:right="0" w:firstLine="48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40" w:right="144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00"/>
        <w:jc w:val="both"/>
        <w:spacing w:before="60" w:after="6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1"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3359"/>
        <w:gridCol w:w="1941"/>
        <w:gridCol w:w="2149"/>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214"/>
        <w:gridCol w:w="1753"/>
        <w:gridCol w:w="836"/>
        <w:gridCol w:w="713"/>
        <w:gridCol w:w="684"/>
        <w:gridCol w:w="827"/>
        <w:gridCol w:w="126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2.“投标分项报价表”中“投标总报价”应当与“开标一览表”中“投标总报价”一致。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4"/>
        <w:gridCol w:w="2691"/>
        <w:gridCol w:w="3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十三、符合本国产品标准的声明函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Arial" w:hAnsi="Arial" w:eastAsia="Arial" w:cs="Arial"/>
          <w:i/>
          <w:color w:val="000000"/>
          <w:sz w:val="21"/>
          <w:u w:val="single"/>
        </w:rPr>
        <w:t xml:space="preserve">（产品名称1）</w:t>
      </w:r>
      <w:r>
        <w:rPr>
          <w:rFonts w:ascii="Arial" w:hAnsi="Arial" w:eastAsia="Arial" w:cs="Arial"/>
          <w:i/>
          <w:color w:val="000000"/>
          <w:sz w:val="21"/>
          <w:vertAlign w:val="superscript"/>
        </w:rPr>
        <w:t xml:space="preserve">1</w:t>
      </w:r>
      <w:r>
        <w:rPr>
          <w:rFonts w:ascii="Arial" w:hAnsi="Arial" w:eastAsia="Arial" w:cs="Arial"/>
          <w:color w:val="000000"/>
          <w:sz w:val="21"/>
        </w:rPr>
        <w:t xml:space="preserve">，生产厂为</w:t>
      </w:r>
      <w:r>
        <w:rPr>
          <w:rFonts w:ascii="Arial" w:hAnsi="Arial" w:eastAsia="Arial" w:cs="Arial"/>
          <w:i/>
          <w:color w:val="000000"/>
          <w:sz w:val="21"/>
          <w:u w:val="single"/>
        </w:rPr>
        <w:t xml:space="preserve">（</w:t>
      </w:r>
      <w:r>
        <w:rPr>
          <w:rFonts w:ascii="Arial" w:hAnsi="Arial" w:eastAsia="Arial" w:cs="Arial"/>
          <w:color w:val="000000"/>
          <w:sz w:val="21"/>
          <w:u w:val="single"/>
        </w:rPr>
        <w:t xml:space="preserve">厂名</w:t>
      </w:r>
      <w:r>
        <w:rPr>
          <w:rFonts w:ascii="Arial" w:hAnsi="Arial" w:eastAsia="Arial" w:cs="Arial"/>
          <w:i/>
          <w:color w:val="000000"/>
          <w:sz w:val="21"/>
          <w:u w:val="single"/>
        </w:rPr>
        <w:t xml:space="preserve">）</w:t>
      </w:r>
      <w:r>
        <w:rPr>
          <w:rFonts w:ascii="Arial" w:hAnsi="Arial" w:eastAsia="Arial" w:cs="Arial"/>
          <w:i/>
          <w:color w:val="000000"/>
          <w:sz w:val="21"/>
          <w:vertAlign w:val="superscript"/>
        </w:rPr>
        <w:t xml:space="preserve">2</w:t>
      </w:r>
      <w:r>
        <w:rPr>
          <w:rFonts w:ascii="Arial" w:hAnsi="Arial" w:eastAsia="Arial" w:cs="Arial"/>
          <w:color w:val="000000"/>
          <w:sz w:val="21"/>
        </w:rPr>
        <w:t xml:space="preserve">，厂址为</w:t>
      </w:r>
      <w:r>
        <w:rPr>
          <w:rFonts w:ascii="Arial" w:hAnsi="Arial" w:eastAsia="Arial" w:cs="Arial"/>
          <w:i/>
          <w:color w:val="000000"/>
          <w:sz w:val="21"/>
          <w:u w:val="single"/>
        </w:rPr>
        <w:t xml:space="preserve">（生产厂址）</w:t>
      </w:r>
      <w:r>
        <w:rPr>
          <w:rFonts w:ascii="Arial" w:hAnsi="Arial" w:eastAsia="Arial" w:cs="Arial"/>
          <w:color w:val="000000"/>
          <w:sz w:val="21"/>
        </w:rPr>
        <w:t xml:space="preserve">。</w:t>
      </w:r>
      <w:r>
        <w:rPr>
          <w:rFonts w:ascii="Arial" w:hAnsi="Arial" w:eastAsia="Arial" w:cs="Arial"/>
          <w:i/>
          <w:color w:val="000000"/>
          <w:sz w:val="21"/>
          <w:u w:val="single"/>
        </w:rPr>
        <w:t xml:space="preserve">（产品名称1）</w:t>
      </w:r>
      <w:r>
        <w:rPr>
          <w:rFonts w:ascii="Arial" w:hAnsi="Arial" w:eastAsia="Arial" w:cs="Arial"/>
          <w:color w:val="000000"/>
          <w:sz w:val="21"/>
        </w:rPr>
        <w:t xml:space="preserve">的中国境内生产的组件成本占比≥</w:t>
      </w:r>
      <w:r>
        <w:rPr>
          <w:rFonts w:ascii="Arial" w:hAnsi="Arial" w:eastAsia="Arial" w:cs="Arial"/>
          <w:i/>
          <w:color w:val="000000"/>
          <w:sz w:val="21"/>
          <w:u w:val="single"/>
        </w:rPr>
        <w:t xml:space="preserve">（规定比例）</w:t>
      </w:r>
      <w:r>
        <w:rPr>
          <w:rFonts w:ascii="Arial" w:hAnsi="Arial" w:eastAsia="Arial" w:cs="Arial"/>
          <w:i/>
          <w:color w:val="000000"/>
          <w:sz w:val="21"/>
          <w:vertAlign w:val="superscript"/>
        </w:rPr>
        <w:t xml:space="preserve">3</w:t>
      </w:r>
      <w:r>
        <w:rPr>
          <w:rFonts w:ascii="Arial" w:hAnsi="Arial" w:eastAsia="Arial" w:cs="Arial"/>
          <w:color w:val="000000"/>
          <w:sz w:val="21"/>
        </w:rPr>
        <w:t xml:space="preserve">。</w:t>
      </w:r>
      <w:r>
        <w:rPr>
          <w:rFonts w:ascii="Arial" w:hAnsi="Arial" w:eastAsia="Arial" w:cs="Arial"/>
          <w:i/>
          <w:color w:val="000000"/>
          <w:sz w:val="21"/>
          <w:u w:val="single"/>
        </w:rPr>
        <w:t xml:space="preserve">（产品名称1）</w:t>
      </w:r>
      <w:r>
        <w:rPr>
          <w:rFonts w:ascii="Arial" w:hAnsi="Arial" w:eastAsia="Arial" w:cs="Arial"/>
          <w:color w:val="000000"/>
          <w:sz w:val="21"/>
        </w:rPr>
        <w:t xml:space="preserve">的</w:t>
      </w:r>
      <w:r>
        <w:rPr>
          <w:rFonts w:ascii="Arial" w:hAnsi="Arial" w:eastAsia="Arial" w:cs="Arial"/>
          <w:i/>
          <w:color w:val="000000"/>
          <w:sz w:val="21"/>
          <w:u w:val="single"/>
        </w:rPr>
        <w:t xml:space="preserve">（关键组件）</w:t>
      </w:r>
      <w:r>
        <w:rPr>
          <w:rFonts w:ascii="Arial" w:hAnsi="Arial" w:eastAsia="Arial" w:cs="Arial"/>
          <w:i/>
          <w:color w:val="000000"/>
          <w:sz w:val="21"/>
          <w:vertAlign w:val="superscript"/>
        </w:rPr>
        <w:t xml:space="preserve">4</w:t>
      </w:r>
      <w:r>
        <w:rPr>
          <w:rFonts w:ascii="Arial" w:hAnsi="Arial" w:eastAsia="Arial" w:cs="Arial"/>
          <w:color w:val="000000"/>
          <w:sz w:val="21"/>
        </w:rPr>
        <w:t xml:space="preserve">在中国境内生产。</w:t>
      </w:r>
      <w:r>
        <w:rPr>
          <w:rFonts w:ascii="Arial" w:hAnsi="Arial" w:eastAsia="Arial" w:cs="Arial"/>
          <w:i/>
          <w:color w:val="000000"/>
          <w:sz w:val="21"/>
          <w:u w:val="single"/>
        </w:rPr>
        <w:t xml:space="preserve">（产品名称1）</w:t>
      </w:r>
      <w:r>
        <w:rPr>
          <w:rFonts w:ascii="Arial" w:hAnsi="Arial" w:eastAsia="Arial" w:cs="Arial"/>
          <w:color w:val="000000"/>
          <w:sz w:val="21"/>
        </w:rPr>
        <w:t xml:space="preserve">的</w:t>
      </w:r>
      <w:r>
        <w:rPr>
          <w:rFonts w:ascii="Arial" w:hAnsi="Arial" w:eastAsia="Arial" w:cs="Arial"/>
          <w:i/>
          <w:color w:val="000000"/>
          <w:sz w:val="21"/>
          <w:u w:val="single"/>
        </w:rPr>
        <w:t xml:space="preserve">（关键工序）</w:t>
      </w:r>
      <w:r>
        <w:rPr>
          <w:rFonts w:ascii="Arial" w:hAnsi="Arial" w:eastAsia="Arial" w:cs="Arial"/>
          <w:i/>
          <w:color w:val="000000"/>
          <w:sz w:val="21"/>
          <w:vertAlign w:val="superscript"/>
        </w:rPr>
        <w:t xml:space="preserve">5</w:t>
      </w:r>
      <w:r>
        <w:rPr>
          <w:rFonts w:ascii="Arial" w:hAnsi="Arial" w:eastAsia="Arial" w:cs="Arial"/>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Arial" w:hAnsi="Arial" w:eastAsia="Arial" w:cs="Arial"/>
          <w:i/>
          <w:color w:val="000000"/>
          <w:sz w:val="21"/>
          <w:u w:val="single"/>
        </w:rPr>
        <w:t xml:space="preserve">（产品名称2）</w:t>
      </w:r>
      <w:r>
        <w:rPr>
          <w:rFonts w:ascii="Arial" w:hAnsi="Arial" w:eastAsia="Arial" w:cs="Arial"/>
          <w:color w:val="000000"/>
          <w:sz w:val="21"/>
        </w:rPr>
        <w:t xml:space="preserve">，生产厂为</w:t>
      </w:r>
      <w:r>
        <w:rPr>
          <w:rFonts w:ascii="Arial" w:hAnsi="Arial" w:eastAsia="Arial" w:cs="Arial"/>
          <w:i/>
          <w:color w:val="000000"/>
          <w:sz w:val="21"/>
          <w:u w:val="single"/>
        </w:rPr>
        <w:t xml:space="preserve">（厂名）</w:t>
      </w:r>
      <w:r>
        <w:rPr>
          <w:rFonts w:ascii="Arial" w:hAnsi="Arial" w:eastAsia="Arial" w:cs="Arial"/>
          <w:color w:val="000000"/>
          <w:sz w:val="21"/>
        </w:rPr>
        <w:t xml:space="preserve">，厂址为</w:t>
      </w:r>
      <w:r>
        <w:rPr>
          <w:rFonts w:ascii="Arial" w:hAnsi="Arial" w:eastAsia="Arial" w:cs="Arial"/>
          <w:i/>
          <w:color w:val="000000"/>
          <w:sz w:val="21"/>
          <w:u w:val="single"/>
        </w:rPr>
        <w:t xml:space="preserve">（生产厂址）</w:t>
      </w:r>
      <w:r>
        <w:rPr>
          <w:rFonts w:ascii="Arial" w:hAnsi="Arial" w:eastAsia="Arial" w:cs="Arial"/>
          <w:color w:val="000000"/>
          <w:sz w:val="21"/>
        </w:rPr>
        <w:t xml:space="preserve">。</w:t>
      </w:r>
      <w:r>
        <w:rPr>
          <w:rFonts w:ascii="Arial" w:hAnsi="Arial" w:eastAsia="Arial" w:cs="Arial"/>
          <w:i/>
          <w:color w:val="000000"/>
          <w:sz w:val="21"/>
          <w:u w:val="single"/>
        </w:rPr>
        <w:t xml:space="preserve">（产品名称2）</w:t>
      </w:r>
      <w:r>
        <w:rPr>
          <w:rFonts w:ascii="Arial" w:hAnsi="Arial" w:eastAsia="Arial" w:cs="Arial"/>
          <w:color w:val="000000"/>
          <w:sz w:val="21"/>
        </w:rPr>
        <w:t xml:space="preserve">的中国境内生产的组件成本占比≥</w:t>
      </w:r>
      <w:r>
        <w:rPr>
          <w:rFonts w:ascii="Arial" w:hAnsi="Arial" w:eastAsia="Arial" w:cs="Arial"/>
          <w:i/>
          <w:color w:val="000000"/>
          <w:sz w:val="21"/>
          <w:u w:val="single"/>
        </w:rPr>
        <w:t xml:space="preserve">（规定比例）</w:t>
      </w:r>
      <w:r>
        <w:rPr>
          <w:rFonts w:ascii="Arial" w:hAnsi="Arial" w:eastAsia="Arial" w:cs="Arial"/>
          <w:color w:val="000000"/>
          <w:sz w:val="21"/>
        </w:rPr>
        <w:t xml:space="preserve">。</w:t>
      </w:r>
      <w:r>
        <w:rPr>
          <w:rFonts w:ascii="Arial" w:hAnsi="Arial" w:eastAsia="Arial" w:cs="Arial"/>
          <w:i/>
          <w:color w:val="000000"/>
          <w:sz w:val="21"/>
          <w:u w:val="single"/>
        </w:rPr>
        <w:t xml:space="preserve">（产品名称2）</w:t>
      </w:r>
      <w:r>
        <w:rPr>
          <w:rFonts w:ascii="Arial" w:hAnsi="Arial" w:eastAsia="Arial" w:cs="Arial"/>
          <w:color w:val="000000"/>
          <w:sz w:val="21"/>
        </w:rPr>
        <w:t xml:space="preserve">的</w:t>
      </w:r>
      <w:r>
        <w:rPr>
          <w:rFonts w:ascii="Arial" w:hAnsi="Arial" w:eastAsia="Arial" w:cs="Arial"/>
          <w:i/>
          <w:color w:val="000000"/>
          <w:sz w:val="21"/>
          <w:u w:val="single"/>
        </w:rPr>
        <w:t xml:space="preserve">（关键组件）</w:t>
      </w:r>
      <w:r>
        <w:rPr>
          <w:rFonts w:ascii="Arial" w:hAnsi="Arial" w:eastAsia="Arial" w:cs="Arial"/>
          <w:color w:val="000000"/>
          <w:sz w:val="21"/>
        </w:rPr>
        <w:t xml:space="preserve">在中国境内生产。</w:t>
      </w:r>
      <w:r>
        <w:rPr>
          <w:rFonts w:ascii="Arial" w:hAnsi="Arial" w:eastAsia="Arial" w:cs="Arial"/>
          <w:i/>
          <w:color w:val="000000"/>
          <w:sz w:val="21"/>
          <w:u w:val="single"/>
        </w:rPr>
        <w:t xml:space="preserve">（产品名称2）</w:t>
      </w:r>
      <w:r>
        <w:rPr>
          <w:rFonts w:ascii="Arial" w:hAnsi="Arial" w:eastAsia="Arial" w:cs="Arial"/>
          <w:color w:val="000000"/>
          <w:sz w:val="21"/>
        </w:rPr>
        <w:t xml:space="preserve">的</w:t>
      </w:r>
      <w:r>
        <w:rPr>
          <w:rFonts w:ascii="Arial" w:hAnsi="Arial" w:eastAsia="Arial" w:cs="Arial"/>
          <w:i/>
          <w:color w:val="000000"/>
          <w:sz w:val="21"/>
          <w:u w:val="single"/>
        </w:rPr>
        <w:t xml:space="preserve">（关键工序）</w:t>
      </w:r>
      <w:r>
        <w:rPr>
          <w:rFonts w:ascii="Arial" w:hAnsi="Arial" w:eastAsia="Arial" w:cs="Arial"/>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十四、联合体协议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3</cp:revision>
  <dcterms:created xsi:type="dcterms:W3CDTF">2026-04-20T01:29:12Z</dcterms:created>
  <dcterms:modified xsi:type="dcterms:W3CDTF">2026-04-20T06:54:06Z</dcterms:modified>
</cp:coreProperties>
</file>