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竞争性磋商文件</w:t>
      </w:r>
      <w:r/>
    </w:p>
    <w:p>
      <w:pPr>
        <w:ind w:left="0" w:right="0" w:firstLine="2249"/>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249"/>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249"/>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2244" w:right="0" w:hanging="1606"/>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项目名称：灌云县地籍调查和地籍图编制项目（专门面向中小微）</w:t>
      </w:r>
      <w:r/>
    </w:p>
    <w:p>
      <w:pPr>
        <w:ind w:left="0" w:right="0" w:firstLine="64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Arial" w:hAnsi="Arial" w:eastAsia="Arial" w:cs="Arial"/>
          <w:b/>
          <w:color w:val="000000"/>
          <w:sz w:val="32"/>
        </w:rPr>
        <w:t xml:space="preserve">JSZC-320723-SWZD-C2026-0001</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12"/>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采购人：灌云县自然资源和规划局</w:t>
      </w:r>
      <w:r/>
    </w:p>
    <w:p>
      <w:pPr>
        <w:ind w:left="0" w:right="0" w:firstLine="912"/>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采购代理机构：江苏伟之达项目管理咨询有限公司</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rPr>
          <w:rFonts w:ascii="SimSun" w:hAnsi="SimSun" w:eastAsia="SimSun" w:cs="SimSun"/>
          <w:color w:val="000000"/>
          <w:sz w:val="32"/>
        </w:rPr>
        <w:t xml:space="preserve">2026年</w:t>
      </w:r>
      <w:r>
        <w:rPr>
          <w:rFonts w:ascii="SimSun" w:hAnsi="SimSun" w:eastAsia="SimSun" w:cs="SimSun"/>
          <w:color w:val="000000"/>
          <w:sz w:val="32"/>
        </w:rPr>
        <w:t xml:space="preserve">5月</w:t>
      </w:r>
      <w:r>
        <w:rPr>
          <w:rFonts w:ascii="SimSun" w:hAnsi="SimSun" w:eastAsia="SimSun" w:cs="SimSun"/>
          <w:color w:val="000000"/>
          <w:sz w:val="2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总目录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numPr>
          <w:ilvl w:val="0"/>
          <w:numId w:val="9"/>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磋商邀请……………………………………2 </w:t>
      </w:r>
      <w:r/>
    </w:p>
    <w:p>
      <w:pPr>
        <w:numPr>
          <w:ilvl w:val="0"/>
          <w:numId w:val="9"/>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供应商须知…………………………………7  </w:t>
      </w:r>
      <w:r/>
    </w:p>
    <w:p>
      <w:pPr>
        <w:numPr>
          <w:ilvl w:val="0"/>
          <w:numId w:val="9"/>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合同文本……………………………………23</w:t>
      </w:r>
      <w:r/>
    </w:p>
    <w:p>
      <w:pPr>
        <w:numPr>
          <w:ilvl w:val="0"/>
          <w:numId w:val="9"/>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采购需求……………………………………37</w:t>
      </w:r>
      <w:r/>
    </w:p>
    <w:p>
      <w:pPr>
        <w:numPr>
          <w:ilvl w:val="0"/>
          <w:numId w:val="9"/>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评审方法与评审标准………………………41</w:t>
      </w:r>
      <w:r/>
    </w:p>
    <w:p>
      <w:pPr>
        <w:numPr>
          <w:ilvl w:val="0"/>
          <w:numId w:val="9"/>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响应文件格式………………………………47</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第一章磋商邀请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w:t>
      </w:r>
      <w:r>
        <w:rPr>
          <w:rFonts w:ascii="SimSun" w:hAnsi="SimSun" w:eastAsia="SimSun" w:cs="SimSun"/>
          <w:color w:val="000000"/>
          <w:sz w:val="24"/>
          <w:u w:val="single"/>
        </w:rPr>
        <w:t xml:space="preserve">灌云县自然资源和规划局</w:t>
      </w:r>
      <w:r>
        <w:rPr>
          <w:rFonts w:ascii="SimSun" w:hAnsi="SimSun" w:eastAsia="SimSun" w:cs="SimSun"/>
          <w:color w:val="000000"/>
          <w:sz w:val="24"/>
        </w:rPr>
        <w:t xml:space="preserve">的委托，</w:t>
      </w:r>
      <w:r>
        <w:rPr>
          <w:rFonts w:ascii="SimSun" w:hAnsi="SimSun" w:eastAsia="SimSun" w:cs="SimSun"/>
          <w:color w:val="000000"/>
          <w:sz w:val="24"/>
          <w:u w:val="single"/>
        </w:rPr>
        <w:t xml:space="preserve">江苏伟之达项目管理咨询有限公司</w:t>
      </w:r>
      <w:r>
        <w:rPr>
          <w:rFonts w:ascii="SimSun" w:hAnsi="SimSun" w:eastAsia="SimSun" w:cs="SimSun"/>
          <w:color w:val="000000"/>
          <w:sz w:val="24"/>
        </w:rPr>
        <w:t xml:space="preserve">就</w:t>
      </w:r>
      <w:r>
        <w:rPr>
          <w:rFonts w:ascii="SimSun" w:hAnsi="SimSun" w:eastAsia="SimSun" w:cs="SimSun"/>
          <w:color w:val="000000"/>
          <w:sz w:val="24"/>
          <w:u w:val="single"/>
        </w:rPr>
        <w:t xml:space="preserve">灌云县地籍调查和地籍图编制项目（专门面向中小微）</w:t>
      </w:r>
      <w:r>
        <w:rPr>
          <w:rFonts w:ascii="SimSun" w:hAnsi="SimSun" w:eastAsia="SimSun" w:cs="SimSun"/>
          <w:color w:val="000000"/>
          <w:sz w:val="24"/>
        </w:rPr>
        <w:t xml:space="preserve">([项目编号</w:t>
      </w:r>
      <w:r>
        <w:rPr>
          <w:rFonts w:ascii="SimSun" w:hAnsi="SimSun" w:eastAsia="SimSun" w:cs="SimSun"/>
          <w:color w:val="000000"/>
          <w:sz w:val="24"/>
          <w:u w:val="single"/>
        </w:rPr>
        <w:t xml:space="preserve">JSZC-320723-SWZD-C2026-0001</w:t>
      </w:r>
      <w:r>
        <w:rPr>
          <w:rFonts w:ascii="SimSun" w:hAnsi="SimSun" w:eastAsia="SimSun" w:cs="SimSun"/>
          <w:color w:val="000000"/>
          <w:sz w:val="24"/>
        </w:rPr>
        <w:t xml:space="preserve">])项目进行竞争性磋商采购，欢迎符合条件的供应商参加磋商。</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灌云县地籍调查和地籍图编制项目（专门面向中小微）</w:t>
      </w:r>
      <w:r>
        <w:rPr>
          <w:rFonts w:ascii="SimSun" w:hAnsi="SimSun" w:eastAsia="SimSun" w:cs="SimSun"/>
          <w:color w:val="000000"/>
          <w:sz w:val="24"/>
        </w:rPr>
        <w:t xml:space="preserve">竞争性磋商项目的潜在供应商可在</w:t>
      </w:r>
      <w:r>
        <w:rPr>
          <w:rFonts w:ascii="SimSun" w:hAnsi="SimSun" w:eastAsia="SimSun" w:cs="SimSun"/>
          <w:color w:val="000000"/>
          <w:sz w:val="24"/>
          <w:u w:val="single"/>
        </w:rPr>
        <w:t xml:space="preserve">“江苏政府采购网”自行免费下载</w:t>
      </w:r>
      <w:r>
        <w:rPr>
          <w:rFonts w:ascii="SimSun" w:hAnsi="SimSun" w:eastAsia="SimSun" w:cs="SimSun"/>
          <w:color w:val="000000"/>
          <w:sz w:val="24"/>
        </w:rPr>
        <w:t xml:space="preserve">磋商文件，并于</w:t>
      </w:r>
      <w:r>
        <w:rPr>
          <w:rFonts w:ascii="SimSun" w:hAnsi="SimSun" w:eastAsia="SimSun" w:cs="SimSun"/>
          <w:color w:val="000000"/>
          <w:sz w:val="24"/>
          <w:u w:val="single"/>
        </w:rPr>
        <w:t xml:space="preserve">2026年5月20日10点00分（</w:t>
      </w:r>
      <w:r>
        <w:rPr>
          <w:rFonts w:ascii="SimSun" w:hAnsi="SimSun" w:eastAsia="SimSun" w:cs="SimSun"/>
          <w:color w:val="000000"/>
          <w:sz w:val="24"/>
        </w:rPr>
        <w:t xml:space="preserve">北京时间）前递交响应文件。</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一、项目基本情况</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1.项目编号：JSZC-320723-SWZD-C2026-0001</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2.项目名称：灌云县地籍调查和地籍图编制项目（专门面向中小微）</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3.预算金额：280万元；最高限价280万元，投标报价超过最高限价总价的投标无效。</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简介）：根据《自然资源部办公厅关于加快编制地籍图的通知》(自然资办函〔2024〕1481号)《江苏省自然资源厅关于印发《关于深化开展地籍调查和地籍图编制工作的实施方案&gt;的通知》(苏自然资函〔2024〕868号)要求，确定在灌云县开展地籍调查和地籍图编制工作，进一步健全完善地籍调查工作机制，加强地籍数据库建设，推动构建全域覆盖、要素齐全、现势有效、权威准确的地籍“一张图”（详细内容见本磋商文件第四章）。</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对项目采购需求部分的询问、质疑请与采购人联系，由采购人负责答复。</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5.合同履行期限：自合同签订起至2027年10月底。</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二、申请人的资格要求：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（一）通用资格要求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法人或者其他组织的营业执照等证明文件，自然人的身份证明。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1.2具有良好的商业信誉和健全的财务会计制度。</w:t>
      </w:r>
      <w:r>
        <w:rPr>
          <w:rFonts w:ascii="SimSun" w:hAnsi="SimSun" w:eastAsia="SimSun" w:cs="SimSun"/>
          <w:b/>
          <w:color w:val="000000"/>
          <w:sz w:val="24"/>
        </w:rPr>
        <w:t xml:space="preserve">根据连财购〔2023〕4号、连财购〔2023〕9号文件精神，本项可以提供《财务状况报告及税收、社会保障资金缴纳情况承诺函》，不再要求供应商提供相关财务状况、缴纳税收和社会保障资金等证明材料，具体格式详见招标文件第六章响应文件格式</w:t>
      </w: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1.3依法缴纳税收和社会保障资金的相关材料。</w:t>
      </w:r>
      <w:r>
        <w:rPr>
          <w:rFonts w:ascii="SimSun" w:hAnsi="SimSun" w:eastAsia="SimSun" w:cs="SimSun"/>
          <w:b/>
          <w:color w:val="000000"/>
          <w:sz w:val="24"/>
        </w:rPr>
        <w:t xml:space="preserve">根据连财购〔2023〕4号、连财购〔2023〕9号文件精神，本项可以提供《财务状况报告及税收、社会保障资金缴纳情况承诺函》，不再要求供应商提供相关财务状况、缴纳税收和社会保障资金等证明材料，具体格式详见招标文件第六章响应文件格式</w:t>
      </w: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1.4具备履行合同所必需的设备和专业技术能力的书面声明；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1.5参加政府采购活动前3年内在经营活动中没有重大违法记录的声明。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3.落实政府采购政策需满足的资格要求：</w:t>
      </w:r>
      <w:r>
        <w:rPr>
          <w:rFonts w:ascii="SimSun" w:hAnsi="SimSun" w:eastAsia="SimSun" w:cs="SimSun"/>
          <w:b/>
          <w:color w:val="000000"/>
          <w:sz w:val="24"/>
        </w:rPr>
        <w:t xml:space="preserve">本项目只接受中小企业投标，中小企业以外的投标人投标将会被拒绝（本采购所称中小企业，是指在中华人民共和国境内依法设立，依据国务院批准的中小企业划分标准确定的中型企业、小型企业和微型企业，但与大企业的负责人为同一人，或者与大企业存在直接控股、管理关系的除外）。本项目所属行业为其他未列明行业，投标人提供中小企业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w:t>
      </w:r>
      <w:r>
        <w:rPr>
          <w:rFonts w:ascii="SimSun" w:hAnsi="SimSun" w:eastAsia="SimSun" w:cs="SimSun"/>
          <w:b/>
          <w:color w:val="000000"/>
          <w:sz w:val="24"/>
          <w:u w:val="single"/>
        </w:rPr>
        <w:t xml:space="preserve">不接受</w:t>
      </w:r>
      <w:r>
        <w:rPr>
          <w:rFonts w:ascii="SimSun" w:hAnsi="SimSun" w:eastAsia="SimSun" w:cs="SimSun"/>
          <w:color w:val="000000"/>
          <w:sz w:val="24"/>
        </w:rPr>
        <w:t xml:space="preserve">联合体参与磋商。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b/>
          <w:color w:val="000000"/>
          <w:sz w:val="24"/>
        </w:rPr>
        <w:t xml:space="preserve">具有有效的乙级及以上测绘资质（专业标准应包含界线与不动产测绘或摄影测量与遥感或地图编制或地理信息系统工程）</w:t>
      </w:r>
      <w:r>
        <w:rPr>
          <w:rFonts w:ascii="SimSun" w:hAnsi="SimSun" w:eastAsia="SimSun" w:cs="SimSun"/>
          <w:color w:val="000000"/>
          <w:sz w:val="24"/>
        </w:rPr>
        <w:t xml:space="preserve">；</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单位负责人为同一人或者存在直接控股、管理关系的不同供应商，不得参加同一合同项下的政府采购活动。除单一来源采购项目外，为采购项目提供整体设计、规范编制或者项目管理、检测等服务的供应商，不得再参加该采购项目的其他采购活动；</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3、本项目中标后不允许分包或转包。</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（三）法律、法规规定的其他条件。</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三、获取磋商文件</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1.时间：2026年5月9至2026年5月15日23:59止（北京时间）。</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2.方式：在“江苏政府采购网”自行免费下载磋商文件。</w:t>
      </w:r>
      <w:r/>
    </w:p>
    <w:p>
      <w:pPr>
        <w:ind w:left="0" w:right="0" w:firstLine="539"/>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3.方式：登录http://jszfcg.jsczt.cn/或进入江苏政府采购网，点击“苏采云”进入系统。</w:t>
      </w:r>
      <w:r/>
    </w:p>
    <w:p>
      <w:pPr>
        <w:ind w:left="0" w:right="0" w:firstLine="539"/>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4.售价：0.00元。</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四、提交响应文件截止时间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1.2026年5月20日10点00分（北京时间）。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2.地点：“苏采云”政府采购交易系统网上开标大厅。</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五、公告期限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磋商公告及磋商文件公告期限为自本公告发布之日起5个工作日。</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1.本磋商文件中标注★的款项为实质性响应要求和条件，如不满足将按无效响应处理。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无论出于何种原因，采购人在采购活动开始前可对招标文件进行修改、补充或变更，其内容作为招标文件的重要组成部分，请各供应商关注江苏政府采购网。若因供应商自身原因未及时关注本项目有关修改、补充或变更信息，导致响应文件编制或提交失误，由此造成的一切损失由供应商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3.供应商制作响应文件时如遇投标工具中投标格式与采购文件不一致，请供应商按照采购文件中投标格式的要求编制一份响应文件资料添加在投标工具其他材料中。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4.根据苏财购〔2020〕52号规定，本项目不收取磋商保证金。</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七、本次磋商联系方式</w:t>
      </w:r>
      <w:r/>
    </w:p>
    <w:p>
      <w:pPr>
        <w:ind w:left="0" w:right="0" w:firstLine="7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7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名称：灌云县自然资源和规划局</w:t>
      </w:r>
      <w:r/>
    </w:p>
    <w:p>
      <w:pPr>
        <w:ind w:left="1079" w:right="0" w:hanging="30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地址：连云港市灌云县</w:t>
      </w:r>
      <w:r/>
    </w:p>
    <w:p>
      <w:pPr>
        <w:ind w:left="1079" w:right="0" w:hanging="30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联系人：周主任</w:t>
      </w:r>
      <w:r/>
    </w:p>
    <w:p>
      <w:pPr>
        <w:ind w:left="1079" w:right="0" w:hanging="30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联系方式：051888857700</w:t>
      </w:r>
      <w:r/>
    </w:p>
    <w:p>
      <w:pPr>
        <w:ind w:left="1079" w:right="0" w:hanging="30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079" w:right="0" w:hanging="30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名称：江苏伟之达项目管理咨询有限公司</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地址：连云港市海州区新大街9号凤凰·光辉岁月商务花园3号楼一层</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联系人：刘工</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联系方式：18115991881</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项目联系人：刘工</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电话：18115991881</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八、其他</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http://www.ccgp-jiangsu.gov.cn/jiangsu/zlxz/ee/ee3a4bc5a3454aa2b0d9312230633ce</w:t>
      </w:r>
      <w:r>
        <w:rPr>
          <w:rFonts w:ascii="SimSun" w:hAnsi="SimSun" w:eastAsia="SimSun" w:cs="SimSun"/>
          <w:color w:val="000000"/>
          <w:sz w:val="24"/>
        </w:rPr>
        <w:t xml:space="preserve">9.html</w:t>
      </w:r>
      <w:r/>
    </w:p>
    <w:p>
      <w:pPr>
        <w:ind w:left="0" w:right="0" w:firstLine="480"/>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请供应商按照《操作手册》要求获取招标文件，制作、递交（上传）电子响应文件，参加开标，澄清、说明或者补正。因供应商未按要求操作原因导致电子响应文件被拒绝、造成无效响应的，自行承担一切损失。</w:t>
      </w:r>
      <w:r/>
    </w:p>
    <w:p>
      <w:pPr>
        <w:ind w:left="0" w:right="0" w:firstLine="480"/>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有关本次磋商的事项若存在变动或修改，敬请及时关注“江苏政府采购网”发布的更正公告。</w:t>
      </w:r>
      <w:r/>
    </w:p>
    <w:p>
      <w:pPr>
        <w:ind w:left="0" w:right="0" w:firstLine="0"/>
        <w:jc w:val="center"/>
        <w:spacing w:before="260" w:after="260" w:line="98"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60" w:after="260" w:line="9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第二章供应商须知</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w:t>
      </w:r>
      <w:r>
        <w:rPr>
          <w:rFonts w:ascii="SimHei" w:hAnsi="SimHei" w:eastAsia="SimHei" w:cs="SimHei"/>
          <w:color w:val="000000"/>
          <w:sz w:val="28"/>
        </w:rPr>
        <w:t xml:space="preserve">、采购方式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本次政府采购活动采取竞争性磋商(以下简称磋商)方式，本磋商文件仅适用于磋商公告中所述项目。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w:t>
      </w:r>
      <w:r>
        <w:rPr>
          <w:rFonts w:ascii="SimHei" w:hAnsi="SimHei" w:eastAsia="SimHei" w:cs="SimHei"/>
          <w:color w:val="000000"/>
          <w:sz w:val="28"/>
        </w:rPr>
        <w:t xml:space="preserve">、合格的供应商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2.1满足磋商公告中供应商资格要求的规定。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满足本磋商文件实质性要求和条件的规定。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3</w:t>
      </w:r>
      <w:r>
        <w:rPr>
          <w:rFonts w:ascii="SimHei" w:hAnsi="SimHei" w:eastAsia="SimHei" w:cs="SimHei"/>
          <w:color w:val="000000"/>
          <w:sz w:val="28"/>
        </w:rPr>
        <w:t xml:space="preserve">、适用法律</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本次磋商及由此产生的合同受中华人民共和国有关的法律法规制约和保护。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4</w:t>
      </w:r>
      <w:r>
        <w:rPr>
          <w:rFonts w:ascii="SimHei" w:hAnsi="SimHei" w:eastAsia="SimHei" w:cs="SimHei"/>
          <w:color w:val="000000"/>
          <w:sz w:val="28"/>
        </w:rPr>
        <w:t xml:space="preserve">、磋商费用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供应商应自行承担所有与参加本次磋商有关的费用，无论磋商过程中的做法和结果如何，江苏伟之达项目管理咨询有限公司（以下简称采购代理机构）及灌云县自然资源和规划局（以下简称采购人）在任何情况下均无义务和责任承担这些费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4.2本次磋商采购代理服务费：固定价格25200元；以上费用最终由成交供应商在领取成交通知书时一次性支付，供应商须将此部分费用综合考虑在报价中，不得单列。</w:t>
      </w:r>
      <w:r/>
    </w:p>
    <w:p>
      <w:pPr>
        <w:ind w:left="0" w:right="0" w:firstLine="301"/>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w:t>
      </w:r>
      <w:r>
        <w:rPr>
          <w:rFonts w:ascii="SimHei" w:hAnsi="SimHei" w:eastAsia="SimHei" w:cs="SimHei"/>
          <w:b/>
          <w:color w:val="000000"/>
          <w:sz w:val="30"/>
        </w:rPr>
        <w:t xml:space="preserve">、</w:t>
      </w:r>
      <w:r>
        <w:rPr>
          <w:rFonts w:ascii="SimHei" w:hAnsi="SimHei" w:eastAsia="SimHei" w:cs="SimHei"/>
          <w:color w:val="000000"/>
          <w:sz w:val="28"/>
        </w:rPr>
        <w:t xml:space="preserve">磋商文件的约束力</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5.1供应商一旦参加本项目采购活动，即被认为接受了本磋商文件的规定和约束。</w:t>
      </w:r>
      <w:r/>
    </w:p>
    <w:p>
      <w:pPr>
        <w:ind w:left="0" w:right="0" w:firstLine="321"/>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二、磋商文件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6</w:t>
      </w:r>
      <w:r>
        <w:rPr>
          <w:rFonts w:ascii="SimHei" w:hAnsi="SimHei" w:eastAsia="SimHei" w:cs="SimHei"/>
          <w:color w:val="000000"/>
          <w:sz w:val="28"/>
        </w:rPr>
        <w:t xml:space="preserve">、磋商文件构成</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6.1磋商文件由以下部分组成：</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（1）磋商邀请</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（2）供应商须知</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（5）评审方法与评审标准</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（6）响应文件格式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请仔细检查磋商文件是否齐全，如有缺漏请立即与采购代理机构联系解决。</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7</w:t>
      </w:r>
      <w:r>
        <w:rPr>
          <w:rFonts w:ascii="SimHei" w:hAnsi="SimHei" w:eastAsia="SimHei" w:cs="SimHei"/>
          <w:color w:val="000000"/>
          <w:sz w:val="28"/>
        </w:rPr>
        <w:t xml:space="preserve">、磋商文件的澄清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任何要求对磋商文件进行澄清的供应商，应在磋商截止期5日前按磋商公告中的通讯地址，以书面形式通知采购人或</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8</w:t>
      </w:r>
      <w:r>
        <w:rPr>
          <w:rFonts w:ascii="SimHei" w:hAnsi="SimHei" w:eastAsia="SimHei" w:cs="SimHei"/>
          <w:color w:val="000000"/>
          <w:sz w:val="28"/>
        </w:rPr>
        <w:t xml:space="preserve">、磋商文件的澄清和修改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在响应文件提交截止时间前，采购代理机构可以对磋商文件进行澄清和修改,</w:t>
      </w:r>
      <w:r>
        <w:rPr>
          <w:rFonts w:ascii="SimSun" w:hAnsi="SimSun" w:eastAsia="SimSun" w:cs="SimSun"/>
          <w:color w:val="000000"/>
          <w:sz w:val="21"/>
        </w:rPr>
        <w:t xml:space="preserve"> </w:t>
      </w:r>
      <w:r>
        <w:rPr>
          <w:rFonts w:ascii="SimSun" w:hAnsi="SimSun" w:eastAsia="SimSun" w:cs="SimSun"/>
          <w:color w:val="000000"/>
          <w:sz w:val="24"/>
        </w:rPr>
        <w:t xml:space="preserve">澄清或者修改的内容作为磋商文件的组成部分。澄清或者修改的内容可能影响响应文件编制的，采购代理机构将在提交首次响应文件截止时间至少5日前，在“江苏政府采购网”上发布书面更正公告形式通知所有获取磋商文件的供应商,</w:t>
      </w:r>
      <w:r>
        <w:rPr>
          <w:rFonts w:ascii="SimSun" w:hAnsi="SimSun" w:eastAsia="SimSun" w:cs="SimSun"/>
          <w:color w:val="000000"/>
          <w:sz w:val="21"/>
        </w:rPr>
        <w:t xml:space="preserve"> </w:t>
      </w:r>
      <w:r>
        <w:rPr>
          <w:rFonts w:ascii="SimSun" w:hAnsi="SimSun" w:eastAsia="SimSun" w:cs="SimSun"/>
          <w:color w:val="000000"/>
          <w:sz w:val="24"/>
        </w:rPr>
        <w:t xml:space="preserve">更正公告内容将作为磋商文件的组成部分，并对供应商具有约束力。不足5日的，采购代理机构将顺延提交首次响应文件截止时间。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8.2采购代理机构可以视采购项目的具体情况，组织供应商进行现场考察或召开磋商前答疑会，但不单独或分别组织只有一个供应商参加的现场考察和答疑会。</w:t>
      </w:r>
      <w:r/>
    </w:p>
    <w:p>
      <w:pPr>
        <w:ind w:left="0" w:right="0" w:firstLine="48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三、响应文件的编制</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9</w:t>
      </w:r>
      <w:r>
        <w:rPr>
          <w:rFonts w:ascii="SimHei" w:hAnsi="SimHei" w:eastAsia="SimHei" w:cs="SimHei"/>
          <w:color w:val="000000"/>
          <w:sz w:val="28"/>
        </w:rPr>
        <w:t xml:space="preserve">、响应文件的语言及度量衡单位</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9.1供应商提交的响应文件以及供应商与采购代理机构就有关磋商的所有来往通知、函件和文件均应使用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除技术性能另有规定外，响应文件所使用的度量衡单位，均须采用国家法定计量单位。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10</w:t>
      </w:r>
      <w:r>
        <w:rPr>
          <w:rFonts w:ascii="SimHei" w:hAnsi="SimHei" w:eastAsia="SimHei" w:cs="SimHei"/>
          <w:color w:val="000000"/>
          <w:sz w:val="28"/>
        </w:rPr>
        <w:t xml:space="preserve">、响应文件构成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10.1供应商编写的响应文件应包括资格证明文件、符合性证明文件、分项报价表、技术要求响应及偏离表、商务要求响应及偏离表、其他证明文件、磋商响应函等部分。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如标书制作工具中格式和内容与“江苏政府采购网”发布的磋商文件不一致，请以“江苏政府采购网”发布的磋商文件为准。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11</w:t>
      </w:r>
      <w:r>
        <w:rPr>
          <w:rFonts w:ascii="SimHei" w:hAnsi="SimHei" w:eastAsia="SimHei" w:cs="SimHei"/>
          <w:color w:val="000000"/>
          <w:sz w:val="28"/>
        </w:rPr>
        <w:t xml:space="preserve">、证明磋商响应标的符合磋商文件规定的文件</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11.1供应商应按照磋商文件要求提交证明文件，证明其及磋商响应标的符合磋商文件规定。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11.2磋商文件对证明文件无明确形式要求的，证明文件可以以文字资料、图纸和数据等形式提交。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12</w:t>
      </w:r>
      <w:r>
        <w:rPr>
          <w:rFonts w:ascii="SimHei" w:hAnsi="SimHei" w:eastAsia="SimHei" w:cs="SimHei"/>
          <w:color w:val="000000"/>
          <w:sz w:val="28"/>
        </w:rPr>
        <w:t xml:space="preserve">、分项报价表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12.1供应商应按照磋商文件规定格式填报分项报价表。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12.2磋商货币。响应文件中的单价和总价无特殊规定的采用人民币报价，以元为单位标注。磋商文件中另有规定的按规定执行。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13</w:t>
      </w:r>
      <w:r>
        <w:rPr>
          <w:rFonts w:ascii="SimHei" w:hAnsi="SimHei" w:eastAsia="SimHei" w:cs="SimHei"/>
          <w:color w:val="000000"/>
          <w:sz w:val="28"/>
        </w:rPr>
        <w:t xml:space="preserve">、技术要求响应及偏离表、商务要求响应及偏离表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13.1供应商需对磋商文件中的技术要求与商务要求逐项作出响应或偏离，并说明原因。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13.2供应商可在响应文件中提供认为需要的其他技术文件或说明。</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14</w:t>
      </w:r>
      <w:r>
        <w:rPr>
          <w:rFonts w:ascii="SimHei" w:hAnsi="SimHei" w:eastAsia="SimHei" w:cs="SimHei"/>
          <w:color w:val="000000"/>
          <w:sz w:val="28"/>
        </w:rPr>
        <w:t xml:space="preserve">、服务承诺、培训计划、人员安排及其他</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14.1供应商需根据磋商文件要求提供有关售后服务的管理制度，售后服务机构的分布情况，售后服务人员的数量、素质、技术水平及售后服务的反应能力等。</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14.2供应商需根据磋商文件要求提供培训计划。</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14.3供应商需根据磋商文件要求提供磋商响应标的的主要组成部分、功能设计、实现思路及关键技术等。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15</w:t>
      </w:r>
      <w:r>
        <w:rPr>
          <w:rFonts w:ascii="SimHei" w:hAnsi="SimHei" w:eastAsia="SimHei" w:cs="SimHei"/>
          <w:color w:val="000000"/>
          <w:sz w:val="28"/>
        </w:rPr>
        <w:t xml:space="preserve">、磋商响应函</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15.1供应商应按照磋商文件中提供的格式完整、正确填写磋商响应函。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16</w:t>
      </w:r>
      <w:r>
        <w:rPr>
          <w:rFonts w:ascii="SimHei" w:hAnsi="SimHei" w:eastAsia="SimHei" w:cs="SimHei"/>
          <w:color w:val="000000"/>
          <w:sz w:val="28"/>
        </w:rPr>
        <w:t xml:space="preserve">、磋商有效期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16.1磋商有效期为采购代理机构规定的提交响应文件截止之日后</w:t>
      </w:r>
      <w:r>
        <w:rPr>
          <w:rFonts w:ascii="SimSun" w:hAnsi="SimSun" w:eastAsia="SimSun" w:cs="SimSun"/>
          <w:b/>
          <w:color w:val="000000"/>
          <w:sz w:val="24"/>
          <w:u w:val="single"/>
        </w:rPr>
        <w:t xml:space="preserve">六十（</w:t>
      </w:r>
      <w:r>
        <w:rPr>
          <w:rFonts w:ascii="FangSong" w:hAnsi="FangSong" w:eastAsia="FangSong" w:cs="FangSong"/>
          <w:b/>
          <w:color w:val="000000"/>
          <w:sz w:val="24"/>
          <w:u w:val="single"/>
        </w:rPr>
        <w:t xml:space="preserve">60</w:t>
      </w:r>
      <w:r>
        <w:rPr>
          <w:rFonts w:ascii="SimSun" w:hAnsi="SimSun" w:eastAsia="SimSun" w:cs="SimSun"/>
          <w:b/>
          <w:color w:val="000000"/>
          <w:sz w:val="24"/>
          <w:u w:val="single"/>
        </w:rPr>
        <w:t xml:space="preserve">）天</w:t>
      </w:r>
      <w:r>
        <w:rPr>
          <w:rFonts w:ascii="SimSun" w:hAnsi="SimSun" w:eastAsia="SimSun" w:cs="SimSun"/>
          <w:color w:val="000000"/>
          <w:sz w:val="24"/>
        </w:rPr>
        <w:t xml:space="preserve">。磋商有效期比规定短的将被视为非实质性响应磋商文件而予以拒绝。</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17</w:t>
      </w:r>
      <w:r>
        <w:rPr>
          <w:rFonts w:ascii="SimHei" w:hAnsi="SimHei" w:eastAsia="SimHei" w:cs="SimHei"/>
          <w:color w:val="000000"/>
          <w:sz w:val="28"/>
        </w:rPr>
        <w:t xml:space="preserve">、磋商有效期的延长</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p>
    <w:p>
      <w:pPr>
        <w:ind w:left="0" w:right="0" w:firstLine="48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四、响应文件的递交</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18</w:t>
      </w:r>
      <w:r>
        <w:rPr>
          <w:rFonts w:ascii="SimHei" w:hAnsi="SimHei" w:eastAsia="SimHei" w:cs="SimHei"/>
          <w:color w:val="000000"/>
          <w:sz w:val="28"/>
        </w:rPr>
        <w:t xml:space="preserve">、电子磋商响应文件的递交</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18.1供应商应当按照《操作手册》规定，在提交响应文件截止时间前制作并上传电子响应文件。</w:t>
      </w:r>
      <w:r/>
    </w:p>
    <w:p>
      <w:pPr>
        <w:ind w:left="0" w:right="0" w:firstLine="560"/>
        <w:jc w:val="both"/>
        <w:spacing w:before="280" w:after="290" w:line="8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19</w:t>
      </w:r>
      <w:r>
        <w:rPr>
          <w:rFonts w:ascii="SimHei" w:hAnsi="SimHei" w:eastAsia="SimHei" w:cs="SimHei"/>
          <w:color w:val="000000"/>
          <w:sz w:val="28"/>
        </w:rPr>
        <w:t xml:space="preserve">、提交响应文件截止时间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★19.1供应商上传电子响应文件的时间不得迟于磋商公告中规定的提交响应文件截止时间。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供应商应充分考虑到网络环境、网络带宽等风险因素，如因供应商自身原因造成的电子响应文件上传不成功的按照本磋商文件第二章第26.3.2条规定做无效响应处理。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采购代理机构可以按照规定，通过修改磋商文件酌情延长提交响应文件截止日期，在此情况下，供应商的所有权利和义务以及供应商受制的截止日期均应以延长后新的截止日期为准。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20</w:t>
      </w:r>
      <w:r>
        <w:rPr>
          <w:rFonts w:ascii="SimHei" w:hAnsi="SimHei" w:eastAsia="SimHei" w:cs="SimHei"/>
          <w:color w:val="000000"/>
          <w:sz w:val="28"/>
        </w:rPr>
        <w:t xml:space="preserve">、响应文件的拒收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采购代理机构拒绝接收在其规定的提交响应文件截止时间后上传的任何电子响应文件。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21</w:t>
      </w:r>
      <w:r>
        <w:rPr>
          <w:rFonts w:ascii="SimHei" w:hAnsi="SimHei" w:eastAsia="SimHei" w:cs="SimHei"/>
          <w:color w:val="000000"/>
          <w:sz w:val="28"/>
        </w:rPr>
        <w:t xml:space="preserve">、响应文件的撤回和修改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21.1响应文件的撤回</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电子响应文件的撤回</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供应商可在提交响应文件截止时间前，撤回其电子响应文件，具体操作方法见《操作手册》。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21.1.2供应商撤回电子响应文件，则认为其不再参与本项目磋商活动。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21.2响应文件的修改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供应商可在提交响应文件截止时间前，对其电子响应文件进行修改，具体操作方法见《操作手册》。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在提交响应文件截止时间之后，供应商不得对其电子响应文件作任何修改。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 在提交响应文件截止时间至磋商文件中规定的磋商有效期满之间的这段时间内，供应商不得撤回其响应文件。</w:t>
      </w:r>
      <w:r/>
    </w:p>
    <w:p>
      <w:pPr>
        <w:ind w:left="0" w:right="0" w:firstLine="48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五、响应文件的解密与评审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22</w:t>
      </w:r>
      <w:r>
        <w:rPr>
          <w:rFonts w:ascii="SimHei" w:hAnsi="SimHei" w:eastAsia="SimHei" w:cs="SimHei"/>
          <w:color w:val="000000"/>
          <w:sz w:val="28"/>
        </w:rPr>
        <w:t xml:space="preserve">、响应文件解密</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22.1供应商应当按照《操作手册》规定，在苏采云系统规定的时间内对磋商响应文件进行解密。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23</w:t>
      </w:r>
      <w:r>
        <w:rPr>
          <w:rFonts w:ascii="SimHei" w:hAnsi="SimHei" w:eastAsia="SimHei" w:cs="SimHei"/>
          <w:color w:val="000000"/>
          <w:sz w:val="28"/>
        </w:rPr>
        <w:t xml:space="preserve">、磋商小组</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23.1采购代理机构将组织磋商小组对响应文件进行评审。磋商小组由采购人代表和有关技术、经济等方面的专家组成，且人员构成符合政府采购有关规定。</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23.2磋商小组独立工作，负责评审所有响应文件并确定成交侯选人。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24、评审过程的保密与公正</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24.1磋商小组、采购人和采购代理机构工作人员、相关监督人员等与评审工作有关的人员，对评审情况以及在评审过程中获悉的国家秘密、商业秘密负有保密责任。</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24.2在评审过程中，供应商不得以任何行为影响磋商评审过程，否则其响应文件将被作为无效响应文件。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24.3在项目评审期间，采购代理机构将设专门人员与供应商联系。</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采购代理机构和磋商小组不向未成交的供应商解释未成交原因，也不公布评审过程中的相关细节。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25</w:t>
      </w:r>
      <w:r>
        <w:rPr>
          <w:rFonts w:ascii="SimHei" w:hAnsi="SimHei" w:eastAsia="SimHei" w:cs="SimHei"/>
          <w:color w:val="000000"/>
          <w:sz w:val="28"/>
        </w:rPr>
        <w:t xml:space="preserve">、评审过程中的的澄清</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磋商小组并非对每个供应商都作澄清要求。</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25.3 接到磋商小组澄清、说明和更正要求的供应商如未按规定做出澄清、说明和 更正，其风险由供应商自行承担。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26</w:t>
      </w:r>
      <w:r>
        <w:rPr>
          <w:rFonts w:ascii="SimHei" w:hAnsi="SimHei" w:eastAsia="SimHei" w:cs="SimHei"/>
          <w:color w:val="000000"/>
          <w:sz w:val="28"/>
        </w:rPr>
        <w:t xml:space="preserve">、对响应文件的审查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26.1响应文件审查分为资格审查和符合性审查。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资格审查：由磋商小组依据法律法规和磋商文件的规定，对响应文件中的资格证明文件进行审查，以确定供应商是否具备参加磋商的资格。</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09"/>
        <w:gridCol w:w="4530"/>
        <w:gridCol w:w="3487"/>
      </w:tblGrid>
      <w:tr>
        <w:trPr>
          <w:trHeight w:val="62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资料名称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8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  注</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0"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营业执照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87"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7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0"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具有良好的商业信誉和健全的财务会计制度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87" w:type="dxa"/>
            <w:vAlign w:val="center"/>
            <w:vMerge w:val="restart"/>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根据连财购〔2023〕4号、连财购〔2023〕9号文件精神，不再要求供应商提供相关财务状况、缴纳税收和社会保障资金等证明材料，具体格式详见招标文件第六章响应文件格式</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0"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依法缴纳税收和社会保障资金的相关证明</w:t>
            </w:r>
            <w:r/>
          </w:p>
        </w:tc>
        <w:tc>
          <w:tcPr>
            <w:vMerge w:val="continue"/>
            <w:textDirection w:val="lrTb"/>
            <w:noWrap w:val="false"/>
          </w:tcPr>
          <w:p>
            <w:r/>
            <w:r/>
          </w:p>
        </w:tc>
      </w:tr>
      <w:tr>
        <w:trPr>
          <w:trHeight w:val="5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0"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具备履行合同所必需的设备和专业技术能力的声明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8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0"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参加政府采购活动前3年内在经营活动中没有重大违法记录的书面声明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8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0"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法定代表人授权委托书、授权代表人身份证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8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法人参加投标时无需提供授权委托书</w:t>
            </w:r>
            <w:r/>
          </w:p>
        </w:tc>
      </w:tr>
      <w:tr>
        <w:trPr>
          <w:trHeight w:val="5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0"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资质证书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87"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0"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87"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注：上述资料原件彩色扫描件必须上传至响应文件制作工具中，否则视为资格审查不通过。</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磋商小组在进行资格审查的同时，将在“信用中国”网站（www.creditchina.gov.cn）查询供应商的信用记录，以确定供应商是否具备磋商资格,查询结果留存并归档。</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符合性审查：依据磋商文件的规定，由磋商小组从响应文件的有效性、完整性和对磋商文件的响应程度进行审查，以确定是否对磋商文件的实质性要求作出响应。</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26.3未实质性响应磋商文件的情形</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26.3.1供应商在苏采云系统规定的时间内未成功解密电子响应文件的。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26.3.2供应商未按照磋商文件要求上传电子响应文件的。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26.3.3同一供应商提交两个（含两个）以上不同的响应文件或者最后报价的。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26.3.4供应商不具备磋商文件中规定资格要求的。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26.3.5供应商的最后报价超过了采购预算。</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26.3.6不符合磋商文件中规定的实质性要求和条件的（本磋商文件中标注★的款项为实质性响应要求和条件，如不满足将按无效响应处理）。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26.3.8  响应文件含有采购人不能接受的附加条件的。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26.3.10响应文件未按照磋商文件要求加盖CA电子公章的。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26.4未实质性响应磋商文件的响应文件按无效响应处理。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26.5如果响应文件实质上没有响应磋商文件的要求，磋商小组将予以拒绝，供应商不得通过修改或撤销不合要求的偏离或保留而使其成为实质性响应的文件。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26.6供应商在项目评审全过程中应保持通讯畅通，并安排专人与采购代理机构及磋商小组联系。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27</w:t>
      </w:r>
      <w:r>
        <w:rPr>
          <w:rFonts w:ascii="SimHei" w:hAnsi="SimHei" w:eastAsia="SimHei" w:cs="SimHei"/>
          <w:color w:val="000000"/>
          <w:sz w:val="28"/>
        </w:rPr>
        <w:t xml:space="preserve">、磋商程序及评审方法和评审标准</w:t>
      </w:r>
      <w:r/>
    </w:p>
    <w:p>
      <w:pPr>
        <w:ind w:left="0" w:right="0" w:firstLine="477"/>
        <w:jc w:val="both"/>
        <w:spacing w:before="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27.1磋商程序</w:t>
      </w:r>
      <w:r/>
    </w:p>
    <w:p>
      <w:pPr>
        <w:ind w:left="0" w:right="0" w:firstLine="477"/>
        <w:jc w:val="both"/>
        <w:spacing w:before="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right="0" w:firstLine="477"/>
        <w:jc w:val="both"/>
        <w:spacing w:before="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right="0" w:firstLine="477"/>
        <w:jc w:val="both"/>
        <w:spacing w:before="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right="0" w:firstLine="477"/>
        <w:jc w:val="both"/>
        <w:spacing w:before="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left="0" w:right="0" w:firstLine="480"/>
        <w:jc w:val="both"/>
        <w:spacing w:before="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left="0" w:right="0" w:firstLine="477"/>
        <w:jc w:val="both"/>
        <w:spacing w:before="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27.1.4评标委员会认为供应商的报价明显低于其他通过符合性审查供应商的报价，有可能影响产品质量或者不能诚信履约的，将通过苏采云系统要求其在合理的时间内提供说明，必要时提交相关证明材料；供应商不能证明其报价合理性的，评标委员会应当将其作为无效投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评审过程中出现下列情形之一的，评审委员会应当启动异常低价投标（响应）审查程序：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①投标（响应）报价低于采购项目预算50%的，即投标（响应）报价&lt;采购项目预算×50%；</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②投标（响应）报价低于采购项目最高限价45%的，即投标（响应）报价&lt;采购项目最高限价×45%；</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③评审委员会认定的供应商报价过低、有可能影响产品质量或者不能诚信履约的其他情形。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将其作为无效投标（响应）处理。审查相关情况在评审报告中进行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27.1.5 本项目采购产品被财政部、国家发展改革委、生态环境部等列入“节能产品品目清单”“环境标志产品品目清单”强制采购范围，而供应商所投标产品不在强制采购范围内的。（投标产品如属于政府强制采购节能产品品目清单范围内，响应文件中必须提供国家确定的认证机构出具的、处于有效期之内的该节能产品认证证书图片）</w:t>
      </w:r>
      <w:r/>
    </w:p>
    <w:p>
      <w:pPr>
        <w:ind w:left="0" w:right="0" w:firstLine="477"/>
        <w:jc w:val="both"/>
        <w:spacing w:before="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评审方法和评审标准</w:t>
      </w:r>
      <w:r/>
    </w:p>
    <w:p>
      <w:pPr>
        <w:ind w:left="0" w:right="0" w:firstLine="477"/>
        <w:jc w:val="both"/>
        <w:spacing w:before="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27.2.1评审方法。经磋商确定最终采购需求和提交最后报价的供应商后，由磋商小组采用综合评分法对提交最后报价的供应商的响应文件和最后报价进行综合评分。</w:t>
      </w:r>
      <w:r/>
    </w:p>
    <w:p>
      <w:pPr>
        <w:ind w:left="0" w:right="0" w:firstLine="477"/>
        <w:jc w:val="both"/>
        <w:spacing w:before="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77"/>
        <w:jc w:val="both"/>
        <w:spacing w:before="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27.2.2评审标准</w:t>
      </w:r>
      <w:r/>
    </w:p>
    <w:p>
      <w:pPr>
        <w:ind w:left="0" w:right="0" w:firstLine="477"/>
        <w:jc w:val="both"/>
        <w:spacing w:before="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见本磋商文件第五章规定。</w:t>
      </w:r>
      <w:r/>
    </w:p>
    <w:p>
      <w:pPr>
        <w:ind w:left="0" w:right="0" w:firstLine="477"/>
        <w:jc w:val="both"/>
        <w:spacing w:before="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27.3采购活动终止的情况</w:t>
      </w:r>
      <w:r/>
    </w:p>
    <w:p>
      <w:pPr>
        <w:ind w:left="0" w:right="0" w:firstLine="360"/>
        <w:jc w:val="both"/>
        <w:spacing w:before="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出现下列情形之一的，本次竞争性磋商采购活动将被终止：</w:t>
      </w:r>
      <w:r/>
    </w:p>
    <w:p>
      <w:pPr>
        <w:ind w:left="0" w:right="0" w:firstLine="360"/>
        <w:jc w:val="both"/>
        <w:spacing w:before="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27.3.1因情况变化，不再符合规定的竞争性磋商采购方式适用情形的。</w:t>
      </w:r>
      <w:r/>
    </w:p>
    <w:p>
      <w:pPr>
        <w:ind w:left="0" w:right="0" w:firstLine="360"/>
        <w:jc w:val="both"/>
        <w:spacing w:before="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27.3.2出现影响采购公正的违法、违规行为的。</w:t>
      </w:r>
      <w:r/>
    </w:p>
    <w:p>
      <w:pPr>
        <w:ind w:left="0" w:right="0" w:firstLine="360"/>
        <w:jc w:val="both"/>
        <w:spacing w:before="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27.3.3除本磋商文件第二章第27.1.2条第三款规定的情形外，在采购过程中符合要求的供应商或者最后报价未超过采购预算的供应商不足3家的。</w:t>
      </w:r>
      <w:r/>
    </w:p>
    <w:p>
      <w:pPr>
        <w:ind w:left="0" w:right="0" w:firstLine="360"/>
        <w:jc w:val="both"/>
        <w:spacing w:before="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27.3.4在苏采云系统规定时间内成功解密电子响应文件的供应商不足3家的。</w:t>
      </w:r>
      <w:r/>
    </w:p>
    <w:p>
      <w:pPr>
        <w:ind w:left="0" w:right="0" w:firstLine="48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六、成交</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28、确定成交单位</w:t>
      </w:r>
      <w:r/>
    </w:p>
    <w:p>
      <w:pPr>
        <w:ind w:left="0" w:right="0" w:firstLine="477"/>
        <w:jc w:val="both"/>
        <w:spacing w:before="0" w:after="145"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28.2采购人从评审报告提出的成交候选供应商中，按照排序由高到低的原则确定成交供应商。采购人确定成交供应商后，采购代理机构将在“江苏政府采购网”发布成交结果公告，公告期限为1个工作日。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28.3若有充分证据证明，成交供应商出现下列情况之一的，一经查实，将被取消成交资格：</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28.3.1提供虚假材料谋取成交的。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28.3.2与评审专家、采购人、其他供应商或者采购代理机构工作人员恶意串通的。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28.3.3向评审专家、采购人或采购代理机构工作人员行贿或者提供其他不正当利益的。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28.3.4恶意竞争，最后报价明显低于其自身合理成本且又无法提供证明的。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28.3.5不满足本磋商文件规定的实质性要求，但在评审过程中又未被磋商小组发现的。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28.3.6成交后无正当理由拒不与采购人签订政府采购合同或者未按照磋商文件确定的事项签订政府采购合同的。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28.3.7将政府采购合同转包的。</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29、质疑处理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提出质疑的供应商应当是参与所质疑项目采购活动的供应商。潜在供应商依法获取其可质疑的采购文件的，可以对采购文件提出质疑。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29.2.1对可以质疑的采购文件提出质疑的，为收到采购文件之日或者采购文件公告期限届满之日。</w:t>
        <w:br/>
        <w:t xml:space="preserve">29.2.2对采购过程提出质疑的，为各采购程序环节结束之日。</w:t>
        <w:br/>
        <w:t xml:space="preserve">29.2.3对成交结果提出质疑的，为成交结果公告期限届满之日。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 供应商（含潜在供应商）对采购方式、采购需求、供应商资格条件、评审方法与评审标准、合同文本的询问、质疑请向采购人提出，由采购人负责答复。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供应商（含潜在供应商）对与本项目有关的所有询问、质疑均请向采购人提出，由采购人负责答复。</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采购人及采购代理机构只接收以纸质原件形式送达的质疑，供应商可以通过现场递交或邮寄方式提交质疑</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采购代理机构质疑接收部门为江苏伟之达项目管理咨询有限公司招标代理部，联系地址：连云港市海州区新大街9号凤凰·光辉岁月商务花园3号楼一楼招标代理部，联系电话：0518-85855258，18115991881。</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采购人质疑接收人及联系方式见本磋商文件第一章。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 以下情形的质疑不予受理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29.5.1 内容不符合《政府采购质疑和投诉办法》第十二条规定的质疑。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29.5.2 超出政府采购法定期限的质疑。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29.5.3 以传真、电子邮件等方式递交的非原件形式的质疑。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29.5.4 未参加磋商活动的供应商或在磋商活动中自身权益未受到损害的供应商所提出的质疑。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29.5.5供应商组成联合体参加磋商，联合体中任何一方或多方未按要求签字、盖章、加盖公章的质疑。</w:t>
      </w:r>
      <w:r/>
    </w:p>
    <w:p>
      <w:pPr>
        <w:ind w:left="0" w:right="0" w:firstLine="46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30、成交通知书</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ascii="SimSun" w:hAnsi="SimSun" w:eastAsia="SimSun" w:cs="SimSun"/>
          <w:b/>
          <w:color w:val="000000"/>
          <w:sz w:val="24"/>
        </w:rPr>
        <w:t xml:space="preserve">成交供应商在领取成交通知书时，需提供五份与电子响应文件一致的纸质打印响应文件，须封面、骑缝加盖公章。</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left="0" w:right="0" w:firstLine="0"/>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31. 签订合同</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31.l成交供应商应当在成交通知书发出之日起三十日内，按照磋商文件确定的事项与采购人签订政府采购合同。</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31.2磋商文件、成交供应商的响应文件及磋商过程中有关澄清、承诺文件均应作为合同附件。</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 签订合同后，</w:t>
      </w:r>
      <w:r>
        <w:rPr>
          <w:rFonts w:ascii="SimSun" w:hAnsi="SimSun" w:eastAsia="SimSun" w:cs="SimSun"/>
          <w:i/>
          <w:color w:val="000000"/>
          <w:sz w:val="24"/>
          <w:u w:val="single"/>
        </w:rPr>
        <w:t xml:space="preserve">成交供应商不得将合同标的进行转包</w:t>
      </w:r>
      <w:r>
        <w:rPr>
          <w:rFonts w:ascii="SimSun" w:hAnsi="SimSun" w:eastAsia="SimSun" w:cs="SimSun"/>
          <w:color w:val="000000"/>
          <w:sz w:val="24"/>
        </w:rPr>
        <w:t xml:space="preserve">。未经采购人同意，成交供应商也不得采用分包形式履行合同,否则采购人有权终止合同。转包或分包造成采购人损失的，成交供应商应承担相应赔偿责任。</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32、标的物的追加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33、政府采购履约资金扶持政策</w:t>
      </w:r>
      <w:r/>
    </w:p>
    <w:p>
      <w:pPr>
        <w:ind w:left="0" w:right="0" w:firstLine="555"/>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成交供应商可凭政府采购合同办理融资贷款，详情请见江苏政府采购网“政采贷”专栏。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本项目执行财政部、工业和信息化部关于印发《政府采购促进中小企业发展管理办法》的通知（财库〔2020〕46号，以下简称《办法》）、《关于印发中小企业划型标准规定的通知》（工信部联企业〔2011〕300号，以下简称《通知》）、《财政部 司法部关于政府采购支持监狱企业发展有关问题的通知》（财库〔2014〕68号）、《关于促进残疾人就业政府采购政策的通知》（财库〔2017〕141号）、《关于进一步加大政府采购支持中小企业力度的通知》（财库〔2022〕19号）的规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在服务采购项目中，服务由中小企业承接，即提供服务的人员为中小企业依照《中华人民共和国劳动合同法》订立劳动合同的从业人员。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中小企业参加政府采购活动，应当出具本办法规定的《中小企业声明函》，否则不得享受相关中小企业扶持政策。响应文件中提供《中小企业声明函》，否则不予认可。</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35、支持绿色发展</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35.1本项目执行《关于印发环境标志产品政府采购品目清单的通知》（财库〔2019〕18 号）、《关于印发节能产品政府采购品目清单的通知》（财库〔2019〕19 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招标文件要求提供相关产品认证证书。</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35.2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快递包装政府采购需求标准（试行）》《绿色数据中心政府采购需求标准（试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35.3落实挥发性有机化合物（VOCs）治理要求，政府采购项目中涉及涂料、胶黏剂、油墨、清洗剂等挥发性有机物产品的，属于强制性标准的，供应商须执行国家和我省 VOCs含量限制标准；供应商优先使用低挥发性原辅材料，将使用低 VOCs 含量的涂料、胶黏剂等纳入政府采购合同条款。</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36、政府采购需求标准</w:t>
      </w:r>
      <w:r/>
    </w:p>
    <w:p>
      <w:pPr>
        <w:ind w:left="0" w:right="0" w:firstLine="7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36.1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w:t>
      </w:r>
      <w:r>
        <w:rPr>
          <w:rFonts w:ascii="SimSun" w:hAnsi="SimSun" w:eastAsia="SimSun" w:cs="SimSun"/>
          <w:color w:val="000000"/>
          <w:sz w:val="24"/>
        </w:rPr>
        <w:t xml:space="preserve">的，执行相关政府采购需求标准。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第三章合同文本</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以下为成交后签定本项目合同的通用条款，成交供应商不得提出实质性的修改。</w:t>
      </w:r>
      <w:r/>
    </w:p>
    <w:p>
      <w:pPr>
        <w:ind w:left="0" w:right="0" w:firstLine="0"/>
        <w:jc w:val="center"/>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委托方（采购人）：</w:t>
      </w:r>
      <w:r>
        <w:rPr>
          <w:rFonts w:ascii="SimSun" w:hAnsi="SimSun" w:eastAsia="SimSun" w:cs="SimSun"/>
          <w:color w:val="000000"/>
          <w:sz w:val="24"/>
          <w:u w:val="single"/>
        </w:rPr>
        <w:t xml:space="preserve">                        </w:t>
      </w:r>
      <w:r>
        <w:rPr>
          <w:rFonts w:ascii="SimSun" w:hAnsi="SimSun" w:eastAsia="SimSun" w:cs="SimSun"/>
          <w:color w:val="000000"/>
          <w:sz w:val="24"/>
        </w:rPr>
        <w:t xml:space="preserve">（以下简称“甲方”）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受托方（成交供应商）：</w:t>
      </w:r>
      <w:r>
        <w:rPr>
          <w:rFonts w:ascii="SimSun" w:hAnsi="SimSun" w:eastAsia="SimSun" w:cs="SimSun"/>
          <w:color w:val="000000"/>
          <w:sz w:val="24"/>
          <w:u w:val="single"/>
        </w:rPr>
        <w:t xml:space="preserve">                        </w:t>
      </w:r>
      <w:r>
        <w:rPr>
          <w:rFonts w:ascii="SimSun" w:hAnsi="SimSun" w:eastAsia="SimSun" w:cs="SimSun"/>
          <w:color w:val="000000"/>
          <w:sz w:val="24"/>
        </w:rPr>
        <w:t xml:space="preserve">（以下简称“乙方”）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甲、乙双方根据《中华人民共和国民法典》、《中华人民共和国政府采购法》等法律法规的规定及</w:t>
      </w:r>
      <w:r>
        <w:rPr>
          <w:rFonts w:ascii="SimSun" w:hAnsi="SimSun" w:eastAsia="SimSun" w:cs="SimSun"/>
          <w:color w:val="000000"/>
          <w:sz w:val="24"/>
          <w:u w:val="single"/>
        </w:rPr>
        <w:t xml:space="preserve">   【项目名称】</w:t>
      </w:r>
      <w:r>
        <w:rPr>
          <w:rFonts w:ascii="SimSun" w:hAnsi="SimSun" w:eastAsia="SimSun" w:cs="SimSun"/>
          <w:b/>
          <w:color w:val="000000"/>
          <w:sz w:val="24"/>
          <w:u w:val="single"/>
        </w:rPr>
        <w:t xml:space="preserve">  </w:t>
      </w:r>
      <w:r>
        <w:rPr>
          <w:rFonts w:ascii="SimSun" w:hAnsi="SimSun" w:eastAsia="SimSun" w:cs="SimSun"/>
          <w:color w:val="000000"/>
          <w:sz w:val="24"/>
        </w:rPr>
        <w:t xml:space="preserve">项目（项目编号：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）的</w:t>
      </w:r>
      <w:r>
        <w:rPr>
          <w:rFonts w:ascii="SimSun" w:hAnsi="SimSun" w:eastAsia="SimSun" w:cs="SimSun"/>
          <w:b/>
          <w:color w:val="000000"/>
          <w:sz w:val="24"/>
          <w:u w:val="single"/>
        </w:rPr>
        <w:t xml:space="preserve">招标</w:t>
      </w:r>
      <w:r>
        <w:rPr>
          <w:rFonts w:ascii="SimSun" w:hAnsi="SimSun" w:eastAsia="SimSun" w:cs="SimSun"/>
          <w:color w:val="000000"/>
          <w:sz w:val="24"/>
        </w:rPr>
        <w:t xml:space="preserve">的结果，签订本合同。</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第一条 采购基本情况</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1、项目名称：</w:t>
      </w:r>
      <w:r>
        <w:rPr>
          <w:rFonts w:ascii="SimSun" w:hAnsi="SimSun" w:eastAsia="SimSun" w:cs="SimSun"/>
          <w:color w:val="000000"/>
          <w:sz w:val="24"/>
          <w:u w:val="single"/>
        </w:rPr>
        <w:t xml:space="preserve">                                </w:t>
      </w:r>
      <w:r>
        <w:rPr>
          <w:rFonts w:ascii="SimSun" w:hAnsi="SimSun" w:eastAsia="SimSun" w:cs="SimSun"/>
          <w:b/>
          <w:color w:val="000000"/>
          <w:sz w:val="30"/>
        </w:rPr>
        <w:t xml:space="preserve"> </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rPr>
          <w:rFonts w:ascii="SimSun" w:hAnsi="SimSun" w:eastAsia="SimSun" w:cs="SimSun"/>
          <w:color w:val="000000"/>
          <w:sz w:val="24"/>
        </w:rPr>
        <w:t xml:space="preserve">采购内容：</w:t>
      </w:r>
      <w:r>
        <w:rPr>
          <w:rFonts w:ascii="SimSun" w:hAnsi="SimSun" w:eastAsia="SimSun" w:cs="SimSun"/>
          <w:b/>
          <w:color w:val="000000"/>
          <w:sz w:val="24"/>
          <w:u w:val="single"/>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3、服务地点：</w:t>
      </w:r>
      <w:r>
        <w:rPr>
          <w:rFonts w:ascii="SimSun" w:hAnsi="SimSun" w:eastAsia="SimSun" w:cs="SimSun"/>
          <w:color w:val="000000"/>
          <w:sz w:val="24"/>
          <w:u w:val="single"/>
        </w:rPr>
        <w:t xml:space="preserve">灌云县 </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第二条 合同总价款及质量、服务期要求</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1.本合同人民币总价款为</w:t>
      </w:r>
      <w:r>
        <w:rPr>
          <w:rFonts w:ascii="SimSun" w:hAnsi="SimSun" w:eastAsia="SimSun" w:cs="SimSun"/>
          <w:color w:val="000000"/>
          <w:sz w:val="24"/>
          <w:u w:val="single"/>
        </w:rPr>
        <w:t xml:space="preserve"> （大写）</w:t>
      </w:r>
      <w:r>
        <w:rPr>
          <w:rFonts w:ascii="SimSun" w:hAnsi="SimSun" w:eastAsia="SimSun" w:cs="SimSun"/>
          <w:color w:val="000000"/>
          <w:sz w:val="24"/>
        </w:rPr>
        <w:t xml:space="preserve">（小写</w:t>
      </w:r>
      <w:r>
        <w:rPr>
          <w:rFonts w:ascii="SimSun" w:hAnsi="SimSun" w:eastAsia="SimSun" w:cs="SimSun"/>
          <w:color w:val="000000"/>
          <w:sz w:val="24"/>
          <w:u w:val="single"/>
        </w:rPr>
        <w:t xml:space="preserve">    元</w:t>
      </w:r>
      <w:r>
        <w:rPr>
          <w:rFonts w:ascii="SimSun" w:hAnsi="SimSun" w:eastAsia="SimSun" w:cs="SimSun"/>
          <w:color w:val="000000"/>
          <w:sz w:val="24"/>
        </w:rPr>
        <w:t xml:space="preserve">）（均为含税价款）。</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ff"/>
          <w:sz w:val="24"/>
        </w:rPr>
        <w:t xml:space="preserve">.</w:t>
      </w:r>
      <w:r>
        <w:rPr>
          <w:rFonts w:ascii="SimSun" w:hAnsi="SimSun" w:eastAsia="SimSun" w:cs="SimSun"/>
          <w:color w:val="000000"/>
          <w:sz w:val="24"/>
        </w:rPr>
        <w:t xml:space="preserve">质量标准：</w:t>
      </w:r>
      <w:r>
        <w:rPr>
          <w:rFonts w:ascii="SimSun" w:hAnsi="SimSun" w:eastAsia="SimSun" w:cs="SimSun"/>
          <w:color w:val="000000"/>
          <w:sz w:val="24"/>
          <w:u w:val="single"/>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3.服务期：</w:t>
      </w:r>
      <w:r>
        <w:rPr>
          <w:rFonts w:ascii="SimSun" w:hAnsi="SimSun" w:eastAsia="SimSun" w:cs="SimSun"/>
          <w:color w:val="000000"/>
          <w:sz w:val="24"/>
          <w:u w:val="single"/>
        </w:rPr>
        <w:t xml:space="preserve">             </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第三条 组成本合同的有关文件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下列关于本次采购活动方式相适应的文件及有关附件是本合同不可分割的组成部分，与本合同具有同等法律效力，这些文件包括但不限于：</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（1）采购文件；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（2）响应文件；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（3）成交通知书；</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（4）成交供应商在投标、评标过程中所作其它有关承诺、声明、书面澄清；</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（5）甲乙双方商定的其他文件等。</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第四条 权利保证</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乙方应保证甲方在合同履行期限内不受第三方提出侵犯其专利权、版权、商标权或其他权利的起诉。一旦出现侵权，乙方应承担全部责任。</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第五条 项目建设内容及要求</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（一）本项目工作内容为：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（1）、已有地籍数据采集分析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国家、省相关标准规范，收集宅基地、集体建设用地、自然资源地籍数据。需收集的地籍数据成果包括但不限于：①集体部分地籍数据成果：集体土地所有权确权登记成果、宅基地房地一体调查登记成果、集体建设用地数据成果、土地承包经营权数据；②行政区、地籍区、地籍子区；③自然幢；④基础地理数据（地形数据）；⑤最新影像数据；⑥国有部分地籍数据成果：土地征收数据、国有建设用地使用权数据；⑦林权数据；⑧自然资源业务审批结果数据（规、审、批、供、用、补、查等）；⑨勘测定界等地籍调查数据；⑩自然资源调查及确权登记成果。对采集的各类型</w:t>
      </w:r>
      <w:r>
        <w:rPr>
          <w:rFonts w:ascii="SimSun" w:hAnsi="SimSun" w:eastAsia="SimSun" w:cs="SimSun"/>
          <w:color w:val="000000"/>
          <w:sz w:val="24"/>
        </w:rPr>
        <w:t xml:space="preserve">地籍数据进行分析，形成技术方案与工作底图。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（2）、宅基地及集体建设用地使用权地籍空白区勾绘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集体范围内宅基地使用权和集体建设用地宗地进行勾绘上图。结合最新影像，对集体土地范围地籍空白区上实际存在宅基地或集体建设用地宗地，进行勾绘上图，根据实际情况填写登记状态和勾绘范围特征等关键信息，编制不动产单元代码，纳入提取或勾绘图层单独管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（3）、地籍数据规范化整理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①地籍数据质检及问题标注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对行政区、地籍区、地籍子区数据进行修正。结合相关材料补充地籍区、地籍子区，对地籍区、地籍子区重复部分进行清理。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按照《地籍数据库 第1部分：不动产》（TD/T 1015.1-2024）、《地籍数据汇交要求（试行）》工作要求，对已有地籍数据结构、字段值域、字典标准、要素代码、数据分层、图形拓扑等进行规范化、标准化质检、梳理，形成问题清单并做好问题标注。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②地籍数据图形问题处理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对地籍数据库中存在的图形数据重复问题开展清洗整合，通过结合已有资料进行判断，保留正确图形，将重复数据导入存疑问题图层。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（4）、地籍数据汇交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①宅基地及集体建设用地使用权地籍数据汇交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按照部关于汇交集体部分地籍数据库成果的要求，将集体建设用地、宅基地地籍数据调查数据成果以及对应的登记数据成果按照《地籍数据汇交要求（试行）》要求，制作数据汇交包，并开展数据质检。</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②自然资源地籍数据汇交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按照部关于汇交自然资源地籍数据库成果的要求，将自然资源调查数据成果以及对应的登记数据成果按照《地籍数据汇交要求（试行）》要求，制作数据汇交包，并开展数据质检。</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③土地承包经营权及林权地籍数据汇交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按照部关于汇交土地承包经营权和林权地籍数据库成果的要求，将土地承包经营权和林权调查数据成果以及对应的登记数据成果按照《地籍数据汇交要求（试行）》要求，制作数据汇交包，并开展数据质检。</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④国有建设用地使用权、国有农用地地籍数据汇交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按照部关于汇交国有部分地籍数据库成果的要求，将国有建设用地使用权、国有农用地调查数据成果以及对应的登记数据成果按照《地籍数据汇交要求（试行）》要求，制作数据汇交包，并开展数据质检。</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（5）国有建设用地空白区地籍调查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国有地籍空白区上实际存在宗地及地上建筑物，开展地籍调查，通过收集相关供地数据、工程施工、历史档案等材料补充数据，同时构建“户落幢、幢落宗”的完整不动产单元表，无法通过资料收集进行补充完善的通过调查进行补充完善数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（6）协助农房统一登记权籍数据提取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依据农房统一登记宅基地权籍调查成果，协助提取并入库4000宗农房日常登记所需权籍数据（不包含宅基地日常登记落宗）。</w:t>
      </w:r>
      <w:r/>
    </w:p>
    <w:p>
      <w:pPr>
        <w:ind w:left="0" w:right="0" w:firstLine="1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（二）技术指标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（1）数学基础</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采用2000国家大地坐标系，1985国家高程基准。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（2）投影方式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采用高斯-克吕格投影，按3°分带。</w:t>
      </w:r>
      <w:r/>
    </w:p>
    <w:p>
      <w:pPr>
        <w:ind w:left="0" w:right="0" w:firstLine="1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（三）成果提交要求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（1）项目技术方案；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（2）工作总结报告；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（3）地籍数据汇交成果。</w:t>
      </w:r>
      <w:r/>
    </w:p>
    <w:p>
      <w:pPr>
        <w:ind w:left="0" w:right="0" w:firstLine="1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（四）质量要求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乙方对提交的成果信息的准确性、安全性负责，最终提交的成果质量须符合地籍数据汇交的相关要求，并通过甲方确认。乙方应按规定的内容、要求、质量标准向甲方提供技术服务。</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第六条 项目验收要求</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 甲方依法组织履约验收工作。</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3 .</w:t>
      </w:r>
      <w:r>
        <w:rPr>
          <w:rFonts w:ascii="SimSun" w:hAnsi="SimSun" w:eastAsia="SimSun" w:cs="SimSun"/>
          <w:color w:val="000000"/>
          <w:sz w:val="24"/>
        </w:rPr>
        <w:t xml:space="preserve">对于实际使用人和甲方分离的项目，甲方邀请实际使用人参与验收。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4 .</w:t>
      </w:r>
      <w:r>
        <w:rPr>
          <w:rFonts w:ascii="SimSun" w:hAnsi="SimSun" w:eastAsia="SimSun" w:cs="SimSun"/>
          <w:color w:val="000000"/>
          <w:sz w:val="24"/>
        </w:rPr>
        <w:t xml:space="preserve">如有必要，甲方邀请参加本项目的其他供应商或第三方专业机构及专家参与验收，相关意见将作为验收书的参考资料。</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5 .</w:t>
      </w:r>
      <w:r>
        <w:rPr>
          <w:rFonts w:ascii="SimSun" w:hAnsi="SimSun" w:eastAsia="SimSun" w:cs="SimSun"/>
          <w:color w:val="000000"/>
          <w:sz w:val="24"/>
        </w:rPr>
        <w:t xml:space="preserve">甲方成立验收小组，按照采购合同的约定对乙方的履约情况进行验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numPr>
          <w:ilvl w:val="0"/>
          <w:numId w:val="10"/>
        </w:numP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numPr>
          <w:ilvl w:val="0"/>
          <w:numId w:val="10"/>
        </w:numP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验收要求：提交的成果资料符合相关规范、符合灌云县自然资源和规划局有关要求，并顺利通过甲方验收合格。</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第七条 工期（服务期）及进度要求：</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合同履行期限：自合同签订起至2027年10月底。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进度要求：2026年10月底完成地籍数据汇交工作，至2027年10月底完成项目约定的所有工作。</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第八条 付款方式</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按照以下确定的付款方式，采购人及时办理付款手续。对于满足合同约定支付条件的，在收到乙方发票后10日内将资金支付到合同约定的供应商账户。</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（1）项目合同签订后，在收到乙方发票后10日内支付合同价款30%；</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（2）完成地籍数据汇交且经甲方确认后，在收到乙方发票后10日内付合同价款40%；</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（3）完成项目全部工作并验收合格后，在收到乙方发票后10日内付合同价款30%。</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第九条 安全保密要求</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在项目实施过程中，执行严格的保密措施，以确保数据的安全和完整。项目实施单位应重视项目的保密工作，在每个环节均需有严格的保密措施。</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1、资料交接阶段</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由专人负责与甲方交接数据，交接人须承担此过程中的数据保密责任；数据交接后，应有专人负责对数据管理、分发和使用。</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2、资料使用阶段</w:t>
      </w:r>
      <w:r/>
    </w:p>
    <w:p>
      <w:pPr>
        <w:ind w:left="0" w:right="0" w:firstLine="3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对于甲方提供的资料的使用，应有使用情况说明和使用人员明细，并落实到责任人，采取安全措施；</w:t>
      </w:r>
      <w:r/>
    </w:p>
    <w:p>
      <w:pPr>
        <w:ind w:left="0" w:right="0" w:firstLine="3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对于甲方提供的资料，未经甲方许可，不得以任何形式向任何第三方提供或复制留存，若有泄密情况发生，应追查当事人责任；</w:t>
      </w:r>
      <w:r/>
    </w:p>
    <w:p>
      <w:pPr>
        <w:ind w:left="0" w:right="0" w:firstLine="3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在作业过程中，应保证所有作业计算机使用的安全和作业网络环境与Internet物理隔离，并采取相应的安全措施，保障资料的安全可靠</w:t>
      </w:r>
      <w:r>
        <w:rPr>
          <w:rFonts w:ascii="SimSun" w:hAnsi="SimSun" w:eastAsia="SimSun" w:cs="SimSun"/>
          <w:color w:val="0000ff"/>
          <w:sz w:val="24"/>
        </w:rPr>
        <w:t xml:space="preserve">。</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第十条 乙方义务</w:t>
      </w:r>
      <w:r/>
    </w:p>
    <w:p>
      <w:pPr>
        <w:ind w:left="0" w:right="0" w:firstLine="1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1、人员投入：投入项目人员须确保具有本项目对应的项目负责人和专业技术人员，如出现人员变动，需提前经过甲方书面同意后,否则不得擅自调整派驻人员。</w:t>
      </w:r>
      <w:r/>
    </w:p>
    <w:p>
      <w:pPr>
        <w:ind w:left="0" w:right="0" w:firstLine="1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2.责任界定：甲方仅负责派驻人员的使用,涉及的劳动关系、工伤理赔、保险待遇等一切民事法律关系由中标方负责处理。</w:t>
      </w:r>
      <w:r/>
    </w:p>
    <w:p>
      <w:pPr>
        <w:ind w:left="0" w:right="0" w:firstLine="1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3.工作纪律：派驻人员应严格遵守甲方的日常工作纪律和作息时间，服从现场管理人员的调遣。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第十一条 服务质量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1、乙方应保证提供给甲方的服务完全符合本项目采购文件规定的服务标准。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2、乙方应保证提供的服务应符合中华人民共和国相关标准及相应的技术规范、本次采购相关文件中的全部相关要求及相关标准及相应的技术规范中之较高者。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3、乙方保证提供的服务符合中华人民共和国国家及行业的安全质量标准、环保标准中之较高者。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保证，乙方依据本合同提供的服务及相关的软件和技术资料，乙方均已得到有关知识产权的权利人的合法授权，如发生涉及到专利权、著作权、商标权等争议，乙方负责处理，并承担由此引起的全部法律及经济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应保证甲方在中国境内使用服务或服务的任何一部分时，免受第三方提出的侵犯其知识产权的诉讼。如甲方因本合同项下服务成果的知识产权原因而受到第三方的索赔请求，乙方应负责处理，并承担甲方因此发生的全部费用及损失。</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6、乙方应落实各项安全生产规定，做好安全生产培训，人员在工作期间所产生的一切劳资、工伤纠纷及各类安全事故，皆由乙方全权负责并承担，与甲方不发生任何关系。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乙方保证合同履行过程中，乙方原因致使第三人（包括但不限于甲方工作人员、乙方工作人员及其他任意第三人）遭受人身损害、财产损失的，均由乙方负责处理并承担全部赔偿责任。甲方因此产生的损失，甲方有权向乙方全额追偿。</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第十二条 违约责任</w:t>
      </w:r>
      <w:r/>
    </w:p>
    <w:p>
      <w:pPr>
        <w:ind w:left="0" w:right="0" w:firstLine="1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1、甲方无正当理由拒绝验收或拒付合同款项的，应向乙方偿付合同总价10％的违约金。</w:t>
      </w:r>
      <w:r/>
    </w:p>
    <w:p>
      <w:pPr>
        <w:ind w:left="0" w:right="0" w:firstLine="1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2、甲方逾期支付合同款项的，每逾期</w:t>
      </w:r>
      <w:r>
        <w:rPr>
          <w:rFonts w:ascii="SimSun" w:hAnsi="SimSun" w:eastAsia="SimSun" w:cs="SimSun"/>
          <w:color w:val="000000"/>
          <w:sz w:val="24"/>
          <w:u w:val="single"/>
        </w:rPr>
        <w:t xml:space="preserve"> 1  </w:t>
      </w:r>
      <w:r>
        <w:rPr>
          <w:rFonts w:ascii="SimSun" w:hAnsi="SimSun" w:eastAsia="SimSun" w:cs="SimSun"/>
          <w:color w:val="000000"/>
          <w:sz w:val="24"/>
        </w:rPr>
        <w:t xml:space="preserve">天应向乙方偿付欠款总额</w:t>
      </w:r>
      <w:r>
        <w:rPr>
          <w:rFonts w:ascii="SimSun" w:hAnsi="SimSun" w:eastAsia="SimSun" w:cs="SimSun"/>
          <w:color w:val="000000"/>
          <w:sz w:val="24"/>
          <w:u w:val="single"/>
        </w:rPr>
        <w:t xml:space="preserve">1</w:t>
      </w:r>
      <w:r>
        <w:rPr>
          <w:rFonts w:ascii="SimSun" w:hAnsi="SimSun" w:eastAsia="SimSun" w:cs="SimSun"/>
          <w:color w:val="000000"/>
          <w:sz w:val="24"/>
          <w:highlight w:val="white"/>
          <w:u w:val="single"/>
        </w:rPr>
        <w:t xml:space="preserve">‰</w:t>
      </w:r>
      <w:r>
        <w:rPr>
          <w:rFonts w:ascii="SimSun" w:hAnsi="SimSun" w:eastAsia="SimSun" w:cs="SimSun"/>
          <w:color w:val="000000"/>
          <w:sz w:val="24"/>
        </w:rPr>
        <w:t xml:space="preserve">的滞纳金，但滞纳金总额累计不得超过欠款总额的</w:t>
      </w:r>
      <w:r>
        <w:rPr>
          <w:rFonts w:ascii="SimSun" w:hAnsi="SimSun" w:eastAsia="SimSun" w:cs="SimSun"/>
          <w:color w:val="000000"/>
          <w:sz w:val="24"/>
          <w:u w:val="single"/>
        </w:rPr>
        <w:t xml:space="preserve">5％</w:t>
      </w:r>
      <w:r>
        <w:rPr>
          <w:rFonts w:ascii="SimSun" w:hAnsi="SimSun" w:eastAsia="SimSun" w:cs="SimSun"/>
          <w:color w:val="000000"/>
          <w:sz w:val="24"/>
        </w:rPr>
        <w:t xml:space="preserve">；一旦滞纳金总额累计达到欠款总额的</w:t>
      </w:r>
      <w:r>
        <w:rPr>
          <w:rFonts w:ascii="SimSun" w:hAnsi="SimSun" w:eastAsia="SimSun" w:cs="SimSun"/>
          <w:color w:val="000000"/>
          <w:sz w:val="24"/>
          <w:u w:val="single"/>
        </w:rPr>
        <w:t xml:space="preserve">5％</w:t>
      </w:r>
      <w:r>
        <w:rPr>
          <w:rFonts w:ascii="SimSun" w:hAnsi="SimSun" w:eastAsia="SimSun" w:cs="SimSun"/>
          <w:color w:val="000000"/>
          <w:sz w:val="24"/>
        </w:rPr>
        <w:t xml:space="preserve">，乙方有权解除合同。区财政因素除外。</w:t>
      </w:r>
      <w:r/>
    </w:p>
    <w:p>
      <w:pPr>
        <w:ind w:left="0" w:right="0" w:firstLine="1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3、乙方无法完成项目的或违反本合同任一条款的约定的，应向甲方支付合同总价</w:t>
      </w:r>
      <w:r>
        <w:rPr>
          <w:rFonts w:ascii="SimSun" w:hAnsi="SimSun" w:eastAsia="SimSun" w:cs="SimSun"/>
          <w:color w:val="000000"/>
          <w:sz w:val="24"/>
          <w:u w:val="single"/>
        </w:rPr>
        <w:t xml:space="preserve">10％</w:t>
      </w:r>
      <w:r>
        <w:rPr>
          <w:rFonts w:ascii="SimSun" w:hAnsi="SimSun" w:eastAsia="SimSun" w:cs="SimSun"/>
          <w:color w:val="000000"/>
          <w:sz w:val="24"/>
        </w:rPr>
        <w:t xml:space="preserve">的违约金，同时甲方有权解除合同并赔偿由此造成的一切损失，该损失包括但不限于诉讼费、差旅费、误工费、鉴定费、评估费、律师代理费等为实现债权而支付的其他相关费用。</w:t>
      </w:r>
      <w:r/>
    </w:p>
    <w:p>
      <w:pPr>
        <w:ind w:left="0" w:right="0" w:firstLine="1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4、乙方逾期完成项目的，每逾期</w:t>
      </w:r>
      <w:r>
        <w:rPr>
          <w:rFonts w:ascii="SimSun" w:hAnsi="SimSun" w:eastAsia="SimSun" w:cs="SimSun"/>
          <w:color w:val="000000"/>
          <w:sz w:val="24"/>
          <w:u w:val="single"/>
        </w:rPr>
        <w:t xml:space="preserve">1</w:t>
      </w:r>
      <w:r>
        <w:rPr>
          <w:rFonts w:ascii="SimSun" w:hAnsi="SimSun" w:eastAsia="SimSun" w:cs="SimSun"/>
          <w:color w:val="000000"/>
          <w:sz w:val="24"/>
        </w:rPr>
        <w:t xml:space="preserve">天应向甲方偿付逾期交付合同总额</w:t>
      </w:r>
      <w:r>
        <w:rPr>
          <w:rFonts w:ascii="SimSun" w:hAnsi="SimSun" w:eastAsia="SimSun" w:cs="SimSun"/>
          <w:color w:val="000000"/>
          <w:sz w:val="24"/>
          <w:u w:val="single"/>
        </w:rPr>
        <w:t xml:space="preserve">1</w:t>
      </w:r>
      <w:r>
        <w:rPr>
          <w:rFonts w:ascii="SimSun" w:hAnsi="SimSun" w:eastAsia="SimSun" w:cs="SimSun"/>
          <w:color w:val="000000"/>
          <w:sz w:val="24"/>
          <w:highlight w:val="white"/>
          <w:u w:val="single"/>
        </w:rPr>
        <w:t xml:space="preserve">‰</w:t>
      </w:r>
      <w:r>
        <w:rPr>
          <w:rFonts w:ascii="SimSun" w:hAnsi="SimSun" w:eastAsia="SimSun" w:cs="SimSun"/>
          <w:color w:val="000000"/>
          <w:sz w:val="24"/>
        </w:rPr>
        <w:t xml:space="preserve">的滞纳金，但滞纳金累计不得超过逾期交付合同总额</w:t>
      </w:r>
      <w:r>
        <w:rPr>
          <w:rFonts w:ascii="SimSun" w:hAnsi="SimSun" w:eastAsia="SimSun" w:cs="SimSun"/>
          <w:color w:val="000000"/>
          <w:sz w:val="24"/>
          <w:u w:val="single"/>
        </w:rPr>
        <w:t xml:space="preserve">的5％</w:t>
      </w:r>
      <w:r>
        <w:rPr>
          <w:rFonts w:ascii="SimSun" w:hAnsi="SimSun" w:eastAsia="SimSun" w:cs="SimSun"/>
          <w:color w:val="000000"/>
          <w:sz w:val="24"/>
        </w:rPr>
        <w:t xml:space="preserve">；一旦滞纳金总额累计达到逾期交付合同总额的</w:t>
      </w:r>
      <w:r>
        <w:rPr>
          <w:rFonts w:ascii="SimSun" w:hAnsi="SimSun" w:eastAsia="SimSun" w:cs="SimSun"/>
          <w:color w:val="000000"/>
          <w:sz w:val="24"/>
          <w:u w:val="single"/>
        </w:rPr>
        <w:t xml:space="preserve">5％</w:t>
      </w:r>
      <w:r>
        <w:rPr>
          <w:rFonts w:ascii="SimSun" w:hAnsi="SimSun" w:eastAsia="SimSun" w:cs="SimSun"/>
          <w:color w:val="000000"/>
          <w:sz w:val="24"/>
        </w:rPr>
        <w:t xml:space="preserve">，甲方有权解除合同。逾期超过</w:t>
      </w:r>
      <w:r>
        <w:rPr>
          <w:rFonts w:ascii="SimSun" w:hAnsi="SimSun" w:eastAsia="SimSun" w:cs="SimSun"/>
          <w:color w:val="000000"/>
          <w:sz w:val="24"/>
          <w:u w:val="single"/>
        </w:rPr>
        <w:t xml:space="preserve">1个月</w:t>
      </w:r>
      <w:r>
        <w:rPr>
          <w:rFonts w:ascii="SimSun" w:hAnsi="SimSun" w:eastAsia="SimSun" w:cs="SimSun"/>
          <w:color w:val="000000"/>
          <w:sz w:val="24"/>
        </w:rPr>
        <w:t xml:space="preserve">，视乙方无法完成项目，项目自动终止，甲方停止支付剩余款项并按相关条款进行处理，剩余款项包括已经申请但并未支付款项。</w:t>
      </w:r>
      <w:r/>
    </w:p>
    <w:p>
      <w:pPr>
        <w:ind w:left="0" w:right="0" w:firstLine="1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5、乙方完成的项目不符合要求的，应按照甲方选择的下列一种或多种方式承担赔偿责任：</w:t>
      </w:r>
      <w:r/>
    </w:p>
    <w:p>
      <w:pPr>
        <w:ind w:left="0" w:right="0" w:firstLine="1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(1)在甲方同意延长的期限内交付符合要求的提供服务并承担由此给甲方造成的一切损失；逾期未完成或完成的项目仍不符合要求，乙方应向甲方支付合同总价</w:t>
      </w:r>
      <w:r>
        <w:rPr>
          <w:rFonts w:ascii="SimSun" w:hAnsi="SimSun" w:eastAsia="SimSun" w:cs="SimSun"/>
          <w:color w:val="000000"/>
          <w:sz w:val="24"/>
          <w:u w:val="single"/>
        </w:rPr>
        <w:t xml:space="preserve">10％</w:t>
      </w:r>
      <w:r>
        <w:rPr>
          <w:rFonts w:ascii="SimSun" w:hAnsi="SimSun" w:eastAsia="SimSun" w:cs="SimSun"/>
          <w:color w:val="000000"/>
          <w:sz w:val="24"/>
        </w:rPr>
        <w:t xml:space="preserve">的违约金，同时甲方有权解除合同并赔偿由此造成的一切损失，该损失包括但不限于诉讼费、差旅费、误工费、鉴定费、评估费、律师代理费等为实现债权而支付的其他相关费用。</w:t>
      </w:r>
      <w:r/>
    </w:p>
    <w:p>
      <w:pPr>
        <w:ind w:left="0" w:right="0" w:firstLine="1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(2)在甲方规定时间内，修正有缺陷的部分以达到合同规定的要求并承担一切费用和风险，同时承担甲方因此所遭受的全部损失；</w:t>
      </w:r>
      <w:r/>
    </w:p>
    <w:p>
      <w:pPr>
        <w:ind w:left="0" w:right="0" w:firstLine="1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(3)按合同规定同种货币退还甲方已付款项，同时承担由此发生的一切损失和费用，包括但不限于利息、银行手续费及所需的其他必要费用。</w:t>
      </w:r>
      <w:r/>
    </w:p>
    <w:p>
      <w:pPr>
        <w:ind w:left="0" w:right="0" w:firstLine="1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6、乙方未按规定和承诺提供伴随服务、售后服务的，应向甲方支付合同总价</w:t>
      </w:r>
      <w:r>
        <w:rPr>
          <w:rFonts w:ascii="SimSun" w:hAnsi="SimSun" w:eastAsia="SimSun" w:cs="SimSun"/>
          <w:color w:val="000000"/>
          <w:sz w:val="24"/>
          <w:u w:val="single"/>
        </w:rPr>
        <w:t xml:space="preserve">10％</w:t>
      </w:r>
      <w:r>
        <w:rPr>
          <w:rFonts w:ascii="SimSun" w:hAnsi="SimSun" w:eastAsia="SimSun" w:cs="SimSun"/>
          <w:color w:val="000000"/>
          <w:sz w:val="24"/>
        </w:rPr>
        <w:t xml:space="preserve">的违约金，同时甲方有权解除合同并赔偿由此造成的一切损失，该损失包括但不限于诉讼费、差旅费、误工费、鉴定费、评估费、律师代理费等为实现债权而支付的其他相关费用。</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7、违约方承担违约责任并不影响其合同项下的义务(合同解除的除外)。</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8、其他：</w:t>
      </w:r>
      <w:r>
        <w:rPr>
          <w:rFonts w:ascii="SimSun" w:hAnsi="SimSun" w:eastAsia="SimSun" w:cs="SimSun"/>
          <w:color w:val="000000"/>
          <w:sz w:val="24"/>
          <w:u w:val="single"/>
        </w:rPr>
        <w:t xml:space="preserve">      </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第十三条 不可抗力</w:t>
      </w:r>
      <w:r/>
    </w:p>
    <w:p>
      <w:pPr>
        <w:ind w:left="0" w:right="0" w:firstLine="1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1、不可抗力，是指不能预见、不能避免并不能克服的客观情况，如战争、动乱、瘟疫、严重火灾、洪水、地震、风暴或其他自然灾害等。</w:t>
      </w:r>
      <w:r/>
    </w:p>
    <w:p>
      <w:pPr>
        <w:ind w:left="0" w:right="0" w:firstLine="1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left="0" w:right="0" w:firstLine="1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3、发生不可抗力事件，任何一方均不对因不可抗力无法履行或迟延履行本合同义务而使另一方蒙受的任何损失承担责任，法律另有规定的除外。</w:t>
      </w:r>
      <w:r/>
    </w:p>
    <w:p>
      <w:pPr>
        <w:ind w:left="0" w:right="0" w:firstLine="1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4、合同各方应根据不可抗力对本合同履行的影响程度，协商确定是否终止本合同或是继续履行本合同。</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第十四条 合同的变更和终止</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1、除《政府采购法》第五十条规定的情形外，本合同一经签订，甲乙双方不得擅自变更、中止或终止合同。</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2、除发生法律规定的不能预见、不能避免并不能克服的客观情况外，甲乙双方不得放弃或拒绝履行合同。</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第十五条合同的终止</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本合同因下列原因而终止：</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(1)本合同正常履行完毕；</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(2)因不可抗力导致本合同无法履行或履行不必要；</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(3)任何一方行使解除权解除本合同；</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(4)合同的继续履行将损害国家利益和社会公共利益。</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除上述情形外，甲乙双方不得擅自终止合同。</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第十六条 争议的解决</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1、因履行本合同引起的或与本合同有关的争议，甲、乙双方应首先通过友好协商解决，如果协商不能解决争议，任何一方均可向灌云县人民法院提起诉讼。</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第十七条 合同生效及其他</w:t>
      </w:r>
      <w:r/>
    </w:p>
    <w:p>
      <w:pPr>
        <w:ind w:left="0" w:right="0" w:firstLine="24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1、本合同经双方法定代表人或委托代理人签字并加盖单位公章后生效。</w:t>
      </w:r>
      <w:r/>
    </w:p>
    <w:p>
      <w:pPr>
        <w:ind w:left="0" w:right="0" w:firstLine="24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2、事先未经对方书面同意，一方不得将其在本合同中的权利或义务全部或部分转让给任何第三方。</w:t>
      </w:r>
      <w:r/>
    </w:p>
    <w:p>
      <w:pPr>
        <w:ind w:left="0" w:right="0" w:firstLine="24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3、本合同未尽事宜，遵照《中华人民共和国民法典》有关条文执行。</w:t>
      </w:r>
      <w:r/>
    </w:p>
    <w:p>
      <w:pPr>
        <w:ind w:left="0" w:right="0" w:firstLine="24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及乙方员工应严格保守甲方的商业秘密，甲方及甲方员工也应严格保守乙方的商业秘密，保密期为一年。甲乙双方未经对方书面同意不得向任何第三方泄漏对方所提供的相关信息。任何一方对所获知的对方未向社会公开的所有信息资料、技术情况和商业秘密负有保密义务，未经双方书面许可，任何一方不得将其泄露给第三方。</w:t>
      </w:r>
      <w:r/>
    </w:p>
    <w:p>
      <w:pPr>
        <w:ind w:left="0" w:right="0" w:firstLine="24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不得与所审查项目的建设单位、规划设计单位有隶属关系，不得参与审查本单位（含隶属关系）项目。如确有隶属关系，应由乙方委托具有同等资质的其他机构审查，该机构须经甲方书面同意后方可，审查费用由乙方负责。</w:t>
      </w:r>
      <w:r/>
    </w:p>
    <w:p>
      <w:pPr>
        <w:ind w:left="0" w:right="0" w:firstLine="24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未经甲乙双方签署书面文件，不得对本合同进行更改；本合同的任何修改，均需另行签订书面补充协议；否则，一律视为无效。未尽事宜，由双方另行协商书面确定。如需补充协议条款及承诺，应另行签订，签订的补充的协议条款和承诺均与本合同具有同等法律效力。</w:t>
      </w:r>
      <w:r/>
    </w:p>
    <w:p>
      <w:pPr>
        <w:ind w:left="0" w:right="0" w:firstLine="24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7、本合同各条款相互制约，不可断章取义。</w:t>
      </w:r>
      <w:r/>
    </w:p>
    <w:p>
      <w:pPr>
        <w:ind w:left="0" w:right="0" w:firstLine="24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8、本合同附件或补充协议为本合同不可分割的组成部分。</w:t>
      </w:r>
      <w:r/>
    </w:p>
    <w:p>
      <w:pPr>
        <w:ind w:left="0" w:right="0" w:firstLine="24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本合同及其附件在双方间就本合同及其附件所涉及的事项构成完整的合同，并取代此前在双方间就此而为的全部口头或书面的磋商、交流、声明、承诺和协议。除非以书面方式作出并经双方签署，任何对本合同及其附件的修订、更改或添加不得生效或对任何一方有约束力。</w:t>
      </w:r>
      <w:r/>
    </w:p>
    <w:p>
      <w:pPr>
        <w:ind w:left="0" w:right="0" w:firstLine="24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如果本合同或其附件的任何条款是无效的或不能执行的、或变得无效或不能执行的。各方应当作出合理的努力并诚意谈判以寻求一个有效的可执行的条款。该条款应当尽可能接近地反映失效的或不能执行的条款在法律上和经济上的实质。</w:t>
      </w:r>
      <w:r/>
    </w:p>
    <w:p>
      <w:pPr>
        <w:ind w:left="0" w:right="0" w:firstLine="24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如果由于法律或法规的规定使得本合同的或其附件的某一条款变得无效，而此无效对本合同的执行并无实质性的影响，则此等无效不得免除任何一方在本合同或其附件的其他规定下的义务，也不得剥夺任何一方依照其他条款所应享有的权利。</w:t>
      </w:r>
      <w:r/>
    </w:p>
    <w:p>
      <w:pPr>
        <w:ind w:left="0" w:right="0" w:firstLine="24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12、任何一方在执行本合同或其附件的任何条款时，或在行使与此有关的任何权利时的任何失败均不得被视为构成该方放弃执行该条款或其他条款或放弃行使该权利或其他权利。</w:t>
      </w:r>
      <w:r/>
    </w:p>
    <w:p>
      <w:pPr>
        <w:ind w:left="0" w:right="0" w:firstLine="24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13、《反商业贿赂协议》作为本合同的补充协议，与本合同具有同等法律效力。</w:t>
      </w:r>
      <w:r/>
    </w:p>
    <w:p>
      <w:pPr>
        <w:ind w:left="0" w:right="0" w:firstLine="240"/>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14、本合同正本一式</w:t>
      </w:r>
      <w:r>
        <w:rPr>
          <w:rFonts w:ascii="SimSun" w:hAnsi="SimSun" w:eastAsia="SimSun" w:cs="SimSun"/>
          <w:color w:val="000000"/>
          <w:sz w:val="24"/>
          <w:u w:val="single"/>
        </w:rPr>
        <w:t xml:space="preserve"> 陆 </w:t>
      </w:r>
      <w:r>
        <w:rPr>
          <w:rFonts w:ascii="SimSun" w:hAnsi="SimSun" w:eastAsia="SimSun" w:cs="SimSun"/>
          <w:color w:val="000000"/>
          <w:sz w:val="24"/>
        </w:rPr>
        <w:t xml:space="preserve">份，甲乙双方各执</w:t>
      </w:r>
      <w:r>
        <w:rPr>
          <w:rFonts w:ascii="SimSun" w:hAnsi="SimSun" w:eastAsia="SimSun" w:cs="SimSun"/>
          <w:color w:val="000000"/>
          <w:sz w:val="24"/>
          <w:u w:val="single"/>
        </w:rPr>
        <w:t xml:space="preserve"> 贰 </w:t>
      </w:r>
      <w:r>
        <w:rPr>
          <w:rFonts w:ascii="SimSun" w:hAnsi="SimSun" w:eastAsia="SimSun" w:cs="SimSun"/>
          <w:color w:val="000000"/>
          <w:sz w:val="24"/>
        </w:rPr>
        <w:t xml:space="preserve">份、采购监督部门、采购代理机构各执</w:t>
      </w:r>
      <w:r>
        <w:rPr>
          <w:rFonts w:ascii="SimSun" w:hAnsi="SimSun" w:eastAsia="SimSun" w:cs="SimSun"/>
          <w:color w:val="000000"/>
          <w:sz w:val="24"/>
          <w:u w:val="single"/>
        </w:rPr>
        <w:t xml:space="preserve"> 壹 </w:t>
      </w:r>
      <w:r>
        <w:rPr>
          <w:rFonts w:ascii="SimSun" w:hAnsi="SimSun" w:eastAsia="SimSun" w:cs="SimSun"/>
          <w:color w:val="000000"/>
          <w:sz w:val="24"/>
        </w:rPr>
        <w:t xml:space="preserve">份，具有同等法律效力。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甲方（公章）：乙方（公章）：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地址：地址：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法定代表人或法定代表人或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委托代理人（签字或盖章）：委托代理人（签字或盖章）：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开户银行：开户银行：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账号：账号：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电话：电话：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传真：传真：</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签订日期：年月日</w:t>
      </w:r>
      <w:r/>
    </w:p>
    <w:p>
      <w:pPr>
        <w:ind w:left="359"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32"/>
        </w:rPr>
        <w:t xml:space="preserve"> </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32"/>
        </w:rPr>
        <w:t xml:space="preserve"> </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32"/>
        </w:rPr>
        <w:t xml:space="preserve"> </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32"/>
        </w:rPr>
        <w:t xml:space="preserve"> </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32"/>
        </w:rPr>
        <w:t xml:space="preserve"> </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反 商 业 贿 赂 协 议 </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SimSun" w:hAnsi="SimSun" w:eastAsia="SimSun" w:cs="SimSun"/>
          <w:color w:val="000000"/>
          <w:sz w:val="24"/>
        </w:rPr>
        <w:t xml:space="preserve">协议编号：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 </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 </w:t>
      </w:r>
      <w:r>
        <w:rPr>
          <w:rFonts w:ascii="SimSun" w:hAnsi="SimSun" w:eastAsia="SimSun" w:cs="SimSun"/>
          <w:color w:val="000000"/>
          <w:sz w:val="24"/>
          <w:u w:val="single"/>
        </w:rPr>
        <w:t xml:space="preserve">                              </w:t>
      </w:r>
      <w:r>
        <w:rPr>
          <w:rFonts w:ascii="SimSun" w:hAnsi="SimSun" w:eastAsia="SimSun" w:cs="SimSun"/>
          <w:b/>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了规范甲、乙双方业务合作，杜绝业务活动（包括但不限于商业谈判、招投标、报价、签约、履约等）中商业贿赂及腐败行为发生，保护双方合法权益，经甲、乙双方协商同意签署本反商业贿赂协议，并确保在业务活动中切实履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一、乙方不得进行以下商业贿赂行为：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1、向甲方或者甲方代理人、代表、职员提供礼品、礼金、购物卡券、有价证券、好处费、感谢费等现金和实物。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2、为甲方或者甲方代理人、代表、职员报销应由甲方或者个人承担的费用。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3、为甲方代理人、代表、职员提供可能影响公正执行业务活动的宴请、健身、娱乐、培训等高消费活动。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4、为甲方代理人、代表、职员装修住房、婚丧嫁娶、配偶子女的工作安排、出国（境）、旅游、借款、长期使用车辆等活动提供方便，或者提供给付财物以外的其他利益。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5、接受甲方代理人、代表、职员的商业贿赂。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6、法律法规规定的其他商业贿赂行为等。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二、甲方致力于维护商业行为的诚信度，反对商业贿赂，乙方明确知道甲方代理人、代表、职员不得进行以下行为：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1、向乙方索要或接受回扣、礼品、礼金、购物卡券、有价证券和好处费、感谢费等现金和实物。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2、在乙方报销任何应由甲方或个人承担的费用。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3、要求、暗示和接受乙方为个人装修住房、婚丧嫁娶、配偶子女的工作安排以及出国（境）、旅游、借款、长期使用车辆等活动提供方便。或者要求和接受乙方提供给付财物以外的其他利益。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4、参加有可能影响公正执行业务活动的宴请、健身、娱乐、培训等高消费活动。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5、向乙方介绍、推荐同甲方合作项目有关的设备采购、材料供应、工程分包、劳务等经济活动。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6、甲方代理人、代表、职员的配偶、子女、其他亲属参与同甲方合作项目有关的经济活动。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7、利用任何方式对提意见和投诉的合作伙伴进行打击报复。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8、私自利用职权或影响力使特定客户、供应商、经销商、施工单位等合作对象得到特殊待遇。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三、乙方对于甲方代理人、代表、职员的商业贿赂及腐败行为负有及时如实呈报的义务。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1、对于乙方实名呈报的甲方人员违反本协议约定的情形，甲方应对呈报人的资料严格保密，并对呈报事项及时进行调查，根据调查情况进行处理。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2、呈报邮箱：可以直接向甲方纪检组进行投诉举报，并分别抄送甲方和甲方局长；或者直接向甲方局长投诉举报。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违反本协议约定进行商业贿赂的，应当按照甲方要求的期限及方式向甲方支付相当于贿赂金额1倍的违约金，违约金不足以弥补甲方实际经济损失的，乙方还应补足不足部分。甲方并有权单方面立即解除与乙方订立的合同、取消乙方合作资格、终止与乙方的合作。涉嫌犯罪的，甲方将提请司法机关追究刑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2、甲方员工有本协议第二条约定的行为的，一经查实，甲方将根据内部管理规定给予严肃处理；涉嫌犯罪的，将依法提请司法机关追究刑事责任。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五、其他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1、本协议条款与甲、乙双方签署的其他合同、协议、意向书等内容不一致的，以本协议条款为准。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2、本协议适用中华人民共和国法律。凡因本协议引起的或与本协议有关的一切争议，双方应友好协商解决，协商不成的，任何一方均可将争议提交灌云县人民法院裁决。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3、本协议一经双方订立即生效，至甲、乙双方业务合作终止之日失效。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4、本协议一式肆份，甲方执叁份，乙方执壹份。</w:t>
      </w:r>
      <w:r/>
    </w:p>
    <w:p>
      <w:pPr>
        <w:ind w:left="0" w:right="0" w:firstLine="480"/>
        <w:jc w:val="both"/>
        <w:spacing w:before="0" w:after="0" w:line="85"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甲方（单位盖章）：乙方（单位盖章）：</w:t>
      </w:r>
      <w:r/>
    </w:p>
    <w:p>
      <w:pPr>
        <w:ind w:left="0" w:right="0" w:firstLine="480"/>
        <w:jc w:val="both"/>
        <w:spacing w:before="0" w:after="0" w:line="85"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代表人签字：代表人签字：</w:t>
      </w:r>
      <w:r/>
    </w:p>
    <w:p>
      <w:pPr>
        <w:ind w:left="0" w:right="0" w:firstLine="60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 年月日</w:t>
      </w:r>
      <w:r/>
    </w:p>
    <w:p>
      <w:pPr>
        <w:ind w:left="0" w:right="0" w:firstLine="36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第四章 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w:t>
      </w:r>
      <w:r>
        <w:rPr>
          <w:rFonts w:ascii="SimSun" w:hAnsi="SimSun" w:eastAsia="SimSun" w:cs="SimSun"/>
          <w:b/>
          <w:color w:val="000000"/>
          <w:sz w:val="24"/>
        </w:rPr>
        <w:t xml:space="preserve">服务类</w:t>
      </w:r>
      <w:r>
        <w:rPr>
          <w:rFonts w:ascii="SimSun" w:hAnsi="SimSun" w:eastAsia="SimSun" w:cs="SimSun"/>
          <w:color w:val="000000"/>
          <w:sz w:val="24"/>
        </w:rPr>
        <w:t xml:space="preserve">项目。本项目采购标的对应的中小企业划分标准所属行业为</w:t>
      </w:r>
      <w:r>
        <w:rPr>
          <w:rFonts w:ascii="SimSun" w:hAnsi="SimSun" w:eastAsia="SimSun" w:cs="SimSun"/>
          <w:b/>
          <w:color w:val="000000"/>
          <w:sz w:val="24"/>
        </w:rPr>
        <w:t xml:space="preserve">其他未列明行业</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1、根据《政府采购需求管理办法》等有关规定，采购人确定采购需求。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2、本项目需求中标注★号的款项为实质性要求和条件，由采购人根据实际情况设置，供应商必须逐条明确作出满足实质性要求和条件的响应，否则投标无效。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一、项目背景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根据《自然资源部 国家林业和草原局关于印发&lt;一张图建设工作方案&gt;的通知》（自然资发〔2025〕58号）、《自然资源部关于进一步做好地籍调查工作的通知》（自然资发〔2023〕195号）、《自然资源部办公厅关于加快编制地籍图的通知》（自然资办函〔2024〕1481号）、《关于深化开展地籍调查和地籍图编制工作的实施方案》（苏自然资函〔2024〕868号）等文件要求，梳理已有地籍成果，开展地籍数据规范化整理，按要求完成农村宅基地、集体建设用地、国有建设用地等地籍成果整理入库汇交，加强地籍数据管理，提高地籍数据共享利</w:t>
      </w:r>
      <w:r>
        <w:rPr>
          <w:rFonts w:ascii="SimSun" w:hAnsi="SimSun" w:eastAsia="SimSun" w:cs="SimSun"/>
          <w:color w:val="000000"/>
          <w:sz w:val="24"/>
        </w:rPr>
        <w:t xml:space="preserve">用，全面推动我县“一张图”统一产权底板建设工作。</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二、服务内容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（1）已有地籍数据采集分析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国家、省相关标准规范，收集宅基地、集体建设用地、自然资源地籍数据。需收集的地籍数据成果包括但不限于：①集体部分地籍数据成果：集体土地所有权确权登记成果、宅基地房地一体调查登记成果、集体建设用地数据成果、土地承包经营权数据；②行政区、地籍区、地籍子区；③自然幢；④基础地理数据（地形数据）；⑤最新影像数据；⑥国有部分地籍数据成果：土地征收数据、国有建设用地使用权数据；⑦林权数据；⑧自然资源业务审批结果数据（规、审、批、供、用、补、查等）；⑨勘测定界等地籍调查数据；⑩自然资源调查及确权登记成果。对采集的各类型</w:t>
      </w:r>
      <w:r>
        <w:rPr>
          <w:rFonts w:ascii="SimSun" w:hAnsi="SimSun" w:eastAsia="SimSun" w:cs="SimSun"/>
          <w:color w:val="000000"/>
          <w:sz w:val="24"/>
        </w:rPr>
        <w:t xml:space="preserve">地籍数据进行分析，形成技术方案与工作底图。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（2）宅基地及集体建设用地使用权地籍空白区勾绘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集体范围内宅基地使用权和集体建设用地宗地进行勾绘上图。结合最新影像，对集体土地范围地籍空白区上实际存在宅基地或集体建设用地宗地，进行勾绘上图，根据实际情况填写登记状态和勾绘范围特征等关键信息，编制不动产单元代码，纳入提取或勾绘图层单独管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（3）地籍数据规范化整理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①地籍数据质检及问题标注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对行政区、地籍区、地籍子区数据进行修正。结合相关材料补充地籍区、地籍子区，对地籍区、地籍子区重复部分进行清理。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按照《地籍数据库 第1部分：不动产》（TD/T 1015.1-2024）、《地籍数据汇交要求（试行）》工作要求，对已有地籍数据结构、字段值域、字典标准、要素代码、数据分层、图形拓扑等进行规范化、标准化质检、梳理，形成问题清单并做好问题标注。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②地籍数据图形问题处理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对地籍数据库中存在的图形数据重复问题开展清洗整合，通过结合已有资料进行判断，保留正确图形，将重复数据导入存疑问题图层。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（4）地籍数据汇交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①宅基地及集体建设用地使用权地籍数据汇交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按照部关于汇交集体部分地籍数据库成果的要求，将集体建设用地、宅基地地籍数据调查数据成果以及对应的登记数据成果按照《地籍数据汇交要求（试行）》要求，制作数据汇交包，并开展数据质检。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②自然资源地籍数据汇交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按照部关于汇交自然资源地籍数据库成果的要求，将自然资源调查数据成果以及对应的登记数据成果按照《地籍数据汇交要求（试行）》要求，制作数据汇交包，并开展数据质检。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③土地承包经营权及林权地籍数据汇交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按照部关于汇交土地承包经营权和林权地籍数据库成果的要求，将土地承包经营权和林权调查数据成果以及对应的登记数据成果按照《地籍数据汇交要求（试行）》要求，制作数据汇交包，并开展数据质检。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④国有建设用地使用权、国有农用地地籍数据汇交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按照部关于汇交国有部分地籍数据库成果的要求，将国有建设用地使用权、国有农用地调查数据成果以及对应的登记数据成果按照《地籍数据汇交要求（试行）》要求，制作数据汇交包，并开展数据质检。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（5）国有建设用地空白区地籍调查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国有地籍空白区上实际存在宗地及地上建筑物，开展地籍调查，通过收集相关供地数据、工程施工、历史档案等材料补充数据，同时构建“户落幢、幢落宗”的完整不动产单元表，无法通过资料收集进行补充完善的通过调查进行补充完善数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（6）协助农房统一登记权籍数据提取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依据农房统一登记宅基地权籍调查成果，协助提取并入库4000宗农房日常登记所需权籍数据（不包含宅基地日常登记落宗）。</w:t>
      </w:r>
      <w:r/>
    </w:p>
    <w:p>
      <w:pPr>
        <w:numPr>
          <w:ilvl w:val="0"/>
          <w:numId w:val="11"/>
        </w:numPr>
        <w:jc w:val="both"/>
        <w:spacing w:before="0" w:after="0" w:line="519" w:lineRule="atLeast"/>
        <w:tabs>
          <w:tab w:val="left" w:pos="327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服务交付要求：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1、成果要求及形式（包括但不限于以下成果）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（1）项目技术方案；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（2）工作总结报告；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（3）地籍数据汇交成果。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2、技术指标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（1）数学基础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采用2000国家大地坐标系，1985国家高程基准。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（2）投影方式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采用高斯-克吕格投影，按3°分带。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3、质量要求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成交供应商对提交的成果信息的准确性、安全性负责，最终提交的成果质量须符合地籍数据汇交的相关要求，并通过采购人确认。成交供应商应按规定的内容、要求、质量标准向采购人提供技术服务。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4、其他要求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验收要求：提交的成果资料符合相关规范、符合灌云县自然资源和规划局有关要求，并顺利通过采购人验收合格。</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四、服务期限</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★合同履行期限：</w:t>
      </w:r>
      <w:r>
        <w:rPr>
          <w:rFonts w:ascii="SimSun" w:hAnsi="SimSun" w:eastAsia="SimSun" w:cs="SimSun"/>
          <w:color w:val="000000"/>
          <w:sz w:val="24"/>
        </w:rPr>
        <w:t xml:space="preserve">自合同签订起至2027年10月底。</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五、付款方式</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按照以下确定的付款方式，采购人及时办理付款手续。对于满足合同约定支付条件的，在收到乙方发票后10日内将资金支付到合同约定的供应商账户。</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（1）项目合同签订后，在收到乙方发票后10日内支付合同价款30%；</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（2）完成地籍数据汇交且经甲方确认后，在收到乙方发票后10日内付合同价款40%；</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（3）完成项目全部工作并验收合格后，在收到乙方发票后10日内付合同价款30%。</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六、履约保证金</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本项目不收取履约保证金。</w:t>
      </w:r>
      <w:r/>
    </w:p>
    <w:p>
      <w:pPr>
        <w:ind w:left="0" w:right="0" w:firstLine="0"/>
        <w:jc w:val="center"/>
        <w:spacing w:before="0" w:after="0"/>
        <w:tabs>
          <w:tab w:val="left" w:pos="6200" w:leader="none"/>
        </w:tabs>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tabs>
          <w:tab w:val="left" w:pos="620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第五章</w:t>
      </w:r>
      <w:r>
        <w:rPr>
          <w:rFonts w:ascii="SimHei" w:hAnsi="SimHei" w:eastAsia="SimHei" w:cs="SimHei"/>
          <w:b/>
          <w:color w:val="000000"/>
          <w:sz w:val="44"/>
        </w:rPr>
        <w:t xml:space="preserve">评审方法与评审标准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一、评标方法：综合评分法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综合评分法，是指响应文件满足招标文件全部实质性要求，且按照评审因素的量化指标评审得分最高的供应商为中标候选人的评标办法。</w:t>
      </w:r>
      <w:r/>
    </w:p>
    <w:p>
      <w:pPr>
        <w:ind w:left="0" w:right="0" w:firstLine="44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二、评标委员会构成：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本采购项目评标委员会的评委由采购人代表和评审专家组成。</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三、评标原则</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四、评标标准：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1、评标时，评标委员会以招标文件为评标依据，评标委员会各成员独立对每个供应商的响应文件进行评价，并汇总每个供应商的得分。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2、本项目评分总分为100分，按四舍五入取至小数点后两位。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3、总得分=价格分+技术分+商务分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标准：评标结果按评审后得分由高到低顺序排列。得分相同的，按投标报价由低到高顺序排列。得分且投标报价相同的并列。响应文件满足招标文件全部实质性要求，且按照评审因素的量化指标评审得分最高的供应商为中标候选人。本项目选取1名中标候选人。</w:t>
      </w:r>
      <w:r/>
    </w:p>
    <w:p>
      <w:pPr>
        <w:ind w:left="734" w:right="0" w:hanging="343"/>
        <w:jc w:val="center"/>
        <w:spacing w:before="0" w:after="0" w:line="85" w:lineRule="atLeast"/>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综合评分法</w:t>
      </w:r>
      <w:r/>
    </w:p>
    <w:p>
      <w:pPr>
        <w:numPr>
          <w:ilvl w:val="0"/>
          <w:numId w:val="12"/>
        </w:numPr>
        <w:jc w:val="both"/>
        <w:spacing w:before="146" w:after="146"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价格分：10分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采用低价优先法计算，即满足招标文件要求且投标价格最低的投标报价为评标基准价，其价格分为满分。其他供应商的价格分统一按照下列公式计算：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投标报价得分=（评标基准价/投标报价）×10分。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评标过程中，不得去掉报价中的最高报价和最低报价</w:t>
      </w:r>
      <w:r/>
    </w:p>
    <w:p>
      <w:pPr>
        <w:ind w:left="0" w:right="0" w:firstLine="482"/>
        <w:jc w:val="both"/>
        <w:spacing w:before="146" w:after="14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2.技术分：53分</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88"/>
        <w:gridCol w:w="7100"/>
      </w:tblGrid>
      <w:tr>
        <w:trPr>
          <w:trHeight w:val="62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8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00"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评审标准</w:t>
            </w:r>
            <w:r/>
          </w:p>
        </w:tc>
      </w:tr>
      <w:tr>
        <w:trPr>
          <w:trHeight w:val="20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8" w:type="dxa"/>
            <w:vAlign w:val="center"/>
            <w:textDirection w:val="lrTb"/>
            <w:noWrap w:val="false"/>
          </w:tcPr>
          <w:p>
            <w:pPr>
              <w:ind w:left="0" w:right="0" w:firstLine="0"/>
              <w:jc w:val="center"/>
              <w:spacing w:before="0" w:after="0"/>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对项目理解</w:t>
            </w:r>
            <w:r/>
          </w:p>
          <w:p>
            <w:pPr>
              <w:ind w:left="0" w:right="0" w:firstLine="0"/>
              <w:jc w:val="center"/>
              <w:spacing w:before="0" w:after="0"/>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程度</w:t>
            </w:r>
            <w:r/>
          </w:p>
          <w:p>
            <w:pPr>
              <w:ind w:left="0" w:right="0" w:firstLine="0"/>
              <w:jc w:val="center"/>
              <w:spacing w:before="0" w:after="0"/>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根据供应商对项目的背景及必要性等方面理解程度进行综合评分。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对项目理解深刻、方案内容完整、针对性强、切实可行：7分；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对项目理解较深刻、内容较完整、针对性较强、较切实可行：5分；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对项目理解一般、方案基本合理、针对性可行性尚可：3分；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未提供不得分。</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8" w:type="dxa"/>
            <w:vAlign w:val="center"/>
            <w:vMerge w:val="restart"/>
            <w:textDirection w:val="lrTb"/>
            <w:noWrap w:val="false"/>
          </w:tcPr>
          <w:p>
            <w:pPr>
              <w:ind w:left="0" w:right="0" w:firstLine="0"/>
              <w:jc w:val="center"/>
              <w:spacing w:before="0" w:after="0"/>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技术方案</w:t>
            </w:r>
            <w:r/>
          </w:p>
          <w:p>
            <w:pPr>
              <w:ind w:left="0" w:right="0" w:firstLine="0"/>
              <w:jc w:val="center"/>
              <w:spacing w:before="0" w:after="0"/>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0" w:type="dxa"/>
            <w:vAlign w:val="center"/>
            <w:textDirection w:val="lrTb"/>
            <w:noWrap w:val="false"/>
          </w:tcPr>
          <w:p>
            <w:pPr>
              <w:ind w:left="105" w:right="102"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全面性(5分)：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根据供应商编制的技术方案，对项目的关键步骤、环节的建议及解决方案进行综合评分,全面具体详实得5分；较全面得3分；不全面得1分。未提供的得0分。</w:t>
            </w:r>
            <w:r/>
          </w:p>
        </w:tc>
      </w:tr>
      <w:tr>
        <w:trPr>
          <w:trHeight w:val="93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0" w:type="dxa"/>
            <w:vAlign w:val="center"/>
            <w:textDirection w:val="lrTb"/>
            <w:noWrap w:val="false"/>
          </w:tcPr>
          <w:p>
            <w:pPr>
              <w:ind w:left="105" w:right="102"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针对性(5分)：</w:t>
            </w:r>
            <w:r/>
          </w:p>
          <w:p>
            <w:pPr>
              <w:ind w:left="105" w:right="102"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根据供应商编制的技术方案，对项目的关键步骤、环节的建议及解决方案进行综合评分,针对性强得5分；针对性较强得3分；针对性不强得1分。未提供的得0分。</w:t>
            </w:r>
            <w:r/>
          </w:p>
        </w:tc>
      </w:tr>
      <w:tr>
        <w:trPr>
          <w:trHeight w:val="93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0" w:type="dxa"/>
            <w:vAlign w:val="center"/>
            <w:textDirection w:val="lrTb"/>
            <w:noWrap w:val="false"/>
          </w:tcPr>
          <w:p>
            <w:pPr>
              <w:ind w:left="105" w:right="102"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可行性(5分)：</w:t>
            </w:r>
            <w:r/>
          </w:p>
          <w:p>
            <w:pPr>
              <w:ind w:left="105" w:right="102"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根据供应商编制的技术方案，对项目的关键步骤、环节的建议及解决方案进行综合评分,符合实际切实可行得5分；较切实可行得3分；可行性欠缺得1分。未提供的得0分。</w:t>
            </w:r>
            <w:r/>
          </w:p>
        </w:tc>
      </w:tr>
      <w:tr>
        <w:trPr>
          <w:trHeight w:val="27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8" w:type="dxa"/>
            <w:vAlign w:val="center"/>
            <w:textDirection w:val="lrTb"/>
            <w:noWrap w:val="false"/>
          </w:tcPr>
          <w:p>
            <w:pPr>
              <w:ind w:left="0" w:right="0" w:firstLine="0"/>
              <w:jc w:val="center"/>
              <w:spacing w:before="0" w:after="0"/>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项目管理方案</w:t>
            </w:r>
            <w:r/>
          </w:p>
          <w:p>
            <w:pPr>
              <w:ind w:left="0" w:right="0" w:firstLine="0"/>
              <w:jc w:val="center"/>
              <w:spacing w:before="0" w:after="0"/>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提供项目管理方案，包括但不限于机构设置、工作制度、责任分工、人员安排等内容：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项目组织管理机构设置完备，责任分工明确，工作措施落实到位的得6分；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项目组织管理机构设置较完备，责任分工较明确，工作措施落实较到位的得4分；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项目组织管理机构设置基本完备，责任分工基本明确，工作措施落实基本到位的得2分；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未提供不得分。</w:t>
            </w:r>
            <w:r/>
          </w:p>
        </w:tc>
      </w:tr>
      <w:tr>
        <w:trPr>
          <w:trHeight w:val="7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8"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质量、进度保证措施</w:t>
            </w:r>
            <w:r/>
          </w:p>
          <w:p>
            <w:pPr>
              <w:ind w:left="0" w:right="0" w:firstLine="0"/>
              <w:jc w:val="center"/>
              <w:spacing w:before="0" w:after="0"/>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0" w:type="dxa"/>
            <w:vAlign w:val="center"/>
            <w:textDirection w:val="lrTb"/>
            <w:noWrap w:val="false"/>
          </w:tcPr>
          <w:p>
            <w:pPr>
              <w:ind w:left="105" w:right="102"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全面性(5分)：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的质量控制、质量管理及分项进度、整体进度的保障措施等内容全面具体详实得5分；项目的质量控制、质量管理及分项进度、整体进度的保障措施等内容较全面得3分；项目的质量控制、质量管理及分项进度、整体进度的保障措施等内容不全面得1分。未提供的得0分。</w:t>
            </w:r>
            <w:r/>
          </w:p>
        </w:tc>
      </w:tr>
      <w:tr>
        <w:trPr>
          <w:trHeight w:val="72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0" w:type="dxa"/>
            <w:vAlign w:val="center"/>
            <w:textDirection w:val="lrTb"/>
            <w:noWrap w:val="false"/>
          </w:tcPr>
          <w:p>
            <w:pPr>
              <w:ind w:left="105" w:right="102"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针对性(5分)：</w:t>
            </w:r>
            <w:r/>
          </w:p>
          <w:p>
            <w:pPr>
              <w:ind w:left="105" w:right="102"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的质量控制、质量管理及分项进度、整体进度的保障措施等内容针对性强得5分；项目的质量控制、质量管理及分项进度、整体进度的保障措施等内容针对性较强得3分；项目的质量控制、质量管理及分项进度、整体进度的保障措施等内容针对性不强得1分。未提供的得0分。</w:t>
            </w:r>
            <w:r/>
          </w:p>
        </w:tc>
      </w:tr>
      <w:tr>
        <w:trPr>
          <w:trHeight w:val="72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0" w:type="dxa"/>
            <w:vAlign w:val="center"/>
            <w:textDirection w:val="lrTb"/>
            <w:noWrap w:val="false"/>
          </w:tcPr>
          <w:p>
            <w:pPr>
              <w:ind w:left="105" w:right="102"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可行性(5分)：</w:t>
            </w:r>
            <w:r/>
          </w:p>
          <w:p>
            <w:pPr>
              <w:ind w:left="105" w:right="102"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的质量控制、质量管理及分项进度、整体进度的保障措施等内容符合实际切实可行得5分；项目的质量控制、质量管理及分项进度、整体进度的保障措施等内容较切实可行得3分；项目的质量控制、质量管理及分项进度、整体进度的保障措施等内容可行性欠缺得1分。未提供的得0分。</w:t>
            </w:r>
            <w:r/>
          </w:p>
        </w:tc>
      </w:tr>
      <w:tr>
        <w:trPr>
          <w:trHeight w:val="19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保密方案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0" w:type="dxa"/>
            <w:vAlign w:val="center"/>
            <w:textDirection w:val="lrTb"/>
            <w:noWrap w:val="false"/>
          </w:tcPr>
          <w:p>
            <w:pPr>
              <w:ind w:left="0" w:right="102"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针对此项内容、技术措施进行阐述，应包含保密人员的配置、对涉密信息的保密制度、保密措施等内容。</w:t>
            </w:r>
            <w:r/>
          </w:p>
          <w:p>
            <w:pPr>
              <w:ind w:left="0" w:right="102"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（1）保密方案明确，符合（超过）磋商文件各项要求得5分；</w:t>
            </w:r>
            <w:r/>
          </w:p>
          <w:p>
            <w:pPr>
              <w:ind w:left="0" w:right="102"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（2）保密方案明确，基本符合磋商文件各项要求得3分；</w:t>
            </w:r>
            <w:r/>
          </w:p>
          <w:p>
            <w:pPr>
              <w:ind w:left="0" w:right="102"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（3）保密方案不明确得1分。</w:t>
            </w:r>
            <w:r/>
          </w:p>
          <w:p>
            <w:pPr>
              <w:ind w:left="0" w:right="102"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未提供的不得分。</w:t>
            </w:r>
            <w:r/>
          </w:p>
        </w:tc>
      </w:tr>
      <w:tr>
        <w:trPr>
          <w:trHeight w:val="19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8" w:type="dxa"/>
            <w:vAlign w:val="center"/>
            <w:textDirection w:val="lrTb"/>
            <w:noWrap w:val="false"/>
          </w:tcPr>
          <w:p>
            <w:pPr>
              <w:ind w:left="0" w:right="0" w:firstLine="0"/>
              <w:jc w:val="center"/>
              <w:spacing w:before="0" w:after="0"/>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售后服务</w:t>
            </w:r>
            <w:r/>
          </w:p>
          <w:p>
            <w:pPr>
              <w:ind w:left="0" w:right="0" w:firstLine="0"/>
              <w:jc w:val="center"/>
              <w:spacing w:before="0" w:after="0"/>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供应商在项目建设完成后，可提供全面具体的售后服务。响应文件提供售后服务方案，包括具体服务内容、服务承诺、服务响应时间、技术支持体系、培训等内容。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售后服务方案内容全面具体，服务响应及时，培训方案得当：5分；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售后服务方案内容比较全面，服务响应与培训基本满足招标需求：3分；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售后服务保障基本完善：1分；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未提供不得分。</w:t>
            </w:r>
            <w:r/>
          </w:p>
        </w:tc>
      </w:tr>
    </w:tbl>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3.商务分：37分</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49"/>
        <w:gridCol w:w="7288"/>
      </w:tblGrid>
      <w:tr>
        <w:trPr>
          <w:trHeight w:val="62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9" w:type="dxa"/>
            <w:vAlign w:val="center"/>
            <w:textDirection w:val="lrTb"/>
            <w:noWrap w:val="false"/>
          </w:tcPr>
          <w:p>
            <w:pPr>
              <w:ind w:left="0" w:right="0" w:firstLine="0"/>
              <w:jc w:val="center"/>
              <w:spacing w:before="0" w:after="0" w:line="32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88" w:type="dxa"/>
            <w:vAlign w:val="center"/>
            <w:textDirection w:val="lrTb"/>
            <w:noWrap w:val="false"/>
          </w:tcPr>
          <w:p>
            <w:pPr>
              <w:ind w:left="0" w:right="0" w:firstLine="0"/>
              <w:jc w:val="center"/>
              <w:spacing w:before="0" w:after="0" w:line="32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评审标准</w:t>
            </w:r>
            <w:r/>
          </w:p>
        </w:tc>
      </w:tr>
      <w:tr>
        <w:trPr>
          <w:trHeight w:val="11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供应商自2022年1月1日以来承担过类似项目的，每有一个得2分，本项最高得10分。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注：提供合同原件扫描件，时间以合同签订为准。未提供或无法体现的不得分。</w:t>
            </w:r>
            <w:r/>
          </w:p>
        </w:tc>
      </w:tr>
      <w:tr>
        <w:trPr>
          <w:trHeight w:val="11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拟投入本项目人员（21分）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8" w:type="dxa"/>
            <w:vAlign w:val="center"/>
            <w:textDirection w:val="lrTb"/>
            <w:noWrap w:val="false"/>
          </w:tcPr>
          <w:p>
            <w:pPr>
              <w:numPr>
                <w:ilvl w:val="0"/>
                <w:numId w:val="13"/>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具有测绘类</w:t>
            </w:r>
            <w:r>
              <w:rPr>
                <w:rFonts w:ascii="SimSun" w:hAnsi="SimSun" w:eastAsia="SimSun" w:cs="SimSun"/>
                <w:color w:val="000000"/>
                <w:sz w:val="24"/>
              </w:rPr>
              <w:t xml:space="preserve">高级及以上职称证书得1分，具有测绘类中级职称证书得0.5分；具有土地类高级及以上职称证书得1分，具有土地类中级职称证书得0.5分；具有注册测绘师资格证书得一分；具有地理信息安全保密培训合格证明（含等效涉密培训证）的得一分；本项最高得4分。</w:t>
            </w:r>
            <w:r/>
          </w:p>
          <w:p>
            <w:pPr>
              <w:numPr>
                <w:ilvl w:val="0"/>
                <w:numId w:val="13"/>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技术负责人：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测绘类高级及以上职称证书得1分，具有测绘类中级职称证书得0.5分；具有土地类高级及以上职称证书得1分，具有土地类中级职称证书得0.5分；具有高级信息系统项目管理师得1分；具有地理信息安全保密培训合格证明（含等效涉密培训证）的得1分；本项最高得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3、质量负责人：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测绘类高级及以上职称证书得1分，具有测绘类中级职称证书得0.5分；具有土地类高级及以上职称证书得1分，具有土地类中级职称证书得0.5分；具有注册测绘师资格证书得1分；具有不动产登记代理人证书（含原土地登记代理人资格证书，新旧证书效力等同）的得1分；具有地理信息安全保密培训合格证明（含等效涉密培训证）的得1分；本项最高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4、项目组其他成员（不包括项目负责人、技术负责人、质量负责人）：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具有测绘类中级及以上工程师职称同时具备地理信息安全保密培训合格证明的，每有一人得1分，本项最高得5分。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具有测绘类中级及以上工程师职称同时具备不动产登记代理人证书（含原土地登记代理人资格证书，新旧证书效力等同）的，每有一人得1分，最高得3分。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注：提供上述有效证书原件扫描件及2026年1月以来任意一个月由供应商为其缴纳的社保证明扫描件，否则不得分。</w:t>
            </w:r>
            <w:r/>
          </w:p>
        </w:tc>
      </w:tr>
      <w:tr>
        <w:trPr>
          <w:trHeight w:val="1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设备配备</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供应商具备整套仪器设备（含全站仪、GNSS接收机、激光测距仪、无人机），每提供1套符合要求的设备得2分，本项累计最高得6分。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注：须提供设备发票原件扫描件及检定机构出具的有效检定证书原件扫描件，或提供设备租赁协议原件扫描件及检定机构出具的有效检定证书原件扫描件方为有效，否则不得分。</w:t>
            </w:r>
            <w:r/>
          </w:p>
        </w:tc>
      </w:tr>
    </w:tbl>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注：响应文件中所提供的全部证明材料，评审结束后采购人有权进行核实，如有不实，将按照相关法律法规规定进行处理。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第六章响应文件格式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响应文件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供应商名称 ：</w:t>
      </w:r>
      <w:r>
        <w:rPr>
          <w:rFonts w:ascii="SimSun" w:hAnsi="SimSun" w:eastAsia="SimSun" w:cs="SimSun"/>
          <w:b/>
          <w:color w:val="000000"/>
          <w:sz w:val="36"/>
          <w:u w:val="single"/>
        </w:rPr>
        <w:t xml:space="preserve">（加盖CA电子公章）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响应文件目录</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48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一、法人或者其他组织的营业执照等证明文件，自然人的身份证明</w:t>
      </w:r>
      <w:r/>
    </w:p>
    <w:p>
      <w:pPr>
        <w:ind w:left="48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二、具有良好的商业信誉和健全的财务会计制度</w:t>
      </w:r>
      <w:r/>
    </w:p>
    <w:p>
      <w:pPr>
        <w:ind w:left="48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三、依法缴纳税收和社会保障资金的相关材料</w:t>
      </w:r>
      <w:r/>
    </w:p>
    <w:p>
      <w:pPr>
        <w:ind w:left="48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四、具备履行合同所必需的设备和专业技术能力的书面声明及证明材料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五、参加政府采购活动前 3 年内在经营活动中没有重大违法记录的书面声明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六、特定资格要求的证明文件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七、法人授权书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八、磋商响应函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九、中小企业声明函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十一、投标分项报价表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十二、技术要求响应及偏离表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十三、商务要求响应及偏离表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十四、开标一览表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十五、类似项目业绩一览表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十六、项目团队人员一览表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十七、投标所需其他材料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一、法人或者其他组织的营业执照等证明文件，自然人的身份证明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二、</w:t>
      </w:r>
      <w:r>
        <w:rPr>
          <w:rFonts w:ascii="SimHei" w:hAnsi="SimHei" w:eastAsia="SimHei" w:cs="SimHei"/>
          <w:color w:val="000000"/>
          <w:sz w:val="32"/>
          <w:u w:val="single"/>
        </w:rPr>
        <w:t xml:space="preserve">具有良好的商业信誉和健全的财务会计制度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根据连财购〔2023〕4号、连财购〔2023〕9号文件精神，可以提供《财务状况报告及税收、社会保障资金缴纳情况承诺函》。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三、依法缴纳税收和社会保障资金的相关材料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根据连财购〔2023〕4号、连财购〔2023〕9号文件精神，可以提供《财务状况报告及税收、社会保障资金缴纳情况承诺函》。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四、具备履行合同所必需的设备和专业技术能力的书面声明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五、参加政府采购活动前 3 年内在经营活动中没有重大违法记录的声明</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声明</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六、特定资格要求的证明文件</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如果本项目申请人的特定资格要求中要求提供的，必须提供。</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七、法人授权书</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（供应商名称）授权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w:t>
      </w:r>
      <w:r>
        <w:rPr>
          <w:rFonts w:ascii="Times New Roman" w:hAnsi="Times New Roman" w:eastAsia="Times New Roman" w:cs="Times New Roman"/>
          <w:color w:val="000000"/>
          <w:sz w:val="24"/>
        </w:rPr>
        <w:t xml:space="preserve">JSZC-</w:t>
      </w:r>
      <w:r>
        <w:rPr>
          <w:rFonts w:ascii="SimSun" w:hAnsi="SimSun" w:eastAsia="SimSun" w:cs="SimSu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rPr>
          <w:rFonts w:ascii="SimSun" w:hAnsi="SimSun" w:eastAsia="SimSun" w:cs="SimSun"/>
          <w:color w:val="000000"/>
          <w:sz w:val="24"/>
          <w:u w:val="single"/>
        </w:rPr>
        <w:t xml:space="preserve">                              </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rPr>
          <w:rFonts w:ascii="SimSun" w:hAnsi="SimSun" w:eastAsia="SimSun" w:cs="SimSun"/>
          <w:color w:val="000000"/>
          <w:sz w:val="24"/>
          <w:u w:val="single"/>
        </w:rPr>
        <w:t xml:space="preserve">                          </w:t>
      </w:r>
      <w:r/>
    </w:p>
    <w:p>
      <w:pPr>
        <w:ind w:left="0" w:right="0" w:firstLine="120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rPr>
          <w:rFonts w:ascii="SimSun" w:hAnsi="SimSun" w:eastAsia="SimSun" w:cs="SimSun"/>
          <w:color w:val="000000"/>
          <w:sz w:val="24"/>
          <w:u w:val="single"/>
        </w:rPr>
        <w:t xml:space="preserve">                                         </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single"/>
        </w:rPr>
        <w:t xml:space="preserve">法定代表人（单位负责人）身份证明</w:t>
      </w:r>
      <w:r/>
    </w:p>
    <w:p>
      <w:pPr>
        <w:ind w:left="0" w:right="0" w:firstLine="0"/>
        <w:jc w:val="both"/>
        <w:spacing w:before="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481"/>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p>
    <w:p>
      <w:pPr>
        <w:ind w:left="0" w:right="0" w:firstLine="481"/>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兹证明，</w:t>
      </w:r>
      <w:r/>
    </w:p>
    <w:p>
      <w:pPr>
        <w:ind w:left="0" w:right="0" w:firstLine="481"/>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rPr>
          <w:rFonts w:ascii="SimSun" w:hAnsi="SimSun" w:eastAsia="SimSun" w:cs="SimSun"/>
          <w:color w:val="000000"/>
          <w:sz w:val="24"/>
        </w:rPr>
        <w:t xml:space="preserve">性别：</w:t>
      </w:r>
      <w:r>
        <w:rPr>
          <w:rFonts w:ascii="SimSun" w:hAnsi="SimSun" w:eastAsia="SimSun" w:cs="SimSun"/>
          <w:color w:val="000000"/>
          <w:sz w:val="24"/>
          <w:u w:val="single"/>
        </w:rPr>
        <w:t xml:space="preserve">        </w:t>
      </w:r>
      <w:r>
        <w:rPr>
          <w:rFonts w:ascii="SimSun" w:hAnsi="SimSun" w:eastAsia="SimSun" w:cs="SimSun"/>
          <w:color w:val="000000"/>
          <w:sz w:val="24"/>
        </w:rPr>
        <w:t xml:space="preserve">年龄：</w:t>
      </w:r>
      <w:r>
        <w:rPr>
          <w:rFonts w:ascii="SimSun" w:hAnsi="SimSun" w:eastAsia="SimSun" w:cs="SimSun"/>
          <w:color w:val="000000"/>
          <w:sz w:val="24"/>
          <w:u w:val="single"/>
        </w:rPr>
        <w:t xml:space="preserve">         </w:t>
      </w:r>
      <w:r>
        <w:rPr>
          <w:rFonts w:ascii="SimSun" w:hAnsi="SimSun" w:eastAsia="SimSun" w:cs="SimSun"/>
          <w:color w:val="000000"/>
          <w:sz w:val="24"/>
        </w:rPr>
        <w:t xml:space="preserve">职务：</w:t>
      </w:r>
      <w:r>
        <w:rPr>
          <w:rFonts w:ascii="SimSun" w:hAnsi="SimSun" w:eastAsia="SimSun" w:cs="SimSun"/>
          <w:color w:val="000000"/>
          <w:sz w:val="24"/>
          <w:u w:val="single"/>
        </w:rPr>
        <w:t xml:space="preserve">          </w:t>
      </w:r>
      <w:r/>
    </w:p>
    <w:p>
      <w:pPr>
        <w:ind w:left="0" w:right="0" w:firstLine="481"/>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1"/>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（供应商名称）的法定代表人（单位负责人）。</w:t>
      </w:r>
      <w:r/>
    </w:p>
    <w:p>
      <w:pPr>
        <w:ind w:left="0" w:right="0" w:firstLine="481"/>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1"/>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1"/>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1"/>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附：法定代表人（单位负责人）有效期内的身份证正反面电子件。</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3"/>
        <w:gridCol w:w="4536"/>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3" w:type="dxa"/>
            <w:vAlign w:val="top"/>
            <w:textDirection w:val="lrTb"/>
            <w:noWrap w:val="false"/>
          </w:tcPr>
          <w:p>
            <w:pPr>
              <w:ind w:left="0" w:right="0" w:firstLine="481"/>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1"/>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1"/>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6" w:type="dxa"/>
            <w:vAlign w:val="top"/>
            <w:textDirection w:val="lrTb"/>
            <w:noWrap w:val="false"/>
          </w:tcPr>
          <w:p>
            <w:pPr>
              <w:ind w:left="0" w:right="0" w:firstLine="481"/>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1"/>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1"/>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1"/>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1"/>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1"/>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w:t>
      </w:r>
      <w:r>
        <w:rPr>
          <w:rFonts w:ascii="SimSun" w:hAnsi="SimSun" w:eastAsia="SimSun" w:cs="SimSun"/>
          <w:color w:val="000000"/>
          <w:sz w:val="24"/>
          <w:u w:val="single"/>
        </w:rPr>
        <w:t xml:space="preserve">                </w:t>
      </w:r>
      <w:r/>
    </w:p>
    <w:p>
      <w:pPr>
        <w:ind w:left="0" w:right="0" w:firstLine="481"/>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法定代表人（单位负责人）（签字或签章或印鉴）：</w:t>
      </w:r>
      <w:r>
        <w:rPr>
          <w:rFonts w:ascii="SimSun" w:hAnsi="SimSun" w:eastAsia="SimSun" w:cs="SimSun"/>
          <w:color w:val="000000"/>
          <w:sz w:val="24"/>
          <w:u w:val="single"/>
        </w:rPr>
        <w:t xml:space="preserve">           </w:t>
      </w:r>
      <w:r/>
    </w:p>
    <w:p>
      <w:pPr>
        <w:ind w:left="0" w:right="0" w:firstLine="481"/>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390"/>
        <w:jc w:val="both"/>
        <w:spacing w:before="260" w:after="260" w:line="98" w:lineRule="atLeast"/>
        <w:pBdr>
          <w:top w:val="none" w:color="000000" w:sz="4" w:space="0"/>
          <w:left w:val="none" w:color="000000" w:sz="4" w:space="0"/>
          <w:bottom w:val="none" w:color="000000" w:sz="4" w:space="0"/>
          <w:right w:val="none" w:color="000000" w:sz="4" w:space="0"/>
        </w:pBdr>
      </w:pPr>
      <w:r>
        <w:br w:type="page" w:clear="all"/>
      </w:r>
      <w:r/>
    </w:p>
    <w:p>
      <w:pPr>
        <w:ind w:left="0" w:right="0" w:firstLine="3390"/>
        <w:jc w:val="both"/>
        <w:spacing w:before="260" w:after="260" w:line="98" w:lineRule="atLeast"/>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八、磋商响应函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灌云县自然资源和规划局</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根据贵方的JSZC-</w:t>
      </w:r>
      <w:r>
        <w:rPr>
          <w:rFonts w:ascii="SimSun" w:hAnsi="SimSun" w:eastAsia="SimSun" w:cs="SimSun"/>
          <w:color w:val="000000"/>
          <w:sz w:val="24"/>
          <w:u w:val="single"/>
        </w:rPr>
        <w:t xml:space="preserve">   </w:t>
      </w:r>
      <w:r>
        <w:rPr>
          <w:rFonts w:ascii="SimSun" w:hAnsi="SimSun" w:eastAsia="SimSun" w:cs="SimSun"/>
          <w:b/>
          <w:color w:val="000000"/>
          <w:sz w:val="36"/>
          <w:u w:val="single"/>
        </w:rPr>
        <w:t xml:space="preserve">    </w:t>
      </w:r>
      <w:r>
        <w:rPr>
          <w:rFonts w:ascii="SimSun" w:hAnsi="SimSun" w:eastAsia="SimSun" w:cs="SimSun"/>
          <w:color w:val="000000"/>
          <w:sz w:val="24"/>
        </w:rPr>
        <w:t xml:space="preserve">号磋商文件，正式授权下述签字人______(姓名)代表我方______________（供应商的名称），全权处理本次项目磋商的有关事宜。</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1.按磋商文件规定的各项要求，向买方提供所需货物、服务（包含与货物相关的服务及与服务相关的货物）。</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2.我们完全理解贵方不一定将合同授予最低报价的供应商。</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3.我们已详细审核全部磋商文件及其有效补充文件，我们知道必须放弃提出含糊不清或误解问题的权利。</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4.我们同意从规定的开标日期起遵循本响应文件，并在规定的磋商有效期期满之前均具有约束力。</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5.同意向贵方提供贵方可能另外要求的与磋商有关的任何证据或资料，并保证我方已提供和将要提供的文件是真实的、准确的。</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6.我单位承诺：成交后不分包也不转包。</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7.一旦我方成交,我方将根据磋商文件的规定，严格履行合同的责任和义务,并保证在磋商文件规定的时间完成项目，交付买方验收、使用。</w:t>
      </w:r>
      <w:r/>
    </w:p>
    <w:p>
      <w:pPr>
        <w:ind w:left="425"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7.我方与本磋商有关的正式通讯地址为：</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供应商开户行：</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 </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九、</w:t>
      </w:r>
      <w:r>
        <w:rPr>
          <w:rFonts w:ascii="SimHei" w:hAnsi="SimHei" w:eastAsia="SimHei" w:cs="SimHei"/>
          <w:color w:val="000000"/>
          <w:sz w:val="32"/>
          <w:u w:val="single"/>
        </w:rPr>
        <w:t xml:space="preserve">中小企业声明函（服务）</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本公司（联合体）郑重声明，根据《政府采购促进中小企业发展管理办法》(财库〔2020〕46号)的规定，本公司参加采购人组织的</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w:t>
      </w:r>
      <w:r>
        <w:rPr>
          <w:rFonts w:ascii="SimSun" w:hAnsi="SimSun" w:eastAsia="SimSun" w:cs="SimSun"/>
          <w:color w:val="000000"/>
          <w:sz w:val="24"/>
        </w:rPr>
        <w:t xml:space="preserve">，</w:t>
      </w:r>
      <w:r>
        <w:rPr>
          <w:rFonts w:ascii="SimSun" w:hAnsi="SimSun" w:eastAsia="SimSun" w:cs="SimSun"/>
          <w:color w:val="000000"/>
          <w:sz w:val="24"/>
          <w:u w:val="single"/>
        </w:rPr>
        <w:t xml:space="preserve">（项目名称）（分包号：**）</w:t>
      </w:r>
      <w:r>
        <w:rPr>
          <w:rFonts w:ascii="SimSun" w:hAnsi="SimSun" w:eastAsia="SimSun" w:cs="SimSun"/>
          <w:color w:val="000000"/>
          <w:sz w:val="24"/>
        </w:rPr>
        <w:t xml:space="preserve">的采购活动，服务全部由符合政策的中小企业承接。根据《工业和信息化部、国家统计局、国家发展和改革委员会、财政部关于印发中小企业划型标准规定的通知》(工信部联企业〔2011〕300号)的规定，相关企业的具体情况如下：</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（中型企业、小型企业、微型企业）；</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480" w:firstLine="54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备注2：成交供应商的《中小企业声明函》随中标结果公开。</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w:t>
      </w:r>
      <w:r>
        <w:rPr>
          <w:rFonts w:ascii="SimHei" w:hAnsi="SimHei" w:eastAsia="SimHei" w:cs="SimHei"/>
          <w:color w:val="000000"/>
          <w:sz w:val="32"/>
          <w:u w:val="single"/>
        </w:rPr>
        <w:t xml:space="preserve">残疾人福利性单位声明函（分包号：**）</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项目（分包号：**）采购活动由本单位提供服务。</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（备注：1、成交供应商为残疾人福利单位的，此声明函将随中标结果同时公告，接受社会监督）</w:t>
      </w:r>
      <w:r/>
    </w:p>
    <w:p>
      <w:pPr>
        <w:ind w:left="0" w:right="0" w:firstLine="624"/>
        <w:jc w:val="both"/>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180" w:firstLine="36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企业名称（加盖CA电子公章）：</w:t>
      </w:r>
      <w:r/>
    </w:p>
    <w:p>
      <w:pPr>
        <w:ind w:left="0" w:right="1560" w:firstLine="480"/>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十一、</w:t>
      </w:r>
      <w:r>
        <w:rPr>
          <w:rFonts w:ascii="SimHei" w:hAnsi="SimHei" w:eastAsia="SimHei" w:cs="SimHei"/>
          <w:color w:val="000000"/>
          <w:sz w:val="36"/>
        </w:rPr>
        <w:t xml:space="preserve">投标分项报价表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             项目编号：        分包号：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单位：元</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1"/>
        <w:gridCol w:w="1494"/>
        <w:gridCol w:w="1176"/>
        <w:gridCol w:w="839"/>
        <w:gridCol w:w="918"/>
        <w:gridCol w:w="1918"/>
      </w:tblGrid>
      <w:tr>
        <w:trPr>
          <w:trHeight w:val="8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产品、服务（标的）名称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单项</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合计价</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01"/>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8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总计（元）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法定代表人（单位负责人）或委托代理人（签字或盖章）：</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3"/>
        <w:jc w:val="both"/>
        <w:spacing w:before="0" w:after="0" w:line="41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十二、技术要求响应及偏离表（分包号：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供应商（盖章）：</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法定代表人或委托代理人（签字或盖章）：</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十三、商务要求响应及偏离表（分包号：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single"/>
        </w:rPr>
        <w:t xml:space="preserve">十四、开标一览表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货币单位：人民币元</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041"/>
        <w:gridCol w:w="3041"/>
        <w:gridCol w:w="3042"/>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总价（小写）</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详见响应文件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总价（大写）：</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金额大写</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供应商公章：（电子签章）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tabs>
          <w:tab w:val="left" w:pos="1021" w:leader="none"/>
        </w:tabs>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tabs>
          <w:tab w:val="left" w:pos="1021"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single"/>
        </w:rPr>
        <w:t xml:space="preserve">十五、类似项目业绩一览表</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类似项目业绩一览表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13"/>
        <w:gridCol w:w="2437"/>
        <w:gridCol w:w="2133"/>
        <w:gridCol w:w="1357"/>
        <w:gridCol w:w="2415"/>
      </w:tblGrid>
      <w:tr>
        <w:trPr>
          <w:trHeight w:val="75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1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437"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3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签订时间</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57"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采购单位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415"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合同金额</w:t>
            </w:r>
            <w:r/>
          </w:p>
        </w:tc>
      </w:tr>
      <w:tr>
        <w:trP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7"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57"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5"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7"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57"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5"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7"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57"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5"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7"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57"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5"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7"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57"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5"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7"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57"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5"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7"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57"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5"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7"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57"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5"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7"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57"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5"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7"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57"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5"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bl>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法定代表人或委托代理人（签字或盖章）：</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center"/>
        <w:spacing w:before="260" w:after="26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60" w:after="26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single"/>
        </w:rPr>
        <w:t xml:space="preserve">十六、项目团队人员一览表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项目团队人员一览表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70"/>
        <w:gridCol w:w="1905"/>
        <w:gridCol w:w="1127"/>
        <w:gridCol w:w="896"/>
        <w:gridCol w:w="896"/>
        <w:gridCol w:w="2814"/>
      </w:tblGrid>
      <w:tr>
        <w:trPr>
          <w:trHeight w:val="93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0"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  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05"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本项目拟任</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  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学历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14"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主要资历及担任过的职务</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0"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5"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4"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0"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5"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4"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0"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5"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4"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0"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5"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4"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0"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5"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4"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0"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5"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4"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0"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5"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4"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0"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5"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4"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0"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5"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4"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供应商（盖章）：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法定代表人或委托代理人（签字或盖章）：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single"/>
        </w:rPr>
        <w:t xml:space="preserve">十七、投标所需其他材料</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single"/>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FangSong">
    <w:panose1 w:val="02010609060101010101"/>
  </w:font>
  <w:font w:name="SimHei">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tabs>
        <w:tab w:val="center" w:pos="4153" w:leader="none"/>
        <w:tab w:val="right" w:pos="8306" w:leader="none"/>
      </w:tabs>
      <w:rPr>
        <w:rStyle w:val="734"/>
        <w:rFonts w:ascii="宋体" w:hAnsi="宋体"/>
      </w:rPr>
      <w:framePr w:wrap="around" w:vAnchor="text" w:hAnchor="margin" w:xAlign="center" w:y="1"/>
    </w:pPr>
    <w:r>
      <w:rPr>
        <w:rFonts w:ascii="宋体" w:hAnsi="宋体"/>
      </w:rPr>
      <w:fldChar w:fldCharType="begin"/>
    </w:r>
    <w:r>
      <w:rPr>
        <w:rStyle w:val="734"/>
        <w:rFonts w:ascii="宋体" w:hAnsi="宋体"/>
      </w:rPr>
      <w:instrText xml:space="preserve">PAGE  </w:instrText>
    </w:r>
    <w:r>
      <w:rPr>
        <w:rFonts w:ascii="宋体" w:hAnsi="宋体"/>
      </w:rPr>
      <w:fldChar w:fldCharType="separate"/>
    </w:r>
    <w:r>
      <w:rPr>
        <w:rStyle w:val="734"/>
        <w:rFonts w:ascii="宋体" w:hAnsi="宋体"/>
      </w:rPr>
      <w:t xml:space="preserve">３９</w:t>
    </w:r>
    <w:r>
      <w:rPr>
        <w:rFonts w:ascii="宋体" w:hAnsi="宋体"/>
      </w:rPr>
      <w:fldChar w:fldCharType="end"/>
    </w:r>
    <w:r>
      <w:rPr>
        <w:rStyle w:val="734"/>
        <w:rFonts w:ascii="宋体" w:hAnsi="宋体"/>
      </w:rPr>
    </w:r>
    <w:r/>
  </w:p>
  <w:p>
    <w:pPr>
      <w:pStyle w:val="709"/>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tabs>
        <w:tab w:val="center" w:pos="4153" w:leader="none"/>
        <w:tab w:val="right" w:pos="8306" w:leader="none"/>
      </w:tabs>
      <w:rPr>
        <w:rStyle w:val="734"/>
      </w:rPr>
      <w:framePr w:wrap="around" w:vAnchor="text" w:hAnchor="margin" w:xAlign="center" w:y="1"/>
    </w:pPr>
    <w:r>
      <w:fldChar w:fldCharType="begin"/>
    </w:r>
    <w:r>
      <w:rPr>
        <w:rStyle w:val="734"/>
      </w:rPr>
      <w:instrText xml:space="preserve">PAGE  </w:instrText>
    </w:r>
    <w:r>
      <w:fldChar w:fldCharType="separate"/>
    </w:r>
    <w:r>
      <w:rPr>
        <w:rStyle w:val="734"/>
      </w:rPr>
      <w:t xml:space="preserve">1</w:t>
    </w:r>
    <w:r>
      <w:fldChar w:fldCharType="end"/>
    </w:r>
    <w:r>
      <w:rPr>
        <w:rStyle w:val="734"/>
      </w:rPr>
    </w:r>
    <w:r/>
  </w:p>
  <w:p>
    <w:pPr>
      <w:pStyle w:val="70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662"/>
        <w:tabs>
          <w:tab w:val="num" w:pos="312" w:leader="none"/>
        </w:tabs>
      </w:pPr>
    </w:lvl>
    <w:lvl w:ilvl="1">
      <w:start w:val="1"/>
      <w:numFmt w:val="bullet"/>
      <w:isLgl w:val="false"/>
      <w:suff w:val="tab"/>
      <w:lvlText w:val="o"/>
      <w:lvlJc w:val="left"/>
      <w:pPr>
        <w:pStyle w:val="662"/>
        <w:ind w:left="1440" w:hanging="360"/>
      </w:pPr>
      <w:rPr>
        <w:rFonts w:ascii="Courier New" w:hAnsi="Courier New" w:eastAsia="Courier New" w:cs="Courier New"/>
      </w:rPr>
    </w:lvl>
    <w:lvl w:ilvl="2">
      <w:start w:val="1"/>
      <w:numFmt w:val="bullet"/>
      <w:isLgl w:val="false"/>
      <w:suff w:val="tab"/>
      <w:lvlText w:val="§"/>
      <w:lvlJc w:val="left"/>
      <w:pPr>
        <w:pStyle w:val="662"/>
        <w:ind w:left="2160" w:hanging="360"/>
      </w:pPr>
      <w:rPr>
        <w:rFonts w:ascii="Wingdings" w:hAnsi="Wingdings" w:eastAsia="Wingdings" w:cs="Wingdings"/>
      </w:rPr>
    </w:lvl>
    <w:lvl w:ilvl="3">
      <w:start w:val="1"/>
      <w:numFmt w:val="bullet"/>
      <w:isLgl w:val="false"/>
      <w:suff w:val="tab"/>
      <w:lvlText w:val="·"/>
      <w:lvlJc w:val="left"/>
      <w:pPr>
        <w:pStyle w:val="662"/>
        <w:ind w:left="2880" w:hanging="360"/>
      </w:pPr>
      <w:rPr>
        <w:rFonts w:ascii="Symbol" w:hAnsi="Symbol" w:eastAsia="Symbol" w:cs="Symbol"/>
      </w:rPr>
    </w:lvl>
    <w:lvl w:ilvl="4">
      <w:start w:val="1"/>
      <w:numFmt w:val="bullet"/>
      <w:isLgl w:val="false"/>
      <w:suff w:val="tab"/>
      <w:lvlText w:val="o"/>
      <w:lvlJc w:val="left"/>
      <w:pPr>
        <w:pStyle w:val="662"/>
        <w:ind w:left="3600" w:hanging="360"/>
      </w:pPr>
      <w:rPr>
        <w:rFonts w:ascii="Courier New" w:hAnsi="Courier New" w:eastAsia="Courier New" w:cs="Courier New"/>
      </w:rPr>
    </w:lvl>
    <w:lvl w:ilvl="5">
      <w:start w:val="1"/>
      <w:numFmt w:val="bullet"/>
      <w:isLgl w:val="false"/>
      <w:suff w:val="tab"/>
      <w:lvlText w:val="§"/>
      <w:lvlJc w:val="left"/>
      <w:pPr>
        <w:pStyle w:val="662"/>
        <w:ind w:left="4320" w:hanging="360"/>
      </w:pPr>
      <w:rPr>
        <w:rFonts w:ascii="Wingdings" w:hAnsi="Wingdings" w:eastAsia="Wingdings" w:cs="Wingdings"/>
      </w:rPr>
    </w:lvl>
    <w:lvl w:ilvl="6">
      <w:start w:val="1"/>
      <w:numFmt w:val="bullet"/>
      <w:isLgl w:val="false"/>
      <w:suff w:val="tab"/>
      <w:lvlText w:val="·"/>
      <w:lvlJc w:val="left"/>
      <w:pPr>
        <w:pStyle w:val="662"/>
        <w:ind w:left="5040" w:hanging="360"/>
      </w:pPr>
      <w:rPr>
        <w:rFonts w:ascii="Symbol" w:hAnsi="Symbol" w:eastAsia="Symbol" w:cs="Symbol"/>
      </w:rPr>
    </w:lvl>
    <w:lvl w:ilvl="7">
      <w:start w:val="1"/>
      <w:numFmt w:val="bullet"/>
      <w:isLgl w:val="false"/>
      <w:suff w:val="tab"/>
      <w:lvlText w:val="o"/>
      <w:lvlJc w:val="left"/>
      <w:pPr>
        <w:pStyle w:val="662"/>
        <w:ind w:left="5760" w:hanging="360"/>
      </w:pPr>
      <w:rPr>
        <w:rFonts w:ascii="Courier New" w:hAnsi="Courier New" w:eastAsia="Courier New" w:cs="Courier New"/>
      </w:rPr>
    </w:lvl>
    <w:lvl w:ilvl="8">
      <w:start w:val="1"/>
      <w:numFmt w:val="bullet"/>
      <w:isLgl w:val="false"/>
      <w:suff w:val="tab"/>
      <w:lvlText w:val="§"/>
      <w:lvlJc w:val="left"/>
      <w:pPr>
        <w:pStyle w:val="662"/>
        <w:ind w:left="6480" w:hanging="360"/>
      </w:pPr>
      <w:rPr>
        <w:rFonts w:ascii="Wingdings" w:hAnsi="Wingdings" w:eastAsia="Wingdings" w:cs="Wingdings"/>
      </w:rPr>
    </w:lvl>
  </w:abstractNum>
  <w:abstractNum w:abstractNumId="2">
    <w:multiLevelType w:val="hybridMultilevel"/>
    <w:lvl w:ilvl="0">
      <w:start w:val="1"/>
      <w:numFmt w:val="upperLetter"/>
      <w:pStyle w:val="740"/>
      <w:isLgl w:val="false"/>
      <w:suff w:val="tab"/>
      <w:lvlText w:val="附录%1."/>
      <w:lvlJc w:val="left"/>
      <w:pPr>
        <w:pStyle w:val="66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757"/>
      <w:isLgl w:val="false"/>
      <w:suff w:val="tab"/>
      <w:lvlText w:val="%1."/>
      <w:lvlJc w:val="left"/>
      <w:pPr>
        <w:pStyle w:val="662"/>
        <w:ind w:left="709" w:hanging="709"/>
        <w:tabs>
          <w:tab w:val="num" w:pos="709" w:leader="none"/>
        </w:tabs>
      </w:pPr>
      <w:rPr>
        <w:rFonts w:hint="eastAsia"/>
      </w:rPr>
    </w:lvl>
    <w:lvl w:ilvl="1">
      <w:start w:val="1"/>
      <w:numFmt w:val="decimal"/>
      <w:isLgl w:val="false"/>
      <w:suff w:val="tab"/>
      <w:lvlText w:val="%1.%2"/>
      <w:lvlJc w:val="left"/>
      <w:pPr>
        <w:pStyle w:val="662"/>
        <w:ind w:left="709" w:hanging="709"/>
        <w:tabs>
          <w:tab w:val="num" w:pos="709" w:leader="none"/>
        </w:tabs>
      </w:pPr>
      <w:rPr>
        <w:rFonts w:hint="eastAsia"/>
      </w:rPr>
    </w:lvl>
    <w:lvl w:ilvl="2">
      <w:start w:val="1"/>
      <w:numFmt w:val="decimal"/>
      <w:isLgl w:val="false"/>
      <w:suff w:val="tab"/>
      <w:lvlText w:val="%1.%2.%3."/>
      <w:lvlJc w:val="left"/>
      <w:pPr>
        <w:pStyle w:val="662"/>
        <w:ind w:left="425" w:hanging="425"/>
        <w:tabs>
          <w:tab w:val="num" w:pos="425" w:leader="none"/>
        </w:tabs>
      </w:pPr>
      <w:rPr>
        <w:rFonts w:hint="eastAsia"/>
      </w:rPr>
    </w:lvl>
    <w:lvl w:ilvl="3">
      <w:start w:val="1"/>
      <w:numFmt w:val="decimal"/>
      <w:isLgl w:val="false"/>
      <w:suff w:val="tab"/>
      <w:lvlText w:val="%1.%2.%3.%4."/>
      <w:lvlJc w:val="left"/>
      <w:pPr>
        <w:pStyle w:val="662"/>
        <w:ind w:left="851" w:hanging="851"/>
        <w:tabs>
          <w:tab w:val="num" w:pos="851" w:leader="none"/>
        </w:tabs>
      </w:pPr>
      <w:rPr>
        <w:rFonts w:hint="eastAsia"/>
      </w:rPr>
    </w:lvl>
    <w:lvl w:ilvl="4">
      <w:start w:val="1"/>
      <w:numFmt w:val="decimal"/>
      <w:isLgl w:val="false"/>
      <w:suff w:val="tab"/>
      <w:lvlText w:val="%1.%2.%3.%4.%5."/>
      <w:lvlJc w:val="left"/>
      <w:pPr>
        <w:pStyle w:val="662"/>
        <w:ind w:left="992" w:hanging="992"/>
        <w:tabs>
          <w:tab w:val="num" w:pos="992" w:leader="none"/>
        </w:tabs>
      </w:pPr>
      <w:rPr>
        <w:rFonts w:hint="eastAsia"/>
      </w:rPr>
    </w:lvl>
    <w:lvl w:ilvl="5">
      <w:start w:val="1"/>
      <w:numFmt w:val="decimal"/>
      <w:isLgl w:val="false"/>
      <w:suff w:val="tab"/>
      <w:lvlText w:val="%1.%2.%3.%4.%5.%6."/>
      <w:lvlJc w:val="left"/>
      <w:pPr>
        <w:pStyle w:val="662"/>
        <w:ind w:left="1134" w:hanging="1134"/>
        <w:tabs>
          <w:tab w:val="num" w:pos="1134" w:leader="none"/>
        </w:tabs>
      </w:pPr>
      <w:rPr>
        <w:rFonts w:hint="eastAsia"/>
      </w:rPr>
    </w:lvl>
    <w:lvl w:ilvl="6">
      <w:start w:val="1"/>
      <w:numFmt w:val="decimal"/>
      <w:isLgl w:val="false"/>
      <w:suff w:val="tab"/>
      <w:lvlText w:val="%1.%2.%3.%4.%5.%6.%7."/>
      <w:lvlJc w:val="left"/>
      <w:pPr>
        <w:pStyle w:val="662"/>
        <w:ind w:left="1276" w:hanging="1276"/>
        <w:tabs>
          <w:tab w:val="num" w:pos="1276" w:leader="none"/>
        </w:tabs>
      </w:pPr>
      <w:rPr>
        <w:rFonts w:hint="eastAsia"/>
      </w:rPr>
    </w:lvl>
    <w:lvl w:ilvl="7">
      <w:start w:val="1"/>
      <w:numFmt w:val="decimal"/>
      <w:isLgl w:val="false"/>
      <w:suff w:val="tab"/>
      <w:lvlText w:val="%1.%2.%3.%4.%5.%6.%7.%8."/>
      <w:lvlJc w:val="left"/>
      <w:pPr>
        <w:pStyle w:val="662"/>
        <w:ind w:left="1418" w:hanging="1418"/>
        <w:tabs>
          <w:tab w:val="num" w:pos="1418" w:leader="none"/>
        </w:tabs>
      </w:pPr>
      <w:rPr>
        <w:rFonts w:hint="eastAsia"/>
      </w:rPr>
    </w:lvl>
    <w:lvl w:ilvl="8">
      <w:start w:val="1"/>
      <w:numFmt w:val="decimal"/>
      <w:isLgl w:val="false"/>
      <w:suff w:val="tab"/>
      <w:lvlText w:val="%1.%2.%3.%4.%5.%6.%7.%8.%9."/>
      <w:lvlJc w:val="left"/>
      <w:pPr>
        <w:pStyle w:val="662"/>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662"/>
        <w:ind w:left="0" w:firstLine="0"/>
      </w:pPr>
      <w:rPr>
        <w:rFonts w:hint="eastAsia"/>
      </w:rPr>
    </w:lvl>
    <w:lvl w:ilvl="1">
      <w:start w:val="1"/>
      <w:numFmt w:val="decimal"/>
      <w:isLgl w:val="false"/>
      <w:suff w:val="nothing"/>
      <w:lvlText w:val="%2、"/>
      <w:lvlJc w:val="left"/>
      <w:pPr>
        <w:pStyle w:val="662"/>
        <w:ind w:left="0" w:firstLine="0"/>
      </w:pPr>
      <w:rPr>
        <w:rFonts w:hint="eastAsia"/>
      </w:rPr>
    </w:lvl>
    <w:lvl w:ilvl="2">
      <w:start w:val="1"/>
      <w:numFmt w:val="decimal"/>
      <w:isLgl w:val="false"/>
      <w:suff w:val="nothing"/>
      <w:lvlText w:val="%2.%3 "/>
      <w:lvlJc w:val="left"/>
      <w:pPr>
        <w:pStyle w:val="662"/>
        <w:ind w:left="0" w:firstLine="0"/>
      </w:pPr>
      <w:rPr>
        <w:rFonts w:hint="eastAsia"/>
      </w:rPr>
    </w:lvl>
    <w:lvl w:ilvl="3">
      <w:start w:val="1"/>
      <w:numFmt w:val="decimal"/>
      <w:isLgl w:val="false"/>
      <w:suff w:val="nothing"/>
      <w:lvlText w:val="%2.%3.%4 "/>
      <w:lvlJc w:val="left"/>
      <w:pPr>
        <w:pStyle w:val="662"/>
        <w:ind w:left="0" w:firstLine="0"/>
      </w:pPr>
      <w:rPr>
        <w:rFonts w:hint="eastAsia"/>
      </w:rPr>
    </w:lvl>
    <w:lvl w:ilvl="4">
      <w:start w:val="1"/>
      <w:numFmt w:val="decimal"/>
      <w:isLgl w:val="false"/>
      <w:suff w:val="nothing"/>
      <w:lvlText w:val="%2.%3.%4.%5 "/>
      <w:lvlJc w:val="left"/>
      <w:pPr>
        <w:pStyle w:val="662"/>
        <w:ind w:left="0" w:firstLine="0"/>
      </w:pPr>
      <w:rPr>
        <w:rFonts w:hint="eastAsia"/>
      </w:rPr>
    </w:lvl>
    <w:lvl w:ilvl="5">
      <w:start w:val="1"/>
      <w:numFmt w:val="decimal"/>
      <w:pStyle w:val="668"/>
      <w:isLgl w:val="false"/>
      <w:suff w:val="nothing"/>
      <w:lvlText w:val=""/>
      <w:lvlJc w:val="left"/>
      <w:pPr>
        <w:pStyle w:val="662"/>
        <w:ind w:left="0" w:firstLine="0"/>
      </w:pPr>
      <w:rPr>
        <w:rFonts w:hint="eastAsia"/>
      </w:rPr>
    </w:lvl>
    <w:lvl w:ilvl="6">
      <w:start w:val="1"/>
      <w:numFmt w:val="decimal"/>
      <w:pStyle w:val="669"/>
      <w:isLgl w:val="false"/>
      <w:suff w:val="nothing"/>
      <w:lvlText w:val=""/>
      <w:lvlJc w:val="left"/>
      <w:pPr>
        <w:pStyle w:val="662"/>
        <w:ind w:left="0" w:firstLine="0"/>
      </w:pPr>
      <w:rPr>
        <w:rFonts w:hint="eastAsia"/>
      </w:rPr>
    </w:lvl>
    <w:lvl w:ilvl="7">
      <w:start w:val="1"/>
      <w:numFmt w:val="decimal"/>
      <w:pStyle w:val="670"/>
      <w:isLgl w:val="false"/>
      <w:suff w:val="nothing"/>
      <w:lvlText w:val=""/>
      <w:lvlJc w:val="left"/>
      <w:pPr>
        <w:pStyle w:val="662"/>
        <w:ind w:left="0" w:firstLine="0"/>
      </w:pPr>
      <w:rPr>
        <w:rFonts w:hint="eastAsia"/>
      </w:rPr>
    </w:lvl>
    <w:lvl w:ilvl="8">
      <w:start w:val="1"/>
      <w:numFmt w:val="decimal"/>
      <w:pStyle w:val="671"/>
      <w:isLgl w:val="false"/>
      <w:suff w:val="nothing"/>
      <w:lvlText w:val=""/>
      <w:lvlJc w:val="left"/>
      <w:pPr>
        <w:pStyle w:val="662"/>
        <w:ind w:left="0" w:firstLine="0"/>
      </w:pPr>
      <w:rPr>
        <w:rFonts w:hint="eastAsia"/>
      </w:rPr>
    </w:lvl>
  </w:abstractNum>
  <w:abstractNum w:abstractNumId="5">
    <w:multiLevelType w:val="hybridMultilevel"/>
    <w:lvl w:ilvl="0">
      <w:start w:val="6"/>
      <w:numFmt w:val="decimal"/>
      <w:isLgl w:val="false"/>
      <w:suff w:val="space"/>
      <w:lvlText w:val="%1."/>
      <w:lvlJc w:val="left"/>
      <w:pPr>
        <w:pStyle w:val="6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nothing"/>
      <w:lvlText w:val="%1、"/>
      <w:lvlJc w:val="left"/>
      <w:pPr>
        <w:pStyle w:val="66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第%1章"/>
      <w:lvlJc w:val="left"/>
      <w:pPr>
        <w:pStyle w:val="662"/>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3"/>
  </w:num>
  <w:num w:numId="4">
    <w:abstractNumId w:val="7"/>
  </w:num>
  <w:num w:numId="5">
    <w:abstractNumId w:val="5"/>
  </w:num>
  <w:num w:numId="6">
    <w:abstractNumId w:val="6"/>
  </w:num>
  <w:num w:numId="7">
    <w:abstractNumId w:val="1"/>
  </w:num>
  <w:num w:numId="8">
    <w:abstractNumId w:val="0"/>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2"/>
    <w:next w:val="66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62"/>
    <w:next w:val="66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62"/>
    <w:next w:val="66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62"/>
    <w:next w:val="66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62"/>
    <w:next w:val="66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62"/>
    <w:next w:val="66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62"/>
    <w:next w:val="66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62"/>
    <w:next w:val="66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62"/>
    <w:next w:val="66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6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62"/>
    <w:next w:val="66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62"/>
    <w:next w:val="66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62"/>
    <w:next w:val="662"/>
    <w:link w:val="38"/>
    <w:uiPriority w:val="29"/>
    <w:qFormat/>
    <w:pPr>
      <w:ind w:left="720" w:right="720"/>
    </w:pPr>
    <w:rPr>
      <w:i/>
    </w:rPr>
  </w:style>
  <w:style w:type="character" w:styleId="38">
    <w:name w:val="Quote Char"/>
    <w:link w:val="37"/>
    <w:uiPriority w:val="29"/>
    <w:rPr>
      <w:i/>
    </w:rPr>
  </w:style>
  <w:style w:type="paragraph" w:styleId="39">
    <w:name w:val="Intense Quote"/>
    <w:basedOn w:val="662"/>
    <w:next w:val="66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6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6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62"/>
    <w:next w:val="66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6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6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62"/>
    <w:next w:val="662"/>
    <w:uiPriority w:val="39"/>
    <w:unhideWhenUsed/>
    <w:pPr>
      <w:ind w:left="0" w:right="0" w:firstLine="0"/>
      <w:spacing w:after="57"/>
    </w:pPr>
  </w:style>
  <w:style w:type="paragraph" w:styleId="181">
    <w:name w:val="toc 2"/>
    <w:basedOn w:val="662"/>
    <w:next w:val="662"/>
    <w:uiPriority w:val="39"/>
    <w:unhideWhenUsed/>
    <w:pPr>
      <w:ind w:left="283" w:right="0" w:firstLine="0"/>
      <w:spacing w:after="57"/>
    </w:pPr>
  </w:style>
  <w:style w:type="paragraph" w:styleId="182">
    <w:name w:val="toc 3"/>
    <w:basedOn w:val="662"/>
    <w:next w:val="662"/>
    <w:uiPriority w:val="39"/>
    <w:unhideWhenUsed/>
    <w:pPr>
      <w:ind w:left="567" w:right="0" w:firstLine="0"/>
      <w:spacing w:after="57"/>
    </w:pPr>
  </w:style>
  <w:style w:type="paragraph" w:styleId="183">
    <w:name w:val="toc 4"/>
    <w:basedOn w:val="662"/>
    <w:next w:val="662"/>
    <w:uiPriority w:val="39"/>
    <w:unhideWhenUsed/>
    <w:pPr>
      <w:ind w:left="850" w:right="0" w:firstLine="0"/>
      <w:spacing w:after="57"/>
    </w:pPr>
  </w:style>
  <w:style w:type="paragraph" w:styleId="184">
    <w:name w:val="toc 5"/>
    <w:basedOn w:val="662"/>
    <w:next w:val="662"/>
    <w:uiPriority w:val="39"/>
    <w:unhideWhenUsed/>
    <w:pPr>
      <w:ind w:left="1134" w:right="0" w:firstLine="0"/>
      <w:spacing w:after="57"/>
    </w:pPr>
  </w:style>
  <w:style w:type="paragraph" w:styleId="185">
    <w:name w:val="toc 6"/>
    <w:basedOn w:val="662"/>
    <w:next w:val="662"/>
    <w:uiPriority w:val="39"/>
    <w:unhideWhenUsed/>
    <w:pPr>
      <w:ind w:left="1417" w:right="0" w:firstLine="0"/>
      <w:spacing w:after="57"/>
    </w:pPr>
  </w:style>
  <w:style w:type="paragraph" w:styleId="186">
    <w:name w:val="toc 7"/>
    <w:basedOn w:val="662"/>
    <w:next w:val="662"/>
    <w:uiPriority w:val="39"/>
    <w:unhideWhenUsed/>
    <w:pPr>
      <w:ind w:left="1701" w:right="0" w:firstLine="0"/>
      <w:spacing w:after="57"/>
    </w:pPr>
  </w:style>
  <w:style w:type="paragraph" w:styleId="187">
    <w:name w:val="toc 8"/>
    <w:basedOn w:val="662"/>
    <w:next w:val="662"/>
    <w:uiPriority w:val="39"/>
    <w:unhideWhenUsed/>
    <w:pPr>
      <w:ind w:left="1984" w:right="0" w:firstLine="0"/>
      <w:spacing w:after="57"/>
    </w:pPr>
  </w:style>
  <w:style w:type="paragraph" w:styleId="188">
    <w:name w:val="toc 9"/>
    <w:basedOn w:val="662"/>
    <w:next w:val="66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2"/>
    <w:next w:val="662"/>
    <w:uiPriority w:val="99"/>
    <w:unhideWhenUsed/>
    <w:pPr>
      <w:spacing w:after="0" w:afterAutospacing="0"/>
    </w:pPr>
  </w:style>
  <w:style w:type="paragraph" w:styleId="662" w:default="1">
    <w:name w:val="Normal"/>
    <w:next w:val="662"/>
    <w:link w:val="662"/>
    <w:qFormat/>
    <w:pPr>
      <w:jc w:val="both"/>
      <w:widowControl w:val="off"/>
    </w:pPr>
    <w:rPr>
      <w:sz w:val="21"/>
      <w:szCs w:val="22"/>
      <w:lang w:val="en-US" w:eastAsia="zh-CN" w:bidi="ar-SA"/>
    </w:rPr>
  </w:style>
  <w:style w:type="paragraph" w:styleId="663">
    <w:name w:val="标题 1"/>
    <w:basedOn w:val="662"/>
    <w:next w:val="662"/>
    <w:link w:val="674"/>
    <w:qFormat/>
    <w:pPr>
      <w:jc w:val="center"/>
      <w:keepNext/>
      <w:outlineLvl w:val="0"/>
    </w:pPr>
    <w:rPr>
      <w:rFonts w:ascii="楷体_GB2312" w:hAnsi="Times New Roman" w:eastAsia="楷体_GB2312" w:cs="Times New Roman"/>
      <w:sz w:val="28"/>
      <w:szCs w:val="28"/>
    </w:rPr>
  </w:style>
  <w:style w:type="paragraph" w:styleId="664">
    <w:name w:val="标题 2"/>
    <w:basedOn w:val="662"/>
    <w:next w:val="676"/>
    <w:link w:val="675"/>
    <w:qFormat/>
    <w:pPr>
      <w:jc w:val="center"/>
      <w:keepLines/>
      <w:keepNext/>
      <w:spacing w:before="260" w:after="260" w:line="416" w:lineRule="auto"/>
      <w:outlineLvl w:val="1"/>
    </w:pPr>
    <w:rPr>
      <w:rFonts w:ascii="Arial" w:hAnsi="Arial" w:eastAsia="幼圆" w:cs="Arial"/>
      <w:b/>
      <w:bCs/>
      <w:sz w:val="44"/>
      <w:szCs w:val="44"/>
    </w:rPr>
  </w:style>
  <w:style w:type="paragraph" w:styleId="665">
    <w:name w:val="标题 3"/>
    <w:basedOn w:val="662"/>
    <w:next w:val="676"/>
    <w:link w:val="678"/>
    <w:qFormat/>
    <w:pPr>
      <w:keepLines/>
      <w:keepNext/>
      <w:spacing w:before="260" w:after="260" w:line="416" w:lineRule="auto"/>
      <w:outlineLvl w:val="2"/>
    </w:pPr>
    <w:rPr>
      <w:rFonts w:ascii="Times New Roman" w:hAnsi="Times New Roman" w:eastAsia="宋体" w:cs="Times New Roman"/>
      <w:b/>
      <w:bCs/>
      <w:sz w:val="32"/>
      <w:szCs w:val="32"/>
    </w:rPr>
  </w:style>
  <w:style w:type="paragraph" w:styleId="666">
    <w:name w:val="标题 4"/>
    <w:basedOn w:val="662"/>
    <w:next w:val="676"/>
    <w:link w:val="679"/>
    <w:qFormat/>
    <w:pPr>
      <w:keepLines/>
      <w:keepNext/>
      <w:spacing w:before="280" w:after="290" w:line="376" w:lineRule="auto"/>
      <w:outlineLvl w:val="3"/>
    </w:pPr>
    <w:rPr>
      <w:rFonts w:ascii="Arial" w:hAnsi="Arial" w:eastAsia="黑体" w:cs="Arial"/>
      <w:b/>
      <w:bCs/>
      <w:sz w:val="28"/>
      <w:szCs w:val="28"/>
    </w:rPr>
  </w:style>
  <w:style w:type="paragraph" w:styleId="667">
    <w:name w:val="标题 5"/>
    <w:basedOn w:val="662"/>
    <w:next w:val="676"/>
    <w:link w:val="680"/>
    <w:qFormat/>
    <w:pPr>
      <w:keepNext/>
      <w:outlineLvl w:val="4"/>
    </w:pPr>
    <w:rPr>
      <w:rFonts w:ascii="宋体" w:hAnsi="Times New Roman" w:eastAsia="宋体" w:cs="Times New Roman"/>
      <w:color w:val="000000"/>
      <w:sz w:val="28"/>
      <w:szCs w:val="28"/>
    </w:rPr>
  </w:style>
  <w:style w:type="paragraph" w:styleId="668">
    <w:name w:val="标题 6"/>
    <w:basedOn w:val="662"/>
    <w:next w:val="662"/>
    <w:link w:val="681"/>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669">
    <w:name w:val="标题 7"/>
    <w:basedOn w:val="662"/>
    <w:next w:val="662"/>
    <w:link w:val="682"/>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670">
    <w:name w:val="标题 8"/>
    <w:basedOn w:val="662"/>
    <w:next w:val="662"/>
    <w:link w:val="683"/>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671">
    <w:name w:val="标题 9"/>
    <w:basedOn w:val="662"/>
    <w:next w:val="662"/>
    <w:link w:val="684"/>
    <w:qFormat/>
    <w:pPr>
      <w:numPr>
        <w:ilvl w:val="8"/>
        <w:numId w:val="1"/>
      </w:numPr>
      <w:keepLines/>
      <w:keepNext/>
      <w:spacing w:before="240" w:after="64" w:line="320" w:lineRule="auto"/>
      <w:outlineLvl w:val="8"/>
    </w:pPr>
    <w:rPr>
      <w:rFonts w:ascii="Arial" w:hAnsi="Arial" w:eastAsia="黑体" w:cs="Times New Roman"/>
      <w:szCs w:val="21"/>
    </w:rPr>
  </w:style>
  <w:style w:type="character" w:styleId="672">
    <w:name w:val="默认段落字体"/>
    <w:next w:val="672"/>
    <w:link w:val="662"/>
    <w:uiPriority w:val="1"/>
    <w:unhideWhenUsed/>
  </w:style>
  <w:style w:type="table" w:styleId="673">
    <w:name w:val="普通表格"/>
    <w:next w:val="673"/>
    <w:link w:val="662"/>
    <w:uiPriority w:val="99"/>
    <w:unhideWhenUsed/>
    <w:tblPr/>
  </w:style>
  <w:style w:type="character" w:styleId="674">
    <w:name w:val="标题 1 Char"/>
    <w:next w:val="674"/>
    <w:link w:val="663"/>
    <w:rPr>
      <w:rFonts w:ascii="楷体_GB2312" w:hAnsi="Times New Roman" w:eastAsia="楷体_GB2312" w:cs="Times New Roman"/>
      <w:sz w:val="28"/>
      <w:szCs w:val="28"/>
    </w:rPr>
  </w:style>
  <w:style w:type="character" w:styleId="675">
    <w:name w:val="标题 2 Char"/>
    <w:next w:val="675"/>
    <w:link w:val="664"/>
    <w:rPr>
      <w:rFonts w:ascii="Arial" w:hAnsi="Arial" w:eastAsia="幼圆" w:cs="Arial"/>
      <w:b/>
      <w:bCs/>
      <w:sz w:val="44"/>
      <w:szCs w:val="44"/>
    </w:rPr>
  </w:style>
  <w:style w:type="paragraph" w:styleId="676">
    <w:name w:val="正文缩进"/>
    <w:basedOn w:val="662"/>
    <w:next w:val="676"/>
    <w:link w:val="677"/>
    <w:pPr>
      <w:ind w:firstLine="420"/>
    </w:pPr>
    <w:rPr>
      <w:szCs w:val="21"/>
    </w:rPr>
  </w:style>
  <w:style w:type="character" w:styleId="677">
    <w:name w:val="正文缩进 Char"/>
    <w:next w:val="677"/>
    <w:link w:val="676"/>
    <w:rPr>
      <w:szCs w:val="21"/>
    </w:rPr>
  </w:style>
  <w:style w:type="character" w:styleId="678">
    <w:name w:val="标题 3 Char"/>
    <w:next w:val="678"/>
    <w:link w:val="665"/>
    <w:rPr>
      <w:rFonts w:ascii="Times New Roman" w:hAnsi="Times New Roman" w:eastAsia="宋体" w:cs="Times New Roman"/>
      <w:b/>
      <w:bCs/>
      <w:sz w:val="32"/>
      <w:szCs w:val="32"/>
    </w:rPr>
  </w:style>
  <w:style w:type="character" w:styleId="679">
    <w:name w:val="标题 4 Char"/>
    <w:next w:val="679"/>
    <w:link w:val="666"/>
    <w:rPr>
      <w:rFonts w:ascii="Arial" w:hAnsi="Arial" w:eastAsia="黑体" w:cs="Arial"/>
      <w:b/>
      <w:bCs/>
      <w:sz w:val="28"/>
      <w:szCs w:val="28"/>
    </w:rPr>
  </w:style>
  <w:style w:type="character" w:styleId="680">
    <w:name w:val="标题 5 Char"/>
    <w:next w:val="680"/>
    <w:link w:val="667"/>
    <w:rPr>
      <w:rFonts w:ascii="宋体" w:hAnsi="Times New Roman" w:eastAsia="宋体" w:cs="Times New Roman"/>
      <w:color w:val="000000"/>
      <w:sz w:val="28"/>
      <w:szCs w:val="28"/>
    </w:rPr>
  </w:style>
  <w:style w:type="character" w:styleId="681">
    <w:name w:val="标题 6 Char"/>
    <w:next w:val="681"/>
    <w:link w:val="668"/>
    <w:rPr>
      <w:rFonts w:ascii="Arial" w:hAnsi="Arial" w:eastAsia="黑体" w:cs="Times New Roman"/>
      <w:b/>
      <w:bCs/>
      <w:sz w:val="24"/>
      <w:szCs w:val="24"/>
    </w:rPr>
  </w:style>
  <w:style w:type="character" w:styleId="682">
    <w:name w:val="标题 7 Char"/>
    <w:next w:val="682"/>
    <w:link w:val="669"/>
    <w:rPr>
      <w:rFonts w:ascii="Times New Roman" w:hAnsi="Times New Roman" w:eastAsia="宋体" w:cs="Times New Roman"/>
      <w:b/>
      <w:bCs/>
      <w:sz w:val="24"/>
      <w:szCs w:val="24"/>
    </w:rPr>
  </w:style>
  <w:style w:type="character" w:styleId="683">
    <w:name w:val="标题 8 Char"/>
    <w:next w:val="683"/>
    <w:link w:val="670"/>
    <w:rPr>
      <w:rFonts w:ascii="Arial" w:hAnsi="Arial" w:eastAsia="黑体" w:cs="Times New Roman"/>
      <w:sz w:val="24"/>
      <w:szCs w:val="24"/>
    </w:rPr>
  </w:style>
  <w:style w:type="character" w:styleId="684">
    <w:name w:val="标题 9 Char"/>
    <w:next w:val="684"/>
    <w:link w:val="671"/>
    <w:rPr>
      <w:rFonts w:ascii="Arial" w:hAnsi="Arial" w:eastAsia="黑体" w:cs="Times New Roman"/>
      <w:szCs w:val="21"/>
    </w:rPr>
  </w:style>
  <w:style w:type="paragraph" w:styleId="685">
    <w:name w:val="列表 3"/>
    <w:basedOn w:val="662"/>
    <w:next w:val="685"/>
    <w:link w:val="662"/>
    <w:pPr>
      <w:ind w:left="100" w:hanging="200"/>
    </w:pPr>
    <w:rPr>
      <w:rFonts w:ascii="Times New Roman" w:hAnsi="Times New Roman" w:eastAsia="宋体" w:cs="Times New Roman"/>
      <w:szCs w:val="21"/>
    </w:rPr>
  </w:style>
  <w:style w:type="paragraph" w:styleId="686">
    <w:name w:val="目录 7"/>
    <w:basedOn w:val="662"/>
    <w:next w:val="662"/>
    <w:link w:val="662"/>
    <w:semiHidden/>
    <w:pPr>
      <w:ind w:left="1260"/>
      <w:jc w:val="left"/>
    </w:pPr>
    <w:rPr>
      <w:rFonts w:ascii="Times New Roman" w:hAnsi="Times New Roman" w:eastAsia="宋体" w:cs="Times New Roman"/>
      <w:szCs w:val="21"/>
    </w:rPr>
  </w:style>
  <w:style w:type="paragraph" w:styleId="687">
    <w:name w:val="文档结构图"/>
    <w:basedOn w:val="662"/>
    <w:next w:val="687"/>
    <w:link w:val="688"/>
    <w:semiHidden/>
    <w:pPr>
      <w:shd w:val="clear" w:color="auto" w:fill="000080"/>
    </w:pPr>
    <w:rPr>
      <w:rFonts w:ascii="Times New Roman" w:hAnsi="Times New Roman" w:eastAsia="宋体" w:cs="Times New Roman"/>
      <w:szCs w:val="21"/>
    </w:rPr>
  </w:style>
  <w:style w:type="character" w:styleId="688">
    <w:name w:val="文档结构图 Char"/>
    <w:next w:val="688"/>
    <w:link w:val="687"/>
    <w:semiHidden/>
    <w:rPr>
      <w:rFonts w:ascii="Times New Roman" w:hAnsi="Times New Roman" w:eastAsia="宋体" w:cs="Times New Roman"/>
      <w:szCs w:val="21"/>
      <w:shd w:val="clear" w:color="auto" w:fill="000080"/>
    </w:rPr>
  </w:style>
  <w:style w:type="paragraph" w:styleId="689">
    <w:name w:val="批注文字"/>
    <w:basedOn w:val="662"/>
    <w:next w:val="689"/>
    <w:link w:val="690"/>
    <w:unhideWhenUsed/>
    <w:pPr>
      <w:jc w:val="left"/>
    </w:pPr>
  </w:style>
  <w:style w:type="character" w:styleId="690">
    <w:name w:val="批注文字 Char"/>
    <w:basedOn w:val="672"/>
    <w:next w:val="690"/>
    <w:link w:val="689"/>
    <w:uiPriority w:val="99"/>
    <w:semiHidden/>
  </w:style>
  <w:style w:type="paragraph" w:styleId="691">
    <w:name w:val="正文文本 3"/>
    <w:basedOn w:val="662"/>
    <w:next w:val="691"/>
    <w:link w:val="692"/>
    <w:rPr>
      <w:rFonts w:ascii="仿宋_GB2312" w:hAnsi="Arial" w:eastAsia="仿宋_GB2312" w:cs="Times New Roman"/>
      <w:sz w:val="32"/>
      <w:szCs w:val="32"/>
    </w:rPr>
  </w:style>
  <w:style w:type="character" w:styleId="692">
    <w:name w:val="正文文本 3 Char"/>
    <w:next w:val="692"/>
    <w:link w:val="691"/>
    <w:rPr>
      <w:rFonts w:ascii="仿宋_GB2312" w:hAnsi="Arial" w:eastAsia="仿宋_GB2312" w:cs="Times New Roman"/>
      <w:sz w:val="32"/>
      <w:szCs w:val="32"/>
    </w:rPr>
  </w:style>
  <w:style w:type="paragraph" w:styleId="693">
    <w:name w:val="正文文本"/>
    <w:basedOn w:val="662"/>
    <w:next w:val="693"/>
    <w:link w:val="694"/>
    <w:rPr>
      <w:rFonts w:ascii="楷体_GB2312" w:hAnsi="Arial" w:eastAsia="楷体_GB2312" w:cs="Times New Roman"/>
      <w:sz w:val="28"/>
      <w:szCs w:val="28"/>
    </w:rPr>
  </w:style>
  <w:style w:type="character" w:styleId="694">
    <w:name w:val="正文文本 Char"/>
    <w:next w:val="694"/>
    <w:link w:val="693"/>
    <w:rPr>
      <w:rFonts w:ascii="楷体_GB2312" w:hAnsi="Arial" w:eastAsia="楷体_GB2312" w:cs="Times New Roman"/>
      <w:sz w:val="28"/>
      <w:szCs w:val="28"/>
    </w:rPr>
  </w:style>
  <w:style w:type="paragraph" w:styleId="695">
    <w:name w:val="正文文本缩进"/>
    <w:basedOn w:val="662"/>
    <w:next w:val="695"/>
    <w:link w:val="696"/>
    <w:unhideWhenUsed/>
    <w:pPr>
      <w:ind w:left="420"/>
      <w:spacing w:after="120"/>
    </w:pPr>
  </w:style>
  <w:style w:type="character" w:styleId="696">
    <w:name w:val="正文文本缩进 Char"/>
    <w:basedOn w:val="672"/>
    <w:next w:val="696"/>
    <w:link w:val="695"/>
    <w:uiPriority w:val="99"/>
    <w:semiHidden/>
  </w:style>
  <w:style w:type="paragraph" w:styleId="697">
    <w:name w:val="列表 2"/>
    <w:basedOn w:val="662"/>
    <w:next w:val="697"/>
    <w:link w:val="662"/>
    <w:pPr>
      <w:ind w:left="100" w:hanging="200"/>
    </w:pPr>
    <w:rPr>
      <w:rFonts w:ascii="Times New Roman" w:hAnsi="Times New Roman" w:eastAsia="宋体" w:cs="Times New Roman"/>
      <w:szCs w:val="21"/>
    </w:rPr>
  </w:style>
  <w:style w:type="paragraph" w:styleId="698">
    <w:name w:val="目录 5"/>
    <w:basedOn w:val="662"/>
    <w:next w:val="662"/>
    <w:link w:val="662"/>
    <w:semiHidden/>
    <w:pPr>
      <w:ind w:left="840"/>
      <w:jc w:val="left"/>
    </w:pPr>
    <w:rPr>
      <w:rFonts w:ascii="Times New Roman" w:hAnsi="Times New Roman" w:eastAsia="宋体" w:cs="Times New Roman"/>
      <w:szCs w:val="21"/>
    </w:rPr>
  </w:style>
  <w:style w:type="paragraph" w:styleId="699">
    <w:name w:val="目录 3"/>
    <w:basedOn w:val="662"/>
    <w:next w:val="662"/>
    <w:link w:val="662"/>
    <w:semiHidden/>
    <w:pPr>
      <w:ind w:left="420"/>
      <w:jc w:val="left"/>
    </w:pPr>
    <w:rPr>
      <w:rFonts w:ascii="Times New Roman" w:hAnsi="Times New Roman" w:eastAsia="宋体" w:cs="Times New Roman"/>
      <w:i/>
      <w:iCs/>
      <w:szCs w:val="24"/>
    </w:rPr>
  </w:style>
  <w:style w:type="paragraph" w:styleId="700">
    <w:name w:val="纯文本"/>
    <w:basedOn w:val="662"/>
    <w:next w:val="700"/>
    <w:link w:val="701"/>
    <w:rPr>
      <w:rFonts w:ascii="宋体" w:hAnsi="Courier New" w:eastAsia="宋体" w:cs="Courier New"/>
      <w:szCs w:val="21"/>
    </w:rPr>
  </w:style>
  <w:style w:type="character" w:styleId="701">
    <w:name w:val="纯文本 Char"/>
    <w:next w:val="701"/>
    <w:link w:val="700"/>
    <w:rPr>
      <w:rFonts w:ascii="宋体" w:hAnsi="Courier New" w:eastAsia="宋体" w:cs="Courier New"/>
      <w:szCs w:val="21"/>
    </w:rPr>
  </w:style>
  <w:style w:type="paragraph" w:styleId="702">
    <w:name w:val="目录 8"/>
    <w:basedOn w:val="662"/>
    <w:next w:val="662"/>
    <w:link w:val="662"/>
    <w:semiHidden/>
    <w:pPr>
      <w:ind w:left="1470"/>
      <w:jc w:val="left"/>
    </w:pPr>
    <w:rPr>
      <w:rFonts w:ascii="Times New Roman" w:hAnsi="Times New Roman" w:eastAsia="宋体" w:cs="Times New Roman"/>
      <w:szCs w:val="21"/>
    </w:rPr>
  </w:style>
  <w:style w:type="paragraph" w:styleId="703">
    <w:name w:val="日期"/>
    <w:basedOn w:val="662"/>
    <w:next w:val="662"/>
    <w:link w:val="704"/>
    <w:rPr>
      <w:rFonts w:ascii="Times New Roman" w:hAnsi="Times New Roman" w:eastAsia="宋体" w:cs="Times New Roman"/>
      <w:sz w:val="24"/>
      <w:szCs w:val="24"/>
    </w:rPr>
  </w:style>
  <w:style w:type="character" w:styleId="704">
    <w:name w:val="日期 Char"/>
    <w:next w:val="704"/>
    <w:link w:val="703"/>
    <w:rPr>
      <w:rFonts w:ascii="Times New Roman" w:hAnsi="Times New Roman" w:eastAsia="宋体" w:cs="Times New Roman"/>
      <w:sz w:val="24"/>
      <w:szCs w:val="24"/>
    </w:rPr>
  </w:style>
  <w:style w:type="paragraph" w:styleId="705">
    <w:name w:val="正文文本缩进 2"/>
    <w:basedOn w:val="662"/>
    <w:next w:val="705"/>
    <w:link w:val="706"/>
    <w:pPr>
      <w:ind w:left="630" w:firstLine="645"/>
    </w:pPr>
    <w:rPr>
      <w:rFonts w:ascii="Arial" w:hAnsi="Arial" w:eastAsia="仿宋_GB2312" w:cs="Arial"/>
      <w:sz w:val="32"/>
      <w:szCs w:val="32"/>
    </w:rPr>
  </w:style>
  <w:style w:type="character" w:styleId="706">
    <w:name w:val="正文文本缩进 2 Char"/>
    <w:next w:val="706"/>
    <w:link w:val="705"/>
    <w:rPr>
      <w:rFonts w:ascii="Arial" w:hAnsi="Arial" w:eastAsia="仿宋_GB2312" w:cs="Arial"/>
      <w:sz w:val="32"/>
      <w:szCs w:val="32"/>
    </w:rPr>
  </w:style>
  <w:style w:type="paragraph" w:styleId="707">
    <w:name w:val="批注框文本"/>
    <w:basedOn w:val="662"/>
    <w:next w:val="707"/>
    <w:link w:val="708"/>
    <w:semiHidden/>
    <w:rPr>
      <w:rFonts w:ascii="Times New Roman" w:hAnsi="Times New Roman" w:eastAsia="宋体" w:cs="Times New Roman"/>
      <w:sz w:val="18"/>
      <w:szCs w:val="18"/>
    </w:rPr>
  </w:style>
  <w:style w:type="character" w:styleId="708">
    <w:name w:val="批注框文本 Char"/>
    <w:next w:val="708"/>
    <w:link w:val="707"/>
    <w:semiHidden/>
    <w:rPr>
      <w:rFonts w:ascii="Times New Roman" w:hAnsi="Times New Roman" w:eastAsia="宋体" w:cs="Times New Roman"/>
      <w:sz w:val="18"/>
      <w:szCs w:val="18"/>
    </w:rPr>
  </w:style>
  <w:style w:type="paragraph" w:styleId="709">
    <w:name w:val="页脚"/>
    <w:basedOn w:val="662"/>
    <w:next w:val="709"/>
    <w:link w:val="710"/>
    <w:pPr>
      <w:jc w:val="left"/>
      <w:tabs>
        <w:tab w:val="center" w:pos="4153" w:leader="none"/>
        <w:tab w:val="right" w:pos="8306" w:leader="none"/>
      </w:tabs>
    </w:pPr>
    <w:rPr>
      <w:rFonts w:ascii="Times New Roman" w:hAnsi="Times New Roman" w:eastAsia="宋体" w:cs="Times New Roman"/>
      <w:sz w:val="18"/>
      <w:szCs w:val="18"/>
    </w:rPr>
  </w:style>
  <w:style w:type="character" w:styleId="710">
    <w:name w:val="页脚 Char"/>
    <w:next w:val="710"/>
    <w:link w:val="709"/>
    <w:rPr>
      <w:rFonts w:ascii="Times New Roman" w:hAnsi="Times New Roman" w:eastAsia="宋体" w:cs="Times New Roman"/>
      <w:sz w:val="18"/>
      <w:szCs w:val="18"/>
    </w:rPr>
  </w:style>
  <w:style w:type="paragraph" w:styleId="711">
    <w:name w:val="页眉"/>
    <w:basedOn w:val="662"/>
    <w:next w:val="711"/>
    <w:link w:val="712"/>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12">
    <w:name w:val="页眉 Char"/>
    <w:next w:val="712"/>
    <w:link w:val="711"/>
    <w:rPr>
      <w:rFonts w:ascii="Times New Roman" w:hAnsi="Times New Roman" w:eastAsia="宋体" w:cs="Times New Roman"/>
      <w:sz w:val="18"/>
      <w:szCs w:val="18"/>
    </w:rPr>
  </w:style>
  <w:style w:type="paragraph" w:styleId="713">
    <w:name w:val="目录 1"/>
    <w:basedOn w:val="662"/>
    <w:next w:val="662"/>
    <w:link w:val="662"/>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14">
    <w:name w:val="目录 4"/>
    <w:basedOn w:val="662"/>
    <w:next w:val="662"/>
    <w:link w:val="662"/>
    <w:semiHidden/>
    <w:pPr>
      <w:ind w:left="630"/>
      <w:jc w:val="left"/>
    </w:pPr>
    <w:rPr>
      <w:rFonts w:ascii="Times New Roman" w:hAnsi="Times New Roman" w:eastAsia="宋体" w:cs="Times New Roman"/>
      <w:szCs w:val="21"/>
    </w:rPr>
  </w:style>
  <w:style w:type="paragraph" w:styleId="715">
    <w:name w:val="列表"/>
    <w:basedOn w:val="662"/>
    <w:next w:val="715"/>
    <w:link w:val="662"/>
    <w:pPr>
      <w:ind w:left="200" w:hanging="200"/>
    </w:pPr>
    <w:rPr>
      <w:rFonts w:ascii="Times New Roman" w:hAnsi="Times New Roman" w:eastAsia="宋体" w:cs="Times New Roman"/>
      <w:szCs w:val="21"/>
    </w:rPr>
  </w:style>
  <w:style w:type="paragraph" w:styleId="716">
    <w:name w:val="目录 6"/>
    <w:basedOn w:val="662"/>
    <w:next w:val="662"/>
    <w:link w:val="662"/>
    <w:semiHidden/>
    <w:pPr>
      <w:ind w:left="1050"/>
      <w:jc w:val="left"/>
    </w:pPr>
    <w:rPr>
      <w:rFonts w:ascii="Times New Roman" w:hAnsi="Times New Roman" w:eastAsia="宋体" w:cs="Times New Roman"/>
      <w:szCs w:val="21"/>
    </w:rPr>
  </w:style>
  <w:style w:type="paragraph" w:styleId="717">
    <w:name w:val="正文文本缩进 3"/>
    <w:basedOn w:val="662"/>
    <w:next w:val="717"/>
    <w:link w:val="718"/>
    <w:pPr>
      <w:ind w:left="645" w:firstLine="645"/>
    </w:pPr>
    <w:rPr>
      <w:rFonts w:ascii="Arial" w:hAnsi="Arial" w:eastAsia="仿宋_GB2312" w:cs="Arial"/>
      <w:color w:val="ffff00"/>
      <w:sz w:val="32"/>
      <w:szCs w:val="32"/>
    </w:rPr>
  </w:style>
  <w:style w:type="character" w:styleId="718">
    <w:name w:val="正文文本缩进 3 Char"/>
    <w:next w:val="718"/>
    <w:link w:val="717"/>
    <w:rPr>
      <w:rFonts w:ascii="Arial" w:hAnsi="Arial" w:eastAsia="仿宋_GB2312" w:cs="Arial"/>
      <w:color w:val="ffff00"/>
      <w:sz w:val="32"/>
      <w:szCs w:val="32"/>
    </w:rPr>
  </w:style>
  <w:style w:type="paragraph" w:styleId="719">
    <w:name w:val="图表目录"/>
    <w:basedOn w:val="662"/>
    <w:next w:val="662"/>
    <w:link w:val="662"/>
    <w:semiHidden/>
    <w:pPr>
      <w:ind w:left="840" w:hanging="420"/>
    </w:pPr>
    <w:rPr>
      <w:rFonts w:ascii="Times New Roman" w:hAnsi="Times New Roman" w:eastAsia="宋体" w:cs="Times New Roman"/>
      <w:szCs w:val="21"/>
    </w:rPr>
  </w:style>
  <w:style w:type="paragraph" w:styleId="720">
    <w:name w:val="目录 2"/>
    <w:basedOn w:val="662"/>
    <w:next w:val="662"/>
    <w:link w:val="662"/>
    <w:semiHidden/>
    <w:pPr>
      <w:ind w:left="210"/>
      <w:jc w:val="left"/>
    </w:pPr>
    <w:rPr>
      <w:rFonts w:ascii="Times New Roman" w:hAnsi="Times New Roman" w:eastAsia="宋体" w:cs="Times New Roman"/>
      <w:smallCaps/>
      <w:szCs w:val="24"/>
    </w:rPr>
  </w:style>
  <w:style w:type="paragraph" w:styleId="721">
    <w:name w:val="目录 9"/>
    <w:basedOn w:val="662"/>
    <w:next w:val="662"/>
    <w:link w:val="662"/>
    <w:semiHidden/>
    <w:pPr>
      <w:ind w:left="1680"/>
      <w:jc w:val="left"/>
    </w:pPr>
    <w:rPr>
      <w:rFonts w:ascii="Times New Roman" w:hAnsi="Times New Roman" w:eastAsia="宋体" w:cs="Times New Roman"/>
      <w:szCs w:val="21"/>
    </w:rPr>
  </w:style>
  <w:style w:type="paragraph" w:styleId="722">
    <w:name w:val="正文文本 2"/>
    <w:basedOn w:val="662"/>
    <w:next w:val="722"/>
    <w:link w:val="723"/>
    <w:pPr>
      <w:jc w:val="center"/>
      <w:widowControl/>
    </w:pPr>
    <w:rPr>
      <w:rFonts w:ascii="楷体_GB2312" w:hAnsi="Times New Roman" w:eastAsia="楷体_GB2312" w:cs="Times New Roman"/>
      <w:sz w:val="28"/>
      <w:szCs w:val="28"/>
    </w:rPr>
  </w:style>
  <w:style w:type="character" w:styleId="723">
    <w:name w:val="正文文本 2 Char"/>
    <w:next w:val="723"/>
    <w:link w:val="722"/>
    <w:rPr>
      <w:rFonts w:ascii="楷体_GB2312" w:hAnsi="Times New Roman" w:eastAsia="楷体_GB2312" w:cs="Times New Roman"/>
      <w:sz w:val="28"/>
      <w:szCs w:val="28"/>
    </w:rPr>
  </w:style>
  <w:style w:type="paragraph" w:styleId="724">
    <w:name w:val="普通(网站)"/>
    <w:basedOn w:val="662"/>
    <w:next w:val="724"/>
    <w:link w:val="662"/>
    <w:uiPriority w:val="99"/>
    <w:pPr>
      <w:jc w:val="left"/>
      <w:spacing w:before="100" w:beforeAutospacing="1" w:after="100" w:afterAutospacing="1"/>
      <w:widowControl/>
    </w:pPr>
    <w:rPr>
      <w:rFonts w:ascii="宋体" w:hAnsi="宋体" w:eastAsia="宋体" w:cs="宋体"/>
      <w:sz w:val="24"/>
      <w:szCs w:val="24"/>
    </w:rPr>
  </w:style>
  <w:style w:type="paragraph" w:styleId="725">
    <w:name w:val="索引 1"/>
    <w:basedOn w:val="662"/>
    <w:next w:val="662"/>
    <w:link w:val="662"/>
    <w:semiHidden/>
    <w:pPr>
      <w:spacing w:line="240" w:lineRule="atLeast"/>
    </w:pPr>
    <w:rPr>
      <w:rFonts w:ascii="Times New Roman" w:hAnsi="Times New Roman" w:eastAsia="宋体" w:cs="Times New Roman"/>
      <w:b/>
      <w:bCs/>
      <w:szCs w:val="21"/>
    </w:rPr>
  </w:style>
  <w:style w:type="paragraph" w:styleId="726">
    <w:name w:val="批注主题"/>
    <w:basedOn w:val="689"/>
    <w:next w:val="689"/>
    <w:link w:val="727"/>
    <w:semiHidden/>
    <w:rPr>
      <w:rFonts w:ascii="Times New Roman" w:hAnsi="Times New Roman" w:eastAsia="宋体" w:cs="Times New Roman"/>
      <w:b/>
      <w:bCs/>
      <w:szCs w:val="21"/>
    </w:rPr>
  </w:style>
  <w:style w:type="character" w:styleId="727">
    <w:name w:val="批注主题 Char"/>
    <w:next w:val="727"/>
    <w:link w:val="726"/>
    <w:semiHidden/>
    <w:rPr>
      <w:rFonts w:ascii="Times New Roman" w:hAnsi="Times New Roman" w:eastAsia="宋体" w:cs="Times New Roman"/>
      <w:b/>
      <w:bCs/>
      <w:szCs w:val="21"/>
    </w:rPr>
  </w:style>
  <w:style w:type="paragraph" w:styleId="728">
    <w:name w:val="正文首行缩进"/>
    <w:basedOn w:val="662"/>
    <w:next w:val="728"/>
    <w:link w:val="729"/>
    <w:pPr>
      <w:ind w:firstLine="200"/>
      <w:spacing w:line="360" w:lineRule="auto"/>
    </w:pPr>
    <w:rPr>
      <w:rFonts w:ascii="仿宋_GB2312" w:hAnsi="Times New Roman" w:eastAsia="仿宋_GB2312" w:cs="Times New Roman"/>
      <w:sz w:val="30"/>
      <w:szCs w:val="30"/>
    </w:rPr>
  </w:style>
  <w:style w:type="character" w:styleId="729">
    <w:name w:val="正文首行缩进 Char"/>
    <w:next w:val="729"/>
    <w:link w:val="728"/>
    <w:rPr>
      <w:rFonts w:ascii="仿宋_GB2312" w:hAnsi="Times New Roman" w:eastAsia="仿宋_GB2312" w:cs="Times New Roman"/>
      <w:sz w:val="30"/>
      <w:szCs w:val="30"/>
    </w:rPr>
  </w:style>
  <w:style w:type="paragraph" w:styleId="730">
    <w:name w:val="正文首行缩进 2"/>
    <w:basedOn w:val="695"/>
    <w:next w:val="730"/>
    <w:link w:val="731"/>
    <w:pPr>
      <w:ind w:left="0" w:firstLine="420"/>
      <w:spacing w:after="0" w:line="360" w:lineRule="auto"/>
    </w:pPr>
    <w:rPr>
      <w:rFonts w:ascii="宋体" w:hAnsi="宋体" w:eastAsia="宋体" w:cs="Times New Roman"/>
      <w:szCs w:val="20"/>
    </w:rPr>
  </w:style>
  <w:style w:type="character" w:styleId="731">
    <w:name w:val="正文首行缩进 2 Char"/>
    <w:next w:val="731"/>
    <w:link w:val="730"/>
    <w:rPr>
      <w:rFonts w:ascii="宋体" w:hAnsi="宋体" w:eastAsia="宋体" w:cs="Times New Roman"/>
      <w:szCs w:val="20"/>
    </w:rPr>
  </w:style>
  <w:style w:type="table" w:styleId="732">
    <w:name w:val="网格型"/>
    <w:basedOn w:val="673"/>
    <w:next w:val="732"/>
    <w:link w:val="662"/>
    <w:pPr>
      <w:jc w:val="both"/>
      <w:widowControl w:val="off"/>
    </w:pPr>
    <w:rPr>
      <w:rFonts w:ascii="Times New Roman" w:hAnsi="Times New Roman" w:eastAsia="宋体" w:cs="Times New Roman"/>
      <w:sz w:val="20"/>
      <w:szCs w:val="20"/>
    </w:rPr>
    <w:tblPr/>
  </w:style>
  <w:style w:type="character" w:styleId="733">
    <w:name w:val="要点"/>
    <w:next w:val="733"/>
    <w:link w:val="662"/>
    <w:qFormat/>
    <w:rPr>
      <w:b/>
      <w:bCs/>
    </w:rPr>
  </w:style>
  <w:style w:type="character" w:styleId="734">
    <w:name w:val="页码"/>
    <w:next w:val="734"/>
    <w:link w:val="662"/>
  </w:style>
  <w:style w:type="character" w:styleId="735">
    <w:name w:val="已访问的超链接"/>
    <w:next w:val="735"/>
    <w:link w:val="662"/>
    <w:rPr>
      <w:color w:val="800080"/>
      <w:u w:val="single"/>
    </w:rPr>
  </w:style>
  <w:style w:type="character" w:styleId="736">
    <w:name w:val="超链接"/>
    <w:next w:val="736"/>
    <w:link w:val="662"/>
    <w:rPr>
      <w:color w:val="0000ff"/>
      <w:u w:val="single"/>
    </w:rPr>
  </w:style>
  <w:style w:type="character" w:styleId="737">
    <w:name w:val="批注引用"/>
    <w:next w:val="737"/>
    <w:link w:val="662"/>
    <w:semiHidden/>
    <w:rPr>
      <w:sz w:val="21"/>
      <w:szCs w:val="21"/>
    </w:rPr>
  </w:style>
  <w:style w:type="character" w:styleId="738">
    <w:name w:val="font5 Char"/>
    <w:next w:val="738"/>
    <w:link w:val="662"/>
    <w:rPr>
      <w:rFonts w:ascii="宋体" w:hAnsi="宋体" w:eastAsia="宋体"/>
      <w:sz w:val="28"/>
      <w:szCs w:val="28"/>
      <w:lang w:val="en-US" w:eastAsia="zh-CN" w:bidi="ar-SA"/>
    </w:rPr>
  </w:style>
  <w:style w:type="character" w:styleId="739">
    <w:name w:val="二级目录 Char"/>
    <w:next w:val="739"/>
    <w:link w:val="740"/>
    <w:rPr>
      <w:b/>
      <w:sz w:val="30"/>
      <w:szCs w:val="28"/>
    </w:rPr>
  </w:style>
  <w:style w:type="paragraph" w:styleId="740">
    <w:name w:val="二级目录"/>
    <w:next w:val="662"/>
    <w:link w:val="739"/>
    <w:pPr>
      <w:numPr>
        <w:ilvl w:val="0"/>
        <w:numId w:val="2"/>
      </w:numPr>
      <w:tabs>
        <w:tab w:val="left" w:pos="907" w:leader="none"/>
        <w:tab w:val="left" w:pos="1145" w:leader="none"/>
      </w:tabs>
      <w:outlineLvl w:val="1"/>
    </w:pPr>
    <w:rPr>
      <w:b/>
      <w:sz w:val="30"/>
      <w:szCs w:val="28"/>
      <w:lang w:val="en-US" w:eastAsia="zh-CN" w:bidi="ar-SA"/>
    </w:rPr>
  </w:style>
  <w:style w:type="character" w:styleId="741">
    <w:name w:val="列出段落 Char,Bullet List Char,numbered Char,FooterText Char,List Paragraph1 Char,Paragraphe de liste1 Char"/>
    <w:next w:val="741"/>
    <w:link w:val="742"/>
    <w:rPr>
      <w:rFonts w:ascii="Calibri" w:hAnsi="Calibri"/>
      <w:sz w:val="24"/>
      <w:szCs w:val="24"/>
      <w:lang w:eastAsia="en-US" w:bidi="en-US"/>
    </w:rPr>
  </w:style>
  <w:style w:type="paragraph" w:styleId="742">
    <w:name w:val="列出段落1"/>
    <w:basedOn w:val="662"/>
    <w:next w:val="742"/>
    <w:link w:val="741"/>
    <w:qFormat/>
    <w:pPr>
      <w:contextualSpacing/>
      <w:ind w:left="720"/>
      <w:jc w:val="left"/>
      <w:widowControl/>
    </w:pPr>
    <w:rPr>
      <w:rFonts w:ascii="Calibri" w:hAnsi="Calibri"/>
      <w:sz w:val="24"/>
      <w:szCs w:val="24"/>
      <w:lang w:eastAsia="en-US" w:bidi="en-US"/>
    </w:rPr>
  </w:style>
  <w:style w:type="paragraph" w:styleId="743">
    <w:name w:val="Body Text(ch)"/>
    <w:basedOn w:val="662"/>
    <w:next w:val="693"/>
    <w:link w:val="662"/>
    <w:pPr>
      <w:spacing w:after="120"/>
    </w:pPr>
    <w:rPr>
      <w:rFonts w:ascii="宋体" w:hAnsi="Arial" w:eastAsia="宋体" w:cs="Times New Roman"/>
      <w:bCs/>
      <w:iCs/>
      <w:szCs w:val="24"/>
    </w:rPr>
  </w:style>
  <w:style w:type="paragraph" w:styleId="744">
    <w:name w:val="xl27"/>
    <w:basedOn w:val="662"/>
    <w:next w:val="744"/>
    <w:link w:val="66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45">
    <w:name w:val="xl26"/>
    <w:basedOn w:val="662"/>
    <w:next w:val="745"/>
    <w:link w:val="6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46">
    <w:name w:val="Char"/>
    <w:basedOn w:val="662"/>
    <w:next w:val="746"/>
    <w:link w:val="662"/>
    <w:pPr>
      <w:ind w:firstLine="200"/>
      <w:tabs>
        <w:tab w:val="left" w:pos="360" w:leader="none"/>
      </w:tabs>
    </w:pPr>
    <w:rPr>
      <w:rFonts w:ascii="Times New Roman" w:hAnsi="Times New Roman" w:eastAsia="宋体" w:cs="Times New Roman"/>
      <w:sz w:val="28"/>
      <w:szCs w:val="30"/>
    </w:rPr>
  </w:style>
  <w:style w:type="paragraph" w:styleId="747">
    <w:name w:val=" Char"/>
    <w:basedOn w:val="687"/>
    <w:next w:val="747"/>
    <w:link w:val="662"/>
    <w:rPr>
      <w:rFonts w:ascii="Tahoma" w:hAnsi="Tahoma"/>
      <w:sz w:val="24"/>
      <w:szCs w:val="24"/>
    </w:rPr>
  </w:style>
  <w:style w:type="paragraph" w:styleId="748">
    <w:name w:val="普通正文"/>
    <w:basedOn w:val="662"/>
    <w:next w:val="748"/>
    <w:link w:val="662"/>
    <w:pPr>
      <w:ind w:firstLine="480"/>
      <w:jc w:val="left"/>
      <w:spacing w:before="120" w:after="120" w:line="360" w:lineRule="auto"/>
    </w:pPr>
    <w:rPr>
      <w:rFonts w:ascii="Arial" w:hAnsi="Arial" w:eastAsia="宋体" w:cs="Times New Roman"/>
      <w:sz w:val="24"/>
      <w:szCs w:val="24"/>
    </w:rPr>
  </w:style>
  <w:style w:type="paragraph" w:styleId="749">
    <w:name w:val="table_lines"/>
    <w:basedOn w:val="662"/>
    <w:next w:val="749"/>
    <w:link w:val="662"/>
    <w:pPr>
      <w:jc w:val="left"/>
      <w:widowControl/>
    </w:pPr>
    <w:rPr>
      <w:rFonts w:ascii="Times New Roman" w:hAnsi="Times New Roman" w:eastAsia="宋体" w:cs="Times New Roman"/>
      <w:sz w:val="20"/>
      <w:szCs w:val="20"/>
      <w:lang w:val="de-DE" w:eastAsia="de-DE"/>
    </w:rPr>
  </w:style>
  <w:style w:type="paragraph" w:styleId="750">
    <w:name w:val="附录1"/>
    <w:next w:val="750"/>
    <w:link w:val="662"/>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51">
    <w:name w:val="font7"/>
    <w:basedOn w:val="662"/>
    <w:next w:val="751"/>
    <w:link w:val="662"/>
    <w:pPr>
      <w:jc w:val="left"/>
      <w:spacing w:before="100" w:beforeAutospacing="1" w:after="100" w:afterAutospacing="1"/>
      <w:widowControl/>
    </w:pPr>
    <w:rPr>
      <w:rFonts w:hint="eastAsia" w:ascii="宋体" w:hAnsi="宋体" w:eastAsia="宋体" w:cs="Times New Roman"/>
      <w:sz w:val="18"/>
      <w:szCs w:val="18"/>
    </w:rPr>
  </w:style>
  <w:style w:type="paragraph" w:styleId="752">
    <w:name w:val=" Char Char Char Char"/>
    <w:basedOn w:val="687"/>
    <w:next w:val="752"/>
    <w:link w:val="662"/>
    <w:pPr>
      <w:spacing w:line="360" w:lineRule="auto"/>
    </w:pPr>
    <w:rPr>
      <w:rFonts w:ascii="Tahoma" w:hAnsi="Tahoma"/>
      <w:sz w:val="24"/>
      <w:szCs w:val="24"/>
    </w:rPr>
  </w:style>
  <w:style w:type="paragraph" w:styleId="753">
    <w:name w:val="列出段落"/>
    <w:basedOn w:val="662"/>
    <w:next w:val="753"/>
    <w:link w:val="662"/>
    <w:qFormat/>
    <w:pPr>
      <w:contextualSpacing/>
      <w:ind w:left="720"/>
      <w:jc w:val="left"/>
      <w:widowControl/>
    </w:pPr>
    <w:rPr>
      <w:rFonts w:ascii="Calibri" w:hAnsi="Calibri" w:eastAsia="宋体" w:cs="Times New Roman"/>
      <w:sz w:val="24"/>
      <w:szCs w:val="24"/>
      <w:lang w:eastAsia="en-US" w:bidi="en-US"/>
    </w:rPr>
  </w:style>
  <w:style w:type="paragraph" w:styleId="754">
    <w:name w:val="4"/>
    <w:basedOn w:val="662"/>
    <w:next w:val="717"/>
    <w:link w:val="662"/>
    <w:pPr>
      <w:ind w:firstLine="420"/>
      <w:spacing w:line="360" w:lineRule="auto"/>
    </w:pPr>
    <w:rPr>
      <w:rFonts w:ascii="Times New Roman" w:hAnsi="Times New Roman" w:eastAsia="宋体" w:cs="Times New Roman"/>
      <w:color w:val="ff0000"/>
      <w:sz w:val="24"/>
      <w:szCs w:val="24"/>
    </w:rPr>
  </w:style>
  <w:style w:type="paragraph" w:styleId="755">
    <w:name w:val="普通 (Web)"/>
    <w:basedOn w:val="662"/>
    <w:next w:val="755"/>
    <w:link w:val="662"/>
    <w:pPr>
      <w:jc w:val="left"/>
      <w:spacing w:before="100" w:beforeAutospacing="1" w:after="100" w:afterAutospacing="1"/>
      <w:widowControl/>
    </w:pPr>
    <w:rPr>
      <w:rFonts w:ascii="宋体" w:hAnsi="宋体" w:eastAsia="宋体" w:cs="Times New Roman"/>
      <w:sz w:val="24"/>
      <w:szCs w:val="24"/>
    </w:rPr>
  </w:style>
  <w:style w:type="paragraph" w:styleId="756">
    <w:name w:val=" Char Char Char Char Char Char Char Char Char Char"/>
    <w:basedOn w:val="662"/>
    <w:next w:val="756"/>
    <w:link w:val="662"/>
    <w:pPr>
      <w:spacing w:line="360" w:lineRule="auto"/>
    </w:pPr>
    <w:rPr>
      <w:rFonts w:ascii="Times New Roman" w:hAnsi="Times New Roman" w:eastAsia="宋体" w:cs="Times New Roman"/>
      <w:sz w:val="24"/>
      <w:szCs w:val="20"/>
    </w:rPr>
  </w:style>
  <w:style w:type="paragraph" w:styleId="757">
    <w:name w:val="样式1"/>
    <w:basedOn w:val="662"/>
    <w:next w:val="757"/>
    <w:link w:val="662"/>
    <w:pPr>
      <w:numPr>
        <w:ilvl w:val="0"/>
        <w:numId w:val="3"/>
      </w:numPr>
      <w:tabs>
        <w:tab w:val="left" w:pos="709" w:leader="none"/>
      </w:tabs>
    </w:pPr>
    <w:rPr>
      <w:rFonts w:ascii="宋体" w:hAnsi="宋体" w:eastAsia="宋体" w:cs="Times New Roman"/>
      <w:szCs w:val="21"/>
    </w:rPr>
  </w:style>
  <w:style w:type="paragraph" w:styleId="758">
    <w:name w:val="font6"/>
    <w:basedOn w:val="662"/>
    <w:next w:val="758"/>
    <w:link w:val="662"/>
    <w:pPr>
      <w:jc w:val="left"/>
      <w:spacing w:before="100" w:beforeAutospacing="1" w:after="100" w:afterAutospacing="1"/>
      <w:widowControl/>
    </w:pPr>
    <w:rPr>
      <w:rFonts w:hint="eastAsia" w:ascii="宋体" w:hAnsi="宋体" w:eastAsia="宋体" w:cs="Times New Roman"/>
      <w:sz w:val="28"/>
      <w:szCs w:val="28"/>
      <w:u w:val="single"/>
    </w:rPr>
  </w:style>
  <w:style w:type="paragraph" w:styleId="759">
    <w:name w:val="xl25"/>
    <w:basedOn w:val="662"/>
    <w:next w:val="759"/>
    <w:link w:val="66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60">
    <w:name w:val="图标"/>
    <w:basedOn w:val="662"/>
    <w:next w:val="662"/>
    <w:link w:val="662"/>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761">
    <w:name w:val="标题3"/>
    <w:basedOn w:val="662"/>
    <w:next w:val="662"/>
    <w:link w:val="662"/>
    <w:pPr>
      <w:ind w:firstLine="624"/>
      <w:spacing w:line="590" w:lineRule="atLeast"/>
    </w:pPr>
    <w:rPr>
      <w:rFonts w:ascii="方正黑体_GBK" w:hAnsi="Times New Roman" w:eastAsia="方正黑体_GBK" w:cs="Times New Roman"/>
      <w:sz w:val="32"/>
      <w:szCs w:val="32"/>
    </w:rPr>
  </w:style>
  <w:style w:type="paragraph" w:styleId="762">
    <w:name w:val="xl24"/>
    <w:basedOn w:val="662"/>
    <w:next w:val="762"/>
    <w:link w:val="66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63">
    <w:name w:val="xl29"/>
    <w:basedOn w:val="662"/>
    <w:next w:val="763"/>
    <w:link w:val="662"/>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764">
    <w:name w:val="Char Char Char Char Char Char Char Char"/>
    <w:basedOn w:val="662"/>
    <w:next w:val="764"/>
    <w:link w:val="662"/>
    <w:pPr>
      <w:jc w:val="left"/>
      <w:spacing w:after="160" w:line="240" w:lineRule="exact"/>
      <w:widowControl/>
    </w:pPr>
    <w:rPr>
      <w:rFonts w:ascii="Verdana" w:hAnsi="Verdana" w:eastAsia="宋体" w:cs="Times New Roman"/>
      <w:sz w:val="20"/>
      <w:szCs w:val="20"/>
      <w:lang w:eastAsia="en-US"/>
    </w:rPr>
  </w:style>
  <w:style w:type="paragraph" w:styleId="765">
    <w:name w:val="xl28"/>
    <w:basedOn w:val="662"/>
    <w:next w:val="765"/>
    <w:link w:val="66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766">
    <w:name w:val=" Char Char Char Char Char Char Char Char"/>
    <w:basedOn w:val="662"/>
    <w:next w:val="766"/>
    <w:link w:val="662"/>
    <w:pPr>
      <w:jc w:val="left"/>
      <w:spacing w:after="160" w:line="240" w:lineRule="exact"/>
      <w:widowControl/>
    </w:pPr>
    <w:rPr>
      <w:rFonts w:ascii="Verdana" w:hAnsi="Verdana" w:eastAsia="宋体" w:cs="Times New Roman"/>
      <w:sz w:val="20"/>
      <w:szCs w:val="20"/>
      <w:lang w:eastAsia="en-US"/>
    </w:rPr>
  </w:style>
  <w:style w:type="paragraph" w:styleId="767">
    <w:name w:val="xl30"/>
    <w:basedOn w:val="662"/>
    <w:next w:val="767"/>
    <w:link w:val="662"/>
    <w:pPr>
      <w:jc w:val="center"/>
      <w:spacing w:before="100" w:beforeAutospacing="1" w:after="100" w:afterAutospacing="1"/>
      <w:widowControl/>
    </w:pPr>
    <w:rPr>
      <w:rFonts w:ascii="宋体" w:hAnsi="宋体" w:eastAsia="宋体" w:cs="Times New Roman"/>
      <w:b/>
      <w:bCs/>
      <w:sz w:val="36"/>
      <w:szCs w:val="36"/>
    </w:rPr>
  </w:style>
  <w:style w:type="paragraph" w:styleId="768">
    <w:name w:val="Char Char Char Char"/>
    <w:basedOn w:val="687"/>
    <w:next w:val="768"/>
    <w:link w:val="662"/>
    <w:pPr>
      <w:spacing w:line="360" w:lineRule="auto"/>
    </w:pPr>
    <w:rPr>
      <w:rFonts w:ascii="Tahoma" w:hAnsi="Tahoma"/>
      <w:sz w:val="24"/>
      <w:szCs w:val="24"/>
    </w:rPr>
  </w:style>
  <w:style w:type="paragraph" w:styleId="769">
    <w:name w:val="table_1stline"/>
    <w:basedOn w:val="662"/>
    <w:next w:val="769"/>
    <w:link w:val="662"/>
    <w:pPr>
      <w:jc w:val="left"/>
      <w:spacing w:before="120"/>
      <w:widowControl/>
    </w:pPr>
    <w:rPr>
      <w:rFonts w:ascii="Times New Roman" w:hAnsi="Times New Roman" w:eastAsia="宋体" w:cs="Times New Roman"/>
      <w:bCs/>
      <w:sz w:val="20"/>
      <w:szCs w:val="20"/>
      <w:lang w:val="de-DE" w:eastAsia="de-DE"/>
    </w:rPr>
  </w:style>
  <w:style w:type="paragraph" w:styleId="770">
    <w:name w:val="font5"/>
    <w:basedOn w:val="662"/>
    <w:next w:val="770"/>
    <w:link w:val="662"/>
    <w:pPr>
      <w:jc w:val="left"/>
      <w:spacing w:before="100" w:beforeAutospacing="1" w:after="100" w:afterAutospacing="1"/>
      <w:widowControl/>
    </w:pPr>
    <w:rPr>
      <w:rFonts w:hint="eastAsia" w:ascii="宋体" w:hAnsi="宋体" w:eastAsia="宋体" w:cs="Times New Roman"/>
      <w:sz w:val="28"/>
      <w:szCs w:val="28"/>
    </w:rPr>
  </w:style>
  <w:style w:type="paragraph" w:styleId="771">
    <w:name w:val="标题1"/>
    <w:basedOn w:val="662"/>
    <w:next w:val="662"/>
    <w:link w:val="662"/>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772">
    <w:name w:val="修订"/>
    <w:next w:val="772"/>
    <w:link w:val="662"/>
    <w:uiPriority w:val="99"/>
    <w:semiHidden/>
    <w:rPr>
      <w:rFonts w:ascii="Times New Roman" w:hAnsi="Times New Roman"/>
      <w:sz w:val="21"/>
      <w:szCs w:val="21"/>
      <w:lang w:val="en-US" w:eastAsia="zh-CN" w:bidi="ar-SA"/>
    </w:rPr>
  </w:style>
  <w:style w:type="paragraph" w:styleId="773">
    <w:name w:val="无间隔"/>
    <w:next w:val="773"/>
    <w:link w:val="662"/>
    <w:uiPriority w:val="99"/>
    <w:qFormat/>
    <w:pPr>
      <w:jc w:val="both"/>
      <w:widowControl w:val="off"/>
    </w:pPr>
    <w:rPr>
      <w:rFonts w:ascii="Times New Roman" w:hAnsi="Times New Roman"/>
      <w:sz w:val="21"/>
      <w:szCs w:val="21"/>
      <w:lang w:val="en-US" w:eastAsia="zh-CN" w:bidi="ar-SA"/>
    </w:rPr>
  </w:style>
  <w:style w:type="table" w:styleId="774">
    <w:name w:val="网格型1"/>
    <w:next w:val="774"/>
    <w:link w:val="662"/>
    <w:qFormat/>
    <w:pPr>
      <w:jc w:val="both"/>
      <w:widowControl w:val="off"/>
    </w:pPr>
    <w:rPr>
      <w:rFonts w:ascii="Times New Roman" w:hAnsi="Times New Roman" w:eastAsia="宋体" w:cs="Times New Roman"/>
      <w:sz w:val="20"/>
      <w:szCs w:val="20"/>
    </w:rPr>
    <w:tblPr/>
  </w:style>
  <w:style w:type="table" w:styleId="775">
    <w:name w:val="普通表格1"/>
    <w:next w:val="775"/>
    <w:link w:val="662"/>
    <w:uiPriority w:val="99"/>
    <w:unhideWhenUsed/>
    <w:qFormat/>
    <w:tblPr/>
  </w:style>
  <w:style w:type="character" w:styleId="10180" w:default="1">
    <w:name w:val="Default Paragraph Font"/>
    <w:uiPriority w:val="1"/>
    <w:semiHidden/>
    <w:unhideWhenUsed/>
  </w:style>
  <w:style w:type="numbering" w:styleId="10181" w:default="1">
    <w:name w:val="No List"/>
    <w:uiPriority w:val="99"/>
    <w:semiHidden/>
    <w:unhideWhenUsed/>
  </w:style>
  <w:style w:type="table" w:styleId="1018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李星</cp:lastModifiedBy>
  <cp:revision>2</cp:revision>
  <dcterms:created xsi:type="dcterms:W3CDTF">2023-03-27T07:28:00Z</dcterms:created>
  <dcterms:modified xsi:type="dcterms:W3CDTF">2026-05-09T02:31:46Z</dcterms:modified>
</cp:coreProperties>
</file>