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hidden"/>
          <w:id w:val="1"/>
          <w:lock w:val="sdtContentLocked"/>
          <w:tag w:val="项目名称"/>
          <w:rPr>
            <w:rFonts w:ascii="宋体" w:hAnsi="宋体" w:cs="宋体"/>
            <w:b/>
            <w:color w:val="000000"/>
            <w:sz w:val="32"/>
          </w:rPr>
        </w:sdtPr>
        <w:sdtContent>
          <w:r>
            <w:rPr>
              <w:rFonts w:ascii="经典仿宋简" w:hAnsi="经典仿宋简" w:eastAsia="经典仿宋简" w:cs="经典仿宋简"/>
              <w:sz w:val="22"/>
            </w:rPr>
            <w:t xml:space="preserve">魏村街道安置房物业服务项目</w:t>
          </w:r>
        </w:sdtContent>
      </w:sdt>
      <w:r/>
      <w:r/>
    </w:p>
    <w:p>
      <w:pPr>
        <w:ind w:left="2100" w:firstLine="161"/>
        <w:spacing w:after="0"/>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r>
        <w:rPr>
          <w:rFonts w:eastAsia="Times New Roman"/>
          <w:color w:val="ff0000"/>
        </w:rPr>
        <w:t xml:space="preserve"> </w:t>
      </w:r>
      <w:sdt>
        <w:sdtPr>
          <w:alias w:val="2"/>
          <w15:appearance w15:val="hidden"/>
          <w:id w:val="2"/>
          <w:lock w:val="sdtContentLocked"/>
          <w:tag w:val="项目编号"/>
          <w:rPr>
            <w:rFonts w:eastAsia="Times New Roman"/>
            <w:color w:val="ff0000"/>
          </w:rPr>
        </w:sdtPr>
        <w:sdtContent>
          <w:r>
            <w:rPr>
              <w:rFonts w:ascii="经典仿宋简" w:hAnsi="经典仿宋简" w:eastAsia="经典仿宋简" w:cs="经典仿宋简"/>
              <w:sz w:val="22"/>
            </w:rPr>
            <w:t xml:space="preserve">JSZC-320400-JZCG-G2026-0082</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spacing w:after="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服务类项目，适用苏采云系统，专门面向中小企业）</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hidden"/>
          <w:id w:val="3"/>
          <w:tag w:val="系统当前时间"/>
          <w:rPr>
            <w:rFonts w:ascii="宋体" w:hAnsi="宋体" w:cs="宋体"/>
            <w:color w:val="000000"/>
            <w:sz w:val="24"/>
          </w:rPr>
        </w:sdtPr>
        <w:sdtContent>
          <w:r>
            <w:rPr>
              <w:rFonts w:ascii="经典仿宋简" w:hAnsi="经典仿宋简" w:eastAsia="经典仿宋简" w:cs="经典仿宋简"/>
              <w:sz w:val="22"/>
            </w:rPr>
            <w:t xml:space="preserve">2026年04月08日</w:t>
          </w:r>
        </w:sdtContent>
      </w:sdt>
      <w:r>
        <w:rPr>
          <w:rFonts w:ascii="宋体" w:hAnsi="宋体" w:cs="宋体"/>
          <w:color w:val="000000"/>
          <w:sz w:val="24"/>
        </w:rPr>
        <w:t xml:space="preserve"> </w: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w:t>
      </w:r>
      <w:r>
        <w:rPr>
          <w:rFonts w:ascii="Calibri" w:hAnsi="Calibri" w:eastAsia="Calibri" w:cs="Calibri"/>
          <w:b/>
          <w:color w:val="000000"/>
          <w:sz w:val="44"/>
        </w:rPr>
        <w:t xml:space="preserve"> </w:t>
      </w:r>
      <w:r>
        <w:rPr>
          <w:rFonts w:ascii="黑体" w:hAnsi="黑体" w:eastAsia="黑体" w:cs="黑体"/>
          <w:b/>
          <w:color w:val="000000"/>
          <w:sz w:val="44"/>
        </w:rPr>
        <w:t xml:space="preserve"> 目</w:t>
      </w:r>
      <w:r>
        <w:rPr>
          <w:rFonts w:ascii="Calibri" w:hAnsi="Calibri" w:eastAsia="Calibri" w:cs="Calibri"/>
          <w:b/>
          <w:color w:val="000000"/>
          <w:sz w:val="44"/>
        </w:rPr>
        <w:t xml:space="preserve"> </w:t>
      </w:r>
      <w:r>
        <w:rPr>
          <w:rFonts w:ascii="黑体" w:hAnsi="黑体" w:eastAsia="黑体" w:cs="黑体"/>
          <w:b/>
          <w:color w:val="000000"/>
          <w:sz w:val="44"/>
        </w:rPr>
        <w:t xml:space="preserve"> 录</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 </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ascii="Calibri" w:hAnsi="Calibri" w:eastAsia="Calibri" w:cs="Calibri"/>
          <w:color w:val="000000"/>
          <w:sz w:val="36"/>
        </w:rPr>
        <w:t xml:space="preserve"> </w:t>
      </w:r>
      <w:r>
        <w:rPr>
          <w:rFonts w:ascii="黑体" w:hAnsi="黑体" w:eastAsia="黑体" w:cs="黑体"/>
          <w:color w:val="000000"/>
          <w:sz w:val="36"/>
        </w:rPr>
        <w:t xml:space="preserve"> </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4"/>
        </w:numPr>
        <w:spacing w:after="0"/>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w:t>
      </w:r>
      <w:r>
        <w:rPr>
          <w:rFonts w:ascii="Calibri" w:hAnsi="Calibri" w:eastAsia="Calibri" w:cs="Calibri"/>
          <w:b/>
          <w:color w:val="000000"/>
          <w:sz w:val="44"/>
        </w:rPr>
        <w:t xml:space="preserve"> </w:t>
      </w:r>
      <w:r>
        <w:rPr>
          <w:rFonts w:ascii="黑体" w:hAnsi="黑体" w:eastAsia="黑体" w:cs="黑体"/>
          <w:b/>
          <w:color w:val="000000"/>
          <w:sz w:val="44"/>
        </w:rPr>
        <w:t xml:space="preserve"> 投标邀请</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4"/>
          <w15:appearance w15:val="hidden"/>
          <w:id w:val="4"/>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常州市新北区魏村街道办事处（本级）</w:t>
          </w:r>
        </w:sdtContent>
      </w:sdt>
      <w:r>
        <w:rPr>
          <w:rFonts w:ascii="宋体" w:hAnsi="宋体" w:cs="宋体"/>
          <w:color w:val="000000"/>
          <w:sz w:val="24"/>
        </w:rPr>
        <w:t xml:space="preserve">的委托，常州市政府采购中心就[</w:t>
      </w:r>
      <w:sdt>
        <w:sdtPr>
          <w:alias w:val="5"/>
          <w15:appearance w15:val="hidden"/>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魏村街道安置房物业服务项目</w:t>
          </w:r>
        </w:sdtContent>
      </w:sdt>
      <w:r>
        <w:rPr>
          <w:rFonts w:ascii="宋体" w:hAnsi="宋体" w:cs="宋体"/>
          <w:color w:val="000000"/>
          <w:sz w:val="24"/>
        </w:rPr>
        <w:t xml:space="preserve">][</w:t>
      </w:r>
      <w:sdt>
        <w:sdtPr>
          <w:alias w:val="6"/>
          <w15:appearance w15:val="hidden"/>
          <w:id w:val="6"/>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JSZC-320400-JZCG-G2026-0082</w:t>
          </w:r>
        </w:sdtContent>
      </w:sdt>
      <w:r>
        <w:rPr>
          <w:rFonts w:ascii="宋体" w:hAnsi="宋体" w:cs="宋体"/>
          <w:color w:val="000000"/>
          <w:sz w:val="24"/>
        </w:rPr>
        <w:t xml:space="preserve">]项目进行公开招标采购，欢迎符合条件的供应商投标。</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sdt>
        <w:sdtPr>
          <w:alias w:val="7"/>
          <w15:appearance w15:val="hidden"/>
          <w:id w:val="7"/>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JSZC-320400-JZCG-G2026-0082</w:t>
          </w:r>
        </w:sdtContent>
      </w:sd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8"/>
          <w15:appearance w15:val="hidden"/>
          <w:id w:val="8"/>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魏村街道安置房物业服务项目</w:t>
          </w:r>
        </w:sdtContent>
      </w:sd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sdt>
        <w:sdtPr>
          <w:alias w:val="9"/>
          <w15:appearance w15:val="hidden"/>
          <w:id w:val="9"/>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16558800</w:t>
          </w:r>
        </w:sdtContent>
      </w:sdt>
      <w:r>
        <w:rPr>
          <w:rFonts w:hint="eastAsia" w:ascii="宋体" w:hAnsi="宋体" w:cs="宋体"/>
          <w:color w:val="000000"/>
          <w:sz w:val="24"/>
          <w:highlight w:val="yellow"/>
        </w:rPr>
        <w:t xml:space="preserve">元</w:t>
      </w:r>
      <w:r>
        <w:rPr>
          <w:rFonts w:hint="eastAsia" w:ascii="宋体" w:hAnsi="宋体" w:cs="宋体"/>
          <w:color w:val="000000"/>
          <w:sz w:val="24"/>
        </w:rPr>
        <w:t xml:space="preserve">/24个月。其中：</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分包一安家社区（安家苑一二期、安家苑三期、安欣花苑）：人民币713.16万元/24个月；</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分包二（魏村、临江社区）：人民币277.08万元/24个月；</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分包三（长江社区）：人民币335.16万元/24个月。</w:t>
      </w:r>
      <w:r/>
    </w:p>
    <w:p>
      <w:pPr>
        <w:ind w:firstLine="480"/>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分包四（新魏花园社区）：人民币330.48万元/24个月；</w:t>
      </w:r>
      <w:r/>
    </w:p>
    <w:p>
      <w:pPr>
        <w:ind w:firstLine="480"/>
        <w:spacing w:after="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4.本项目最高限价为</w:t>
      </w:r>
      <w:r>
        <w:rPr>
          <w:rFonts w:hint="eastAsia" w:ascii="宋体" w:hAnsi="宋体"/>
          <w:sz w:val="24"/>
        </w:rPr>
        <w:t xml:space="preserve">人民币</w:t>
      </w:r>
      <w:r>
        <w:rPr>
          <w:rFonts w:hint="eastAsia" w:ascii="宋体" w:hAnsi="宋体"/>
          <w:sz w:val="24"/>
          <w:szCs w:val="24"/>
        </w:rPr>
        <w:t xml:space="preserve">1655.88万元/24个月。其中：</w:t>
      </w:r>
      <w:r/>
    </w:p>
    <w:p>
      <w:pPr>
        <w:ind w:firstLine="480"/>
        <w:spacing w:after="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分包一安家社区（安家苑一二期、安家苑三期、安欣花苑）：</w:t>
      </w:r>
      <w:r>
        <w:rPr>
          <w:rFonts w:hint="eastAsia" w:ascii="宋体" w:hAnsi="宋体"/>
          <w:sz w:val="24"/>
        </w:rPr>
        <w:t xml:space="preserve">人民币713.16万</w:t>
      </w:r>
      <w:r>
        <w:rPr>
          <w:rFonts w:hint="eastAsia" w:ascii="宋体" w:hAnsi="宋体"/>
          <w:sz w:val="24"/>
          <w:szCs w:val="24"/>
        </w:rPr>
        <w:t xml:space="preserve">元/24个月</w:t>
      </w:r>
      <w:r>
        <w:rPr>
          <w:rFonts w:hint="eastAsia" w:ascii="宋体" w:hAnsi="宋体"/>
          <w:sz w:val="24"/>
        </w:rPr>
        <w:t xml:space="preserve">；</w:t>
      </w:r>
      <w:r/>
    </w:p>
    <w:p>
      <w:pPr>
        <w:ind w:firstLine="480"/>
        <w:spacing w:after="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分包二（魏村、临江社区）：</w:t>
      </w:r>
      <w:r>
        <w:rPr>
          <w:rFonts w:hint="eastAsia" w:ascii="宋体" w:hAnsi="宋体"/>
          <w:sz w:val="24"/>
        </w:rPr>
        <w:t xml:space="preserve">人民币277.08</w:t>
      </w:r>
      <w:r>
        <w:rPr>
          <w:rFonts w:hint="eastAsia" w:ascii="宋体" w:hAnsi="宋体"/>
          <w:sz w:val="24"/>
          <w:szCs w:val="24"/>
        </w:rPr>
        <w:t xml:space="preserve">万元/24个月；</w:t>
      </w:r>
      <w:r/>
    </w:p>
    <w:p>
      <w:pPr>
        <w:ind w:firstLine="480"/>
        <w:spacing w:after="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分包三（长江社区）：</w:t>
      </w:r>
      <w:r>
        <w:rPr>
          <w:rFonts w:hint="eastAsia" w:ascii="宋体" w:hAnsi="宋体"/>
          <w:sz w:val="24"/>
        </w:rPr>
        <w:t xml:space="preserve">人民币</w:t>
      </w:r>
      <w:r>
        <w:rPr>
          <w:rFonts w:hint="eastAsia" w:ascii="宋体" w:hAnsi="宋体"/>
          <w:sz w:val="24"/>
          <w:szCs w:val="24"/>
        </w:rPr>
        <w:t xml:space="preserve">335.16万元/24个月;</w:t>
      </w:r>
      <w:r/>
    </w:p>
    <w:p>
      <w:pPr>
        <w:ind w:firstLine="480"/>
        <w:spacing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分包四（新魏花园社区）：</w:t>
      </w:r>
      <w:r>
        <w:rPr>
          <w:rFonts w:hint="eastAsia" w:ascii="宋体" w:hAnsi="宋体"/>
          <w:sz w:val="24"/>
        </w:rPr>
        <w:t xml:space="preserve">人民币</w:t>
      </w:r>
      <w:r>
        <w:rPr>
          <w:rFonts w:hint="eastAsia" w:ascii="宋体" w:hAnsi="宋体"/>
          <w:sz w:val="24"/>
          <w:szCs w:val="24"/>
        </w:rPr>
        <w:t xml:space="preserve">330.48万元/24个月</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rPr>
          <w:rFonts w:hint="eastAsia"/>
          <w:sz w:val="24"/>
          <w:szCs w:val="24"/>
        </w:rPr>
        <w:t xml:space="preserve">本项目拟分四个标段对魏村街道安置房物业服务进行招标采购。物业管理主要包括房屋建筑共用部位、共用设施设备的维修、养护、运行和管理，附属配套建筑和设施的维修、养护和管理，应业主要求进行的室内特约维修服务，公共环境卫生、垃圾的收集、清运，管理好物业管理区域内公共秩序、安全防范、消防通道、规范停车秩序等事项，交通与车辆停放秩序的管理，维持公共秩序，日常管理与服务等。供应商要履行物业费收取和车辆停放服务费收取的工作职责，须为商业用房提供物业服务，并负责向商业用房使用人收取相关费用。</w:t>
      </w:r>
      <w:r>
        <w:rPr>
          <w:rFonts w:hint="eastAsia" w:ascii="宋体" w:hAnsi="宋体" w:cs="宋体"/>
          <w:sz w:val="24"/>
          <w:szCs w:val="24"/>
        </w:rPr>
        <w:t xml:space="preserve">（详细内容见本招标文件第四章）</w:t>
      </w:r>
      <w:r>
        <w:rPr>
          <w:rFonts w:ascii="宋体" w:hAnsi="宋体" w:cs="宋体"/>
          <w:color w:val="000000"/>
          <w:sz w:val="24"/>
        </w:rPr>
        <w:t xml:space="preserve">（详细内容见本招标文件第四章） </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rPr>
          <w:rFonts w:hint="eastAsia" w:ascii="宋体" w:hAnsi="宋体"/>
          <w:sz w:val="24"/>
          <w:szCs w:val="24"/>
        </w:rPr>
      </w:pPr>
      <w:r>
        <w:rPr>
          <w:rFonts w:ascii="宋体" w:hAnsi="宋体" w:cs="宋体"/>
          <w:color w:val="000000"/>
          <w:sz w:val="24"/>
        </w:rPr>
        <w:t xml:space="preserve">6.合同履行期限：</w:t>
      </w:r>
      <w:r>
        <w:rPr>
          <w:rFonts w:hint="eastAsia" w:ascii="宋体" w:hAnsi="宋体"/>
          <w:sz w:val="24"/>
          <w:szCs w:val="24"/>
        </w:rPr>
        <w:t xml:space="preserve">自合同签订之日起至24个月。</w:t>
      </w:r>
      <w:r/>
    </w:p>
    <w:p>
      <w:pPr>
        <w:ind w:firstLine="240"/>
        <w:rPr>
          <w:rFonts w:hint="eastAsia" w:ascii="宋体" w:hAnsi="宋体"/>
          <w:sz w:val="24"/>
        </w:rPr>
      </w:pPr>
      <w:r>
        <w:rPr>
          <w:rFonts w:hint="eastAsia" w:ascii="宋体" w:hAnsi="宋体"/>
          <w:sz w:val="24"/>
        </w:rPr>
        <w:t xml:space="preserve">（1）24个月，合同一年一签，以招标人通知服务单位进场时间为准。</w:t>
      </w:r>
      <w:r/>
    </w:p>
    <w:p>
      <w:pPr>
        <w:ind w:firstLine="240"/>
        <w:rPr>
          <w:rFonts w:hint="eastAsia" w:ascii="宋体" w:hAnsi="宋体"/>
          <w:sz w:val="24"/>
        </w:rPr>
      </w:pPr>
      <w:r>
        <w:rPr>
          <w:rFonts w:hint="eastAsia" w:ascii="宋体" w:hAnsi="宋体"/>
          <w:sz w:val="24"/>
        </w:rPr>
        <w:t xml:space="preserve">（2）第一期合同内，前三个月为试用期，试用期满经考核月度平均得分90分及以上，合同方继续生效。三个月试用期内物业服务公司服务工作无法满足招标人要求的，招标人有权随时单方面解除合同且不承担违约责任。</w:t>
      </w:r>
      <w:r/>
    </w:p>
    <w:p>
      <w:pPr>
        <w:ind w:firstLine="240"/>
        <w:spacing w:after="0"/>
        <w:pBdr>
          <w:top w:val="none" w:color="000000" w:sz="0" w:space="0"/>
          <w:left w:val="none" w:color="000000" w:sz="0" w:space="0"/>
          <w:bottom w:val="none" w:color="000000" w:sz="0" w:space="0"/>
          <w:right w:val="none" w:color="000000" w:sz="0" w:space="0"/>
        </w:pBdr>
      </w:pPr>
      <w:r>
        <w:rPr>
          <w:rFonts w:hint="eastAsia" w:ascii="宋体" w:hAnsi="宋体"/>
          <w:sz w:val="24"/>
        </w:rPr>
        <w:t xml:space="preserve">（3）合同一年签订一次，合同期满后招标人有权根据考核结果决定是否与物业服务公司续签下一年合同，有一个或一个以上小区年度考核平均分低于80分（不含）以下的直接终止合同。</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color w:val="000000"/>
          <w:sz w:val="24"/>
        </w:rPr>
        <w:t xml:space="preserve">专门面向中小企业采购。</w:t>
      </w:r>
      <w:r>
        <w:rPr>
          <w:rFonts w:ascii="宋体" w:hAnsi="宋体" w:cs="宋体"/>
          <w:color w:val="000000"/>
          <w:sz w:val="24"/>
        </w:rPr>
        <w:t xml:space="preserve">即：提供的服务全部由符合政策要求的中小企业承接。说明：中小企业包含中型、小型、微型企业，残疾人福利性单位和监狱企业视同小微企业。</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hint="eastAsia" w:ascii="宋体" w:hAnsi="宋体" w:cs="宋体"/>
          <w:color w:val="000000"/>
          <w:sz w:val="24"/>
        </w:rPr>
        <w:t xml:space="preserve">不接受</w:t>
      </w:r>
      <w:r>
        <w:rPr>
          <w:rFonts w:ascii="宋体" w:hAnsi="宋体" w:cs="宋体"/>
          <w:color w:val="000000"/>
          <w:sz w:val="24"/>
        </w:rPr>
        <w:t xml:space="preserve">联合体投标</w:t>
      </w:r>
      <w:r>
        <w:rPr>
          <w:rFonts w:hint="eastAsia" w:ascii="宋体" w:hAnsi="宋体" w:cs="宋体"/>
          <w:color w:val="000000"/>
          <w:sz w:val="24"/>
        </w:rPr>
        <w:t xml:space="preserve">。</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1.时间：详见招标文件公告。</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四、投标文件提交</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1079" w:hanging="3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12"/>
          <w15:appearance w15:val="hidden"/>
          <w:id w:val="12"/>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常州市新北区魏村街道办事处（本级）</w:t>
          </w:r>
        </w:sdtContent>
      </w:sdt>
      <w:r/>
      <w:r/>
    </w:p>
    <w:p>
      <w:pPr>
        <w:ind w:left="1079" w:hanging="3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3"/>
          <w15:appearance w15:val="hidden"/>
          <w:id w:val="13"/>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常州市新北区魏村街道魏安路76号</w:t>
          </w:r>
        </w:sdtContent>
      </w:sdt>
      <w:r/>
      <w:r/>
    </w:p>
    <w:p>
      <w:pPr>
        <w:ind w:left="1079" w:hanging="3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8"/>
          <w15:appearance w15:val="hidden"/>
          <w:id w:val="18"/>
          <w:tag w:val="采购人联系人"/>
          <w:rPr>
            <w:rFonts w:ascii="宋体" w:hAnsi="宋体" w:cs="宋体"/>
            <w:color w:val="000000"/>
            <w:sz w:val="24"/>
          </w:rPr>
        </w:sdtPr>
        <w:sdtContent>
          <w:r>
            <w:rPr>
              <w:rFonts w:ascii="经典仿宋简" w:hAnsi="经典仿宋简" w:eastAsia="经典仿宋简" w:cs="经典仿宋简"/>
              <w:sz w:val="22"/>
            </w:rPr>
            <w:t xml:space="preserve">张春平</w:t>
          </w:r>
        </w:sdtContent>
      </w:sdt>
      <w:r/>
      <w:r/>
    </w:p>
    <w:p>
      <w:pPr>
        <w:ind w:left="1079" w:hanging="3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9"/>
          <w15:appearance w15:val="hidden"/>
          <w:id w:val="19"/>
          <w:tag w:val="采购人联系电话"/>
          <w:rPr>
            <w:rFonts w:ascii="宋体" w:hAnsi="宋体" w:cs="宋体"/>
            <w:color w:val="000000"/>
            <w:sz w:val="24"/>
          </w:rPr>
        </w:sdtPr>
        <w:sdtContent>
          <w:r>
            <w:rPr>
              <w:rFonts w:ascii="经典仿宋简" w:hAnsi="经典仿宋简" w:eastAsia="经典仿宋简" w:cs="经典仿宋简"/>
              <w:sz w:val="22"/>
            </w:rPr>
            <w:t xml:space="preserve">19952809367</w:t>
          </w:r>
        </w:sdtContent>
      </w:sdt>
      <w:r/>
      <w:r/>
    </w:p>
    <w:p>
      <w:pPr>
        <w:ind w:left="1079" w:hanging="3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 </w:t>
      </w:r>
      <w:sdt>
        <w:sdtPr>
          <w:alias w:val="16"/>
          <w15:appearance w15:val="hidden"/>
          <w:id w:val="16"/>
          <w:lock w:val="sdtContentLocked"/>
          <w:tag w:val="项目联系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7"/>
          <w15:appearance w15:val="hidden"/>
          <w:id w:val="17"/>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after="0"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after="0"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-85588127,0519-85588177，其他联系方式见《苏采云系统供应商操作手册》（以下简称《操作手册》））、进行注册并按《操作手册》要求制作、上传电子投标文件。</w:t>
      </w:r>
      <w:r/>
    </w:p>
    <w:p>
      <w:pPr>
        <w:ind w:firstLine="480"/>
        <w:spacing w:after="0"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after="0"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w:t>
      </w:r>
      <w:r>
        <w:rPr>
          <w:rFonts w:ascii="Calibri" w:hAnsi="Calibri" w:eastAsia="Calibri" w:cs="Calibri"/>
          <w:b/>
          <w:color w:val="000000"/>
          <w:sz w:val="44"/>
        </w:rPr>
        <w:t xml:space="preserve"> </w:t>
      </w:r>
      <w:r>
        <w:rPr>
          <w:rFonts w:ascii="黑体" w:hAnsi="黑体" w:eastAsia="黑体" w:cs="黑体"/>
          <w:b/>
          <w:color w:val="000000"/>
          <w:sz w:val="44"/>
        </w:rPr>
        <w:t xml:space="preserve"> 投标人须知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w:t>
      </w:r>
      <w:r>
        <w:rPr>
          <w:rFonts w:ascii="黑体" w:hAnsi="黑体" w:eastAsia="黑体" w:cs="黑体"/>
          <w:b/>
          <w:color w:val="000000"/>
          <w:sz w:val="28"/>
        </w:rPr>
        <w:t xml:space="preserve">、招标方式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w:t>
      </w:r>
      <w:r>
        <w:rPr>
          <w:rFonts w:ascii="黑体" w:hAnsi="黑体" w:eastAsia="黑体" w:cs="黑体"/>
          <w:b/>
          <w:color w:val="000000"/>
          <w:sz w:val="28"/>
        </w:rPr>
        <w:t xml:space="preserve">、合格的投标人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3</w:t>
      </w:r>
      <w:r>
        <w:rPr>
          <w:rFonts w:ascii="黑体" w:hAnsi="黑体" w:eastAsia="黑体" w:cs="黑体"/>
          <w:b/>
          <w:color w:val="000000"/>
          <w:sz w:val="28"/>
        </w:rPr>
        <w:t xml:space="preserve">、适用法律</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4</w:t>
      </w:r>
      <w:r>
        <w:rPr>
          <w:rFonts w:ascii="黑体" w:hAnsi="黑体" w:eastAsia="黑体" w:cs="黑体"/>
          <w:b/>
          <w:color w:val="000000"/>
          <w:sz w:val="28"/>
        </w:rPr>
        <w:t xml:space="preserve">、投标费用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ind w:firstLine="60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b/>
          <w:color w:val="000000"/>
          <w:sz w:val="28"/>
        </w:rPr>
        <w:t xml:space="preserve">招标文件的约束力</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6</w:t>
      </w:r>
      <w:r>
        <w:rPr>
          <w:rFonts w:ascii="黑体" w:hAnsi="黑体" w:eastAsia="黑体" w:cs="黑体"/>
          <w:b/>
          <w:color w:val="000000"/>
          <w:sz w:val="28"/>
        </w:rPr>
        <w:t xml:space="preserve">、招标文件构成</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7</w:t>
      </w:r>
      <w:r>
        <w:rPr>
          <w:rFonts w:ascii="黑体" w:hAnsi="黑体" w:eastAsia="黑体" w:cs="黑体"/>
          <w:b/>
          <w:color w:val="000000"/>
          <w:sz w:val="28"/>
        </w:rPr>
        <w:t xml:space="preserve">、招标文件的澄清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8</w:t>
      </w:r>
      <w:r>
        <w:rPr>
          <w:rFonts w:ascii="黑体" w:hAnsi="黑体" w:eastAsia="黑体" w:cs="黑体"/>
          <w:b/>
          <w:color w:val="000000"/>
          <w:sz w:val="28"/>
        </w:rPr>
        <w:t xml:space="preserve">、招标文件的修改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9</w:t>
      </w:r>
      <w:r>
        <w:rPr>
          <w:rFonts w:ascii="黑体" w:hAnsi="黑体" w:eastAsia="黑体" w:cs="黑体"/>
          <w:b/>
          <w:color w:val="000000"/>
          <w:sz w:val="28"/>
        </w:rPr>
        <w:t xml:space="preserve">、投标文件的语言及度量衡单位</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10</w:t>
      </w:r>
      <w:r>
        <w:rPr>
          <w:rFonts w:ascii="黑体" w:hAnsi="黑体" w:eastAsia="黑体" w:cs="黑体"/>
          <w:b/>
          <w:color w:val="000000"/>
          <w:sz w:val="28"/>
        </w:rPr>
        <w:t xml:space="preserve">、投标文件构成</w:t>
      </w:r>
      <w:r/>
    </w:p>
    <w:p>
      <w:pPr>
        <w:ind w:firstLine="480"/>
        <w:spacing w:after="0"/>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11</w:t>
      </w:r>
      <w:r>
        <w:rPr>
          <w:rFonts w:ascii="黑体" w:hAnsi="黑体" w:eastAsia="黑体" w:cs="黑体"/>
          <w:b/>
          <w:color w:val="000000"/>
          <w:sz w:val="28"/>
        </w:rPr>
        <w:t xml:space="preserve">、证明投标人及投标标的符合招标文件规定的文件</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12</w:t>
      </w:r>
      <w:r>
        <w:rPr>
          <w:rFonts w:ascii="黑体" w:hAnsi="黑体" w:eastAsia="黑体" w:cs="黑体"/>
          <w:b/>
          <w:color w:val="000000"/>
          <w:sz w:val="28"/>
        </w:rPr>
        <w:t xml:space="preserve">、投标分项报价表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13</w:t>
      </w:r>
      <w:r>
        <w:rPr>
          <w:rFonts w:ascii="黑体" w:hAnsi="黑体" w:eastAsia="黑体" w:cs="黑体"/>
          <w:b/>
          <w:color w:val="000000"/>
          <w:sz w:val="28"/>
        </w:rPr>
        <w:t xml:space="preserve">、技术要求响应及偏离表、商务要求响应及偏离表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ind w:firstLine="480"/>
        <w:spacing w:after="0"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14</w:t>
      </w:r>
      <w:r>
        <w:rPr>
          <w:rFonts w:ascii="黑体" w:hAnsi="黑体" w:eastAsia="黑体" w:cs="黑体"/>
          <w:b/>
          <w:color w:val="000000"/>
          <w:sz w:val="28"/>
        </w:rPr>
        <w:t xml:space="preserve">、投标函和开标一览表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15</w:t>
      </w:r>
      <w:r>
        <w:rPr>
          <w:rFonts w:ascii="黑体" w:hAnsi="黑体" w:eastAsia="黑体" w:cs="黑体"/>
          <w:b/>
          <w:color w:val="000000"/>
          <w:sz w:val="28"/>
        </w:rPr>
        <w:t xml:space="preserve">、投标有效期</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16</w:t>
      </w:r>
      <w:r>
        <w:rPr>
          <w:rFonts w:ascii="黑体" w:hAnsi="黑体" w:eastAsia="黑体" w:cs="黑体"/>
          <w:b/>
          <w:color w:val="000000"/>
          <w:sz w:val="28"/>
        </w:rPr>
        <w:t xml:space="preserve">、投标有效期的延长</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17</w:t>
      </w:r>
      <w:r>
        <w:rPr>
          <w:rFonts w:ascii="黑体" w:hAnsi="黑体" w:eastAsia="黑体" w:cs="黑体"/>
          <w:b/>
          <w:color w:val="000000"/>
          <w:sz w:val="28"/>
        </w:rPr>
        <w:t xml:space="preserve">、投标文件的递交</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ind w:firstLine="420"/>
        <w:spacing w:before="280" w:after="290" w:line="43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18</w:t>
      </w:r>
      <w:r>
        <w:rPr>
          <w:rFonts w:ascii="黑体" w:hAnsi="黑体" w:eastAsia="黑体" w:cs="黑体"/>
          <w:b/>
          <w:color w:val="000000"/>
          <w:sz w:val="28"/>
        </w:rPr>
        <w:t xml:space="preserve">、投标截止时间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19</w:t>
      </w:r>
      <w:r>
        <w:rPr>
          <w:rFonts w:ascii="黑体" w:hAnsi="黑体" w:eastAsia="黑体" w:cs="黑体"/>
          <w:b/>
          <w:color w:val="000000"/>
          <w:sz w:val="28"/>
        </w:rPr>
        <w:t xml:space="preserve">、投标文件的拒收</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20</w:t>
      </w:r>
      <w:r>
        <w:rPr>
          <w:rFonts w:ascii="黑体" w:hAnsi="黑体" w:eastAsia="黑体" w:cs="黑体"/>
          <w:b/>
          <w:color w:val="000000"/>
          <w:sz w:val="28"/>
        </w:rPr>
        <w:t xml:space="preserve">、投标文件的撤回和修改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21</w:t>
      </w:r>
      <w:r>
        <w:rPr>
          <w:rFonts w:ascii="黑体" w:hAnsi="黑体" w:eastAsia="黑体" w:cs="黑体"/>
          <w:b/>
          <w:color w:val="000000"/>
          <w:sz w:val="28"/>
        </w:rPr>
        <w:t xml:space="preserve">、开标</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22</w:t>
      </w:r>
      <w:r>
        <w:rPr>
          <w:rFonts w:ascii="黑体" w:hAnsi="黑体" w:eastAsia="黑体" w:cs="黑体"/>
          <w:b/>
          <w:color w:val="000000"/>
          <w:sz w:val="28"/>
        </w:rPr>
        <w:t xml:space="preserve">、评标委员会</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ind w:firstLine="42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23、评标过程的保密与公正</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24</w:t>
      </w:r>
      <w:r>
        <w:rPr>
          <w:rFonts w:ascii="黑体" w:hAnsi="黑体" w:eastAsia="黑体" w:cs="黑体"/>
          <w:b/>
          <w:color w:val="000000"/>
          <w:sz w:val="28"/>
        </w:rPr>
        <w:t xml:space="preserve">、投标文件的澄清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25</w:t>
      </w:r>
      <w:r>
        <w:rPr>
          <w:rFonts w:ascii="黑体" w:hAnsi="黑体" w:eastAsia="黑体" w:cs="黑体"/>
          <w:b/>
          <w:color w:val="000000"/>
          <w:sz w:val="28"/>
        </w:rPr>
        <w:t xml:space="preserve">、对投标文件的初审</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2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ind w:firstLine="420"/>
        <w:spacing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26</w:t>
      </w:r>
      <w:r>
        <w:rPr>
          <w:rFonts w:ascii="黑体" w:hAnsi="黑体" w:eastAsia="黑体" w:cs="黑体"/>
          <w:b/>
          <w:color w:val="000000"/>
          <w:sz w:val="28"/>
        </w:rPr>
        <w:t xml:space="preserve">、无效投标条款和废标条款</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ind w:firstLine="480"/>
        <w:spacing w:after="0" w:line="438"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 投标（响应）供应商出现</w:t>
      </w:r>
      <w:r>
        <w:rPr>
          <w:rFonts w:ascii="宋体" w:hAnsi="宋体" w:cs="宋体"/>
          <w:color w:val="000000"/>
          <w:sz w:val="24"/>
        </w:rPr>
        <w:t xml:space="preserve">相关文件</w:t>
      </w:r>
      <w:r>
        <w:rPr>
          <w:rFonts w:ascii="宋体" w:hAnsi="宋体" w:cs="宋体"/>
          <w:color w:val="000000"/>
          <w:sz w:val="24"/>
          <w:szCs w:val="24"/>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26.1.12其他法律、法规及本招标文件规定的属无效投标的情形。</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27、确定中标单位</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28、质疑处理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29、中标通知书</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30. 签订合同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600"/>
        <w:spacing w:after="0" w:line="479" w:lineRule="atLeast"/>
        <w:pBdr>
          <w:top w:val="none" w:color="000000" w:sz="0" w:space="0"/>
          <w:left w:val="none" w:color="000000" w:sz="0" w:space="0"/>
          <w:bottom w:val="none" w:color="000000" w:sz="0" w:space="0"/>
          <w:right w:val="none" w:color="000000" w:sz="0" w:space="0"/>
        </w:pBdr>
      </w:pPr>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31、服务（包含与服务相关的货物）的追加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32、需要执行的政府采购政策（包括但不限于）</w:t>
      </w:r>
      <w:r>
        <w:rPr>
          <w:rFonts w:eastAsia="Times New Roman"/>
          <w:b/>
          <w:color w:val="000000"/>
          <w:sz w:val="24"/>
        </w:rPr>
        <w:t xml:space="preserve"> </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w:t>
      </w:r>
      <w:r>
        <w:rPr>
          <w:rFonts w:ascii="Calibri" w:hAnsi="Calibri" w:eastAsia="Calibri" w:cs="Calibri"/>
          <w:b/>
          <w:color w:val="000000"/>
          <w:sz w:val="44"/>
        </w:rPr>
        <w:t xml:space="preserve"> </w:t>
      </w:r>
      <w:r>
        <w:rPr>
          <w:rFonts w:ascii="黑体" w:hAnsi="黑体" w:eastAsia="黑体" w:cs="黑体"/>
          <w:b/>
          <w:color w:val="000000"/>
          <w:sz w:val="44"/>
        </w:rPr>
        <w:t xml:space="preserve"> 合同文本</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ascii="宋体" w:hAnsi="宋体" w:cs="宋体"/>
          <w:color w:val="000000"/>
          <w:sz w:val="24"/>
          <w:u w:val="single"/>
        </w:rPr>
        <w:t xml:space="preserve">不收取</w:t>
      </w:r>
      <w:r>
        <w:rPr>
          <w:rFonts w:ascii="宋体" w:hAnsi="宋体" w:cs="宋体"/>
          <w:color w:val="000000"/>
          <w:sz w:val="24"/>
        </w:rPr>
        <w:t xml:space="preserve">履约保证金。</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rPr>
          <w:rFonts w:hint="eastAsia" w:ascii="楷体" w:hAnsi="楷体" w:eastAsia="楷体" w:cs="宋体"/>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宋体"/>
          <w:sz w:val="24"/>
          <w:szCs w:val="24"/>
        </w:rPr>
        <w:t xml:space="preserve">满足合同约定支付条件的，自收到发票后10个工作日内支付。物业服务费按季度支付，中标人于每季度结束后下个月的10日前开具发票交予采购人，采购人于每季度结束后下个月内支付上个季度的物业服务费，以上付款需执行物业服务质量考核要求中相关扣款规定。</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     年    月   日</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ascii="黑体" w:hAnsi="黑体" w:eastAsia="黑体" w:cs="黑体"/>
          <w:b/>
          <w:color w:val="000000"/>
          <w:sz w:val="44"/>
        </w:rPr>
      </w:pPr>
      <w:r>
        <w:rPr>
          <w:rFonts w:ascii="黑体" w:hAnsi="黑体" w:eastAsia="黑体" w:cs="黑体"/>
          <w:b/>
          <w:color w:val="000000"/>
          <w:sz w:val="44"/>
        </w:rPr>
        <w:br w:type="page" w:clear="all"/>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spacing w:line="500" w:lineRule="exact"/>
        <w:rPr>
          <w:rFonts w:hint="eastAsia" w:ascii="宋体" w:hAnsi="宋体" w:cs="宋体"/>
          <w:bCs/>
          <w:sz w:val="24"/>
          <w:szCs w:val="24"/>
        </w:rPr>
      </w:pPr>
      <w:r>
        <w:rPr>
          <w:rFonts w:hint="eastAsia" w:ascii="宋体" w:hAnsi="宋体" w:cs="宋体"/>
          <w:bCs/>
          <w:sz w:val="24"/>
          <w:szCs w:val="24"/>
        </w:rPr>
        <w:t xml:space="preserve">1.项目名称：</w:t>
      </w:r>
      <w:r>
        <w:rPr>
          <w:rFonts w:hint="eastAsia" w:ascii="宋体" w:hAnsi="宋体" w:cs="宋体"/>
          <w:sz w:val="24"/>
          <w:szCs w:val="24"/>
        </w:rPr>
        <w:t xml:space="preserve">魏村街道安置房物业服务项目</w:t>
      </w:r>
      <w:r/>
    </w:p>
    <w:p>
      <w:pPr>
        <w:ind w:firstLine="480"/>
        <w:spacing w:line="500" w:lineRule="exact"/>
        <w:rPr>
          <w:rFonts w:hint="eastAsia" w:ascii="宋体" w:hAnsi="宋体" w:cs="宋体"/>
          <w:sz w:val="24"/>
          <w:szCs w:val="24"/>
          <w:u w:val="single"/>
        </w:rPr>
      </w:pPr>
      <w:r>
        <w:rPr>
          <w:rFonts w:hint="eastAsia" w:ascii="宋体" w:hAnsi="宋体" w:cs="宋体"/>
          <w:sz w:val="24"/>
          <w:szCs w:val="24"/>
        </w:rPr>
        <w:t xml:space="preserve">2.预算金额：人民币1655.88万元/24个月。其中分包一安家社区（安家苑一二期、安家苑三期、安欣花苑）：人民币713</w:t>
      </w:r>
      <w:r>
        <w:rPr>
          <w:rFonts w:hint="eastAsia" w:ascii="宋体" w:hAnsi="宋体" w:cs="宋体"/>
          <w:sz w:val="24"/>
          <w:szCs w:val="24"/>
        </w:rPr>
        <w:t xml:space="preserve">.16万元/24个月；分包二（魏村、临江社区）：人民币277.08万元/24个月；分包三（长江社区）：人民币335.16万元/24个月。分包四（新魏花园社区）：人民币330.48万元/24个月；3.本项目最高限价为分包一：人民币1655.88万元/24个月。其中分包一安家社区（安家苑一二期、安家苑三期、安欣花苑）：人民币713.16万元/24个月；分包二（魏村、临江社区）：人民币277.08万元/24个月；分包三（长江社区）：人民币335.16万元/24个月。分包四（新魏花园社区）：人民币330.48万元/</w:t>
      </w:r>
      <w:r>
        <w:rPr>
          <w:rFonts w:hint="eastAsia" w:ascii="宋体" w:hAnsi="宋体" w:cs="宋体"/>
          <w:sz w:val="24"/>
          <w:szCs w:val="24"/>
        </w:rPr>
        <w:t xml:space="preserve">24个月；4.采购项目概况（简介）：本项目拟分四个标段对魏村街道安置房物业服务进行招标采购。物业管理主要包括房屋建筑共用部位、共用设施设备的维修、养护、运行和管理，附属配套建筑和设施的维修、养护和管理，应业主要求进行的室内特约维修服务，公共环境卫生、垃圾的收集、清运，管理好物业管理区域内公共秩序、安全防范、消防通道、规范停车秩序等事项，交通与车辆停放秩序的管理，维持公共秩序，日常管理与服务等。供应商要履行物业费收取和车辆停放服务费收取的工作职责，须为商业用房提供物业服务，并负责向商业用房使用人收取相关费用。</w:t>
      </w:r>
      <w:r/>
    </w:p>
    <w:p>
      <w:pPr>
        <w:spacing w:line="500" w:lineRule="exact"/>
        <w:rPr>
          <w:rFonts w:hint="eastAsia" w:ascii="宋体" w:hAnsi="宋体" w:cs="宋体"/>
          <w:sz w:val="24"/>
          <w:szCs w:val="24"/>
        </w:rPr>
      </w:pPr>
      <w:r>
        <w:rPr>
          <w:rFonts w:hint="eastAsia" w:ascii="宋体" w:hAnsi="宋体" w:cs="宋体"/>
          <w:sz w:val="24"/>
          <w:szCs w:val="24"/>
        </w:rPr>
        <w:t xml:space="preserve">5.合同履行期限：自合同签订之日起至24个月。</w:t>
      </w:r>
      <w:r/>
    </w:p>
    <w:p>
      <w:pPr>
        <w:spacing w:line="500" w:lineRule="exact"/>
        <w:rPr>
          <w:rFonts w:hint="eastAsia" w:ascii="宋体" w:hAnsi="宋体" w:cs="宋体"/>
          <w:sz w:val="24"/>
          <w:szCs w:val="24"/>
        </w:rPr>
      </w:pPr>
      <w:r>
        <w:rPr>
          <w:rFonts w:hint="eastAsia" w:ascii="宋体" w:hAnsi="宋体" w:cs="宋体"/>
          <w:sz w:val="24"/>
          <w:szCs w:val="24"/>
        </w:rPr>
        <w:t xml:space="preserve">6.是/否接受联合体投标：分包一：不接受；分包二：不接受； 分包三：不接受； 分包四：不接受；</w:t>
      </w:r>
      <w:r/>
    </w:p>
    <w:p>
      <w:pPr>
        <w:spacing w:line="500" w:lineRule="exact"/>
        <w:rPr>
          <w:rFonts w:hint="eastAsia" w:ascii="宋体" w:hAnsi="宋体" w:cs="宋体"/>
          <w:bCs/>
          <w:sz w:val="24"/>
          <w:szCs w:val="24"/>
          <w:highlight w:val="yellow"/>
        </w:rPr>
      </w:pPr>
      <w:r>
        <w:rPr>
          <w:rFonts w:hint="eastAsia" w:ascii="宋体" w:hAnsi="宋体" w:cs="宋体"/>
          <w:sz w:val="24"/>
          <w:szCs w:val="24"/>
        </w:rPr>
        <w:t xml:space="preserve">7.是/否接受分支机构参与响应：</w:t>
      </w:r>
      <w:r>
        <w:rPr>
          <w:rFonts w:hint="eastAsia" w:ascii="宋体" w:hAnsi="宋体" w:cs="宋体"/>
          <w:bCs/>
          <w:sz w:val="24"/>
          <w:szCs w:val="24"/>
        </w:rPr>
        <w:t xml:space="preserve">不接受</w:t>
      </w:r>
      <w:r/>
    </w:p>
    <w:p>
      <w:pPr>
        <w:spacing w:line="500" w:lineRule="exact"/>
        <w:rPr>
          <w:rFonts w:hint="eastAsia" w:ascii="宋体" w:hAnsi="宋体" w:cs="宋体"/>
          <w:sz w:val="24"/>
          <w:szCs w:val="24"/>
        </w:rPr>
      </w:pPr>
      <w:r>
        <w:rPr>
          <w:rFonts w:hint="eastAsia" w:ascii="宋体" w:hAnsi="宋体" w:cs="宋体"/>
          <w:sz w:val="24"/>
          <w:szCs w:val="24"/>
        </w:rPr>
        <w:t xml:space="preserve">8.是/否属于政府购买服务：否</w:t>
      </w:r>
      <w:r/>
    </w:p>
    <w:p>
      <w:pPr>
        <w:spacing w:line="500" w:lineRule="exact"/>
        <w:rPr>
          <w:rFonts w:hint="eastAsia" w:ascii="宋体" w:hAnsi="宋体" w:cs="宋体"/>
          <w:sz w:val="24"/>
          <w:szCs w:val="24"/>
        </w:rPr>
      </w:pPr>
      <w:r>
        <w:rPr>
          <w:rFonts w:hint="eastAsia" w:ascii="宋体" w:hAnsi="宋体" w:cs="宋体"/>
          <w:sz w:val="24"/>
          <w:szCs w:val="24"/>
        </w:rPr>
        <w:t xml:space="preserve">9.是/否接受进口产品投标：否</w:t>
      </w:r>
      <w:r/>
    </w:p>
    <w:p>
      <w:pPr>
        <w:spacing w:line="500" w:lineRule="exact"/>
        <w:rPr>
          <w:rFonts w:hint="eastAsia" w:ascii="宋体" w:hAnsi="宋体" w:cs="宋体"/>
          <w:sz w:val="24"/>
          <w:szCs w:val="24"/>
        </w:rPr>
      </w:pPr>
      <w:r>
        <w:rPr>
          <w:rFonts w:hint="eastAsia" w:ascii="宋体" w:hAnsi="宋体" w:cs="宋体"/>
          <w:sz w:val="24"/>
          <w:szCs w:val="24"/>
        </w:rPr>
        <w:t xml:space="preserve">10. 是/否专门面向中小企业预留采购份额：是</w:t>
      </w:r>
      <w:r/>
    </w:p>
    <w:p>
      <w:pPr>
        <w:spacing w:line="500" w:lineRule="exact"/>
        <w:rPr>
          <w:rFonts w:hint="eastAsia" w:ascii="宋体" w:hAnsi="宋体" w:cs="宋体"/>
          <w:bCs/>
          <w:sz w:val="24"/>
          <w:szCs w:val="24"/>
        </w:rPr>
      </w:pPr>
      <w:r>
        <w:rPr>
          <w:rFonts w:hint="eastAsia" w:ascii="宋体" w:hAnsi="宋体" w:cs="宋体"/>
          <w:sz w:val="24"/>
          <w:szCs w:val="24"/>
        </w:rPr>
        <w:t xml:space="preserve">11.本项目的特定资格要求：</w:t>
      </w:r>
      <w:r>
        <w:rPr>
          <w:rFonts w:hint="eastAsia" w:ascii="宋体" w:hAnsi="宋体" w:cs="宋体"/>
          <w:bCs/>
          <w:sz w:val="24"/>
          <w:szCs w:val="24"/>
        </w:rPr>
        <w:t xml:space="preserve">无</w:t>
      </w:r>
      <w:r/>
    </w:p>
    <w:p>
      <w:pPr>
        <w:spacing w:after="0" w:line="5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12.项目类别：</w:t>
      </w:r>
      <w:r>
        <w:rPr>
          <w:rFonts w:hint="eastAsia" w:ascii="宋体" w:hAnsi="宋体" w:cs="宋体"/>
          <w:bCs/>
          <w:sz w:val="24"/>
          <w:szCs w:val="24"/>
          <w:highlight w:val="yellow"/>
        </w:rPr>
        <w:t xml:space="preserve">服务类</w:t>
      </w:r>
      <w:r/>
    </w:p>
    <w:p>
      <w:pPr>
        <w:spacing w:after="0" w:line="5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pStyle w:val="1005"/>
        <w:numPr>
          <w:ilvl w:val="0"/>
          <w:numId w:val="5"/>
        </w:numPr>
        <w:contextualSpacing w:val="0"/>
        <w:jc w:val="both"/>
        <w:spacing w:line="500" w:lineRule="exact"/>
        <w:widowControl w:val="off"/>
        <w:rPr>
          <w:rFonts w:hint="eastAsia" w:ascii="宋体" w:hAnsi="宋体" w:cs="宋体"/>
          <w:b/>
        </w:rPr>
      </w:pPr>
      <w:r>
        <w:rPr>
          <w:rFonts w:hint="eastAsia" w:ascii="宋体" w:hAnsi="宋体" w:cs="宋体"/>
          <w:b/>
          <w:lang w:eastAsia="zh-CN"/>
        </w:rPr>
        <w:t xml:space="preserve">商务要求</w:t>
      </w:r>
      <w:r/>
    </w:p>
    <w:p>
      <w:pPr>
        <w:spacing w:line="500" w:lineRule="exact"/>
        <w:rPr>
          <w:rFonts w:hint="eastAsia" w:ascii="宋体" w:hAnsi="宋体" w:cs="宋体"/>
          <w:i/>
          <w:sz w:val="24"/>
          <w:szCs w:val="24"/>
        </w:rPr>
      </w:pPr>
      <w:r>
        <w:rPr>
          <w:rFonts w:hint="eastAsia" w:ascii="宋体" w:hAnsi="宋体" w:cs="宋体"/>
          <w:sz w:val="24"/>
          <w:szCs w:val="24"/>
        </w:rPr>
        <w:t xml:space="preserve">1. 交付（实施）的时间（期限）和地点（范围）</w:t>
      </w:r>
      <w:r/>
    </w:p>
    <w:p>
      <w:pPr>
        <w:spacing w:line="500" w:lineRule="exact"/>
        <w:rPr>
          <w:rFonts w:hint="eastAsia" w:ascii="宋体" w:hAnsi="宋体" w:cs="宋体"/>
          <w:sz w:val="24"/>
          <w:szCs w:val="24"/>
        </w:rPr>
      </w:pPr>
      <w:r>
        <w:rPr>
          <w:rFonts w:hint="eastAsia" w:ascii="宋体" w:hAnsi="宋体" w:cs="宋体"/>
          <w:sz w:val="24"/>
          <w:szCs w:val="24"/>
        </w:rPr>
        <w:t xml:space="preserve">服务期限：自合同签订之日起至24个月。</w:t>
      </w:r>
      <w:r/>
    </w:p>
    <w:p>
      <w:pPr>
        <w:spacing w:line="500" w:lineRule="exact"/>
        <w:rPr>
          <w:rFonts w:hint="eastAsia" w:ascii="宋体" w:hAnsi="宋体" w:cs="宋体"/>
          <w:sz w:val="24"/>
          <w:szCs w:val="24"/>
        </w:rPr>
      </w:pPr>
      <w:r>
        <w:rPr>
          <w:rFonts w:hint="eastAsia" w:ascii="宋体" w:hAnsi="宋体" w:cs="宋体"/>
          <w:sz w:val="24"/>
          <w:szCs w:val="24"/>
        </w:rPr>
        <w:t xml:space="preserve">（1）24个月，合同一年一签，以招标人通知服务单位进场时间为准。</w:t>
      </w:r>
      <w:r/>
    </w:p>
    <w:p>
      <w:pPr>
        <w:spacing w:line="500" w:lineRule="exact"/>
        <w:rPr>
          <w:rFonts w:hint="eastAsia" w:ascii="宋体" w:hAnsi="宋体" w:cs="宋体"/>
          <w:sz w:val="24"/>
          <w:szCs w:val="24"/>
        </w:rPr>
      </w:pPr>
      <w:r>
        <w:rPr>
          <w:rFonts w:hint="eastAsia" w:ascii="宋体" w:hAnsi="宋体" w:cs="宋体"/>
          <w:sz w:val="24"/>
          <w:szCs w:val="24"/>
        </w:rPr>
        <w:t xml:space="preserve">（2）第一期合同内，前三个月为试用期，试用期满经考核月度平均得分90分及以上，合同方继续生效。三个月试用期内物业服务公司服务工作无法满足招标人要求的，招标人有权随时单方面解除合同且不承担违约责任。</w:t>
      </w:r>
      <w:r/>
    </w:p>
    <w:p>
      <w:pPr>
        <w:spacing w:line="500" w:lineRule="exact"/>
        <w:rPr>
          <w:rFonts w:hint="eastAsia" w:ascii="宋体" w:hAnsi="宋体" w:cs="宋体"/>
          <w:sz w:val="24"/>
          <w:szCs w:val="24"/>
        </w:rPr>
      </w:pPr>
      <w:r>
        <w:rPr>
          <w:rFonts w:hint="eastAsia" w:ascii="宋体" w:hAnsi="宋体" w:cs="宋体"/>
          <w:sz w:val="24"/>
          <w:szCs w:val="24"/>
        </w:rPr>
        <w:t xml:space="preserve">（3）合同一年签订一次，合同期满后招标人有权根据考核结果决定是否与物业服务公司续签下一年合同，有一个或一个以上小区年度考核平均分低于80分（不含）以下的直接终止合同。</w:t>
      </w:r>
      <w:r/>
    </w:p>
    <w:p>
      <w:pPr>
        <w:spacing w:line="500" w:lineRule="exact"/>
        <w:rPr>
          <w:rFonts w:hint="eastAsia" w:ascii="宋体" w:hAnsi="宋体" w:cs="宋体"/>
          <w:sz w:val="24"/>
          <w:szCs w:val="24"/>
        </w:rPr>
      </w:pPr>
      <w:r>
        <w:rPr>
          <w:rFonts w:hint="eastAsia" w:ascii="宋体" w:hAnsi="宋体" w:cs="宋体"/>
          <w:sz w:val="24"/>
          <w:szCs w:val="24"/>
        </w:rPr>
        <w:t xml:space="preserve">实施地点：常州市新北区魏村街道办事处</w:t>
      </w:r>
      <w:r/>
    </w:p>
    <w:p>
      <w:pPr>
        <w:spacing w:line="500" w:lineRule="exact"/>
        <w:rPr>
          <w:rFonts w:hint="eastAsia" w:ascii="宋体" w:hAnsi="宋体" w:cs="宋体"/>
          <w:sz w:val="24"/>
          <w:szCs w:val="24"/>
        </w:rPr>
      </w:pPr>
      <w:r>
        <w:rPr>
          <w:rFonts w:hint="eastAsia" w:ascii="宋体" w:hAnsi="宋体" w:cs="宋体"/>
          <w:sz w:val="24"/>
          <w:szCs w:val="24"/>
        </w:rPr>
        <w:t xml:space="preserve">2. 付款条件（进度和方式）</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付款方式：</w:t>
      </w:r>
      <w:r>
        <w:rPr>
          <w:rFonts w:hint="eastAsia" w:ascii="楷体" w:hAnsi="楷体" w:eastAsia="楷体" w:cs="宋体"/>
          <w:sz w:val="24"/>
          <w:szCs w:val="24"/>
        </w:rPr>
        <w:t xml:space="preserve">满足合同约定支付条件的，自收到发票后10个工作日内支付。物业服务费按季度支付，中标人于每季度结束后下个月的10日前开具发票交予采购人，采购人于每季度结束后下个月内支付上个季度的物业服务费，以上付款需执行物业服务质量考核要求中相关扣款规定。</w:t>
      </w:r>
      <w:r/>
    </w:p>
    <w:p>
      <w:pPr>
        <w:rPr>
          <w:sz w:val="24"/>
        </w:rPr>
      </w:pPr>
      <w:r>
        <w:rPr>
          <w:sz w:val="24"/>
        </w:rPr>
      </w:r>
      <w:r/>
    </w:p>
    <w:p>
      <w:pPr>
        <w:rPr>
          <w:sz w:val="24"/>
        </w:rPr>
      </w:pPr>
      <w:r>
        <w:rPr>
          <w:sz w:val="24"/>
        </w:rPr>
        <w:t xml:space="preserve">3. 包装和运输</w:t>
      </w:r>
      <w:r/>
    </w:p>
    <w:p>
      <w:pPr>
        <w:rPr>
          <w:sz w:val="24"/>
        </w:rPr>
      </w:pPr>
      <w:r>
        <w:rPr>
          <w:rFonts w:hint="eastAsia"/>
          <w:sz w:val="24"/>
        </w:rPr>
        <w:t xml:space="preserve">无</w:t>
      </w:r>
      <w:r/>
    </w:p>
    <w:p>
      <w:pPr>
        <w:rPr>
          <w:sz w:val="24"/>
        </w:rPr>
      </w:pPr>
      <w:r>
        <w:rPr>
          <w:sz w:val="24"/>
        </w:rPr>
        <w:t xml:space="preserve">4. 售后服务（质保期</w:t>
      </w:r>
      <w:r>
        <w:rPr>
          <w:rFonts w:hint="eastAsia"/>
          <w:sz w:val="24"/>
        </w:rPr>
        <w:t xml:space="preserve">等</w:t>
      </w:r>
      <w:r>
        <w:rPr>
          <w:sz w:val="24"/>
        </w:rPr>
        <w:t xml:space="preserve">）</w:t>
      </w:r>
      <w:r/>
    </w:p>
    <w:p>
      <w:pPr>
        <w:rPr>
          <w:sz w:val="24"/>
        </w:rPr>
      </w:pPr>
      <w:r>
        <w:rPr>
          <w:rFonts w:hint="eastAsia"/>
          <w:sz w:val="24"/>
        </w:rPr>
        <w:t xml:space="preserve">无</w:t>
      </w:r>
      <w:r/>
    </w:p>
    <w:p>
      <w:pPr>
        <w:rPr>
          <w:sz w:val="24"/>
        </w:rPr>
      </w:pPr>
      <w:r>
        <w:rPr>
          <w:sz w:val="24"/>
        </w:rPr>
        <w:t xml:space="preserve">5. 保险</w:t>
      </w:r>
      <w:r/>
    </w:p>
    <w:p>
      <w:pPr>
        <w:rPr>
          <w:b/>
          <w:i/>
          <w:sz w:val="24"/>
        </w:rPr>
      </w:pPr>
      <w:r>
        <w:rPr>
          <w:sz w:val="24"/>
        </w:rPr>
        <w:t xml:space="preserve">（如适用</w:t>
      </w:r>
      <w:r>
        <w:rPr>
          <w:rFonts w:hint="eastAsia"/>
          <w:sz w:val="24"/>
        </w:rPr>
        <w:t xml:space="preserve">，不需要的填：无</w:t>
      </w:r>
      <w:r>
        <w:rPr>
          <w:sz w:val="24"/>
        </w:rPr>
        <w:t xml:space="preserve">）</w:t>
      </w:r>
      <w:r/>
    </w:p>
    <w:p>
      <w:pPr>
        <w:rPr>
          <w:b/>
          <w:i/>
          <w:sz w:val="24"/>
        </w:rPr>
      </w:pPr>
      <w:r>
        <w:rPr>
          <w:rFonts w:hint="eastAsia"/>
          <w:b/>
          <w:i/>
          <w:sz w:val="24"/>
        </w:rPr>
        <w:t xml:space="preserve">无</w:t>
      </w:r>
      <w:r/>
    </w:p>
    <w:p>
      <w:pPr>
        <w:pStyle w:val="1005"/>
        <w:numPr>
          <w:ilvl w:val="0"/>
          <w:numId w:val="5"/>
        </w:numPr>
        <w:contextualSpacing w:val="0"/>
        <w:jc w:val="both"/>
        <w:widowControl w:val="off"/>
        <w:rPr>
          <w:rFonts w:ascii="Times New Roman" w:hAnsi="Times New Roman"/>
          <w:b/>
        </w:rPr>
      </w:pPr>
      <w:r>
        <w:rPr>
          <w:rFonts w:ascii="Times New Roman" w:hAnsi="Times New Roman"/>
          <w:b/>
        </w:rPr>
        <w:t xml:space="preserve">技术要求</w:t>
      </w:r>
      <w:r/>
    </w:p>
    <w:p>
      <w:pPr>
        <w:ind w:firstLine="480"/>
        <w:rPr>
          <w:sz w:val="24"/>
          <w:highlight w:val="yellow"/>
        </w:rPr>
      </w:pPr>
      <w:r>
        <w:rPr>
          <w:rFonts w:hint="eastAsia"/>
          <w:sz w:val="24"/>
          <w:highlight w:val="yellow"/>
        </w:rPr>
        <w:t xml:space="preserve">01包（安家苑一二期、安家苑三期、安欣花苑）：</w:t>
      </w:r>
      <w:r/>
    </w:p>
    <w:p>
      <w:pPr>
        <w:ind w:firstLine="480"/>
        <w:spacing w:line="360" w:lineRule="auto"/>
        <w:rPr>
          <w:rFonts w:hint="eastAsia" w:ascii="宋体" w:hAnsi="宋体"/>
          <w:sz w:val="24"/>
          <w:szCs w:val="22"/>
        </w:rPr>
      </w:pPr>
      <w:r>
        <w:rPr>
          <w:rFonts w:hint="eastAsia" w:ascii="宋体" w:hAnsi="宋体"/>
          <w:sz w:val="24"/>
          <w:szCs w:val="24"/>
        </w:rPr>
        <w:t xml:space="preserve">本次采购内容包括安家苑三期、安欣花苑保安、保洁、绿化养护、单次500元以内（以审计结果为准）公共设施维修等；安家苑一期二期小区总建筑面积177800㎡，共34幢，1861户，商铺6幢，共5个出入口；安家苑三期小区总用地面积13.19公顷，总建筑面积363172.25㎡，住宅为288249.52㎡，共24幢，2622户；商铺建筑面积5909.57㎡，共4个出入口；安欣花苑小区占地面积 1.77万平方米，总建筑面积 53300㎡，共3幢，336户，共1个出入口。</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w:t>
      </w:r>
      <w:r>
        <w:rPr>
          <w:rFonts w:hint="eastAsia" w:ascii="宋体" w:hAnsi="宋体"/>
          <w:sz w:val="24"/>
          <w:lang w:val="zh-CN"/>
        </w:rPr>
        <w:t xml:space="preserve">房屋建筑公用部位的维修、养护和管理，包括：楼盖、屋顶、外墙面、 承重结构、楼梯间、走廊通道、门厅等。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1.2</w:t>
      </w:r>
      <w:r>
        <w:rPr>
          <w:rFonts w:hint="eastAsia" w:ascii="宋体" w:hAnsi="宋体"/>
          <w:sz w:val="24"/>
          <w:lang w:val="zh-CN"/>
        </w:rPr>
        <w:t xml:space="preserve">共用设施、设备的维修、养护、运行和管理，包括：共用的上下水管道、落水管、垃圾道、烟囱、共用照明、天线、楼内消防设施设备等。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1.3</w:t>
      </w:r>
      <w:r>
        <w:rPr>
          <w:rFonts w:hint="eastAsia" w:ascii="宋体" w:hAnsi="宋体"/>
          <w:sz w:val="24"/>
          <w:lang w:val="zh-CN"/>
        </w:rPr>
        <w:t xml:space="preserve">市政共用设施和附属物、构筑物的维修、养护和管理，包括道路、室外上下水管道、化粪池、沟渠、池、井、自行车棚、停车场等。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1.4</w:t>
      </w:r>
      <w:r>
        <w:rPr>
          <w:rFonts w:hint="eastAsia" w:ascii="宋体" w:hAnsi="宋体"/>
          <w:sz w:val="24"/>
          <w:lang w:val="zh-CN"/>
        </w:rPr>
        <w:t xml:space="preserve">公用绿地、花木、建筑小品等的养护与管理。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1.5</w:t>
      </w:r>
      <w:r>
        <w:rPr>
          <w:rFonts w:hint="eastAsia" w:ascii="宋体" w:hAnsi="宋体"/>
          <w:sz w:val="24"/>
          <w:lang w:val="zh-CN"/>
        </w:rPr>
        <w:t xml:space="preserve">附属配套建筑和设施的维修、养护和管理，包括商业网点、文化体育娱乐场所等。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公共环境卫生，包括公共场所、房屋共用部分的清洁卫生、垃圾的收集、清运等。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交通与车辆停放秩序的管理。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装修秩序管理，202</w:t>
      </w:r>
      <w:r>
        <w:rPr>
          <w:rFonts w:hint="eastAsia" w:ascii="宋体" w:hAnsi="宋体"/>
          <w:sz w:val="24"/>
        </w:rPr>
        <w:t xml:space="preserve">6</w:t>
      </w:r>
      <w:r>
        <w:rPr>
          <w:rFonts w:hint="eastAsia" w:ascii="宋体" w:hAnsi="宋体"/>
          <w:sz w:val="24"/>
          <w:lang w:val="zh-CN"/>
        </w:rPr>
        <w:t xml:space="preserve">年1月1日起建筑垃圾清运费用由中标供应商承担。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维持公共秩序，包括安全监控、巡视、门岗执勤、小区巡逻等。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1.10</w:t>
      </w:r>
      <w:r>
        <w:rPr>
          <w:rFonts w:hint="eastAsia" w:ascii="宋体" w:hAnsi="宋体"/>
          <w:sz w:val="24"/>
          <w:lang w:val="zh-CN"/>
        </w:rPr>
        <w:t xml:space="preserve">日常管理与服务：包括业主或使用人的保修、投诉受理，小区文化活动的开展，告知业主或使用人装修应注意的事项，与物业相关的工程图纸、业主档案与竣工验收资料的保管等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1.11</w:t>
      </w:r>
      <w:r>
        <w:rPr>
          <w:rFonts w:hint="eastAsia" w:ascii="宋体" w:hAnsi="宋体"/>
          <w:sz w:val="24"/>
          <w:lang w:val="zh-CN"/>
        </w:rPr>
        <w:t xml:space="preserve">对业主和物业使用人违反业主公约的行为，针对具体行为并根据情节轻重，采取批评、规劝、警告、制止等措施。</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1.12</w:t>
      </w:r>
      <w:r>
        <w:rPr>
          <w:rFonts w:hint="eastAsia" w:ascii="宋体" w:hAnsi="宋体"/>
          <w:sz w:val="24"/>
          <w:lang w:val="zh-CN"/>
        </w:rPr>
        <w:t xml:space="preserve">中标供应商要履行安置户房产交易变更后的物业费收取和车辆停放服务费收取的工作职责，须为商业用房提供物业服务，并负责向商业用房使用人收取相关费用。</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1.13</w:t>
      </w:r>
      <w:r>
        <w:rPr>
          <w:rFonts w:hint="eastAsia" w:ascii="宋体" w:hAnsi="宋体"/>
          <w:sz w:val="24"/>
          <w:lang w:val="zh-CN"/>
        </w:rPr>
        <w:t xml:space="preserve">单次500元以上（以审计结果为准）公共设施维修费用由社区承担，500元以下由中标供应商承担。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1.14</w:t>
      </w:r>
      <w:r>
        <w:rPr>
          <w:rFonts w:hint="eastAsia" w:ascii="宋体" w:hAnsi="宋体"/>
          <w:sz w:val="24"/>
          <w:lang w:val="zh-CN"/>
        </w:rPr>
        <w:t xml:space="preserve">业主和物业使用人房屋自用部分，自用设施及设备的维修、养护，在当事人提出委托时，乙方应接受委托与当事人商定合理收费。</w:t>
      </w:r>
      <w:r/>
    </w:p>
    <w:p>
      <w:pPr>
        <w:ind w:firstLine="480"/>
        <w:jc w:val="left"/>
        <w:spacing w:line="360" w:lineRule="auto"/>
        <w:widowControl/>
      </w:pPr>
      <w:r>
        <w:rPr>
          <w:rFonts w:hint="eastAsia" w:ascii="宋体" w:hAnsi="宋体"/>
          <w:sz w:val="24"/>
        </w:rPr>
        <w:t xml:space="preserve">1.15</w:t>
      </w:r>
      <w:r>
        <w:rPr>
          <w:rFonts w:hint="eastAsia" w:ascii="宋体" w:hAnsi="宋体"/>
          <w:sz w:val="24"/>
          <w:lang w:val="zh-CN"/>
        </w:rPr>
        <w:t xml:space="preserve">其他委托事项：另行协商。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2、小区基本情况：</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安家苑一期、二期、安家苑三期、安欣花苑4个小区总建筑面积594272.25平方米。具体以现场实际存在为准。</w:t>
      </w:r>
      <w:r/>
    </w:p>
    <w:tbl>
      <w:tblPr>
        <w:tblStyle w:val="70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7"/>
        <w:gridCol w:w="1212"/>
        <w:gridCol w:w="1648"/>
        <w:gridCol w:w="2057"/>
        <w:gridCol w:w="1771"/>
      </w:tblGrid>
      <w:tr>
        <w:trPr>
          <w:cantSplit/>
          <w:jc w:val="center"/>
          <w:trHeight w:val="170"/>
        </w:trPr>
        <w:tc>
          <w:tcPr>
            <w:tcW w:w="2477" w:type="dxa"/>
            <w:vAlign w:val="center"/>
            <w:vMerge w:val="restar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居住宅区总户数</w:t>
            </w:r>
            <w:r/>
          </w:p>
        </w:tc>
        <w:tc>
          <w:tcPr>
            <w:gridSpan w:val="2"/>
            <w:tcW w:w="2860" w:type="dxa"/>
            <w:vAlign w:val="center"/>
            <w:vMerge w:val="restar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4819户</w:t>
            </w:r>
            <w:r/>
          </w:p>
        </w:tc>
        <w:tc>
          <w:tcPr>
            <w:tcW w:w="205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楼幢数量</w:t>
            </w:r>
            <w:r/>
          </w:p>
        </w:tc>
        <w:tc>
          <w:tcPr>
            <w:tcW w:w="177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61幢</w:t>
            </w:r>
            <w:r/>
          </w:p>
        </w:tc>
      </w:tr>
      <w:tr>
        <w:trPr>
          <w:cantSplit/>
          <w:jc w:val="center"/>
          <w:trHeight w:val="170"/>
        </w:trPr>
        <w:tc>
          <w:tcPr>
            <w:tcW w:w="2477"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gridSpan w:val="2"/>
            <w:tcW w:w="2860"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05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小区电梯台数</w:t>
            </w:r>
            <w:r/>
          </w:p>
        </w:tc>
        <w:tc>
          <w:tcPr>
            <w:tcW w:w="177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133台</w:t>
            </w:r>
            <w:r/>
          </w:p>
        </w:tc>
      </w:tr>
      <w:tr>
        <w:trPr>
          <w:jc w:val="center"/>
          <w:trHeight w:val="170"/>
        </w:trPr>
        <w:tc>
          <w:tcPr>
            <w:gridSpan w:val="2"/>
            <w:tcW w:w="368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非机动车车棚</w:t>
            </w:r>
            <w:r/>
          </w:p>
        </w:tc>
        <w:tc>
          <w:tcPr>
            <w:tcW w:w="164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37</w:t>
            </w:r>
            <w:r>
              <w:rPr>
                <w:rFonts w:ascii="宋体" w:hAnsi="宋体" w:cs="宋体"/>
                <w:sz w:val="24"/>
                <w:szCs w:val="24"/>
              </w:rPr>
              <w:t xml:space="preserve">个</w:t>
            </w:r>
            <w:r/>
          </w:p>
        </w:tc>
        <w:tc>
          <w:tcPr>
            <w:tcW w:w="205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机动车停车位</w:t>
            </w:r>
            <w:r/>
          </w:p>
        </w:tc>
        <w:tc>
          <w:tcPr>
            <w:tcW w:w="177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3121</w:t>
            </w:r>
            <w:r>
              <w:rPr>
                <w:rFonts w:ascii="宋体" w:hAnsi="宋体" w:cs="宋体"/>
                <w:sz w:val="24"/>
                <w:szCs w:val="24"/>
              </w:rPr>
              <w:t xml:space="preserve">个</w:t>
            </w:r>
            <w:r/>
          </w:p>
        </w:tc>
      </w:tr>
      <w:tr>
        <w:trPr>
          <w:jc w:val="center"/>
          <w:trHeight w:val="170"/>
        </w:trPr>
        <w:tc>
          <w:tcPr>
            <w:gridSpan w:val="2"/>
            <w:tcW w:w="368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小区绿地面积(平方)</w:t>
            </w:r>
            <w:r/>
          </w:p>
        </w:tc>
        <w:tc>
          <w:tcPr>
            <w:gridSpan w:val="3"/>
            <w:tcW w:w="547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130873平方米</w:t>
            </w:r>
            <w:r/>
          </w:p>
        </w:tc>
      </w:tr>
      <w:tr>
        <w:trPr>
          <w:jc w:val="center"/>
          <w:trHeight w:val="170"/>
        </w:trPr>
        <w:tc>
          <w:tcPr>
            <w:gridSpan w:val="5"/>
            <w:tcW w:w="916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4个小区共计61幢，小区出入口共计10个。</w:t>
            </w:r>
            <w:r/>
          </w:p>
        </w:tc>
      </w:tr>
    </w:tbl>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3、其他说明</w:t>
      </w:r>
      <w:r/>
    </w:p>
    <w:p>
      <w:pPr>
        <w:ind w:firstLine="480"/>
        <w:spacing w:line="360" w:lineRule="auto"/>
        <w:rPr>
          <w:rFonts w:hint="eastAsia" w:ascii="宋体" w:hAnsi="宋体" w:cs="宋体"/>
          <w:sz w:val="24"/>
          <w:szCs w:val="24"/>
        </w:rPr>
      </w:pPr>
      <w:r>
        <w:rPr>
          <w:rFonts w:hint="eastAsia" w:ascii="宋体" w:hAnsi="宋体" w:cs="宋体"/>
          <w:color w:val="ff0000"/>
          <w:sz w:val="24"/>
          <w:szCs w:val="24"/>
        </w:rPr>
        <w:t xml:space="preserve">本项目报价包含所有小区住户及配套商业部分物业服务费，投标人不得另行收取，</w:t>
      </w:r>
      <w:r>
        <w:rPr>
          <w:rFonts w:hint="eastAsia" w:ascii="宋体" w:hAnsi="宋体" w:cs="宋体"/>
          <w:sz w:val="24"/>
          <w:szCs w:val="24"/>
        </w:rPr>
        <w:t xml:space="preserve">具体以甲方书面通知为准。</w:t>
      </w:r>
      <w:r/>
    </w:p>
    <w:p>
      <w:pPr>
        <w:pStyle w:val="692"/>
        <w:jc w:val="left"/>
        <w:spacing w:before="0" w:after="0" w:line="440" w:lineRule="exact"/>
        <w:tabs>
          <w:tab w:val="left" w:pos="1380" w:leader="none"/>
        </w:tabs>
        <w:rPr>
          <w:rFonts w:hint="eastAsia" w:ascii="宋体" w:hAnsi="宋体" w:eastAsia="宋体" w:cs="宋体"/>
          <w:sz w:val="24"/>
          <w:szCs w:val="24"/>
          <w:highlight w:val="red"/>
        </w:rPr>
      </w:pPr>
      <w:r>
        <w:rPr>
          <w:rFonts w:hint="eastAsia" w:ascii="宋体" w:hAnsi="宋体" w:eastAsia="宋体" w:cs="宋体"/>
          <w:sz w:val="24"/>
          <w:szCs w:val="24"/>
          <w:highlight w:val="red"/>
        </w:rPr>
        <w:t xml:space="preserve">4.人员要求</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为了保证服务质量，人员配备必须遵守《劳动法》等相规定，避免引起劳动纠纷，本项目配备人员清单如下：</w:t>
      </w:r>
      <w:r/>
    </w:p>
    <w:tbl>
      <w:tblPr>
        <w:tblStyle w:val="70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391"/>
        <w:gridCol w:w="2130"/>
        <w:gridCol w:w="5052"/>
      </w:tblGrid>
      <w:tr>
        <w:trPr>
          <w:cantSplit/>
          <w:jc w:val="center"/>
          <w:trHeight w:val="369"/>
        </w:trPr>
        <w:tc>
          <w:tcPr>
            <w:gridSpan w:val="2"/>
            <w:tcW w:w="1983"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岗位设置</w:t>
            </w:r>
            <w:r/>
          </w:p>
        </w:tc>
        <w:tc>
          <w:tcPr>
            <w:tcW w:w="2130"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highlight w:val="yellow"/>
              </w:rPr>
              <w:t xml:space="preserve">人数（不少于）</w:t>
            </w:r>
            <w:r/>
          </w:p>
        </w:tc>
        <w:tc>
          <w:tcPr>
            <w:tcW w:w="5052"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要求</w:t>
            </w:r>
            <w:r/>
          </w:p>
        </w:tc>
      </w:tr>
      <w:tr>
        <w:trPr>
          <w:jc w:val="center"/>
          <w:trHeight w:val="369"/>
        </w:trPr>
        <w:tc>
          <w:tcPr>
            <w:gridSpan w:val="2"/>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项目经理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45周岁（含）以下）。</w:t>
            </w:r>
            <w:r/>
          </w:p>
        </w:tc>
      </w:tr>
      <w:tr>
        <w:trPr>
          <w:jc w:val="center"/>
          <w:trHeight w:val="369"/>
        </w:trPr>
        <w:tc>
          <w:tcPr>
            <w:gridSpan w:val="2"/>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保安主管（兼安全员）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45周岁（含）以下）。</w:t>
            </w:r>
            <w:r/>
          </w:p>
        </w:tc>
      </w:tr>
      <w:tr>
        <w:trPr>
          <w:jc w:val="center"/>
          <w:trHeight w:val="369"/>
        </w:trPr>
        <w:tc>
          <w:tcPr>
            <w:gridSpan w:val="2"/>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绿化主管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45周岁（含）以下）。</w:t>
            </w:r>
            <w:r/>
          </w:p>
        </w:tc>
      </w:tr>
      <w:tr>
        <w:trPr>
          <w:jc w:val="center"/>
          <w:trHeight w:val="369"/>
        </w:trPr>
        <w:tc>
          <w:tcPr>
            <w:gridSpan w:val="2"/>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维修主管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45周岁（含）以下）。</w:t>
            </w:r>
            <w:r/>
          </w:p>
        </w:tc>
      </w:tr>
      <w:tr>
        <w:trPr>
          <w:jc w:val="center"/>
          <w:trHeight w:val="369"/>
        </w:trPr>
        <w:tc>
          <w:tcPr>
            <w:tcW w:w="592" w:type="dxa"/>
            <w:vAlign w:val="center"/>
            <w:vMerge w:val="restart"/>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其他人员</w:t>
            </w:r>
            <w:r/>
          </w:p>
        </w:tc>
        <w:tc>
          <w:tcPr>
            <w:tcW w:w="1391"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客服内勤</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女50周岁（含）以下，男60周（含）岁以下</w:t>
            </w:r>
            <w:r>
              <w:rPr>
                <w:rFonts w:hint="eastAsia" w:ascii="宋体" w:hAnsi="宋体" w:cs="宋体"/>
                <w:bCs/>
                <w:sz w:val="24"/>
                <w:szCs w:val="24"/>
                <w:highlight w:val="yellow"/>
              </w:rPr>
              <w:t xml:space="preserve">）。</w:t>
            </w:r>
            <w:r/>
          </w:p>
        </w:tc>
      </w:tr>
      <w:tr>
        <w:trPr>
          <w:jc w:val="center"/>
          <w:trHeight w:val="369"/>
        </w:trPr>
        <w:tc>
          <w:tcPr>
            <w:tcW w:w="592" w:type="dxa"/>
            <w:vAlign w:val="center"/>
            <w:vMerge w:val="continue"/>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tc>
        <w:tc>
          <w:tcPr>
            <w:tcW w:w="1391"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财会人员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女50周岁（含）以下，男60周（含）岁以下</w:t>
            </w:r>
            <w:r>
              <w:rPr>
                <w:rFonts w:hint="eastAsia" w:ascii="宋体" w:hAnsi="宋体" w:cs="宋体"/>
                <w:bCs/>
                <w:sz w:val="24"/>
                <w:szCs w:val="24"/>
                <w:highlight w:val="yellow"/>
              </w:rPr>
              <w:t xml:space="preserve">）。</w:t>
            </w:r>
            <w:r/>
          </w:p>
        </w:tc>
      </w:tr>
      <w:tr>
        <w:trPr>
          <w:jc w:val="center"/>
          <w:trHeight w:val="369"/>
        </w:trPr>
        <w:tc>
          <w:tcPr>
            <w:tcW w:w="592" w:type="dxa"/>
            <w:vAlign w:val="center"/>
            <w:vMerge w:val="continue"/>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r>
            <w:r/>
          </w:p>
        </w:tc>
        <w:tc>
          <w:tcPr>
            <w:tcW w:w="1391"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维修人员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男60周岁（含）以下</w:t>
            </w:r>
            <w:r>
              <w:rPr>
                <w:rFonts w:hint="eastAsia" w:ascii="宋体" w:hAnsi="宋体" w:cs="宋体"/>
                <w:bCs/>
                <w:sz w:val="24"/>
                <w:szCs w:val="24"/>
                <w:highlight w:val="yellow"/>
              </w:rPr>
              <w:t xml:space="preserve">）。</w:t>
            </w:r>
            <w:r/>
          </w:p>
        </w:tc>
      </w:tr>
      <w:tr>
        <w:trPr>
          <w:jc w:val="center"/>
          <w:trHeight w:val="369"/>
        </w:trPr>
        <w:tc>
          <w:tcPr>
            <w:tcW w:w="592" w:type="dxa"/>
            <w:vAlign w:val="center"/>
            <w:vMerge w:val="continue"/>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r>
            <w:r/>
          </w:p>
        </w:tc>
        <w:tc>
          <w:tcPr>
            <w:tcW w:w="1391"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消控人员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6</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sz w:val="24"/>
                <w:szCs w:val="24"/>
                <w:highlight w:val="yellow"/>
              </w:rPr>
            </w:pPr>
            <w:r>
              <w:rPr>
                <w:rFonts w:hint="eastAsia" w:ascii="宋体" w:hAnsi="宋体" w:cs="宋体"/>
                <w:bCs/>
                <w:sz w:val="24"/>
                <w:szCs w:val="24"/>
                <w:highlight w:val="yellow"/>
              </w:rPr>
              <w:t xml:space="preserve">品德良好，须具有中级消控证持证上岗（</w:t>
            </w:r>
            <w:r>
              <w:rPr>
                <w:rFonts w:hint="eastAsia" w:ascii="宋体" w:hAnsi="宋体" w:cs="宋体"/>
                <w:b/>
                <w:sz w:val="24"/>
                <w:szCs w:val="24"/>
                <w:highlight w:val="yellow"/>
              </w:rPr>
              <w:t xml:space="preserve">女50周岁（含）以下，男60周岁（含）以下</w:t>
            </w:r>
            <w:r>
              <w:rPr>
                <w:rFonts w:hint="eastAsia" w:ascii="宋体" w:hAnsi="宋体" w:cs="宋体"/>
                <w:bCs/>
                <w:sz w:val="24"/>
                <w:szCs w:val="24"/>
                <w:highlight w:val="yellow"/>
              </w:rPr>
              <w:t xml:space="preserve">）。</w:t>
            </w:r>
            <w:r/>
          </w:p>
        </w:tc>
      </w:tr>
      <w:tr>
        <w:trPr>
          <w:jc w:val="center"/>
          <w:trHeight w:val="600"/>
        </w:trPr>
        <w:tc>
          <w:tcPr>
            <w:tcW w:w="592" w:type="dxa"/>
            <w:vAlign w:val="center"/>
            <w:vMerge w:val="continue"/>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tc>
        <w:tc>
          <w:tcPr>
            <w:tcW w:w="1391"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保安</w:t>
            </w:r>
            <w:r>
              <w:rPr>
                <w:rFonts w:hint="eastAsia" w:ascii="宋体" w:hAnsi="宋体" w:cs="宋体"/>
                <w:sz w:val="24"/>
                <w:szCs w:val="24"/>
                <w:highlight w:val="yellow"/>
              </w:rPr>
              <w:t xml:space="preserve">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31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男60周岁（含）以下</w:t>
            </w:r>
            <w:r>
              <w:rPr>
                <w:rFonts w:hint="eastAsia" w:ascii="宋体" w:hAnsi="宋体" w:cs="宋体"/>
                <w:bCs/>
                <w:sz w:val="24"/>
                <w:szCs w:val="24"/>
                <w:highlight w:val="yellow"/>
              </w:rPr>
              <w:t xml:space="preserve">）。</w:t>
            </w:r>
            <w:r/>
          </w:p>
        </w:tc>
      </w:tr>
      <w:tr>
        <w:trPr>
          <w:jc w:val="center"/>
          <w:trHeight w:val="369"/>
        </w:trPr>
        <w:tc>
          <w:tcPr>
            <w:tcW w:w="592" w:type="dxa"/>
            <w:vAlign w:val="center"/>
            <w:vMerge w:val="continue"/>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r>
            <w:r/>
          </w:p>
        </w:tc>
        <w:tc>
          <w:tcPr>
            <w:tcW w:w="1391"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保洁人员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32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widowControl/>
              <w:rPr>
                <w:rFonts w:hint="eastAsia" w:ascii="宋体" w:hAnsi="宋体" w:cs="宋体"/>
                <w:sz w:val="24"/>
                <w:szCs w:val="24"/>
                <w:highlight w:val="yellow"/>
              </w:rPr>
            </w:pPr>
            <w:r>
              <w:rPr>
                <w:rFonts w:hint="eastAsia" w:ascii="宋体" w:hAnsi="宋体" w:cs="宋体"/>
                <w:bCs/>
                <w:sz w:val="24"/>
                <w:szCs w:val="24"/>
                <w:highlight w:val="yellow"/>
              </w:rPr>
              <w:t xml:space="preserve">品德良好，须接受岗前培训，合格后上岗（</w:t>
            </w:r>
            <w:r>
              <w:rPr>
                <w:rFonts w:hint="eastAsia" w:ascii="宋体" w:hAnsi="宋体" w:cs="宋体"/>
                <w:b/>
                <w:sz w:val="24"/>
                <w:szCs w:val="24"/>
                <w:highlight w:val="yellow"/>
              </w:rPr>
              <w:t xml:space="preserve">女50周岁（含）以下，男60周岁（含）以下</w:t>
            </w:r>
            <w:r>
              <w:rPr>
                <w:rFonts w:hint="eastAsia" w:ascii="宋体" w:hAnsi="宋体" w:cs="宋体"/>
                <w:bCs/>
                <w:sz w:val="24"/>
                <w:szCs w:val="24"/>
                <w:highlight w:val="yellow"/>
              </w:rPr>
              <w:t xml:space="preserve">）</w:t>
            </w:r>
            <w:r>
              <w:rPr>
                <w:rFonts w:hint="eastAsia" w:ascii="宋体" w:hAnsi="宋体" w:cs="宋体"/>
                <w:b/>
                <w:sz w:val="24"/>
                <w:szCs w:val="24"/>
                <w:highlight w:val="yellow"/>
              </w:rPr>
              <w:t xml:space="preserve">。</w:t>
            </w:r>
            <w:r/>
          </w:p>
        </w:tc>
      </w:tr>
      <w:tr>
        <w:trPr>
          <w:jc w:val="center"/>
          <w:trHeight w:val="369"/>
        </w:trPr>
        <w:tc>
          <w:tcPr>
            <w:gridSpan w:val="2"/>
            <w:tcW w:w="198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小 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78人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r>
            <w:r/>
          </w:p>
        </w:tc>
      </w:tr>
    </w:tbl>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（1）上述人员须在合同签订后15日内配备到位，并经培训考核合格后方可上岗。招标人有权对中标供应商招聘的人员进行考察，发现有不符合工作要求的，有权要求中标供应商更换。</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（7）鼓励中标供应商自行通过对小区智能化系统等设备提升等方式提升管理效能。</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（8）供应商必须严格执行国家、省、市关于用工工资标准等有关政策规定，并承担其雇员的劳动报酬、福利待遇，承担未正确执行劳动法用工规定所产生的法律责任，维护和保障员工的合法权益。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9）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10）在项目实施过程中因重大事件、会议活动、上级检查等情况临时额外增加工作人员的，中标供应商必须无条件按招标人需求进行临时增配协助，该情况费用应考虑在投标报价之内，招标人不再另行支付该部分费用。</w:t>
      </w:r>
      <w:r/>
    </w:p>
    <w:p>
      <w:pPr>
        <w:ind w:firstLine="480"/>
        <w:jc w:val="left"/>
        <w:spacing w:line="440" w:lineRule="exact"/>
        <w:rPr>
          <w:rFonts w:hint="eastAsia" w:ascii="宋体" w:hAnsi="宋体" w:cs="宋体"/>
          <w:sz w:val="24"/>
          <w:szCs w:val="24"/>
          <w:highlight w:val="yellow"/>
        </w:rPr>
      </w:pPr>
      <w:r>
        <w:rPr>
          <w:rFonts w:hint="eastAsia" w:ascii="宋体" w:hAnsi="宋体" w:cs="宋体"/>
          <w:sz w:val="24"/>
          <w:szCs w:val="24"/>
          <w:highlight w:val="yellow"/>
        </w:rPr>
        <w:t xml:space="preserve">（</w:t>
      </w:r>
      <w:r>
        <w:rPr>
          <w:rFonts w:ascii="宋体" w:hAnsi="宋体" w:cs="宋体"/>
          <w:sz w:val="24"/>
          <w:szCs w:val="24"/>
          <w:highlight w:val="yellow"/>
        </w:rPr>
        <w:t xml:space="preserve">11</w:t>
      </w:r>
      <w:r>
        <w:rPr>
          <w:rFonts w:hint="eastAsia" w:ascii="宋体" w:hAnsi="宋体" w:cs="宋体"/>
          <w:sz w:val="24"/>
          <w:szCs w:val="24"/>
          <w:highlight w:val="yellow"/>
        </w:rPr>
        <w:t xml:space="preserve">）中标供应商支付工人工资必须严格按照《中华人民共和国劳动法》执行，不得以招标人按半年度付款及自身经营等原因拖欠工人工资</w:t>
      </w:r>
      <w:r>
        <w:rPr>
          <w:rFonts w:ascii="宋体" w:hAnsi="宋体" w:cs="宋体"/>
          <w:sz w:val="24"/>
          <w:szCs w:val="24"/>
          <w:highlight w:val="yellow"/>
        </w:rPr>
        <w:t xml:space="preserve">。</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七、物业管理有关说明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p>
    <w:p>
      <w:pPr>
        <w:ind w:firstLine="480"/>
        <w:spacing w:line="440" w:lineRule="exact"/>
        <w:rPr>
          <w:rFonts w:hint="eastAsia" w:ascii="宋体" w:hAnsi="宋体" w:cs="宋体"/>
          <w:sz w:val="24"/>
          <w:szCs w:val="24"/>
        </w:rPr>
      </w:pPr>
      <w:r>
        <w:rPr>
          <w:rFonts w:ascii="宋体" w:hAnsi="宋体" w:cs="宋体"/>
          <w:sz w:val="24"/>
          <w:szCs w:val="24"/>
        </w:rPr>
        <w:t xml:space="preserve">4、办公区域的水电费由中标供应商自行承担。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（1）中标供应商违反国家相关法规，与其聘用人员发生纠纷，均由中标供应商负责调解与处理，招标人不承担任何责任，并有权解除合同，所产生的一切后果由中标供应商负责。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（2）因中标供应商服务不合格而提前终止服务合同，中标供应商应承担全部的责任及负责全部人员的安置，不得向招标人提出赔偿。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（3）中标供应商服务人员在岗履行工作职责期间，发生自身的人身伤害、伤亡等，均由中标供应商负责处理并承担经济和道义上的责任，招标人不承担任何责任。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（4）中标供应商人员在管理服务中违反国家相关法规或行业规范，因过失造成他人人身伤亡的，均由中标供应商负责处理并承担经济和道义上的责任，招标人不承担任何责任。</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八、物业费用测算要求</w:t>
      </w:r>
      <w:r/>
    </w:p>
    <w:p>
      <w:pPr>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ind w:firstLine="480"/>
        <w:jc w:val="left"/>
        <w:spacing w:line="440" w:lineRule="exact"/>
        <w:rPr>
          <w:rFonts w:hint="eastAsia" w:ascii="宋体" w:hAnsi="宋体" w:cs="宋体"/>
          <w:b/>
          <w:color w:val="000000"/>
          <w:sz w:val="24"/>
          <w:szCs w:val="24"/>
          <w:highlight w:val="yellow"/>
          <w:u w:val="single"/>
        </w:rPr>
      </w:pPr>
      <w:r>
        <w:rPr>
          <w:rFonts w:hint="eastAsia" w:ascii="宋体" w:hAnsi="宋体" w:cs="宋体"/>
          <w:bCs/>
          <w:color w:val="000000"/>
          <w:sz w:val="24"/>
          <w:szCs w:val="24"/>
          <w:highlight w:val="yellow"/>
        </w:rPr>
        <w:t xml:space="preserve">2.费用测算要求：</w:t>
      </w:r>
      <w:r>
        <w:rPr>
          <w:rFonts w:hint="eastAsia" w:ascii="宋体" w:hAnsi="宋体" w:cs="宋体"/>
          <w:b/>
          <w:color w:val="000000"/>
          <w:sz w:val="24"/>
          <w:szCs w:val="24"/>
          <w:highlight w:val="yellow"/>
          <w:u w:val="single"/>
        </w:rPr>
        <w:t xml:space="preserve">带★的条款要求投标人必须完全响应，不响应的作为无效响应处理。</w:t>
      </w:r>
      <w:r/>
    </w:p>
    <w:p>
      <w:pPr>
        <w:ind w:firstLine="480"/>
        <w:spacing w:line="440" w:lineRule="exact"/>
        <w:rPr>
          <w:rFonts w:hint="eastAsia" w:ascii="宋体" w:hAnsi="宋体" w:cs="宋体"/>
          <w:sz w:val="24"/>
          <w:szCs w:val="24"/>
          <w:highlight w:val="yellow"/>
          <w:u w:val="single"/>
        </w:rPr>
      </w:pPr>
      <w:r>
        <w:rPr>
          <w:rFonts w:hint="eastAsia" w:ascii="宋体" w:hAnsi="宋体" w:cs="宋体"/>
          <w:color w:val="ff0000"/>
          <w:sz w:val="24"/>
          <w:szCs w:val="24"/>
          <w:highlight w:val="yellow"/>
          <w:u w:val="single"/>
        </w:rPr>
        <w:t xml:space="preserve">★（1）项目总配备：项目经理、保安主管（兼安全员）、绿化主管、维修主管、客服内勤、财会人员、维修人员、消控人员、保安人员、保洁人员不少于78人；周末加班人数不少于24人（单休）；国家法定节假日加班人数不少于39人；</w:t>
      </w:r>
      <w:r>
        <w:rPr>
          <w:rFonts w:hint="eastAsia" w:ascii="宋体" w:hAnsi="宋体" w:cs="宋体"/>
          <w:sz w:val="24"/>
          <w:szCs w:val="24"/>
          <w:highlight w:val="yellow"/>
          <w:u w:val="single"/>
        </w:rPr>
        <w:t xml:space="preserve">包括但不限于法定节假日、周末加班、岗位人数安排根据招标人要求进行调整安排。</w:t>
      </w:r>
      <w:r>
        <w:rPr>
          <w:rStyle w:val="728"/>
          <w:rFonts w:hint="eastAsia"/>
          <w:b/>
          <w:bCs/>
          <w:sz w:val="24"/>
          <w:szCs w:val="24"/>
        </w:rPr>
        <w:t xml:space="preserve">（投标人须提供承诺函，格式自拟）</w:t>
      </w:r>
      <w:r/>
    </w:p>
    <w:p>
      <w:pPr>
        <w:ind w:firstLine="480"/>
        <w:jc w:val="left"/>
        <w:spacing w:line="440" w:lineRule="exact"/>
        <w:rPr>
          <w:rFonts w:hint="eastAsia" w:ascii="宋体" w:hAnsi="宋体" w:cs="宋体"/>
          <w:bCs/>
          <w:sz w:val="24"/>
          <w:szCs w:val="24"/>
        </w:rPr>
      </w:pPr>
      <w:r>
        <w:rPr>
          <w:rFonts w:hint="eastAsia" w:ascii="宋体" w:hAnsi="宋体" w:cs="宋体"/>
          <w:sz w:val="24"/>
          <w:szCs w:val="24"/>
          <w:highlight w:val="yellow"/>
          <w:u w:val="single"/>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728"/>
          <w:rFonts w:hint="eastAsia"/>
          <w:b/>
          <w:bCs/>
          <w:sz w:val="24"/>
          <w:szCs w:val="24"/>
        </w:rPr>
        <w:t xml:space="preserve">（投标人须提供承诺函，格式自拟）</w:t>
      </w:r>
      <w:r/>
    </w:p>
    <w:p>
      <w:pPr>
        <w:rPr>
          <w:b/>
          <w:sz w:val="28"/>
          <w:szCs w:val="28"/>
        </w:rPr>
      </w:pPr>
      <w:r>
        <w:rPr>
          <w:rFonts w:hint="eastAsia"/>
          <w:sz w:val="28"/>
          <w:szCs w:val="28"/>
        </w:rPr>
        <w:t xml:space="preserve">5. </w:t>
      </w:r>
      <w:r>
        <w:rPr>
          <w:rFonts w:hint="eastAsia"/>
          <w:b/>
          <w:sz w:val="28"/>
          <w:szCs w:val="28"/>
        </w:rPr>
        <w:t xml:space="preserve">实质性要求</w:t>
      </w:r>
      <w:r/>
    </w:p>
    <w:p>
      <w:pPr>
        <w:pStyle w:val="1005"/>
        <w:contextualSpacing w:val="0"/>
        <w:ind w:left="0" w:firstLine="482"/>
        <w:rPr>
          <w:rFonts w:ascii="Times New Roman" w:hAnsi="Times New Roman"/>
          <w:sz w:val="28"/>
          <w:lang w:eastAsia="zh-CN"/>
        </w:rPr>
      </w:pPr>
      <w:r>
        <w:rPr>
          <w:rFonts w:hint="eastAsia" w:ascii="宋体" w:hAnsi="宋体"/>
          <w:b/>
          <w:bCs/>
          <w:i/>
          <w:sz w:val="28"/>
          <w:szCs w:val="28"/>
          <w:highlight w:val="yellow"/>
          <w:u w:val="single"/>
        </w:rPr>
        <w:t xml:space="preserve">★</w:t>
      </w:r>
      <w:r>
        <w:rPr>
          <w:rFonts w:hint="eastAsia" w:ascii="Times New Roman" w:hAnsi="Times New Roman"/>
          <w:sz w:val="28"/>
          <w:lang w:eastAsia="zh-CN"/>
        </w:rPr>
        <w:t xml:space="preserve">分包一</w:t>
      </w:r>
      <w:r/>
    </w:p>
    <w:tbl>
      <w:tblPr>
        <w:tblStyle w:val="701"/>
        <w:tblW w:w="7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jc w:val="center"/>
          <w:trHeight w:val="682"/>
        </w:trPr>
        <w:tc>
          <w:tcPr>
            <w:tcW w:w="715"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序号</w:t>
            </w:r>
            <w:r/>
          </w:p>
        </w:tc>
        <w:tc>
          <w:tcPr>
            <w:tcW w:w="4424"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实质性要求</w:t>
            </w:r>
            <w:r/>
          </w:p>
        </w:tc>
        <w:tc>
          <w:tcPr>
            <w:tcW w:w="2852"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证明材料</w:t>
            </w:r>
            <w:r/>
          </w:p>
        </w:tc>
      </w:tr>
      <w:tr>
        <w:trPr>
          <w:cantSplit/>
          <w:jc w:val="center"/>
          <w:trHeight w:val="235"/>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1</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1）项目总配备：项目经理、保安主管（兼安全员）、绿化主管、维修主管、客服内勤、财会人员、维修人员、消控人员、保安人员、保洁人员不少于78人；周末加班人数不少于24人（单休）；国家法定节假日加班人数不少于39人；包括但不限于法定节假日、周末加班、岗位人数安排根据招标人要求进行调整安排。</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r>
        <w:trPr>
          <w:cantSplit/>
          <w:jc w:val="center"/>
          <w:trHeight w:val="222"/>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2</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bl>
    <w:p>
      <w:pPr>
        <w:ind w:firstLine="480"/>
        <w:rPr>
          <w:rFonts w:hint="eastAsia" w:ascii="宋体" w:hAnsi="宋体" w:cs="宋体"/>
          <w:sz w:val="24"/>
          <w:szCs w:val="24"/>
        </w:rPr>
      </w:pPr>
      <w:r>
        <w:rPr>
          <w:rFonts w:hint="eastAsia" w:ascii="宋体" w:hAnsi="宋体" w:cs="宋体"/>
          <w:sz w:val="24"/>
          <w:szCs w:val="24"/>
        </w:rPr>
      </w:r>
      <w:r/>
    </w:p>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不需要</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1"/>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sz w:val="24"/>
                <w:szCs w:val="24"/>
              </w:rPr>
              <w:t xml:space="preserve">魏村街道安置房物业服务项目（分包一）</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物业管理</w:t>
            </w:r>
            <w:r/>
          </w:p>
        </w:tc>
      </w:tr>
    </w:tbl>
    <w:p>
      <w:pPr>
        <w:rPr>
          <w:rStyle w:val="728"/>
        </w:rPr>
      </w:pPr>
      <w:r>
        <w:rPr>
          <w:rFonts w:hint="eastAsia"/>
          <w:sz w:val="24"/>
          <w:highlight w:val="yellow"/>
        </w:rPr>
        <w:br w:type="page" w:clear="all"/>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保安主管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绿化主管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rPr>
                <w:color w:val="000000"/>
              </w:rPr>
            </w:pPr>
            <w:r>
              <w:rPr>
                <w:rFonts w:hint="eastAsia" w:ascii="宋体" w:hAnsi="宋体" w:cs="宋体"/>
                <w:sz w:val="20"/>
                <w:szCs w:val="20"/>
              </w:rPr>
              <w:t xml:space="preserve">维修主管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客服内勤</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财会人员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消控人员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9</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31人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rPr>
          <w:rStyle w:val="728"/>
        </w:rPr>
      </w:pPr>
      <w:r/>
      <w:r/>
    </w:p>
    <w:p>
      <w:pPr>
        <w:rPr>
          <w:rStyle w:val="728"/>
        </w:rPr>
      </w:pPr>
      <w:r/>
      <w:r/>
    </w:p>
    <w:p>
      <w:pPr>
        <w:rPr>
          <w:rFonts w:hint="eastAsia" w:ascii="宋体" w:hAnsi="宋体"/>
          <w:b/>
          <w:sz w:val="32"/>
          <w:szCs w:val="22"/>
        </w:rPr>
      </w:pPr>
      <w:r>
        <w:rPr>
          <w:rFonts w:hint="eastAsia"/>
          <w:sz w:val="24"/>
          <w:highlight w:val="yellow"/>
        </w:rPr>
        <w:t xml:space="preserve">02包（魏村、临江社区）：</w:t>
      </w:r>
      <w:r/>
    </w:p>
    <w:p>
      <w:pPr>
        <w:ind w:firstLine="480"/>
        <w:spacing w:line="360" w:lineRule="auto"/>
        <w:rPr>
          <w:rFonts w:hint="eastAsia" w:ascii="宋体" w:hAnsi="宋体"/>
          <w:sz w:val="24"/>
          <w:szCs w:val="22"/>
        </w:rPr>
      </w:pPr>
      <w:r>
        <w:rPr>
          <w:rFonts w:hint="eastAsia" w:ascii="宋体" w:hAnsi="宋体"/>
          <w:sz w:val="24"/>
          <w:szCs w:val="24"/>
        </w:rPr>
        <w:t xml:space="preserve">魏村社区物业服务项目位于常州市新北区魏村街道，总建筑面积230930㎡。魏村花苑(1-14)总建筑面积为72400平方米，共14幢住宅楼，共1个出入口(封闭);魏村花苑(60-65)总建筑面积为25200平方米，共6幢住宅楼，共1个出入口(封闭)：临江花园为开放式小区，小区分布范围广，为村民自建房，共 305栋房子，1150户，建筑面积为133330平方米，(各小区基本情况详见下表)。</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8"/>
        <w:gridCol w:w="2582"/>
        <w:gridCol w:w="2327"/>
        <w:gridCol w:w="2362"/>
      </w:tblGrid>
      <w:tr>
        <w:trPr>
          <w:cantSplit/>
          <w:trHeight w:val="416"/>
        </w:trPr>
        <w:tc>
          <w:tcPr>
            <w:gridSpan w:val="4"/>
            <w:tcW w:w="916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魏村花苑（1-14）项目总体基本情况</w:t>
            </w:r>
            <w:r/>
          </w:p>
        </w:tc>
      </w:tr>
      <w:tr>
        <w:trPr>
          <w:trHeight w:val="136"/>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小区总用地面积</w:t>
            </w:r>
            <w:r/>
          </w:p>
        </w:tc>
        <w:tc>
          <w:tcPr>
            <w:tcW w:w="2582"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公顷</w:t>
            </w:r>
            <w:r/>
          </w:p>
        </w:tc>
        <w:tc>
          <w:tcPr>
            <w:tcW w:w="232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总建筑面积</w:t>
            </w:r>
            <w:r/>
          </w:p>
        </w:tc>
        <w:tc>
          <w:tcPr>
            <w:tcW w:w="2362"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72400㎡</w:t>
            </w:r>
            <w:r/>
          </w:p>
        </w:tc>
      </w:tr>
      <w:tr>
        <w:trPr>
          <w:trHeight w:val="70"/>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地上建筑面积</w:t>
            </w:r>
            <w:r/>
          </w:p>
        </w:tc>
        <w:tc>
          <w:tcPr>
            <w:tcW w:w="2582"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tc>
        <w:tc>
          <w:tcPr>
            <w:tcW w:w="232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地下建筑面积</w:t>
            </w:r>
            <w:r/>
          </w:p>
        </w:tc>
        <w:tc>
          <w:tcPr>
            <w:tcW w:w="2362"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rHeight w:val="202"/>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住宅建筑面积</w:t>
            </w:r>
            <w:r/>
          </w:p>
        </w:tc>
        <w:tc>
          <w:tcPr>
            <w:tcW w:w="2582"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32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住宅居住宅区户数</w:t>
            </w:r>
            <w:r/>
          </w:p>
        </w:tc>
        <w:tc>
          <w:tcPr>
            <w:tcW w:w="2362"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382（户）</w:t>
            </w:r>
            <w:r/>
          </w:p>
        </w:tc>
      </w:tr>
      <w:tr>
        <w:trPr>
          <w:trHeight w:val="151"/>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住宅楼幢数</w:t>
            </w:r>
            <w:r/>
          </w:p>
        </w:tc>
        <w:tc>
          <w:tcPr>
            <w:tcW w:w="2582"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14（幢）</w:t>
            </w:r>
            <w:r/>
          </w:p>
        </w:tc>
        <w:tc>
          <w:tcPr>
            <w:tcW w:w="232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住宅楼楼道面积</w:t>
            </w:r>
            <w:r/>
          </w:p>
        </w:tc>
        <w:tc>
          <w:tcPr>
            <w:tcW w:w="2362"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商铺建筑面积</w:t>
            </w:r>
            <w:r/>
          </w:p>
        </w:tc>
        <w:tc>
          <w:tcPr>
            <w:tcW w:w="2582"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0（㎡）</w:t>
            </w:r>
            <w:r/>
          </w:p>
        </w:tc>
        <w:tc>
          <w:tcPr>
            <w:tcW w:w="232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封闭情况</w:t>
            </w:r>
            <w:r/>
          </w:p>
        </w:tc>
        <w:tc>
          <w:tcPr>
            <w:tcW w:w="2362"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1个出入口（封闭）</w:t>
            </w:r>
            <w:r/>
          </w:p>
        </w:tc>
      </w:tr>
      <w:tr>
        <w:trPr>
          <w:cantSplit/>
          <w:trHeight w:val="358"/>
        </w:trPr>
        <w:tc>
          <w:tcPr>
            <w:gridSpan w:val="2"/>
            <w:tcW w:w="448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结构类型、层数、单元数</w:t>
            </w:r>
            <w:r/>
          </w:p>
        </w:tc>
        <w:tc>
          <w:tcPr>
            <w:gridSpan w:val="2"/>
            <w:tcW w:w="468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见下表</w:t>
            </w:r>
            <w:r/>
          </w:p>
        </w:tc>
      </w:tr>
      <w:tr>
        <w:trPr>
          <w:cantSplit/>
          <w:trHeight w:val="278"/>
        </w:trPr>
        <w:tc>
          <w:tcPr>
            <w:gridSpan w:val="2"/>
            <w:tcW w:w="448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公共走道、楼梯、电梯厅装修标准</w:t>
            </w:r>
            <w:r/>
          </w:p>
        </w:tc>
        <w:tc>
          <w:tcPr>
            <w:gridSpan w:val="2"/>
            <w:tcW w:w="468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涂料</w:t>
            </w:r>
            <w:r/>
          </w:p>
        </w:tc>
      </w:tr>
      <w:tr>
        <w:trPr>
          <w:cantSplit/>
          <w:trHeight w:val="381"/>
        </w:trPr>
        <w:tc>
          <w:tcPr>
            <w:tcW w:w="18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7271"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left"/>
        <w:spacing w:line="360" w:lineRule="auto"/>
        <w:rPr>
          <w:rFonts w:ascii="宋体"/>
          <w:b/>
          <w:sz w:val="24"/>
          <w:szCs w:val="24"/>
        </w:rPr>
      </w:pPr>
      <w:r>
        <w:rPr>
          <w:rFonts w:ascii="宋体"/>
          <w:b/>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641"/>
        <w:gridCol w:w="1194"/>
        <w:gridCol w:w="1645"/>
        <w:gridCol w:w="1148"/>
        <w:gridCol w:w="1852"/>
      </w:tblGrid>
      <w:tr>
        <w:trPr>
          <w:cantSplit/>
        </w:trPr>
        <w:tc>
          <w:tcPr>
            <w:gridSpan w:val="6"/>
            <w:tcW w:w="916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魏村花苑（1-14）总体公建配套情况</w:t>
            </w:r>
            <w:r/>
          </w:p>
        </w:tc>
      </w:tr>
      <w:tr>
        <w:trPr>
          <w:cantSplit/>
        </w:trPr>
        <w:tc>
          <w:tcPr>
            <w:gridSpan w:val="6"/>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1、地下车库面积：</w:t>
            </w:r>
            <w:r/>
          </w:p>
        </w:tc>
      </w:tr>
      <w:tr>
        <w:trPr>
          <w:cantSplit/>
        </w:trPr>
        <w:tc>
          <w:tcPr>
            <w:tcW w:w="68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其</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t xml:space="preserve">中</w:t>
            </w:r>
            <w:r/>
          </w:p>
        </w:tc>
        <w:tc>
          <w:tcPr>
            <w:gridSpan w:val="3"/>
            <w:tcW w:w="548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机动车库:    （㎡）</w:t>
            </w:r>
            <w:r/>
          </w:p>
        </w:tc>
        <w:tc>
          <w:tcPr>
            <w:gridSpan w:val="2"/>
            <w:tcW w:w="300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汽车位：</w:t>
            </w:r>
            <w:r/>
          </w:p>
        </w:tc>
      </w:tr>
      <w:tr>
        <w:trPr>
          <w:cantSplit/>
        </w:trPr>
        <w:tc>
          <w:tcPr>
            <w:tcW w:w="689" w:type="dxa"/>
            <w:vAlign w:val="center"/>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gridSpan w:val="3"/>
            <w:tcW w:w="548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非机动车：   （㎡）</w:t>
            </w:r>
            <w:r/>
          </w:p>
        </w:tc>
        <w:tc>
          <w:tcPr>
            <w:gridSpan w:val="2"/>
            <w:tcW w:w="3000" w:type="dxa"/>
            <w:vAlign w:val="center"/>
            <w:textDirection w:val="lrTb"/>
            <w:noWrap w:val="false"/>
          </w:tcPr>
          <w:p>
            <w:pPr>
              <w:ind w:left="65" w:hanging="64"/>
              <w:spacing w:line="360" w:lineRule="auto"/>
              <w:rPr>
                <w:rFonts w:hint="eastAsia" w:ascii="宋体" w:hAnsi="宋体" w:cs="宋体"/>
                <w:sz w:val="24"/>
                <w:szCs w:val="24"/>
              </w:rPr>
            </w:pPr>
            <w:r>
              <w:rPr>
                <w:rFonts w:hint="eastAsia" w:ascii="宋体" w:hAnsi="宋体" w:cs="宋体"/>
                <w:sz w:val="24"/>
                <w:szCs w:val="24"/>
              </w:rPr>
              <w:t xml:space="preserve">人防地下室（公益性）：    （㎡）</w:t>
            </w:r>
            <w:r/>
          </w:p>
        </w:tc>
      </w:tr>
      <w:tr>
        <w:trPr>
          <w:cantSplit/>
        </w:trPr>
        <w:tc>
          <w:tcPr>
            <w:gridSpan w:val="2"/>
            <w:tcW w:w="3330" w:type="dxa"/>
            <w:vAlign w:val="center"/>
            <w:textDirection w:val="lrTb"/>
            <w:noWrap w:val="false"/>
          </w:tcPr>
          <w:p>
            <w:pPr>
              <w:ind w:left="720" w:hanging="720"/>
              <w:jc w:val="left"/>
              <w:spacing w:line="360" w:lineRule="auto"/>
              <w:rPr>
                <w:rFonts w:hint="eastAsia" w:ascii="宋体" w:hAnsi="宋体" w:cs="宋体"/>
                <w:sz w:val="24"/>
                <w:szCs w:val="24"/>
              </w:rPr>
            </w:pPr>
            <w:r>
              <w:rPr>
                <w:rFonts w:hint="eastAsia" w:ascii="宋体" w:hAnsi="宋体" w:cs="宋体"/>
                <w:sz w:val="24"/>
                <w:szCs w:val="24"/>
              </w:rPr>
              <w:t xml:space="preserve">2、住宅地面停车位：（辆）</w:t>
            </w:r>
            <w:r/>
          </w:p>
        </w:tc>
        <w:tc>
          <w:tcPr>
            <w:gridSpan w:val="2"/>
            <w:tcW w:w="2839" w:type="dxa"/>
            <w:vAlign w:val="center"/>
            <w:textDirection w:val="lrTb"/>
            <w:noWrap w:val="false"/>
          </w:tcPr>
          <w:p>
            <w:pPr>
              <w:ind w:firstLine="45"/>
              <w:jc w:val="left"/>
              <w:spacing w:line="360" w:lineRule="auto"/>
              <w:rPr>
                <w:rFonts w:hint="eastAsia" w:ascii="宋体" w:hAnsi="宋体" w:cs="宋体"/>
                <w:sz w:val="24"/>
                <w:szCs w:val="24"/>
              </w:rPr>
            </w:pPr>
            <w:r>
              <w:rPr>
                <w:rFonts w:hint="eastAsia" w:ascii="宋体" w:hAnsi="宋体" w:cs="宋体"/>
                <w:sz w:val="24"/>
                <w:szCs w:val="24"/>
              </w:rPr>
              <w:t xml:space="preserve">物业管理用房：</w:t>
            </w:r>
            <w:r/>
          </w:p>
        </w:tc>
        <w:tc>
          <w:tcPr>
            <w:gridSpan w:val="2"/>
            <w:tcW w:w="300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商业用房：（㎡）</w:t>
            </w:r>
            <w:r/>
          </w:p>
        </w:tc>
      </w:tr>
      <w:tr>
        <w:trPr>
          <w:cantSplit/>
        </w:trPr>
        <w:tc>
          <w:tcPr>
            <w:gridSpan w:val="6"/>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其它：自行踏勘现场</w:t>
            </w:r>
            <w:r/>
          </w:p>
        </w:tc>
      </w:tr>
      <w:tr>
        <w:trPr>
          <w:cantSplit/>
        </w:trPr>
        <w:tc>
          <w:tcPr>
            <w:gridSpan w:val="6"/>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b/>
                <w:bCs/>
                <w:sz w:val="24"/>
                <w:szCs w:val="24"/>
              </w:rPr>
              <w:t xml:space="preserve">设施设备情况</w:t>
            </w:r>
            <w:r/>
          </w:p>
        </w:tc>
      </w:tr>
      <w:tr>
        <w:trPr>
          <w:cantSplit/>
        </w:trPr>
        <w:tc>
          <w:tcPr>
            <w:gridSpan w:val="3"/>
            <w:tcW w:w="4524"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项目</w:t>
            </w:r>
            <w:r/>
          </w:p>
        </w:tc>
        <w:tc>
          <w:tcPr>
            <w:gridSpan w:val="2"/>
            <w:tcW w:w="2793" w:type="dxa"/>
            <w:vAlign w:val="center"/>
            <w:textDirection w:val="lrTb"/>
            <w:noWrap w:val="false"/>
          </w:tcPr>
          <w:p>
            <w:pPr>
              <w:ind w:firstLine="34"/>
              <w:jc w:val="center"/>
              <w:spacing w:line="360" w:lineRule="auto"/>
              <w:rPr>
                <w:rFonts w:hint="eastAsia" w:ascii="宋体" w:hAnsi="宋体" w:cs="宋体"/>
                <w:b/>
                <w:bCs/>
                <w:sz w:val="24"/>
                <w:szCs w:val="24"/>
              </w:rPr>
            </w:pPr>
            <w:r>
              <w:rPr>
                <w:rFonts w:hint="eastAsia" w:ascii="宋体" w:hAnsi="宋体" w:cs="宋体"/>
                <w:b/>
                <w:bCs/>
                <w:sz w:val="24"/>
                <w:szCs w:val="24"/>
              </w:rPr>
              <w:t xml:space="preserve">有</w:t>
            </w:r>
            <w:r/>
          </w:p>
        </w:tc>
        <w:tc>
          <w:tcPr>
            <w:tcW w:w="1852"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3"/>
            <w:tcW w:w="452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1、供配电系统</w:t>
            </w:r>
            <w:r/>
          </w:p>
        </w:tc>
        <w:tc>
          <w:tcPr>
            <w:gridSpan w:val="2"/>
            <w:tcW w:w="279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
                <w:bCs/>
                <w:sz w:val="24"/>
                <w:szCs w:val="24"/>
              </w:rPr>
              <w:t xml:space="preserve">有</w:t>
            </w:r>
            <w:r/>
          </w:p>
        </w:tc>
        <w:tc>
          <w:tcPr>
            <w:tcW w:w="18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724"/>
        <w:ind w:firstLine="0"/>
        <w:spacing w:line="360" w:lineRule="auto"/>
        <w:rPr>
          <w:sz w:val="24"/>
        </w:rPr>
      </w:pPr>
      <w:r>
        <w:rPr>
          <w:sz w:val="24"/>
        </w:rPr>
      </w:r>
      <w:r/>
    </w:p>
    <w:tbl>
      <w:tblPr>
        <w:tblStyle w:val="70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8"/>
        <w:gridCol w:w="2459"/>
        <w:gridCol w:w="2087"/>
        <w:gridCol w:w="2545"/>
      </w:tblGrid>
      <w:tr>
        <w:trPr/>
        <w:tc>
          <w:tcPr>
            <w:gridSpan w:val="4"/>
            <w:tcW w:w="9169" w:type="dxa"/>
            <w:textDirection w:val="lrTb"/>
            <w:noWrap w:val="false"/>
          </w:tcPr>
          <w:p>
            <w:pPr>
              <w:jc w:val="center"/>
              <w:spacing w:line="360" w:lineRule="auto"/>
              <w:rPr>
                <w:rFonts w:hint="eastAsia" w:ascii="宋体" w:hAnsi="宋体" w:cs="宋体"/>
                <w:sz w:val="24"/>
                <w:szCs w:val="24"/>
              </w:rPr>
            </w:pPr>
            <w:r>
              <w:rPr>
                <w:rFonts w:hint="eastAsia" w:ascii="宋体" w:hAnsi="宋体" w:cs="宋体"/>
                <w:b/>
                <w:bCs/>
                <w:sz w:val="24"/>
                <w:szCs w:val="24"/>
              </w:rPr>
              <w:t xml:space="preserve">魏村花苑（1-14）项目信息表</w:t>
            </w:r>
            <w:r/>
          </w:p>
        </w:tc>
      </w:tr>
      <w:tr>
        <w:trPr/>
        <w:tc>
          <w:tcPr>
            <w:tcW w:w="207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房号</w:t>
            </w:r>
            <w:r/>
          </w:p>
        </w:tc>
        <w:tc>
          <w:tcPr>
            <w:tcBorders>
              <w:right w:val="single" w:color="auto" w:sz="4" w:space="0"/>
            </w:tcBorders>
            <w:tcW w:w="24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单元数量</w:t>
            </w:r>
            <w:r/>
          </w:p>
        </w:tc>
        <w:tc>
          <w:tcPr>
            <w:tcBorders>
              <w:left w:val="single" w:color="auto" w:sz="4" w:space="0"/>
            </w:tcBorders>
            <w:tcW w:w="208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层数</w:t>
            </w:r>
            <w:r/>
          </w:p>
        </w:tc>
        <w:tc>
          <w:tcPr>
            <w:tcW w:w="2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一层无车库</w:t>
            </w:r>
            <w:r/>
          </w:p>
        </w:tc>
      </w:tr>
      <w:tr>
        <w:trPr>
          <w:trHeight w:val="312"/>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9幢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11幢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12幢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13幢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14幢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bl>
    <w:p>
      <w:pPr>
        <w:spacing w:line="360" w:lineRule="auto"/>
        <w:rPr>
          <w:sz w:val="24"/>
          <w:szCs w:val="24"/>
        </w:rPr>
      </w:pPr>
      <w:r>
        <w:rPr>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067"/>
        <w:gridCol w:w="2514"/>
        <w:gridCol w:w="64"/>
        <w:gridCol w:w="2171"/>
        <w:gridCol w:w="145"/>
        <w:gridCol w:w="2390"/>
      </w:tblGrid>
      <w:tr>
        <w:trPr>
          <w:cantSplit/>
        </w:trPr>
        <w:tc>
          <w:tcPr>
            <w:gridSpan w:val="7"/>
            <w:tcW w:w="91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
                <w:bCs/>
                <w:sz w:val="24"/>
                <w:szCs w:val="24"/>
              </w:rPr>
              <w:t xml:space="preserve">魏村花苑（1-14）设施设备情况</w:t>
            </w:r>
            <w:r/>
          </w:p>
        </w:tc>
      </w:tr>
      <w:tr>
        <w:trPr>
          <w:cantSplit/>
        </w:trPr>
        <w:tc>
          <w:tcPr>
            <w:gridSpan w:val="3"/>
            <w:tcW w:w="439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项目</w:t>
            </w:r>
            <w:r/>
          </w:p>
        </w:tc>
        <w:tc>
          <w:tcPr>
            <w:gridSpan w:val="2"/>
            <w:tcW w:w="2235" w:type="dxa"/>
            <w:vAlign w:val="center"/>
            <w:textDirection w:val="lrTb"/>
            <w:noWrap w:val="false"/>
          </w:tcPr>
          <w:p>
            <w:pPr>
              <w:ind w:firstLine="34"/>
              <w:jc w:val="center"/>
              <w:spacing w:line="360" w:lineRule="auto"/>
              <w:rPr>
                <w:rFonts w:hint="eastAsia" w:ascii="宋体" w:hAnsi="宋体" w:cs="宋体"/>
                <w:b/>
                <w:bCs/>
                <w:sz w:val="24"/>
                <w:szCs w:val="24"/>
              </w:rPr>
            </w:pPr>
            <w:r>
              <w:rPr>
                <w:rFonts w:hint="eastAsia" w:ascii="宋体" w:hAnsi="宋体" w:cs="宋体"/>
                <w:b/>
                <w:bCs/>
                <w:sz w:val="24"/>
                <w:szCs w:val="24"/>
              </w:rPr>
              <w:t xml:space="preserve">有</w:t>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3"/>
            <w:tcW w:w="439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1、供配电系统</w:t>
            </w:r>
            <w:r/>
          </w:p>
        </w:tc>
        <w:tc>
          <w:tcPr>
            <w:gridSpan w:val="2"/>
            <w:tcW w:w="22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gridSpan w:val="2"/>
            <w:tcW w:w="25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2、道路系统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3、给水系统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4、排水系统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5、智能化系统：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（1）监控系统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（2）周界安保系统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（3）对讲系统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（4）安防系统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（5）综合布线</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（6）门禁系统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（7）巡更系统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（8）车辆管理系统</w:t>
            </w:r>
            <w:r/>
          </w:p>
        </w:tc>
        <w:tc>
          <w:tcPr>
            <w:gridSpan w:val="2"/>
            <w:tcW w:w="22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6、消防系统：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（1）消火栓系统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（2）喷淋系统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（3）消防报警控制系统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（4）排烟机</w:t>
            </w:r>
            <w:r/>
          </w:p>
        </w:tc>
        <w:tc>
          <w:tcPr>
            <w:gridSpan w:val="2"/>
            <w:tcW w:w="22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7、照明系统：</w:t>
            </w:r>
            <w:r/>
          </w:p>
        </w:tc>
        <w:tc>
          <w:tcPr>
            <w:gridSpan w:val="2"/>
            <w:tcW w:w="22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（1）庭院灯</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（2）楼道灯</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w:t>
            </w:r>
            <w:r/>
          </w:p>
        </w:tc>
        <w:tc>
          <w:tcPr>
            <w:gridSpan w:val="2"/>
            <w:tcW w:w="25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r>
      <w:tr>
        <w:trPr>
          <w:cantSplit/>
        </w:trPr>
        <w:tc>
          <w:tcPr>
            <w:gridSpan w:val="3"/>
            <w:tcW w:w="439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（3）景观灯</w:t>
            </w:r>
            <w:r/>
          </w:p>
        </w:tc>
        <w:tc>
          <w:tcPr>
            <w:gridSpan w:val="2"/>
            <w:tcW w:w="22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3"/>
            <w:tcW w:w="4399"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8、公共音响系统</w:t>
            </w:r>
            <w:r/>
          </w:p>
        </w:tc>
        <w:tc>
          <w:tcPr>
            <w:gridSpan w:val="2"/>
            <w:tcW w:w="2235" w:type="dxa"/>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gridSpan w:val="2"/>
            <w:tcW w:w="253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7"/>
            <w:tcW w:w="916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9、建筑小品       有约15米走廊</w:t>
            </w:r>
            <w:r/>
          </w:p>
        </w:tc>
      </w:tr>
      <w:tr>
        <w:trPr>
          <w:cantSplit/>
        </w:trPr>
        <w:tc>
          <w:tcPr>
            <w:tcW w:w="818" w:type="dxa"/>
            <w:vMerge w:val="restart"/>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10、电</w:t>
            </w:r>
            <w:r/>
          </w:p>
          <w:p>
            <w:pPr>
              <w:spacing w:line="360" w:lineRule="auto"/>
              <w:rPr>
                <w:rFonts w:hint="eastAsia" w:ascii="宋体" w:hAnsi="宋体" w:cs="宋体"/>
                <w:b/>
                <w:bCs/>
                <w:sz w:val="24"/>
                <w:szCs w:val="24"/>
              </w:rPr>
            </w:pPr>
            <w:r>
              <w:rPr>
                <w:rFonts w:hint="eastAsia" w:ascii="宋体" w:hAnsi="宋体" w:cs="宋体"/>
                <w:sz w:val="24"/>
                <w:szCs w:val="24"/>
              </w:rPr>
              <w:t xml:space="preserve">梯</w:t>
            </w:r>
            <w:r/>
          </w:p>
        </w:tc>
        <w:tc>
          <w:tcPr>
            <w:gridSpan w:val="6"/>
            <w:tcW w:w="8351"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台数：无</w:t>
            </w:r>
            <w:r/>
          </w:p>
        </w:tc>
      </w:tr>
      <w:tr>
        <w:trPr>
          <w:cantSplit/>
        </w:trPr>
        <w:tc>
          <w:tcPr>
            <w:tcW w:w="818"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6"/>
            <w:tcW w:w="8351"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梯速：</w:t>
            </w:r>
            <w:r/>
          </w:p>
        </w:tc>
      </w:tr>
      <w:tr>
        <w:trPr>
          <w:cantSplit/>
        </w:trPr>
        <w:tc>
          <w:tcPr>
            <w:tcW w:w="818"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6"/>
            <w:tcW w:w="8351"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品牌：</w:t>
            </w:r>
            <w:r/>
          </w:p>
        </w:tc>
      </w:tr>
      <w:tr>
        <w:trPr>
          <w:cantSplit/>
        </w:trPr>
        <w:tc>
          <w:tcPr>
            <w:tcW w:w="818"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6"/>
            <w:tcW w:w="8351" w:type="dxa"/>
            <w:vAlign w:val="center"/>
            <w:textDirection w:val="lrTb"/>
            <w:noWrap w:val="false"/>
          </w:tcPr>
          <w:p>
            <w:pPr>
              <w:spacing w:line="360" w:lineRule="auto"/>
              <w:rPr>
                <w:rFonts w:hint="eastAsia" w:ascii="宋体" w:hAnsi="宋体" w:cs="宋体"/>
                <w:sz w:val="24"/>
                <w:szCs w:val="24"/>
                <w:u w:val="single"/>
              </w:rPr>
            </w:pPr>
            <w:r>
              <w:rPr>
                <w:rFonts w:hint="eastAsia" w:ascii="宋体" w:hAnsi="宋体" w:cs="宋体"/>
                <w:sz w:val="24"/>
                <w:szCs w:val="24"/>
              </w:rPr>
              <w:t xml:space="preserve">载重：</w:t>
            </w:r>
            <w:r/>
          </w:p>
        </w:tc>
      </w:tr>
      <w:tr>
        <w:trPr>
          <w:cantSplit/>
        </w:trPr>
        <w:tc>
          <w:tcPr>
            <w:tcW w:w="818" w:type="dxa"/>
            <w:vMerge w:val="continue"/>
            <w:textDirection w:val="lrTb"/>
            <w:noWrap w:val="false"/>
          </w:tcPr>
          <w:p>
            <w:pPr>
              <w:ind w:firstLine="480"/>
              <w:spacing w:line="360" w:lineRule="auto"/>
              <w:rPr>
                <w:sz w:val="24"/>
                <w:szCs w:val="24"/>
              </w:rPr>
            </w:pPr>
            <w:r>
              <w:rPr>
                <w:sz w:val="24"/>
                <w:szCs w:val="24"/>
              </w:rPr>
            </w:r>
            <w:r/>
          </w:p>
        </w:tc>
        <w:tc>
          <w:tcPr>
            <w:gridSpan w:val="6"/>
            <w:tcW w:w="8351"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备注：</w:t>
            </w:r>
            <w:r/>
          </w:p>
        </w:tc>
      </w:tr>
      <w:tr>
        <w:trPr>
          <w:cantSplit/>
        </w:trPr>
        <w:tc>
          <w:tcPr>
            <w:gridSpan w:val="7"/>
            <w:tcW w:w="916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魏村花苑（60-65）项目总体基本情况</w:t>
            </w:r>
            <w:r/>
          </w:p>
        </w:tc>
      </w:tr>
      <w:tr>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小区总用地面积</w:t>
            </w:r>
            <w:r/>
          </w:p>
        </w:tc>
        <w:tc>
          <w:tcPr>
            <w:gridSpan w:val="2"/>
            <w:tcW w:w="2578"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公顷</w:t>
            </w:r>
            <w:r/>
          </w:p>
        </w:tc>
        <w:tc>
          <w:tcPr>
            <w:gridSpan w:val="2"/>
            <w:tcW w:w="231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总建筑面积</w:t>
            </w:r>
            <w:r/>
          </w:p>
        </w:tc>
        <w:tc>
          <w:tcPr>
            <w:tcW w:w="2390"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25200㎡</w:t>
            </w:r>
            <w:r/>
          </w:p>
        </w:tc>
      </w:tr>
      <w:tr>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地上建筑面积</w:t>
            </w:r>
            <w:r/>
          </w:p>
        </w:tc>
        <w:tc>
          <w:tcPr>
            <w:gridSpan w:val="2"/>
            <w:tcW w:w="2578"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tc>
        <w:tc>
          <w:tcPr>
            <w:gridSpan w:val="2"/>
            <w:tcW w:w="231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地下建筑面积</w:t>
            </w:r>
            <w:r/>
          </w:p>
        </w:tc>
        <w:tc>
          <w:tcPr>
            <w:tcW w:w="2390"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住宅建筑面积</w:t>
            </w:r>
            <w:r/>
          </w:p>
        </w:tc>
        <w:tc>
          <w:tcPr>
            <w:gridSpan w:val="2"/>
            <w:tcW w:w="2578"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gridSpan w:val="2"/>
            <w:tcW w:w="231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住宅居住宅区户数</w:t>
            </w:r>
            <w:r/>
          </w:p>
        </w:tc>
        <w:tc>
          <w:tcPr>
            <w:tcW w:w="2390"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184（户）</w:t>
            </w:r>
            <w:r/>
          </w:p>
        </w:tc>
      </w:tr>
      <w:tr>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住宅楼幢数</w:t>
            </w:r>
            <w:r/>
          </w:p>
        </w:tc>
        <w:tc>
          <w:tcPr>
            <w:gridSpan w:val="2"/>
            <w:tcW w:w="2578"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6（幢）</w:t>
            </w:r>
            <w:r/>
          </w:p>
        </w:tc>
        <w:tc>
          <w:tcPr>
            <w:gridSpan w:val="2"/>
            <w:tcW w:w="231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住宅楼楼道面积</w:t>
            </w:r>
            <w:r/>
          </w:p>
        </w:tc>
        <w:tc>
          <w:tcPr>
            <w:tcW w:w="2390"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r>
            <w:r/>
          </w:p>
        </w:tc>
      </w:tr>
      <w:tr>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商铺建筑面积</w:t>
            </w:r>
            <w:r/>
          </w:p>
        </w:tc>
        <w:tc>
          <w:tcPr>
            <w:gridSpan w:val="2"/>
            <w:tcW w:w="2578" w:type="dxa"/>
            <w:vAlign w:val="center"/>
            <w:textDirection w:val="lrTb"/>
            <w:noWrap w:val="false"/>
          </w:tcPr>
          <w:p>
            <w:pPr>
              <w:ind w:left="2" w:hanging="2"/>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gridSpan w:val="2"/>
            <w:tcW w:w="231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封闭情况</w:t>
            </w:r>
            <w:r/>
          </w:p>
        </w:tc>
        <w:tc>
          <w:tcPr>
            <w:tcW w:w="2390" w:type="dxa"/>
            <w:vAlign w:val="center"/>
            <w:textDirection w:val="lrTb"/>
            <w:noWrap w:val="false"/>
          </w:tcPr>
          <w:p>
            <w:pPr>
              <w:ind w:left="62" w:hanging="62"/>
              <w:jc w:val="center"/>
              <w:spacing w:line="360" w:lineRule="auto"/>
              <w:rPr>
                <w:rFonts w:hint="eastAsia" w:ascii="宋体" w:hAnsi="宋体" w:cs="宋体"/>
                <w:sz w:val="24"/>
                <w:szCs w:val="24"/>
              </w:rPr>
            </w:pPr>
            <w:r>
              <w:rPr>
                <w:rFonts w:hint="eastAsia" w:ascii="宋体" w:hAnsi="宋体" w:cs="宋体"/>
                <w:sz w:val="24"/>
                <w:szCs w:val="24"/>
              </w:rPr>
              <w:t xml:space="preserve">1个出入口（封闭）</w:t>
            </w:r>
            <w:r/>
          </w:p>
        </w:tc>
      </w:tr>
      <w:tr>
        <w:trPr>
          <w:cantSplit/>
        </w:trPr>
        <w:tc>
          <w:tcPr>
            <w:gridSpan w:val="4"/>
            <w:tcW w:w="44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结构类型、层数、单元数：19个</w:t>
            </w:r>
            <w:r/>
          </w:p>
        </w:tc>
        <w:tc>
          <w:tcPr>
            <w:gridSpan w:val="3"/>
            <w:tcW w:w="470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见下表</w:t>
            </w:r>
            <w:r/>
          </w:p>
        </w:tc>
      </w:tr>
      <w:tr>
        <w:trPr>
          <w:cantSplit/>
        </w:trPr>
        <w:tc>
          <w:tcPr>
            <w:gridSpan w:val="4"/>
            <w:tcW w:w="44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公共走道、楼梯、电梯厅装修标准</w:t>
            </w:r>
            <w:r/>
          </w:p>
        </w:tc>
        <w:tc>
          <w:tcPr>
            <w:gridSpan w:val="3"/>
            <w:tcW w:w="470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涂料</w:t>
            </w:r>
            <w:r/>
          </w:p>
        </w:tc>
      </w:tr>
      <w:tr>
        <w:trPr>
          <w:cantSplit/>
        </w:trPr>
        <w:tc>
          <w:tcPr>
            <w:gridSpan w:val="2"/>
            <w:tcW w:w="18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5"/>
            <w:tcW w:w="7284"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641"/>
        <w:gridCol w:w="2839"/>
        <w:gridCol w:w="3000"/>
      </w:tblGrid>
      <w:tr>
        <w:trPr>
          <w:cantSplit/>
        </w:trPr>
        <w:tc>
          <w:tcPr>
            <w:gridSpan w:val="4"/>
            <w:tcW w:w="916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魏村花苑（60-65）总体公建配套情况</w:t>
            </w:r>
            <w:r/>
          </w:p>
        </w:tc>
      </w:tr>
      <w:tr>
        <w:trPr>
          <w:cantSplit/>
        </w:trPr>
        <w:tc>
          <w:tcPr>
            <w:gridSpan w:val="4"/>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1、地下车库面积：</w:t>
            </w:r>
            <w:r/>
          </w:p>
        </w:tc>
      </w:tr>
      <w:tr>
        <w:trPr>
          <w:cantSplit/>
        </w:trPr>
        <w:tc>
          <w:tcPr>
            <w:tcW w:w="68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其</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t xml:space="preserve">中</w:t>
            </w:r>
            <w:r/>
          </w:p>
        </w:tc>
        <w:tc>
          <w:tcPr>
            <w:gridSpan w:val="2"/>
            <w:tcW w:w="548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机动车库:    （㎡）</w:t>
            </w:r>
            <w:r/>
          </w:p>
        </w:tc>
        <w:tc>
          <w:tcPr>
            <w:tcW w:w="300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汽车位：</w:t>
            </w:r>
            <w:r/>
          </w:p>
        </w:tc>
      </w:tr>
      <w:tr>
        <w:trPr>
          <w:cantSplit/>
        </w:trPr>
        <w:tc>
          <w:tcPr>
            <w:tcW w:w="689" w:type="dxa"/>
            <w:vAlign w:val="center"/>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gridSpan w:val="2"/>
            <w:tcW w:w="548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非机动车：   （㎡）</w:t>
            </w:r>
            <w:r/>
          </w:p>
        </w:tc>
        <w:tc>
          <w:tcPr>
            <w:tcW w:w="3000" w:type="dxa"/>
            <w:vAlign w:val="center"/>
            <w:textDirection w:val="lrTb"/>
            <w:noWrap w:val="false"/>
          </w:tcPr>
          <w:p>
            <w:pPr>
              <w:ind w:left="65" w:hanging="64"/>
              <w:spacing w:line="360" w:lineRule="auto"/>
              <w:rPr>
                <w:rFonts w:hint="eastAsia" w:ascii="宋体" w:hAnsi="宋体" w:cs="宋体"/>
                <w:sz w:val="24"/>
                <w:szCs w:val="24"/>
              </w:rPr>
            </w:pPr>
            <w:r>
              <w:rPr>
                <w:rFonts w:hint="eastAsia" w:ascii="宋体" w:hAnsi="宋体" w:cs="宋体"/>
                <w:sz w:val="24"/>
                <w:szCs w:val="24"/>
              </w:rPr>
              <w:t xml:space="preserve">人防地下室（公益性）：    （㎡）</w:t>
            </w:r>
            <w:r/>
          </w:p>
        </w:tc>
      </w:tr>
      <w:tr>
        <w:trPr>
          <w:cantSplit/>
        </w:trPr>
        <w:tc>
          <w:tcPr>
            <w:gridSpan w:val="2"/>
            <w:tcW w:w="3330" w:type="dxa"/>
            <w:vAlign w:val="center"/>
            <w:textDirection w:val="lrTb"/>
            <w:noWrap w:val="false"/>
          </w:tcPr>
          <w:p>
            <w:pPr>
              <w:ind w:left="720" w:hanging="720"/>
              <w:jc w:val="left"/>
              <w:spacing w:line="360" w:lineRule="auto"/>
              <w:rPr>
                <w:rFonts w:hint="eastAsia" w:ascii="宋体" w:hAnsi="宋体" w:cs="宋体"/>
                <w:sz w:val="24"/>
                <w:szCs w:val="24"/>
              </w:rPr>
            </w:pPr>
            <w:r>
              <w:rPr>
                <w:rFonts w:hint="eastAsia" w:ascii="宋体" w:hAnsi="宋体" w:cs="宋体"/>
                <w:sz w:val="24"/>
                <w:szCs w:val="24"/>
              </w:rPr>
              <w:t xml:space="preserve">2、住宅地面停车位：（辆）</w:t>
            </w:r>
            <w:r/>
          </w:p>
        </w:tc>
        <w:tc>
          <w:tcPr>
            <w:tcW w:w="2839" w:type="dxa"/>
            <w:vAlign w:val="center"/>
            <w:textDirection w:val="lrTb"/>
            <w:noWrap w:val="false"/>
          </w:tcPr>
          <w:p>
            <w:pPr>
              <w:ind w:firstLine="45"/>
              <w:jc w:val="left"/>
              <w:spacing w:line="360" w:lineRule="auto"/>
              <w:rPr>
                <w:rFonts w:hint="eastAsia" w:ascii="宋体" w:hAnsi="宋体" w:cs="宋体"/>
                <w:sz w:val="24"/>
                <w:szCs w:val="24"/>
              </w:rPr>
            </w:pPr>
            <w:r>
              <w:rPr>
                <w:rFonts w:hint="eastAsia" w:ascii="宋体" w:hAnsi="宋体" w:cs="宋体"/>
                <w:sz w:val="24"/>
                <w:szCs w:val="24"/>
              </w:rPr>
              <w:t xml:space="preserve">物业管理用房：</w:t>
            </w:r>
            <w:r/>
          </w:p>
        </w:tc>
        <w:tc>
          <w:tcPr>
            <w:tcW w:w="300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商业用房：（㎡）</w:t>
            </w:r>
            <w:r/>
          </w:p>
        </w:tc>
      </w:tr>
      <w:tr>
        <w:trPr>
          <w:cantSplit/>
        </w:trPr>
        <w:tc>
          <w:tcPr>
            <w:gridSpan w:val="4"/>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其它：自行踏勘现场</w:t>
            </w:r>
            <w:r/>
          </w:p>
        </w:tc>
      </w:tr>
      <w:tr>
        <w:trPr>
          <w:cantSplit/>
        </w:trPr>
        <w:tc>
          <w:tcPr>
            <w:gridSpan w:val="4"/>
            <w:tcW w:w="916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bl>
    <w:p>
      <w:pPr>
        <w:pStyle w:val="706"/>
        <w:spacing w:after="0" w:line="360" w:lineRule="auto"/>
        <w:rPr>
          <w:sz w:val="24"/>
        </w:rPr>
      </w:pPr>
      <w:r>
        <w:rPr>
          <w:sz w:val="24"/>
        </w:rPr>
      </w:r>
      <w:r/>
    </w:p>
    <w:tbl>
      <w:tblPr>
        <w:tblStyle w:val="70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2459"/>
        <w:gridCol w:w="2087"/>
        <w:gridCol w:w="2547"/>
      </w:tblGrid>
      <w:tr>
        <w:trPr/>
        <w:tc>
          <w:tcPr>
            <w:gridSpan w:val="4"/>
            <w:tcW w:w="9169" w:type="dxa"/>
            <w:textDirection w:val="lrTb"/>
            <w:noWrap w:val="false"/>
          </w:tcPr>
          <w:p>
            <w:pPr>
              <w:jc w:val="center"/>
              <w:spacing w:line="360" w:lineRule="auto"/>
              <w:rPr>
                <w:rFonts w:hint="eastAsia" w:ascii="宋体" w:hAnsi="宋体" w:cs="宋体"/>
                <w:sz w:val="24"/>
                <w:szCs w:val="24"/>
              </w:rPr>
            </w:pPr>
            <w:r>
              <w:rPr>
                <w:rFonts w:hint="eastAsia" w:ascii="宋体" w:hAnsi="宋体" w:cs="宋体"/>
                <w:b/>
                <w:bCs/>
                <w:sz w:val="24"/>
                <w:szCs w:val="24"/>
              </w:rPr>
              <w:t xml:space="preserve">魏村花苑（60-65）项目信息表</w:t>
            </w:r>
            <w:r/>
          </w:p>
        </w:tc>
      </w:tr>
      <w:tr>
        <w:trPr/>
        <w:tc>
          <w:tcPr>
            <w:tcW w:w="2076"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房号</w:t>
            </w:r>
            <w:r/>
          </w:p>
        </w:tc>
        <w:tc>
          <w:tcPr>
            <w:tcBorders>
              <w:right w:val="single" w:color="auto" w:sz="4" w:space="0"/>
            </w:tcBorders>
            <w:tcW w:w="24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单元数量</w:t>
            </w:r>
            <w:r/>
          </w:p>
        </w:tc>
        <w:tc>
          <w:tcPr>
            <w:tcBorders>
              <w:left w:val="single" w:color="auto" w:sz="4" w:space="0"/>
            </w:tcBorders>
            <w:tcW w:w="208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层数</w:t>
            </w:r>
            <w:r/>
          </w:p>
        </w:tc>
        <w:tc>
          <w:tcPr>
            <w:tcW w:w="254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60幢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rHeight w:val="312"/>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61幢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62幢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63幢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64幢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r>
        <w:trPr/>
        <w:tc>
          <w:tcPr>
            <w:tcW w:w="20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65幢</w:t>
            </w:r>
            <w:r/>
          </w:p>
        </w:tc>
        <w:tc>
          <w:tcPr>
            <w:tcBorders>
              <w:right w:val="single" w:color="auto" w:sz="4" w:space="0"/>
            </w:tcBorders>
            <w:tcW w:w="24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4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一层是车库</w:t>
            </w:r>
            <w:r/>
          </w:p>
        </w:tc>
      </w:tr>
    </w:tbl>
    <w:p>
      <w:pPr>
        <w:spacing w:line="360" w:lineRule="auto"/>
        <w:rPr>
          <w:sz w:val="24"/>
          <w:szCs w:val="24"/>
        </w:rPr>
      </w:pPr>
      <w:r>
        <w:rPr>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759"/>
        <w:gridCol w:w="2285"/>
        <w:gridCol w:w="2259"/>
      </w:tblGrid>
      <w:tr>
        <w:trPr>
          <w:cantSplit/>
          <w:trHeight w:val="70"/>
        </w:trPr>
        <w:tc>
          <w:tcPr>
            <w:gridSpan w:val="4"/>
            <w:tcW w:w="916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
                <w:bCs/>
                <w:sz w:val="24"/>
                <w:szCs w:val="24"/>
              </w:rPr>
              <w:t xml:space="preserve">魏村花苑（1-14）设施设备情况</w:t>
            </w:r>
            <w:r/>
          </w:p>
        </w:tc>
      </w:tr>
      <w:tr>
        <w:trPr>
          <w:cantSplit/>
          <w:trHeight w:val="70"/>
        </w:trPr>
        <w:tc>
          <w:tcPr>
            <w:gridSpan w:val="2"/>
            <w:tcW w:w="462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项目</w:t>
            </w:r>
            <w:r/>
          </w:p>
        </w:tc>
        <w:tc>
          <w:tcPr>
            <w:tcW w:w="2285" w:type="dxa"/>
            <w:vAlign w:val="center"/>
            <w:textDirection w:val="lrTb"/>
            <w:noWrap w:val="false"/>
          </w:tcPr>
          <w:p>
            <w:pPr>
              <w:ind w:firstLine="34"/>
              <w:jc w:val="center"/>
              <w:spacing w:line="360" w:lineRule="auto"/>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无</w:t>
            </w:r>
            <w:r/>
          </w:p>
        </w:tc>
      </w:tr>
      <w:tr>
        <w:trPr>
          <w:cantSplit/>
          <w:trHeight w:val="70"/>
        </w:trPr>
        <w:tc>
          <w:tcPr>
            <w:gridSpan w:val="2"/>
            <w:tcW w:w="462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1、供配电系统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97"/>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2、道路系统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70"/>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3、给水系统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70"/>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4、排水系统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110"/>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5、智能化系统：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70"/>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（1）监控系统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（2）周界安保系统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（3）对讲系统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（4）安防系统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（5）综合布线</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（6）门禁系统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（7）巡更系统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（8）车辆管理系统</w:t>
            </w:r>
            <w:r/>
          </w:p>
        </w:tc>
        <w:tc>
          <w:tcPr>
            <w:tcW w:w="228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6、消防系统：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（1）消火栓系统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（2）喷淋系统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（3）消防报警控制系统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（4）排烟机</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7、照明系统：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（1）庭院灯</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（2）楼道灯</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（3）景观灯</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Height w:val="413"/>
        </w:trPr>
        <w:tc>
          <w:tcPr>
            <w:gridSpan w:val="2"/>
            <w:tcW w:w="4625"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8、公共音响系统</w:t>
            </w:r>
            <w:r/>
          </w:p>
        </w:tc>
        <w:tc>
          <w:tcPr>
            <w:tcW w:w="228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cantSplit/>
        </w:trPr>
        <w:tc>
          <w:tcPr>
            <w:gridSpan w:val="4"/>
            <w:tcW w:w="9169" w:type="dxa"/>
            <w:vAlign w:val="center"/>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9、建筑小品       </w:t>
            </w:r>
            <w:r/>
          </w:p>
        </w:tc>
      </w:tr>
      <w:tr>
        <w:trPr>
          <w:cantSplit/>
          <w:trHeight w:val="70"/>
        </w:trPr>
        <w:tc>
          <w:tcPr>
            <w:tcW w:w="866" w:type="dxa"/>
            <w:vMerge w:val="restart"/>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10、电</w:t>
            </w:r>
            <w:r/>
          </w:p>
          <w:p>
            <w:pPr>
              <w:spacing w:line="360" w:lineRule="auto"/>
              <w:rPr>
                <w:rFonts w:hint="eastAsia" w:ascii="宋体" w:hAnsi="宋体" w:cs="宋体"/>
                <w:b/>
                <w:bCs/>
                <w:sz w:val="24"/>
                <w:szCs w:val="24"/>
              </w:rPr>
            </w:pPr>
            <w:r>
              <w:rPr>
                <w:rFonts w:hint="eastAsia" w:ascii="宋体" w:hAnsi="宋体" w:cs="宋体"/>
                <w:sz w:val="24"/>
                <w:szCs w:val="24"/>
              </w:rPr>
              <w:t xml:space="preserve">梯</w:t>
            </w:r>
            <w:r/>
          </w:p>
        </w:tc>
        <w:tc>
          <w:tcPr>
            <w:gridSpan w:val="3"/>
            <w:tcW w:w="830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台数：无</w:t>
            </w:r>
            <w:r/>
          </w:p>
        </w:tc>
      </w:tr>
      <w:tr>
        <w:trPr>
          <w:cantSplit/>
          <w:trHeight w:val="70"/>
        </w:trPr>
        <w:tc>
          <w:tcPr>
            <w:tcW w:w="866"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梯速：</w:t>
            </w:r>
            <w:r/>
          </w:p>
        </w:tc>
      </w:tr>
      <w:tr>
        <w:trPr>
          <w:cantSplit/>
          <w:trHeight w:val="70"/>
        </w:trPr>
        <w:tc>
          <w:tcPr>
            <w:tcW w:w="866"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品牌：</w:t>
            </w:r>
            <w:r/>
          </w:p>
        </w:tc>
      </w:tr>
      <w:tr>
        <w:trPr>
          <w:cantSplit/>
          <w:trHeight w:val="70"/>
        </w:trPr>
        <w:tc>
          <w:tcPr>
            <w:tcW w:w="866"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auto"/>
              <w:rPr>
                <w:rFonts w:hint="eastAsia" w:ascii="宋体" w:hAnsi="宋体" w:cs="宋体"/>
                <w:sz w:val="24"/>
                <w:szCs w:val="24"/>
                <w:u w:val="single"/>
              </w:rPr>
            </w:pPr>
            <w:r>
              <w:rPr>
                <w:rFonts w:hint="eastAsia" w:ascii="宋体" w:hAnsi="宋体" w:cs="宋体"/>
                <w:sz w:val="24"/>
                <w:szCs w:val="24"/>
              </w:rPr>
              <w:t xml:space="preserve">载重：</w:t>
            </w:r>
            <w:r/>
          </w:p>
        </w:tc>
      </w:tr>
      <w:tr>
        <w:trPr>
          <w:cantSplit/>
          <w:trHeight w:val="70"/>
        </w:trPr>
        <w:tc>
          <w:tcPr>
            <w:tcW w:w="866" w:type="dxa"/>
            <w:vMerge w:val="continue"/>
            <w:textDirection w:val="lrTb"/>
            <w:noWrap w:val="false"/>
          </w:tcPr>
          <w:p>
            <w:pPr>
              <w:ind w:firstLine="482"/>
              <w:spacing w:line="360" w:lineRule="auto"/>
              <w:rPr>
                <w:rFonts w:hint="eastAsia" w:ascii="宋体" w:hAnsi="宋体" w:cs="宋体"/>
                <w:b/>
                <w:bCs/>
                <w:sz w:val="24"/>
                <w:szCs w:val="24"/>
              </w:rPr>
            </w:pPr>
            <w:r>
              <w:rPr>
                <w:rFonts w:hint="eastAsia" w:ascii="宋体" w:hAnsi="宋体" w:cs="宋体"/>
                <w:b/>
                <w:bCs/>
                <w:sz w:val="24"/>
                <w:szCs w:val="24"/>
              </w:rPr>
            </w:r>
            <w:r/>
          </w:p>
        </w:tc>
        <w:tc>
          <w:tcPr>
            <w:gridSpan w:val="3"/>
            <w:tcW w:w="8303" w:type="dxa"/>
            <w:textDirection w:val="lrTb"/>
            <w:noWrap w:val="false"/>
          </w:tcPr>
          <w:p>
            <w:pPr>
              <w:spacing w:line="360" w:lineRule="auto"/>
              <w:rPr>
                <w:rFonts w:hint="eastAsia" w:ascii="宋体" w:hAnsi="宋体" w:cs="宋体"/>
                <w:b/>
                <w:bCs/>
                <w:sz w:val="24"/>
                <w:szCs w:val="24"/>
              </w:rPr>
            </w:pPr>
            <w:r>
              <w:rPr>
                <w:rFonts w:hint="eastAsia" w:ascii="宋体" w:hAnsi="宋体" w:cs="宋体"/>
                <w:sz w:val="24"/>
                <w:szCs w:val="24"/>
              </w:rPr>
              <w:t xml:space="preserve">备注：</w:t>
            </w:r>
            <w:r/>
          </w:p>
        </w:tc>
      </w:tr>
    </w:tbl>
    <w:p>
      <w:pPr>
        <w:ind w:firstLine="420"/>
        <w:spacing w:line="360" w:lineRule="auto"/>
        <w:tabs>
          <w:tab w:val="left" w:pos="2307" w:leader="none"/>
        </w:tabs>
        <w:rPr>
          <w:rFonts w:hint="eastAsia" w:ascii="宋体" w:hAnsi="宋体" w:cs="宋体"/>
          <w:sz w:val="24"/>
          <w:szCs w:val="24"/>
        </w:rPr>
      </w:pPr>
      <w:r>
        <w:rPr>
          <w:rFonts w:hint="eastAsia" w:ascii="宋体" w:hAnsi="宋体" w:cs="宋体"/>
          <w:sz w:val="24"/>
          <w:szCs w:val="24"/>
        </w:rPr>
        <w:t xml:space="preserve">其它数据等情况供应商可自行勘察，了解一切可能影响响应方案、报价等编制响应文件的资料，并承担考查现场的责任和风险以及踏勘现场所发生的自身费用。成交后，成交供应商人不得以不完全了解施工现场及周围环境为由，提出额外款项增加等要求。</w:t>
      </w:r>
      <w:r/>
    </w:p>
    <w:p>
      <w:pPr>
        <w:ind w:firstLine="420"/>
        <w:spacing w:line="360" w:lineRule="auto"/>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w:t>
      </w:r>
      <w:r>
        <w:rPr>
          <w:rFonts w:hint="eastAsia" w:ascii="宋体" w:hAnsi="宋体"/>
          <w:sz w:val="24"/>
          <w:lang w:val="zh-CN"/>
        </w:rPr>
        <w:t xml:space="preserve">房屋建筑公用部位的维修、养护和管理，包括：楼盖、屋顶、外墙面、 承重结构、楼梯间、走廊通道、门厅等。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1.2</w:t>
      </w:r>
      <w:r>
        <w:rPr>
          <w:rFonts w:hint="eastAsia" w:ascii="宋体" w:hAnsi="宋体"/>
          <w:sz w:val="24"/>
          <w:lang w:val="zh-CN"/>
        </w:rPr>
        <w:t xml:space="preserve">共用设施、设备的维修、养护、运行和管理，包括：共用的上下水管道、落水管、垃圾道、烟囱、共用照明、天线、楼内消防设施设备等。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1.3</w:t>
      </w:r>
      <w:r>
        <w:rPr>
          <w:rFonts w:hint="eastAsia" w:ascii="宋体" w:hAnsi="宋体"/>
          <w:sz w:val="24"/>
          <w:lang w:val="zh-CN"/>
        </w:rPr>
        <w:t xml:space="preserve">市政共用设施和附属物、构筑物的维修、养护和管理，包括道路、室外上下水管道、化粪池、沟渠、池、井、自行车棚、停车场等。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1.4</w:t>
      </w:r>
      <w:r>
        <w:rPr>
          <w:rFonts w:hint="eastAsia" w:ascii="宋体" w:hAnsi="宋体"/>
          <w:sz w:val="24"/>
          <w:lang w:val="zh-CN"/>
        </w:rPr>
        <w:t xml:space="preserve">公用绿地、花木、建筑小品等的养护与管理。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1.5</w:t>
      </w:r>
      <w:r>
        <w:rPr>
          <w:rFonts w:hint="eastAsia" w:ascii="宋体" w:hAnsi="宋体"/>
          <w:sz w:val="24"/>
          <w:lang w:val="zh-CN"/>
        </w:rPr>
        <w:t xml:space="preserve">附属配套建筑和设施的维修、养护和管理，包括商业网点、文化体育娱乐场所等。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公共环境卫生，包括公共场所、房屋共用部分的清洁卫生、垃圾的收集、清运等。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交通与车辆停放秩序的管理。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装修秩序管理，202</w:t>
      </w:r>
      <w:r>
        <w:rPr>
          <w:rFonts w:hint="eastAsia" w:ascii="宋体" w:hAnsi="宋体"/>
          <w:sz w:val="24"/>
        </w:rPr>
        <w:t xml:space="preserve">6</w:t>
      </w:r>
      <w:r>
        <w:rPr>
          <w:rFonts w:hint="eastAsia" w:ascii="宋体" w:hAnsi="宋体"/>
          <w:sz w:val="24"/>
          <w:lang w:val="zh-CN"/>
        </w:rPr>
        <w:t xml:space="preserve">年1月1日起建筑垃圾清运费用由中标供应商承担。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维持公共秩序，包括安全监控、巡视、门岗执勤、小区巡逻等。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1.10</w:t>
      </w:r>
      <w:r>
        <w:rPr>
          <w:rFonts w:hint="eastAsia" w:ascii="宋体" w:hAnsi="宋体"/>
          <w:sz w:val="24"/>
          <w:lang w:val="zh-CN"/>
        </w:rPr>
        <w:t xml:space="preserve">日常管理与服务：包括业主或使用人的保修、投诉受理，小区文化活动的开展，告知业主或使用人装修应注意的事项，与物业相关的工程图纸、业主档案与竣工验收资料的保管等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1.11</w:t>
      </w:r>
      <w:r>
        <w:rPr>
          <w:rFonts w:hint="eastAsia" w:ascii="宋体" w:hAnsi="宋体"/>
          <w:sz w:val="24"/>
          <w:lang w:val="zh-CN"/>
        </w:rPr>
        <w:t xml:space="preserve">对业主和物业使用人违反业主公约的行为，针对具体行为并根据情节轻重，采取批评、规劝、警告、制止等措施。</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1.12</w:t>
      </w:r>
      <w:r>
        <w:rPr>
          <w:rFonts w:hint="eastAsia" w:ascii="宋体" w:hAnsi="宋体"/>
          <w:sz w:val="24"/>
          <w:lang w:val="zh-CN"/>
        </w:rPr>
        <w:t xml:space="preserve">中标供应商要履行安置户房产交易变更后的物业费收取和车辆停放服务费收取的工作职责，须为商业用房提供物业服务，并负责向商业用房使用人收取相关费用。</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1.13</w:t>
      </w:r>
      <w:r>
        <w:rPr>
          <w:rFonts w:hint="eastAsia" w:ascii="宋体" w:hAnsi="宋体"/>
          <w:sz w:val="24"/>
          <w:lang w:val="zh-CN"/>
        </w:rPr>
        <w:t xml:space="preserve">单次500元以上（以审计结果为准）公共设施维修费用由社区承担，500元以下由中标供应商承担。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1.14</w:t>
      </w:r>
      <w:r>
        <w:rPr>
          <w:rFonts w:hint="eastAsia" w:ascii="宋体" w:hAnsi="宋体"/>
          <w:sz w:val="24"/>
          <w:lang w:val="zh-CN"/>
        </w:rPr>
        <w:t xml:space="preserve">业主和物业使用人房屋自用部分，自用设施及设备的维修、养护，在当事人提出委托时，乙方应接受委托与当事人商定合理收费。</w:t>
      </w:r>
      <w:r/>
    </w:p>
    <w:p>
      <w:pPr>
        <w:ind w:firstLine="480"/>
        <w:jc w:val="left"/>
        <w:spacing w:line="360" w:lineRule="auto"/>
        <w:widowControl/>
      </w:pPr>
      <w:r>
        <w:rPr>
          <w:rFonts w:hint="eastAsia" w:ascii="宋体" w:hAnsi="宋体"/>
          <w:sz w:val="24"/>
        </w:rPr>
        <w:t xml:space="preserve">1.15</w:t>
      </w:r>
      <w:r>
        <w:rPr>
          <w:rFonts w:hint="eastAsia" w:ascii="宋体" w:hAnsi="宋体"/>
          <w:sz w:val="24"/>
          <w:lang w:val="zh-CN"/>
        </w:rPr>
        <w:t xml:space="preserve">其他委托事项：另行协商。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2、其他说明</w:t>
      </w:r>
      <w:r/>
    </w:p>
    <w:p>
      <w:pPr>
        <w:ind w:firstLine="480"/>
        <w:spacing w:line="360" w:lineRule="auto"/>
        <w:rPr>
          <w:rFonts w:hint="eastAsia" w:ascii="宋体" w:hAnsi="宋体" w:cs="宋体"/>
          <w:sz w:val="24"/>
          <w:szCs w:val="24"/>
        </w:rPr>
      </w:pPr>
      <w:r>
        <w:rPr>
          <w:rFonts w:hint="eastAsia" w:ascii="宋体" w:hAnsi="宋体" w:cs="宋体"/>
          <w:color w:val="ff0000"/>
          <w:sz w:val="24"/>
          <w:szCs w:val="24"/>
          <w:highlight w:val="yellow"/>
        </w:rPr>
        <w:t xml:space="preserve">本项目报价包含所有小区住户及配套商业部分物业服务费，投标人不得另行收取，</w:t>
      </w:r>
      <w:r>
        <w:rPr>
          <w:rFonts w:hint="eastAsia" w:ascii="宋体" w:hAnsi="宋体" w:cs="宋体"/>
          <w:sz w:val="24"/>
          <w:szCs w:val="24"/>
        </w:rPr>
        <w:t xml:space="preserve">具体以甲方书面通知为准。</w:t>
      </w:r>
      <w:r/>
    </w:p>
    <w:p>
      <w:pPr>
        <w:pStyle w:val="692"/>
        <w:jc w:val="left"/>
        <w:spacing w:before="0" w:after="0" w:line="440" w:lineRule="exact"/>
        <w:tabs>
          <w:tab w:val="left" w:pos="1380" w:leader="none"/>
        </w:tabs>
        <w:rPr>
          <w:rFonts w:hint="eastAsia" w:ascii="宋体" w:hAnsi="宋体" w:eastAsia="宋体" w:cs="宋体"/>
          <w:sz w:val="24"/>
          <w:szCs w:val="24"/>
          <w:highlight w:val="red"/>
        </w:rPr>
      </w:pPr>
      <w:r>
        <w:rPr>
          <w:rFonts w:hint="eastAsia" w:ascii="宋体" w:hAnsi="宋体" w:eastAsia="宋体" w:cs="宋体"/>
          <w:sz w:val="24"/>
          <w:szCs w:val="24"/>
          <w:highlight w:val="red"/>
        </w:rPr>
        <w:t xml:space="preserve">3.人员要求</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为了保证服务质量，人员配备必须遵守《劳动法》等相规定，避免引起劳动纠纷，本项目配备人员清单如下：</w:t>
      </w:r>
      <w:r/>
    </w:p>
    <w:tbl>
      <w:tblPr>
        <w:tblStyle w:val="70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2130"/>
        <w:gridCol w:w="5052"/>
      </w:tblGrid>
      <w:tr>
        <w:trPr>
          <w:cantSplit/>
          <w:jc w:val="center"/>
          <w:trHeight w:val="369"/>
        </w:trPr>
        <w:tc>
          <w:tcPr>
            <w:tcW w:w="1983"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岗位设置</w:t>
            </w:r>
            <w:r/>
          </w:p>
        </w:tc>
        <w:tc>
          <w:tcPr>
            <w:tcW w:w="2130"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highlight w:val="yellow"/>
              </w:rPr>
              <w:t xml:space="preserve">人数（不少于）</w:t>
            </w:r>
            <w:r/>
          </w:p>
        </w:tc>
        <w:tc>
          <w:tcPr>
            <w:tcW w:w="5052"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要求</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项目经理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男女不限，年龄在55周岁（含）以下，具有大专（含）以上文化程度、2年以上物业经理经验。</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客服兼内勤及档案信息管理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男女不限，大专（含）以上文化程度，身体健康。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水电工、维修人员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男女不限，55周岁（含）以下，身体健康，具有高中以上文化程度，从事水电气维修工作三年以上经验，精通水电气维修。</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保安人员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12人</w:t>
            </w:r>
            <w:r/>
          </w:p>
        </w:tc>
        <w:tc>
          <w:tcPr>
            <w:tcW w:w="5052" w:type="dxa"/>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车辆管理人员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保洁人员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15</w:t>
            </w:r>
            <w:r>
              <w:rPr>
                <w:rFonts w:ascii="宋体" w:hAnsi="宋体" w:cs="宋体"/>
                <w:color w:val="ff0000"/>
                <w:sz w:val="24"/>
                <w:szCs w:val="24"/>
                <w:highlight w:val="yellow"/>
              </w:rPr>
              <w:t xml:space="preserve">人</w:t>
            </w:r>
            <w:r/>
          </w:p>
        </w:tc>
        <w:tc>
          <w:tcPr>
            <w:tcW w:w="5052" w:type="dxa"/>
            <w:vAlign w:val="center"/>
            <w:textDirection w:val="lrTb"/>
            <w:noWrap w:val="false"/>
          </w:tcPr>
          <w:p>
            <w:pPr>
              <w:jc w:val="center"/>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小 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33人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r>
            <w:r/>
          </w:p>
        </w:tc>
      </w:tr>
    </w:tbl>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（1）上述人员须在合同签订后15日内配备到位，并经培训考核合格后方可上岗。招标人有权对中标供应商招聘的人员进行考察，发现有不符合工作要求的，有权要求中标供应商更换。</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（7）鼓励中标供应商自行通过对小区智能化系统等设备提升等方式提升管理效能。</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（8）供应商必须严格执行国家、省、市关于用工工资标准等有关政策规定，并承担其雇员的劳动报酬、福利待遇，承担未正确执行劳动法用工规定所产生的法律责任，维护和保障员工的合法权益。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9）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10）在项目实施过程中因重大事件、会议活动、上级检查等情况临时额外增加工作人员的，中标供应商必须无条件按招标人需求进行临时增配协助，该情况费用应考虑在投标报价之内，招标人不再另行支付该部分费用。</w:t>
      </w:r>
      <w:r/>
    </w:p>
    <w:p>
      <w:pPr>
        <w:ind w:firstLine="480"/>
        <w:jc w:val="left"/>
        <w:spacing w:line="440" w:lineRule="exact"/>
        <w:rPr>
          <w:rFonts w:hint="eastAsia" w:ascii="宋体" w:hAnsi="宋体" w:cs="宋体"/>
          <w:sz w:val="24"/>
          <w:szCs w:val="24"/>
          <w:highlight w:val="yellow"/>
        </w:rPr>
      </w:pPr>
      <w:r>
        <w:rPr>
          <w:rFonts w:hint="eastAsia" w:ascii="宋体" w:hAnsi="宋体" w:cs="宋体"/>
          <w:sz w:val="24"/>
          <w:szCs w:val="24"/>
          <w:highlight w:val="yellow"/>
        </w:rPr>
        <w:t xml:space="preserve">（</w:t>
      </w:r>
      <w:r>
        <w:rPr>
          <w:rFonts w:ascii="宋体" w:hAnsi="宋体" w:cs="宋体"/>
          <w:sz w:val="24"/>
          <w:szCs w:val="24"/>
          <w:highlight w:val="yellow"/>
        </w:rPr>
        <w:t xml:space="preserve">11</w:t>
      </w:r>
      <w:r>
        <w:rPr>
          <w:rFonts w:hint="eastAsia" w:ascii="宋体" w:hAnsi="宋体" w:cs="宋体"/>
          <w:sz w:val="24"/>
          <w:szCs w:val="24"/>
          <w:highlight w:val="yellow"/>
        </w:rPr>
        <w:t xml:space="preserve">）中标供应商支付工人工资必须严格按照《中华人民共和国劳动法》执行，不得以招标人按半年度付款及自身经营等原因拖欠工人工资</w:t>
      </w:r>
      <w:r>
        <w:rPr>
          <w:rFonts w:ascii="宋体" w:hAnsi="宋体" w:cs="宋体"/>
          <w:sz w:val="24"/>
          <w:szCs w:val="24"/>
          <w:highlight w:val="yellow"/>
        </w:rPr>
        <w:t xml:space="preserve">。</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七、物业管理有关说明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p>
    <w:p>
      <w:pPr>
        <w:ind w:firstLine="480"/>
        <w:spacing w:line="440" w:lineRule="exact"/>
        <w:rPr>
          <w:rFonts w:hint="eastAsia" w:ascii="宋体" w:hAnsi="宋体" w:cs="宋体"/>
          <w:sz w:val="24"/>
          <w:szCs w:val="24"/>
        </w:rPr>
      </w:pPr>
      <w:r>
        <w:rPr>
          <w:rFonts w:ascii="宋体" w:hAnsi="宋体" w:cs="宋体"/>
          <w:sz w:val="24"/>
          <w:szCs w:val="24"/>
        </w:rPr>
        <w:t xml:space="preserve">4、办公区域的水电费由中标供应商自行承担。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（1）中标供应商违反国家相关法规，与其聘用人员发生纠纷，均由中标供应商负责调解与处理，招标人不承担任何责任，并有权解除合同，所产生的一切后果由中标供应商负责。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（2）因中标供应商服务不合格而提前终止服务合同，中标供应商应承担全部的责任及负责全部人员的安置，不得向招标人提出赔偿。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（3）中标供应商服务人员在岗履行工作职责期间，发生自身的人身伤害、伤亡等，均由中标供应商负责处理并承担经济和道义上的责任，招标人不承担任何责任。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（4）中标供应商人员在管理服务中违反国家相关法规或行业规范，因过失造成他人人身伤亡的，均由中标供应商负责处理并承担经济和道义上的责任，招标人不承担任何责任。</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八、物业费用测算要求</w:t>
      </w:r>
      <w:r/>
    </w:p>
    <w:p>
      <w:pPr>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ind w:firstLine="480"/>
        <w:jc w:val="left"/>
        <w:spacing w:line="440" w:lineRule="exact"/>
        <w:rPr>
          <w:rFonts w:hint="eastAsia" w:ascii="宋体" w:hAnsi="宋体" w:cs="宋体"/>
          <w:b/>
          <w:color w:val="000000"/>
          <w:sz w:val="24"/>
          <w:szCs w:val="24"/>
          <w:highlight w:val="yellow"/>
          <w:u w:val="single"/>
        </w:rPr>
      </w:pPr>
      <w:r>
        <w:rPr>
          <w:rFonts w:hint="eastAsia" w:ascii="宋体" w:hAnsi="宋体" w:cs="宋体"/>
          <w:bCs/>
          <w:color w:val="000000"/>
          <w:sz w:val="24"/>
          <w:szCs w:val="24"/>
          <w:highlight w:val="yellow"/>
        </w:rPr>
        <w:t xml:space="preserve">2.费用测算要求：</w:t>
      </w:r>
      <w:r>
        <w:rPr>
          <w:rFonts w:hint="eastAsia" w:ascii="宋体" w:hAnsi="宋体" w:cs="宋体"/>
          <w:b/>
          <w:color w:val="000000"/>
          <w:sz w:val="24"/>
          <w:szCs w:val="24"/>
          <w:highlight w:val="yellow"/>
          <w:u w:val="single"/>
        </w:rPr>
        <w:t xml:space="preserve">带★的条款要求投标人必须完全响应，不响应的作为无效响应处理。</w:t>
      </w:r>
      <w:r/>
    </w:p>
    <w:p>
      <w:pPr>
        <w:ind w:firstLine="480"/>
        <w:spacing w:line="440" w:lineRule="exact"/>
        <w:rPr>
          <w:rFonts w:hint="eastAsia" w:ascii="宋体" w:hAnsi="宋体" w:cs="宋体"/>
          <w:sz w:val="24"/>
          <w:szCs w:val="24"/>
          <w:highlight w:val="yellow"/>
          <w:u w:val="single"/>
        </w:rPr>
      </w:pPr>
      <w:r>
        <w:rPr>
          <w:rFonts w:hint="eastAsia" w:ascii="宋体" w:hAnsi="宋体" w:cs="宋体"/>
          <w:color w:val="ff0000"/>
          <w:sz w:val="24"/>
          <w:szCs w:val="24"/>
          <w:highlight w:val="yellow"/>
          <w:u w:val="single"/>
        </w:rPr>
        <w:t xml:space="preserve">★（1）项目总配备：项目经理、客服兼内勤及档案信息管理、水电工、维修人员、保安人员、车辆管理人员、保洁人员不少于33人；周末加班人数不少于28人（单休）；国家法定节假日加班人数不少于33人；</w:t>
      </w:r>
      <w:r>
        <w:rPr>
          <w:rFonts w:hint="eastAsia" w:ascii="宋体" w:hAnsi="宋体" w:cs="宋体"/>
          <w:sz w:val="24"/>
          <w:szCs w:val="24"/>
          <w:highlight w:val="yellow"/>
          <w:u w:val="single"/>
        </w:rPr>
        <w:t xml:space="preserve">包括但不限于法定节假日、周末加班、岗位人数安排根据招标人要求进行调整安排。</w:t>
      </w:r>
      <w:r>
        <w:rPr>
          <w:rStyle w:val="728"/>
          <w:rFonts w:hint="eastAsia"/>
          <w:b/>
          <w:bCs/>
          <w:sz w:val="24"/>
          <w:szCs w:val="24"/>
        </w:rPr>
        <w:t xml:space="preserve">（投标人须提供承诺函，格式自拟）</w:t>
      </w:r>
      <w:r/>
    </w:p>
    <w:p>
      <w:pPr>
        <w:ind w:firstLine="480"/>
        <w:jc w:val="left"/>
        <w:spacing w:line="440" w:lineRule="exact"/>
        <w:rPr>
          <w:rFonts w:hint="eastAsia" w:ascii="宋体" w:hAnsi="宋体" w:cs="宋体"/>
          <w:b/>
          <w:bCs/>
          <w:sz w:val="24"/>
          <w:szCs w:val="24"/>
        </w:rPr>
      </w:pPr>
      <w:r>
        <w:rPr>
          <w:rFonts w:hint="eastAsia" w:ascii="宋体" w:hAnsi="宋体" w:cs="宋体"/>
          <w:sz w:val="24"/>
          <w:szCs w:val="24"/>
          <w:highlight w:val="yellow"/>
          <w:u w:val="single"/>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728"/>
          <w:rFonts w:hint="eastAsia"/>
          <w:b/>
          <w:bCs/>
          <w:sz w:val="24"/>
          <w:szCs w:val="24"/>
        </w:rPr>
        <w:t xml:space="preserve">（投标人须提供承诺函，格式自拟）</w:t>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i/>
          <w:sz w:val="28"/>
          <w:szCs w:val="28"/>
          <w:u w:val="single"/>
        </w:rPr>
      </w:pPr>
      <w:r>
        <w:rPr>
          <w:i/>
          <w:sz w:val="28"/>
          <w:szCs w:val="28"/>
          <w:u w:val="single"/>
        </w:rPr>
      </w:r>
      <w:r/>
    </w:p>
    <w:p>
      <w:pPr>
        <w:pStyle w:val="1005"/>
        <w:contextualSpacing w:val="0"/>
        <w:ind w:left="0" w:firstLine="482"/>
        <w:rPr>
          <w:rFonts w:ascii="Times New Roman" w:hAnsi="Times New Roman"/>
          <w:sz w:val="28"/>
          <w:lang w:eastAsia="zh-CN"/>
        </w:rPr>
      </w:pPr>
      <w:r>
        <w:rPr>
          <w:rFonts w:hint="eastAsia" w:ascii="宋体" w:hAnsi="宋体"/>
          <w:b/>
          <w:bCs/>
          <w:i/>
          <w:sz w:val="28"/>
          <w:szCs w:val="28"/>
          <w:highlight w:val="yellow"/>
          <w:u w:val="single"/>
        </w:rPr>
        <w:t xml:space="preserve">★</w:t>
      </w:r>
      <w:r>
        <w:rPr>
          <w:rFonts w:hint="eastAsia" w:ascii="Times New Roman" w:hAnsi="Times New Roman"/>
          <w:sz w:val="28"/>
          <w:lang w:eastAsia="zh-CN"/>
        </w:rPr>
        <w:t xml:space="preserve">分包二</w:t>
      </w:r>
      <w:r/>
    </w:p>
    <w:tbl>
      <w:tblPr>
        <w:tblStyle w:val="701"/>
        <w:tblW w:w="7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jc w:val="center"/>
          <w:trHeight w:val="682"/>
        </w:trPr>
        <w:tc>
          <w:tcPr>
            <w:tcW w:w="715"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序号</w:t>
            </w:r>
            <w:r/>
          </w:p>
        </w:tc>
        <w:tc>
          <w:tcPr>
            <w:tcW w:w="4424"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实质性要求</w:t>
            </w:r>
            <w:r/>
          </w:p>
        </w:tc>
        <w:tc>
          <w:tcPr>
            <w:tcW w:w="2852"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证明材料</w:t>
            </w:r>
            <w:r/>
          </w:p>
        </w:tc>
      </w:tr>
      <w:tr>
        <w:trPr>
          <w:cantSplit/>
          <w:jc w:val="center"/>
          <w:trHeight w:val="235"/>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1</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1）项目总配备：项目经理、客服兼内勤及档案信息管理、水电工、维修人员、保安人员、车辆管理人员、保洁人员不少于33人；周末加班人数不少于28人（单休）；国家法定节假日加班人数不少于33人；包括但不限于法定节假日、周末加班、岗位人数安排根据招标人要求进行调整安排。</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r>
        <w:trPr>
          <w:cantSplit/>
          <w:jc w:val="center"/>
          <w:trHeight w:val="222"/>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2</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bl>
    <w:p>
      <w:pPr>
        <w:ind w:firstLine="480"/>
        <w:rPr>
          <w:rFonts w:hint="eastAsia" w:ascii="宋体" w:hAnsi="宋体" w:cs="宋体"/>
          <w:sz w:val="24"/>
          <w:szCs w:val="24"/>
        </w:rPr>
      </w:pPr>
      <w:r>
        <w:rPr>
          <w:rFonts w:hint="eastAsia" w:ascii="宋体" w:hAnsi="宋体" w:cs="宋体"/>
          <w:sz w:val="24"/>
          <w:szCs w:val="24"/>
        </w:rPr>
      </w:r>
      <w:r/>
    </w:p>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不需要</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1"/>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sz w:val="24"/>
                <w:szCs w:val="24"/>
              </w:rPr>
              <w:t xml:space="preserve">魏村街道安置房物业服务项目（分包二）</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物业管理</w:t>
            </w:r>
            <w:r/>
          </w:p>
        </w:tc>
      </w:tr>
    </w:tbl>
    <w:p>
      <w:pPr>
        <w:rPr>
          <w:rFonts w:hint="eastAsia" w:ascii="宋体" w:hAnsi="宋体"/>
          <w:b/>
          <w:sz w:val="32"/>
          <w:szCs w:val="22"/>
        </w:rPr>
      </w:pPr>
      <w:r>
        <w:rPr>
          <w:rFonts w:hint="eastAsia"/>
        </w:rPr>
        <w:t xml:space="preserve">9.其他项目相关的表格清单、图纸、图片等资料可以电子文件形式通过系统上传。</w:t>
      </w:r>
      <w:r/>
    </w:p>
    <w:p>
      <w:pPr>
        <w:rPr>
          <w:sz w:val="24"/>
          <w:highlight w:val="yellow"/>
        </w:rPr>
      </w:pPr>
      <w:r>
        <w:rPr>
          <w:sz w:val="24"/>
          <w:highlight w:val="yellow"/>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15</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rPr>
          <w:sz w:val="24"/>
          <w:highlight w:val="yellow"/>
        </w:rPr>
      </w:pPr>
      <w:r>
        <w:rPr>
          <w:rFonts w:hint="eastAsia"/>
          <w:sz w:val="24"/>
          <w:highlight w:val="yellow"/>
        </w:rPr>
        <w:br w:type="page" w:clear="all"/>
      </w:r>
      <w:r/>
    </w:p>
    <w:p>
      <w:pPr>
        <w:ind w:firstLine="480"/>
        <w:spacing w:line="360" w:lineRule="auto"/>
        <w:rPr>
          <w:sz w:val="24"/>
          <w:highlight w:val="yellow"/>
        </w:rPr>
      </w:pPr>
      <w:r>
        <w:rPr>
          <w:rFonts w:hint="eastAsia"/>
          <w:sz w:val="24"/>
          <w:highlight w:val="yellow"/>
        </w:rPr>
        <w:t xml:space="preserve">03包（长江社区）：</w:t>
      </w:r>
      <w:r/>
    </w:p>
    <w:p>
      <w:pPr>
        <w:ind w:firstLine="480"/>
        <w:spacing w:line="360" w:lineRule="auto"/>
        <w:rPr>
          <w:rFonts w:hint="eastAsia" w:ascii="宋体" w:hAnsi="宋体"/>
          <w:sz w:val="24"/>
          <w:szCs w:val="22"/>
        </w:rPr>
      </w:pPr>
      <w:r>
        <w:rPr>
          <w:rFonts w:hint="eastAsia" w:ascii="宋体" w:hAnsi="宋体"/>
          <w:sz w:val="24"/>
          <w:szCs w:val="24"/>
        </w:rPr>
        <w:t xml:space="preserve">长江社区物业服务项目位于常州市新北区魏村街道，总建筑面积279266㎡，共85幢住宅，长江花苑2个出入口，魏村花苑（15-27）2个出入口，魏村花苑（28-57）开放小区。（详见下表）</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4"/>
        <w:gridCol w:w="1992"/>
        <w:gridCol w:w="2147"/>
        <w:gridCol w:w="3136"/>
      </w:tblGrid>
      <w:tr>
        <w:trPr>
          <w:cantSplit/>
        </w:trPr>
        <w:tc>
          <w:tcPr>
            <w:gridSpan w:val="4"/>
            <w:tcW w:w="916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项目总体基本情况</w:t>
            </w:r>
            <w:r/>
          </w:p>
        </w:tc>
      </w:tr>
      <w:tr>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小区总用地面积</w:t>
            </w:r>
            <w:r/>
          </w:p>
        </w:tc>
        <w:tc>
          <w:tcPr>
            <w:tcW w:w="1992"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公顷</w:t>
            </w:r>
            <w:r/>
          </w:p>
        </w:tc>
        <w:tc>
          <w:tcPr>
            <w:tcW w:w="214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总建筑面积</w:t>
            </w:r>
            <w:r/>
          </w:p>
        </w:tc>
        <w:tc>
          <w:tcPr>
            <w:tcW w:w="3136"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279266㎡</w:t>
            </w:r>
            <w:r/>
          </w:p>
        </w:tc>
      </w:tr>
      <w:tr>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地上建筑面积</w:t>
            </w:r>
            <w:r/>
          </w:p>
        </w:tc>
        <w:tc>
          <w:tcPr>
            <w:tcW w:w="1992"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tc>
        <w:tc>
          <w:tcPr>
            <w:tcW w:w="214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地下建筑面积</w:t>
            </w:r>
            <w:r/>
          </w:p>
        </w:tc>
        <w:tc>
          <w:tcPr>
            <w:tcW w:w="3136"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0㎡</w:t>
            </w:r>
            <w:r/>
          </w:p>
        </w:tc>
      </w:tr>
      <w:tr>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住宅建筑面积</w:t>
            </w:r>
            <w:r/>
          </w:p>
        </w:tc>
        <w:tc>
          <w:tcPr>
            <w:tcW w:w="1992"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w:t>
            </w:r>
            <w:r/>
          </w:p>
        </w:tc>
        <w:tc>
          <w:tcPr>
            <w:tcW w:w="214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住宅居住宅区户数</w:t>
            </w:r>
            <w:r/>
          </w:p>
        </w:tc>
        <w:tc>
          <w:tcPr>
            <w:tcW w:w="3136"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2272（户）</w:t>
            </w:r>
            <w:r/>
          </w:p>
        </w:tc>
      </w:tr>
      <w:tr>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住宅楼幢数</w:t>
            </w:r>
            <w:r/>
          </w:p>
        </w:tc>
        <w:tc>
          <w:tcPr>
            <w:tcW w:w="1992"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85（幢）</w:t>
            </w:r>
            <w:r/>
          </w:p>
        </w:tc>
        <w:tc>
          <w:tcPr>
            <w:tcW w:w="214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住宅楼楼道面积</w:t>
            </w:r>
            <w:r/>
          </w:p>
        </w:tc>
        <w:tc>
          <w:tcPr>
            <w:tcW w:w="3136"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商铺建筑面积</w:t>
            </w:r>
            <w:r/>
          </w:p>
        </w:tc>
        <w:tc>
          <w:tcPr>
            <w:tcW w:w="1992"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w:t>
            </w:r>
            <w:r/>
          </w:p>
        </w:tc>
        <w:tc>
          <w:tcPr>
            <w:tcW w:w="214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封闭情况</w:t>
            </w:r>
            <w:r/>
          </w:p>
        </w:tc>
        <w:tc>
          <w:tcPr>
            <w:tcW w:w="3136"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长江花苑2个出入口</w:t>
            </w:r>
            <w:r/>
          </w:p>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魏村花苑（15-27）2个出入口</w:t>
            </w:r>
            <w:r/>
          </w:p>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魏村花苑（28-57）开放小区</w:t>
            </w:r>
            <w:r/>
          </w:p>
        </w:tc>
      </w:tr>
      <w:tr>
        <w:trPr>
          <w:cantSplit/>
        </w:trPr>
        <w:tc>
          <w:tcPr>
            <w:gridSpan w:val="2"/>
            <w:tcW w:w="38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结构类型、层数、单元数</w:t>
            </w:r>
            <w:r/>
          </w:p>
        </w:tc>
        <w:tc>
          <w:tcPr>
            <w:gridSpan w:val="2"/>
            <w:tcW w:w="528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见下表</w:t>
            </w:r>
            <w:r/>
          </w:p>
        </w:tc>
      </w:tr>
      <w:tr>
        <w:trPr>
          <w:cantSplit/>
        </w:trPr>
        <w:tc>
          <w:tcPr>
            <w:gridSpan w:val="2"/>
            <w:tcW w:w="38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公共走道、楼梯、电梯厅装修标准</w:t>
            </w:r>
            <w:r/>
          </w:p>
        </w:tc>
        <w:tc>
          <w:tcPr>
            <w:gridSpan w:val="2"/>
            <w:tcW w:w="528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地砖、涂料</w:t>
            </w:r>
            <w:r/>
          </w:p>
        </w:tc>
      </w:tr>
      <w:tr>
        <w:trPr>
          <w:cantSplit/>
        </w:trPr>
        <w:tc>
          <w:tcPr>
            <w:tcW w:w="189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c>
          <w:tcPr>
            <w:gridSpan w:val="3"/>
            <w:tcW w:w="7275"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r>
            <w:r/>
          </w:p>
        </w:tc>
      </w:tr>
    </w:tbl>
    <w:p>
      <w:pPr>
        <w:jc w:val="left"/>
        <w:spacing w:line="360" w:lineRule="exact"/>
        <w:rPr>
          <w:rFonts w:hint="eastAsia" w:ascii="宋体" w:hAnsi="宋体" w:cs="宋体"/>
          <w:b/>
          <w:sz w:val="24"/>
          <w:szCs w:val="24"/>
        </w:rPr>
      </w:pPr>
      <w:r>
        <w:rPr>
          <w:rFonts w:hint="eastAsia" w:ascii="宋体" w:hAnsi="宋体" w:cs="宋体"/>
          <w:b/>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641"/>
        <w:gridCol w:w="1194"/>
        <w:gridCol w:w="1645"/>
        <w:gridCol w:w="1148"/>
        <w:gridCol w:w="1852"/>
      </w:tblGrid>
      <w:tr>
        <w:trPr>
          <w:cantSplit/>
        </w:trPr>
        <w:tc>
          <w:tcPr>
            <w:gridSpan w:val="6"/>
            <w:tcW w:w="916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总体公建配套情况</w:t>
            </w:r>
            <w:r/>
          </w:p>
        </w:tc>
      </w:tr>
      <w:tr>
        <w:trPr>
          <w:cantSplit/>
        </w:trPr>
        <w:tc>
          <w:tcPr>
            <w:gridSpan w:val="6"/>
            <w:tcW w:w="9169"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1、地下车库面积：㎡</w:t>
            </w:r>
            <w:r/>
          </w:p>
        </w:tc>
      </w:tr>
      <w:tr>
        <w:trPr>
          <w:cantSplit/>
        </w:trPr>
        <w:tc>
          <w:tcPr>
            <w:tcW w:w="689" w:type="dxa"/>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rPr>
                <w:rFonts w:hint="eastAsia" w:ascii="宋体" w:hAnsi="宋体" w:cs="宋体"/>
                <w:sz w:val="24"/>
                <w:szCs w:val="24"/>
              </w:rPr>
            </w:pPr>
            <w:r>
              <w:rPr>
                <w:rFonts w:hint="eastAsia" w:ascii="宋体" w:hAnsi="宋体" w:cs="宋体"/>
                <w:sz w:val="24"/>
                <w:szCs w:val="24"/>
              </w:rPr>
            </w:r>
            <w:r/>
          </w:p>
          <w:p>
            <w:pPr>
              <w:jc w:val="center"/>
              <w:spacing w:line="360" w:lineRule="exact"/>
              <w:rPr>
                <w:rFonts w:hint="eastAsia" w:ascii="宋体" w:hAnsi="宋体" w:cs="宋体"/>
                <w:sz w:val="24"/>
                <w:szCs w:val="24"/>
              </w:rPr>
            </w:pPr>
            <w:r>
              <w:rPr>
                <w:rFonts w:hint="eastAsia" w:ascii="宋体" w:hAnsi="宋体" w:cs="宋体"/>
                <w:sz w:val="24"/>
                <w:szCs w:val="24"/>
              </w:rPr>
              <w:t xml:space="preserve">中</w:t>
            </w:r>
            <w:r/>
          </w:p>
        </w:tc>
        <w:tc>
          <w:tcPr>
            <w:gridSpan w:val="3"/>
            <w:tcW w:w="5480"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机动车库:    （㎡）</w:t>
            </w:r>
            <w:r/>
          </w:p>
        </w:tc>
        <w:tc>
          <w:tcPr>
            <w:gridSpan w:val="2"/>
            <w:tcW w:w="3000"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汽车位：（辆）</w:t>
            </w:r>
            <w:r/>
          </w:p>
        </w:tc>
      </w:tr>
      <w:tr>
        <w:trPr>
          <w:cantSplit/>
        </w:trPr>
        <w:tc>
          <w:tcPr>
            <w:tcW w:w="689" w:type="dxa"/>
            <w:vAlign w:val="center"/>
            <w:vMerge w:val="continue"/>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r>
            <w:r/>
          </w:p>
        </w:tc>
        <w:tc>
          <w:tcPr>
            <w:gridSpan w:val="3"/>
            <w:tcW w:w="5480"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非机动车：   （㎡）</w:t>
            </w:r>
            <w:r/>
          </w:p>
        </w:tc>
        <w:tc>
          <w:tcPr>
            <w:gridSpan w:val="2"/>
            <w:tcW w:w="3000" w:type="dxa"/>
            <w:vAlign w:val="center"/>
            <w:textDirection w:val="lrTb"/>
            <w:noWrap w:val="false"/>
          </w:tcPr>
          <w:p>
            <w:pPr>
              <w:ind w:left="98" w:hanging="64"/>
              <w:spacing w:line="360" w:lineRule="exact"/>
              <w:rPr>
                <w:rFonts w:hint="eastAsia" w:ascii="宋体" w:hAnsi="宋体" w:cs="宋体"/>
                <w:sz w:val="24"/>
                <w:szCs w:val="24"/>
              </w:rPr>
            </w:pPr>
            <w:r>
              <w:rPr>
                <w:rFonts w:hint="eastAsia" w:ascii="宋体" w:hAnsi="宋体" w:cs="宋体"/>
                <w:sz w:val="24"/>
                <w:szCs w:val="24"/>
              </w:rPr>
              <w:t xml:space="preserve">人防地下室（公益性）：    （㎡）</w:t>
            </w:r>
            <w:r/>
          </w:p>
        </w:tc>
      </w:tr>
      <w:tr>
        <w:trPr>
          <w:cantSplit/>
        </w:trPr>
        <w:tc>
          <w:tcPr>
            <w:gridSpan w:val="2"/>
            <w:tcW w:w="3330" w:type="dxa"/>
            <w:vAlign w:val="center"/>
            <w:textDirection w:val="lrTb"/>
            <w:noWrap w:val="false"/>
          </w:tcPr>
          <w:p>
            <w:pPr>
              <w:ind w:left="720" w:hanging="720"/>
              <w:jc w:val="left"/>
              <w:spacing w:line="360" w:lineRule="exact"/>
              <w:rPr>
                <w:rFonts w:hint="eastAsia" w:ascii="宋体" w:hAnsi="宋体" w:cs="宋体"/>
                <w:sz w:val="24"/>
                <w:szCs w:val="24"/>
              </w:rPr>
            </w:pPr>
            <w:r>
              <w:rPr>
                <w:rFonts w:hint="eastAsia" w:ascii="宋体" w:hAnsi="宋体" w:cs="宋体"/>
                <w:sz w:val="24"/>
                <w:szCs w:val="24"/>
              </w:rPr>
              <w:t xml:space="preserve">2、住宅地面停车位：（辆）</w:t>
            </w:r>
            <w:r/>
          </w:p>
        </w:tc>
        <w:tc>
          <w:tcPr>
            <w:gridSpan w:val="2"/>
            <w:tcW w:w="2839" w:type="dxa"/>
            <w:vAlign w:val="center"/>
            <w:textDirection w:val="lrTb"/>
            <w:noWrap w:val="false"/>
          </w:tcPr>
          <w:p>
            <w:pPr>
              <w:ind w:left="-34" w:firstLine="45"/>
              <w:jc w:val="left"/>
              <w:spacing w:line="360" w:lineRule="exact"/>
              <w:rPr>
                <w:rFonts w:hint="eastAsia" w:ascii="宋体" w:hAnsi="宋体" w:cs="宋体"/>
                <w:sz w:val="24"/>
                <w:szCs w:val="24"/>
              </w:rPr>
            </w:pPr>
            <w:r>
              <w:rPr>
                <w:rFonts w:hint="eastAsia" w:ascii="宋体" w:hAnsi="宋体" w:cs="宋体"/>
                <w:sz w:val="24"/>
                <w:szCs w:val="24"/>
              </w:rPr>
              <w:t xml:space="preserve">物业管理用房：</w:t>
            </w:r>
            <w:r/>
          </w:p>
        </w:tc>
        <w:tc>
          <w:tcPr>
            <w:gridSpan w:val="2"/>
            <w:tcW w:w="3000"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商业用房：（㎡）</w:t>
            </w:r>
            <w:r/>
          </w:p>
        </w:tc>
      </w:tr>
      <w:tr>
        <w:trPr>
          <w:cantSplit/>
        </w:trPr>
        <w:tc>
          <w:tcPr>
            <w:gridSpan w:val="6"/>
            <w:tcW w:w="9169"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其它：自行踏勘现场</w:t>
            </w:r>
            <w:r/>
          </w:p>
        </w:tc>
      </w:tr>
      <w:tr>
        <w:trPr>
          <w:cantSplit/>
        </w:trPr>
        <w:tc>
          <w:tcPr>
            <w:gridSpan w:val="6"/>
            <w:tcW w:w="9169"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b/>
                <w:bCs/>
                <w:sz w:val="24"/>
                <w:szCs w:val="24"/>
              </w:rPr>
              <w:t xml:space="preserve">设施设备情况</w:t>
            </w:r>
            <w:r/>
          </w:p>
        </w:tc>
      </w:tr>
      <w:tr>
        <w:trPr>
          <w:cantSplit/>
        </w:trPr>
        <w:tc>
          <w:tcPr>
            <w:gridSpan w:val="3"/>
            <w:tcW w:w="4524"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项目</w:t>
            </w:r>
            <w:r/>
          </w:p>
        </w:tc>
        <w:tc>
          <w:tcPr>
            <w:gridSpan w:val="2"/>
            <w:tcW w:w="2793" w:type="dxa"/>
            <w:vAlign w:val="center"/>
            <w:textDirection w:val="lrTb"/>
            <w:noWrap w:val="false"/>
          </w:tcPr>
          <w:p>
            <w:pPr>
              <w:ind w:firstLine="34"/>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1852"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3"/>
            <w:tcW w:w="452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1、供配电系统</w:t>
            </w:r>
            <w:r/>
          </w:p>
        </w:tc>
        <w:tc>
          <w:tcPr>
            <w:gridSpan w:val="2"/>
            <w:tcW w:w="279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有</w:t>
            </w:r>
            <w:r/>
          </w:p>
        </w:tc>
        <w:tc>
          <w:tcPr>
            <w:tcW w:w="1852"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bl>
    <w:p>
      <w:pPr>
        <w:pStyle w:val="724"/>
        <w:ind w:firstLine="0"/>
        <w:spacing w:line="360" w:lineRule="exact"/>
        <w:rPr>
          <w:rFonts w:hint="eastAsia" w:ascii="宋体" w:hAnsi="宋体" w:cs="宋体"/>
          <w:sz w:val="24"/>
        </w:rPr>
      </w:pPr>
      <w:r>
        <w:rPr>
          <w:rFonts w:hint="eastAsia" w:ascii="宋体" w:hAnsi="宋体" w:cs="宋体"/>
          <w:sz w:val="24"/>
        </w:rPr>
      </w:r>
      <w:r/>
    </w:p>
    <w:tbl>
      <w:tblPr>
        <w:tblStyle w:val="70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2459"/>
        <w:gridCol w:w="2087"/>
        <w:gridCol w:w="2553"/>
      </w:tblGrid>
      <w:tr>
        <w:trPr/>
        <w:tc>
          <w:tcPr>
            <w:gridSpan w:val="4"/>
            <w:tcW w:w="9169" w:type="dxa"/>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项目信息表</w:t>
            </w:r>
            <w:r/>
          </w:p>
        </w:tc>
      </w:tr>
      <w:tr>
        <w:trPr/>
        <w:tc>
          <w:tcPr>
            <w:tcW w:w="2070"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房号</w:t>
            </w:r>
            <w:r/>
          </w:p>
        </w:tc>
        <w:tc>
          <w:tcPr>
            <w:tcBorders>
              <w:right w:val="single" w:color="auto" w:sz="4" w:space="0"/>
            </w:tcBorders>
            <w:tcW w:w="24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单元数量</w:t>
            </w:r>
            <w:r/>
          </w:p>
        </w:tc>
        <w:tc>
          <w:tcPr>
            <w:tcBorders>
              <w:left w:val="single" w:color="auto" w:sz="4" w:space="0"/>
            </w:tcBorders>
            <w:tcW w:w="2087"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层数</w:t>
            </w:r>
            <w:r/>
          </w:p>
        </w:tc>
        <w:tc>
          <w:tcPr>
            <w:tcW w:w="2553"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一层是商铺</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长江花苑19幢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一层是商铺</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一层是商铺</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长江花苑29幢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90"/>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长江花苑39幢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长江花苑40幢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长江花苑59幢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11</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长江花苑60幢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11</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魏村花苑15幢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魏村花苑16幢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魏村花苑17幢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魏村花苑18幢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魏村花苑19幢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rHeight w:val="293"/>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魏村花苑29幢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魏村花苑39幢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有半地下车库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魏村花苑48幢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魏村花苑49幢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魏村花苑50幢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魏村花苑51幢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魏村花苑52幢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魏村花苑53幢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rHeight w:val="312"/>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魏村花苑54幢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魏村花苑55幢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一层是车库</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魏村花苑56幢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一层是店面</w:t>
            </w:r>
            <w:r/>
          </w:p>
        </w:tc>
      </w:tr>
      <w:tr>
        <w:trPr/>
        <w:tc>
          <w:tcPr>
            <w:tcW w:w="207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魏村花苑57幢</w:t>
            </w:r>
            <w:r/>
          </w:p>
        </w:tc>
        <w:tc>
          <w:tcPr>
            <w:tcBorders>
              <w:right w:val="single" w:color="auto" w:sz="4" w:space="0"/>
            </w:tcBorders>
            <w:tcW w:w="24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0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55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一层是店面</w:t>
            </w:r>
            <w:r/>
          </w:p>
        </w:tc>
      </w:tr>
    </w:tbl>
    <w:p>
      <w:pPr>
        <w:ind w:firstLine="480"/>
        <w:spacing w:line="360" w:lineRule="exact"/>
        <w:rPr>
          <w:rFonts w:hint="eastAsia" w:ascii="宋体" w:hAnsi="宋体" w:cs="宋体"/>
          <w:sz w:val="24"/>
          <w:szCs w:val="24"/>
        </w:rPr>
      </w:pPr>
      <w:r>
        <w:rPr>
          <w:rFonts w:hint="eastAsia" w:ascii="宋体" w:hAnsi="宋体" w:cs="宋体"/>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759"/>
        <w:gridCol w:w="2285"/>
        <w:gridCol w:w="2259"/>
      </w:tblGrid>
      <w:tr>
        <w:trPr>
          <w:cantSplit/>
          <w:trHeight w:val="70"/>
        </w:trPr>
        <w:tc>
          <w:tcPr>
            <w:gridSpan w:val="4"/>
            <w:tcW w:w="916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设施设备情况</w:t>
            </w:r>
            <w:r/>
          </w:p>
        </w:tc>
      </w:tr>
      <w:tr>
        <w:trPr>
          <w:cantSplit/>
          <w:trHeight w:val="70"/>
        </w:trPr>
        <w:tc>
          <w:tcPr>
            <w:gridSpan w:val="2"/>
            <w:tcW w:w="462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项目</w:t>
            </w:r>
            <w:r/>
          </w:p>
        </w:tc>
        <w:tc>
          <w:tcPr>
            <w:tcW w:w="2285" w:type="dxa"/>
            <w:vAlign w:val="center"/>
            <w:textDirection w:val="lrTb"/>
            <w:noWrap w:val="false"/>
          </w:tcPr>
          <w:p>
            <w:pPr>
              <w:ind w:firstLine="34"/>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1、供配电系统</w:t>
            </w:r>
            <w:r/>
          </w:p>
        </w:tc>
        <w:tc>
          <w:tcPr>
            <w:tcW w:w="2285" w:type="dxa"/>
            <w:vAlign w:val="center"/>
            <w:textDirection w:val="lrTb"/>
            <w:noWrap w:val="false"/>
          </w:tcPr>
          <w:p>
            <w:pPr>
              <w:jc w:val="center"/>
              <w:spacing w:line="360" w:lineRule="exact"/>
              <w:rPr>
                <w:rFonts w:hint="eastAsia" w:ascii="宋体" w:hAnsi="宋体" w:cs="宋体"/>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97"/>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2、道路系统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3、给水系统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4、排水系统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11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5、智能化系统：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70"/>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（1）监控系统</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（2）周界安保系统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（3）对讲系统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（4）安防系统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（5）综合布线</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（6）门禁系统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（7）巡更系统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（8）车辆管理系统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6、消防系统：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（1）消火栓系统</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（2）喷淋系统</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（3）消防报警控制系统</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（4）排烟机</w:t>
            </w:r>
            <w:r/>
          </w:p>
        </w:tc>
        <w:tc>
          <w:tcPr>
            <w:tcW w:w="2285" w:type="dxa"/>
            <w:textDirection w:val="lrTb"/>
            <w:noWrap w:val="false"/>
          </w:tcPr>
          <w:p>
            <w:pPr>
              <w:jc w:val="center"/>
              <w:spacing w:line="360" w:lineRule="exact"/>
              <w:rPr>
                <w:rFonts w:hint="eastAsia" w:ascii="宋体" w:hAnsi="宋体" w:cs="宋体"/>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7、照明系统：</w:t>
            </w:r>
            <w:r/>
          </w:p>
        </w:tc>
        <w:tc>
          <w:tcPr>
            <w:tcW w:w="2285"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（1）庭院灯</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（2）楼道灯</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（3）景观灯</w:t>
            </w:r>
            <w:r/>
          </w:p>
        </w:tc>
        <w:tc>
          <w:tcPr>
            <w:tcW w:w="2285" w:type="dxa"/>
            <w:textDirection w:val="lrTb"/>
            <w:noWrap w:val="false"/>
          </w:tcPr>
          <w:p>
            <w:pPr>
              <w:jc w:val="center"/>
              <w:spacing w:line="360" w:lineRule="exact"/>
              <w:rPr>
                <w:rFonts w:hint="eastAsia" w:ascii="宋体" w:hAnsi="宋体" w:cs="宋体"/>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413"/>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8、公共音响系统</w:t>
            </w:r>
            <w:r/>
          </w:p>
        </w:tc>
        <w:tc>
          <w:tcPr>
            <w:tcW w:w="2285" w:type="dxa"/>
            <w:textDirection w:val="lrTb"/>
            <w:noWrap w:val="false"/>
          </w:tcPr>
          <w:p>
            <w:pPr>
              <w:jc w:val="center"/>
              <w:spacing w:line="360" w:lineRule="exact"/>
              <w:rPr>
                <w:rFonts w:hint="eastAsia" w:ascii="宋体" w:hAnsi="宋体" w:cs="宋体"/>
                <w:b/>
                <w:bCs/>
                <w:sz w:val="24"/>
                <w:szCs w:val="24"/>
              </w:rPr>
            </w:pPr>
            <w:r>
              <w:rPr>
                <w:rFonts w:ascii="Arial" w:hAnsi="Arial" w:cs="Arial"/>
                <w:sz w:val="24"/>
                <w:szCs w:val="24"/>
              </w:rPr>
              <w:t xml:space="preserve">√</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4"/>
            <w:tcW w:w="9169"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9、建筑小品</w:t>
            </w:r>
            <w:r/>
          </w:p>
        </w:tc>
      </w:tr>
      <w:tr>
        <w:trPr>
          <w:cantSplit/>
          <w:trHeight w:val="70"/>
        </w:trPr>
        <w:tc>
          <w:tcPr>
            <w:tcW w:w="866" w:type="dxa"/>
            <w:vMerge w:val="restart"/>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p>
            <w:pPr>
              <w:spacing w:line="360" w:lineRule="exact"/>
              <w:rPr>
                <w:rFonts w:hint="eastAsia" w:ascii="宋体" w:hAnsi="宋体" w:cs="宋体"/>
                <w:sz w:val="24"/>
                <w:szCs w:val="24"/>
              </w:rPr>
            </w:pPr>
            <w:r>
              <w:rPr>
                <w:rFonts w:hint="eastAsia" w:ascii="宋体" w:hAnsi="宋体" w:cs="宋体"/>
                <w:sz w:val="24"/>
                <w:szCs w:val="24"/>
              </w:rPr>
              <w:t xml:space="preserve">10、电</w:t>
            </w:r>
            <w:r/>
          </w:p>
          <w:p>
            <w:pPr>
              <w:spacing w:line="360" w:lineRule="exact"/>
              <w:rPr>
                <w:rFonts w:hint="eastAsia" w:ascii="宋体" w:hAnsi="宋体" w:cs="宋体"/>
                <w:b/>
                <w:bCs/>
                <w:sz w:val="24"/>
                <w:szCs w:val="24"/>
              </w:rPr>
            </w:pPr>
            <w:r>
              <w:rPr>
                <w:rFonts w:hint="eastAsia" w:ascii="宋体" w:hAnsi="宋体" w:cs="宋体"/>
                <w:sz w:val="24"/>
                <w:szCs w:val="24"/>
              </w:rPr>
              <w:t xml:space="preserve">梯</w:t>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台数：2</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梯速：</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品牌：西继迅达</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u w:val="single"/>
              </w:rPr>
            </w:pPr>
            <w:r>
              <w:rPr>
                <w:rFonts w:hint="eastAsia" w:ascii="宋体" w:hAnsi="宋体" w:cs="宋体"/>
                <w:sz w:val="24"/>
                <w:szCs w:val="24"/>
              </w:rPr>
              <w:t xml:space="preserve">载重：800公斤/10人</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备注：</w:t>
            </w:r>
            <w:r/>
          </w:p>
        </w:tc>
      </w:tr>
    </w:tbl>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其它数据等情况供应商可自行勘察，了解一切可能影响响应方案、报价等编制响应文件的资料，并承担考查现场的责任和风险以及踏勘现场所发生的自身费用。成交后，成交供应商人不得以不完全了解施工现场及周围环境为由，提出额外款项增加等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w:t>
      </w:r>
      <w:r>
        <w:rPr>
          <w:rFonts w:hint="eastAsia" w:ascii="宋体" w:hAnsi="宋体"/>
          <w:sz w:val="24"/>
          <w:lang w:val="zh-CN"/>
        </w:rPr>
        <w:t xml:space="preserve">房屋建筑公用部位的维修、养护和管理，包括：楼盖、屋顶、外墙面、 承重结构、楼梯间、走廊通道、门厅等。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1.2</w:t>
      </w:r>
      <w:r>
        <w:rPr>
          <w:rFonts w:hint="eastAsia" w:ascii="宋体" w:hAnsi="宋体"/>
          <w:sz w:val="24"/>
          <w:lang w:val="zh-CN"/>
        </w:rPr>
        <w:t xml:space="preserve">共用设施、设备的维修、养护、运行和管理，包括：共用的上下水管道、落水管、垃圾道、烟囱、共用照明、天线、楼内消防设施设备等。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1.3</w:t>
      </w:r>
      <w:r>
        <w:rPr>
          <w:rFonts w:hint="eastAsia" w:ascii="宋体" w:hAnsi="宋体"/>
          <w:sz w:val="24"/>
          <w:lang w:val="zh-CN"/>
        </w:rPr>
        <w:t xml:space="preserve">市政共用设施和附属物、构筑物的维修、养护和管理，包括道路、室外上下水管道、化粪池、沟渠、池、井、自行车棚、停车场等。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1.4</w:t>
      </w:r>
      <w:r>
        <w:rPr>
          <w:rFonts w:hint="eastAsia" w:ascii="宋体" w:hAnsi="宋体"/>
          <w:sz w:val="24"/>
          <w:lang w:val="zh-CN"/>
        </w:rPr>
        <w:t xml:space="preserve">公用绿地、花木、建筑小品等的养护与管理。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1.5</w:t>
      </w:r>
      <w:r>
        <w:rPr>
          <w:rFonts w:hint="eastAsia" w:ascii="宋体" w:hAnsi="宋体"/>
          <w:sz w:val="24"/>
          <w:lang w:val="zh-CN"/>
        </w:rPr>
        <w:t xml:space="preserve">附属配套建筑和设施的维修、养护和管理，包括商业网点、文化体育娱乐场所等。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公共环境卫生，包括公共场所、房屋共用部分的清洁卫生、垃圾的收集、清运等。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交通与车辆停放秩序的管理。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装修秩序管理，202</w:t>
      </w:r>
      <w:r>
        <w:rPr>
          <w:rFonts w:hint="eastAsia" w:ascii="宋体" w:hAnsi="宋体"/>
          <w:sz w:val="24"/>
        </w:rPr>
        <w:t xml:space="preserve">6</w:t>
      </w:r>
      <w:r>
        <w:rPr>
          <w:rFonts w:hint="eastAsia" w:ascii="宋体" w:hAnsi="宋体"/>
          <w:sz w:val="24"/>
          <w:lang w:val="zh-CN"/>
        </w:rPr>
        <w:t xml:space="preserve">年1月1日起建筑垃圾清运费用由中标供应商承担。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维持公共秩序，包括安全监控、巡视、门岗执勤、小区巡逻等。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1.10</w:t>
      </w:r>
      <w:r>
        <w:rPr>
          <w:rFonts w:hint="eastAsia" w:ascii="宋体" w:hAnsi="宋体"/>
          <w:sz w:val="24"/>
          <w:lang w:val="zh-CN"/>
        </w:rPr>
        <w:t xml:space="preserve">日常管理与服务：包括业主或使用人的保修、投诉受理，小区文化活动的开展，告知业主或使用人装修应注意的事项，与物业相关的工程图纸、业主档案与竣工验收资料的保管等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1.11</w:t>
      </w:r>
      <w:r>
        <w:rPr>
          <w:rFonts w:hint="eastAsia" w:ascii="宋体" w:hAnsi="宋体"/>
          <w:sz w:val="24"/>
          <w:lang w:val="zh-CN"/>
        </w:rPr>
        <w:t xml:space="preserve">对业主和物业使用人违反业主公约的行为，针对具体行为并根据情节轻重，采取批评、规劝、警告、制止等措施。</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1.12</w:t>
      </w:r>
      <w:r>
        <w:rPr>
          <w:rFonts w:hint="eastAsia" w:ascii="宋体" w:hAnsi="宋体"/>
          <w:sz w:val="24"/>
          <w:lang w:val="zh-CN"/>
        </w:rPr>
        <w:t xml:space="preserve">中标供应商要履行安置户房产交易变更后的物业费收取和车辆停放服务费收取的工作职责，须为商业用房提供物业服务，并负责向商业用房使用人收取相关费用。</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1.13</w:t>
      </w:r>
      <w:r>
        <w:rPr>
          <w:rFonts w:hint="eastAsia" w:ascii="宋体" w:hAnsi="宋体"/>
          <w:sz w:val="24"/>
          <w:lang w:val="zh-CN"/>
        </w:rPr>
        <w:t xml:space="preserve">单次500元以上（以审计结果为准）公共设施维修费用由社区承担，500元以下由中标供应商承担。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1.14</w:t>
      </w:r>
      <w:r>
        <w:rPr>
          <w:rFonts w:hint="eastAsia" w:ascii="宋体" w:hAnsi="宋体"/>
          <w:sz w:val="24"/>
          <w:lang w:val="zh-CN"/>
        </w:rPr>
        <w:t xml:space="preserve">业主和物业使用人房屋自用部分，自用设施及设备的维修、养护，在当事人提出委托时，乙方应接受委托与当事人商定合理收费。</w:t>
      </w:r>
      <w:r/>
    </w:p>
    <w:p>
      <w:pPr>
        <w:ind w:firstLine="480"/>
        <w:jc w:val="left"/>
        <w:spacing w:line="360" w:lineRule="auto"/>
        <w:widowControl/>
      </w:pPr>
      <w:r>
        <w:rPr>
          <w:rFonts w:hint="eastAsia" w:ascii="宋体" w:hAnsi="宋体"/>
          <w:sz w:val="24"/>
        </w:rPr>
        <w:t xml:space="preserve">1.15</w:t>
      </w:r>
      <w:r>
        <w:rPr>
          <w:rFonts w:hint="eastAsia" w:ascii="宋体" w:hAnsi="宋体"/>
          <w:sz w:val="24"/>
          <w:lang w:val="zh-CN"/>
        </w:rPr>
        <w:t xml:space="preserve">其他委托事项：另行协商。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2、其他说明</w:t>
      </w:r>
      <w:r/>
    </w:p>
    <w:p>
      <w:pPr>
        <w:ind w:firstLine="480"/>
        <w:spacing w:line="360" w:lineRule="auto"/>
        <w:rPr>
          <w:rFonts w:hint="eastAsia" w:ascii="宋体" w:hAnsi="宋体" w:cs="宋体"/>
          <w:sz w:val="24"/>
          <w:szCs w:val="24"/>
        </w:rPr>
      </w:pPr>
      <w:r>
        <w:rPr>
          <w:rFonts w:hint="eastAsia" w:ascii="宋体" w:hAnsi="宋体" w:cs="宋体"/>
          <w:color w:val="ff0000"/>
          <w:sz w:val="24"/>
          <w:szCs w:val="24"/>
          <w:highlight w:val="yellow"/>
        </w:rPr>
        <w:t xml:space="preserve">本项目报价包含所有小区住户及配套商业部分物业服务费，投标人不得另行收取，</w:t>
      </w:r>
      <w:r>
        <w:rPr>
          <w:rFonts w:hint="eastAsia" w:ascii="宋体" w:hAnsi="宋体" w:cs="宋体"/>
          <w:sz w:val="24"/>
          <w:szCs w:val="24"/>
        </w:rPr>
        <w:t xml:space="preserve">具体以甲方书面通知为准。</w:t>
      </w:r>
      <w:r/>
    </w:p>
    <w:p>
      <w:pPr>
        <w:pStyle w:val="692"/>
        <w:jc w:val="left"/>
        <w:spacing w:before="0" w:after="0" w:line="440" w:lineRule="exact"/>
        <w:tabs>
          <w:tab w:val="left" w:pos="1380" w:leader="none"/>
        </w:tabs>
        <w:rPr>
          <w:rFonts w:hint="eastAsia" w:ascii="宋体" w:hAnsi="宋体" w:eastAsia="宋体" w:cs="宋体"/>
          <w:sz w:val="24"/>
          <w:szCs w:val="24"/>
          <w:highlight w:val="red"/>
        </w:rPr>
      </w:pPr>
      <w:r>
        <w:rPr>
          <w:rFonts w:hint="eastAsia" w:ascii="宋体" w:hAnsi="宋体" w:eastAsia="宋体" w:cs="宋体"/>
          <w:sz w:val="24"/>
          <w:szCs w:val="24"/>
          <w:highlight w:val="red"/>
        </w:rPr>
        <w:t xml:space="preserve">3.人员要求</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为了保证服务质量，人员配备必须遵守《劳动法》等相规定，避免引起劳动纠纷，本项目配备人员清单如下：</w:t>
      </w:r>
      <w:r/>
    </w:p>
    <w:tbl>
      <w:tblPr>
        <w:tblStyle w:val="70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2130"/>
        <w:gridCol w:w="5052"/>
      </w:tblGrid>
      <w:tr>
        <w:trPr>
          <w:cantSplit/>
          <w:jc w:val="center"/>
          <w:trHeight w:val="369"/>
        </w:trPr>
        <w:tc>
          <w:tcPr>
            <w:tcW w:w="1983"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岗位设置</w:t>
            </w:r>
            <w:r/>
          </w:p>
        </w:tc>
        <w:tc>
          <w:tcPr>
            <w:tcW w:w="2130"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highlight w:val="yellow"/>
              </w:rPr>
              <w:t xml:space="preserve">人数（不少于）</w:t>
            </w:r>
            <w:r/>
          </w:p>
        </w:tc>
        <w:tc>
          <w:tcPr>
            <w:tcW w:w="5052"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要求</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项目经理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男女不限，年龄在55周岁（含）以下，具有大专（含）以上文化程度、2年以上物业经理经验。</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客服兼内勤及档案信息管理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4</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男女不限，大专（含）以上文化程度，身体健康。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水电工、维修人员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男女不限，55周岁（含）以下，身体健康，具有高中以上文化程度，从事水电气维修工作三年以上经验，精通水电气维修。</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保安人员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12人</w:t>
            </w:r>
            <w:r/>
          </w:p>
        </w:tc>
        <w:tc>
          <w:tcPr>
            <w:tcW w:w="5052" w:type="dxa"/>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车辆管理人员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保洁人员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center"/>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小 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42人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r>
            <w:r/>
          </w:p>
        </w:tc>
      </w:tr>
    </w:tbl>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（1）上述人员须在合同签订后15日内配备到位，并经培训考核合格后方可上岗。招标人有权对中标供应商招聘的人员进行考察，发现有不符合工作要求的，有权要求中标供应商更换。</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（7）鼓励中标供应商自行通过对小区智能化系统等设备提升等方式提升管理效能。</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（8）供应商必须严格执行国家、省、市关于用工工资标准等有关政策规定，并承担其雇员的劳动报酬、福利待遇，承担未正确执行劳动法用工规定所产生的法律责任，维护和保障员工的合法权益。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9）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10）在项目实施过程中因重大事件、会议活动、上级检查等情况临时额外增加工作人员的，中标供应商必须无条件按招标人需求进行临时增配协助，该情况费用应考虑在投标报价之内，招标人不再另行支付该部分费用。</w:t>
      </w:r>
      <w:r/>
    </w:p>
    <w:p>
      <w:pPr>
        <w:ind w:firstLine="480"/>
        <w:jc w:val="left"/>
        <w:spacing w:line="440" w:lineRule="exact"/>
        <w:rPr>
          <w:rFonts w:hint="eastAsia" w:ascii="宋体" w:hAnsi="宋体" w:cs="宋体"/>
          <w:sz w:val="24"/>
          <w:szCs w:val="24"/>
          <w:highlight w:val="yellow"/>
        </w:rPr>
      </w:pPr>
      <w:r>
        <w:rPr>
          <w:rFonts w:hint="eastAsia" w:ascii="宋体" w:hAnsi="宋体" w:cs="宋体"/>
          <w:sz w:val="24"/>
          <w:szCs w:val="24"/>
          <w:highlight w:val="yellow"/>
        </w:rPr>
        <w:t xml:space="preserve">（</w:t>
      </w:r>
      <w:r>
        <w:rPr>
          <w:rFonts w:ascii="宋体" w:hAnsi="宋体" w:cs="宋体"/>
          <w:sz w:val="24"/>
          <w:szCs w:val="24"/>
          <w:highlight w:val="yellow"/>
        </w:rPr>
        <w:t xml:space="preserve">11</w:t>
      </w:r>
      <w:r>
        <w:rPr>
          <w:rFonts w:hint="eastAsia" w:ascii="宋体" w:hAnsi="宋体" w:cs="宋体"/>
          <w:sz w:val="24"/>
          <w:szCs w:val="24"/>
          <w:highlight w:val="yellow"/>
        </w:rPr>
        <w:t xml:space="preserve">）中标供应商支付工人工资必须严格按照《中华人民共和国劳动法》执行，不得以招标人按半年度付款及自身经营等原因拖欠工人工资</w:t>
      </w:r>
      <w:r>
        <w:rPr>
          <w:rFonts w:ascii="宋体" w:hAnsi="宋体" w:cs="宋体"/>
          <w:sz w:val="24"/>
          <w:szCs w:val="24"/>
          <w:highlight w:val="yellow"/>
        </w:rPr>
        <w:t xml:space="preserve">。</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七、物业管理有关说明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p>
    <w:p>
      <w:pPr>
        <w:ind w:firstLine="480"/>
        <w:spacing w:line="440" w:lineRule="exact"/>
        <w:rPr>
          <w:rFonts w:hint="eastAsia" w:ascii="宋体" w:hAnsi="宋体" w:cs="宋体"/>
          <w:sz w:val="24"/>
          <w:szCs w:val="24"/>
        </w:rPr>
      </w:pPr>
      <w:r>
        <w:rPr>
          <w:rFonts w:ascii="宋体" w:hAnsi="宋体" w:cs="宋体"/>
          <w:sz w:val="24"/>
          <w:szCs w:val="24"/>
        </w:rPr>
        <w:t xml:space="preserve">4、办公区域的水电费由中标供应商自行承担。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（1）中标供应商违反国家相关法规，与其聘用人员发生纠纷，均由中标供应商负责调解与处理，招标人不承担任何责任，并有权解除合同，所产生的一切后果由中标供应商负责。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（2）因中标供应商服务不合格而提前终止服务合同，中标供应商应承担全部的责任及负责全部人员的安置，不得向招标人提出赔偿。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（3）中标供应商服务人员在岗履行工作职责期间，发生自身的人身伤害、伤亡等，均由中标供应商负责处理并承担经济和道义上的责任，招标人不承担任何责任。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（4）中标供应商人员在管理服务中违反国家相关法规或行业规范，因过失造成他人人身伤亡的，均由中标供应商负责处理并承担经济和道义上的责任，招标人不承担任何责任。</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八、物业费用测算要求</w:t>
      </w:r>
      <w:r/>
    </w:p>
    <w:p>
      <w:pPr>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ind w:firstLine="480"/>
        <w:jc w:val="left"/>
        <w:spacing w:line="440" w:lineRule="exact"/>
        <w:rPr>
          <w:rFonts w:hint="eastAsia" w:ascii="宋体" w:hAnsi="宋体" w:cs="宋体"/>
          <w:b/>
          <w:color w:val="000000"/>
          <w:sz w:val="24"/>
          <w:szCs w:val="24"/>
          <w:highlight w:val="yellow"/>
          <w:u w:val="single"/>
        </w:rPr>
      </w:pPr>
      <w:r>
        <w:rPr>
          <w:rFonts w:hint="eastAsia" w:ascii="宋体" w:hAnsi="宋体" w:cs="宋体"/>
          <w:bCs/>
          <w:color w:val="000000"/>
          <w:sz w:val="24"/>
          <w:szCs w:val="24"/>
          <w:highlight w:val="yellow"/>
        </w:rPr>
        <w:t xml:space="preserve">2.费用测算要求：</w:t>
      </w:r>
      <w:r>
        <w:rPr>
          <w:rFonts w:hint="eastAsia" w:ascii="宋体" w:hAnsi="宋体" w:cs="宋体"/>
          <w:b/>
          <w:color w:val="000000"/>
          <w:sz w:val="24"/>
          <w:szCs w:val="24"/>
          <w:highlight w:val="yellow"/>
          <w:u w:val="single"/>
        </w:rPr>
        <w:t xml:space="preserve">带★的条款要求投标人必须完全响应，不响应的作为无效响应处理。</w:t>
      </w:r>
      <w:r/>
    </w:p>
    <w:p>
      <w:pPr>
        <w:ind w:firstLine="480"/>
        <w:spacing w:line="440" w:lineRule="exact"/>
        <w:rPr>
          <w:rFonts w:hint="eastAsia" w:ascii="宋体" w:hAnsi="宋体" w:cs="宋体"/>
          <w:sz w:val="24"/>
          <w:szCs w:val="24"/>
          <w:highlight w:val="yellow"/>
          <w:u w:val="single"/>
        </w:rPr>
      </w:pPr>
      <w:r>
        <w:rPr>
          <w:rFonts w:hint="eastAsia" w:ascii="宋体" w:hAnsi="宋体" w:cs="宋体"/>
          <w:color w:val="ff0000"/>
          <w:sz w:val="24"/>
          <w:szCs w:val="24"/>
          <w:highlight w:val="yellow"/>
          <w:u w:val="single"/>
        </w:rPr>
        <w:t xml:space="preserve">★（1）项目总配备：项目经理、保安主管（兼安全员）、绿化主管、维修主管、客服内勤、财会人员、维修人员、消控人员、保安人员、保洁人员不少于42人；周末加班人数不少于35人（单休）；国家法定节假日加班人数不少于42人；</w:t>
      </w:r>
      <w:r>
        <w:rPr>
          <w:rFonts w:hint="eastAsia" w:ascii="宋体" w:hAnsi="宋体" w:cs="宋体"/>
          <w:sz w:val="24"/>
          <w:szCs w:val="24"/>
          <w:highlight w:val="yellow"/>
          <w:u w:val="single"/>
        </w:rPr>
        <w:t xml:space="preserve">包括但不限于法定节假日、周末加班、岗位人数安排根据招标人要求进行调整安排。</w:t>
      </w:r>
      <w:r>
        <w:rPr>
          <w:rStyle w:val="728"/>
          <w:rFonts w:hint="eastAsia"/>
          <w:b/>
          <w:bCs/>
          <w:sz w:val="24"/>
          <w:szCs w:val="24"/>
        </w:rPr>
        <w:t xml:space="preserve">（投标人须提供承诺函，格式自拟）</w:t>
      </w:r>
      <w:r/>
    </w:p>
    <w:p>
      <w:pPr>
        <w:ind w:firstLine="480"/>
        <w:jc w:val="left"/>
        <w:spacing w:line="440" w:lineRule="exact"/>
        <w:rPr>
          <w:rFonts w:hint="eastAsia" w:ascii="宋体" w:hAnsi="宋体" w:cs="宋体"/>
          <w:bCs/>
          <w:sz w:val="24"/>
          <w:szCs w:val="24"/>
        </w:rPr>
      </w:pPr>
      <w:r>
        <w:rPr>
          <w:rFonts w:hint="eastAsia" w:ascii="宋体" w:hAnsi="宋体" w:cs="宋体"/>
          <w:sz w:val="24"/>
          <w:szCs w:val="24"/>
          <w:highlight w:val="yellow"/>
          <w:u w:val="single"/>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728"/>
          <w:rFonts w:hint="eastAsia"/>
          <w:b/>
          <w:bCs/>
          <w:sz w:val="24"/>
          <w:szCs w:val="24"/>
        </w:rPr>
        <w:t xml:space="preserve">（投标人须提供承诺函，格式自拟）</w:t>
      </w:r>
      <w:r/>
    </w:p>
    <w:p>
      <w:pPr>
        <w:pStyle w:val="692"/>
        <w:jc w:val="left"/>
        <w:spacing w:before="0" w:after="0" w:line="440" w:lineRule="exact"/>
        <w:tabs>
          <w:tab w:val="left" w:pos="1380" w:leader="none"/>
        </w:tabs>
        <w:rPr>
          <w:rFonts w:hint="eastAsia" w:ascii="宋体" w:hAnsi="宋体" w:eastAsia="宋体" w:cs="宋体"/>
          <w:b/>
          <w:bCs/>
          <w:sz w:val="24"/>
          <w:szCs w:val="24"/>
        </w:rPr>
      </w:pPr>
      <w:r>
        <w:rPr>
          <w:rFonts w:hint="eastAsia" w:ascii="宋体" w:hAnsi="宋体" w:eastAsia="宋体" w:cs="宋体"/>
          <w:b/>
          <w:bCs/>
          <w:sz w:val="24"/>
          <w:szCs w:val="24"/>
        </w:rPr>
      </w:r>
      <w:r/>
    </w:p>
    <w:p>
      <w:pPr>
        <w:rPr>
          <w:b/>
          <w:sz w:val="28"/>
          <w:szCs w:val="28"/>
        </w:rPr>
      </w:pPr>
      <w:r>
        <w:rPr>
          <w:rFonts w:hint="eastAsia"/>
          <w:sz w:val="28"/>
          <w:szCs w:val="28"/>
        </w:rPr>
        <w:t xml:space="preserve">5. </w:t>
      </w:r>
      <w:r>
        <w:rPr>
          <w:rFonts w:hint="eastAsia"/>
          <w:b/>
          <w:sz w:val="28"/>
          <w:szCs w:val="28"/>
        </w:rPr>
        <w:t xml:space="preserve">实质性要求</w:t>
      </w:r>
      <w:r/>
    </w:p>
    <w:p>
      <w:pPr>
        <w:pStyle w:val="1005"/>
        <w:contextualSpacing w:val="0"/>
        <w:ind w:left="0" w:firstLine="482"/>
        <w:rPr>
          <w:rFonts w:ascii="Times New Roman" w:hAnsi="Times New Roman"/>
          <w:sz w:val="28"/>
          <w:lang w:eastAsia="zh-CN"/>
        </w:rPr>
      </w:pPr>
      <w:r>
        <w:rPr>
          <w:rFonts w:hint="eastAsia" w:ascii="宋体" w:hAnsi="宋体"/>
          <w:b/>
          <w:bCs/>
          <w:i/>
          <w:sz w:val="28"/>
          <w:szCs w:val="28"/>
          <w:highlight w:val="yellow"/>
          <w:u w:val="single"/>
        </w:rPr>
        <w:t xml:space="preserve">★</w:t>
      </w:r>
      <w:r>
        <w:rPr>
          <w:rFonts w:hint="eastAsia" w:ascii="Times New Roman" w:hAnsi="Times New Roman"/>
          <w:sz w:val="28"/>
          <w:lang w:eastAsia="zh-CN"/>
        </w:rPr>
        <w:t xml:space="preserve">分包三</w:t>
      </w:r>
      <w:r/>
    </w:p>
    <w:tbl>
      <w:tblPr>
        <w:tblStyle w:val="701"/>
        <w:tblW w:w="7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jc w:val="center"/>
          <w:trHeight w:val="682"/>
        </w:trPr>
        <w:tc>
          <w:tcPr>
            <w:tcW w:w="715"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序号</w:t>
            </w:r>
            <w:r/>
          </w:p>
        </w:tc>
        <w:tc>
          <w:tcPr>
            <w:tcW w:w="4424"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实质性要求</w:t>
            </w:r>
            <w:r/>
          </w:p>
        </w:tc>
        <w:tc>
          <w:tcPr>
            <w:tcW w:w="2852"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证明材料</w:t>
            </w:r>
            <w:r/>
          </w:p>
        </w:tc>
      </w:tr>
      <w:tr>
        <w:trPr>
          <w:cantSplit/>
          <w:jc w:val="center"/>
          <w:trHeight w:val="235"/>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1</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1）项目总配备：项目经理、客服兼内勤及档案信息管理、水电工、维修人员、保安人员、车辆管理人员、保洁人员不少于42人；周末加班人数不少于35人（单休）；国家法定节假日加班人数不少于42人；包括但不限于法定节假日、周末加班、岗位人数安排根据招标人要求进行调整安排。</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r>
        <w:trPr>
          <w:cantSplit/>
          <w:jc w:val="center"/>
          <w:trHeight w:val="222"/>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2</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bl>
    <w:p>
      <w:pPr>
        <w:ind w:firstLine="480"/>
        <w:rPr>
          <w:rFonts w:hint="eastAsia" w:ascii="宋体" w:hAnsi="宋体" w:cs="宋体"/>
          <w:sz w:val="24"/>
          <w:szCs w:val="24"/>
        </w:rPr>
      </w:pPr>
      <w:r>
        <w:rPr>
          <w:rFonts w:hint="eastAsia" w:ascii="宋体" w:hAnsi="宋体" w:cs="宋体"/>
          <w:sz w:val="24"/>
          <w:szCs w:val="24"/>
        </w:rPr>
      </w:r>
      <w:r/>
    </w:p>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不需要</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1"/>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sz w:val="24"/>
                <w:szCs w:val="24"/>
              </w:rPr>
              <w:t xml:space="preserve">魏村街道安置房物业服务项目（分包三）</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物业管理</w:t>
            </w:r>
            <w:r/>
          </w:p>
        </w:tc>
      </w:tr>
      <w:tr>
        <w:trPr>
          <w:cantSplit/>
          <w:jc w:val="center"/>
          <w:trHeight w:val="235"/>
        </w:trPr>
        <w:tc>
          <w:tcPr>
            <w:tcW w:w="545" w:type="dxa"/>
            <w:textDirection w:val="lrTb"/>
            <w:noWrap w:val="false"/>
          </w:tcPr>
          <w:p>
            <w:pPr>
              <w:jc w:val="center"/>
              <w:rPr>
                <w:rFonts w:hint="eastAsia" w:ascii="宋体" w:hAnsi="宋体"/>
                <w:sz w:val="24"/>
              </w:rPr>
            </w:pPr>
            <w:r>
              <w:rPr>
                <w:rFonts w:hint="eastAsia" w:ascii="宋体" w:hAnsi="宋体"/>
                <w:sz w:val="24"/>
              </w:rPr>
              <w:t xml:space="preserve">2</w:t>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222"/>
        </w:trPr>
        <w:tc>
          <w:tcPr>
            <w:tcW w:w="545" w:type="dxa"/>
            <w:textDirection w:val="lrTb"/>
            <w:noWrap w:val="false"/>
          </w:tcPr>
          <w:p>
            <w:pPr>
              <w:jc w:val="center"/>
              <w:rPr>
                <w:rFonts w:hint="eastAsia" w:ascii="宋体" w:hAnsi="宋体"/>
                <w:sz w:val="24"/>
              </w:rPr>
            </w:pPr>
            <w:r>
              <w:rPr>
                <w:rFonts w:hint="eastAsia" w:ascii="宋体" w:hAnsi="宋体"/>
                <w:sz w:val="24"/>
              </w:rPr>
              <w:t xml:space="preserve">3</w:t>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pPr>
      <w:r>
        <w:rPr>
          <w:rFonts w:hint="eastAsia"/>
        </w:rPr>
        <w:t xml:space="preserve">9.其他项目相关的表格清单、图纸、图片等资料可以电子文件形式通过系统上传。</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4</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21</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rPr>
          <w:sz w:val="24"/>
          <w:highlight w:val="yellow"/>
        </w:rPr>
      </w:pPr>
      <w:r>
        <w:rPr>
          <w:rFonts w:hint="eastAsia"/>
          <w:sz w:val="24"/>
          <w:highlight w:val="yellow"/>
        </w:rPr>
        <w:br w:type="page" w:clear="all"/>
      </w:r>
      <w:r/>
    </w:p>
    <w:p>
      <w:pPr>
        <w:ind w:firstLine="480"/>
        <w:spacing w:line="360" w:lineRule="auto"/>
        <w:rPr>
          <w:sz w:val="24"/>
          <w:highlight w:val="yellow"/>
        </w:rPr>
      </w:pPr>
      <w:r>
        <w:rPr>
          <w:rFonts w:hint="eastAsia"/>
          <w:sz w:val="24"/>
          <w:highlight w:val="yellow"/>
        </w:rPr>
        <w:t xml:space="preserve">04包（新魏花园社区）：</w:t>
      </w:r>
      <w:r/>
    </w:p>
    <w:p>
      <w:pPr>
        <w:ind w:firstLine="480"/>
        <w:spacing w:line="360" w:lineRule="auto"/>
        <w:rPr>
          <w:rFonts w:hint="eastAsia" w:ascii="宋体" w:hAnsi="宋体"/>
          <w:sz w:val="24"/>
          <w:szCs w:val="22"/>
        </w:rPr>
      </w:pPr>
      <w:r>
        <w:rPr>
          <w:rFonts w:hint="eastAsia" w:ascii="宋体" w:hAnsi="宋体"/>
          <w:sz w:val="24"/>
          <w:szCs w:val="24"/>
        </w:rPr>
        <w:t xml:space="preserve">新魏花园社区物业服务项目位于常州市新北区魏村街道，总建筑面积275400㎡，共57幢住宅，3个出入口。（详见下表）</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2584"/>
        <w:gridCol w:w="2329"/>
        <w:gridCol w:w="1925"/>
      </w:tblGrid>
      <w:tr>
        <w:trPr>
          <w:cantSplit/>
        </w:trPr>
        <w:tc>
          <w:tcPr>
            <w:gridSpan w:val="4"/>
            <w:tcW w:w="916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项目总体基本情况</w:t>
            </w:r>
            <w:r/>
          </w:p>
        </w:tc>
      </w:tr>
      <w:tr>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小区总用地面积</w:t>
            </w:r>
            <w:r/>
          </w:p>
        </w:tc>
        <w:tc>
          <w:tcPr>
            <w:tcW w:w="2584"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公顷</w:t>
            </w:r>
            <w:r/>
          </w:p>
        </w:tc>
        <w:tc>
          <w:tcPr>
            <w:tcW w:w="232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总建筑面积</w:t>
            </w:r>
            <w:r/>
          </w:p>
        </w:tc>
        <w:tc>
          <w:tcPr>
            <w:tcW w:w="1925"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27.54万㎡</w:t>
            </w:r>
            <w:r/>
          </w:p>
        </w:tc>
      </w:tr>
      <w:tr>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地上建筑面积</w:t>
            </w:r>
            <w:r/>
          </w:p>
        </w:tc>
        <w:tc>
          <w:tcPr>
            <w:tcW w:w="2584"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u w:val="single"/>
              </w:rPr>
              <w:t xml:space="preserve">万/</w:t>
            </w:r>
            <w:r>
              <w:rPr>
                <w:rFonts w:hint="eastAsia" w:ascii="宋体" w:hAnsi="宋体" w:cs="宋体"/>
                <w:sz w:val="24"/>
                <w:szCs w:val="24"/>
              </w:rPr>
              <w:t xml:space="preserve">㎡</w:t>
            </w:r>
            <w:r/>
          </w:p>
        </w:tc>
        <w:tc>
          <w:tcPr>
            <w:tcW w:w="232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地下建筑面积</w:t>
            </w:r>
            <w:r/>
          </w:p>
        </w:tc>
        <w:tc>
          <w:tcPr>
            <w:tcW w:w="1925"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w:t>
            </w:r>
            <w:r/>
          </w:p>
        </w:tc>
      </w:tr>
      <w:tr>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住宅建筑面积</w:t>
            </w:r>
            <w:r/>
          </w:p>
        </w:tc>
        <w:tc>
          <w:tcPr>
            <w:tcW w:w="2584"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w:t>
            </w:r>
            <w:r/>
          </w:p>
        </w:tc>
        <w:tc>
          <w:tcPr>
            <w:tcW w:w="232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住宅居住宅区户数</w:t>
            </w:r>
            <w:r/>
          </w:p>
        </w:tc>
        <w:tc>
          <w:tcPr>
            <w:tcW w:w="1925"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2572（户）</w:t>
            </w:r>
            <w:r/>
          </w:p>
        </w:tc>
      </w:tr>
      <w:tr>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住宅楼幢数</w:t>
            </w:r>
            <w:r/>
          </w:p>
        </w:tc>
        <w:tc>
          <w:tcPr>
            <w:tcW w:w="2584"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57（幢）</w:t>
            </w:r>
            <w:r/>
          </w:p>
        </w:tc>
        <w:tc>
          <w:tcPr>
            <w:tcW w:w="232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住宅楼楼道面积</w:t>
            </w:r>
            <w:r/>
          </w:p>
        </w:tc>
        <w:tc>
          <w:tcPr>
            <w:tcW w:w="1925"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r>
            <w:r/>
          </w:p>
        </w:tc>
      </w:tr>
      <w:tr>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商铺建筑面积</w:t>
            </w:r>
            <w:r/>
          </w:p>
        </w:tc>
        <w:tc>
          <w:tcPr>
            <w:tcW w:w="2584" w:type="dxa"/>
            <w:vAlign w:val="center"/>
            <w:textDirection w:val="lrTb"/>
            <w:noWrap w:val="false"/>
          </w:tcPr>
          <w:p>
            <w:pPr>
              <w:ind w:hanging="2"/>
              <w:jc w:val="center"/>
              <w:spacing w:line="360" w:lineRule="exact"/>
              <w:rPr>
                <w:rFonts w:hint="eastAsia" w:ascii="宋体" w:hAnsi="宋体" w:cs="宋体"/>
                <w:sz w:val="24"/>
                <w:szCs w:val="24"/>
              </w:rPr>
            </w:pPr>
            <w:r>
              <w:rPr>
                <w:rFonts w:hint="eastAsia" w:ascii="宋体" w:hAnsi="宋体" w:cs="宋体"/>
                <w:sz w:val="24"/>
                <w:szCs w:val="24"/>
              </w:rPr>
              <w:t xml:space="preserve">（㎡）</w:t>
            </w:r>
            <w:r/>
          </w:p>
        </w:tc>
        <w:tc>
          <w:tcPr>
            <w:tcW w:w="232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封闭情况</w:t>
            </w:r>
            <w:r/>
          </w:p>
        </w:tc>
        <w:tc>
          <w:tcPr>
            <w:tcW w:w="1925" w:type="dxa"/>
            <w:vAlign w:val="center"/>
            <w:textDirection w:val="lrTb"/>
            <w:noWrap w:val="false"/>
          </w:tcPr>
          <w:p>
            <w:pPr>
              <w:ind w:left="16" w:hanging="62"/>
              <w:jc w:val="center"/>
              <w:spacing w:line="360" w:lineRule="exact"/>
              <w:rPr>
                <w:rFonts w:hint="eastAsia" w:ascii="宋体" w:hAnsi="宋体" w:cs="宋体"/>
                <w:sz w:val="24"/>
                <w:szCs w:val="24"/>
              </w:rPr>
            </w:pPr>
            <w:r>
              <w:rPr>
                <w:rFonts w:hint="eastAsia" w:ascii="宋体" w:hAnsi="宋体" w:cs="宋体"/>
                <w:sz w:val="24"/>
                <w:szCs w:val="24"/>
              </w:rPr>
              <w:t xml:space="preserve">3个出入口</w:t>
            </w:r>
            <w:r/>
          </w:p>
        </w:tc>
      </w:tr>
      <w:tr>
        <w:trPr>
          <w:cantSplit/>
        </w:trPr>
        <w:tc>
          <w:tcPr>
            <w:gridSpan w:val="2"/>
            <w:tcW w:w="4915"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结构类型、层数、单元数</w:t>
            </w:r>
            <w:r/>
          </w:p>
        </w:tc>
        <w:tc>
          <w:tcPr>
            <w:gridSpan w:val="2"/>
            <w:tcW w:w="425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见下表</w:t>
            </w:r>
            <w:r/>
          </w:p>
        </w:tc>
      </w:tr>
      <w:tr>
        <w:trPr>
          <w:cantSplit/>
        </w:trPr>
        <w:tc>
          <w:tcPr>
            <w:gridSpan w:val="2"/>
            <w:tcW w:w="4915"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公共走道、楼梯、电梯厅装修标准</w:t>
            </w:r>
            <w:r/>
          </w:p>
        </w:tc>
        <w:tc>
          <w:tcPr>
            <w:gridSpan w:val="2"/>
            <w:tcW w:w="425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地砖、涂料√</w:t>
            </w:r>
            <w:r/>
          </w:p>
        </w:tc>
      </w:tr>
      <w:tr>
        <w:trPr>
          <w:cantSplit/>
        </w:trPr>
        <w:tc>
          <w:tcPr>
            <w:tcW w:w="233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c>
          <w:tcPr>
            <w:gridSpan w:val="3"/>
            <w:tcW w:w="6838"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r>
            <w:r/>
          </w:p>
        </w:tc>
      </w:tr>
    </w:tbl>
    <w:p>
      <w:pPr>
        <w:ind w:right="210" w:firstLine="480"/>
        <w:jc w:val="left"/>
        <w:spacing w:line="360" w:lineRule="exact"/>
        <w:rPr>
          <w:rFonts w:hint="eastAsia" w:ascii="宋体" w:hAnsi="宋体" w:cs="宋体"/>
          <w:sz w:val="24"/>
          <w:szCs w:val="24"/>
        </w:rPr>
      </w:pPr>
      <w:r>
        <w:rPr>
          <w:rFonts w:hint="eastAsia" w:ascii="宋体" w:hAnsi="宋体" w:cs="宋体"/>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422"/>
        <w:gridCol w:w="1894"/>
        <w:gridCol w:w="4174"/>
      </w:tblGrid>
      <w:tr>
        <w:trPr>
          <w:cantSplit/>
        </w:trPr>
        <w:tc>
          <w:tcPr>
            <w:gridSpan w:val="4"/>
            <w:tcW w:w="916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总体公建配套情况</w:t>
            </w:r>
            <w:r/>
          </w:p>
        </w:tc>
      </w:tr>
      <w:tr>
        <w:trPr>
          <w:cantSplit/>
        </w:trPr>
        <w:tc>
          <w:tcPr>
            <w:gridSpan w:val="4"/>
            <w:tcW w:w="9169"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1、地下车库面积：</w:t>
            </w:r>
            <w:r/>
          </w:p>
        </w:tc>
      </w:tr>
      <w:tr>
        <w:trPr>
          <w:cantSplit/>
        </w:trPr>
        <w:tc>
          <w:tcPr>
            <w:tcW w:w="679" w:type="dxa"/>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rPr>
                <w:rFonts w:hint="eastAsia" w:ascii="宋体" w:hAnsi="宋体" w:cs="宋体"/>
                <w:sz w:val="24"/>
                <w:szCs w:val="24"/>
              </w:rPr>
            </w:pPr>
            <w:r>
              <w:rPr>
                <w:rFonts w:hint="eastAsia" w:ascii="宋体" w:hAnsi="宋体" w:cs="宋体"/>
                <w:sz w:val="24"/>
                <w:szCs w:val="24"/>
              </w:rPr>
            </w:r>
            <w:r/>
          </w:p>
          <w:p>
            <w:pPr>
              <w:jc w:val="center"/>
              <w:spacing w:line="360" w:lineRule="exact"/>
              <w:rPr>
                <w:rFonts w:hint="eastAsia" w:ascii="宋体" w:hAnsi="宋体" w:cs="宋体"/>
                <w:sz w:val="24"/>
                <w:szCs w:val="24"/>
              </w:rPr>
            </w:pPr>
            <w:r>
              <w:rPr>
                <w:rFonts w:hint="eastAsia" w:ascii="宋体" w:hAnsi="宋体" w:cs="宋体"/>
                <w:sz w:val="24"/>
                <w:szCs w:val="24"/>
              </w:rPr>
              <w:t xml:space="preserve">中</w:t>
            </w:r>
            <w:r/>
          </w:p>
        </w:tc>
        <w:tc>
          <w:tcPr>
            <w:gridSpan w:val="2"/>
            <w:tcW w:w="4316"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机动车库:    （㎡）</w:t>
            </w:r>
            <w:r/>
          </w:p>
        </w:tc>
        <w:tc>
          <w:tcPr>
            <w:tcW w:w="417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汽车位：1457（辆），其中地上1089辆，地下368辆</w:t>
            </w:r>
            <w:r/>
          </w:p>
        </w:tc>
      </w:tr>
      <w:tr>
        <w:trPr>
          <w:cantSplit/>
        </w:trPr>
        <w:tc>
          <w:tcPr>
            <w:tcW w:w="679" w:type="dxa"/>
            <w:vAlign w:val="center"/>
            <w:vMerge w:val="continue"/>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r>
            <w:r/>
          </w:p>
        </w:tc>
        <w:tc>
          <w:tcPr>
            <w:gridSpan w:val="2"/>
            <w:tcW w:w="4316"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非机动车：   （㎡）</w:t>
            </w:r>
            <w:r/>
          </w:p>
        </w:tc>
        <w:tc>
          <w:tcPr>
            <w:tcW w:w="4174" w:type="dxa"/>
            <w:vAlign w:val="center"/>
            <w:textDirection w:val="lrTb"/>
            <w:noWrap w:val="false"/>
          </w:tcPr>
          <w:p>
            <w:pPr>
              <w:ind w:left="98" w:hanging="64"/>
              <w:spacing w:line="360" w:lineRule="exact"/>
              <w:rPr>
                <w:rFonts w:hint="eastAsia" w:ascii="宋体" w:hAnsi="宋体" w:cs="宋体"/>
                <w:sz w:val="24"/>
                <w:szCs w:val="24"/>
              </w:rPr>
            </w:pPr>
            <w:r>
              <w:rPr>
                <w:rFonts w:hint="eastAsia" w:ascii="宋体" w:hAnsi="宋体" w:cs="宋体"/>
                <w:sz w:val="24"/>
                <w:szCs w:val="24"/>
              </w:rPr>
              <w:t xml:space="preserve">人防地下室（公益性）：（㎡）</w:t>
            </w:r>
            <w:r/>
          </w:p>
        </w:tc>
      </w:tr>
      <w:tr>
        <w:trPr>
          <w:cantSplit/>
        </w:trPr>
        <w:tc>
          <w:tcPr>
            <w:gridSpan w:val="2"/>
            <w:tcW w:w="3101" w:type="dxa"/>
            <w:vAlign w:val="center"/>
            <w:textDirection w:val="lrTb"/>
            <w:noWrap w:val="false"/>
          </w:tcPr>
          <w:p>
            <w:pPr>
              <w:ind w:left="720" w:hanging="720"/>
              <w:jc w:val="left"/>
              <w:spacing w:line="360" w:lineRule="exact"/>
              <w:rPr>
                <w:rFonts w:hint="eastAsia" w:ascii="宋体" w:hAnsi="宋体" w:cs="宋体"/>
                <w:sz w:val="24"/>
                <w:szCs w:val="24"/>
              </w:rPr>
            </w:pPr>
            <w:r>
              <w:rPr>
                <w:rFonts w:hint="eastAsia" w:ascii="宋体" w:hAnsi="宋体" w:cs="宋体"/>
                <w:sz w:val="24"/>
                <w:szCs w:val="24"/>
              </w:rPr>
              <w:t xml:space="preserve">2、住宅地面停车位：1089（辆）</w:t>
            </w:r>
            <w:r/>
          </w:p>
        </w:tc>
        <w:tc>
          <w:tcPr>
            <w:tcW w:w="1894" w:type="dxa"/>
            <w:vAlign w:val="center"/>
            <w:textDirection w:val="lrTb"/>
            <w:noWrap w:val="false"/>
          </w:tcPr>
          <w:p>
            <w:pPr>
              <w:ind w:left="-34" w:firstLine="45"/>
              <w:jc w:val="left"/>
              <w:spacing w:line="360" w:lineRule="exact"/>
              <w:rPr>
                <w:rFonts w:hint="eastAsia" w:ascii="宋体" w:hAnsi="宋体" w:cs="宋体"/>
                <w:sz w:val="24"/>
                <w:szCs w:val="24"/>
              </w:rPr>
            </w:pPr>
            <w:r>
              <w:rPr>
                <w:rFonts w:hint="eastAsia" w:ascii="宋体" w:hAnsi="宋体" w:cs="宋体"/>
                <w:sz w:val="24"/>
                <w:szCs w:val="24"/>
              </w:rPr>
              <w:t xml:space="preserve">物业管理用房： </w:t>
            </w:r>
            <w:r/>
          </w:p>
        </w:tc>
        <w:tc>
          <w:tcPr>
            <w:tcW w:w="417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商业用房： </w:t>
            </w:r>
            <w:r/>
          </w:p>
        </w:tc>
      </w:tr>
      <w:tr>
        <w:trPr>
          <w:cantSplit/>
        </w:trPr>
        <w:tc>
          <w:tcPr>
            <w:gridSpan w:val="4"/>
            <w:tcW w:w="9169"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其它：自行踏勘现场</w:t>
            </w:r>
            <w:r/>
          </w:p>
        </w:tc>
      </w:tr>
    </w:tbl>
    <w:p>
      <w:pPr>
        <w:jc w:val="center"/>
        <w:spacing w:line="360" w:lineRule="exact"/>
        <w:rPr>
          <w:rFonts w:hint="eastAsia" w:ascii="宋体" w:hAnsi="宋体" w:cs="宋体"/>
          <w:sz w:val="24"/>
          <w:szCs w:val="24"/>
        </w:rPr>
      </w:pPr>
      <w:r>
        <w:rPr>
          <w:rFonts w:hint="eastAsia" w:ascii="宋体" w:hAnsi="宋体" w:cs="宋体"/>
          <w:sz w:val="24"/>
          <w:szCs w:val="24"/>
        </w:rPr>
      </w:r>
      <w:r/>
    </w:p>
    <w:tbl>
      <w:tblPr>
        <w:tblStyle w:val="701"/>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1"/>
        <w:gridCol w:w="2341"/>
        <w:gridCol w:w="2586"/>
        <w:gridCol w:w="2257"/>
      </w:tblGrid>
      <w:tr>
        <w:trPr>
          <w:cantSplit/>
        </w:trPr>
        <w:tc>
          <w:tcPr>
            <w:gridSpan w:val="4"/>
            <w:tcW w:w="9165" w:type="dxa"/>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项目信息表</w:t>
            </w:r>
            <w:r/>
          </w:p>
        </w:tc>
      </w:tr>
      <w:tr>
        <w:trPr>
          <w:cantSplit/>
        </w:trPr>
        <w:tc>
          <w:tcPr>
            <w:tcW w:w="1981"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房号</w:t>
            </w:r>
            <w:r/>
          </w:p>
        </w:tc>
        <w:tc>
          <w:tcPr>
            <w:tcBorders>
              <w:right w:val="single" w:color="auto" w:sz="4" w:space="0"/>
            </w:tcBorders>
            <w:tcW w:w="2341"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单元数量</w:t>
            </w:r>
            <w:r/>
          </w:p>
        </w:tc>
        <w:tc>
          <w:tcPr>
            <w:tcBorders>
              <w:left w:val="single" w:color="auto" w:sz="4" w:space="0"/>
            </w:tcBorders>
            <w:tcW w:w="2586"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层数</w:t>
            </w:r>
            <w:r/>
          </w:p>
        </w:tc>
        <w:tc>
          <w:tcPr>
            <w:tcW w:w="2257"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一层是店面房</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幼儿园</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8幢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9幢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10幢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一层店面房</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甲乙五层，丙丁六层</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18幢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19幢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20幢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28幢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29幢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30幢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38幢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39幢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40幢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48幢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49幢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50幢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51幢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52幢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53幢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54幢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55幢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56幢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r>
        <w:trPr>
          <w:cantSplit/>
        </w:trPr>
        <w:tc>
          <w:tcPr>
            <w:tcW w:w="198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57幢</w:t>
            </w:r>
            <w:r/>
          </w:p>
        </w:tc>
        <w:tc>
          <w:tcPr>
            <w:tcBorders>
              <w:right w:val="single" w:color="auto" w:sz="4" w:space="0"/>
            </w:tcBorders>
            <w:tcW w:w="234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2586"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5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有地下小车库</w:t>
            </w:r>
            <w:r/>
          </w:p>
        </w:tc>
      </w:tr>
    </w:tbl>
    <w:p>
      <w:pPr>
        <w:ind w:firstLine="480"/>
        <w:spacing w:line="360" w:lineRule="exact"/>
        <w:rPr>
          <w:rFonts w:hint="eastAsia" w:ascii="宋体" w:hAnsi="宋体" w:cs="宋体"/>
          <w:sz w:val="24"/>
          <w:szCs w:val="24"/>
        </w:rPr>
      </w:pPr>
      <w:r>
        <w:rPr>
          <w:rFonts w:hint="eastAsia" w:ascii="宋体" w:hAnsi="宋体" w:cs="宋体"/>
          <w:sz w:val="24"/>
          <w:szCs w:val="24"/>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759"/>
        <w:gridCol w:w="2285"/>
        <w:gridCol w:w="2259"/>
      </w:tblGrid>
      <w:tr>
        <w:trPr>
          <w:cantSplit/>
          <w:trHeight w:val="70"/>
        </w:trPr>
        <w:tc>
          <w:tcPr>
            <w:gridSpan w:val="4"/>
            <w:tcW w:w="916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设施设备情况</w:t>
            </w:r>
            <w:r/>
          </w:p>
        </w:tc>
      </w:tr>
      <w:tr>
        <w:trPr>
          <w:cantSplit/>
          <w:trHeight w:val="70"/>
        </w:trPr>
        <w:tc>
          <w:tcPr>
            <w:gridSpan w:val="2"/>
            <w:tcW w:w="462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项目</w:t>
            </w:r>
            <w:r/>
          </w:p>
        </w:tc>
        <w:tc>
          <w:tcPr>
            <w:tcW w:w="2285" w:type="dxa"/>
            <w:vAlign w:val="center"/>
            <w:textDirection w:val="lrTb"/>
            <w:noWrap w:val="false"/>
          </w:tcPr>
          <w:p>
            <w:pPr>
              <w:ind w:firstLine="34"/>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1、供配电系统</w:t>
            </w:r>
            <w:r/>
          </w:p>
        </w:tc>
        <w:tc>
          <w:tcPr>
            <w:tcW w:w="2285"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97"/>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2、道路系统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3、给水系统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7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4、排水系统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Height w:val="110"/>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5、智能化系统：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Height w:val="70"/>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（1）监控系统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（2）周界安保系统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（3）对讲系统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（4）安防系统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（5）综合布线</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（6）门禁系统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（7）巡更系统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（8）车辆管理系统</w:t>
            </w:r>
            <w:r/>
          </w:p>
        </w:tc>
        <w:tc>
          <w:tcPr>
            <w:tcW w:w="2285"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vAlign w:val="center"/>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6、消防系统：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无</w:t>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（1）消火栓系统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有坏</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（2）喷淋系统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有坏</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（3）消防报警控制系统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有坏</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（4）排烟机</w:t>
            </w:r>
            <w:r/>
          </w:p>
        </w:tc>
        <w:tc>
          <w:tcPr>
            <w:tcW w:w="2285" w:type="dxa"/>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有坏</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7、照明系统：</w:t>
            </w:r>
            <w:r/>
          </w:p>
        </w:tc>
        <w:tc>
          <w:tcPr>
            <w:tcW w:w="2285"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（1）庭院灯</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（2）楼道灯</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r>
            <w:r/>
          </w:p>
        </w:tc>
      </w:tr>
      <w:tr>
        <w:trPr>
          <w:cantSplit/>
        </w:trPr>
        <w:tc>
          <w:tcPr>
            <w:gridSpan w:val="2"/>
            <w:tcW w:w="4625"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（3）景观灯</w:t>
            </w:r>
            <w:r/>
          </w:p>
        </w:tc>
        <w:tc>
          <w:tcPr>
            <w:tcW w:w="2285" w:type="dxa"/>
            <w:textDirection w:val="lrTb"/>
            <w:noWrap w:val="false"/>
          </w:tcPr>
          <w:p>
            <w:pPr>
              <w:jc w:val="center"/>
              <w:spacing w:line="360" w:lineRule="exact"/>
              <w:rPr>
                <w:rFonts w:hint="eastAsia" w:ascii="宋体" w:hAnsi="宋体" w:cs="宋体"/>
                <w:sz w:val="24"/>
                <w:szCs w:val="24"/>
              </w:rPr>
            </w:pPr>
            <w:r>
              <w:rPr>
                <w:rFonts w:hint="eastAsia" w:ascii="宋体" w:hAnsi="宋体" w:cs="宋体"/>
                <w:b/>
                <w:bCs/>
                <w:sz w:val="24"/>
                <w:szCs w:val="24"/>
              </w:rPr>
              <w:t xml:space="preserve">有</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413"/>
        </w:trPr>
        <w:tc>
          <w:tcPr>
            <w:gridSpan w:val="2"/>
            <w:tcW w:w="4625"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8、公共音响系统</w:t>
            </w:r>
            <w:r/>
          </w:p>
        </w:tc>
        <w:tc>
          <w:tcPr>
            <w:tcW w:w="2285" w:type="dxa"/>
            <w:textDirection w:val="lrTb"/>
            <w:noWrap w:val="false"/>
          </w:tcPr>
          <w:p>
            <w:pPr>
              <w:jc w:val="center"/>
              <w:spacing w:line="360" w:lineRule="exact"/>
              <w:rPr>
                <w:rFonts w:hint="eastAsia" w:ascii="宋体" w:hAnsi="宋体" w:cs="宋体"/>
                <w:b/>
                <w:bCs/>
                <w:sz w:val="24"/>
                <w:szCs w:val="24"/>
              </w:rPr>
            </w:pPr>
            <w:r>
              <w:rPr>
                <w:rFonts w:hint="eastAsia" w:ascii="宋体" w:hAnsi="宋体" w:cs="宋体"/>
                <w:b/>
                <w:bCs/>
                <w:sz w:val="24"/>
                <w:szCs w:val="24"/>
              </w:rPr>
              <w:t xml:space="preserve">有</w:t>
            </w:r>
            <w:r/>
          </w:p>
        </w:tc>
        <w:tc>
          <w:tcPr>
            <w:tcW w:w="2259" w:type="dxa"/>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Pr>
        <w:tc>
          <w:tcPr>
            <w:gridSpan w:val="4"/>
            <w:tcW w:w="9169" w:type="dxa"/>
            <w:vAlign w:val="center"/>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9、建筑小品</w:t>
            </w:r>
            <w:r/>
          </w:p>
        </w:tc>
      </w:tr>
      <w:tr>
        <w:trPr>
          <w:cantSplit/>
          <w:trHeight w:val="70"/>
        </w:trPr>
        <w:tc>
          <w:tcPr>
            <w:tcW w:w="866" w:type="dxa"/>
            <w:vMerge w:val="restart"/>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p>
            <w:pPr>
              <w:spacing w:line="360" w:lineRule="exact"/>
              <w:rPr>
                <w:rFonts w:hint="eastAsia" w:ascii="宋体" w:hAnsi="宋体" w:cs="宋体"/>
                <w:sz w:val="24"/>
                <w:szCs w:val="24"/>
              </w:rPr>
            </w:pPr>
            <w:r>
              <w:rPr>
                <w:rFonts w:hint="eastAsia" w:ascii="宋体" w:hAnsi="宋体" w:cs="宋体"/>
                <w:sz w:val="24"/>
                <w:szCs w:val="24"/>
              </w:rPr>
              <w:t xml:space="preserve">10、电</w:t>
            </w:r>
            <w:r/>
          </w:p>
          <w:p>
            <w:pPr>
              <w:spacing w:line="360" w:lineRule="exact"/>
              <w:rPr>
                <w:rFonts w:hint="eastAsia" w:ascii="宋体" w:hAnsi="宋体" w:cs="宋体"/>
                <w:b/>
                <w:bCs/>
                <w:sz w:val="24"/>
                <w:szCs w:val="24"/>
              </w:rPr>
            </w:pPr>
            <w:r>
              <w:rPr>
                <w:rFonts w:hint="eastAsia" w:ascii="宋体" w:hAnsi="宋体" w:cs="宋体"/>
                <w:sz w:val="24"/>
                <w:szCs w:val="24"/>
              </w:rPr>
              <w:t xml:space="preserve">梯</w:t>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台数：无</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梯速：无</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品牌：无</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vAlign w:val="center"/>
            <w:textDirection w:val="lrTb"/>
            <w:noWrap w:val="false"/>
          </w:tcPr>
          <w:p>
            <w:pPr>
              <w:spacing w:line="360" w:lineRule="exact"/>
              <w:rPr>
                <w:rFonts w:hint="eastAsia" w:ascii="宋体" w:hAnsi="宋体" w:cs="宋体"/>
                <w:sz w:val="24"/>
                <w:szCs w:val="24"/>
                <w:u w:val="single"/>
              </w:rPr>
            </w:pPr>
            <w:r>
              <w:rPr>
                <w:rFonts w:hint="eastAsia" w:ascii="宋体" w:hAnsi="宋体" w:cs="宋体"/>
                <w:sz w:val="24"/>
                <w:szCs w:val="24"/>
              </w:rPr>
              <w:t xml:space="preserve">载重：无</w:t>
            </w:r>
            <w:r/>
          </w:p>
        </w:tc>
      </w:tr>
      <w:tr>
        <w:trPr>
          <w:cantSplit/>
          <w:trHeight w:val="70"/>
        </w:trPr>
        <w:tc>
          <w:tcPr>
            <w:tcW w:w="866" w:type="dxa"/>
            <w:vMerge w:val="continue"/>
            <w:textDirection w:val="lrTb"/>
            <w:noWrap w:val="false"/>
          </w:tcPr>
          <w:p>
            <w:pPr>
              <w:ind w:firstLine="482"/>
              <w:spacing w:line="360" w:lineRule="exact"/>
              <w:rPr>
                <w:rFonts w:hint="eastAsia" w:ascii="宋体" w:hAnsi="宋体" w:cs="宋体"/>
                <w:b/>
                <w:bCs/>
                <w:sz w:val="24"/>
                <w:szCs w:val="24"/>
              </w:rPr>
            </w:pPr>
            <w:r>
              <w:rPr>
                <w:rFonts w:hint="eastAsia" w:ascii="宋体" w:hAnsi="宋体" w:cs="宋体"/>
                <w:b/>
                <w:bCs/>
                <w:sz w:val="24"/>
                <w:szCs w:val="24"/>
              </w:rPr>
            </w:r>
            <w:r/>
          </w:p>
        </w:tc>
        <w:tc>
          <w:tcPr>
            <w:gridSpan w:val="3"/>
            <w:tcW w:w="8303" w:type="dxa"/>
            <w:textDirection w:val="lrTb"/>
            <w:noWrap w:val="false"/>
          </w:tcPr>
          <w:p>
            <w:pPr>
              <w:spacing w:line="360" w:lineRule="exact"/>
              <w:rPr>
                <w:rFonts w:hint="eastAsia" w:ascii="宋体" w:hAnsi="宋体" w:cs="宋体"/>
                <w:b/>
                <w:bCs/>
                <w:sz w:val="24"/>
                <w:szCs w:val="24"/>
              </w:rPr>
            </w:pPr>
            <w:r>
              <w:rPr>
                <w:rFonts w:hint="eastAsia" w:ascii="宋体" w:hAnsi="宋体" w:cs="宋体"/>
                <w:sz w:val="24"/>
                <w:szCs w:val="24"/>
              </w:rPr>
              <w:t xml:space="preserve">备注：无</w:t>
            </w:r>
            <w:r/>
          </w:p>
        </w:tc>
      </w:tr>
    </w:tbl>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其它数据等情况供应商可自行勘察，了解一切可能影响响应方案、报价等编制响应文件的资料，并承担考查现场的责任和风险以及踏勘现场所发生的自身费用。成交后，成交供应商人不得以不完全了解施工现场及周围环境为由，提出额外款项增加等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w:t>
      </w:r>
      <w:r>
        <w:rPr>
          <w:rFonts w:hint="eastAsia" w:ascii="宋体" w:hAnsi="宋体"/>
          <w:sz w:val="24"/>
          <w:lang w:val="zh-CN"/>
        </w:rPr>
        <w:t xml:space="preserve">房屋建筑公用部位的维修、养护和管理，包括：楼盖、屋顶、外墙面、 承重结构、楼梯间、走廊通道、门厅等。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1.2</w:t>
      </w:r>
      <w:r>
        <w:rPr>
          <w:rFonts w:hint="eastAsia" w:ascii="宋体" w:hAnsi="宋体"/>
          <w:sz w:val="24"/>
          <w:lang w:val="zh-CN"/>
        </w:rPr>
        <w:t xml:space="preserve">共用设施、设备的维修、养护、运行和管理，包括：共用的上下水管道、落水管、垃圾道、烟囱、共用照明、天线、楼内消防设施设备等。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1.3</w:t>
      </w:r>
      <w:r>
        <w:rPr>
          <w:rFonts w:hint="eastAsia" w:ascii="宋体" w:hAnsi="宋体"/>
          <w:sz w:val="24"/>
          <w:lang w:val="zh-CN"/>
        </w:rPr>
        <w:t xml:space="preserve">市政共用设施和附属物、构筑物的维修、养护和管理，包括道路、室外上下水管道、化粪池、沟渠、池、井、自行车棚、停车场等。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1.4</w:t>
      </w:r>
      <w:r>
        <w:rPr>
          <w:rFonts w:hint="eastAsia" w:ascii="宋体" w:hAnsi="宋体"/>
          <w:sz w:val="24"/>
          <w:lang w:val="zh-CN"/>
        </w:rPr>
        <w:t xml:space="preserve">公用绿地、花木、建筑小品等的养护与管理。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1.5</w:t>
      </w:r>
      <w:r>
        <w:rPr>
          <w:rFonts w:hint="eastAsia" w:ascii="宋体" w:hAnsi="宋体"/>
          <w:sz w:val="24"/>
          <w:lang w:val="zh-CN"/>
        </w:rPr>
        <w:t xml:space="preserve">附属配套建筑和设施的维修、养护和管理，包括商业网点、文化体育娱乐场所等。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公共环境卫生，包括公共场所、房屋共用部分的清洁卫生、垃圾的收集、清运等。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交通与车辆停放秩序的管理。</w:t>
      </w:r>
      <w:r/>
    </w:p>
    <w:p>
      <w:pPr>
        <w:ind w:firstLine="480"/>
        <w:jc w:val="left"/>
        <w:spacing w:line="360" w:lineRule="auto"/>
        <w:widowControl/>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装修秩序管理，202</w:t>
      </w:r>
      <w:r>
        <w:rPr>
          <w:rFonts w:hint="eastAsia" w:ascii="宋体" w:hAnsi="宋体"/>
          <w:sz w:val="24"/>
        </w:rPr>
        <w:t xml:space="preserve">6</w:t>
      </w:r>
      <w:r>
        <w:rPr>
          <w:rFonts w:hint="eastAsia" w:ascii="宋体" w:hAnsi="宋体"/>
          <w:sz w:val="24"/>
          <w:lang w:val="zh-CN"/>
        </w:rPr>
        <w:t xml:space="preserve">年1月1日起建筑垃圾清运费用由中标供应商承担。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维持公共秩序，包括安全监控、巡视、门岗执勤、小区巡逻等。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1.10</w:t>
      </w:r>
      <w:r>
        <w:rPr>
          <w:rFonts w:hint="eastAsia" w:ascii="宋体" w:hAnsi="宋体"/>
          <w:sz w:val="24"/>
          <w:lang w:val="zh-CN"/>
        </w:rPr>
        <w:t xml:space="preserve">日常管理与服务：包括业主或使用人的保修、投诉受理，小区文化活动的开展，告知业主或使用人装修应注意的事项，与物业相关的工程图纸、业主档案与竣工验收资料的保管等</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1.11</w:t>
      </w:r>
      <w:r>
        <w:rPr>
          <w:rFonts w:hint="eastAsia" w:ascii="宋体" w:hAnsi="宋体"/>
          <w:sz w:val="24"/>
          <w:lang w:val="zh-CN"/>
        </w:rPr>
        <w:t xml:space="preserve">对业主和物业使用人违反业主公约的行为，针对具体行为并根据情节轻重，采取批评、规劝、警告、制止等措施。</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1.12</w:t>
      </w:r>
      <w:r>
        <w:rPr>
          <w:rFonts w:hint="eastAsia" w:ascii="宋体" w:hAnsi="宋体"/>
          <w:sz w:val="24"/>
          <w:lang w:val="zh-CN"/>
        </w:rPr>
        <w:t xml:space="preserve">中标供应商要履行安置户房产交易变更后的物业费收取和车辆停放服务费收取的工作职责，须为商业用房提供物业服务，并负责向商业用房使用人收取相关费用。</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1.13</w:t>
      </w:r>
      <w:r>
        <w:rPr>
          <w:rFonts w:hint="eastAsia" w:ascii="宋体" w:hAnsi="宋体"/>
          <w:sz w:val="24"/>
          <w:lang w:val="zh-CN"/>
        </w:rPr>
        <w:t xml:space="preserve">单次500元以上（以审计结果为准）公共设施维修费用由社区承担，500元以下由中标供应商承担。</w:t>
      </w:r>
      <w:r/>
    </w:p>
    <w:p>
      <w:pPr>
        <w:ind w:firstLine="480"/>
        <w:jc w:val="left"/>
        <w:spacing w:line="360" w:lineRule="auto"/>
        <w:widowControl/>
        <w:rPr>
          <w:rFonts w:hint="eastAsia" w:ascii="宋体" w:hAnsi="宋体"/>
          <w:sz w:val="24"/>
          <w:lang w:val="zh-CN"/>
        </w:rPr>
      </w:pPr>
      <w:r>
        <w:rPr>
          <w:rFonts w:hint="eastAsia" w:ascii="宋体" w:hAnsi="宋体"/>
          <w:sz w:val="24"/>
        </w:rPr>
        <w:t xml:space="preserve">1.14</w:t>
      </w:r>
      <w:r>
        <w:rPr>
          <w:rFonts w:hint="eastAsia" w:ascii="宋体" w:hAnsi="宋体"/>
          <w:sz w:val="24"/>
          <w:lang w:val="zh-CN"/>
        </w:rPr>
        <w:t xml:space="preserve">业主和物业使用人房屋自用部分，自用设施及设备的维修、养护，在当事人提出委托时，乙方应接受委托与当事人商定合理收费。</w:t>
      </w:r>
      <w:r/>
    </w:p>
    <w:p>
      <w:pPr>
        <w:ind w:firstLine="480"/>
        <w:jc w:val="left"/>
        <w:spacing w:line="360" w:lineRule="auto"/>
        <w:widowControl/>
      </w:pPr>
      <w:r>
        <w:rPr>
          <w:rFonts w:hint="eastAsia" w:ascii="宋体" w:hAnsi="宋体"/>
          <w:sz w:val="24"/>
        </w:rPr>
        <w:t xml:space="preserve">1.15</w:t>
      </w:r>
      <w:r>
        <w:rPr>
          <w:rFonts w:hint="eastAsia" w:ascii="宋体" w:hAnsi="宋体"/>
          <w:sz w:val="24"/>
          <w:lang w:val="zh-CN"/>
        </w:rPr>
        <w:t xml:space="preserve">其他委托事项：另行协商。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2、其他说明</w:t>
      </w:r>
      <w:r/>
    </w:p>
    <w:p>
      <w:pPr>
        <w:ind w:firstLine="480"/>
        <w:spacing w:line="360" w:lineRule="auto"/>
        <w:rPr>
          <w:rFonts w:hint="eastAsia" w:ascii="宋体" w:hAnsi="宋体" w:cs="宋体"/>
          <w:sz w:val="24"/>
          <w:szCs w:val="24"/>
        </w:rPr>
      </w:pPr>
      <w:r>
        <w:rPr>
          <w:rFonts w:hint="eastAsia" w:ascii="宋体" w:hAnsi="宋体" w:cs="宋体"/>
          <w:color w:val="ff0000"/>
          <w:sz w:val="24"/>
          <w:szCs w:val="24"/>
          <w:highlight w:val="yellow"/>
        </w:rPr>
        <w:t xml:space="preserve">本项目报价包含所有小区住户及配套商业部分物业服务费，投标人不得另行收取，</w:t>
      </w:r>
      <w:r>
        <w:rPr>
          <w:rFonts w:hint="eastAsia" w:ascii="宋体" w:hAnsi="宋体" w:cs="宋体"/>
          <w:sz w:val="24"/>
          <w:szCs w:val="24"/>
        </w:rPr>
        <w:t xml:space="preserve">具体以甲方书面通知为准。</w:t>
      </w:r>
      <w:r/>
    </w:p>
    <w:p>
      <w:pPr>
        <w:pStyle w:val="692"/>
        <w:jc w:val="left"/>
        <w:spacing w:before="0" w:after="0" w:line="440" w:lineRule="exact"/>
        <w:tabs>
          <w:tab w:val="left" w:pos="1380" w:leader="none"/>
        </w:tabs>
        <w:rPr>
          <w:rFonts w:hint="eastAsia" w:ascii="宋体" w:hAnsi="宋体" w:eastAsia="宋体" w:cs="宋体"/>
          <w:sz w:val="24"/>
          <w:szCs w:val="24"/>
          <w:highlight w:val="red"/>
        </w:rPr>
      </w:pPr>
      <w:r>
        <w:rPr>
          <w:rFonts w:hint="eastAsia" w:ascii="宋体" w:hAnsi="宋体" w:eastAsia="宋体" w:cs="宋体"/>
          <w:sz w:val="24"/>
          <w:szCs w:val="24"/>
          <w:highlight w:val="red"/>
        </w:rPr>
        <w:t xml:space="preserve">3.人员要求</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为了保证服务质量，人员配备必须遵守《劳动法》等相规定，避免引起劳动纠纷，本项目配备人员清单如下：</w:t>
      </w:r>
      <w:r/>
    </w:p>
    <w:tbl>
      <w:tblPr>
        <w:tblStyle w:val="701"/>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2130"/>
        <w:gridCol w:w="5052"/>
      </w:tblGrid>
      <w:tr>
        <w:trPr>
          <w:cantSplit/>
          <w:jc w:val="center"/>
          <w:trHeight w:val="369"/>
        </w:trPr>
        <w:tc>
          <w:tcPr>
            <w:tcW w:w="1983"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岗位设置</w:t>
            </w:r>
            <w:r/>
          </w:p>
        </w:tc>
        <w:tc>
          <w:tcPr>
            <w:tcW w:w="2130" w:type="dxa"/>
            <w:vAlign w:val="center"/>
            <w:textDirection w:val="lrTb"/>
            <w:noWrap w:val="false"/>
          </w:tcPr>
          <w:p>
            <w:pPr>
              <w:jc w:val="center"/>
              <w:widowControl/>
              <w:rPr>
                <w:rFonts w:hint="eastAsia" w:ascii="宋体" w:hAnsi="宋体" w:cs="宋体"/>
                <w:b/>
                <w:color w:val="000000"/>
                <w:sz w:val="24"/>
                <w:szCs w:val="24"/>
              </w:rPr>
            </w:pPr>
            <w:r>
              <w:rPr>
                <w:rFonts w:hint="eastAsia" w:ascii="宋体" w:hAnsi="宋体" w:cs="宋体"/>
                <w:b/>
                <w:color w:val="000000"/>
                <w:sz w:val="24"/>
                <w:szCs w:val="24"/>
                <w:highlight w:val="yellow"/>
              </w:rPr>
              <w:t xml:space="preserve">人数（不少于）</w:t>
            </w:r>
            <w:r/>
          </w:p>
        </w:tc>
        <w:tc>
          <w:tcPr>
            <w:tcW w:w="5052"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要求</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项目经理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男女不限，年龄在55周岁（含）以下，具有大专（含）以上文化程度、2年以上物业经理经验。</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客服兼内勤及档案信息管理</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男女不限，大专（含）以上文化程度，身体健康。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水电工、维修人员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w:t>
            </w:r>
            <w:r>
              <w:rPr>
                <w:rFonts w:ascii="宋体" w:hAnsi="宋体" w:cs="宋体"/>
                <w:color w:val="ff0000"/>
                <w:sz w:val="24"/>
                <w:szCs w:val="24"/>
                <w:highlight w:val="yellow"/>
              </w:rPr>
              <w:t xml:space="preserve">人</w:t>
            </w:r>
            <w:r/>
          </w:p>
        </w:tc>
        <w:tc>
          <w:tcPr>
            <w:tcW w:w="5052" w:type="dxa"/>
            <w:vAlign w:val="center"/>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男女不限，55周岁（含）以下，身体健康，具有高中以上文化程度，从事水电气维修工作三年以上经验，精通水电气维修。</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保安人员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12人</w:t>
            </w:r>
            <w:r/>
          </w:p>
        </w:tc>
        <w:tc>
          <w:tcPr>
            <w:tcW w:w="5052" w:type="dxa"/>
            <w:textDirection w:val="lrTb"/>
            <w:noWrap w:val="false"/>
          </w:tcPr>
          <w:p>
            <w:pPr>
              <w:jc w:val="left"/>
              <w:spacing w:line="360" w:lineRule="exact"/>
              <w:rPr>
                <w:rFonts w:hint="eastAsia" w:ascii="宋体" w:hAnsi="宋体" w:cs="宋体"/>
                <w:bCs/>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sz w:val="24"/>
                <w:szCs w:val="24"/>
                <w:highlight w:val="yellow"/>
              </w:rPr>
            </w:pPr>
            <w:r>
              <w:rPr>
                <w:rFonts w:hint="eastAsia" w:ascii="宋体" w:hAnsi="宋体" w:cs="宋体"/>
                <w:sz w:val="24"/>
                <w:szCs w:val="24"/>
                <w:highlight w:val="yellow"/>
              </w:rPr>
              <w:t xml:space="preserve">车辆管理人员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1</w:t>
            </w:r>
            <w:r>
              <w:rPr>
                <w:rFonts w:ascii="宋体" w:hAnsi="宋体" w:cs="宋体"/>
                <w:color w:val="ff0000"/>
                <w:sz w:val="24"/>
                <w:szCs w:val="24"/>
                <w:highlight w:val="yellow"/>
              </w:rPr>
              <w:t xml:space="preserve">人</w:t>
            </w:r>
            <w:r/>
          </w:p>
        </w:tc>
        <w:tc>
          <w:tcPr>
            <w:tcW w:w="5052" w:type="dxa"/>
            <w:textDirection w:val="lrTb"/>
            <w:noWrap w:val="false"/>
          </w:tcPr>
          <w:p>
            <w:pPr>
              <w:jc w:val="left"/>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保洁人员</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23</w:t>
            </w:r>
            <w:r>
              <w:rPr>
                <w:rFonts w:ascii="宋体" w:hAnsi="宋体" w:cs="宋体"/>
                <w:color w:val="ff0000"/>
                <w:sz w:val="24"/>
                <w:szCs w:val="24"/>
                <w:highlight w:val="yellow"/>
              </w:rPr>
              <w:t xml:space="preserve">人</w:t>
            </w:r>
            <w:r/>
          </w:p>
        </w:tc>
        <w:tc>
          <w:tcPr>
            <w:tcW w:w="5052" w:type="dxa"/>
            <w:vAlign w:val="center"/>
            <w:textDirection w:val="lrTb"/>
            <w:noWrap w:val="false"/>
          </w:tcPr>
          <w:p>
            <w:pPr>
              <w:jc w:val="center"/>
              <w:spacing w:line="360" w:lineRule="exact"/>
              <w:rPr>
                <w:rFonts w:hint="eastAsia" w:ascii="宋体" w:hAnsi="宋体" w:cs="宋体"/>
                <w:sz w:val="24"/>
                <w:szCs w:val="24"/>
                <w:highlight w:val="yellow"/>
              </w:rPr>
            </w:pPr>
            <w:r>
              <w:rPr>
                <w:rFonts w:hint="eastAsia" w:ascii="宋体" w:hAnsi="宋体" w:cs="宋体"/>
                <w:sz w:val="24"/>
                <w:szCs w:val="24"/>
              </w:rPr>
              <w:t xml:space="preserve">有工作经历，吃苦耐劳，男女不限，身体健康。</w:t>
            </w:r>
            <w:r/>
          </w:p>
        </w:tc>
      </w:tr>
      <w:tr>
        <w:trPr>
          <w:jc w:val="center"/>
          <w:trHeight w:val="369"/>
        </w:trPr>
        <w:tc>
          <w:tcPr>
            <w:tcW w:w="198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小 计</w:t>
            </w:r>
            <w:r/>
          </w:p>
        </w:tc>
        <w:tc>
          <w:tcPr>
            <w:tcW w:w="2130" w:type="dxa"/>
            <w:vAlign w:val="center"/>
            <w:textDirection w:val="lrTb"/>
            <w:noWrap w:val="false"/>
          </w:tcPr>
          <w:p>
            <w:pPr>
              <w:jc w:val="center"/>
              <w:widowControl/>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41人</w:t>
            </w:r>
            <w:r/>
          </w:p>
        </w:tc>
        <w:tc>
          <w:tcPr>
            <w:tcW w:w="5052" w:type="dxa"/>
            <w:vAlign w:val="center"/>
            <w:textDirection w:val="lrTb"/>
            <w:noWrap w:val="false"/>
          </w:tcPr>
          <w:p>
            <w:pPr>
              <w:jc w:val="left"/>
              <w:widowControl/>
              <w:rPr>
                <w:rFonts w:hint="eastAsia" w:ascii="宋体" w:hAnsi="宋体" w:cs="宋体"/>
                <w:bCs/>
                <w:sz w:val="24"/>
                <w:szCs w:val="24"/>
                <w:highlight w:val="yellow"/>
              </w:rPr>
            </w:pPr>
            <w:r>
              <w:rPr>
                <w:rFonts w:hint="eastAsia" w:ascii="宋体" w:hAnsi="宋体" w:cs="宋体"/>
                <w:bCs/>
                <w:sz w:val="24"/>
                <w:szCs w:val="24"/>
                <w:highlight w:val="yellow"/>
              </w:rPr>
            </w:r>
            <w:r/>
          </w:p>
        </w:tc>
      </w:tr>
    </w:tbl>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（1）上述人员须在合同签订后15日内配备到位，并经培训考核合格后方可上岗。招标人有权对中标供应商招聘的人员进行考察，发现有不符合工作要求的，有权要求中标供应商更换。</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（7）鼓励中标供应商自行通过对小区智能化系统等设备提升等方式提升管理效能。</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（8）供应商必须严格执行国家、省、市关于用工工资标准等有关政策规定，并承担其雇员的劳动报酬、福利待遇，承担未正确执行劳动法用工规定所产生的法律责任，维护和保障员工的合法权益。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9）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10）在项目实施过程中因重大事件、会议活动、上级检查等情况临时额外增加工作人员的，中标供应商必须无条件按招标人需求进行临时增配协助，该情况费用应考虑在投标报价之内，招标人不再另行支付该部分费用。</w:t>
      </w:r>
      <w:r/>
    </w:p>
    <w:p>
      <w:pPr>
        <w:ind w:firstLine="480"/>
        <w:jc w:val="left"/>
        <w:spacing w:line="440" w:lineRule="exact"/>
        <w:rPr>
          <w:rFonts w:hint="eastAsia" w:ascii="宋体" w:hAnsi="宋体" w:cs="宋体"/>
          <w:sz w:val="24"/>
          <w:szCs w:val="24"/>
          <w:highlight w:val="yellow"/>
        </w:rPr>
      </w:pPr>
      <w:r>
        <w:rPr>
          <w:rFonts w:hint="eastAsia" w:ascii="宋体" w:hAnsi="宋体" w:cs="宋体"/>
          <w:sz w:val="24"/>
          <w:szCs w:val="24"/>
          <w:highlight w:val="yellow"/>
        </w:rPr>
        <w:t xml:space="preserve">（</w:t>
      </w:r>
      <w:r>
        <w:rPr>
          <w:rFonts w:ascii="宋体" w:hAnsi="宋体" w:cs="宋体"/>
          <w:sz w:val="24"/>
          <w:szCs w:val="24"/>
          <w:highlight w:val="yellow"/>
        </w:rPr>
        <w:t xml:space="preserve">11</w:t>
      </w:r>
      <w:r>
        <w:rPr>
          <w:rFonts w:hint="eastAsia" w:ascii="宋体" w:hAnsi="宋体" w:cs="宋体"/>
          <w:sz w:val="24"/>
          <w:szCs w:val="24"/>
          <w:highlight w:val="yellow"/>
        </w:rPr>
        <w:t xml:space="preserve">）中标供应商支付工人工资必须严格按照《中华人民共和国劳动法》执行，不得以招标人按半年度付款及自身经营等原因拖欠工人工资</w:t>
      </w:r>
      <w:r>
        <w:rPr>
          <w:rFonts w:ascii="宋体" w:hAnsi="宋体" w:cs="宋体"/>
          <w:sz w:val="24"/>
          <w:szCs w:val="24"/>
          <w:highlight w:val="yellow"/>
        </w:rPr>
        <w:t xml:space="preserve">。</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七、物业管理有关说明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p>
    <w:p>
      <w:pPr>
        <w:ind w:firstLine="480"/>
        <w:spacing w:line="440" w:lineRule="exact"/>
        <w:rPr>
          <w:rFonts w:hint="eastAsia" w:ascii="宋体" w:hAnsi="宋体" w:cs="宋体"/>
          <w:sz w:val="24"/>
          <w:szCs w:val="24"/>
        </w:rPr>
      </w:pPr>
      <w:r>
        <w:rPr>
          <w:rFonts w:ascii="宋体" w:hAnsi="宋体" w:cs="宋体"/>
          <w:sz w:val="24"/>
          <w:szCs w:val="24"/>
        </w:rPr>
        <w:t xml:space="preserve">4、办公区域的水电费由中标供应商自行承担。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（1）中标供应商违反国家相关法规，与其聘用人员发生纠纷，均由中标供应商负责调解与处理，招标人不承担任何责任，并有权解除合同，所产生的一切后果由中标供应商负责。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（2）因中标供应商服务不合格而提前终止服务合同，中标供应商应承担全部的责任及负责全部人员的安置，不得向招标人提出赔偿。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（3）中标供应商服务人员在岗履行工作职责期间，发生自身的人身伤害、伤亡等，均由中标供应商负责处理并承担经济和道义上的责任，招标人不承担任何责任。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（4）中标供应商人员在管理服务中违反国家相关法规或行业规范，因过失造成他人人身伤亡的，均由中标供应商负责处理并承担经济和道义上的责任，招标人不承担任何责任。</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八、物业费用测算要求</w:t>
      </w:r>
      <w:r/>
    </w:p>
    <w:p>
      <w:pPr>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ind w:firstLine="480"/>
        <w:jc w:val="left"/>
        <w:spacing w:line="440" w:lineRule="exact"/>
        <w:rPr>
          <w:rFonts w:hint="eastAsia" w:ascii="宋体" w:hAnsi="宋体" w:cs="宋体"/>
          <w:b/>
          <w:color w:val="000000"/>
          <w:sz w:val="24"/>
          <w:szCs w:val="24"/>
          <w:highlight w:val="yellow"/>
          <w:u w:val="single"/>
        </w:rPr>
      </w:pPr>
      <w:r>
        <w:rPr>
          <w:rFonts w:hint="eastAsia" w:ascii="宋体" w:hAnsi="宋体" w:cs="宋体"/>
          <w:bCs/>
          <w:color w:val="000000"/>
          <w:sz w:val="24"/>
          <w:szCs w:val="24"/>
          <w:highlight w:val="yellow"/>
        </w:rPr>
        <w:t xml:space="preserve">2.费用测算要求：</w:t>
      </w:r>
      <w:r>
        <w:rPr>
          <w:rFonts w:hint="eastAsia" w:ascii="宋体" w:hAnsi="宋体" w:cs="宋体"/>
          <w:b/>
          <w:color w:val="000000"/>
          <w:sz w:val="24"/>
          <w:szCs w:val="24"/>
          <w:highlight w:val="yellow"/>
          <w:u w:val="single"/>
        </w:rPr>
        <w:t xml:space="preserve">带★的条款要求投标人必须完全响应，不响应的作为无效响应处理。</w:t>
      </w:r>
      <w:r/>
    </w:p>
    <w:p>
      <w:pPr>
        <w:ind w:firstLine="480"/>
        <w:spacing w:line="440" w:lineRule="exact"/>
        <w:rPr>
          <w:rFonts w:hint="eastAsia" w:ascii="宋体" w:hAnsi="宋体" w:cs="宋体"/>
          <w:sz w:val="24"/>
          <w:szCs w:val="24"/>
          <w:highlight w:val="yellow"/>
          <w:u w:val="single"/>
        </w:rPr>
      </w:pPr>
      <w:r>
        <w:rPr>
          <w:rFonts w:hint="eastAsia" w:ascii="宋体" w:hAnsi="宋体" w:cs="宋体"/>
          <w:color w:val="ff0000"/>
          <w:sz w:val="24"/>
          <w:szCs w:val="24"/>
          <w:highlight w:val="yellow"/>
          <w:u w:val="single"/>
        </w:rPr>
        <w:t xml:space="preserve">★（1）项目总配备：项目经理、保安主管（兼安全员）、绿化主管、维修主管、客服内勤、财会人员、维修人员、消控人员、保安人员、保洁人员不少于41人；周末加班人数不少于34人（单休）；国家法定节假日加班人数不少于41人；</w:t>
      </w:r>
      <w:r>
        <w:rPr>
          <w:rFonts w:hint="eastAsia" w:ascii="宋体" w:hAnsi="宋体" w:cs="宋体"/>
          <w:sz w:val="24"/>
          <w:szCs w:val="24"/>
          <w:highlight w:val="yellow"/>
          <w:u w:val="single"/>
        </w:rPr>
        <w:t xml:space="preserve">包括但不限于法定节假日、周末加班、岗位人数安排根据招标人要求进行调整安排。</w:t>
      </w:r>
      <w:r>
        <w:rPr>
          <w:rStyle w:val="728"/>
          <w:rFonts w:hint="eastAsia"/>
          <w:b/>
          <w:bCs/>
          <w:sz w:val="24"/>
          <w:szCs w:val="24"/>
        </w:rPr>
        <w:t xml:space="preserve">（投标人须提供承诺函，格式自拟）</w:t>
      </w:r>
      <w:r/>
    </w:p>
    <w:p>
      <w:pPr>
        <w:ind w:firstLine="480"/>
        <w:jc w:val="left"/>
        <w:spacing w:line="440" w:lineRule="exact"/>
        <w:rPr>
          <w:rFonts w:hint="eastAsia" w:ascii="宋体" w:hAnsi="宋体" w:cs="宋体"/>
          <w:bCs/>
          <w:sz w:val="24"/>
          <w:szCs w:val="24"/>
        </w:rPr>
      </w:pPr>
      <w:r>
        <w:rPr>
          <w:rFonts w:hint="eastAsia" w:ascii="宋体" w:hAnsi="宋体" w:cs="宋体"/>
          <w:sz w:val="24"/>
          <w:szCs w:val="24"/>
          <w:highlight w:val="yellow"/>
          <w:u w:val="single"/>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728"/>
          <w:rFonts w:hint="eastAsia"/>
          <w:b/>
          <w:bCs/>
          <w:sz w:val="24"/>
          <w:szCs w:val="24"/>
        </w:rPr>
        <w:t xml:space="preserve">（投标人须提供承诺函，格式自拟）</w:t>
      </w:r>
      <w:r/>
    </w:p>
    <w:p>
      <w:pPr>
        <w:pStyle w:val="692"/>
        <w:jc w:val="left"/>
        <w:spacing w:before="0" w:after="0" w:line="440" w:lineRule="exact"/>
        <w:tabs>
          <w:tab w:val="left" w:pos="1380" w:leader="none"/>
        </w:tabs>
        <w:rPr>
          <w:rFonts w:hint="eastAsia" w:ascii="宋体" w:hAnsi="宋体" w:eastAsia="宋体" w:cs="宋体"/>
          <w:b/>
          <w:bCs/>
          <w:sz w:val="24"/>
          <w:szCs w:val="24"/>
        </w:rPr>
      </w:pPr>
      <w:r>
        <w:rPr>
          <w:rFonts w:hint="eastAsia" w:ascii="宋体" w:hAnsi="宋体" w:eastAsia="宋体" w:cs="宋体"/>
          <w:b/>
          <w:bCs/>
          <w:sz w:val="24"/>
          <w:szCs w:val="24"/>
        </w:rPr>
      </w:r>
      <w:r/>
    </w:p>
    <w:p>
      <w:pPr>
        <w:rPr>
          <w:b/>
          <w:sz w:val="28"/>
          <w:szCs w:val="28"/>
        </w:rPr>
      </w:pPr>
      <w:r>
        <w:rPr>
          <w:rFonts w:hint="eastAsia"/>
          <w:sz w:val="28"/>
          <w:szCs w:val="28"/>
        </w:rPr>
        <w:t xml:space="preserve">5. </w:t>
      </w:r>
      <w:r>
        <w:rPr>
          <w:rFonts w:hint="eastAsia"/>
          <w:b/>
          <w:sz w:val="28"/>
          <w:szCs w:val="28"/>
        </w:rPr>
        <w:t xml:space="preserve">实质性要求</w:t>
      </w:r>
      <w:r/>
    </w:p>
    <w:p>
      <w:pPr>
        <w:pStyle w:val="1005"/>
        <w:contextualSpacing w:val="0"/>
        <w:ind w:left="0" w:firstLine="482"/>
        <w:rPr>
          <w:rFonts w:ascii="Times New Roman" w:hAnsi="Times New Roman"/>
          <w:sz w:val="28"/>
          <w:lang w:eastAsia="zh-CN"/>
        </w:rPr>
      </w:pPr>
      <w:r>
        <w:rPr>
          <w:rFonts w:hint="eastAsia" w:ascii="宋体" w:hAnsi="宋体"/>
          <w:b/>
          <w:bCs/>
          <w:i/>
          <w:sz w:val="28"/>
          <w:szCs w:val="28"/>
          <w:highlight w:val="yellow"/>
          <w:u w:val="single"/>
        </w:rPr>
        <w:t xml:space="preserve">★</w:t>
      </w:r>
      <w:r>
        <w:rPr>
          <w:rFonts w:hint="eastAsia" w:ascii="Times New Roman" w:hAnsi="Times New Roman"/>
          <w:sz w:val="28"/>
          <w:lang w:eastAsia="zh-CN"/>
        </w:rPr>
        <w:t xml:space="preserve">分包四</w:t>
      </w:r>
      <w:r/>
    </w:p>
    <w:tbl>
      <w:tblPr>
        <w:tblStyle w:val="701"/>
        <w:tblW w:w="7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jc w:val="center"/>
          <w:trHeight w:val="682"/>
        </w:trPr>
        <w:tc>
          <w:tcPr>
            <w:tcW w:w="715"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序号</w:t>
            </w:r>
            <w:r/>
          </w:p>
        </w:tc>
        <w:tc>
          <w:tcPr>
            <w:tcW w:w="4424"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实质性要求</w:t>
            </w:r>
            <w:r/>
          </w:p>
        </w:tc>
        <w:tc>
          <w:tcPr>
            <w:tcW w:w="2852" w:type="dxa"/>
            <w:vAlign w:val="center"/>
            <w:textDirection w:val="lrTb"/>
            <w:noWrap w:val="false"/>
          </w:tcPr>
          <w:p>
            <w:pPr>
              <w:jc w:val="center"/>
              <w:rPr>
                <w:rFonts w:hint="eastAsia" w:ascii="宋体" w:hAnsi="宋体"/>
                <w:b/>
                <w:bCs/>
                <w:sz w:val="24"/>
                <w:highlight w:val="yellow"/>
              </w:rPr>
            </w:pPr>
            <w:r>
              <w:rPr>
                <w:rFonts w:hint="eastAsia" w:ascii="宋体" w:hAnsi="宋体"/>
                <w:b/>
                <w:bCs/>
                <w:sz w:val="24"/>
                <w:highlight w:val="yellow"/>
              </w:rPr>
              <w:t xml:space="preserve">证明材料</w:t>
            </w:r>
            <w:r/>
          </w:p>
        </w:tc>
      </w:tr>
      <w:tr>
        <w:trPr>
          <w:cantSplit/>
          <w:jc w:val="center"/>
          <w:trHeight w:val="235"/>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1</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1）项目总配备：项目经理、客服兼内勤及档案信息管理、水电工、维修人员、保安人员、车辆管理人员、保洁人员不少于41人；周末加班人数不少于34人（单休）；国家法定节假日加班人数不少于41人；包括但不限于法定节假日、周末加班、岗位人数安排根据招标人要求进行调整安排。</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r>
        <w:trPr>
          <w:cantSplit/>
          <w:jc w:val="center"/>
          <w:trHeight w:val="222"/>
        </w:trPr>
        <w:tc>
          <w:tcPr>
            <w:tcW w:w="715"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2</w:t>
            </w:r>
            <w:r/>
          </w:p>
        </w:tc>
        <w:tc>
          <w:tcPr>
            <w:tcW w:w="4424" w:type="dxa"/>
            <w:vAlign w:val="center"/>
            <w:textDirection w:val="lrTb"/>
            <w:noWrap w:val="false"/>
          </w:tcPr>
          <w:p>
            <w:pPr>
              <w:jc w:val="center"/>
              <w:rPr>
                <w:rFonts w:hint="eastAsia" w:ascii="宋体" w:hAnsi="宋体"/>
                <w:sz w:val="24"/>
                <w:highlight w:val="yellow"/>
              </w:rPr>
            </w:pPr>
            <w:r>
              <w:rPr>
                <w:rFonts w:hint="eastAsia" w:ascii="宋体" w:hAnsi="宋体" w:cs="宋体"/>
                <w:sz w:val="24"/>
                <w:szCs w:val="24"/>
                <w:highlight w:val="yellow"/>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4"/>
                <w:szCs w:val="24"/>
                <w:highlight w:val="yellow"/>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p>
        </w:tc>
        <w:tc>
          <w:tcPr>
            <w:tcW w:w="285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t xml:space="preserve">提供承诺函</w:t>
            </w:r>
            <w:r/>
          </w:p>
        </w:tc>
      </w:tr>
    </w:tbl>
    <w:p>
      <w:pPr>
        <w:ind w:firstLine="480"/>
        <w:rPr>
          <w:rFonts w:hint="eastAsia" w:ascii="宋体" w:hAnsi="宋体" w:cs="宋体"/>
          <w:sz w:val="24"/>
          <w:szCs w:val="24"/>
        </w:rPr>
      </w:pPr>
      <w:r>
        <w:rPr>
          <w:rFonts w:hint="eastAsia" w:ascii="宋体" w:hAnsi="宋体" w:cs="宋体"/>
          <w:sz w:val="24"/>
          <w:szCs w:val="24"/>
        </w:rPr>
      </w:r>
      <w:r/>
    </w:p>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不需要</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1"/>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sz w:val="24"/>
                <w:szCs w:val="24"/>
              </w:rPr>
              <w:t xml:space="preserve">魏村街道安置房物业服务项目（分包四）</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物业管理</w:t>
            </w:r>
            <w:r/>
          </w:p>
        </w:tc>
      </w:tr>
    </w:tbl>
    <w:p>
      <w:r/>
      <w:r/>
    </w:p>
    <w:p>
      <w:pPr>
        <w:ind w:firstLine="240"/>
        <w:rPr>
          <w:sz w:val="24"/>
          <w:highlight w:val="yellow"/>
        </w:rPr>
      </w:pPr>
      <w:r>
        <w:rPr>
          <w:sz w:val="24"/>
          <w:highlight w:val="yellow"/>
        </w:rPr>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w:t>
            </w:r>
            <w:r>
              <w:rPr>
                <w:rFonts w:ascii="宋体" w:hAnsi="宋体" w:cs="宋体"/>
                <w:color w:val="ff0000"/>
                <w:sz w:val="20"/>
                <w:szCs w:val="20"/>
                <w:highlight w:val="yellow"/>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23</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ind w:firstLine="321"/>
        <w:rPr>
          <w:rFonts w:hint="eastAsia" w:ascii="宋体" w:hAnsi="宋体"/>
          <w:b/>
          <w:sz w:val="32"/>
          <w:szCs w:val="22"/>
        </w:rPr>
      </w:pPr>
      <w:r>
        <w:rPr>
          <w:rFonts w:hint="eastAsia" w:ascii="宋体" w:hAnsi="宋体"/>
          <w:b/>
          <w:sz w:val="32"/>
          <w:szCs w:val="22"/>
        </w:rPr>
        <w:br w:type="page" w:clear="all"/>
      </w:r>
      <w:r/>
    </w:p>
    <w:p>
      <w:pPr>
        <w:jc w:val="center"/>
        <w:rPr>
          <w:rFonts w:hint="eastAsia" w:ascii="宋体" w:hAnsi="宋体"/>
          <w:b/>
          <w:sz w:val="32"/>
          <w:szCs w:val="22"/>
        </w:rPr>
      </w:pPr>
      <w:r>
        <w:rPr>
          <w:rFonts w:hint="eastAsia" w:ascii="宋体" w:hAnsi="宋体"/>
          <w:b/>
          <w:sz w:val="32"/>
          <w:szCs w:val="22"/>
        </w:rPr>
        <w:t xml:space="preserve">魏村街道安置房物业服务项目具体需求</w:t>
      </w:r>
      <w:r/>
    </w:p>
    <w:p>
      <w:pPr>
        <w:jc w:val="center"/>
        <w:rPr>
          <w:rFonts w:hint="eastAsia" w:ascii="宋体" w:hAnsi="宋体"/>
          <w:b/>
          <w:sz w:val="32"/>
          <w:szCs w:val="22"/>
        </w:rPr>
      </w:pPr>
      <w:r>
        <w:rPr>
          <w:rFonts w:hint="eastAsia" w:ascii="宋体" w:hAnsi="宋体"/>
          <w:b/>
          <w:sz w:val="32"/>
          <w:szCs w:val="22"/>
        </w:rPr>
        <w:t xml:space="preserve">（分包一、二、三、四）</w:t>
      </w:r>
      <w:r/>
    </w:p>
    <w:p>
      <w:pPr>
        <w:rPr>
          <w:rFonts w:ascii="Calibri" w:hAnsi="Calibri"/>
          <w:szCs w:val="22"/>
        </w:rPr>
      </w:pPr>
      <w:r>
        <w:rPr>
          <w:rFonts w:ascii="Calibri" w:hAnsi="Calibri"/>
          <w:szCs w:val="22"/>
        </w:rPr>
      </w:r>
      <w:r/>
    </w:p>
    <w:p>
      <w:pPr>
        <w:pStyle w:val="692"/>
        <w:jc w:val="center"/>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b/>
          <w:bCs/>
          <w:sz w:val="24"/>
          <w:szCs w:val="24"/>
        </w:rPr>
        <w:t xml:space="preserve">物业管理整体要求</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（一）基本要求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1、按照《常州市住宅物业管理条例》、《关于以党建引领推进业主委员会和物业服务企业建设的指导意见》（常组发﹝2019﹞33号）、《常州高新区</w:t>
      </w:r>
      <w:r>
        <w:rPr>
          <w:rFonts w:ascii="宋体" w:hAnsi="宋体" w:cs="宋体"/>
          <w:sz w:val="24"/>
          <w:szCs w:val="24"/>
        </w:rPr>
        <w:t xml:space="preserve">(新北区)推进党建引领物业综合治理三年行动方案》（常开委办﹝2025</w:t>
      </w:r>
      <w:r>
        <w:rPr>
          <w:rFonts w:hint="eastAsia" w:ascii="宋体" w:hAnsi="宋体" w:cs="宋体"/>
          <w:sz w:val="24"/>
          <w:szCs w:val="24"/>
        </w:rPr>
        <w:t xml:space="preserve">﹞</w:t>
      </w:r>
      <w:r>
        <w:rPr>
          <w:rFonts w:ascii="宋体" w:hAnsi="宋体" w:cs="宋体"/>
          <w:sz w:val="24"/>
          <w:szCs w:val="24"/>
        </w:rPr>
        <w:t xml:space="preserve">59</w:t>
      </w:r>
      <w:r>
        <w:rPr>
          <w:rFonts w:hint="eastAsia" w:ascii="宋体" w:hAnsi="宋体" w:cs="宋体"/>
          <w:sz w:val="24"/>
          <w:szCs w:val="24"/>
        </w:rPr>
        <w:t xml:space="preserve">号）和党建引领物业综合治理相关文件要求实施本项目物业管理。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2、在物业办公区域设置接待室，用于受理业主的投诉、报修；</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3、公示各项规章制度，档案资料齐全，管理规范。</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（二）房屋管理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1、对违反规划私搭乱建及擅自改变房屋用途现象及时劝告、阻止、报告并协助有关部门依法处理；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2、对私改乱拆管线、破坏房屋结构和损害他人利益现象及时劝阻、报告并协助有关部门依法处理；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3、对占用公用部位的情况应及时劝阻、报告并协助有关部门依法处理。</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（三）设施设备管理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1、各设备房卫生整洁，主要设施标示清楚齐全；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2、各设备房及公共场所、场地、危及他人安全的隐患处应有明显标识和防范措施；</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（四）公共秩序维护</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 1、服务范围</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（1）小区物业管理用房、各主次入口、停车场及全区二十四小时安全护卫及秩序维护、消控安全；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（2）消防监控中心（室）值班；</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（3）停车场安全管理保卫及秩序维护；</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（4）小区公共区域设施、设备的安全护卫；</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2、服务内容</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门岗室整洁，人员统一着装，配备必要的保安器械。设专人24小时值勤，其中主出入口不少于10小时立岗值勤。对本区机动车出入验证；对外来机动车登记。加强进出人员、车辆、物资管理，接收住户反馈信息，及时处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（2）按照规定路线和时间进行24小时不间断巡逻，不少于8次，对小区重点部位每2小时巡查一次，并做好巡查记录。巡逻过程中对可疑人员进行询问，发现火警或治安隐患、事故及时报告有关部门。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（3）对外来人员和车辆、物品进出进行登记，对出入小区的机动车辆进行引导，行驶有序并停放在指定位置。非机动车辆停放整齐车辆停放规范，无占道停放、无占绿停放。</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（4）设有中央监控室及消控室的实施24小时安全监控并记录及时，具有熟悉区域内消控设施的操作员，负责掌控小区消控、泵房的维护、卫生、消控设备的操作流程。</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（5）负责小区日常秩序、劝阻居民不文明行为、设施设备的安全保卫等工作。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（6）业主在公共部位堆放的杂物须及时清理，如非机动车库及机动车库中堆放的老旧家具等，在此过程中产生的问题妥善处理。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（7）对可能发生的涉及安全和秩序的各种情况有应急预案和措施；对雨雪、冰冻等自然灾害或火灾、水浸等突发事件有应急处理预案。</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（8）设置接待室，受理业主的投诉、报修。</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（9）公示各项规章制度，档案资料齐全，管理规范。</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（10）定期对服务人员进行消防培训，保证消防通道畅通，消防器材可随时启用。</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（五）公共区域保洁服务</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1、服务范围</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（1）小区公共设施、公共区域清洁卫生；</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（2）小区内垃圾收集、清运；</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（3）停车场保洁工作；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（4）小区公共洗手间保洁与管理；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（5）办公场地的保洁；</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（6）小区管理用房的清洁卫生；</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2、服务内容</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（1）小区道路每日清扫1遍，包括：主干道、人行道、支道、停车位、露天健身场地、休闲场地、通道廊道等；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（2）楼道门厅部位每周保洁不低于2遍，包括：门厅、楼梯踏步、休息平台、栏杆、扶手墙等；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（3）绿化带：定期循检保洁，包括：草坪、花坛等，发现杂物及时清理；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（4）水景：每日清捞，保持水面清洁，无白色漂浮物；</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（5）垃圾桶：夏季每日清理垃圾桶内垃圾，定期清洗；</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（6）保洁垃圾站、房：加强日常保洁，定期清理，垃圾不外溢；</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（7）公共区域玻璃每月擦洗2次；</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（8）定期做好公共场所的消杀灭菌（蚊、蝇、虫等）及灭鼠工作；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（9）公厕的清洁工作：台盆、地面、镜子、厕具保证清洁、厕所无异味；</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（10）保洁工作中发现需维修和其他隐患及时报告。</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（六）绿化养护管理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1、绿化养护人员负责小区绿化浇灌、修剪、病虫害防治等相关工作；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2、乔灌木养护，包括：树木、绿篱的修剪和病虫害防治；</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3、草坪养护：负责暖季型草坪的修剪、施肥、除草、喷药；</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4、对色块的养护：色块修剪有层次。</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（七）公共用水、用电等设施的维修服务</w:t>
      </w:r>
      <w:r/>
    </w:p>
    <w:p>
      <w:pPr>
        <w:ind w:firstLine="420"/>
        <w:spacing w:line="440" w:lineRule="exact"/>
        <w:tabs>
          <w:tab w:val="left" w:pos="2307" w:leader="none"/>
        </w:tabs>
        <w:rPr>
          <w:rFonts w:hint="eastAsia" w:ascii="宋体" w:hAnsi="宋体" w:cs="宋体"/>
          <w:b/>
          <w:bCs/>
          <w:sz w:val="24"/>
          <w:szCs w:val="24"/>
          <w:highlight w:val="cyan"/>
        </w:rPr>
      </w:pPr>
      <w:r>
        <w:rPr>
          <w:rFonts w:hint="eastAsia" w:ascii="宋体" w:hAnsi="宋体" w:cs="宋体"/>
          <w:sz w:val="24"/>
          <w:szCs w:val="24"/>
        </w:rPr>
        <w:t xml:space="preserve">1、做好公共设施设备的日常巡查和养护工作，负责小区内公共用水、公共照明等公用设施的维修工作。</w:t>
      </w:r>
      <w:r>
        <w:rPr>
          <w:rFonts w:hint="eastAsia" w:ascii="宋体" w:hAnsi="宋体" w:cs="宋体"/>
          <w:b/>
          <w:bCs/>
          <w:sz w:val="24"/>
          <w:szCs w:val="24"/>
        </w:rPr>
        <w:t xml:space="preserve">包括但不限于公共区域内的自来水管、水龙头、线管、照明灯具（含灯管、灯泡）等维修。</w:t>
      </w:r>
      <w:r>
        <w:rPr>
          <w:rFonts w:hint="eastAsia" w:ascii="宋体" w:hAnsi="宋体"/>
          <w:sz w:val="24"/>
          <w:lang w:val="zh-CN"/>
        </w:rPr>
        <w:t xml:space="preserve">单次500元以上（以审计结果为准）公共设施维修费用由社区承担，500元以下由</w:t>
      </w:r>
      <w:r>
        <w:rPr>
          <w:rFonts w:hint="eastAsia" w:ascii="宋体" w:hAnsi="宋体"/>
          <w:sz w:val="24"/>
        </w:rPr>
        <w:t xml:space="preserve">中标供应商</w:t>
      </w:r>
      <w:r>
        <w:rPr>
          <w:rFonts w:hint="eastAsia" w:ascii="宋体" w:hAnsi="宋体"/>
          <w:sz w:val="24"/>
          <w:lang w:val="zh-CN"/>
        </w:rPr>
        <w:t xml:space="preserve">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2、发现小区内设施设备故障时及时上报；</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3、各设备房卫生整洁，主要设施标示清楚齐全；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4、各设备房及公共场所、场地、危及他人安全的隐患处有明显标识和防范措施；</w:t>
      </w:r>
      <w:r/>
    </w:p>
    <w:p>
      <w:pPr>
        <w:ind w:firstLine="420"/>
        <w:spacing w:line="440" w:lineRule="exact"/>
        <w:tabs>
          <w:tab w:val="left" w:pos="2307" w:leader="none"/>
        </w:tabs>
        <w:rPr>
          <w:rFonts w:hint="eastAsia" w:ascii="宋体" w:hAnsi="宋体" w:cs="宋体"/>
          <w:b/>
          <w:bCs/>
          <w:sz w:val="24"/>
          <w:szCs w:val="24"/>
        </w:rPr>
      </w:pPr>
      <w:r>
        <w:rPr>
          <w:rFonts w:hint="eastAsia" w:ascii="宋体" w:hAnsi="宋体" w:cs="宋体"/>
          <w:sz w:val="24"/>
          <w:szCs w:val="24"/>
        </w:rPr>
        <w:t xml:space="preserve">5、做好日常报修的接待、联络和协调工作，住户自用部位小修随叫随到，费用由住户自行承担。</w:t>
      </w:r>
      <w:r/>
    </w:p>
    <w:p>
      <w:pPr>
        <w:spacing w:line="440" w:lineRule="exact"/>
        <w:tabs>
          <w:tab w:val="left" w:pos="2307" w:leader="none"/>
        </w:tabs>
        <w:rPr>
          <w:rFonts w:hint="eastAsia" w:ascii="宋体" w:hAnsi="宋体" w:cs="宋体"/>
          <w:b/>
          <w:bCs/>
          <w:sz w:val="24"/>
          <w:szCs w:val="24"/>
        </w:rPr>
      </w:pPr>
      <w:r>
        <w:rPr>
          <w:rFonts w:hint="eastAsia" w:ascii="宋体" w:hAnsi="宋体" w:cs="宋体"/>
          <w:b/>
          <w:bCs/>
          <w:sz w:val="24"/>
          <w:szCs w:val="24"/>
        </w:rPr>
        <w:t xml:space="preserve">（八）电梯、消防设施设备的日常管理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电梯、消防设施设备的日常管理(如：消防安全工作责任、消防安全管理制度、灭火和应急疏散预案、消防设施登记、消防培训档案等)</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（九）垃圾清运</w:t>
      </w:r>
      <w:r>
        <w:rPr>
          <w:rFonts w:hint="eastAsia" w:ascii="宋体" w:hAnsi="宋体" w:cs="宋体"/>
          <w:color w:val="ff0000"/>
          <w:sz w:val="24"/>
          <w:szCs w:val="24"/>
        </w:rPr>
        <w:t xml:space="preserve">（包括生活垃圾、装修垃圾及毛垃圾）</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1、熟悉小区楼宇结构、单元户数、楼栋号等的分布情况，便于顺利开展各区域垃圾清运工作。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2、维护小区内卫生，做到及时清扫、收集及清运，垃圾日产日清、按规定存放。无乱堆、乱倒、乱放现象。防止滋生异味、招引蚊蝇害虫。</w:t>
      </w:r>
      <w:r/>
    </w:p>
    <w:p>
      <w:pPr>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、装修垃圾应设置专门的堆放点，并设置围挡。</w:t>
      </w:r>
      <w:r/>
    </w:p>
    <w:p>
      <w:pPr>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、小区内的无主垃圾清运费用，也由中标供应商自行承担。</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（十）公共建筑和设施的维修、养护和管理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1、房屋建筑共用部位的维修、养护和管理，包括：楼盖、屋顶、外墙面、承重结构、楼梯间、走廊通道、门厅等。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2、市政共用设施和附属物、构筑物的维修、养护和管理，包括道路、室外上下水管道、化粪池、沟渠、池、井、自行车棚、停车场等。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3、附属配套建筑和设施的维修、养护和管理，包括商业网点、文化体育娱乐场所等。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4、急修：房屋急修及时率98%以上，合格率达100%,有维修记录和回访记录。</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5、小修：房屋急修及时率98%以上，合格率达100%;险情排除率、及时率达100%,有维修记录和回访记录。</w:t>
      </w:r>
      <w:r/>
    </w:p>
    <w:p>
      <w:pPr>
        <w:ind w:firstLine="420"/>
        <w:spacing w:line="440" w:lineRule="exact"/>
        <w:tabs>
          <w:tab w:val="left" w:pos="2307" w:leader="none"/>
        </w:tabs>
        <w:rPr>
          <w:rFonts w:hint="eastAsia" w:ascii="宋体" w:hAnsi="宋体" w:cs="宋体"/>
          <w:b/>
          <w:bCs/>
          <w:sz w:val="24"/>
          <w:szCs w:val="24"/>
          <w:highlight w:val="cyan"/>
        </w:rPr>
      </w:pPr>
      <w:r>
        <w:rPr>
          <w:rFonts w:hint="eastAsia" w:ascii="宋体" w:hAnsi="宋体" w:cs="宋体"/>
          <w:sz w:val="24"/>
          <w:szCs w:val="24"/>
        </w:rPr>
        <w:t xml:space="preserve">6、</w:t>
      </w:r>
      <w:r>
        <w:rPr>
          <w:rFonts w:hint="eastAsia" w:ascii="宋体" w:hAnsi="宋体"/>
          <w:sz w:val="24"/>
          <w:lang w:val="zh-CN"/>
        </w:rPr>
        <w:t xml:space="preserve">单次500元以上（以审计结果为准）公共设施维修费用由社区承担，500元以下由</w:t>
      </w:r>
      <w:r>
        <w:rPr>
          <w:rFonts w:hint="eastAsia" w:ascii="宋体" w:hAnsi="宋体"/>
          <w:sz w:val="24"/>
        </w:rPr>
        <w:t xml:space="preserve">中标供应商</w:t>
      </w:r>
      <w:r>
        <w:rPr>
          <w:rFonts w:hint="eastAsia" w:ascii="宋体" w:hAnsi="宋体"/>
          <w:sz w:val="24"/>
          <w:lang w:val="zh-CN"/>
        </w:rPr>
        <w:t xml:space="preserve">承担。</w:t>
      </w:r>
      <w:r/>
    </w:p>
    <w:p>
      <w:pPr>
        <w:spacing w:line="440" w:lineRule="exact"/>
        <w:tabs>
          <w:tab w:val="left" w:pos="2307" w:leader="none"/>
        </w:tabs>
        <w:rPr>
          <w:rFonts w:hint="eastAsia" w:ascii="宋体" w:hAnsi="宋体" w:cs="宋体"/>
          <w:b/>
          <w:bCs/>
          <w:sz w:val="24"/>
          <w:szCs w:val="24"/>
        </w:rPr>
      </w:pPr>
      <w:r>
        <w:rPr>
          <w:rFonts w:hint="eastAsia" w:ascii="宋体" w:hAnsi="宋体" w:cs="宋体"/>
          <w:b/>
          <w:bCs/>
          <w:sz w:val="24"/>
          <w:szCs w:val="24"/>
        </w:rPr>
        <w:t xml:space="preserve">（十一）岗前培训</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1.进驻住宅小区前根据小区实际情况进行摸排，并做好保洁、保安、内勤等人员的工作技能培训，确保交接完成后顺利开展物业服务工作。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2.人员招聘后，进行工作培训，确保工作顺利开展，每年制定培训计划并落实计划。</w:t>
      </w:r>
      <w:r/>
    </w:p>
    <w:p>
      <w:pPr>
        <w:pStyle w:val="693"/>
        <w:spacing w:before="0" w:after="0" w:line="440" w:lineRule="exact"/>
        <w:rPr>
          <w:rFonts w:hint="eastAsia" w:ascii="宋体" w:hAnsi="宋体" w:eastAsia="宋体" w:cs="宋体"/>
          <w:sz w:val="24"/>
          <w:szCs w:val="24"/>
        </w:rPr>
      </w:pPr>
      <w:r>
        <w:rPr>
          <w:rFonts w:hint="eastAsia" w:ascii="宋体" w:hAnsi="宋体" w:cs="宋体"/>
          <w:sz w:val="24"/>
          <w:szCs w:val="24"/>
        </w:rPr>
        <w:t xml:space="preserve">（十二）代收代缴费用</w:t>
      </w:r>
      <w:r/>
    </w:p>
    <w:p>
      <w:pPr>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.经招标人授权，代为收取小区停车费，并全额缴入甲方指定账户。</w:t>
      </w:r>
      <w:r/>
    </w:p>
    <w:p>
      <w:pPr>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.经招标人授权，代为收取小区广告费，并全额缴入甲方指定账户。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上述“代收代缴”的均须得到招标人授权。否则，中标供应商无权收取本项目相关费用。相关费用的处置按法律法规规定及双方协商签订的补充协议执行。</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四、物业管理具体要求</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（一）卫生保洁要求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1、日常保洁</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范围：公共建筑物、地面及地下设施、外墙、建筑物周边、护栏、道路广场、标识标牌、绿化地等卫生工作。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（1）屋面平顶无堆积杂物，墙壁无灰尘蛛网，大理石地面定期打蜡打磨、清洗，保证没有污渍；</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（2）公共部位门窗保证清洁明亮，无水渍、无污渍；</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（3）楼梯扶手、室内外休息座椅、标识标牌要求每周进行擦洗，不得有污渍和灰尘；</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（4）公共地面每天打扫，地板、扫脚、窗台不得有污渍和灰尘；</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（5）楼顶要进行定期打扫，要保持干净，不得有杂物。灯具、天花板上不得有蜘蛛网出现；</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（6）道路、广场保证没有垃圾和杂物，及时清除污迹；</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（7）及时清理绿化带及草坪；</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（8）公共垃圾桶及时进行清理保洁，保证无过夜垃圾；</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（9）遇消防、文娱等重大活动开展时，中标供应商需无条件配合招标人搞好保洁工作。</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2、垃圾收集及外运要求：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3、公共卫生间的保洁：</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地面无积水、无污渍，纸篓垃圾及时收集，无蚊蝇，空气清新无异味，洁具表面清洁干净，洗手台面无积水，无污渍。必要的耗材，如卫生球、清洁剂等用于物业管理的清洁用品、用具及共用部位的日耗品由中标供应商自行购置并承担费用。</w:t>
      </w:r>
      <w:r/>
    </w:p>
    <w:p>
      <w:pPr>
        <w:ind w:firstLine="420"/>
        <w:spacing w:line="440" w:lineRule="exact"/>
        <w:tabs>
          <w:tab w:val="left" w:pos="2307" w:leader="none"/>
        </w:tabs>
        <w:rPr>
          <w:rFonts w:hint="eastAsia" w:ascii="宋体" w:hAnsi="宋体" w:cs="宋体"/>
          <w:color w:val="000000"/>
          <w:sz w:val="24"/>
          <w:szCs w:val="24"/>
        </w:rPr>
      </w:pPr>
      <w:r>
        <w:rPr>
          <w:rFonts w:ascii="宋体" w:hAnsi="宋体" w:cs="宋体"/>
          <w:color w:val="000000"/>
          <w:sz w:val="24"/>
          <w:szCs w:val="24"/>
        </w:rPr>
        <w:t xml:space="preserve">4、公共区域的垃圾桶的保洁：</w:t>
      </w:r>
      <w:r/>
    </w:p>
    <w:p>
      <w:pPr>
        <w:ind w:firstLine="420"/>
        <w:spacing w:line="440" w:lineRule="exact"/>
        <w:tabs>
          <w:tab w:val="left" w:pos="2307" w:leader="none"/>
        </w:tabs>
        <w:rPr>
          <w:rFonts w:hint="eastAsia" w:ascii="宋体" w:hAnsi="宋体" w:cs="宋体"/>
          <w:color w:val="ff0000"/>
          <w:sz w:val="24"/>
          <w:szCs w:val="24"/>
        </w:rPr>
      </w:pPr>
      <w:r>
        <w:rPr>
          <w:rFonts w:hint="eastAsia" w:ascii="宋体" w:hAnsi="宋体" w:cs="宋体"/>
          <w:color w:val="000000"/>
          <w:sz w:val="24"/>
          <w:szCs w:val="24"/>
        </w:rPr>
        <w:t xml:space="preserve">保洁要求：定期清洗，保持干净，无污渍。</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（二）绿化养护要求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1、服务内容：物业管理范围的树木、花草、绿地等的日常维护、修整、管理和施肥，病虫害防治。</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（1）有绿化管理措施，花草树木生长正常，定期进行病虫害防治，无黄土裸露，修剪及时，无枯枝死杈及病虫害现象；</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（2）定期进行苗木修剪，绿地管理和养护措施落实，无破坏、践踏及随意占用现象，保证绿化完好率98%，草坪纯度95%。</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（三）公共秩序维护要求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内容：负责进出的车辆指挥、大门、住宅楼前坪等所有建筑的室内外的安全保卫、秩序维护；负责夜间巡逻，值班室的夜间守护；防盗、防火报警监控设备、消防工作，消防设备运行管理，公共秩序维护，治安，防火防盗及其它突发事件处理等。</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（1）建立保安、车辆、道路及公共秩序等管理制度并认真落实，部分岗位24小时值班；</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（2）严格验证、登记，环境秩序良好；</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（3）维护和保证防盗、防火等报警监控设备的正常运行；</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（4）做好安全防范和日常巡视工作，及时发现和处理各种安全和事故隐患，迅速有效处理突发事件；</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（5）协调、控制车辆出入，保证道路畅通，车辆停放有序，确保交通安全；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（6）按照岗位规定要求及时巡查，作好记录，及时报告和处理突发事件；</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（7）建立消防管理措施及发生火灾处理预案；确定重点防火部门，消防人员持证上岗，实行24小时消防值班制度。坚持日常巡视，发现隐患及时排除，确保无火灾事故发生。</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（四）设备、设施维保要求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1、给排水系统设备运行维护 </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保。</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p>
    <w:p>
      <w:pPr>
        <w:ind w:firstLine="420"/>
        <w:spacing w:line="440" w:lineRule="exact"/>
        <w:tabs>
          <w:tab w:val="left" w:pos="2307" w:leader="none"/>
        </w:tabs>
        <w:rPr>
          <w:rFonts w:hint="eastAsia" w:ascii="宋体" w:hAnsi="宋体" w:cs="宋体"/>
          <w:sz w:val="24"/>
          <w:szCs w:val="24"/>
          <w:highlight w:val="cyan"/>
        </w:rPr>
      </w:pPr>
      <w:r>
        <w:rPr>
          <w:rFonts w:hint="eastAsia" w:ascii="宋体" w:hAnsi="宋体" w:cs="宋体"/>
          <w:sz w:val="24"/>
          <w:szCs w:val="24"/>
        </w:rPr>
        <w:t xml:space="preserve">（2）按照招标人要求，中标供应商对公共区域内的给排水系统设备进行定期或不定期的巡查，涉及更换配件及维修的，</w:t>
      </w:r>
      <w:r>
        <w:rPr>
          <w:rFonts w:hint="eastAsia" w:ascii="宋体" w:hAnsi="宋体"/>
          <w:sz w:val="24"/>
          <w:lang w:val="zh-CN"/>
        </w:rPr>
        <w:t xml:space="preserve">单次500元以上（以审计结果为准）</w:t>
      </w:r>
      <w:r>
        <w:rPr>
          <w:rFonts w:hint="eastAsia" w:ascii="宋体" w:hAnsi="宋体" w:cs="宋体"/>
          <w:sz w:val="24"/>
          <w:szCs w:val="24"/>
        </w:rPr>
        <w:t xml:space="preserve">公共区域内的给排水系统设备</w:t>
      </w:r>
      <w:r>
        <w:rPr>
          <w:rFonts w:hint="eastAsia" w:ascii="宋体" w:hAnsi="宋体"/>
          <w:sz w:val="24"/>
          <w:lang w:val="zh-CN"/>
        </w:rPr>
        <w:t xml:space="preserve">维修费用由社区承担，500元以下由</w:t>
      </w:r>
      <w:r>
        <w:rPr>
          <w:rFonts w:hint="eastAsia" w:ascii="宋体" w:hAnsi="宋体"/>
          <w:sz w:val="24"/>
        </w:rPr>
        <w:t xml:space="preserve">中标供应商</w:t>
      </w:r>
      <w:r>
        <w:rPr>
          <w:rFonts w:hint="eastAsia" w:ascii="宋体" w:hAnsi="宋体"/>
          <w:sz w:val="24"/>
          <w:lang w:val="zh-CN"/>
        </w:rPr>
        <w:t xml:space="preserve">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2、供电系统设备管理维护</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服务内容：对物业管理范围内供电系统变、低压电器设备、变压器、电线电缆、电气照明装置等设备进行日常管理和养护维修，确保正常运行使用。临时用电管理。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（1）每天对供电范围内的电气设备定期巡视维护和重点检测，发现问题及时处理解决。每</w:t>
      </w:r>
      <w:r>
        <w:rPr>
          <w:rFonts w:hint="eastAsia" w:ascii="宋体" w:hAnsi="宋体" w:cs="宋体"/>
          <w:sz w:val="24"/>
          <w:szCs w:val="24"/>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（2）按照招标人要求，对公共区域内的供电系统设备进行定期或不定期的巡查，涉及更换配件及维修的，</w:t>
      </w:r>
      <w:r>
        <w:rPr>
          <w:rFonts w:hint="eastAsia" w:ascii="宋体" w:hAnsi="宋体"/>
          <w:sz w:val="24"/>
          <w:lang w:val="zh-CN"/>
        </w:rPr>
        <w:t xml:space="preserve">单次500元以上（以审计结果为准）</w:t>
      </w:r>
      <w:r>
        <w:rPr>
          <w:rFonts w:hint="eastAsia" w:ascii="宋体" w:hAnsi="宋体" w:cs="宋体"/>
          <w:sz w:val="24"/>
          <w:szCs w:val="24"/>
        </w:rPr>
        <w:t xml:space="preserve">公共区域内的供电系统设备</w:t>
      </w:r>
      <w:r>
        <w:rPr>
          <w:rFonts w:hint="eastAsia" w:ascii="宋体" w:hAnsi="宋体"/>
          <w:sz w:val="24"/>
          <w:lang w:val="zh-CN"/>
        </w:rPr>
        <w:t xml:space="preserve">维修费用由社区承担，500元以下由</w:t>
      </w:r>
      <w:r>
        <w:rPr>
          <w:rFonts w:hint="eastAsia" w:ascii="宋体" w:hAnsi="宋体"/>
          <w:sz w:val="24"/>
        </w:rPr>
        <w:t xml:space="preserve">中标供应商</w:t>
      </w:r>
      <w:r>
        <w:rPr>
          <w:rFonts w:hint="eastAsia" w:ascii="宋体" w:hAnsi="宋体"/>
          <w:sz w:val="24"/>
          <w:lang w:val="zh-CN"/>
        </w:rPr>
        <w:t xml:space="preserve">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3、房屋门窗维修要求：</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内容：门窗框松动、开启不灵活、脱榫、开焊、小五金件缺损、窗纱、玻璃破损的修理。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服务标准：确保门窗完好和正常使用，合格率100%。</w:t>
      </w:r>
      <w:r/>
    </w:p>
    <w:p>
      <w:pPr>
        <w:pStyle w:val="693"/>
        <w:spacing w:before="0" w:after="0" w:line="440" w:lineRule="exact"/>
        <w:rPr>
          <w:rFonts w:ascii="宋体" w:hAnsi="宋体" w:cs="宋体"/>
          <w:sz w:val="24"/>
          <w:szCs w:val="24"/>
        </w:rPr>
      </w:pPr>
      <w:r>
        <w:rPr>
          <w:rFonts w:hint="eastAsia" w:ascii="宋体" w:hAnsi="宋体" w:cs="宋体"/>
          <w:sz w:val="24"/>
          <w:szCs w:val="24"/>
        </w:rPr>
        <w:t xml:space="preserve">（五）内部管理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物业管理项目部的内部管理计划由供应商自行制定投标方案，包括跟招标人及周边单位（包括居委会、公安局等）的衔接，管理人员的配置，财务制度、内部奖惩措施等。</w:t>
      </w:r>
      <w:r/>
    </w:p>
    <w:p>
      <w:pPr>
        <w:pStyle w:val="692"/>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五、其他约定事项</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1、对中标供应商的违纪处罚：因物管公司责任造成财产损失、丢失，承担双倍以上赔偿。</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2、对中标供应商安全防火的要求：严格管理工作人员，确保全年无一例安全防火事件，因中标供应商管理不善，或工作人员失误造成的损失全部由中标供应商承担。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3、对中标供应商工作人员流动及必要的失业保险、医疗保险、保险和人员意外伤害、死亡保险办理及费用的要求：中标供应商按规定购买社会险，其费用由中标供应商自行承担。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4、对中标供应商安全保卫人员素质的要求：相貌端正，身体健康，无违法违纪记录。</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5、对中标供应商员工统一着装，持证上岗及健康状况的要求：统一着装，电工、安保、工程、财务等岗位需要持资格证上岗，持有健康证，其费用由中标供应商自行承担。</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6、中标供应商除停车费、广告费外，无对外收费权。收取事宜由中标供应商与招标人另行商定。</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7、对中标供应商履行报刊、邮件等的签收、登记、分发等工作要求：中标供应商根据自身的需要订报刊、杂志，手续自理。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8、对中标供应商的其他要求：应制定严格的保密措施，防止泄密事故发生；所有工作必须有台账记录。</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9、物业管理用房的提供情况：业主提供物业管理用房。</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10、物业管理饮食安排情况：餐饮自理。</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11、小区装修垃圾的运送管理费用由中标供应商自行支付，招标人不支付相应费用。</w:t>
      </w:r>
      <w:r/>
    </w:p>
    <w:p>
      <w:pPr>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12、按照招标文件要求，严格执行“阳光物业”物业管理的要求。</w:t>
      </w:r>
      <w:r/>
    </w:p>
    <w:p>
      <w:pPr>
        <w:ind w:firstLine="420"/>
        <w:spacing w:line="440" w:lineRule="exact"/>
        <w:tabs>
          <w:tab w:val="left" w:pos="2307" w:leader="none"/>
        </w:tabs>
        <w:rPr>
          <w:rFonts w:hint="eastAsia" w:ascii="宋体" w:hAnsi="宋体" w:cs="宋体"/>
          <w:sz w:val="24"/>
          <w:szCs w:val="24"/>
        </w:rPr>
      </w:pPr>
      <w:r>
        <w:rPr>
          <w:rFonts w:ascii="宋体" w:hAnsi="宋体" w:cs="宋体"/>
          <w:sz w:val="24"/>
          <w:szCs w:val="24"/>
          <w:highlight w:val="yellow"/>
        </w:rPr>
        <w:t xml:space="preserve">1</w:t>
      </w:r>
      <w:r>
        <w:rPr>
          <w:rFonts w:hint="eastAsia" w:ascii="宋体" w:hAnsi="宋体" w:cs="宋体"/>
          <w:sz w:val="24"/>
          <w:szCs w:val="24"/>
          <w:highlight w:val="yellow"/>
        </w:rPr>
        <w:t xml:space="preserve">3、因中标人管理或巡查不当造成的安全事故，由中标人承担。</w:t>
      </w:r>
      <w:r/>
    </w:p>
    <w:p>
      <w:pPr>
        <w:spacing w:line="360" w:lineRule="auto"/>
        <w:rPr>
          <w:rFonts w:hint="eastAsia" w:ascii="宋体" w:hAnsi="宋体" w:cs="宋体"/>
          <w:sz w:val="24"/>
          <w:szCs w:val="24"/>
          <w:highlight w:val="yellow"/>
        </w:rPr>
      </w:pPr>
      <w:r>
        <w:rPr>
          <w:rFonts w:hint="eastAsia" w:ascii="宋体" w:hAnsi="宋体" w:cs="宋体"/>
          <w:sz w:val="24"/>
          <w:szCs w:val="24"/>
        </w:rPr>
        <w:t xml:space="preserve">14、</w:t>
      </w:r>
      <w:r>
        <w:rPr>
          <w:rFonts w:hint="eastAsia" w:ascii="宋体" w:hAnsi="宋体" w:cs="宋体"/>
          <w:sz w:val="24"/>
          <w:szCs w:val="24"/>
          <w:highlight w:val="yellow"/>
        </w:rPr>
        <w:t xml:space="preserve">对中标供应商运营绩效考核要求（与物业费用支付挂钩）。</w:t>
      </w:r>
      <w:r/>
    </w:p>
    <w:p>
      <w:pPr>
        <w:spacing w:line="360" w:lineRule="auto"/>
        <w:rPr>
          <w:rFonts w:hint="eastAsia" w:ascii="宋体" w:hAnsi="宋体" w:cs="宋体"/>
          <w:sz w:val="24"/>
          <w:szCs w:val="24"/>
        </w:rPr>
      </w:pPr>
      <w:r>
        <w:rPr>
          <w:rFonts w:hint="eastAsia" w:ascii="宋体" w:hAnsi="宋体"/>
          <w:b/>
          <w:sz w:val="24"/>
          <w:szCs w:val="22"/>
        </w:rPr>
        <w:t xml:space="preserve">月度考核表</w:t>
      </w:r>
      <w:r/>
    </w:p>
    <w:p>
      <w:pPr>
        <w:jc w:val="center"/>
        <w:rPr>
          <w:rFonts w:hint="eastAsia" w:ascii="宋体" w:hAnsi="宋体" w:cs="宋体"/>
          <w:b/>
          <w:bCs/>
          <w:sz w:val="24"/>
          <w:szCs w:val="24"/>
        </w:rPr>
      </w:pPr>
      <w:r>
        <w:rPr>
          <w:rFonts w:hint="eastAsia" w:ascii="宋体" w:hAnsi="宋体" w:cs="宋体"/>
          <w:b/>
          <w:bCs/>
          <w:sz w:val="24"/>
          <w:szCs w:val="24"/>
        </w:rPr>
        <w:t xml:space="preserve">魏村街道安置小区物业服务项目考核管理办法</w:t>
      </w:r>
      <w:r/>
    </w:p>
    <w:p>
      <w:pPr>
        <w:jc w:val="center"/>
        <w:rPr>
          <w:rFonts w:hint="eastAsia" w:ascii="宋体" w:hAnsi="宋体" w:cs="宋体"/>
          <w:b/>
          <w:bCs/>
          <w:sz w:val="24"/>
          <w:szCs w:val="24"/>
        </w:rPr>
      </w:pPr>
      <w:r>
        <w:rPr>
          <w:rFonts w:hint="eastAsia" w:ascii="宋体" w:hAnsi="宋体" w:cs="宋体"/>
          <w:b/>
          <w:bCs/>
          <w:sz w:val="24"/>
          <w:szCs w:val="24"/>
        </w:rPr>
        <w:t xml:space="preserve">(征求意见稿）</w:t>
      </w:r>
      <w:r/>
    </w:p>
    <w:p>
      <w:pPr>
        <w:jc w:val="center"/>
        <w:rPr>
          <w:rFonts w:hint="eastAsia" w:ascii="宋体" w:hAnsi="宋体" w:cs="宋体"/>
          <w:sz w:val="24"/>
          <w:szCs w:val="24"/>
        </w:rPr>
      </w:pPr>
      <w:r>
        <w:rPr>
          <w:rFonts w:hint="eastAsia" w:ascii="宋体" w:hAnsi="宋体" w:cs="宋体"/>
          <w:sz w:val="24"/>
          <w:szCs w:val="24"/>
        </w:rPr>
      </w:r>
      <w:r/>
    </w:p>
    <w:p>
      <w:pPr>
        <w:rPr>
          <w:rFonts w:hint="eastAsia" w:ascii="宋体" w:hAnsi="宋体" w:cs="宋体"/>
          <w:b/>
          <w:bCs/>
          <w:sz w:val="24"/>
          <w:szCs w:val="24"/>
        </w:rPr>
      </w:pPr>
      <w:r>
        <w:rPr>
          <w:rFonts w:hint="eastAsia" w:ascii="宋体" w:hAnsi="宋体" w:cs="宋体"/>
          <w:b/>
          <w:bCs/>
          <w:sz w:val="24"/>
          <w:szCs w:val="24"/>
        </w:rPr>
        <w:t xml:space="preserve"> 一、考核对象</w:t>
      </w:r>
      <w:r/>
    </w:p>
    <w:p>
      <w:pPr>
        <w:rPr>
          <w:rFonts w:hint="eastAsia" w:ascii="宋体" w:hAnsi="宋体" w:cs="宋体"/>
          <w:sz w:val="24"/>
          <w:szCs w:val="24"/>
        </w:rPr>
      </w:pPr>
      <w:r>
        <w:rPr>
          <w:rFonts w:hint="eastAsia" w:ascii="宋体" w:hAnsi="宋体" w:cs="宋体"/>
          <w:sz w:val="24"/>
          <w:szCs w:val="24"/>
        </w:rPr>
        <w:t xml:space="preserve"> 魏村街道安置小区各物业服务项目</w:t>
      </w:r>
      <w:r/>
    </w:p>
    <w:p>
      <w:pPr>
        <w:rPr>
          <w:rFonts w:hint="eastAsia" w:ascii="宋体" w:hAnsi="宋体" w:cs="宋体"/>
          <w:b/>
          <w:bCs/>
          <w:sz w:val="24"/>
          <w:szCs w:val="24"/>
        </w:rPr>
      </w:pPr>
      <w:r>
        <w:rPr>
          <w:rFonts w:hint="eastAsia" w:ascii="宋体" w:hAnsi="宋体" w:cs="宋体"/>
          <w:b/>
          <w:bCs/>
          <w:sz w:val="24"/>
          <w:szCs w:val="24"/>
        </w:rPr>
        <w:t xml:space="preserve"> 二、考核内容</w:t>
      </w:r>
      <w:r/>
    </w:p>
    <w:p>
      <w:pPr>
        <w:rPr>
          <w:rFonts w:hint="eastAsia" w:ascii="宋体" w:hAnsi="宋体" w:cs="宋体"/>
          <w:sz w:val="24"/>
          <w:szCs w:val="24"/>
        </w:rPr>
      </w:pPr>
      <w:r>
        <w:rPr>
          <w:rFonts w:hint="eastAsia" w:ascii="宋体" w:hAnsi="宋体" w:cs="宋体"/>
          <w:sz w:val="24"/>
          <w:szCs w:val="24"/>
        </w:rPr>
        <w:t xml:space="preserve">    按季度对各物业服务单位开展综合考核，重点围绕日常管理、安全巡查与教育、长效管理、小区秩序维护、装修管理、群租房巡查治理等方面实施。</w:t>
      </w:r>
      <w:r/>
    </w:p>
    <w:p>
      <w:pPr>
        <w:rPr>
          <w:rFonts w:hint="eastAsia" w:ascii="宋体" w:hAnsi="宋体" w:cs="宋体"/>
          <w:b/>
          <w:bCs/>
          <w:sz w:val="24"/>
          <w:szCs w:val="24"/>
        </w:rPr>
      </w:pPr>
      <w:r>
        <w:rPr>
          <w:rFonts w:hint="eastAsia" w:ascii="宋体" w:hAnsi="宋体" w:cs="宋体"/>
          <w:b/>
          <w:bCs/>
          <w:sz w:val="24"/>
          <w:szCs w:val="24"/>
        </w:rPr>
        <w:t xml:space="preserve"> 三、教育与培训</w:t>
      </w:r>
      <w:r/>
    </w:p>
    <w:p>
      <w:pPr>
        <w:rPr>
          <w:rFonts w:hint="eastAsia" w:ascii="宋体" w:hAnsi="宋体" w:cs="宋体"/>
          <w:sz w:val="24"/>
          <w:szCs w:val="24"/>
        </w:rPr>
      </w:pPr>
      <w:r>
        <w:rPr>
          <w:rFonts w:hint="eastAsia" w:ascii="宋体" w:hAnsi="宋体" w:cs="宋体"/>
          <w:sz w:val="24"/>
          <w:szCs w:val="24"/>
        </w:rPr>
        <w:t xml:space="preserve">    1. 物业服务企业须严格按照相关标准开展人员招聘，从严把控从业人员年龄、体检等准入条件，严禁录用不适合从事物业服务岗位的人员，实行一人一档规范管理。</w:t>
      </w:r>
      <w:r/>
    </w:p>
    <w:p>
      <w:pPr>
        <w:ind w:firstLine="480"/>
        <w:rPr>
          <w:rFonts w:hint="eastAsia" w:ascii="宋体" w:hAnsi="宋体" w:cs="宋体"/>
          <w:sz w:val="24"/>
          <w:szCs w:val="24"/>
        </w:rPr>
      </w:pPr>
      <w:r>
        <w:rPr>
          <w:rFonts w:hint="eastAsia" w:ascii="宋体" w:hAnsi="宋体" w:cs="宋体"/>
          <w:sz w:val="24"/>
          <w:szCs w:val="24"/>
        </w:rPr>
        <w:t xml:space="preserve">2. 建立健全岗前培训机制，围绕岗位职责、工作内容、操作要求、问题处置等内容开展系统化培训，确保从业人员熟练掌握岗位技能与工作规范。</w:t>
      </w:r>
      <w:r/>
    </w:p>
    <w:p>
      <w:pPr>
        <w:rPr>
          <w:rFonts w:hint="eastAsia" w:ascii="宋体" w:hAnsi="宋体" w:cs="宋体"/>
          <w:b/>
          <w:bCs/>
          <w:sz w:val="24"/>
          <w:szCs w:val="24"/>
        </w:rPr>
      </w:pPr>
      <w:r>
        <w:rPr>
          <w:rFonts w:hint="eastAsia" w:ascii="宋体" w:hAnsi="宋体" w:cs="宋体"/>
          <w:b/>
          <w:bCs/>
          <w:sz w:val="24"/>
          <w:szCs w:val="24"/>
        </w:rPr>
        <w:t xml:space="preserve"> 四、安全工作</w:t>
      </w:r>
      <w:r/>
    </w:p>
    <w:p>
      <w:pPr>
        <w:rPr>
          <w:rFonts w:hint="eastAsia" w:ascii="宋体" w:hAnsi="宋体" w:cs="宋体"/>
          <w:sz w:val="24"/>
          <w:szCs w:val="24"/>
        </w:rPr>
      </w:pPr>
      <w:r>
        <w:rPr>
          <w:rFonts w:hint="eastAsia" w:ascii="宋体" w:hAnsi="宋体" w:cs="宋体"/>
          <w:sz w:val="24"/>
          <w:szCs w:val="24"/>
        </w:rPr>
        <w:t xml:space="preserve"> （一）人员自身安全</w:t>
      </w:r>
      <w:r/>
    </w:p>
    <w:p>
      <w:pPr>
        <w:rPr>
          <w:rFonts w:hint="eastAsia" w:ascii="宋体" w:hAnsi="宋体" w:cs="宋体"/>
          <w:sz w:val="24"/>
          <w:szCs w:val="24"/>
        </w:rPr>
      </w:pPr>
      <w:r>
        <w:rPr>
          <w:rFonts w:hint="eastAsia" w:ascii="宋体" w:hAnsi="宋体" w:cs="宋体"/>
          <w:sz w:val="24"/>
          <w:szCs w:val="24"/>
        </w:rPr>
        <w:t xml:space="preserve"> 各物业服务单位须为员工配备必要的保险、防护用品、劳保装备及慰问物资，切实保障员工健康上岗、安全作业。</w:t>
      </w:r>
      <w:r/>
    </w:p>
    <w:p>
      <w:pPr>
        <w:rPr>
          <w:rFonts w:hint="eastAsia" w:ascii="宋体" w:hAnsi="宋体" w:cs="宋体"/>
          <w:sz w:val="24"/>
          <w:szCs w:val="24"/>
        </w:rPr>
      </w:pPr>
      <w:r>
        <w:rPr>
          <w:rFonts w:hint="eastAsia" w:ascii="宋体" w:hAnsi="宋体" w:cs="宋体"/>
          <w:sz w:val="24"/>
          <w:szCs w:val="24"/>
        </w:rPr>
        <w:t xml:space="preserve"> （二）人员作业安全</w:t>
      </w:r>
      <w:r/>
    </w:p>
    <w:p>
      <w:pPr>
        <w:rPr>
          <w:rFonts w:hint="eastAsia" w:ascii="宋体" w:hAnsi="宋体" w:cs="宋体"/>
          <w:sz w:val="24"/>
          <w:szCs w:val="24"/>
        </w:rPr>
      </w:pPr>
      <w:r>
        <w:rPr>
          <w:rFonts w:hint="eastAsia" w:ascii="宋体" w:hAnsi="宋体" w:cs="宋体"/>
          <w:sz w:val="24"/>
          <w:szCs w:val="24"/>
        </w:rPr>
        <w:t xml:space="preserve">    1. 严格落实岗前及在岗安全培训制度，坚决杜绝新员工未经培训直接上岗。</w:t>
      </w:r>
      <w:r/>
    </w:p>
    <w:p>
      <w:pPr>
        <w:ind w:firstLine="480"/>
        <w:rPr>
          <w:rFonts w:hint="eastAsia" w:ascii="宋体" w:hAnsi="宋体" w:cs="宋体"/>
          <w:sz w:val="24"/>
          <w:szCs w:val="24"/>
        </w:rPr>
      </w:pPr>
      <w:r>
        <w:rPr>
          <w:rFonts w:hint="eastAsia" w:ascii="宋体" w:hAnsi="宋体" w:cs="宋体"/>
          <w:sz w:val="24"/>
          <w:szCs w:val="24"/>
        </w:rPr>
        <w:t xml:space="preserve">2. 为新员工设置合理的培训、实习及适应周期，使其熟练掌握工作流程、安全规范及突发事件处置流程。</w:t>
      </w:r>
      <w:r/>
    </w:p>
    <w:p>
      <w:pPr>
        <w:ind w:firstLine="480"/>
        <w:rPr>
          <w:rFonts w:hint="eastAsia" w:ascii="宋体" w:hAnsi="宋体" w:cs="宋体"/>
          <w:sz w:val="24"/>
          <w:szCs w:val="24"/>
        </w:rPr>
      </w:pPr>
      <w:r>
        <w:rPr>
          <w:rFonts w:hint="eastAsia" w:ascii="宋体" w:hAnsi="宋体" w:cs="宋体"/>
          <w:sz w:val="24"/>
          <w:szCs w:val="24"/>
        </w:rPr>
        <w:t xml:space="preserve">3. 遇突发事件须第一时间上报，积极配合开展现场处置、人群引导、秩序恢复等相关工作。</w:t>
      </w:r>
      <w:r/>
    </w:p>
    <w:p>
      <w:pPr>
        <w:rPr>
          <w:rFonts w:hint="eastAsia" w:ascii="宋体" w:hAnsi="宋体" w:cs="宋体"/>
          <w:sz w:val="24"/>
          <w:szCs w:val="24"/>
        </w:rPr>
      </w:pPr>
      <w:r>
        <w:rPr>
          <w:rFonts w:hint="eastAsia" w:ascii="宋体" w:hAnsi="宋体" w:cs="宋体"/>
          <w:sz w:val="24"/>
          <w:szCs w:val="24"/>
        </w:rPr>
        <w:t xml:space="preserve"> （三）公共区域安全</w:t>
      </w:r>
      <w:r/>
    </w:p>
    <w:p>
      <w:pPr>
        <w:rPr>
          <w:rFonts w:hint="eastAsia" w:ascii="宋体" w:hAnsi="宋体" w:cs="宋体"/>
          <w:sz w:val="24"/>
          <w:szCs w:val="24"/>
        </w:rPr>
      </w:pPr>
      <w:r>
        <w:rPr>
          <w:rFonts w:hint="eastAsia" w:ascii="宋体" w:hAnsi="宋体" w:cs="宋体"/>
          <w:sz w:val="24"/>
          <w:szCs w:val="24"/>
        </w:rPr>
        <w:t xml:space="preserve">    1. 消防隐患排查</w:t>
      </w:r>
      <w:r/>
    </w:p>
    <w:p>
      <w:pPr>
        <w:ind w:firstLine="480"/>
        <w:rPr>
          <w:rFonts w:hint="eastAsia" w:ascii="宋体" w:hAnsi="宋体" w:cs="宋体"/>
          <w:sz w:val="24"/>
          <w:szCs w:val="24"/>
        </w:rPr>
      </w:pPr>
      <w:r>
        <w:rPr>
          <w:rFonts w:hint="eastAsia" w:ascii="宋体" w:hAnsi="宋体" w:cs="宋体"/>
          <w:sz w:val="24"/>
          <w:szCs w:val="24"/>
        </w:rPr>
        <w:t xml:space="preserve">定期开展消防隐患排查整治，重点清理消防箱周边堆放杂物，全面巡查维护消防设施，及时整改各类问题。针对半层地下车库有人居住等特殊情形，加密巡查频次，清理通道障碍物，补齐缺失消防器材，确保消防通道畅通。</w:t>
      </w:r>
      <w:r/>
    </w:p>
    <w:p>
      <w:pPr>
        <w:ind w:firstLine="480"/>
        <w:rPr>
          <w:rFonts w:hint="eastAsia" w:ascii="宋体" w:hAnsi="宋体" w:cs="宋体"/>
          <w:sz w:val="24"/>
          <w:szCs w:val="24"/>
        </w:rPr>
      </w:pPr>
      <w:r>
        <w:rPr>
          <w:rFonts w:hint="eastAsia" w:ascii="宋体" w:hAnsi="宋体" w:cs="宋体"/>
          <w:sz w:val="24"/>
          <w:szCs w:val="24"/>
        </w:rPr>
        <w:t xml:space="preserve">2. 高空坠物防范</w:t>
      </w:r>
      <w:r/>
    </w:p>
    <w:p>
      <w:pPr>
        <w:ind w:firstLine="480"/>
        <w:rPr>
          <w:rFonts w:hint="eastAsia" w:ascii="宋体" w:hAnsi="宋体" w:cs="宋体"/>
          <w:sz w:val="24"/>
          <w:szCs w:val="24"/>
        </w:rPr>
      </w:pPr>
      <w:r>
        <w:rPr>
          <w:rFonts w:hint="eastAsia" w:ascii="宋体" w:hAnsi="宋体" w:cs="宋体"/>
          <w:sz w:val="24"/>
          <w:szCs w:val="24"/>
        </w:rPr>
        <w:t xml:space="preserve">全面排查高空坠物安全隐患，对楼顶老旧太阳能热水器、破损挡风墙等设施及时上报并督促维修。</w:t>
      </w:r>
      <w:r/>
    </w:p>
    <w:p>
      <w:pPr>
        <w:ind w:firstLine="480"/>
        <w:rPr>
          <w:rFonts w:hint="eastAsia" w:ascii="宋体" w:hAnsi="宋体" w:cs="宋体"/>
          <w:sz w:val="24"/>
          <w:szCs w:val="24"/>
        </w:rPr>
      </w:pPr>
      <w:r>
        <w:rPr>
          <w:rFonts w:hint="eastAsia" w:ascii="宋体" w:hAnsi="宋体" w:cs="宋体"/>
          <w:sz w:val="24"/>
          <w:szCs w:val="24"/>
        </w:rPr>
        <w:t xml:space="preserve">3. 其他公共安全隐患须做到及时排查、及时处置、及时上报。</w:t>
      </w:r>
      <w:r/>
    </w:p>
    <w:p>
      <w:pPr>
        <w:rPr>
          <w:rFonts w:hint="eastAsia" w:ascii="宋体" w:hAnsi="宋体" w:cs="宋体"/>
          <w:b/>
          <w:bCs/>
          <w:sz w:val="24"/>
          <w:szCs w:val="24"/>
        </w:rPr>
      </w:pPr>
      <w:r>
        <w:rPr>
          <w:rFonts w:hint="eastAsia" w:ascii="宋体" w:hAnsi="宋体" w:cs="宋体"/>
          <w:b/>
          <w:bCs/>
          <w:sz w:val="24"/>
          <w:szCs w:val="24"/>
        </w:rPr>
        <w:t xml:space="preserve"> 五、车辆停放秩序工作</w:t>
      </w:r>
      <w:r/>
    </w:p>
    <w:p>
      <w:pPr>
        <w:rPr>
          <w:rFonts w:hint="eastAsia" w:ascii="宋体" w:hAnsi="宋体" w:cs="宋体"/>
          <w:sz w:val="24"/>
          <w:szCs w:val="24"/>
        </w:rPr>
      </w:pPr>
      <w:r>
        <w:rPr>
          <w:rFonts w:hint="eastAsia" w:ascii="宋体" w:hAnsi="宋体" w:cs="宋体"/>
          <w:sz w:val="24"/>
          <w:szCs w:val="24"/>
        </w:rPr>
        <w:t xml:space="preserve"> （一）交通秩序管理</w:t>
      </w:r>
      <w:r/>
    </w:p>
    <w:p>
      <w:pPr>
        <w:rPr>
          <w:rFonts w:hint="eastAsia" w:ascii="宋体" w:hAnsi="宋体" w:cs="宋体"/>
          <w:sz w:val="24"/>
          <w:szCs w:val="24"/>
        </w:rPr>
      </w:pPr>
      <w:r>
        <w:rPr>
          <w:rFonts w:hint="eastAsia" w:ascii="宋体" w:hAnsi="宋体" w:cs="宋体"/>
          <w:sz w:val="24"/>
          <w:szCs w:val="24"/>
        </w:rPr>
        <w:t xml:space="preserve">    1. 机动车管理：优先保障小区主干道及消防车通道畅通，严格规范小区出入口、转弯处车辆停放，加强现场引导与秩序管控，避免交通拥堵与占道违停。</w:t>
      </w:r>
      <w:r/>
    </w:p>
    <w:p>
      <w:pPr>
        <w:ind w:firstLine="480"/>
        <w:rPr>
          <w:rFonts w:hint="eastAsia" w:ascii="宋体" w:hAnsi="宋体" w:cs="宋体"/>
          <w:sz w:val="24"/>
          <w:szCs w:val="24"/>
        </w:rPr>
      </w:pPr>
      <w:r>
        <w:rPr>
          <w:rFonts w:hint="eastAsia" w:ascii="宋体" w:hAnsi="宋体" w:cs="宋体"/>
          <w:sz w:val="24"/>
          <w:szCs w:val="24"/>
        </w:rPr>
        <w:t xml:space="preserve">2. 非机动车管理：严禁非机动车在通道两侧随意停放，强化巡查引导，规范停放秩序。</w:t>
      </w:r>
      <w:r/>
    </w:p>
    <w:p>
      <w:pPr>
        <w:rPr>
          <w:rFonts w:hint="eastAsia" w:ascii="宋体" w:hAnsi="宋体" w:cs="宋体"/>
          <w:sz w:val="24"/>
          <w:szCs w:val="24"/>
        </w:rPr>
      </w:pPr>
      <w:r>
        <w:rPr>
          <w:rFonts w:hint="eastAsia" w:ascii="宋体" w:hAnsi="宋体" w:cs="宋体"/>
          <w:sz w:val="24"/>
          <w:szCs w:val="24"/>
        </w:rPr>
        <w:t xml:space="preserve"> </w:t>
      </w:r>
      <w:r/>
    </w:p>
    <w:p>
      <w:pPr>
        <w:rPr>
          <w:rFonts w:hint="eastAsia" w:ascii="宋体" w:hAnsi="宋体" w:cs="宋体"/>
          <w:b/>
          <w:bCs/>
          <w:sz w:val="24"/>
          <w:szCs w:val="24"/>
        </w:rPr>
      </w:pPr>
      <w:r>
        <w:rPr>
          <w:rFonts w:hint="eastAsia" w:ascii="宋体" w:hAnsi="宋体" w:cs="宋体"/>
          <w:b/>
          <w:bCs/>
          <w:sz w:val="24"/>
          <w:szCs w:val="24"/>
        </w:rPr>
        <w:t xml:space="preserve">六、装修报备管理</w:t>
      </w:r>
      <w:r/>
    </w:p>
    <w:p>
      <w:pPr>
        <w:rPr>
          <w:rFonts w:hint="eastAsia" w:ascii="宋体" w:hAnsi="宋体" w:cs="宋体"/>
          <w:sz w:val="24"/>
          <w:szCs w:val="24"/>
        </w:rPr>
      </w:pPr>
      <w:r>
        <w:rPr>
          <w:rFonts w:hint="eastAsia" w:ascii="宋体" w:hAnsi="宋体" w:cs="宋体"/>
          <w:sz w:val="24"/>
          <w:szCs w:val="24"/>
        </w:rPr>
        <w:t xml:space="preserve">    1. 规范业主装修报备流程，无论日常巡查发现或业主主动报备，均须详细登记，实现从装修开工至竣工的全流程闭环管理。</w:t>
      </w:r>
      <w:r/>
    </w:p>
    <w:p>
      <w:pPr>
        <w:ind w:firstLine="480"/>
        <w:rPr>
          <w:rFonts w:hint="eastAsia" w:ascii="宋体" w:hAnsi="宋体" w:cs="宋体"/>
          <w:sz w:val="24"/>
          <w:szCs w:val="24"/>
        </w:rPr>
      </w:pPr>
      <w:r>
        <w:rPr>
          <w:rFonts w:hint="eastAsia" w:ascii="宋体" w:hAnsi="宋体" w:cs="宋体"/>
          <w:sz w:val="24"/>
          <w:szCs w:val="24"/>
        </w:rPr>
        <w:t xml:space="preserve">2. 涉及室内结构拆改的装修工程，须要求业主提供专业机构出具的结构安全质量报告。</w:t>
      </w:r>
      <w:r/>
    </w:p>
    <w:p>
      <w:pPr>
        <w:ind w:firstLine="480"/>
        <w:rPr>
          <w:rFonts w:hint="eastAsia" w:ascii="宋体" w:hAnsi="宋体" w:cs="宋体"/>
          <w:sz w:val="24"/>
          <w:szCs w:val="24"/>
        </w:rPr>
      </w:pPr>
      <w:r>
        <w:rPr>
          <w:rFonts w:hint="eastAsia" w:ascii="宋体" w:hAnsi="宋体" w:cs="宋体"/>
          <w:sz w:val="24"/>
          <w:szCs w:val="24"/>
        </w:rPr>
        <w:t xml:space="preserve">3. 明确建筑垃圾清运方案（业主自行清运或物业代为清运），并做好宣传公示。</w:t>
      </w:r>
      <w:r/>
    </w:p>
    <w:p>
      <w:pPr>
        <w:rPr>
          <w:rFonts w:hint="eastAsia" w:ascii="宋体" w:hAnsi="宋体" w:cs="宋体"/>
          <w:b/>
          <w:bCs/>
          <w:sz w:val="24"/>
          <w:szCs w:val="24"/>
        </w:rPr>
      </w:pPr>
      <w:r>
        <w:rPr>
          <w:rFonts w:hint="eastAsia" w:ascii="宋体" w:hAnsi="宋体" w:cs="宋体"/>
          <w:b/>
          <w:bCs/>
          <w:sz w:val="24"/>
          <w:szCs w:val="24"/>
        </w:rPr>
        <w:t xml:space="preserve">七、群租房管理</w:t>
      </w:r>
      <w:r/>
    </w:p>
    <w:p>
      <w:pPr>
        <w:rPr>
          <w:rFonts w:hint="eastAsia" w:ascii="宋体" w:hAnsi="宋体" w:cs="宋体"/>
          <w:sz w:val="24"/>
          <w:szCs w:val="24"/>
        </w:rPr>
      </w:pPr>
      <w:r>
        <w:rPr>
          <w:rFonts w:hint="eastAsia" w:ascii="宋体" w:hAnsi="宋体" w:cs="宋体"/>
          <w:sz w:val="24"/>
          <w:szCs w:val="24"/>
        </w:rPr>
        <w:t xml:space="preserve">    持续强化群租房日常管理，主动配合社区、派出所开展全面排查摸底。对群租房内违规拆改、违规使用大功率电器等安全隐患，及时温馨告知房东并督促整改；对拒不整改的，立即上报社区及相关职能部门。</w:t>
      </w:r>
      <w:r/>
    </w:p>
    <w:p>
      <w:pPr>
        <w:rPr>
          <w:rFonts w:hint="eastAsia" w:ascii="宋体" w:hAnsi="宋体" w:cs="宋体"/>
          <w:b/>
          <w:bCs/>
          <w:sz w:val="24"/>
          <w:szCs w:val="24"/>
        </w:rPr>
      </w:pPr>
      <w:r>
        <w:rPr>
          <w:rFonts w:hint="eastAsia" w:ascii="宋体" w:hAnsi="宋体" w:cs="宋体"/>
          <w:b/>
          <w:bCs/>
          <w:sz w:val="24"/>
          <w:szCs w:val="24"/>
        </w:rPr>
        <w:t xml:space="preserve">八、业主诉求处理</w:t>
      </w:r>
      <w:r/>
    </w:p>
    <w:p>
      <w:pPr>
        <w:rPr>
          <w:rFonts w:hint="eastAsia" w:ascii="宋体" w:hAnsi="宋体" w:cs="宋体"/>
          <w:sz w:val="24"/>
          <w:szCs w:val="24"/>
        </w:rPr>
      </w:pPr>
      <w:r>
        <w:rPr>
          <w:rFonts w:hint="eastAsia" w:ascii="宋体" w:hAnsi="宋体" w:cs="宋体"/>
          <w:sz w:val="24"/>
          <w:szCs w:val="24"/>
        </w:rPr>
        <w:t xml:space="preserve">    建立完善业主诉求台账，实现诉求受理、处置、反馈全流程闭环管理。对未办结诉求须明确上报对象，主动跟踪办理进度，及时向业主反馈，持续提升业主满意度。</w:t>
      </w:r>
      <w:r/>
    </w:p>
    <w:p>
      <w:pPr>
        <w:rPr>
          <w:rFonts w:hint="eastAsia" w:ascii="宋体" w:hAnsi="宋体" w:cs="宋体"/>
          <w:b/>
          <w:bCs/>
          <w:sz w:val="24"/>
          <w:szCs w:val="24"/>
        </w:rPr>
      </w:pPr>
      <w:r>
        <w:rPr>
          <w:rFonts w:hint="eastAsia" w:ascii="宋体" w:hAnsi="宋体" w:cs="宋体"/>
          <w:b/>
          <w:bCs/>
          <w:sz w:val="24"/>
          <w:szCs w:val="24"/>
        </w:rPr>
        <w:t xml:space="preserve">九、信息上报工作</w:t>
      </w:r>
      <w:r/>
    </w:p>
    <w:p>
      <w:pPr>
        <w:rPr>
          <w:rFonts w:hint="eastAsia" w:ascii="宋体" w:hAnsi="宋体" w:cs="宋体"/>
          <w:sz w:val="24"/>
          <w:szCs w:val="24"/>
        </w:rPr>
      </w:pPr>
      <w:r>
        <w:rPr>
          <w:rFonts w:hint="eastAsia" w:ascii="宋体" w:hAnsi="宋体" w:cs="宋体"/>
          <w:sz w:val="24"/>
          <w:szCs w:val="24"/>
        </w:rPr>
        <w:t xml:space="preserve">    发生突发事件时，须及时、准确、简明上报事件时间、地点、基本情况及现场图片，确保信息传递规范高效，为应急处置提供支撑。</w:t>
      </w:r>
      <w:r/>
    </w:p>
    <w:p>
      <w:pPr>
        <w:rPr>
          <w:rFonts w:hint="eastAsia" w:ascii="宋体" w:hAnsi="宋体" w:cs="宋体"/>
          <w:b/>
          <w:bCs/>
          <w:sz w:val="24"/>
          <w:szCs w:val="24"/>
        </w:rPr>
      </w:pPr>
      <w:r>
        <w:rPr>
          <w:rFonts w:hint="eastAsia" w:ascii="宋体" w:hAnsi="宋体" w:cs="宋体"/>
          <w:b/>
          <w:bCs/>
          <w:sz w:val="24"/>
          <w:szCs w:val="24"/>
        </w:rPr>
        <w:t xml:space="preserve"> 十、长效管理</w:t>
      </w:r>
      <w:r/>
    </w:p>
    <w:p>
      <w:pPr>
        <w:ind w:firstLine="480"/>
        <w:rPr>
          <w:rFonts w:hint="eastAsia" w:ascii="宋体" w:hAnsi="宋体" w:cs="宋体"/>
          <w:sz w:val="24"/>
          <w:szCs w:val="24"/>
        </w:rPr>
      </w:pPr>
      <w:r>
        <w:rPr>
          <w:rFonts w:hint="eastAsia" w:ascii="宋体" w:hAnsi="宋体" w:cs="宋体"/>
          <w:sz w:val="24"/>
          <w:szCs w:val="24"/>
        </w:rPr>
        <w:t xml:space="preserve">严格参照《市政府关于进一步完善常州市城市长效综合管理考核工作的实施意见》（常政发〔2022〔113号）、《关于开展新北物业行业“考核评价”活动通知》（常新物管办[2024]2号）执行，同步结合当前城乡环境大整治重点工作一体推进、同步落实。</w:t>
      </w:r>
      <w:r/>
    </w:p>
    <w:p>
      <w:pPr>
        <w:rPr>
          <w:rFonts w:hint="eastAsia" w:ascii="宋体" w:hAnsi="宋体" w:cs="宋体"/>
          <w:b/>
          <w:bCs/>
          <w:sz w:val="24"/>
          <w:szCs w:val="24"/>
        </w:rPr>
      </w:pPr>
      <w:r>
        <w:rPr>
          <w:rFonts w:hint="eastAsia" w:ascii="宋体" w:hAnsi="宋体" w:cs="宋体"/>
          <w:b/>
          <w:bCs/>
          <w:sz w:val="24"/>
          <w:szCs w:val="24"/>
        </w:rPr>
        <w:t xml:space="preserve"> 十一、扣分细则</w:t>
      </w:r>
      <w:r/>
    </w:p>
    <w:p>
      <w:pPr>
        <w:rPr>
          <w:rFonts w:hint="eastAsia" w:ascii="宋体" w:hAnsi="宋体" w:cs="宋体"/>
          <w:sz w:val="24"/>
          <w:szCs w:val="24"/>
        </w:rPr>
      </w:pPr>
      <w:r>
        <w:rPr>
          <w:rFonts w:hint="eastAsia" w:ascii="宋体" w:hAnsi="宋体" w:cs="宋体"/>
          <w:sz w:val="24"/>
          <w:szCs w:val="24"/>
        </w:rPr>
        <w:t xml:space="preserve">    1. 违反行业管理要求，每发生1起扣0.2分；</w:t>
      </w:r>
      <w:r/>
    </w:p>
    <w:p>
      <w:pPr>
        <w:ind w:firstLine="480"/>
        <w:rPr>
          <w:rFonts w:hint="eastAsia" w:ascii="宋体" w:hAnsi="宋体" w:cs="宋体"/>
          <w:sz w:val="24"/>
          <w:szCs w:val="24"/>
        </w:rPr>
      </w:pPr>
      <w:r>
        <w:rPr>
          <w:rFonts w:hint="eastAsia" w:ascii="宋体" w:hAnsi="宋体" w:cs="宋体"/>
          <w:sz w:val="24"/>
          <w:szCs w:val="24"/>
        </w:rPr>
        <w:t xml:space="preserve">2. 违反长效管理要求，每发生1起扣0.1分；同一问题重复出现视为未整改，扣0.3分；市、区级巡查发现问题未及时整改（重复出现）扣1分；</w:t>
      </w:r>
      <w:r/>
    </w:p>
    <w:p>
      <w:pPr>
        <w:ind w:firstLine="480"/>
        <w:rPr>
          <w:rFonts w:hint="eastAsia" w:ascii="宋体" w:hAnsi="宋体" w:cs="宋体"/>
          <w:sz w:val="24"/>
          <w:szCs w:val="24"/>
        </w:rPr>
      </w:pPr>
      <w:r>
        <w:rPr>
          <w:rFonts w:hint="eastAsia" w:ascii="宋体" w:hAnsi="宋体" w:cs="宋体"/>
          <w:sz w:val="24"/>
          <w:szCs w:val="24"/>
        </w:rPr>
        <w:t xml:space="preserve">3. 涉及城乡环境大整治问题，每发生1处扣0.2分；市、区级曝光问题未及时整改（重复出现）扣2分；</w:t>
      </w:r>
      <w:r/>
    </w:p>
    <w:p>
      <w:pPr>
        <w:ind w:firstLine="480"/>
        <w:rPr>
          <w:rFonts w:hint="eastAsia" w:ascii="宋体" w:hAnsi="宋体" w:cs="宋体"/>
          <w:sz w:val="24"/>
          <w:szCs w:val="24"/>
        </w:rPr>
      </w:pPr>
      <w:r>
        <w:rPr>
          <w:rFonts w:hint="eastAsia" w:ascii="宋体" w:hAnsi="宋体" w:cs="宋体"/>
          <w:sz w:val="24"/>
          <w:szCs w:val="24"/>
        </w:rPr>
        <w:t xml:space="preserve">4. 因物业服务单位重大过失造成严重后果的，一经核实，立即解除服务协议，并上报区房管中心建议列入本年度物业行业区级黑榜。</w:t>
      </w:r>
      <w:r/>
    </w:p>
    <w:p>
      <w:pPr>
        <w:ind w:firstLine="480"/>
        <w:spacing w:line="360" w:lineRule="auto"/>
        <w:rPr>
          <w:i/>
          <w:sz w:val="28"/>
          <w:szCs w:val="28"/>
          <w:u w:val="single"/>
        </w:rPr>
      </w:pPr>
      <w:r>
        <w:rPr>
          <w:rFonts w:hint="eastAsia" w:ascii="宋体" w:hAnsi="宋体" w:cs="宋体"/>
          <w:sz w:val="24"/>
          <w:szCs w:val="24"/>
        </w:rPr>
        <w:t xml:space="preserve">5. 每扣1分，相应扣减物业服务费用1000元。</w:t>
      </w:r>
      <w:r/>
    </w:p>
    <w:p>
      <w:pPr>
        <w:jc w:val="left"/>
        <w:widowControl/>
        <w:rPr>
          <w:rFonts w:hint="eastAsia" w:ascii="宋体" w:hAnsi="宋体" w:cs="宋体"/>
          <w:sz w:val="24"/>
          <w:szCs w:val="24"/>
        </w:rPr>
      </w:pPr>
      <w:r>
        <w:rPr>
          <w:rFonts w:ascii="宋体" w:hAnsi="宋体"/>
          <w:b/>
          <w:sz w:val="32"/>
          <w:szCs w:val="22"/>
        </w:rP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w:t>
      </w:r>
      <w:r>
        <w:rPr>
          <w:rFonts w:ascii="Calibri" w:hAnsi="Calibri" w:eastAsia="Calibri" w:cs="Calibri"/>
          <w:b/>
          <w:color w:val="000000"/>
          <w:sz w:val="44"/>
        </w:rPr>
        <w:t xml:space="preserve"> </w:t>
      </w:r>
      <w:r>
        <w:rPr>
          <w:rFonts w:ascii="黑体" w:hAnsi="黑体" w:eastAsia="黑体" w:cs="黑体"/>
          <w:b/>
          <w:color w:val="000000"/>
          <w:sz w:val="44"/>
        </w:rPr>
        <w:t xml:space="preserve"> 评标方法与评标标准</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rPr>
          <w:rFonts w:ascii="宋体" w:hAnsi="宋体" w:cs="宋体"/>
          <w:color w:val="000000"/>
        </w:rP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本项目属于专门面向中小企业预留份额采购项目，按规定不再执行小微型企业价格扣除政策。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eastAsia="宋体" w:cs="宋体"/>
          <w:b/>
          <w:color w:val="000000"/>
          <w:sz w:val="21"/>
        </w:rPr>
        <w:t xml:space="preserve">本项目属于服务类项目且不包含产品采购，不享受本国产品扣除。</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p>
      <w:pPr>
        <w:pStyle w:val="1000"/>
        <w:spacing w:line="0" w:lineRule="atLeast"/>
        <w:rPr>
          <w:rFonts w:hint="eastAsia" w:ascii="宋体" w:hAnsi="宋体"/>
        </w:rPr>
      </w:pPr>
      <w:r>
        <w:rPr>
          <w:rFonts w:hint="eastAsia" w:ascii="宋体" w:hAnsi="宋体" w:cs="宋体"/>
          <w:b/>
          <w:bCs/>
          <w:color w:val="000000"/>
        </w:rPr>
        <w:t xml:space="preserve">每个投标人可选择相应的分包投标，兼投不兼中。在分包一中被推荐为第一中标候选人的单位可参与分包二评标，但不得成为分包二的推荐中标候选人，按分包顺序，以此类推。</w:t>
      </w:r>
      <w:r/>
    </w:p>
    <w:tbl>
      <w:tblPr>
        <w:tblStyle w:val="701"/>
        <w:tblW w:w="9038" w:type="dxa"/>
        <w:tblInd w:w="-10" w:type="dxa"/>
        <w:tblLayout w:type="fixed"/>
        <w:tblCellMar>
          <w:left w:w="0" w:type="dxa"/>
          <w:top w:w="0" w:type="dxa"/>
          <w:right w:w="0" w:type="dxa"/>
          <w:bottom w:w="0" w:type="dxa"/>
        </w:tblCellMar>
        <w:tblLook w:val="04A0" w:firstRow="1" w:lastRow="0" w:firstColumn="1" w:lastColumn="0" w:noHBand="0" w:noVBand="1"/>
      </w:tblPr>
      <w:tblGrid>
        <w:gridCol w:w="805"/>
        <w:gridCol w:w="1369"/>
        <w:gridCol w:w="4107"/>
        <w:gridCol w:w="763"/>
        <w:gridCol w:w="586"/>
        <w:gridCol w:w="704"/>
        <w:gridCol w:w="704"/>
      </w:tblGrid>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50</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整体服务方案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供应商物业整体服务方案（包括不限于对小区的物业整体服务等），科学性、有效性、合理性，各项描述齐全的5分；描述基本完整可行的得4分；针对性欠缺、描述一般的得3分；无则不得分。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进退场交接方案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评标小组根据供应商针对本项目制定的进退场交接方案，方案详尽、精细，科学合理，操作性强的得5分；方案较为全面，较详细合理、规范科学的得4分；方案简单，操作性一般的得3分；无则不得分。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组织构架、项目组织规章制度、各岗位分工及岗位</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供应商针对拟成立的项目组织构架、项目组织规章制度、各岗位分工及岗位职责等方面科学、完整的5分；描述基本完整可行的得4分；针对性欠缺、描述一般的得3分；无则不得分。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重点、难点分析及应对措施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供应商对本项目的重点、难点分析及应对措施，项目重点内容阐述、难点分析及相应的应对措施：重点切入准确、内容阐述精细，难点分析精准，应对措施科学、合理，操作性强的，得5分；重点切入较为准确，内容阐述完整，难点分析到位，应对措施较为科学合理，操作性较强的，得4分；重点内容切入稍有偏差，内容阐述简单，难点分析基本合理，应对措施操作性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秩序维护服务方案及保障措施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秩序维护服务方案及保障措施（包括不限于对小区的秩序维护服务方案及保障措施等），方案及保障详尽、精细，科学合理，操作性强的得5分；方案及保障较为全面，较详细合理、规范科学的得4分；方案及保障简单，操作性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环境服务方案及保障措施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评标小组根据供应商针对本项目环境服务方案及保障措施等方面，各项描述齐全的得5分；描述基本完整可行的得4分；针对性欠缺、描述一般的得3分；无则不得分。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绿化服务方案及保障措施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绿化服务方案及保障措施，方案及保障详尽、精细，科学合理，操作性强的得4分；方案及保障较为全面，较详细合理、规范科学的得3分；方案及保障简单，操作性一般的得2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物业维修养护方案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评标小组根据供应商针对本项目物业维修养护方案，方案详尽、精细，科学合理，操作性强的得4分；方案较为全面，较详细合理、规范科学的得3分；方案简单，操作性一般的得2分；无则不得分。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垃圾分类服务方案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评标小组根据供应商针对本项目垃圾分类服务方案，方案详尽、精细，科学合理，操作性强的得4分；方案较为全面，较详细合理、规范科学的得3分；方案简单，操作性一般的得2分；无则不得分。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应急事件处理预案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针对本项目制定详细的应急事件处理预案（包括不限于疫情防控、意外情况、安全管控或特殊情况下的管理预案），各项描述齐全的4分，描述基本完整可行的得3分，针对性欠缺、描述一般的得2分，无则不得分。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社区文化活动方案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评标小组根据供应商针对本项目社区文化活动方案，方案详尽、精细，科学合理，操作性强的得4分；方案较为全面，较详细合理、规范科学的得3分；方案简单，操作性一般的得2分；无则不得分。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供应商自2023年 1 月 1 日以来（以合同签订时间为准）具有物业管理业绩的，服务内容需同时包含秩序维护、保洁的，有1个得</w:t>
            </w:r>
            <w:r>
              <w:rPr>
                <w:rFonts w:hint="eastAsia" w:ascii="宋体" w:hAnsi="宋体" w:cs="宋体"/>
                <w:b/>
                <w:bCs/>
                <w:sz w:val="20"/>
                <w:szCs w:val="20"/>
                <w:lang w:val="en-US" w:eastAsia="zh-CN"/>
              </w:rPr>
              <w:t xml:space="preserve">4</w:t>
            </w:r>
            <w:r>
              <w:rPr>
                <w:rFonts w:hint="eastAsia" w:ascii="宋体" w:hAnsi="宋体" w:cs="宋体"/>
                <w:b/>
                <w:bCs/>
                <w:sz w:val="20"/>
                <w:szCs w:val="20"/>
              </w:rPr>
              <w:t xml:space="preserve">分，最高得</w:t>
            </w:r>
            <w:r>
              <w:rPr>
                <w:rFonts w:hint="eastAsia" w:ascii="宋体" w:hAnsi="宋体" w:cs="宋体"/>
                <w:b/>
                <w:bCs/>
                <w:sz w:val="20"/>
                <w:szCs w:val="20"/>
                <w:lang w:val="en-US" w:eastAsia="zh-CN"/>
              </w:rPr>
              <w:t xml:space="preserve">8</w:t>
            </w:r>
            <w:r>
              <w:rPr>
                <w:rFonts w:hint="eastAsia" w:ascii="宋体" w:hAnsi="宋体" w:cs="宋体"/>
                <w:b/>
                <w:bCs/>
                <w:sz w:val="20"/>
                <w:szCs w:val="20"/>
              </w:rPr>
              <w:t xml:space="preserve">分。同一项目不重复计分。投标文件中提供合同扫描件并加盖供应商公章，否则不得分。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rPr>
                <w:rFonts w:hint="eastAsia" w:ascii="宋体" w:hAnsi="宋体" w:eastAsia="宋体" w:cs="宋体"/>
                <w:sz w:val="20"/>
                <w:szCs w:val="20"/>
                <w:lang w:eastAsia="zh-CN"/>
              </w:rPr>
            </w:pPr>
            <w:r>
              <w:rPr>
                <w:rFonts w:hint="eastAsia" w:ascii="宋体" w:hAnsi="宋体" w:cs="宋体"/>
                <w:b/>
                <w:bCs/>
                <w:sz w:val="20"/>
                <w:szCs w:val="20"/>
                <w:lang w:val="en-US" w:eastAsia="zh-CN"/>
              </w:rPr>
              <w:t xml:space="preserve">8</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供应商具有有效的质量管理体系认证、环境管理体系认证、职业健康安全管理体系认证的每有一个证书得1分，最高得3分。</w:t>
            </w:r>
            <w:r/>
          </w:p>
          <w:p>
            <w:pPr>
              <w:jc w:val="center"/>
              <w:widowControl/>
              <w:rPr>
                <w:rFonts w:hint="eastAsia" w:ascii="宋体" w:hAnsi="宋体" w:cs="宋体"/>
                <w:b/>
                <w:bCs/>
                <w:sz w:val="20"/>
                <w:szCs w:val="20"/>
              </w:rPr>
            </w:pPr>
            <w:r>
              <w:rPr>
                <w:rFonts w:hint="eastAsia" w:ascii="宋体" w:hAnsi="宋体" w:cs="宋体"/>
                <w:b/>
                <w:bCs/>
                <w:sz w:val="20"/>
                <w:szCs w:val="20"/>
              </w:rPr>
              <w:t xml:space="preserve">投标文件中提供证书扫描件并加盖供应商公章，否则不得分。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1.拟派本项目负责人具有大专及以上学历的得2分。</w:t>
            </w:r>
            <w:r/>
          </w:p>
          <w:p>
            <w:pPr>
              <w:widowControl/>
              <w:rPr>
                <w:rFonts w:hint="eastAsia" w:ascii="宋体" w:hAnsi="宋体" w:cs="宋体"/>
                <w:b/>
                <w:bCs/>
                <w:sz w:val="20"/>
                <w:szCs w:val="20"/>
              </w:rPr>
            </w:pPr>
            <w:r>
              <w:rPr>
                <w:rFonts w:hint="eastAsia" w:ascii="宋体" w:hAnsi="宋体" w:cs="宋体"/>
                <w:b/>
                <w:bCs/>
                <w:sz w:val="20"/>
                <w:szCs w:val="20"/>
              </w:rPr>
              <w:t xml:space="preserve">2.具有初级及以上应急救援员证书的，得2分；</w:t>
            </w:r>
            <w:r/>
          </w:p>
          <w:p>
            <w:pPr>
              <w:widowControl/>
              <w:rPr>
                <w:rFonts w:hint="eastAsia" w:ascii="宋体" w:hAnsi="宋体" w:cs="宋体"/>
                <w:b/>
                <w:bCs/>
                <w:sz w:val="20"/>
                <w:szCs w:val="20"/>
              </w:rPr>
            </w:pPr>
            <w:r>
              <w:rPr>
                <w:rFonts w:hint="eastAsia" w:ascii="宋体" w:hAnsi="宋体" w:cs="宋体"/>
                <w:b/>
                <w:bCs/>
                <w:sz w:val="20"/>
                <w:szCs w:val="20"/>
              </w:rPr>
              <w:t xml:space="preserve">3.具有人社部门或职业技能鉴定中心颁发的四级及以上建（构）筑物消防员证或中级及以上消防设施操作员证书的得3分。</w:t>
            </w:r>
            <w:r/>
          </w:p>
          <w:p>
            <w:pPr>
              <w:widowControl/>
              <w:rPr>
                <w:rFonts w:hint="eastAsia" w:ascii="宋体" w:hAnsi="宋体" w:cs="宋体"/>
                <w:b/>
                <w:bCs/>
                <w:sz w:val="20"/>
                <w:szCs w:val="20"/>
              </w:rPr>
            </w:pPr>
            <w:r>
              <w:rPr>
                <w:rFonts w:hint="eastAsia" w:ascii="宋体" w:hAnsi="宋体" w:cs="宋体"/>
                <w:b/>
                <w:bCs/>
                <w:sz w:val="20"/>
                <w:szCs w:val="20"/>
              </w:rPr>
              <w:t xml:space="preserve">提供学历证书、岗位证书及投标截止日前供应商为其缴纳的近三个月任意一个月的社保缴纳证明材料扫描件并加盖供应商公章，否则不得分。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7</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维修主管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维修主管（除项目负责人外）：</w:t>
            </w:r>
            <w:r/>
          </w:p>
          <w:p>
            <w:pPr>
              <w:widowControl/>
              <w:rPr>
                <w:rFonts w:hint="eastAsia" w:ascii="宋体" w:hAnsi="宋体" w:cs="宋体"/>
                <w:b/>
                <w:bCs/>
                <w:sz w:val="20"/>
                <w:szCs w:val="20"/>
              </w:rPr>
            </w:pPr>
            <w:r>
              <w:rPr>
                <w:rFonts w:hint="eastAsia" w:ascii="宋体" w:hAnsi="宋体" w:cs="宋体"/>
                <w:b/>
                <w:bCs/>
                <w:sz w:val="20"/>
                <w:szCs w:val="20"/>
              </w:rPr>
              <w:t xml:space="preserve">1.具有大专及以上学历的得2分。</w:t>
            </w:r>
            <w:r/>
          </w:p>
          <w:p>
            <w:pPr>
              <w:widowControl/>
              <w:rPr>
                <w:rFonts w:hint="eastAsia" w:ascii="宋体" w:hAnsi="宋体" w:cs="宋体"/>
                <w:b/>
                <w:bCs/>
                <w:sz w:val="20"/>
                <w:szCs w:val="20"/>
              </w:rPr>
            </w:pPr>
            <w:r>
              <w:rPr>
                <w:rFonts w:hint="eastAsia" w:ascii="宋体" w:hAnsi="宋体" w:cs="宋体"/>
                <w:b/>
                <w:bCs/>
                <w:sz w:val="20"/>
                <w:szCs w:val="20"/>
              </w:rPr>
              <w:t xml:space="preserve">2.具有高/低压电工证的，得2分。</w:t>
            </w:r>
            <w:r/>
          </w:p>
          <w:p>
            <w:pPr>
              <w:widowControl/>
              <w:rPr>
                <w:rFonts w:hint="eastAsia" w:ascii="宋体" w:hAnsi="宋体" w:cs="宋体"/>
                <w:b/>
                <w:bCs/>
                <w:sz w:val="20"/>
                <w:szCs w:val="20"/>
              </w:rPr>
            </w:pPr>
            <w:r>
              <w:rPr>
                <w:rFonts w:hint="eastAsia" w:ascii="宋体" w:hAnsi="宋体" w:cs="宋体"/>
                <w:b/>
                <w:bCs/>
                <w:sz w:val="20"/>
                <w:szCs w:val="20"/>
              </w:rPr>
              <w:t xml:space="preserve">提供证书及投标截止日前供应商为其缴纳的近三个月任意一个月的社保缴纳证明材料扫描件并加盖供应商公章，否则不得分。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0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其他项目组成员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7" w:type="dxa"/>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项目组成员（除项目负责人、维修主管外）：</w:t>
            </w:r>
            <w:r/>
          </w:p>
          <w:p>
            <w:pPr>
              <w:widowControl/>
              <w:rPr>
                <w:rFonts w:hint="eastAsia" w:ascii="宋体" w:hAnsi="宋体" w:cs="宋体"/>
                <w:b/>
                <w:bCs/>
                <w:sz w:val="20"/>
                <w:szCs w:val="20"/>
              </w:rPr>
            </w:pPr>
            <w:r>
              <w:rPr>
                <w:rFonts w:hint="eastAsia" w:ascii="宋体" w:hAnsi="宋体" w:cs="宋体"/>
                <w:b/>
                <w:bCs/>
                <w:sz w:val="20"/>
                <w:szCs w:val="20"/>
              </w:rPr>
              <w:t xml:space="preserve">1.具有保安员证书的，每有一人得2分，最高得6分；</w:t>
            </w:r>
            <w:r/>
          </w:p>
          <w:p>
            <w:pPr>
              <w:widowControl/>
              <w:rPr>
                <w:rFonts w:hint="eastAsia" w:ascii="宋体" w:hAnsi="宋体" w:cs="宋体"/>
                <w:b/>
                <w:bCs/>
                <w:sz w:val="20"/>
                <w:szCs w:val="20"/>
              </w:rPr>
            </w:pPr>
            <w:r>
              <w:rPr>
                <w:rFonts w:hint="eastAsia" w:ascii="宋体" w:hAnsi="宋体" w:cs="宋体"/>
                <w:b/>
                <w:bCs/>
                <w:sz w:val="20"/>
                <w:szCs w:val="20"/>
              </w:rPr>
              <w:t xml:space="preserve">2.具有初级及以上应急救援员证书的，每有一人得2分，最高得4分；</w:t>
            </w:r>
            <w:r/>
          </w:p>
          <w:p>
            <w:pPr>
              <w:widowControl/>
              <w:rPr>
                <w:rFonts w:hint="eastAsia" w:ascii="宋体" w:hAnsi="宋体" w:cs="宋体"/>
                <w:b/>
                <w:bCs/>
                <w:sz w:val="20"/>
                <w:szCs w:val="20"/>
              </w:rPr>
            </w:pPr>
            <w:r>
              <w:rPr>
                <w:rFonts w:hint="eastAsia" w:ascii="宋体" w:hAnsi="宋体" w:cs="宋体"/>
                <w:b/>
                <w:bCs/>
                <w:sz w:val="20"/>
                <w:szCs w:val="20"/>
              </w:rPr>
              <w:t xml:space="preserve">3.具有人社部门或职业技能鉴定中心颁发的初级及以上建（构）筑物消防员证或初级及以上消防设施操作员证书的，每有一人得2分，最高得6分；</w:t>
            </w:r>
            <w:r/>
          </w:p>
          <w:p>
            <w:pPr>
              <w:widowControl/>
              <w:rPr>
                <w:rFonts w:hint="eastAsia" w:ascii="宋体" w:hAnsi="宋体" w:cs="宋体"/>
                <w:b/>
                <w:bCs/>
                <w:sz w:val="20"/>
                <w:szCs w:val="20"/>
              </w:rPr>
            </w:pPr>
            <w:r>
              <w:rPr>
                <w:rFonts w:hint="eastAsia" w:ascii="宋体" w:hAnsi="宋体" w:cs="宋体"/>
                <w:b/>
                <w:bCs/>
                <w:sz w:val="20"/>
                <w:szCs w:val="20"/>
              </w:rPr>
              <w:t xml:space="preserve">4.具有高压或低压电工证书的，每有一人得2分，最高得2分。</w:t>
            </w:r>
            <w:r/>
          </w:p>
          <w:p>
            <w:pPr>
              <w:widowControl/>
              <w:rPr>
                <w:rFonts w:hint="eastAsia" w:ascii="宋体" w:hAnsi="宋体" w:cs="宋体"/>
                <w:b/>
                <w:bCs/>
                <w:sz w:val="20"/>
                <w:szCs w:val="20"/>
              </w:rPr>
            </w:pPr>
            <w:r>
              <w:rPr>
                <w:rFonts w:hint="eastAsia" w:ascii="宋体" w:hAnsi="宋体" w:cs="宋体"/>
                <w:b/>
                <w:bCs/>
                <w:sz w:val="20"/>
                <w:szCs w:val="20"/>
              </w:rPr>
              <w:t xml:space="preserve">提供证书及投标截止日前供应商为其缴纳的近三个月任意一个月的社保缴纳证明材料扫描件并加盖供应商公章，否则不得分。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3" w:type="dxa"/>
            <w:vAlign w:val="center"/>
            <w:textDirection w:val="lrTb"/>
            <w:noWrap w:val="false"/>
          </w:tcPr>
          <w:p>
            <w:pPr>
              <w:jc w:val="center"/>
              <w:widowControl/>
              <w:rPr>
                <w:rFonts w:hint="eastAsia" w:ascii="宋体" w:hAnsi="宋体" w:cs="宋体"/>
                <w:b/>
                <w:bCs/>
                <w:sz w:val="20"/>
                <w:szCs w:val="20"/>
              </w:rPr>
            </w:pPr>
            <w:r/>
            <w:bookmarkStart w:id="0" w:name="_GoBack"/>
            <w:r/>
            <w:bookmarkEnd w:id="0"/>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86" w:type="dxa"/>
            <w:vAlign w:val="center"/>
            <w:textDirection w:val="lrTb"/>
            <w:noWrap w:val="false"/>
          </w:tcPr>
          <w:p>
            <w:pPr>
              <w:jc w:val="center"/>
              <w:widowControl/>
              <w:rPr>
                <w:rFonts w:hint="default" w:ascii="宋体" w:hAnsi="宋体" w:eastAsia="宋体" w:cs="宋体"/>
                <w:b/>
                <w:bCs/>
                <w:sz w:val="20"/>
                <w:szCs w:val="20"/>
                <w:lang w:val="en-US" w:eastAsia="zh-CN"/>
              </w:rPr>
            </w:pPr>
            <w:r>
              <w:rPr>
                <w:rFonts w:hint="eastAsia" w:ascii="宋体" w:hAnsi="宋体" w:cs="宋体"/>
                <w:b/>
                <w:bCs/>
                <w:sz w:val="20"/>
                <w:szCs w:val="20"/>
                <w:lang w:val="en-US" w:eastAsia="zh-CN"/>
              </w:rPr>
              <w:t xml:space="preserve">18</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70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rPr>
          <w:rFonts w:ascii="Calibri" w:hAnsi="Calibri"/>
          <w:bCs/>
          <w:szCs w:val="22"/>
        </w:rPr>
      </w:pPr>
      <w:r>
        <w:rPr>
          <w:rFonts w:hint="eastAsia" w:ascii="Calibri" w:hAnsi="Calibri"/>
          <w:bCs/>
          <w:szCs w:val="22"/>
        </w:rPr>
        <w:t xml:space="preserve">注： </w:t>
      </w:r>
      <w:r/>
    </w:p>
    <w:p>
      <w:pPr>
        <w:rPr>
          <w:rFonts w:ascii="Calibri" w:hAnsi="Calibri"/>
          <w:bCs/>
          <w:szCs w:val="22"/>
        </w:rPr>
      </w:pPr>
      <w:r>
        <w:rPr>
          <w:rFonts w:hint="eastAsia" w:ascii="Calibri" w:hAnsi="Calibri"/>
          <w:bCs/>
          <w:szCs w:val="22"/>
        </w:rPr>
        <w:t xml:space="preserve">1、评分细则中要求提供的证明文件及资料等在投标文件中提供原件扫描件，过时不予接收。</w:t>
      </w:r>
      <w:r/>
    </w:p>
    <w:p>
      <w:pPr>
        <w:ind w:firstLine="480"/>
        <w:spacing w:after="0"/>
        <w:pBdr>
          <w:top w:val="none" w:color="000000" w:sz="0" w:space="0"/>
          <w:left w:val="none" w:color="000000" w:sz="0" w:space="0"/>
          <w:bottom w:val="none" w:color="000000" w:sz="0" w:space="0"/>
          <w:right w:val="none" w:color="000000" w:sz="0" w:space="0"/>
        </w:pBdr>
      </w:pPr>
      <w:r>
        <w:rPr>
          <w:rFonts w:hint="eastAsia" w:ascii="Calibri" w:hAnsi="Calibri"/>
          <w:bCs/>
          <w:szCs w:val="22"/>
        </w:rPr>
        <w:t xml:space="preserve">2、评标时，未能按要求提供相应证明的，不作为评标依据，不得分。</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w:t>
      </w:r>
      <w:r>
        <w:rPr>
          <w:rFonts w:ascii="Calibri" w:hAnsi="Calibri" w:eastAsia="Calibri" w:cs="Calibri"/>
          <w:b/>
          <w:color w:val="000000"/>
          <w:sz w:val="44"/>
        </w:rPr>
        <w:t xml:space="preserve"> </w:t>
      </w:r>
      <w:r>
        <w:rPr>
          <w:rFonts w:ascii="黑体" w:hAnsi="黑体" w:eastAsia="黑体" w:cs="黑体"/>
          <w:b/>
          <w:color w:val="000000"/>
          <w:sz w:val="44"/>
        </w:rPr>
        <w:t xml:space="preserve"> 投标文件格式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五、中小企业声明函</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六、残疾人福利性单位声明函或监狱企业证明</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after="0"/>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after="0"/>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3390"/>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根据贵方的JSZC-***号招标文件，正式授权下述被授权人______(姓名)代表我方______________（投标人的名称），全权处理本次项目投标的有关事宜。</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据此函，__________被授权人兹宣布同意如下：</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五、中小企业声明函（服务）（分包号：**）</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u w:val="single"/>
        </w:rPr>
        <w:t xml:space="preserve">物业管理</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备注2：供应商未提供此声明函的，资格审查不予通过，作为无效投标。此声明函将随中标结果同时公告，接受社会监督。</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六、残疾人福利性单位声明函（分包号：**）</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项目（分包号：**）采购活动由本单位提供服务。</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（备注：如是残疾人福利单位的应提供，否则资格审查不予通过，作为无效投标。此声明函将随中标结果同时公告，接受社会监督）</w:t>
      </w:r>
      <w:r/>
    </w:p>
    <w:p>
      <w:pPr>
        <w:ind w:firstLine="624"/>
        <w:spacing w:after="0" w:line="587"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right="1560" w:firstLine="624"/>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firstLine="643"/>
        <w:spacing w:after="0"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监狱企业证明文件</w:t>
      </w:r>
      <w:r>
        <w:rPr>
          <w:rFonts w:ascii="黑体" w:hAnsi="黑体" w:eastAsia="黑体" w:cs="黑体"/>
          <w:b/>
          <w:color w:val="000000"/>
          <w:sz w:val="32"/>
        </w:rPr>
        <w:t xml:space="preserve">。</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rPr>
          <w:rFonts w:hint="eastAsia" w:ascii="黑体" w:hAnsi="黑体" w:eastAsia="黑体" w:cs="黑体"/>
          <w:b/>
          <w:i/>
          <w:color w:val="000000"/>
          <w:sz w:val="32"/>
          <w:u w:val="single"/>
        </w:rPr>
        <w:t xml:space="preserve">01</w:t>
      </w:r>
      <w:r>
        <w:rPr>
          <w:rFonts w:ascii="黑体" w:hAnsi="黑体" w:eastAsia="黑体" w:cs="黑体"/>
          <w:b/>
          <w:i/>
          <w:color w:val="000000"/>
          <w:sz w:val="32"/>
          <w:u w:val="single"/>
        </w:rPr>
        <w:t xml:space="preserve">）</w:t>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项目编号/包号：_________</w:t>
      </w:r>
      <w:r>
        <w:rPr>
          <w:rFonts w:hint="eastAsia" w:ascii="Calibri" w:hAnsi="Calibri"/>
          <w:color w:val="000000"/>
          <w:sz w:val="24"/>
          <w:szCs w:val="24"/>
        </w:rPr>
        <w:t xml:space="preserve"> </w:t>
      </w:r>
      <w:r>
        <w:rPr>
          <w:rFonts w:ascii="Calibri" w:hAnsi="Calibri"/>
          <w:color w:val="000000"/>
          <w:sz w:val="24"/>
          <w:szCs w:val="24"/>
        </w:rPr>
        <w:t xml:space="preserve">项目名称：__________</w:t>
      </w:r>
      <w:r>
        <w:rPr>
          <w:rFonts w:hint="eastAsia" w:ascii="Calibri" w:hAnsi="Calibri"/>
          <w:color w:val="000000"/>
          <w:sz w:val="24"/>
          <w:szCs w:val="24"/>
        </w:rPr>
        <w:t xml:space="preserve">  </w:t>
      </w:r>
      <w:r>
        <w:rPr>
          <w:rFonts w:ascii="Calibri" w:hAnsi="Calibri"/>
          <w:color w:val="000000"/>
          <w:sz w:val="24"/>
          <w:szCs w:val="24"/>
        </w:rPr>
        <w:t xml:space="preserve">报价单位：人民币元</w:t>
      </w:r>
      <w:r/>
    </w:p>
    <w:p>
      <w:pPr>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                                </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保安主管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pPr>
            <w:r>
              <w:rPr>
                <w:rFonts w:hint="eastAsia" w:ascii="宋体" w:hAnsi="宋体" w:cs="宋体"/>
                <w:sz w:val="20"/>
                <w:szCs w:val="20"/>
              </w:rPr>
              <w:t xml:space="preserve">绿化主管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rPr>
                <w:color w:val="000000"/>
              </w:rPr>
            </w:pPr>
            <w:r>
              <w:rPr>
                <w:rFonts w:hint="eastAsia" w:ascii="宋体" w:hAnsi="宋体" w:cs="宋体"/>
                <w:sz w:val="20"/>
                <w:szCs w:val="20"/>
              </w:rPr>
              <w:t xml:space="preserve">维修主管</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客服内勤</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财会人员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消控人员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9</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31人</w:t>
            </w:r>
            <w:r/>
          </w:p>
        </w:tc>
        <w:tc>
          <w:tcPr>
            <w:tcW w:w="3832"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5" w:type="dxa"/>
            <w:vAlign w:val="center"/>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w:t>
            </w:r>
            <w:r/>
          </w:p>
        </w:tc>
        <w:tc>
          <w:tcPr>
            <w:tcMar>
              <w:left w:w="108" w:type="dxa"/>
              <w:top w:w="0" w:type="dxa"/>
              <w:right w:w="108"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注：1.本表应按包分别填写。</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2.如果不提供分项报价将视为没有实质性响应磋商文件</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3.</w:t>
      </w:r>
      <w:r>
        <w:rPr>
          <w:rFonts w:hint="eastAsia" w:ascii="Calibri" w:hAnsi="Calibri"/>
          <w:color w:val="000000"/>
          <w:sz w:val="24"/>
          <w:szCs w:val="24"/>
        </w:rPr>
        <w:t xml:space="preserve">本表行数可以按照项目分项情况增加。</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4.</w:t>
      </w:r>
      <w:r>
        <w:rPr>
          <w:rFonts w:ascii="Calibri" w:hAnsi="Calibri"/>
          <w:color w:val="000000"/>
          <w:sz w:val="24"/>
          <w:szCs w:val="24"/>
        </w:rPr>
        <w:t xml:space="preserve">上述各项的</w:t>
      </w:r>
      <w:r>
        <w:rPr>
          <w:rFonts w:hint="eastAsia" w:ascii="Calibri" w:hAnsi="Calibri"/>
          <w:color w:val="000000"/>
          <w:sz w:val="24"/>
          <w:szCs w:val="24"/>
        </w:rPr>
        <w:t xml:space="preserve">服务内容如表格中填写不下的</w:t>
      </w:r>
      <w:r>
        <w:rPr>
          <w:rFonts w:ascii="Calibri" w:hAnsi="Calibri"/>
          <w:color w:val="000000"/>
          <w:sz w:val="24"/>
          <w:szCs w:val="24"/>
        </w:rPr>
        <w:t xml:space="preserve">，可</w:t>
      </w:r>
      <w:r>
        <w:rPr>
          <w:rFonts w:hint="eastAsia" w:ascii="Calibri" w:hAnsi="Calibri"/>
          <w:color w:val="000000"/>
          <w:sz w:val="24"/>
          <w:szCs w:val="24"/>
        </w:rPr>
        <w:t xml:space="preserve">以逐项</w:t>
      </w:r>
      <w:r>
        <w:rPr>
          <w:rFonts w:ascii="Calibri" w:hAnsi="Calibri"/>
          <w:color w:val="000000"/>
          <w:sz w:val="24"/>
          <w:szCs w:val="24"/>
        </w:rPr>
        <w:t xml:space="preserve">另页描述。</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spacing w:before="25" w:after="25" w:line="360" w:lineRule="auto"/>
        <w:rPr>
          <w:rFonts w:ascii="Calibri" w:hAnsi="Calibri"/>
          <w:color w:val="000000"/>
          <w:sz w:val="24"/>
          <w:szCs w:val="24"/>
          <w:lang w:val="zh-CN"/>
        </w:rPr>
      </w:pPr>
      <w:r>
        <w:rPr>
          <w:rFonts w:ascii="Calibri" w:hAnsi="Calibri"/>
          <w:color w:val="000000"/>
          <w:sz w:val="24"/>
          <w:szCs w:val="24"/>
          <w:lang w:val="zh-CN"/>
        </w:rPr>
        <w:t xml:space="preserve">                  </w:t>
      </w:r>
      <w:r/>
    </w:p>
    <w:p>
      <w:pPr>
        <w:spacing w:before="25" w:after="25" w:line="360" w:lineRule="auto"/>
        <w:rPr>
          <w:rFonts w:ascii="Calibri" w:hAnsi="Calibri"/>
          <w:color w:val="000000"/>
          <w:sz w:val="24"/>
          <w:szCs w:val="24"/>
          <w:lang w:val="zh-CN"/>
        </w:rPr>
      </w:pPr>
      <w:r>
        <w:rPr>
          <w:rFonts w:ascii="Calibri" w:hAnsi="Calibri"/>
          <w:color w:val="000000"/>
          <w:sz w:val="24"/>
          <w:szCs w:val="24"/>
        </w:rPr>
        <w:t xml:space="preserve">供应商名称（加盖公章）</w:t>
      </w:r>
      <w:r>
        <w:rPr>
          <w:rFonts w:ascii="Calibri" w:hAnsi="Calibri"/>
          <w:color w:val="000000"/>
          <w:sz w:val="24"/>
          <w:szCs w:val="24"/>
          <w:lang w:val="zh-CN"/>
        </w:rPr>
        <w:t xml:space="preserve">：____________</w:t>
      </w:r>
      <w:r/>
    </w:p>
    <w:p>
      <w:pPr>
        <w:spacing w:before="25" w:after="25" w:line="360" w:lineRule="auto"/>
        <w:rPr>
          <w:rFonts w:ascii="Calibri" w:hAnsi="Calibri"/>
          <w:color w:val="000000"/>
          <w:sz w:val="24"/>
          <w:szCs w:val="24"/>
          <w:lang w:val="zh-CN"/>
        </w:rPr>
      </w:pPr>
      <w:r>
        <w:rPr>
          <w:rFonts w:ascii="Calibri" w:hAnsi="Calibri"/>
          <w:color w:val="000000"/>
          <w:sz w:val="24"/>
          <w:szCs w:val="20"/>
        </w:rPr>
        <w:t xml:space="preserve">日期：_____年______月______日   </w:t>
      </w:r>
      <w:r/>
    </w:p>
    <w:p>
      <w:pPr>
        <w:spacing w:line="360" w:lineRule="auto"/>
        <w:rPr>
          <w:rFonts w:hint="eastAsia" w:ascii="宋体" w:hAnsi="宋体" w:cs="宋体"/>
        </w:rPr>
      </w:pPr>
      <w:r>
        <w:rPr>
          <w:rFonts w:hint="eastAsia" w:ascii="宋体" w:hAnsi="宋体" w:cs="宋体"/>
        </w:rPr>
      </w:r>
      <w:r/>
    </w:p>
    <w:p>
      <w:pPr>
        <w:jc w:val="left"/>
        <w:widowControl/>
        <w:rPr>
          <w:rFonts w:hint="eastAsia" w:ascii="宋体" w:hAnsi="宋体" w:cs="宋体"/>
        </w:rPr>
      </w:pPr>
      <w:r>
        <w:rPr>
          <w:rFonts w:ascii="宋体" w:hAnsi="宋体" w:cs="宋体"/>
        </w:rPr>
        <w:br w:type="page" w:clear="all"/>
      </w:r>
      <w:r/>
    </w:p>
    <w:p>
      <w:pPr>
        <w:jc w:val="center"/>
        <w:spacing w:line="360" w:lineRule="exact"/>
        <w:rPr>
          <w:rFonts w:ascii="Calibri" w:hAnsi="Calibri"/>
          <w:b/>
          <w:color w:val="000000"/>
          <w:sz w:val="36"/>
          <w:szCs w:val="36"/>
        </w:rPr>
      </w:pPr>
      <w:r>
        <w:rPr>
          <w:rFonts w:hint="eastAsia" w:ascii="Calibri" w:hAnsi="Calibri"/>
          <w:b/>
          <w:color w:val="000000"/>
          <w:sz w:val="36"/>
          <w:szCs w:val="36"/>
        </w:rPr>
        <w:t xml:space="preserve">投标分项报价表（分包02）</w:t>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项目编号/包号：_________</w:t>
      </w:r>
      <w:r>
        <w:rPr>
          <w:rFonts w:hint="eastAsia" w:ascii="Calibri" w:hAnsi="Calibri"/>
          <w:color w:val="000000"/>
          <w:sz w:val="24"/>
          <w:szCs w:val="24"/>
        </w:rPr>
        <w:t xml:space="preserve"> </w:t>
      </w:r>
      <w:r>
        <w:rPr>
          <w:rFonts w:ascii="Calibri" w:hAnsi="Calibri"/>
          <w:color w:val="000000"/>
          <w:sz w:val="24"/>
          <w:szCs w:val="24"/>
        </w:rPr>
        <w:t xml:space="preserve">项目名称：__________</w:t>
      </w:r>
      <w:r>
        <w:rPr>
          <w:rFonts w:hint="eastAsia" w:ascii="Calibri" w:hAnsi="Calibri"/>
          <w:color w:val="000000"/>
          <w:sz w:val="24"/>
          <w:szCs w:val="24"/>
        </w:rPr>
        <w:t xml:space="preserve">  </w:t>
      </w:r>
      <w:r>
        <w:rPr>
          <w:rFonts w:ascii="Calibri" w:hAnsi="Calibri"/>
          <w:color w:val="000000"/>
          <w:sz w:val="24"/>
          <w:szCs w:val="24"/>
        </w:rPr>
        <w:t xml:space="preserve">报价单位：人民币元</w:t>
      </w:r>
      <w:r/>
    </w:p>
    <w:p>
      <w:pPr>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                                </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15</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注：1.本表应按包分别填写。</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2.如果不提供分项报价将视为没有实质性响应磋商文件</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3.</w:t>
      </w:r>
      <w:r>
        <w:rPr>
          <w:rFonts w:hint="eastAsia" w:ascii="Calibri" w:hAnsi="Calibri"/>
          <w:color w:val="000000"/>
          <w:sz w:val="24"/>
          <w:szCs w:val="24"/>
        </w:rPr>
        <w:t xml:space="preserve">本表行数可以按照项目分项情况增加。</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4.</w:t>
      </w:r>
      <w:r>
        <w:rPr>
          <w:rFonts w:ascii="Calibri" w:hAnsi="Calibri"/>
          <w:color w:val="000000"/>
          <w:sz w:val="24"/>
          <w:szCs w:val="24"/>
        </w:rPr>
        <w:t xml:space="preserve">上述各项的</w:t>
      </w:r>
      <w:r>
        <w:rPr>
          <w:rFonts w:hint="eastAsia" w:ascii="Calibri" w:hAnsi="Calibri"/>
          <w:color w:val="000000"/>
          <w:sz w:val="24"/>
          <w:szCs w:val="24"/>
        </w:rPr>
        <w:t xml:space="preserve">服务内容如表格中填写不下的</w:t>
      </w:r>
      <w:r>
        <w:rPr>
          <w:rFonts w:ascii="Calibri" w:hAnsi="Calibri"/>
          <w:color w:val="000000"/>
          <w:sz w:val="24"/>
          <w:szCs w:val="24"/>
        </w:rPr>
        <w:t xml:space="preserve">，可</w:t>
      </w:r>
      <w:r>
        <w:rPr>
          <w:rFonts w:hint="eastAsia" w:ascii="Calibri" w:hAnsi="Calibri"/>
          <w:color w:val="000000"/>
          <w:sz w:val="24"/>
          <w:szCs w:val="24"/>
        </w:rPr>
        <w:t xml:space="preserve">以逐项</w:t>
      </w:r>
      <w:r>
        <w:rPr>
          <w:rFonts w:ascii="Calibri" w:hAnsi="Calibri"/>
          <w:color w:val="000000"/>
          <w:sz w:val="24"/>
          <w:szCs w:val="24"/>
        </w:rPr>
        <w:t xml:space="preserve">另页描述。</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spacing w:before="25" w:after="25" w:line="360" w:lineRule="auto"/>
        <w:rPr>
          <w:rFonts w:ascii="Calibri" w:hAnsi="Calibri"/>
          <w:color w:val="000000"/>
          <w:sz w:val="24"/>
          <w:szCs w:val="24"/>
          <w:lang w:val="zh-CN"/>
        </w:rPr>
      </w:pPr>
      <w:r>
        <w:rPr>
          <w:rFonts w:ascii="Calibri" w:hAnsi="Calibri"/>
          <w:color w:val="000000"/>
          <w:sz w:val="24"/>
          <w:szCs w:val="24"/>
          <w:lang w:val="zh-CN"/>
        </w:rPr>
        <w:t xml:space="preserve">                  </w:t>
      </w:r>
      <w:r/>
    </w:p>
    <w:p>
      <w:pPr>
        <w:spacing w:before="25" w:after="25" w:line="360" w:lineRule="auto"/>
        <w:rPr>
          <w:rFonts w:ascii="Calibri" w:hAnsi="Calibri"/>
          <w:color w:val="000000"/>
          <w:sz w:val="24"/>
          <w:szCs w:val="24"/>
          <w:lang w:val="zh-CN"/>
        </w:rPr>
      </w:pPr>
      <w:r>
        <w:rPr>
          <w:rFonts w:ascii="Calibri" w:hAnsi="Calibri"/>
          <w:color w:val="000000"/>
          <w:sz w:val="24"/>
          <w:szCs w:val="24"/>
        </w:rPr>
        <w:t xml:space="preserve">供应商名称（加盖公章）</w:t>
      </w:r>
      <w:r>
        <w:rPr>
          <w:rFonts w:ascii="Calibri" w:hAnsi="Calibri"/>
          <w:color w:val="000000"/>
          <w:sz w:val="24"/>
          <w:szCs w:val="24"/>
          <w:lang w:val="zh-CN"/>
        </w:rPr>
        <w:t xml:space="preserve">：____________</w:t>
      </w:r>
      <w:r/>
    </w:p>
    <w:p>
      <w:pPr>
        <w:spacing w:line="360" w:lineRule="auto"/>
        <w:rPr>
          <w:rFonts w:hint="eastAsia" w:ascii="宋体" w:hAnsi="宋体" w:cs="宋体"/>
        </w:rPr>
      </w:pPr>
      <w:r>
        <w:rPr>
          <w:rFonts w:ascii="Calibri" w:hAnsi="Calibri"/>
          <w:color w:val="000000"/>
          <w:sz w:val="24"/>
          <w:szCs w:val="20"/>
        </w:rPr>
        <w:t xml:space="preserve">日期：_____年______月______日</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spacing w:line="360" w:lineRule="exact"/>
        <w:rPr>
          <w:rFonts w:ascii="Calibri" w:hAnsi="Calibri"/>
          <w:b/>
          <w:color w:val="000000"/>
          <w:sz w:val="36"/>
          <w:szCs w:val="36"/>
        </w:rPr>
      </w:pPr>
      <w:r>
        <w:rPr>
          <w:rFonts w:hint="eastAsia" w:ascii="Calibri" w:hAnsi="Calibri"/>
          <w:b/>
          <w:color w:val="000000"/>
          <w:sz w:val="36"/>
          <w:szCs w:val="36"/>
        </w:rPr>
        <w:t xml:space="preserve">投标分项报价表（分包03）</w:t>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项目编号/包号：_________</w:t>
      </w:r>
      <w:r>
        <w:rPr>
          <w:rFonts w:hint="eastAsia" w:ascii="Calibri" w:hAnsi="Calibri"/>
          <w:color w:val="000000"/>
          <w:sz w:val="24"/>
          <w:szCs w:val="24"/>
        </w:rPr>
        <w:t xml:space="preserve"> </w:t>
      </w:r>
      <w:r>
        <w:rPr>
          <w:rFonts w:ascii="Calibri" w:hAnsi="Calibri"/>
          <w:color w:val="000000"/>
          <w:sz w:val="24"/>
          <w:szCs w:val="24"/>
        </w:rPr>
        <w:t xml:space="preserve">项目名称：__________</w:t>
      </w:r>
      <w:r>
        <w:rPr>
          <w:rFonts w:hint="eastAsia" w:ascii="Calibri" w:hAnsi="Calibri"/>
          <w:color w:val="000000"/>
          <w:sz w:val="24"/>
          <w:szCs w:val="24"/>
        </w:rPr>
        <w:t xml:space="preserve">  </w:t>
      </w:r>
      <w:r>
        <w:rPr>
          <w:rFonts w:ascii="Calibri" w:hAnsi="Calibri"/>
          <w:color w:val="000000"/>
          <w:sz w:val="24"/>
          <w:szCs w:val="24"/>
        </w:rPr>
        <w:t xml:space="preserve">报价单位：人民币元</w:t>
      </w:r>
      <w:r/>
    </w:p>
    <w:p>
      <w:pPr>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                                </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w:t>
            </w:r>
            <w:r>
              <w:rPr>
                <w:rFonts w:ascii="宋体" w:hAnsi="宋体" w:cs="宋体"/>
                <w:color w:val="ff0000"/>
                <w:sz w:val="20"/>
                <w:szCs w:val="20"/>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4</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rPr>
              <w:t xml:space="preserve">21</w:t>
            </w:r>
            <w:r>
              <w:rPr>
                <w:rFonts w:ascii="宋体" w:hAnsi="宋体" w:cs="宋体"/>
                <w:color w:val="ff0000"/>
                <w:sz w:val="20"/>
                <w:szCs w:val="20"/>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注：1.本表应按包分别填写。</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2.如果不提供分项报价将视为没有实质性响应磋商文件</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3.</w:t>
      </w:r>
      <w:r>
        <w:rPr>
          <w:rFonts w:hint="eastAsia" w:ascii="Calibri" w:hAnsi="Calibri"/>
          <w:color w:val="000000"/>
          <w:sz w:val="24"/>
          <w:szCs w:val="24"/>
        </w:rPr>
        <w:t xml:space="preserve">本表行数可以按照项目分项情况增加。</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4.</w:t>
      </w:r>
      <w:r>
        <w:rPr>
          <w:rFonts w:ascii="Calibri" w:hAnsi="Calibri"/>
          <w:color w:val="000000"/>
          <w:sz w:val="24"/>
          <w:szCs w:val="24"/>
        </w:rPr>
        <w:t xml:space="preserve">上述各项的</w:t>
      </w:r>
      <w:r>
        <w:rPr>
          <w:rFonts w:hint="eastAsia" w:ascii="Calibri" w:hAnsi="Calibri"/>
          <w:color w:val="000000"/>
          <w:sz w:val="24"/>
          <w:szCs w:val="24"/>
        </w:rPr>
        <w:t xml:space="preserve">服务内容如表格中填写不下的</w:t>
      </w:r>
      <w:r>
        <w:rPr>
          <w:rFonts w:ascii="Calibri" w:hAnsi="Calibri"/>
          <w:color w:val="000000"/>
          <w:sz w:val="24"/>
          <w:szCs w:val="24"/>
        </w:rPr>
        <w:t xml:space="preserve">，可</w:t>
      </w:r>
      <w:r>
        <w:rPr>
          <w:rFonts w:hint="eastAsia" w:ascii="Calibri" w:hAnsi="Calibri"/>
          <w:color w:val="000000"/>
          <w:sz w:val="24"/>
          <w:szCs w:val="24"/>
        </w:rPr>
        <w:t xml:space="preserve">以逐项</w:t>
      </w:r>
      <w:r>
        <w:rPr>
          <w:rFonts w:ascii="Calibri" w:hAnsi="Calibri"/>
          <w:color w:val="000000"/>
          <w:sz w:val="24"/>
          <w:szCs w:val="24"/>
        </w:rPr>
        <w:t xml:space="preserve">另页描述。</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spacing w:before="25" w:after="25" w:line="360" w:lineRule="auto"/>
        <w:rPr>
          <w:rFonts w:ascii="Calibri" w:hAnsi="Calibri"/>
          <w:color w:val="000000"/>
          <w:sz w:val="24"/>
          <w:szCs w:val="24"/>
          <w:lang w:val="zh-CN"/>
        </w:rPr>
      </w:pPr>
      <w:r>
        <w:rPr>
          <w:rFonts w:ascii="Calibri" w:hAnsi="Calibri"/>
          <w:color w:val="000000"/>
          <w:sz w:val="24"/>
          <w:szCs w:val="24"/>
          <w:lang w:val="zh-CN"/>
        </w:rPr>
        <w:t xml:space="preserve">                  </w:t>
      </w:r>
      <w:r/>
    </w:p>
    <w:p>
      <w:pPr>
        <w:spacing w:before="25" w:after="25" w:line="360" w:lineRule="auto"/>
        <w:rPr>
          <w:rFonts w:ascii="Calibri" w:hAnsi="Calibri"/>
          <w:color w:val="000000"/>
          <w:sz w:val="24"/>
          <w:szCs w:val="24"/>
          <w:lang w:val="zh-CN"/>
        </w:rPr>
      </w:pPr>
      <w:r>
        <w:rPr>
          <w:rFonts w:ascii="Calibri" w:hAnsi="Calibri"/>
          <w:color w:val="000000"/>
          <w:sz w:val="24"/>
          <w:szCs w:val="24"/>
        </w:rPr>
        <w:t xml:space="preserve">供应商名称（加盖公章）</w:t>
      </w:r>
      <w:r>
        <w:rPr>
          <w:rFonts w:ascii="Calibri" w:hAnsi="Calibri"/>
          <w:color w:val="000000"/>
          <w:sz w:val="24"/>
          <w:szCs w:val="24"/>
          <w:lang w:val="zh-CN"/>
        </w:rPr>
        <w:t xml:space="preserve">：____________</w:t>
      </w:r>
      <w:r/>
    </w:p>
    <w:p>
      <w:pPr>
        <w:spacing w:line="360" w:lineRule="exact"/>
        <w:rPr>
          <w:rFonts w:ascii="Calibri" w:hAnsi="Calibri"/>
          <w:color w:val="000000"/>
          <w:sz w:val="24"/>
          <w:szCs w:val="20"/>
        </w:rPr>
      </w:pPr>
      <w:r>
        <w:rPr>
          <w:rFonts w:ascii="Calibri" w:hAnsi="Calibri"/>
          <w:color w:val="000000"/>
          <w:sz w:val="24"/>
          <w:szCs w:val="20"/>
        </w:rPr>
        <w:t xml:space="preserve">日期：_____年______月______日</w:t>
      </w:r>
      <w:r/>
    </w:p>
    <w:p>
      <w:pPr>
        <w:jc w:val="center"/>
        <w:spacing w:line="360" w:lineRule="exact"/>
        <w:rPr>
          <w:rFonts w:ascii="Calibri" w:hAnsi="Calibri"/>
          <w:color w:val="000000"/>
          <w:sz w:val="24"/>
          <w:szCs w:val="20"/>
        </w:rPr>
      </w:pPr>
      <w:r>
        <w:rPr>
          <w:rFonts w:ascii="Calibri" w:hAnsi="Calibri"/>
          <w:color w:val="000000"/>
          <w:sz w:val="24"/>
          <w:szCs w:val="20"/>
        </w:rPr>
      </w:r>
      <w:r/>
    </w:p>
    <w:p>
      <w:pPr>
        <w:jc w:val="center"/>
        <w:spacing w:line="360" w:lineRule="exact"/>
        <w:rPr>
          <w:rFonts w:ascii="Calibri" w:hAnsi="Calibri"/>
          <w:color w:val="000000"/>
          <w:sz w:val="24"/>
          <w:szCs w:val="20"/>
        </w:rPr>
      </w:pPr>
      <w:r>
        <w:rPr>
          <w:rFonts w:ascii="Calibri" w:hAnsi="Calibri"/>
          <w:color w:val="000000"/>
          <w:sz w:val="24"/>
          <w:szCs w:val="20"/>
        </w:rPr>
      </w:r>
      <w:r/>
    </w:p>
    <w:p>
      <w:pPr>
        <w:jc w:val="center"/>
        <w:spacing w:line="360" w:lineRule="exact"/>
        <w:rPr>
          <w:rFonts w:ascii="Calibri" w:hAnsi="Calibri"/>
          <w:color w:val="000000"/>
          <w:sz w:val="24"/>
          <w:szCs w:val="20"/>
        </w:rPr>
      </w:pPr>
      <w:r>
        <w:rPr>
          <w:rFonts w:ascii="Calibri" w:hAnsi="Calibri"/>
          <w:color w:val="000000"/>
          <w:sz w:val="24"/>
          <w:szCs w:val="20"/>
        </w:rPr>
      </w:r>
      <w:r/>
    </w:p>
    <w:p>
      <w:pPr>
        <w:jc w:val="center"/>
        <w:spacing w:line="360" w:lineRule="exact"/>
        <w:rPr>
          <w:rFonts w:ascii="Calibri" w:hAnsi="Calibri"/>
          <w:color w:val="000000"/>
          <w:sz w:val="24"/>
          <w:szCs w:val="20"/>
        </w:rPr>
      </w:pPr>
      <w:r>
        <w:rPr>
          <w:rFonts w:ascii="Calibri" w:hAnsi="Calibri"/>
          <w:color w:val="000000"/>
          <w:sz w:val="24"/>
          <w:szCs w:val="20"/>
        </w:rPr>
      </w:r>
      <w:r/>
    </w:p>
    <w:p>
      <w:pPr>
        <w:jc w:val="center"/>
        <w:spacing w:line="360" w:lineRule="exact"/>
        <w:rPr>
          <w:rFonts w:ascii="Calibri" w:hAnsi="Calibri"/>
          <w:color w:val="000000"/>
          <w:sz w:val="24"/>
          <w:szCs w:val="20"/>
        </w:rPr>
      </w:pPr>
      <w:r>
        <w:rPr>
          <w:rFonts w:ascii="Calibri" w:hAnsi="Calibri"/>
          <w:color w:val="000000"/>
          <w:sz w:val="24"/>
          <w:szCs w:val="20"/>
        </w:rPr>
      </w:r>
      <w:r/>
    </w:p>
    <w:p>
      <w:pPr>
        <w:jc w:val="center"/>
        <w:spacing w:line="360" w:lineRule="exact"/>
        <w:rPr>
          <w:rFonts w:ascii="Calibri" w:hAnsi="Calibri"/>
          <w:b/>
          <w:color w:val="000000"/>
          <w:sz w:val="36"/>
          <w:szCs w:val="36"/>
        </w:rPr>
      </w:pPr>
      <w:r>
        <w:rPr>
          <w:rFonts w:hint="eastAsia" w:ascii="Calibri" w:hAnsi="Calibri"/>
          <w:b/>
          <w:color w:val="000000"/>
          <w:sz w:val="36"/>
          <w:szCs w:val="36"/>
        </w:rPr>
        <w:t xml:space="preserve">投标分项报价表（分包04）</w:t>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center"/>
        <w:spacing w:line="260" w:lineRule="exact"/>
        <w:rPr>
          <w:rFonts w:ascii="Calibri" w:hAnsi="Calibri"/>
          <w:color w:val="000000"/>
          <w:sz w:val="36"/>
          <w:szCs w:val="36"/>
        </w:rPr>
      </w:pPr>
      <w:r>
        <w:rPr>
          <w:rFonts w:ascii="Calibri" w:hAnsi="Calibri"/>
          <w:color w:val="000000"/>
          <w:sz w:val="36"/>
          <w:szCs w:val="36"/>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项目编号/包号：_________</w:t>
      </w:r>
      <w:r>
        <w:rPr>
          <w:rFonts w:hint="eastAsia" w:ascii="Calibri" w:hAnsi="Calibri"/>
          <w:color w:val="000000"/>
          <w:sz w:val="24"/>
          <w:szCs w:val="24"/>
        </w:rPr>
        <w:t xml:space="preserve"> </w:t>
      </w:r>
      <w:r>
        <w:rPr>
          <w:rFonts w:ascii="Calibri" w:hAnsi="Calibri"/>
          <w:color w:val="000000"/>
          <w:sz w:val="24"/>
          <w:szCs w:val="24"/>
        </w:rPr>
        <w:t xml:space="preserve">项目名称：__________</w:t>
      </w:r>
      <w:r>
        <w:rPr>
          <w:rFonts w:hint="eastAsia" w:ascii="Calibri" w:hAnsi="Calibri"/>
          <w:color w:val="000000"/>
          <w:sz w:val="24"/>
          <w:szCs w:val="24"/>
        </w:rPr>
        <w:t xml:space="preserve">  </w:t>
      </w:r>
      <w:r>
        <w:rPr>
          <w:rFonts w:ascii="Calibri" w:hAnsi="Calibri"/>
          <w:color w:val="000000"/>
          <w:sz w:val="24"/>
          <w:szCs w:val="24"/>
        </w:rPr>
        <w:t xml:space="preserve">报价单位：人民币元</w:t>
      </w:r>
      <w:r/>
    </w:p>
    <w:p>
      <w:pPr>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                                </w:t>
      </w:r>
      <w:r/>
    </w:p>
    <w:tbl>
      <w:tblPr>
        <w:tblStyle w:val="70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036"/>
        <w:gridCol w:w="708"/>
        <w:gridCol w:w="789"/>
        <w:gridCol w:w="710"/>
        <w:gridCol w:w="734"/>
        <w:gridCol w:w="875"/>
        <w:gridCol w:w="3832"/>
      </w:tblGrid>
      <w:tr>
        <w:trPr>
          <w:trHeight w:val="71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序号</w:t>
            </w:r>
            <w:r/>
          </w:p>
        </w:tc>
        <w:tc>
          <w:tcPr>
            <w:tcMar>
              <w:left w:w="108" w:type="dxa"/>
              <w:top w:w="0" w:type="dxa"/>
              <w:right w:w="108" w:type="dxa"/>
              <w:bottom w:w="0" w:type="dxa"/>
            </w:tcMar>
            <w:tcW w:w="1036"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名称</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服务范围</w:t>
            </w:r>
            <w:r/>
          </w:p>
        </w:tc>
        <w:tc>
          <w:tcPr>
            <w:tcMar>
              <w:left w:w="108" w:type="dxa"/>
              <w:top w:w="0" w:type="dxa"/>
              <w:right w:w="108" w:type="dxa"/>
              <w:bottom w:w="0" w:type="dxa"/>
            </w:tcMar>
            <w:tcW w:w="789"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服务要求</w:t>
            </w:r>
            <w:r/>
          </w:p>
        </w:tc>
        <w:tc>
          <w:tcPr>
            <w:tcMar>
              <w:left w:w="108" w:type="dxa"/>
              <w:top w:w="0" w:type="dxa"/>
              <w:right w:w="108" w:type="dxa"/>
              <w:bottom w:w="0" w:type="dxa"/>
            </w:tcMar>
            <w:tcW w:w="710"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服务时间</w:t>
            </w:r>
            <w:r/>
          </w:p>
        </w:tc>
        <w:tc>
          <w:tcPr>
            <w:tcMar>
              <w:left w:w="108" w:type="dxa"/>
              <w:top w:w="0" w:type="dxa"/>
              <w:right w:w="108" w:type="dxa"/>
              <w:bottom w:w="0" w:type="dxa"/>
            </w:tcMar>
            <w:tcW w:w="734"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服务标准</w:t>
            </w:r>
            <w:r/>
          </w:p>
        </w:tc>
        <w:tc>
          <w:tcPr>
            <w:tcMar>
              <w:left w:w="108" w:type="dxa"/>
              <w:top w:w="0" w:type="dxa"/>
              <w:right w:w="108" w:type="dxa"/>
              <w:bottom w:w="0" w:type="dxa"/>
            </w:tcMar>
            <w:tcW w:w="87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服务人数</w:t>
            </w:r>
            <w:r/>
          </w:p>
        </w:tc>
        <w:tc>
          <w:tcPr>
            <w:tcMar>
              <w:left w:w="108" w:type="dxa"/>
              <w:top w:w="0" w:type="dxa"/>
              <w:right w:w="108" w:type="dxa"/>
              <w:bottom w:w="0" w:type="dxa"/>
            </w:tcMar>
            <w:tcW w:w="3832"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备注（如果有）</w:t>
            </w:r>
            <w:r/>
          </w:p>
        </w:tc>
      </w:tr>
      <w:tr>
        <w:trPr>
          <w:cantSplit/>
          <w:trHeight w:val="586"/>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项目经理</w:t>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rP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89"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10"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w:t>
            </w:r>
            <w:r/>
          </w:p>
        </w:tc>
        <w:tc>
          <w:tcPr>
            <w:tcMar>
              <w:left w:w="108" w:type="dxa"/>
              <w:top w:w="0" w:type="dxa"/>
              <w:right w:w="108" w:type="dxa"/>
              <w:bottom w:w="0" w:type="dxa"/>
            </w:tcMar>
            <w:tcW w:w="734" w:type="dxa"/>
            <w:vAlign w:val="center"/>
            <w:vMerge w:val="restart"/>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详见</w:t>
            </w:r>
            <w:r>
              <w:rPr>
                <w:rFonts w:hint="eastAsia" w:ascii="宋体" w:hAnsi="宋体" w:cs="宋体"/>
                <w:color w:val="000000"/>
                <w:sz w:val="22"/>
              </w:rPr>
              <w:t xml:space="preserve">招标</w:t>
            </w:r>
            <w:r>
              <w:rPr>
                <w:rFonts w:ascii="宋体" w:hAnsi="宋体" w:cs="宋体"/>
                <w:color w:val="000000"/>
                <w:sz w:val="22"/>
              </w:rPr>
              <w:t xml:space="preserve">文件 </w:t>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w:t>
            </w:r>
            <w:r>
              <w:rPr>
                <w:rFonts w:ascii="宋体" w:hAnsi="宋体" w:cs="宋体"/>
                <w:color w:val="ff0000"/>
                <w:sz w:val="20"/>
                <w:szCs w:val="20"/>
                <w:highlight w:val="yellow"/>
              </w:rPr>
              <w:t xml:space="preserve">人</w:t>
            </w:r>
            <w:r/>
          </w:p>
        </w:tc>
        <w:tc>
          <w:tcPr>
            <w:tcMar>
              <w:left w:w="108" w:type="dxa"/>
              <w:top w:w="0" w:type="dxa"/>
              <w:right w:w="108" w:type="dxa"/>
              <w:bottom w:w="0" w:type="dxa"/>
            </w:tcMar>
            <w:tcW w:w="3832" w:type="dxa"/>
            <w:vAlign w:val="center"/>
            <w:vMerge w:val="restart"/>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rPr>
              <w:t xml:space="preserve">（包括垃圾袋、保洁用品、绿化耗材、垃圾清运等）</w:t>
            </w:r>
            <w:r>
              <w:rPr>
                <w:rFonts w:ascii="宋体" w:hAnsi="宋体" w:cs="宋体"/>
                <w:color w:val="000000"/>
                <w:sz w:val="24"/>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rPr>
              <w:t xml:space="preserve">中标</w:t>
            </w:r>
            <w:r>
              <w:rPr>
                <w:rFonts w:ascii="宋体" w:hAnsi="宋体" w:cs="宋体"/>
                <w:color w:val="000000"/>
                <w:sz w:val="24"/>
              </w:rPr>
              <w:t xml:space="preserve">供应商承担。</w:t>
            </w:r>
            <w:r>
              <w:rPr>
                <w:rFonts w:hint="eastAsia" w:ascii="宋体" w:hAnsi="宋体" w:cs="宋体"/>
                <w:color w:val="000000"/>
                <w:sz w:val="24"/>
              </w:rPr>
              <w:t xml:space="preserve">采购单位不再支付合同价格以外的任何费用。</w:t>
            </w:r>
            <w:r/>
          </w:p>
        </w:tc>
      </w:tr>
      <w:tr>
        <w:trPr>
          <w:cantSplit/>
          <w:trHeight w:val="542"/>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客服兼内勤及档案信息管理</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jc w:val="left"/>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1036" w:type="dxa"/>
            <w:vAlign w:val="center"/>
            <w:textDirection w:val="lrTb"/>
            <w:noWrap w:val="false"/>
          </w:tcPr>
          <w:p>
            <w:pPr>
              <w:jc w:val="center"/>
              <w:widowControl/>
            </w:pPr>
            <w:r>
              <w:rPr>
                <w:rFonts w:hint="eastAsia" w:ascii="宋体" w:hAnsi="宋体" w:cs="宋体"/>
                <w:color w:val="000000"/>
                <w:sz w:val="20"/>
                <w:szCs w:val="20"/>
              </w:rPr>
              <w:t xml:space="preserve">水电工、维修人员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1036" w:type="dxa"/>
            <w:vAlign w:val="center"/>
            <w:textDirection w:val="lrTb"/>
            <w:noWrap w:val="false"/>
          </w:tcPr>
          <w:p>
            <w:pPr>
              <w:jc w:val="center"/>
              <w:widowControl/>
              <w:rPr>
                <w:color w:val="000000"/>
              </w:rPr>
            </w:pPr>
            <w:r>
              <w:rPr>
                <w:rFonts w:hint="eastAsia" w:ascii="宋体" w:hAnsi="宋体" w:cs="宋体"/>
                <w:sz w:val="20"/>
                <w:szCs w:val="20"/>
              </w:rPr>
              <w:t xml:space="preserve">保安人员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12人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车辆管理人员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1</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5"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w:t>
            </w:r>
            <w:r/>
          </w:p>
        </w:tc>
        <w:tc>
          <w:tcPr>
            <w:tcMar>
              <w:left w:w="108" w:type="dxa"/>
              <w:top w:w="0" w:type="dxa"/>
              <w:right w:w="108" w:type="dxa"/>
              <w:bottom w:w="0" w:type="dxa"/>
            </w:tcMar>
            <w:tcW w:w="10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rPr>
              <w:t xml:space="preserve">保洁人员</w:t>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89"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0" w:type="dxa"/>
            <w:vMerge w:val="continue"/>
            <w:textDirection w:val="lrTb"/>
            <w:noWrap w:val="false"/>
          </w:tcPr>
          <w:p>
            <w:pPr>
              <w:spacing w:line="360" w:lineRule="exact"/>
            </w:pPr>
            <w:r/>
            <w:r/>
          </w:p>
        </w:tc>
        <w:tc>
          <w:tcPr>
            <w:tcMar>
              <w:left w:w="108" w:type="dxa"/>
              <w:top w:w="0" w:type="dxa"/>
              <w:right w:w="108" w:type="dxa"/>
              <w:bottom w:w="0" w:type="dxa"/>
            </w:tcMar>
            <w:tcW w:w="734"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color w:val="ff0000"/>
                <w:sz w:val="20"/>
                <w:szCs w:val="20"/>
                <w:highlight w:val="yellow"/>
              </w:rPr>
              <w:t xml:space="preserve">23</w:t>
            </w:r>
            <w:r>
              <w:rPr>
                <w:rFonts w:ascii="宋体" w:hAnsi="宋体" w:cs="宋体"/>
                <w:color w:val="ff0000"/>
                <w:sz w:val="20"/>
                <w:szCs w:val="20"/>
                <w:highlight w:val="yellow"/>
              </w:rPr>
              <w:t xml:space="preserve">人</w:t>
            </w:r>
            <w:r/>
          </w:p>
        </w:tc>
        <w:tc>
          <w:tcPr>
            <w:tcW w:w="3832" w:type="dxa"/>
            <w:vMerge w:val="continue"/>
            <w:textDirection w:val="lrTb"/>
            <w:noWrap w:val="false"/>
          </w:tcPr>
          <w:p>
            <w:pPr>
              <w:spacing w:line="360" w:lineRule="exact"/>
            </w:pPr>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每月投标</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单价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Mar>
              <w:left w:w="108" w:type="dxa"/>
              <w:top w:w="0" w:type="dxa"/>
              <w:right w:w="108" w:type="dxa"/>
              <w:bottom w:w="0" w:type="dxa"/>
            </w:tcMar>
            <w:tcW w:w="1521" w:type="dxa"/>
            <w:vAlign w:val="center"/>
            <w:vMerge w:val="restart"/>
            <w:textDirection w:val="lrTb"/>
            <w:noWrap w:val="false"/>
          </w:tcPr>
          <w:p>
            <w:pPr>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2年</w:t>
            </w:r>
            <w:r>
              <w:rPr>
                <w:rFonts w:ascii="宋体" w:hAnsi="宋体" w:cs="宋体"/>
                <w:b/>
                <w:color w:val="000000"/>
                <w:sz w:val="22"/>
              </w:rPr>
              <w:t xml:space="preserve">投标</w:t>
            </w:r>
            <w:r>
              <w:rPr>
                <w:rFonts w:hint="eastAsia" w:ascii="宋体" w:hAnsi="宋体" w:cs="宋体"/>
                <w:b/>
                <w:color w:val="000000"/>
                <w:sz w:val="22"/>
              </w:rPr>
              <w:t xml:space="preserve">总</w:t>
            </w:r>
            <w:r>
              <w:rPr>
                <w:rFonts w:ascii="宋体" w:hAnsi="宋体" w:cs="宋体"/>
                <w:b/>
                <w:color w:val="000000"/>
                <w:sz w:val="22"/>
              </w:rPr>
              <w:t xml:space="preserve">价</w:t>
            </w:r>
            <w:r/>
          </w:p>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（元）</w:t>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金额大写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cantSplit/>
          <w:trHeight w:val="463"/>
        </w:trPr>
        <w:tc>
          <w:tcPr>
            <w:gridSpan w:val="2"/>
            <w:tcW w:w="1521"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金额小写</w:t>
            </w:r>
            <w:r/>
          </w:p>
        </w:tc>
        <w:tc>
          <w:tcPr>
            <w:gridSpan w:val="5"/>
            <w:tcMar>
              <w:left w:w="108" w:type="dxa"/>
              <w:top w:w="0" w:type="dxa"/>
              <w:right w:w="108" w:type="dxa"/>
              <w:bottom w:w="0" w:type="dxa"/>
            </w:tcMar>
            <w:tcW w:w="6940" w:type="dxa"/>
            <w:vAlign w:val="center"/>
            <w:textDirection w:val="lrTb"/>
            <w:noWrap w:val="false"/>
          </w:tcPr>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注：1.本表应按包分别填写。</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2.如果不提供分项报价将视为没有实质性响应磋商文件</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3.</w:t>
      </w:r>
      <w:r>
        <w:rPr>
          <w:rFonts w:hint="eastAsia" w:ascii="Calibri" w:hAnsi="Calibri"/>
          <w:color w:val="000000"/>
          <w:sz w:val="24"/>
          <w:szCs w:val="24"/>
        </w:rPr>
        <w:t xml:space="preserve">本表行数可以按照项目分项情况增加。</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4.</w:t>
      </w:r>
      <w:r>
        <w:rPr>
          <w:rFonts w:ascii="Calibri" w:hAnsi="Calibri"/>
          <w:color w:val="000000"/>
          <w:sz w:val="24"/>
          <w:szCs w:val="24"/>
        </w:rPr>
        <w:t xml:space="preserve">上述各项的</w:t>
      </w:r>
      <w:r>
        <w:rPr>
          <w:rFonts w:hint="eastAsia" w:ascii="Calibri" w:hAnsi="Calibri"/>
          <w:color w:val="000000"/>
          <w:sz w:val="24"/>
          <w:szCs w:val="24"/>
        </w:rPr>
        <w:t xml:space="preserve">服务内容如表格中填写不下的</w:t>
      </w:r>
      <w:r>
        <w:rPr>
          <w:rFonts w:ascii="Calibri" w:hAnsi="Calibri"/>
          <w:color w:val="000000"/>
          <w:sz w:val="24"/>
          <w:szCs w:val="24"/>
        </w:rPr>
        <w:t xml:space="preserve">，可</w:t>
      </w:r>
      <w:r>
        <w:rPr>
          <w:rFonts w:hint="eastAsia" w:ascii="Calibri" w:hAnsi="Calibri"/>
          <w:color w:val="000000"/>
          <w:sz w:val="24"/>
          <w:szCs w:val="24"/>
        </w:rPr>
        <w:t xml:space="preserve">以逐项</w:t>
      </w:r>
      <w:r>
        <w:rPr>
          <w:rFonts w:ascii="Calibri" w:hAnsi="Calibri"/>
          <w:color w:val="000000"/>
          <w:sz w:val="24"/>
          <w:szCs w:val="24"/>
        </w:rPr>
        <w:t xml:space="preserve">另页描述。</w:t>
      </w:r>
      <w:r/>
    </w:p>
    <w:p>
      <w:pPr>
        <w:ind w:firstLine="480"/>
        <w:jc w:val="lef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p>
    <w:p>
      <w:pPr>
        <w:ind w:firstLine="480"/>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spacing w:before="25" w:after="25" w:line="360" w:lineRule="auto"/>
        <w:rPr>
          <w:rFonts w:ascii="Calibri" w:hAnsi="Calibri"/>
          <w:color w:val="000000"/>
          <w:sz w:val="24"/>
          <w:szCs w:val="24"/>
          <w:lang w:val="zh-CN"/>
        </w:rPr>
      </w:pPr>
      <w:r>
        <w:rPr>
          <w:rFonts w:ascii="Calibri" w:hAnsi="Calibri"/>
          <w:color w:val="000000"/>
          <w:sz w:val="24"/>
          <w:szCs w:val="24"/>
          <w:lang w:val="zh-CN"/>
        </w:rPr>
        <w:t xml:space="preserve">                  </w:t>
      </w:r>
      <w:r/>
    </w:p>
    <w:p>
      <w:pPr>
        <w:spacing w:before="25" w:after="25" w:line="360" w:lineRule="auto"/>
        <w:rPr>
          <w:rFonts w:ascii="Calibri" w:hAnsi="Calibri"/>
          <w:color w:val="000000"/>
          <w:sz w:val="24"/>
          <w:szCs w:val="24"/>
          <w:lang w:val="zh-CN"/>
        </w:rPr>
      </w:pPr>
      <w:r>
        <w:rPr>
          <w:rFonts w:ascii="Calibri" w:hAnsi="Calibri"/>
          <w:color w:val="000000"/>
          <w:sz w:val="24"/>
          <w:szCs w:val="24"/>
        </w:rPr>
        <w:t xml:space="preserve">供应商名称（加盖公章）</w:t>
      </w:r>
      <w:r>
        <w:rPr>
          <w:rFonts w:ascii="Calibri" w:hAnsi="Calibri"/>
          <w:color w:val="000000"/>
          <w:sz w:val="24"/>
          <w:szCs w:val="24"/>
          <w:lang w:val="zh-CN"/>
        </w:rPr>
        <w:t xml:space="preserve">：____________</w:t>
      </w:r>
      <w:r/>
    </w:p>
    <w:p>
      <w:pPr>
        <w:spacing w:after="0"/>
        <w:pBdr>
          <w:top w:val="none" w:color="000000" w:sz="0" w:space="0"/>
          <w:left w:val="none" w:color="000000" w:sz="0" w:space="0"/>
          <w:bottom w:val="none" w:color="000000" w:sz="0" w:space="0"/>
          <w:right w:val="none" w:color="000000" w:sz="0" w:space="0"/>
        </w:pBdr>
      </w:pPr>
      <w:r>
        <w:rPr>
          <w:rFonts w:ascii="Calibri" w:hAnsi="Calibri"/>
          <w:color w:val="000000"/>
          <w:sz w:val="24"/>
          <w:szCs w:val="20"/>
        </w:rPr>
        <w:t xml:space="preserve">日期：_____年______月______日</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2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72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25"/>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25"/>
        <w:tblW w:w="87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946"/>
        <w:gridCol w:w="492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rPr>
                <w:rFonts w:ascii="宋体" w:hAnsi="宋体" w:cs="宋体"/>
                <w:b/>
                <w:color w:val="ff0000"/>
              </w:rPr>
              <w:t xml:space="preserve">（如是属于非专门面向中小企业预留份额的项目，无需提供）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ind w:firstLine="640"/>
              <w:spacing w:after="0"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由评委审查，报价合理的予以通过。根据财库〔</w:t>
            </w:r>
            <w:r>
              <w:rPr>
                <w:rFonts w:ascii="Calibri" w:hAnsi="Calibri" w:eastAsia="Calibri" w:cs="Calibri"/>
                <w:color w:val="000000"/>
              </w:rPr>
              <w:t xml:space="preserve">2026</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号文件规定，政府采购评审中出现下列情形之一的，评审委员会应当启动异常低价投标（响应）审查程序：</w:t>
            </w:r>
            <w:r>
              <w:rPr>
                <w:rFonts w:ascii="Calibri" w:hAnsi="Calibri" w:eastAsia="Calibri" w:cs="Calibri"/>
                <w:color w:val="000000"/>
              </w:rPr>
              <w:t xml:space="preserve">1</w:t>
            </w:r>
            <w:r>
              <w:rPr>
                <w:rFonts w:ascii="宋体" w:hAnsi="宋体" w:cs="宋体"/>
                <w:color w:val="000000"/>
              </w:rPr>
              <w:t xml:space="preserve">）投标（响应）报价低于全部通过符合性审查供应商投标（响应）报价平均值</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全部通过符合性审查供应商投标（响应）报价平均值×</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）投标（响应）报价低于通过符合性审查的次低报价供应商投标（响应）报价</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通过符合性审查的次低报价供应商投标（响应）报价×</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3</w:t>
            </w:r>
            <w:r>
              <w:rPr>
                <w:rFonts w:ascii="宋体" w:hAnsi="宋体" w:cs="宋体"/>
                <w:color w:val="000000"/>
              </w:rPr>
              <w:t xml:space="preserve">）投标（响应）报价低于采购项目最高限价</w:t>
            </w:r>
            <w:r>
              <w:rPr>
                <w:rFonts w:ascii="Calibri" w:hAnsi="Calibri" w:eastAsia="Calibri" w:cs="Calibri"/>
                <w:color w:val="000000"/>
              </w:rPr>
              <w:t xml:space="preserve">45%</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采购项目最高限价×</w:t>
            </w:r>
            <w:r>
              <w:rPr>
                <w:rFonts w:ascii="Calibri" w:hAnsi="Calibri" w:eastAsia="Calibri" w:cs="Calibri"/>
                <w:color w:val="000000"/>
              </w:rPr>
              <w:t xml:space="preserve">45%</w:t>
            </w:r>
            <w:r>
              <w:rPr>
                <w:rFonts w:ascii="宋体" w:hAnsi="宋体" w:cs="宋体"/>
                <w:color w:val="000000"/>
              </w:rPr>
              <w:t xml:space="preserve">；</w:t>
            </w:r>
            <w:r>
              <w:rPr>
                <w:rFonts w:ascii="Calibri" w:hAnsi="Calibri" w:eastAsia="Calibri" w:cs="Calibri"/>
                <w:color w:val="000000"/>
              </w:rPr>
              <w:t xml:space="preserve">4</w:t>
            </w:r>
            <w:r>
              <w:rPr>
                <w:rFonts w:ascii="宋体" w:hAnsi="宋体" w:cs="宋体"/>
                <w:color w:val="000000"/>
              </w:rPr>
              <w:t xml:space="preserve">）评审委员会基于专业判断，认为供应商报价过低，有可能影响产品质量或者不能诚信履约的其他情形。相关法律法规对供应商报价有规定的，从其规定。</w:t>
            </w:r>
            <w:r/>
          </w:p>
          <w:p>
            <w:pPr>
              <w:ind w:firstLine="420"/>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评审委员会启动异常低价投标（响应）审查后，属于前述第</w:t>
            </w:r>
            <w:r>
              <w:rPr>
                <w:rFonts w:ascii="Calibri" w:hAnsi="Calibri" w:eastAsia="Calibri" w:cs="Calibri"/>
                <w:color w:val="000000"/>
              </w:rPr>
              <w:t xml:space="preserve">1</w:t>
            </w:r>
            <w:r>
              <w:rPr>
                <w:rFonts w:ascii="宋体" w:hAnsi="宋体" w:cs="宋体"/>
                <w:color w:val="000000"/>
              </w:rPr>
              <w:t xml:space="preserve">项至第</w:t>
            </w:r>
            <w:r>
              <w:rPr>
                <w:rFonts w:ascii="Calibri" w:hAnsi="Calibri" w:eastAsia="Calibri" w:cs="Calibri"/>
                <w:color w:val="000000"/>
              </w:rPr>
              <w:t xml:space="preserve">4</w:t>
            </w:r>
            <w:r>
              <w:rPr>
                <w:rFonts w:ascii="宋体" w:hAnsi="宋体" w:cs="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rPr>
              <w:t xml:space="preserve">30</w:t>
            </w:r>
            <w:r>
              <w:rPr>
                <w:rFonts w:ascii="宋体" w:hAnsi="宋体" w:cs="宋体"/>
                <w:color w:val="000000"/>
              </w:rPr>
              <w:t xml:space="preserve">分钟。其中，属于第</w:t>
            </w:r>
            <w:r>
              <w:rPr>
                <w:rFonts w:ascii="Calibri" w:hAnsi="Calibri" w:eastAsia="Calibri" w:cs="Calibri"/>
                <w:color w:val="000000"/>
              </w:rPr>
              <w:t xml:space="preserve">3</w:t>
            </w:r>
            <w:r>
              <w:rPr>
                <w:rFonts w:ascii="宋体" w:hAnsi="宋体" w:cs="宋体"/>
                <w:color w:val="000000"/>
              </w:rPr>
              <w:t xml:space="preserve">项情形，供应商已随投标（响应）文件一并提交相关书面说明及必要的证明材料的，在评审现场可不再重复提交。评审委员会依据专业经验，参考同类项目中标（成交）价格、类</w:t>
            </w:r>
            <w:r>
              <w:rPr>
                <w:rFonts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Century">
    <w:panose1 w:val="020406040505050203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6"/>
        <w:rFonts w:hint="eastAsia"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１０</w:t>
    </w:r>
    <w:r>
      <w:rPr>
        <w:rFonts w:ascii="宋体" w:hAnsi="宋体"/>
      </w:rPr>
      <w:fldChar w:fldCharType="end"/>
    </w:r>
    <w:r/>
  </w:p>
  <w:p>
    <w:pPr>
      <w:pStyle w:val="9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1"/>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4"/>
      <w:isLgl w:val="false"/>
      <w:suff w:val="nothing"/>
      <w:lvlText w:val=""/>
      <w:lvlJc w:val="left"/>
      <w:pPr>
        <w:ind w:left="0" w:firstLine="0"/>
      </w:pPr>
      <w:rPr>
        <w:rFonts w:hint="eastAsia"/>
      </w:rPr>
    </w:lvl>
  </w:abstractNum>
  <w:abstractNum w:abstractNumId="4">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691">
    <w:name w:val="Heading 1"/>
    <w:basedOn w:val="690"/>
    <w:next w:val="690"/>
    <w:link w:val="76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8"/>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6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7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7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75"/>
    <w:uiPriority w:val="9"/>
    <w:unhideWhenUsed/>
    <w:qFormat/>
    <w:pPr>
      <w:keepLines/>
      <w:keepNext/>
      <w:spacing w:before="320" w:after="200"/>
      <w:outlineLvl w:val="8"/>
    </w:pPr>
    <w:rPr>
      <w:rFonts w:ascii="Arial" w:hAnsi="Arial" w:eastAsia="Arial" w:cs="Arial"/>
      <w:i/>
      <w:iCs/>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next w:val="690"/>
    <w:uiPriority w:val="99"/>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link w:val="1026"/>
    <w:uiPriority w:val="99"/>
    <w:semiHidden/>
    <w:unhideWhenUsed/>
    <w:qFormat/>
    <w:pPr>
      <w:jc w:val="left"/>
    </w:pPr>
  </w:style>
  <w:style w:type="paragraph" w:styleId="706">
    <w:name w:val="Body Text"/>
    <w:basedOn w:val="690"/>
    <w:next w:val="690"/>
    <w:uiPriority w:val="0"/>
    <w:qFormat/>
    <w:pPr>
      <w:spacing w:after="120"/>
    </w:pPr>
    <w:rPr>
      <w:szCs w:val="24"/>
    </w:rPr>
  </w:style>
  <w:style w:type="paragraph" w:styleId="707">
    <w:name w:val="Body Text Indent"/>
    <w:basedOn w:val="690"/>
    <w:next w:val="690"/>
    <w:uiPriority w:val="0"/>
    <w:qFormat/>
    <w:pPr>
      <w:ind w:firstLine="196"/>
      <w:spacing w:line="440" w:lineRule="exact"/>
    </w:pPr>
    <w:rPr>
      <w:rFonts w:ascii="宋体" w:cs="Century"/>
      <w:spacing w:val="2"/>
      <w:szCs w:val="24"/>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toc 8"/>
    <w:basedOn w:val="690"/>
    <w:next w:val="690"/>
    <w:uiPriority w:val="39"/>
    <w:unhideWhenUsed/>
    <w:qFormat/>
    <w:pPr>
      <w:ind w:left="1984"/>
      <w:spacing w:after="57"/>
    </w:pPr>
  </w:style>
  <w:style w:type="paragraph" w:styleId="711">
    <w:name w:val="endnote text"/>
    <w:basedOn w:val="690"/>
    <w:link w:val="913"/>
    <w:uiPriority w:val="99"/>
    <w:semiHidden/>
    <w:unhideWhenUsed/>
    <w:qFormat/>
    <w:pPr>
      <w:spacing w:after="0" w:line="240" w:lineRule="auto"/>
    </w:pPr>
    <w:rPr>
      <w:sz w:val="20"/>
    </w:rPr>
  </w:style>
  <w:style w:type="paragraph" w:styleId="712">
    <w:name w:val="Footer"/>
    <w:basedOn w:val="690"/>
    <w:link w:val="786"/>
    <w:uiPriority w:val="99"/>
    <w:unhideWhenUsed/>
    <w:qFormat/>
    <w:pPr>
      <w:spacing w:after="0" w:line="240" w:lineRule="auto"/>
      <w:tabs>
        <w:tab w:val="center" w:pos="7143" w:leader="none"/>
        <w:tab w:val="right" w:pos="14287" w:leader="none"/>
      </w:tabs>
    </w:pPr>
  </w:style>
  <w:style w:type="paragraph" w:styleId="713">
    <w:name w:val="Header"/>
    <w:basedOn w:val="690"/>
    <w:link w:val="784"/>
    <w:uiPriority w:val="99"/>
    <w:unhideWhenUsed/>
    <w:qFormat/>
    <w:pPr>
      <w:spacing w:after="0" w:line="240" w:lineRule="auto"/>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link w:val="779"/>
    <w:uiPriority w:val="11"/>
    <w:qFormat/>
    <w:pPr>
      <w:spacing w:before="200" w:after="200"/>
    </w:pPr>
    <w:rPr>
      <w:sz w:val="24"/>
      <w:szCs w:val="24"/>
    </w:rPr>
  </w:style>
  <w:style w:type="paragraph" w:styleId="717">
    <w:name w:val="footnote text"/>
    <w:basedOn w:val="690"/>
    <w:link w:val="912"/>
    <w:uiPriority w:val="99"/>
    <w:semiHidden/>
    <w:unhideWhenUsed/>
    <w:qFormat/>
    <w:pPr>
      <w:spacing w:after="40" w:line="240" w:lineRule="auto"/>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pPr>
      <w:spacing w:after="0"/>
    </w:pPr>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link w:val="778"/>
    <w:uiPriority w:val="10"/>
    <w:qFormat/>
    <w:pPr>
      <w:contextualSpacing/>
      <w:spacing w:before="300" w:after="200"/>
    </w:pPr>
    <w:rPr>
      <w:sz w:val="48"/>
      <w:szCs w:val="48"/>
    </w:rPr>
  </w:style>
  <w:style w:type="paragraph" w:styleId="723">
    <w:name w:val="annotation subject"/>
    <w:basedOn w:val="705"/>
    <w:next w:val="705"/>
    <w:link w:val="1027"/>
    <w:uiPriority w:val="99"/>
    <w:semiHidden/>
    <w:unhideWhenUsed/>
    <w:qFormat/>
    <w:rPr>
      <w:b/>
      <w:bCs/>
    </w:rPr>
  </w:style>
  <w:style w:type="paragraph" w:styleId="724">
    <w:name w:val="Body Text First Indent 2"/>
    <w:basedOn w:val="707"/>
    <w:next w:val="690"/>
    <w:uiPriority w:val="99"/>
    <w:unhideWhenUsed/>
    <w:qFormat/>
    <w:pPr>
      <w:ind w:firstLine="420"/>
    </w:pPr>
    <w:rPr>
      <w:rFonts w:ascii="Calibri" w:hAnsi="Calibri" w:cs="Times New Roman"/>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uiPriority w:val="0"/>
    <w:qFormat/>
    <w:rPr>
      <w:sz w:val="21"/>
      <w:szCs w:val="21"/>
    </w:rPr>
  </w:style>
  <w:style w:type="character" w:styleId="729">
    <w:name w:val="footnote reference"/>
    <w:uiPriority w:val="99"/>
    <w:unhideWhenUsed/>
    <w:qFormat/>
    <w:rPr>
      <w:vertAlign w:val="superscript"/>
    </w:rPr>
  </w:style>
  <w:style w:type="character" w:styleId="730" w:customStyle="1">
    <w:name w:val="Heading 1 Char"/>
    <w:basedOn w:val="700"/>
    <w:uiPriority w:val="9"/>
    <w:rPr>
      <w:rFonts w:ascii="Arial" w:hAnsi="Arial" w:eastAsia="Arial" w:cs="Arial"/>
      <w:sz w:val="40"/>
      <w:szCs w:val="40"/>
    </w:rPr>
  </w:style>
  <w:style w:type="character" w:styleId="731" w:customStyle="1">
    <w:name w:val="Heading 2 Char"/>
    <w:basedOn w:val="700"/>
    <w:uiPriority w:val="9"/>
    <w:rPr>
      <w:rFonts w:ascii="Arial" w:hAnsi="Arial" w:eastAsia="Arial" w:cs="Arial"/>
      <w:sz w:val="34"/>
    </w:rPr>
  </w:style>
  <w:style w:type="character" w:styleId="732" w:customStyle="1">
    <w:name w:val="Heading 3 Char"/>
    <w:basedOn w:val="700"/>
    <w:uiPriority w:val="9"/>
    <w:rPr>
      <w:rFonts w:ascii="Arial" w:hAnsi="Arial" w:eastAsia="Arial" w:cs="Arial"/>
      <w:sz w:val="30"/>
      <w:szCs w:val="30"/>
    </w:rPr>
  </w:style>
  <w:style w:type="character" w:styleId="733" w:customStyle="1">
    <w:name w:val="Heading 4 Char"/>
    <w:basedOn w:val="700"/>
    <w:uiPriority w:val="9"/>
    <w:qFormat/>
    <w:rPr>
      <w:rFonts w:ascii="Arial" w:hAnsi="Arial" w:eastAsia="Arial" w:cs="Arial"/>
      <w:b/>
      <w:bCs/>
      <w:sz w:val="26"/>
      <w:szCs w:val="26"/>
    </w:rPr>
  </w:style>
  <w:style w:type="character" w:styleId="734" w:customStyle="1">
    <w:name w:val="Heading 5 Char"/>
    <w:basedOn w:val="700"/>
    <w:uiPriority w:val="9"/>
    <w:qFormat/>
    <w:rPr>
      <w:rFonts w:ascii="Arial" w:hAnsi="Arial" w:eastAsia="Arial" w:cs="Arial"/>
      <w:b/>
      <w:bCs/>
      <w:sz w:val="24"/>
      <w:szCs w:val="24"/>
    </w:rPr>
  </w:style>
  <w:style w:type="character" w:styleId="735" w:customStyle="1">
    <w:name w:val="Heading 6 Char"/>
    <w:basedOn w:val="700"/>
    <w:uiPriority w:val="9"/>
    <w:qFormat/>
    <w:rPr>
      <w:rFonts w:ascii="Arial" w:hAnsi="Arial" w:eastAsia="Arial" w:cs="Arial"/>
      <w:b/>
      <w:bCs/>
      <w:sz w:val="22"/>
      <w:szCs w:val="22"/>
    </w:rPr>
  </w:style>
  <w:style w:type="character" w:styleId="736" w:customStyle="1">
    <w:name w:val="Heading 7 Char"/>
    <w:basedOn w:val="700"/>
    <w:uiPriority w:val="9"/>
    <w:qFormat/>
    <w:rPr>
      <w:rFonts w:ascii="Arial" w:hAnsi="Arial" w:eastAsia="Arial" w:cs="Arial"/>
      <w:b/>
      <w:bCs/>
      <w:i/>
      <w:iCs/>
      <w:sz w:val="22"/>
      <w:szCs w:val="22"/>
    </w:rPr>
  </w:style>
  <w:style w:type="character" w:styleId="737" w:customStyle="1">
    <w:name w:val="Heading 8 Char"/>
    <w:basedOn w:val="700"/>
    <w:uiPriority w:val="9"/>
    <w:qFormat/>
    <w:rPr>
      <w:rFonts w:ascii="Arial" w:hAnsi="Arial" w:eastAsia="Arial" w:cs="Arial"/>
      <w:i/>
      <w:iCs/>
      <w:sz w:val="22"/>
      <w:szCs w:val="22"/>
    </w:rPr>
  </w:style>
  <w:style w:type="character" w:styleId="738" w:customStyle="1">
    <w:name w:val="Heading 9 Char"/>
    <w:basedOn w:val="700"/>
    <w:uiPriority w:val="9"/>
    <w:rPr>
      <w:rFonts w:ascii="Arial" w:hAnsi="Arial" w:eastAsia="Arial" w:cs="Arial"/>
      <w:i/>
      <w:iCs/>
      <w:sz w:val="21"/>
      <w:szCs w:val="21"/>
    </w:rPr>
  </w:style>
  <w:style w:type="character" w:styleId="739" w:customStyle="1">
    <w:name w:val="Title Char"/>
    <w:basedOn w:val="700"/>
    <w:uiPriority w:val="10"/>
    <w:qFormat/>
    <w:rPr>
      <w:sz w:val="48"/>
      <w:szCs w:val="48"/>
    </w:rPr>
  </w:style>
  <w:style w:type="character" w:styleId="740" w:customStyle="1">
    <w:name w:val="Subtitle Char"/>
    <w:basedOn w:val="700"/>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Header Char"/>
    <w:basedOn w:val="700"/>
    <w:uiPriority w:val="99"/>
    <w:qFormat/>
  </w:style>
  <w:style w:type="character" w:styleId="744" w:customStyle="1">
    <w:name w:val="Caption Char"/>
    <w:uiPriority w:val="99"/>
  </w:style>
  <w:style w:type="table" w:styleId="745"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0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0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0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0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character" w:styleId="767" w:customStyle="1">
    <w:name w:val="标题 1 字符"/>
    <w:link w:val="691"/>
    <w:uiPriority w:val="9"/>
    <w:qFormat/>
    <w:rPr>
      <w:rFonts w:ascii="Arial" w:hAnsi="Arial" w:eastAsia="Arial" w:cs="Arial"/>
      <w:sz w:val="40"/>
      <w:szCs w:val="40"/>
    </w:rPr>
  </w:style>
  <w:style w:type="character" w:styleId="768" w:customStyle="1">
    <w:name w:val="标题 2 字符"/>
    <w:link w:val="692"/>
    <w:uiPriority w:val="9"/>
    <w:qFormat/>
    <w:rPr>
      <w:rFonts w:ascii="Arial" w:hAnsi="Arial" w:eastAsia="Arial" w:cs="Arial"/>
      <w:sz w:val="34"/>
    </w:rPr>
  </w:style>
  <w:style w:type="character" w:styleId="769" w:customStyle="1">
    <w:name w:val="标题 3 字符"/>
    <w:link w:val="693"/>
    <w:uiPriority w:val="9"/>
    <w:qFormat/>
    <w:rPr>
      <w:rFonts w:ascii="Arial" w:hAnsi="Arial" w:eastAsia="Arial" w:cs="Arial"/>
      <w:sz w:val="30"/>
      <w:szCs w:val="30"/>
    </w:rPr>
  </w:style>
  <w:style w:type="character" w:styleId="770" w:customStyle="1">
    <w:name w:val="标题 4 字符"/>
    <w:link w:val="694"/>
    <w:uiPriority w:val="9"/>
    <w:qFormat/>
    <w:rPr>
      <w:rFonts w:ascii="Arial" w:hAnsi="Arial" w:eastAsia="Arial" w:cs="Arial"/>
      <w:b/>
      <w:bCs/>
      <w:sz w:val="26"/>
      <w:szCs w:val="26"/>
    </w:rPr>
  </w:style>
  <w:style w:type="character" w:styleId="771" w:customStyle="1">
    <w:name w:val="标题 5 字符"/>
    <w:link w:val="695"/>
    <w:uiPriority w:val="9"/>
    <w:qFormat/>
    <w:rPr>
      <w:rFonts w:ascii="Arial" w:hAnsi="Arial" w:eastAsia="Arial" w:cs="Arial"/>
      <w:b/>
      <w:bCs/>
      <w:sz w:val="24"/>
      <w:szCs w:val="24"/>
    </w:rPr>
  </w:style>
  <w:style w:type="character" w:styleId="772" w:customStyle="1">
    <w:name w:val="标题 6 字符"/>
    <w:link w:val="696"/>
    <w:uiPriority w:val="9"/>
    <w:qFormat/>
    <w:rPr>
      <w:rFonts w:ascii="Arial" w:hAnsi="Arial" w:eastAsia="Arial" w:cs="Arial"/>
      <w:b/>
      <w:bCs/>
      <w:sz w:val="22"/>
      <w:szCs w:val="22"/>
    </w:rPr>
  </w:style>
  <w:style w:type="character" w:styleId="773" w:customStyle="1">
    <w:name w:val="标题 7 字符"/>
    <w:link w:val="697"/>
    <w:uiPriority w:val="9"/>
    <w:qFormat/>
    <w:rPr>
      <w:rFonts w:ascii="Arial" w:hAnsi="Arial" w:eastAsia="Arial" w:cs="Arial"/>
      <w:b/>
      <w:bCs/>
      <w:i/>
      <w:iCs/>
      <w:sz w:val="22"/>
      <w:szCs w:val="22"/>
    </w:rPr>
  </w:style>
  <w:style w:type="character" w:styleId="774" w:customStyle="1">
    <w:name w:val="标题 8 字符"/>
    <w:link w:val="698"/>
    <w:uiPriority w:val="9"/>
    <w:qFormat/>
    <w:rPr>
      <w:rFonts w:ascii="Arial" w:hAnsi="Arial" w:eastAsia="Arial" w:cs="Arial"/>
      <w:i/>
      <w:iCs/>
      <w:sz w:val="22"/>
      <w:szCs w:val="22"/>
    </w:rPr>
  </w:style>
  <w:style w:type="character" w:styleId="775" w:customStyle="1">
    <w:name w:val="标题 9 字符"/>
    <w:link w:val="699"/>
    <w:uiPriority w:val="9"/>
    <w:qFormat/>
    <w:rPr>
      <w:rFonts w:ascii="Arial" w:hAnsi="Arial" w:eastAsia="Arial" w:cs="Arial"/>
      <w:i/>
      <w:iCs/>
      <w:sz w:val="21"/>
      <w:szCs w:val="21"/>
    </w:rPr>
  </w:style>
  <w:style w:type="paragraph" w:styleId="776">
    <w:name w:val="List Paragraph"/>
    <w:basedOn w:val="690"/>
    <w:uiPriority w:val="34"/>
    <w:qFormat/>
    <w:pPr>
      <w:contextualSpacing/>
      <w:ind w:left="720"/>
    </w:pPr>
  </w:style>
  <w:style w:type="paragraph" w:styleId="777">
    <w:name w:val="No Spacing"/>
    <w:uiPriority w:val="1"/>
    <w:qFormat/>
    <w:pPr>
      <w:spacing w:after="0" w:line="240" w:lineRule="auto"/>
    </w:pPr>
    <w:rPr>
      <w:rFonts w:hint="default" w:ascii="Calibri" w:hAnsi="Calibri" w:eastAsia="宋体" w:cs="Times New Roman"/>
      <w:lang w:val="en-US" w:eastAsia="zh-CN" w:bidi="ar-SA"/>
    </w:rPr>
  </w:style>
  <w:style w:type="character" w:styleId="778" w:customStyle="1">
    <w:name w:val="标题 字符"/>
    <w:link w:val="722"/>
    <w:uiPriority w:val="10"/>
    <w:qFormat/>
    <w:rPr>
      <w:sz w:val="48"/>
      <w:szCs w:val="48"/>
    </w:rPr>
  </w:style>
  <w:style w:type="character" w:styleId="779" w:customStyle="1">
    <w:name w:val="副标题 字符"/>
    <w:link w:val="716"/>
    <w:uiPriority w:val="11"/>
    <w:qFormat/>
    <w:rPr>
      <w:sz w:val="24"/>
      <w:szCs w:val="24"/>
    </w:rPr>
  </w:style>
  <w:style w:type="paragraph" w:styleId="780">
    <w:name w:val="Quote"/>
    <w:basedOn w:val="690"/>
    <w:next w:val="690"/>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90"/>
    <w:next w:val="690"/>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13"/>
    <w:uiPriority w:val="99"/>
    <w:qFormat/>
  </w:style>
  <w:style w:type="character" w:styleId="785" w:customStyle="1">
    <w:name w:val="Footer Char"/>
    <w:uiPriority w:val="99"/>
    <w:qFormat/>
  </w:style>
  <w:style w:type="character" w:styleId="786" w:customStyle="1">
    <w:name w:val="页脚 字符"/>
    <w:link w:val="712"/>
    <w:uiPriority w:val="99"/>
    <w:qFormat/>
  </w:style>
  <w:style w:type="table" w:styleId="7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pPr>
      <w:spacing w:after="0" w:line="240" w:lineRule="auto"/>
    </w:p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pPr>
      <w:spacing w:after="0" w:line="240" w:lineRule="auto"/>
    </w:p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pPr>
      <w:spacing w:after="0" w:line="240" w:lineRule="auto"/>
    </w:p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pPr>
      <w:spacing w:after="0" w:line="240" w:lineRule="auto"/>
    </w:p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pPr>
      <w:spacing w:after="0" w:line="240" w:lineRule="auto"/>
    </w:p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pPr>
      <w:spacing w:after="0" w:line="240" w:lineRule="auto"/>
    </w:p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pPr>
      <w:spacing w:after="0" w:line="240" w:lineRule="auto"/>
    </w:p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uiPriority w:val="99"/>
    <w:pPr>
      <w:spacing w:after="0" w:line="240" w:lineRule="auto"/>
    </w:p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pPr>
      <w:spacing w:after="0" w:line="240" w:lineRule="auto"/>
    </w:p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pPr>
      <w:spacing w:after="0" w:line="240" w:lineRule="auto"/>
    </w:p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pPr>
      <w:spacing w:after="0" w:line="240" w:lineRule="auto"/>
    </w:p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pPr>
      <w:spacing w:after="0" w:line="240" w:lineRule="auto"/>
    </w:p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pPr>
      <w:spacing w:after="0" w:line="240" w:lineRule="auto"/>
    </w:p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pPr>
      <w:spacing w:after="0" w:line="240" w:lineRule="auto"/>
    </w:p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17"/>
    <w:uiPriority w:val="99"/>
    <w:rPr>
      <w:sz w:val="18"/>
    </w:rPr>
  </w:style>
  <w:style w:type="character" w:styleId="913" w:customStyle="1">
    <w:name w:val="尾注文本 字符"/>
    <w:link w:val="711"/>
    <w:uiPriority w:val="99"/>
    <w:qFormat/>
    <w:rPr>
      <w:sz w:val="20"/>
    </w:rPr>
  </w:style>
  <w:style w:type="paragraph" w:styleId="914" w:customStyle="1">
    <w:name w:val="TOC 标题1"/>
    <w:uiPriority w:val="39"/>
    <w:unhideWhenUsed/>
    <w:pPr>
      <w:spacing w:after="160" w:line="278" w:lineRule="auto"/>
    </w:pPr>
    <w:rPr>
      <w:rFonts w:hint="default" w:ascii="Calibri" w:hAnsi="Calibri" w:eastAsia="宋体" w:cs="Times New Roman"/>
      <w:lang w:val="en-US" w:eastAsia="zh-CN" w:bidi="ar-SA"/>
    </w:rPr>
  </w:style>
  <w:style w:type="paragraph" w:styleId="915" w:customStyle="1">
    <w:name w:val="标题 11"/>
    <w:basedOn w:val="690"/>
    <w:next w:val="690"/>
    <w:link w:val="927"/>
    <w:uiPriority w:val="0"/>
    <w:qFormat/>
    <w:pPr>
      <w:jc w:val="center"/>
      <w:keepNext/>
      <w:outlineLvl w:val="0"/>
    </w:pPr>
    <w:rPr>
      <w:rFonts w:ascii="楷体_GB2312" w:eastAsia="楷体_GB2312"/>
      <w:sz w:val="28"/>
      <w:szCs w:val="28"/>
    </w:rPr>
  </w:style>
  <w:style w:type="paragraph" w:styleId="916" w:customStyle="1">
    <w:name w:val="标题 21"/>
    <w:basedOn w:val="690"/>
    <w:next w:val="917"/>
    <w:link w:val="9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7" w:customStyle="1">
    <w:name w:val="正文缩进1"/>
    <w:basedOn w:val="690"/>
    <w:link w:val="936"/>
    <w:uiPriority w:val="99"/>
    <w:qFormat/>
    <w:pPr>
      <w:ind w:firstLine="420"/>
    </w:pPr>
  </w:style>
  <w:style w:type="paragraph" w:styleId="918" w:customStyle="1">
    <w:name w:val="标题 31"/>
    <w:basedOn w:val="690"/>
    <w:next w:val="917"/>
    <w:link w:val="929"/>
    <w:uiPriority w:val="0"/>
    <w:qFormat/>
    <w:pPr>
      <w:keepLines/>
      <w:keepNext/>
      <w:spacing w:before="260" w:after="260" w:line="416" w:lineRule="auto"/>
      <w:outlineLvl w:val="2"/>
    </w:pPr>
    <w:rPr>
      <w:b/>
      <w:bCs/>
      <w:sz w:val="32"/>
      <w:szCs w:val="32"/>
    </w:rPr>
  </w:style>
  <w:style w:type="paragraph" w:styleId="919" w:customStyle="1">
    <w:name w:val="标题 41"/>
    <w:basedOn w:val="690"/>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20" w:customStyle="1">
    <w:name w:val="标题 51"/>
    <w:basedOn w:val="690"/>
    <w:next w:val="917"/>
    <w:link w:val="931"/>
    <w:uiPriority w:val="0"/>
    <w:qFormat/>
    <w:pPr>
      <w:keepNext/>
      <w:outlineLvl w:val="4"/>
    </w:pPr>
    <w:rPr>
      <w:rFonts w:ascii="宋体"/>
      <w:color w:val="000000"/>
      <w:sz w:val="28"/>
      <w:szCs w:val="28"/>
    </w:rPr>
  </w:style>
  <w:style w:type="paragraph" w:styleId="921" w:customStyle="1">
    <w:name w:val="标题 61"/>
    <w:basedOn w:val="690"/>
    <w:next w:val="690"/>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customStyle="1">
    <w:name w:val="标题 71"/>
    <w:basedOn w:val="690"/>
    <w:next w:val="690"/>
    <w:link w:val="933"/>
    <w:uiPriority w:val="0"/>
    <w:qFormat/>
    <w:pPr>
      <w:numPr>
        <w:ilvl w:val="6"/>
        <w:numId w:val="1"/>
      </w:numPr>
      <w:keepLines/>
      <w:keepNext/>
      <w:spacing w:before="240" w:after="64" w:line="320" w:lineRule="auto"/>
      <w:outlineLvl w:val="6"/>
    </w:pPr>
    <w:rPr>
      <w:b/>
      <w:bCs/>
      <w:sz w:val="24"/>
      <w:szCs w:val="24"/>
    </w:rPr>
  </w:style>
  <w:style w:type="paragraph" w:styleId="923" w:customStyle="1">
    <w:name w:val="标题 81"/>
    <w:basedOn w:val="690"/>
    <w:next w:val="690"/>
    <w:link w:val="9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4" w:customStyle="1">
    <w:name w:val="标题 91"/>
    <w:basedOn w:val="690"/>
    <w:next w:val="690"/>
    <w:link w:val="935"/>
    <w:uiPriority w:val="0"/>
    <w:qFormat/>
    <w:pPr>
      <w:numPr>
        <w:ilvl w:val="8"/>
        <w:numId w:val="1"/>
      </w:numPr>
      <w:keepLines/>
      <w:keepNext/>
      <w:spacing w:before="240" w:after="64" w:line="320" w:lineRule="auto"/>
      <w:outlineLvl w:val="8"/>
    </w:pPr>
    <w:rPr>
      <w:rFonts w:ascii="Arial" w:hAnsi="Arial" w:eastAsia="黑体"/>
    </w:rPr>
  </w:style>
  <w:style w:type="character" w:styleId="925" w:customStyle="1">
    <w:name w:val="默认段落字体1"/>
    <w:uiPriority w:val="1"/>
    <w:semiHidden/>
    <w:unhideWhenUsed/>
  </w:style>
  <w:style w:type="table" w:styleId="926" w:customStyle="1">
    <w:name w:val="普通表格1"/>
    <w:uiPriority w:val="99"/>
    <w:semiHidden/>
    <w:unhideWhenUsed/>
    <w:qFormat/>
    <w:tblPr>
      <w:tblCellMar>
        <w:left w:w="0" w:type="dxa"/>
        <w:top w:w="0" w:type="dxa"/>
        <w:right w:w="0" w:type="dxa"/>
        <w:bottom w:w="0" w:type="dxa"/>
      </w:tblCellMar>
    </w:tblPr>
  </w:style>
  <w:style w:type="character" w:styleId="927" w:customStyle="1">
    <w:name w:val="标题 1 Char"/>
    <w:link w:val="915"/>
    <w:uiPriority w:val="0"/>
    <w:rPr>
      <w:rFonts w:ascii="楷体_GB2312" w:hAnsi="Times New Roman" w:eastAsia="楷体_GB2312" w:cs="Times New Roman"/>
      <w:sz w:val="28"/>
      <w:szCs w:val="28"/>
    </w:rPr>
  </w:style>
  <w:style w:type="character" w:styleId="928" w:customStyle="1">
    <w:name w:val="标题 2 Char"/>
    <w:link w:val="916"/>
    <w:uiPriority w:val="0"/>
    <w:rPr>
      <w:rFonts w:ascii="Arial" w:hAnsi="Arial" w:eastAsia="幼圆" w:cs="Arial"/>
      <w:b/>
      <w:bCs/>
      <w:sz w:val="44"/>
      <w:szCs w:val="44"/>
    </w:rPr>
  </w:style>
  <w:style w:type="character" w:styleId="929" w:customStyle="1">
    <w:name w:val="标题 3 Char"/>
    <w:link w:val="918"/>
    <w:uiPriority w:val="0"/>
    <w:rPr>
      <w:rFonts w:ascii="Times New Roman" w:hAnsi="Times New Roman" w:eastAsia="宋体" w:cs="Times New Roman"/>
      <w:b/>
      <w:bCs/>
      <w:sz w:val="32"/>
      <w:szCs w:val="32"/>
    </w:rPr>
  </w:style>
  <w:style w:type="character" w:styleId="930" w:customStyle="1">
    <w:name w:val="标题 4 Char"/>
    <w:link w:val="919"/>
    <w:uiPriority w:val="0"/>
    <w:qFormat/>
    <w:rPr>
      <w:rFonts w:ascii="Arial" w:hAnsi="Arial" w:eastAsia="黑体" w:cs="Arial"/>
      <w:b/>
      <w:bCs/>
      <w:sz w:val="28"/>
      <w:szCs w:val="28"/>
    </w:rPr>
  </w:style>
  <w:style w:type="character" w:styleId="931" w:customStyle="1">
    <w:name w:val="标题 5 Char"/>
    <w:link w:val="920"/>
    <w:uiPriority w:val="0"/>
    <w:qFormat/>
    <w:rPr>
      <w:rFonts w:ascii="宋体" w:hAnsi="Times New Roman" w:eastAsia="宋体" w:cs="Times New Roman"/>
      <w:color w:val="000000"/>
      <w:sz w:val="28"/>
      <w:szCs w:val="28"/>
    </w:rPr>
  </w:style>
  <w:style w:type="character" w:styleId="932" w:customStyle="1">
    <w:name w:val="标题 6 Char"/>
    <w:link w:val="921"/>
    <w:uiPriority w:val="0"/>
    <w:rPr>
      <w:rFonts w:ascii="Arial" w:hAnsi="Arial" w:eastAsia="黑体" w:cs="Times New Roman"/>
      <w:b/>
      <w:bCs/>
      <w:sz w:val="24"/>
      <w:szCs w:val="24"/>
    </w:rPr>
  </w:style>
  <w:style w:type="character" w:styleId="933" w:customStyle="1">
    <w:name w:val="标题 7 Char"/>
    <w:link w:val="922"/>
    <w:uiPriority w:val="0"/>
    <w:rPr>
      <w:rFonts w:ascii="Times New Roman" w:hAnsi="Times New Roman" w:eastAsia="宋体" w:cs="Times New Roman"/>
      <w:b/>
      <w:bCs/>
      <w:sz w:val="24"/>
      <w:szCs w:val="24"/>
    </w:rPr>
  </w:style>
  <w:style w:type="character" w:styleId="934" w:customStyle="1">
    <w:name w:val="标题 8 Char"/>
    <w:link w:val="923"/>
    <w:uiPriority w:val="0"/>
    <w:rPr>
      <w:rFonts w:ascii="Arial" w:hAnsi="Arial" w:eastAsia="黑体" w:cs="Times New Roman"/>
      <w:sz w:val="24"/>
      <w:szCs w:val="24"/>
    </w:rPr>
  </w:style>
  <w:style w:type="character" w:styleId="935" w:customStyle="1">
    <w:name w:val="标题 9 Char"/>
    <w:link w:val="924"/>
    <w:uiPriority w:val="0"/>
    <w:qFormat/>
    <w:rPr>
      <w:rFonts w:ascii="Arial" w:hAnsi="Arial" w:eastAsia="黑体" w:cs="Times New Roman"/>
      <w:szCs w:val="21"/>
    </w:rPr>
  </w:style>
  <w:style w:type="character" w:styleId="936" w:customStyle="1">
    <w:name w:val="正文缩进 Char"/>
    <w:link w:val="917"/>
    <w:uiPriority w:val="0"/>
    <w:qFormat/>
    <w:rPr>
      <w:rFonts w:ascii="Times New Roman" w:hAnsi="Times New Roman" w:eastAsia="宋体" w:cs="Times New Roman"/>
      <w:szCs w:val="21"/>
    </w:rPr>
  </w:style>
  <w:style w:type="paragraph" w:styleId="937" w:customStyle="1">
    <w:name w:val="列表 31"/>
    <w:basedOn w:val="690"/>
    <w:uiPriority w:val="0"/>
    <w:pPr>
      <w:ind w:left="100" w:hanging="200"/>
    </w:pPr>
  </w:style>
  <w:style w:type="paragraph" w:styleId="938" w:customStyle="1">
    <w:name w:val="目录 71"/>
    <w:basedOn w:val="690"/>
    <w:next w:val="690"/>
    <w:uiPriority w:val="0"/>
    <w:semiHidden/>
    <w:qFormat/>
    <w:pPr>
      <w:ind w:left="1260"/>
      <w:jc w:val="left"/>
    </w:pPr>
  </w:style>
  <w:style w:type="paragraph" w:styleId="939" w:customStyle="1">
    <w:name w:val="文档结构图1"/>
    <w:basedOn w:val="690"/>
    <w:link w:val="940"/>
    <w:uiPriority w:val="0"/>
    <w:semiHidden/>
    <w:qFormat/>
    <w:pPr>
      <w:shd w:val="clear" w:color="auto" w:fill="000080"/>
    </w:pPr>
  </w:style>
  <w:style w:type="character" w:styleId="940" w:customStyle="1">
    <w:name w:val="文档结构图 Char"/>
    <w:link w:val="939"/>
    <w:uiPriority w:val="0"/>
    <w:semiHidden/>
    <w:qFormat/>
    <w:rPr>
      <w:rFonts w:ascii="Times New Roman" w:hAnsi="Times New Roman" w:eastAsia="宋体" w:cs="Times New Roman"/>
      <w:szCs w:val="21"/>
      <w:shd w:val="clear" w:color="auto" w:fill="000080"/>
    </w:rPr>
  </w:style>
  <w:style w:type="paragraph" w:styleId="941" w:customStyle="1">
    <w:name w:val="批注文字1"/>
    <w:basedOn w:val="690"/>
    <w:link w:val="942"/>
    <w:uiPriority w:val="0"/>
    <w:semiHidden/>
    <w:qFormat/>
    <w:pPr>
      <w:jc w:val="left"/>
    </w:pPr>
  </w:style>
  <w:style w:type="character" w:styleId="942" w:customStyle="1">
    <w:name w:val="批注文字 Char"/>
    <w:link w:val="941"/>
    <w:uiPriority w:val="0"/>
    <w:semiHidden/>
    <w:qFormat/>
    <w:rPr>
      <w:rFonts w:ascii="Times New Roman" w:hAnsi="Times New Roman" w:eastAsia="宋体" w:cs="Times New Roman"/>
      <w:szCs w:val="21"/>
    </w:rPr>
  </w:style>
  <w:style w:type="paragraph" w:styleId="943" w:customStyle="1">
    <w:name w:val="正文文本 31"/>
    <w:basedOn w:val="690"/>
    <w:link w:val="944"/>
    <w:uiPriority w:val="0"/>
    <w:qFormat/>
    <w:rPr>
      <w:rFonts w:ascii="仿宋_GB2312" w:hAnsi="Arial" w:eastAsia="仿宋_GB2312"/>
      <w:sz w:val="32"/>
      <w:szCs w:val="32"/>
    </w:rPr>
  </w:style>
  <w:style w:type="character" w:styleId="944" w:customStyle="1">
    <w:name w:val="正文文本 3 Char"/>
    <w:link w:val="943"/>
    <w:uiPriority w:val="0"/>
    <w:qFormat/>
    <w:rPr>
      <w:rFonts w:ascii="仿宋_GB2312" w:hAnsi="Arial" w:eastAsia="仿宋_GB2312" w:cs="Times New Roman"/>
      <w:sz w:val="32"/>
      <w:szCs w:val="32"/>
    </w:rPr>
  </w:style>
  <w:style w:type="paragraph" w:styleId="945" w:customStyle="1">
    <w:name w:val="正文文本1"/>
    <w:basedOn w:val="690"/>
    <w:link w:val="946"/>
    <w:uiPriority w:val="0"/>
    <w:qFormat/>
    <w:rPr>
      <w:rFonts w:ascii="楷体_GB2312" w:hAnsi="Arial" w:eastAsia="楷体_GB2312"/>
      <w:sz w:val="28"/>
      <w:szCs w:val="28"/>
    </w:rPr>
  </w:style>
  <w:style w:type="character" w:styleId="946" w:customStyle="1">
    <w:name w:val="正文文本 Char"/>
    <w:link w:val="945"/>
    <w:uiPriority w:val="0"/>
    <w:qFormat/>
    <w:rPr>
      <w:rFonts w:ascii="楷体_GB2312" w:hAnsi="Arial" w:eastAsia="楷体_GB2312" w:cs="Times New Roman"/>
      <w:sz w:val="28"/>
      <w:szCs w:val="28"/>
    </w:rPr>
  </w:style>
  <w:style w:type="paragraph" w:styleId="947" w:customStyle="1">
    <w:name w:val="正文文本缩进1"/>
    <w:basedOn w:val="690"/>
    <w:link w:val="948"/>
    <w:uiPriority w:val="0"/>
    <w:qFormat/>
    <w:pPr>
      <w:ind w:firstLine="645"/>
    </w:pPr>
    <w:rPr>
      <w:rFonts w:ascii="楷体_GB2312" w:eastAsia="楷体_GB2312"/>
      <w:sz w:val="32"/>
      <w:szCs w:val="32"/>
    </w:rPr>
  </w:style>
  <w:style w:type="character" w:styleId="948" w:customStyle="1">
    <w:name w:val="正文文本缩进 Char"/>
    <w:link w:val="947"/>
    <w:uiPriority w:val="0"/>
    <w:qFormat/>
    <w:rPr>
      <w:rFonts w:ascii="楷体_GB2312" w:hAnsi="Times New Roman" w:eastAsia="楷体_GB2312" w:cs="Times New Roman"/>
      <w:sz w:val="32"/>
      <w:szCs w:val="32"/>
    </w:rPr>
  </w:style>
  <w:style w:type="paragraph" w:styleId="949" w:customStyle="1">
    <w:name w:val="列表 21"/>
    <w:basedOn w:val="690"/>
    <w:uiPriority w:val="0"/>
    <w:qFormat/>
    <w:pPr>
      <w:ind w:left="100" w:hanging="200"/>
    </w:pPr>
  </w:style>
  <w:style w:type="paragraph" w:styleId="950" w:customStyle="1">
    <w:name w:val="目录 51"/>
    <w:basedOn w:val="690"/>
    <w:next w:val="690"/>
    <w:uiPriority w:val="0"/>
    <w:semiHidden/>
    <w:pPr>
      <w:ind w:left="840"/>
      <w:jc w:val="left"/>
    </w:pPr>
  </w:style>
  <w:style w:type="paragraph" w:styleId="951" w:customStyle="1">
    <w:name w:val="目录 31"/>
    <w:basedOn w:val="690"/>
    <w:next w:val="690"/>
    <w:uiPriority w:val="0"/>
    <w:semiHidden/>
    <w:qFormat/>
    <w:pPr>
      <w:ind w:left="420"/>
      <w:jc w:val="left"/>
    </w:pPr>
    <w:rPr>
      <w:i/>
      <w:iCs/>
      <w:szCs w:val="24"/>
    </w:rPr>
  </w:style>
  <w:style w:type="paragraph" w:styleId="952" w:customStyle="1">
    <w:name w:val="纯文本1"/>
    <w:basedOn w:val="690"/>
    <w:link w:val="953"/>
    <w:uiPriority w:val="0"/>
    <w:rPr>
      <w:rFonts w:ascii="宋体" w:hAnsi="Courier New" w:cs="Courier New"/>
    </w:rPr>
  </w:style>
  <w:style w:type="character" w:styleId="953" w:customStyle="1">
    <w:name w:val="纯文本 Char"/>
    <w:link w:val="952"/>
    <w:uiPriority w:val="0"/>
    <w:qFormat/>
    <w:rPr>
      <w:rFonts w:ascii="宋体" w:hAnsi="Courier New" w:eastAsia="宋体" w:cs="Courier New"/>
      <w:szCs w:val="21"/>
    </w:rPr>
  </w:style>
  <w:style w:type="paragraph" w:styleId="954" w:customStyle="1">
    <w:name w:val="目录 81"/>
    <w:basedOn w:val="690"/>
    <w:next w:val="690"/>
    <w:uiPriority w:val="0"/>
    <w:semiHidden/>
    <w:qFormat/>
    <w:pPr>
      <w:ind w:left="1470"/>
      <w:jc w:val="left"/>
    </w:pPr>
  </w:style>
  <w:style w:type="paragraph" w:styleId="955" w:customStyle="1">
    <w:name w:val="日期1"/>
    <w:basedOn w:val="690"/>
    <w:next w:val="690"/>
    <w:link w:val="956"/>
    <w:uiPriority w:val="0"/>
    <w:rPr>
      <w:sz w:val="24"/>
      <w:szCs w:val="24"/>
    </w:rPr>
  </w:style>
  <w:style w:type="character" w:styleId="956" w:customStyle="1">
    <w:name w:val="日期 Char"/>
    <w:link w:val="955"/>
    <w:uiPriority w:val="0"/>
    <w:rPr>
      <w:rFonts w:ascii="Times New Roman" w:hAnsi="Times New Roman" w:eastAsia="宋体" w:cs="Times New Roman"/>
      <w:sz w:val="24"/>
      <w:szCs w:val="24"/>
    </w:rPr>
  </w:style>
  <w:style w:type="paragraph" w:styleId="957" w:customStyle="1">
    <w:name w:val="正文文本缩进 21"/>
    <w:basedOn w:val="690"/>
    <w:link w:val="958"/>
    <w:uiPriority w:val="0"/>
    <w:qFormat/>
    <w:pPr>
      <w:ind w:left="630" w:firstLine="645"/>
    </w:pPr>
    <w:rPr>
      <w:rFonts w:ascii="Arial" w:hAnsi="Arial" w:eastAsia="仿宋_GB2312" w:cs="Arial"/>
      <w:sz w:val="32"/>
      <w:szCs w:val="32"/>
    </w:rPr>
  </w:style>
  <w:style w:type="character" w:styleId="958" w:customStyle="1">
    <w:name w:val="正文文本缩进 2 Char"/>
    <w:link w:val="957"/>
    <w:uiPriority w:val="0"/>
    <w:rPr>
      <w:rFonts w:ascii="Arial" w:hAnsi="Arial" w:eastAsia="仿宋_GB2312" w:cs="Arial"/>
      <w:sz w:val="32"/>
      <w:szCs w:val="32"/>
    </w:rPr>
  </w:style>
  <w:style w:type="paragraph" w:styleId="959" w:customStyle="1">
    <w:name w:val="批注框文本1"/>
    <w:basedOn w:val="690"/>
    <w:link w:val="960"/>
    <w:uiPriority w:val="0"/>
    <w:semiHidden/>
    <w:rPr>
      <w:sz w:val="18"/>
      <w:szCs w:val="18"/>
    </w:rPr>
  </w:style>
  <w:style w:type="character" w:styleId="960" w:customStyle="1">
    <w:name w:val="批注框文本 Char"/>
    <w:link w:val="959"/>
    <w:uiPriority w:val="0"/>
    <w:semiHidden/>
    <w:rPr>
      <w:rFonts w:ascii="Times New Roman" w:hAnsi="Times New Roman" w:eastAsia="宋体" w:cs="Times New Roman"/>
      <w:sz w:val="18"/>
      <w:szCs w:val="18"/>
    </w:rPr>
  </w:style>
  <w:style w:type="paragraph" w:styleId="961" w:customStyle="1">
    <w:name w:val="页脚1"/>
    <w:basedOn w:val="690"/>
    <w:link w:val="962"/>
    <w:uiPriority w:val="0"/>
    <w:qFormat/>
    <w:pPr>
      <w:jc w:val="left"/>
      <w:tabs>
        <w:tab w:val="center" w:pos="4153" w:leader="none"/>
        <w:tab w:val="right" w:pos="8306" w:leader="none"/>
      </w:tabs>
    </w:pPr>
    <w:rPr>
      <w:sz w:val="18"/>
      <w:szCs w:val="18"/>
    </w:rPr>
  </w:style>
  <w:style w:type="character" w:styleId="962" w:customStyle="1">
    <w:name w:val="页脚 Char"/>
    <w:link w:val="961"/>
    <w:uiPriority w:val="0"/>
    <w:qFormat/>
    <w:rPr>
      <w:rFonts w:ascii="Times New Roman" w:hAnsi="Times New Roman" w:eastAsia="宋体" w:cs="Times New Roman"/>
      <w:sz w:val="18"/>
      <w:szCs w:val="18"/>
    </w:rPr>
  </w:style>
  <w:style w:type="paragraph" w:styleId="963" w:customStyle="1">
    <w:name w:val="页眉1"/>
    <w:basedOn w:val="690"/>
    <w:link w:val="964"/>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uiPriority w:val="0"/>
    <w:qFormat/>
    <w:rPr>
      <w:rFonts w:ascii="Times New Roman" w:hAnsi="Times New Roman" w:eastAsia="宋体" w:cs="Times New Roman"/>
      <w:sz w:val="18"/>
      <w:szCs w:val="18"/>
    </w:rPr>
  </w:style>
  <w:style w:type="paragraph" w:styleId="965"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690"/>
    <w:next w:val="690"/>
    <w:uiPriority w:val="0"/>
    <w:semiHidden/>
    <w:qFormat/>
    <w:pPr>
      <w:ind w:left="630"/>
      <w:jc w:val="left"/>
    </w:pPr>
  </w:style>
  <w:style w:type="paragraph" w:styleId="967" w:customStyle="1">
    <w:name w:val="列表1"/>
    <w:basedOn w:val="690"/>
    <w:uiPriority w:val="0"/>
    <w:pPr>
      <w:ind w:left="200" w:hanging="200"/>
    </w:pPr>
  </w:style>
  <w:style w:type="paragraph" w:styleId="968" w:customStyle="1">
    <w:name w:val="目录 61"/>
    <w:basedOn w:val="690"/>
    <w:next w:val="690"/>
    <w:uiPriority w:val="0"/>
    <w:semiHidden/>
    <w:qFormat/>
    <w:pPr>
      <w:ind w:left="1050"/>
      <w:jc w:val="left"/>
    </w:pPr>
  </w:style>
  <w:style w:type="paragraph" w:styleId="969" w:customStyle="1">
    <w:name w:val="正文文本缩进 31"/>
    <w:basedOn w:val="690"/>
    <w:link w:val="970"/>
    <w:uiPriority w:val="0"/>
    <w:qFormat/>
    <w:pPr>
      <w:ind w:left="645" w:firstLine="645"/>
    </w:pPr>
    <w:rPr>
      <w:rFonts w:ascii="Arial" w:hAnsi="Arial" w:eastAsia="仿宋_GB2312" w:cs="Arial"/>
      <w:color w:val="ffff00"/>
      <w:sz w:val="32"/>
      <w:szCs w:val="32"/>
    </w:rPr>
  </w:style>
  <w:style w:type="character" w:styleId="970" w:customStyle="1">
    <w:name w:val="正文文本缩进 3 Char"/>
    <w:link w:val="969"/>
    <w:uiPriority w:val="0"/>
    <w:qFormat/>
    <w:rPr>
      <w:rFonts w:ascii="Arial" w:hAnsi="Arial" w:eastAsia="仿宋_GB2312" w:cs="Arial"/>
      <w:color w:val="ffff00"/>
      <w:sz w:val="32"/>
      <w:szCs w:val="32"/>
    </w:rPr>
  </w:style>
  <w:style w:type="paragraph" w:styleId="971" w:customStyle="1">
    <w:name w:val="图表目录1"/>
    <w:basedOn w:val="690"/>
    <w:next w:val="690"/>
    <w:uiPriority w:val="0"/>
    <w:semiHidden/>
    <w:qFormat/>
    <w:pPr>
      <w:ind w:left="840" w:hanging="420"/>
    </w:pPr>
  </w:style>
  <w:style w:type="paragraph" w:styleId="972" w:customStyle="1">
    <w:name w:val="目录 21"/>
    <w:basedOn w:val="690"/>
    <w:next w:val="690"/>
    <w:uiPriority w:val="0"/>
    <w:semiHidden/>
    <w:qFormat/>
    <w:pPr>
      <w:ind w:left="210"/>
      <w:jc w:val="left"/>
    </w:pPr>
    <w:rPr>
      <w:smallCaps/>
      <w:szCs w:val="24"/>
    </w:rPr>
  </w:style>
  <w:style w:type="paragraph" w:styleId="973" w:customStyle="1">
    <w:name w:val="目录 91"/>
    <w:basedOn w:val="690"/>
    <w:next w:val="690"/>
    <w:uiPriority w:val="0"/>
    <w:semiHidden/>
    <w:qFormat/>
    <w:pPr>
      <w:ind w:left="1680"/>
      <w:jc w:val="left"/>
    </w:pPr>
  </w:style>
  <w:style w:type="paragraph" w:styleId="974" w:customStyle="1">
    <w:name w:val="正文文本 21"/>
    <w:basedOn w:val="690"/>
    <w:link w:val="975"/>
    <w:uiPriority w:val="0"/>
    <w:qFormat/>
    <w:pPr>
      <w:jc w:val="center"/>
      <w:widowControl/>
    </w:pPr>
    <w:rPr>
      <w:rFonts w:ascii="楷体_GB2312" w:eastAsia="楷体_GB2312"/>
      <w:sz w:val="28"/>
      <w:szCs w:val="28"/>
    </w:rPr>
  </w:style>
  <w:style w:type="character" w:styleId="975" w:customStyle="1">
    <w:name w:val="正文文本 2 Char"/>
    <w:link w:val="974"/>
    <w:uiPriority w:val="0"/>
    <w:qFormat/>
    <w:rPr>
      <w:rFonts w:ascii="楷体_GB2312" w:hAnsi="Times New Roman" w:eastAsia="楷体_GB2312" w:cs="Times New Roman"/>
      <w:sz w:val="28"/>
      <w:szCs w:val="28"/>
    </w:rPr>
  </w:style>
  <w:style w:type="paragraph" w:styleId="976"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77" w:customStyle="1">
    <w:name w:val="索引 11"/>
    <w:basedOn w:val="690"/>
    <w:next w:val="690"/>
    <w:uiPriority w:val="0"/>
    <w:semiHidden/>
    <w:qFormat/>
    <w:pPr>
      <w:spacing w:line="240" w:lineRule="atLeast"/>
    </w:pPr>
    <w:rPr>
      <w:b/>
      <w:bCs/>
    </w:rPr>
  </w:style>
  <w:style w:type="paragraph" w:styleId="978" w:customStyle="1">
    <w:name w:val="批注主题1"/>
    <w:basedOn w:val="941"/>
    <w:next w:val="941"/>
    <w:link w:val="979"/>
    <w:uiPriority w:val="0"/>
    <w:semiHidden/>
    <w:qFormat/>
    <w:rPr>
      <w:b/>
      <w:bCs/>
    </w:rPr>
  </w:style>
  <w:style w:type="character" w:styleId="979" w:customStyle="1">
    <w:name w:val="批注主题 Char"/>
    <w:link w:val="978"/>
    <w:uiPriority w:val="0"/>
    <w:semiHidden/>
    <w:qFormat/>
    <w:rPr>
      <w:rFonts w:ascii="Times New Roman" w:hAnsi="Times New Roman" w:eastAsia="宋体" w:cs="Times New Roman"/>
      <w:b/>
      <w:bCs/>
      <w:szCs w:val="21"/>
    </w:rPr>
  </w:style>
  <w:style w:type="paragraph" w:styleId="980" w:customStyle="1">
    <w:name w:val="正文首行缩进1"/>
    <w:basedOn w:val="690"/>
    <w:link w:val="981"/>
    <w:uiPriority w:val="0"/>
    <w:qFormat/>
    <w:pPr>
      <w:ind w:firstLine="200"/>
      <w:spacing w:line="360" w:lineRule="auto"/>
    </w:pPr>
    <w:rPr>
      <w:rFonts w:ascii="仿宋_GB2312" w:eastAsia="仿宋_GB2312"/>
      <w:sz w:val="30"/>
      <w:szCs w:val="30"/>
    </w:rPr>
  </w:style>
  <w:style w:type="character" w:styleId="981" w:customStyle="1">
    <w:name w:val="正文首行缩进 Char"/>
    <w:link w:val="980"/>
    <w:uiPriority w:val="0"/>
    <w:qFormat/>
    <w:rPr>
      <w:rFonts w:ascii="仿宋_GB2312" w:hAnsi="Times New Roman" w:eastAsia="仿宋_GB2312" w:cs="Times New Roman"/>
      <w:sz w:val="30"/>
      <w:szCs w:val="30"/>
    </w:rPr>
  </w:style>
  <w:style w:type="paragraph" w:styleId="982" w:customStyle="1">
    <w:name w:val="正文首行缩进 21"/>
    <w:basedOn w:val="947"/>
    <w:link w:val="983"/>
    <w:uiPriority w:val="0"/>
    <w:qFormat/>
    <w:pPr>
      <w:ind w:firstLine="420"/>
      <w:spacing w:line="360" w:lineRule="auto"/>
    </w:pPr>
    <w:rPr>
      <w:rFonts w:ascii="宋体" w:hAnsi="宋体" w:eastAsia="宋体"/>
      <w:sz w:val="21"/>
      <w:szCs w:val="20"/>
    </w:rPr>
  </w:style>
  <w:style w:type="character" w:styleId="983" w:customStyle="1">
    <w:name w:val="正文首行缩进 2 Char"/>
    <w:link w:val="982"/>
    <w:uiPriority w:val="0"/>
    <w:qFormat/>
    <w:rPr>
      <w:rFonts w:ascii="宋体" w:hAnsi="宋体" w:eastAsia="宋体" w:cs="Times New Roman"/>
      <w:sz w:val="32"/>
      <w:szCs w:val="20"/>
    </w:rPr>
  </w:style>
  <w:style w:type="table" w:styleId="984" w:customStyle="1">
    <w:name w:val="网格型1"/>
    <w:basedOn w:val="926"/>
    <w:uiPriority w:val="0"/>
    <w:qFormat/>
    <w:pPr>
      <w:jc w:val="both"/>
      <w:widowControl w:val="off"/>
    </w:pPr>
    <w:tblPr/>
  </w:style>
  <w:style w:type="character" w:styleId="985" w:customStyle="1">
    <w:name w:val="要点1"/>
    <w:uiPriority w:val="0"/>
    <w:qFormat/>
    <w:rPr>
      <w:b/>
      <w:bCs/>
    </w:rPr>
  </w:style>
  <w:style w:type="character" w:styleId="986" w:customStyle="1">
    <w:name w:val="页码1"/>
    <w:uiPriority w:val="0"/>
    <w:qFormat/>
  </w:style>
  <w:style w:type="character" w:styleId="987" w:customStyle="1">
    <w:name w:val="访问过的超链接1"/>
    <w:uiPriority w:val="0"/>
    <w:qFormat/>
    <w:rPr>
      <w:color w:val="800080"/>
      <w:u w:val="single"/>
    </w:rPr>
  </w:style>
  <w:style w:type="character" w:styleId="988" w:customStyle="1">
    <w:name w:val="超链接1"/>
    <w:uiPriority w:val="0"/>
    <w:qFormat/>
    <w:rPr>
      <w:color w:val="0000ff"/>
      <w:u w:val="single"/>
    </w:rPr>
  </w:style>
  <w:style w:type="character" w:styleId="989" w:customStyle="1">
    <w:name w:val="批注引用1"/>
    <w:uiPriority w:val="0"/>
    <w:semiHidden/>
    <w:qFormat/>
    <w:rPr>
      <w:sz w:val="21"/>
      <w:szCs w:val="21"/>
    </w:rPr>
  </w:style>
  <w:style w:type="character" w:styleId="990" w:customStyle="1">
    <w:name w:val="font5 Char"/>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690"/>
    <w:link w:val="991"/>
    <w:uiPriority w:val="0"/>
    <w:qFormat/>
    <w:pPr>
      <w:ind w:left="907" w:hanging="907"/>
      <w:spacing w:after="160" w:line="278" w:lineRule="auto"/>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690"/>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690"/>
    <w:next w:val="945"/>
    <w:uiPriority w:val="0"/>
    <w:qFormat/>
    <w:pPr>
      <w:spacing w:after="120"/>
    </w:pPr>
    <w:rPr>
      <w:rFonts w:ascii="宋体" w:hAnsi="Arial"/>
      <w:bCs/>
      <w:iCs/>
      <w:szCs w:val="24"/>
    </w:rPr>
  </w:style>
  <w:style w:type="paragraph" w:styleId="996"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690"/>
    <w:uiPriority w:val="0"/>
    <w:qFormat/>
    <w:pPr>
      <w:ind w:firstLine="200"/>
      <w:tabs>
        <w:tab w:val="left" w:pos="360" w:leader="none"/>
      </w:tabs>
    </w:pPr>
    <w:rPr>
      <w:sz w:val="28"/>
      <w:szCs w:val="30"/>
    </w:rPr>
  </w:style>
  <w:style w:type="paragraph" w:styleId="999" w:customStyle="1">
    <w:name w:val="Char1"/>
    <w:basedOn w:val="939"/>
    <w:uiPriority w:val="0"/>
    <w:qFormat/>
    <w:rPr>
      <w:rFonts w:ascii="Tahoma" w:hAnsi="Tahoma"/>
      <w:sz w:val="24"/>
      <w:szCs w:val="24"/>
    </w:rPr>
  </w:style>
  <w:style w:type="paragraph" w:styleId="1000"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1001" w:customStyle="1">
    <w:name w:val="table_lines"/>
    <w:basedOn w:val="690"/>
    <w:uiPriority w:val="0"/>
    <w:qFormat/>
    <w:pPr>
      <w:jc w:val="left"/>
      <w:widowControl/>
    </w:pPr>
    <w:rPr>
      <w:sz w:val="20"/>
      <w:szCs w:val="20"/>
      <w:lang w:val="de-DE" w:eastAsia="de-DE"/>
    </w:rPr>
  </w:style>
  <w:style w:type="paragraph" w:styleId="1002" w:customStyle="1">
    <w:name w:val="附录1"/>
    <w:uiPriority w:val="0"/>
    <w:qFormat/>
    <w:pPr>
      <w:numPr>
        <w:ilvl w:val="0"/>
        <w:numId w:val="2"/>
      </w:numPr>
      <w:spacing w:before="240" w:after="160" w:line="600" w:lineRule="atLeast"/>
    </w:pPr>
    <w:rPr>
      <w:rFonts w:hint="default" w:ascii="Times New Roman" w:hAnsi="Times New Roman" w:eastAsia="宋体" w:cs="Times New Roman"/>
      <w:b/>
      <w:i/>
      <w:sz w:val="28"/>
      <w:lang w:val="en-US" w:eastAsia="zh-CN" w:bidi="ar-SA"/>
    </w:rPr>
  </w:style>
  <w:style w:type="paragraph" w:styleId="1003"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Char Char Char Char"/>
    <w:basedOn w:val="939"/>
    <w:uiPriority w:val="0"/>
    <w:qFormat/>
    <w:pPr>
      <w:spacing w:line="360" w:lineRule="auto"/>
    </w:pPr>
    <w:rPr>
      <w:rFonts w:ascii="Tahoma" w:hAnsi="Tahoma"/>
      <w:sz w:val="24"/>
      <w:szCs w:val="24"/>
    </w:rPr>
  </w:style>
  <w:style w:type="paragraph" w:styleId="1005" w:customStyle="1">
    <w:name w:val="列出段落"/>
    <w:basedOn w:val="690"/>
    <w:uiPriority w:val="0"/>
    <w:qFormat/>
    <w:pPr>
      <w:contextualSpacing/>
      <w:ind w:left="720"/>
      <w:jc w:val="left"/>
      <w:widowControl/>
    </w:pPr>
    <w:rPr>
      <w:rFonts w:ascii="Calibri" w:hAnsi="Calibri"/>
      <w:sz w:val="24"/>
      <w:szCs w:val="24"/>
      <w:lang w:eastAsia="en-US" w:bidi="en-US"/>
    </w:rPr>
  </w:style>
  <w:style w:type="paragraph" w:styleId="1006" w:customStyle="1">
    <w:name w:val="4"/>
    <w:basedOn w:val="690"/>
    <w:next w:val="969"/>
    <w:uiPriority w:val="0"/>
    <w:qFormat/>
    <w:pPr>
      <w:ind w:firstLine="420"/>
      <w:spacing w:line="360" w:lineRule="auto"/>
    </w:pPr>
    <w:rPr>
      <w:color w:val="ff0000"/>
      <w:sz w:val="24"/>
      <w:szCs w:val="24"/>
    </w:rPr>
  </w:style>
  <w:style w:type="paragraph" w:styleId="1007"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1008" w:customStyle="1">
    <w:name w:val="Char Char Char Char Char Char Char Char Char Char"/>
    <w:basedOn w:val="690"/>
    <w:uiPriority w:val="0"/>
    <w:qFormat/>
    <w:pPr>
      <w:spacing w:line="360" w:lineRule="auto"/>
    </w:pPr>
    <w:rPr>
      <w:sz w:val="24"/>
      <w:szCs w:val="20"/>
    </w:rPr>
  </w:style>
  <w:style w:type="paragraph" w:styleId="1009" w:customStyle="1">
    <w:name w:val="样式1"/>
    <w:basedOn w:val="690"/>
    <w:uiPriority w:val="0"/>
    <w:qFormat/>
    <w:pPr>
      <w:numPr>
        <w:ilvl w:val="0"/>
        <w:numId w:val="3"/>
      </w:numPr>
    </w:pPr>
    <w:rPr>
      <w:rFonts w:ascii="宋体" w:hAnsi="宋体"/>
    </w:rPr>
  </w:style>
  <w:style w:type="paragraph" w:styleId="1010"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1014"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690"/>
    <w:uiPriority w:val="0"/>
    <w:qFormat/>
    <w:pPr>
      <w:jc w:val="left"/>
      <w:spacing w:line="240" w:lineRule="exact"/>
      <w:widowControl/>
    </w:pPr>
    <w:rPr>
      <w:rFonts w:ascii="Verdana" w:hAnsi="Verdana"/>
      <w:sz w:val="20"/>
      <w:szCs w:val="20"/>
      <w:lang w:eastAsia="en-US"/>
    </w:rPr>
  </w:style>
  <w:style w:type="paragraph" w:styleId="1017"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Char Char Char Char Char Char Char Char1"/>
    <w:basedOn w:val="690"/>
    <w:uiPriority w:val="0"/>
    <w:qFormat/>
    <w:pPr>
      <w:jc w:val="left"/>
      <w:spacing w:line="240" w:lineRule="exact"/>
      <w:widowControl/>
    </w:pPr>
    <w:rPr>
      <w:rFonts w:ascii="Verdana" w:hAnsi="Verdana"/>
      <w:sz w:val="20"/>
      <w:szCs w:val="20"/>
      <w:lang w:eastAsia="en-US"/>
    </w:rPr>
  </w:style>
  <w:style w:type="paragraph" w:styleId="1019"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1020" w:customStyle="1">
    <w:name w:val="Char Char Char Char1"/>
    <w:basedOn w:val="939"/>
    <w:uiPriority w:val="0"/>
    <w:qFormat/>
    <w:pPr>
      <w:spacing w:line="360" w:lineRule="auto"/>
    </w:pPr>
    <w:rPr>
      <w:rFonts w:ascii="Tahoma" w:hAnsi="Tahoma"/>
      <w:sz w:val="24"/>
      <w:szCs w:val="24"/>
    </w:rPr>
  </w:style>
  <w:style w:type="paragraph" w:styleId="1021" w:customStyle="1">
    <w:name w:val="table_1stline"/>
    <w:basedOn w:val="690"/>
    <w:uiPriority w:val="0"/>
    <w:qFormat/>
    <w:pPr>
      <w:jc w:val="left"/>
      <w:spacing w:before="120"/>
      <w:widowControl/>
    </w:pPr>
    <w:rPr>
      <w:bCs/>
      <w:sz w:val="20"/>
      <w:szCs w:val="20"/>
      <w:lang w:val="de-DE" w:eastAsia="de-DE"/>
    </w:rPr>
  </w:style>
  <w:style w:type="paragraph" w:styleId="1022"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修订1"/>
    <w:uiPriority w:val="99"/>
    <w:semiHidden/>
    <w:qFormat/>
    <w:pPr>
      <w:spacing w:after="160" w:line="278" w:lineRule="auto"/>
    </w:pPr>
    <w:rPr>
      <w:rFonts w:hint="default" w:ascii="Times New Roman" w:hAnsi="Times New Roman" w:eastAsia="宋体" w:cs="Times New Roman"/>
      <w:sz w:val="21"/>
      <w:szCs w:val="21"/>
      <w:lang w:val="en-US" w:eastAsia="zh-CN" w:bidi="ar-SA"/>
    </w:rPr>
  </w:style>
  <w:style w:type="paragraph" w:styleId="1025" w:customStyle="1">
    <w:name w:val="无间隔1"/>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character" w:styleId="1026" w:customStyle="1">
    <w:name w:val="批注文字 字符"/>
    <w:basedOn w:val="700"/>
    <w:link w:val="705"/>
    <w:uiPriority w:val="99"/>
    <w:semiHidden/>
    <w:qFormat/>
    <w:rPr>
      <w:rFonts w:ascii="Times New Roman" w:hAnsi="Times New Roman"/>
      <w:sz w:val="21"/>
      <w:szCs w:val="21"/>
    </w:rPr>
  </w:style>
  <w:style w:type="character" w:styleId="1027" w:customStyle="1">
    <w:name w:val="批注主题 字符"/>
    <w:basedOn w:val="1026"/>
    <w:link w:val="723"/>
    <w:uiPriority w:val="99"/>
    <w:semiHidden/>
    <w:qFormat/>
    <w:rPr>
      <w:rFonts w:ascii="Times New Roman" w:hAnsi="Times New Roman"/>
      <w:b/>
      <w:bCs/>
      <w:sz w:val="21"/>
      <w:szCs w:val="21"/>
    </w:rPr>
  </w:style>
  <w:style w:type="numbering" w:styleId="3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59</cp:revision>
  <dcterms:created xsi:type="dcterms:W3CDTF">2023-11-07T06:50:00Z</dcterms:created>
  <dcterms:modified xsi:type="dcterms:W3CDTF">2026-04-23T06:34:14Z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eyJoZGlkIjoiMzM0ZjY4NjBhNDExMGJiZmJjZTMxNmJkMjI1NDU2M2QifQ==</vt:lpwstr>
  </property>
  <property fmtid="{D5CDD505-2E9C-101B-9397-08002B2CF9AE}" pid="4" name="ICV">
    <vt:lpwstr>4ECCF26E469B46AABA58AE09C3A36627_12</vt:lpwstr>
  </property>
</Properties>
</file>