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center"/>
        <w:spacing w:before="75" w:beforeAutospacing="0" w:after="75" w:afterAutospacing="0" w:line="360" w:lineRule="auto"/>
        <w:widowControl/>
        <w:rPr>
          <w:rStyle w:val="875"/>
          <w:rFonts w:ascii="宋体" w:hAnsi="宋体" w:cs="宋体"/>
          <w:sz w:val="72"/>
          <w:szCs w:val="72"/>
        </w:rPr>
      </w:pPr>
      <w:r>
        <w:rPr>
          <w:rStyle w:val="875"/>
          <w:rFonts w:hint="eastAsia" w:ascii="宋体" w:hAnsi="宋体" w:cs="宋体"/>
          <w:sz w:val="72"/>
          <w:szCs w:val="72"/>
        </w:rPr>
        <w:t xml:space="preserve">                                                                                                                                                                                                        </w:t>
      </w:r>
      <w:r/>
    </w:p>
    <w:p>
      <w:pPr>
        <w:pStyle w:val="870"/>
        <w:jc w:val="center"/>
        <w:spacing w:before="75" w:beforeAutospacing="0" w:after="75" w:afterAutospacing="0" w:line="360" w:lineRule="auto"/>
        <w:widowControl/>
        <w:rPr>
          <w:rStyle w:val="875"/>
          <w:rFonts w:ascii="宋体" w:hAnsi="宋体" w:cs="宋体"/>
          <w:sz w:val="64"/>
          <w:szCs w:val="64"/>
        </w:rPr>
      </w:pPr>
      <w:r>
        <w:rPr>
          <w:rStyle w:val="875"/>
          <w:rFonts w:hint="eastAsia" w:ascii="宋体" w:hAnsi="宋体" w:cs="宋体"/>
          <w:sz w:val="64"/>
          <w:szCs w:val="64"/>
        </w:rPr>
        <w:t xml:space="preserve">苏州市相城区政府采购</w:t>
      </w:r>
      <w:r/>
    </w:p>
    <w:p>
      <w:pPr>
        <w:pStyle w:val="870"/>
        <w:jc w:val="center"/>
        <w:spacing w:before="75" w:beforeAutospacing="0" w:after="75" w:afterAutospacing="0" w:line="360" w:lineRule="auto"/>
        <w:widowControl/>
        <w:rPr>
          <w:rStyle w:val="875"/>
          <w:rFonts w:ascii="宋体" w:hAnsi="宋体" w:cs="宋体"/>
          <w:sz w:val="64"/>
          <w:szCs w:val="64"/>
        </w:rPr>
      </w:pPr>
      <w:r>
        <w:rPr>
          <w:rStyle w:val="875"/>
          <w:rFonts w:hint="eastAsia" w:ascii="宋体" w:hAnsi="宋体" w:cs="宋体"/>
          <w:sz w:val="64"/>
          <w:szCs w:val="64"/>
        </w:rPr>
        <w:t xml:space="preserve">招 标 文 件</w:t>
      </w:r>
      <w:r/>
    </w:p>
    <w:p>
      <w:pPr>
        <w:pStyle w:val="870"/>
        <w:spacing w:before="75" w:beforeAutospacing="0" w:after="75" w:afterAutospacing="0" w:line="360" w:lineRule="auto"/>
        <w:widowControl/>
        <w:rPr>
          <w:rFonts w:ascii="宋体" w:hAnsi="宋体" w:cs="宋体"/>
        </w:rPr>
      </w:pPr>
      <w:r>
        <w:rPr>
          <w:rFonts w:ascii="宋体" w:hAnsi="宋体" w:cs="宋体"/>
        </w:rPr>
      </w:r>
      <w:r/>
    </w:p>
    <w:p>
      <w:pPr>
        <w:pStyle w:val="870"/>
        <w:spacing w:before="75" w:beforeAutospacing="0" w:after="75" w:afterAutospacing="0" w:line="360" w:lineRule="auto"/>
        <w:widowControl/>
        <w:rPr>
          <w:rFonts w:ascii="宋体" w:hAnsi="宋体" w:cs="宋体"/>
        </w:rPr>
      </w:pPr>
      <w:r>
        <w:rPr>
          <w:rFonts w:ascii="宋体" w:hAnsi="宋体" w:cs="宋体"/>
        </w:rPr>
      </w:r>
      <w:r/>
    </w:p>
    <w:p>
      <w:pPr>
        <w:pStyle w:val="870"/>
        <w:jc w:val="both"/>
        <w:spacing w:before="75" w:beforeAutospacing="0" w:after="75" w:afterAutospacing="0" w:line="360" w:lineRule="auto"/>
        <w:widowControl/>
        <w:rPr>
          <w:rStyle w:val="875"/>
          <w:rFonts w:ascii="宋体" w:hAnsi="宋体" w:cs="宋体"/>
          <w:sz w:val="30"/>
          <w:szCs w:val="30"/>
        </w:rPr>
      </w:pPr>
      <w:r>
        <w:rPr>
          <w:rFonts w:ascii="宋体" w:hAnsi="宋体" w:cs="宋体"/>
          <w:sz w:val="30"/>
          <w:szCs w:val="30"/>
        </w:rPr>
      </w:r>
      <w:r/>
    </w:p>
    <w:p>
      <w:pPr>
        <w:pStyle w:val="870"/>
        <w:ind w:firstLine="904"/>
        <w:jc w:val="both"/>
        <w:spacing w:before="75" w:beforeAutospacing="0" w:after="75" w:afterAutospacing="0" w:line="360" w:lineRule="auto"/>
        <w:widowControl/>
        <w:rPr>
          <w:rStyle w:val="875"/>
          <w:rFonts w:ascii="宋体" w:hAnsi="宋体" w:cs="宋体"/>
          <w:sz w:val="30"/>
          <w:szCs w:val="30"/>
        </w:rPr>
      </w:pPr>
      <w:r>
        <w:rPr>
          <w:rStyle w:val="875"/>
          <w:rFonts w:hint="eastAsia" w:ascii="宋体" w:hAnsi="宋体" w:cs="宋体"/>
          <w:sz w:val="30"/>
          <w:szCs w:val="30"/>
        </w:rPr>
        <w:t xml:space="preserve">采购编号：JSZC-320507-SZST-G2026-0020</w:t>
      </w:r>
      <w:r/>
    </w:p>
    <w:p>
      <w:pPr>
        <w:pStyle w:val="870"/>
        <w:ind w:left="2401" w:hanging="1506"/>
        <w:jc w:val="both"/>
        <w:spacing w:before="75" w:beforeAutospacing="0" w:after="75" w:afterAutospacing="0" w:line="360" w:lineRule="auto"/>
        <w:widowControl/>
        <w:rPr>
          <w:rFonts w:ascii="宋体" w:hAnsi="宋体" w:cs="宋体"/>
        </w:rPr>
      </w:pPr>
      <w:r>
        <w:rPr>
          <w:rStyle w:val="875"/>
          <w:rFonts w:hint="eastAsia" w:ascii="宋体" w:hAnsi="宋体" w:cs="宋体"/>
          <w:sz w:val="30"/>
          <w:szCs w:val="30"/>
        </w:rPr>
        <w:t xml:space="preserve">项目名称：2026年阳澄湖水质监测浮船站项目</w:t>
      </w:r>
      <w:r/>
    </w:p>
    <w:p>
      <w:pPr>
        <w:pStyle w:val="870"/>
        <w:ind w:firstLine="904"/>
        <w:jc w:val="both"/>
        <w:spacing w:before="75" w:beforeAutospacing="0" w:after="75" w:afterAutospacing="0" w:line="360" w:lineRule="auto"/>
        <w:widowControl/>
        <w:rPr>
          <w:rFonts w:ascii="宋体" w:hAnsi="宋体" w:cs="宋体"/>
        </w:rPr>
      </w:pPr>
      <w:r>
        <w:rPr>
          <w:rStyle w:val="875"/>
          <w:rFonts w:hint="eastAsia" w:ascii="宋体" w:hAnsi="宋体" w:cs="宋体"/>
          <w:sz w:val="30"/>
          <w:szCs w:val="30"/>
        </w:rPr>
        <w:t xml:space="preserve">采 购 人：苏州市相城生态环境局</w:t>
      </w:r>
      <w:r/>
    </w:p>
    <w:p>
      <w:pPr>
        <w:pStyle w:val="870"/>
        <w:ind w:firstLine="904"/>
        <w:jc w:val="both"/>
        <w:spacing w:before="75" w:beforeAutospacing="0" w:after="75" w:afterAutospacing="0" w:line="360" w:lineRule="auto"/>
        <w:widowControl/>
        <w:rPr>
          <w:rStyle w:val="875"/>
          <w:rFonts w:ascii="宋体" w:hAnsi="宋体" w:cs="宋体"/>
          <w:sz w:val="30"/>
          <w:szCs w:val="30"/>
        </w:rPr>
      </w:pPr>
      <w:r>
        <w:rPr>
          <w:rStyle w:val="875"/>
          <w:rFonts w:hint="eastAsia" w:ascii="宋体" w:hAnsi="宋体" w:cs="宋体"/>
          <w:sz w:val="30"/>
          <w:szCs w:val="30"/>
        </w:rPr>
        <w:t xml:space="preserve">代理机构：苏州市天美达招投标咨询服务有限公司</w:t>
      </w:r>
      <w:r/>
    </w:p>
    <w:p>
      <w:pPr>
        <w:pStyle w:val="870"/>
        <w:ind w:firstLine="904"/>
        <w:jc w:val="both"/>
        <w:spacing w:before="75" w:beforeAutospacing="0" w:after="75" w:afterAutospacing="0" w:line="360" w:lineRule="auto"/>
        <w:widowControl/>
        <w:rPr>
          <w:rFonts w:ascii="宋体" w:hAnsi="宋体" w:cs="宋体"/>
        </w:rPr>
      </w:pPr>
      <w:r>
        <w:rPr>
          <w:rStyle w:val="875"/>
          <w:rFonts w:hint="eastAsia" w:ascii="宋体" w:hAnsi="宋体" w:cs="宋体"/>
          <w:sz w:val="30"/>
          <w:szCs w:val="30"/>
        </w:rPr>
        <w:t xml:space="preserve">采购类别：货物类</w:t>
      </w:r>
      <w:r/>
    </w:p>
    <w:p>
      <w:pPr>
        <w:pStyle w:val="870"/>
        <w:spacing w:before="75" w:beforeAutospacing="0" w:after="75" w:afterAutospacing="0" w:line="360" w:lineRule="auto"/>
        <w:widowControl/>
        <w:rPr>
          <w:rStyle w:val="875"/>
          <w:rFonts w:ascii="宋体" w:hAnsi="宋体" w:cs="宋体"/>
          <w:b w:val="0"/>
        </w:rPr>
      </w:pPr>
      <w:r>
        <w:rPr>
          <w:rFonts w:hint="eastAsia" w:ascii="宋体" w:hAnsi="宋体" w:cs="宋体"/>
        </w:rPr>
        <w:t xml:space="preserve"> </w:t>
      </w:r>
      <w:r/>
    </w:p>
    <w:p>
      <w:pPr>
        <w:pStyle w:val="870"/>
        <w:jc w:val="center"/>
        <w:spacing w:before="75" w:beforeAutospacing="0" w:after="75" w:afterAutospacing="0" w:line="360" w:lineRule="auto"/>
        <w:widowControl/>
        <w:rPr>
          <w:rStyle w:val="875"/>
          <w:rFonts w:ascii="宋体" w:hAnsi="宋体" w:cs="宋体"/>
          <w:sz w:val="28"/>
          <w:szCs w:val="28"/>
        </w:rPr>
      </w:pPr>
      <w:r>
        <w:rPr>
          <w:rFonts w:ascii="宋体" w:hAnsi="宋体" w:cs="宋体"/>
          <w:sz w:val="28"/>
          <w:szCs w:val="28"/>
        </w:rPr>
      </w:r>
      <w:r/>
    </w:p>
    <w:p>
      <w:pPr>
        <w:pStyle w:val="870"/>
        <w:jc w:val="center"/>
        <w:spacing w:before="75" w:beforeAutospacing="0" w:after="75" w:afterAutospacing="0" w:line="360" w:lineRule="auto"/>
        <w:widowControl/>
        <w:rPr>
          <w:rStyle w:val="875"/>
          <w:rFonts w:ascii="宋体" w:hAnsi="宋体" w:cs="宋体"/>
          <w:sz w:val="28"/>
          <w:szCs w:val="28"/>
        </w:rPr>
      </w:pPr>
      <w:r>
        <w:rPr>
          <w:rFonts w:ascii="宋体" w:hAnsi="宋体" w:cs="宋体"/>
          <w:sz w:val="28"/>
          <w:szCs w:val="28"/>
        </w:rPr>
      </w:r>
      <w:r/>
    </w:p>
    <w:p>
      <w:pPr>
        <w:pStyle w:val="870"/>
        <w:jc w:val="center"/>
        <w:spacing w:before="75" w:beforeAutospacing="0" w:after="75" w:afterAutospacing="0" w:line="360" w:lineRule="auto"/>
        <w:widowControl/>
        <w:rPr>
          <w:rStyle w:val="875"/>
          <w:rFonts w:ascii="宋体" w:hAnsi="宋体" w:cs="宋体"/>
          <w:sz w:val="32"/>
          <w:szCs w:val="28"/>
        </w:rPr>
      </w:pPr>
      <w:r/>
      <w:bookmarkStart w:id="0" w:name="XTSCRQ_1"/>
      <w:r>
        <w:rPr>
          <w:rStyle w:val="875"/>
          <w:rFonts w:hint="eastAsia" w:ascii="宋体" w:hAnsi="宋体" w:cs="宋体"/>
          <w:sz w:val="32"/>
          <w:szCs w:val="28"/>
        </w:rPr>
        <w:t xml:space="preserve">2026年4月</w:t>
      </w:r>
      <w:bookmarkEnd w:id="0"/>
      <w:r/>
      <w:r/>
    </w:p>
    <w:p>
      <w:pPr>
        <w:spacing w:line="360" w:lineRule="auto"/>
        <w:rPr>
          <w:rFonts w:ascii="宋体" w:hAnsi="宋体" w:cs="宋体"/>
        </w:rPr>
      </w:pPr>
      <w:r>
        <w:rPr>
          <w:rFonts w:ascii="宋体" w:hAnsi="宋体" w:cs="宋体"/>
        </w:rPr>
      </w:r>
      <w:r/>
    </w:p>
    <w:p>
      <w:pPr>
        <w:jc w:val="center"/>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br w:type="page" w:clear="all"/>
      </w: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spacing w:line="360" w:lineRule="auto"/>
        <w:rPr>
          <w:rFonts w:ascii="宋体" w:hAnsi="宋体" w:cs="宋体"/>
          <w:sz w:val="36"/>
          <w:szCs w:val="36"/>
        </w:rPr>
      </w:pPr>
      <w:r>
        <w:rPr>
          <w:rFonts w:hint="eastAsia" w:ascii="宋体" w:hAnsi="宋体" w:cs="宋体"/>
          <w:sz w:val="36"/>
          <w:szCs w:val="36"/>
        </w:rPr>
        <w:t xml:space="preserve">第一章 投标邀请函</w:t>
      </w:r>
      <w:r/>
    </w:p>
    <w:p>
      <w:pPr>
        <w:spacing w:line="360" w:lineRule="auto"/>
        <w:rPr>
          <w:rFonts w:ascii="宋体" w:hAnsi="宋体" w:cs="宋体"/>
          <w:sz w:val="36"/>
          <w:szCs w:val="36"/>
        </w:rPr>
      </w:pPr>
      <w:r>
        <w:rPr>
          <w:rFonts w:hint="eastAsia" w:ascii="宋体" w:hAnsi="宋体" w:cs="宋体"/>
          <w:sz w:val="36"/>
          <w:szCs w:val="36"/>
        </w:rPr>
        <w:t xml:space="preserve">第二章 投标人须知</w:t>
      </w:r>
      <w:r/>
    </w:p>
    <w:p>
      <w:pPr>
        <w:spacing w:line="360" w:lineRule="auto"/>
        <w:rPr>
          <w:rFonts w:ascii="宋体" w:hAnsi="宋体" w:cs="宋体"/>
          <w:sz w:val="36"/>
          <w:szCs w:val="36"/>
        </w:rPr>
      </w:pPr>
      <w:r>
        <w:rPr>
          <w:rFonts w:hint="eastAsia" w:ascii="宋体" w:hAnsi="宋体" w:cs="宋体"/>
          <w:sz w:val="36"/>
          <w:szCs w:val="36"/>
        </w:rPr>
        <w:t xml:space="preserve">第三章 投标文件格式</w:t>
      </w:r>
      <w:r/>
    </w:p>
    <w:p>
      <w:pPr>
        <w:spacing w:line="360" w:lineRule="auto"/>
        <w:rPr>
          <w:rFonts w:ascii="宋体" w:hAnsi="宋体" w:cs="宋体"/>
          <w:sz w:val="36"/>
          <w:szCs w:val="36"/>
        </w:rPr>
      </w:pPr>
      <w:r>
        <w:rPr>
          <w:rFonts w:hint="eastAsia" w:ascii="宋体" w:hAnsi="宋体" w:cs="宋体"/>
          <w:sz w:val="36"/>
          <w:szCs w:val="36"/>
        </w:rPr>
        <w:t xml:space="preserve">第四章 招标书</w:t>
      </w:r>
      <w:r/>
    </w:p>
    <w:p>
      <w:pPr>
        <w:spacing w:line="360" w:lineRule="auto"/>
        <w:rPr>
          <w:rFonts w:ascii="宋体" w:hAnsi="宋体" w:cs="宋体"/>
          <w:sz w:val="36"/>
          <w:szCs w:val="36"/>
        </w:rPr>
      </w:pPr>
      <w:r>
        <w:rPr>
          <w:rFonts w:hint="eastAsia" w:ascii="宋体" w:hAnsi="宋体" w:cs="宋体"/>
          <w:sz w:val="36"/>
          <w:szCs w:val="36"/>
        </w:rPr>
        <w:t xml:space="preserve">第五章 合同主要条款</w:t>
      </w:r>
      <w:r/>
    </w:p>
    <w:p>
      <w:pPr>
        <w:spacing w:line="360" w:lineRule="auto"/>
        <w:rPr>
          <w:rFonts w:ascii="宋体" w:hAnsi="宋体" w:cs="宋体"/>
          <w:sz w:val="36"/>
          <w:szCs w:val="36"/>
        </w:rPr>
      </w:pPr>
      <w:r>
        <w:rPr>
          <w:rFonts w:hint="eastAsia" w:ascii="宋体" w:hAnsi="宋体" w:cs="宋体"/>
          <w:sz w:val="36"/>
          <w:szCs w:val="36"/>
        </w:rPr>
        <w:t xml:space="preserve">第六章 评标办法及评分标准</w:t>
      </w:r>
      <w:r/>
    </w:p>
    <w:p>
      <w:pPr>
        <w:spacing w:line="360" w:lineRule="auto"/>
        <w:rPr>
          <w:rFonts w:ascii="宋体" w:hAnsi="宋体" w:cs="宋体"/>
          <w:sz w:val="44"/>
          <w:szCs w:val="44"/>
        </w:rPr>
      </w:pPr>
      <w:r>
        <w:rPr>
          <w:rFonts w:ascii="宋体" w:hAnsi="宋体" w:cs="宋体"/>
          <w:sz w:val="44"/>
          <w:szCs w:val="44"/>
        </w:rPr>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rPr>
        <w:outlineLvl w:val="0"/>
      </w:pPr>
      <w:r>
        <w:rPr>
          <w:rStyle w:val="875"/>
          <w:rFonts w:hint="eastAsia" w:ascii="宋体" w:hAnsi="宋体" w:cs="宋体"/>
          <w:szCs w:val="43"/>
        </w:rPr>
        <w:br w:type="page" w:clear="all"/>
      </w:r>
      <w:r>
        <w:rPr>
          <w:rFonts w:hint="eastAsia" w:ascii="宋体" w:hAnsi="宋体" w:cs="宋体"/>
          <w:b/>
          <w:sz w:val="44"/>
          <w:szCs w:val="44"/>
          <w:lang w:val="zh-CN"/>
        </w:rPr>
        <w:t xml:space="preserve">第一章 投标邀请函</w:t>
      </w:r>
      <w:r/>
    </w:p>
    <w:p>
      <w:pPr>
        <w:jc w:val="left"/>
        <w:spacing w:line="360" w:lineRule="auto"/>
        <w:rPr>
          <w:rFonts w:ascii="宋体" w:hAnsi="宋体" w:cs="宋体"/>
          <w:sz w:val="24"/>
          <w:szCs w:val="22"/>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sz w:val="24"/>
          <w:szCs w:val="22"/>
          <w:lang w:bidi="ar"/>
        </w:rPr>
        <w:t xml:space="preserve">项目概况</w:t>
      </w:r>
      <w:r/>
    </w:p>
    <w:p>
      <w:pPr>
        <w:ind w:firstLine="480"/>
        <w:jc w:val="left"/>
        <w:spacing w:line="360" w:lineRule="auto"/>
        <w:rPr>
          <w:rFonts w:ascii="宋体" w:hAnsi="宋体" w:cs="宋体"/>
          <w:sz w:val="24"/>
          <w:szCs w:val="22"/>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2"/>
          <w:u w:val="single"/>
          <w:lang w:bidi="ar"/>
        </w:rPr>
        <w:t xml:space="preserve">2026年阳澄湖水质监测浮船站项目</w:t>
      </w:r>
      <w:r>
        <w:rPr>
          <w:rFonts w:hint="eastAsia" w:ascii="宋体" w:hAnsi="宋体" w:cs="宋体"/>
          <w:sz w:val="24"/>
          <w:szCs w:val="22"/>
          <w:lang w:bidi="ar"/>
        </w:rPr>
        <w:t xml:space="preserve">的潜在投标人应在</w:t>
      </w:r>
      <w:r>
        <w:rPr>
          <w:rFonts w:hint="eastAsia" w:ascii="宋体" w:hAnsi="宋体" w:cs="宋体"/>
          <w:sz w:val="24"/>
          <w:szCs w:val="22"/>
          <w:u w:val="single"/>
          <w:lang w:bidi="ar"/>
        </w:rPr>
        <w:t xml:space="preserve">“苏采云”系统</w:t>
      </w:r>
      <w:r>
        <w:rPr>
          <w:rFonts w:hint="eastAsia" w:ascii="宋体" w:hAnsi="宋体" w:cs="宋体"/>
          <w:sz w:val="24"/>
          <w:szCs w:val="22"/>
          <w:lang w:bidi="ar"/>
        </w:rPr>
        <w:t xml:space="preserve">获取招标文件，并于</w:t>
      </w:r>
      <w:r>
        <w:rPr>
          <w:rFonts w:hint="eastAsia" w:ascii="宋体" w:hAnsi="宋体" w:cs="宋体"/>
          <w:bCs/>
          <w:sz w:val="24"/>
          <w:szCs w:val="22"/>
          <w:u w:val="single"/>
          <w:lang w:bidi="ar"/>
        </w:rPr>
        <w:t xml:space="preserve">2026年5月21日13点30分</w:t>
      </w:r>
      <w:r>
        <w:rPr>
          <w:rFonts w:hint="eastAsia" w:ascii="宋体" w:hAnsi="宋体" w:cs="宋体"/>
          <w:bCs/>
          <w:sz w:val="24"/>
          <w:szCs w:val="22"/>
          <w:lang w:bidi="ar"/>
        </w:rPr>
        <w:t xml:space="preserve">（北京时间）前提交投标文件</w:t>
      </w:r>
      <w:r>
        <w:rPr>
          <w:rFonts w:hint="eastAsia" w:ascii="宋体" w:hAnsi="宋体" w:cs="宋体"/>
          <w:sz w:val="24"/>
          <w:szCs w:val="22"/>
          <w:lang w:bidi="ar"/>
        </w:rPr>
        <w:t xml:space="preserve">。</w:t>
      </w:r>
      <w:r/>
    </w:p>
    <w:p>
      <w:pPr>
        <w:pStyle w:val="843"/>
        <w:ind w:firstLine="480"/>
        <w:jc w:val="both"/>
        <w:spacing w:line="360" w:lineRule="auto"/>
        <w:widowControl/>
        <w:rPr>
          <w:rFonts w:ascii="宋体" w:hAnsi="宋体" w:eastAsia="宋体" w:cs="宋体"/>
          <w:b/>
          <w:bCs/>
          <w:sz w:val="24"/>
        </w:rPr>
      </w:pPr>
      <w:r>
        <w:rPr>
          <w:rFonts w:hint="eastAsia" w:ascii="宋体" w:hAnsi="宋体" w:eastAsia="宋体" w:cs="宋体"/>
          <w:b/>
          <w:bCs/>
          <w:sz w:val="24"/>
        </w:rPr>
        <w:t xml:space="preserve">一、项目基本情况</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1.项目编号：JSZC-320507-SZST-G2026-0020</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2.项目名称：2026年阳澄湖水质监测浮船站项目</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3.采购方式：公开招标</w:t>
      </w:r>
      <w:r/>
    </w:p>
    <w:p>
      <w:pPr>
        <w:pStyle w:val="843"/>
        <w:ind w:firstLine="480"/>
        <w:jc w:val="both"/>
        <w:spacing w:line="360" w:lineRule="auto"/>
        <w:widowControl/>
        <w:rPr>
          <w:rFonts w:ascii="宋体" w:hAnsi="宋体" w:eastAsia="宋体" w:cs="宋体"/>
          <w:sz w:val="24"/>
          <w:highlight w:val="white"/>
        </w:rPr>
      </w:pPr>
      <w:r>
        <w:rPr>
          <w:rFonts w:hint="eastAsia" w:ascii="宋体" w:hAnsi="宋体" w:eastAsia="宋体" w:cs="宋体"/>
          <w:sz w:val="24"/>
        </w:rPr>
        <w:t xml:space="preserve">4.预</w:t>
      </w:r>
      <w:r>
        <w:rPr>
          <w:rFonts w:hint="eastAsia" w:ascii="宋体" w:hAnsi="宋体" w:eastAsia="宋体" w:cs="宋体"/>
          <w:sz w:val="24"/>
          <w:highlight w:val="white"/>
        </w:rPr>
        <w:t xml:space="preserve">算金额（最高限价）：</w:t>
      </w:r>
      <w:bookmarkStart w:id="2" w:name="OLE_LINK42"/>
      <w:r/>
      <w:bookmarkStart w:id="3" w:name="OLE_LINK43"/>
      <w:r>
        <w:rPr>
          <w:rFonts w:hint="eastAsia" w:ascii="宋体" w:hAnsi="宋体" w:eastAsia="宋体" w:cs="宋体"/>
          <w:sz w:val="24"/>
          <w:highlight w:val="white"/>
        </w:rPr>
        <w:t xml:space="preserve">人民币</w:t>
      </w:r>
      <w:bookmarkStart w:id="4" w:name="OLE_LINK22"/>
      <w:r/>
      <w:bookmarkStart w:id="5" w:name="OLE_LINK23"/>
      <w:r>
        <w:rPr>
          <w:rFonts w:hint="eastAsia" w:ascii="宋体" w:hAnsi="宋体" w:eastAsia="宋体" w:cs="宋体"/>
          <w:sz w:val="24"/>
          <w:highlight w:val="white"/>
        </w:rPr>
        <w:t xml:space="preserve">壹</w:t>
      </w:r>
      <w:bookmarkEnd w:id="4"/>
      <w:r/>
      <w:bookmarkEnd w:id="5"/>
      <w:r>
        <w:rPr>
          <w:rFonts w:hint="eastAsia" w:ascii="宋体" w:hAnsi="宋体" w:eastAsia="宋体" w:cs="宋体"/>
          <w:sz w:val="24"/>
          <w:highlight w:val="white"/>
        </w:rPr>
        <w:t xml:space="preserve">佰壹拾万元整（￥1,100,000.00元）</w:t>
      </w:r>
      <w:bookmarkEnd w:id="2"/>
      <w:r/>
      <w:bookmarkEnd w:id="3"/>
      <w:r/>
      <w:r/>
    </w:p>
    <w:p>
      <w:pPr>
        <w:pStyle w:val="843"/>
        <w:ind w:firstLine="480"/>
        <w:jc w:val="both"/>
        <w:spacing w:line="360" w:lineRule="auto"/>
        <w:widowControl/>
        <w:rPr>
          <w:rFonts w:ascii="宋体" w:hAnsi="宋体" w:eastAsia="宋体" w:cs="宋体"/>
          <w:sz w:val="24"/>
          <w:highlight w:val="white"/>
        </w:rPr>
      </w:pPr>
      <w:r>
        <w:rPr>
          <w:rFonts w:hint="eastAsia" w:ascii="宋体" w:hAnsi="宋体" w:eastAsia="宋体" w:cs="宋体"/>
          <w:sz w:val="24"/>
          <w:highlight w:val="white"/>
        </w:rPr>
        <w:t xml:space="preserve">6.采购需求：</w:t>
      </w:r>
      <w:r>
        <w:rPr>
          <w:rFonts w:hint="eastAsia" w:ascii="宋体" w:hAnsi="宋体" w:eastAsia="宋体" w:cs="宋体"/>
          <w:sz w:val="24"/>
        </w:rPr>
        <w:t xml:space="preserve">拟采购1套浮船式水质自动监测站，用于阳澄湖湖区水质在线监测。</w:t>
      </w:r>
      <w:r/>
    </w:p>
    <w:p>
      <w:pPr>
        <w:ind w:firstLine="480"/>
        <w:spacing w:line="360" w:lineRule="auto"/>
        <w:rPr>
          <w:rFonts w:ascii="宋体" w:hAnsi="宋体"/>
          <w:sz w:val="24"/>
        </w:rPr>
      </w:pPr>
      <w:r>
        <w:rPr>
          <w:rFonts w:hint="eastAsia" w:ascii="宋体" w:hAnsi="宋体" w:cs="宋体"/>
          <w:sz w:val="24"/>
          <w:highlight w:val="white"/>
        </w:rPr>
        <w:t xml:space="preserve">7.合同履行期限：</w:t>
      </w:r>
      <w:r>
        <w:rPr>
          <w:rFonts w:hint="eastAsia" w:ascii="宋体" w:hAnsi="宋体" w:cs="宋体"/>
          <w:sz w:val="24"/>
        </w:rPr>
        <w:t xml:space="preserve">签订合同后30天内完成供货、安装、调试、检测并投入试运行，试运行结束且</w:t>
      </w:r>
      <w:bookmarkStart w:id="6" w:name="OLE_LINK235"/>
      <w:r/>
      <w:bookmarkStart w:id="7" w:name="OLE_LINK234"/>
      <w:r/>
      <w:bookmarkStart w:id="8" w:name="OLE_LINK233"/>
      <w:r/>
      <w:bookmarkStart w:id="9" w:name="OLE_LINK232"/>
      <w:r>
        <w:rPr>
          <w:rFonts w:hint="eastAsia" w:ascii="宋体" w:hAnsi="宋体" w:cs="宋体"/>
          <w:sz w:val="24"/>
        </w:rPr>
        <w:t xml:space="preserve">项目建设整体</w:t>
      </w:r>
      <w:bookmarkEnd w:id="6"/>
      <w:r/>
      <w:bookmarkEnd w:id="7"/>
      <w:r>
        <w:rPr>
          <w:rFonts w:hint="eastAsia" w:ascii="宋体" w:hAnsi="宋体" w:cs="宋体"/>
          <w:sz w:val="24"/>
        </w:rPr>
        <w:t xml:space="preserve">验收</w:t>
      </w:r>
      <w:bookmarkEnd w:id="8"/>
      <w:r/>
      <w:bookmarkEnd w:id="9"/>
      <w:r>
        <w:rPr>
          <w:rFonts w:hint="eastAsia" w:ascii="宋体" w:hAnsi="宋体" w:cs="宋体"/>
          <w:sz w:val="24"/>
        </w:rPr>
        <w:t xml:space="preserve">合格之日起</w:t>
      </w:r>
      <w:r>
        <w:rPr>
          <w:rFonts w:hint="eastAsia" w:ascii="宋体" w:hAnsi="宋体"/>
          <w:sz w:val="24"/>
        </w:rPr>
        <w:t xml:space="preserve">提供两年的运维服务。</w:t>
      </w:r>
      <w:r/>
    </w:p>
    <w:p>
      <w:pPr>
        <w:pStyle w:val="843"/>
        <w:ind w:firstLine="480"/>
        <w:jc w:val="both"/>
        <w:spacing w:line="360" w:lineRule="auto"/>
        <w:widowControl/>
        <w:rPr>
          <w:rFonts w:ascii="宋体" w:hAnsi="宋体" w:eastAsia="宋体" w:cs="宋体"/>
          <w:sz w:val="24"/>
          <w:highlight w:val="white"/>
        </w:rPr>
      </w:pPr>
      <w:r>
        <w:rPr>
          <w:rFonts w:hint="eastAsia" w:ascii="宋体" w:hAnsi="宋体" w:eastAsia="宋体" w:cs="宋体"/>
          <w:sz w:val="24"/>
          <w:highlight w:val="white"/>
        </w:rPr>
        <w:t xml:space="preserve">8.本项目不接受联合体投标。</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9.本次招标不接受进口产品投标。</w:t>
      </w:r>
      <w:r/>
    </w:p>
    <w:p>
      <w:pPr>
        <w:pStyle w:val="843"/>
        <w:ind w:firstLine="480"/>
        <w:jc w:val="both"/>
        <w:spacing w:line="360" w:lineRule="auto"/>
        <w:widowControl/>
        <w:rPr>
          <w:rFonts w:ascii="宋体" w:hAnsi="宋体" w:eastAsia="宋体" w:cs="宋体"/>
          <w:b/>
          <w:bCs/>
          <w:sz w:val="24"/>
        </w:rPr>
      </w:pPr>
      <w:r>
        <w:rPr>
          <w:rFonts w:hint="eastAsia" w:ascii="宋体" w:hAnsi="宋体" w:eastAsia="宋体" w:cs="宋体"/>
          <w:b/>
          <w:bCs/>
          <w:sz w:val="24"/>
        </w:rPr>
        <w:t xml:space="preserve">二、申请人的资格要求：</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1.具有独立承担民事责任的能力；</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2.具有良好的商业信誉和健全的财务会计制度；</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3.具有履行合同所必需的设备和专业技术能力；</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4.有依法缴纳税收和社会保障资金的良好记录；</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5.参加政府采购活动前三年内，在经营活动中没有重大违法记录；</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6.法律、行政法规规定的其他条件。</w:t>
      </w:r>
      <w:r/>
    </w:p>
    <w:p>
      <w:pPr>
        <w:pStyle w:val="843"/>
        <w:ind w:firstLine="480"/>
        <w:jc w:val="both"/>
        <w:spacing w:line="360" w:lineRule="auto"/>
        <w:widowControl/>
        <w:rPr>
          <w:rFonts w:ascii="宋体" w:hAnsi="宋体" w:eastAsia="宋体" w:cs="宋体"/>
          <w:b/>
          <w:bCs/>
          <w:sz w:val="24"/>
          <w:lang w:val="zh-TW"/>
        </w:rPr>
      </w:pPr>
      <w:r>
        <w:rPr>
          <w:rFonts w:hint="eastAsia" w:ascii="宋体" w:hAnsi="宋体" w:eastAsia="宋体" w:cs="宋体"/>
          <w:b/>
          <w:bCs/>
          <w:sz w:val="24"/>
        </w:rPr>
        <w:t xml:space="preserve">（二）</w:t>
      </w:r>
      <w:r>
        <w:rPr>
          <w:rFonts w:hint="eastAsia" w:ascii="宋体" w:hAnsi="宋体" w:eastAsia="宋体" w:cs="宋体"/>
          <w:b/>
          <w:bCs/>
          <w:sz w:val="24"/>
          <w:lang w:val="zh-TW" w:eastAsia="zh-TW"/>
        </w:rPr>
        <w:t xml:space="preserve">落实政府采购政策需满足的资格要求：本项目整体专门面向中小微企业采购，所属行业为</w:t>
      </w:r>
      <w:r>
        <w:rPr>
          <w:rFonts w:hint="eastAsia" w:ascii="宋体" w:hAnsi="宋体" w:eastAsia="宋体" w:cs="宋体"/>
          <w:b/>
          <w:bCs/>
          <w:sz w:val="24"/>
          <w:lang w:val="zh-TW"/>
        </w:rPr>
        <w:t xml:space="preserve">工业行业。中小微企业参加本项目政府采购活动在投标文件中需出具《中小企业声明函》（详见格式），残疾人福利性单位（监狱企业）供应商提供的残疾人福利性单位声明函（监狱企业证明文件）视同提供了中小企业声明函。</w:t>
      </w:r>
      <w:r/>
    </w:p>
    <w:p>
      <w:pPr>
        <w:pStyle w:val="843"/>
        <w:ind w:firstLine="480"/>
        <w:jc w:val="both"/>
        <w:spacing w:line="360" w:lineRule="auto"/>
        <w:widowControl/>
        <w:rPr>
          <w:rFonts w:ascii="宋体" w:hAnsi="宋体" w:eastAsia="宋体" w:cs="宋体"/>
          <w:sz w:val="24"/>
        </w:rPr>
      </w:pPr>
      <w:r>
        <w:rPr>
          <w:rFonts w:hint="eastAsia" w:ascii="宋体" w:hAnsi="宋体" w:eastAsia="宋体" w:cs="宋体"/>
          <w:sz w:val="24"/>
        </w:rPr>
        <w:t xml:space="preserve">（三）本项目的特定资格要求：</w:t>
      </w:r>
      <w:r/>
    </w:p>
    <w:p>
      <w:pPr>
        <w:ind w:firstLine="480"/>
        <w:spacing w:line="360" w:lineRule="auto"/>
        <w:widowControl/>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p>
    <w:p>
      <w:pPr>
        <w:ind w:firstLine="480"/>
        <w:spacing w:line="360" w:lineRule="auto"/>
        <w:widowControl/>
        <w:rPr>
          <w:rFonts w:ascii="宋体" w:hAnsi="宋体"/>
          <w:sz w:val="24"/>
        </w:rPr>
      </w:pPr>
      <w:r>
        <w:rPr>
          <w:rFonts w:hint="eastAsia" w:ascii="宋体" w:hAnsi="宋体"/>
          <w:sz w:val="24"/>
        </w:rPr>
        <w:t xml:space="preserve">2.未被“信用中国”网站（www.creditchina.gov.cn）列入失信被执行人、重大税收违法案件当事人名单、政府采购严重失信行为记录名单。</w:t>
      </w:r>
      <w:bookmarkStart w:id="10" w:name="OLE_LINK1"/>
      <w:r/>
      <w:bookmarkEnd w:id="10"/>
      <w:r/>
      <w:r/>
    </w:p>
    <w:p>
      <w:pPr>
        <w:ind w:firstLine="482"/>
        <w:spacing w:line="360" w:lineRule="auto"/>
        <w:rPr>
          <w:rFonts w:ascii="宋体" w:hAnsi="宋体"/>
          <w:b/>
          <w:sz w:val="24"/>
        </w:rPr>
      </w:pPr>
      <w:r/>
      <w:bookmarkStart w:id="11" w:name="OLE_LINK30"/>
      <w:r/>
      <w:bookmarkStart w:id="12" w:name="OLE_LINK29"/>
      <w:r>
        <w:rPr>
          <w:rFonts w:hint="eastAsia" w:ascii="宋体" w:hAnsi="宋体"/>
          <w:b/>
          <w:sz w:val="24"/>
        </w:rPr>
        <w:t xml:space="preserve">三、获取招标文件：</w:t>
      </w:r>
      <w:r/>
    </w:p>
    <w:p>
      <w:pPr>
        <w:ind w:firstLine="480"/>
        <w:spacing w:line="360" w:lineRule="auto"/>
        <w:rPr>
          <w:rFonts w:ascii="宋体" w:hAnsi="宋体"/>
          <w:sz w:val="24"/>
        </w:rPr>
      </w:pPr>
      <w:r>
        <w:rPr>
          <w:rFonts w:hint="eastAsia" w:ascii="宋体" w:hAnsi="宋体"/>
          <w:sz w:val="24"/>
        </w:rPr>
        <w:t xml:space="preserve">1.获取时间：自招标公告发布之日起5个工作日。</w:t>
      </w:r>
      <w:r/>
    </w:p>
    <w:p>
      <w:pPr>
        <w:ind w:firstLine="480"/>
        <w:spacing w:line="360" w:lineRule="auto"/>
        <w:rPr>
          <w:rFonts w:ascii="宋体" w:hAnsi="宋体"/>
          <w:sz w:val="24"/>
        </w:rPr>
      </w:pPr>
      <w:r>
        <w:rPr>
          <w:rFonts w:hint="eastAsia" w:ascii="宋体" w:hAnsi="宋体"/>
          <w:sz w:val="24"/>
        </w:rPr>
        <w:t xml:space="preserve">2.获取地点：“苏采云”系统</w:t>
      </w:r>
      <w:r/>
    </w:p>
    <w:p>
      <w:pPr>
        <w:ind w:firstLine="480"/>
        <w:jc w:val="left"/>
        <w:spacing w:line="360" w:lineRule="auto"/>
        <w:rPr>
          <w:rFonts w:ascii="宋体" w:hAnsi="宋体"/>
          <w:sz w:val="24"/>
        </w:rPr>
      </w:pPr>
      <w:r>
        <w:rPr>
          <w:rFonts w:hint="eastAsia" w:ascii="宋体" w:hAnsi="宋体"/>
          <w:sz w:val="24"/>
        </w:rPr>
        <w:t xml:space="preserve">3.方式：在“苏采云”系统线上报名并下载招标文件。</w:t>
      </w:r>
      <w:r/>
    </w:p>
    <w:p>
      <w:pPr>
        <w:ind w:firstLine="480"/>
        <w:jc w:val="left"/>
        <w:spacing w:line="360" w:lineRule="auto"/>
        <w:rPr>
          <w:rFonts w:ascii="宋体" w:hAnsi="宋体"/>
          <w:sz w:val="24"/>
        </w:rPr>
      </w:pPr>
      <w:r>
        <w:rPr>
          <w:rFonts w:hint="eastAsia" w:ascii="宋体" w:hAnsi="宋体"/>
          <w:sz w:val="24"/>
        </w:rPr>
        <w:t xml:space="preserve">4.售价：0元。</w:t>
      </w:r>
      <w:r/>
    </w:p>
    <w:p>
      <w:pPr>
        <w:ind w:firstLine="482"/>
        <w:spacing w:line="360" w:lineRule="auto"/>
        <w:rPr>
          <w:rFonts w:ascii="宋体" w:hAnsi="宋体"/>
          <w:b/>
          <w:bCs/>
          <w:sz w:val="24"/>
        </w:rPr>
      </w:pPr>
      <w:r>
        <w:rPr>
          <w:rFonts w:hint="eastAsia" w:ascii="宋体" w:hAnsi="宋体"/>
          <w:b/>
          <w:bCs/>
          <w:sz w:val="24"/>
        </w:rPr>
        <w:t xml:space="preserve">四、提交投标文件截止时间、开标时间和地点</w:t>
      </w:r>
      <w:r/>
    </w:p>
    <w:p>
      <w:pPr>
        <w:contextualSpacing/>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提交投标文件截止时间及开标时间：2026年5月21日13:30（北京时间）；</w:t>
      </w:r>
      <w:r/>
    </w:p>
    <w:p>
      <w:pPr>
        <w:contextualSpacing/>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.地点：“苏采云”系统</w:t>
      </w:r>
      <w:r/>
    </w:p>
    <w:p>
      <w:pPr>
        <w:contextualSpacing/>
        <w:ind w:firstLine="482"/>
        <w:jc w:val="left"/>
        <w:spacing w:line="360" w:lineRule="auto"/>
        <w:rPr>
          <w:rFonts w:ascii="宋体" w:hAnsi="宋体" w:cs="宋体"/>
          <w:b/>
          <w:bCs/>
          <w:sz w:val="24"/>
        </w:rPr>
      </w:pPr>
      <w:r>
        <w:rPr>
          <w:rFonts w:hint="eastAsia" w:ascii="宋体" w:hAnsi="宋体" w:cs="宋体"/>
          <w:b/>
          <w:bCs/>
          <w:sz w:val="24"/>
        </w:rPr>
        <w:t xml:space="preserve">五、公告期限：</w:t>
      </w:r>
      <w:r/>
    </w:p>
    <w:p>
      <w:pPr>
        <w:contextualSpacing/>
        <w:ind w:firstLine="480"/>
        <w:jc w:val="left"/>
        <w:spacing w:line="360" w:lineRule="auto"/>
        <w:rPr>
          <w:rFonts w:ascii="宋体" w:hAnsi="宋体" w:cs="宋体"/>
          <w:sz w:val="24"/>
        </w:rPr>
      </w:pPr>
      <w:r>
        <w:rPr>
          <w:rFonts w:hint="eastAsia" w:ascii="宋体" w:hAnsi="宋体" w:cs="宋体"/>
          <w:sz w:val="24"/>
        </w:rPr>
        <w:t xml:space="preserve">自本公告发布之日起5个工作日。</w:t>
      </w:r>
      <w:r/>
    </w:p>
    <w:p>
      <w:pPr>
        <w:contextualSpacing/>
        <w:ind w:firstLine="482"/>
        <w:jc w:val="left"/>
        <w:spacing w:line="360" w:lineRule="auto"/>
        <w:rPr>
          <w:rFonts w:ascii="宋体" w:hAnsi="宋体" w:cs="宋体"/>
          <w:b/>
          <w:bCs/>
          <w:sz w:val="24"/>
        </w:rPr>
      </w:pPr>
      <w:r>
        <w:rPr>
          <w:rFonts w:hint="eastAsia" w:ascii="宋体" w:hAnsi="宋体" w:cs="宋体"/>
          <w:b/>
          <w:bCs/>
          <w:sz w:val="24"/>
        </w:rPr>
        <w:t xml:space="preserve">六、其他补充事宜</w:t>
      </w:r>
      <w:r/>
    </w:p>
    <w:p>
      <w:pPr>
        <w:contextualSpacing/>
        <w:ind w:firstLine="480"/>
        <w:jc w:val="left"/>
        <w:spacing w:line="360" w:lineRule="auto"/>
        <w:rPr>
          <w:rFonts w:ascii="宋体" w:hAnsi="宋体"/>
          <w:sz w:val="24"/>
        </w:rPr>
      </w:pPr>
      <w:r>
        <w:rPr>
          <w:rFonts w:hint="eastAsia" w:ascii="宋体" w:hAnsi="宋体"/>
          <w:sz w:val="24"/>
        </w:rPr>
        <w:t xml:space="preserve">1.线上报名获取流程： </w:t>
      </w:r>
      <w:r/>
    </w:p>
    <w:p>
      <w:pPr>
        <w:contextualSpacing/>
        <w:ind w:firstLine="480"/>
        <w:jc w:val="left"/>
        <w:spacing w:line="360" w:lineRule="auto"/>
        <w:rPr>
          <w:rFonts w:ascii="宋体" w:hAnsi="宋体"/>
          <w:sz w:val="24"/>
        </w:rPr>
      </w:pPr>
      <w:r>
        <w:rPr>
          <w:rFonts w:hint="eastAsia" w:ascii="宋体" w:hAnsi="宋体"/>
          <w:sz w:val="24"/>
        </w:rPr>
        <w:t xml:space="preserve">（1）申领CA证书 </w:t>
      </w:r>
      <w:r/>
    </w:p>
    <w:p>
      <w:pPr>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供应商进入“江苏政府采购”官网首页―“苏采云”―进入“苏采云政府采购一体化平台”―点击“新CA办理指南”。详见《江苏省政府采购数字证书（供应商）数字证书CA及电子签章办理指南》。 </w:t>
      </w:r>
      <w:r/>
    </w:p>
    <w:p>
      <w:pPr>
        <w:contextualSpacing/>
        <w:ind w:firstLine="480"/>
        <w:jc w:val="left"/>
        <w:spacing w:line="360" w:lineRule="auto"/>
        <w:rPr>
          <w:rFonts w:ascii="宋体" w:hAnsi="宋体"/>
          <w:sz w:val="24"/>
        </w:rPr>
      </w:pPr>
      <w:r>
        <w:rPr>
          <w:rFonts w:hint="eastAsia" w:ascii="宋体" w:hAnsi="宋体"/>
          <w:sz w:val="24"/>
        </w:rPr>
        <w:t xml:space="preserve">（2）登录报名 </w:t>
      </w:r>
      <w:r/>
    </w:p>
    <w:p>
      <w:pPr>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或根据“苏采云”网页最新提示要求）。 </w:t>
      </w:r>
      <w:r/>
    </w:p>
    <w:p>
      <w:pPr>
        <w:contextualSpacing/>
        <w:ind w:firstLine="480"/>
        <w:jc w:val="left"/>
        <w:spacing w:line="360" w:lineRule="auto"/>
        <w:rPr>
          <w:rFonts w:ascii="宋体" w:hAnsi="宋体"/>
          <w:sz w:val="24"/>
        </w:rPr>
      </w:pPr>
      <w:r>
        <w:rPr>
          <w:rFonts w:hint="eastAsia" w:ascii="宋体" w:hAnsi="宋体"/>
          <w:sz w:val="24"/>
        </w:rPr>
        <w:t xml:space="preserve">（3）获取招标文件方式</w:t>
      </w:r>
      <w:r/>
    </w:p>
    <w:p>
      <w:pPr>
        <w:contextualSpacing/>
        <w:ind w:firstLine="480"/>
        <w:jc w:val="left"/>
        <w:spacing w:line="360" w:lineRule="auto"/>
        <w:rPr>
          <w:rFonts w:ascii="宋体" w:hAnsi="宋体"/>
          <w:sz w:val="24"/>
        </w:rPr>
      </w:pPr>
      <w:r>
        <w:rPr>
          <w:rFonts w:hint="eastAsia" w:ascii="宋体" w:hAnsi="宋体"/>
          <w:sz w:val="24"/>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contextualSpacing/>
        <w:ind w:firstLine="480"/>
        <w:jc w:val="left"/>
        <w:spacing w:line="360" w:lineRule="auto"/>
        <w:rPr>
          <w:rFonts w:ascii="宋体" w:hAnsi="宋体"/>
          <w:sz w:val="24"/>
        </w:rPr>
      </w:pPr>
      <w:r>
        <w:rPr>
          <w:rFonts w:hint="eastAsia" w:ascii="宋体" w:hAnsi="宋体"/>
          <w:sz w:val="24"/>
        </w:rPr>
        <w:t xml:space="preserve">2.电子投标准备：供应商在“苏采云”系统中操作参与项目并下载电子采购文件后，应将采购文件导入政府采购客户端工具后方可进行投标文件制作和提交（具体详见《苏采云系统供应商操作手册》，网址链接https://czju.suzhou.gov.cn/zfcg/html/content/20231220161910031.shtml）。</w:t>
      </w:r>
      <w:r/>
    </w:p>
    <w:p>
      <w:pPr>
        <w:contextualSpacing/>
        <w:ind w:firstLine="480"/>
        <w:spacing w:after="120" w:line="360" w:lineRule="auto"/>
        <w:tabs>
          <w:tab w:val="left" w:pos="5250" w:leader="none"/>
        </w:tabs>
        <w:rPr>
          <w:rFonts w:ascii="宋体" w:hAnsi="宋体"/>
          <w:sz w:val="24"/>
        </w:rPr>
      </w:pPr>
      <w:r>
        <w:rPr>
          <w:rFonts w:hint="eastAsia" w:ascii="宋体" w:hAnsi="宋体"/>
          <w:sz w:val="24"/>
        </w:rPr>
        <w:t xml:space="preserve">3.本项目采用电子招投标形式，请供应商按照《苏采云系统供应商操作手册》进行制作、上传电子投标文件。</w:t>
      </w:r>
      <w:r>
        <w:rPr>
          <w:rFonts w:hint="eastAsia" w:ascii="宋体" w:hAnsi="宋体"/>
          <w:b/>
          <w:sz w:val="24"/>
        </w:rPr>
        <w:t xml:space="preserve">电子投标文件制作完成后请于投标文件提交的截止时间前成功上传至“苏采云”系统，否则视为放弃参加该采购项目。</w:t>
      </w:r>
      <w:r>
        <w:rPr>
          <w:rFonts w:hint="eastAsia" w:ascii="宋体" w:hAnsi="宋体"/>
          <w:sz w:val="24"/>
        </w:rPr>
        <w:t xml:space="preserve">供应商应充分考虑到网络环境、网络带宽等风险因素，如因供应商自身原因造成的电子投标文件上传不成功由供应商自行承担全部责任。</w:t>
      </w:r>
      <w:r/>
    </w:p>
    <w:p>
      <w:pPr>
        <w:contextualSpacing/>
        <w:ind w:firstLine="480"/>
        <w:spacing w:after="120" w:line="360" w:lineRule="auto"/>
        <w:tabs>
          <w:tab w:val="left" w:pos="5250" w:leader="none"/>
        </w:tabs>
        <w:rPr>
          <w:rFonts w:ascii="宋体" w:hAnsi="宋体" w:cs="宋体"/>
          <w:b/>
          <w:sz w:val="24"/>
        </w:rPr>
      </w:pPr>
      <w:r>
        <w:rPr>
          <w:rFonts w:hint="eastAsia" w:ascii="宋体" w:hAnsi="宋体"/>
          <w:sz w:val="24"/>
        </w:rPr>
        <w:t xml:space="preserve">4.</w:t>
      </w:r>
      <w:r>
        <w:rPr>
          <w:rFonts w:hint="eastAsia" w:ascii="宋体" w:hAnsi="宋体" w:cs="宋体"/>
          <w:sz w:val="24"/>
        </w:rPr>
        <w:t xml:space="preserve">供应商参加开标（开启）会方式：供应商登录“苏采云”系统在平台首页点击“开标大厅”，进入江苏省政府采购一体化不见面开标（采购）大厅，在今日项目列表，点击项目，进入不见面开标系统。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开标项目，开标阶段供应商在【解密】环节必须使用CA证书解密电子投标（响应）文件，如在系统规定的解密时间内未能完成解密的视为放弃投标。投多标段的单位，请仔细查看每个标段的操作情况。</w:t>
      </w:r>
      <w:r>
        <w:rPr>
          <w:rFonts w:hint="eastAsia" w:ascii="宋体" w:hAnsi="宋体" w:cs="宋体"/>
          <w:sz w:val="24"/>
        </w:rPr>
        <w:t xml:space="preserve">请供应商确保电脑、系统及其他设备（视频输入输出设备等）无误，且开标直至项目结束始终保持系统在线状态。</w:t>
      </w:r>
      <w:r/>
    </w:p>
    <w:p>
      <w:pPr>
        <w:contextualSpacing/>
        <w:ind w:firstLine="480"/>
        <w:jc w:val="left"/>
        <w:spacing w:line="360" w:lineRule="auto"/>
        <w:rPr>
          <w:rFonts w:ascii="宋体" w:hAnsi="宋体"/>
          <w:sz w:val="24"/>
        </w:rPr>
      </w:pPr>
      <w:r>
        <w:rPr>
          <w:rFonts w:hint="eastAsia" w:ascii="宋体" w:hAnsi="宋体"/>
          <w:sz w:val="24"/>
        </w:rPr>
        <w:t xml:space="preserve">5.在网上报名或系统使用过程中如遇技术问题或疑问，请按以下方式联系： </w:t>
      </w:r>
      <w:r/>
    </w:p>
    <w:p>
      <w:pPr>
        <w:contextualSpacing/>
        <w:ind w:firstLine="480"/>
        <w:jc w:val="left"/>
        <w:spacing w:line="360" w:lineRule="auto"/>
        <w:rPr>
          <w:rFonts w:ascii="宋体" w:hAnsi="宋体"/>
          <w:sz w:val="24"/>
        </w:rPr>
      </w:pPr>
      <w:r>
        <w:rPr>
          <w:rFonts w:hint="eastAsia" w:ascii="宋体" w:hAnsi="宋体"/>
          <w:sz w:val="24"/>
        </w:rPr>
        <w:t xml:space="preserve">CA技术咨询电话：400-608-6099；  </w:t>
      </w:r>
      <w:r/>
    </w:p>
    <w:p>
      <w:pPr>
        <w:contextualSpacing/>
        <w:ind w:firstLine="480"/>
        <w:jc w:val="left"/>
        <w:spacing w:line="360" w:lineRule="auto"/>
        <w:rPr>
          <w:rFonts w:ascii="宋体" w:hAnsi="宋体"/>
          <w:sz w:val="24"/>
        </w:rPr>
      </w:pPr>
      <w:r>
        <w:rPr>
          <w:rFonts w:hint="eastAsia" w:ascii="宋体" w:hAnsi="宋体"/>
          <w:sz w:val="24"/>
        </w:rPr>
        <w:t xml:space="preserve">电子签章技术咨询：</w:t>
      </w:r>
      <w:bookmarkStart w:id="13" w:name="OLE_LINK31"/>
      <w:r/>
      <w:bookmarkStart w:id="14" w:name="OLE_LINK34"/>
      <w:r>
        <w:rPr>
          <w:rFonts w:hint="eastAsia" w:ascii="宋体" w:hAnsi="宋体"/>
          <w:sz w:val="24"/>
        </w:rPr>
        <w:t xml:space="preserve">025-83633811、025-83633812、15380932027、13675197356；</w:t>
      </w:r>
      <w:bookmarkEnd w:id="13"/>
      <w:r/>
      <w:bookmarkEnd w:id="14"/>
      <w:r>
        <w:rPr>
          <w:rFonts w:hint="eastAsia" w:ascii="宋体" w:hAnsi="宋体"/>
          <w:sz w:val="24"/>
        </w:rPr>
        <w:t xml:space="preserve">  </w:t>
      </w:r>
      <w:r/>
    </w:p>
    <w:p>
      <w:pPr>
        <w:contextualSpacing/>
        <w:ind w:firstLine="480"/>
        <w:jc w:val="left"/>
        <w:spacing w:line="360" w:lineRule="auto"/>
        <w:rPr>
          <w:rFonts w:ascii="宋体" w:hAnsi="宋体"/>
          <w:sz w:val="24"/>
        </w:rPr>
      </w:pPr>
      <w:r>
        <w:rPr>
          <w:rFonts w:hint="eastAsia" w:ascii="宋体" w:hAnsi="宋体"/>
          <w:sz w:val="24"/>
        </w:rPr>
        <w:t xml:space="preserve">“苏采云”平台技术咨询：</w:t>
      </w:r>
      <w:bookmarkStart w:id="15" w:name="OLE_LINK35"/>
      <w:r/>
      <w:bookmarkStart w:id="16" w:name="OLE_LINK36"/>
      <w:r>
        <w:rPr>
          <w:rFonts w:hint="eastAsia" w:ascii="宋体" w:hAnsi="宋体"/>
          <w:sz w:val="24"/>
        </w:rPr>
        <w:t xml:space="preserve">13914088964、18261002950、</w:t>
      </w:r>
      <w:r>
        <w:rPr>
          <w:rFonts w:ascii="宋体" w:hAnsi="宋体"/>
          <w:sz w:val="24"/>
        </w:rPr>
        <w:t xml:space="preserve">0519-86722802</w:t>
      </w:r>
      <w:bookmarkEnd w:id="15"/>
      <w:r/>
      <w:bookmarkEnd w:id="16"/>
      <w:r>
        <w:rPr>
          <w:rFonts w:hint="eastAsia" w:ascii="宋体" w:hAnsi="宋体"/>
          <w:sz w:val="24"/>
        </w:rPr>
        <w:t xml:space="preserve">；智能客服：登录苏采云系统后，联系右下方智能客服图标进行咨询。</w:t>
      </w:r>
      <w:bookmarkEnd w:id="11"/>
      <w:r/>
      <w:bookmarkEnd w:id="12"/>
      <w:r/>
      <w:r/>
    </w:p>
    <w:p>
      <w:pPr>
        <w:pStyle w:val="844"/>
        <w:ind w:firstLine="480"/>
        <w:jc w:val="left"/>
        <w:spacing w:line="360" w:lineRule="auto"/>
        <w:rPr>
          <w:rFonts w:ascii="宋体" w:hAnsi="宋体" w:cs="宋体"/>
        </w:rPr>
      </w:pPr>
      <w:r>
        <w:rPr>
          <w:rFonts w:hint="eastAsia" w:ascii="宋体" w:hAnsi="宋体" w:cs="宋体"/>
          <w:sz w:val="24"/>
        </w:rPr>
        <w:t xml:space="preserve">6.根据苏州市财政局《关于深入开展苏州市政府采购合同信用融资业务的通知》相关要求，本项目支持政府采购合同信用融资。</w:t>
      </w:r>
      <w:r/>
    </w:p>
    <w:p>
      <w:pPr>
        <w:pStyle w:val="843"/>
        <w:ind w:firstLine="480"/>
        <w:spacing w:line="360" w:lineRule="auto"/>
        <w:widowControl/>
        <w:rPr>
          <w:rFonts w:ascii="宋体" w:hAnsi="宋体" w:eastAsia="宋体" w:cs="宋体"/>
          <w:sz w:val="24"/>
        </w:rPr>
      </w:pPr>
      <w:r>
        <w:rPr>
          <w:rFonts w:hint="eastAsia" w:ascii="宋体" w:hAnsi="宋体" w:eastAsia="宋体" w:cs="宋体"/>
          <w:sz w:val="24"/>
        </w:rPr>
        <w:t xml:space="preserve">7.</w:t>
      </w:r>
      <w:r>
        <w:rPr>
          <w:rFonts w:ascii="宋体" w:hAnsi="宋体"/>
          <w:sz w:val="24"/>
        </w:rPr>
        <w:t xml:space="preserve">苏州市</w:t>
      </w:r>
      <w:r>
        <w:rPr>
          <w:rFonts w:hint="eastAsia" w:ascii="宋体" w:hAnsi="宋体"/>
          <w:sz w:val="24"/>
        </w:rPr>
        <w:t xml:space="preserve">相城区财政局政府采购监督电话：0512-67591005、0512-67591006</w:t>
      </w:r>
      <w:r/>
    </w:p>
    <w:p>
      <w:pPr>
        <w:pStyle w:val="843"/>
        <w:ind w:firstLine="480"/>
        <w:spacing w:line="360" w:lineRule="auto"/>
        <w:widowControl/>
        <w:rPr>
          <w:rFonts w:ascii="宋体" w:hAnsi="宋体" w:eastAsia="宋体" w:cs="宋体"/>
          <w:sz w:val="24"/>
        </w:rPr>
      </w:pPr>
      <w:r>
        <w:rPr>
          <w:rFonts w:hint="eastAsia" w:ascii="宋体" w:hAnsi="宋体" w:eastAsia="宋体" w:cs="宋体"/>
          <w:sz w:val="24"/>
        </w:rPr>
        <w:t xml:space="preserve">8.本次采购的相关信息刊登在苏州政府采购网、江苏政府采购网、中国政府采购网。</w:t>
      </w:r>
      <w:r/>
    </w:p>
    <w:p>
      <w:pPr>
        <w:pStyle w:val="843"/>
        <w:ind w:firstLine="480"/>
        <w:spacing w:line="360" w:lineRule="auto"/>
        <w:widowControl/>
        <w:rPr>
          <w:rFonts w:ascii="宋体" w:hAnsi="宋体" w:eastAsia="宋体" w:cs="宋体"/>
          <w:b/>
          <w:sz w:val="24"/>
        </w:rPr>
      </w:pPr>
      <w:r>
        <w:rPr>
          <w:rFonts w:hint="eastAsia" w:ascii="宋体" w:hAnsi="宋体" w:eastAsia="宋体" w:cs="宋体"/>
          <w:b/>
          <w:sz w:val="24"/>
        </w:rPr>
        <w:t xml:space="preserve">七、凡对本次招标提出询问，请按以下方式联系：</w:t>
      </w:r>
      <w:r/>
    </w:p>
    <w:p>
      <w:pPr>
        <w:ind w:firstLine="420"/>
        <w:spacing w:line="360" w:lineRule="auto"/>
        <w:rPr>
          <w:rFonts w:ascii="宋体" w:hAnsi="宋体" w:cs="宋体"/>
          <w:sz w:val="24"/>
          <w:szCs w:val="20"/>
        </w:rPr>
      </w:pPr>
      <w:r>
        <w:rPr>
          <w:rFonts w:hint="eastAsia" w:ascii="宋体" w:hAnsi="宋体" w:cs="宋体"/>
          <w:sz w:val="24"/>
          <w:szCs w:val="20"/>
        </w:rPr>
        <w:t xml:space="preserve">1.采购单位</w:t>
      </w:r>
      <w:r/>
    </w:p>
    <w:p>
      <w:pPr>
        <w:ind w:firstLine="420"/>
        <w:spacing w:line="360" w:lineRule="auto"/>
        <w:rPr>
          <w:rFonts w:ascii="宋体" w:hAnsi="宋体" w:cs="宋体"/>
          <w:sz w:val="24"/>
          <w:szCs w:val="20"/>
        </w:rPr>
      </w:pPr>
      <w:r>
        <w:rPr>
          <w:rFonts w:hint="eastAsia" w:ascii="宋体" w:hAnsi="宋体" w:cs="宋体"/>
          <w:sz w:val="24"/>
          <w:szCs w:val="20"/>
        </w:rPr>
        <w:t xml:space="preserve">名称：</w:t>
      </w:r>
      <w:bookmarkStart w:id="17" w:name="OLE_LINK5"/>
      <w:r>
        <w:rPr>
          <w:rFonts w:hint="eastAsia" w:ascii="宋体" w:hAnsi="宋体" w:cs="宋体"/>
          <w:sz w:val="24"/>
          <w:szCs w:val="20"/>
        </w:rPr>
        <w:t xml:space="preserve">苏州市相城生态环境局</w:t>
      </w:r>
      <w:bookmarkEnd w:id="17"/>
      <w:r/>
      <w:r/>
    </w:p>
    <w:p>
      <w:pPr>
        <w:ind w:firstLine="420"/>
        <w:spacing w:line="360" w:lineRule="auto"/>
        <w:rPr>
          <w:rFonts w:ascii="宋体" w:hAnsi="宋体" w:cs="宋体"/>
          <w:sz w:val="24"/>
          <w:szCs w:val="20"/>
        </w:rPr>
      </w:pPr>
      <w:r>
        <w:rPr>
          <w:rFonts w:hint="eastAsia" w:ascii="宋体" w:hAnsi="宋体" w:cs="宋体"/>
          <w:sz w:val="24"/>
          <w:szCs w:val="20"/>
        </w:rPr>
        <w:t xml:space="preserve">地址：苏州市相城区阳澄湖东路8号</w:t>
      </w:r>
      <w:r/>
    </w:p>
    <w:p>
      <w:pPr>
        <w:ind w:firstLine="420"/>
        <w:spacing w:line="360" w:lineRule="auto"/>
        <w:rPr>
          <w:rFonts w:ascii="宋体" w:hAnsi="宋体" w:cs="宋体"/>
          <w:sz w:val="24"/>
          <w:szCs w:val="20"/>
        </w:rPr>
      </w:pPr>
      <w:r>
        <w:rPr>
          <w:rFonts w:hint="eastAsia" w:ascii="宋体" w:hAnsi="宋体" w:cs="宋体"/>
          <w:sz w:val="24"/>
          <w:szCs w:val="20"/>
        </w:rPr>
        <w:t xml:space="preserve">联系人：</w:t>
      </w:r>
      <w:r>
        <w:rPr>
          <w:rFonts w:hint="eastAsia" w:ascii="宋体" w:hAnsi="宋体" w:cs="宋体"/>
          <w:sz w:val="24"/>
        </w:rPr>
        <w:t xml:space="preserve">张丽君</w:t>
      </w:r>
      <w:r/>
    </w:p>
    <w:p>
      <w:pPr>
        <w:ind w:firstLine="420"/>
        <w:spacing w:line="360" w:lineRule="auto"/>
        <w:rPr>
          <w:rFonts w:ascii="宋体" w:hAnsi="宋体" w:cs="宋体"/>
          <w:sz w:val="24"/>
        </w:rPr>
      </w:pPr>
      <w:r>
        <w:rPr>
          <w:rFonts w:hint="eastAsia" w:ascii="宋体" w:hAnsi="宋体" w:cs="宋体"/>
          <w:sz w:val="24"/>
          <w:szCs w:val="20"/>
        </w:rPr>
        <w:t xml:space="preserve">联系电话：</w:t>
      </w:r>
      <w:r>
        <w:rPr>
          <w:rFonts w:hint="eastAsia" w:ascii="宋体" w:hAnsi="宋体" w:cs="宋体"/>
          <w:sz w:val="24"/>
        </w:rPr>
        <w:t xml:space="preserve">0512-66156157</w:t>
      </w:r>
      <w:r/>
    </w:p>
    <w:p>
      <w:pPr>
        <w:ind w:firstLine="420"/>
        <w:spacing w:line="360" w:lineRule="auto"/>
        <w:rPr>
          <w:rFonts w:ascii="宋体" w:hAnsi="宋体" w:cs="宋体"/>
          <w:sz w:val="24"/>
          <w:szCs w:val="20"/>
        </w:rPr>
      </w:pPr>
      <w:r>
        <w:rPr>
          <w:rFonts w:hint="eastAsia" w:ascii="宋体" w:hAnsi="宋体" w:cs="宋体"/>
          <w:sz w:val="24"/>
          <w:szCs w:val="20"/>
        </w:rPr>
        <w:t xml:space="preserve">2.代理机构信息</w:t>
      </w:r>
      <w:r/>
    </w:p>
    <w:p>
      <w:pPr>
        <w:ind w:firstLine="420"/>
        <w:spacing w:line="360" w:lineRule="auto"/>
        <w:rPr>
          <w:rFonts w:ascii="宋体" w:hAnsi="宋体" w:cs="宋体"/>
          <w:sz w:val="24"/>
          <w:szCs w:val="20"/>
        </w:rPr>
      </w:pPr>
      <w:r>
        <w:rPr>
          <w:rFonts w:hint="eastAsia" w:ascii="宋体" w:hAnsi="宋体" w:cs="宋体"/>
          <w:sz w:val="24"/>
          <w:szCs w:val="20"/>
        </w:rPr>
        <w:t xml:space="preserve">名称：</w:t>
      </w:r>
      <w:bookmarkStart w:id="18" w:name="OLE_LINK6"/>
      <w:r/>
      <w:bookmarkStart w:id="19" w:name="OLE_LINK138"/>
      <w:r/>
      <w:bookmarkStart w:id="20" w:name="OLE_LINK139"/>
      <w:r/>
      <w:bookmarkStart w:id="21" w:name="OLE_LINK113"/>
      <w:r>
        <w:rPr>
          <w:rFonts w:hint="eastAsia" w:ascii="宋体" w:hAnsi="宋体" w:cs="宋体"/>
          <w:sz w:val="24"/>
          <w:szCs w:val="20"/>
        </w:rPr>
        <w:t xml:space="preserve">苏州市天美达招投标咨询服务有限公司</w:t>
      </w:r>
      <w:bookmarkEnd w:id="18"/>
      <w:r/>
      <w:bookmarkEnd w:id="19"/>
      <w:r/>
      <w:bookmarkEnd w:id="20"/>
      <w:r/>
      <w:bookmarkEnd w:id="21"/>
      <w:r/>
      <w:r/>
    </w:p>
    <w:p>
      <w:pPr>
        <w:ind w:firstLine="420"/>
        <w:spacing w:line="360" w:lineRule="auto"/>
        <w:rPr>
          <w:rFonts w:ascii="宋体" w:hAnsi="宋体" w:cs="宋体"/>
          <w:sz w:val="24"/>
          <w:szCs w:val="20"/>
        </w:rPr>
      </w:pPr>
      <w:r>
        <w:rPr>
          <w:rFonts w:hint="eastAsia" w:ascii="宋体" w:hAnsi="宋体" w:cs="宋体"/>
          <w:sz w:val="24"/>
          <w:szCs w:val="20"/>
        </w:rPr>
        <w:t xml:space="preserve">地址：</w:t>
      </w:r>
      <w:bookmarkStart w:id="22" w:name="OLE_LINK12"/>
      <w:r/>
      <w:bookmarkStart w:id="23" w:name="OLE_LINK13"/>
      <w:r>
        <w:rPr>
          <w:rFonts w:hint="eastAsia" w:ascii="宋体" w:hAnsi="宋体" w:cs="宋体"/>
          <w:sz w:val="24"/>
          <w:szCs w:val="20"/>
        </w:rPr>
        <w:t xml:space="preserve">苏州市平泷路251号苏州城市生活广场A幢1519室</w:t>
      </w:r>
      <w:bookmarkEnd w:id="22"/>
      <w:r/>
      <w:bookmarkEnd w:id="23"/>
      <w:r/>
      <w:r/>
    </w:p>
    <w:p>
      <w:pPr>
        <w:ind w:firstLine="420"/>
        <w:spacing w:line="360" w:lineRule="auto"/>
        <w:rPr>
          <w:rFonts w:ascii="宋体" w:hAnsi="宋体" w:cs="宋体"/>
          <w:sz w:val="24"/>
          <w:szCs w:val="20"/>
        </w:rPr>
      </w:pPr>
      <w:r>
        <w:rPr>
          <w:rFonts w:hint="eastAsia" w:ascii="宋体" w:hAnsi="宋体" w:cs="宋体"/>
          <w:sz w:val="24"/>
          <w:szCs w:val="20"/>
        </w:rPr>
        <w:t xml:space="preserve">联系人：高飞、张欣昀、叶韵</w:t>
      </w:r>
      <w:r/>
    </w:p>
    <w:p>
      <w:pPr>
        <w:ind w:firstLine="420"/>
        <w:spacing w:line="360" w:lineRule="auto"/>
        <w:rPr>
          <w:rFonts w:ascii="宋体" w:hAnsi="宋体" w:cs="宋体"/>
          <w:sz w:val="24"/>
          <w:szCs w:val="20"/>
        </w:rPr>
      </w:pPr>
      <w:r>
        <w:rPr>
          <w:rFonts w:hint="eastAsia" w:ascii="宋体" w:hAnsi="宋体" w:cs="宋体"/>
          <w:sz w:val="24"/>
          <w:szCs w:val="20"/>
        </w:rPr>
        <w:t xml:space="preserve">电话：</w:t>
      </w:r>
      <w:bookmarkStart w:id="24" w:name="OLE_LINK14"/>
      <w:r/>
      <w:bookmarkStart w:id="25" w:name="OLE_LINK16"/>
      <w:r>
        <w:rPr>
          <w:rFonts w:hint="eastAsia" w:ascii="宋体" w:hAnsi="宋体" w:cs="宋体"/>
          <w:sz w:val="24"/>
          <w:szCs w:val="20"/>
        </w:rPr>
        <w:t xml:space="preserve">0512-65231142-8006</w:t>
      </w:r>
      <w:bookmarkEnd w:id="24"/>
      <w:r/>
      <w:bookmarkEnd w:id="25"/>
      <w:r/>
      <w:r/>
    </w:p>
    <w:p>
      <w:pPr>
        <w:ind w:firstLine="480"/>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rPr>
        <w:outlineLvl w:val="0"/>
      </w:pPr>
      <w:r>
        <w:rPr>
          <w:rStyle w:val="875"/>
          <w:rFonts w:hint="eastAsia" w:ascii="宋体" w:hAnsi="宋体" w:cs="宋体"/>
          <w:sz w:val="43"/>
          <w:szCs w:val="43"/>
        </w:rPr>
        <w:br w:type="page" w:clear="all"/>
      </w:r>
      <w:r>
        <w:rPr>
          <w:rFonts w:hint="eastAsia" w:ascii="宋体" w:hAnsi="宋体" w:cs="宋体"/>
          <w:b/>
          <w:sz w:val="44"/>
          <w:szCs w:val="44"/>
          <w:lang w:val="zh-CN"/>
        </w:rPr>
        <w:t xml:space="preserve">第二章 投标人须知</w:t>
      </w:r>
      <w:r/>
    </w:p>
    <w:p>
      <w:pPr>
        <w:ind w:firstLine="482"/>
        <w:spacing w:line="360" w:lineRule="auto"/>
        <w:rPr>
          <w:rFonts w:ascii="宋体" w:hAnsi="宋体" w:cs="宋体"/>
          <w:b/>
          <w:sz w:val="24"/>
          <w:szCs w:val="20"/>
        </w:rPr>
      </w:pPr>
      <w:r>
        <w:rPr>
          <w:rFonts w:hint="eastAsia" w:ascii="宋体" w:hAnsi="宋体" w:cs="宋体"/>
          <w:b/>
          <w:sz w:val="24"/>
          <w:szCs w:val="20"/>
        </w:rPr>
        <w:t xml:space="preserve">1. 说明</w:t>
      </w:r>
      <w:r/>
    </w:p>
    <w:p>
      <w:pPr>
        <w:ind w:firstLine="480"/>
        <w:jc w:val="left"/>
        <w:spacing w:line="360" w:lineRule="auto"/>
        <w:rPr>
          <w:rFonts w:ascii="宋体" w:hAnsi="宋体" w:cs="宋体"/>
          <w:sz w:val="24"/>
        </w:rPr>
      </w:pPr>
      <w:r>
        <w:rPr>
          <w:rFonts w:hint="eastAsia" w:ascii="宋体" w:hAnsi="宋体" w:cs="宋体"/>
          <w:sz w:val="24"/>
        </w:rPr>
        <w:t xml:space="preserve">1.1  本招标文件仅适用于苏州市天美达招投标咨询服务有限公司组织的招标活动。</w:t>
      </w:r>
      <w:r/>
    </w:p>
    <w:p>
      <w:pPr>
        <w:ind w:firstLine="480"/>
        <w:jc w:val="left"/>
        <w:spacing w:line="360" w:lineRule="auto"/>
        <w:rPr>
          <w:rFonts w:ascii="宋体" w:hAnsi="宋体" w:cs="宋体"/>
          <w:sz w:val="24"/>
        </w:rPr>
      </w:pPr>
      <w:r>
        <w:rPr>
          <w:rFonts w:hint="eastAsia" w:ascii="宋体" w:hAnsi="宋体" w:cs="宋体"/>
          <w:sz w:val="24"/>
        </w:rPr>
        <w:t xml:space="preserve">1.2  本次招标活动及因本次招标产生的合同受中国法律制约和保护。</w:t>
      </w:r>
      <w:r/>
    </w:p>
    <w:p>
      <w:pPr>
        <w:ind w:firstLine="480"/>
        <w:jc w:val="left"/>
        <w:spacing w:line="360" w:lineRule="auto"/>
        <w:rPr>
          <w:rFonts w:ascii="宋体" w:hAnsi="宋体" w:cs="宋体"/>
          <w:sz w:val="24"/>
        </w:rPr>
      </w:pPr>
      <w:r>
        <w:rPr>
          <w:rFonts w:hint="eastAsia" w:ascii="宋体" w:hAnsi="宋体" w:cs="宋体"/>
          <w:sz w:val="24"/>
        </w:rPr>
        <w:t xml:space="preserve">1.3  本招标文件的解释权属于苏州市天美达招投标咨询服务有限公司。                                             </w:t>
      </w:r>
      <w:r/>
    </w:p>
    <w:p>
      <w:pPr>
        <w:ind w:firstLine="482"/>
        <w:spacing w:line="360" w:lineRule="auto"/>
        <w:rPr>
          <w:rFonts w:ascii="宋体" w:hAnsi="宋体" w:cs="宋体"/>
          <w:b/>
          <w:sz w:val="24"/>
          <w:szCs w:val="20"/>
        </w:rPr>
      </w:pPr>
      <w:r>
        <w:rPr>
          <w:rFonts w:hint="eastAsia" w:ascii="宋体" w:hAnsi="宋体" w:cs="宋体"/>
          <w:b/>
          <w:sz w:val="24"/>
          <w:szCs w:val="20"/>
        </w:rPr>
        <w:t xml:space="preserve">2. 词语释义</w:t>
      </w:r>
      <w:r/>
    </w:p>
    <w:p>
      <w:pPr>
        <w:ind w:firstLine="480"/>
        <w:jc w:val="left"/>
        <w:spacing w:line="360" w:lineRule="auto"/>
        <w:rPr>
          <w:rFonts w:ascii="宋体" w:hAnsi="宋体" w:cs="宋体"/>
          <w:sz w:val="24"/>
        </w:rPr>
      </w:pPr>
      <w:r>
        <w:rPr>
          <w:rFonts w:hint="eastAsia" w:ascii="宋体" w:hAnsi="宋体" w:cs="宋体"/>
          <w:sz w:val="24"/>
        </w:rPr>
        <w:t xml:space="preserve">2.1  采购代理机构：在委托人授权范围内具体组织实施招标活动的法人。</w:t>
      </w:r>
      <w:r/>
    </w:p>
    <w:p>
      <w:pPr>
        <w:ind w:firstLine="480"/>
        <w:jc w:val="left"/>
        <w:spacing w:line="360" w:lineRule="auto"/>
        <w:rPr>
          <w:rFonts w:ascii="宋体" w:hAnsi="宋体" w:cs="宋体"/>
          <w:sz w:val="24"/>
        </w:rPr>
      </w:pPr>
      <w:r>
        <w:rPr>
          <w:rFonts w:hint="eastAsia" w:ascii="宋体" w:hAnsi="宋体" w:cs="宋体"/>
          <w:sz w:val="24"/>
        </w:rPr>
        <w:t xml:space="preserve">2.2  投标单位（投标人）：</w:t>
      </w:r>
      <w:r>
        <w:rPr>
          <w:rFonts w:hint="eastAsia" w:ascii="宋体" w:hAnsi="宋体"/>
          <w:sz w:val="24"/>
        </w:rPr>
        <w:t xml:space="preserve">指</w:t>
      </w:r>
      <w:r>
        <w:rPr>
          <w:rFonts w:ascii="宋体" w:hAnsi="宋体"/>
          <w:sz w:val="24"/>
        </w:rPr>
        <w:t xml:space="preserve">响应招标、参加投标竞争的法人或者其他组织。</w:t>
      </w:r>
      <w:r/>
    </w:p>
    <w:p>
      <w:pPr>
        <w:ind w:firstLine="480"/>
        <w:jc w:val="left"/>
        <w:spacing w:line="360" w:lineRule="auto"/>
        <w:rPr>
          <w:rFonts w:ascii="宋体" w:hAnsi="宋体" w:cs="宋体"/>
          <w:sz w:val="24"/>
        </w:rPr>
      </w:pPr>
      <w:r>
        <w:rPr>
          <w:rFonts w:hint="eastAsia" w:ascii="宋体" w:hAnsi="宋体" w:cs="宋体"/>
          <w:sz w:val="24"/>
        </w:rPr>
        <w:t xml:space="preserve">2.3  响应：投标单位根据采购代理机构发布的招标文件，编制投标文件并按规定投标的行为。</w:t>
      </w:r>
      <w:r/>
    </w:p>
    <w:p>
      <w:pPr>
        <w:ind w:firstLine="480"/>
        <w:jc w:val="left"/>
        <w:spacing w:line="360" w:lineRule="auto"/>
        <w:rPr>
          <w:rFonts w:ascii="宋体" w:hAnsi="宋体" w:cs="宋体"/>
          <w:sz w:val="24"/>
        </w:rPr>
      </w:pPr>
      <w:r>
        <w:rPr>
          <w:rFonts w:hint="eastAsia" w:ascii="宋体" w:hAnsi="宋体" w:cs="宋体"/>
          <w:sz w:val="24"/>
        </w:rPr>
        <w:t xml:space="preserve">2.4  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ascii="宋体" w:hAnsi="宋体" w:cs="宋体"/>
          <w:sz w:val="24"/>
        </w:rPr>
      </w:pPr>
      <w:r>
        <w:rPr>
          <w:rFonts w:hint="eastAsia" w:ascii="宋体" w:hAnsi="宋体" w:cs="宋体"/>
          <w:sz w:val="24"/>
        </w:rPr>
        <w:t xml:space="preserve">2.5  甲方（采购人）：合同中明确规定的实际购买货物和服务的法人、行政事业、团体组织。</w:t>
      </w:r>
      <w:r/>
    </w:p>
    <w:p>
      <w:pPr>
        <w:ind w:firstLine="480"/>
        <w:jc w:val="left"/>
        <w:spacing w:line="360" w:lineRule="auto"/>
        <w:rPr>
          <w:rFonts w:ascii="宋体" w:hAnsi="宋体" w:cs="宋体"/>
          <w:sz w:val="24"/>
        </w:rPr>
      </w:pPr>
      <w:r>
        <w:rPr>
          <w:rFonts w:hint="eastAsia" w:ascii="宋体" w:hAnsi="宋体" w:cs="宋体"/>
          <w:sz w:val="24"/>
        </w:rPr>
        <w:t xml:space="preserve">2.6  乙方（供应商）：合同中规定的向采购人提供货物和服务的独立法人。</w:t>
      </w:r>
      <w:r/>
    </w:p>
    <w:p>
      <w:pPr>
        <w:ind w:firstLine="480"/>
        <w:jc w:val="left"/>
        <w:spacing w:line="360" w:lineRule="auto"/>
        <w:rPr>
          <w:rFonts w:ascii="宋体" w:hAnsi="宋体" w:cs="宋体"/>
          <w:sz w:val="24"/>
        </w:rPr>
      </w:pPr>
      <w:r>
        <w:rPr>
          <w:rFonts w:hint="eastAsia" w:ascii="宋体" w:hAnsi="宋体" w:cs="宋体"/>
          <w:sz w:val="24"/>
        </w:rPr>
        <w:t xml:space="preserve">2.7  伴随服务：根据合同规定乙方应承担与提供服务有关的辅助服务。</w:t>
      </w:r>
      <w:r/>
    </w:p>
    <w:p>
      <w:pPr>
        <w:ind w:firstLine="480"/>
        <w:jc w:val="left"/>
        <w:spacing w:line="360" w:lineRule="auto"/>
        <w:rPr>
          <w:rFonts w:ascii="宋体" w:hAnsi="宋体" w:cs="宋体"/>
          <w:sz w:val="24"/>
        </w:rPr>
      </w:pPr>
      <w:r>
        <w:rPr>
          <w:rFonts w:hint="eastAsia" w:ascii="宋体" w:hAnsi="宋体" w:cs="宋体"/>
          <w:sz w:val="24"/>
        </w:rPr>
        <w:t xml:space="preserve">2.8  知识产权：指专利权、商标权、著作权等无形财产专有权的统称。</w:t>
      </w:r>
      <w:r/>
    </w:p>
    <w:p>
      <w:pPr>
        <w:ind w:firstLine="480"/>
        <w:jc w:val="left"/>
        <w:spacing w:line="360" w:lineRule="auto"/>
        <w:rPr>
          <w:rFonts w:ascii="宋体" w:hAnsi="宋体" w:cs="宋体"/>
          <w:sz w:val="24"/>
        </w:rPr>
      </w:pPr>
      <w:r>
        <w:rPr>
          <w:rFonts w:hint="eastAsia" w:ascii="宋体" w:hAnsi="宋体" w:cs="宋体"/>
          <w:sz w:val="24"/>
        </w:rPr>
        <w:t xml:space="preserve">2.9  天：日历日。</w:t>
      </w:r>
      <w:r/>
    </w:p>
    <w:p>
      <w:pPr>
        <w:ind w:firstLine="480"/>
        <w:jc w:val="left"/>
        <w:spacing w:line="360" w:lineRule="auto"/>
        <w:rPr>
          <w:rFonts w:ascii="宋体" w:hAnsi="宋体" w:cs="宋体"/>
          <w:sz w:val="24"/>
        </w:rPr>
      </w:pPr>
      <w:r>
        <w:rPr>
          <w:rFonts w:hint="eastAsia" w:ascii="宋体" w:hAnsi="宋体" w:cs="宋体"/>
          <w:sz w:val="24"/>
        </w:rPr>
        <w:t xml:space="preserve">2.10 交货地点：合同中明确约定的乙方提交的货物和服务最终到达地点。</w:t>
      </w:r>
      <w:r/>
    </w:p>
    <w:p>
      <w:pPr>
        <w:ind w:firstLine="480"/>
        <w:jc w:val="left"/>
        <w:spacing w:line="360" w:lineRule="auto"/>
        <w:rPr>
          <w:rFonts w:ascii="宋体" w:hAnsi="宋体" w:cs="宋体"/>
          <w:sz w:val="24"/>
        </w:rPr>
      </w:pPr>
      <w:r>
        <w:rPr>
          <w:rFonts w:hint="eastAsia" w:ascii="宋体" w:hAnsi="宋体" w:cs="宋体"/>
          <w:sz w:val="24"/>
        </w:rPr>
        <w:t xml:space="preserve">2.11 合同价款：根据合同规定，乙方在正确地履行合同义务后甲方应支付乙方的价款。</w:t>
      </w:r>
      <w:r/>
    </w:p>
    <w:p>
      <w:pPr>
        <w:ind w:firstLine="480"/>
        <w:jc w:val="left"/>
        <w:spacing w:line="360" w:lineRule="auto"/>
        <w:widowControl/>
        <w:rPr>
          <w:rFonts w:ascii="宋体" w:hAnsi="宋体" w:cs="宋体"/>
          <w:sz w:val="24"/>
        </w:rPr>
      </w:pPr>
      <w:r>
        <w:rPr>
          <w:rFonts w:hint="eastAsia" w:ascii="宋体" w:hAnsi="宋体" w:cs="宋体"/>
          <w:sz w:val="24"/>
        </w:rPr>
        <w:t xml:space="preserve">2.12 产地：货物开采、生长、生产、最终制造、加工或提供服务的来源地。</w:t>
      </w:r>
      <w:r/>
    </w:p>
    <w:p>
      <w:pPr>
        <w:ind w:firstLine="480"/>
        <w:spacing w:line="360" w:lineRule="auto"/>
        <w:rPr>
          <w:rFonts w:ascii="宋体" w:hAnsi="宋体" w:cs="宋体"/>
          <w:sz w:val="24"/>
          <w:szCs w:val="20"/>
        </w:rPr>
      </w:pPr>
      <w:r>
        <w:rPr>
          <w:rFonts w:hint="eastAsia" w:ascii="宋体" w:hAnsi="宋体" w:cs="宋体"/>
          <w:sz w:val="24"/>
          <w:szCs w:val="20"/>
        </w:rPr>
        <w:t xml:space="preserve">2.13 不可抗力：不能预见、不能避免并且不能克服的客观情况。</w:t>
      </w:r>
      <w:r/>
    </w:p>
    <w:p>
      <w:pPr>
        <w:ind w:firstLine="480"/>
        <w:spacing w:line="360" w:lineRule="auto"/>
        <w:rPr>
          <w:rFonts w:ascii="宋体" w:hAnsi="宋体" w:cs="宋体"/>
          <w:b/>
          <w:sz w:val="24"/>
          <w:szCs w:val="20"/>
        </w:rPr>
      </w:pPr>
      <w:r>
        <w:rPr>
          <w:rFonts w:hint="eastAsia" w:ascii="宋体" w:hAnsi="宋体" w:cs="宋体"/>
          <w:b/>
          <w:sz w:val="24"/>
          <w:szCs w:val="20"/>
        </w:rPr>
        <w:t xml:space="preserve">3. 合格投标单位的资格条件</w:t>
      </w:r>
      <w:r/>
    </w:p>
    <w:p>
      <w:pPr>
        <w:ind w:firstLine="480"/>
        <w:spacing w:line="360" w:lineRule="auto"/>
        <w:rPr>
          <w:rFonts w:ascii="宋体" w:hAnsi="宋体"/>
          <w:sz w:val="24"/>
          <w:szCs w:val="20"/>
        </w:rPr>
      </w:pPr>
      <w:r>
        <w:rPr>
          <w:rFonts w:hint="eastAsia" w:ascii="宋体" w:hAnsi="宋体"/>
          <w:sz w:val="24"/>
        </w:rPr>
        <w:t xml:space="preserve">3.1 满足招标公告中“申请人的资格要求”。</w:t>
      </w:r>
      <w:r/>
    </w:p>
    <w:p>
      <w:pPr>
        <w:ind w:firstLine="480"/>
        <w:spacing w:line="360" w:lineRule="auto"/>
        <w:rPr>
          <w:rFonts w:ascii="宋体" w:hAnsi="宋体"/>
          <w:sz w:val="24"/>
          <w:szCs w:val="20"/>
        </w:rPr>
      </w:pPr>
      <w:r>
        <w:rPr>
          <w:rFonts w:hint="eastAsia" w:ascii="宋体" w:hAnsi="宋体"/>
          <w:sz w:val="24"/>
        </w:rPr>
        <w:t xml:space="preserve">3.2 依法报名，完全满足招标文件的实质性要求。</w:t>
      </w:r>
      <w:r/>
    </w:p>
    <w:p>
      <w:pPr>
        <w:ind w:firstLine="480"/>
        <w:spacing w:line="360" w:lineRule="auto"/>
        <w:rPr>
          <w:rFonts w:ascii="宋体" w:hAnsi="宋体"/>
          <w:sz w:val="24"/>
          <w:szCs w:val="20"/>
        </w:rPr>
      </w:pPr>
      <w:r>
        <w:rPr>
          <w:rFonts w:hint="eastAsia" w:ascii="宋体" w:hAnsi="宋体"/>
          <w:sz w:val="24"/>
        </w:rPr>
        <w:t xml:space="preserve">3.3 投标人应遵守有关的国家法律、法令和条例。</w:t>
      </w:r>
      <w:r/>
    </w:p>
    <w:p>
      <w:pPr>
        <w:ind w:firstLine="482"/>
        <w:spacing w:line="360" w:lineRule="auto"/>
        <w:rPr>
          <w:rFonts w:ascii="宋体" w:hAnsi="宋体"/>
          <w:b/>
          <w:bCs/>
          <w:sz w:val="24"/>
          <w:szCs w:val="20"/>
        </w:rPr>
      </w:pPr>
      <w:r>
        <w:rPr>
          <w:rFonts w:hint="eastAsia" w:ascii="宋体" w:hAnsi="宋体"/>
          <w:b/>
          <w:bCs/>
          <w:sz w:val="24"/>
          <w:szCs w:val="20"/>
        </w:rPr>
        <w:t xml:space="preserve">4.投标委托</w:t>
      </w:r>
      <w:r/>
    </w:p>
    <w:p>
      <w:pPr>
        <w:ind w:firstLine="480"/>
        <w:spacing w:line="360" w:lineRule="auto"/>
        <w:rPr>
          <w:rFonts w:ascii="宋体" w:hAnsi="宋体" w:cs="宋体"/>
          <w:sz w:val="24"/>
          <w:szCs w:val="20"/>
        </w:rPr>
      </w:pPr>
      <w:r>
        <w:rPr>
          <w:rFonts w:hint="eastAsia" w:ascii="宋体" w:hAnsi="宋体" w:cs="宋体"/>
          <w:sz w:val="24"/>
          <w:szCs w:val="20"/>
        </w:rPr>
        <w:t xml:space="preserve">4.1 如投标单位代表不是法定代表人，须持有《法定代表人授权委托书》（格式见第三章）。</w:t>
      </w:r>
      <w:r/>
    </w:p>
    <w:p>
      <w:pPr>
        <w:ind w:firstLine="482"/>
        <w:spacing w:line="360" w:lineRule="auto"/>
        <w:rPr>
          <w:rFonts w:ascii="宋体" w:hAnsi="宋体"/>
          <w:b/>
          <w:sz w:val="24"/>
          <w:szCs w:val="20"/>
        </w:rPr>
      </w:pPr>
      <w:r>
        <w:rPr>
          <w:rFonts w:hint="eastAsia" w:ascii="宋体" w:hAnsi="宋体"/>
          <w:b/>
          <w:sz w:val="24"/>
        </w:rPr>
        <w:t xml:space="preserve">5. 投标费用</w:t>
      </w:r>
      <w:r>
        <w:rPr>
          <w:rFonts w:ascii="宋体" w:hAnsi="宋体"/>
          <w:b/>
          <w:sz w:val="24"/>
        </w:rPr>
        <w:t xml:space="preserve"> </w:t>
      </w:r>
      <w:r/>
    </w:p>
    <w:p>
      <w:pPr>
        <w:ind w:firstLine="480"/>
        <w:spacing w:line="360" w:lineRule="auto"/>
        <w:rPr>
          <w:rFonts w:ascii="宋体" w:hAnsi="宋体" w:cs="宋体"/>
          <w:sz w:val="24"/>
          <w:szCs w:val="20"/>
        </w:rPr>
      </w:pPr>
      <w:r>
        <w:rPr>
          <w:rFonts w:hint="eastAsia" w:ascii="宋体" w:hAnsi="宋体" w:cs="宋体"/>
          <w:sz w:val="24"/>
          <w:szCs w:val="20"/>
        </w:rPr>
        <w:t xml:space="preserve">5.1 无论投标过程中的做法和结果如何，投标单位自行承担所有与参加投标有关的全部费用。</w:t>
      </w:r>
      <w:r/>
    </w:p>
    <w:p>
      <w:pPr>
        <w:ind w:firstLine="482"/>
        <w:spacing w:line="360" w:lineRule="auto"/>
        <w:rPr>
          <w:rFonts w:ascii="宋体" w:hAnsi="宋体" w:cs="宋体"/>
          <w:b/>
          <w:sz w:val="24"/>
          <w:szCs w:val="20"/>
        </w:rPr>
      </w:pPr>
      <w:r>
        <w:rPr>
          <w:rFonts w:hint="eastAsia" w:ascii="宋体" w:hAnsi="宋体" w:cs="宋体"/>
          <w:b/>
          <w:sz w:val="24"/>
          <w:szCs w:val="20"/>
        </w:rPr>
        <w:t xml:space="preserve">6. 招标文件</w:t>
      </w:r>
      <w:r/>
    </w:p>
    <w:p>
      <w:pPr>
        <w:ind w:firstLine="480"/>
        <w:spacing w:line="360" w:lineRule="auto"/>
        <w:rPr>
          <w:rFonts w:ascii="宋体" w:hAnsi="宋体" w:cs="宋体"/>
          <w:sz w:val="24"/>
          <w:szCs w:val="20"/>
        </w:rPr>
      </w:pPr>
      <w:r>
        <w:rPr>
          <w:rFonts w:hint="eastAsia" w:ascii="宋体" w:hAnsi="宋体" w:cs="宋体"/>
          <w:sz w:val="24"/>
          <w:szCs w:val="20"/>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ascii="宋体" w:hAnsi="宋体" w:cs="宋体"/>
          <w:b/>
          <w:sz w:val="24"/>
          <w:szCs w:val="20"/>
        </w:rPr>
      </w:pPr>
      <w:r>
        <w:rPr>
          <w:rFonts w:hint="eastAsia" w:ascii="宋体" w:hAnsi="宋体" w:cs="宋体"/>
          <w:b/>
          <w:sz w:val="24"/>
          <w:szCs w:val="20"/>
        </w:rPr>
        <w:t xml:space="preserve">7. 招标文件的澄清</w:t>
      </w:r>
      <w:r/>
    </w:p>
    <w:p>
      <w:pPr>
        <w:ind w:firstLine="480"/>
        <w:jc w:val="left"/>
        <w:spacing w:line="360" w:lineRule="auto"/>
        <w:rPr>
          <w:rFonts w:ascii="宋体" w:hAnsi="宋体" w:cs="宋体"/>
          <w:sz w:val="24"/>
        </w:rPr>
      </w:pPr>
      <w:r>
        <w:rPr>
          <w:rFonts w:hint="eastAsia" w:ascii="宋体" w:hAnsi="宋体" w:cs="宋体"/>
          <w:sz w:val="24"/>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ascii="宋体" w:hAnsi="宋体" w:cs="宋体"/>
          <w:b/>
          <w:sz w:val="24"/>
          <w:szCs w:val="20"/>
        </w:rPr>
      </w:pPr>
      <w:r>
        <w:rPr>
          <w:rFonts w:hint="eastAsia" w:ascii="宋体" w:hAnsi="宋体" w:cs="宋体"/>
          <w:b/>
          <w:sz w:val="24"/>
          <w:szCs w:val="20"/>
        </w:rPr>
        <w:t xml:space="preserve">8. 招标文件的修改</w:t>
      </w:r>
      <w:r/>
    </w:p>
    <w:p>
      <w:pPr>
        <w:ind w:firstLine="480"/>
        <w:spacing w:line="360" w:lineRule="auto"/>
        <w:rPr>
          <w:rFonts w:ascii="宋体" w:hAnsi="宋体" w:cs="宋体"/>
          <w:sz w:val="24"/>
          <w:szCs w:val="20"/>
        </w:rPr>
      </w:pPr>
      <w:r>
        <w:rPr>
          <w:rFonts w:hint="eastAsia" w:ascii="宋体" w:hAnsi="宋体" w:cs="宋体"/>
          <w:sz w:val="24"/>
          <w:szCs w:val="20"/>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ascii="宋体" w:hAnsi="宋体" w:cs="宋体"/>
          <w:sz w:val="24"/>
          <w:szCs w:val="20"/>
        </w:rPr>
      </w:pPr>
      <w:r>
        <w:rPr>
          <w:rFonts w:hint="eastAsia" w:ascii="宋体" w:hAnsi="宋体" w:cs="宋体"/>
          <w:sz w:val="24"/>
          <w:szCs w:val="20"/>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ascii="宋体" w:hAnsi="宋体" w:cs="宋体"/>
          <w:sz w:val="24"/>
          <w:szCs w:val="20"/>
        </w:rPr>
      </w:pPr>
      <w:r>
        <w:rPr>
          <w:rFonts w:hint="eastAsia" w:ascii="宋体" w:hAnsi="宋体" w:cs="宋体"/>
          <w:sz w:val="24"/>
          <w:szCs w:val="20"/>
        </w:rPr>
        <w:t xml:space="preserve">8.3 为使投标单位有足够的时间按招标文件的修改要求考虑修正投标文件，或出于其他原因，采购代理机构可酌情推迟投标截止日期和开标日期，于原定投标时间前将此变更在政府采购信息发布媒体上发布变更公告。</w:t>
      </w:r>
      <w:r/>
    </w:p>
    <w:p>
      <w:pPr>
        <w:ind w:firstLine="480"/>
        <w:spacing w:line="360" w:lineRule="auto"/>
        <w:rPr>
          <w:rFonts w:ascii="宋体" w:hAnsi="宋体" w:cs="宋体"/>
          <w:sz w:val="24"/>
        </w:rPr>
      </w:pPr>
      <w:r>
        <w:rPr>
          <w:rFonts w:hint="eastAsia" w:ascii="宋体" w:hAnsi="宋体" w:cs="宋体"/>
          <w:sz w:val="24"/>
        </w:rPr>
        <w:t xml:space="preserve">8.4投标单位应在提交投标文件截止时间前关注原采购信息发布媒体上有无本项目的补充公告。</w:t>
      </w:r>
      <w:r/>
    </w:p>
    <w:p>
      <w:pPr>
        <w:ind w:firstLine="482"/>
        <w:spacing w:line="360" w:lineRule="auto"/>
        <w:rPr>
          <w:rFonts w:ascii="宋体" w:hAnsi="宋体" w:cs="宋体"/>
          <w:b/>
          <w:bCs/>
          <w:sz w:val="24"/>
          <w:szCs w:val="20"/>
          <w:lang w:val="zh-CN"/>
        </w:rPr>
      </w:pPr>
      <w:r>
        <w:rPr>
          <w:rFonts w:hint="eastAsia" w:ascii="宋体" w:hAnsi="宋体" w:cs="宋体"/>
          <w:b/>
          <w:bCs/>
          <w:sz w:val="24"/>
          <w:szCs w:val="20"/>
        </w:rPr>
        <w:t xml:space="preserve">9.</w:t>
      </w:r>
      <w:r>
        <w:rPr>
          <w:rFonts w:hint="eastAsia" w:ascii="宋体" w:hAnsi="宋体" w:cs="宋体"/>
          <w:b/>
          <w:bCs/>
          <w:sz w:val="24"/>
          <w:szCs w:val="20"/>
          <w:lang w:val="zh-CN"/>
        </w:rPr>
        <w:t xml:space="preserve">质疑</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.4供应商如对本项目提出质疑须在法定质疑期内一次性提出针对同一采购程序环节的质疑。</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.5接受质疑函的方式：当场送达或邮寄方式。</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.6联系单位：苏州市天美达招投标咨询服务有限公司</w:t>
      </w:r>
      <w:r/>
    </w:p>
    <w:p>
      <w:pPr>
        <w:ind w:firstLine="480"/>
        <w:spacing w:line="360" w:lineRule="auto"/>
        <w:rPr>
          <w:rFonts w:ascii="宋体" w:hAnsi="宋体" w:cs="宋体"/>
          <w:sz w:val="24"/>
          <w:szCs w:val="20"/>
          <w:lang w:val="zh-CN"/>
        </w:rPr>
      </w:pPr>
      <w:r>
        <w:rPr>
          <w:rFonts w:hint="eastAsia" w:ascii="宋体" w:hAnsi="宋体" w:cs="宋体"/>
          <w:sz w:val="24"/>
          <w:szCs w:val="20"/>
        </w:rPr>
        <w:t xml:space="preserve">9</w:t>
      </w:r>
      <w:r>
        <w:rPr>
          <w:rFonts w:hint="eastAsia" w:ascii="宋体" w:hAnsi="宋体" w:cs="宋体"/>
          <w:sz w:val="24"/>
          <w:szCs w:val="20"/>
          <w:lang w:val="zh-CN"/>
        </w:rPr>
        <w:t xml:space="preserve">.7收件人：业务部-叶韵 </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9.8联系电话：0512-65231142-8007</w:t>
      </w:r>
      <w:r/>
    </w:p>
    <w:p>
      <w:pPr>
        <w:ind w:firstLine="480"/>
        <w:spacing w:line="360" w:lineRule="auto"/>
        <w:rPr>
          <w:rFonts w:ascii="宋体" w:hAnsi="宋体" w:cs="宋体"/>
          <w:sz w:val="24"/>
          <w:szCs w:val="20"/>
        </w:rPr>
      </w:pPr>
      <w:r>
        <w:rPr>
          <w:rFonts w:hint="eastAsia" w:ascii="宋体" w:hAnsi="宋体" w:cs="宋体"/>
          <w:sz w:val="24"/>
          <w:szCs w:val="20"/>
        </w:rPr>
        <w:t xml:space="preserve">9</w:t>
      </w:r>
      <w:r>
        <w:rPr>
          <w:rFonts w:hint="eastAsia" w:ascii="宋体" w:hAnsi="宋体" w:cs="宋体"/>
          <w:sz w:val="24"/>
          <w:szCs w:val="20"/>
          <w:lang w:val="zh-CN"/>
        </w:rPr>
        <w:t xml:space="preserve">.9通讯地址：苏州市平泷路</w:t>
      </w:r>
      <w:r>
        <w:rPr>
          <w:rFonts w:hint="eastAsia" w:ascii="宋体" w:hAnsi="宋体" w:cs="宋体"/>
          <w:sz w:val="24"/>
          <w:szCs w:val="20"/>
        </w:rPr>
        <w:t xml:space="preserve">251号城市生活广场A座1519</w:t>
      </w:r>
      <w:r/>
    </w:p>
    <w:p>
      <w:pPr>
        <w:ind w:firstLine="482"/>
        <w:spacing w:line="360" w:lineRule="auto"/>
        <w:rPr>
          <w:rFonts w:ascii="宋体" w:hAnsi="宋体" w:cs="宋体"/>
          <w:b/>
          <w:sz w:val="24"/>
          <w:szCs w:val="20"/>
        </w:rPr>
      </w:pPr>
      <w:r>
        <w:rPr>
          <w:rFonts w:hint="eastAsia" w:ascii="宋体" w:hAnsi="宋体" w:cs="宋体"/>
          <w:b/>
          <w:sz w:val="24"/>
          <w:szCs w:val="20"/>
        </w:rPr>
        <w:t xml:space="preserve">10. 投标文件计量单位和使用文字</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1</w:t>
      </w:r>
      <w:r>
        <w:rPr>
          <w:rFonts w:hint="eastAsia" w:ascii="宋体" w:hAnsi="宋体" w:cs="宋体"/>
          <w:bCs/>
          <w:sz w:val="24"/>
          <w:szCs w:val="20"/>
        </w:rPr>
        <w:t xml:space="preserve">0</w:t>
      </w:r>
      <w:r>
        <w:rPr>
          <w:rFonts w:hint="eastAsia" w:ascii="宋体" w:hAnsi="宋体" w:cs="宋体"/>
          <w:bCs/>
          <w:sz w:val="24"/>
          <w:szCs w:val="20"/>
          <w:lang w:val="zh-CN"/>
        </w:rPr>
        <w:t xml:space="preserve">.1电子投标文件中所使用的计量单位，除采购文件中有特殊要求外，均应使用中华人民共和国法定计量单位。</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1</w:t>
      </w:r>
      <w:r>
        <w:rPr>
          <w:rFonts w:hint="eastAsia" w:ascii="宋体" w:hAnsi="宋体" w:cs="宋体"/>
          <w:bCs/>
          <w:sz w:val="24"/>
          <w:szCs w:val="20"/>
        </w:rPr>
        <w:t xml:space="preserve">0</w:t>
      </w:r>
      <w:r>
        <w:rPr>
          <w:rFonts w:hint="eastAsia" w:ascii="宋体" w:hAnsi="宋体" w:cs="宋体"/>
          <w:bCs/>
          <w:sz w:val="24"/>
          <w:szCs w:val="20"/>
          <w:lang w:val="zh-CN"/>
        </w:rPr>
        <w:t xml:space="preserve">.2电子投标文件应使用中文编制，投标文件中必须使用其他文字的，必须附有中文译本。对于未附有中文译本和中文译本不准确的投标文件可能引起的对投标人不利的后果，采购代理机构概不负责。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line="360" w:lineRule="auto"/>
        <w:rPr>
          <w:rFonts w:ascii="宋体" w:hAnsi="宋体" w:cs="宋体"/>
          <w:b/>
          <w:sz w:val="24"/>
          <w:szCs w:val="20"/>
        </w:rPr>
      </w:pPr>
      <w:r>
        <w:rPr>
          <w:rFonts w:hint="eastAsia" w:ascii="宋体" w:hAnsi="宋体" w:cs="宋体"/>
          <w:b/>
          <w:sz w:val="24"/>
          <w:szCs w:val="20"/>
        </w:rPr>
        <w:t xml:space="preserve">11. </w:t>
      </w:r>
      <w:r>
        <w:rPr>
          <w:rFonts w:hint="eastAsia" w:ascii="宋体" w:hAnsi="宋体" w:cs="宋体"/>
          <w:b/>
          <w:sz w:val="24"/>
          <w:szCs w:val="20"/>
          <w:lang w:val="zh-CN"/>
        </w:rPr>
        <w:t xml:space="preserve">电子投标文件的组成（部分格式见第三章）</w:t>
      </w:r>
      <w:r/>
    </w:p>
    <w:p>
      <w:pPr>
        <w:ind w:firstLine="482"/>
        <w:spacing w:line="360" w:lineRule="auto"/>
        <w:rPr>
          <w:rFonts w:ascii="宋体" w:hAnsi="宋体" w:cs="宋体"/>
          <w:sz w:val="24"/>
          <w:szCs w:val="20"/>
        </w:rPr>
      </w:pPr>
      <w:r>
        <w:rPr>
          <w:rFonts w:hint="eastAsia" w:ascii="宋体" w:hAnsi="宋体" w:cs="宋体"/>
          <w:sz w:val="24"/>
          <w:szCs w:val="20"/>
        </w:rPr>
        <w:t xml:space="preserve">11.1封面</w:t>
      </w:r>
      <w:r/>
    </w:p>
    <w:p>
      <w:pPr>
        <w:ind w:firstLine="482"/>
        <w:spacing w:line="360" w:lineRule="auto"/>
        <w:rPr>
          <w:rFonts w:ascii="宋体" w:hAnsi="宋体" w:cs="宋体"/>
          <w:b/>
          <w:sz w:val="24"/>
          <w:szCs w:val="20"/>
        </w:rPr>
      </w:pPr>
      <w:r>
        <w:rPr>
          <w:rFonts w:hint="eastAsia" w:ascii="宋体" w:hAnsi="宋体" w:cs="宋体"/>
          <w:b/>
          <w:sz w:val="24"/>
          <w:szCs w:val="20"/>
        </w:rPr>
        <w:t xml:space="preserve">11.2投标函</w:t>
      </w:r>
      <w:r/>
    </w:p>
    <w:p>
      <w:pPr>
        <w:ind w:firstLine="482"/>
        <w:spacing w:line="360" w:lineRule="auto"/>
        <w:rPr>
          <w:rFonts w:ascii="宋体" w:hAnsi="宋体" w:cs="宋体"/>
          <w:b/>
          <w:sz w:val="24"/>
          <w:szCs w:val="20"/>
        </w:rPr>
      </w:pPr>
      <w:r>
        <w:rPr>
          <w:rFonts w:hint="eastAsia" w:ascii="宋体" w:hAnsi="宋体" w:cs="宋体"/>
          <w:b/>
          <w:sz w:val="24"/>
          <w:szCs w:val="20"/>
        </w:rPr>
        <w:t xml:space="preserve">11.3开标一览表、投标分项报价明细表</w:t>
      </w:r>
      <w:r/>
    </w:p>
    <w:p>
      <w:pPr>
        <w:ind w:firstLine="482"/>
        <w:spacing w:line="360" w:lineRule="auto"/>
        <w:rPr>
          <w:rFonts w:ascii="宋体" w:hAnsi="宋体" w:cs="宋体"/>
          <w:b/>
          <w:sz w:val="24"/>
          <w:szCs w:val="20"/>
        </w:rPr>
      </w:pPr>
      <w:r>
        <w:rPr>
          <w:rFonts w:hint="eastAsia" w:ascii="宋体" w:hAnsi="宋体" w:cs="宋体"/>
          <w:b/>
          <w:sz w:val="24"/>
          <w:szCs w:val="20"/>
        </w:rPr>
        <w:t xml:space="preserve">11.4关于资格条件的声明函；</w:t>
      </w:r>
      <w:r/>
    </w:p>
    <w:p>
      <w:pPr>
        <w:ind w:firstLine="482"/>
        <w:spacing w:line="360" w:lineRule="auto"/>
        <w:rPr>
          <w:rFonts w:ascii="宋体" w:hAnsi="宋体" w:cs="宋体"/>
          <w:b/>
          <w:sz w:val="24"/>
          <w:szCs w:val="20"/>
        </w:rPr>
      </w:pPr>
      <w:r>
        <w:rPr>
          <w:rFonts w:hint="eastAsia" w:ascii="宋体" w:hAnsi="宋体" w:cs="宋体"/>
          <w:b/>
          <w:sz w:val="24"/>
          <w:szCs w:val="20"/>
        </w:rPr>
        <w:t xml:space="preserve">11.5资格审查响应文件</w:t>
      </w:r>
      <w:r/>
    </w:p>
    <w:p>
      <w:pPr>
        <w:ind w:firstLine="48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80"/>
        <w:spacing w:line="360" w:lineRule="auto"/>
        <w:rPr>
          <w:rFonts w:ascii="宋体" w:hAnsi="宋体"/>
          <w:b/>
          <w:sz w:val="24"/>
        </w:rPr>
      </w:pPr>
      <w:r>
        <w:rPr>
          <w:rFonts w:hint="eastAsia" w:ascii="宋体" w:hAnsi="宋体"/>
          <w:b/>
          <w:sz w:val="24"/>
        </w:rPr>
        <w:t xml:space="preserve">（2）具有良好的商业信誉和健全的财务会计制度（提供最近一期财务报告或银行资信等相应证明材料）；</w:t>
      </w:r>
      <w:r/>
    </w:p>
    <w:p>
      <w:pPr>
        <w:ind w:firstLine="480"/>
        <w:spacing w:line="360" w:lineRule="auto"/>
        <w:rPr>
          <w:rFonts w:ascii="宋体" w:hAnsi="宋体"/>
          <w:b/>
          <w:sz w:val="24"/>
        </w:rPr>
      </w:pPr>
      <w:r>
        <w:rPr>
          <w:rFonts w:hint="eastAsia" w:ascii="宋体" w:hAnsi="宋体"/>
          <w:b/>
          <w:sz w:val="24"/>
        </w:rPr>
        <w:t xml:space="preserve">（3）具有履行合同所必需的设备和专业技术能力（提供相应证明或声明函）；</w:t>
      </w:r>
      <w:r/>
    </w:p>
    <w:p>
      <w:pPr>
        <w:ind w:firstLine="480"/>
        <w:spacing w:line="360" w:lineRule="auto"/>
        <w:rPr>
          <w:rFonts w:ascii="宋体" w:hAnsi="宋体"/>
          <w:b/>
          <w:sz w:val="24"/>
        </w:rPr>
      </w:pPr>
      <w:r>
        <w:rPr>
          <w:rFonts w:hint="eastAsia" w:ascii="宋体" w:hAnsi="宋体"/>
          <w:b/>
          <w:sz w:val="24"/>
        </w:rPr>
        <w:t xml:space="preserve">（4）具有依法缴纳税收和社会保障资金的良好记录（提供</w:t>
      </w:r>
      <w:r>
        <w:rPr>
          <w:rFonts w:hint="eastAsia" w:ascii="宋体" w:hAnsi="宋体" w:cs="宋体"/>
          <w:b/>
          <w:sz w:val="24"/>
          <w:szCs w:val="20"/>
        </w:rPr>
        <w:t xml:space="preserve">最近一期依法缴纳税收的凭据复印件和最近一期依法缴纳社会保险的凭据复印件</w:t>
      </w:r>
      <w:r>
        <w:rPr>
          <w:rFonts w:hint="eastAsia" w:ascii="宋体" w:hAnsi="宋体"/>
          <w:b/>
          <w:sz w:val="24"/>
        </w:rPr>
        <w:t xml:space="preserve">）；</w:t>
      </w:r>
      <w:r/>
    </w:p>
    <w:p>
      <w:pPr>
        <w:ind w:firstLine="480"/>
        <w:spacing w:line="360" w:lineRule="auto"/>
        <w:rPr>
          <w:rFonts w:ascii="Calibri" w:hAnsi="Calibri"/>
          <w:b/>
          <w:sz w:val="24"/>
        </w:rPr>
      </w:pPr>
      <w:r>
        <w:rPr>
          <w:rFonts w:hint="eastAsia" w:ascii="宋体" w:hAnsi="宋体"/>
          <w:b/>
          <w:sz w:val="24"/>
        </w:rPr>
        <w:t xml:space="preserve">（5）参加政府采购活动前三年内，在经营活动中没有重大违法记录（提供信用中国等信息网站查询截图或信用报告或声明函）。</w:t>
      </w:r>
      <w:r/>
    </w:p>
    <w:p>
      <w:pPr>
        <w:ind w:firstLine="482"/>
        <w:spacing w:line="360" w:lineRule="auto"/>
        <w:rPr>
          <w:rFonts w:ascii="宋体" w:hAnsi="宋体"/>
          <w:b/>
          <w:sz w:val="24"/>
        </w:rPr>
      </w:pPr>
      <w:r>
        <w:rPr>
          <w:rFonts w:hint="eastAsia" w:ascii="宋体" w:hAnsi="宋体" w:cs="宋体"/>
          <w:b/>
          <w:sz w:val="24"/>
          <w:szCs w:val="20"/>
        </w:rPr>
        <w:t xml:space="preserve">（6）中小企业声明函或</w:t>
      </w:r>
      <w:r>
        <w:rPr>
          <w:rFonts w:hint="eastAsia" w:ascii="宋体" w:hAnsi="宋体"/>
          <w:b/>
          <w:sz w:val="24"/>
        </w:rPr>
        <w:t xml:space="preserve">残疾人福利性单位声明函或监狱企业证明文件。</w:t>
      </w:r>
      <w:r/>
    </w:p>
    <w:p>
      <w:pPr>
        <w:ind w:firstLine="482"/>
        <w:spacing w:line="360" w:lineRule="auto"/>
        <w:rPr>
          <w:rFonts w:ascii="宋体" w:hAnsi="宋体" w:cs="宋体"/>
          <w:sz w:val="24"/>
          <w:szCs w:val="20"/>
        </w:rPr>
      </w:pPr>
      <w:r>
        <w:rPr>
          <w:rFonts w:hint="eastAsia" w:ascii="宋体" w:hAnsi="宋体"/>
          <w:b/>
          <w:sz w:val="24"/>
        </w:rPr>
        <w:t xml:space="preserve">（7）</w:t>
      </w:r>
      <w:r>
        <w:rPr>
          <w:rFonts w:hint="eastAsia" w:ascii="宋体" w:hAnsi="宋体"/>
          <w:b/>
          <w:bCs/>
          <w:sz w:val="24"/>
        </w:rPr>
        <w:t xml:space="preserve">投标单位情况表和存在管理或控股关系单位情况表。</w:t>
      </w:r>
      <w:r/>
    </w:p>
    <w:p>
      <w:pPr>
        <w:ind w:firstLine="482"/>
        <w:spacing w:line="360" w:lineRule="auto"/>
        <w:rPr>
          <w:rFonts w:ascii="宋体" w:hAnsi="宋体" w:cs="宋体"/>
          <w:b/>
          <w:sz w:val="24"/>
          <w:szCs w:val="20"/>
        </w:rPr>
      </w:pPr>
      <w:r>
        <w:rPr>
          <w:rFonts w:hint="eastAsia" w:ascii="宋体" w:hAnsi="宋体" w:cs="宋体"/>
          <w:b/>
          <w:sz w:val="24"/>
          <w:szCs w:val="20"/>
        </w:rPr>
        <w:t xml:space="preserve">11.6符合性审查响应文件</w:t>
      </w:r>
      <w:r/>
    </w:p>
    <w:p>
      <w:pPr>
        <w:ind w:firstLine="482"/>
        <w:spacing w:line="360" w:lineRule="auto"/>
        <w:rPr>
          <w:rFonts w:ascii="宋体" w:hAnsi="宋体" w:cs="宋体"/>
          <w:b/>
          <w:sz w:val="24"/>
          <w:szCs w:val="20"/>
        </w:rPr>
      </w:pPr>
      <w:r>
        <w:rPr>
          <w:rFonts w:hint="eastAsia" w:ascii="宋体" w:hAnsi="宋体" w:cs="宋体"/>
          <w:b/>
          <w:sz w:val="24"/>
          <w:szCs w:val="20"/>
        </w:rPr>
        <w:t xml:space="preserve">（1）法定代表人身份证复印件；</w:t>
      </w:r>
      <w:r/>
    </w:p>
    <w:p>
      <w:pPr>
        <w:ind w:firstLine="482"/>
        <w:spacing w:line="360" w:lineRule="auto"/>
        <w:rPr>
          <w:rFonts w:ascii="宋体" w:hAnsi="宋体" w:cs="宋体"/>
          <w:b/>
          <w:sz w:val="24"/>
          <w:szCs w:val="20"/>
        </w:rPr>
      </w:pPr>
      <w:r>
        <w:rPr>
          <w:rFonts w:hint="eastAsia" w:ascii="宋体" w:hAnsi="宋体" w:cs="宋体"/>
          <w:b/>
          <w:sz w:val="24"/>
          <w:szCs w:val="20"/>
        </w:rPr>
        <w:t xml:space="preserve">（2）法定代表人授权委托书及授权代理人身份证复印件（如有授权）；</w:t>
      </w:r>
      <w:r/>
    </w:p>
    <w:p>
      <w:pPr>
        <w:ind w:firstLine="482"/>
        <w:spacing w:line="360" w:lineRule="auto"/>
        <w:rPr>
          <w:rFonts w:ascii="宋体" w:hAnsi="宋体" w:cs="宋体"/>
          <w:b/>
          <w:sz w:val="24"/>
          <w:szCs w:val="20"/>
        </w:rPr>
      </w:pPr>
      <w:r>
        <w:rPr>
          <w:rFonts w:hint="eastAsia" w:ascii="宋体" w:hAnsi="宋体" w:cs="宋体"/>
          <w:b/>
          <w:sz w:val="24"/>
          <w:szCs w:val="20"/>
        </w:rPr>
        <w:t xml:space="preserve">（3）投标（响应）保证承诺书</w:t>
      </w:r>
      <w:r/>
    </w:p>
    <w:p>
      <w:pPr>
        <w:ind w:firstLine="482"/>
        <w:spacing w:line="360" w:lineRule="auto"/>
        <w:rPr>
          <w:rFonts w:ascii="宋体" w:hAnsi="宋体" w:cs="宋体"/>
          <w:b/>
          <w:sz w:val="24"/>
          <w:szCs w:val="20"/>
        </w:rPr>
      </w:pPr>
      <w:r>
        <w:rPr>
          <w:rFonts w:hint="eastAsia" w:ascii="宋体" w:hAnsi="宋体" w:cs="宋体"/>
          <w:b/>
          <w:sz w:val="24"/>
          <w:szCs w:val="20"/>
        </w:rPr>
        <w:t xml:space="preserve">（4）技术条款响应/偏离表</w:t>
      </w:r>
      <w:r/>
    </w:p>
    <w:p>
      <w:pPr>
        <w:ind w:firstLine="482"/>
        <w:spacing w:line="360" w:lineRule="auto"/>
        <w:rPr>
          <w:rFonts w:ascii="宋体" w:hAnsi="宋体" w:cs="宋体"/>
          <w:b/>
          <w:sz w:val="24"/>
          <w:szCs w:val="20"/>
        </w:rPr>
      </w:pPr>
      <w:r>
        <w:rPr>
          <w:rFonts w:hint="eastAsia" w:ascii="宋体" w:hAnsi="宋体" w:cs="宋体"/>
          <w:b/>
          <w:sz w:val="24"/>
          <w:szCs w:val="20"/>
        </w:rPr>
        <w:t xml:space="preserve">（5）商务条款响应/偏离表</w:t>
      </w:r>
      <w:r/>
    </w:p>
    <w:p>
      <w:pPr>
        <w:ind w:firstLine="482"/>
        <w:spacing w:line="360" w:lineRule="auto"/>
        <w:rPr>
          <w:rFonts w:ascii="宋体" w:hAnsi="宋体" w:cs="宋体"/>
          <w:b/>
          <w:sz w:val="24"/>
          <w:szCs w:val="20"/>
        </w:rPr>
      </w:pPr>
      <w:r>
        <w:rPr>
          <w:rFonts w:hint="eastAsia" w:ascii="宋体" w:hAnsi="宋体" w:cs="宋体"/>
          <w:b/>
          <w:sz w:val="24"/>
          <w:szCs w:val="20"/>
        </w:rPr>
        <w:t xml:space="preserve">（6）其他涉及实质性响应须提供的材料（如有）</w:t>
      </w:r>
      <w:r/>
    </w:p>
    <w:p>
      <w:pPr>
        <w:ind w:firstLine="482"/>
        <w:spacing w:line="360" w:lineRule="auto"/>
        <w:rPr>
          <w:rFonts w:ascii="宋体" w:hAnsi="宋体" w:cs="宋体"/>
          <w:sz w:val="24"/>
          <w:szCs w:val="20"/>
        </w:rPr>
      </w:pPr>
      <w:r>
        <w:rPr>
          <w:rFonts w:hint="eastAsia" w:ascii="宋体" w:hAnsi="宋体" w:cs="宋体"/>
          <w:sz w:val="24"/>
          <w:szCs w:val="20"/>
        </w:rPr>
        <w:t xml:space="preserve">11.7综合评审响应文件</w:t>
      </w:r>
      <w:r/>
    </w:p>
    <w:p>
      <w:pPr>
        <w:ind w:firstLine="482"/>
        <w:spacing w:line="360" w:lineRule="auto"/>
        <w:rPr>
          <w:rFonts w:ascii="宋体" w:hAnsi="宋体" w:cs="宋体"/>
          <w:sz w:val="24"/>
          <w:szCs w:val="20"/>
          <w:lang w:val="zh-CN"/>
        </w:rPr>
      </w:pPr>
      <w:r>
        <w:rPr>
          <w:rFonts w:hint="eastAsia" w:ascii="宋体" w:hAnsi="宋体" w:cs="宋体"/>
          <w:sz w:val="24"/>
          <w:szCs w:val="20"/>
          <w:lang w:val="zh-CN"/>
        </w:rPr>
        <w:t xml:space="preserve">（1）</w:t>
      </w:r>
      <w:r>
        <w:rPr>
          <w:rFonts w:hint="eastAsia" w:ascii="宋体"/>
          <w:bCs/>
          <w:sz w:val="24"/>
          <w:szCs w:val="20"/>
        </w:rPr>
        <w:t xml:space="preserve">项目技术及服务方案</w:t>
      </w:r>
      <w:r>
        <w:rPr>
          <w:rFonts w:hint="eastAsia" w:ascii="宋体" w:hAnsi="宋体" w:cs="宋体"/>
          <w:sz w:val="24"/>
          <w:szCs w:val="20"/>
          <w:lang w:val="zh-CN"/>
        </w:rPr>
        <w:t xml:space="preserve">；</w:t>
      </w:r>
      <w:r/>
    </w:p>
    <w:p>
      <w:pPr>
        <w:ind w:firstLine="482"/>
        <w:spacing w:line="360" w:lineRule="auto"/>
        <w:rPr>
          <w:rFonts w:ascii="宋体" w:hAnsi="宋体" w:cs="宋体"/>
          <w:sz w:val="24"/>
          <w:szCs w:val="20"/>
          <w:lang w:val="zh-CN"/>
        </w:rPr>
      </w:pPr>
      <w:r>
        <w:rPr>
          <w:rFonts w:hint="eastAsia" w:ascii="宋体" w:hAnsi="宋体" w:cs="宋体"/>
          <w:sz w:val="24"/>
          <w:szCs w:val="20"/>
          <w:lang w:val="zh-CN"/>
        </w:rPr>
        <w:t xml:space="preserve">（2）项目团队配置、业绩情况等；</w:t>
      </w:r>
      <w:r/>
    </w:p>
    <w:p>
      <w:pPr>
        <w:ind w:firstLine="482"/>
        <w:spacing w:line="360" w:lineRule="auto"/>
        <w:rPr>
          <w:rFonts w:ascii="宋体" w:hAnsi="宋体" w:cs="宋体"/>
          <w:sz w:val="24"/>
          <w:szCs w:val="20"/>
          <w:lang w:val="zh-CN"/>
        </w:rPr>
      </w:pPr>
      <w:r>
        <w:rPr>
          <w:rFonts w:hint="eastAsia" w:ascii="宋体" w:hAnsi="宋体" w:cs="宋体"/>
          <w:sz w:val="24"/>
          <w:szCs w:val="20"/>
          <w:lang w:val="zh-CN"/>
        </w:rPr>
        <w:t xml:space="preserve">（2）评分标准要求的证明材料。</w:t>
      </w:r>
      <w:r/>
    </w:p>
    <w:p>
      <w:pPr>
        <w:ind w:firstLine="482"/>
        <w:spacing w:line="360" w:lineRule="auto"/>
        <w:rPr>
          <w:rFonts w:ascii="宋体" w:hAnsi="宋体" w:cs="宋体"/>
          <w:sz w:val="24"/>
          <w:szCs w:val="20"/>
        </w:rPr>
      </w:pPr>
      <w:r>
        <w:rPr>
          <w:rFonts w:hint="eastAsia" w:ascii="宋体" w:hAnsi="宋体" w:cs="宋体"/>
          <w:sz w:val="24"/>
          <w:szCs w:val="20"/>
        </w:rPr>
        <w:t xml:space="preserve">11.8其他材料</w:t>
      </w:r>
      <w:r/>
    </w:p>
    <w:p>
      <w:pPr>
        <w:ind w:firstLine="482"/>
        <w:spacing w:line="360" w:lineRule="auto"/>
        <w:rPr>
          <w:rFonts w:ascii="宋体" w:hAnsi="宋体" w:cs="宋体"/>
          <w:sz w:val="24"/>
          <w:szCs w:val="20"/>
        </w:rPr>
      </w:pPr>
      <w:r>
        <w:rPr>
          <w:rFonts w:hint="eastAsia" w:ascii="宋体" w:hAnsi="宋体" w:cs="宋体"/>
          <w:sz w:val="24"/>
          <w:szCs w:val="20"/>
        </w:rPr>
        <w:t xml:space="preserve">（1）投标单位情况表；</w:t>
      </w:r>
      <w:r/>
    </w:p>
    <w:p>
      <w:pPr>
        <w:ind w:firstLine="482"/>
        <w:spacing w:line="360" w:lineRule="auto"/>
        <w:rPr>
          <w:rFonts w:ascii="宋体" w:hAnsi="宋体" w:cs="宋体"/>
          <w:sz w:val="24"/>
          <w:szCs w:val="20"/>
        </w:rPr>
      </w:pPr>
      <w:r>
        <w:rPr>
          <w:rFonts w:hint="eastAsia" w:ascii="宋体" w:hAnsi="宋体" w:cs="宋体"/>
          <w:sz w:val="24"/>
          <w:szCs w:val="20"/>
        </w:rPr>
        <w:t xml:space="preserve">（2）投标产品分析表</w:t>
      </w:r>
      <w:r>
        <w:rPr>
          <w:rFonts w:hint="eastAsia" w:ascii="宋体" w:hAnsi="宋体" w:cs="宋体"/>
          <w:sz w:val="24"/>
          <w:szCs w:val="20"/>
        </w:rPr>
        <w:t xml:space="preserve">；</w:t>
      </w:r>
      <w:r/>
    </w:p>
    <w:p>
      <w:pPr>
        <w:ind w:firstLine="482"/>
        <w:spacing w:line="360" w:lineRule="auto"/>
        <w:rPr>
          <w:rFonts w:ascii="宋体" w:hAnsi="宋体" w:cs="宋体"/>
          <w:sz w:val="24"/>
          <w:szCs w:val="20"/>
        </w:rPr>
      </w:pPr>
      <w:r>
        <w:rPr>
          <w:rFonts w:hint="eastAsia" w:ascii="宋体" w:hAnsi="宋体" w:cs="宋体"/>
          <w:sz w:val="24"/>
          <w:szCs w:val="20"/>
        </w:rPr>
        <w:t xml:space="preserve">（3）质保期及运维期内备品备件、易损件、耗材、试剂等一览表</w:t>
      </w:r>
      <w:r>
        <w:rPr>
          <w:rFonts w:hint="eastAsia" w:ascii="宋体" w:hAnsi="宋体" w:cs="宋体"/>
          <w:sz w:val="24"/>
          <w:szCs w:val="20"/>
        </w:rPr>
        <w:t xml:space="preserve">；</w:t>
      </w:r>
      <w:r/>
    </w:p>
    <w:p>
      <w:pPr>
        <w:ind w:firstLine="482"/>
        <w:spacing w:line="360" w:lineRule="auto"/>
        <w:rPr>
          <w:rFonts w:ascii="宋体" w:hAnsi="宋体" w:cs="宋体"/>
          <w:sz w:val="24"/>
          <w:szCs w:val="20"/>
        </w:rPr>
      </w:pPr>
      <w:r>
        <w:rPr>
          <w:rFonts w:hint="eastAsia" w:ascii="宋体" w:hAnsi="宋体" w:cs="宋体"/>
          <w:sz w:val="24"/>
          <w:szCs w:val="20"/>
        </w:rPr>
        <w:t xml:space="preserve">（4）关于符合本国产品标准的声明函</w:t>
      </w:r>
      <w:r>
        <w:rPr>
          <w:rFonts w:hint="eastAsia" w:ascii="宋体" w:hAnsi="宋体" w:cs="宋体"/>
          <w:sz w:val="24"/>
          <w:szCs w:val="20"/>
        </w:rPr>
        <w:t xml:space="preserve">；</w:t>
      </w:r>
      <w:r/>
    </w:p>
    <w:p>
      <w:pPr>
        <w:ind w:firstLine="482"/>
        <w:spacing w:line="360" w:lineRule="auto"/>
        <w:rPr>
          <w:rFonts w:ascii="宋体" w:hAnsi="宋体" w:cs="宋体"/>
          <w:sz w:val="24"/>
          <w:szCs w:val="20"/>
          <w:lang w:val="zh-CN"/>
        </w:rPr>
      </w:pPr>
      <w:r>
        <w:rPr>
          <w:rFonts w:hint="eastAsia" w:ascii="宋体" w:hAnsi="宋体" w:cs="宋体"/>
          <w:sz w:val="24"/>
          <w:szCs w:val="20"/>
          <w:lang w:val="zh-CN"/>
        </w:rPr>
        <w:t xml:space="preserve">（5）对本次招标有关的或投标人认为应该提供的其他材料。</w:t>
      </w:r>
      <w:r/>
    </w:p>
    <w:p>
      <w:pPr>
        <w:ind w:firstLine="482"/>
        <w:spacing w:line="360" w:lineRule="auto"/>
        <w:rPr>
          <w:rFonts w:ascii="宋体" w:hAnsi="宋体" w:cs="宋体"/>
          <w:b/>
          <w:sz w:val="24"/>
          <w:szCs w:val="20"/>
          <w:lang w:val="zh-CN"/>
        </w:rPr>
      </w:pPr>
      <w:r>
        <w:rPr>
          <w:rFonts w:hint="eastAsia" w:ascii="宋体" w:hAnsi="宋体" w:cs="宋体"/>
          <w:b/>
          <w:sz w:val="24"/>
          <w:szCs w:val="20"/>
          <w:lang w:val="zh-CN"/>
        </w:rPr>
        <w:t xml:space="preserve">1</w:t>
      </w:r>
      <w:r>
        <w:rPr>
          <w:rFonts w:hint="eastAsia" w:ascii="宋体" w:hAnsi="宋体" w:cs="宋体"/>
          <w:b/>
          <w:sz w:val="24"/>
          <w:szCs w:val="20"/>
        </w:rPr>
        <w:t xml:space="preserve">1</w:t>
      </w:r>
      <w:r>
        <w:rPr>
          <w:rFonts w:hint="eastAsia" w:ascii="宋体" w:hAnsi="宋体" w:cs="宋体"/>
          <w:b/>
          <w:sz w:val="24"/>
          <w:szCs w:val="20"/>
          <w:lang w:val="zh-CN"/>
        </w:rPr>
        <w:t xml:space="preserve">.</w:t>
      </w:r>
      <w:r>
        <w:rPr>
          <w:rFonts w:hint="eastAsia" w:ascii="宋体" w:hAnsi="宋体" w:cs="宋体"/>
          <w:b/>
          <w:sz w:val="24"/>
          <w:szCs w:val="20"/>
        </w:rPr>
        <w:t xml:space="preserve">9</w:t>
      </w:r>
      <w:r>
        <w:rPr>
          <w:rFonts w:hint="eastAsia" w:ascii="宋体" w:hAnsi="宋体" w:cs="宋体"/>
          <w:b/>
          <w:sz w:val="24"/>
          <w:szCs w:val="20"/>
          <w:lang w:val="zh-CN"/>
        </w:rPr>
        <w:t xml:space="preserve">投标文件由1</w:t>
      </w:r>
      <w:r>
        <w:rPr>
          <w:rFonts w:hint="eastAsia" w:ascii="宋体" w:hAnsi="宋体" w:cs="宋体"/>
          <w:b/>
          <w:sz w:val="24"/>
          <w:szCs w:val="20"/>
        </w:rPr>
        <w:t xml:space="preserve">1</w:t>
      </w:r>
      <w:r>
        <w:rPr>
          <w:rFonts w:hint="eastAsia" w:ascii="宋体" w:hAnsi="宋体" w:cs="宋体"/>
          <w:b/>
          <w:sz w:val="24"/>
          <w:szCs w:val="20"/>
          <w:lang w:val="zh-CN"/>
        </w:rPr>
        <w:t xml:space="preserve">.1</w:t>
      </w:r>
      <w:r>
        <w:rPr>
          <w:rFonts w:hint="eastAsia" w:ascii="宋体" w:hAnsi="宋体" w:cs="宋体"/>
          <w:b/>
          <w:sz w:val="24"/>
          <w:szCs w:val="20"/>
        </w:rPr>
        <w:t xml:space="preserve">至</w:t>
      </w:r>
      <w:r>
        <w:rPr>
          <w:rFonts w:hint="eastAsia" w:ascii="宋体" w:hAnsi="宋体" w:cs="宋体"/>
          <w:b/>
          <w:sz w:val="24"/>
          <w:szCs w:val="20"/>
          <w:lang w:val="zh-CN"/>
        </w:rPr>
        <w:t xml:space="preserve">1</w:t>
      </w:r>
      <w:r>
        <w:rPr>
          <w:rFonts w:hint="eastAsia" w:ascii="宋体" w:hAnsi="宋体" w:cs="宋体"/>
          <w:b/>
          <w:sz w:val="24"/>
          <w:szCs w:val="20"/>
        </w:rPr>
        <w:t xml:space="preserve">1</w:t>
      </w:r>
      <w:r>
        <w:rPr>
          <w:rFonts w:hint="eastAsia" w:ascii="宋体" w:hAnsi="宋体" w:cs="宋体"/>
          <w:b/>
          <w:sz w:val="24"/>
          <w:szCs w:val="20"/>
          <w:lang w:val="zh-CN"/>
        </w:rPr>
        <w:t xml:space="preserve">.</w:t>
      </w:r>
      <w:r>
        <w:rPr>
          <w:rFonts w:hint="eastAsia" w:ascii="宋体" w:hAnsi="宋体" w:cs="宋体"/>
          <w:b/>
          <w:sz w:val="24"/>
          <w:szCs w:val="20"/>
        </w:rPr>
        <w:t xml:space="preserve">8</w:t>
      </w:r>
      <w:r>
        <w:rPr>
          <w:rFonts w:hint="eastAsia" w:ascii="宋体" w:hAnsi="宋体" w:cs="宋体"/>
          <w:b/>
          <w:sz w:val="24"/>
          <w:szCs w:val="20"/>
          <w:lang w:val="zh-CN"/>
        </w:rPr>
        <w:t xml:space="preserve">款规定的内容共同组成。其中11.2—11.6款的材料不可缺少，否则其投标无效。</w:t>
      </w:r>
      <w:r/>
    </w:p>
    <w:p>
      <w:pPr>
        <w:ind w:firstLine="482"/>
        <w:spacing w:line="360" w:lineRule="auto"/>
        <w:rPr>
          <w:rFonts w:ascii="宋体" w:hAnsi="宋体" w:cs="宋体"/>
          <w:b/>
          <w:sz w:val="24"/>
          <w:szCs w:val="20"/>
        </w:rPr>
      </w:pPr>
      <w:r>
        <w:rPr>
          <w:rFonts w:hint="eastAsia" w:ascii="宋体" w:hAnsi="宋体" w:cs="宋体"/>
          <w:b/>
          <w:sz w:val="24"/>
          <w:szCs w:val="20"/>
        </w:rPr>
        <w:t xml:space="preserve">12.电子投标文件编制要求</w:t>
      </w:r>
      <w:r/>
    </w:p>
    <w:p>
      <w:pPr>
        <w:ind w:firstLine="480"/>
        <w:spacing w:line="360" w:lineRule="auto"/>
        <w:rPr>
          <w:rFonts w:ascii="宋体" w:hAnsi="宋体" w:cs="宋体"/>
          <w:bCs/>
          <w:sz w:val="24"/>
          <w:szCs w:val="20"/>
        </w:rPr>
      </w:pPr>
      <w:r>
        <w:rPr>
          <w:rFonts w:hint="eastAsia" w:ascii="宋体" w:hAnsi="宋体" w:cs="宋体"/>
          <w:bCs/>
          <w:sz w:val="24"/>
          <w:szCs w:val="20"/>
        </w:rPr>
        <w:t xml:space="preserve">12.1电子投标文件按电子投标模板统一顺序、统一格式编写。</w:t>
      </w:r>
      <w:r/>
    </w:p>
    <w:p>
      <w:pPr>
        <w:ind w:firstLine="480"/>
        <w:spacing w:line="360" w:lineRule="auto"/>
        <w:rPr>
          <w:rFonts w:ascii="宋体" w:hAnsi="宋体" w:cs="宋体"/>
          <w:bCs/>
          <w:sz w:val="24"/>
          <w:szCs w:val="20"/>
        </w:rPr>
      </w:pPr>
      <w:r>
        <w:rPr>
          <w:rFonts w:hint="eastAsia" w:ascii="宋体" w:hAnsi="宋体" w:cs="宋体"/>
          <w:bCs/>
          <w:sz w:val="24"/>
          <w:szCs w:val="20"/>
        </w:rPr>
        <w:t xml:space="preserve">12.2电子投标文件制作</w:t>
      </w:r>
      <w:r/>
    </w:p>
    <w:p>
      <w:pPr>
        <w:ind w:firstLine="480"/>
        <w:spacing w:line="360" w:lineRule="auto"/>
        <w:rPr>
          <w:rFonts w:ascii="宋体" w:hAnsi="宋体" w:cs="宋体"/>
          <w:bCs/>
          <w:sz w:val="24"/>
          <w:szCs w:val="20"/>
        </w:rPr>
      </w:pPr>
      <w:r>
        <w:rPr>
          <w:rFonts w:hint="eastAsia" w:ascii="宋体" w:hAnsi="宋体" w:cs="宋体"/>
          <w:bCs/>
          <w:sz w:val="24"/>
          <w:szCs w:val="20"/>
        </w:rPr>
        <w:t xml:space="preserve">（1）在苏采云系统中下载招标文件后，点击“客户端下载地址”，下载投标文件客户端，查看客户端使用说明。</w:t>
      </w:r>
      <w:r/>
    </w:p>
    <w:p>
      <w:pPr>
        <w:ind w:firstLine="480"/>
        <w:spacing w:line="360" w:lineRule="auto"/>
        <w:rPr>
          <w:rFonts w:ascii="宋体" w:hAnsi="宋体" w:cs="宋体"/>
          <w:bCs/>
          <w:sz w:val="24"/>
          <w:szCs w:val="20"/>
        </w:rPr>
      </w:pPr>
      <w:r>
        <w:rPr>
          <w:rFonts w:hint="eastAsia" w:ascii="宋体" w:hAnsi="宋体" w:cs="宋体"/>
          <w:bCs/>
          <w:sz w:val="24"/>
          <w:szCs w:val="20"/>
        </w:rPr>
        <w:t xml:space="preserve">（2）将下载的采购文件导入投标文件客户端，按照《操作手册》完成投标文件的编制和加盖电子签章。</w:t>
      </w:r>
      <w:r/>
    </w:p>
    <w:p>
      <w:pPr>
        <w:ind w:firstLine="480"/>
        <w:spacing w:line="360" w:lineRule="auto"/>
        <w:rPr>
          <w:rFonts w:ascii="宋体" w:hAnsi="宋体" w:cs="宋体"/>
          <w:bCs/>
          <w:sz w:val="24"/>
          <w:szCs w:val="20"/>
        </w:rPr>
      </w:pPr>
      <w:r>
        <w:rPr>
          <w:rFonts w:hint="eastAsia" w:ascii="宋体" w:hAnsi="宋体" w:cs="宋体"/>
          <w:bCs/>
          <w:sz w:val="24"/>
          <w:szCs w:val="20"/>
        </w:rPr>
        <w:t xml:space="preserve">（3）导出制作完成的投标文件，上传至苏采云系统。</w:t>
      </w:r>
      <w:r/>
    </w:p>
    <w:p>
      <w:pPr>
        <w:ind w:firstLine="480"/>
        <w:spacing w:line="360" w:lineRule="auto"/>
        <w:rPr>
          <w:rFonts w:ascii="宋体" w:hAnsi="宋体" w:cs="宋体"/>
          <w:bCs/>
          <w:sz w:val="24"/>
          <w:szCs w:val="20"/>
        </w:rPr>
      </w:pPr>
      <w:r>
        <w:rPr>
          <w:rFonts w:hint="eastAsia" w:ascii="宋体" w:hAnsi="宋体" w:cs="宋体"/>
          <w:bCs/>
          <w:sz w:val="24"/>
          <w:szCs w:val="20"/>
        </w:rPr>
        <w:t xml:space="preserve">注：具体投标文件编制教程查看苏采云系统中的客户端使用说明和供应商《操作手册》。</w:t>
      </w:r>
      <w:r>
        <w:rPr>
          <w:rFonts w:ascii="宋体" w:hAnsi="宋体" w:cs="宋体"/>
          <w:bCs/>
          <w:sz w:val="24"/>
          <w:szCs w:val="2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p>
    <w:p>
      <w:pPr>
        <w:ind w:firstLine="480"/>
        <w:spacing w:line="360" w:lineRule="auto"/>
        <w:rPr>
          <w:rFonts w:ascii="宋体" w:hAnsi="宋体" w:cs="宋体"/>
          <w:bCs/>
          <w:sz w:val="24"/>
          <w:szCs w:val="20"/>
        </w:rPr>
      </w:pPr>
      <w:r>
        <w:rPr>
          <w:rFonts w:hint="eastAsia" w:ascii="宋体" w:hAnsi="宋体" w:cs="宋体"/>
          <w:bCs/>
          <w:sz w:val="24"/>
          <w:szCs w:val="20"/>
        </w:rPr>
        <w:t xml:space="preserve">12.3电子投标文件中的资料应按采购文件的要求加盖投标人的电子签章或公章。</w:t>
      </w:r>
      <w:r/>
    </w:p>
    <w:p>
      <w:pPr>
        <w:ind w:firstLine="480"/>
        <w:spacing w:line="360" w:lineRule="auto"/>
        <w:rPr>
          <w:rFonts w:ascii="宋体" w:hAnsi="宋体" w:cs="宋体"/>
          <w:bCs/>
          <w:sz w:val="24"/>
          <w:szCs w:val="20"/>
        </w:rPr>
      </w:pPr>
      <w:r>
        <w:rPr>
          <w:rFonts w:hint="eastAsia" w:ascii="宋体" w:hAnsi="宋体" w:cs="宋体"/>
          <w:bCs/>
          <w:sz w:val="24"/>
          <w:szCs w:val="20"/>
        </w:rPr>
        <w:t xml:space="preserve">12.4未按照要求编制电子投标文件，未按照要求在电子投标文件上加盖电子签章的，均视为无效投标。</w:t>
      </w:r>
      <w:r/>
    </w:p>
    <w:p>
      <w:pPr>
        <w:ind w:firstLine="482"/>
        <w:spacing w:line="360" w:lineRule="auto"/>
        <w:rPr>
          <w:rFonts w:ascii="宋体" w:hAnsi="宋体" w:cs="宋体"/>
          <w:b/>
          <w:sz w:val="24"/>
          <w:szCs w:val="20"/>
          <w:lang w:val="zh-CN"/>
        </w:rPr>
      </w:pPr>
      <w:r>
        <w:rPr>
          <w:rFonts w:hint="eastAsia" w:ascii="宋体" w:hAnsi="宋体" w:cs="宋体"/>
          <w:b/>
          <w:sz w:val="24"/>
          <w:szCs w:val="20"/>
        </w:rPr>
        <w:t xml:space="preserve">13. </w:t>
      </w:r>
      <w:r>
        <w:rPr>
          <w:rFonts w:hint="eastAsia" w:ascii="宋体" w:hAnsi="宋体" w:cs="宋体"/>
          <w:b/>
          <w:sz w:val="24"/>
          <w:szCs w:val="20"/>
          <w:lang w:val="zh-CN"/>
        </w:rPr>
        <w:t xml:space="preserve">电子投标文件的签署</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1</w:t>
      </w:r>
      <w:r>
        <w:rPr>
          <w:rFonts w:hint="eastAsia" w:ascii="宋体" w:hAnsi="宋体" w:cs="宋体"/>
          <w:bCs/>
          <w:sz w:val="24"/>
          <w:szCs w:val="20"/>
        </w:rPr>
        <w:t xml:space="preserve">3</w:t>
      </w:r>
      <w:r>
        <w:rPr>
          <w:rFonts w:hint="eastAsia" w:ascii="宋体" w:hAnsi="宋体" w:cs="宋体"/>
          <w:bCs/>
          <w:sz w:val="24"/>
          <w:szCs w:val="20"/>
          <w:lang w:val="zh-CN"/>
        </w:rPr>
        <w:t xml:space="preserve">.1投标人应按采购文件的规定，编制电子投标文件并上传系统。</w:t>
      </w:r>
      <w:r/>
    </w:p>
    <w:p>
      <w:pPr>
        <w:ind w:firstLine="480"/>
        <w:spacing w:line="360" w:lineRule="auto"/>
        <w:rPr>
          <w:rFonts w:ascii="宋体" w:hAnsi="宋体" w:cs="宋体"/>
          <w:bCs/>
          <w:sz w:val="24"/>
          <w:szCs w:val="20"/>
        </w:rPr>
      </w:pPr>
      <w:r>
        <w:rPr>
          <w:rFonts w:hint="eastAsia" w:ascii="宋体" w:hAnsi="宋体" w:cs="宋体"/>
          <w:bCs/>
          <w:sz w:val="24"/>
          <w:szCs w:val="20"/>
          <w:lang w:val="zh-CN"/>
        </w:rPr>
        <w:t xml:space="preserve">1</w:t>
      </w:r>
      <w:r>
        <w:rPr>
          <w:rFonts w:hint="eastAsia" w:ascii="宋体" w:hAnsi="宋体" w:cs="宋体"/>
          <w:bCs/>
          <w:sz w:val="24"/>
          <w:szCs w:val="20"/>
        </w:rPr>
        <w:t xml:space="preserve">3</w:t>
      </w:r>
      <w:r>
        <w:rPr>
          <w:rFonts w:hint="eastAsia" w:ascii="宋体" w:hAnsi="宋体" w:cs="宋体"/>
          <w:bCs/>
          <w:sz w:val="24"/>
          <w:szCs w:val="20"/>
          <w:lang w:val="zh-CN"/>
        </w:rPr>
        <w:t xml:space="preserve">.2投标文件均应使用不能擦去的黑色或蓝色墨水打印或书写，需要加盖公章或法定代表人（或其代理人）盖章或签名的文件必须按要求盖章或签名，若未按上述要求签署的电子投标文件为无效投标。</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1</w:t>
      </w:r>
      <w:r>
        <w:rPr>
          <w:rFonts w:hint="eastAsia" w:ascii="宋体" w:hAnsi="宋体" w:cs="宋体"/>
          <w:bCs/>
          <w:sz w:val="24"/>
          <w:szCs w:val="20"/>
        </w:rPr>
        <w:t xml:space="preserve">3</w:t>
      </w:r>
      <w:r>
        <w:rPr>
          <w:rFonts w:hint="eastAsia" w:ascii="宋体" w:hAnsi="宋体" w:cs="宋体"/>
          <w:bCs/>
          <w:sz w:val="24"/>
          <w:szCs w:val="20"/>
          <w:lang w:val="zh-CN"/>
        </w:rPr>
        <w:t xml:space="preserve">.3全套投标文件应无涂改和行间插字。因投标人造成的必须修改的错误，在修改处应由法定代表人或代理人签名证明。</w:t>
      </w:r>
      <w:r/>
    </w:p>
    <w:p>
      <w:pPr>
        <w:ind w:firstLine="482"/>
        <w:spacing w:line="360" w:lineRule="auto"/>
        <w:rPr>
          <w:rFonts w:ascii="宋体" w:hAnsi="宋体" w:cs="宋体"/>
          <w:sz w:val="24"/>
          <w:szCs w:val="20"/>
        </w:rPr>
      </w:pPr>
      <w:r>
        <w:rPr>
          <w:rFonts w:hint="eastAsia" w:ascii="宋体" w:hAnsi="宋体" w:cs="宋体"/>
          <w:b/>
          <w:sz w:val="24"/>
          <w:szCs w:val="20"/>
        </w:rPr>
        <w:t xml:space="preserve">14. 投标报价</w:t>
      </w:r>
      <w:r>
        <w:rPr>
          <w:rFonts w:hint="eastAsia" w:ascii="宋体" w:hAnsi="宋体" w:cs="宋体"/>
          <w:sz w:val="24"/>
          <w:szCs w:val="20"/>
        </w:rPr>
        <w:t xml:space="preserve">：</w:t>
      </w:r>
      <w:r/>
    </w:p>
    <w:p>
      <w:pPr>
        <w:ind w:firstLine="480"/>
        <w:jc w:val="left"/>
        <w:spacing w:line="360" w:lineRule="auto"/>
        <w:rPr>
          <w:rFonts w:ascii="宋体" w:hAnsi="宋体" w:cs="宋体"/>
          <w:sz w:val="24"/>
          <w:szCs w:val="20"/>
          <w:lang w:bidi="ar"/>
        </w:rPr>
      </w:pPr>
      <w:r>
        <w:rPr>
          <w:rFonts w:hint="eastAsia" w:ascii="宋体" w:hAnsi="宋体" w:cs="宋体"/>
          <w:sz w:val="24"/>
          <w:szCs w:val="20"/>
        </w:rPr>
        <w:t xml:space="preserve">14.1 除非合同中另有规定，投标人对《开标一览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jc w:val="left"/>
        <w:spacing w:line="360" w:lineRule="auto"/>
        <w:rPr>
          <w:rFonts w:ascii="宋体" w:hAnsi="宋体" w:cs="宋体"/>
          <w:sz w:val="24"/>
        </w:rPr>
      </w:pPr>
      <w:r>
        <w:rPr>
          <w:rFonts w:hint="eastAsia" w:ascii="宋体" w:hAnsi="宋体" w:cs="宋体"/>
          <w:sz w:val="24"/>
        </w:rPr>
        <w:t xml:space="preserve">14.2 </w:t>
      </w:r>
      <w:r>
        <w:rPr>
          <w:rFonts w:hint="eastAsia" w:ascii="宋体" w:hAnsi="宋体" w:cs="宋体"/>
          <w:bCs/>
          <w:sz w:val="24"/>
          <w:szCs w:val="20"/>
        </w:rPr>
        <w:t xml:space="preserve">投标人应按《投标报价表》中的全部货物和服务计算单价和总价。《投标报价表》中的每一单项均应计算并填写单价和总价，并由法定代表人或代理人签章。</w:t>
      </w:r>
      <w:r/>
    </w:p>
    <w:p>
      <w:pPr>
        <w:ind w:firstLine="480"/>
        <w:spacing w:line="360" w:lineRule="auto"/>
        <w:rPr>
          <w:rFonts w:ascii="宋体" w:hAnsi="宋体" w:cs="宋体"/>
          <w:bCs/>
          <w:sz w:val="24"/>
          <w:szCs w:val="20"/>
        </w:rPr>
      </w:pPr>
      <w:r>
        <w:rPr>
          <w:rFonts w:hint="eastAsia" w:ascii="宋体" w:hAnsi="宋体" w:cs="宋体"/>
          <w:bCs/>
          <w:sz w:val="24"/>
          <w:szCs w:val="20"/>
        </w:rPr>
        <w:t xml:space="preserve">14.3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80"/>
        <w:spacing w:line="360" w:lineRule="auto"/>
        <w:rPr>
          <w:rFonts w:ascii="宋体" w:hAnsi="宋体" w:cs="宋体"/>
          <w:bCs/>
          <w:sz w:val="24"/>
          <w:szCs w:val="20"/>
        </w:rPr>
      </w:pPr>
      <w:r>
        <w:rPr>
          <w:rFonts w:hint="eastAsia" w:ascii="宋体" w:hAnsi="宋体" w:cs="宋体"/>
          <w:bCs/>
          <w:sz w:val="24"/>
          <w:szCs w:val="20"/>
        </w:rPr>
        <w:t xml:space="preserve">14.4一项投标内容只允许一个报价，采购代理机构不接受任何有选择性的投标报价。</w:t>
      </w:r>
      <w:r/>
    </w:p>
    <w:p>
      <w:pPr>
        <w:ind w:firstLine="480"/>
        <w:spacing w:line="360" w:lineRule="auto"/>
        <w:rPr>
          <w:rFonts w:ascii="宋体" w:hAnsi="宋体" w:cs="宋体"/>
          <w:bCs/>
          <w:sz w:val="24"/>
          <w:szCs w:val="20"/>
        </w:rPr>
      </w:pPr>
      <w:r>
        <w:rPr>
          <w:rFonts w:hint="eastAsia" w:ascii="宋体" w:hAnsi="宋体" w:cs="宋体"/>
          <w:bCs/>
          <w:sz w:val="24"/>
          <w:szCs w:val="20"/>
        </w:rPr>
        <w:t xml:space="preserve">14.5投标文件报价中的单价和总价全部采用人民币表示，除非合同的特殊条款另有规定。</w:t>
      </w:r>
      <w:r/>
    </w:p>
    <w:p>
      <w:pPr>
        <w:ind w:firstLine="480"/>
        <w:spacing w:line="360" w:lineRule="auto"/>
        <w:rPr>
          <w:rFonts w:ascii="宋体" w:hAnsi="宋体" w:cs="宋体"/>
          <w:bCs/>
          <w:sz w:val="24"/>
          <w:szCs w:val="20"/>
        </w:rPr>
      </w:pPr>
      <w:r>
        <w:rPr>
          <w:rFonts w:hint="eastAsia" w:ascii="宋体" w:hAnsi="宋体" w:cs="宋体"/>
          <w:bCs/>
          <w:sz w:val="24"/>
          <w:szCs w:val="20"/>
        </w:rPr>
        <w:t xml:space="preserve">14.6最低的投标报价或最高的折扣比例是中标的重要条件，但不是中标的唯一条件。</w:t>
      </w:r>
      <w:r/>
    </w:p>
    <w:p>
      <w:pPr>
        <w:ind w:firstLine="482"/>
        <w:spacing w:line="360" w:lineRule="auto"/>
        <w:rPr>
          <w:rFonts w:ascii="宋体" w:hAnsi="宋体" w:cs="宋体"/>
          <w:b/>
          <w:sz w:val="24"/>
          <w:szCs w:val="20"/>
        </w:rPr>
      </w:pPr>
      <w:r>
        <w:rPr>
          <w:rFonts w:hint="eastAsia" w:ascii="宋体" w:hAnsi="宋体" w:cs="宋体"/>
          <w:b/>
          <w:sz w:val="24"/>
          <w:szCs w:val="20"/>
        </w:rPr>
        <w:t xml:space="preserve">15.投标保证金：</w:t>
      </w:r>
      <w:r/>
    </w:p>
    <w:p>
      <w:pPr>
        <w:ind w:firstLine="482"/>
        <w:spacing w:line="360" w:lineRule="auto"/>
        <w:rPr>
          <w:rFonts w:ascii="宋体" w:hAnsi="宋体" w:cs="宋体"/>
          <w:b/>
          <w:sz w:val="24"/>
          <w:szCs w:val="20"/>
        </w:rPr>
      </w:pPr>
      <w:r>
        <w:rPr>
          <w:rFonts w:hint="eastAsia" w:ascii="宋体" w:hAnsi="宋体" w:cs="宋体"/>
          <w:sz w:val="24"/>
        </w:rPr>
        <w:t xml:space="preserve">本项目不收取投标保证金，但需提供</w:t>
      </w:r>
      <w:r>
        <w:rPr>
          <w:rFonts w:hint="eastAsia" w:ascii="宋体" w:hAnsi="宋体"/>
          <w:sz w:val="24"/>
          <w:szCs w:val="20"/>
        </w:rPr>
        <w:t xml:space="preserve">《投标（响应）保证承诺书》</w:t>
      </w:r>
      <w:r>
        <w:rPr>
          <w:rFonts w:hint="eastAsia" w:ascii="宋体" w:hAnsi="宋体"/>
          <w:bCs/>
          <w:sz w:val="24"/>
        </w:rPr>
        <w:t xml:space="preserve">（格式见第三章）</w:t>
      </w:r>
      <w:r>
        <w:rPr>
          <w:rFonts w:hint="eastAsia" w:ascii="宋体" w:hAnsi="宋体" w:cs="宋体"/>
          <w:sz w:val="24"/>
        </w:rPr>
        <w:t xml:space="preserve">。</w:t>
      </w:r>
      <w:r/>
    </w:p>
    <w:p>
      <w:pPr>
        <w:ind w:firstLine="482"/>
        <w:spacing w:line="360" w:lineRule="auto"/>
        <w:rPr>
          <w:rFonts w:ascii="宋体" w:hAnsi="宋体" w:cs="宋体"/>
          <w:b/>
          <w:sz w:val="24"/>
          <w:szCs w:val="20"/>
        </w:rPr>
      </w:pPr>
      <w:r>
        <w:rPr>
          <w:rFonts w:hint="eastAsia" w:ascii="宋体" w:hAnsi="宋体" w:cs="宋体"/>
          <w:b/>
          <w:sz w:val="24"/>
          <w:szCs w:val="20"/>
        </w:rPr>
        <w:t xml:space="preserve">16. 投标文件的有效期</w:t>
      </w:r>
      <w:r/>
    </w:p>
    <w:p>
      <w:pPr>
        <w:ind w:firstLine="480"/>
        <w:spacing w:line="360" w:lineRule="auto"/>
        <w:rPr>
          <w:rFonts w:ascii="宋体" w:hAnsi="宋体" w:cs="宋体"/>
          <w:sz w:val="24"/>
          <w:szCs w:val="20"/>
        </w:rPr>
      </w:pPr>
      <w:r>
        <w:rPr>
          <w:rFonts w:hint="eastAsia" w:ascii="宋体" w:hAnsi="宋体" w:cs="宋体"/>
          <w:sz w:val="24"/>
          <w:szCs w:val="20"/>
        </w:rPr>
        <w:t xml:space="preserve">16.1 自开标日起90天投标书应保持有效。有效期短于这个规定期限的投标将被拒绝。</w:t>
      </w:r>
      <w:r/>
    </w:p>
    <w:p>
      <w:pPr>
        <w:ind w:firstLine="480"/>
        <w:spacing w:line="360" w:lineRule="auto"/>
        <w:rPr>
          <w:rFonts w:ascii="宋体" w:hAnsi="宋体" w:cs="宋体"/>
          <w:sz w:val="24"/>
          <w:szCs w:val="20"/>
        </w:rPr>
      </w:pPr>
      <w:r>
        <w:rPr>
          <w:rFonts w:hint="eastAsia" w:ascii="宋体" w:hAnsi="宋体" w:cs="宋体"/>
          <w:sz w:val="24"/>
          <w:szCs w:val="20"/>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ascii="宋体" w:hAnsi="宋体" w:cs="宋体"/>
          <w:b/>
          <w:sz w:val="24"/>
          <w:szCs w:val="20"/>
        </w:rPr>
      </w:pPr>
      <w:r>
        <w:rPr>
          <w:rFonts w:hint="eastAsia" w:ascii="宋体" w:hAnsi="宋体" w:cs="宋体"/>
          <w:b/>
          <w:sz w:val="24"/>
          <w:szCs w:val="20"/>
        </w:rPr>
        <w:t xml:space="preserve">17. 投标文件的密封及标记：</w:t>
      </w:r>
      <w:r>
        <w:rPr>
          <w:rFonts w:hint="eastAsia" w:ascii="宋体" w:hAnsi="宋体" w:cs="宋体"/>
          <w:sz w:val="24"/>
          <w:szCs w:val="20"/>
        </w:rPr>
        <w:t xml:space="preserve">本项目电子投标，无须密封。</w:t>
      </w:r>
      <w:r/>
    </w:p>
    <w:p>
      <w:pPr>
        <w:ind w:firstLine="482"/>
        <w:spacing w:line="360" w:lineRule="auto"/>
        <w:rPr>
          <w:rFonts w:ascii="宋体" w:hAnsi="宋体"/>
          <w:sz w:val="24"/>
        </w:rPr>
      </w:pPr>
      <w:r>
        <w:rPr>
          <w:rFonts w:hint="eastAsia" w:ascii="宋体" w:hAnsi="宋体"/>
          <w:b/>
          <w:sz w:val="24"/>
        </w:rPr>
        <w:t xml:space="preserve">18.投标文件的提交</w:t>
      </w:r>
      <w:r/>
    </w:p>
    <w:p>
      <w:pPr>
        <w:ind w:firstLine="480"/>
        <w:spacing w:line="360" w:lineRule="auto"/>
        <w:rPr>
          <w:rFonts w:ascii="宋体" w:hAnsi="宋体"/>
          <w:sz w:val="24"/>
        </w:rPr>
      </w:pPr>
      <w:r>
        <w:rPr>
          <w:rFonts w:hint="eastAsia" w:ascii="宋体" w:hAnsi="宋体"/>
          <w:sz w:val="24"/>
        </w:rPr>
        <w:t xml:space="preserve">18.1</w:t>
      </w:r>
      <w:bookmarkStart w:id="26" w:name="_Toc513029226"/>
      <w:r/>
      <w:bookmarkStart w:id="27" w:name="_Toc20823298"/>
      <w:r/>
      <w:bookmarkStart w:id="28" w:name="_Toc16938542"/>
      <w:r>
        <w:rPr>
          <w:rFonts w:hint="eastAsia" w:ascii="宋体" w:hAnsi="宋体"/>
          <w:sz w:val="24"/>
        </w:rPr>
        <w:t xml:space="preserve">投标人应当在招标文件规定的提交投标文件截止时间前，将投标文件成功上传到“苏采云”系统，否则视为放弃参加该采购项目。</w:t>
      </w:r>
      <w:r/>
    </w:p>
    <w:p>
      <w:pPr>
        <w:ind w:firstLine="480"/>
        <w:spacing w:line="360" w:lineRule="auto"/>
        <w:rPr>
          <w:rFonts w:ascii="宋体" w:hAnsi="宋体"/>
          <w:sz w:val="24"/>
        </w:rPr>
      </w:pPr>
      <w:r/>
      <w:bookmarkStart w:id="29" w:name="_Toc25608"/>
      <w:r/>
      <w:bookmarkStart w:id="30" w:name="_Toc31150"/>
      <w:r>
        <w:rPr>
          <w:rFonts w:hint="eastAsia" w:ascii="宋体" w:hAnsi="宋体"/>
          <w:sz w:val="24"/>
        </w:rPr>
        <w:t xml:space="preserve">18.2投标人提交投标文件的时间以系统收到上传的电子投标文件时间为准，投标人应充分考虑到网络环境、网络带宽等风险因素，如因投标人自身原因造成的电子投标文件上传不成功由投标人自行承担全部责任。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bookmarkEnd w:id="26"/>
      <w:r/>
      <w:bookmarkEnd w:id="27"/>
      <w:r/>
      <w:bookmarkEnd w:id="28"/>
      <w:r/>
      <w:r/>
    </w:p>
    <w:p>
      <w:pPr>
        <w:ind w:firstLine="482"/>
        <w:spacing w:line="360" w:lineRule="auto"/>
        <w:rPr>
          <w:rFonts w:ascii="宋体" w:hAnsi="宋体" w:cs="宋体"/>
          <w:b/>
          <w:sz w:val="24"/>
          <w:szCs w:val="20"/>
        </w:rPr>
      </w:pPr>
      <w:r>
        <w:rPr>
          <w:rFonts w:hint="eastAsia" w:ascii="宋体" w:hAnsi="宋体" w:cs="宋体"/>
          <w:b/>
          <w:sz w:val="24"/>
          <w:szCs w:val="20"/>
        </w:rPr>
        <w:t xml:space="preserve">19. 投标截止时间</w:t>
      </w:r>
      <w:r/>
    </w:p>
    <w:p>
      <w:pPr>
        <w:ind w:left="239" w:firstLine="240"/>
        <w:spacing w:line="360" w:lineRule="auto"/>
        <w:rPr>
          <w:rFonts w:ascii="宋体" w:hAnsi="宋体"/>
          <w:sz w:val="24"/>
          <w:szCs w:val="20"/>
        </w:rPr>
      </w:pPr>
      <w:r>
        <w:rPr>
          <w:rFonts w:hint="eastAsia" w:ascii="宋体" w:hAnsi="宋体"/>
          <w:sz w:val="24"/>
        </w:rPr>
        <w:t xml:space="preserve">19</w:t>
      </w:r>
      <w:r>
        <w:rPr>
          <w:rFonts w:ascii="宋体" w:hAnsi="宋体"/>
          <w:sz w:val="24"/>
        </w:rPr>
        <w:t xml:space="preserve">.1 </w:t>
      </w:r>
      <w:r>
        <w:rPr>
          <w:rFonts w:hint="eastAsia" w:ascii="宋体" w:hAnsi="宋体"/>
          <w:sz w:val="24"/>
        </w:rPr>
        <w:t xml:space="preserve">投标截止时间详见招标公告。</w:t>
      </w:r>
      <w:r>
        <w:rPr>
          <w:rFonts w:hint="eastAsia" w:ascii="宋体" w:hAnsi="宋体"/>
          <w:bCs/>
          <w:sz w:val="24"/>
        </w:rPr>
        <w:t xml:space="preserve">在规定的投标截止时间后上传的任何投标文件将被拒绝。</w:t>
      </w:r>
      <w:r/>
    </w:p>
    <w:p>
      <w:pPr>
        <w:ind w:firstLine="480"/>
        <w:spacing w:line="360" w:lineRule="auto"/>
        <w:rPr>
          <w:rFonts w:ascii="宋体" w:hAnsi="宋体"/>
          <w:sz w:val="24"/>
          <w:szCs w:val="20"/>
        </w:rPr>
      </w:pPr>
      <w:r>
        <w:rPr>
          <w:rFonts w:hint="eastAsia" w:ascii="宋体" w:hAnsi="宋体"/>
          <w:sz w:val="24"/>
        </w:rPr>
        <w:t xml:space="preserve">19</w:t>
      </w:r>
      <w:r>
        <w:rPr>
          <w:rFonts w:ascii="宋体" w:hAnsi="宋体"/>
          <w:sz w:val="24"/>
        </w:rPr>
        <w:t xml:space="preserve">.2 </w:t>
      </w:r>
      <w:r>
        <w:rPr>
          <w:rFonts w:hint="eastAsia" w:ascii="宋体" w:hAnsi="宋体"/>
          <w:bCs/>
          <w:sz w:val="24"/>
        </w:rPr>
        <w:t xml:space="preserve">采购人和采购代理机构如推迟投标截止时间时，将按更正公告的方式发布公告。在这种情况下，采购人、采购代理机构和投标人的权利和义务将受到新的截止期的约束</w:t>
      </w:r>
      <w:r>
        <w:rPr>
          <w:rFonts w:ascii="宋体" w:hAnsi="宋体"/>
          <w:sz w:val="24"/>
        </w:rPr>
        <w:t xml:space="preserve">。所有投标人</w:t>
      </w:r>
      <w:r>
        <w:rPr>
          <w:rFonts w:hint="eastAsia" w:ascii="宋体" w:hAnsi="宋体"/>
          <w:sz w:val="24"/>
        </w:rPr>
        <w:t xml:space="preserve">应及时关注本项目相关公告</w:t>
      </w:r>
      <w:r>
        <w:rPr>
          <w:rFonts w:ascii="宋体" w:hAnsi="宋体"/>
          <w:sz w:val="24"/>
        </w:rPr>
        <w:t xml:space="preserve">。</w:t>
      </w:r>
      <w:r/>
    </w:p>
    <w:p>
      <w:pPr>
        <w:ind w:firstLine="480"/>
        <w:spacing w:line="360" w:lineRule="auto"/>
        <w:rPr>
          <w:rFonts w:ascii="宋体" w:hAnsi="宋体" w:cs="宋体"/>
          <w:sz w:val="24"/>
          <w:szCs w:val="20"/>
        </w:rPr>
      </w:pPr>
      <w:r>
        <w:rPr>
          <w:rFonts w:hint="eastAsia" w:ascii="宋体" w:hAnsi="宋体" w:cs="宋体"/>
          <w:sz w:val="24"/>
          <w:szCs w:val="20"/>
        </w:rPr>
        <w:t xml:space="preserve">19.3至投标截止时间，投标人不足3家的，不得开标</w:t>
      </w:r>
      <w:r/>
    </w:p>
    <w:p>
      <w:pPr>
        <w:ind w:firstLine="482"/>
        <w:spacing w:line="360" w:lineRule="auto"/>
        <w:rPr>
          <w:rFonts w:ascii="宋体" w:hAnsi="宋体" w:cs="宋体"/>
          <w:b/>
          <w:sz w:val="24"/>
          <w:szCs w:val="20"/>
        </w:rPr>
      </w:pPr>
      <w:r>
        <w:rPr>
          <w:rFonts w:hint="eastAsia" w:ascii="宋体" w:hAnsi="宋体" w:cs="宋体"/>
          <w:b/>
          <w:sz w:val="24"/>
          <w:szCs w:val="20"/>
        </w:rPr>
        <w:t xml:space="preserve">20. 投标文件的修改和撤回</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.1 投标文件的撤回</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.1.1 电子投标文件的撤回</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投标人可在投标截止时间前，撤回其电子投标文件，具体操作方法见《操作手册》。</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.1.2 投标人撤回电子投标文件，则认为其不再参与本项目投标活动。</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.2 投标文件的修改</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.2.1投标人可在投标截止时间前，对其电子投标文件进行修改，具体操作方法见《操作手册》。</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.2.2 在投标截止时间之后，投标人不得对其电子投标文件作任何修改。</w:t>
      </w:r>
      <w:r/>
    </w:p>
    <w:p>
      <w:pPr>
        <w:ind w:firstLine="480"/>
        <w:spacing w:line="360" w:lineRule="auto"/>
        <w:rPr>
          <w:rFonts w:ascii="宋体" w:hAnsi="宋体" w:cs="宋体"/>
          <w:sz w:val="24"/>
          <w:szCs w:val="20"/>
        </w:rPr>
      </w:pPr>
      <w:r>
        <w:rPr>
          <w:rFonts w:hint="eastAsia" w:ascii="宋体" w:hAnsi="宋体" w:cs="宋体"/>
          <w:sz w:val="24"/>
          <w:szCs w:val="20"/>
          <w:lang w:val="zh-CN"/>
        </w:rPr>
        <w:t xml:space="preserve">2</w:t>
      </w:r>
      <w:r>
        <w:rPr>
          <w:rFonts w:hint="eastAsia" w:ascii="宋体" w:hAnsi="宋体" w:cs="宋体"/>
          <w:sz w:val="24"/>
          <w:szCs w:val="20"/>
        </w:rPr>
        <w:t xml:space="preserve">0</w:t>
      </w:r>
      <w:r>
        <w:rPr>
          <w:rFonts w:hint="eastAsia" w:ascii="宋体" w:hAnsi="宋体" w:cs="宋体"/>
          <w:sz w:val="24"/>
          <w:szCs w:val="20"/>
          <w:lang w:val="zh-CN"/>
        </w:rPr>
        <w:t xml:space="preserve">.3 在投标截止时间至招标文件中规定的投标有效期满之间的这段时间内，投标人不得撤回其投标。</w:t>
      </w:r>
      <w:r>
        <w:rPr>
          <w:rFonts w:hint="eastAsia" w:ascii="宋体" w:hAnsi="宋体" w:cs="宋体"/>
          <w:sz w:val="24"/>
          <w:szCs w:val="20"/>
        </w:rPr>
        <w:t xml:space="preserve"> </w:t>
      </w:r>
      <w:r/>
    </w:p>
    <w:p>
      <w:pPr>
        <w:ind w:firstLine="482"/>
        <w:spacing w:line="360" w:lineRule="auto"/>
        <w:rPr>
          <w:rFonts w:ascii="宋体" w:hAnsi="宋体" w:cs="宋体"/>
          <w:b/>
          <w:sz w:val="24"/>
          <w:szCs w:val="20"/>
        </w:rPr>
      </w:pPr>
      <w:r>
        <w:rPr>
          <w:rFonts w:hint="eastAsia" w:ascii="宋体" w:hAnsi="宋体" w:cs="宋体"/>
          <w:b/>
          <w:sz w:val="24"/>
          <w:szCs w:val="20"/>
        </w:rPr>
        <w:t xml:space="preserve">21. 开标</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.1</w:t>
      </w:r>
      <w:r>
        <w:rPr>
          <w:rFonts w:hint="eastAsia" w:ascii="宋体" w:hAnsi="宋体" w:cs="宋体"/>
          <w:sz w:val="24"/>
        </w:rPr>
        <w:t xml:space="preserve">代理机构工作人员</w:t>
      </w:r>
      <w:r>
        <w:rPr>
          <w:rFonts w:hint="eastAsia" w:ascii="宋体" w:hAnsi="宋体" w:cs="宋体"/>
          <w:sz w:val="24"/>
          <w:lang w:val="zh-CN"/>
        </w:rPr>
        <w:t xml:space="preserve">将在招标公告中规定的时间和地点组织公开开标。</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21.2</w:t>
      </w:r>
      <w:r>
        <w:rPr>
          <w:rFonts w:hint="eastAsia" w:ascii="宋体" w:hAnsi="宋体" w:cs="宋体"/>
          <w:sz w:val="24"/>
        </w:rPr>
        <w:t xml:space="preserve">投标人登录“苏采云”系统并进入“江苏省政府采购一体化不见面开标（采购）大厅”，网上远程参加开标，并完成解密等程序</w:t>
      </w:r>
      <w:r>
        <w:rPr>
          <w:rFonts w:hint="eastAsia" w:ascii="宋体" w:hAnsi="宋体"/>
          <w:sz w:val="24"/>
        </w:rPr>
        <w:t xml:space="preserve">（具体操作详见《苏采云系统供应商操作手册》）</w:t>
      </w:r>
      <w:r>
        <w:rPr>
          <w:rFonts w:hint="eastAsia" w:ascii="宋体" w:hAnsi="宋体" w:cs="宋体"/>
          <w:sz w:val="24"/>
        </w:rPr>
        <w:t xml:space="preserve">。</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.3开标仪式由</w:t>
      </w:r>
      <w:r>
        <w:rPr>
          <w:rFonts w:hint="eastAsia" w:ascii="宋体" w:hAnsi="宋体" w:cs="宋体"/>
          <w:sz w:val="24"/>
        </w:rPr>
        <w:t xml:space="preserve">代理机构</w:t>
      </w:r>
      <w:r>
        <w:rPr>
          <w:rFonts w:hint="eastAsia" w:ascii="宋体" w:hAnsi="宋体" w:cs="宋体"/>
          <w:sz w:val="24"/>
          <w:lang w:val="zh-CN"/>
        </w:rPr>
        <w:t xml:space="preserve">组织。苏采云系统将自动对项目进行开标，并宣布各投标人名称和投标价格。</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.4</w:t>
      </w:r>
      <w:r>
        <w:rPr>
          <w:rFonts w:hint="eastAsia" w:ascii="宋体" w:hAnsi="宋体" w:cs="宋体"/>
          <w:b/>
          <w:sz w:val="24"/>
        </w:rPr>
        <w:t xml:space="preserve">开标阶段，投标人在【解密】环节必须使用CA证书解密电子投标文件，如在系统规定的解密时间内未能完成解密的视为放弃投标。开标时投标人应始终保持在线状态，关注解密时间。</w:t>
      </w:r>
      <w:r>
        <w:rPr>
          <w:rFonts w:hint="eastAsia" w:ascii="宋体" w:hAnsi="宋体"/>
          <w:b/>
          <w:sz w:val="24"/>
        </w:rPr>
        <w:t xml:space="preserve">如果有多标段的项目，投多标段的单位，请仔细查看每个标段的操作情况。</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1</w:t>
      </w:r>
      <w:r>
        <w:rPr>
          <w:rFonts w:hint="eastAsia" w:ascii="宋体" w:hAnsi="宋体" w:cs="宋体"/>
          <w:sz w:val="24"/>
          <w:lang w:val="zh-CN"/>
        </w:rPr>
        <w:t xml:space="preserve">.5投标人如果对开标过程和开标记录有疑义，应当根据《操作手册》规定提出，如苏采云系统中《开标记录表》宣布后5分钟内未提出的，视同认可开标结果。</w:t>
      </w:r>
      <w:r/>
    </w:p>
    <w:p>
      <w:pPr>
        <w:ind w:firstLine="480"/>
        <w:jc w:val="left"/>
        <w:spacing w:line="360" w:lineRule="auto"/>
        <w:rPr>
          <w:rFonts w:ascii="宋体" w:hAnsi="宋体" w:cs="宋体"/>
          <w:b/>
          <w:sz w:val="24"/>
        </w:rPr>
      </w:pPr>
      <w:r>
        <w:rPr>
          <w:rFonts w:hint="eastAsia" w:ascii="宋体" w:hAnsi="宋体" w:cs="宋体"/>
          <w:b/>
          <w:sz w:val="24"/>
        </w:rPr>
        <w:t xml:space="preserve">21.6在开标时，投标文件有下列情况之一者将视为无效：</w:t>
      </w:r>
      <w:r/>
    </w:p>
    <w:p>
      <w:pPr>
        <w:ind w:firstLine="480"/>
        <w:jc w:val="left"/>
        <w:spacing w:line="360" w:lineRule="auto"/>
        <w:rPr>
          <w:rFonts w:ascii="宋体" w:hAnsi="宋体" w:cs="宋体"/>
          <w:b/>
          <w:sz w:val="24"/>
          <w:lang w:val="zh-CN"/>
        </w:rPr>
      </w:pPr>
      <w:r>
        <w:rPr>
          <w:rFonts w:hint="eastAsia" w:ascii="宋体" w:hAnsi="宋体" w:cs="宋体"/>
          <w:b/>
          <w:sz w:val="24"/>
          <w:lang w:val="zh-CN"/>
        </w:rPr>
        <w:t xml:space="preserve">21.6.1报价超过招标文件中规定的预算金额或最高限价的；</w:t>
      </w:r>
      <w:r/>
    </w:p>
    <w:p>
      <w:pPr>
        <w:ind w:firstLine="480"/>
        <w:jc w:val="left"/>
        <w:spacing w:line="360" w:lineRule="auto"/>
        <w:rPr>
          <w:rFonts w:ascii="宋体" w:hAnsi="宋体" w:cs="宋体"/>
          <w:b/>
          <w:sz w:val="24"/>
          <w:lang w:val="zh-CN"/>
        </w:rPr>
      </w:pPr>
      <w:r>
        <w:rPr>
          <w:rFonts w:hint="eastAsia" w:ascii="宋体" w:hAnsi="宋体" w:cs="宋体"/>
          <w:b/>
          <w:sz w:val="24"/>
          <w:lang w:val="zh-CN"/>
        </w:rPr>
        <w:t xml:space="preserve">21.6.2投标人在苏采云系统规定的时间内未成功解密电子投标文件的；</w:t>
      </w:r>
      <w:r/>
    </w:p>
    <w:p>
      <w:pPr>
        <w:ind w:firstLine="480"/>
        <w:jc w:val="left"/>
        <w:spacing w:line="360" w:lineRule="auto"/>
        <w:rPr>
          <w:rFonts w:ascii="宋体" w:hAnsi="宋体" w:cs="宋体"/>
          <w:b/>
          <w:sz w:val="24"/>
          <w:lang w:val="zh-CN"/>
        </w:rPr>
      </w:pPr>
      <w:r>
        <w:rPr>
          <w:rFonts w:hint="eastAsia" w:ascii="宋体" w:hAnsi="宋体" w:cs="宋体"/>
          <w:b/>
          <w:sz w:val="24"/>
          <w:lang w:val="zh-CN"/>
        </w:rPr>
        <w:t xml:space="preserve">21.6.3 投标人未按照招标文件要求上传电子投标文件的；</w:t>
      </w:r>
      <w:r/>
    </w:p>
    <w:p>
      <w:pPr>
        <w:ind w:firstLine="480"/>
        <w:jc w:val="left"/>
        <w:spacing w:line="360" w:lineRule="auto"/>
        <w:rPr>
          <w:rFonts w:ascii="宋体" w:hAnsi="宋体" w:cs="宋体"/>
          <w:b/>
          <w:sz w:val="24"/>
          <w:lang w:val="zh-CN"/>
        </w:rPr>
      </w:pPr>
      <w:r>
        <w:rPr>
          <w:rFonts w:hint="eastAsia" w:ascii="宋体" w:hAnsi="宋体" w:cs="宋体"/>
          <w:b/>
          <w:sz w:val="24"/>
          <w:lang w:val="zh-CN"/>
        </w:rPr>
        <w:t xml:space="preserve">21.6.4同一投标人提交两个（含两个）以上不同的投标报价的。</w:t>
      </w:r>
      <w:r/>
    </w:p>
    <w:p>
      <w:pPr>
        <w:numPr>
          <w:ilvl w:val="0"/>
          <w:numId w:val="4"/>
        </w:numPr>
        <w:ind w:firstLine="482"/>
        <w:spacing w:line="360" w:lineRule="auto"/>
        <w:rPr>
          <w:rFonts w:ascii="宋体" w:hAnsi="宋体" w:cs="宋体"/>
          <w:b/>
          <w:sz w:val="24"/>
          <w:szCs w:val="20"/>
        </w:rPr>
      </w:pPr>
      <w:r>
        <w:rPr>
          <w:rFonts w:hint="eastAsia" w:ascii="宋体" w:hAnsi="宋体" w:cs="宋体"/>
          <w:b/>
          <w:sz w:val="24"/>
          <w:szCs w:val="20"/>
        </w:rPr>
        <w:t xml:space="preserve">评标委员会或评标小组</w:t>
      </w:r>
      <w:r/>
    </w:p>
    <w:p>
      <w:pPr>
        <w:ind w:firstLine="480"/>
        <w:jc w:val="left"/>
        <w:spacing w:line="360" w:lineRule="auto"/>
        <w:rPr>
          <w:rFonts w:ascii="宋体" w:hAnsi="宋体" w:cs="宋体"/>
          <w:sz w:val="24"/>
        </w:rPr>
      </w:pPr>
      <w:r>
        <w:rPr>
          <w:rFonts w:hint="eastAsia" w:ascii="宋体" w:hAnsi="宋体" w:cs="宋体"/>
          <w:sz w:val="24"/>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ascii="宋体" w:hAnsi="宋体" w:cs="宋体"/>
          <w:b/>
          <w:sz w:val="24"/>
          <w:szCs w:val="20"/>
        </w:rPr>
      </w:pPr>
      <w:r>
        <w:rPr>
          <w:rFonts w:hint="eastAsia" w:ascii="宋体" w:hAnsi="宋体" w:cs="宋体"/>
          <w:b/>
          <w:sz w:val="24"/>
          <w:szCs w:val="20"/>
        </w:rPr>
        <w:t xml:space="preserve">23. 评标内容的保密</w:t>
      </w:r>
      <w:r/>
    </w:p>
    <w:p>
      <w:pPr>
        <w:ind w:firstLine="480"/>
        <w:jc w:val="left"/>
        <w:spacing w:line="360" w:lineRule="auto"/>
        <w:rPr>
          <w:rFonts w:ascii="宋体" w:hAnsi="宋体" w:cs="宋体"/>
          <w:sz w:val="24"/>
        </w:rPr>
      </w:pPr>
      <w:r>
        <w:rPr>
          <w:rFonts w:hint="eastAsia" w:ascii="宋体" w:hAnsi="宋体" w:cs="宋体"/>
          <w:sz w:val="24"/>
        </w:rPr>
        <w:t xml:space="preserve">23.1公开开标后，直到宣布授予中标单位中标为止，凡属于审查、澄清、评价和比较投标的所有资料，有关授予中标的信息都不应向投标单位或与评标无关的其他人泄露。</w:t>
      </w:r>
      <w:r/>
    </w:p>
    <w:p>
      <w:pPr>
        <w:ind w:firstLine="480"/>
        <w:jc w:val="left"/>
        <w:spacing w:line="360" w:lineRule="auto"/>
        <w:rPr>
          <w:rFonts w:ascii="宋体" w:hAnsi="宋体" w:cs="宋体"/>
          <w:sz w:val="24"/>
        </w:rPr>
      </w:pPr>
      <w:r>
        <w:rPr>
          <w:rFonts w:hint="eastAsia" w:ascii="宋体" w:hAnsi="宋体" w:cs="宋体"/>
          <w:sz w:val="24"/>
        </w:rPr>
        <w:t xml:space="preserve">23.2在投标文件的审查、澄清、评价和比较以及授予中标的过程中，投标单位对采购代理机构和评标委员会成员施加影响的任何行为，都将取消其投标资格。</w:t>
      </w:r>
      <w:r/>
    </w:p>
    <w:p>
      <w:pPr>
        <w:ind w:firstLine="480"/>
        <w:jc w:val="left"/>
        <w:spacing w:line="360" w:lineRule="auto"/>
        <w:rPr>
          <w:rFonts w:ascii="宋体" w:hAnsi="宋体" w:cs="宋体"/>
          <w:sz w:val="24"/>
        </w:rPr>
      </w:pPr>
      <w:r>
        <w:rPr>
          <w:rFonts w:hint="eastAsia" w:ascii="宋体" w:hAnsi="宋体" w:cs="宋体"/>
          <w:sz w:val="24"/>
        </w:rPr>
        <w:t xml:space="preserve">23.3在评标期间，采购代理机构将通过指定联络人与投标单位进行联系。</w:t>
      </w:r>
      <w:r/>
    </w:p>
    <w:p>
      <w:pPr>
        <w:ind w:firstLine="482"/>
        <w:spacing w:line="360" w:lineRule="auto"/>
        <w:rPr>
          <w:rFonts w:ascii="宋体" w:hAnsi="宋体" w:cs="宋体"/>
          <w:b/>
          <w:sz w:val="24"/>
        </w:rPr>
      </w:pPr>
      <w:r>
        <w:rPr>
          <w:rFonts w:hint="eastAsia" w:ascii="宋体" w:hAnsi="宋体" w:cs="宋体"/>
          <w:b/>
          <w:sz w:val="24"/>
        </w:rPr>
        <w:t xml:space="preserve">24. 对投标文件初审</w:t>
      </w:r>
      <w:r/>
    </w:p>
    <w:p>
      <w:pPr>
        <w:ind w:firstLine="42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4</w:t>
      </w:r>
      <w:r>
        <w:rPr>
          <w:rFonts w:hint="eastAsia" w:ascii="宋体" w:hAnsi="宋体"/>
          <w:bCs/>
          <w:sz w:val="24"/>
          <w:lang w:val="zh-CN"/>
        </w:rPr>
        <w:t xml:space="preserve">.1投标文件初审分为资格审查和符合性审查。</w:t>
      </w:r>
      <w:r/>
    </w:p>
    <w:p>
      <w:pPr>
        <w:ind w:firstLine="42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4</w:t>
      </w:r>
      <w:r>
        <w:rPr>
          <w:rFonts w:hint="eastAsia" w:ascii="宋体" w:hAnsi="宋体"/>
          <w:bCs/>
          <w:sz w:val="24"/>
          <w:lang w:val="zh-CN"/>
        </w:rPr>
        <w:t xml:space="preserve">.1.1资格审查：依据法律法规和招标文件的规定，由采购人</w:t>
      </w:r>
      <w:r>
        <w:rPr>
          <w:rFonts w:hint="eastAsia" w:ascii="宋体" w:hAnsi="宋体"/>
          <w:bCs/>
          <w:sz w:val="24"/>
        </w:rPr>
        <w:t xml:space="preserve">代表</w:t>
      </w:r>
      <w:r>
        <w:rPr>
          <w:rFonts w:hint="eastAsia" w:ascii="宋体" w:hAnsi="宋体"/>
          <w:bCs/>
          <w:sz w:val="24"/>
          <w:lang w:val="zh-CN"/>
        </w:rPr>
        <w:t xml:space="preserve">对投标文件中的资格证明文件进行审查。资格审查的结论，采购人</w:t>
      </w:r>
      <w:r>
        <w:rPr>
          <w:rFonts w:hint="eastAsia" w:ascii="宋体" w:hAnsi="宋体"/>
          <w:bCs/>
          <w:sz w:val="24"/>
        </w:rPr>
        <w:t xml:space="preserve">代表</w:t>
      </w:r>
      <w:r>
        <w:rPr>
          <w:rFonts w:hint="eastAsia" w:ascii="宋体" w:hAnsi="宋体"/>
          <w:bCs/>
          <w:sz w:val="24"/>
          <w:lang w:val="zh-CN"/>
        </w:rPr>
        <w:t xml:space="preserve">以书面形式向评标委员会进行反馈。</w:t>
      </w:r>
      <w:r/>
    </w:p>
    <w:p>
      <w:pPr>
        <w:ind w:firstLine="420"/>
        <w:spacing w:line="360" w:lineRule="auto"/>
        <w:rPr>
          <w:rFonts w:ascii="宋体" w:hAnsi="宋体"/>
          <w:bCs/>
          <w:sz w:val="24"/>
          <w:lang w:val="zh-CN"/>
        </w:rPr>
      </w:pPr>
      <w:r>
        <w:rPr>
          <w:rFonts w:hint="eastAsia" w:ascii="宋体" w:hAnsi="宋体"/>
          <w:bCs/>
          <w:sz w:val="24"/>
          <w:lang w:val="zh-CN"/>
        </w:rPr>
        <w:t xml:space="preserve">24.1.2</w:t>
      </w:r>
      <w:r>
        <w:rPr>
          <w:rFonts w:hint="eastAsia" w:ascii="宋体;SimSun" w:hAnsi="宋体;SimSun" w:cs="宋体;SimSun"/>
          <w:bCs/>
          <w:sz w:val="24"/>
        </w:rPr>
        <w:t xml:space="preserve">投标人信用信息查询：</w:t>
      </w:r>
      <w:r/>
    </w:p>
    <w:p>
      <w:pPr>
        <w:ind w:firstLine="420"/>
        <w:spacing w:line="360" w:lineRule="auto"/>
        <w:rPr>
          <w:rFonts w:ascii="宋体" w:hAnsi="宋体"/>
          <w:bCs/>
          <w:sz w:val="24"/>
          <w:lang w:val="zh-CN"/>
        </w:rPr>
      </w:pPr>
      <w:r>
        <w:rPr>
          <w:rFonts w:hint="eastAsia" w:ascii="宋体;SimSun" w:hAnsi="宋体;SimSun" w:cs="宋体;SimSun"/>
          <w:sz w:val="24"/>
        </w:rPr>
        <w:t xml:space="preserve">根据政府采购法及相关法规，以及苏州市财政局《关于印发苏州市市级政府采购信用记录查询和使用工作试行办法的通知》（苏财购（2017）11号）文件的规定，招标代理机构将对供应商进行信用查询。</w:t>
      </w:r>
      <w:r>
        <w:rPr>
          <w:rFonts w:hint="eastAsia" w:ascii="宋体;SimSun" w:hAnsi="宋体;SimSun" w:cs="宋体;SimSun"/>
          <w:b/>
          <w:sz w:val="24"/>
        </w:rPr>
        <w:t xml:space="preserve">对列入失信被执行人、重大税收违法案件当事人名单、政府采购严重违法失信行为记录名单的供应商，拒绝其参与政府采购活动</w:t>
      </w:r>
      <w:r>
        <w:rPr>
          <w:rFonts w:hint="eastAsia" w:ascii="宋体" w:hAnsi="宋体" w:cs="Arial"/>
          <w:b/>
          <w:sz w:val="24"/>
        </w:rPr>
        <w:t xml:space="preserve">。</w:t>
      </w:r>
      <w:r/>
    </w:p>
    <w:p>
      <w:pPr>
        <w:ind w:firstLine="480"/>
        <w:spacing w:line="360" w:lineRule="auto"/>
        <w:rPr>
          <w:rFonts w:ascii="宋体" w:hAnsi="宋体" w:cs="Arial"/>
          <w:sz w:val="24"/>
        </w:rPr>
      </w:pPr>
      <w:r>
        <w:rPr>
          <w:rFonts w:hint="eastAsia" w:ascii="宋体" w:hAnsi="宋体" w:cs="Arial"/>
          <w:sz w:val="24"/>
        </w:rPr>
        <w:t xml:space="preserve">查询时间：开标</w:t>
      </w:r>
      <w:r>
        <w:rPr>
          <w:rFonts w:hint="eastAsia" w:ascii="宋体;SimSun" w:hAnsi="宋体;SimSun" w:cs="宋体;SimSun"/>
          <w:sz w:val="24"/>
        </w:rPr>
        <w:t xml:space="preserve">当天</w:t>
      </w:r>
      <w:r>
        <w:rPr>
          <w:rFonts w:hint="eastAsia" w:ascii="宋体" w:hAnsi="宋体" w:cs="Arial"/>
          <w:sz w:val="24"/>
        </w:rPr>
        <w:t xml:space="preserve">。</w:t>
      </w:r>
      <w:r/>
    </w:p>
    <w:p>
      <w:pPr>
        <w:ind w:firstLine="480"/>
        <w:spacing w:line="360" w:lineRule="auto"/>
        <w:rPr>
          <w:rFonts w:ascii="宋体" w:hAnsi="宋体" w:cs="宋体"/>
          <w:b/>
          <w:sz w:val="24"/>
        </w:rPr>
      </w:pPr>
      <w:r>
        <w:rPr>
          <w:rFonts w:hint="eastAsia" w:ascii="宋体" w:hAnsi="宋体" w:cs="Arial"/>
          <w:sz w:val="24"/>
        </w:rPr>
        <w:t xml:space="preserve">查询渠道：</w:t>
      </w:r>
      <w:bookmarkStart w:id="31" w:name="OLE_LINK72"/>
      <w:r>
        <w:rPr>
          <w:rFonts w:hint="eastAsia" w:ascii="宋体" w:hAnsi="宋体"/>
          <w:bCs/>
          <w:sz w:val="24"/>
          <w:szCs w:val="21"/>
        </w:rPr>
        <w:t xml:space="preserve">“信用中国”网站。</w:t>
      </w:r>
      <w:bookmarkEnd w:id="31"/>
      <w:r/>
      <w:r/>
    </w:p>
    <w:p>
      <w:pPr>
        <w:ind w:firstLine="480"/>
        <w:spacing w:line="360" w:lineRule="auto"/>
        <w:rPr>
          <w:rFonts w:ascii="宋体" w:hAnsi="宋体" w:cs="宋体"/>
          <w:sz w:val="24"/>
        </w:rPr>
      </w:pPr>
      <w:r>
        <w:rPr>
          <w:rFonts w:hint="eastAsia" w:ascii="宋体" w:hAnsi="宋体" w:cs="宋体"/>
          <w:sz w:val="24"/>
        </w:rPr>
        <w:t xml:space="preserve">评审小组在对供应商进行审查时，应根据《搜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cs="宋体"/>
          <w:sz w:val="24"/>
        </w:rPr>
      </w:pPr>
      <w:r>
        <w:rPr>
          <w:rFonts w:hint="eastAsia" w:ascii="宋体" w:hAnsi="宋体" w:cs="宋体"/>
          <w:sz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（二）财政部门与法院、工商、税务等部门联合惩戒的失信信息，包括：</w:t>
      </w:r>
      <w:r/>
    </w:p>
    <w:p>
      <w:pPr>
        <w:ind w:firstLine="480"/>
        <w:spacing w:line="360" w:lineRule="auto"/>
        <w:rPr>
          <w:rFonts w:ascii="宋体" w:hAnsi="宋体" w:cs="宋体"/>
          <w:sz w:val="24"/>
        </w:rPr>
      </w:pPr>
      <w:r>
        <w:rPr>
          <w:rFonts w:hint="eastAsia" w:ascii="宋体" w:hAnsi="宋体" w:cs="宋体"/>
          <w:sz w:val="24"/>
        </w:rPr>
        <w:t xml:space="preserve">（1）被列入失信被执行人名单；</w:t>
      </w:r>
      <w:r/>
    </w:p>
    <w:p>
      <w:pPr>
        <w:ind w:firstLine="480"/>
        <w:spacing w:line="360" w:lineRule="auto"/>
        <w:rPr>
          <w:rFonts w:ascii="宋体" w:hAnsi="宋体" w:cs="宋体"/>
          <w:sz w:val="24"/>
        </w:rPr>
      </w:pPr>
      <w:r>
        <w:rPr>
          <w:rFonts w:hint="eastAsia" w:ascii="宋体" w:hAnsi="宋体" w:cs="宋体"/>
          <w:sz w:val="24"/>
        </w:rPr>
        <w:t xml:space="preserve">（2）被列入重大税收违法案件当事人名单；</w:t>
      </w:r>
      <w:r/>
    </w:p>
    <w:p>
      <w:pPr>
        <w:ind w:firstLine="480"/>
        <w:spacing w:line="360" w:lineRule="auto"/>
        <w:rPr>
          <w:rFonts w:ascii="宋体" w:hAnsi="宋体" w:cs="宋体"/>
          <w:sz w:val="24"/>
        </w:rPr>
      </w:pPr>
      <w:r>
        <w:rPr>
          <w:rFonts w:hint="eastAsia" w:ascii="宋体" w:hAnsi="宋体" w:cs="宋体"/>
          <w:sz w:val="24"/>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80"/>
        <w:spacing w:line="360" w:lineRule="auto"/>
        <w:rPr>
          <w:rFonts w:ascii="宋体" w:hAnsi="宋体"/>
          <w:b/>
          <w:sz w:val="24"/>
        </w:rPr>
      </w:pPr>
      <w:r>
        <w:rPr>
          <w:rFonts w:hint="eastAsia" w:ascii="宋体" w:hAnsi="宋体" w:cs="宋体"/>
          <w:sz w:val="24"/>
        </w:rPr>
        <w:t xml:space="preserve">查询证据留存方式：对存在失信信息的供应商，采购代理机构应</w:t>
      </w:r>
      <w:r>
        <w:rPr>
          <w:rFonts w:hint="eastAsia" w:ascii="宋体" w:hAnsi="宋体"/>
          <w:sz w:val="24"/>
        </w:rPr>
        <w:t xml:space="preserve">打印查询的信用报告，由评标委员会进行认定</w:t>
      </w:r>
      <w:r>
        <w:rPr>
          <w:rFonts w:hint="eastAsia" w:ascii="宋体" w:hAnsi="宋体" w:cs="宋体"/>
          <w:sz w:val="24"/>
        </w:rPr>
        <w:t xml:space="preserve">。</w:t>
      </w:r>
      <w:r/>
    </w:p>
    <w:p>
      <w:pPr>
        <w:ind w:firstLine="42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4</w:t>
      </w:r>
      <w:r>
        <w:rPr>
          <w:rFonts w:hint="eastAsia" w:ascii="宋体" w:hAnsi="宋体"/>
          <w:bCs/>
          <w:sz w:val="24"/>
          <w:lang w:val="zh-CN"/>
        </w:rPr>
        <w:t xml:space="preserve">.1.3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4</w:t>
      </w:r>
      <w:r>
        <w:rPr>
          <w:rFonts w:hint="eastAsia" w:ascii="宋体" w:hAnsi="宋体"/>
          <w:bCs/>
          <w:sz w:val="24"/>
          <w:lang w:val="zh-CN"/>
        </w:rPr>
        <w:t xml:space="preserve">.1.4未通过资格审查或符合性审查的投标人，代理机构将在苏采云系统中告知未通过资格审查或符合性审查的原因，评审结束后，代理机构将不再告知未通过资格审查或符合性审查的原因。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sz w:val="24"/>
          <w:lang w:val="zh-CN"/>
        </w:rPr>
      </w:pPr>
      <w:r>
        <w:rPr>
          <w:rFonts w:hint="eastAsia" w:ascii="宋体" w:hAnsi="宋体"/>
          <w:bCs/>
          <w:sz w:val="24"/>
          <w:lang w:val="zh-CN"/>
        </w:rPr>
        <w:t xml:space="preserve">2</w:t>
      </w:r>
      <w:r>
        <w:rPr>
          <w:rFonts w:hint="eastAsia" w:ascii="宋体" w:hAnsi="宋体"/>
          <w:bCs/>
          <w:sz w:val="24"/>
        </w:rPr>
        <w:t xml:space="preserve">4</w:t>
      </w:r>
      <w:r>
        <w:rPr>
          <w:rFonts w:hint="eastAsia" w:ascii="宋体" w:hAnsi="宋体"/>
          <w:bCs/>
          <w:sz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ascii="宋体" w:hAnsi="宋体"/>
          <w:sz w:val="24"/>
          <w:lang w:val="zh-CN"/>
        </w:rPr>
        <w:t xml:space="preserve">3</w:t>
      </w:r>
      <w:r>
        <w:rPr>
          <w:rFonts w:hint="eastAsia" w:ascii="宋体" w:hAnsi="宋体"/>
          <w:sz w:val="24"/>
          <w:lang w:val="zh-CN"/>
        </w:rPr>
        <w:t xml:space="preserve">如果投标文件实质上未响应招标文件的要求，评标委员会将予以拒绝，投标人不得通过修改或撤销不合要求的偏离或保留而使其投标成为实质性响应的投标。</w:t>
      </w:r>
      <w:r/>
    </w:p>
    <w:p>
      <w:pPr>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ascii="宋体" w:hAnsi="宋体"/>
          <w:sz w:val="24"/>
          <w:lang w:val="zh-CN"/>
        </w:rPr>
        <w:t xml:space="preserve">4</w:t>
      </w:r>
      <w:r>
        <w:rPr>
          <w:rFonts w:hint="eastAsia" w:ascii="宋体" w:hAnsi="宋体"/>
          <w:sz w:val="24"/>
        </w:rPr>
        <w:t xml:space="preserve">评标委员</w:t>
      </w:r>
      <w:r>
        <w:rPr>
          <w:rFonts w:hint="eastAsia" w:ascii="宋体" w:hAnsi="宋体"/>
          <w:sz w:val="24"/>
          <w:lang w:val="zh-CN"/>
        </w:rPr>
        <w:t xml:space="preserve">会将对确定为实质性响应的投标进行进一步审核，看其是否有计算上或累加上的算术错误，修正错误的原则如下：</w:t>
      </w:r>
      <w:r/>
    </w:p>
    <w:p>
      <w:pPr>
        <w:ind w:firstLine="420"/>
        <w:spacing w:line="360"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360" w:lineRule="auto"/>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360"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360"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360"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360" w:lineRule="auto"/>
        <w:rPr>
          <w:rFonts w:ascii="宋体" w:hAnsi="宋体"/>
          <w:sz w:val="24"/>
          <w:lang w:val="zh-CN"/>
        </w:rPr>
      </w:pPr>
      <w:r>
        <w:rPr>
          <w:rFonts w:hint="eastAsia" w:ascii="宋体" w:hAnsi="宋体"/>
          <w:sz w:val="24"/>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s="宋体"/>
          <w:b/>
          <w:sz w:val="24"/>
        </w:rPr>
      </w:pPr>
      <w:r>
        <w:rPr>
          <w:rFonts w:hint="eastAsia" w:ascii="宋体" w:hAnsi="宋体" w:cs="宋体"/>
          <w:sz w:val="24"/>
          <w:szCs w:val="20"/>
        </w:rPr>
        <w:t xml:space="preserve">24.5</w:t>
      </w:r>
      <w:r>
        <w:rPr>
          <w:rFonts w:hint="eastAsia" w:ascii="宋体" w:hAnsi="宋体" w:cs="宋体"/>
          <w:b/>
          <w:sz w:val="24"/>
        </w:rPr>
        <w:t xml:space="preserve">供应商</w:t>
      </w:r>
      <w:r>
        <w:rPr>
          <w:rFonts w:ascii="宋体" w:hAnsi="宋体" w:cs="宋体"/>
          <w:b/>
          <w:sz w:val="24"/>
        </w:rPr>
        <w:t xml:space="preserve">的报价出现下列情形之一的，</w:t>
      </w:r>
      <w:bookmarkStart w:id="32" w:name="OLE_LINK10"/>
      <w:r/>
      <w:bookmarkStart w:id="33" w:name="OLE_LINK9"/>
      <w:r>
        <w:rPr>
          <w:rFonts w:hint="eastAsia" w:ascii="宋体" w:hAnsi="宋体" w:cs="宋体"/>
          <w:b/>
          <w:sz w:val="24"/>
        </w:rPr>
        <w:t xml:space="preserve">评标</w:t>
      </w:r>
      <w:r>
        <w:rPr>
          <w:rFonts w:ascii="宋体" w:hAnsi="宋体" w:cs="宋体"/>
          <w:b/>
          <w:sz w:val="24"/>
        </w:rPr>
        <w:t xml:space="preserve">委员会</w:t>
      </w:r>
      <w:bookmarkEnd w:id="32"/>
      <w:r/>
      <w:bookmarkEnd w:id="33"/>
      <w:r>
        <w:rPr>
          <w:rFonts w:ascii="宋体" w:hAnsi="宋体" w:cs="宋体"/>
          <w:b/>
          <w:sz w:val="24"/>
        </w:rPr>
        <w:t xml:space="preserve">启动异常低价投标</w:t>
      </w:r>
      <w:r>
        <w:rPr>
          <w:rFonts w:hint="eastAsia" w:ascii="宋体" w:hAnsi="宋体" w:cs="宋体"/>
          <w:b/>
          <w:sz w:val="24"/>
        </w:rPr>
        <w:t xml:space="preserve">（响应）</w:t>
      </w:r>
      <w:r>
        <w:rPr>
          <w:rFonts w:ascii="宋体" w:hAnsi="宋体" w:cs="宋体"/>
          <w:b/>
          <w:sz w:val="24"/>
        </w:rPr>
        <w:t xml:space="preserve">审查程序：</w:t>
      </w:r>
      <w:r/>
    </w:p>
    <w:p>
      <w:pPr>
        <w:ind w:firstLine="480"/>
        <w:spacing w:line="360" w:lineRule="auto"/>
        <w:rPr>
          <w:rFonts w:ascii="宋体" w:hAnsi="宋体" w:cs="宋体"/>
          <w:sz w:val="24"/>
        </w:rPr>
      </w:pPr>
      <w:r/>
      <w:bookmarkStart w:id="34" w:name="OLE_LINK81"/>
      <w:r/>
      <w:bookmarkStart w:id="35" w:name="OLE_LINK80"/>
      <w:r>
        <w:rPr>
          <w:rFonts w:hint="eastAsia" w:ascii="宋体" w:hAnsi="宋体" w:cs="宋体"/>
          <w:sz w:val="24"/>
        </w:rPr>
        <w:t xml:space="preserve">（1）</w:t>
      </w:r>
      <w:bookmarkEnd w:id="34"/>
      <w:r/>
      <w:bookmarkEnd w:id="35"/>
      <w:r>
        <w:rPr>
          <w:rFonts w:hint="eastAsia" w:ascii="宋体" w:hAnsi="宋体" w:cs="宋体"/>
          <w:sz w:val="24"/>
        </w:rPr>
        <w:t xml:space="preserve">投标</w:t>
      </w:r>
      <w:bookmarkStart w:id="36" w:name="OLE_LINK79"/>
      <w:r/>
      <w:bookmarkStart w:id="37" w:name="OLE_LINK78"/>
      <w:r>
        <w:rPr>
          <w:rFonts w:hint="eastAsia" w:ascii="宋体" w:hAnsi="宋体" w:cs="宋体"/>
          <w:sz w:val="24"/>
        </w:rPr>
        <w:t xml:space="preserve">（响应）</w:t>
      </w:r>
      <w:bookmarkEnd w:id="36"/>
      <w:r/>
      <w:bookmarkEnd w:id="37"/>
      <w:r>
        <w:rPr>
          <w:rFonts w:hint="eastAsia" w:ascii="宋体" w:hAnsi="宋体" w:cs="宋体"/>
          <w:sz w:val="24"/>
        </w:rPr>
        <w:t xml:space="preserve">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cs="宋体"/>
          <w:sz w:val="24"/>
        </w:rPr>
      </w:pPr>
      <w:r>
        <w:rPr>
          <w:rFonts w:hint="eastAsia" w:ascii="宋体" w:hAnsi="宋体" w:cs="宋体"/>
          <w:sz w:val="24"/>
        </w:rPr>
        <w:t xml:space="preserve">评审委员会启动异常低价投标</w:t>
      </w:r>
      <w:bookmarkStart w:id="38" w:name="OLE_LINK83"/>
      <w:r/>
      <w:bookmarkStart w:id="39" w:name="OLE_LINK82"/>
      <w:r>
        <w:rPr>
          <w:rFonts w:hint="eastAsia" w:ascii="宋体" w:hAnsi="宋体" w:cs="宋体"/>
          <w:sz w:val="24"/>
        </w:rPr>
        <w:t xml:space="preserve">（响应）</w:t>
      </w:r>
      <w:bookmarkEnd w:id="38"/>
      <w:r/>
      <w:bookmarkEnd w:id="39"/>
      <w:r>
        <w:rPr>
          <w:rFonts w:hint="eastAsia" w:ascii="宋体" w:hAnsi="宋体" w:cs="宋体"/>
          <w:sz w:val="24"/>
        </w:rPr>
        <w:t xml:space="preserve">审查后，应当要求相关供应商在评审现场合理的时间内对投标</w:t>
      </w:r>
      <w:bookmarkStart w:id="40" w:name="OLE_LINK84"/>
      <w:r/>
      <w:bookmarkStart w:id="41" w:name="OLE_LINK85"/>
      <w:r>
        <w:rPr>
          <w:rFonts w:hint="eastAsia" w:ascii="宋体" w:hAnsi="宋体" w:cs="宋体"/>
          <w:sz w:val="24"/>
        </w:rPr>
        <w:t xml:space="preserve">（响应）</w:t>
      </w:r>
      <w:bookmarkEnd w:id="40"/>
      <w:r/>
      <w:bookmarkEnd w:id="41"/>
      <w:r>
        <w:rPr>
          <w:rFonts w:hint="eastAsia" w:ascii="宋体" w:hAnsi="宋体" w:cs="宋体"/>
          <w:sz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sz w:val="24"/>
        </w:rPr>
        <w:t xml:space="preserve">投标（响应）供应商不能提供书面说明、证明材料，或者提供的书面说明、证明材料不能证明其报价合理性的，评审委员会应当将其作为无效投标（响应）处理。</w:t>
      </w:r>
      <w:r>
        <w:rPr>
          <w:b/>
          <w:sz w:val="24"/>
        </w:rPr>
        <w:t xml:space="preserve"> </w:t>
      </w:r>
      <w:r/>
    </w:p>
    <w:p>
      <w:pPr>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sz w:val="24"/>
          <w:lang w:val="zh-CN"/>
        </w:rPr>
      </w:pPr>
      <w:r>
        <w:rPr>
          <w:rFonts w:hint="eastAsia" w:ascii="宋体" w:hAnsi="宋体"/>
          <w:sz w:val="24"/>
          <w:lang w:val="zh-CN"/>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.7投标人在开、评标全过程中应保持通讯畅通，及时登录苏采云系统查阅、答复相关信息，并安排专人与代理机构及评标委员会联系。</w:t>
      </w:r>
      <w:r/>
    </w:p>
    <w:p>
      <w:pPr>
        <w:ind w:firstLine="482"/>
        <w:spacing w:line="360" w:lineRule="auto"/>
        <w:rPr>
          <w:rFonts w:ascii="宋体" w:hAnsi="宋体" w:cs="宋体"/>
          <w:b/>
          <w:sz w:val="24"/>
          <w:szCs w:val="20"/>
        </w:rPr>
      </w:pPr>
      <w:r>
        <w:rPr>
          <w:rFonts w:hint="eastAsia" w:ascii="宋体" w:hAnsi="宋体" w:cs="宋体"/>
          <w:b/>
          <w:sz w:val="24"/>
          <w:szCs w:val="20"/>
        </w:rPr>
        <w:t xml:space="preserve">25. 投标的澄清</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2</w:t>
      </w:r>
      <w:r>
        <w:rPr>
          <w:rFonts w:hint="eastAsia" w:ascii="宋体" w:hAnsi="宋体" w:cs="宋体"/>
          <w:bCs/>
          <w:sz w:val="24"/>
          <w:szCs w:val="20"/>
        </w:rPr>
        <w:t xml:space="preserve">5</w:t>
      </w:r>
      <w:r>
        <w:rPr>
          <w:rFonts w:hint="eastAsia" w:ascii="宋体" w:hAnsi="宋体" w:cs="宋体"/>
          <w:bCs/>
          <w:sz w:val="24"/>
          <w:szCs w:val="20"/>
          <w:lang w:val="zh-CN"/>
        </w:rPr>
        <w:t xml:space="preserve">.1评标期间，评标委员会对投标文件中含义不明确、同类问题表述不一致或者有明显文字和计算错误的内容，有权要求投标人作出必要的澄清、说明或者补正。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投标人的澄清、说明或者补正不得超出投标文件的范围或者改变投标文件的实质性内容。</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评标委员会并非对每个投标人都做澄清要求。</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2</w:t>
      </w:r>
      <w:r>
        <w:rPr>
          <w:rFonts w:hint="eastAsia" w:ascii="宋体" w:hAnsi="宋体" w:cs="宋体"/>
          <w:bCs/>
          <w:sz w:val="24"/>
          <w:szCs w:val="20"/>
        </w:rPr>
        <w:t xml:space="preserve">5</w:t>
      </w:r>
      <w:r>
        <w:rPr>
          <w:rFonts w:hint="eastAsia" w:ascii="宋体" w:hAnsi="宋体" w:cs="宋体"/>
          <w:bCs/>
          <w:sz w:val="24"/>
          <w:szCs w:val="20"/>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bCs/>
          <w:sz w:val="24"/>
          <w:szCs w:val="20"/>
          <w:lang w:val="zh-CN"/>
        </w:rPr>
      </w:pPr>
      <w:r>
        <w:rPr>
          <w:rFonts w:hint="eastAsia" w:ascii="宋体" w:hAnsi="宋体" w:cs="宋体"/>
          <w:bCs/>
          <w:sz w:val="24"/>
          <w:szCs w:val="20"/>
          <w:lang w:val="zh-CN"/>
        </w:rPr>
        <w:t xml:space="preserve">2</w:t>
      </w:r>
      <w:r>
        <w:rPr>
          <w:rFonts w:hint="eastAsia" w:ascii="宋体" w:hAnsi="宋体" w:cs="宋体"/>
          <w:bCs/>
          <w:sz w:val="24"/>
          <w:szCs w:val="20"/>
        </w:rPr>
        <w:t xml:space="preserve">5</w:t>
      </w:r>
      <w:r>
        <w:rPr>
          <w:rFonts w:hint="eastAsia" w:ascii="宋体" w:hAnsi="宋体" w:cs="宋体"/>
          <w:bCs/>
          <w:sz w:val="24"/>
          <w:szCs w:val="20"/>
          <w:lang w:val="zh-CN"/>
        </w:rPr>
        <w:t xml:space="preserve">.3 接到评标委员会澄清、说明和补正要求的投标人如未按规定做出澄清、说明和补正，其风险由投标人自行承担。</w:t>
      </w:r>
      <w:r/>
    </w:p>
    <w:p>
      <w:pPr>
        <w:ind w:firstLine="482"/>
        <w:spacing w:line="360" w:lineRule="auto"/>
        <w:rPr>
          <w:rFonts w:ascii="宋体" w:hAnsi="宋体" w:cs="宋体"/>
          <w:b/>
          <w:sz w:val="24"/>
          <w:szCs w:val="20"/>
          <w:lang w:val="zh-CN"/>
        </w:rPr>
      </w:pPr>
      <w:r>
        <w:rPr>
          <w:rFonts w:hint="eastAsia" w:ascii="宋体" w:hAnsi="宋体" w:cs="宋体"/>
          <w:b/>
          <w:sz w:val="24"/>
          <w:szCs w:val="20"/>
          <w:lang w:val="zh-CN"/>
        </w:rPr>
        <w:t xml:space="preserve">26.</w:t>
      </w:r>
      <w:r>
        <w:rPr>
          <w:rFonts w:hint="eastAsia" w:ascii="宋体" w:hAnsi="宋体"/>
          <w:b/>
          <w:sz w:val="24"/>
        </w:rPr>
        <w:t xml:space="preserve"> 投标无效和废标</w:t>
      </w:r>
      <w:r/>
    </w:p>
    <w:p>
      <w:pPr>
        <w:ind w:firstLine="480"/>
        <w:spacing w:line="360" w:lineRule="auto"/>
        <w:rPr>
          <w:rFonts w:ascii="宋体" w:hAnsi="宋体" w:cs="宋体"/>
          <w:b/>
          <w:bCs/>
          <w:sz w:val="24"/>
          <w:szCs w:val="20"/>
          <w:lang w:val="zh-CN"/>
        </w:rPr>
      </w:pPr>
      <w:r>
        <w:rPr>
          <w:rFonts w:hint="eastAsia" w:ascii="宋体" w:hAnsi="宋体" w:cs="宋体"/>
          <w:b/>
          <w:bCs/>
          <w:sz w:val="24"/>
          <w:szCs w:val="20"/>
          <w:lang w:val="zh-CN"/>
        </w:rPr>
        <w:t xml:space="preserve">26.1</w:t>
      </w:r>
      <w:r>
        <w:rPr>
          <w:rFonts w:hint="eastAsia" w:ascii="宋体" w:hAnsi="宋体"/>
          <w:b/>
          <w:bCs/>
          <w:sz w:val="24"/>
        </w:rPr>
        <w:t xml:space="preserve">投标人存在下列情况之一的，投标无效</w:t>
      </w:r>
      <w:r>
        <w:rPr>
          <w:rFonts w:hint="eastAsia" w:ascii="宋体" w:hAnsi="宋体"/>
          <w:b/>
          <w:sz w:val="24"/>
        </w:rPr>
        <w:t xml:space="preserve">：</w:t>
      </w:r>
      <w:r/>
    </w:p>
    <w:p>
      <w:pPr>
        <w:ind w:firstLine="482"/>
        <w:spacing w:line="360" w:lineRule="auto"/>
        <w:rPr>
          <w:rFonts w:ascii="宋体" w:hAnsi="宋体"/>
          <w:b/>
          <w:sz w:val="24"/>
          <w:szCs w:val="20"/>
        </w:rPr>
      </w:pPr>
      <w:r>
        <w:rPr>
          <w:rFonts w:hint="eastAsia" w:ascii="宋体" w:hAnsi="宋体"/>
          <w:b/>
          <w:sz w:val="24"/>
        </w:rPr>
        <w:t xml:space="preserve">26.1.1 投标文件未按照本须知规定签署和盖章；</w:t>
      </w:r>
      <w:r/>
    </w:p>
    <w:p>
      <w:pPr>
        <w:ind w:firstLine="482"/>
        <w:spacing w:line="360" w:lineRule="auto"/>
        <w:rPr>
          <w:rFonts w:ascii="宋体" w:hAnsi="宋体"/>
          <w:b/>
          <w:sz w:val="24"/>
          <w:szCs w:val="20"/>
        </w:rPr>
      </w:pPr>
      <w:r>
        <w:rPr>
          <w:rFonts w:hint="eastAsia" w:ascii="宋体" w:hAnsi="宋体"/>
          <w:b/>
          <w:sz w:val="24"/>
        </w:rPr>
        <w:t xml:space="preserve">26.1.2 未按本须知第11条的规定提交资格文件或资格文件不符合招标要求的；</w:t>
      </w:r>
      <w:r/>
    </w:p>
    <w:p>
      <w:pPr>
        <w:ind w:firstLine="482"/>
        <w:spacing w:line="360" w:lineRule="auto"/>
        <w:rPr>
          <w:rFonts w:ascii="宋体" w:hAnsi="宋体"/>
          <w:b/>
          <w:sz w:val="24"/>
          <w:szCs w:val="20"/>
        </w:rPr>
      </w:pPr>
      <w:r>
        <w:rPr>
          <w:rFonts w:hint="eastAsia" w:ascii="宋体" w:hAnsi="宋体"/>
          <w:b/>
          <w:sz w:val="24"/>
        </w:rPr>
        <w:t xml:space="preserve">26.1.3 与招标文件有重大偏离；</w:t>
      </w:r>
      <w:r/>
    </w:p>
    <w:p>
      <w:pPr>
        <w:ind w:firstLine="482"/>
        <w:spacing w:line="360" w:lineRule="auto"/>
        <w:rPr>
          <w:rFonts w:ascii="宋体" w:hAnsi="宋体"/>
          <w:b/>
          <w:sz w:val="24"/>
          <w:szCs w:val="20"/>
        </w:rPr>
      </w:pPr>
      <w:r>
        <w:rPr>
          <w:rFonts w:hint="eastAsia" w:ascii="宋体" w:hAnsi="宋体"/>
          <w:b/>
          <w:sz w:val="24"/>
        </w:rPr>
        <w:t xml:space="preserve">26.1.4 投标人拒绝修正错误；</w:t>
      </w:r>
      <w:r/>
    </w:p>
    <w:p>
      <w:pPr>
        <w:ind w:firstLine="482"/>
        <w:spacing w:line="360" w:lineRule="auto"/>
        <w:rPr>
          <w:rFonts w:ascii="宋体" w:hAnsi="宋体"/>
          <w:b/>
          <w:sz w:val="24"/>
          <w:szCs w:val="20"/>
        </w:rPr>
      </w:pPr>
      <w:r>
        <w:rPr>
          <w:rFonts w:hint="eastAsia" w:ascii="宋体" w:hAnsi="宋体"/>
          <w:b/>
          <w:sz w:val="24"/>
        </w:rPr>
        <w:t xml:space="preserve">26.1.5 投标人的报价是选择性的；</w:t>
      </w:r>
      <w:r/>
    </w:p>
    <w:p>
      <w:pPr>
        <w:ind w:firstLine="482"/>
        <w:spacing w:line="360" w:lineRule="auto"/>
        <w:rPr>
          <w:rFonts w:ascii="宋体" w:hAnsi="宋体"/>
          <w:b/>
          <w:sz w:val="24"/>
        </w:rPr>
      </w:pPr>
      <w:r>
        <w:rPr>
          <w:rFonts w:hint="eastAsia" w:ascii="宋体" w:hAnsi="宋体"/>
          <w:b/>
          <w:sz w:val="24"/>
        </w:rPr>
        <w:t xml:space="preserve">26.1.6 投标人的报价只投了部分内容；</w:t>
      </w:r>
      <w:r/>
    </w:p>
    <w:p>
      <w:pPr>
        <w:ind w:firstLine="482"/>
        <w:spacing w:line="360" w:lineRule="auto"/>
        <w:rPr>
          <w:rFonts w:ascii="宋体" w:hAnsi="宋体"/>
          <w:b/>
          <w:sz w:val="24"/>
          <w:szCs w:val="20"/>
        </w:rPr>
      </w:pPr>
      <w:r>
        <w:rPr>
          <w:rFonts w:hint="eastAsia" w:ascii="宋体" w:hAnsi="宋体"/>
          <w:b/>
          <w:sz w:val="24"/>
          <w:szCs w:val="20"/>
        </w:rPr>
        <w:t xml:space="preserve">26.1.7 投标报价超过预算或限价的；</w:t>
      </w:r>
      <w:r/>
    </w:p>
    <w:p>
      <w:pPr>
        <w:ind w:firstLine="482"/>
        <w:spacing w:line="360" w:lineRule="auto"/>
        <w:rPr>
          <w:rFonts w:ascii="宋体" w:hAnsi="宋体"/>
          <w:b/>
          <w:sz w:val="24"/>
        </w:rPr>
      </w:pPr>
      <w:r>
        <w:rPr>
          <w:rFonts w:hint="eastAsia" w:ascii="宋体" w:hAnsi="宋体"/>
          <w:b/>
          <w:sz w:val="24"/>
        </w:rPr>
        <w:t xml:space="preserve">26.1.8投标文件含有采购人不能接受的附加条件的；</w:t>
      </w:r>
      <w:r/>
    </w:p>
    <w:p>
      <w:pPr>
        <w:ind w:firstLine="482"/>
        <w:spacing w:line="360" w:lineRule="auto"/>
        <w:rPr>
          <w:rFonts w:ascii="宋体" w:hAnsi="宋体"/>
          <w:b/>
          <w:sz w:val="24"/>
        </w:rPr>
      </w:pPr>
      <w:r>
        <w:rPr>
          <w:rFonts w:hint="eastAsia" w:ascii="宋体" w:hAnsi="宋体"/>
          <w:b/>
          <w:sz w:val="24"/>
        </w:rPr>
        <w:t xml:space="preserve">26.1.9不同投标人的标书制作工具客户端标识码一致的；</w:t>
      </w:r>
      <w:r/>
    </w:p>
    <w:p>
      <w:pPr>
        <w:ind w:firstLine="482"/>
        <w:spacing w:line="360" w:lineRule="auto"/>
        <w:rPr>
          <w:rFonts w:ascii="宋体" w:hAnsi="宋体"/>
          <w:b/>
          <w:sz w:val="24"/>
        </w:rPr>
      </w:pPr>
      <w:r>
        <w:rPr>
          <w:rFonts w:hint="eastAsia" w:ascii="宋体" w:hAnsi="宋体"/>
          <w:b/>
          <w:sz w:val="24"/>
        </w:rPr>
        <w:t xml:space="preserve">26.1.10投标文件出现了评标委员会认为不应当雷同的情况；</w:t>
      </w:r>
      <w:r/>
    </w:p>
    <w:p>
      <w:pPr>
        <w:ind w:firstLine="482"/>
        <w:spacing w:line="360" w:lineRule="auto"/>
        <w:rPr>
          <w:rFonts w:ascii="宋体" w:hAnsi="宋体"/>
          <w:b/>
          <w:sz w:val="24"/>
        </w:rPr>
      </w:pPr>
      <w:r>
        <w:rPr>
          <w:rFonts w:hint="eastAsia" w:ascii="宋体" w:hAnsi="宋体"/>
          <w:b/>
          <w:sz w:val="24"/>
        </w:rPr>
        <w:t xml:space="preserve">26.1.11法律、法规及本招标文件规定的无效的情况。</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w:t>
      </w:r>
      <w:r>
        <w:rPr>
          <w:rFonts w:ascii="宋体" w:hAnsi="宋体"/>
          <w:bCs/>
          <w:sz w:val="24"/>
          <w:lang w:val="zh-CN"/>
        </w:rPr>
        <w:t xml:space="preserve">6</w:t>
      </w:r>
      <w:r>
        <w:rPr>
          <w:rFonts w:hint="eastAsia" w:ascii="宋体" w:hAnsi="宋体"/>
          <w:bCs/>
          <w:sz w:val="24"/>
          <w:lang w:val="zh-CN"/>
        </w:rPr>
        <w:t xml:space="preserve">.2</w:t>
      </w:r>
      <w:r>
        <w:rPr>
          <w:rFonts w:hint="eastAsia" w:ascii="宋体" w:hAnsi="宋体"/>
          <w:sz w:val="24"/>
        </w:rPr>
        <w:t xml:space="preserve">在招标过程中，出现下列情况之一的，应予废标：</w:t>
      </w:r>
      <w:r/>
    </w:p>
    <w:p>
      <w:pPr>
        <w:ind w:left="660" w:hanging="240"/>
        <w:spacing w:line="360" w:lineRule="auto"/>
        <w:tabs>
          <w:tab w:val="left" w:pos="0" w:leader="none"/>
        </w:tabs>
        <w:rPr>
          <w:rFonts w:ascii="宋体" w:hAnsi="宋体"/>
          <w:bCs/>
          <w:sz w:val="24"/>
          <w:lang w:val="zh-CN"/>
        </w:rPr>
      </w:pPr>
      <w:r>
        <w:rPr>
          <w:rFonts w:hint="eastAsia" w:ascii="宋体" w:hAnsi="宋体"/>
          <w:bCs/>
          <w:sz w:val="24"/>
          <w:lang w:val="zh-CN"/>
        </w:rPr>
        <w:t xml:space="preserve">2</w:t>
      </w:r>
      <w:r>
        <w:rPr>
          <w:rFonts w:ascii="宋体" w:hAnsi="宋体"/>
          <w:bCs/>
          <w:sz w:val="24"/>
          <w:lang w:val="zh-CN"/>
        </w:rPr>
        <w:t xml:space="preserve">6</w:t>
      </w:r>
      <w:r>
        <w:rPr>
          <w:rFonts w:hint="eastAsia" w:ascii="宋体" w:hAnsi="宋体"/>
          <w:bCs/>
          <w:sz w:val="24"/>
          <w:lang w:val="zh-CN"/>
        </w:rPr>
        <w:t xml:space="preserve">.2.1符合专业条件的供应商或者对招标文件作实质响应的供应商不足三家。</w:t>
      </w:r>
      <w:r/>
    </w:p>
    <w:p>
      <w:pPr>
        <w:ind w:left="660" w:hanging="240"/>
        <w:spacing w:line="360" w:lineRule="auto"/>
        <w:tabs>
          <w:tab w:val="left" w:pos="0" w:leader="none"/>
        </w:tabs>
        <w:rPr>
          <w:rFonts w:ascii="宋体" w:hAnsi="宋体"/>
          <w:bCs/>
          <w:sz w:val="24"/>
          <w:lang w:val="zh-CN"/>
        </w:rPr>
      </w:pPr>
      <w:r>
        <w:rPr>
          <w:rFonts w:hint="eastAsia" w:ascii="宋体" w:hAnsi="宋体"/>
          <w:bCs/>
          <w:sz w:val="24"/>
          <w:lang w:val="zh-CN"/>
        </w:rPr>
        <w:t xml:space="preserve">26.2.2出现影响采购公正的违法、违规行为的。</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w:t>
      </w:r>
      <w:r>
        <w:rPr>
          <w:rFonts w:ascii="宋体" w:hAnsi="宋体"/>
          <w:bCs/>
          <w:sz w:val="24"/>
          <w:lang w:val="zh-CN"/>
        </w:rPr>
        <w:t xml:space="preserve">6</w:t>
      </w:r>
      <w:r>
        <w:rPr>
          <w:rFonts w:hint="eastAsia" w:ascii="宋体" w:hAnsi="宋体"/>
          <w:bCs/>
          <w:sz w:val="24"/>
          <w:lang w:val="zh-CN"/>
        </w:rPr>
        <w:t xml:space="preserve">.2.3因重大变故，采购任务取消的。</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w:t>
      </w:r>
      <w:r>
        <w:rPr>
          <w:rFonts w:ascii="宋体" w:hAnsi="宋体"/>
          <w:bCs/>
          <w:sz w:val="24"/>
          <w:lang w:val="zh-CN"/>
        </w:rPr>
        <w:t xml:space="preserve">6</w:t>
      </w:r>
      <w:r>
        <w:rPr>
          <w:rFonts w:hint="eastAsia" w:ascii="宋体" w:hAnsi="宋体"/>
          <w:bCs/>
          <w:sz w:val="24"/>
          <w:lang w:val="zh-CN"/>
        </w:rPr>
        <w:t xml:space="preserve">.2.4评标委员会认定招标文件存在歧义、重大缺陷导致评审工作无法进行。</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26.2.5 因苏采云系统故障原因造成开标不成功的。</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26.3 投标截止时间结束后参加投标的供应商不足三家的处理：</w:t>
      </w:r>
      <w:r/>
    </w:p>
    <w:p>
      <w:pPr>
        <w:ind w:firstLine="422"/>
        <w:spacing w:line="360" w:lineRule="auto"/>
        <w:tabs>
          <w:tab w:val="left" w:pos="0" w:leader="none"/>
        </w:tabs>
        <w:rPr>
          <w:rFonts w:ascii="宋体" w:hAnsi="宋体"/>
          <w:bCs/>
          <w:sz w:val="24"/>
          <w:lang w:val="zh-CN"/>
        </w:rPr>
      </w:pPr>
      <w:r>
        <w:rPr>
          <w:rFonts w:hint="eastAsia" w:ascii="宋体" w:hAnsi="宋体"/>
          <w:bCs/>
          <w:sz w:val="24"/>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ascii="宋体" w:hAnsi="宋体" w:cs="宋体"/>
          <w:b/>
          <w:bCs/>
          <w:sz w:val="24"/>
          <w:szCs w:val="20"/>
          <w:lang w:val="zh-CN"/>
        </w:rPr>
      </w:pPr>
      <w:r>
        <w:rPr>
          <w:rFonts w:hint="eastAsia" w:ascii="宋体" w:hAnsi="宋体" w:cs="宋体"/>
          <w:b/>
          <w:bCs/>
          <w:sz w:val="24"/>
          <w:szCs w:val="20"/>
          <w:lang w:val="zh-CN"/>
        </w:rPr>
        <w:t xml:space="preserve">27.电子投标文件的评价和比较</w:t>
      </w:r>
      <w:r/>
    </w:p>
    <w:p>
      <w:pPr>
        <w:ind w:firstLine="480"/>
        <w:spacing w:line="360" w:lineRule="auto"/>
        <w:rPr>
          <w:rFonts w:ascii="宋体" w:hAnsi="宋体" w:cs="宋体"/>
          <w:sz w:val="24"/>
          <w:szCs w:val="20"/>
        </w:rPr>
      </w:pPr>
      <w:r>
        <w:rPr>
          <w:rFonts w:hint="eastAsia" w:ascii="宋体" w:hAnsi="宋体" w:cs="宋体"/>
          <w:sz w:val="24"/>
          <w:szCs w:val="20"/>
          <w:lang w:val="zh-CN"/>
        </w:rPr>
        <w:t xml:space="preserve">27.1评标委员会将仅对</w:t>
      </w:r>
      <w:r>
        <w:rPr>
          <w:rFonts w:hint="eastAsia" w:ascii="宋体" w:hAnsi="宋体" w:cs="宋体"/>
          <w:sz w:val="24"/>
          <w:szCs w:val="20"/>
        </w:rPr>
        <w:t xml:space="preserve">满足</w:t>
      </w:r>
      <w:r>
        <w:rPr>
          <w:rFonts w:hint="eastAsia" w:ascii="宋体" w:hAnsi="宋体" w:cs="宋体"/>
          <w:sz w:val="24"/>
          <w:szCs w:val="20"/>
          <w:lang w:val="zh-CN"/>
        </w:rPr>
        <w:t xml:space="preserve">采购文件</w:t>
      </w:r>
      <w:r>
        <w:rPr>
          <w:rFonts w:hint="eastAsia" w:ascii="宋体" w:hAnsi="宋体" w:cs="宋体"/>
          <w:sz w:val="24"/>
          <w:szCs w:val="20"/>
        </w:rPr>
        <w:t xml:space="preserve">实质性</w:t>
      </w:r>
      <w:r>
        <w:rPr>
          <w:rFonts w:hint="eastAsia" w:ascii="宋体" w:hAnsi="宋体" w:cs="宋体"/>
          <w:sz w:val="24"/>
          <w:szCs w:val="20"/>
          <w:lang w:val="zh-CN"/>
        </w:rPr>
        <w:t xml:space="preserve">要求的电子投标文件进行评价和比较。</w:t>
      </w:r>
      <w:r/>
    </w:p>
    <w:p>
      <w:pPr>
        <w:ind w:firstLine="480"/>
        <w:spacing w:line="360" w:lineRule="auto"/>
        <w:rPr>
          <w:rFonts w:ascii="宋体" w:hAnsi="宋体" w:cs="宋体"/>
          <w:sz w:val="24"/>
          <w:szCs w:val="20"/>
        </w:rPr>
      </w:pPr>
      <w:r>
        <w:rPr>
          <w:rFonts w:hint="eastAsia" w:ascii="宋体" w:hAnsi="宋体" w:cs="宋体"/>
          <w:sz w:val="24"/>
          <w:szCs w:val="20"/>
          <w:lang w:val="zh-CN"/>
        </w:rPr>
        <w:t xml:space="preserve">27.2评价和比较采用综合评分法，评委会严格按照采购文件的规定要求、条件、评分标准，对投标人所提供货物或服务的先进性、可靠性、售后服务承诺、质量保证承诺等实质性响应内容进行比较评价。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sz w:val="24"/>
          <w:szCs w:val="20"/>
          <w:lang w:val="zh-CN"/>
        </w:rPr>
      </w:pPr>
      <w:r>
        <w:rPr>
          <w:rFonts w:hint="eastAsia" w:ascii="宋体" w:hAnsi="宋体" w:cs="宋体"/>
          <w:sz w:val="24"/>
          <w:szCs w:val="20"/>
          <w:lang w:val="zh-CN"/>
        </w:rPr>
        <w:t xml:space="preserve">27.3 最低的投标报价或最高的折扣比例是中标的重要条件，但不是唯一条件。</w:t>
      </w:r>
      <w:r/>
    </w:p>
    <w:p>
      <w:pPr>
        <w:ind w:firstLine="482"/>
        <w:spacing w:line="360" w:lineRule="auto"/>
        <w:rPr>
          <w:rFonts w:ascii="宋体" w:hAnsi="宋体" w:cs="宋体"/>
          <w:b/>
          <w:sz w:val="24"/>
          <w:szCs w:val="20"/>
        </w:rPr>
      </w:pPr>
      <w:r>
        <w:rPr>
          <w:rFonts w:hint="eastAsia" w:ascii="宋体" w:hAnsi="宋体" w:cs="宋体"/>
          <w:b/>
          <w:sz w:val="24"/>
          <w:szCs w:val="20"/>
        </w:rPr>
        <w:t xml:space="preserve">28. 中标单位的确认</w:t>
      </w:r>
      <w:r/>
    </w:p>
    <w:p>
      <w:pPr>
        <w:ind w:firstLine="480"/>
        <w:jc w:val="left"/>
        <w:spacing w:line="360" w:lineRule="auto"/>
        <w:rPr>
          <w:rFonts w:ascii="宋体" w:hAnsi="宋体" w:cs="宋体"/>
          <w:sz w:val="24"/>
        </w:rPr>
      </w:pPr>
      <w:r>
        <w:rPr>
          <w:rFonts w:hint="eastAsia" w:ascii="宋体" w:hAnsi="宋体" w:cs="宋体"/>
          <w:sz w:val="24"/>
        </w:rPr>
        <w:t xml:space="preserve">28.1 评标委员会根据投标单位资格审查情况，投标文件的评价和比较，按照招标文件的评分标准进行打分并汇总评分结果。</w:t>
      </w:r>
      <w:r/>
    </w:p>
    <w:p>
      <w:pPr>
        <w:ind w:firstLine="480"/>
        <w:jc w:val="left"/>
        <w:spacing w:line="360" w:lineRule="auto"/>
        <w:rPr>
          <w:rFonts w:ascii="宋体" w:hAnsi="宋体" w:cs="宋体"/>
          <w:sz w:val="24"/>
        </w:rPr>
      </w:pPr>
      <w:r>
        <w:rPr>
          <w:rFonts w:hint="eastAsia" w:ascii="宋体" w:hAnsi="宋体" w:cs="宋体"/>
          <w:sz w:val="24"/>
        </w:rPr>
        <w:t xml:space="preserve">28.2 采购单位按评标委员会推荐的中标候选供应商确定中标供应商。 </w:t>
      </w:r>
      <w:r/>
    </w:p>
    <w:p>
      <w:pPr>
        <w:ind w:firstLine="480"/>
        <w:jc w:val="left"/>
        <w:spacing w:line="360" w:lineRule="auto"/>
        <w:rPr>
          <w:rFonts w:ascii="宋体" w:hAnsi="宋体" w:cs="宋体"/>
          <w:sz w:val="24"/>
        </w:rPr>
      </w:pPr>
      <w:r>
        <w:rPr>
          <w:rFonts w:hint="eastAsia" w:ascii="宋体" w:hAnsi="宋体" w:cs="宋体"/>
          <w:sz w:val="24"/>
        </w:rPr>
        <w:t xml:space="preserve">28.3 根据评标委员会推荐的中标候选人，采购代理机构在评标结束后规定时间内在政府采购信息媒体上发布“中标公告”。</w:t>
      </w:r>
      <w:r/>
    </w:p>
    <w:p>
      <w:pPr>
        <w:ind w:firstLine="482"/>
        <w:spacing w:line="360" w:lineRule="auto"/>
        <w:rPr>
          <w:rFonts w:ascii="宋体" w:hAnsi="宋体" w:cs="宋体"/>
          <w:b/>
          <w:sz w:val="24"/>
          <w:szCs w:val="20"/>
        </w:rPr>
      </w:pPr>
      <w:r>
        <w:rPr>
          <w:rFonts w:hint="eastAsia" w:ascii="宋体" w:hAnsi="宋体" w:cs="宋体"/>
          <w:b/>
          <w:sz w:val="24"/>
          <w:szCs w:val="20"/>
        </w:rPr>
        <w:t xml:space="preserve">29. 中标人标准</w:t>
      </w:r>
      <w:r/>
    </w:p>
    <w:p>
      <w:pPr>
        <w:ind w:firstLine="480"/>
        <w:jc w:val="left"/>
        <w:spacing w:line="360" w:lineRule="auto"/>
        <w:rPr>
          <w:rFonts w:ascii="宋体" w:hAnsi="宋体" w:cs="宋体"/>
          <w:sz w:val="24"/>
        </w:rPr>
      </w:pPr>
      <w:r>
        <w:rPr>
          <w:rFonts w:hint="eastAsia" w:ascii="宋体" w:hAnsi="宋体" w:cs="宋体"/>
          <w:sz w:val="24"/>
        </w:rPr>
        <w:t xml:space="preserve">29.1 确定为中标的投标人必须具有实施本合同的能力和资源。</w:t>
      </w:r>
      <w:r/>
    </w:p>
    <w:p>
      <w:pPr>
        <w:ind w:firstLine="480"/>
        <w:spacing w:line="360" w:lineRule="auto"/>
        <w:rPr>
          <w:rFonts w:ascii="宋体" w:hAnsi="宋体" w:cs="宋体"/>
          <w:sz w:val="24"/>
          <w:szCs w:val="20"/>
        </w:rPr>
      </w:pPr>
      <w:r>
        <w:rPr>
          <w:rFonts w:hint="eastAsia" w:ascii="宋体" w:hAnsi="宋体" w:cs="宋体"/>
          <w:sz w:val="24"/>
          <w:szCs w:val="20"/>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jc w:val="left"/>
        <w:spacing w:line="360" w:lineRule="auto"/>
        <w:rPr>
          <w:rFonts w:ascii="宋体" w:hAnsi="宋体" w:cs="宋体"/>
          <w:b/>
          <w:bCs/>
          <w:sz w:val="24"/>
          <w:lang w:val="zh-CN"/>
        </w:rPr>
      </w:pPr>
      <w:r>
        <w:rPr>
          <w:rFonts w:hint="eastAsia" w:ascii="宋体" w:hAnsi="宋体" w:cs="宋体"/>
          <w:b/>
          <w:bCs/>
          <w:sz w:val="24"/>
        </w:rPr>
        <w:t xml:space="preserve">30.</w:t>
      </w:r>
      <w:r>
        <w:rPr>
          <w:rFonts w:hint="eastAsia" w:ascii="宋体" w:hAnsi="宋体" w:cs="宋体"/>
          <w:b/>
          <w:bCs/>
          <w:sz w:val="24"/>
          <w:lang w:val="zh-CN"/>
        </w:rPr>
        <w:t xml:space="preserve">告知招标结果</w:t>
      </w:r>
      <w:r/>
    </w:p>
    <w:p>
      <w:pPr>
        <w:ind w:firstLine="480"/>
        <w:jc w:val="left"/>
        <w:spacing w:line="360" w:lineRule="auto"/>
        <w:rPr>
          <w:rFonts w:ascii="宋体" w:hAnsi="宋体" w:cs="宋体"/>
          <w:sz w:val="24"/>
        </w:rPr>
      </w:pPr>
      <w:r>
        <w:rPr>
          <w:rFonts w:hint="eastAsia" w:ascii="宋体" w:hAnsi="宋体" w:cs="宋体"/>
          <w:sz w:val="24"/>
        </w:rPr>
        <w:t xml:space="preserve">30.1 在公告中标结果的同时，招标代理人将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cs="宋体"/>
          <w:sz w:val="24"/>
        </w:rPr>
      </w:pPr>
      <w:r>
        <w:rPr>
          <w:rFonts w:hint="eastAsia" w:ascii="宋体" w:hAnsi="宋体" w:cs="宋体"/>
          <w:sz w:val="24"/>
        </w:rPr>
        <w:t xml:space="preserve">30.2 中标通知书将成为合同的组成部分。中标通知书发出后，采购人不得违法改变中标结果，中标人无正当理由不得放弃中标。</w:t>
      </w:r>
      <w:r/>
    </w:p>
    <w:p>
      <w:pPr>
        <w:ind w:firstLine="480"/>
        <w:jc w:val="left"/>
        <w:spacing w:line="360" w:lineRule="auto"/>
        <w:rPr>
          <w:rFonts w:ascii="宋体" w:hAnsi="宋体" w:cs="宋体"/>
          <w:sz w:val="24"/>
        </w:rPr>
      </w:pPr>
      <w:r>
        <w:rPr>
          <w:rFonts w:hint="eastAsia" w:ascii="宋体" w:hAnsi="宋体" w:cs="宋体"/>
          <w:sz w:val="24"/>
        </w:rPr>
        <w:t xml:space="preserve">30.3 招标代理人对未中标单位不承担解释未中标原因的义务。评审结束后，供应商可在系统中自行查询评审结果或关注公告发布网站的中标公告，评审结果将载明未中标供应商的评审情况。</w:t>
      </w:r>
      <w:r/>
    </w:p>
    <w:p>
      <w:pPr>
        <w:ind w:firstLine="482"/>
        <w:spacing w:line="360" w:lineRule="auto"/>
        <w:rPr>
          <w:rFonts w:ascii="宋体" w:hAnsi="宋体" w:cs="宋体"/>
          <w:b/>
          <w:sz w:val="24"/>
          <w:szCs w:val="20"/>
        </w:rPr>
      </w:pPr>
      <w:r>
        <w:rPr>
          <w:rFonts w:hint="eastAsia" w:ascii="宋体" w:hAnsi="宋体" w:cs="宋体"/>
          <w:b/>
          <w:sz w:val="24"/>
          <w:szCs w:val="20"/>
        </w:rPr>
        <w:t xml:space="preserve">31. 合同的签订</w:t>
      </w:r>
      <w:r/>
    </w:p>
    <w:p>
      <w:pPr>
        <w:ind w:firstLine="480"/>
        <w:spacing w:line="360" w:lineRule="auto"/>
        <w:rPr>
          <w:rFonts w:ascii="宋体" w:hAnsi="宋体"/>
          <w:bCs/>
          <w:sz w:val="24"/>
          <w:szCs w:val="20"/>
        </w:rPr>
      </w:pPr>
      <w:r>
        <w:rPr>
          <w:rFonts w:hint="eastAsia" w:ascii="宋体" w:hAnsi="宋体"/>
          <w:bCs/>
          <w:sz w:val="24"/>
          <w:szCs w:val="20"/>
        </w:rPr>
        <w:t xml:space="preserve">31.1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ascii="宋体" w:hAnsi="宋体"/>
          <w:bCs/>
          <w:sz w:val="24"/>
          <w:szCs w:val="20"/>
        </w:rPr>
      </w:pPr>
      <w:r>
        <w:rPr>
          <w:rFonts w:hint="eastAsia" w:ascii="宋体" w:hAnsi="宋体"/>
          <w:bCs/>
          <w:sz w:val="24"/>
          <w:szCs w:val="20"/>
        </w:rPr>
        <w:t xml:space="preserve">31.2中标供应商应按中标通知书中规定的时间和地点，由法定代表人或授权代理人与采购人代表签订合同。</w:t>
      </w:r>
      <w:r/>
    </w:p>
    <w:p>
      <w:pPr>
        <w:ind w:firstLine="480"/>
        <w:spacing w:line="360" w:lineRule="auto"/>
        <w:rPr>
          <w:rFonts w:ascii="宋体" w:hAnsi="宋体"/>
          <w:bCs/>
          <w:sz w:val="24"/>
          <w:szCs w:val="20"/>
        </w:rPr>
      </w:pPr>
      <w:r>
        <w:rPr>
          <w:rFonts w:hint="eastAsia" w:ascii="宋体" w:hAnsi="宋体"/>
          <w:bCs/>
          <w:sz w:val="24"/>
          <w:szCs w:val="20"/>
        </w:rPr>
        <w:t xml:space="preserve">31.3签订合同及合同条款应以招标文件和中标供应商的投标文件及其澄清文件为依据。</w:t>
      </w:r>
      <w:r/>
    </w:p>
    <w:p>
      <w:pPr>
        <w:ind w:firstLine="480"/>
        <w:spacing w:line="360" w:lineRule="auto"/>
        <w:rPr>
          <w:rFonts w:ascii="宋体" w:hAnsi="宋体"/>
          <w:bCs/>
          <w:sz w:val="24"/>
          <w:szCs w:val="20"/>
        </w:rPr>
      </w:pPr>
      <w:r>
        <w:rPr>
          <w:rFonts w:hint="eastAsia" w:ascii="宋体" w:hAnsi="宋体"/>
          <w:bCs/>
          <w:sz w:val="24"/>
          <w:szCs w:val="20"/>
        </w:rPr>
        <w:t xml:space="preserve">31.4中标人无正当理由拒签合同的，或在签订合同时向采购人提出附加条件或者更改合同实质性内容的，采购人可取消其中标资格，并不予退还其投标保证金，同时由中标人承担相应的法律责任。</w:t>
      </w:r>
      <w:r/>
    </w:p>
    <w:p>
      <w:pPr>
        <w:ind w:firstLine="480"/>
        <w:spacing w:line="360" w:lineRule="auto"/>
        <w:rPr>
          <w:rFonts w:ascii="宋体" w:hAnsi="宋体"/>
          <w:bCs/>
          <w:sz w:val="24"/>
          <w:szCs w:val="20"/>
        </w:rPr>
      </w:pPr>
      <w:r>
        <w:rPr>
          <w:rFonts w:hint="eastAsia" w:ascii="宋体" w:hAnsi="宋体"/>
          <w:bCs/>
          <w:sz w:val="24"/>
          <w:szCs w:val="20"/>
        </w:rPr>
        <w:t xml:space="preserve">31.5采购人与中标人应当根据合同的约定依法履行合同义务。政府采购合同的履行、违约责任和解决争议的方法等适用《中华人民共和国民法典》。</w:t>
      </w:r>
      <w:r/>
    </w:p>
    <w:p>
      <w:pPr>
        <w:ind w:firstLine="482"/>
        <w:spacing w:line="360" w:lineRule="auto"/>
        <w:rPr>
          <w:rFonts w:ascii="宋体" w:hAnsi="宋体" w:cs="宋体"/>
          <w:b/>
          <w:sz w:val="24"/>
          <w:szCs w:val="20"/>
        </w:rPr>
      </w:pPr>
      <w:r>
        <w:rPr>
          <w:rFonts w:hint="eastAsia" w:ascii="宋体" w:hAnsi="宋体" w:cs="宋体"/>
          <w:b/>
          <w:sz w:val="24"/>
          <w:szCs w:val="20"/>
        </w:rPr>
        <w:t xml:space="preserve">32履约担保：</w:t>
      </w:r>
      <w:r/>
    </w:p>
    <w:p>
      <w:pPr>
        <w:ind w:firstLine="482"/>
        <w:spacing w:line="360" w:lineRule="auto"/>
        <w:rPr>
          <w:rFonts w:ascii="宋体" w:hAnsi="宋体"/>
          <w:sz w:val="24"/>
        </w:rPr>
      </w:pPr>
      <w:r/>
      <w:bookmarkStart w:id="42" w:name="OLE_LINK32"/>
      <w:r/>
      <w:bookmarkStart w:id="43" w:name="OLE_LINK33"/>
      <w:r>
        <w:rPr>
          <w:rFonts w:hint="eastAsia" w:ascii="宋体" w:hAnsi="宋体" w:cs="宋体"/>
          <w:sz w:val="24"/>
          <w:szCs w:val="20"/>
        </w:rPr>
        <w:t xml:space="preserve">32.1</w:t>
      </w:r>
      <w:r>
        <w:rPr>
          <w:rFonts w:hint="eastAsia" w:ascii="宋体" w:hAnsi="宋体"/>
          <w:sz w:val="24"/>
        </w:rPr>
        <w:t xml:space="preserve">在签订合同后15天内，中标供应商须向采购人提交履约保函，</w:t>
      </w:r>
      <w:r>
        <w:rPr>
          <w:rFonts w:hint="eastAsia" w:ascii="宋体" w:hAnsi="宋体" w:cs="宋体"/>
          <w:sz w:val="24"/>
          <w:szCs w:val="20"/>
        </w:rPr>
        <w:t xml:space="preserve">本项目履约保函金额为中标金额的10%，保函止期须在项目运维期结束后。</w:t>
      </w:r>
      <w:r/>
    </w:p>
    <w:p>
      <w:pPr>
        <w:ind w:firstLine="482"/>
        <w:spacing w:line="360" w:lineRule="auto"/>
        <w:rPr>
          <w:rFonts w:ascii="宋体" w:hAnsi="宋体" w:cs="宋体"/>
          <w:sz w:val="24"/>
          <w:szCs w:val="20"/>
        </w:rPr>
      </w:pPr>
      <w:r>
        <w:rPr>
          <w:rFonts w:hint="eastAsia" w:ascii="宋体" w:hAnsi="宋体" w:cs="宋体"/>
          <w:sz w:val="24"/>
          <w:szCs w:val="20"/>
        </w:rPr>
        <w:t xml:space="preserve">32.2供应商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网址:</w:t>
      </w:r>
      <w:bookmarkStart w:id="44" w:name="OLE_LINK26"/>
      <w:r/>
      <w:bookmarkStart w:id="45" w:name="OLE_LINK27"/>
      <w:r>
        <w:rPr>
          <w:rFonts w:hint="eastAsia" w:ascii="宋体" w:hAnsi="宋体" w:cs="宋体"/>
          <w:sz w:val="24"/>
          <w:szCs w:val="20"/>
        </w:rPr>
        <w:t xml:space="preserve">www.ccgp-jiangsu.gov.cn/jiangsu/zlxz</w:t>
      </w:r>
      <w:bookmarkEnd w:id="44"/>
      <w:r/>
      <w:bookmarkEnd w:id="45"/>
      <w:r>
        <w:rPr>
          <w:rFonts w:hint="eastAsia" w:ascii="宋体" w:hAnsi="宋体" w:cs="宋体"/>
          <w:sz w:val="24"/>
          <w:szCs w:val="20"/>
        </w:rPr>
        <w:t xml:space="preserve">)下载“政府采购电子履约保函操作手册”。</w:t>
      </w:r>
      <w:r/>
    </w:p>
    <w:p>
      <w:pPr>
        <w:ind w:firstLine="482"/>
        <w:spacing w:line="360" w:lineRule="auto"/>
        <w:rPr>
          <w:rFonts w:ascii="宋体" w:hAnsi="宋体" w:cs="宋体"/>
          <w:sz w:val="24"/>
          <w:szCs w:val="20"/>
        </w:rPr>
      </w:pPr>
      <w:r>
        <w:rPr>
          <w:rFonts w:hint="eastAsia" w:ascii="宋体" w:hAnsi="宋体" w:cs="宋体"/>
          <w:sz w:val="24"/>
          <w:szCs w:val="20"/>
        </w:rPr>
        <w:t xml:space="preserve">政府采购电子履约保函(保险)平台服务电话：400-680-0040。</w:t>
      </w:r>
      <w:r/>
    </w:p>
    <w:p>
      <w:pPr>
        <w:ind w:firstLine="482"/>
        <w:spacing w:line="360" w:lineRule="auto"/>
        <w:rPr>
          <w:rFonts w:ascii="宋体" w:hAnsi="宋体" w:cs="宋体"/>
          <w:sz w:val="24"/>
          <w:szCs w:val="20"/>
        </w:rPr>
      </w:pPr>
      <w:r>
        <w:rPr>
          <w:rFonts w:hint="eastAsia" w:ascii="宋体" w:hAnsi="宋体" w:cs="宋体"/>
          <w:sz w:val="24"/>
          <w:szCs w:val="20"/>
        </w:rPr>
        <w:t xml:space="preserve">政府采购电子履约保函(保险)平台系统技术服务开鑫科技有限公司：025-52817676。 </w:t>
      </w:r>
      <w:r/>
    </w:p>
    <w:p>
      <w:pPr>
        <w:ind w:firstLine="482"/>
        <w:spacing w:line="360" w:lineRule="auto"/>
        <w:rPr>
          <w:rFonts w:ascii="宋体" w:hAnsi="宋体" w:cs="宋体"/>
          <w:sz w:val="24"/>
          <w:szCs w:val="20"/>
        </w:rPr>
      </w:pPr>
      <w:r>
        <w:rPr>
          <w:rFonts w:hint="eastAsia" w:ascii="宋体" w:hAnsi="宋体" w:cs="宋体"/>
          <w:sz w:val="24"/>
          <w:szCs w:val="20"/>
        </w:rPr>
        <w:t xml:space="preserve">33.3根据苏财购[2024]2号文件要求，如中标供应商未能按照本项目合同要求规范履行合同义务，由第三方机构按照采购文件约定的履约保证金数额对采购人承担赔偿责任。</w:t>
      </w:r>
      <w:bookmarkEnd w:id="42"/>
      <w:r/>
      <w:bookmarkEnd w:id="43"/>
      <w:r/>
      <w:r/>
    </w:p>
    <w:p>
      <w:pPr>
        <w:ind w:firstLine="482"/>
        <w:spacing w:line="360" w:lineRule="auto"/>
        <w:rPr>
          <w:rFonts w:ascii="宋体" w:hAnsi="宋体" w:cs="宋体"/>
          <w:b/>
          <w:sz w:val="24"/>
          <w:szCs w:val="20"/>
        </w:rPr>
      </w:pPr>
      <w:r>
        <w:rPr>
          <w:rFonts w:hint="eastAsia" w:ascii="宋体" w:hAnsi="宋体" w:cs="宋体"/>
          <w:b/>
          <w:sz w:val="24"/>
          <w:szCs w:val="20"/>
        </w:rPr>
        <w:t xml:space="preserve">33. 中标服务费</w:t>
      </w:r>
      <w:r/>
    </w:p>
    <w:p>
      <w:pPr>
        <w:ind w:firstLine="480"/>
        <w:spacing w:line="360" w:lineRule="auto"/>
        <w:rPr>
          <w:rFonts w:ascii="宋体" w:hAnsi="宋体" w:cs="宋体"/>
          <w:sz w:val="24"/>
          <w:szCs w:val="22"/>
        </w:rPr>
      </w:pPr>
      <w:r>
        <w:rPr>
          <w:rFonts w:hint="eastAsia" w:ascii="宋体" w:hAnsi="宋体" w:cs="宋体"/>
          <w:sz w:val="24"/>
          <w:szCs w:val="22"/>
        </w:rPr>
        <w:t xml:space="preserve">33.1</w:t>
      </w:r>
      <w:r>
        <w:rPr>
          <w:rFonts w:hint="eastAsia" w:ascii="宋体" w:hAnsi="宋体"/>
          <w:bCs/>
          <w:sz w:val="24"/>
          <w:szCs w:val="20"/>
        </w:rPr>
        <w:t xml:space="preserve">服务费</w:t>
      </w:r>
      <w:bookmarkStart w:id="46" w:name="OLE_LINK21"/>
      <w:r>
        <w:rPr>
          <w:rFonts w:hint="eastAsia" w:ascii="宋体" w:hAnsi="宋体"/>
          <w:bCs/>
          <w:sz w:val="24"/>
          <w:szCs w:val="20"/>
        </w:rPr>
        <w:t xml:space="preserve">收费标准：</w:t>
      </w:r>
      <w:r/>
    </w:p>
    <w:p>
      <w:pPr>
        <w:ind w:firstLine="480"/>
        <w:spacing w:line="360" w:lineRule="auto"/>
        <w:rPr>
          <w:rFonts w:ascii="宋体" w:hAnsi="宋体"/>
          <w:bCs/>
          <w:sz w:val="24"/>
          <w:szCs w:val="20"/>
        </w:rPr>
      </w:pPr>
      <w:r>
        <w:rPr>
          <w:rFonts w:hint="eastAsia" w:ascii="宋体" w:hAnsi="宋体"/>
          <w:bCs/>
          <w:sz w:val="24"/>
          <w:szCs w:val="20"/>
        </w:rPr>
        <w:t xml:space="preserve">预算金额100万元以下部分，费率为该部分预算金额的1.5%；</w:t>
      </w:r>
      <w:r/>
    </w:p>
    <w:p>
      <w:pPr>
        <w:ind w:firstLine="480"/>
        <w:spacing w:line="360" w:lineRule="auto"/>
        <w:rPr>
          <w:rFonts w:ascii="宋体" w:hAnsi="宋体"/>
          <w:bCs/>
          <w:sz w:val="24"/>
          <w:szCs w:val="20"/>
        </w:rPr>
      </w:pPr>
      <w:r>
        <w:rPr>
          <w:rFonts w:hint="eastAsia" w:ascii="宋体" w:hAnsi="宋体"/>
          <w:bCs/>
          <w:sz w:val="24"/>
          <w:szCs w:val="20"/>
        </w:rPr>
        <w:t xml:space="preserve">预算金额100万元（含）－500万元部分，费率为该部分预算金额的1.1%；</w:t>
      </w:r>
      <w:r/>
    </w:p>
    <w:p>
      <w:pPr>
        <w:ind w:firstLine="480"/>
        <w:spacing w:line="360" w:lineRule="auto"/>
        <w:rPr>
          <w:rFonts w:ascii="宋体" w:hAnsi="宋体"/>
          <w:bCs/>
          <w:sz w:val="24"/>
          <w:szCs w:val="20"/>
        </w:rPr>
      </w:pPr>
      <w:r>
        <w:rPr>
          <w:rFonts w:hint="eastAsia" w:ascii="宋体" w:hAnsi="宋体"/>
          <w:bCs/>
          <w:sz w:val="24"/>
          <w:szCs w:val="20"/>
        </w:rPr>
        <w:t xml:space="preserve">预算金额500万元（含）-1000万元部分，费率为该部分预算金额的0.8%；</w:t>
      </w:r>
      <w:r/>
    </w:p>
    <w:p>
      <w:pPr>
        <w:ind w:firstLine="480"/>
        <w:spacing w:line="360" w:lineRule="auto"/>
        <w:rPr>
          <w:rFonts w:ascii="宋体" w:hAnsi="宋体"/>
          <w:bCs/>
          <w:sz w:val="24"/>
          <w:szCs w:val="20"/>
        </w:rPr>
      </w:pPr>
      <w:r>
        <w:rPr>
          <w:rFonts w:hint="eastAsia" w:ascii="宋体" w:hAnsi="宋体"/>
          <w:bCs/>
          <w:sz w:val="24"/>
          <w:szCs w:val="20"/>
        </w:rPr>
        <w:t xml:space="preserve">预算金额1000万元（含）-5000万元部分，费率为该部分预算金额的0.5%；</w:t>
      </w:r>
      <w:r/>
    </w:p>
    <w:p>
      <w:pPr>
        <w:ind w:firstLine="480"/>
        <w:spacing w:line="360" w:lineRule="auto"/>
        <w:rPr>
          <w:rFonts w:ascii="宋体" w:hAnsi="宋体"/>
          <w:bCs/>
          <w:sz w:val="24"/>
          <w:szCs w:val="20"/>
        </w:rPr>
      </w:pPr>
      <w:r/>
      <w:bookmarkStart w:id="47" w:name="OLE_LINK38"/>
      <w:r/>
      <w:bookmarkStart w:id="48" w:name="OLE_LINK37"/>
      <w:r>
        <w:rPr>
          <w:rFonts w:hint="eastAsia" w:ascii="宋体" w:hAnsi="宋体"/>
          <w:bCs/>
          <w:sz w:val="24"/>
          <w:szCs w:val="20"/>
        </w:rPr>
        <w:t xml:space="preserve">说明：代理服务费以</w:t>
      </w:r>
      <w:bookmarkStart w:id="49" w:name="OLE_LINK28"/>
      <w:r/>
      <w:bookmarkStart w:id="50" w:name="OLE_LINK25"/>
      <w:r>
        <w:rPr>
          <w:rFonts w:hint="eastAsia" w:ascii="宋体" w:hAnsi="宋体"/>
          <w:bCs/>
          <w:sz w:val="24"/>
          <w:szCs w:val="20"/>
        </w:rPr>
        <w:t xml:space="preserve">预算</w:t>
      </w:r>
      <w:bookmarkEnd w:id="49"/>
      <w:r/>
      <w:bookmarkEnd w:id="50"/>
      <w:r>
        <w:rPr>
          <w:rFonts w:hint="eastAsia" w:ascii="宋体" w:hAnsi="宋体"/>
          <w:bCs/>
          <w:sz w:val="24"/>
          <w:szCs w:val="20"/>
        </w:rPr>
        <w:t xml:space="preserve">金额为基数依据，按以上规定的标准和差额定率累进法进行计算收取。例：如预算金额为150万元，则代理服务费＝100万元以下部分×1.5%＋（150万元－100万元以下部分）×1.1%。</w:t>
      </w:r>
      <w:bookmarkEnd w:id="46"/>
      <w:r/>
      <w:bookmarkEnd w:id="47"/>
      <w:r/>
      <w:bookmarkEnd w:id="48"/>
      <w:r/>
      <w:r/>
    </w:p>
    <w:p>
      <w:pPr>
        <w:ind w:firstLine="480"/>
        <w:spacing w:line="360" w:lineRule="auto"/>
        <w:rPr>
          <w:rFonts w:ascii="宋体" w:hAnsi="宋体"/>
          <w:bCs/>
          <w:sz w:val="24"/>
          <w:szCs w:val="20"/>
        </w:rPr>
      </w:pPr>
      <w:r>
        <w:rPr>
          <w:rFonts w:hint="eastAsia" w:ascii="宋体" w:hAnsi="宋体"/>
          <w:bCs/>
          <w:sz w:val="24"/>
          <w:szCs w:val="20"/>
        </w:rPr>
        <w:t xml:space="preserve">本项目代理服务费：16100元。</w:t>
      </w:r>
      <w:r/>
    </w:p>
    <w:p>
      <w:pPr>
        <w:ind w:firstLine="480"/>
        <w:spacing w:line="360" w:lineRule="auto"/>
        <w:rPr>
          <w:rFonts w:ascii="宋体" w:hAnsi="宋体" w:cs="宋体"/>
          <w:sz w:val="24"/>
          <w:szCs w:val="22"/>
        </w:rPr>
      </w:pPr>
      <w:r>
        <w:rPr>
          <w:rFonts w:hint="eastAsia" w:ascii="宋体" w:hAnsi="宋体"/>
          <w:bCs/>
          <w:sz w:val="24"/>
          <w:szCs w:val="20"/>
        </w:rPr>
        <w:t xml:space="preserve">33.2中标服务费由中标单位在</w:t>
      </w:r>
      <w:r>
        <w:rPr>
          <w:rFonts w:hint="eastAsia" w:ascii="宋体" w:hAnsi="宋体" w:cs="宋体"/>
          <w:sz w:val="24"/>
          <w:szCs w:val="22"/>
        </w:rPr>
        <w:t xml:space="preserve">领取中标通知书时向代理机构一次性付清。</w:t>
      </w:r>
      <w:r/>
    </w:p>
    <w:p>
      <w:pPr>
        <w:ind w:firstLine="480"/>
        <w:spacing w:line="360" w:lineRule="auto"/>
        <w:rPr>
          <w:rFonts w:ascii="宋体" w:hAnsi="宋体" w:cs="宋体"/>
          <w:sz w:val="24"/>
          <w:szCs w:val="22"/>
        </w:rPr>
      </w:pPr>
      <w:r>
        <w:rPr>
          <w:rFonts w:hint="eastAsia" w:ascii="宋体" w:hAnsi="宋体" w:cs="宋体"/>
          <w:sz w:val="24"/>
          <w:szCs w:val="22"/>
        </w:rPr>
        <w:t xml:space="preserve">33.3中标人如果未按上述规定缴纳中标服务费，采购代理机构将保留诉讼的权利。</w:t>
      </w:r>
      <w:r/>
    </w:p>
    <w:p>
      <w:pPr>
        <w:ind w:firstLine="482"/>
        <w:spacing w:line="360" w:lineRule="auto"/>
        <w:rPr>
          <w:rFonts w:ascii="宋体" w:hAnsi="宋体" w:cs="宋体"/>
          <w:b/>
          <w:sz w:val="24"/>
          <w:szCs w:val="20"/>
        </w:rPr>
      </w:pPr>
      <w:r>
        <w:rPr>
          <w:rFonts w:hint="eastAsia" w:ascii="宋体" w:hAnsi="宋体" w:cs="宋体"/>
          <w:b/>
          <w:sz w:val="24"/>
          <w:szCs w:val="20"/>
        </w:rPr>
        <w:t xml:space="preserve">34. 监督</w:t>
      </w:r>
      <w:r/>
    </w:p>
    <w:p>
      <w:pPr>
        <w:ind w:firstLine="482"/>
        <w:spacing w:line="360" w:lineRule="auto"/>
        <w:rPr>
          <w:rFonts w:ascii="宋体" w:hAnsi="宋体" w:cs="宋体"/>
          <w:sz w:val="24"/>
          <w:szCs w:val="20"/>
        </w:rPr>
      </w:pPr>
      <w:r>
        <w:rPr>
          <w:rFonts w:hint="eastAsia" w:ascii="宋体" w:hAnsi="宋体" w:cs="宋体"/>
          <w:sz w:val="24"/>
          <w:szCs w:val="20"/>
        </w:rPr>
        <w:t xml:space="preserve">34.1 有关监督部门将对招投标全过程进行监督。</w:t>
      </w:r>
      <w:r/>
    </w:p>
    <w:p>
      <w:pPr>
        <w:ind w:firstLine="482"/>
        <w:spacing w:line="360" w:lineRule="auto"/>
        <w:rPr>
          <w:rFonts w:ascii="宋体" w:hAnsi="宋体" w:cs="宋体"/>
          <w:sz w:val="24"/>
          <w:szCs w:val="20"/>
        </w:rPr>
      </w:pPr>
      <w:r>
        <w:rPr>
          <w:rFonts w:ascii="宋体" w:hAnsi="宋体" w:cs="宋体"/>
          <w:sz w:val="24"/>
          <w:szCs w:val="20"/>
        </w:rPr>
      </w:r>
      <w:r/>
    </w:p>
    <w:p>
      <w:pPr>
        <w:ind w:firstLine="482"/>
        <w:spacing w:line="360" w:lineRule="auto"/>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br w:type="page" w:clear="all"/>
      </w:r>
      <w:r/>
    </w:p>
    <w:p>
      <w:pPr>
        <w:jc w:val="center"/>
        <w:spacing w:line="360" w:lineRule="auto"/>
        <w:rPr>
          <w:rFonts w:ascii="宋体" w:hAnsi="宋体" w:cs="宋体"/>
          <w:b/>
          <w:sz w:val="44"/>
          <w:szCs w:val="44"/>
          <w:lang w:val="zh-CN"/>
        </w:rPr>
        <w:outlineLvl w:val="0"/>
      </w:pPr>
      <w:r>
        <w:rPr>
          <w:rFonts w:hint="eastAsia" w:ascii="宋体" w:hAnsi="宋体" w:cs="宋体"/>
          <w:b/>
          <w:sz w:val="44"/>
          <w:szCs w:val="44"/>
          <w:lang w:val="zh-CN"/>
        </w:rPr>
        <w:t xml:space="preserve">第</w:t>
      </w:r>
      <w:r>
        <w:rPr>
          <w:rFonts w:hint="eastAsia" w:ascii="宋体" w:hAnsi="宋体" w:cs="宋体"/>
          <w:b/>
          <w:sz w:val="44"/>
          <w:szCs w:val="44"/>
        </w:rPr>
        <w:t xml:space="preserve">三</w:t>
      </w:r>
      <w:r>
        <w:rPr>
          <w:rFonts w:hint="eastAsia" w:ascii="宋体" w:hAnsi="宋体" w:cs="宋体"/>
          <w:b/>
          <w:sz w:val="44"/>
          <w:szCs w:val="44"/>
          <w:lang w:val="zh-CN"/>
        </w:rPr>
        <w:t xml:space="preserve">章 投标文件格式</w:t>
      </w:r>
      <w:r/>
    </w:p>
    <w:p>
      <w:pPr>
        <w:spacing w:line="360" w:lineRule="auto"/>
        <w:rPr>
          <w:rFonts w:ascii="宋体" w:hAnsi="宋体" w:cs="宋体"/>
          <w:b/>
          <w:bCs/>
          <w:sz w:val="24"/>
          <w:lang w:val="zh-CN"/>
        </w:rPr>
      </w:pPr>
      <w:r>
        <w:rPr>
          <w:rFonts w:hint="eastAsia" w:ascii="宋体" w:hAnsi="宋体" w:cs="宋体"/>
          <w:b/>
          <w:bCs/>
          <w:sz w:val="24"/>
          <w:lang w:val="zh-CN"/>
        </w:rPr>
        <w:t xml:space="preserve">说明：</w:t>
      </w:r>
      <w:r/>
    </w:p>
    <w:p>
      <w:pPr>
        <w:jc w:val="left"/>
        <w:spacing w:line="360" w:lineRule="auto"/>
        <w:rPr>
          <w:rFonts w:ascii="宋体" w:hAnsi="宋体" w:cs="宋体"/>
          <w:b/>
          <w:sz w:val="24"/>
        </w:rPr>
      </w:pPr>
      <w:r>
        <w:rPr>
          <w:rFonts w:hint="eastAsia" w:hAnsi="宋体" w:cs="宋体"/>
          <w:b/>
          <w:sz w:val="24"/>
        </w:rPr>
        <w:t xml:space="preserve">   对本章所有的投标书格式 ，投标方可根据自身情况进行补充和修改，但补充和修改不得造成与本格式内容有实质性的违背。</w:t>
      </w:r>
      <w:r/>
    </w:p>
    <w:p>
      <w:pPr>
        <w:jc w:val="left"/>
        <w:widowControl/>
        <w:rPr>
          <w:rFonts w:ascii="宋体" w:hAnsi="宋体" w:cs="宋体"/>
          <w:b/>
          <w:sz w:val="24"/>
        </w:rPr>
      </w:pPr>
      <w:r>
        <w:rPr>
          <w:rFonts w:ascii="宋体" w:hAnsi="宋体" w:cs="宋体"/>
          <w:b/>
          <w:sz w:val="24"/>
        </w:rPr>
        <w:br w:type="page" w:clear="all"/>
      </w:r>
      <w:r/>
    </w:p>
    <w:p>
      <w:pPr>
        <w:jc w:val="left"/>
        <w:spacing w:line="360" w:lineRule="auto"/>
        <w:rPr>
          <w:rFonts w:ascii="宋体" w:hAnsi="宋体" w:cs="宋体"/>
          <w:b/>
          <w:sz w:val="24"/>
        </w:rPr>
      </w:pPr>
      <w:r>
        <w:rPr>
          <w:rFonts w:hint="eastAsia" w:ascii="宋体" w:hAnsi="宋体" w:cs="宋体"/>
          <w:b/>
          <w:sz w:val="24"/>
        </w:rPr>
        <w:t xml:space="preserve">1.法定代表人身份证明书及（投标方）法定代表人授权委托书</w:t>
      </w:r>
      <w:r/>
    </w:p>
    <w:p>
      <w:pPr>
        <w:jc w:val="left"/>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szCs w:val="20"/>
          <w:shd w:val="clear" w:color="auto" w:fill="ffffff"/>
        </w:rPr>
      </w:pPr>
      <w:r>
        <w:rPr>
          <w:rFonts w:hint="eastAsia" w:ascii="宋体" w:hAnsi="宋体" w:cs="宋体"/>
          <w:sz w:val="24"/>
          <w:szCs w:val="20"/>
        </w:rPr>
        <w:t xml:space="preserve">法定代表人身份证明书</w:t>
      </w:r>
      <w:r/>
    </w:p>
    <w:p>
      <w:pPr>
        <w:spacing w:line="360" w:lineRule="auto"/>
        <w:rPr>
          <w:rFonts w:ascii="宋体" w:hAnsi="宋体" w:cs="宋体"/>
          <w:sz w:val="24"/>
          <w:szCs w:val="20"/>
          <w:shd w:val="clear" w:color="auto" w:fill="ffffff"/>
        </w:rPr>
      </w:pPr>
      <w:r>
        <w:rPr>
          <w:rFonts w:ascii="宋体" w:hAnsi="宋体" w:cs="宋体"/>
          <w:sz w:val="24"/>
          <w:szCs w:val="20"/>
          <w:shd w:val="clear" w:color="auto" w:fill="ffffff"/>
        </w:rPr>
      </w:r>
      <w:r/>
    </w:p>
    <w:p>
      <w:pPr>
        <w:spacing w:line="360" w:lineRule="auto"/>
        <w:rPr>
          <w:rFonts w:ascii="宋体" w:hAnsi="宋体" w:cs="宋体"/>
          <w:sz w:val="24"/>
          <w:szCs w:val="20"/>
        </w:rPr>
      </w:pPr>
      <w:r>
        <w:rPr>
          <w:rFonts w:hint="eastAsia" w:ascii="宋体" w:hAnsi="宋体" w:cs="宋体"/>
          <w:sz w:val="24"/>
          <w:szCs w:val="20"/>
          <w:u w:val="single"/>
        </w:rPr>
        <w:t xml:space="preserve">致（采购代理机构名称）</w:t>
      </w:r>
      <w:r>
        <w:rPr>
          <w:rFonts w:hint="eastAsia" w:ascii="宋体" w:hAnsi="宋体" w:cs="宋体"/>
          <w:sz w:val="24"/>
          <w:szCs w:val="20"/>
        </w:rPr>
        <w:t xml:space="preserve">：</w:t>
      </w:r>
      <w:r/>
    </w:p>
    <w:p>
      <w:pPr>
        <w:ind w:firstLine="480"/>
        <w:spacing w:line="360" w:lineRule="auto"/>
        <w:rPr>
          <w:rFonts w:ascii="宋体" w:hAnsi="宋体" w:cs="宋体"/>
          <w:sz w:val="24"/>
          <w:szCs w:val="20"/>
        </w:rPr>
      </w:pPr>
      <w:r>
        <w:rPr>
          <w:rFonts w:hint="eastAsia" w:ascii="宋体" w:hAnsi="宋体" w:cs="宋体"/>
          <w:sz w:val="24"/>
          <w:szCs w:val="20"/>
          <w:u w:val="single"/>
        </w:rPr>
        <w:t xml:space="preserve">        </w:t>
      </w:r>
      <w:r>
        <w:rPr>
          <w:rFonts w:hint="eastAsia" w:ascii="宋体" w:hAnsi="宋体" w:cs="宋体"/>
          <w:sz w:val="24"/>
          <w:szCs w:val="20"/>
        </w:rPr>
        <w:t xml:space="preserve">（姓名、性别、年龄、身份证号码）在我</w:t>
      </w:r>
      <w:r>
        <w:fldChar w:fldCharType="begin"/>
      </w:r>
      <w:r>
        <w:instrText xml:space="preserve"> HYPERLINK "https://baike.baidu.com/item/%E5%8D%95%E4%BD%8D/32292" \t "_blank" </w:instrText>
      </w:r>
      <w:r>
        <w:fldChar w:fldCharType="separate"/>
      </w:r>
      <w:r>
        <w:rPr>
          <w:rFonts w:hint="eastAsia" w:ascii="宋体" w:hAnsi="宋体" w:cs="宋体"/>
          <w:sz w:val="24"/>
          <w:szCs w:val="20"/>
        </w:rPr>
        <w:t xml:space="preserve">单位</w:t>
      </w:r>
      <w:r>
        <w:rPr>
          <w:rFonts w:hint="eastAsia" w:ascii="宋体" w:hAnsi="宋体" w:cs="宋体"/>
          <w:sz w:val="24"/>
          <w:szCs w:val="20"/>
        </w:rPr>
        <w:fldChar w:fldCharType="end"/>
      </w:r>
      <w:r>
        <w:rPr>
          <w:rFonts w:hint="eastAsia" w:ascii="宋体" w:hAnsi="宋体" w:cs="宋体"/>
          <w:sz w:val="24"/>
          <w:szCs w:val="20"/>
        </w:rPr>
        <w:t xml:space="preserve">任</w:t>
      </w:r>
      <w:r>
        <w:rPr>
          <w:rFonts w:hint="eastAsia" w:ascii="宋体" w:hAnsi="宋体" w:cs="宋体"/>
          <w:sz w:val="24"/>
          <w:szCs w:val="20"/>
          <w:u w:val="single"/>
        </w:rPr>
        <w:t xml:space="preserve">        </w:t>
      </w:r>
      <w:r>
        <w:rPr>
          <w:rFonts w:hint="eastAsia" w:ascii="宋体" w:hAnsi="宋体" w:cs="宋体"/>
          <w:sz w:val="24"/>
          <w:szCs w:val="20"/>
        </w:rPr>
        <w:t xml:space="preserve">（董事长、总经理等）职务，是我单位的法定代表人。</w:t>
      </w:r>
      <w:r/>
    </w:p>
    <w:p>
      <w:pPr>
        <w:spacing w:line="360" w:lineRule="auto"/>
        <w:rPr>
          <w:rFonts w:ascii="宋体" w:hAnsi="宋体" w:cs="宋体"/>
          <w:sz w:val="24"/>
          <w:szCs w:val="20"/>
        </w:rPr>
      </w:pPr>
      <w:r>
        <w:rPr>
          <w:rFonts w:ascii="宋体" w:hAnsi="宋体" w:cs="宋体"/>
          <w:sz w:val="24"/>
          <w:szCs w:val="20"/>
        </w:rPr>
      </w:r>
      <w:r/>
    </w:p>
    <w:p>
      <w:pPr>
        <w:ind w:firstLine="480"/>
        <w:spacing w:line="360" w:lineRule="auto"/>
        <w:rPr>
          <w:rFonts w:ascii="宋体" w:hAnsi="宋体" w:cs="宋体"/>
          <w:sz w:val="24"/>
          <w:szCs w:val="20"/>
        </w:rPr>
      </w:pPr>
      <w:r>
        <w:rPr>
          <w:rFonts w:hint="eastAsia" w:ascii="宋体" w:hAnsi="宋体" w:cs="宋体"/>
          <w:sz w:val="24"/>
          <w:szCs w:val="20"/>
        </w:rPr>
        <w:t xml:space="preserve">特此证明。</w:t>
      </w:r>
      <w:r/>
    </w:p>
    <w:p>
      <w:pPr>
        <w:spacing w:line="360" w:lineRule="auto"/>
        <w:rPr>
          <w:rFonts w:ascii="宋体" w:hAnsi="宋体" w:cs="宋体"/>
          <w:sz w:val="24"/>
          <w:szCs w:val="20"/>
        </w:rPr>
      </w:pPr>
      <w:r>
        <w:rPr>
          <w:rFonts w:ascii="宋体" w:hAnsi="宋体" w:cs="宋体"/>
          <w:sz w:val="24"/>
          <w:szCs w:val="20"/>
        </w:rPr>
      </w:r>
      <w:r/>
    </w:p>
    <w:p>
      <w:pPr>
        <w:ind w:left="-874" w:firstLine="1200"/>
        <w:spacing w:line="360" w:lineRule="auto"/>
        <w:tabs>
          <w:tab w:val="left" w:pos="5580" w:leader="none"/>
        </w:tabs>
        <w:rPr>
          <w:rFonts w:ascii="宋体" w:hAnsi="宋体" w:cs="宋体"/>
          <w:sz w:val="24"/>
        </w:rPr>
      </w:pPr>
      <w:r>
        <w:rPr>
          <w:rFonts w:hint="eastAsia" w:ascii="宋体" w:hAnsi="宋体" w:cs="宋体"/>
          <w:sz w:val="24"/>
        </w:rPr>
        <w:t xml:space="preserve">投标人盖章：</w:t>
      </w:r>
      <w:r>
        <w:rPr>
          <w:rFonts w:hint="eastAsia" w:ascii="宋体" w:hAnsi="宋体" w:cs="宋体"/>
          <w:sz w:val="24"/>
          <w:u w:val="single"/>
        </w:rPr>
        <w:t xml:space="preserve">                             </w:t>
      </w:r>
      <w:r>
        <w:rPr>
          <w:rFonts w:hint="eastAsia" w:ascii="宋体" w:hAnsi="宋体" w:cs="宋体"/>
          <w:sz w:val="24"/>
        </w:rPr>
        <w:t xml:space="preserve">                    </w:t>
      </w:r>
      <w:r/>
    </w:p>
    <w:p>
      <w:pPr>
        <w:ind w:firstLine="240"/>
        <w:spacing w:line="360" w:lineRule="auto"/>
        <w:tabs>
          <w:tab w:val="left" w:pos="5580" w:leader="none"/>
        </w:tabs>
        <w:rPr>
          <w:rFonts w:ascii="宋体" w:hAnsi="宋体" w:cs="宋体"/>
          <w:sz w:val="24"/>
        </w:rPr>
      </w:pPr>
      <w:r>
        <w:rPr>
          <w:rFonts w:hint="eastAsia" w:ascii="宋体" w:hAnsi="宋体" w:cs="宋体"/>
          <w:sz w:val="24"/>
        </w:rPr>
        <w:t xml:space="preserve">详细通讯地址：</w:t>
      </w:r>
      <w:r>
        <w:rPr>
          <w:rFonts w:hint="eastAsia" w:ascii="宋体" w:hAnsi="宋体" w:cs="宋体"/>
          <w:sz w:val="24"/>
          <w:u w:val="single"/>
        </w:rPr>
        <w:t xml:space="preserve">                                </w:t>
      </w:r>
      <w:r/>
    </w:p>
    <w:p>
      <w:pPr>
        <w:ind w:firstLine="360"/>
        <w:spacing w:line="360" w:lineRule="auto"/>
        <w:tabs>
          <w:tab w:val="left" w:pos="5580" w:leader="none"/>
        </w:tabs>
        <w:rPr>
          <w:rFonts w:ascii="宋体" w:hAnsi="宋体" w:cs="宋体"/>
          <w:sz w:val="24"/>
        </w:rPr>
      </w:pPr>
      <w:r>
        <w:rPr>
          <w:rFonts w:hint="eastAsia" w:ascii="宋体" w:hAnsi="宋体" w:cs="宋体"/>
          <w:sz w:val="24"/>
        </w:rPr>
        <w:t xml:space="preserve">邮 政 编 码 ：</w:t>
      </w:r>
      <w:r>
        <w:rPr>
          <w:rFonts w:hint="eastAsia" w:ascii="宋体" w:hAnsi="宋体" w:cs="宋体"/>
          <w:sz w:val="24"/>
          <w:u w:val="single"/>
        </w:rPr>
        <w:t xml:space="preserve">                                </w:t>
      </w:r>
      <w:r/>
    </w:p>
    <w:p>
      <w:pPr>
        <w:ind w:firstLine="360"/>
        <w:spacing w:line="360" w:lineRule="auto"/>
        <w:tabs>
          <w:tab w:val="left" w:pos="5580" w:leader="none"/>
        </w:tabs>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p>
    <w:p>
      <w:pPr>
        <w:ind w:firstLine="360"/>
        <w:spacing w:line="360" w:lineRule="auto"/>
        <w:tabs>
          <w:tab w:val="left" w:pos="5580" w:leader="none"/>
        </w:tabs>
        <w:rPr>
          <w:rFonts w:ascii="宋体" w:hAnsi="宋体" w:cs="宋体"/>
          <w:sz w:val="24"/>
          <w:u w:val="single"/>
        </w:rPr>
      </w:pPr>
      <w:r>
        <w:rPr>
          <w:rFonts w:hint="eastAsia" w:ascii="宋体" w:hAnsi="宋体" w:cs="宋体"/>
          <w:sz w:val="24"/>
        </w:rPr>
        <w:t xml:space="preserve">电　　　　话：</w:t>
      </w:r>
      <w:r>
        <w:rPr>
          <w:rFonts w:hint="eastAsia" w:ascii="宋体" w:hAnsi="宋体" w:cs="宋体"/>
          <w:sz w:val="24"/>
          <w:u w:val="single"/>
        </w:rPr>
        <w:t xml:space="preserve">                                </w:t>
      </w:r>
      <w:r/>
    </w:p>
    <w:p>
      <w:pPr>
        <w:jc w:val="left"/>
        <w:spacing w:before="75" w:after="75" w:line="405" w:lineRule="atLeast"/>
        <w:widowControl/>
        <w:rPr>
          <w:rFonts w:ascii="宋体" w:hAnsi="宋体" w:cs="宋体"/>
          <w:sz w:val="24"/>
          <w:szCs w:val="20"/>
        </w:rPr>
      </w:pPr>
      <w:r>
        <w:rPr>
          <w:rFonts w:ascii="宋体" w:hAnsi="宋体" w:cs="宋体"/>
          <w:sz w:val="24"/>
          <w:szCs w:val="20"/>
        </w:rPr>
      </w:r>
      <w:r/>
    </w:p>
    <w:p>
      <w:pPr>
        <w:jc w:val="left"/>
        <w:spacing w:before="75" w:after="75" w:line="405" w:lineRule="atLeast"/>
        <w:widowControl/>
        <w:rPr>
          <w:rFonts w:ascii="宋体" w:hAnsi="宋体" w:cs="宋体"/>
          <w:sz w:val="24"/>
          <w:szCs w:val="20"/>
        </w:rPr>
      </w:pPr>
      <w:r>
        <w:rPr>
          <w:rFonts w:hint="eastAsia" w:ascii="宋体" w:hAnsi="宋体" w:cs="宋体"/>
          <w:sz w:val="24"/>
          <w:szCs w:val="20"/>
        </w:rPr>
        <w:t xml:space="preserve">附：法定代表人的身份证正反面复印件</w:t>
      </w:r>
      <w:r/>
    </w:p>
    <w:tbl>
      <w:tblPr>
        <w:tblStyle w:val="720"/>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 </w:t>
            </w:r>
            <w:r/>
          </w:p>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要求：真实、有效、清晰</w:t>
            </w:r>
            <w:r/>
          </w:p>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 </w:t>
            </w:r>
            <w:r/>
          </w:p>
        </w:tc>
      </w:tr>
    </w:tbl>
    <w:p>
      <w:pPr>
        <w:spacing w:line="360" w:lineRule="auto"/>
        <w:rPr>
          <w:rFonts w:ascii="宋体" w:hAnsi="宋体" w:cs="宋体"/>
          <w:sz w:val="24"/>
          <w:szCs w:val="20"/>
        </w:rPr>
      </w:pPr>
      <w:r>
        <w:rPr>
          <w:rFonts w:ascii="宋体" w:hAnsi="宋体" w:cs="宋体"/>
          <w:sz w:val="24"/>
          <w:szCs w:val="20"/>
        </w:rPr>
      </w:r>
      <w:r/>
    </w:p>
    <w:p>
      <w:pPr>
        <w:spacing w:line="360" w:lineRule="auto"/>
        <w:rPr>
          <w:rFonts w:ascii="宋体" w:hAnsi="宋体" w:cs="宋体"/>
          <w:sz w:val="24"/>
          <w:szCs w:val="20"/>
        </w:rPr>
      </w:pPr>
      <w:r>
        <w:rPr>
          <w:rFonts w:ascii="宋体" w:hAnsi="宋体" w:cs="宋体"/>
          <w:sz w:val="24"/>
          <w:szCs w:val="20"/>
        </w:rPr>
      </w:r>
      <w:r/>
    </w:p>
    <w:p>
      <w:pPr>
        <w:spacing w:line="360" w:lineRule="auto"/>
        <w:rPr>
          <w:rFonts w:ascii="宋体" w:hAnsi="宋体" w:cs="宋体"/>
          <w:sz w:val="24"/>
          <w:szCs w:val="20"/>
        </w:rPr>
      </w:pPr>
      <w:r>
        <w:rPr>
          <w:rFonts w:ascii="宋体" w:hAnsi="宋体" w:cs="宋体"/>
          <w:sz w:val="24"/>
          <w:szCs w:val="20"/>
        </w:rPr>
      </w:r>
      <w:r/>
    </w:p>
    <w:p>
      <w:pPr>
        <w:spacing w:line="360" w:lineRule="auto"/>
        <w:rPr>
          <w:rFonts w:ascii="宋体" w:hAnsi="宋体" w:cs="宋体"/>
          <w:sz w:val="24"/>
          <w:szCs w:val="20"/>
        </w:rPr>
      </w:pPr>
      <w:r>
        <w:rPr>
          <w:rFonts w:ascii="宋体" w:hAnsi="宋体" w:cs="宋体"/>
          <w:sz w:val="24"/>
          <w:szCs w:val="20"/>
        </w:rPr>
      </w:r>
      <w:r/>
    </w:p>
    <w:p>
      <w:pPr>
        <w:spacing w:line="360" w:lineRule="auto"/>
        <w:rPr>
          <w:rFonts w:ascii="宋体" w:hAnsi="宋体" w:cs="宋体"/>
          <w:b/>
          <w:bCs/>
          <w:sz w:val="24"/>
          <w:szCs w:val="20"/>
        </w:rPr>
      </w:pPr>
      <w:r>
        <w:rPr>
          <w:rFonts w:hint="eastAsia" w:ascii="宋体" w:hAnsi="宋体" w:cs="宋体"/>
          <w:sz w:val="24"/>
          <w:szCs w:val="20"/>
        </w:rPr>
        <w:br w:type="page" w:clear="all"/>
      </w:r>
      <w:r/>
    </w:p>
    <w:p>
      <w:pPr>
        <w:jc w:val="center"/>
        <w:spacing w:line="360" w:lineRule="auto"/>
        <w:rPr>
          <w:rFonts w:ascii="宋体" w:hAnsi="宋体" w:cs="宋体"/>
          <w:sz w:val="24"/>
          <w:szCs w:val="20"/>
          <w:lang w:val="zh-CN"/>
        </w:rPr>
      </w:pPr>
      <w:r>
        <w:rPr>
          <w:rFonts w:hint="eastAsia" w:ascii="宋体" w:hAnsi="宋体" w:cs="宋体"/>
          <w:sz w:val="24"/>
          <w:szCs w:val="20"/>
          <w:lang w:val="zh-CN"/>
        </w:rPr>
        <w:t xml:space="preserve">法定代表人授权委托书</w:t>
      </w:r>
      <w:r/>
    </w:p>
    <w:p>
      <w:pPr>
        <w:ind w:firstLine="480"/>
        <w:jc w:val="left"/>
        <w:spacing w:line="360" w:lineRule="auto"/>
        <w:rPr>
          <w:rFonts w:ascii="宋体" w:hAnsi="宋体" w:cs="宋体"/>
          <w:sz w:val="24"/>
          <w:szCs w:val="20"/>
          <w:u w:val="single"/>
        </w:rPr>
      </w:pPr>
      <w:r>
        <w:rPr>
          <w:rFonts w:hint="eastAsia" w:ascii="宋体" w:hAnsi="宋体" w:cs="宋体"/>
          <w:sz w:val="24"/>
          <w:szCs w:val="20"/>
        </w:rPr>
        <w:t xml:space="preserve">本授权委托书声明：我 </w:t>
      </w:r>
      <w:r>
        <w:rPr>
          <w:rFonts w:hint="eastAsia" w:ascii="宋体" w:hAnsi="宋体" w:cs="宋体"/>
          <w:sz w:val="24"/>
          <w:szCs w:val="20"/>
          <w:u w:val="single"/>
        </w:rPr>
        <w:t xml:space="preserve"> ××× （姓名）</w:t>
      </w:r>
      <w:r>
        <w:rPr>
          <w:rFonts w:hint="eastAsia" w:ascii="宋体" w:hAnsi="宋体" w:cs="宋体"/>
          <w:sz w:val="24"/>
          <w:szCs w:val="20"/>
        </w:rPr>
        <w:t xml:space="preserve">系</w:t>
      </w:r>
      <w:r>
        <w:rPr>
          <w:rFonts w:hint="eastAsia" w:ascii="宋体" w:hAnsi="宋体" w:cs="宋体"/>
          <w:sz w:val="24"/>
          <w:szCs w:val="20"/>
          <w:u w:val="single"/>
        </w:rPr>
        <w:t xml:space="preserve"> ××××（投标单位名称）</w:t>
      </w:r>
      <w:r>
        <w:rPr>
          <w:rFonts w:hint="eastAsia" w:ascii="宋体" w:hAnsi="宋体" w:cs="宋体"/>
          <w:sz w:val="24"/>
          <w:szCs w:val="20"/>
        </w:rPr>
        <w:t xml:space="preserve">的法定代表人，现授权委托</w:t>
      </w:r>
      <w:r>
        <w:rPr>
          <w:rFonts w:hint="eastAsia" w:ascii="宋体" w:hAnsi="宋体" w:cs="宋体"/>
          <w:sz w:val="24"/>
          <w:szCs w:val="20"/>
          <w:u w:val="single"/>
        </w:rPr>
        <w:t xml:space="preserve"> ×××××× </w:t>
      </w:r>
      <w:r>
        <w:rPr>
          <w:rFonts w:hint="eastAsia" w:ascii="宋体" w:hAnsi="宋体" w:cs="宋体"/>
          <w:sz w:val="24"/>
          <w:szCs w:val="20"/>
        </w:rPr>
        <w:t xml:space="preserve">为我单位本项目代理人，以本单位的名义参加</w:t>
      </w:r>
      <w:r>
        <w:rPr>
          <w:rFonts w:hint="eastAsia" w:ascii="宋体" w:hAnsi="宋体" w:cs="宋体"/>
          <w:sz w:val="24"/>
          <w:szCs w:val="20"/>
          <w:u w:val="single"/>
        </w:rPr>
        <w:t xml:space="preserve">××××（采购代理机构名称）</w:t>
      </w:r>
      <w:r>
        <w:rPr>
          <w:rFonts w:hint="eastAsia" w:ascii="宋体" w:hAnsi="宋体" w:cs="宋体"/>
          <w:sz w:val="24"/>
          <w:szCs w:val="20"/>
        </w:rPr>
        <w:t xml:space="preserve">组织实施的编号为</w:t>
      </w:r>
      <w:r>
        <w:rPr>
          <w:rFonts w:hint="eastAsia" w:ascii="宋体" w:hAnsi="宋体" w:cs="宋体"/>
          <w:sz w:val="24"/>
          <w:szCs w:val="20"/>
          <w:u w:val="single"/>
        </w:rPr>
        <w:t xml:space="preserve"> ××××</w:t>
      </w:r>
      <w:r>
        <w:rPr>
          <w:rFonts w:hint="eastAsia" w:ascii="宋体" w:hAnsi="宋体" w:cs="宋体"/>
          <w:sz w:val="24"/>
          <w:szCs w:val="20"/>
        </w:rPr>
        <w:t xml:space="preserve">的采购活动。代理人在开标、评标、合同谈判过程中所签署的一切文件和处理与这有关的一切事务，我均予以承认。</w:t>
      </w:r>
      <w:r/>
    </w:p>
    <w:p>
      <w:pPr>
        <w:ind w:firstLine="480"/>
        <w:spacing w:line="360" w:lineRule="auto"/>
        <w:rPr>
          <w:rFonts w:ascii="宋体" w:hAnsi="宋体" w:cs="宋体"/>
          <w:sz w:val="24"/>
          <w:szCs w:val="20"/>
        </w:rPr>
      </w:pPr>
      <w:r>
        <w:rPr>
          <w:rFonts w:hint="eastAsia" w:ascii="宋体" w:hAnsi="宋体" w:cs="宋体"/>
          <w:sz w:val="24"/>
          <w:szCs w:val="20"/>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0"/>
        </w:rPr>
      </w:pPr>
      <w:r>
        <w:rPr>
          <w:rFonts w:hint="eastAsia" w:ascii="宋体" w:hAnsi="宋体" w:cs="宋体"/>
          <w:sz w:val="24"/>
          <w:szCs w:val="20"/>
        </w:rPr>
        <w:t xml:space="preserve">代理人无转委托权。特此委托。</w:t>
      </w:r>
      <w:r/>
    </w:p>
    <w:p>
      <w:pPr>
        <w:spacing w:line="360" w:lineRule="auto"/>
        <w:rPr>
          <w:rFonts w:ascii="宋体" w:hAnsi="宋体" w:cs="宋体"/>
          <w:sz w:val="24"/>
          <w:szCs w:val="20"/>
        </w:rPr>
      </w:pPr>
      <w:r>
        <w:rPr>
          <w:rFonts w:hint="eastAsia" w:ascii="宋体" w:hAnsi="宋体" w:cs="宋体"/>
          <w:sz w:val="24"/>
          <w:szCs w:val="20"/>
        </w:rPr>
        <w:t xml:space="preserve">投标人盖章： </w:t>
      </w:r>
      <w:r/>
    </w:p>
    <w:p>
      <w:pPr>
        <w:spacing w:line="360" w:lineRule="auto"/>
        <w:rPr>
          <w:rFonts w:ascii="宋体" w:hAnsi="宋体" w:cs="宋体"/>
          <w:sz w:val="24"/>
          <w:szCs w:val="20"/>
        </w:rPr>
      </w:pPr>
      <w:r>
        <w:rPr>
          <w:rFonts w:hint="eastAsia" w:ascii="宋体" w:hAnsi="宋体" w:cs="宋体"/>
          <w:sz w:val="24"/>
          <w:szCs w:val="20"/>
        </w:rPr>
        <w:t xml:space="preserve">法定代表人：（签字或签章）</w:t>
      </w:r>
      <w:r/>
    </w:p>
    <w:p>
      <w:pPr>
        <w:spacing w:line="360" w:lineRule="auto"/>
        <w:rPr>
          <w:rFonts w:ascii="宋体" w:hAnsi="宋体" w:cs="宋体"/>
          <w:sz w:val="24"/>
          <w:szCs w:val="20"/>
        </w:rPr>
      </w:pPr>
      <w:r>
        <w:rPr>
          <w:rFonts w:hint="eastAsia" w:ascii="宋体" w:hAnsi="宋体" w:cs="宋体"/>
          <w:sz w:val="24"/>
          <w:szCs w:val="20"/>
        </w:rPr>
        <w:t xml:space="preserve">代理人：（签字或签章）</w:t>
      </w:r>
      <w:r/>
    </w:p>
    <w:p>
      <w:pPr>
        <w:ind w:right="210" w:firstLine="425"/>
        <w:jc w:val="right"/>
        <w:spacing w:line="360" w:lineRule="auto"/>
        <w:rPr>
          <w:rFonts w:ascii="宋体" w:hAnsi="宋体" w:cs="宋体"/>
          <w:sz w:val="24"/>
          <w:szCs w:val="20"/>
          <w:lang w:val="zh-CN"/>
        </w:rPr>
      </w:pPr>
      <w:r>
        <w:rPr>
          <w:rFonts w:ascii="宋体" w:hAnsi="宋体" w:cs="宋体"/>
          <w:sz w:val="24"/>
          <w:szCs w:val="20"/>
          <w:lang w:val="zh-CN"/>
        </w:rPr>
      </w:r>
      <w:r/>
    </w:p>
    <w:p>
      <w:pPr>
        <w:ind w:firstLine="425"/>
        <w:jc w:val="center"/>
        <w:spacing w:line="360" w:lineRule="auto"/>
        <w:rPr>
          <w:rFonts w:ascii="宋体" w:hAnsi="宋体" w:cs="宋体"/>
          <w:sz w:val="24"/>
          <w:szCs w:val="20"/>
          <w:lang w:val="zh-CN"/>
        </w:rPr>
      </w:pPr>
      <w:r>
        <w:rPr>
          <w:rFonts w:hint="eastAsia" w:ascii="宋体" w:hAnsi="宋体" w:cs="宋体"/>
          <w:sz w:val="24"/>
          <w:szCs w:val="20"/>
          <w:lang w:val="zh-CN"/>
        </w:rPr>
        <w:t xml:space="preserve">                                       日期：        年     月     日</w:t>
      </w:r>
      <w:r/>
    </w:p>
    <w:p>
      <w:pPr>
        <w:jc w:val="left"/>
        <w:spacing w:before="75" w:after="75" w:line="405" w:lineRule="atLeast"/>
        <w:widowControl/>
        <w:rPr>
          <w:rFonts w:ascii="宋体" w:hAnsi="宋体" w:cs="宋体"/>
          <w:sz w:val="24"/>
          <w:szCs w:val="20"/>
        </w:rPr>
      </w:pPr>
      <w:r>
        <w:rPr>
          <w:rFonts w:hint="eastAsia" w:ascii="宋体" w:hAnsi="宋体" w:cs="宋体"/>
          <w:sz w:val="24"/>
          <w:szCs w:val="20"/>
        </w:rPr>
        <w:t xml:space="preserve">附：法人代表、授权代表的身份证正反面复印件</w:t>
      </w:r>
      <w:r/>
    </w:p>
    <w:tbl>
      <w:tblPr>
        <w:tblStyle w:val="720"/>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 </w:t>
            </w:r>
            <w:r/>
          </w:p>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要求：真实、有效、清晰</w:t>
            </w:r>
            <w:r/>
          </w:p>
          <w:p>
            <w:pPr>
              <w:jc w:val="center"/>
              <w:spacing w:before="100" w:after="100" w:line="405" w:lineRule="atLeast"/>
              <w:widowControl/>
              <w:rPr>
                <w:rFonts w:ascii="宋体" w:hAnsi="宋体" w:cs="宋体"/>
                <w:sz w:val="24"/>
                <w:szCs w:val="20"/>
              </w:rPr>
            </w:pPr>
            <w:r>
              <w:rPr>
                <w:rFonts w:hint="eastAsia" w:ascii="宋体" w:hAnsi="宋体" w:cs="宋体"/>
                <w:b/>
                <w:sz w:val="24"/>
                <w:szCs w:val="20"/>
              </w:rPr>
              <w:t xml:space="preserve"> </w:t>
            </w:r>
            <w:r/>
          </w:p>
        </w:tc>
      </w:tr>
    </w:tbl>
    <w:p>
      <w:pPr>
        <w:spacing w:line="360" w:lineRule="auto"/>
        <w:rPr>
          <w:rFonts w:ascii="宋体" w:hAnsi="宋体" w:cs="宋体"/>
          <w:b/>
          <w:sz w:val="24"/>
        </w:rPr>
      </w:pPr>
      <w:r>
        <w:rPr>
          <w:rFonts w:ascii="宋体" w:hAnsi="宋体" w:cs="宋体"/>
          <w:b/>
          <w:sz w:val="24"/>
          <w:szCs w:val="20"/>
        </w:rPr>
        <w:br w:type="page" w:clear="all"/>
      </w:r>
      <w:r>
        <w:rPr>
          <w:rFonts w:ascii="宋体" w:hAnsi="宋体" w:cs="宋体"/>
          <w:b/>
          <w:sz w:val="24"/>
        </w:rPr>
        <w:t xml:space="preserve">2、投标函 （固定格式）                             </w:t>
      </w:r>
      <w:r/>
    </w:p>
    <w:p>
      <w:pPr>
        <w:jc w:val="center"/>
        <w:spacing w:line="400" w:lineRule="exact"/>
        <w:rPr>
          <w:rFonts w:ascii="宋体" w:hAnsi="宋体" w:cs="宋体"/>
          <w:b/>
          <w:sz w:val="24"/>
        </w:rPr>
      </w:pPr>
      <w:r>
        <w:rPr>
          <w:rFonts w:hint="eastAsia" w:ascii="宋体" w:hAnsi="宋体" w:cs="宋体"/>
          <w:b/>
          <w:sz w:val="24"/>
        </w:rPr>
        <w:t xml:space="preserve">投标函</w:t>
      </w:r>
      <w:r/>
    </w:p>
    <w:p>
      <w:pPr>
        <w:spacing w:line="40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w:t>
      </w:r>
      <w:r/>
    </w:p>
    <w:p>
      <w:pPr>
        <w:spacing w:line="360" w:lineRule="exact"/>
        <w:rPr>
          <w:rFonts w:ascii="宋体" w:hAnsi="宋体" w:cs="宋体"/>
          <w:sz w:val="24"/>
          <w:szCs w:val="20"/>
        </w:rPr>
      </w:pPr>
      <w:r>
        <w:rPr>
          <w:rFonts w:ascii="宋体" w:hAnsi="宋体" w:cs="宋体"/>
          <w:sz w:val="24"/>
          <w:szCs w:val="20"/>
        </w:rPr>
        <w:t xml:space="preserve">    我们收到贵公司 </w:t>
      </w:r>
      <w:r>
        <w:rPr>
          <w:rFonts w:ascii="宋体" w:hAnsi="宋体" w:cs="宋体"/>
          <w:sz w:val="24"/>
          <w:szCs w:val="20"/>
          <w:u w:val="single"/>
        </w:rPr>
        <w:t xml:space="preserve">           </w:t>
      </w:r>
      <w:r>
        <w:rPr>
          <w:rFonts w:ascii="宋体" w:hAnsi="宋体" w:cs="宋体"/>
          <w:sz w:val="24"/>
          <w:szCs w:val="20"/>
        </w:rPr>
        <w:t xml:space="preserve">号招标文件，经仔细阅读和研究，我们决定参加投标。</w:t>
      </w:r>
      <w:r/>
    </w:p>
    <w:p>
      <w:pPr>
        <w:numPr>
          <w:ilvl w:val="0"/>
          <w:numId w:val="5"/>
        </w:numPr>
        <w:spacing w:line="360" w:lineRule="exact"/>
        <w:rPr>
          <w:rFonts w:ascii="宋体" w:hAnsi="宋体" w:cs="宋体"/>
          <w:sz w:val="24"/>
          <w:szCs w:val="20"/>
        </w:rPr>
      </w:pPr>
      <w:r>
        <w:rPr>
          <w:rFonts w:ascii="宋体" w:hAnsi="宋体" w:cs="宋体"/>
          <w:sz w:val="24"/>
          <w:szCs w:val="20"/>
        </w:rPr>
        <w:t xml:space="preserve">我们愿意按照招标文件的一切要求，完成该项目的全部内容。</w:t>
      </w:r>
      <w:r/>
    </w:p>
    <w:p>
      <w:pPr>
        <w:spacing w:line="360" w:lineRule="exact"/>
        <w:rPr>
          <w:rFonts w:ascii="宋体" w:hAnsi="宋体" w:cs="宋体"/>
          <w:sz w:val="24"/>
          <w:szCs w:val="20"/>
        </w:rPr>
      </w:pPr>
      <w:r>
        <w:rPr>
          <w:rFonts w:hint="eastAsia" w:ascii="宋体" w:hAnsi="宋体" w:cs="宋体"/>
          <w:sz w:val="24"/>
          <w:szCs w:val="20"/>
        </w:rPr>
        <w:t xml:space="preserve">2.</w:t>
      </w:r>
      <w:r>
        <w:rPr>
          <w:rFonts w:ascii="宋体" w:hAnsi="宋体" w:cs="宋体"/>
          <w:sz w:val="24"/>
          <w:szCs w:val="20"/>
        </w:rPr>
        <w:t xml:space="preserve">如果我们的投标书被接受，我们将严格履行招标文件中规定的每一项要求，按期、按质、按量履行合同的义务。</w:t>
      </w:r>
      <w:r/>
    </w:p>
    <w:p>
      <w:pPr>
        <w:spacing w:line="360" w:lineRule="exact"/>
        <w:rPr>
          <w:rFonts w:ascii="宋体" w:hAnsi="宋体" w:cs="宋体"/>
          <w:sz w:val="24"/>
          <w:szCs w:val="20"/>
        </w:rPr>
      </w:pPr>
      <w:r>
        <w:rPr>
          <w:rFonts w:hint="eastAsia" w:ascii="宋体" w:hAnsi="宋体" w:cs="宋体"/>
          <w:sz w:val="24"/>
          <w:szCs w:val="20"/>
        </w:rPr>
        <w:t xml:space="preserve">3.</w:t>
      </w:r>
      <w:r>
        <w:rPr>
          <w:rFonts w:ascii="宋体" w:hAnsi="宋体" w:cs="宋体"/>
          <w:sz w:val="24"/>
          <w:szCs w:val="20"/>
        </w:rPr>
        <w:t xml:space="preserve">我们已详细审查全部招标文件，包括补充文件</w:t>
      </w:r>
      <w:r>
        <w:rPr>
          <w:rFonts w:hint="eastAsia" w:ascii="宋体" w:hAnsi="宋体" w:cs="宋体"/>
          <w:sz w:val="24"/>
          <w:szCs w:val="20"/>
        </w:rPr>
        <w:t xml:space="preserve">（</w:t>
      </w:r>
      <w:r>
        <w:rPr>
          <w:rFonts w:ascii="宋体" w:hAnsi="宋体" w:cs="宋体"/>
          <w:sz w:val="24"/>
          <w:szCs w:val="20"/>
        </w:rPr>
        <w:t xml:space="preserve">如果有的话</w:t>
      </w:r>
      <w:r>
        <w:rPr>
          <w:rFonts w:hint="eastAsia" w:ascii="宋体" w:hAnsi="宋体" w:cs="宋体"/>
          <w:sz w:val="24"/>
          <w:szCs w:val="20"/>
        </w:rPr>
        <w:t xml:space="preserve">）</w:t>
      </w:r>
      <w:r>
        <w:rPr>
          <w:rFonts w:ascii="宋体" w:hAnsi="宋体" w:cs="宋体"/>
          <w:sz w:val="24"/>
          <w:szCs w:val="20"/>
        </w:rPr>
        <w:t xml:space="preserve">，无任何异议。</w:t>
      </w:r>
      <w:r/>
    </w:p>
    <w:p>
      <w:pPr>
        <w:spacing w:line="360" w:lineRule="exact"/>
        <w:rPr>
          <w:rFonts w:ascii="宋体" w:hAnsi="宋体" w:cs="宋体"/>
          <w:sz w:val="24"/>
          <w:szCs w:val="20"/>
        </w:rPr>
      </w:pPr>
      <w:r>
        <w:rPr>
          <w:rFonts w:hint="eastAsia" w:ascii="宋体" w:hAnsi="宋体" w:cs="宋体"/>
          <w:sz w:val="24"/>
          <w:szCs w:val="20"/>
        </w:rPr>
        <w:t xml:space="preserve">4.</w:t>
      </w:r>
      <w:r>
        <w:rPr>
          <w:rFonts w:ascii="宋体" w:hAnsi="宋体" w:cs="宋体"/>
          <w:sz w:val="24"/>
          <w:szCs w:val="20"/>
        </w:rPr>
        <w:t xml:space="preserve">我们同意按招标文件中的规定，本投标书的有效期限为开标后</w:t>
      </w:r>
      <w:r>
        <w:rPr>
          <w:rFonts w:ascii="宋体" w:hAnsi="宋体" w:cs="宋体"/>
          <w:sz w:val="24"/>
          <w:szCs w:val="20"/>
          <w:u w:val="single"/>
        </w:rPr>
        <w:t xml:space="preserve">90</w:t>
      </w:r>
      <w:r>
        <w:rPr>
          <w:rFonts w:ascii="宋体" w:hAnsi="宋体" w:cs="宋体"/>
          <w:sz w:val="24"/>
          <w:szCs w:val="20"/>
        </w:rPr>
        <w:t xml:space="preserve">天。</w:t>
      </w:r>
      <w:r/>
    </w:p>
    <w:p>
      <w:pPr>
        <w:spacing w:line="360" w:lineRule="exact"/>
        <w:rPr>
          <w:rFonts w:ascii="宋体" w:hAnsi="宋体" w:cs="宋体"/>
          <w:sz w:val="24"/>
          <w:szCs w:val="20"/>
        </w:rPr>
      </w:pPr>
      <w:r>
        <w:rPr>
          <w:rFonts w:hint="eastAsia" w:ascii="宋体" w:hAnsi="宋体" w:cs="宋体"/>
          <w:sz w:val="24"/>
          <w:szCs w:val="20"/>
        </w:rPr>
        <w:t xml:space="preserve">5.</w:t>
      </w:r>
      <w:r>
        <w:rPr>
          <w:rFonts w:ascii="宋体" w:hAnsi="宋体" w:cs="宋体"/>
          <w:sz w:val="24"/>
          <w:szCs w:val="20"/>
        </w:rPr>
        <w:t xml:space="preserve">我们愿意提供采购单位在招标文件中要求的所有资料。</w:t>
      </w:r>
      <w:r/>
    </w:p>
    <w:p>
      <w:pPr>
        <w:spacing w:line="360" w:lineRule="exact"/>
        <w:rPr>
          <w:rFonts w:ascii="宋体" w:hAnsi="宋体" w:cs="宋体"/>
          <w:sz w:val="24"/>
          <w:szCs w:val="20"/>
        </w:rPr>
      </w:pPr>
      <w:r>
        <w:rPr>
          <w:rFonts w:hint="eastAsia" w:ascii="宋体" w:hAnsi="宋体" w:cs="宋体"/>
          <w:sz w:val="24"/>
          <w:szCs w:val="20"/>
        </w:rPr>
        <w:t xml:space="preserve">6.</w:t>
      </w:r>
      <w:r>
        <w:rPr>
          <w:rFonts w:ascii="宋体" w:hAnsi="宋体" w:cs="宋体"/>
          <w:sz w:val="24"/>
          <w:szCs w:val="20"/>
        </w:rPr>
        <w:t xml:space="preserve">我们认为你们有权决定中标者，还认为你们有权接受或拒绝所有的投标者。</w:t>
      </w:r>
      <w:r/>
    </w:p>
    <w:p>
      <w:pPr>
        <w:spacing w:line="360" w:lineRule="exact"/>
        <w:rPr>
          <w:rFonts w:ascii="宋体" w:hAnsi="宋体" w:cs="宋体"/>
          <w:sz w:val="24"/>
          <w:szCs w:val="20"/>
        </w:rPr>
      </w:pPr>
      <w:r>
        <w:rPr>
          <w:rFonts w:hint="eastAsia" w:ascii="宋体" w:hAnsi="宋体" w:cs="宋体"/>
          <w:sz w:val="24"/>
          <w:szCs w:val="20"/>
        </w:rPr>
        <w:t xml:space="preserve">7.</w:t>
      </w:r>
      <w:r>
        <w:rPr>
          <w:rFonts w:ascii="宋体" w:hAnsi="宋体" w:cs="宋体"/>
          <w:sz w:val="24"/>
          <w:szCs w:val="20"/>
        </w:rPr>
        <w:t xml:space="preserve">我们愿意遵守招标公告及招标文件中所列的收费标准。</w:t>
      </w:r>
      <w:r/>
    </w:p>
    <w:p>
      <w:pPr>
        <w:spacing w:line="360" w:lineRule="exact"/>
        <w:rPr>
          <w:rFonts w:ascii="宋体" w:hAnsi="宋体" w:cs="宋体"/>
          <w:sz w:val="24"/>
          <w:szCs w:val="20"/>
        </w:rPr>
      </w:pPr>
      <w:r>
        <w:rPr>
          <w:rFonts w:hint="eastAsia" w:ascii="宋体" w:hAnsi="宋体" w:cs="宋体"/>
          <w:sz w:val="24"/>
          <w:szCs w:val="20"/>
        </w:rPr>
        <w:t xml:space="preserve">8.</w:t>
      </w:r>
      <w:r>
        <w:rPr>
          <w:rFonts w:ascii="宋体" w:hAnsi="宋体" w:cs="宋体"/>
          <w:sz w:val="24"/>
          <w:szCs w:val="20"/>
        </w:rPr>
        <w:t xml:space="preserve">我们承诺该项投标在开标后的全过程中保持有效，不作任何更改和变动。</w:t>
      </w:r>
      <w:r/>
    </w:p>
    <w:p>
      <w:pPr>
        <w:spacing w:line="360" w:lineRule="exact"/>
        <w:rPr>
          <w:rFonts w:ascii="宋体" w:hAnsi="宋体" w:cs="宋体"/>
          <w:sz w:val="24"/>
          <w:szCs w:val="20"/>
        </w:rPr>
      </w:pPr>
      <w:r>
        <w:rPr>
          <w:rFonts w:hint="eastAsia" w:ascii="宋体" w:hAnsi="宋体" w:cs="宋体"/>
          <w:sz w:val="24"/>
          <w:szCs w:val="20"/>
        </w:rPr>
        <w:t xml:space="preserve">9.</w:t>
      </w:r>
      <w:r>
        <w:rPr>
          <w:rFonts w:ascii="宋体" w:hAnsi="宋体" w:cs="宋体"/>
          <w:sz w:val="24"/>
          <w:szCs w:val="20"/>
        </w:rPr>
        <w:t xml:space="preserve">如果我方中标，我方愿意按招标文件的规定支付中标服务费及履约保证金。</w:t>
      </w:r>
      <w:r/>
    </w:p>
    <w:p>
      <w:pPr>
        <w:spacing w:line="360" w:lineRule="exact"/>
        <w:rPr>
          <w:rFonts w:ascii="宋体" w:hAnsi="宋体" w:cs="宋体"/>
          <w:sz w:val="24"/>
          <w:szCs w:val="20"/>
        </w:rPr>
      </w:pPr>
      <w:r>
        <w:rPr>
          <w:rFonts w:hint="eastAsia" w:ascii="宋体" w:hAnsi="宋体" w:cs="宋体"/>
          <w:sz w:val="24"/>
          <w:szCs w:val="20"/>
        </w:rPr>
        <w:t xml:space="preserve">10.</w:t>
      </w:r>
      <w:r>
        <w:rPr>
          <w:rFonts w:ascii="宋体" w:hAnsi="宋体" w:cs="宋体"/>
          <w:sz w:val="24"/>
          <w:szCs w:val="20"/>
        </w:rPr>
        <w:t xml:space="preserve">我们承诺我公司符合招标文件投标人须知中“合格投标人的一般条件、特殊条件”的要求，若与真实情况不符，本公司愿意承担由此而产生的一切后果。</w:t>
      </w:r>
      <w:r/>
    </w:p>
    <w:p>
      <w:pPr>
        <w:spacing w:line="360" w:lineRule="exact"/>
        <w:rPr>
          <w:rFonts w:ascii="宋体" w:hAnsi="宋体" w:cs="宋体"/>
          <w:sz w:val="24"/>
          <w:szCs w:val="20"/>
        </w:rPr>
      </w:pPr>
      <w:r>
        <w:rPr>
          <w:rFonts w:hint="eastAsia" w:ascii="宋体" w:hAnsi="宋体" w:cs="宋体"/>
          <w:sz w:val="24"/>
          <w:szCs w:val="20"/>
        </w:rPr>
        <w:t xml:space="preserve">11.</w:t>
      </w:r>
      <w:r>
        <w:rPr>
          <w:rFonts w:ascii="宋体" w:hAnsi="宋体" w:cs="宋体"/>
          <w:sz w:val="24"/>
          <w:szCs w:val="20"/>
        </w:rPr>
        <w:t xml:space="preserve">综合说明：</w:t>
      </w:r>
      <w:r/>
    </w:p>
    <w:p>
      <w:pPr>
        <w:ind w:firstLine="420"/>
        <w:spacing w:line="360" w:lineRule="exact"/>
        <w:rPr>
          <w:rFonts w:ascii="宋体" w:hAnsi="宋体" w:cs="宋体"/>
          <w:sz w:val="24"/>
          <w:szCs w:val="20"/>
        </w:rPr>
      </w:pPr>
      <w:r>
        <w:rPr>
          <w:rFonts w:ascii="宋体" w:hAnsi="宋体" w:cs="宋体"/>
          <w:sz w:val="24"/>
          <w:szCs w:val="20"/>
        </w:rPr>
        <w:t xml:space="preserve">（1）伴随服务及配合措施；</w:t>
      </w:r>
      <w:r/>
    </w:p>
    <w:p>
      <w:pPr>
        <w:ind w:firstLine="420"/>
        <w:spacing w:line="360" w:lineRule="exact"/>
        <w:rPr>
          <w:rFonts w:ascii="宋体" w:hAnsi="宋体" w:cs="宋体"/>
          <w:sz w:val="24"/>
          <w:szCs w:val="20"/>
        </w:rPr>
      </w:pPr>
      <w:r>
        <w:rPr>
          <w:rFonts w:ascii="宋体" w:hAnsi="宋体" w:cs="宋体"/>
          <w:sz w:val="24"/>
          <w:szCs w:val="20"/>
        </w:rPr>
        <w:t xml:space="preserve">（2）要求甲方提供的配合；</w:t>
      </w:r>
      <w:r/>
    </w:p>
    <w:p>
      <w:pPr>
        <w:ind w:firstLine="420"/>
        <w:spacing w:line="360" w:lineRule="exact"/>
        <w:rPr>
          <w:rFonts w:ascii="宋体" w:hAnsi="宋体" w:cs="宋体"/>
          <w:sz w:val="24"/>
          <w:szCs w:val="20"/>
        </w:rPr>
      </w:pPr>
      <w:r>
        <w:rPr>
          <w:rFonts w:ascii="宋体" w:hAnsi="宋体" w:cs="宋体"/>
          <w:sz w:val="24"/>
          <w:szCs w:val="20"/>
        </w:rPr>
        <w:t xml:space="preserve">（3）对招标文件有不同意见的偏离说明；</w:t>
      </w:r>
      <w:r/>
    </w:p>
    <w:p>
      <w:pPr>
        <w:ind w:firstLine="420"/>
        <w:spacing w:line="360" w:lineRule="exact"/>
        <w:rPr>
          <w:rFonts w:ascii="宋体" w:hAnsi="宋体" w:cs="宋体"/>
          <w:sz w:val="24"/>
          <w:szCs w:val="20"/>
        </w:rPr>
      </w:pPr>
      <w:r>
        <w:rPr>
          <w:rFonts w:ascii="宋体" w:hAnsi="宋体" w:cs="宋体"/>
          <w:sz w:val="24"/>
          <w:szCs w:val="20"/>
        </w:rPr>
        <w:t xml:space="preserve">（4）其它说明。</w:t>
      </w:r>
      <w:r/>
    </w:p>
    <w:p>
      <w:pPr>
        <w:spacing w:line="360" w:lineRule="exact"/>
        <w:rPr>
          <w:rFonts w:ascii="宋体" w:hAnsi="宋体" w:cs="宋体"/>
          <w:sz w:val="24"/>
        </w:rPr>
      </w:pPr>
      <w:r>
        <w:rPr>
          <w:rFonts w:ascii="宋体" w:hAnsi="宋体" w:cs="宋体"/>
          <w:sz w:val="24"/>
        </w:rPr>
        <w:t xml:space="preserve">    所有有关标书的函电，请按下列地址联系：</w:t>
      </w:r>
      <w:r/>
    </w:p>
    <w:p>
      <w:pPr>
        <w:spacing w:line="36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t xml:space="preserve">单位：                    </w:t>
      </w:r>
      <w:r/>
    </w:p>
    <w:p>
      <w:pPr>
        <w:spacing w:line="360" w:lineRule="auto"/>
        <w:rPr>
          <w:rFonts w:ascii="宋体" w:hAnsi="宋体" w:cs="宋体"/>
          <w:sz w:val="24"/>
        </w:rPr>
      </w:pPr>
      <w:r>
        <w:rPr>
          <w:rFonts w:ascii="宋体" w:hAnsi="宋体" w:cs="宋体"/>
          <w:sz w:val="24"/>
        </w:rPr>
        <w:t xml:space="preserve">投标人：（单位盖章）</w:t>
      </w:r>
      <w:r/>
    </w:p>
    <w:p>
      <w:pPr>
        <w:spacing w:line="360" w:lineRule="auto"/>
        <w:rPr>
          <w:rFonts w:ascii="宋体" w:hAnsi="宋体" w:cs="宋体"/>
          <w:sz w:val="24"/>
        </w:rPr>
      </w:pPr>
      <w:r>
        <w:rPr>
          <w:rFonts w:ascii="宋体" w:hAnsi="宋体" w:cs="宋体"/>
          <w:sz w:val="24"/>
        </w:rPr>
        <w:t xml:space="preserve">联系人：                           </w:t>
      </w:r>
      <w:r/>
    </w:p>
    <w:p>
      <w:pPr>
        <w:spacing w:line="360" w:lineRule="auto"/>
        <w:rPr>
          <w:rFonts w:ascii="宋体" w:hAnsi="宋体" w:cs="宋体"/>
          <w:sz w:val="24"/>
        </w:rPr>
      </w:pPr>
      <w:r>
        <w:rPr>
          <w:rFonts w:ascii="宋体" w:hAnsi="宋体" w:cs="宋体"/>
          <w:sz w:val="24"/>
        </w:rPr>
        <w:t xml:space="preserve">法定代表人（负责人）或代理人：（签字或盖章）   </w:t>
      </w:r>
      <w:r/>
    </w:p>
    <w:p>
      <w:pPr>
        <w:spacing w:line="360" w:lineRule="auto"/>
        <w:rPr>
          <w:rFonts w:ascii="宋体" w:hAnsi="宋体" w:cs="宋体"/>
          <w:sz w:val="24"/>
        </w:rPr>
      </w:pPr>
      <w:r>
        <w:rPr>
          <w:rFonts w:ascii="宋体" w:hAnsi="宋体" w:cs="宋体"/>
          <w:sz w:val="24"/>
        </w:rPr>
        <w:t xml:space="preserve">邮政编码：                              年      月     日</w:t>
      </w:r>
      <w:r/>
    </w:p>
    <w:p>
      <w:pPr>
        <w:spacing w:line="360" w:lineRule="auto"/>
        <w:rPr>
          <w:rFonts w:ascii="宋体" w:hAnsi="宋体" w:cs="宋体"/>
          <w:sz w:val="24"/>
        </w:rPr>
      </w:pPr>
      <w:r>
        <w:rPr>
          <w:rFonts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邮箱</w:t>
      </w:r>
      <w:r>
        <w:rPr>
          <w:rFonts w:ascii="宋体" w:hAnsi="宋体" w:cs="宋体"/>
          <w:sz w:val="24"/>
        </w:rPr>
        <w:t xml:space="preserve">：</w:t>
      </w:r>
      <w:r/>
    </w:p>
    <w:p>
      <w:pPr>
        <w:ind w:firstLine="4620"/>
        <w:spacing w:line="380" w:lineRule="exact"/>
        <w:rPr>
          <w:rFonts w:ascii="宋体" w:hAnsi="宋体" w:cs="宋体"/>
          <w:sz w:val="24"/>
        </w:rPr>
      </w:pPr>
      <w:r>
        <w:rPr>
          <w:rFonts w:ascii="宋体" w:hAnsi="宋体" w:cs="宋体"/>
          <w:sz w:val="24"/>
        </w:rPr>
      </w:r>
      <w:r/>
    </w:p>
    <w:p>
      <w:pPr>
        <w:ind w:firstLine="4620"/>
        <w:spacing w:line="380" w:lineRule="exact"/>
        <w:rPr>
          <w:rFonts w:ascii="宋体" w:hAnsi="宋体" w:cs="宋体"/>
          <w:sz w:val="24"/>
        </w:rPr>
      </w:pPr>
      <w:r>
        <w:rPr>
          <w:rFonts w:ascii="宋体" w:hAnsi="宋体" w:cs="宋体"/>
          <w:sz w:val="24"/>
        </w:rPr>
      </w:r>
      <w:r/>
    </w:p>
    <w:p>
      <w:pPr>
        <w:ind w:firstLine="4620"/>
        <w:spacing w:line="380" w:lineRule="exact"/>
        <w:rPr>
          <w:rFonts w:ascii="宋体" w:hAnsi="宋体" w:cs="宋体"/>
          <w:sz w:val="24"/>
        </w:rPr>
      </w:pPr>
      <w:r>
        <w:rPr>
          <w:rFonts w:ascii="宋体" w:hAnsi="宋体" w:cs="宋体"/>
          <w:sz w:val="24"/>
        </w:rPr>
      </w:r>
      <w:r/>
    </w:p>
    <w:p>
      <w:pPr>
        <w:ind w:firstLine="4620"/>
        <w:spacing w:line="380" w:lineRule="exact"/>
        <w:rPr>
          <w:rFonts w:ascii="宋体" w:hAnsi="宋体" w:cs="宋体"/>
          <w:sz w:val="24"/>
        </w:rPr>
      </w:pPr>
      <w:r>
        <w:rPr>
          <w:rFonts w:ascii="宋体" w:hAnsi="宋体" w:cs="宋体"/>
          <w:sz w:val="24"/>
        </w:rPr>
      </w:r>
      <w:r/>
    </w:p>
    <w:p>
      <w:pPr>
        <w:ind w:firstLine="4620"/>
        <w:spacing w:line="380" w:lineRule="exact"/>
        <w:rPr>
          <w:rFonts w:ascii="宋体" w:hAnsi="宋体" w:cs="宋体"/>
          <w:sz w:val="24"/>
        </w:rP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3、投标报价表</w:t>
      </w:r>
      <w:r/>
    </w:p>
    <w:p>
      <w:pPr>
        <w:jc w:val="center"/>
        <w:rPr>
          <w:rFonts w:ascii="宋体" w:hAnsi="宋体"/>
          <w:b/>
          <w:sz w:val="24"/>
          <w:szCs w:val="20"/>
        </w:rPr>
      </w:pPr>
      <w:r>
        <w:rPr>
          <w:rFonts w:ascii="宋体" w:hAnsi="宋体" w:cs="宋体"/>
          <w:b/>
          <w:sz w:val="24"/>
        </w:rPr>
        <w:t xml:space="preserve">（</w:t>
      </w:r>
      <w:r>
        <w:rPr>
          <w:rFonts w:hint="eastAsia" w:ascii="宋体" w:hAnsi="宋体" w:cs="宋体"/>
          <w:b/>
          <w:sz w:val="24"/>
        </w:rPr>
        <w:t xml:space="preserve">1</w:t>
      </w:r>
      <w:r>
        <w:rPr>
          <w:rFonts w:ascii="宋体" w:hAnsi="宋体" w:cs="宋体"/>
          <w:b/>
          <w:sz w:val="24"/>
        </w:rPr>
        <w:t xml:space="preserve">）</w:t>
      </w:r>
      <w:r>
        <w:rPr>
          <w:rFonts w:hint="eastAsia" w:ascii="宋体" w:hAnsi="宋体"/>
          <w:b/>
          <w:sz w:val="24"/>
          <w:szCs w:val="20"/>
        </w:rPr>
        <w:t xml:space="preserve">开标一览表</w:t>
      </w:r>
      <w:r/>
    </w:p>
    <w:p>
      <w:r/>
      <w:r/>
    </w:p>
    <w:p>
      <w:pPr>
        <w:ind w:firstLine="480"/>
        <w:spacing w:line="440" w:lineRule="exact"/>
        <w:rPr>
          <w:rFonts w:ascii="宋体" w:hAnsi="宋体"/>
          <w:sz w:val="24"/>
          <w:lang w:val="zh-CN"/>
        </w:rPr>
      </w:pPr>
      <w:r>
        <w:rPr>
          <w:rFonts w:hint="eastAsia" w:ascii="宋体" w:hAnsi="宋体"/>
          <w:sz w:val="24"/>
          <w:lang w:val="zh-CN"/>
        </w:rPr>
        <w:t xml:space="preserve">投标人全称（加盖公章）：</w:t>
      </w:r>
      <w:bookmarkStart w:id="51" w:name="TBR"/>
      <w:r/>
      <w:bookmarkEnd w:id="51"/>
      <w:r/>
      <w:r/>
    </w:p>
    <w:p>
      <w:pPr>
        <w:ind w:firstLine="480"/>
        <w:spacing w:line="440" w:lineRule="exact"/>
        <w:rPr>
          <w:rFonts w:ascii="宋体" w:hAnsi="宋体"/>
          <w:sz w:val="24"/>
          <w:lang w:val="zh-CN"/>
        </w:rPr>
      </w:pPr>
      <w:r/>
      <w:bookmarkStart w:id="52" w:name="OLE_LINK207"/>
      <w:r>
        <w:rPr>
          <w:rFonts w:hint="eastAsia" w:ascii="宋体" w:hAnsi="宋体"/>
          <w:sz w:val="24"/>
          <w:lang w:val="zh-CN"/>
        </w:rPr>
        <w:t xml:space="preserve">项目编号：  </w:t>
      </w:r>
      <w:bookmarkStart w:id="53" w:name="XMBH"/>
      <w:r/>
      <w:bookmarkEnd w:id="53"/>
      <w:r/>
      <w:bookmarkStart w:id="54" w:name="FBH"/>
      <w:r/>
      <w:bookmarkEnd w:id="54"/>
      <w:r/>
      <w:bookmarkEnd w:id="52"/>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6695"/>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 w:val="24"/>
              </w:rPr>
            </w:pPr>
            <w:r>
              <w:rPr>
                <w:rFonts w:hint="eastAsia" w:ascii="宋体" w:hAnsi="宋体"/>
                <w:sz w:val="24"/>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 w:val="24"/>
              </w:rPr>
            </w:pPr>
            <w:r>
              <w:rPr>
                <w:rFonts w:hint="eastAsia" w:ascii="宋体" w:hAnsi="宋体"/>
                <w:sz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 w:val="24"/>
              </w:rPr>
            </w:pPr>
            <w:r>
              <w:rPr>
                <w:rFonts w:hint="eastAsia" w:ascii="宋体" w:hAnsi="宋体"/>
                <w:sz w:val="24"/>
              </w:rPr>
              <w:t xml:space="preserve">小写：</w:t>
            </w:r>
            <w:bookmarkStart w:id="56" w:name="JEXX"/>
            <w:r/>
            <w:bookmarkEnd w:id="56"/>
            <w:r>
              <w:rPr>
                <w:rFonts w:hint="eastAsia" w:ascii="宋体" w:hAnsi="宋体"/>
                <w:sz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 w:val="24"/>
              </w:rPr>
            </w:pPr>
            <w:r>
              <w:rPr>
                <w:rFonts w:hint="eastAsia" w:ascii="宋体" w:hAnsi="宋体"/>
                <w:sz w:val="24"/>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 w:val="24"/>
              </w:rPr>
            </w:pPr>
            <w:r/>
            <w:bookmarkStart w:id="57" w:name="JEDX"/>
            <w:r/>
            <w:bookmarkEnd w:id="57"/>
            <w:r/>
            <w:r/>
          </w:p>
        </w:tc>
      </w:tr>
    </w:tbl>
    <w:p>
      <w:pPr>
        <w:jc w:val="left"/>
        <w:spacing w:line="360" w:lineRule="auto"/>
        <w:rPr>
          <w:rFonts w:ascii="宋体" w:hAnsi="宋体"/>
          <w:sz w:val="24"/>
        </w:rPr>
      </w:pPr>
      <w:r>
        <w:rPr>
          <w:rFonts w:hint="eastAsia" w:ascii="宋体" w:hAnsi="宋体"/>
          <w:sz w:val="24"/>
        </w:rPr>
        <w:t xml:space="preserve">                                                    日期：   </w:t>
      </w:r>
      <w:bookmarkStart w:id="58" w:name="NF"/>
      <w:r/>
      <w:bookmarkEnd w:id="58"/>
      <w:r>
        <w:rPr>
          <w:rFonts w:hint="eastAsia" w:ascii="宋体" w:hAnsi="宋体"/>
          <w:sz w:val="24"/>
        </w:rPr>
        <w:t xml:space="preserve"> 年 </w:t>
      </w:r>
      <w:bookmarkStart w:id="59" w:name="YF"/>
      <w:r/>
      <w:bookmarkEnd w:id="59"/>
      <w:r>
        <w:rPr>
          <w:rFonts w:hint="eastAsia" w:ascii="宋体" w:hAnsi="宋体"/>
          <w:sz w:val="24"/>
        </w:rPr>
        <w:t xml:space="preserve">  月 </w:t>
      </w:r>
      <w:bookmarkStart w:id="60" w:name="RI"/>
      <w:r/>
      <w:bookmarkEnd w:id="60"/>
      <w:r>
        <w:rPr>
          <w:rFonts w:hint="eastAsia" w:ascii="宋体" w:hAnsi="宋体"/>
          <w:sz w:val="24"/>
        </w:rPr>
        <w:t xml:space="preserve">  日</w:t>
      </w:r>
      <w:r/>
    </w:p>
    <w:p>
      <w:pPr>
        <w:ind w:firstLine="480"/>
        <w:spacing w:line="440" w:lineRule="exact"/>
        <w:rPr>
          <w:rFonts w:ascii="宋体" w:hAnsi="宋体"/>
          <w:sz w:val="24"/>
          <w:lang w:val="zh-CN"/>
        </w:rPr>
      </w:pPr>
      <w:r>
        <w:rPr>
          <w:rFonts w:hint="eastAsia" w:ascii="宋体" w:hAnsi="宋体"/>
          <w:sz w:val="24"/>
          <w:lang w:val="zh-CN"/>
        </w:rPr>
        <w:t xml:space="preserve">填写说明：</w:t>
      </w:r>
      <w:r/>
    </w:p>
    <w:p>
      <w:pPr>
        <w:ind w:firstLine="480"/>
        <w:spacing w:line="440" w:lineRule="exact"/>
        <w:rPr>
          <w:rFonts w:ascii="宋体" w:hAnsi="宋体"/>
          <w:sz w:val="24"/>
          <w:lang w:val="zh-CN"/>
        </w:rPr>
      </w:pPr>
      <w:r>
        <w:rPr>
          <w:rFonts w:hint="eastAsia" w:ascii="宋体" w:hAnsi="宋体"/>
          <w:sz w:val="24"/>
          <w:lang w:val="zh-CN"/>
        </w:rPr>
        <w:t xml:space="preserve">1、开标一览表必须加盖投标人公章（复印件无效）。</w:t>
      </w:r>
      <w:r/>
    </w:p>
    <w:p>
      <w:pPr>
        <w:ind w:firstLine="480"/>
        <w:spacing w:line="440" w:lineRule="exact"/>
        <w:rPr>
          <w:rFonts w:ascii="宋体" w:hAnsi="宋体"/>
          <w:sz w:val="24"/>
          <w:lang w:val="zh-CN"/>
        </w:rPr>
      </w:pPr>
      <w:r>
        <w:rPr>
          <w:rFonts w:hint="eastAsia" w:ascii="宋体" w:hAnsi="宋体"/>
          <w:sz w:val="24"/>
          <w:lang w:val="zh-CN"/>
        </w:rPr>
        <w:t xml:space="preserve">2、如有分包，投标人投任何一个包的标的，都需单独填写开标一览表。</w:t>
      </w:r>
      <w:r/>
    </w:p>
    <w:p>
      <w:pPr>
        <w:ind w:firstLine="480"/>
        <w:spacing w:line="440" w:lineRule="exact"/>
        <w:rPr>
          <w:rFonts w:ascii="宋体" w:hAnsi="宋体"/>
          <w:sz w:val="24"/>
          <w:lang w:val="zh-CN"/>
        </w:rPr>
      </w:pPr>
      <w:r>
        <w:rPr>
          <w:rFonts w:hint="eastAsia" w:ascii="宋体" w:hAnsi="宋体"/>
          <w:sz w:val="24"/>
          <w:lang w:val="zh-CN"/>
        </w:rPr>
        <w:t xml:space="preserve">3、以上《开标一览表》为参考格式，具体以苏采云系统格式为准。</w:t>
      </w:r>
      <w:r/>
    </w:p>
    <w:p>
      <w:pPr>
        <w:spacing w:line="360" w:lineRule="auto"/>
        <w:rPr>
          <w:rFonts w:ascii="Cambria" w:hAnsi="Cambria"/>
          <w:b/>
          <w:bCs/>
          <w:sz w:val="32"/>
          <w:szCs w:val="32"/>
        </w:rPr>
      </w:pPr>
      <w:r>
        <w:rPr>
          <w:rFonts w:hint="eastAsia" w:ascii="宋体" w:hAnsi="宋体" w:cs="宋体"/>
          <w:b/>
          <w:sz w:val="24"/>
        </w:rPr>
        <w:br w:type="page" w:clear="all"/>
      </w:r>
      <w:r/>
    </w:p>
    <w:p>
      <w:pPr>
        <w:jc w:val="center"/>
        <w:rPr>
          <w:rFonts w:ascii="宋体" w:hAnsi="宋体" w:cs="宋体"/>
          <w:b/>
          <w:sz w:val="24"/>
        </w:rPr>
      </w:pPr>
      <w:r>
        <w:rPr>
          <w:rFonts w:hint="eastAsia" w:ascii="宋体" w:hAnsi="宋体" w:cs="宋体"/>
          <w:b/>
          <w:sz w:val="24"/>
        </w:rPr>
        <w:t xml:space="preserve">（2）投标分项</w:t>
      </w:r>
      <w:r>
        <w:rPr>
          <w:rFonts w:ascii="宋体" w:hAnsi="宋体" w:cs="宋体"/>
          <w:b/>
          <w:sz w:val="24"/>
        </w:rPr>
        <w:t xml:space="preserve">报价</w:t>
      </w:r>
      <w:r>
        <w:rPr>
          <w:rFonts w:hint="eastAsia" w:ascii="宋体" w:hAnsi="宋体" w:cs="宋体"/>
          <w:b/>
          <w:sz w:val="24"/>
        </w:rPr>
        <w:t xml:space="preserve">明细表</w:t>
      </w:r>
      <w:r/>
    </w:p>
    <w:p>
      <w:pPr>
        <w:ind w:firstLine="480"/>
        <w:spacing w:line="440" w:lineRule="exact"/>
        <w:rPr>
          <w:rFonts w:ascii="宋体" w:hAnsi="宋体"/>
          <w:sz w:val="24"/>
          <w:lang w:val="zh-CN"/>
        </w:rPr>
      </w:pPr>
      <w:r>
        <w:rPr>
          <w:rFonts w:hint="eastAsia" w:ascii="宋体" w:hAnsi="宋体"/>
          <w:sz w:val="24"/>
          <w:lang w:val="zh-CN"/>
        </w:rPr>
        <w:t xml:space="preserve">项目编号：  </w:t>
      </w:r>
      <w:r/>
    </w:p>
    <w:p>
      <w:pPr>
        <w:ind w:firstLine="480"/>
        <w:rPr>
          <w:rFonts w:ascii="宋体" w:hAnsi="宋体"/>
          <w:sz w:val="24"/>
          <w:szCs w:val="20"/>
        </w:rPr>
      </w:pPr>
      <w:r>
        <w:rPr>
          <w:rFonts w:ascii="宋体" w:hAnsi="宋体"/>
          <w:sz w:val="24"/>
          <w:szCs w:val="20"/>
        </w:rPr>
        <w:t xml:space="preserve">项目名称：</w:t>
      </w:r>
      <w:r/>
    </w:p>
    <w:tbl>
      <w:tblPr>
        <w:tblStyle w:val="72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606"/>
        <w:gridCol w:w="1620"/>
        <w:gridCol w:w="1310"/>
        <w:gridCol w:w="850"/>
        <w:gridCol w:w="1276"/>
        <w:gridCol w:w="836"/>
      </w:tblGrid>
      <w:tr>
        <w:trPr>
          <w:jc w:val="center"/>
        </w:trPr>
        <w:tc>
          <w:tcPr>
            <w:tcBorders>
              <w:top w:val="single" w:color="auto" w:sz="4"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t xml:space="preserve">序号</w:t>
            </w:r>
            <w:r/>
          </w:p>
        </w:tc>
        <w:tc>
          <w:tcPr>
            <w:tcBorders>
              <w:top w:val="single" w:color="auto" w:sz="4" w:space="0"/>
              <w:left w:val="single" w:color="auto" w:sz="6" w:space="0"/>
              <w:bottom w:val="single" w:color="auto" w:sz="6" w:space="0"/>
              <w:right w:val="single" w:color="auto" w:sz="6" w:space="0"/>
            </w:tcBorders>
            <w:tcW w:w="1606" w:type="dxa"/>
            <w:vAlign w:val="center"/>
            <w:textDirection w:val="lrTb"/>
            <w:noWrap w:val="false"/>
          </w:tcPr>
          <w:p>
            <w:pPr>
              <w:jc w:val="center"/>
              <w:rPr>
                <w:rFonts w:ascii="宋体" w:hAnsi="宋体"/>
                <w:sz w:val="24"/>
                <w:szCs w:val="20"/>
              </w:rPr>
            </w:pPr>
            <w:r>
              <w:rPr>
                <w:rFonts w:ascii="宋体" w:hAnsi="宋体"/>
                <w:sz w:val="24"/>
                <w:szCs w:val="20"/>
              </w:rPr>
              <w:t xml:space="preserve">名称</w:t>
            </w:r>
            <w:r/>
          </w:p>
        </w:tc>
        <w:tc>
          <w:tcPr>
            <w:tcBorders>
              <w:top w:val="single" w:color="auto" w:sz="4" w:space="0"/>
              <w:left w:val="single" w:color="auto" w:sz="6" w:space="0"/>
              <w:bottom w:val="single" w:color="auto" w:sz="4" w:space="0"/>
              <w:right w:val="single" w:color="auto" w:sz="6" w:space="0"/>
            </w:tcBorders>
            <w:tcW w:w="1620" w:type="dxa"/>
            <w:vAlign w:val="center"/>
            <w:textDirection w:val="lrTb"/>
            <w:noWrap w:val="false"/>
          </w:tcPr>
          <w:p>
            <w:pPr>
              <w:jc w:val="center"/>
              <w:rPr>
                <w:rFonts w:ascii="宋体" w:hAnsi="宋体"/>
                <w:sz w:val="24"/>
                <w:szCs w:val="20"/>
              </w:rPr>
            </w:pPr>
            <w:r>
              <w:rPr>
                <w:rFonts w:hint="eastAsia" w:ascii="宋体" w:hAnsi="宋体"/>
                <w:sz w:val="24"/>
                <w:szCs w:val="20"/>
              </w:rPr>
              <w:t xml:space="preserve">品牌型号</w:t>
            </w:r>
            <w:r/>
          </w:p>
        </w:tc>
        <w:tc>
          <w:tcPr>
            <w:tcBorders>
              <w:top w:val="single" w:color="auto" w:sz="4" w:space="0"/>
              <w:left w:val="single" w:color="auto" w:sz="6" w:space="0"/>
              <w:bottom w:val="single" w:color="auto" w:sz="6" w:space="0"/>
              <w:right w:val="single" w:color="auto" w:sz="6" w:space="0"/>
            </w:tcBorders>
            <w:tcW w:w="1310" w:type="dxa"/>
            <w:vAlign w:val="center"/>
            <w:textDirection w:val="lrTb"/>
            <w:noWrap w:val="false"/>
          </w:tcPr>
          <w:p>
            <w:pPr>
              <w:jc w:val="center"/>
              <w:rPr>
                <w:rFonts w:ascii="宋体" w:hAnsi="宋体"/>
                <w:sz w:val="24"/>
                <w:szCs w:val="20"/>
              </w:rPr>
            </w:pPr>
            <w:r>
              <w:rPr>
                <w:rFonts w:ascii="宋体" w:hAnsi="宋体"/>
                <w:sz w:val="24"/>
                <w:szCs w:val="20"/>
              </w:rPr>
              <w:t xml:space="preserve">单价</w:t>
            </w:r>
            <w:r/>
          </w:p>
        </w:tc>
        <w:tc>
          <w:tcPr>
            <w:tcBorders>
              <w:top w:val="single" w:color="auto" w:sz="4" w:space="0"/>
              <w:left w:val="single" w:color="auto" w:sz="6" w:space="0"/>
              <w:bottom w:val="single" w:color="auto" w:sz="6" w:space="0"/>
              <w:right w:val="single" w:color="auto" w:sz="6" w:space="0"/>
            </w:tcBorders>
            <w:tcW w:w="850" w:type="dxa"/>
            <w:vAlign w:val="center"/>
            <w:textDirection w:val="lrTb"/>
            <w:noWrap w:val="false"/>
          </w:tcPr>
          <w:p>
            <w:pPr>
              <w:jc w:val="center"/>
              <w:rPr>
                <w:rFonts w:ascii="宋体" w:hAnsi="宋体"/>
                <w:sz w:val="24"/>
                <w:szCs w:val="20"/>
              </w:rPr>
            </w:pPr>
            <w:r>
              <w:rPr>
                <w:rFonts w:ascii="宋体" w:hAnsi="宋体"/>
                <w:sz w:val="24"/>
                <w:szCs w:val="20"/>
              </w:rPr>
              <w:t xml:space="preserve">数量</w:t>
            </w:r>
            <w:r/>
          </w:p>
        </w:tc>
        <w:tc>
          <w:tcPr>
            <w:tcBorders>
              <w:top w:val="single" w:color="auto" w:sz="4" w:space="0"/>
              <w:left w:val="single" w:color="auto" w:sz="6" w:space="0"/>
              <w:bottom w:val="single" w:color="auto" w:sz="6" w:space="0"/>
              <w:right w:val="single" w:color="auto" w:sz="4" w:space="0"/>
            </w:tcBorders>
            <w:tcW w:w="1276" w:type="dxa"/>
            <w:vAlign w:val="center"/>
            <w:textDirection w:val="lrTb"/>
            <w:noWrap w:val="false"/>
          </w:tcPr>
          <w:p>
            <w:pPr>
              <w:jc w:val="center"/>
              <w:rPr>
                <w:rFonts w:ascii="宋体" w:hAnsi="宋体"/>
                <w:sz w:val="24"/>
                <w:szCs w:val="20"/>
              </w:rPr>
            </w:pPr>
            <w:r>
              <w:rPr>
                <w:rFonts w:ascii="宋体" w:hAnsi="宋体"/>
                <w:sz w:val="24"/>
                <w:szCs w:val="20"/>
              </w:rPr>
              <w:t xml:space="preserve">总价 </w:t>
            </w:r>
            <w:r/>
          </w:p>
        </w:tc>
        <w:tc>
          <w:tcPr>
            <w:tcBorders>
              <w:top w:val="single" w:color="auto" w:sz="4" w:space="0"/>
              <w:left w:val="single" w:color="auto" w:sz="6" w:space="0"/>
              <w:bottom w:val="single" w:color="auto" w:sz="6" w:space="0"/>
              <w:right w:val="single" w:color="auto" w:sz="4" w:space="0"/>
            </w:tcBorders>
            <w:tcW w:w="836" w:type="dxa"/>
            <w:vAlign w:val="center"/>
            <w:textDirection w:val="lrTb"/>
            <w:noWrap w:val="false"/>
          </w:tcPr>
          <w:p>
            <w:pPr>
              <w:jc w:val="center"/>
              <w:rPr>
                <w:rFonts w:ascii="宋体" w:hAnsi="宋体"/>
                <w:sz w:val="24"/>
                <w:szCs w:val="20"/>
              </w:rPr>
            </w:pPr>
            <w:r>
              <w:rPr>
                <w:rFonts w:ascii="宋体" w:hAnsi="宋体"/>
                <w:sz w:val="24"/>
                <w:szCs w:val="20"/>
              </w:rPr>
              <w:t xml:space="preserve">备注</w:t>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t xml:space="preserve">1</w:t>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t xml:space="preserve">2</w:t>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t xml:space="preserve">3</w:t>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t xml:space="preserve">…</w:t>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t xml:space="preserve">…</w:t>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6"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6"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6" w:space="0"/>
              <w:left w:val="single" w:color="auto" w:sz="4" w:space="0"/>
              <w:bottom w:val="single" w:color="auto" w:sz="4" w:space="0"/>
              <w:right w:val="single" w:color="auto" w:sz="6" w:space="0"/>
            </w:tcBorders>
            <w:tcW w:w="894"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6" w:space="0"/>
            </w:tcBorders>
            <w:tcW w:w="160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6" w:space="0"/>
            </w:tcBorders>
            <w:tcW w:w="162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6" w:space="0"/>
            </w:tcBorders>
            <w:tcW w:w="131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6" w:space="0"/>
            </w:tcBorders>
            <w:tcW w:w="850"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4" w:space="0"/>
            </w:tcBorders>
            <w:tcW w:w="1276" w:type="dxa"/>
            <w:textDirection w:val="lrTb"/>
            <w:noWrap w:val="false"/>
          </w:tcPr>
          <w:p>
            <w:pPr>
              <w:jc w:val="center"/>
              <w:rPr>
                <w:rFonts w:ascii="宋体" w:hAnsi="宋体"/>
                <w:sz w:val="24"/>
                <w:szCs w:val="20"/>
              </w:rPr>
            </w:pPr>
            <w:r>
              <w:rPr>
                <w:rFonts w:ascii="宋体" w:hAnsi="宋体"/>
                <w:sz w:val="24"/>
                <w:szCs w:val="20"/>
              </w:rPr>
            </w:r>
            <w:r/>
          </w:p>
        </w:tc>
        <w:tc>
          <w:tcPr>
            <w:tcBorders>
              <w:top w:val="single" w:color="auto" w:sz="6" w:space="0"/>
              <w:left w:val="single" w:color="auto" w:sz="6" w:space="0"/>
              <w:bottom w:val="single" w:color="auto" w:sz="4" w:space="0"/>
              <w:right w:val="single" w:color="auto" w:sz="4" w:space="0"/>
            </w:tcBorders>
            <w:tcW w:w="836" w:type="dxa"/>
            <w:textDirection w:val="lrTb"/>
            <w:noWrap w:val="false"/>
          </w:tcPr>
          <w:p>
            <w:pPr>
              <w:jc w:val="center"/>
              <w:rPr>
                <w:rFonts w:ascii="宋体" w:hAnsi="宋体"/>
                <w:sz w:val="24"/>
                <w:szCs w:val="20"/>
              </w:rPr>
            </w:pPr>
            <w:r>
              <w:rPr>
                <w:rFonts w:ascii="宋体" w:hAnsi="宋体"/>
                <w:sz w:val="24"/>
                <w:szCs w:val="20"/>
              </w:rPr>
            </w:r>
            <w:r/>
          </w:p>
        </w:tc>
      </w:tr>
      <w:tr>
        <w:trPr>
          <w:jc w:val="center"/>
        </w:trPr>
        <w:tc>
          <w:tcPr>
            <w:tcBorders>
              <w:top w:val="single" w:color="auto" w:sz="4" w:space="0"/>
              <w:left w:val="single" w:color="auto" w:sz="6" w:space="0"/>
              <w:bottom w:val="single" w:color="auto" w:sz="4" w:space="0"/>
              <w:right w:val="single" w:color="auto" w:sz="6" w:space="0"/>
            </w:tcBorders>
            <w:tcW w:w="894" w:type="dxa"/>
            <w:textDirection w:val="lrTb"/>
            <w:noWrap w:val="false"/>
          </w:tcPr>
          <w:p>
            <w:pPr>
              <w:jc w:val="left"/>
              <w:rPr>
                <w:rFonts w:ascii="宋体" w:hAnsi="宋体"/>
                <w:sz w:val="24"/>
                <w:szCs w:val="20"/>
              </w:rPr>
            </w:pPr>
            <w:r>
              <w:rPr>
                <w:rFonts w:ascii="宋体" w:hAnsi="宋体"/>
                <w:sz w:val="24"/>
                <w:szCs w:val="20"/>
              </w:rPr>
              <w:t xml:space="preserve">总报价</w:t>
            </w:r>
            <w:r/>
          </w:p>
        </w:tc>
        <w:tc>
          <w:tcPr>
            <w:gridSpan w:val="6"/>
            <w:tcBorders>
              <w:top w:val="single" w:color="auto" w:sz="4" w:space="0"/>
              <w:left w:val="single" w:color="auto" w:sz="6" w:space="0"/>
              <w:bottom w:val="single" w:color="auto" w:sz="4" w:space="0"/>
              <w:right w:val="single" w:color="auto" w:sz="6" w:space="0"/>
            </w:tcBorders>
            <w:tcW w:w="7498" w:type="dxa"/>
            <w:vAlign w:val="center"/>
            <w:textDirection w:val="lrTb"/>
            <w:noWrap w:val="false"/>
          </w:tcPr>
          <w:p>
            <w:pPr>
              <w:rPr>
                <w:rFonts w:ascii="宋体" w:hAnsi="宋体"/>
                <w:sz w:val="24"/>
                <w:szCs w:val="20"/>
              </w:rPr>
            </w:pPr>
            <w:r>
              <w:rPr>
                <w:rFonts w:ascii="宋体" w:hAnsi="宋体"/>
                <w:sz w:val="24"/>
                <w:szCs w:val="20"/>
              </w:rPr>
              <w:t xml:space="preserve">金额大写 :                     元      （</w:t>
            </w:r>
            <w:r>
              <w:rPr>
                <w:sz w:val="24"/>
                <w:szCs w:val="20"/>
              </w:rPr>
              <w:t xml:space="preserve">¥：              元）</w:t>
            </w:r>
            <w:r/>
          </w:p>
        </w:tc>
      </w:tr>
      <w:tr>
        <w:trPr>
          <w:jc w:val="center"/>
          <w:trHeight w:val="581"/>
        </w:trPr>
        <w:tc>
          <w:tcPr>
            <w:gridSpan w:val="7"/>
            <w:tcBorders>
              <w:top w:val="single" w:color="auto" w:sz="4" w:space="0"/>
              <w:left w:val="single" w:color="auto" w:sz="6" w:space="0"/>
              <w:bottom w:val="single" w:color="auto" w:sz="6" w:space="0"/>
              <w:right w:val="single" w:color="auto" w:sz="6" w:space="0"/>
            </w:tcBorders>
            <w:tcW w:w="8392" w:type="dxa"/>
            <w:textDirection w:val="lrTb"/>
            <w:noWrap w:val="false"/>
          </w:tcPr>
          <w:p>
            <w:pPr>
              <w:rPr>
                <w:rFonts w:ascii="宋体" w:hAnsi="宋体"/>
                <w:sz w:val="24"/>
                <w:szCs w:val="20"/>
              </w:rPr>
            </w:pPr>
            <w:r>
              <w:rPr>
                <w:rFonts w:ascii="宋体" w:hAnsi="Courier New" w:cs="宋体"/>
                <w:sz w:val="24"/>
                <w:szCs w:val="20"/>
              </w:rPr>
              <w:t xml:space="preserve">是否是小微企业并提供的</w:t>
            </w:r>
            <w:r>
              <w:rPr>
                <w:rFonts w:hint="eastAsia" w:ascii="宋体" w:hAnsi="Courier New" w:cs="宋体"/>
                <w:sz w:val="24"/>
                <w:szCs w:val="20"/>
              </w:rPr>
              <w:t xml:space="preserve">全部</w:t>
            </w:r>
            <w:r>
              <w:rPr>
                <w:rFonts w:ascii="宋体" w:hAnsi="Courier New" w:cs="宋体"/>
                <w:sz w:val="24"/>
                <w:szCs w:val="20"/>
              </w:rPr>
              <w:t xml:space="preserve">自有</w:t>
            </w:r>
            <w:r>
              <w:rPr>
                <w:rFonts w:hint="eastAsia" w:ascii="宋体" w:hAnsi="Courier New" w:cs="宋体"/>
                <w:sz w:val="24"/>
                <w:szCs w:val="20"/>
              </w:rPr>
              <w:t xml:space="preserve">货物或</w:t>
            </w:r>
            <w:r>
              <w:rPr>
                <w:rFonts w:ascii="宋体" w:hAnsi="Courier New" w:cs="宋体"/>
                <w:sz w:val="24"/>
                <w:szCs w:val="20"/>
              </w:rPr>
              <w:t xml:space="preserve">服务：              （是或否）。</w:t>
            </w:r>
            <w:r/>
          </w:p>
        </w:tc>
      </w:tr>
    </w:tbl>
    <w:p>
      <w:pPr>
        <w:spacing w:line="360" w:lineRule="auto"/>
        <w:rPr>
          <w:rFonts w:ascii="宋体" w:hAnsi="宋体"/>
          <w:sz w:val="24"/>
          <w:szCs w:val="20"/>
        </w:rPr>
      </w:pPr>
      <w:r/>
      <w:bookmarkStart w:id="61" w:name="OLE_LINK181"/>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法定代表人或代理人：（签字</w:t>
      </w:r>
      <w:r>
        <w:rPr>
          <w:rFonts w:hint="eastAsia" w:ascii="宋体" w:hAnsi="宋体"/>
          <w:sz w:val="24"/>
          <w:szCs w:val="20"/>
        </w:rPr>
        <w:t xml:space="preserve">或盖章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61"/>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注：</w:t>
      </w:r>
      <w:r/>
    </w:p>
    <w:p>
      <w:pPr>
        <w:ind w:firstLine="480"/>
        <w:spacing w:line="360" w:lineRule="auto"/>
        <w:rPr>
          <w:rFonts w:ascii="宋体" w:hAnsi="宋体"/>
          <w:sz w:val="24"/>
        </w:rPr>
      </w:pPr>
      <w:r>
        <w:rPr>
          <w:rFonts w:hint="eastAsia" w:ascii="宋体" w:hAnsi="宋体"/>
          <w:sz w:val="24"/>
        </w:rPr>
        <w:t xml:space="preserve">1.上表为参考格式，各投标单位根据采购内容按具体的收费项目填列并报价，</w:t>
      </w:r>
      <w:r>
        <w:rPr>
          <w:rFonts w:hint="eastAsia" w:ascii="宋体" w:hAnsi="宋体"/>
          <w:sz w:val="24"/>
        </w:rPr>
        <w:t xml:space="preserve">本项目响应报价应包括全部货物和服务内容（包括售后服务和运维服务）、辅助材料、备品备件、安装、调试、国家有关部门检测、强制性认证等费用，以及人工、机械、运输、仓储、保险、中标服务费、各种税费、劳保、</w:t>
      </w:r>
      <w:r>
        <w:rPr>
          <w:rFonts w:hint="eastAsia"/>
          <w:sz w:val="24"/>
        </w:rPr>
        <w:t xml:space="preserve">专利技术及质保期间等的一切费用</w:t>
      </w:r>
      <w:r>
        <w:rPr>
          <w:rFonts w:hint="eastAsia" w:ascii="宋体" w:hAnsi="宋体"/>
          <w:sz w:val="24"/>
        </w:rPr>
        <w:t xml:space="preserve">。</w:t>
      </w:r>
      <w:r/>
    </w:p>
    <w:p>
      <w:pPr>
        <w:ind w:firstLine="480"/>
        <w:rPr>
          <w:rFonts w:ascii="宋体" w:hAnsi="宋体"/>
          <w:sz w:val="24"/>
        </w:rPr>
      </w:pPr>
      <w:r>
        <w:rPr>
          <w:rFonts w:hint="eastAsia" w:ascii="宋体" w:hAnsi="宋体"/>
          <w:sz w:val="24"/>
        </w:rPr>
        <w:t xml:space="preserve">2.上表总报价须与《开标一览表》投标总报价一致。</w:t>
      </w:r>
      <w:r/>
    </w:p>
    <w:p>
      <w:pPr>
        <w:jc w:val="left"/>
        <w:widowControl/>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br w:type="page" w:clear="all"/>
      </w:r>
      <w:r/>
    </w:p>
    <w:p>
      <w:pPr>
        <w:jc w:val="left"/>
        <w:spacing w:line="360" w:lineRule="auto"/>
        <w:rPr>
          <w:rFonts w:ascii="宋体" w:hAnsi="宋体" w:cs="宋体"/>
          <w:b/>
          <w:sz w:val="24"/>
        </w:rPr>
      </w:pPr>
      <w:r>
        <w:rPr>
          <w:rFonts w:hint="eastAsia" w:ascii="宋体" w:hAnsi="宋体" w:cs="宋体"/>
          <w:b/>
          <w:bCs/>
          <w:sz w:val="24"/>
        </w:rPr>
        <w:t xml:space="preserve">4、技术部分（格式为参考，投标人可参照下述格式自制表格投标，但至少应包括下述格式中的内容，没有参考格式的则可根据情况自行编制）</w:t>
      </w:r>
      <w:r/>
    </w:p>
    <w:p>
      <w:pPr>
        <w:jc w:val="center"/>
        <w:spacing w:line="360" w:lineRule="auto"/>
        <w:rPr>
          <w:rFonts w:ascii="宋体" w:hAnsi="宋体" w:cs="宋体"/>
          <w:b/>
          <w:sz w:val="24"/>
        </w:rPr>
      </w:pPr>
      <w:r>
        <w:rPr>
          <w:rFonts w:ascii="宋体" w:hAnsi="宋体" w:cs="宋体"/>
          <w:b/>
          <w:sz w:val="24"/>
        </w:rPr>
        <w:t xml:space="preserve">（1）投标产品分析表</w:t>
      </w:r>
      <w:r/>
    </w:p>
    <w:p>
      <w:pPr>
        <w:jc w:val="left"/>
        <w:spacing w:line="360" w:lineRule="auto"/>
        <w:rPr>
          <w:rFonts w:ascii="宋体" w:hAnsi="宋体" w:cs="宋体"/>
          <w:sz w:val="24"/>
        </w:rPr>
      </w:pPr>
      <w:r>
        <w:rPr>
          <w:rFonts w:hint="eastAsia" w:ascii="宋体" w:hAnsi="宋体" w:cs="宋体"/>
          <w:b/>
          <w:sz w:val="24"/>
        </w:rPr>
        <w:t xml:space="preserve">招标编号：</w:t>
      </w:r>
      <w:r/>
    </w:p>
    <w:tbl>
      <w:tblPr>
        <w:tblStyle w:val="720"/>
        <w:tblW w:w="9250" w:type="dxa"/>
        <w:tblInd w:w="-10" w:type="dxa"/>
        <w:tblLayout w:type="fixed"/>
        <w:tblCellMar>
          <w:left w:w="108" w:type="dxa"/>
          <w:top w:w="0" w:type="dxa"/>
          <w:right w:w="108" w:type="dxa"/>
          <w:bottom w:w="0" w:type="dxa"/>
        </w:tblCellMar>
        <w:tblLook w:val="04A0" w:firstRow="1" w:lastRow="0" w:firstColumn="1" w:lastColumn="0" w:noHBand="0" w:noVBand="1"/>
      </w:tblPr>
      <w:tblGrid>
        <w:gridCol w:w="1925"/>
        <w:gridCol w:w="1116"/>
        <w:gridCol w:w="876"/>
        <w:gridCol w:w="1652"/>
        <w:gridCol w:w="1225"/>
        <w:gridCol w:w="1218"/>
        <w:gridCol w:w="1238"/>
      </w:tblGrid>
      <w:tr>
        <w:trPr/>
        <w:tc>
          <w:tcPr>
            <w:tcBorders>
              <w:top w:val="single" w:color="000000" w:sz="4" w:space="0"/>
              <w:left w:val="single" w:color="000000" w:sz="4" w:space="0"/>
              <w:bottom w:val="single" w:color="000000" w:sz="4" w:space="0"/>
            </w:tcBorders>
            <w:tcW w:w="1925"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标的名称</w:t>
            </w:r>
            <w:r/>
          </w:p>
        </w:tc>
        <w:tc>
          <w:tcPr>
            <w:tcBorders>
              <w:top w:val="single" w:color="000000" w:sz="4" w:space="0"/>
              <w:left w:val="single" w:color="000000" w:sz="4" w:space="0"/>
              <w:bottom w:val="single" w:color="000000" w:sz="4" w:space="0"/>
            </w:tcBorders>
            <w:tcW w:w="1116"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原产地</w:t>
            </w:r>
            <w:r/>
          </w:p>
        </w:tc>
        <w:tc>
          <w:tcPr>
            <w:tcBorders>
              <w:top w:val="single" w:color="000000" w:sz="4" w:space="0"/>
              <w:left w:val="single" w:color="000000" w:sz="4" w:space="0"/>
              <w:bottom w:val="single" w:color="000000" w:sz="4" w:space="0"/>
            </w:tcBorders>
            <w:tcW w:w="876"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品牌</w:t>
            </w:r>
            <w:r/>
          </w:p>
        </w:tc>
        <w:tc>
          <w:tcPr>
            <w:tcBorders>
              <w:top w:val="single" w:color="000000" w:sz="4" w:space="0"/>
              <w:left w:val="single" w:color="000000" w:sz="4" w:space="0"/>
              <w:bottom w:val="single" w:color="000000" w:sz="4" w:space="0"/>
            </w:tcBorders>
            <w:tcW w:w="1652"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型号与规格</w:t>
            </w:r>
            <w:r/>
          </w:p>
        </w:tc>
        <w:tc>
          <w:tcPr>
            <w:tcBorders>
              <w:top w:val="single" w:color="000000" w:sz="4" w:space="0"/>
              <w:left w:val="single" w:color="000000" w:sz="4" w:space="0"/>
              <w:bottom w:val="single" w:color="000000" w:sz="4" w:space="0"/>
            </w:tcBorders>
            <w:tcW w:w="1225"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t xml:space="preserve">制造厂商</w:t>
            </w:r>
            <w:r/>
          </w:p>
        </w:tc>
        <w:tc>
          <w:tcPr>
            <w:tcBorders>
              <w:top w:val="single" w:color="000000" w:sz="4" w:space="0"/>
              <w:left w:val="single" w:color="000000" w:sz="4" w:space="0"/>
              <w:bottom w:val="single" w:color="000000" w:sz="4" w:space="0"/>
            </w:tcBorders>
            <w:tcW w:w="1218"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数量</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spacing w:line="360" w:lineRule="auto"/>
              <w:rPr>
                <w:rFonts w:ascii="宋体" w:hAnsi="宋体" w:cs="宋体"/>
                <w:sz w:val="24"/>
              </w:rPr>
            </w:pPr>
            <w:r>
              <w:rPr>
                <w:rFonts w:ascii="宋体" w:hAnsi="宋体" w:cs="宋体"/>
                <w:bCs/>
                <w:sz w:val="24"/>
              </w:rPr>
              <w:t xml:space="preserve">单位</w:t>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tcBorders>
            <w:tcW w:w="1116" w:type="dxa"/>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876" w:type="dxa"/>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652" w:type="dxa"/>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25" w:type="dxa"/>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tcBorders>
            <w:tcW w:w="1218" w:type="dxa"/>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cs="宋体"/>
                <w:bCs/>
                <w:szCs w:val="20"/>
              </w:rPr>
            </w:pPr>
            <w:r>
              <w:rPr>
                <w:rFonts w:ascii="宋体" w:hAnsi="宋体" w:cs="宋体"/>
                <w:bCs/>
                <w:szCs w:val="20"/>
              </w:rPr>
            </w:r>
            <w:r/>
          </w:p>
        </w:tc>
        <w:tc>
          <w:tcPr>
            <w:tcBorders>
              <w:top w:val="single" w:color="000000" w:sz="4" w:space="0"/>
              <w:left w:val="single" w:color="000000" w:sz="4" w:space="0"/>
              <w:bottom w:val="single" w:color="000000" w:sz="4" w:space="0"/>
            </w:tcBorders>
            <w:tcW w:w="1116"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c>
          <w:tcPr>
            <w:tcBorders>
              <w:top w:val="single" w:color="000000" w:sz="4" w:space="0"/>
              <w:left w:val="single" w:color="000000" w:sz="4" w:space="0"/>
              <w:bottom w:val="single" w:color="000000" w:sz="4" w:space="0"/>
            </w:tcBorders>
            <w:tcW w:w="876"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c>
          <w:tcPr>
            <w:tcBorders>
              <w:top w:val="single" w:color="000000" w:sz="4" w:space="0"/>
              <w:left w:val="single" w:color="000000" w:sz="4" w:space="0"/>
              <w:bottom w:val="single" w:color="000000" w:sz="4" w:space="0"/>
            </w:tcBorders>
            <w:tcW w:w="1652"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c>
          <w:tcPr>
            <w:tcBorders>
              <w:top w:val="single" w:color="000000" w:sz="4" w:space="0"/>
              <w:left w:val="single" w:color="000000" w:sz="4" w:space="0"/>
              <w:bottom w:val="single" w:color="000000" w:sz="4" w:space="0"/>
            </w:tcBorders>
            <w:tcW w:w="1225"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c>
          <w:tcPr>
            <w:tcBorders>
              <w:top w:val="single" w:color="000000" w:sz="4" w:space="0"/>
              <w:left w:val="single" w:color="000000" w:sz="4" w:space="0"/>
              <w:bottom w:val="single" w:color="000000" w:sz="4" w:space="0"/>
            </w:tcBorders>
            <w:tcW w:w="1218"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spacing w:line="360" w:lineRule="auto"/>
              <w:rPr>
                <w:rFonts w:ascii="宋体" w:hAnsi="宋体" w:cs="宋体"/>
                <w:bCs/>
                <w:sz w:val="24"/>
                <w:szCs w:val="20"/>
              </w:rPr>
            </w:pPr>
            <w:r>
              <w:rPr>
                <w:rFonts w:ascii="宋体" w:hAnsi="宋体" w:cs="宋体"/>
                <w:bCs/>
                <w:sz w:val="24"/>
                <w:szCs w:val="20"/>
              </w:rPr>
            </w:r>
            <w:r/>
          </w:p>
        </w:tc>
      </w:tr>
      <w:tr>
        <w:trPr>
          <w:cantSplit/>
        </w:trPr>
        <w:tc>
          <w:tcPr>
            <w:tcBorders>
              <w:top w:val="single" w:color="000000" w:sz="4" w:space="0"/>
              <w:left w:val="single" w:color="000000" w:sz="4" w:space="0"/>
              <w:bottom w:val="single" w:color="000000" w:sz="4" w:space="0"/>
            </w:tcBorders>
            <w:tcW w:w="1925" w:type="dxa"/>
            <w:textDirection w:val="lrTb"/>
            <w:noWrap w:val="false"/>
          </w:tcPr>
          <w:p>
            <w:pPr>
              <w:spacing w:line="360" w:lineRule="auto"/>
              <w:rPr>
                <w:rFonts w:ascii="宋体" w:hAnsi="宋体" w:eastAsia="楷体_GB2312" w:cs="Courier New"/>
                <w:sz w:val="28"/>
                <w:szCs w:val="20"/>
              </w:rPr>
            </w:pPr>
            <w:r>
              <w:rPr>
                <w:rFonts w:ascii="宋体" w:hAnsi="宋体" w:cs="宋体"/>
                <w:sz w:val="24"/>
                <w:szCs w:val="20"/>
              </w:rPr>
              <w:t xml:space="preserve">备注</w:t>
            </w:r>
            <w:r/>
          </w:p>
        </w:tc>
        <w:tc>
          <w:tcPr>
            <w:gridSpan w:val="6"/>
            <w:tcBorders>
              <w:top w:val="single" w:color="000000" w:sz="4" w:space="0"/>
              <w:left w:val="single" w:color="000000" w:sz="4" w:space="0"/>
              <w:bottom w:val="single" w:color="000000" w:sz="4" w:space="0"/>
              <w:right w:val="single" w:color="000000" w:sz="4" w:space="0"/>
            </w:tcBorders>
            <w:tcW w:w="7325" w:type="dxa"/>
            <w:textDirection w:val="lrTb"/>
            <w:noWrap w:val="false"/>
          </w:tcPr>
          <w:p>
            <w:pPr>
              <w:spacing w:line="360" w:lineRule="auto"/>
              <w:rPr>
                <w:rFonts w:ascii="宋体" w:hAnsi="宋体" w:eastAsia="楷体_GB2312" w:cs="Courier New"/>
                <w:sz w:val="28"/>
                <w:szCs w:val="20"/>
              </w:rPr>
            </w:pPr>
            <w:r>
              <w:rPr>
                <w:rFonts w:ascii="宋体" w:hAnsi="宋体" w:eastAsia="楷体_GB2312" w:cs="Courier New"/>
                <w:sz w:val="28"/>
                <w:szCs w:val="20"/>
              </w:rPr>
            </w:r>
            <w:r/>
          </w:p>
        </w:tc>
      </w:tr>
    </w:tbl>
    <w:p>
      <w:pPr>
        <w:spacing w:line="360" w:lineRule="auto"/>
        <w:rPr>
          <w:rFonts w:ascii="宋体" w:hAnsi="宋体"/>
          <w:sz w:val="24"/>
          <w:szCs w:val="20"/>
        </w:rPr>
      </w:pPr>
      <w:r/>
      <w:bookmarkStart w:id="62" w:name="OLE_LINK182"/>
      <w:r/>
      <w:bookmarkStart w:id="63" w:name="OLE_LINK183"/>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62"/>
      <w:r/>
      <w:bookmarkEnd w:id="63"/>
      <w:r/>
      <w:r/>
    </w:p>
    <w:p>
      <w:pPr>
        <w:rPr>
          <w:rFonts w:ascii="宋体" w:hAnsi="宋体" w:cs="宋体"/>
          <w:b/>
          <w:sz w:val="24"/>
        </w:rPr>
      </w:pPr>
      <w:r>
        <w:rPr>
          <w:rFonts w:ascii="宋体" w:hAnsi="宋体" w:cs="宋体"/>
          <w:b/>
          <w:sz w:val="24"/>
        </w:rPr>
      </w:r>
      <w:r/>
    </w:p>
    <w:p>
      <w:r/>
      <w:r/>
    </w:p>
    <w:p>
      <w:pPr>
        <w:pageBreakBefore/>
        <w:spacing w:line="360" w:lineRule="auto"/>
        <w:rPr>
          <w:rFonts w:ascii="宋体" w:hAnsi="宋体" w:cs="宋体"/>
          <w:sz w:val="24"/>
          <w:szCs w:val="20"/>
        </w:rPr>
      </w:pPr>
      <w:r>
        <w:rPr>
          <w:rFonts w:ascii="宋体" w:hAnsi="宋体" w:cs="宋体"/>
          <w:sz w:val="24"/>
          <w:szCs w:val="20"/>
        </w:rPr>
      </w:r>
      <w:r/>
    </w:p>
    <w:p>
      <w:pPr>
        <w:jc w:val="left"/>
        <w:spacing w:line="360" w:lineRule="auto"/>
        <w:rPr>
          <w:rFonts w:ascii="宋体" w:hAnsi="宋体" w:cs="宋体"/>
          <w:sz w:val="24"/>
        </w:rPr>
      </w:pPr>
      <w:r>
        <w:rPr>
          <w:rFonts w:hint="eastAsia" w:ascii="宋体" w:hAnsi="宋体" w:cs="宋体"/>
          <w:b/>
          <w:sz w:val="24"/>
        </w:rPr>
        <w:t xml:space="preserve">（2）</w:t>
      </w:r>
      <w:bookmarkStart w:id="64" w:name="OLE_LINK220"/>
      <w:r/>
      <w:bookmarkStart w:id="65" w:name="OLE_LINK231"/>
      <w:r>
        <w:rPr>
          <w:rFonts w:hint="eastAsia" w:ascii="宋体" w:hAnsi="宋体" w:cs="宋体"/>
          <w:b/>
          <w:sz w:val="24"/>
        </w:rPr>
        <w:t xml:space="preserve">质保期及运维期内备品备件、易损件、耗材、试剂等一览表</w:t>
      </w:r>
      <w:bookmarkEnd w:id="64"/>
      <w:r/>
      <w:bookmarkEnd w:id="65"/>
      <w:r/>
      <w:r/>
    </w:p>
    <w:p>
      <w:pPr>
        <w:ind w:firstLine="6746"/>
        <w:jc w:val="left"/>
        <w:spacing w:line="360" w:lineRule="auto"/>
        <w:rPr>
          <w:rFonts w:ascii="宋体" w:hAnsi="宋体" w:cs="宋体"/>
          <w:b/>
          <w:sz w:val="24"/>
        </w:rPr>
      </w:pPr>
      <w:r>
        <w:rPr>
          <w:rFonts w:ascii="宋体" w:hAnsi="宋体" w:cs="宋体"/>
          <w:b/>
          <w:sz w:val="24"/>
        </w:rPr>
      </w:r>
      <w:r/>
    </w:p>
    <w:tbl>
      <w:tblPr>
        <w:tblStyle w:val="720"/>
        <w:tblW w:w="93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839"/>
        <w:gridCol w:w="1530"/>
        <w:gridCol w:w="885"/>
        <w:gridCol w:w="945"/>
        <w:gridCol w:w="675"/>
        <w:gridCol w:w="1305"/>
      </w:tblGrid>
      <w:tr>
        <w:trPr>
          <w:trHeight w:val="932"/>
        </w:trPr>
        <w:tc>
          <w:tcPr>
            <w:tcW w:w="2130" w:type="dxa"/>
            <w:vAlign w:val="center"/>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设备（配件）名称</w:t>
            </w:r>
            <w:r/>
          </w:p>
        </w:tc>
        <w:tc>
          <w:tcPr>
            <w:tcW w:w="183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品牌型号规格</w:t>
            </w:r>
            <w:r/>
          </w:p>
        </w:tc>
        <w:tc>
          <w:tcPr>
            <w:tcW w:w="153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制造商全称</w:t>
            </w:r>
            <w:r/>
          </w:p>
        </w:tc>
        <w:tc>
          <w:tcPr>
            <w:tcW w:w="885"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产地</w:t>
            </w:r>
            <w:r/>
          </w:p>
        </w:tc>
        <w:tc>
          <w:tcPr>
            <w:tcW w:w="945"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主要技术参数</w:t>
            </w:r>
            <w:r/>
          </w:p>
        </w:tc>
        <w:tc>
          <w:tcPr>
            <w:tcW w:w="675"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数量</w:t>
            </w:r>
            <w:r/>
          </w:p>
        </w:tc>
        <w:tc>
          <w:tcPr>
            <w:tcW w:w="1305"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备注</w:t>
            </w:r>
            <w:r/>
          </w:p>
        </w:tc>
      </w:tr>
      <w:tr>
        <w:trPr/>
        <w:tc>
          <w:tcPr>
            <w:tcW w:w="2130" w:type="dxa"/>
            <w:textDirection w:val="lrTb"/>
            <w:noWrap w:val="false"/>
          </w:tcPr>
          <w:p>
            <w:pPr>
              <w:jc w:val="left"/>
              <w:spacing w:line="360" w:lineRule="auto"/>
              <w:rPr>
                <w:rFonts w:ascii="宋体" w:hAnsi="宋体" w:cs="宋体"/>
                <w:b/>
                <w:bCs/>
                <w:sz w:val="24"/>
              </w:rPr>
            </w:pPr>
            <w:r>
              <w:rPr>
                <w:rFonts w:ascii="宋体" w:hAnsi="宋体" w:cs="宋体"/>
                <w:b/>
                <w:bCs/>
                <w:sz w:val="24"/>
              </w:rPr>
            </w:r>
            <w:r/>
          </w:p>
        </w:tc>
        <w:tc>
          <w:tcPr>
            <w:tcW w:w="1839" w:type="dxa"/>
            <w:textDirection w:val="lrTb"/>
            <w:noWrap w:val="false"/>
          </w:tcPr>
          <w:p>
            <w:pPr>
              <w:jc w:val="left"/>
              <w:spacing w:line="360" w:lineRule="auto"/>
              <w:rPr>
                <w:rFonts w:ascii="宋体" w:hAnsi="宋体" w:cs="宋体"/>
                <w:b/>
                <w:bCs/>
                <w:sz w:val="24"/>
              </w:rPr>
            </w:pPr>
            <w:r>
              <w:rPr>
                <w:rFonts w:ascii="宋体" w:hAnsi="宋体" w:cs="宋体"/>
                <w:b/>
                <w:bCs/>
                <w:sz w:val="24"/>
              </w:rPr>
            </w:r>
            <w:r/>
          </w:p>
        </w:tc>
        <w:tc>
          <w:tcPr>
            <w:tcW w:w="15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88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94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67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305" w:type="dxa"/>
            <w:textDirection w:val="lrTb"/>
            <w:noWrap w:val="false"/>
          </w:tcPr>
          <w:p>
            <w:pPr>
              <w:jc w:val="left"/>
              <w:spacing w:line="360" w:lineRule="auto"/>
              <w:rPr>
                <w:rFonts w:ascii="宋体" w:hAnsi="宋体" w:cs="宋体"/>
                <w:b/>
                <w:sz w:val="24"/>
              </w:rPr>
            </w:pPr>
            <w:r>
              <w:rPr>
                <w:rFonts w:ascii="宋体" w:hAnsi="宋体" w:cs="宋体"/>
                <w:b/>
                <w:sz w:val="24"/>
              </w:rPr>
            </w:r>
            <w:r/>
          </w:p>
        </w:tc>
      </w:tr>
      <w:tr>
        <w:trPr/>
        <w:tc>
          <w:tcPr>
            <w:tcW w:w="21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839"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5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88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94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67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305" w:type="dxa"/>
            <w:textDirection w:val="lrTb"/>
            <w:noWrap w:val="false"/>
          </w:tcPr>
          <w:p>
            <w:pPr>
              <w:jc w:val="left"/>
              <w:spacing w:line="360" w:lineRule="auto"/>
              <w:rPr>
                <w:rFonts w:ascii="宋体" w:hAnsi="宋体" w:cs="宋体"/>
                <w:b/>
                <w:sz w:val="24"/>
              </w:rPr>
            </w:pPr>
            <w:r>
              <w:rPr>
                <w:rFonts w:ascii="宋体" w:hAnsi="宋体" w:cs="宋体"/>
                <w:b/>
                <w:sz w:val="24"/>
              </w:rPr>
            </w:r>
            <w:r/>
          </w:p>
        </w:tc>
      </w:tr>
      <w:tr>
        <w:trPr/>
        <w:tc>
          <w:tcPr>
            <w:tcW w:w="21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839"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5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88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94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67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305" w:type="dxa"/>
            <w:textDirection w:val="lrTb"/>
            <w:noWrap w:val="false"/>
          </w:tcPr>
          <w:p>
            <w:pPr>
              <w:jc w:val="left"/>
              <w:spacing w:line="360" w:lineRule="auto"/>
              <w:rPr>
                <w:rFonts w:ascii="宋体" w:hAnsi="宋体" w:cs="宋体"/>
                <w:b/>
                <w:sz w:val="24"/>
              </w:rPr>
            </w:pPr>
            <w:r>
              <w:rPr>
                <w:rFonts w:ascii="宋体" w:hAnsi="宋体" w:cs="宋体"/>
                <w:b/>
                <w:sz w:val="24"/>
              </w:rPr>
            </w:r>
            <w:r/>
          </w:p>
        </w:tc>
      </w:tr>
      <w:tr>
        <w:trPr/>
        <w:tc>
          <w:tcPr>
            <w:tcW w:w="21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839"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5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88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94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67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305" w:type="dxa"/>
            <w:textDirection w:val="lrTb"/>
            <w:noWrap w:val="false"/>
          </w:tcPr>
          <w:p>
            <w:pPr>
              <w:jc w:val="left"/>
              <w:spacing w:line="360" w:lineRule="auto"/>
              <w:rPr>
                <w:rFonts w:ascii="宋体" w:hAnsi="宋体" w:cs="宋体"/>
                <w:b/>
                <w:sz w:val="24"/>
              </w:rPr>
            </w:pPr>
            <w:r>
              <w:rPr>
                <w:rFonts w:ascii="宋体" w:hAnsi="宋体" w:cs="宋体"/>
                <w:b/>
                <w:sz w:val="24"/>
              </w:rPr>
            </w:r>
            <w:r/>
          </w:p>
        </w:tc>
      </w:tr>
      <w:tr>
        <w:trPr/>
        <w:tc>
          <w:tcPr>
            <w:tcW w:w="21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839"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530"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88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94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675" w:type="dxa"/>
            <w:textDirection w:val="lrTb"/>
            <w:noWrap w:val="false"/>
          </w:tcPr>
          <w:p>
            <w:pPr>
              <w:jc w:val="left"/>
              <w:spacing w:line="360" w:lineRule="auto"/>
              <w:rPr>
                <w:rFonts w:ascii="宋体" w:hAnsi="宋体" w:cs="宋体"/>
                <w:b/>
                <w:sz w:val="24"/>
              </w:rPr>
            </w:pPr>
            <w:r>
              <w:rPr>
                <w:rFonts w:ascii="宋体" w:hAnsi="宋体" w:cs="宋体"/>
                <w:b/>
                <w:sz w:val="24"/>
              </w:rPr>
            </w:r>
            <w:r/>
          </w:p>
        </w:tc>
        <w:tc>
          <w:tcPr>
            <w:tcW w:w="1305" w:type="dxa"/>
            <w:textDirection w:val="lrTb"/>
            <w:noWrap w:val="false"/>
          </w:tcPr>
          <w:p>
            <w:pPr>
              <w:jc w:val="left"/>
              <w:spacing w:line="360" w:lineRule="auto"/>
              <w:rPr>
                <w:rFonts w:ascii="宋体" w:hAnsi="宋体" w:cs="宋体"/>
                <w:b/>
                <w:sz w:val="24"/>
              </w:rPr>
            </w:pPr>
            <w:r>
              <w:rPr>
                <w:rFonts w:ascii="宋体" w:hAnsi="宋体" w:cs="宋体"/>
                <w:b/>
                <w:sz w:val="24"/>
              </w:rPr>
            </w:r>
            <w:r/>
          </w:p>
        </w:tc>
      </w:tr>
    </w:tbl>
    <w:p>
      <w:pPr>
        <w:spacing w:line="360" w:lineRule="auto"/>
        <w:rPr>
          <w:rFonts w:ascii="宋体" w:hAnsi="宋体"/>
          <w:sz w:val="24"/>
          <w:szCs w:val="20"/>
        </w:rPr>
      </w:pPr>
      <w:r/>
      <w:bookmarkStart w:id="66" w:name="OLE_LINK184"/>
      <w:r/>
      <w:bookmarkStart w:id="67" w:name="OLE_LINK185"/>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66"/>
      <w:r/>
      <w:bookmarkEnd w:id="67"/>
      <w:r/>
      <w:r/>
    </w:p>
    <w:p>
      <w:pPr>
        <w:jc w:val="left"/>
        <w:spacing w:line="360" w:lineRule="auto"/>
        <w:rPr>
          <w:rFonts w:ascii="宋体" w:hAnsi="宋体" w:cs="宋体"/>
          <w:b/>
          <w:bCs/>
          <w:sz w:val="24"/>
        </w:rPr>
      </w:pPr>
      <w:r>
        <w:rPr>
          <w:rFonts w:ascii="宋体" w:hAnsi="宋体" w:cs="宋体"/>
          <w:b/>
          <w:bCs/>
          <w:sz w:val="24"/>
        </w:rPr>
      </w:r>
      <w:r/>
    </w:p>
    <w:p>
      <w:pPr>
        <w:jc w:val="center"/>
        <w:widowControl/>
        <w:rPr>
          <w:rFonts w:ascii="宋体" w:hAnsi="宋体" w:cs="宋体"/>
          <w:b/>
          <w:bCs/>
          <w:sz w:val="28"/>
          <w:szCs w:val="28"/>
          <w:lang w:bidi="ar"/>
        </w:rPr>
      </w:pPr>
      <w:r>
        <w:rPr>
          <w:rFonts w:ascii="宋体" w:hAnsi="宋体" w:cs="宋体"/>
          <w:b/>
          <w:bCs/>
          <w:sz w:val="28"/>
          <w:szCs w:val="28"/>
          <w:lang w:bidi="ar"/>
        </w:rPr>
      </w:r>
      <w:r/>
    </w:p>
    <w:p>
      <w:pPr>
        <w:jc w:val="left"/>
        <w:widowControl/>
        <w:rPr>
          <w:rFonts w:ascii="宋体" w:hAnsi="宋体" w:cs="宋体"/>
          <w:b/>
          <w:sz w:val="24"/>
        </w:rPr>
      </w:pPr>
      <w:r>
        <w:rPr>
          <w:rFonts w:ascii="宋体" w:hAnsi="宋体" w:cs="宋体"/>
          <w:b/>
          <w:sz w:val="24"/>
        </w:rPr>
        <w:br w:type="page" w:clear="all"/>
      </w:r>
      <w:r/>
    </w:p>
    <w:p>
      <w:pPr>
        <w:jc w:val="left"/>
        <w:spacing w:line="360" w:lineRule="auto"/>
        <w:rPr>
          <w:rFonts w:ascii="宋体" w:hAnsi="宋体" w:cs="宋体"/>
          <w:b/>
          <w:sz w:val="24"/>
        </w:rPr>
      </w:pPr>
      <w:r>
        <w:rPr>
          <w:rFonts w:hint="eastAsia" w:ascii="宋体" w:hAnsi="宋体" w:cs="宋体"/>
          <w:b/>
          <w:sz w:val="24"/>
        </w:rPr>
        <w:t xml:space="preserve">（3）</w:t>
      </w:r>
      <w:bookmarkStart w:id="68" w:name="OLE_LINK219"/>
      <w:r/>
      <w:bookmarkStart w:id="69" w:name="OLE_LINK218"/>
      <w:r>
        <w:rPr>
          <w:rFonts w:hint="eastAsia" w:ascii="宋体" w:hAnsi="宋体" w:cs="宋体"/>
          <w:b/>
          <w:sz w:val="24"/>
        </w:rPr>
        <w:t xml:space="preserve">技术条款响应/偏离表</w:t>
      </w:r>
      <w:bookmarkEnd w:id="68"/>
      <w:r/>
      <w:bookmarkEnd w:id="69"/>
      <w:r/>
      <w:r/>
    </w:p>
    <w:tbl>
      <w:tblPr>
        <w:tblStyle w:val="720"/>
        <w:tblW w:w="9616" w:type="dxa"/>
        <w:tblInd w:w="-10" w:type="dxa"/>
        <w:tblLayout w:type="fixed"/>
        <w:tblCellMar>
          <w:left w:w="108" w:type="dxa"/>
          <w:top w:w="0" w:type="dxa"/>
          <w:right w:w="108" w:type="dxa"/>
          <w:bottom w:w="0" w:type="dxa"/>
        </w:tblCellMar>
        <w:tblLook w:val="04A0" w:firstRow="1" w:lastRow="0" w:firstColumn="1" w:lastColumn="0" w:noHBand="0" w:noVBand="1"/>
      </w:tblPr>
      <w:tblGrid>
        <w:gridCol w:w="915"/>
        <w:gridCol w:w="1613"/>
        <w:gridCol w:w="2268"/>
        <w:gridCol w:w="2119"/>
        <w:gridCol w:w="1425"/>
        <w:gridCol w:w="1276"/>
      </w:tblGrid>
      <w:tr>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序号</w:t>
            </w:r>
            <w:r/>
          </w:p>
        </w:tc>
        <w:tc>
          <w:tcPr>
            <w:tcBorders>
              <w:top w:val="single" w:color="000000" w:sz="4" w:space="0"/>
              <w:left w:val="single" w:color="000000" w:sz="4" w:space="0"/>
              <w:bottom w:val="single" w:color="000000" w:sz="4" w:space="0"/>
            </w:tcBorders>
            <w:tcW w:w="1613"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招标文件条目号</w:t>
            </w:r>
            <w:r/>
          </w:p>
        </w:tc>
        <w:tc>
          <w:tcPr>
            <w:tcBorders>
              <w:top w:val="single" w:color="000000" w:sz="4" w:space="0"/>
              <w:left w:val="single" w:color="000000" w:sz="4" w:space="0"/>
              <w:bottom w:val="single" w:color="000000" w:sz="4" w:space="0"/>
            </w:tcBorders>
            <w:tcW w:w="2268" w:type="dxa"/>
            <w:vAlign w:val="center"/>
            <w:textDirection w:val="lrTb"/>
            <w:noWrap w:val="false"/>
          </w:tcPr>
          <w:p>
            <w:pPr>
              <w:jc w:val="center"/>
              <w:rPr>
                <w:rFonts w:eastAsia="楷体_GB2312"/>
                <w:sz w:val="24"/>
                <w:szCs w:val="20"/>
              </w:rPr>
            </w:pPr>
            <w:r>
              <w:rPr>
                <w:rFonts w:hint="eastAsia" w:ascii="宋体" w:hAnsi="宋体" w:cs="宋体"/>
                <w:sz w:val="24"/>
                <w:szCs w:val="20"/>
              </w:rPr>
              <w:t xml:space="preserve">招标要求</w:t>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rPr>
                <w:rFonts w:eastAsia="楷体_GB2312"/>
                <w:sz w:val="24"/>
                <w:szCs w:val="20"/>
              </w:rPr>
            </w:pPr>
            <w:r>
              <w:rPr>
                <w:rFonts w:hint="eastAsia" w:ascii="宋体" w:hAnsi="宋体" w:cs="宋体"/>
                <w:sz w:val="24"/>
                <w:szCs w:val="20"/>
              </w:rPr>
              <w:t xml:space="preserve">投标内容</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eastAsia="楷体_GB2312"/>
                <w:sz w:val="24"/>
                <w:szCs w:val="20"/>
              </w:rPr>
            </w:pPr>
            <w:r>
              <w:rPr>
                <w:rFonts w:hint="eastAsia" w:ascii="宋体" w:hAnsi="宋体" w:cs="宋体"/>
                <w:sz w:val="24"/>
                <w:szCs w:val="20"/>
              </w:rPr>
              <w:t xml:space="preserve">偏离说明</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证明材料所在页码</w:t>
            </w:r>
            <w:r/>
          </w:p>
        </w:tc>
      </w:tr>
      <w:tr>
        <w:trPr/>
        <w:tc>
          <w:tcPr>
            <w:tcBorders>
              <w:top w:val="single" w:color="000000" w:sz="4" w:space="0"/>
              <w:left w:val="single" w:color="000000" w:sz="4" w:space="0"/>
              <w:bottom w:val="single" w:color="000000" w:sz="4" w:space="0"/>
            </w:tcBorders>
            <w:tcW w:w="91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1613" w:type="dxa"/>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tcBorders>
            <w:tcW w:w="2268" w:type="dxa"/>
            <w:textDirection w:val="lrTb"/>
            <w:noWrap w:val="false"/>
          </w:tcPr>
          <w:p>
            <w:pPr>
              <w:jc w:val="center"/>
              <w:spacing w:line="360" w:lineRule="auto"/>
              <w:rPr>
                <w:rFonts w:eastAsia="楷体_GB2312"/>
                <w:sz w:val="24"/>
                <w:szCs w:val="20"/>
              </w:rPr>
            </w:pPr>
            <w:r>
              <w:rPr>
                <w:rFonts w:eastAsia="楷体_GB2312"/>
                <w:sz w:val="24"/>
                <w:szCs w:val="20"/>
              </w:rPr>
            </w:r>
            <w:r/>
          </w:p>
        </w:tc>
        <w:tc>
          <w:tcPr>
            <w:tcBorders>
              <w:top w:val="single" w:color="000000" w:sz="4" w:space="0"/>
              <w:left w:val="single" w:color="000000" w:sz="4" w:space="0"/>
              <w:bottom w:val="single" w:color="000000" w:sz="4" w:space="0"/>
              <w:right w:val="single" w:color="000000" w:sz="4" w:space="0"/>
            </w:tcBorders>
            <w:tcW w:w="2119" w:type="dxa"/>
            <w:textDirection w:val="lrTb"/>
            <w:noWrap w:val="false"/>
          </w:tcPr>
          <w:p>
            <w:pPr>
              <w:jc w:val="center"/>
              <w:spacing w:line="360" w:lineRule="auto"/>
              <w:rPr>
                <w:rFonts w:eastAsia="楷体_GB2312"/>
                <w:sz w:val="24"/>
                <w:szCs w:val="20"/>
              </w:rPr>
            </w:pPr>
            <w:r>
              <w:rPr>
                <w:rFonts w:eastAsia="楷体_GB2312"/>
                <w:sz w:val="24"/>
                <w:szCs w:val="20"/>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center"/>
              <w:spacing w:line="360" w:lineRule="auto"/>
              <w:rPr>
                <w:rFonts w:eastAsia="楷体_GB2312"/>
                <w:sz w:val="24"/>
                <w:szCs w:val="20"/>
              </w:rPr>
            </w:pPr>
            <w:r>
              <w:rPr>
                <w:rFonts w:eastAsia="楷体_GB2312"/>
                <w:sz w:val="24"/>
                <w:szCs w:val="20"/>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360" w:lineRule="auto"/>
              <w:rPr>
                <w:rFonts w:eastAsia="楷体_GB2312"/>
                <w:sz w:val="24"/>
                <w:szCs w:val="20"/>
              </w:rPr>
            </w:pPr>
            <w:r>
              <w:rPr>
                <w:rFonts w:eastAsia="楷体_GB2312"/>
                <w:sz w:val="24"/>
                <w:szCs w:val="20"/>
              </w:rPr>
            </w:r>
            <w:r/>
          </w:p>
        </w:tc>
      </w:tr>
      <w:tr>
        <w:trPr/>
        <w:tc>
          <w:tcPr>
            <w:tcBorders>
              <w:top w:val="single" w:color="000000" w:sz="4" w:space="0"/>
              <w:left w:val="single" w:color="000000" w:sz="4" w:space="0"/>
              <w:bottom w:val="single" w:color="000000" w:sz="4" w:space="0"/>
            </w:tcBorders>
            <w:tcW w:w="91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1613" w:type="dxa"/>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tcBorders>
            <w:tcW w:w="2268"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2119"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r>
      <w:tr>
        <w:trPr/>
        <w:tc>
          <w:tcPr>
            <w:tcBorders>
              <w:top w:val="single" w:color="000000" w:sz="4" w:space="0"/>
              <w:left w:val="single" w:color="000000" w:sz="4" w:space="0"/>
              <w:bottom w:val="single" w:color="000000" w:sz="4" w:space="0"/>
            </w:tcBorders>
            <w:tcW w:w="91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1613"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268"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2119"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r>
      <w:tr>
        <w:trPr/>
        <w:tc>
          <w:tcPr>
            <w:tcBorders>
              <w:top w:val="single" w:color="000000" w:sz="4" w:space="0"/>
              <w:left w:val="single" w:color="000000" w:sz="4" w:space="0"/>
              <w:bottom w:val="single" w:color="000000" w:sz="4" w:space="0"/>
            </w:tcBorders>
            <w:tcW w:w="91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1613"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268"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2119"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360" w:lineRule="auto"/>
              <w:rPr>
                <w:rFonts w:ascii="宋体" w:hAnsi="宋体" w:cs="宋体"/>
                <w:sz w:val="24"/>
                <w:szCs w:val="20"/>
              </w:rPr>
            </w:pPr>
            <w:r>
              <w:rPr>
                <w:rFonts w:ascii="宋体" w:hAnsi="宋体" w:cs="宋体"/>
                <w:sz w:val="24"/>
                <w:szCs w:val="20"/>
              </w:rPr>
            </w:r>
            <w:r/>
          </w:p>
        </w:tc>
      </w:tr>
    </w:tbl>
    <w:p>
      <w:pPr>
        <w:jc w:val="left"/>
        <w:widowControl/>
      </w:pPr>
      <w:r>
        <w:rPr>
          <w:rFonts w:hint="eastAsia" w:ascii="宋体" w:hAnsi="宋体" w:cs="宋体"/>
          <w:szCs w:val="21"/>
          <w:lang w:bidi="ar"/>
        </w:rPr>
        <w:t xml:space="preserve">说明：如果行数不够，请自行增加。</w:t>
      </w:r>
      <w:r/>
    </w:p>
    <w:p>
      <w:pPr>
        <w:spacing w:line="360" w:lineRule="auto"/>
        <w:rPr>
          <w:rFonts w:ascii="宋体" w:hAnsi="宋体" w:cs="宋体"/>
          <w:sz w:val="24"/>
          <w:szCs w:val="20"/>
        </w:rPr>
      </w:pPr>
      <w:r/>
      <w:bookmarkStart w:id="70" w:name="OLE_LINK191"/>
      <w:r/>
      <w:bookmarkStart w:id="71" w:name="OLE_LINK190"/>
      <w:r/>
      <w:r/>
    </w:p>
    <w:p>
      <w:pPr>
        <w:spacing w:line="360" w:lineRule="auto"/>
        <w:rPr>
          <w:rFonts w:ascii="宋体" w:hAnsi="宋体"/>
          <w:sz w:val="24"/>
          <w:szCs w:val="20"/>
        </w:rPr>
      </w:pPr>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法定代表人或代理人：（签字</w:t>
      </w:r>
      <w:r>
        <w:rPr>
          <w:rFonts w:hint="eastAsia" w:ascii="宋体" w:hAnsi="宋体"/>
          <w:sz w:val="24"/>
          <w:szCs w:val="20"/>
        </w:rPr>
        <w:t xml:space="preserve">或盖章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70"/>
      <w:r/>
      <w:bookmarkEnd w:id="71"/>
      <w:r/>
      <w:r/>
    </w:p>
    <w:p>
      <w:pPr>
        <w:jc w:val="left"/>
        <w:spacing w:line="360" w:lineRule="auto"/>
        <w:rPr>
          <w:rFonts w:ascii="宋体" w:hAnsi="宋体" w:eastAsia="楷体_GB2312"/>
          <w:b/>
          <w:bCs/>
          <w:sz w:val="24"/>
          <w:szCs w:val="21"/>
        </w:rPr>
      </w:pPr>
      <w:r>
        <w:rPr>
          <w:rFonts w:hint="eastAsia" w:ascii="宋体" w:hAnsi="宋体" w:cs="宋体"/>
          <w:sz w:val="24"/>
          <w:szCs w:val="20"/>
        </w:rPr>
        <w:t xml:space="preserve">注：</w:t>
      </w:r>
      <w:r>
        <w:rPr>
          <w:rFonts w:hint="eastAsia" w:ascii="宋体" w:hAnsi="宋体" w:cs="宋体"/>
          <w:b/>
          <w:sz w:val="24"/>
          <w:szCs w:val="20"/>
        </w:rPr>
        <w:t xml:space="preserve">投标内容的技术指标请与招标要求</w:t>
      </w:r>
      <w:r>
        <w:rPr>
          <w:rFonts w:hint="eastAsia" w:ascii="宋体" w:hAnsi="宋体" w:cs="宋体"/>
          <w:b/>
          <w:sz w:val="24"/>
        </w:rPr>
        <w:t xml:space="preserve">中</w:t>
      </w:r>
      <w:r>
        <w:rPr>
          <w:rFonts w:hint="eastAsia" w:ascii="宋体" w:hAnsi="宋体" w:cs="宋体"/>
          <w:b/>
          <w:sz w:val="24"/>
          <w:szCs w:val="20"/>
        </w:rPr>
        <w:t xml:space="preserve">的序号相对应</w:t>
      </w:r>
      <w:r>
        <w:rPr>
          <w:rFonts w:hint="eastAsia" w:ascii="宋体" w:hAnsi="宋体" w:cs="宋体"/>
          <w:sz w:val="24"/>
          <w:szCs w:val="20"/>
        </w:rPr>
        <w:t xml:space="preserve">，与招标的技术和商务要求的不同的技术指标，应在相应项目“招标的技术和商务要求”的序号后另行列出。</w:t>
      </w:r>
      <w:r>
        <w:rPr>
          <w:rFonts w:hint="eastAsia" w:ascii="宋体" w:hAnsi="宋体" w:cs="宋体"/>
          <w:b/>
          <w:bCs/>
          <w:sz w:val="24"/>
          <w:szCs w:val="20"/>
        </w:rPr>
        <w:t xml:space="preserve">采购要求中如有</w:t>
      </w:r>
      <w:r>
        <w:rPr>
          <w:rFonts w:hint="eastAsia" w:ascii="宋体" w:hAnsi="宋体"/>
          <w:b/>
          <w:bCs/>
          <w:sz w:val="24"/>
          <w:szCs w:val="21"/>
        </w:rPr>
        <w:t xml:space="preserve">≥或≤等区值的</w:t>
      </w:r>
      <w:r>
        <w:rPr>
          <w:rFonts w:hint="eastAsia" w:ascii="宋体" w:hAnsi="宋体"/>
          <w:sz w:val="24"/>
          <w:szCs w:val="21"/>
        </w:rPr>
        <w:t xml:space="preserve">，</w:t>
      </w:r>
      <w:r>
        <w:rPr>
          <w:rFonts w:hint="eastAsia" w:ascii="宋体" w:hAnsi="宋体"/>
          <w:b/>
          <w:bCs/>
          <w:sz w:val="24"/>
          <w:szCs w:val="21"/>
        </w:rPr>
        <w:t xml:space="preserve">投标数据应根据实际数据填报。</w:t>
      </w:r>
      <w:r/>
    </w:p>
    <w:p>
      <w:pPr>
        <w:jc w:val="left"/>
        <w:spacing w:line="360" w:lineRule="auto"/>
        <w:rPr>
          <w:rFonts w:ascii="宋体" w:hAnsi="宋体" w:cs="宋体"/>
          <w:sz w:val="24"/>
          <w:szCs w:val="20"/>
        </w:rPr>
      </w:pPr>
      <w:r>
        <w:rPr>
          <w:rFonts w:hint="eastAsia" w:ascii="宋体" w:hAnsi="宋体" w:cs="宋体"/>
          <w:sz w:val="24"/>
          <w:szCs w:val="20"/>
        </w:rPr>
        <w:t xml:space="preserve">示例如下：</w:t>
      </w:r>
      <w:r/>
    </w:p>
    <w:p>
      <w:pPr>
        <w:jc w:val="center"/>
        <w:spacing w:line="360" w:lineRule="auto"/>
        <w:rPr>
          <w:rFonts w:ascii="宋体" w:hAnsi="宋体" w:cs="宋体"/>
          <w:sz w:val="24"/>
        </w:rPr>
      </w:pPr>
      <w:r>
        <w:rPr>
          <w:rFonts w:hint="eastAsia" w:ascii="宋体" w:hAnsi="宋体" w:cs="宋体"/>
          <w:sz w:val="24"/>
          <w:lang w:bidi="ar"/>
        </w:rPr>
        <w:t xml:space="preserve">技术条款响应/偏离表</w:t>
      </w:r>
      <w:r>
        <w:rPr>
          <w:rFonts w:hint="eastAsia" w:ascii="宋体" w:hAnsi="宋体" w:cs="宋体"/>
          <w:sz w:val="24"/>
        </w:rPr>
        <w:t xml:space="preserve">：</w:t>
      </w:r>
      <w:r/>
    </w:p>
    <w:tbl>
      <w:tblPr>
        <w:tblStyle w:val="720"/>
        <w:tblW w:w="8907" w:type="dxa"/>
        <w:tblInd w:w="-10" w:type="dxa"/>
        <w:tblLayout w:type="fixed"/>
        <w:tblCellMar>
          <w:left w:w="108" w:type="dxa"/>
          <w:top w:w="0" w:type="dxa"/>
          <w:right w:w="108" w:type="dxa"/>
          <w:bottom w:w="0" w:type="dxa"/>
        </w:tblCellMar>
        <w:tblLook w:val="04A0" w:firstRow="1" w:lastRow="0" w:firstColumn="1" w:lastColumn="0" w:noHBand="0" w:noVBand="1"/>
      </w:tblPr>
      <w:tblGrid>
        <w:gridCol w:w="826"/>
        <w:gridCol w:w="993"/>
        <w:gridCol w:w="2835"/>
        <w:gridCol w:w="2066"/>
        <w:gridCol w:w="2187"/>
      </w:tblGrid>
      <w:tr>
        <w:trPr/>
        <w:tc>
          <w:tcPr>
            <w:tcBorders>
              <w:top w:val="single" w:color="000000" w:sz="4" w:space="0"/>
              <w:left w:val="single" w:color="000000" w:sz="4" w:space="0"/>
              <w:bottom w:val="single" w:color="000000" w:sz="4" w:space="0"/>
              <w:right w:val="single" w:color="auto" w:sz="4" w:space="0"/>
            </w:tcBorders>
            <w:tcW w:w="826"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项目名称     </w:t>
            </w:r>
            <w:r/>
          </w:p>
        </w:tc>
        <w:tc>
          <w:tcPr>
            <w:tcBorders>
              <w:top w:val="single" w:color="000000" w:sz="4" w:space="0"/>
              <w:left w:val="single" w:color="auto" w:sz="4" w:space="0"/>
              <w:bottom w:val="single" w:color="000000" w:sz="4" w:space="0"/>
            </w:tcBorders>
            <w:tcW w:w="993" w:type="dxa"/>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品牌型号</w:t>
            </w:r>
            <w:r/>
          </w:p>
        </w:tc>
        <w:tc>
          <w:tcPr>
            <w:tcBorders>
              <w:top w:val="single" w:color="000000" w:sz="4" w:space="0"/>
              <w:left w:val="single" w:color="000000" w:sz="4" w:space="0"/>
              <w:bottom w:val="single" w:color="000000" w:sz="4" w:space="0"/>
            </w:tcBorders>
            <w:tcW w:w="2835" w:type="dxa"/>
            <w:textDirection w:val="lrTb"/>
            <w:noWrap w:val="false"/>
          </w:tcPr>
          <w:p>
            <w:pPr>
              <w:jc w:val="center"/>
              <w:spacing w:line="360" w:lineRule="auto"/>
              <w:rPr>
                <w:sz w:val="24"/>
                <w:szCs w:val="20"/>
              </w:rPr>
            </w:pPr>
            <w:r>
              <w:rPr>
                <w:rFonts w:hint="eastAsia" w:ascii="宋体" w:hAnsi="宋体" w:cs="宋体"/>
                <w:sz w:val="24"/>
                <w:szCs w:val="20"/>
              </w:rPr>
              <w:t xml:space="preserve">招标要求</w:t>
            </w:r>
            <w:r/>
          </w:p>
        </w:tc>
        <w:tc>
          <w:tcPr>
            <w:tcBorders>
              <w:top w:val="single" w:color="000000" w:sz="4" w:space="0"/>
              <w:left w:val="single" w:color="000000" w:sz="4" w:space="0"/>
              <w:bottom w:val="single" w:color="000000" w:sz="4" w:space="0"/>
            </w:tcBorders>
            <w:tcW w:w="2066"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投标内容</w:t>
            </w:r>
            <w:r/>
          </w:p>
        </w:tc>
        <w:tc>
          <w:tcPr>
            <w:tcBorders>
              <w:top w:val="single" w:color="000000" w:sz="4" w:space="0"/>
              <w:left w:val="single" w:color="000000" w:sz="4" w:space="0"/>
              <w:bottom w:val="single" w:color="000000" w:sz="4" w:space="0"/>
              <w:right w:val="single" w:color="000000" w:sz="4" w:space="0"/>
            </w:tcBorders>
            <w:tcW w:w="2187"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偏离说明</w:t>
            </w:r>
            <w:r/>
          </w:p>
        </w:tc>
      </w:tr>
      <w:tr>
        <w:trPr/>
        <w:tc>
          <w:tcPr>
            <w:tcBorders>
              <w:top w:val="single" w:color="000000" w:sz="4" w:space="0"/>
              <w:left w:val="single" w:color="000000" w:sz="4" w:space="0"/>
              <w:bottom w:val="single" w:color="000000" w:sz="4" w:space="0"/>
              <w:right w:val="single" w:color="auto" w:sz="4" w:space="0"/>
            </w:tcBorders>
            <w:tcW w:w="826" w:type="dxa"/>
            <w:textDirection w:val="lrTb"/>
            <w:noWrap w:val="false"/>
          </w:tcPr>
          <w:p>
            <w:pPr>
              <w:widowControl/>
              <w:rPr>
                <w:rFonts w:ascii="宋体" w:hAnsi="宋体" w:cs="宋体"/>
              </w:rPr>
            </w:pPr>
            <w:r>
              <w:rPr>
                <w:rFonts w:hint="eastAsia" w:ascii="宋体" w:hAnsi="宋体" w:cs="宋体"/>
                <w:szCs w:val="21"/>
              </w:rPr>
              <w:t xml:space="preserve">消防手套</w:t>
            </w:r>
            <w:r/>
          </w:p>
        </w:tc>
        <w:tc>
          <w:tcPr>
            <w:tcBorders>
              <w:top w:val="single" w:color="000000" w:sz="4" w:space="0"/>
              <w:left w:val="single" w:color="auto" w:sz="4" w:space="0"/>
              <w:bottom w:val="single" w:color="000000" w:sz="4" w:space="0"/>
            </w:tcBorders>
            <w:tcW w:w="993" w:type="dxa"/>
            <w:textDirection w:val="lrTb"/>
            <w:noWrap w:val="false"/>
          </w:tcPr>
          <w:p>
            <w:pPr>
              <w:jc w:val="left"/>
              <w:spacing w:line="360" w:lineRule="auto"/>
              <w:rPr>
                <w:rFonts w:ascii="宋体" w:hAnsi="宋体" w:cs="宋体"/>
                <w:sz w:val="24"/>
                <w:szCs w:val="20"/>
              </w:rPr>
            </w:pPr>
            <w:r>
              <w:rPr>
                <w:rFonts w:hint="eastAsia" w:ascii="宋体" w:hAnsi="宋体" w:cs="宋体"/>
                <w:sz w:val="24"/>
                <w:szCs w:val="20"/>
              </w:rPr>
              <w:t xml:space="preserve">XX牌XX型号</w:t>
            </w:r>
            <w:r/>
          </w:p>
        </w:tc>
        <w:tc>
          <w:tcPr>
            <w:tcBorders>
              <w:top w:val="single" w:color="000000" w:sz="4" w:space="0"/>
              <w:left w:val="single" w:color="000000" w:sz="4" w:space="0"/>
              <w:bottom w:val="single" w:color="000000" w:sz="4" w:space="0"/>
            </w:tcBorders>
            <w:tcW w:w="2835" w:type="dxa"/>
            <w:textDirection w:val="lrTb"/>
            <w:noWrap w:val="false"/>
          </w:tcPr>
          <w:p>
            <w:pPr>
              <w:ind w:left="210" w:hanging="210"/>
              <w:rPr>
                <w:rFonts w:ascii="宋体" w:hAnsi="宋体" w:cs="宋体"/>
                <w:szCs w:val="21"/>
              </w:rPr>
            </w:pPr>
            <w:r>
              <w:rPr>
                <w:rFonts w:hint="eastAsia" w:ascii="宋体" w:hAnsi="宋体" w:cs="宋体"/>
                <w:szCs w:val="21"/>
              </w:rPr>
              <w:t xml:space="preserve">1.符合GA7-2004标准手套；</w:t>
            </w:r>
            <w:r/>
          </w:p>
          <w:p>
            <w:r>
              <w:rPr>
                <w:rFonts w:hint="eastAsia" w:ascii="宋体" w:hAnsi="宋体" w:cs="宋体"/>
                <w:szCs w:val="21"/>
              </w:rPr>
              <w:t xml:space="preserve">2.外层应采用芳纶材料，并与皮革相配合，增加耐磨性。</w:t>
            </w:r>
            <w:r/>
          </w:p>
          <w:p>
            <w:r>
              <w:rPr>
                <w:rFonts w:hint="eastAsia" w:ascii="宋体" w:hAnsi="宋体" w:cs="宋体"/>
                <w:szCs w:val="21"/>
              </w:rPr>
              <w:t xml:space="preserve">3.有反光标志带。</w:t>
            </w:r>
            <w:r/>
          </w:p>
          <w:p>
            <w:r>
              <w:rPr>
                <w:rFonts w:hint="eastAsia" w:ascii="宋体" w:hAnsi="宋体" w:cs="宋体"/>
                <w:szCs w:val="21"/>
              </w:rPr>
              <w:t xml:space="preserve">4.隔热层应为芳纶水刺毡。</w:t>
            </w:r>
            <w:r/>
          </w:p>
          <w:p>
            <w:r>
              <w:rPr>
                <w:rFonts w:hint="eastAsia" w:ascii="宋体" w:hAnsi="宋体" w:cs="宋体"/>
                <w:szCs w:val="21"/>
              </w:rPr>
              <w:t xml:space="preserve">5.手套具有防水功能。</w:t>
            </w:r>
            <w:r/>
          </w:p>
          <w:p>
            <w:r>
              <w:rPr>
                <w:rFonts w:hint="eastAsia" w:ascii="宋体" w:hAnsi="宋体" w:cs="宋体"/>
                <w:szCs w:val="21"/>
              </w:rPr>
              <w:t xml:space="preserve">6.灵巧性能不低于4级,整体防护等级应为二类或三类。</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tcBorders>
            <w:tcW w:w="2066" w:type="dxa"/>
            <w:textDirection w:val="lrTb"/>
            <w:noWrap w:val="false"/>
          </w:tcPr>
          <w:p>
            <w:pPr>
              <w:rPr>
                <w:rFonts w:ascii="宋体" w:hAnsi="宋体" w:cs="宋体"/>
              </w:rPr>
            </w:pPr>
            <w:r>
              <w:rPr>
                <w:rFonts w:hint="eastAsia" w:ascii="宋体" w:hAnsi="宋体" w:cs="宋体"/>
              </w:rPr>
              <w:t xml:space="preserve">1.</w:t>
            </w:r>
            <w:r>
              <w:rPr>
                <w:rFonts w:hint="eastAsia" w:ascii="宋体" w:hAnsi="宋体" w:cs="宋体"/>
                <w:szCs w:val="21"/>
              </w:rPr>
              <w:t xml:space="preserve">符合GA7-2004标准手套；</w:t>
            </w:r>
            <w:r/>
          </w:p>
          <w:p>
            <w:pPr>
              <w:rPr>
                <w:rFonts w:ascii="宋体" w:hAnsi="宋体" w:cs="宋体"/>
              </w:rPr>
            </w:pPr>
            <w:r>
              <w:rPr>
                <w:rFonts w:hint="eastAsia" w:ascii="宋体" w:hAnsi="宋体" w:cs="宋体"/>
              </w:rPr>
              <w:t xml:space="preserve">2.......</w:t>
            </w:r>
            <w:r/>
          </w:p>
          <w:p>
            <w:pPr>
              <w:rPr>
                <w:rFonts w:ascii="宋体" w:hAnsi="宋体" w:cs="宋体"/>
              </w:rPr>
            </w:pPr>
            <w:r>
              <w:rPr>
                <w:rFonts w:hint="eastAsia" w:ascii="宋体" w:hAnsi="宋体" w:cs="宋体"/>
              </w:rPr>
              <w:t xml:space="preserve">3.......</w:t>
            </w:r>
            <w:r/>
          </w:p>
          <w:p>
            <w:pPr>
              <w:rPr>
                <w:rFonts w:ascii="宋体" w:hAnsi="宋体" w:cs="宋体"/>
              </w:rPr>
            </w:pPr>
            <w:r>
              <w:rPr>
                <w:rFonts w:hint="eastAsia" w:ascii="宋体" w:hAnsi="宋体" w:cs="宋体"/>
              </w:rPr>
              <w:t xml:space="preserve">4.......</w:t>
            </w:r>
            <w:r/>
          </w:p>
          <w:p>
            <w:pPr>
              <w:rPr>
                <w:rFonts w:ascii="宋体" w:hAnsi="宋体" w:cs="宋体"/>
              </w:rPr>
            </w:pPr>
            <w:r>
              <w:rPr>
                <w:rFonts w:hint="eastAsia" w:ascii="宋体" w:hAnsi="宋体" w:cs="宋体"/>
              </w:rPr>
              <w:t xml:space="preserve">5.......</w:t>
            </w:r>
            <w:r/>
          </w:p>
          <w:p>
            <w:pPr>
              <w:rPr>
                <w:b/>
                <w:bCs/>
              </w:rPr>
            </w:pPr>
            <w:r>
              <w:rPr>
                <w:rFonts w:hint="eastAsia" w:ascii="宋体" w:hAnsi="宋体" w:cs="宋体"/>
              </w:rPr>
              <w:t xml:space="preserve">6</w:t>
            </w:r>
            <w:r>
              <w:rPr>
                <w:rFonts w:hint="eastAsia" w:ascii="宋体" w:hAnsi="宋体" w:cs="宋体"/>
                <w:b/>
                <w:bCs/>
                <w:szCs w:val="21"/>
              </w:rPr>
              <w:t xml:space="preserve">灵巧性能3级,整体防护等级二类。</w:t>
            </w:r>
            <w:r/>
          </w:p>
          <w:p>
            <w:pPr>
              <w:rPr>
                <w:rFonts w:ascii="宋体" w:hAnsi="宋体" w:cs="宋体"/>
              </w:rPr>
            </w:pPr>
            <w:r>
              <w:rPr>
                <w:rFonts w:ascii="宋体" w:hAnsi="宋体" w:cs="宋体"/>
              </w:rPr>
            </w:r>
            <w:r/>
          </w:p>
          <w:p>
            <w:pPr>
              <w:rPr>
                <w:rFonts w:ascii="宋体" w:hAnsi="宋体" w:cs="宋体"/>
                <w:b/>
                <w:bCs/>
                <w:szCs w:val="21"/>
              </w:rPr>
            </w:pPr>
            <w:r>
              <w:rPr>
                <w:rFonts w:hint="eastAsia" w:ascii="宋体" w:hAnsi="宋体" w:cs="宋体"/>
                <w:szCs w:val="21"/>
              </w:rPr>
              <w:t xml:space="preserve">7.</w:t>
            </w:r>
            <w:r>
              <w:rPr>
                <w:rFonts w:hint="eastAsia" w:ascii="宋体" w:hAnsi="宋体" w:cs="宋体"/>
                <w:b/>
                <w:bCs/>
                <w:szCs w:val="21"/>
              </w:rPr>
              <w:t xml:space="preserve">检测</w:t>
            </w:r>
            <w:r>
              <w:rPr>
                <w:rFonts w:ascii="宋体" w:hAnsi="宋体" w:cs="宋体"/>
                <w:b/>
                <w:bCs/>
                <w:szCs w:val="21"/>
              </w:rPr>
              <w:t xml:space="preserve">报告</w:t>
            </w:r>
            <w:r>
              <w:rPr>
                <w:rFonts w:hint="eastAsia" w:ascii="宋体" w:hAnsi="宋体" w:cs="宋体"/>
                <w:b/>
                <w:bCs/>
                <w:szCs w:val="21"/>
              </w:rPr>
              <w:t xml:space="preserve">：详见本投标文件第XX-XX页</w:t>
            </w:r>
            <w:r/>
          </w:p>
          <w:p>
            <w:pPr>
              <w:rPr>
                <w:rFonts w:ascii="宋体" w:hAnsi="宋体" w:cs="宋体"/>
                <w:szCs w:val="21"/>
              </w:rPr>
            </w:pPr>
            <w:r>
              <w:rPr>
                <w:rFonts w:hint="eastAsia" w:ascii="宋体" w:hAnsi="宋体" w:cs="宋体"/>
                <w:szCs w:val="21"/>
              </w:rPr>
              <w:t xml:space="preserve">8.投标产品的其他指标：</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187" w:type="dxa"/>
            <w:textDirection w:val="lrTb"/>
            <w:noWrap w:val="false"/>
          </w:tcPr>
          <w:p>
            <w:pPr>
              <w:jc w:val="left"/>
              <w:spacing w:line="360" w:lineRule="auto"/>
              <w:rPr>
                <w:rFonts w:ascii="宋体" w:hAnsi="宋体" w:cs="宋体"/>
                <w:b/>
                <w:sz w:val="24"/>
                <w:szCs w:val="20"/>
              </w:rPr>
            </w:pPr>
            <w:r>
              <w:rPr>
                <w:rFonts w:hint="eastAsia" w:ascii="宋体" w:hAnsi="宋体" w:cs="宋体"/>
                <w:b/>
                <w:sz w:val="24"/>
                <w:szCs w:val="20"/>
              </w:rPr>
              <w:t xml:space="preserve">其中正偏离共：</w:t>
            </w:r>
            <w:r>
              <w:rPr>
                <w:rFonts w:hint="eastAsia" w:ascii="宋体" w:hAnsi="宋体" w:cs="宋体"/>
                <w:b/>
                <w:sz w:val="24"/>
                <w:szCs w:val="20"/>
                <w:u w:val="single"/>
              </w:rPr>
              <w:t xml:space="preserve">  </w:t>
            </w:r>
            <w:r>
              <w:rPr>
                <w:rFonts w:hint="eastAsia" w:ascii="宋体" w:hAnsi="宋体" w:cs="宋体"/>
                <w:b/>
                <w:sz w:val="24"/>
                <w:szCs w:val="20"/>
              </w:rPr>
              <w:t xml:space="preserve">项：序号为:3、5</w:t>
            </w:r>
            <w:r>
              <w:rPr>
                <w:rFonts w:ascii="宋体" w:hAnsi="宋体" w:cs="宋体"/>
                <w:b/>
                <w:sz w:val="24"/>
                <w:szCs w:val="20"/>
              </w:rPr>
              <w:t xml:space="preserve">…</w:t>
            </w:r>
            <w:r/>
          </w:p>
          <w:p>
            <w:pPr>
              <w:jc w:val="left"/>
              <w:spacing w:line="360" w:lineRule="auto"/>
              <w:rPr>
                <w:rFonts w:ascii="宋体" w:hAnsi="宋体" w:cs="宋体"/>
                <w:b/>
                <w:sz w:val="24"/>
                <w:szCs w:val="20"/>
              </w:rPr>
            </w:pPr>
            <w:r>
              <w:rPr>
                <w:rFonts w:hint="eastAsia" w:ascii="宋体" w:hAnsi="宋体" w:cs="宋体"/>
                <w:b/>
                <w:sz w:val="24"/>
                <w:szCs w:val="20"/>
              </w:rPr>
              <w:t xml:space="preserve">负偏离共：</w:t>
            </w:r>
            <w:r>
              <w:rPr>
                <w:rFonts w:hint="eastAsia" w:ascii="宋体" w:hAnsi="宋体" w:cs="宋体"/>
                <w:b/>
                <w:sz w:val="24"/>
                <w:szCs w:val="20"/>
                <w:u w:val="single"/>
              </w:rPr>
              <w:t xml:space="preserve">  </w:t>
            </w:r>
            <w:r>
              <w:rPr>
                <w:rFonts w:hint="eastAsia" w:ascii="宋体" w:hAnsi="宋体" w:cs="宋体"/>
                <w:b/>
                <w:sz w:val="24"/>
                <w:szCs w:val="20"/>
              </w:rPr>
              <w:t xml:space="preserve">项，序号为：2、6</w:t>
            </w:r>
            <w:r>
              <w:rPr>
                <w:rFonts w:ascii="宋体" w:hAnsi="宋体" w:cs="宋体"/>
                <w:b/>
                <w:sz w:val="24"/>
                <w:szCs w:val="20"/>
              </w:rPr>
              <w:t xml:space="preserve">…</w:t>
            </w:r>
            <w:r/>
          </w:p>
          <w:p>
            <w:pPr>
              <w:jc w:val="left"/>
              <w:spacing w:line="360" w:lineRule="auto"/>
              <w:rPr>
                <w:rFonts w:ascii="宋体" w:hAnsi="宋体" w:cs="宋体"/>
                <w:b/>
                <w:sz w:val="24"/>
                <w:szCs w:val="20"/>
                <w:u w:val="single"/>
              </w:rPr>
            </w:pPr>
            <w:r>
              <w:rPr>
                <w:rFonts w:hint="eastAsia" w:ascii="宋体" w:hAnsi="宋体" w:cs="宋体"/>
                <w:b/>
                <w:sz w:val="24"/>
                <w:szCs w:val="20"/>
              </w:rPr>
              <w:t xml:space="preserve">（以上序号为“投标产品的技术和商务内容”中的序号）</w:t>
            </w:r>
            <w:r/>
          </w:p>
        </w:tc>
      </w:tr>
    </w:tbl>
    <w:p>
      <w:pPr>
        <w:spacing w:line="360" w:lineRule="auto"/>
      </w:pPr>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ascii="宋体" w:hAnsi="宋体" w:cs="宋体"/>
          <w:b/>
          <w:sz w:val="24"/>
        </w:rPr>
      </w:r>
      <w:r/>
    </w:p>
    <w:p>
      <w:pPr>
        <w:jc w:val="left"/>
        <w:spacing w:line="360" w:lineRule="auto"/>
      </w:pPr>
      <w:r>
        <w:rPr>
          <w:rFonts w:hint="eastAsia" w:ascii="宋体" w:hAnsi="宋体" w:cs="宋体"/>
          <w:b/>
          <w:sz w:val="24"/>
        </w:rPr>
        <w:t xml:space="preserve">5、</w:t>
      </w:r>
      <w:bookmarkStart w:id="72" w:name="OLE_LINK217"/>
      <w:r>
        <w:rPr>
          <w:rFonts w:hint="eastAsia" w:ascii="宋体" w:hAnsi="宋体" w:cs="宋体"/>
          <w:b/>
          <w:sz w:val="24"/>
        </w:rPr>
        <w:t xml:space="preserve">商务条款响应/偏离表</w:t>
      </w:r>
      <w:bookmarkEnd w:id="72"/>
      <w:r/>
      <w:r/>
    </w:p>
    <w:tbl>
      <w:tblPr>
        <w:tblStyle w:val="720"/>
        <w:tblW w:w="8730" w:type="dxa"/>
        <w:tblInd w:w="-10" w:type="dxa"/>
        <w:tblLayout w:type="fixed"/>
        <w:tblCellMar>
          <w:left w:w="108" w:type="dxa"/>
          <w:top w:w="0" w:type="dxa"/>
          <w:right w:w="108" w:type="dxa"/>
          <w:bottom w:w="0" w:type="dxa"/>
        </w:tblCellMar>
        <w:tblLook w:val="04A0" w:firstRow="1" w:lastRow="0" w:firstColumn="1" w:lastColumn="0" w:noHBand="0" w:noVBand="1"/>
      </w:tblPr>
      <w:tblGrid>
        <w:gridCol w:w="915"/>
        <w:gridCol w:w="2025"/>
        <w:gridCol w:w="2160"/>
        <w:gridCol w:w="1815"/>
        <w:gridCol w:w="1815"/>
      </w:tblGrid>
      <w:tr>
        <w:trPr/>
        <w:tc>
          <w:tcPr>
            <w:tcBorders>
              <w:top w:val="single" w:color="000000" w:sz="4" w:space="0"/>
              <w:left w:val="single" w:color="000000" w:sz="4" w:space="0"/>
              <w:bottom w:val="single" w:color="000000" w:sz="4" w:space="0"/>
            </w:tcBorders>
            <w:tcW w:w="915" w:type="dxa"/>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序号</w:t>
            </w:r>
            <w:r/>
          </w:p>
        </w:tc>
        <w:tc>
          <w:tcPr>
            <w:tcBorders>
              <w:top w:val="single" w:color="000000" w:sz="4" w:space="0"/>
              <w:left w:val="single" w:color="000000" w:sz="4" w:space="0"/>
              <w:bottom w:val="single" w:color="000000" w:sz="4" w:space="0"/>
            </w:tcBorders>
            <w:tcW w:w="2025" w:type="dxa"/>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招标文件条目号</w:t>
            </w:r>
            <w:r/>
          </w:p>
        </w:tc>
        <w:tc>
          <w:tcPr>
            <w:tcBorders>
              <w:top w:val="single" w:color="000000" w:sz="4" w:space="0"/>
              <w:left w:val="single" w:color="000000" w:sz="4" w:space="0"/>
              <w:bottom w:val="single" w:color="000000" w:sz="4" w:space="0"/>
            </w:tcBorders>
            <w:tcW w:w="2160"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招标要求</w:t>
            </w:r>
            <w:r/>
          </w:p>
        </w:tc>
        <w:tc>
          <w:tcPr>
            <w:tcBorders>
              <w:top w:val="single" w:color="000000" w:sz="4" w:space="0"/>
              <w:left w:val="single" w:color="000000" w:sz="4" w:space="0"/>
              <w:bottom w:val="single" w:color="000000" w:sz="4" w:space="0"/>
              <w:right w:val="single" w:color="000000" w:sz="4" w:space="0"/>
            </w:tcBorders>
            <w:tcW w:w="1815"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投标内容</w:t>
            </w:r>
            <w:r/>
          </w:p>
        </w:tc>
        <w:tc>
          <w:tcPr>
            <w:tcBorders>
              <w:top w:val="single" w:color="000000" w:sz="4" w:space="0"/>
              <w:left w:val="single" w:color="000000" w:sz="4" w:space="0"/>
              <w:bottom w:val="single" w:color="000000" w:sz="4" w:space="0"/>
              <w:right w:val="single" w:color="000000" w:sz="4" w:space="0"/>
            </w:tcBorders>
            <w:tcW w:w="1815" w:type="dxa"/>
            <w:textDirection w:val="lrTb"/>
            <w:noWrap w:val="false"/>
          </w:tcPr>
          <w:p>
            <w:pPr>
              <w:jc w:val="center"/>
              <w:spacing w:line="360" w:lineRule="auto"/>
              <w:rPr>
                <w:rFonts w:eastAsia="楷体_GB2312"/>
                <w:sz w:val="24"/>
                <w:szCs w:val="20"/>
              </w:rPr>
            </w:pPr>
            <w:r>
              <w:rPr>
                <w:rFonts w:hint="eastAsia" w:ascii="宋体" w:hAnsi="宋体" w:cs="宋体"/>
                <w:sz w:val="24"/>
                <w:szCs w:val="20"/>
              </w:rPr>
              <w:t xml:space="preserve">偏离说明</w:t>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交付时间</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eastAsia="楷体_GB2312"/>
                <w:sz w:val="24"/>
                <w:szCs w:val="20"/>
              </w:rPr>
            </w:pPr>
            <w:r>
              <w:rPr>
                <w:rFonts w:eastAsia="楷体_GB2312"/>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eastAsia="楷体_GB2312"/>
                <w:sz w:val="24"/>
                <w:szCs w:val="20"/>
              </w:rPr>
            </w:pPr>
            <w:r>
              <w:rPr>
                <w:rFonts w:eastAsia="楷体_GB2312"/>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eastAsia="楷体_GB2312"/>
                <w:sz w:val="24"/>
                <w:szCs w:val="20"/>
              </w:rPr>
            </w:pPr>
            <w:r>
              <w:rPr>
                <w:rFonts w:eastAsia="楷体_GB2312"/>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rPr>
            </w:pPr>
            <w:r>
              <w:rPr>
                <w:rFonts w:hint="eastAsia" w:ascii="宋体" w:hAnsi="宋体" w:cs="宋体"/>
                <w:sz w:val="24"/>
              </w:rPr>
              <w:t xml:space="preserve">付款方式</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rPr>
            </w:pPr>
            <w:r>
              <w:rPr>
                <w:rFonts w:hint="eastAsia" w:ascii="宋体" w:hAnsi="宋体" w:cs="宋体"/>
                <w:sz w:val="24"/>
              </w:rPr>
              <w:t xml:space="preserve">质保期</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rPr>
            </w:pPr>
            <w:r>
              <w:rPr>
                <w:rFonts w:hint="eastAsia" w:ascii="宋体" w:hAnsi="宋体" w:cs="宋体"/>
                <w:sz w:val="24"/>
              </w:rPr>
              <w:t xml:space="preserve">售后服务</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rPr>
            </w:pPr>
            <w:r>
              <w:rPr>
                <w:rFonts w:hint="eastAsia" w:ascii="宋体" w:hAnsi="宋体" w:cs="宋体"/>
                <w:sz w:val="24"/>
              </w:rPr>
              <w:t xml:space="preserve">运维技术及服务要求</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合同主要条款</w:t>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trHeight w:val="479"/>
        </w:trPr>
        <w:tc>
          <w:tcPr>
            <w:tcBorders>
              <w:top w:val="single" w:color="000000" w:sz="4" w:space="0"/>
              <w:left w:val="single" w:color="000000" w:sz="4" w:space="0"/>
              <w:bottom w:val="single" w:color="000000" w:sz="4" w:space="0"/>
            </w:tcBorders>
            <w:tcW w:w="9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02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tcBorders>
            <w:tcW w:w="2160"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bl>
    <w:p>
      <w:pPr>
        <w:jc w:val="left"/>
        <w:widowControl/>
        <w:rPr>
          <w:rFonts w:ascii="宋体" w:hAnsi="宋体" w:cs="宋体"/>
          <w:szCs w:val="21"/>
          <w:lang w:bidi="ar"/>
        </w:rPr>
      </w:pPr>
      <w:r>
        <w:rPr>
          <w:rFonts w:hint="eastAsia" w:ascii="宋体" w:hAnsi="宋体" w:cs="宋体"/>
          <w:szCs w:val="21"/>
          <w:lang w:bidi="ar"/>
        </w:rPr>
        <w:t xml:space="preserve">说明：如果行数不够，请自行增加。</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sz w:val="24"/>
          <w:szCs w:val="20"/>
        </w:rPr>
      </w:pPr>
      <w:r/>
      <w:bookmarkStart w:id="73" w:name="OLE_LINK196"/>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法定代表人或代理人：（签字</w:t>
      </w:r>
      <w:r>
        <w:rPr>
          <w:rFonts w:hint="eastAsia" w:ascii="宋体" w:hAnsi="宋体"/>
          <w:sz w:val="24"/>
          <w:szCs w:val="20"/>
        </w:rPr>
        <w:t xml:space="preserve">或盖章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73"/>
      <w:r/>
      <w:r/>
    </w:p>
    <w:p>
      <w:pPr>
        <w:jc w:val="left"/>
        <w:widowControl/>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sz w:val="24"/>
        </w:rPr>
        <w:br w:type="page" w:clear="all"/>
      </w:r>
      <w:r>
        <w:rPr>
          <w:rFonts w:ascii="宋体" w:hAnsi="宋体" w:cs="宋体"/>
          <w:b/>
          <w:sz w:val="24"/>
        </w:rPr>
        <w:t xml:space="preserve"> </w:t>
      </w:r>
      <w:bookmarkStart w:id="74" w:name="_Ref62136798"/>
      <w:r>
        <w:rPr>
          <w:rFonts w:hint="eastAsia" w:ascii="宋体" w:hAnsi="宋体" w:cs="宋体"/>
          <w:b/>
          <w:sz w:val="24"/>
        </w:rPr>
        <w:t xml:space="preserve">6、人员配备表</w:t>
      </w:r>
      <w:bookmarkEnd w:id="74"/>
      <w:r/>
      <w:r/>
    </w:p>
    <w:p>
      <w:pPr>
        <w:jc w:val="center"/>
        <w:rPr>
          <w:rFonts w:ascii="宋体" w:hAnsi="宋体"/>
          <w:b/>
          <w:sz w:val="24"/>
          <w:szCs w:val="20"/>
        </w:rPr>
      </w:pPr>
      <w:r>
        <w:rPr>
          <w:rFonts w:hint="eastAsia" w:ascii="宋体" w:hAnsi="宋体"/>
          <w:b/>
          <w:sz w:val="24"/>
          <w:szCs w:val="20"/>
        </w:rPr>
        <w:t xml:space="preserve">拟投入本项目的项目团队配置情况</w:t>
      </w:r>
      <w:r/>
    </w:p>
    <w:p>
      <w:pPr>
        <w:jc w:val="center"/>
        <w:rPr>
          <w:rFonts w:ascii="宋体" w:hAnsi="宋体"/>
          <w:b/>
          <w:sz w:val="24"/>
          <w:szCs w:val="20"/>
        </w:rPr>
      </w:pPr>
      <w:r>
        <w:rPr>
          <w:rFonts w:ascii="宋体" w:hAnsi="宋体"/>
          <w:b/>
          <w:sz w:val="24"/>
          <w:szCs w:val="20"/>
        </w:rPr>
      </w:r>
      <w:r/>
    </w:p>
    <w:tbl>
      <w:tblPr>
        <w:tblStyle w:val="7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834"/>
        <w:gridCol w:w="1400"/>
        <w:gridCol w:w="709"/>
        <w:gridCol w:w="992"/>
        <w:gridCol w:w="1451"/>
        <w:gridCol w:w="1559"/>
        <w:gridCol w:w="1560"/>
      </w:tblGrid>
      <w:tr>
        <w:trPr>
          <w:jc w:val="center"/>
          <w:trHeight w:val="182"/>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rPr>
                <w:sz w:val="24"/>
              </w:rPr>
            </w:pPr>
            <w:r>
              <w:rPr>
                <w:rFonts w:hint="eastAsia"/>
                <w:sz w:val="24"/>
              </w:rPr>
              <w:t xml:space="preserve">姓名</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sz w:val="24"/>
              </w:rPr>
            </w:pPr>
            <w:r>
              <w:rPr>
                <w:rFonts w:hint="eastAsia"/>
                <w:sz w:val="24"/>
              </w:rPr>
              <w:t xml:space="preserve">拟在本项目担任的职务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rFonts w:hint="eastAsia"/>
                <w:sz w:val="24"/>
              </w:rPr>
              <w:t xml:space="preserve">年龄</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sz w:val="24"/>
              </w:rPr>
            </w:pPr>
            <w:r>
              <w:rPr>
                <w:rFonts w:hint="eastAsia"/>
                <w:sz w:val="24"/>
              </w:rPr>
              <w:t xml:space="preserve">职称</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rPr>
                <w:sz w:val="24"/>
              </w:rPr>
            </w:pPr>
            <w:r>
              <w:rPr>
                <w:rFonts w:hint="eastAsia"/>
                <w:sz w:val="24"/>
              </w:rPr>
              <w:t xml:space="preserve">专业/资格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t xml:space="preserve">持证情况</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sz w:val="24"/>
              </w:rPr>
            </w:pPr>
            <w:r>
              <w:rPr>
                <w:rFonts w:hint="eastAsia"/>
                <w:sz w:val="24"/>
              </w:rPr>
              <w:t xml:space="preserve">从事本工作时间（月）</w:t>
            </w:r>
            <w:r/>
          </w:p>
        </w:tc>
      </w:tr>
      <w:tr>
        <w:trPr>
          <w:jc w:val="center"/>
          <w:trHeight w:val="452"/>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auto"/>
              <w:rPr>
                <w:sz w:val="24"/>
              </w:rPr>
            </w:pPr>
            <w:r>
              <w:rPr>
                <w:sz w:val="24"/>
              </w:rPr>
              <w:t xml:space="preserve">项目经理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sz w:val="24"/>
              </w:rPr>
            </w:pPr>
            <w:r>
              <w:rPr>
                <w:sz w:val="24"/>
              </w:rPr>
            </w:r>
            <w:r/>
          </w:p>
        </w:tc>
      </w:tr>
      <w:tr>
        <w:trPr>
          <w:jc w:val="center"/>
          <w:trHeight w:val="432"/>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sz w:val="24"/>
              </w:rPr>
            </w:pPr>
            <w:r>
              <w:rPr>
                <w:sz w:val="24"/>
              </w:rPr>
            </w:r>
            <w:r/>
          </w:p>
        </w:tc>
      </w:tr>
      <w:tr>
        <w:trPr>
          <w:jc w:val="center"/>
          <w:trHeight w:val="426"/>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sz w:val="24"/>
              </w:rPr>
            </w:pPr>
            <w:r>
              <w:rPr>
                <w:sz w:val="24"/>
              </w:rPr>
            </w:r>
            <w:r/>
          </w:p>
        </w:tc>
      </w:tr>
      <w:tr>
        <w:trPr>
          <w:jc w:val="center"/>
          <w:trHeight w:val="426"/>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sz w:val="24"/>
              </w:rPr>
            </w:pPr>
            <w:r>
              <w:rPr>
                <w:sz w:val="24"/>
              </w:rPr>
            </w:r>
            <w:r/>
          </w:p>
        </w:tc>
      </w:tr>
      <w:tr>
        <w:trPr>
          <w:jc w:val="center"/>
          <w:trHeight w:val="426"/>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sz w:val="24"/>
              </w:rPr>
            </w:pPr>
            <w:r>
              <w:rPr>
                <w:sz w:val="24"/>
              </w:rPr>
            </w:r>
            <w:r/>
          </w:p>
        </w:tc>
      </w:tr>
    </w:tbl>
    <w:p>
      <w:pPr>
        <w:spacing w:line="400" w:lineRule="exact"/>
        <w:rPr>
          <w:rFonts w:ascii="宋体" w:hAnsi="宋体"/>
          <w:sz w:val="24"/>
        </w:rPr>
      </w:pPr>
      <w:r>
        <w:rPr>
          <w:rFonts w:hint="eastAsia" w:ascii="宋体" w:hAnsi="宋体"/>
          <w:sz w:val="24"/>
        </w:rPr>
        <w:t xml:space="preserve">注：按采购要求和评审标准提供相关人员材料。</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360" w:lineRule="auto"/>
        <w:rPr>
          <w:rFonts w:ascii="宋体" w:hAnsi="宋体" w:cs="宋体"/>
          <w:sz w:val="24"/>
          <w:szCs w:val="20"/>
        </w:rPr>
      </w:pPr>
      <w:r/>
      <w:bookmarkStart w:id="75" w:name="OLE_LINK201"/>
      <w:r/>
      <w:bookmarkStart w:id="76" w:name="OLE_LINK202"/>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bookmarkEnd w:id="75"/>
      <w:r/>
      <w:bookmarkEnd w:id="76"/>
      <w:r/>
      <w:r/>
    </w:p>
    <w:p>
      <w:pPr>
        <w:jc w:val="left"/>
        <w:rPr>
          <w:rFonts w:ascii="宋体" w:hAnsi="宋体"/>
          <w:sz w:val="24"/>
          <w:szCs w:val="20"/>
        </w:rPr>
      </w:pPr>
      <w:r>
        <w:rPr>
          <w:rFonts w:ascii="宋体" w:hAnsi="宋体"/>
          <w:sz w:val="24"/>
          <w:szCs w:val="20"/>
        </w:rPr>
      </w:r>
      <w:r/>
    </w:p>
    <w:p>
      <w:pPr>
        <w:jc w:val="left"/>
        <w:widowControl/>
        <w:rPr>
          <w:rFonts w:ascii="宋体" w:hAnsi="宋体" w:cs="宋体"/>
          <w:b/>
          <w:sz w:val="24"/>
        </w:rPr>
      </w:pPr>
      <w:r>
        <w:rPr>
          <w:rFonts w:ascii="宋体" w:hAnsi="宋体" w:cs="宋体"/>
          <w:b/>
          <w:sz w:val="24"/>
        </w:rPr>
        <w:br w:type="page" w:clear="all"/>
      </w:r>
      <w:r/>
    </w:p>
    <w:p>
      <w:pPr>
        <w:spacing w:line="360" w:lineRule="auto"/>
        <w:rPr>
          <w:rFonts w:ascii="宋体" w:hAnsi="宋体" w:cs="宋体"/>
          <w:b/>
          <w:sz w:val="24"/>
        </w:rPr>
      </w:pPr>
      <w:r/>
      <w:bookmarkStart w:id="77" w:name="_Ref62136812"/>
      <w:r>
        <w:rPr>
          <w:rFonts w:hint="eastAsia" w:ascii="宋体" w:hAnsi="宋体" w:cs="宋体"/>
          <w:b/>
          <w:sz w:val="24"/>
        </w:rPr>
        <w:t xml:space="preserve">7、 </w:t>
      </w:r>
      <w:bookmarkEnd w:id="77"/>
      <w:r>
        <w:rPr>
          <w:rFonts w:hint="eastAsia" w:ascii="宋体" w:hAnsi="宋体" w:cs="宋体"/>
          <w:b/>
          <w:sz w:val="24"/>
        </w:rPr>
        <w:t xml:space="preserve">项目经验</w:t>
      </w:r>
      <w:r/>
    </w:p>
    <w:p>
      <w:pPr>
        <w:jc w:val="center"/>
        <w:spacing w:line="360" w:lineRule="auto"/>
        <w:rPr>
          <w:rFonts w:ascii="宋体" w:hAnsi="宋体"/>
          <w:sz w:val="24"/>
        </w:rPr>
      </w:pPr>
      <w:r>
        <w:rPr>
          <w:rFonts w:hint="eastAsia" w:ascii="宋体" w:hAnsi="宋体"/>
          <w:sz w:val="24"/>
        </w:rPr>
        <w:t xml:space="preserve">2023年以来类似地表水水质自动站建设或运维业绩</w:t>
      </w:r>
      <w:r>
        <w:rPr>
          <w:rFonts w:ascii="宋体" w:hAnsi="宋体"/>
          <w:sz w:val="24"/>
        </w:rPr>
        <w:t xml:space="preserve">汇总表</w:t>
      </w:r>
      <w:r/>
    </w:p>
    <w:tbl>
      <w:tblPr>
        <w:tblStyle w:val="720"/>
        <w:tblW w:w="92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3"/>
        <w:gridCol w:w="1331"/>
        <w:gridCol w:w="1275"/>
        <w:gridCol w:w="1585"/>
        <w:gridCol w:w="2046"/>
        <w:gridCol w:w="2162"/>
      </w:tblGrid>
      <w:tr>
        <w:trPr>
          <w:cantSplit/>
          <w:trHeight w:val="740"/>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t xml:space="preserve">序号</w:t>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jc w:val="center"/>
              <w:spacing w:line="400" w:lineRule="exact"/>
              <w:rPr>
                <w:rFonts w:ascii="宋体" w:hAnsi="宋体"/>
                <w:sz w:val="24"/>
              </w:rPr>
            </w:pPr>
            <w:r>
              <w:rPr>
                <w:rFonts w:ascii="宋体" w:hAnsi="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400" w:lineRule="exact"/>
              <w:rPr>
                <w:rFonts w:ascii="宋体" w:hAnsi="宋体"/>
                <w:sz w:val="24"/>
              </w:rPr>
            </w:pPr>
            <w:r>
              <w:rPr>
                <w:rFonts w:ascii="宋体" w:hAnsi="宋体"/>
                <w:sz w:val="24"/>
              </w:rPr>
              <w:t xml:space="preserve">业主单位</w:t>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jc w:val="center"/>
              <w:spacing w:line="400" w:lineRule="exact"/>
              <w:rPr>
                <w:rFonts w:ascii="宋体" w:hAnsi="宋体"/>
                <w:sz w:val="24"/>
              </w:rPr>
            </w:pPr>
            <w:r>
              <w:rPr>
                <w:rFonts w:ascii="宋体" w:hAnsi="宋体"/>
                <w:sz w:val="24"/>
              </w:rPr>
              <w:t xml:space="preserve">合同时间</w:t>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jc w:val="center"/>
              <w:spacing w:line="400" w:lineRule="exact"/>
              <w:rPr>
                <w:rFonts w:ascii="宋体" w:hAnsi="宋体"/>
                <w:sz w:val="24"/>
              </w:rPr>
            </w:pPr>
            <w:r>
              <w:rPr>
                <w:rFonts w:ascii="宋体" w:hAnsi="宋体"/>
                <w:sz w:val="24"/>
              </w:rPr>
              <w:t xml:space="preserve">合同金额（万元）</w:t>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jc w:val="center"/>
              <w:spacing w:line="400" w:lineRule="exact"/>
              <w:rPr>
                <w:rFonts w:ascii="宋体" w:hAnsi="宋体"/>
                <w:sz w:val="24"/>
              </w:rPr>
            </w:pPr>
            <w:r>
              <w:rPr>
                <w:rFonts w:hint="eastAsia" w:hAnsi="宋体"/>
                <w:szCs w:val="21"/>
              </w:rPr>
              <w:t xml:space="preserve">属于运维业绩的，运维范围是否包括五参数（</w:t>
            </w:r>
            <w:r>
              <w:rPr>
                <w:rFonts w:hint="eastAsia" w:hAnsi="宋体" w:cs="宋体"/>
                <w:szCs w:val="21"/>
              </w:rPr>
              <w:t xml:space="preserve">水温、pH值、溶解氧、电导率、浊度</w:t>
            </w:r>
            <w:r>
              <w:rPr>
                <w:rFonts w:hint="eastAsia" w:hAnsi="宋体"/>
                <w:szCs w:val="21"/>
              </w:rPr>
              <w:t xml:space="preserve">）、氨氮、高锰酸盐指数、总磷、总氮九项指标且运维期不低于半年</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3" w:type="dxa"/>
            <w:vAlign w:val="center"/>
            <w:textDirection w:val="tbRlV"/>
            <w:noWrap w:val="false"/>
          </w:tcPr>
          <w:p>
            <w:pPr>
              <w:ind w:left="113" w:right="113"/>
              <w:jc w:val="center"/>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331"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585"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2046" w:type="dxa"/>
            <w:vAlign w:val="center"/>
            <w:textDirection w:val="lrTb"/>
            <w:noWrap w:val="false"/>
          </w:tcPr>
          <w:p>
            <w:pPr>
              <w:ind w:left="420"/>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162" w:type="dxa"/>
            <w:vAlign w:val="center"/>
            <w:textDirection w:val="lrTb"/>
            <w:noWrap w:val="false"/>
          </w:tcPr>
          <w:p>
            <w:pPr>
              <w:ind w:left="420"/>
              <w:spacing w:line="400" w:lineRule="exact"/>
              <w:rPr>
                <w:rFonts w:ascii="宋体" w:hAnsi="宋体"/>
                <w:sz w:val="24"/>
              </w:rPr>
            </w:pPr>
            <w:r>
              <w:rPr>
                <w:rFonts w:ascii="宋体" w:hAnsi="宋体"/>
                <w:sz w:val="24"/>
              </w:rPr>
            </w:r>
            <w:r/>
          </w:p>
        </w:tc>
      </w:tr>
    </w:tbl>
    <w:p>
      <w:pPr>
        <w:spacing w:line="360" w:lineRule="auto"/>
        <w:rPr>
          <w:rFonts w:ascii="宋体" w:hAnsi="宋体"/>
          <w:sz w:val="24"/>
        </w:rPr>
      </w:pPr>
      <w:r>
        <w:rPr>
          <w:rFonts w:hint="eastAsia" w:ascii="宋体" w:hAnsi="宋体"/>
          <w:sz w:val="24"/>
        </w:rPr>
        <w:t xml:space="preserve">注：按采购要求和评审要求提供相应证明材料。</w:t>
      </w:r>
      <w:r/>
    </w:p>
    <w:p>
      <w:pPr>
        <w:spacing w:line="360" w:lineRule="auto"/>
        <w:rPr>
          <w:rFonts w:ascii="宋体" w:hAnsi="宋体"/>
          <w:sz w:val="24"/>
        </w:rPr>
      </w:pPr>
      <w:r>
        <w:rPr>
          <w:rFonts w:ascii="宋体" w:hAnsi="宋体"/>
          <w:sz w:val="24"/>
        </w:rPr>
      </w:r>
      <w:r/>
    </w:p>
    <w:p>
      <w:pPr>
        <w:spacing w:line="360" w:lineRule="auto"/>
        <w:rPr>
          <w:rFonts w:ascii="宋体" w:hAnsi="宋体" w:cs="宋体"/>
          <w:sz w:val="24"/>
          <w:szCs w:val="20"/>
        </w:rPr>
      </w:pPr>
      <w:r>
        <w:rPr>
          <w:rFonts w:ascii="宋体" w:hAnsi="宋体"/>
          <w:sz w:val="24"/>
          <w:szCs w:val="20"/>
        </w:rPr>
        <w:t xml:space="preserve">投标</w:t>
      </w:r>
      <w:r>
        <w:rPr>
          <w:rFonts w:hint="eastAsia" w:ascii="宋体" w:hAnsi="宋体"/>
          <w:sz w:val="24"/>
          <w:szCs w:val="20"/>
        </w:rPr>
        <w:t xml:space="preserve">人</w:t>
      </w:r>
      <w:r>
        <w:rPr>
          <w:rFonts w:ascii="宋体" w:hAnsi="宋体"/>
          <w:sz w:val="24"/>
          <w:szCs w:val="20"/>
        </w:rPr>
        <w:t xml:space="preserve">：（单位</w:t>
      </w:r>
      <w:r>
        <w:rPr>
          <w:rFonts w:hint="eastAsia" w:ascii="宋体" w:hAnsi="宋体"/>
          <w:sz w:val="24"/>
          <w:szCs w:val="20"/>
        </w:rPr>
        <w:t xml:space="preserve">盖</w:t>
      </w:r>
      <w:r>
        <w:rPr>
          <w:rFonts w:hint="eastAsia" w:ascii="宋体" w:hAnsi="宋体"/>
          <w:sz w:val="24"/>
        </w:rPr>
        <w:t xml:space="preserve">章</w:t>
      </w:r>
      <w:r>
        <w:rPr>
          <w:rFonts w:ascii="宋体" w:hAnsi="宋体"/>
          <w:sz w:val="24"/>
          <w:szCs w:val="20"/>
        </w:rPr>
        <w:t xml:space="preserve">）</w:t>
      </w:r>
      <w:r/>
    </w:p>
    <w:p>
      <w:pPr>
        <w:spacing w:line="360" w:lineRule="auto"/>
        <w:rPr>
          <w:rFonts w:ascii="宋体" w:hAnsi="宋体"/>
          <w:sz w:val="24"/>
          <w:szCs w:val="20"/>
        </w:rPr>
      </w:pPr>
      <w:r>
        <w:rPr>
          <w:rFonts w:ascii="宋体" w:hAnsi="宋体"/>
          <w:sz w:val="24"/>
          <w:szCs w:val="20"/>
        </w:rPr>
        <w:t xml:space="preserve">日期：         年     月    日</w:t>
      </w:r>
      <w:r/>
    </w:p>
    <w:p>
      <w:pPr>
        <w:jc w:val="left"/>
        <w:spacing w:line="360" w:lineRule="auto"/>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8、资格证明文件（部分格式）</w:t>
      </w:r>
      <w:r/>
    </w:p>
    <w:p>
      <w:pPr>
        <w:spacing w:line="360" w:lineRule="auto"/>
        <w:rPr>
          <w:rFonts w:ascii="宋体" w:hAnsi="宋体" w:cs="宋体"/>
          <w:b/>
          <w:sz w:val="24"/>
        </w:rPr>
      </w:pPr>
      <w:r>
        <w:rPr>
          <w:rFonts w:hint="eastAsia" w:ascii="宋体" w:hAnsi="宋体" w:cs="宋体"/>
          <w:b/>
          <w:sz w:val="24"/>
        </w:rPr>
        <w:t xml:space="preserve">（1）关于资格文件的声明函</w:t>
      </w:r>
      <w:r/>
    </w:p>
    <w:p>
      <w:pPr>
        <w:jc w:val="left"/>
        <w:spacing w:line="360" w:lineRule="auto"/>
        <w:rPr>
          <w:rFonts w:ascii="宋体" w:hAnsi="宋体" w:cs="宋体"/>
          <w:sz w:val="24"/>
        </w:rPr>
      </w:pPr>
      <w:r>
        <w:rPr>
          <w:rFonts w:ascii="宋体" w:hAnsi="宋体" w:cs="宋体"/>
          <w:sz w:val="24"/>
        </w:rPr>
      </w:r>
      <w:r/>
    </w:p>
    <w:p>
      <w:pPr>
        <w:ind w:firstLine="420"/>
        <w:jc w:val="center"/>
        <w:spacing w:line="360" w:lineRule="auto"/>
        <w:rPr>
          <w:rFonts w:ascii="宋体" w:hAnsi="宋体" w:cs="宋体"/>
          <w:sz w:val="24"/>
        </w:rPr>
      </w:pPr>
      <w:r>
        <w:rPr>
          <w:rFonts w:hint="eastAsia" w:ascii="宋体" w:hAnsi="宋体" w:cs="宋体"/>
          <w:sz w:val="24"/>
        </w:rPr>
        <w:t xml:space="preserve">关于资格文件的声明函</w:t>
      </w:r>
      <w:r/>
    </w:p>
    <w:p>
      <w:pPr>
        <w:ind w:firstLine="420"/>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苏州市天美达招投标咨询服务有限公司  </w:t>
      </w:r>
      <w:r>
        <w:rPr>
          <w:rFonts w:hint="eastAsia" w:ascii="宋体" w:hAnsi="宋体" w:cs="宋体"/>
          <w:sz w:val="24"/>
        </w:rPr>
        <w:t xml:space="preserve">：</w:t>
      </w:r>
      <w:r/>
    </w:p>
    <w:p>
      <w:pPr>
        <w:ind w:firstLine="420"/>
        <w:jc w:val="left"/>
        <w:spacing w:line="360" w:lineRule="auto"/>
        <w:rPr>
          <w:rFonts w:ascii="宋体" w:hAnsi="宋体" w:cs="宋体"/>
          <w:sz w:val="24"/>
        </w:rPr>
      </w:pPr>
      <w:r>
        <w:rPr>
          <w:rFonts w:hint="eastAsia" w:ascii="宋体" w:hAnsi="宋体" w:cs="宋体"/>
          <w:sz w:val="24"/>
        </w:rPr>
        <w:t xml:space="preserve"> 本单位愿就由贵公司组织实施的编号为</w:t>
      </w:r>
      <w:r>
        <w:rPr>
          <w:rFonts w:hint="eastAsia" w:ascii="宋体" w:hAnsi="宋体" w:cs="宋体"/>
          <w:sz w:val="24"/>
          <w:u w:val="single"/>
        </w:rPr>
        <w:t xml:space="preserve">           </w:t>
      </w:r>
      <w:r>
        <w:rPr>
          <w:rFonts w:hint="eastAsia" w:ascii="宋体" w:hAnsi="宋体" w:cs="宋体"/>
          <w:sz w:val="24"/>
        </w:rPr>
        <w:t xml:space="preserve">号的招标活动进行投标。本单位所提交的投标文件中所有关于投标资格的文件、证明和陈述均是真实的、准确的。若与真实情况不符，本单位愿意承担由此而产生的一切后果。</w:t>
      </w:r>
      <w:r/>
    </w:p>
    <w:p>
      <w:pPr>
        <w:ind w:firstLine="420"/>
        <w:jc w:val="left"/>
        <w:spacing w:line="360" w:lineRule="auto"/>
        <w:rPr>
          <w:rFonts w:ascii="宋体" w:hAnsi="宋体" w:cs="宋体"/>
          <w:sz w:val="24"/>
        </w:rPr>
      </w:pPr>
      <w:r>
        <w:rPr>
          <w:rFonts w:ascii="宋体" w:hAnsi="宋体" w:cs="宋体"/>
          <w:sz w:val="24"/>
        </w:rPr>
      </w:r>
      <w:r/>
    </w:p>
    <w:p>
      <w:pPr>
        <w:ind w:firstLine="420"/>
        <w:jc w:val="left"/>
        <w:spacing w:line="360" w:lineRule="auto"/>
        <w:rPr>
          <w:rFonts w:ascii="宋体" w:hAnsi="宋体" w:cs="宋体"/>
          <w:sz w:val="24"/>
        </w:rPr>
      </w:pPr>
      <w:r>
        <w:rPr>
          <w:rFonts w:ascii="宋体" w:hAnsi="宋体" w:cs="宋体"/>
          <w:sz w:val="24"/>
        </w:rPr>
      </w:r>
      <w:r/>
    </w:p>
    <w:p>
      <w:pPr>
        <w:ind w:firstLine="420"/>
        <w:jc w:val="left"/>
        <w:spacing w:line="360" w:lineRule="auto"/>
        <w:tabs>
          <w:tab w:val="left" w:pos="2940" w:leader="none"/>
        </w:tabs>
        <w:rPr>
          <w:rFonts w:ascii="宋体" w:hAnsi="宋体" w:cs="宋体"/>
          <w:sz w:val="24"/>
        </w:rPr>
      </w:pPr>
      <w:r>
        <w:rPr>
          <w:rFonts w:hint="eastAsia" w:ascii="宋体" w:hAnsi="宋体" w:cs="宋体"/>
          <w:sz w:val="24"/>
        </w:rPr>
        <w:tab/>
      </w:r>
      <w:r/>
    </w:p>
    <w:p>
      <w:pPr>
        <w:ind w:firstLine="2820"/>
        <w:jc w:val="left"/>
        <w:spacing w:line="360" w:lineRule="auto"/>
        <w:tabs>
          <w:tab w:val="left" w:pos="2940" w:leader="none"/>
        </w:tabs>
        <w:rPr>
          <w:rFonts w:ascii="宋体" w:hAnsi="宋体" w:cs="宋体"/>
          <w:sz w:val="24"/>
        </w:rPr>
      </w:pPr>
      <w:r>
        <w:rPr>
          <w:rFonts w:hint="eastAsia" w:ascii="宋体" w:hAnsi="宋体" w:cs="宋体"/>
          <w:sz w:val="24"/>
        </w:rPr>
        <w:t xml:space="preserve">投标单位（盖公章）：</w:t>
      </w:r>
      <w:r/>
    </w:p>
    <w:p>
      <w:pPr>
        <w:ind w:firstLine="420"/>
        <w:jc w:val="left"/>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法定代表人或代理人：（签字或盖章）：</w:t>
      </w:r>
      <w:r/>
    </w:p>
    <w:p>
      <w:pPr>
        <w:ind w:left="1700" w:firstLine="425"/>
        <w:jc w:val="left"/>
        <w:spacing w:line="360" w:lineRule="auto"/>
        <w:rPr>
          <w:rFonts w:ascii="宋体" w:hAnsi="宋体" w:cs="宋体"/>
          <w:sz w:val="24"/>
        </w:rPr>
      </w:pPr>
      <w:r>
        <w:rPr>
          <w:rFonts w:hint="eastAsia" w:ascii="宋体" w:hAnsi="宋体" w:cs="宋体"/>
          <w:sz w:val="24"/>
        </w:rPr>
        <w:t xml:space="preserve">       </w:t>
      </w:r>
      <w:r/>
    </w:p>
    <w:p>
      <w:pPr>
        <w:ind w:left="4675" w:firstLine="425"/>
        <w:jc w:val="left"/>
        <w:spacing w:line="360" w:lineRule="auto"/>
        <w:rPr>
          <w:rFonts w:ascii="宋体" w:hAnsi="宋体" w:cs="宋体"/>
          <w:sz w:val="24"/>
        </w:rPr>
      </w:pPr>
      <w:r>
        <w:rPr>
          <w:rFonts w:hint="eastAsia" w:ascii="宋体" w:hAnsi="宋体" w:cs="宋体"/>
          <w:sz w:val="24"/>
        </w:rPr>
        <w:t xml:space="preserve">         年　</w:t>
      </w:r>
      <w:r>
        <w:rPr>
          <w:rFonts w:hint="eastAsia" w:ascii="宋体" w:hAnsi="宋体" w:cs="宋体"/>
          <w:sz w:val="24"/>
        </w:rPr>
        <w:tab/>
      </w:r>
      <w:r>
        <w:rPr>
          <w:rFonts w:hint="eastAsia" w:ascii="宋体" w:hAnsi="宋体" w:cs="宋体"/>
          <w:sz w:val="24"/>
        </w:rPr>
        <w:t xml:space="preserve"> 月 </w:t>
      </w:r>
      <w:r>
        <w:rPr>
          <w:rFonts w:hint="eastAsia" w:ascii="宋体" w:hAnsi="宋体" w:cs="宋体"/>
          <w:sz w:val="24"/>
        </w:rPr>
        <w:tab/>
      </w:r>
      <w:r>
        <w:rPr>
          <w:rFonts w:hint="eastAsia" w:ascii="宋体" w:hAnsi="宋体" w:cs="宋体"/>
          <w:sz w:val="24"/>
        </w:rPr>
        <w:t xml:space="preserve">日</w:t>
      </w:r>
      <w:r/>
    </w:p>
    <w:p>
      <w:pPr>
        <w:jc w:val="left"/>
        <w:spacing w:line="360" w:lineRule="auto"/>
        <w:rPr>
          <w:rFonts w:ascii="宋体" w:hAnsi="宋体" w:cs="宋体"/>
          <w:b/>
          <w:bCs/>
          <w:sz w:val="24"/>
        </w:rPr>
      </w:pPr>
      <w:r>
        <w:rPr>
          <w:rFonts w:hint="eastAsia" w:ascii="宋体" w:hAnsi="宋体" w:cs="宋体"/>
          <w:b/>
          <w:bCs/>
          <w:sz w:val="24"/>
        </w:rPr>
        <w:t xml:space="preserve"> </w:t>
      </w:r>
      <w:r/>
    </w:p>
    <w:p>
      <w:pPr>
        <w:jc w:val="center"/>
        <w:spacing w:line="588" w:lineRule="exact"/>
        <w:rPr>
          <w:rFonts w:ascii="宋体" w:hAnsi="宋体" w:cs="宋体"/>
          <w:b/>
          <w:spacing w:val="6"/>
          <w:sz w:val="24"/>
          <w:szCs w:val="20"/>
        </w:rPr>
      </w:pPr>
      <w:r>
        <w:rPr>
          <w:rFonts w:ascii="宋体" w:hAnsi="宋体" w:cs="宋体"/>
          <w:b/>
          <w:spacing w:val="6"/>
          <w:sz w:val="24"/>
          <w:szCs w:val="20"/>
        </w:rPr>
      </w:r>
      <w:r/>
    </w:p>
    <w:p>
      <w:pPr>
        <w:jc w:val="left"/>
        <w:rPr>
          <w:rFonts w:ascii="宋体" w:hAnsi="宋体" w:cs="宋体"/>
          <w:b/>
          <w:sz w:val="24"/>
        </w:rPr>
      </w:pPr>
      <w:r>
        <w:rPr>
          <w:rFonts w:ascii="宋体" w:hAnsi="宋体" w:cs="宋体"/>
          <w:b/>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widowControl/>
        <w:rPr>
          <w:rFonts w:ascii="宋体" w:hAnsi="宋体" w:cs="宋体"/>
          <w:b/>
          <w:sz w:val="24"/>
          <w:szCs w:val="20"/>
        </w:rPr>
      </w:pPr>
      <w:r>
        <w:rPr>
          <w:rFonts w:ascii="宋体" w:hAnsi="宋体" w:cs="宋体"/>
          <w:b/>
          <w:sz w:val="24"/>
          <w:szCs w:val="20"/>
        </w:rPr>
        <w:br w:type="page" w:clear="all"/>
      </w:r>
      <w:r/>
    </w:p>
    <w:p>
      <w:pPr>
        <w:spacing w:before="75" w:after="75" w:line="435" w:lineRule="atLeast"/>
        <w:widowControl/>
        <w:rPr>
          <w:rFonts w:ascii="宋体" w:hAnsi="宋体" w:cs="宋体"/>
          <w:b/>
          <w:sz w:val="24"/>
          <w:szCs w:val="20"/>
        </w:rPr>
      </w:pPr>
      <w:r>
        <w:rPr>
          <w:rFonts w:hint="eastAsia" w:ascii="宋体" w:hAnsi="宋体" w:cs="宋体"/>
          <w:b/>
          <w:sz w:val="24"/>
          <w:szCs w:val="20"/>
        </w:rPr>
        <w:t xml:space="preserve">（2） 具备履行合同所必需设备和专业技术能力证明材料声明函</w:t>
      </w:r>
      <w:r/>
    </w:p>
    <w:p>
      <w:pPr>
        <w:jc w:val="center"/>
        <w:spacing w:before="75" w:after="75" w:line="435" w:lineRule="atLeast"/>
        <w:widowControl/>
        <w:rPr>
          <w:rFonts w:ascii="宋体" w:hAnsi="宋体" w:cs="宋体"/>
          <w:b/>
          <w:sz w:val="24"/>
          <w:szCs w:val="20"/>
        </w:rPr>
      </w:pPr>
      <w:r>
        <w:rPr>
          <w:rFonts w:ascii="宋体" w:hAnsi="宋体" w:cs="宋体"/>
          <w:b/>
          <w:sz w:val="24"/>
          <w:szCs w:val="20"/>
        </w:rPr>
      </w:r>
      <w:r/>
    </w:p>
    <w:p>
      <w:pPr>
        <w:jc w:val="center"/>
        <w:spacing w:before="75" w:after="75" w:line="435" w:lineRule="atLeast"/>
        <w:widowControl/>
        <w:rPr>
          <w:rFonts w:ascii="宋体" w:hAnsi="宋体" w:cs="宋体"/>
          <w:sz w:val="24"/>
          <w:szCs w:val="20"/>
        </w:rPr>
      </w:pPr>
      <w:r>
        <w:rPr>
          <w:rFonts w:hint="eastAsia" w:ascii="宋体" w:hAnsi="宋体" w:cs="宋体"/>
          <w:b/>
          <w:sz w:val="24"/>
          <w:szCs w:val="20"/>
        </w:rPr>
        <w:t xml:space="preserve">具备履行合同所必需设备和专业技术能力证明材料声明函</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致：</w:t>
      </w:r>
      <w:r>
        <w:rPr>
          <w:rFonts w:hint="eastAsia" w:ascii="宋体" w:hAnsi="宋体" w:cs="宋体"/>
          <w:sz w:val="24"/>
          <w:szCs w:val="20"/>
          <w:u w:val="single"/>
        </w:rPr>
        <w:t xml:space="preserve"> (采购人或采购代理机构) </w:t>
      </w:r>
      <w:r/>
    </w:p>
    <w:p>
      <w:pPr>
        <w:ind w:firstLine="480"/>
        <w:jc w:val="left"/>
        <w:spacing w:before="75" w:after="75"/>
        <w:widowControl/>
        <w:rPr>
          <w:rFonts w:ascii="宋体" w:hAnsi="宋体" w:cs="宋体"/>
          <w:sz w:val="24"/>
          <w:szCs w:val="20"/>
        </w:rPr>
      </w:pPr>
      <w:r>
        <w:rPr>
          <w:rFonts w:hint="eastAsia" w:ascii="宋体" w:hAnsi="宋体" w:cs="宋体"/>
          <w:sz w:val="24"/>
          <w:szCs w:val="20"/>
        </w:rPr>
        <w:t xml:space="preserve">我方具备履行合同所必需的设备和专业技术能力，并对本声明承诺的真实性负责，否则产生不利后果由我方承担责任。</w:t>
      </w:r>
      <w:r/>
    </w:p>
    <w:p>
      <w:pPr>
        <w:ind w:firstLine="480"/>
        <w:jc w:val="left"/>
        <w:spacing w:before="75" w:after="75" w:line="435" w:lineRule="atLeast"/>
        <w:widowControl/>
        <w:rPr>
          <w:rFonts w:ascii="宋体" w:hAnsi="宋体" w:cs="宋体"/>
          <w:sz w:val="24"/>
          <w:szCs w:val="20"/>
        </w:rPr>
      </w:pPr>
      <w:r>
        <w:rPr>
          <w:rFonts w:hint="eastAsia" w:ascii="宋体" w:hAnsi="宋体" w:cs="宋体"/>
          <w:sz w:val="24"/>
          <w:szCs w:val="20"/>
        </w:rPr>
        <w:t xml:space="preserve">特此声明。</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 </w:t>
      </w:r>
      <w:r/>
    </w:p>
    <w:p>
      <w:pPr>
        <w:ind w:firstLine="4320"/>
        <w:jc w:val="right"/>
        <w:spacing w:before="75" w:after="75" w:line="435" w:lineRule="atLeast"/>
        <w:widowControl/>
        <w:rPr>
          <w:rFonts w:ascii="宋体" w:hAnsi="宋体" w:cs="宋体"/>
          <w:sz w:val="24"/>
          <w:szCs w:val="20"/>
        </w:rPr>
      </w:pPr>
      <w:r>
        <w:rPr>
          <w:rFonts w:hint="eastAsia" w:ascii="宋体" w:hAnsi="宋体" w:cs="宋体"/>
          <w:sz w:val="24"/>
          <w:szCs w:val="20"/>
        </w:rPr>
        <w:t xml:space="preserve">供应商签章：</w:t>
      </w:r>
      <w:r>
        <w:rPr>
          <w:rFonts w:hint="eastAsia" w:ascii="宋体" w:hAnsi="宋体" w:cs="宋体"/>
          <w:sz w:val="24"/>
          <w:szCs w:val="20"/>
          <w:u w:val="single"/>
        </w:rPr>
        <w:t xml:space="preserve">         </w:t>
      </w:r>
      <w:r/>
    </w:p>
    <w:p>
      <w:pPr>
        <w:ind w:firstLine="4200"/>
        <w:jc w:val="right"/>
        <w:spacing w:before="75" w:after="75" w:line="435" w:lineRule="atLeast"/>
        <w:widowControl/>
        <w:rPr>
          <w:rFonts w:ascii="宋体" w:hAnsi="宋体" w:cs="宋体"/>
          <w:sz w:val="24"/>
          <w:szCs w:val="20"/>
        </w:rPr>
      </w:pPr>
      <w:r>
        <w:rPr>
          <w:rFonts w:hint="eastAsia" w:ascii="宋体" w:hAnsi="宋体" w:cs="宋体"/>
          <w:sz w:val="24"/>
          <w:szCs w:val="20"/>
        </w:rPr>
        <w:t xml:space="preserve">日  期：</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p>
    <w:p>
      <w:pPr>
        <w:ind w:firstLine="480"/>
        <w:jc w:val="left"/>
        <w:spacing w:before="75" w:after="75" w:line="435" w:lineRule="atLeast"/>
        <w:widowControl/>
        <w:rPr>
          <w:rFonts w:ascii="宋体" w:hAnsi="宋体" w:cs="宋体"/>
          <w:sz w:val="24"/>
          <w:szCs w:val="20"/>
        </w:rPr>
      </w:pPr>
      <w:r>
        <w:rPr>
          <w:rFonts w:hint="eastAsia" w:ascii="宋体" w:hAnsi="宋体" w:cs="宋体"/>
          <w:sz w:val="24"/>
          <w:szCs w:val="20"/>
        </w:rPr>
        <w:t xml:space="preserve"> </w:t>
      </w:r>
      <w:r/>
    </w:p>
    <w:p>
      <w:pPr>
        <w:spacing w:before="75" w:after="75" w:line="435" w:lineRule="atLeast"/>
        <w:widowControl/>
        <w:rPr>
          <w:rFonts w:ascii="宋体" w:hAnsi="宋体" w:cs="宋体"/>
          <w:sz w:val="24"/>
          <w:szCs w:val="20"/>
        </w:rPr>
      </w:pPr>
      <w:r>
        <w:rPr>
          <w:rFonts w:hint="eastAsia" w:ascii="宋体" w:hAnsi="宋体" w:cs="宋体"/>
          <w:b/>
          <w:sz w:val="24"/>
          <w:szCs w:val="20"/>
        </w:rPr>
        <w:br w:type="page" w:clear="all"/>
      </w:r>
      <w:r>
        <w:rPr>
          <w:rFonts w:hint="eastAsia" w:ascii="宋体" w:hAnsi="宋体" w:cs="宋体"/>
          <w:b/>
          <w:sz w:val="24"/>
          <w:szCs w:val="20"/>
        </w:rPr>
        <w:t xml:space="preserve">（3） 参加采购活动前三年内在经营活动中没有重大违法记录书面声明</w:t>
      </w:r>
      <w:r/>
    </w:p>
    <w:p>
      <w:pPr>
        <w:jc w:val="center"/>
        <w:spacing w:before="75" w:after="75" w:line="435" w:lineRule="atLeast"/>
        <w:widowControl/>
        <w:rPr>
          <w:rFonts w:ascii="宋体" w:hAnsi="宋体" w:cs="宋体"/>
          <w:b/>
          <w:sz w:val="24"/>
          <w:szCs w:val="20"/>
        </w:rPr>
      </w:pPr>
      <w:r>
        <w:rPr>
          <w:rFonts w:ascii="宋体" w:hAnsi="宋体" w:cs="宋体"/>
          <w:b/>
          <w:sz w:val="24"/>
          <w:szCs w:val="20"/>
        </w:rPr>
      </w:r>
      <w:r/>
    </w:p>
    <w:p>
      <w:pPr>
        <w:jc w:val="center"/>
        <w:spacing w:before="75" w:after="75" w:line="435" w:lineRule="atLeast"/>
        <w:widowControl/>
        <w:rPr>
          <w:rFonts w:ascii="宋体" w:hAnsi="宋体" w:cs="宋体"/>
          <w:sz w:val="24"/>
          <w:szCs w:val="20"/>
        </w:rPr>
      </w:pPr>
      <w:r>
        <w:rPr>
          <w:rFonts w:hint="eastAsia" w:ascii="宋体" w:hAnsi="宋体" w:cs="宋体"/>
          <w:b/>
          <w:sz w:val="24"/>
          <w:szCs w:val="20"/>
        </w:rPr>
        <w:t xml:space="preserve">参加采购活动前三年内在经营活动中没有重大违法记录书面声明</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致：</w:t>
      </w:r>
      <w:r>
        <w:rPr>
          <w:rFonts w:hint="eastAsia" w:ascii="宋体" w:hAnsi="宋体" w:cs="宋体"/>
          <w:sz w:val="24"/>
          <w:szCs w:val="20"/>
          <w:u w:val="single"/>
        </w:rPr>
        <w:t xml:space="preserve">     (采购人或采购代理机构)       </w:t>
      </w:r>
      <w:r/>
    </w:p>
    <w:p>
      <w:pPr>
        <w:ind w:firstLine="480"/>
        <w:jc w:val="left"/>
        <w:spacing w:before="75" w:after="75" w:line="435" w:lineRule="atLeast"/>
        <w:widowControl/>
        <w:rPr>
          <w:rFonts w:ascii="宋体" w:hAnsi="宋体" w:cs="宋体"/>
          <w:sz w:val="24"/>
          <w:szCs w:val="20"/>
        </w:rPr>
      </w:pPr>
      <w:r>
        <w:rPr>
          <w:rFonts w:hint="eastAsia" w:ascii="宋体" w:hAnsi="宋体" w:cs="宋体"/>
          <w:sz w:val="24"/>
          <w:szCs w:val="20"/>
        </w:rPr>
        <w:t xml:space="preserve">参加采购活动前三年内，我方在经营活动中没有重大违法记录。</w:t>
      </w:r>
      <w:r/>
    </w:p>
    <w:p>
      <w:pPr>
        <w:ind w:firstLine="480"/>
        <w:jc w:val="left"/>
        <w:spacing w:before="75" w:after="75" w:line="435" w:lineRule="atLeast"/>
        <w:widowControl/>
        <w:rPr>
          <w:rFonts w:ascii="宋体" w:hAnsi="宋体" w:cs="宋体"/>
          <w:sz w:val="24"/>
          <w:szCs w:val="20"/>
        </w:rPr>
      </w:pPr>
      <w:r>
        <w:rPr>
          <w:rFonts w:hint="eastAsia" w:ascii="宋体" w:hAnsi="宋体" w:cs="宋体"/>
          <w:sz w:val="24"/>
          <w:szCs w:val="20"/>
        </w:rPr>
        <w:t xml:space="preserve">特此声明。</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 </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★注意：</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1.“重大违法记录”指供应商因违法经营受到刑事处罚或责令停产停业、吊销许可证或执照、较大数额罚款等行政处罚。</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2.请供应商根据实际情况进行声明，</w:t>
      </w:r>
      <w:r>
        <w:rPr>
          <w:rFonts w:hint="eastAsia" w:ascii="宋体" w:hAnsi="宋体" w:cs="宋体"/>
          <w:b/>
          <w:sz w:val="24"/>
          <w:szCs w:val="20"/>
        </w:rPr>
        <w:t xml:space="preserve">若声明不真实，视为提供虚假材料。</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3.对于接受联合体形式的投标且供应商是联合体的，则联合体各成员都应当提交本资格证明文件。</w:t>
      </w:r>
      <w:r/>
    </w:p>
    <w:p>
      <w:pPr>
        <w:jc w:val="left"/>
        <w:spacing w:before="75" w:after="75" w:line="435" w:lineRule="atLeast"/>
        <w:widowControl/>
        <w:rPr>
          <w:rFonts w:ascii="宋体" w:hAnsi="宋体" w:cs="宋体"/>
          <w:sz w:val="24"/>
          <w:szCs w:val="20"/>
        </w:rPr>
      </w:pPr>
      <w:r>
        <w:rPr>
          <w:rFonts w:hint="eastAsia" w:ascii="宋体" w:hAnsi="宋体" w:cs="宋体"/>
          <w:sz w:val="24"/>
          <w:szCs w:val="20"/>
        </w:rPr>
        <w:t xml:space="preserve"> </w:t>
      </w:r>
      <w:r/>
    </w:p>
    <w:p>
      <w:pPr>
        <w:ind w:firstLine="3480"/>
        <w:jc w:val="right"/>
        <w:spacing w:before="75" w:after="75" w:line="435" w:lineRule="atLeast"/>
        <w:widowControl/>
        <w:rPr>
          <w:rFonts w:ascii="宋体" w:hAnsi="宋体" w:cs="宋体"/>
          <w:sz w:val="24"/>
          <w:szCs w:val="20"/>
        </w:rPr>
      </w:pPr>
      <w:r>
        <w:rPr>
          <w:rFonts w:hint="eastAsia" w:ascii="宋体" w:hAnsi="宋体" w:cs="宋体"/>
          <w:sz w:val="24"/>
          <w:szCs w:val="20"/>
        </w:rPr>
        <w:t xml:space="preserve">供应商</w:t>
      </w:r>
      <w:bookmarkStart w:id="78" w:name="OLE_LINK208"/>
      <w:r>
        <w:rPr>
          <w:rFonts w:hint="eastAsia" w:ascii="宋体" w:hAnsi="宋体" w:cs="宋体"/>
          <w:sz w:val="24"/>
          <w:szCs w:val="20"/>
        </w:rPr>
        <w:t xml:space="preserve">签章</w:t>
      </w:r>
      <w:bookmarkEnd w:id="78"/>
      <w:r>
        <w:rPr>
          <w:rFonts w:hint="eastAsia" w:ascii="宋体" w:hAnsi="宋体" w:cs="宋体"/>
          <w:sz w:val="24"/>
          <w:szCs w:val="20"/>
        </w:rPr>
        <w:t xml:space="preserve">：</w:t>
      </w:r>
      <w:r>
        <w:rPr>
          <w:rFonts w:hint="eastAsia" w:ascii="宋体" w:hAnsi="宋体" w:cs="宋体"/>
          <w:sz w:val="24"/>
          <w:szCs w:val="20"/>
          <w:u w:val="single"/>
        </w:rPr>
        <w:t xml:space="preserve">         </w:t>
      </w:r>
      <w:r/>
    </w:p>
    <w:p>
      <w:pPr>
        <w:ind w:firstLine="3480"/>
        <w:jc w:val="right"/>
        <w:spacing w:before="75" w:after="75" w:line="435" w:lineRule="atLeast"/>
        <w:widowControl/>
        <w:rPr>
          <w:rFonts w:ascii="宋体" w:hAnsi="宋体" w:cs="宋体"/>
          <w:sz w:val="24"/>
          <w:szCs w:val="20"/>
        </w:rPr>
      </w:pPr>
      <w:r>
        <w:rPr>
          <w:rFonts w:hint="eastAsia" w:ascii="宋体" w:hAnsi="宋体" w:cs="宋体"/>
          <w:sz w:val="24"/>
          <w:szCs w:val="20"/>
        </w:rPr>
        <w:t xml:space="preserve">日     期：</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rPr>
        <w:br w:type="page" w:clear="all"/>
      </w:r>
      <w:r/>
    </w:p>
    <w:p>
      <w:pPr>
        <w:rPr>
          <w:rFonts w:ascii="宋体" w:hAnsi="宋体" w:cs="宋体"/>
          <w:b/>
          <w:sz w:val="24"/>
        </w:rPr>
      </w:pPr>
      <w:r>
        <w:rPr>
          <w:rFonts w:hint="eastAsia" w:ascii="宋体" w:hAnsi="宋体" w:cs="宋体"/>
          <w:b/>
          <w:sz w:val="24"/>
        </w:rPr>
        <w:t xml:space="preserve">（4）中小企业声明函</w:t>
      </w:r>
      <w:r/>
    </w:p>
    <w:p>
      <w:pPr>
        <w:jc w:val="center"/>
        <w:spacing w:line="400" w:lineRule="exact"/>
        <w:shd w:val="clear" w:color="auto" w:fill="ffffff"/>
        <w:rPr>
          <w:rFonts w:ascii="宋体" w:hAnsi="宋体"/>
          <w:b/>
          <w:sz w:val="24"/>
        </w:rPr>
      </w:pPr>
      <w:r>
        <w:rPr>
          <w:rFonts w:hint="eastAsia" w:ascii="宋体" w:hAnsi="宋体"/>
          <w:b/>
          <w:sz w:val="24"/>
        </w:rPr>
        <w:t xml:space="preserve">中小企业声明函（货物）</w:t>
      </w:r>
      <w:r/>
    </w:p>
    <w:p>
      <w:pPr>
        <w:jc w:val="center"/>
        <w:spacing w:line="400" w:lineRule="exact"/>
        <w:shd w:val="clear" w:color="auto" w:fill="ffffff"/>
        <w:rPr>
          <w:rFonts w:ascii="宋体" w:hAnsi="宋体"/>
          <w:b/>
          <w:sz w:val="24"/>
        </w:rPr>
      </w:pPr>
      <w:r>
        <w:rPr>
          <w:rFonts w:ascii="宋体" w:hAnsi="宋体"/>
          <w:b/>
          <w:sz w:val="24"/>
        </w:rPr>
      </w:r>
      <w:r/>
    </w:p>
    <w:p>
      <w:pPr>
        <w:spacing w:line="400" w:lineRule="exact"/>
        <w:shd w:val="clear" w:color="auto" w:fill="ffffff"/>
        <w:rPr>
          <w:rFonts w:ascii="宋体" w:hAnsi="Courier New" w:eastAsia="楷体_GB2312"/>
          <w:b/>
          <w:sz w:val="28"/>
        </w:rPr>
      </w:pPr>
      <w:r>
        <w:rPr>
          <w:rFonts w:hint="eastAsia" w:ascii="宋体" w:hAnsi="Courier New" w:eastAsia="楷体_GB2312"/>
          <w:b/>
          <w:sz w:val="28"/>
        </w:rPr>
        <w:t xml:space="preserve">______________________：</w:t>
      </w:r>
      <w:r/>
    </w:p>
    <w:p>
      <w:pPr>
        <w:ind w:firstLine="720"/>
        <w:spacing w:line="360" w:lineRule="auto"/>
        <w:shd w:val="clear" w:color="auto" w:fill="ffffff"/>
        <w:rPr>
          <w:rFonts w:ascii="宋体" w:hAnsi="宋体"/>
          <w:sz w:val="24"/>
        </w:rPr>
      </w:pPr>
      <w:r>
        <w:rPr>
          <w:rFonts w:hint="eastAsia" w:ascii="宋体" w:hAnsi="宋体"/>
          <w:sz w:val="24"/>
        </w:rPr>
        <w:t xml:space="preserve">本公司郑重声明，根据《政府采购促进中小企业发展管理办法》（财库[2020]46号）的规定，本公司(联合体）参加__</w:t>
      </w:r>
      <w:r>
        <w:rPr>
          <w:rFonts w:hint="eastAsia" w:ascii="宋体" w:hAnsi="宋体"/>
          <w:sz w:val="24"/>
          <w:u w:val="single"/>
        </w:rPr>
        <w:t xml:space="preserve">（单位名称）___</w:t>
      </w:r>
      <w:r>
        <w:rPr>
          <w:rFonts w:hint="eastAsia" w:ascii="宋体" w:hAnsi="宋体"/>
          <w:sz w:val="24"/>
        </w:rPr>
        <w:t xml:space="preserve">_的</w:t>
      </w:r>
      <w:r>
        <w:rPr>
          <w:rFonts w:hint="eastAsia" w:ascii="宋体" w:hAnsi="宋体"/>
          <w:sz w:val="24"/>
          <w:u w:val="single"/>
        </w:rPr>
        <w:t xml:space="preserve">（项目名称）</w:t>
      </w:r>
      <w:r>
        <w:rPr>
          <w:rFonts w:hint="eastAsia" w:ascii="宋体" w:hAnsi="宋体"/>
          <w:sz w:val="24"/>
        </w:rPr>
        <w:t xml:space="preserve">采购活动，提供的货物全部由符合政策要求的中小企业制造。相关企业（含联合体中的中小企业、签订分包意向协议的企业）的具体情况如下：</w:t>
      </w:r>
      <w:r/>
    </w:p>
    <w:p>
      <w:pPr>
        <w:numPr>
          <w:ilvl w:val="0"/>
          <w:numId w:val="6"/>
        </w:numPr>
        <w:ind w:firstLine="480"/>
        <w:spacing w:line="360" w:lineRule="auto"/>
        <w:shd w:val="clear" w:color="auto" w:fill="ffffff"/>
        <w:rPr>
          <w:rFonts w:ascii="宋体" w:hAnsi="宋体"/>
          <w:sz w:val="24"/>
        </w:rPr>
      </w:pP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b/>
          <w:bCs/>
          <w:sz w:val="24"/>
          <w:u w:val="single"/>
        </w:rPr>
        <w:t xml:space="preserve"> 工业</w:t>
      </w:r>
      <w:r>
        <w:rPr>
          <w:rFonts w:hint="eastAsia" w:ascii="宋体" w:hAnsi="宋体"/>
          <w:sz w:val="24"/>
          <w:u w:val="single"/>
        </w:rPr>
        <w:t xml:space="preserve"> </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_，从业人员_____人，营业收入为_____万元，资产总额为_____万元，属于</w:t>
      </w:r>
      <w:r>
        <w:rPr>
          <w:rFonts w:hint="eastAsia" w:ascii="宋体" w:hAnsi="宋体"/>
          <w:sz w:val="24"/>
          <w:u w:val="single"/>
        </w:rPr>
        <w:t xml:space="preserve">    </w:t>
      </w:r>
      <w:r>
        <w:rPr>
          <w:rFonts w:hint="eastAsia" w:ascii="宋体" w:hAnsi="宋体"/>
          <w:sz w:val="24"/>
        </w:rPr>
        <w:t xml:space="preserve">（中型、小型、微型）企业；</w:t>
      </w:r>
      <w:r/>
    </w:p>
    <w:p>
      <w:pPr>
        <w:numPr>
          <w:ilvl w:val="0"/>
          <w:numId w:val="6"/>
        </w:numPr>
        <w:ind w:firstLine="480"/>
        <w:spacing w:line="360" w:lineRule="auto"/>
        <w:shd w:val="clear" w:color="auto" w:fill="ffffff"/>
        <w:rPr>
          <w:rFonts w:ascii="宋体" w:hAnsi="宋体"/>
          <w:sz w:val="24"/>
        </w:rPr>
      </w:pP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b/>
          <w:bCs/>
          <w:sz w:val="24"/>
          <w:u w:val="single"/>
        </w:rPr>
        <w:t xml:space="preserve"> 工业</w:t>
      </w:r>
      <w:r>
        <w:rPr>
          <w:rFonts w:hint="eastAsia" w:ascii="宋体" w:hAnsi="宋体"/>
          <w:sz w:val="24"/>
          <w:u w:val="single"/>
        </w:rPr>
        <w:t xml:space="preserve"> </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_，从业人员_____人，营业收入为_____万元，资产总额为_____万元，属于</w:t>
      </w:r>
      <w:r>
        <w:rPr>
          <w:rFonts w:hint="eastAsia" w:ascii="宋体" w:hAnsi="宋体"/>
          <w:sz w:val="24"/>
          <w:u w:val="single"/>
        </w:rPr>
        <w:t xml:space="preserve">    </w:t>
      </w:r>
      <w:r>
        <w:rPr>
          <w:rFonts w:hint="eastAsia" w:ascii="宋体" w:hAnsi="宋体"/>
          <w:sz w:val="24"/>
        </w:rPr>
        <w:t xml:space="preserve">（中型、小型、微型）企业；</w:t>
      </w:r>
      <w:r/>
    </w:p>
    <w:p>
      <w:pPr>
        <w:ind w:firstLine="480"/>
        <w:spacing w:line="360" w:lineRule="auto"/>
        <w:shd w:val="clear" w:color="auto" w:fill="ffffff"/>
        <w:rPr>
          <w:rFonts w:ascii="宋体" w:hAnsi="宋体"/>
          <w:sz w:val="24"/>
        </w:rPr>
      </w:pP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600"/>
        <w:spacing w:line="360" w:lineRule="auto"/>
        <w:shd w:val="clear" w:color="auto" w:fill="ffffff"/>
        <w:rPr>
          <w:rFonts w:ascii="宋体" w:hAnsi="宋体"/>
          <w:sz w:val="24"/>
        </w:rPr>
      </w:pPr>
      <w:r>
        <w:rPr>
          <w:rFonts w:hint="eastAsia" w:ascii="宋体" w:hAnsi="宋体"/>
          <w:sz w:val="24"/>
        </w:rPr>
        <w:t xml:space="preserve">本公司对上述声明内容的真实性负责。如有虚假，将依法承担相应责任。</w:t>
      </w:r>
      <w:r/>
    </w:p>
    <w:p>
      <w:pPr>
        <w:spacing w:line="360" w:lineRule="auto"/>
        <w:shd w:val="clear" w:color="auto" w:fill="ffffff"/>
        <w:rPr>
          <w:rFonts w:ascii="宋体" w:hAnsi="宋体"/>
          <w:sz w:val="24"/>
        </w:rPr>
      </w:pPr>
      <w:r>
        <w:rPr>
          <w:rFonts w:ascii="宋体" w:hAnsi="宋体"/>
          <w:sz w:val="24"/>
        </w:rPr>
      </w:r>
      <w:r/>
    </w:p>
    <w:p>
      <w:pPr>
        <w:spacing w:line="360" w:lineRule="auto"/>
        <w:shd w:val="clear" w:color="auto" w:fill="ffffff"/>
        <w:rPr>
          <w:rFonts w:ascii="宋体" w:hAnsi="宋体"/>
          <w:sz w:val="24"/>
        </w:rPr>
      </w:pPr>
      <w:r/>
      <w:bookmarkStart w:id="79" w:name="OLE_LINK213"/>
      <w:r/>
      <w:bookmarkStart w:id="80" w:name="OLE_LINK214"/>
      <w:r>
        <w:rPr>
          <w:rFonts w:hint="eastAsia" w:ascii="宋体" w:hAnsi="宋体"/>
          <w:sz w:val="24"/>
        </w:rPr>
        <w:t xml:space="preserve">投标单位：（公章）</w:t>
      </w:r>
      <w:r/>
    </w:p>
    <w:p>
      <w:pPr>
        <w:spacing w:line="360" w:lineRule="auto"/>
        <w:shd w:val="clear" w:color="auto" w:fill="ffffff"/>
        <w:rPr>
          <w:rFonts w:ascii="宋体" w:hAnsi="宋体"/>
          <w:sz w:val="24"/>
        </w:rPr>
      </w:pPr>
      <w:r>
        <w:rPr>
          <w:rFonts w:hint="eastAsia" w:ascii="宋体" w:hAnsi="宋体"/>
          <w:sz w:val="24"/>
        </w:rPr>
        <w:t xml:space="preserve">日期：    年 月  日</w:t>
      </w:r>
      <w:bookmarkEnd w:id="79"/>
      <w:r/>
      <w:bookmarkEnd w:id="80"/>
      <w:r/>
      <w:r/>
    </w:p>
    <w:p>
      <w:pPr>
        <w:spacing w:line="360" w:lineRule="atLeast"/>
        <w:shd w:val="clear" w:color="auto" w:fill="ffffff"/>
        <w:rPr>
          <w:rFonts w:ascii="宋体" w:hAnsi="宋体"/>
        </w:rPr>
        <w:outlineLvl w:val="2"/>
      </w:pPr>
      <w:r>
        <w:rPr>
          <w:rFonts w:ascii="宋体" w:hAnsi="宋体"/>
        </w:rPr>
      </w:r>
      <w:r/>
    </w:p>
    <w:p>
      <w:pPr>
        <w:ind w:firstLine="480"/>
        <w:spacing w:line="360" w:lineRule="atLeast"/>
        <w:shd w:val="clear" w:color="auto" w:fill="ffffff"/>
        <w:rPr>
          <w:rFonts w:ascii="宋体" w:hAnsi="宋体"/>
          <w:sz w:val="24"/>
        </w:rPr>
        <w:outlineLvl w:val="2"/>
      </w:pPr>
      <w:r>
        <w:rPr>
          <w:rFonts w:hint="eastAsia" w:ascii="宋体" w:hAnsi="宋体"/>
          <w:sz w:val="24"/>
        </w:rPr>
        <w:t xml:space="preserve">注：从业人员、营业收入、资产总额填报上一年度数据，无上年度数据的新成立公司可不填。</w:t>
      </w:r>
      <w:r/>
    </w:p>
    <w:p>
      <w:pPr>
        <w:ind w:left="-315" w:right="-210"/>
        <w:spacing w:line="280" w:lineRule="exact"/>
        <w:rPr>
          <w:rFonts w:ascii="宋体" w:hAnsi="宋体"/>
          <w:b/>
          <w:szCs w:val="22"/>
        </w:rPr>
      </w:pPr>
      <w:r>
        <w:rPr>
          <w:rFonts w:hint="eastAsia" w:ascii="宋体" w:hAnsi="宋体"/>
          <w:b/>
        </w:rPr>
        <w:br w:type="page" w:clear="all"/>
      </w:r>
      <w:r>
        <w:rPr>
          <w:rFonts w:hint="eastAsia" w:ascii="宋体" w:hAnsi="宋体"/>
          <w:b/>
        </w:rPr>
        <w:t xml:space="preserve">附：中小企业划型标准规定</w:t>
      </w:r>
      <w:r/>
    </w:p>
    <w:p>
      <w:pPr>
        <w:ind w:left="-315" w:right="-21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315" w:right="-21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315" w:right="-21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315" w:right="-21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315" w:right="-21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315" w:right="-21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315" w:right="-21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315" w:right="-21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315" w:right="-21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315" w:right="-21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315" w:right="-21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315" w:right="-21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before="100" w:after="100" w:line="480" w:lineRule="atLeast"/>
        <w:widowControl/>
        <w:rPr>
          <w:rFonts w:ascii="宋体" w:hAnsi="宋体" w:cs="宋体"/>
          <w:b/>
          <w:bCs/>
          <w:sz w:val="24"/>
          <w:szCs w:val="20"/>
        </w:rPr>
      </w:pPr>
      <w:r>
        <w:rPr>
          <w:rFonts w:hint="eastAsia" w:ascii="宋体" w:hAnsi="宋体" w:cs="宋体"/>
          <w:b/>
          <w:sz w:val="24"/>
          <w:szCs w:val="20"/>
        </w:rPr>
        <w:br w:type="page" w:clear="all"/>
      </w:r>
      <w:bookmarkStart w:id="81" w:name="OLE_LINK211"/>
      <w:r/>
      <w:bookmarkStart w:id="82" w:name="OLE_LINK212"/>
      <w:r>
        <w:rPr>
          <w:rFonts w:hint="eastAsia" w:ascii="宋体" w:hAnsi="宋体" w:cs="宋体"/>
          <w:b/>
          <w:sz w:val="24"/>
          <w:szCs w:val="20"/>
        </w:rPr>
        <w:t xml:space="preserve">（5）</w:t>
      </w:r>
      <w:r>
        <w:rPr>
          <w:rFonts w:hint="eastAsia" w:ascii="宋体" w:hAnsi="宋体" w:cs="宋体"/>
          <w:b/>
          <w:bCs/>
          <w:sz w:val="24"/>
          <w:szCs w:val="20"/>
        </w:rPr>
        <w:t xml:space="preserve">残疾人福利性单位声明函</w:t>
      </w:r>
      <w:bookmarkEnd w:id="81"/>
      <w:r/>
      <w:bookmarkEnd w:id="82"/>
      <w:r/>
      <w:r/>
    </w:p>
    <w:p>
      <w:pPr>
        <w:jc w:val="center"/>
        <w:spacing w:before="100" w:after="100" w:line="480" w:lineRule="atLeast"/>
        <w:widowControl/>
        <w:rPr>
          <w:rFonts w:ascii="宋体" w:hAnsi="宋体" w:cs="宋体"/>
          <w:sz w:val="24"/>
          <w:szCs w:val="20"/>
        </w:rPr>
      </w:pPr>
      <w:r>
        <w:rPr>
          <w:rFonts w:hint="eastAsia" w:ascii="宋体" w:hAnsi="宋体" w:cs="宋体"/>
          <w:sz w:val="24"/>
          <w:szCs w:val="20"/>
        </w:rPr>
        <w:t xml:space="preserve">残疾人福利性单位声明函</w:t>
      </w:r>
      <w:r/>
    </w:p>
    <w:p>
      <w:pPr>
        <w:rPr>
          <w:rFonts w:ascii="宋体" w:hAnsi="宋体" w:cs="宋体"/>
          <w:sz w:val="24"/>
          <w:lang w:val="zh-CN"/>
        </w:rPr>
      </w:pPr>
      <w:r>
        <w:rPr>
          <w:rFonts w:ascii="宋体" w:hAnsi="宋体" w:cs="宋体"/>
          <w:sz w:val="24"/>
          <w:lang w:val="zh-CN"/>
        </w:rPr>
        <w:t xml:space="preserve">______________________：</w:t>
      </w:r>
      <w:r/>
    </w:p>
    <w:p>
      <w:pPr>
        <w:ind w:firstLine="480"/>
        <w:jc w:val="left"/>
        <w:spacing w:before="100" w:after="100" w:line="480" w:lineRule="atLeast"/>
        <w:widowControl/>
        <w:rPr>
          <w:rFonts w:ascii="宋体" w:hAnsi="宋体" w:cs="宋体"/>
          <w:sz w:val="24"/>
          <w:szCs w:val="20"/>
        </w:rPr>
      </w:pPr>
      <w:r>
        <w:rPr>
          <w:rFonts w:hint="eastAsia" w:ascii="宋体" w:hAnsi="宋体" w:cs="宋体"/>
          <w:sz w:val="24"/>
          <w:szCs w:val="2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before="100" w:after="100" w:line="480" w:lineRule="atLeast"/>
        <w:widowControl/>
        <w:rPr>
          <w:rFonts w:ascii="宋体" w:hAnsi="宋体" w:cs="宋体"/>
          <w:sz w:val="24"/>
          <w:szCs w:val="20"/>
        </w:rPr>
      </w:pPr>
      <w:r>
        <w:rPr>
          <w:rFonts w:hint="eastAsia" w:ascii="宋体" w:hAnsi="宋体" w:cs="宋体"/>
          <w:sz w:val="24"/>
          <w:szCs w:val="20"/>
        </w:rPr>
        <w:t xml:space="preserve">本单位对上述声明的真实性负责。如有虚假，将依法承担相应责任。</w:t>
      </w:r>
      <w:r/>
    </w:p>
    <w:p>
      <w:pPr>
        <w:jc w:val="left"/>
        <w:spacing w:before="100" w:after="100" w:line="480" w:lineRule="atLeast"/>
        <w:widowControl/>
        <w:rPr>
          <w:rFonts w:ascii="宋体" w:hAnsi="宋体" w:cs="宋体"/>
          <w:sz w:val="24"/>
          <w:szCs w:val="20"/>
        </w:rPr>
      </w:pPr>
      <w:r>
        <w:rPr>
          <w:rFonts w:ascii="宋体" w:hAnsi="宋体" w:cs="宋体"/>
          <w:sz w:val="24"/>
          <w:szCs w:val="20"/>
        </w:rPr>
      </w:r>
      <w:r/>
    </w:p>
    <w:p>
      <w:pPr>
        <w:jc w:val="left"/>
        <w:spacing w:before="100" w:after="100" w:line="480" w:lineRule="atLeast"/>
        <w:widowControl/>
        <w:rPr>
          <w:rFonts w:ascii="宋体" w:hAnsi="宋体" w:cs="宋体"/>
          <w:sz w:val="24"/>
          <w:szCs w:val="20"/>
        </w:rPr>
      </w:pPr>
      <w:r>
        <w:rPr>
          <w:rFonts w:ascii="宋体" w:hAnsi="宋体" w:cs="宋体"/>
          <w:sz w:val="24"/>
          <w:szCs w:val="20"/>
        </w:rPr>
      </w:r>
      <w:r/>
    </w:p>
    <w:p>
      <w:pPr>
        <w:jc w:val="right"/>
        <w:spacing w:before="100" w:after="100" w:line="480" w:lineRule="atLeast"/>
        <w:widowControl/>
        <w:rPr>
          <w:rFonts w:ascii="宋体" w:hAnsi="宋体" w:cs="宋体"/>
          <w:sz w:val="24"/>
          <w:szCs w:val="20"/>
        </w:rPr>
      </w:pPr>
      <w:r>
        <w:rPr>
          <w:rFonts w:hint="eastAsia" w:ascii="宋体" w:hAnsi="宋体" w:cs="宋体"/>
          <w:sz w:val="24"/>
          <w:szCs w:val="20"/>
        </w:rPr>
        <w:t xml:space="preserve">                    单位名称（盖章）：</w:t>
      </w:r>
      <w:r/>
    </w:p>
    <w:p>
      <w:pPr>
        <w:jc w:val="right"/>
        <w:spacing w:before="100" w:after="100" w:line="480" w:lineRule="atLeast"/>
        <w:widowControl/>
        <w:rPr>
          <w:rFonts w:ascii="宋体" w:hAnsi="宋体" w:cs="宋体"/>
          <w:sz w:val="24"/>
          <w:szCs w:val="20"/>
        </w:rPr>
      </w:pPr>
      <w:r>
        <w:rPr>
          <w:rFonts w:hint="eastAsia" w:ascii="宋体" w:hAnsi="宋体" w:cs="宋体"/>
          <w:sz w:val="24"/>
          <w:szCs w:val="20"/>
        </w:rPr>
        <w:t xml:space="preserve">                    日  期：</w:t>
      </w:r>
      <w:r/>
    </w:p>
    <w:p>
      <w:pPr>
        <w:jc w:val="left"/>
        <w:spacing w:before="100" w:after="100" w:line="480" w:lineRule="atLeast"/>
        <w:widowControl/>
        <w:rPr>
          <w:rFonts w:ascii="宋体" w:hAnsi="宋体" w:cs="宋体"/>
          <w:sz w:val="24"/>
          <w:szCs w:val="20"/>
        </w:rPr>
      </w:pPr>
      <w:r>
        <w:rPr>
          <w:rFonts w:hint="eastAsia" w:ascii="宋体" w:hAnsi="宋体" w:cs="宋体"/>
          <w:sz w:val="24"/>
          <w:szCs w:val="20"/>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jc w:val="left"/>
        <w:spacing w:before="100" w:after="100" w:line="480" w:lineRule="atLeast"/>
        <w:widowControl/>
        <w:rPr>
          <w:rFonts w:ascii="宋体" w:hAnsi="宋体" w:cs="宋体"/>
          <w:sz w:val="24"/>
          <w:szCs w:val="20"/>
        </w:rPr>
      </w:pPr>
      <w:r>
        <w:rPr>
          <w:rFonts w:hint="eastAsia" w:ascii="宋体" w:hAnsi="宋体" w:cs="宋体"/>
          <w:sz w:val="24"/>
          <w:szCs w:val="20"/>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jc w:val="left"/>
        <w:spacing w:before="100" w:after="100" w:line="480" w:lineRule="atLeast"/>
        <w:widowControl/>
        <w:rPr>
          <w:rFonts w:ascii="宋体" w:hAnsi="宋体" w:cs="宋体"/>
          <w:sz w:val="24"/>
          <w:szCs w:val="20"/>
        </w:rPr>
      </w:pPr>
      <w:r>
        <w:rPr>
          <w:rFonts w:hint="eastAsia" w:ascii="宋体" w:hAnsi="宋体" w:cs="宋体"/>
          <w:sz w:val="24"/>
          <w:szCs w:val="20"/>
        </w:rPr>
        <w:t xml:space="preserve">（三）中标、成交供应商为残疾人福利性单位的，中标结果同时公告其《残疾人福利性单位声明函》，接受社会监督。</w:t>
      </w:r>
      <w:r/>
    </w:p>
    <w:p>
      <w:pPr>
        <w:jc w:val="left"/>
        <w:spacing w:line="360" w:lineRule="auto"/>
        <w:widowControl/>
        <w:rPr>
          <w:rFonts w:ascii="宋体" w:hAnsi="宋体" w:cs="宋体"/>
          <w:b/>
          <w:sz w:val="24"/>
        </w:rPr>
      </w:pPr>
      <w:r>
        <w:rPr>
          <w:rFonts w:hint="eastAsia" w:ascii="宋体" w:hAnsi="宋体" w:cs="宋体"/>
          <w:b/>
          <w:sz w:val="24"/>
          <w:szCs w:val="20"/>
        </w:rPr>
        <w:br w:type="page" w:clear="all"/>
      </w:r>
      <w:r/>
    </w:p>
    <w:p>
      <w:pPr>
        <w:jc w:val="center"/>
        <w:spacing w:line="360" w:lineRule="auto"/>
        <w:widowControl/>
        <w:rPr>
          <w:rFonts w:ascii="宋体" w:hAnsi="宋体" w:cs="宋体"/>
          <w:b/>
          <w:sz w:val="28"/>
          <w:szCs w:val="28"/>
        </w:rPr>
      </w:pPr>
      <w:r>
        <w:rPr>
          <w:rFonts w:ascii="宋体" w:hAnsi="宋体" w:cs="宋体"/>
          <w:b/>
          <w:sz w:val="28"/>
          <w:szCs w:val="28"/>
        </w:rPr>
        <w:t xml:space="preserve">（</w:t>
      </w:r>
      <w:r>
        <w:rPr>
          <w:rFonts w:hint="eastAsia" w:ascii="宋体" w:hAnsi="宋体" w:cs="宋体"/>
          <w:b/>
          <w:sz w:val="28"/>
          <w:szCs w:val="28"/>
        </w:rPr>
        <w:t xml:space="preserve">6</w:t>
      </w:r>
      <w:r>
        <w:rPr>
          <w:rFonts w:ascii="宋体" w:hAnsi="宋体" w:cs="宋体"/>
          <w:b/>
          <w:sz w:val="28"/>
          <w:szCs w:val="28"/>
        </w:rPr>
        <w:t xml:space="preserve">）</w:t>
      </w:r>
      <w:r>
        <w:rPr>
          <w:rFonts w:hint="eastAsia" w:ascii="宋体" w:hAnsi="宋体" w:cs="宋体"/>
          <w:b/>
          <w:sz w:val="28"/>
          <w:szCs w:val="28"/>
        </w:rPr>
        <w:t xml:space="preserve">投标</w:t>
      </w:r>
      <w:r>
        <w:rPr>
          <w:rFonts w:ascii="宋体" w:hAnsi="宋体" w:cs="宋体"/>
          <w:b/>
          <w:sz w:val="28"/>
          <w:szCs w:val="28"/>
        </w:rPr>
        <w:t xml:space="preserve">单位</w:t>
      </w:r>
      <w:r>
        <w:rPr>
          <w:rFonts w:hint="eastAsia" w:ascii="宋体" w:hAnsi="宋体" w:cs="宋体"/>
          <w:b/>
          <w:sz w:val="28"/>
          <w:szCs w:val="28"/>
        </w:rPr>
        <w:t xml:space="preserve">与其他单位存在控股、管理关系情况表</w:t>
      </w:r>
      <w:r/>
    </w:p>
    <w:p>
      <w:pPr>
        <w:jc w:val="left"/>
        <w:spacing w:line="360" w:lineRule="auto"/>
        <w:widowControl/>
        <w:rPr>
          <w:rFonts w:ascii="宋体" w:hAnsi="宋体" w:cs="宋体"/>
          <w:b/>
          <w:sz w:val="24"/>
        </w:rPr>
      </w:pPr>
      <w:r>
        <w:rPr>
          <w:rFonts w:ascii="宋体" w:hAnsi="宋体" w:cs="宋体"/>
          <w:b/>
          <w:sz w:val="24"/>
        </w:rPr>
      </w:r>
      <w:r/>
    </w:p>
    <w:tbl>
      <w:tblPr>
        <w:tblStyle w:val="720"/>
        <w:tblW w:w="9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2"/>
        <w:gridCol w:w="3827"/>
      </w:tblGrid>
      <w:tr>
        <w:trPr>
          <w:jc w:val="center"/>
          <w:trHeight w:val="637"/>
        </w:trPr>
        <w:tc>
          <w:tcPr>
            <w:tcW w:w="5182"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与投标单位负责人为同一人或存在控股、管理关系的单位名称</w:t>
            </w:r>
            <w:r/>
          </w:p>
        </w:tc>
        <w:tc>
          <w:tcPr>
            <w:tcW w:w="3827"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控股、管理关系情况说明</w:t>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r>
        <w:trPr>
          <w:jc w:val="center"/>
          <w:trHeight w:val="850"/>
        </w:trPr>
        <w:tc>
          <w:tcPr>
            <w:tcW w:w="5182"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c>
          <w:tcPr>
            <w:tcW w:w="3827"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r>
            <w:r/>
          </w:p>
        </w:tc>
      </w:tr>
    </w:tbl>
    <w:p>
      <w:pPr>
        <w:jc w:val="left"/>
        <w:spacing w:line="360" w:lineRule="auto"/>
        <w:widowControl/>
        <w:rPr>
          <w:rFonts w:ascii="宋体" w:hAnsi="宋体" w:cs="宋体"/>
          <w:bCs/>
          <w:sz w:val="24"/>
        </w:rPr>
      </w:pPr>
      <w:r>
        <w:rPr>
          <w:rFonts w:hint="eastAsia" w:ascii="宋体" w:hAnsi="宋体" w:cs="宋体"/>
          <w:bCs/>
          <w:sz w:val="24"/>
        </w:rPr>
        <w:t xml:space="preserve">注：</w:t>
      </w:r>
      <w:r>
        <w:rPr>
          <w:rFonts w:hint="eastAsia" w:ascii="宋体" w:hAnsi="宋体" w:cs="宋体"/>
          <w:bCs/>
          <w:sz w:val="24"/>
        </w:rPr>
        <w:t xml:space="preserve">1、投标人应按实填写所有与之有控股、管理关系的情况，如果没有请在上表中填“无”。</w:t>
      </w:r>
      <w:r/>
    </w:p>
    <w:p>
      <w:pPr>
        <w:spacing w:line="360" w:lineRule="auto"/>
        <w:rPr>
          <w:rFonts w:ascii="宋体" w:hAnsi="宋体" w:cs="宋体"/>
          <w:b/>
          <w:sz w:val="24"/>
        </w:rPr>
      </w:pPr>
      <w:r>
        <w:rPr>
          <w:rFonts w:hint="eastAsia" w:ascii="宋体" w:hAnsi="宋体"/>
          <w:bCs/>
          <w:sz w:val="24"/>
        </w:rPr>
        <w:t xml:space="preserve">2、</w:t>
      </w:r>
      <w:r>
        <w:rPr>
          <w:rFonts w:hint="eastAsia"/>
          <w:sz w:val="24"/>
        </w:rPr>
        <w:t xml:space="preserve">如供应商单位负责人为同一人或者存在直接控股、管理关系的不同供应商，同时参加同一项目或标段投标，其他各项资格审查也都能通过的，仅以其中投标报价最低（如报价相同的，由评委抽签确定）的供应商进入后续评审程序，与其单位负责人为同一人或者存在直接控股、管理关系的其他供应商不得通过此项资格审查，其投标无效。</w:t>
      </w:r>
      <w:r/>
    </w:p>
    <w:p>
      <w:pPr>
        <w:ind w:firstLine="5040"/>
        <w:spacing w:line="360" w:lineRule="auto"/>
        <w:shd w:val="clear" w:color="auto" w:fill="ffffff"/>
        <w:rPr>
          <w:rFonts w:ascii="宋体" w:hAnsi="宋体"/>
          <w:sz w:val="24"/>
        </w:rPr>
      </w:pPr>
      <w:r>
        <w:rPr>
          <w:rFonts w:hint="eastAsia" w:ascii="宋体" w:hAnsi="宋体"/>
          <w:sz w:val="24"/>
        </w:rPr>
        <w:t xml:space="preserve">投标单位：（公章）</w:t>
      </w:r>
      <w:r/>
    </w:p>
    <w:p>
      <w:pPr>
        <w:ind w:firstLine="5040"/>
        <w:spacing w:line="360" w:lineRule="auto"/>
        <w:shd w:val="clear" w:color="auto" w:fill="ffffff"/>
        <w:rPr>
          <w:rFonts w:ascii="宋体" w:hAnsi="宋体"/>
          <w:sz w:val="24"/>
        </w:rPr>
      </w:pPr>
      <w:r>
        <w:rPr>
          <w:rFonts w:hint="eastAsia" w:ascii="宋体" w:hAnsi="宋体"/>
          <w:sz w:val="24"/>
        </w:rPr>
        <w:t xml:space="preserve">日期：    年 月  日</w:t>
      </w:r>
      <w:r/>
    </w:p>
    <w:p>
      <w:pPr>
        <w:jc w:val="left"/>
        <w:spacing w:line="360" w:lineRule="auto"/>
        <w:widowControl/>
        <w:rPr>
          <w:rFonts w:ascii="宋体" w:hAnsi="宋体" w:cs="宋体"/>
          <w:b/>
          <w:sz w:val="24"/>
        </w:rPr>
      </w:pPr>
      <w:r>
        <w:rPr>
          <w:rFonts w:ascii="宋体" w:hAnsi="宋体" w:cs="宋体"/>
          <w:b/>
          <w:sz w:val="24"/>
        </w:rPr>
      </w:r>
      <w:r/>
    </w:p>
    <w:p>
      <w:pPr>
        <w:jc w:val="left"/>
        <w:spacing w:before="75" w:after="75"/>
        <w:widowControl/>
        <w:rPr>
          <w:rFonts w:ascii="宋体" w:hAnsi="宋体" w:cs="宋体"/>
          <w:sz w:val="24"/>
          <w:szCs w:val="20"/>
        </w:rPr>
      </w:pPr>
      <w:r>
        <w:rPr>
          <w:rFonts w:ascii="宋体" w:hAnsi="宋体" w:cs="宋体"/>
          <w:sz w:val="24"/>
          <w:szCs w:val="20"/>
        </w:rPr>
      </w:r>
      <w:r/>
    </w:p>
    <w:p>
      <w:pPr>
        <w:spacing w:before="75" w:after="75" w:line="435" w:lineRule="atLeast"/>
        <w:widowControl/>
        <w:rPr>
          <w:rFonts w:ascii="宋体" w:hAnsi="宋体" w:cs="宋体"/>
          <w:sz w:val="24"/>
          <w:szCs w:val="20"/>
        </w:rPr>
      </w:pPr>
      <w:r>
        <w:rPr>
          <w:rFonts w:hint="eastAsia" w:ascii="宋体" w:hAnsi="宋体" w:cs="宋体"/>
          <w:b/>
          <w:sz w:val="24"/>
        </w:rPr>
        <w:br w:type="page" w:clear="all"/>
      </w:r>
      <w:r>
        <w:rPr>
          <w:rFonts w:hint="eastAsia" w:ascii="宋体" w:hAnsi="宋体" w:cs="宋体"/>
          <w:b/>
          <w:sz w:val="24"/>
        </w:rPr>
        <w:t xml:space="preserve">9、投标（响应）保证承诺书</w:t>
      </w:r>
      <w:r/>
    </w:p>
    <w:p>
      <w:pPr>
        <w:jc w:val="center"/>
        <w:spacing w:beforeAutospacing="1" w:afterAutospacing="1" w:line="600" w:lineRule="atLeast"/>
        <w:widowControl/>
        <w:rPr>
          <w:rFonts w:ascii="宋体" w:hAnsi="宋体" w:cs="宋体"/>
          <w:sz w:val="24"/>
          <w:szCs w:val="20"/>
        </w:rPr>
      </w:pPr>
      <w:r>
        <w:rPr>
          <w:rFonts w:hint="eastAsia" w:ascii="宋体" w:hAnsi="宋体" w:cs="宋体"/>
          <w:sz w:val="24"/>
          <w:szCs w:val="20"/>
        </w:rPr>
        <w:t xml:space="preserve">投标（响应）保证承诺书</w:t>
      </w:r>
      <w:r/>
    </w:p>
    <w:p>
      <w:pPr>
        <w:jc w:val="left"/>
        <w:spacing w:line="360" w:lineRule="auto"/>
        <w:widowControl/>
        <w:rPr>
          <w:rFonts w:ascii="宋体" w:hAnsi="宋体" w:cs="宋体"/>
          <w:sz w:val="24"/>
          <w:szCs w:val="20"/>
        </w:rPr>
      </w:pPr>
      <w:r>
        <w:rPr>
          <w:rFonts w:hint="eastAsia" w:ascii="宋体" w:hAnsi="宋体" w:cs="宋体"/>
          <w:sz w:val="24"/>
          <w:szCs w:val="20"/>
        </w:rPr>
        <w:t xml:space="preserve">致：</w:t>
      </w:r>
      <w:r>
        <w:rPr>
          <w:rFonts w:hint="eastAsia" w:ascii="宋体" w:hAnsi="宋体" w:cs="宋体"/>
          <w:sz w:val="24"/>
          <w:szCs w:val="20"/>
          <w:u w:val="single"/>
        </w:rPr>
        <w:t xml:space="preserve"> （采购代理机构名称）</w:t>
      </w:r>
      <w:r/>
    </w:p>
    <w:p>
      <w:pPr>
        <w:ind w:firstLine="600"/>
        <w:jc w:val="left"/>
        <w:spacing w:line="360" w:lineRule="auto"/>
        <w:widowControl/>
        <w:rPr>
          <w:rFonts w:ascii="宋体" w:hAnsi="宋体" w:cs="宋体"/>
          <w:sz w:val="24"/>
          <w:szCs w:val="20"/>
        </w:rPr>
      </w:pPr>
      <w:r>
        <w:rPr>
          <w:rFonts w:hint="eastAsia" w:ascii="宋体" w:hAnsi="宋体" w:cs="宋体"/>
          <w:sz w:val="24"/>
          <w:szCs w:val="20"/>
        </w:rPr>
        <w:t xml:space="preserve">我（单位/本人，以下统称我单位）自愿参加</w:t>
      </w:r>
      <w:r>
        <w:rPr>
          <w:rFonts w:hint="eastAsia" w:ascii="宋体" w:hAnsi="宋体" w:cs="宋体"/>
          <w:sz w:val="24"/>
          <w:szCs w:val="20"/>
          <w:u w:val="single"/>
        </w:rPr>
        <w:t xml:space="preserve">  （项目名称和采购编号）  </w:t>
      </w:r>
      <w:r>
        <w:rPr>
          <w:rFonts w:hint="eastAsia" w:ascii="宋体" w:hAnsi="宋体" w:cs="宋体"/>
          <w:sz w:val="24"/>
          <w:szCs w:val="20"/>
        </w:rPr>
        <w:t xml:space="preserve">的投标（响应）,并做出如下承诺：</w:t>
      </w:r>
      <w:r/>
    </w:p>
    <w:p>
      <w:pPr>
        <w:ind w:firstLine="600"/>
        <w:jc w:val="left"/>
        <w:spacing w:line="360" w:lineRule="auto"/>
        <w:widowControl/>
        <w:rPr>
          <w:rFonts w:ascii="宋体" w:hAnsi="宋体" w:cs="宋体"/>
          <w:sz w:val="24"/>
          <w:szCs w:val="20"/>
        </w:rPr>
      </w:pPr>
      <w:r>
        <w:rPr>
          <w:rFonts w:hint="eastAsia" w:ascii="宋体" w:hAnsi="宋体" w:cs="宋体"/>
          <w:sz w:val="24"/>
          <w:szCs w:val="20"/>
        </w:rPr>
        <w:t xml:space="preserve">一、除不可抗力外，我单位如果发生以下行为，将在行为发生的10个工作日内，向贵方</w:t>
      </w:r>
      <w:r>
        <w:rPr>
          <w:rFonts w:hint="eastAsia" w:ascii="宋体" w:hAnsi="宋体" w:cs="宋体"/>
          <w:sz w:val="24"/>
          <w:szCs w:val="20"/>
          <w:u w:val="single"/>
        </w:rPr>
        <w:t xml:space="preserve">（或采购人）</w:t>
      </w:r>
      <w:r>
        <w:rPr>
          <w:rFonts w:hint="eastAsia" w:ascii="宋体" w:hAnsi="宋体" w:cs="宋体"/>
          <w:sz w:val="24"/>
          <w:szCs w:val="20"/>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 w:val="24"/>
          <w:szCs w:val="20"/>
        </w:rPr>
      </w:pPr>
      <w:r>
        <w:rPr>
          <w:rFonts w:hint="eastAsia" w:ascii="宋体" w:hAnsi="宋体" w:cs="宋体"/>
          <w:sz w:val="24"/>
          <w:szCs w:val="20"/>
        </w:rPr>
        <w:t xml:space="preserve">1.自投标（响应）截止时间至本项目发布中标（成交）公告为止，撤销投标（响应）；</w:t>
      </w:r>
      <w:r/>
    </w:p>
    <w:p>
      <w:pPr>
        <w:ind w:firstLine="555"/>
        <w:jc w:val="left"/>
        <w:spacing w:line="360" w:lineRule="auto"/>
        <w:widowControl/>
        <w:rPr>
          <w:rFonts w:ascii="宋体" w:hAnsi="宋体" w:cs="宋体"/>
          <w:sz w:val="24"/>
          <w:szCs w:val="20"/>
        </w:rPr>
      </w:pPr>
      <w:r>
        <w:rPr>
          <w:rFonts w:hint="eastAsia" w:ascii="宋体" w:hAnsi="宋体" w:cs="宋体"/>
          <w:sz w:val="24"/>
          <w:szCs w:val="20"/>
        </w:rPr>
        <w:t xml:space="preserve">2.中标（成交）后不依法与采购人签订合同；</w:t>
      </w:r>
      <w:r/>
    </w:p>
    <w:p>
      <w:pPr>
        <w:ind w:firstLine="555"/>
        <w:jc w:val="left"/>
        <w:spacing w:line="360" w:lineRule="auto"/>
        <w:widowControl/>
        <w:rPr>
          <w:rFonts w:ascii="宋体" w:hAnsi="宋体" w:cs="宋体"/>
          <w:sz w:val="24"/>
          <w:szCs w:val="20"/>
        </w:rPr>
      </w:pPr>
      <w:r>
        <w:rPr>
          <w:rFonts w:hint="eastAsia" w:ascii="宋体" w:hAnsi="宋体" w:cs="宋体"/>
          <w:sz w:val="24"/>
          <w:szCs w:val="20"/>
        </w:rPr>
        <w:t xml:space="preserve">3.中标（成交）后不按本采购文件规定向采购人提交履约保函；</w:t>
      </w:r>
      <w:r/>
    </w:p>
    <w:p>
      <w:pPr>
        <w:ind w:firstLine="555"/>
        <w:jc w:val="left"/>
        <w:spacing w:line="360" w:lineRule="auto"/>
        <w:widowControl/>
        <w:rPr>
          <w:rFonts w:ascii="宋体" w:hAnsi="宋体" w:cs="宋体"/>
          <w:sz w:val="24"/>
          <w:szCs w:val="20"/>
        </w:rPr>
      </w:pPr>
      <w:r>
        <w:rPr>
          <w:rFonts w:hint="eastAsia" w:ascii="宋体" w:hAnsi="宋体" w:cs="宋体"/>
          <w:sz w:val="24"/>
          <w:szCs w:val="20"/>
        </w:rPr>
        <w:t xml:space="preserve">4.中标（成交）后不按本采购文件规定向贵方缴纳采购代理费。</w:t>
      </w:r>
      <w:r/>
    </w:p>
    <w:p>
      <w:pPr>
        <w:ind w:firstLine="600"/>
        <w:jc w:val="left"/>
        <w:spacing w:line="360" w:lineRule="auto"/>
        <w:widowControl/>
        <w:rPr>
          <w:rFonts w:ascii="宋体" w:hAnsi="宋体" w:cs="宋体"/>
          <w:sz w:val="24"/>
          <w:szCs w:val="20"/>
        </w:rPr>
      </w:pPr>
      <w:r>
        <w:rPr>
          <w:rFonts w:hint="eastAsia" w:ascii="宋体" w:hAnsi="宋体" w:cs="宋体"/>
          <w:sz w:val="24"/>
          <w:szCs w:val="20"/>
        </w:rPr>
        <w:t xml:space="preserve">二、我单位知晓上述行为的法律后果，承认本承诺书作为贵方</w:t>
      </w:r>
      <w:r>
        <w:rPr>
          <w:rFonts w:hint="eastAsia" w:ascii="宋体" w:hAnsi="宋体" w:cs="宋体"/>
          <w:sz w:val="24"/>
          <w:szCs w:val="20"/>
          <w:u w:val="single"/>
        </w:rPr>
        <w:t xml:space="preserve">（或采购人）</w:t>
      </w:r>
      <w:r>
        <w:rPr>
          <w:rFonts w:hint="eastAsia" w:ascii="宋体" w:hAnsi="宋体" w:cs="宋体"/>
          <w:sz w:val="24"/>
          <w:szCs w:val="20"/>
        </w:rPr>
        <w:t xml:space="preserve">要求我单位履行违约赔偿义务的依据作用。</w:t>
      </w:r>
      <w:r/>
    </w:p>
    <w:p>
      <w:pPr>
        <w:jc w:val="left"/>
        <w:spacing w:line="360" w:lineRule="auto"/>
        <w:widowControl/>
        <w:rPr>
          <w:rFonts w:ascii="宋体" w:hAnsi="宋体" w:cs="宋体"/>
          <w:sz w:val="24"/>
          <w:szCs w:val="20"/>
        </w:rPr>
      </w:pPr>
      <w:r>
        <w:rPr>
          <w:rFonts w:hint="eastAsia" w:ascii="宋体" w:hAnsi="宋体" w:cs="宋体"/>
          <w:sz w:val="24"/>
          <w:szCs w:val="20"/>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投标（响应）人：</w:t>
      </w:r>
      <w:r>
        <w:rPr>
          <w:rFonts w:hint="eastAsia" w:ascii="宋体" w:hAnsi="宋体" w:cs="宋体"/>
          <w:sz w:val="24"/>
          <w:szCs w:val="20"/>
          <w:u w:val="single"/>
        </w:rPr>
        <w:t xml:space="preserve">          </w:t>
      </w:r>
      <w:r>
        <w:rPr>
          <w:rFonts w:hint="eastAsia" w:ascii="宋体" w:hAnsi="宋体" w:cs="宋体"/>
          <w:sz w:val="24"/>
          <w:szCs w:val="20"/>
        </w:rPr>
        <w:t xml:space="preserve">（盖公章）</w:t>
      </w:r>
      <w:r/>
    </w:p>
    <w:p>
      <w:pPr>
        <w:jc w:val="left"/>
        <w:spacing w:line="360" w:lineRule="auto"/>
        <w:widowControl/>
        <w:rPr>
          <w:rFonts w:ascii="宋体" w:hAnsi="宋体" w:cs="宋体"/>
          <w:sz w:val="24"/>
          <w:szCs w:val="20"/>
        </w:rPr>
      </w:pPr>
      <w:r>
        <w:rPr>
          <w:rFonts w:hint="eastAsia" w:ascii="宋体" w:hAnsi="宋体" w:cs="宋体"/>
          <w:sz w:val="24"/>
          <w:szCs w:val="20"/>
        </w:rPr>
        <w:t xml:space="preserve">地址：</w:t>
      </w:r>
      <w:r>
        <w:rPr>
          <w:rFonts w:hint="eastAsia" w:ascii="宋体" w:hAnsi="宋体" w:cs="宋体"/>
          <w:sz w:val="24"/>
          <w:szCs w:val="20"/>
          <w:u w:val="single"/>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电话：</w:t>
      </w:r>
      <w:r>
        <w:rPr>
          <w:rFonts w:hint="eastAsia" w:ascii="宋体" w:hAnsi="宋体" w:cs="宋体"/>
          <w:sz w:val="24"/>
          <w:szCs w:val="20"/>
          <w:u w:val="single"/>
        </w:rPr>
        <w:t xml:space="preserve">           </w:t>
      </w:r>
      <w:r>
        <w:rPr>
          <w:rFonts w:hint="eastAsia" w:ascii="宋体" w:hAnsi="宋体" w:cs="宋体"/>
          <w:sz w:val="24"/>
          <w:szCs w:val="20"/>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传真：</w:t>
      </w:r>
      <w:r>
        <w:rPr>
          <w:rFonts w:hint="eastAsia" w:ascii="宋体" w:hAnsi="宋体" w:cs="宋体"/>
          <w:sz w:val="24"/>
          <w:szCs w:val="20"/>
          <w:u w:val="single"/>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电子邮件：</w:t>
      </w:r>
      <w:r>
        <w:rPr>
          <w:rFonts w:hint="eastAsia" w:ascii="宋体" w:hAnsi="宋体" w:cs="宋体"/>
          <w:sz w:val="24"/>
          <w:szCs w:val="20"/>
          <w:u w:val="single"/>
        </w:rPr>
        <w:t xml:space="preserve">         </w:t>
      </w:r>
      <w:r>
        <w:rPr>
          <w:rFonts w:hint="eastAsia" w:ascii="宋体" w:hAnsi="宋体" w:cs="宋体"/>
          <w:sz w:val="24"/>
          <w:szCs w:val="20"/>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邮编：</w:t>
      </w:r>
      <w:r>
        <w:rPr>
          <w:rFonts w:hint="eastAsia" w:ascii="宋体" w:hAnsi="宋体" w:cs="宋体"/>
          <w:sz w:val="24"/>
          <w:szCs w:val="20"/>
          <w:u w:val="single"/>
        </w:rPr>
        <w:t xml:space="preserve">            </w:t>
      </w:r>
      <w:r/>
    </w:p>
    <w:p>
      <w:pPr>
        <w:jc w:val="left"/>
        <w:spacing w:line="360" w:lineRule="auto"/>
        <w:widowControl/>
        <w:rPr>
          <w:rFonts w:ascii="宋体" w:hAnsi="宋体" w:cs="宋体"/>
          <w:sz w:val="24"/>
          <w:szCs w:val="20"/>
        </w:rPr>
      </w:pPr>
      <w:r>
        <w:rPr>
          <w:rFonts w:hint="eastAsia" w:ascii="宋体" w:hAnsi="宋体" w:cs="宋体"/>
          <w:sz w:val="24"/>
          <w:szCs w:val="20"/>
        </w:rPr>
        <w:t xml:space="preserve">法定代表人或委托代理人(签字或签章)：</w:t>
      </w:r>
      <w:r>
        <w:rPr>
          <w:rFonts w:hint="eastAsia" w:ascii="宋体" w:hAnsi="宋体" w:cs="宋体"/>
          <w:sz w:val="24"/>
          <w:szCs w:val="20"/>
          <w:u w:val="single"/>
        </w:rPr>
        <w:t xml:space="preserve">        </w:t>
      </w:r>
      <w:r/>
    </w:p>
    <w:p>
      <w:pPr>
        <w:spacing w:line="360" w:lineRule="auto"/>
        <w:rPr>
          <w:rFonts w:ascii="宋体" w:hAnsi="宋体" w:cs="宋体"/>
          <w:b/>
          <w:sz w:val="24"/>
          <w:szCs w:val="20"/>
        </w:rPr>
      </w:pPr>
      <w:r>
        <w:rPr>
          <w:rFonts w:hint="eastAsia" w:ascii="宋体" w:hAnsi="宋体" w:cs="宋体"/>
          <w:sz w:val="24"/>
          <w:szCs w:val="20"/>
        </w:rPr>
        <w:t xml:space="preserve">日期：</w:t>
      </w:r>
      <w:r>
        <w:rPr>
          <w:rFonts w:hint="eastAsia" w:ascii="宋体" w:hAnsi="宋体" w:cs="宋体"/>
          <w:sz w:val="24"/>
          <w:szCs w:val="20"/>
          <w:u w:val="single"/>
        </w:rPr>
        <w:t xml:space="preserve">          </w:t>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ascii="宋体" w:hAnsi="宋体" w:cs="宋体"/>
          <w:b/>
          <w:sz w:val="24"/>
        </w:rPr>
      </w:r>
      <w:r/>
    </w:p>
    <w:p>
      <w:pPr>
        <w:jc w:val="left"/>
        <w:rPr>
          <w:rFonts w:ascii="宋体" w:hAnsi="宋体" w:cs="宋体"/>
          <w:b/>
          <w:sz w:val="24"/>
        </w:rPr>
      </w:pPr>
      <w:r>
        <w:rPr>
          <w:rFonts w:hint="eastAsia" w:ascii="宋体" w:hAnsi="宋体" w:cs="宋体"/>
          <w:b/>
          <w:sz w:val="24"/>
        </w:rPr>
        <w:t xml:space="preserve">10、投标单位情况表</w:t>
      </w:r>
      <w:r/>
    </w:p>
    <w:p>
      <w:pPr>
        <w:jc w:val="left"/>
        <w:rPr>
          <w:rFonts w:ascii="宋体" w:hAnsi="宋体" w:cs="宋体"/>
          <w:sz w:val="24"/>
        </w:rPr>
      </w:pPr>
      <w:r>
        <w:rPr>
          <w:rFonts w:ascii="宋体" w:hAnsi="宋体" w:cs="宋体"/>
          <w:sz w:val="24"/>
        </w:rPr>
      </w:r>
      <w:r/>
    </w:p>
    <w:p>
      <w:pPr>
        <w:ind w:firstLine="420"/>
        <w:jc w:val="left"/>
        <w:rPr>
          <w:rFonts w:ascii="宋体" w:hAnsi="宋体" w:cs="宋体"/>
          <w:sz w:val="24"/>
        </w:rPr>
      </w:pPr>
      <w:r>
        <w:rPr>
          <w:rFonts w:hint="eastAsia" w:ascii="宋体" w:hAnsi="宋体" w:cs="宋体"/>
          <w:sz w:val="24"/>
        </w:rPr>
        <w:t xml:space="preserve">                          投标单位情况表</w:t>
      </w:r>
      <w:r/>
    </w:p>
    <w:p>
      <w:pPr>
        <w:ind w:firstLine="420"/>
        <w:jc w:val="left"/>
        <w:rPr>
          <w:rFonts w:ascii="宋体" w:hAnsi="宋体" w:cs="宋体"/>
          <w:sz w:val="24"/>
        </w:rPr>
      </w:pPr>
      <w:r>
        <w:rPr>
          <w:rFonts w:hint="eastAsia" w:ascii="宋体" w:hAnsi="宋体" w:cs="宋体"/>
          <w:sz w:val="24"/>
        </w:rPr>
        <w:t xml:space="preserve">单位名称（盖章）</w:t>
      </w:r>
      <w:r/>
    </w:p>
    <w:tbl>
      <w:tblPr>
        <w:tblStyle w:val="720"/>
        <w:tblW w:w="0" w:type="auto"/>
        <w:tblInd w:w="-34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法定代表人（负责人）</w:t>
            </w:r>
            <w:r/>
          </w:p>
        </w:tc>
        <w:tc>
          <w:tcPr>
            <w:tcW w:w="2259"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成立日期</w:t>
            </w:r>
            <w:r/>
          </w:p>
        </w:tc>
        <w:tc>
          <w:tcPr>
            <w:tcW w:w="2970"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企业地址</w:t>
            </w:r>
            <w:r/>
          </w:p>
        </w:tc>
        <w:tc>
          <w:tcPr>
            <w:tcW w:w="2259"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注册资本</w:t>
            </w:r>
            <w:r/>
          </w:p>
        </w:tc>
        <w:tc>
          <w:tcPr>
            <w:tcW w:w="2970" w:type="dxa"/>
            <w:textDirection w:val="lrTb"/>
            <w:noWrap w:val="false"/>
          </w:tcPr>
          <w:p>
            <w:pPr>
              <w:ind w:firstLine="1680"/>
              <w:jc w:val="left"/>
              <w:spacing w:line="400" w:lineRule="exact"/>
              <w:rPr>
                <w:rFonts w:ascii="宋体" w:hAnsi="宋体" w:cs="宋体"/>
                <w:sz w:val="24"/>
              </w:rPr>
            </w:pPr>
            <w:r>
              <w:rPr>
                <w:rFonts w:hint="eastAsia" w:ascii="宋体" w:hAnsi="宋体" w:cs="宋体"/>
                <w:sz w:val="24"/>
              </w:rPr>
              <w:t xml:space="preserve">万元</w:t>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经营范围</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职工人数</w:t>
            </w:r>
            <w:r/>
          </w:p>
        </w:tc>
        <w:tc>
          <w:tcPr>
            <w:tcW w:w="2259" w:type="dxa"/>
            <w:textDirection w:val="lrTb"/>
            <w:noWrap w:val="false"/>
          </w:tcPr>
          <w:p>
            <w:pPr>
              <w:jc w:val="left"/>
              <w:spacing w:line="400" w:lineRule="exact"/>
              <w:rPr>
                <w:rFonts w:ascii="宋体" w:hAnsi="宋体" w:cs="宋体"/>
                <w:sz w:val="24"/>
              </w:rPr>
            </w:pPr>
            <w:r>
              <w:rPr>
                <w:rFonts w:ascii="宋体" w:hAnsi="宋体" w:cs="宋体"/>
                <w:sz w:val="24"/>
              </w:rPr>
            </w:r>
            <w:r/>
          </w:p>
        </w:tc>
        <w:tc>
          <w:tcPr>
            <w:gridSpan w:val="2"/>
            <w:tcW w:w="472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其中：</w:t>
            </w:r>
            <w:r/>
          </w:p>
          <w:p>
            <w:pPr>
              <w:jc w:val="left"/>
              <w:spacing w:line="400" w:lineRule="exact"/>
              <w:rPr>
                <w:rFonts w:ascii="宋体" w:hAnsi="宋体" w:cs="宋体"/>
                <w:sz w:val="24"/>
              </w:rPr>
            </w:pPr>
            <w:r>
              <w:rPr>
                <w:rFonts w:hint="eastAsia" w:ascii="宋体" w:hAnsi="宋体" w:cs="宋体"/>
                <w:sz w:val="24"/>
              </w:rPr>
              <w:t xml:space="preserve">中级职称    人数、高级职称        人数</w:t>
            </w:r>
            <w:r/>
          </w:p>
        </w:tc>
      </w:tr>
      <w:tr>
        <w:trPr>
          <w:trHeight w:val="566"/>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2025年12月资产总额</w:t>
            </w:r>
            <w:r/>
          </w:p>
        </w:tc>
        <w:tc>
          <w:tcPr>
            <w:tcW w:w="225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净资产</w:t>
            </w:r>
            <w:r/>
          </w:p>
        </w:tc>
        <w:tc>
          <w:tcPr>
            <w:tcW w:w="29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2025年12月股东权益</w:t>
            </w:r>
            <w:r/>
          </w:p>
        </w:tc>
        <w:tc>
          <w:tcPr>
            <w:tcW w:w="225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 年业务收入</w:t>
            </w:r>
            <w:r/>
          </w:p>
        </w:tc>
        <w:tc>
          <w:tcPr>
            <w:tcW w:w="29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万元</w:t>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2025年实现利润</w:t>
            </w:r>
            <w:r/>
          </w:p>
        </w:tc>
        <w:tc>
          <w:tcPr>
            <w:tcW w:w="2259" w:type="dxa"/>
            <w:textDirection w:val="lrTb"/>
            <w:noWrap w:val="false"/>
          </w:tcPr>
          <w:p>
            <w:pPr>
              <w:ind w:firstLine="1495"/>
              <w:jc w:val="left"/>
              <w:spacing w:line="400" w:lineRule="exact"/>
              <w:rPr>
                <w:rFonts w:ascii="宋体" w:hAnsi="宋体" w:cs="宋体"/>
                <w:sz w:val="24"/>
              </w:rPr>
            </w:pPr>
            <w:r>
              <w:rPr>
                <w:rFonts w:hint="eastAsia" w:ascii="宋体" w:hAnsi="宋体" w:cs="宋体"/>
                <w:sz w:val="24"/>
              </w:rPr>
              <w:t xml:space="preserve">万元</w:t>
            </w:r>
            <w:r/>
          </w:p>
        </w:tc>
        <w:tc>
          <w:tcPr>
            <w:tcW w:w="1757" w:type="dxa"/>
            <w:textDirection w:val="lrTb"/>
            <w:noWrap w:val="false"/>
          </w:tcPr>
          <w:p>
            <w:pPr>
              <w:jc w:val="left"/>
              <w:spacing w:line="400" w:lineRule="exact"/>
              <w:rPr>
                <w:rFonts w:ascii="宋体" w:hAnsi="宋体" w:cs="宋体"/>
                <w:sz w:val="24"/>
              </w:rPr>
            </w:pPr>
            <w:r>
              <w:rPr>
                <w:rFonts w:ascii="宋体" w:hAnsi="宋体" w:cs="宋体"/>
                <w:sz w:val="24"/>
              </w:rPr>
            </w:r>
            <w:r/>
          </w:p>
        </w:tc>
        <w:tc>
          <w:tcPr>
            <w:tcW w:w="2970"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办公面积</w:t>
            </w:r>
            <w:r/>
          </w:p>
          <w:p>
            <w:pPr>
              <w:jc w:val="left"/>
              <w:spacing w:line="400" w:lineRule="exact"/>
              <w:rPr>
                <w:rFonts w:ascii="宋体" w:hAnsi="宋体" w:cs="宋体"/>
                <w:sz w:val="24"/>
              </w:rPr>
            </w:pPr>
            <w:r>
              <w:rPr>
                <w:rFonts w:ascii="宋体" w:hAnsi="宋体" w:cs="宋体"/>
                <w:sz w:val="24"/>
              </w:rPr>
            </w:r>
            <w:r/>
          </w:p>
        </w:tc>
        <w:tc>
          <w:tcPr>
            <w:tcW w:w="2259"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          平方米</w:t>
            </w:r>
            <w:r/>
          </w:p>
        </w:tc>
        <w:tc>
          <w:tcPr>
            <w:tcW w:w="1757"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其中：</w:t>
            </w:r>
            <w:r/>
          </w:p>
        </w:tc>
        <w:tc>
          <w:tcPr>
            <w:tcW w:w="297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自有面积       平方米</w:t>
            </w:r>
            <w:r/>
          </w:p>
          <w:p>
            <w:pPr>
              <w:jc w:val="left"/>
              <w:spacing w:line="400" w:lineRule="exact"/>
              <w:rPr>
                <w:rFonts w:ascii="宋体" w:hAnsi="宋体" w:cs="宋体"/>
                <w:sz w:val="24"/>
              </w:rPr>
            </w:pPr>
            <w:r>
              <w:rPr>
                <w:rFonts w:hint="eastAsia" w:ascii="宋体" w:hAnsi="宋体" w:cs="宋体"/>
                <w:sz w:val="24"/>
              </w:rPr>
              <w:t xml:space="preserve">承租面积       平方米</w:t>
            </w:r>
            <w:r/>
          </w:p>
        </w:tc>
      </w:tr>
      <w:tr>
        <w:trPr>
          <w:trHeight w:val="385"/>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单位简历及内设机构情况</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单位优势及特长</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近三年来完成或正在履行的重大合同情况</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最近3年内在经营过程中受到何种奖励或处分</w:t>
            </w:r>
            <w:r/>
          </w:p>
        </w:tc>
        <w:tc>
          <w:tcPr>
            <w:gridSpan w:val="3"/>
            <w:tcW w:w="6986"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（行政主管部门的奖惩）</w:t>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最近3年内有无因违纪或是其他原因被投诉或起诉的情况及说明</w:t>
            </w:r>
            <w:r/>
          </w:p>
        </w:tc>
        <w:tc>
          <w:tcPr>
            <w:gridSpan w:val="3"/>
            <w:tcW w:w="6986"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（包括解决方式和结果）</w:t>
            </w:r>
            <w:r/>
          </w:p>
        </w:tc>
      </w:tr>
      <w:tr>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rHeight w:val="465"/>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其他需要说明的情况</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r>
        <w:trPr>
          <w:trHeight w:val="465"/>
        </w:trPr>
        <w:tc>
          <w:tcPr>
            <w:tcW w:w="2854"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是否中小企业</w:t>
            </w:r>
            <w:r/>
          </w:p>
        </w:tc>
        <w:tc>
          <w:tcPr>
            <w:gridSpan w:val="3"/>
            <w:tcW w:w="6986" w:type="dxa"/>
            <w:textDirection w:val="lrTb"/>
            <w:noWrap w:val="false"/>
          </w:tcPr>
          <w:p>
            <w:pPr>
              <w:jc w:val="left"/>
              <w:spacing w:line="400" w:lineRule="exact"/>
              <w:rPr>
                <w:rFonts w:ascii="宋体" w:hAnsi="宋体" w:cs="宋体"/>
                <w:sz w:val="24"/>
              </w:rPr>
            </w:pPr>
            <w:r>
              <w:rPr>
                <w:rFonts w:ascii="宋体" w:hAnsi="宋体" w:cs="宋体"/>
                <w:sz w:val="24"/>
              </w:rPr>
            </w:r>
            <w:r/>
          </w:p>
        </w:tc>
      </w:tr>
    </w:tbl>
    <w:p>
      <w:pPr>
        <w:jc w:val="left"/>
        <w:spacing w:line="400" w:lineRule="exact"/>
        <w:rPr>
          <w:rFonts w:ascii="宋体" w:hAnsi="宋体" w:cs="宋体"/>
          <w:sz w:val="24"/>
        </w:rPr>
      </w:pPr>
      <w:r>
        <w:rPr>
          <w:rFonts w:ascii="宋体" w:hAnsi="宋体" w:cs="宋体"/>
          <w:sz w:val="24"/>
        </w:rPr>
      </w:r>
      <w:r/>
    </w:p>
    <w:p>
      <w:pPr>
        <w:jc w:val="left"/>
        <w:spacing w:line="360" w:lineRule="auto"/>
        <w:rPr>
          <w:rFonts w:ascii="宋体" w:hAnsi="宋体" w:cs="宋体"/>
          <w:b/>
          <w:sz w:val="24"/>
        </w:rPr>
      </w:pPr>
      <w:r>
        <w:rPr>
          <w:rFonts w:ascii="宋体" w:hAnsi="宋体" w:cs="宋体"/>
          <w:b/>
          <w:sz w:val="24"/>
        </w:rPr>
      </w:r>
      <w:r/>
    </w:p>
    <w:p>
      <w:pPr>
        <w:pStyle w:val="795"/>
        <w:rPr>
          <w:rFonts w:hint="default" w:hAnsi="宋体" w:cs="宋体"/>
          <w:spacing w:val="6"/>
          <w:sz w:val="24"/>
        </w:rPr>
      </w:pPr>
      <w:r>
        <w:rPr>
          <w:rFonts w:hint="default" w:hAnsi="宋体" w:cs="宋体"/>
          <w:spacing w:val="6"/>
          <w:sz w:val="24"/>
        </w:rPr>
      </w:r>
      <w:r/>
    </w:p>
    <w:p>
      <w:r/>
      <w:r/>
    </w:p>
    <w:p>
      <w:pPr>
        <w:jc w:val="left"/>
        <w:rPr>
          <w:rFonts w:ascii="宋体" w:hAnsi="宋体" w:cs="宋体"/>
          <w:b/>
          <w:sz w:val="24"/>
        </w:rPr>
      </w:pPr>
      <w:r>
        <w:rPr>
          <w:rFonts w:hint="eastAsia" w:ascii="宋体" w:hAnsi="宋体" w:cs="宋体"/>
          <w:b/>
          <w:sz w:val="24"/>
        </w:rPr>
        <w:t xml:space="preserve">11、关于符合本国产品标准的声明函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line="480" w:lineRule="atLeast"/>
        <w:shd w:val="clear" w:color="auto" w:fill="ffffff"/>
        <w:widowControl/>
        <w:rPr>
          <w:rFonts w:ascii="宋体" w:hAnsi="宋体" w:cs="宋体"/>
          <w:sz w:val="24"/>
        </w:rPr>
      </w:pPr>
      <w:r>
        <w:rPr>
          <w:rFonts w:ascii="宋体" w:hAnsi="宋体" w:cs="宋体"/>
          <w:sz w:val="24"/>
        </w:rPr>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公司（单位）名称（盖章）：　</w:t>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日期：　年　月　日</w:t>
      </w:r>
      <w:r/>
    </w:p>
    <w:p>
      <w:pPr>
        <w:jc w:val="right"/>
        <w:spacing w:line="480" w:lineRule="atLeast"/>
        <w:shd w:val="clear" w:color="auto" w:fill="ffffff"/>
        <w:widowControl/>
        <w:rPr>
          <w:rFonts w:ascii="宋体" w:hAnsi="宋体" w:cs="宋体"/>
          <w:sz w:val="24"/>
        </w:rPr>
      </w:pPr>
      <w:r>
        <w:rPr>
          <w:rFonts w:ascii="宋体" w:hAnsi="宋体" w:cs="宋体"/>
          <w:sz w:val="24"/>
        </w:rPr>
      </w:r>
      <w:r/>
    </w:p>
    <w:p>
      <w:pPr>
        <w:jc w:val="left"/>
        <w:spacing w:line="480" w:lineRule="atLeast"/>
        <w:shd w:val="clear" w:color="auto" w:fill="ffffff"/>
        <w:widowControl/>
        <w:rPr>
          <w:rFonts w:ascii="宋体" w:hAnsi="宋体" w:cs="宋体"/>
          <w:sz w:val="24"/>
        </w:rPr>
      </w:pPr>
      <w:r>
        <w:rPr>
          <w:rFonts w:hint="eastAsia" w:ascii="宋体" w:hAnsi="宋体" w:cs="宋体"/>
          <w:sz w:val="24"/>
        </w:rPr>
        <w:t xml:space="preserve">说明：</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5.该产品的关键工序要求实施前，“关键工序”栏可不填，下同。</w:t>
      </w:r>
      <w:r/>
    </w:p>
    <w:p>
      <w:pPr>
        <w:jc w:val="left"/>
        <w:spacing w:line="360" w:lineRule="auto"/>
        <w:rPr>
          <w:rFonts w:ascii="宋体" w:hAnsi="宋体"/>
          <w:szCs w:val="20"/>
        </w:rPr>
      </w:pPr>
      <w:r>
        <w:rPr>
          <w:rFonts w:ascii="宋体" w:hAnsi="宋体"/>
          <w:szCs w:val="20"/>
        </w:rPr>
      </w:r>
      <w:r/>
    </w:p>
    <w:p>
      <w:pPr>
        <w:rPr>
          <w:rFonts w:ascii="宋体" w:hAnsi="宋体" w:cs="宋体"/>
          <w:b/>
          <w:sz w:val="44"/>
          <w:szCs w:val="44"/>
          <w:lang w:val="zh-CN"/>
        </w:rPr>
      </w:pPr>
      <w:r>
        <w:rPr>
          <w:rFonts w:hint="eastAsia" w:ascii="宋体" w:hAnsi="宋体" w:cs="宋体"/>
          <w:b/>
          <w:sz w:val="44"/>
          <w:szCs w:val="44"/>
          <w:lang w:val="zh-CN"/>
        </w:rPr>
        <w:br w:type="page" w:clear="all"/>
      </w:r>
      <w:r/>
    </w:p>
    <w:p>
      <w:pPr>
        <w:jc w:val="center"/>
        <w:spacing w:line="360" w:lineRule="auto"/>
        <w:rPr>
          <w:rFonts w:ascii="宋体" w:hAnsi="宋体" w:cs="宋体"/>
          <w:b/>
          <w:sz w:val="44"/>
          <w:szCs w:val="44"/>
          <w:lang w:val="zh-CN"/>
        </w:rPr>
        <w:outlineLvl w:val="0"/>
      </w:pPr>
      <w:r>
        <w:rPr>
          <w:rFonts w:hint="eastAsia" w:ascii="宋体" w:hAnsi="宋体" w:cs="宋体"/>
          <w:b/>
          <w:sz w:val="44"/>
          <w:szCs w:val="44"/>
          <w:lang w:val="zh-CN"/>
        </w:rPr>
        <w:t xml:space="preserve">第四章 招标书</w:t>
      </w:r>
      <w:r/>
    </w:p>
    <w:p>
      <w:pPr>
        <w:ind w:firstLine="480"/>
        <w:spacing w:line="360" w:lineRule="auto"/>
        <w:widowControl/>
        <w:rPr>
          <w:rFonts w:ascii="宋体" w:hAnsi="宋体" w:cs="宋体"/>
          <w:sz w:val="24"/>
        </w:rPr>
      </w:pPr>
      <w:r>
        <w:rPr>
          <w:rFonts w:hint="eastAsia" w:ascii="宋体" w:hAnsi="宋体" w:cs="宋体"/>
          <w:sz w:val="24"/>
          <w:u w:val="single"/>
        </w:rPr>
        <w:t xml:space="preserve">苏州市天美达招投标咨询服务有限公司</w:t>
      </w:r>
      <w:r>
        <w:rPr>
          <w:rFonts w:hint="eastAsia" w:ascii="宋体" w:hAnsi="宋体" w:cs="宋体"/>
          <w:sz w:val="24"/>
        </w:rPr>
        <w:t xml:space="preserve">受</w:t>
      </w:r>
      <w:r>
        <w:rPr>
          <w:rFonts w:hint="eastAsia" w:ascii="宋体" w:hAnsi="宋体" w:cs="宋体"/>
          <w:sz w:val="24"/>
          <w:u w:val="single"/>
        </w:rPr>
        <w:t xml:space="preserve">苏州市相城生态环境局</w:t>
      </w:r>
      <w:r>
        <w:rPr>
          <w:rFonts w:hint="eastAsia" w:ascii="宋体" w:hAnsi="宋体" w:cs="宋体"/>
          <w:sz w:val="24"/>
        </w:rPr>
        <w:t xml:space="preserve">的委托，就其所需要采购的</w:t>
      </w:r>
      <w:r>
        <w:rPr>
          <w:rFonts w:hint="eastAsia" w:ascii="宋体" w:hAnsi="宋体" w:cs="宋体"/>
          <w:sz w:val="24"/>
          <w:u w:val="single"/>
        </w:rPr>
        <w:t xml:space="preserve">2026年阳澄湖水质监测浮船站项目</w:t>
      </w:r>
      <w:r>
        <w:rPr>
          <w:rFonts w:hint="eastAsia" w:ascii="宋体" w:hAnsi="宋体" w:cs="宋体"/>
          <w:sz w:val="24"/>
        </w:rPr>
        <w:t xml:space="preserve">在国内组织公开招标。</w:t>
      </w:r>
      <w:r/>
    </w:p>
    <w:p>
      <w:pPr>
        <w:ind w:firstLine="482"/>
        <w:spacing w:line="360" w:lineRule="auto"/>
        <w:rPr>
          <w:rFonts w:ascii="宋体" w:hAnsi="宋体" w:cs="宋体"/>
          <w:sz w:val="24"/>
        </w:rPr>
      </w:pPr>
      <w:r>
        <w:rPr>
          <w:rFonts w:hint="eastAsia" w:ascii="宋体" w:hAnsi="宋体" w:cs="宋体"/>
          <w:b/>
          <w:bCs/>
          <w:sz w:val="24"/>
        </w:rPr>
        <w:t xml:space="preserve">一、项目名称</w:t>
      </w:r>
      <w:r>
        <w:rPr>
          <w:rFonts w:hint="eastAsia" w:ascii="宋体" w:hAnsi="宋体" w:cs="宋体"/>
          <w:sz w:val="24"/>
        </w:rPr>
        <w:t xml:space="preserve">：</w:t>
      </w:r>
      <w:bookmarkStart w:id="83" w:name="OLE_LINK150"/>
      <w:r/>
      <w:bookmarkStart w:id="84" w:name="OLE_LINK149"/>
      <w:r>
        <w:rPr>
          <w:rFonts w:hint="eastAsia" w:ascii="宋体" w:hAnsi="宋体" w:cs="宋体"/>
          <w:sz w:val="24"/>
        </w:rPr>
        <w:t xml:space="preserve">2026年阳澄湖水质监测浮船站项目</w:t>
      </w:r>
      <w:bookmarkEnd w:id="83"/>
      <w:r/>
      <w:bookmarkEnd w:id="84"/>
      <w:r/>
      <w:r/>
    </w:p>
    <w:p>
      <w:pPr>
        <w:ind w:firstLine="482"/>
        <w:spacing w:line="360" w:lineRule="auto"/>
        <w:rPr>
          <w:rFonts w:ascii="宋体" w:hAnsi="宋体" w:cs="宋体"/>
          <w:b/>
          <w:bCs/>
          <w:sz w:val="24"/>
        </w:rPr>
      </w:pPr>
      <w:r>
        <w:rPr>
          <w:rFonts w:hint="eastAsia" w:ascii="宋体" w:hAnsi="宋体" w:cs="宋体"/>
          <w:b/>
          <w:bCs/>
          <w:sz w:val="24"/>
        </w:rPr>
        <w:t xml:space="preserve">二、招标编号：</w:t>
      </w:r>
      <w:r>
        <w:rPr>
          <w:rFonts w:hint="eastAsia" w:ascii="宋体" w:hAnsi="宋体" w:cs="宋体"/>
          <w:sz w:val="24"/>
        </w:rPr>
        <w:t xml:space="preserve">JSZC-320507-SZST-G2026-0020</w:t>
      </w:r>
      <w:r/>
    </w:p>
    <w:p>
      <w:pPr>
        <w:pStyle w:val="843"/>
        <w:ind w:firstLine="480"/>
        <w:jc w:val="both"/>
        <w:spacing w:line="360" w:lineRule="auto"/>
        <w:widowControl/>
        <w:rPr>
          <w:rFonts w:ascii="宋体" w:hAnsi="宋体" w:eastAsia="宋体" w:cs="宋体"/>
          <w:sz w:val="24"/>
          <w:highlight w:val="white"/>
        </w:rPr>
      </w:pPr>
      <w:r>
        <w:rPr>
          <w:rFonts w:hint="eastAsia" w:ascii="宋体" w:hAnsi="宋体" w:eastAsia="宋体" w:cs="宋体"/>
          <w:b/>
          <w:bCs/>
          <w:sz w:val="24"/>
        </w:rPr>
        <w:t xml:space="preserve">三、预算金额（最高限价）：</w:t>
      </w:r>
      <w:r>
        <w:rPr>
          <w:rFonts w:hint="eastAsia" w:ascii="宋体" w:hAnsi="宋体" w:eastAsia="宋体" w:cs="宋体"/>
          <w:sz w:val="24"/>
          <w:highlight w:val="white"/>
        </w:rPr>
        <w:t xml:space="preserve">人民币壹佰壹拾万元整（￥1,100,000.00元）</w:t>
      </w:r>
      <w:r/>
    </w:p>
    <w:p>
      <w:pPr>
        <w:ind w:firstLine="482"/>
        <w:spacing w:line="360" w:lineRule="auto"/>
        <w:rPr>
          <w:rFonts w:ascii="宋体" w:hAnsi="宋体" w:cs="宋体"/>
          <w:b/>
          <w:bCs/>
          <w:sz w:val="24"/>
        </w:rPr>
      </w:pPr>
      <w:r>
        <w:rPr>
          <w:rFonts w:hint="eastAsia" w:ascii="宋体" w:hAnsi="宋体" w:cs="宋体"/>
          <w:b/>
          <w:bCs/>
          <w:sz w:val="24"/>
        </w:rPr>
        <w:t xml:space="preserve">四、采购内容及技术要求：</w:t>
      </w:r>
      <w:bookmarkStart w:id="85" w:name="_Toc89347196"/>
      <w:r/>
      <w:bookmarkStart w:id="86" w:name="_Toc61338931"/>
      <w:r/>
      <w:bookmarkStart w:id="87" w:name="_Toc42697504"/>
      <w:r/>
      <w:bookmarkStart w:id="88" w:name="_Toc516146043"/>
      <w:r/>
      <w:bookmarkStart w:id="89" w:name="_Toc496269172"/>
      <w:r/>
      <w:bookmarkStart w:id="90" w:name="_Hlk510450234"/>
      <w:r/>
      <w:bookmarkStart w:id="91" w:name="_Toc46173412"/>
      <w:r/>
      <w:bookmarkStart w:id="92" w:name="_Toc500237425"/>
      <w:r/>
      <w:bookmarkStart w:id="93" w:name="_Toc500749546"/>
      <w:r/>
      <w:bookmarkStart w:id="94" w:name="_Toc45803784"/>
      <w:r/>
      <w:r/>
    </w:p>
    <w:p>
      <w:pPr>
        <w:ind w:firstLine="482"/>
        <w:spacing w:line="360" w:lineRule="auto"/>
        <w:rPr>
          <w:rFonts w:ascii="宋体" w:hAnsi="宋体" w:cs="宋体"/>
          <w:b/>
          <w:bCs/>
          <w:sz w:val="24"/>
        </w:rPr>
        <w:outlineLvl w:val="1"/>
      </w:pPr>
      <w:r>
        <w:rPr>
          <w:rFonts w:hint="eastAsia" w:ascii="宋体" w:hAnsi="宋体" w:cs="宋体"/>
          <w:b/>
          <w:bCs/>
          <w:sz w:val="24"/>
        </w:rPr>
        <w:t xml:space="preserve">（一）采购清单</w:t>
      </w:r>
      <w:bookmarkEnd w:id="85"/>
      <w:r/>
      <w:r/>
    </w:p>
    <w:p>
      <w:pPr>
        <w:ind w:firstLine="420"/>
        <w:jc w:val="left"/>
        <w:spacing w:line="360" w:lineRule="auto"/>
        <w:widowControl/>
        <w:rPr>
          <w:sz w:val="24"/>
        </w:rPr>
      </w:pPr>
      <w:r>
        <w:rPr>
          <w:rFonts w:hint="eastAsia"/>
          <w:sz w:val="24"/>
        </w:rPr>
        <w:t xml:space="preserve">为保障阳澄湖安全度夏以及“十五五”地表水国控断面优良水体自评估工作，完善阳澄湖自动监测网络，实现水质实时连续在线监测，提升预警与应急响应能力，</w:t>
      </w:r>
      <w:r>
        <w:rPr>
          <w:sz w:val="24"/>
        </w:rPr>
        <w:t xml:space="preserve">拟</w:t>
      </w:r>
      <w:r>
        <w:rPr>
          <w:rFonts w:hint="eastAsia"/>
          <w:sz w:val="24"/>
        </w:rPr>
        <w:t xml:space="preserve">在阳澄湖新建</w:t>
      </w:r>
      <w:r>
        <w:rPr>
          <w:sz w:val="24"/>
        </w:rPr>
        <w:t xml:space="preserve">1套浮船式水质自动监测站，用于阳澄湖湖区水质在线监测。</w:t>
      </w:r>
      <w:r/>
    </w:p>
    <w:p>
      <w:pPr>
        <w:ind w:firstLine="420"/>
        <w:jc w:val="left"/>
        <w:spacing w:line="360" w:lineRule="auto"/>
        <w:widowControl/>
        <w:rPr>
          <w:sz w:val="24"/>
        </w:rPr>
      </w:pPr>
      <w:r>
        <w:rPr>
          <w:sz w:val="24"/>
        </w:rPr>
        <w:t xml:space="preserve">中标单位提供水质在线分析仪和集成系统，具体如下：</w:t>
      </w:r>
      <w:r/>
    </w:p>
    <w:tbl>
      <w:tblPr>
        <w:tblStyle w:val="720"/>
        <w:tblW w:w="5015" w:type="pct"/>
        <w:jc w:val="center"/>
        <w:tblLayout w:type="autofit"/>
        <w:tblCellMar>
          <w:left w:w="108" w:type="dxa"/>
          <w:top w:w="0" w:type="dxa"/>
          <w:right w:w="108" w:type="dxa"/>
          <w:bottom w:w="0" w:type="dxa"/>
        </w:tblCellMar>
        <w:tblLook w:val="04A0" w:firstRow="1" w:lastRow="0" w:firstColumn="1" w:lastColumn="0" w:noHBand="0" w:noVBand="1"/>
      </w:tblPr>
      <w:tblGrid>
        <w:gridCol w:w="828"/>
        <w:gridCol w:w="6665"/>
        <w:gridCol w:w="850"/>
        <w:gridCol w:w="973"/>
      </w:tblGrid>
      <w:tr>
        <w:trPr>
          <w:jc w:val="center"/>
          <w:trHeight w:val="413"/>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bCs/>
                <w:sz w:val="24"/>
              </w:rPr>
            </w:pPr>
            <w:r>
              <w:rPr>
                <w:bCs/>
                <w:sz w:val="24"/>
              </w:rPr>
              <w:t xml:space="preserve">序号</w:t>
            </w:r>
            <w:r/>
          </w:p>
        </w:tc>
        <w:tc>
          <w:tcPr>
            <w:tcBorders>
              <w:top w:val="single" w:color="auto" w:sz="4" w:space="0"/>
              <w:left w:val="single" w:color="auto" w:sz="4" w:space="0"/>
              <w:bottom w:val="single" w:color="auto" w:sz="4" w:space="0"/>
              <w:right w:val="single" w:color="auto" w:sz="4" w:space="0"/>
            </w:tcBorders>
            <w:tcW w:w="3577" w:type="pct"/>
            <w:vAlign w:val="center"/>
            <w:textDirection w:val="lrTb"/>
            <w:noWrap w:val="false"/>
          </w:tcPr>
          <w:p>
            <w:pPr>
              <w:jc w:val="center"/>
              <w:widowControl/>
              <w:rPr>
                <w:bCs/>
                <w:sz w:val="24"/>
              </w:rPr>
            </w:pPr>
            <w:r>
              <w:rPr>
                <w:bCs/>
                <w:sz w:val="24"/>
              </w:rPr>
              <w:t xml:space="preserve">仪器设备名称</w:t>
            </w:r>
            <w:r/>
          </w:p>
        </w:tc>
        <w:tc>
          <w:tcPr>
            <w:tcBorders>
              <w:top w:val="single" w:color="auto" w:sz="4" w:space="0"/>
              <w:left w:val="none" w:color="000000" w:sz="4" w:space="0"/>
              <w:bottom w:val="single" w:color="auto" w:sz="4" w:space="0"/>
              <w:right w:val="single" w:color="auto" w:sz="4" w:space="0"/>
            </w:tcBorders>
            <w:tcW w:w="456" w:type="pct"/>
            <w:vAlign w:val="center"/>
            <w:textDirection w:val="lrTb"/>
            <w:noWrap w:val="false"/>
          </w:tcPr>
          <w:p>
            <w:pPr>
              <w:jc w:val="center"/>
              <w:widowControl/>
              <w:rPr>
                <w:bCs/>
                <w:sz w:val="24"/>
              </w:rPr>
            </w:pPr>
            <w:r>
              <w:rPr>
                <w:bCs/>
                <w:sz w:val="24"/>
              </w:rPr>
              <w:t xml:space="preserve">数量</w:t>
            </w:r>
            <w:r/>
          </w:p>
        </w:tc>
        <w:tc>
          <w:tcPr>
            <w:tcBorders>
              <w:top w:val="single" w:color="auto" w:sz="4" w:space="0"/>
              <w:left w:val="none" w:color="000000" w:sz="4" w:space="0"/>
              <w:bottom w:val="single" w:color="auto" w:sz="4" w:space="0"/>
              <w:right w:val="single" w:color="auto" w:sz="4" w:space="0"/>
            </w:tcBorders>
            <w:tcW w:w="522" w:type="pct"/>
            <w:vAlign w:val="center"/>
            <w:textDirection w:val="lrTb"/>
            <w:noWrap w:val="false"/>
          </w:tcPr>
          <w:p>
            <w:pPr>
              <w:jc w:val="center"/>
              <w:widowControl/>
              <w:rPr>
                <w:bCs/>
                <w:sz w:val="24"/>
              </w:rPr>
            </w:pPr>
            <w:r>
              <w:rPr>
                <w:bCs/>
                <w:sz w:val="24"/>
              </w:rPr>
              <w:t xml:space="preserve">单位</w:t>
            </w:r>
            <w:r/>
          </w:p>
        </w:tc>
      </w:tr>
      <w:tr>
        <w:trPr>
          <w:jc w:val="center"/>
          <w:trHeight w:val="427"/>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1</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rPr>
                <w:bCs/>
                <w:sz w:val="24"/>
              </w:rPr>
            </w:pPr>
            <w:r>
              <w:rPr>
                <w:sz w:val="24"/>
                <w:lang w:bidi="ar"/>
              </w:rPr>
              <w:t xml:space="preserve">五参数水质分析仪（</w:t>
            </w:r>
            <w:r>
              <w:rPr>
                <w:sz w:val="24"/>
              </w:rPr>
              <w:t xml:space="preserve">水温、电导率、浊度、溶解氧、pH值</w:t>
            </w:r>
            <w:r>
              <w:rPr>
                <w:sz w:val="24"/>
                <w:lang w:bidi="ar"/>
              </w:rPr>
              <w:t xml:space="preserve">）</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2</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叶绿素a水质分析仪</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3</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藻密度水质分析仪</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4</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高锰酸盐指数水质分析仪</w:t>
            </w:r>
            <w:bookmarkStart w:id="95" w:name="OLE_LINK4"/>
            <w:r/>
            <w:bookmarkStart w:id="96" w:name="OLE_LINK2"/>
            <w:r>
              <w:rPr>
                <w:b/>
                <w:sz w:val="24"/>
                <w:lang w:bidi="ar"/>
              </w:rPr>
              <w:t xml:space="preserve">（核心产品）</w:t>
            </w:r>
            <w:bookmarkEnd w:id="95"/>
            <w:r/>
            <w:bookmarkEnd w:id="96"/>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5</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氨氮水质分析仪</w:t>
            </w:r>
            <w:r>
              <w:rPr>
                <w:b/>
                <w:sz w:val="24"/>
                <w:lang w:bidi="ar"/>
              </w:rPr>
              <w:t xml:space="preserve">（核心产品）</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6</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总磷水质分析仪</w:t>
            </w:r>
            <w:r>
              <w:rPr>
                <w:b/>
                <w:sz w:val="24"/>
                <w:lang w:bidi="ar"/>
              </w:rPr>
              <w:t xml:space="preserve">（核心产品）</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7</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lang w:bidi="ar"/>
              </w:rPr>
              <w:t xml:space="preserve">总氮水质分析仪</w:t>
            </w:r>
            <w:r>
              <w:rPr>
                <w:b/>
                <w:sz w:val="24"/>
                <w:lang w:bidi="ar"/>
              </w:rPr>
              <w:t xml:space="preserve">（核心产品）</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none" w:color="000000"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8</w:t>
            </w:r>
            <w:r/>
          </w:p>
        </w:tc>
        <w:tc>
          <w:tcPr>
            <w:tcBorders>
              <w:top w:val="none" w:color="000000"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sz w:val="24"/>
                <w:lang w:bidi="ar"/>
              </w:rPr>
            </w:pPr>
            <w:r>
              <w:rPr>
                <w:sz w:val="24"/>
                <w:lang w:bidi="ar"/>
              </w:rPr>
              <w:t xml:space="preserve">气象仪</w:t>
            </w:r>
            <w:r/>
          </w:p>
        </w:tc>
        <w:tc>
          <w:tcPr>
            <w:tcBorders>
              <w:top w:val="none" w:color="000000"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none" w:color="000000" w:sz="4" w:space="0"/>
              <w:left w:val="none" w:color="000000" w:sz="4" w:space="0"/>
              <w:bottom w:val="single" w:color="auto" w:sz="4" w:space="0"/>
              <w:right w:val="single" w:color="auto" w:sz="4" w:space="0"/>
            </w:tcBorders>
            <w:tcW w:w="522" w:type="pct"/>
            <w:vAlign w:val="center"/>
            <w:textDirection w:val="lrTb"/>
            <w:noWrap w:val="false"/>
          </w:tcPr>
          <w:p>
            <w:pPr>
              <w:jc w:val="center"/>
              <w:rPr>
                <w:sz w:val="24"/>
              </w:rPr>
            </w:pPr>
            <w:r>
              <w:rPr>
                <w:bCs/>
                <w:sz w:val="24"/>
              </w:rPr>
              <w:t xml:space="preserve">套</w:t>
            </w:r>
            <w:r/>
          </w:p>
        </w:tc>
      </w:tr>
      <w:tr>
        <w:trPr>
          <w:jc w:val="center"/>
          <w:trHeight w:val="413"/>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9</w:t>
            </w:r>
            <w:r/>
          </w:p>
        </w:tc>
        <w:tc>
          <w:tcPr>
            <w:tcBorders>
              <w:top w:val="single" w:color="auto" w:sz="4" w:space="0"/>
              <w:left w:val="single" w:color="auto" w:sz="4" w:space="0"/>
              <w:bottom w:val="single" w:color="auto" w:sz="4" w:space="0"/>
              <w:right w:val="single" w:color="auto" w:sz="4" w:space="0"/>
            </w:tcBorders>
            <w:tcW w:w="3577" w:type="pct"/>
            <w:vAlign w:val="center"/>
            <w:textDirection w:val="lrTb"/>
            <w:noWrap w:val="false"/>
          </w:tcPr>
          <w:p>
            <w:pPr>
              <w:jc w:val="left"/>
              <w:widowControl/>
              <w:rPr>
                <w:bCs/>
                <w:sz w:val="24"/>
              </w:rPr>
            </w:pPr>
            <w:r>
              <w:rPr>
                <w:sz w:val="24"/>
              </w:rPr>
              <w:t xml:space="preserve">采水单元</w:t>
            </w:r>
            <w:r/>
          </w:p>
        </w:tc>
        <w:tc>
          <w:tcPr>
            <w:tcBorders>
              <w:top w:val="single" w:color="auto"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single" w:color="auto"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13"/>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10</w:t>
            </w:r>
            <w:r/>
          </w:p>
        </w:tc>
        <w:tc>
          <w:tcPr>
            <w:tcBorders>
              <w:top w:val="single" w:color="auto" w:sz="4" w:space="0"/>
              <w:left w:val="single" w:color="auto" w:sz="4" w:space="0"/>
              <w:bottom w:val="single" w:color="auto" w:sz="4" w:space="0"/>
              <w:right w:val="single" w:color="auto" w:sz="4" w:space="0"/>
            </w:tcBorders>
            <w:tcW w:w="3577" w:type="pct"/>
            <w:vAlign w:val="center"/>
            <w:textDirection w:val="lrTb"/>
            <w:noWrap w:val="false"/>
          </w:tcPr>
          <w:p>
            <w:pPr>
              <w:jc w:val="left"/>
              <w:rPr>
                <w:bCs/>
                <w:sz w:val="24"/>
              </w:rPr>
            </w:pPr>
            <w:r>
              <w:rPr>
                <w:sz w:val="24"/>
              </w:rPr>
              <w:t xml:space="preserve">控制单元</w:t>
            </w:r>
            <w:r/>
          </w:p>
        </w:tc>
        <w:tc>
          <w:tcPr>
            <w:tcBorders>
              <w:top w:val="single" w:color="auto"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single" w:color="auto"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21"/>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bCs/>
                <w:sz w:val="24"/>
              </w:rPr>
              <w:t xml:space="preserve">11</w:t>
            </w:r>
            <w:r/>
          </w:p>
        </w:tc>
        <w:tc>
          <w:tcPr>
            <w:tcBorders>
              <w:top w:val="single" w:color="auto" w:sz="4" w:space="0"/>
              <w:left w:val="single" w:color="auto" w:sz="4" w:space="0"/>
              <w:bottom w:val="single" w:color="auto" w:sz="4" w:space="0"/>
              <w:right w:val="single" w:color="auto" w:sz="4" w:space="0"/>
            </w:tcBorders>
            <w:tcW w:w="3577" w:type="pct"/>
            <w:vAlign w:val="center"/>
            <w:textDirection w:val="lrTb"/>
            <w:noWrap w:val="false"/>
          </w:tcPr>
          <w:p>
            <w:pPr>
              <w:jc w:val="left"/>
              <w:rPr>
                <w:bCs/>
                <w:sz w:val="24"/>
              </w:rPr>
            </w:pPr>
            <w:r>
              <w:rPr>
                <w:sz w:val="24"/>
              </w:rPr>
              <w:t xml:space="preserve">浮船平台</w:t>
            </w:r>
            <w:r/>
          </w:p>
        </w:tc>
        <w:tc>
          <w:tcPr>
            <w:tcBorders>
              <w:top w:val="single" w:color="auto"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bCs/>
                <w:sz w:val="24"/>
              </w:rPr>
              <w:t xml:space="preserve">1</w:t>
            </w:r>
            <w:r/>
          </w:p>
        </w:tc>
        <w:tc>
          <w:tcPr>
            <w:tcBorders>
              <w:top w:val="single" w:color="auto"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bCs/>
                <w:sz w:val="24"/>
              </w:rPr>
              <w:t xml:space="preserve">套</w:t>
            </w:r>
            <w:r/>
          </w:p>
        </w:tc>
      </w:tr>
      <w:tr>
        <w:trPr>
          <w:jc w:val="center"/>
          <w:trHeight w:val="421"/>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rPr>
                <w:bCs/>
                <w:sz w:val="24"/>
              </w:rPr>
            </w:pPr>
            <w:r>
              <w:rPr>
                <w:rFonts w:hint="eastAsia"/>
                <w:bCs/>
                <w:sz w:val="24"/>
              </w:rPr>
              <w:t xml:space="preserve">12</w:t>
            </w:r>
            <w:r/>
          </w:p>
        </w:tc>
        <w:tc>
          <w:tcPr>
            <w:tcBorders>
              <w:top w:val="single" w:color="auto" w:sz="4" w:space="0"/>
              <w:left w:val="single" w:color="auto" w:sz="4" w:space="0"/>
              <w:bottom w:val="single" w:color="auto" w:sz="4" w:space="0"/>
              <w:right w:val="single" w:color="auto" w:sz="4" w:space="0"/>
            </w:tcBorders>
            <w:tcW w:w="3577" w:type="pct"/>
            <w:vAlign w:val="center"/>
            <w:textDirection w:val="lrTb"/>
            <w:noWrap w:val="false"/>
          </w:tcPr>
          <w:p>
            <w:pPr>
              <w:jc w:val="left"/>
              <w:rPr>
                <w:sz w:val="24"/>
              </w:rPr>
            </w:pPr>
            <w:r>
              <w:rPr>
                <w:rFonts w:hint="eastAsia"/>
                <w:sz w:val="24"/>
              </w:rPr>
              <w:t xml:space="preserve">运维服务</w:t>
            </w:r>
            <w:r/>
          </w:p>
        </w:tc>
        <w:tc>
          <w:tcPr>
            <w:tcBorders>
              <w:top w:val="single" w:color="auto" w:sz="4" w:space="0"/>
              <w:left w:val="none" w:color="000000" w:sz="4" w:space="0"/>
              <w:bottom w:val="single" w:color="auto" w:sz="4" w:space="0"/>
              <w:right w:val="single" w:color="auto" w:sz="4" w:space="0"/>
            </w:tcBorders>
            <w:tcW w:w="456" w:type="pct"/>
            <w:vAlign w:val="center"/>
            <w:textDirection w:val="lrTb"/>
            <w:noWrap w:val="false"/>
          </w:tcPr>
          <w:p>
            <w:pPr>
              <w:jc w:val="center"/>
              <w:rPr>
                <w:bCs/>
                <w:sz w:val="24"/>
              </w:rPr>
            </w:pPr>
            <w:r>
              <w:rPr>
                <w:rFonts w:hint="eastAsia"/>
                <w:bCs/>
                <w:sz w:val="24"/>
              </w:rPr>
              <w:t xml:space="preserve">2</w:t>
            </w:r>
            <w:r/>
          </w:p>
        </w:tc>
        <w:tc>
          <w:tcPr>
            <w:tcBorders>
              <w:top w:val="single" w:color="auto" w:sz="4" w:space="0"/>
              <w:left w:val="none" w:color="000000" w:sz="4" w:space="0"/>
              <w:bottom w:val="single" w:color="auto" w:sz="4" w:space="0"/>
              <w:right w:val="single" w:color="auto" w:sz="4" w:space="0"/>
            </w:tcBorders>
            <w:tcW w:w="522" w:type="pct"/>
            <w:vAlign w:val="center"/>
            <w:textDirection w:val="lrTb"/>
            <w:noWrap w:val="false"/>
          </w:tcPr>
          <w:p>
            <w:pPr>
              <w:jc w:val="center"/>
              <w:rPr>
                <w:bCs/>
                <w:sz w:val="24"/>
              </w:rPr>
            </w:pPr>
            <w:r>
              <w:rPr>
                <w:rFonts w:hint="eastAsia"/>
                <w:bCs/>
                <w:sz w:val="24"/>
              </w:rPr>
              <w:t xml:space="preserve">年</w:t>
            </w:r>
            <w:r/>
          </w:p>
        </w:tc>
      </w:tr>
    </w:tbl>
    <w:p>
      <w:pPr>
        <w:ind w:firstLine="482"/>
        <w:spacing w:before="120" w:line="360" w:lineRule="auto"/>
        <w:rPr>
          <w:rFonts w:ascii="宋体" w:hAnsi="宋体" w:cs="宋体"/>
          <w:b/>
          <w:bCs/>
          <w:sz w:val="24"/>
        </w:rPr>
        <w:outlineLvl w:val="1"/>
      </w:pPr>
      <w:r/>
      <w:bookmarkStart w:id="97" w:name="OLE_LINK8"/>
      <w:r/>
      <w:bookmarkStart w:id="98" w:name="_Toc89347197"/>
      <w:r>
        <w:rPr>
          <w:rFonts w:hint="eastAsia" w:ascii="宋体" w:hAnsi="宋体" w:cs="宋体"/>
          <w:b/>
          <w:bCs/>
          <w:sz w:val="24"/>
        </w:rPr>
        <w:t xml:space="preserve">注：</w:t>
      </w:r>
      <w:r>
        <w:rPr>
          <w:rFonts w:hint="eastAsia" w:ascii="宋体" w:hAnsi="宋体"/>
          <w:b/>
          <w:sz w:val="24"/>
        </w:rPr>
        <w:t xml:space="preserve">本次招标不接受进口产品投标。</w:t>
      </w:r>
      <w:bookmarkEnd w:id="97"/>
      <w:r/>
      <w:r/>
    </w:p>
    <w:p>
      <w:pPr>
        <w:ind w:firstLine="482"/>
        <w:spacing w:line="360" w:lineRule="auto"/>
        <w:rPr>
          <w:rFonts w:ascii="宋体" w:hAnsi="宋体" w:cs="宋体"/>
          <w:b/>
          <w:bCs/>
          <w:sz w:val="24"/>
        </w:rPr>
        <w:outlineLvl w:val="1"/>
      </w:pPr>
      <w:r>
        <w:rPr>
          <w:rFonts w:hint="eastAsia" w:ascii="宋体" w:hAnsi="宋体" w:cs="宋体"/>
          <w:b/>
          <w:bCs/>
          <w:sz w:val="24"/>
        </w:rPr>
        <w:t xml:space="preserve">（二）系统技术要求</w:t>
      </w:r>
      <w:bookmarkEnd w:id="98"/>
      <w:r/>
      <w:bookmarkStart w:id="99" w:name="_Toc61338934"/>
      <w:r/>
      <w:bookmarkStart w:id="100" w:name="_Toc89347198"/>
      <w:r/>
      <w:bookmarkStart w:id="101" w:name="_Toc46846441"/>
      <w:r/>
      <w:r/>
    </w:p>
    <w:p>
      <w:pPr>
        <w:ind w:firstLine="482"/>
        <w:spacing w:line="360" w:lineRule="auto"/>
        <w:rPr>
          <w:rFonts w:ascii="宋体" w:hAnsi="宋体" w:cs="宋体"/>
          <w:b/>
          <w:bCs/>
          <w:sz w:val="24"/>
        </w:rPr>
        <w:outlineLvl w:val="1"/>
      </w:pPr>
      <w:r>
        <w:rPr>
          <w:rFonts w:hint="eastAsia" w:ascii="宋体" w:hAnsi="宋体" w:cs="宋体"/>
          <w:b/>
          <w:bCs/>
          <w:sz w:val="24"/>
        </w:rPr>
        <w:t xml:space="preserve">1.</w:t>
      </w:r>
      <w:r>
        <w:rPr>
          <w:b/>
          <w:bCs/>
          <w:sz w:val="24"/>
        </w:rPr>
        <w:t xml:space="preserve">通用技术</w:t>
      </w:r>
      <w:bookmarkEnd w:id="99"/>
      <w:r>
        <w:rPr>
          <w:b/>
          <w:bCs/>
          <w:sz w:val="24"/>
        </w:rPr>
        <w:t xml:space="preserve">要求</w:t>
      </w:r>
      <w:bookmarkEnd w:id="100"/>
      <w:r/>
      <w:r/>
    </w:p>
    <w:p>
      <w:pPr>
        <w:ind w:firstLine="480"/>
        <w:jc w:val="left"/>
        <w:spacing w:line="360" w:lineRule="auto"/>
        <w:tabs>
          <w:tab w:val="left" w:pos="420" w:leader="none"/>
        </w:tabs>
        <w:rPr>
          <w:sz w:val="24"/>
        </w:rPr>
      </w:pPr>
      <w:r/>
      <w:bookmarkStart w:id="102" w:name="OLE_LINK44"/>
      <w:r/>
      <w:bookmarkStart w:id="103" w:name="OLE_LINK45"/>
      <w:r>
        <w:rPr>
          <w:rFonts w:hint="eastAsia"/>
          <w:sz w:val="24"/>
        </w:rPr>
        <w:t xml:space="preserve">（1）</w:t>
      </w:r>
      <w:bookmarkEnd w:id="102"/>
      <w:r/>
      <w:bookmarkEnd w:id="103"/>
      <w:r>
        <w:rPr>
          <w:sz w:val="24"/>
        </w:rPr>
        <w:t xml:space="preserve">支持语言：水质自动分析仪器和控制单元所有显示须为中文，符合《信息交换用汉字编码字符集》（GB2312－1980）。</w:t>
      </w:r>
      <w:r/>
    </w:p>
    <w:p>
      <w:pPr>
        <w:ind w:firstLine="480"/>
        <w:jc w:val="left"/>
        <w:spacing w:line="360" w:lineRule="auto"/>
        <w:tabs>
          <w:tab w:val="left" w:pos="420" w:leader="none"/>
        </w:tabs>
        <w:rPr>
          <w:sz w:val="24"/>
        </w:rPr>
      </w:pPr>
      <w:r>
        <w:rPr>
          <w:rFonts w:hint="eastAsia"/>
          <w:sz w:val="24"/>
        </w:rPr>
        <w:t xml:space="preserve">（2）</w:t>
      </w:r>
      <w:r>
        <w:rPr>
          <w:sz w:val="24"/>
        </w:rPr>
        <w:t xml:space="preserve">电力：浮船式水质自动监测系统设备的运行电压为：（24±10%)V。所有设备的电源插头为中国制式A9120-9085-1。</w:t>
      </w:r>
      <w:r/>
    </w:p>
    <w:p>
      <w:pPr>
        <w:ind w:firstLine="480"/>
        <w:jc w:val="left"/>
        <w:spacing w:line="360" w:lineRule="auto"/>
        <w:tabs>
          <w:tab w:val="left" w:pos="420" w:leader="none"/>
        </w:tabs>
        <w:rPr>
          <w:sz w:val="24"/>
        </w:rPr>
      </w:pPr>
      <w:r>
        <w:rPr>
          <w:sz w:val="24"/>
        </w:rPr>
        <w:t xml:space="preserve">▲供电方式：蓄电池交直流两用，配备交流电（220V）、太阳能等多种供电接口，满足24小时不间断供电；采用太阳能等其他供电方式时，供电系统支持更换蓄电池或接入交流电（220V）。</w:t>
      </w:r>
      <w:r/>
    </w:p>
    <w:p>
      <w:pPr>
        <w:ind w:firstLine="480"/>
        <w:jc w:val="left"/>
        <w:spacing w:line="360" w:lineRule="auto"/>
        <w:tabs>
          <w:tab w:val="left" w:pos="420" w:leader="none"/>
        </w:tabs>
        <w:rPr>
          <w:sz w:val="24"/>
        </w:rPr>
      </w:pPr>
      <w:r>
        <w:rPr>
          <w:rFonts w:hint="eastAsia"/>
          <w:sz w:val="24"/>
        </w:rPr>
        <w:t xml:space="preserve">（3）</w:t>
      </w:r>
      <w:r>
        <w:rPr>
          <w:sz w:val="24"/>
        </w:rPr>
        <w:t xml:space="preserve">环境：所有设备在温度（5～45℃）、相对湿度（最大90%）的环境下正常运行。</w:t>
      </w:r>
      <w:r/>
    </w:p>
    <w:p>
      <w:pPr>
        <w:ind w:firstLine="480"/>
        <w:jc w:val="left"/>
        <w:spacing w:line="360" w:lineRule="auto"/>
        <w:tabs>
          <w:tab w:val="left" w:pos="420" w:leader="none"/>
        </w:tabs>
        <w:rPr>
          <w:sz w:val="24"/>
        </w:rPr>
      </w:pPr>
      <w:r>
        <w:rPr>
          <w:rFonts w:hint="eastAsia"/>
          <w:sz w:val="24"/>
        </w:rPr>
        <w:t xml:space="preserve">（4）</w:t>
      </w:r>
      <w:r>
        <w:rPr>
          <w:sz w:val="24"/>
        </w:rPr>
        <w:t xml:space="preserve">试剂供应：中标人需免费提供仪器试剂配制方法，并提供试剂品牌、试剂成分及纯度。</w:t>
      </w:r>
      <w:r/>
    </w:p>
    <w:p>
      <w:pPr>
        <w:ind w:firstLine="480"/>
        <w:jc w:val="left"/>
        <w:spacing w:line="360" w:lineRule="auto"/>
        <w:tabs>
          <w:tab w:val="left" w:pos="420" w:leader="none"/>
        </w:tabs>
        <w:rPr>
          <w:sz w:val="24"/>
        </w:rPr>
      </w:pPr>
      <w:r>
        <w:rPr>
          <w:rFonts w:hint="eastAsia"/>
          <w:sz w:val="24"/>
        </w:rPr>
        <w:t xml:space="preserve">（5）</w:t>
      </w:r>
      <w:r>
        <w:rPr>
          <w:sz w:val="24"/>
        </w:rPr>
        <w:t xml:space="preserve">通讯协议：中标人应按照采购人指定的传输协议要求，将所有监测数据及相关信息传输至指定的平台，包括但不限于仪器的实时状态、关键参数和监测数据等。并向采购人提供所有仪器的底层通信协议。</w:t>
      </w:r>
      <w:bookmarkEnd w:id="101"/>
      <w:r/>
      <w:r/>
    </w:p>
    <w:p>
      <w:pPr>
        <w:ind w:firstLine="482"/>
        <w:spacing w:line="360" w:lineRule="auto"/>
        <w:rPr>
          <w:b/>
          <w:bCs/>
          <w:sz w:val="24"/>
        </w:rPr>
        <w:outlineLvl w:val="1"/>
      </w:pPr>
      <w:r/>
      <w:bookmarkStart w:id="104" w:name="_Toc17441"/>
      <w:r/>
      <w:bookmarkStart w:id="105" w:name="_Toc46845593"/>
      <w:r/>
      <w:bookmarkStart w:id="106" w:name="_Toc66709841"/>
      <w:r/>
      <w:bookmarkStart w:id="107" w:name="_Toc89347201"/>
      <w:r/>
      <w:bookmarkStart w:id="108" w:name="_Toc46846445"/>
      <w:r>
        <w:rPr>
          <w:rFonts w:hint="eastAsia"/>
          <w:b/>
          <w:bCs/>
          <w:sz w:val="24"/>
        </w:rPr>
        <w:t xml:space="preserve">2.分析仪器技术参数</w:t>
      </w:r>
      <w:bookmarkEnd w:id="104"/>
      <w:r/>
      <w:bookmarkEnd w:id="105"/>
      <w:r/>
      <w:bookmarkStart w:id="109" w:name="_Hlk57037774"/>
      <w:r>
        <w:rPr>
          <w:rFonts w:hint="eastAsia"/>
          <w:b/>
          <w:bCs/>
          <w:sz w:val="24"/>
        </w:rPr>
        <w:t xml:space="preserve">要求</w:t>
      </w:r>
      <w:bookmarkEnd w:id="106"/>
      <w:r/>
      <w:bookmarkEnd w:id="107"/>
      <w:r/>
      <w:bookmarkEnd w:id="109"/>
      <w:r/>
      <w:r/>
    </w:p>
    <w:p>
      <w:pPr>
        <w:ind w:firstLine="480"/>
        <w:jc w:val="left"/>
        <w:spacing w:line="360" w:lineRule="auto"/>
        <w:rPr>
          <w:sz w:val="24"/>
        </w:rPr>
      </w:pPr>
      <w:r>
        <w:rPr>
          <w:sz w:val="24"/>
        </w:rPr>
        <w:t xml:space="preserve">水质五参数、高锰酸盐指数、氨氮、总磷、总氮等设备，须提供环境监测仪器质量监督检验中心检测报告或省级（含省、自治区、直辖市）及以上计量检测单位报告证明。</w:t>
      </w:r>
      <w:r/>
    </w:p>
    <w:p>
      <w:pPr>
        <w:ind w:firstLine="482"/>
        <w:spacing w:line="360" w:lineRule="auto"/>
        <w:rPr>
          <w:b/>
          <w:bCs/>
          <w:sz w:val="24"/>
        </w:rPr>
        <w:outlineLvl w:val="1"/>
      </w:pPr>
      <w:r>
        <w:rPr>
          <w:rFonts w:hint="eastAsia"/>
          <w:b/>
          <w:bCs/>
          <w:sz w:val="24"/>
        </w:rPr>
        <w:t xml:space="preserve">2.1</w:t>
      </w:r>
      <w:r>
        <w:rPr>
          <w:b/>
          <w:bCs/>
          <w:sz w:val="24"/>
        </w:rPr>
        <w:t xml:space="preserve">常规五参数水质自动分析仪技术要求</w:t>
      </w:r>
      <w:r/>
    </w:p>
    <w:tbl>
      <w:tblPr>
        <w:tblStyle w:val="720"/>
        <w:tblW w:w="48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78"/>
        <w:gridCol w:w="5487"/>
      </w:tblGrid>
      <w:tr>
        <w:trPr>
          <w:jc w:val="center"/>
          <w:trHeight w:val="334"/>
        </w:trPr>
        <w:tc>
          <w:tcPr>
            <w:gridSpan w:val="2"/>
            <w:tcW w:w="5000" w:type="pct"/>
            <w:vAlign w:val="center"/>
            <w:textDirection w:val="lrTb"/>
            <w:noWrap w:val="false"/>
          </w:tcPr>
          <w:p>
            <w:pPr>
              <w:jc w:val="left"/>
              <w:spacing w:line="240" w:lineRule="exact"/>
              <w:widowControl/>
              <w:rPr>
                <w:sz w:val="24"/>
              </w:rPr>
            </w:pPr>
            <w:r>
              <w:rPr>
                <w:sz w:val="24"/>
              </w:rPr>
              <w:t xml:space="preserve">1.pH水质自动分析仪</w:t>
            </w:r>
            <w:r/>
          </w:p>
        </w:tc>
      </w:tr>
      <w:tr>
        <w:trPr>
          <w:jc w:val="center"/>
          <w:trHeight w:val="334"/>
        </w:trPr>
        <w:tc>
          <w:tcPr>
            <w:tcW w:w="1940" w:type="pct"/>
            <w:vAlign w:val="center"/>
            <w:textDirection w:val="lrTb"/>
            <w:noWrap w:val="false"/>
          </w:tcPr>
          <w:p>
            <w:pPr>
              <w:jc w:val="center"/>
              <w:spacing w:line="240" w:lineRule="exact"/>
              <w:widowControl/>
              <w:rPr>
                <w:sz w:val="24"/>
              </w:rPr>
            </w:pPr>
            <w:r>
              <w:rPr>
                <w:sz w:val="24"/>
              </w:rPr>
              <w:t xml:space="preserve">项目</w:t>
            </w:r>
            <w:r/>
          </w:p>
        </w:tc>
        <w:tc>
          <w:tcPr>
            <w:tcW w:w="3059" w:type="pct"/>
            <w:vAlign w:val="center"/>
            <w:textDirection w:val="lrTb"/>
            <w:noWrap w:val="false"/>
          </w:tcPr>
          <w:p>
            <w:pPr>
              <w:jc w:val="center"/>
              <w:spacing w:line="240" w:lineRule="exact"/>
              <w:widowControl/>
              <w:rPr>
                <w:sz w:val="24"/>
              </w:rPr>
            </w:pPr>
            <w:r>
              <w:rPr>
                <w:sz w:val="24"/>
              </w:rPr>
              <w:t xml:space="preserve">技术指标</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测定原理</w:t>
            </w:r>
            <w:r/>
          </w:p>
        </w:tc>
        <w:tc>
          <w:tcPr>
            <w:tcW w:w="3059" w:type="pct"/>
            <w:vAlign w:val="center"/>
            <w:textDirection w:val="lrTb"/>
            <w:noWrap w:val="false"/>
          </w:tcPr>
          <w:p>
            <w:pPr>
              <w:jc w:val="left"/>
              <w:spacing w:line="240" w:lineRule="exact"/>
              <w:widowControl/>
              <w:rPr>
                <w:sz w:val="24"/>
              </w:rPr>
            </w:pPr>
            <w:r>
              <w:rPr>
                <w:sz w:val="24"/>
              </w:rPr>
              <w:t xml:space="preserve">玻璃电极法</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w:t>
            </w:r>
            <w:r/>
          </w:p>
        </w:tc>
        <w:tc>
          <w:tcPr>
            <w:tcW w:w="3059" w:type="pct"/>
            <w:vAlign w:val="center"/>
            <w:textDirection w:val="lrTb"/>
            <w:noWrap w:val="false"/>
          </w:tcPr>
          <w:p>
            <w:pPr>
              <w:jc w:val="left"/>
              <w:spacing w:line="240" w:lineRule="exact"/>
              <w:widowControl/>
              <w:rPr>
                <w:sz w:val="24"/>
              </w:rPr>
            </w:pPr>
            <w:r>
              <w:rPr>
                <w:sz w:val="24"/>
              </w:rPr>
              <w:t xml:space="preserve">pH 0～14 （0～40 ℃），可调</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漂移（pH=4、7、9）</w:t>
            </w:r>
            <w:r/>
          </w:p>
        </w:tc>
        <w:tc>
          <w:tcPr>
            <w:tcW w:w="3059" w:type="pct"/>
            <w:vAlign w:val="center"/>
            <w:textDirection w:val="lrTb"/>
            <w:noWrap w:val="false"/>
          </w:tcPr>
          <w:p>
            <w:pPr>
              <w:jc w:val="left"/>
              <w:spacing w:line="240" w:lineRule="exact"/>
              <w:widowControl/>
              <w:rPr>
                <w:sz w:val="24"/>
              </w:rPr>
            </w:pPr>
            <w:r>
              <w:rPr>
                <w:sz w:val="24"/>
              </w:rPr>
              <w:t xml:space="preserve">±0.1pH</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重复性</w:t>
            </w:r>
            <w:r/>
          </w:p>
        </w:tc>
        <w:tc>
          <w:tcPr>
            <w:tcW w:w="3059" w:type="pct"/>
            <w:vAlign w:val="center"/>
            <w:textDirection w:val="lrTb"/>
            <w:noWrap w:val="false"/>
          </w:tcPr>
          <w:p>
            <w:pPr>
              <w:jc w:val="left"/>
              <w:spacing w:line="240" w:lineRule="exact"/>
              <w:widowControl/>
              <w:rPr>
                <w:sz w:val="24"/>
              </w:rPr>
            </w:pPr>
            <w:r>
              <w:rPr>
                <w:sz w:val="24"/>
              </w:rPr>
              <w:t xml:space="preserve">±0.1pH</w:t>
            </w:r>
            <w:r/>
          </w:p>
        </w:tc>
      </w:tr>
      <w:tr>
        <w:trPr>
          <w:jc w:val="center"/>
          <w:trHeight w:val="334"/>
        </w:trPr>
        <w:tc>
          <w:tcPr>
            <w:tcW w:w="1940" w:type="pct"/>
            <w:vAlign w:val="center"/>
            <w:textDirection w:val="lrTb"/>
            <w:noWrap w:val="false"/>
          </w:tcPr>
          <w:p>
            <w:pPr>
              <w:jc w:val="left"/>
              <w:spacing w:line="240" w:lineRule="exact"/>
              <w:widowControl/>
              <w:rPr>
                <w:sz w:val="24"/>
              </w:rPr>
            </w:pPr>
            <w:r>
              <w:rPr>
                <w:bCs/>
                <w:sz w:val="24"/>
              </w:rPr>
              <w:t xml:space="preserve">分辨率</w:t>
            </w:r>
            <w:r/>
          </w:p>
        </w:tc>
        <w:tc>
          <w:tcPr>
            <w:tcW w:w="3059" w:type="pct"/>
            <w:vAlign w:val="center"/>
            <w:textDirection w:val="lrTb"/>
            <w:noWrap w:val="false"/>
          </w:tcPr>
          <w:p>
            <w:pPr>
              <w:jc w:val="left"/>
              <w:spacing w:line="240" w:lineRule="exact"/>
              <w:widowControl/>
              <w:rPr>
                <w:sz w:val="24"/>
              </w:rPr>
            </w:pPr>
            <w:r>
              <w:rPr>
                <w:sz w:val="24"/>
              </w:rPr>
              <w:t xml:space="preserve">0.1pH</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响应时间</w:t>
            </w:r>
            <w:r/>
          </w:p>
        </w:tc>
        <w:tc>
          <w:tcPr>
            <w:tcW w:w="3059" w:type="pct"/>
            <w:vAlign w:val="center"/>
            <w:textDirection w:val="lrTb"/>
            <w:noWrap w:val="false"/>
          </w:tcPr>
          <w:p>
            <w:pPr>
              <w:jc w:val="left"/>
              <w:spacing w:line="240" w:lineRule="exact"/>
              <w:widowControl/>
              <w:rPr>
                <w:sz w:val="24"/>
              </w:rPr>
            </w:pPr>
            <w:r>
              <w:rPr>
                <w:sz w:val="24"/>
              </w:rPr>
              <w:t xml:space="preserve">≤30s</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温度补偿精度</w:t>
            </w:r>
            <w:r/>
          </w:p>
        </w:tc>
        <w:tc>
          <w:tcPr>
            <w:tcW w:w="3059" w:type="pct"/>
            <w:vAlign w:val="center"/>
            <w:textDirection w:val="lrTb"/>
            <w:noWrap w:val="false"/>
          </w:tcPr>
          <w:p>
            <w:pPr>
              <w:jc w:val="left"/>
              <w:spacing w:line="240" w:lineRule="exact"/>
              <w:widowControl/>
              <w:rPr>
                <w:sz w:val="24"/>
              </w:rPr>
            </w:pPr>
            <w:r>
              <w:rPr>
                <w:sz w:val="24"/>
              </w:rPr>
              <w:t xml:space="preserve">±0.1pH</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实际水样比对</w:t>
            </w:r>
            <w:r/>
          </w:p>
        </w:tc>
        <w:tc>
          <w:tcPr>
            <w:tcW w:w="3059" w:type="pct"/>
            <w:vAlign w:val="center"/>
            <w:textDirection w:val="lrTb"/>
            <w:noWrap w:val="false"/>
          </w:tcPr>
          <w:p>
            <w:pPr>
              <w:jc w:val="left"/>
              <w:spacing w:line="240" w:lineRule="exact"/>
              <w:widowControl/>
              <w:rPr>
                <w:sz w:val="24"/>
              </w:rPr>
            </w:pPr>
            <w:r>
              <w:rPr>
                <w:sz w:val="24"/>
              </w:rPr>
              <w:t xml:space="preserve">±0.1pH</w:t>
            </w:r>
            <w:r/>
          </w:p>
        </w:tc>
      </w:tr>
      <w:tr>
        <w:trPr>
          <w:jc w:val="center"/>
          <w:trHeight w:val="334"/>
        </w:trPr>
        <w:tc>
          <w:tcPr>
            <w:gridSpan w:val="2"/>
            <w:tcW w:w="5000" w:type="pct"/>
            <w:vAlign w:val="center"/>
            <w:textDirection w:val="lrTb"/>
            <w:noWrap w:val="false"/>
          </w:tcPr>
          <w:p>
            <w:pPr>
              <w:jc w:val="left"/>
              <w:spacing w:line="240" w:lineRule="exact"/>
              <w:widowControl/>
              <w:rPr>
                <w:sz w:val="24"/>
              </w:rPr>
            </w:pPr>
            <w:r>
              <w:rPr>
                <w:sz w:val="24"/>
              </w:rPr>
              <w:t xml:space="preserve">2.溶解氧水质自动分析仪</w:t>
            </w:r>
            <w:r/>
          </w:p>
        </w:tc>
      </w:tr>
      <w:tr>
        <w:trPr>
          <w:jc w:val="center"/>
          <w:trHeight w:val="334"/>
        </w:trPr>
        <w:tc>
          <w:tcPr>
            <w:tcW w:w="1940" w:type="pct"/>
            <w:vAlign w:val="center"/>
            <w:textDirection w:val="lrTb"/>
            <w:noWrap w:val="false"/>
          </w:tcPr>
          <w:p>
            <w:pPr>
              <w:jc w:val="center"/>
              <w:spacing w:line="240" w:lineRule="exact"/>
              <w:widowControl/>
              <w:rPr>
                <w:sz w:val="24"/>
              </w:rPr>
            </w:pPr>
            <w:r>
              <w:rPr>
                <w:sz w:val="24"/>
              </w:rPr>
              <w:t xml:space="preserve">项目</w:t>
            </w:r>
            <w:r/>
          </w:p>
        </w:tc>
        <w:tc>
          <w:tcPr>
            <w:tcW w:w="3059" w:type="pct"/>
            <w:vAlign w:val="center"/>
            <w:textDirection w:val="lrTb"/>
            <w:noWrap w:val="false"/>
          </w:tcPr>
          <w:p>
            <w:pPr>
              <w:jc w:val="center"/>
              <w:spacing w:line="240" w:lineRule="exact"/>
              <w:widowControl/>
              <w:rPr>
                <w:sz w:val="24"/>
              </w:rPr>
            </w:pPr>
            <w:r>
              <w:rPr>
                <w:sz w:val="24"/>
              </w:rPr>
              <w:t xml:space="preserve">技术指标</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测定原理</w:t>
            </w:r>
            <w:r/>
          </w:p>
        </w:tc>
        <w:tc>
          <w:tcPr>
            <w:tcW w:w="3059" w:type="pct"/>
            <w:vAlign w:val="center"/>
            <w:textDirection w:val="lrTb"/>
            <w:noWrap w:val="false"/>
          </w:tcPr>
          <w:p>
            <w:pPr>
              <w:jc w:val="left"/>
              <w:spacing w:line="240" w:lineRule="exact"/>
              <w:widowControl/>
              <w:rPr>
                <w:sz w:val="24"/>
              </w:rPr>
            </w:pPr>
            <w:r>
              <w:rPr>
                <w:sz w:val="24"/>
              </w:rPr>
              <w:t xml:space="preserve">电化学法、荧光法</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w:t>
            </w:r>
            <w:r/>
          </w:p>
        </w:tc>
        <w:tc>
          <w:tcPr>
            <w:tcW w:w="3059" w:type="pct"/>
            <w:vAlign w:val="center"/>
            <w:textDirection w:val="lrTb"/>
            <w:noWrap w:val="false"/>
          </w:tcPr>
          <w:p>
            <w:pPr>
              <w:jc w:val="left"/>
              <w:spacing w:line="240" w:lineRule="exact"/>
              <w:widowControl/>
              <w:rPr>
                <w:sz w:val="24"/>
              </w:rPr>
            </w:pPr>
            <w:r>
              <w:rPr>
                <w:sz w:val="24"/>
              </w:rPr>
              <w:t xml:space="preserve">0～20mg/L，可调</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零点漂移</w:t>
            </w:r>
            <w:r/>
          </w:p>
        </w:tc>
        <w:tc>
          <w:tcPr>
            <w:tcW w:w="3059" w:type="pct"/>
            <w:vAlign w:val="center"/>
            <w:textDirection w:val="lrTb"/>
            <w:noWrap w:val="false"/>
          </w:tcPr>
          <w:p>
            <w:pPr>
              <w:jc w:val="left"/>
              <w:spacing w:line="240" w:lineRule="exact"/>
              <w:widowControl/>
              <w:rPr>
                <w:sz w:val="24"/>
              </w:rPr>
            </w:pPr>
            <w:r>
              <w:rPr>
                <w:sz w:val="24"/>
              </w:rPr>
              <w:t xml:space="preserve">±0.3mg/L</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量程漂移</w:t>
            </w:r>
            <w:r/>
          </w:p>
        </w:tc>
        <w:tc>
          <w:tcPr>
            <w:tcW w:w="3059" w:type="pct"/>
            <w:vAlign w:val="center"/>
            <w:textDirection w:val="lrTb"/>
            <w:noWrap w:val="false"/>
          </w:tcPr>
          <w:p>
            <w:pPr>
              <w:jc w:val="left"/>
              <w:spacing w:line="240" w:lineRule="exact"/>
              <w:widowControl/>
              <w:rPr>
                <w:sz w:val="24"/>
              </w:rPr>
            </w:pPr>
            <w:r>
              <w:rPr>
                <w:sz w:val="24"/>
              </w:rPr>
              <w:t xml:space="preserve">±0.3mg/L</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重复性</w:t>
            </w:r>
            <w:r/>
          </w:p>
        </w:tc>
        <w:tc>
          <w:tcPr>
            <w:tcW w:w="3059" w:type="pct"/>
            <w:vAlign w:val="center"/>
            <w:textDirection w:val="lrTb"/>
            <w:noWrap w:val="false"/>
          </w:tcPr>
          <w:p>
            <w:pPr>
              <w:jc w:val="left"/>
              <w:spacing w:line="240" w:lineRule="exact"/>
              <w:widowControl/>
              <w:rPr>
                <w:sz w:val="24"/>
              </w:rPr>
            </w:pPr>
            <w:r>
              <w:rPr>
                <w:sz w:val="24"/>
              </w:rPr>
              <w:t xml:space="preserve">±0.3mg/L</w:t>
            </w:r>
            <w:r/>
          </w:p>
        </w:tc>
      </w:tr>
      <w:tr>
        <w:trPr>
          <w:jc w:val="center"/>
          <w:trHeight w:val="334"/>
        </w:trPr>
        <w:tc>
          <w:tcPr>
            <w:tcW w:w="1940" w:type="pct"/>
            <w:vAlign w:val="center"/>
            <w:textDirection w:val="lrTb"/>
            <w:noWrap w:val="false"/>
          </w:tcPr>
          <w:p>
            <w:pPr>
              <w:jc w:val="left"/>
              <w:spacing w:line="240" w:lineRule="exact"/>
              <w:widowControl/>
              <w:rPr>
                <w:sz w:val="24"/>
              </w:rPr>
            </w:pPr>
            <w:r>
              <w:rPr>
                <w:bCs/>
                <w:sz w:val="24"/>
              </w:rPr>
              <w:t xml:space="preserve">分辨率</w:t>
            </w:r>
            <w:r/>
          </w:p>
        </w:tc>
        <w:tc>
          <w:tcPr>
            <w:tcW w:w="3059" w:type="pct"/>
            <w:vAlign w:val="center"/>
            <w:textDirection w:val="lrTb"/>
            <w:noWrap w:val="false"/>
          </w:tcPr>
          <w:p>
            <w:pPr>
              <w:jc w:val="left"/>
              <w:spacing w:line="240" w:lineRule="exact"/>
              <w:widowControl/>
              <w:rPr>
                <w:sz w:val="24"/>
              </w:rPr>
            </w:pPr>
            <w:r>
              <w:rPr>
                <w:sz w:val="24"/>
              </w:rPr>
              <w:t xml:space="preserve">0.01 mg/L</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响应时间（T</w:t>
            </w:r>
            <w:r>
              <w:rPr>
                <w:sz w:val="24"/>
                <w:vertAlign w:val="subscript"/>
              </w:rPr>
              <w:t xml:space="preserve">90</w:t>
            </w:r>
            <w:r>
              <w:rPr>
                <w:sz w:val="24"/>
              </w:rPr>
              <w:t xml:space="preserve">）</w:t>
            </w:r>
            <w:r/>
          </w:p>
        </w:tc>
        <w:tc>
          <w:tcPr>
            <w:tcW w:w="3059" w:type="pct"/>
            <w:vAlign w:val="center"/>
            <w:textDirection w:val="lrTb"/>
            <w:noWrap w:val="false"/>
          </w:tcPr>
          <w:p>
            <w:pPr>
              <w:jc w:val="left"/>
              <w:spacing w:line="240" w:lineRule="exact"/>
              <w:widowControl/>
              <w:rPr>
                <w:sz w:val="24"/>
              </w:rPr>
            </w:pPr>
            <w:r>
              <w:rPr>
                <w:sz w:val="24"/>
              </w:rPr>
              <w:t xml:space="preserve">≤120s</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温度补偿精度</w:t>
            </w:r>
            <w:r/>
          </w:p>
        </w:tc>
        <w:tc>
          <w:tcPr>
            <w:tcW w:w="3059" w:type="pct"/>
            <w:vAlign w:val="center"/>
            <w:textDirection w:val="lrTb"/>
            <w:noWrap w:val="false"/>
          </w:tcPr>
          <w:p>
            <w:pPr>
              <w:jc w:val="left"/>
              <w:spacing w:line="240" w:lineRule="exact"/>
              <w:widowControl/>
              <w:rPr>
                <w:sz w:val="24"/>
              </w:rPr>
            </w:pPr>
            <w:r>
              <w:rPr>
                <w:sz w:val="24"/>
              </w:rPr>
              <w:t xml:space="preserve">±0.15mg/L</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实际水样比对实验</w:t>
            </w:r>
            <w:r/>
          </w:p>
        </w:tc>
        <w:tc>
          <w:tcPr>
            <w:tcW w:w="3059" w:type="pct"/>
            <w:vAlign w:val="center"/>
            <w:textDirection w:val="lrTb"/>
            <w:noWrap w:val="false"/>
          </w:tcPr>
          <w:p>
            <w:pPr>
              <w:jc w:val="left"/>
              <w:spacing w:line="240" w:lineRule="exact"/>
              <w:widowControl/>
              <w:rPr>
                <w:sz w:val="24"/>
              </w:rPr>
            </w:pPr>
            <w:r>
              <w:rPr>
                <w:sz w:val="24"/>
              </w:rPr>
              <w:t xml:space="preserve">±0.2mg/L</w:t>
            </w:r>
            <w:r/>
          </w:p>
        </w:tc>
      </w:tr>
      <w:tr>
        <w:trPr>
          <w:jc w:val="center"/>
          <w:trHeight w:val="334"/>
        </w:trPr>
        <w:tc>
          <w:tcPr>
            <w:gridSpan w:val="2"/>
            <w:tcW w:w="5000" w:type="pct"/>
            <w:vAlign w:val="center"/>
            <w:textDirection w:val="lrTb"/>
            <w:noWrap w:val="false"/>
          </w:tcPr>
          <w:p>
            <w:pPr>
              <w:jc w:val="left"/>
              <w:spacing w:line="240" w:lineRule="exact"/>
              <w:widowControl/>
              <w:rPr>
                <w:sz w:val="24"/>
              </w:rPr>
            </w:pPr>
            <w:r>
              <w:rPr>
                <w:sz w:val="24"/>
              </w:rPr>
              <w:t xml:space="preserve">3.电导率水质自动分析仪</w:t>
            </w:r>
            <w:r/>
          </w:p>
        </w:tc>
      </w:tr>
      <w:tr>
        <w:trPr>
          <w:jc w:val="center"/>
          <w:trHeight w:val="334"/>
        </w:trPr>
        <w:tc>
          <w:tcPr>
            <w:tcW w:w="1940" w:type="pct"/>
            <w:vAlign w:val="center"/>
            <w:textDirection w:val="lrTb"/>
            <w:noWrap w:val="false"/>
          </w:tcPr>
          <w:p>
            <w:pPr>
              <w:jc w:val="center"/>
              <w:spacing w:line="240" w:lineRule="exact"/>
              <w:widowControl/>
              <w:rPr>
                <w:sz w:val="24"/>
              </w:rPr>
            </w:pPr>
            <w:r>
              <w:rPr>
                <w:sz w:val="24"/>
              </w:rPr>
              <w:t xml:space="preserve">项目</w:t>
            </w:r>
            <w:r/>
          </w:p>
        </w:tc>
        <w:tc>
          <w:tcPr>
            <w:tcW w:w="3059" w:type="pct"/>
            <w:vAlign w:val="center"/>
            <w:textDirection w:val="lrTb"/>
            <w:noWrap w:val="false"/>
          </w:tcPr>
          <w:p>
            <w:pPr>
              <w:jc w:val="center"/>
              <w:spacing w:line="240" w:lineRule="exact"/>
              <w:widowControl/>
              <w:rPr>
                <w:sz w:val="24"/>
              </w:rPr>
            </w:pPr>
            <w:r>
              <w:rPr>
                <w:sz w:val="24"/>
              </w:rPr>
              <w:t xml:space="preserve">技术指标</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测定原理</w:t>
            </w:r>
            <w:r/>
          </w:p>
        </w:tc>
        <w:tc>
          <w:tcPr>
            <w:tcW w:w="3059" w:type="pct"/>
            <w:vAlign w:val="center"/>
            <w:textDirection w:val="lrTb"/>
            <w:noWrap w:val="false"/>
          </w:tcPr>
          <w:p>
            <w:pPr>
              <w:jc w:val="left"/>
              <w:spacing w:line="240" w:lineRule="exact"/>
              <w:widowControl/>
              <w:rPr>
                <w:sz w:val="24"/>
              </w:rPr>
            </w:pPr>
            <w:r>
              <w:rPr>
                <w:sz w:val="24"/>
              </w:rPr>
              <w:t xml:space="preserve">电极法、电导池法</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最小检测范围</w:t>
            </w:r>
            <w:r/>
          </w:p>
        </w:tc>
        <w:tc>
          <w:tcPr>
            <w:tcW w:w="3059" w:type="pct"/>
            <w:vAlign w:val="center"/>
            <w:textDirection w:val="lrTb"/>
            <w:noWrap w:val="false"/>
          </w:tcPr>
          <w:p>
            <w:pPr>
              <w:jc w:val="left"/>
              <w:spacing w:line="240" w:lineRule="exact"/>
              <w:widowControl/>
              <w:rPr>
                <w:sz w:val="24"/>
              </w:rPr>
            </w:pPr>
            <w:r>
              <w:rPr>
                <w:sz w:val="24"/>
              </w:rPr>
              <w:t xml:space="preserve">0～200 mS/m（0～40℃），可调</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重复性误差</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零点漂移</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量程漂移</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bCs/>
                <w:sz w:val="24"/>
              </w:rPr>
              <w:t xml:space="preserve">分辨率</w:t>
            </w:r>
            <w:r/>
          </w:p>
        </w:tc>
        <w:tc>
          <w:tcPr>
            <w:tcW w:w="3059" w:type="pct"/>
            <w:vAlign w:val="center"/>
            <w:textDirection w:val="lrTb"/>
            <w:noWrap w:val="false"/>
          </w:tcPr>
          <w:p>
            <w:pPr>
              <w:jc w:val="left"/>
              <w:spacing w:line="240" w:lineRule="exact"/>
              <w:widowControl/>
              <w:rPr>
                <w:sz w:val="24"/>
              </w:rPr>
            </w:pPr>
            <w:r>
              <w:rPr>
                <w:bCs/>
                <w:sz w:val="24"/>
              </w:rPr>
              <w:t xml:space="preserve">0.001到0.01mS/cm</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响应时间</w:t>
            </w:r>
            <w:r/>
          </w:p>
        </w:tc>
        <w:tc>
          <w:tcPr>
            <w:tcW w:w="3059" w:type="pct"/>
            <w:vAlign w:val="center"/>
            <w:textDirection w:val="lrTb"/>
            <w:noWrap w:val="false"/>
          </w:tcPr>
          <w:p>
            <w:pPr>
              <w:jc w:val="left"/>
              <w:spacing w:line="240" w:lineRule="exact"/>
              <w:widowControl/>
              <w:rPr>
                <w:sz w:val="24"/>
              </w:rPr>
            </w:pPr>
            <w:r>
              <w:rPr>
                <w:sz w:val="24"/>
              </w:rPr>
              <w:t xml:space="preserve">0.5min以内</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温度补偿精度</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电压稳定性</w:t>
            </w:r>
            <w:r/>
          </w:p>
        </w:tc>
        <w:tc>
          <w:tcPr>
            <w:tcW w:w="3059" w:type="pct"/>
            <w:vAlign w:val="center"/>
            <w:textDirection w:val="lrTb"/>
            <w:noWrap w:val="false"/>
          </w:tcPr>
          <w:p>
            <w:pPr>
              <w:jc w:val="left"/>
              <w:spacing w:line="240" w:lineRule="exact"/>
              <w:widowControl/>
              <w:rPr>
                <w:sz w:val="24"/>
              </w:rPr>
            </w:pPr>
            <w:r>
              <w:rPr>
                <w:sz w:val="24"/>
              </w:rPr>
              <w:t xml:space="preserve">指示值的变动在±1%以内</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实际水样比对试验</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gridSpan w:val="2"/>
            <w:tcW w:w="5000" w:type="pct"/>
            <w:vAlign w:val="center"/>
            <w:textDirection w:val="lrTb"/>
            <w:noWrap w:val="false"/>
          </w:tcPr>
          <w:p>
            <w:pPr>
              <w:jc w:val="left"/>
              <w:spacing w:line="240" w:lineRule="exact"/>
              <w:widowControl/>
              <w:rPr>
                <w:sz w:val="24"/>
              </w:rPr>
            </w:pPr>
            <w:r>
              <w:rPr>
                <w:sz w:val="24"/>
              </w:rPr>
              <w:t xml:space="preserve">4.水温水质自动分析仪</w:t>
            </w:r>
            <w:r/>
          </w:p>
        </w:tc>
      </w:tr>
      <w:tr>
        <w:trPr>
          <w:jc w:val="center"/>
          <w:trHeight w:val="334"/>
        </w:trPr>
        <w:tc>
          <w:tcPr>
            <w:tcW w:w="1940" w:type="pct"/>
            <w:vAlign w:val="center"/>
            <w:textDirection w:val="lrTb"/>
            <w:noWrap w:val="false"/>
          </w:tcPr>
          <w:p>
            <w:pPr>
              <w:jc w:val="center"/>
              <w:spacing w:line="240" w:lineRule="exact"/>
              <w:widowControl/>
              <w:rPr>
                <w:sz w:val="24"/>
              </w:rPr>
            </w:pPr>
            <w:r>
              <w:rPr>
                <w:sz w:val="24"/>
              </w:rPr>
              <w:t xml:space="preserve">项目</w:t>
            </w:r>
            <w:r/>
          </w:p>
        </w:tc>
        <w:tc>
          <w:tcPr>
            <w:tcW w:w="3059" w:type="pct"/>
            <w:vAlign w:val="center"/>
            <w:textDirection w:val="lrTb"/>
            <w:noWrap w:val="false"/>
          </w:tcPr>
          <w:p>
            <w:pPr>
              <w:jc w:val="center"/>
              <w:spacing w:line="240" w:lineRule="exact"/>
              <w:widowControl/>
              <w:rPr>
                <w:sz w:val="24"/>
              </w:rPr>
            </w:pPr>
            <w:r>
              <w:rPr>
                <w:sz w:val="24"/>
              </w:rPr>
              <w:t xml:space="preserve">技术指标</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测定原理</w:t>
            </w:r>
            <w:r/>
          </w:p>
        </w:tc>
        <w:tc>
          <w:tcPr>
            <w:tcW w:w="3059" w:type="pct"/>
            <w:vAlign w:val="center"/>
            <w:textDirection w:val="lrTb"/>
            <w:noWrap w:val="false"/>
          </w:tcPr>
          <w:p>
            <w:pPr>
              <w:jc w:val="left"/>
              <w:spacing w:line="240" w:lineRule="exact"/>
              <w:widowControl/>
              <w:rPr>
                <w:sz w:val="24"/>
              </w:rPr>
            </w:pPr>
            <w:r>
              <w:rPr>
                <w:sz w:val="24"/>
              </w:rPr>
              <w:t xml:space="preserve">热电阻或热电偶</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w:t>
            </w:r>
            <w:r/>
          </w:p>
        </w:tc>
        <w:tc>
          <w:tcPr>
            <w:tcW w:w="3059" w:type="pct"/>
            <w:vAlign w:val="center"/>
            <w:textDirection w:val="lrTb"/>
            <w:noWrap w:val="false"/>
          </w:tcPr>
          <w:p>
            <w:pPr>
              <w:jc w:val="left"/>
              <w:spacing w:line="240" w:lineRule="exact"/>
              <w:widowControl/>
              <w:rPr>
                <w:sz w:val="24"/>
              </w:rPr>
            </w:pPr>
            <w:r>
              <w:rPr>
                <w:sz w:val="24"/>
              </w:rPr>
              <w:t xml:space="preserve">0℃～50 ℃，可调</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测量误差</w:t>
            </w:r>
            <w:r/>
          </w:p>
        </w:tc>
        <w:tc>
          <w:tcPr>
            <w:tcW w:w="3059" w:type="pct"/>
            <w:vAlign w:val="center"/>
            <w:textDirection w:val="lrTb"/>
            <w:noWrap w:val="false"/>
          </w:tcPr>
          <w:p>
            <w:pPr>
              <w:jc w:val="left"/>
              <w:spacing w:line="240" w:lineRule="exact"/>
              <w:widowControl/>
              <w:rPr>
                <w:sz w:val="24"/>
              </w:rPr>
            </w:pPr>
            <w:r>
              <w:rPr>
                <w:sz w:val="24"/>
              </w:rPr>
              <w:t xml:space="preserve">±0.5 ℃</w:t>
            </w:r>
            <w:r/>
          </w:p>
        </w:tc>
      </w:tr>
      <w:tr>
        <w:trPr>
          <w:jc w:val="center"/>
          <w:trHeight w:val="334"/>
        </w:trPr>
        <w:tc>
          <w:tcPr>
            <w:tcW w:w="1940" w:type="pct"/>
            <w:vAlign w:val="center"/>
            <w:textDirection w:val="lrTb"/>
            <w:noWrap w:val="false"/>
          </w:tcPr>
          <w:p>
            <w:pPr>
              <w:jc w:val="left"/>
              <w:spacing w:line="240" w:lineRule="exact"/>
              <w:widowControl/>
              <w:rPr>
                <w:sz w:val="24"/>
              </w:rPr>
            </w:pPr>
            <w:r>
              <w:rPr>
                <w:bCs/>
                <w:sz w:val="24"/>
              </w:rPr>
              <w:t xml:space="preserve">分辨率</w:t>
            </w:r>
            <w:r/>
          </w:p>
        </w:tc>
        <w:tc>
          <w:tcPr>
            <w:tcW w:w="3059" w:type="pct"/>
            <w:vAlign w:val="center"/>
            <w:textDirection w:val="lrTb"/>
            <w:noWrap w:val="false"/>
          </w:tcPr>
          <w:p>
            <w:pPr>
              <w:jc w:val="left"/>
              <w:spacing w:line="240" w:lineRule="exact"/>
              <w:widowControl/>
              <w:rPr>
                <w:sz w:val="24"/>
              </w:rPr>
            </w:pPr>
            <w:r>
              <w:rPr>
                <w:bCs/>
                <w:sz w:val="24"/>
              </w:rPr>
              <w:t xml:space="preserve">0.001℃</w:t>
            </w:r>
            <w:r/>
          </w:p>
        </w:tc>
      </w:tr>
      <w:tr>
        <w:trPr>
          <w:jc w:val="center"/>
          <w:trHeight w:val="334"/>
        </w:trPr>
        <w:tc>
          <w:tcPr>
            <w:gridSpan w:val="2"/>
            <w:tcW w:w="5000" w:type="pct"/>
            <w:vAlign w:val="center"/>
            <w:textDirection w:val="lrTb"/>
            <w:noWrap w:val="false"/>
          </w:tcPr>
          <w:p>
            <w:pPr>
              <w:jc w:val="left"/>
              <w:spacing w:line="240" w:lineRule="exact"/>
              <w:widowControl/>
              <w:rPr>
                <w:sz w:val="24"/>
              </w:rPr>
            </w:pPr>
            <w:r>
              <w:rPr>
                <w:sz w:val="24"/>
              </w:rPr>
              <w:t xml:space="preserve">5.浊度水质自动分析仪</w:t>
            </w:r>
            <w:r/>
          </w:p>
        </w:tc>
      </w:tr>
      <w:tr>
        <w:trPr>
          <w:jc w:val="center"/>
          <w:trHeight w:val="334"/>
        </w:trPr>
        <w:tc>
          <w:tcPr>
            <w:tcW w:w="1940" w:type="pct"/>
            <w:vAlign w:val="center"/>
            <w:textDirection w:val="lrTb"/>
            <w:noWrap w:val="false"/>
          </w:tcPr>
          <w:p>
            <w:pPr>
              <w:jc w:val="center"/>
              <w:spacing w:line="240" w:lineRule="exact"/>
              <w:widowControl/>
              <w:rPr>
                <w:sz w:val="24"/>
              </w:rPr>
            </w:pPr>
            <w:r>
              <w:rPr>
                <w:sz w:val="24"/>
              </w:rPr>
              <w:t xml:space="preserve">项目</w:t>
            </w:r>
            <w:r/>
          </w:p>
        </w:tc>
        <w:tc>
          <w:tcPr>
            <w:tcW w:w="3059" w:type="pct"/>
            <w:vAlign w:val="center"/>
            <w:textDirection w:val="lrTb"/>
            <w:noWrap w:val="false"/>
          </w:tcPr>
          <w:p>
            <w:pPr>
              <w:jc w:val="center"/>
              <w:spacing w:line="240" w:lineRule="exact"/>
              <w:widowControl/>
              <w:rPr>
                <w:sz w:val="24"/>
              </w:rPr>
            </w:pPr>
            <w:r>
              <w:rPr>
                <w:sz w:val="24"/>
              </w:rPr>
              <w:t xml:space="preserve">技术指标</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测定原理</w:t>
            </w:r>
            <w:r/>
          </w:p>
        </w:tc>
        <w:tc>
          <w:tcPr>
            <w:tcW w:w="3059" w:type="pct"/>
            <w:vAlign w:val="center"/>
            <w:textDirection w:val="lrTb"/>
            <w:noWrap w:val="false"/>
          </w:tcPr>
          <w:p>
            <w:pPr>
              <w:jc w:val="left"/>
              <w:spacing w:line="240" w:lineRule="exact"/>
              <w:widowControl/>
              <w:rPr>
                <w:sz w:val="24"/>
              </w:rPr>
            </w:pPr>
            <w:r>
              <w:rPr>
                <w:sz w:val="24"/>
              </w:rPr>
              <w:t xml:space="preserve">光散射法</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w:t>
            </w:r>
            <w:r/>
          </w:p>
        </w:tc>
        <w:tc>
          <w:tcPr>
            <w:tcW w:w="3059" w:type="pct"/>
            <w:vAlign w:val="center"/>
            <w:textDirection w:val="lrTb"/>
            <w:noWrap w:val="false"/>
          </w:tcPr>
          <w:p>
            <w:pPr>
              <w:jc w:val="left"/>
              <w:spacing w:line="240" w:lineRule="exact"/>
              <w:widowControl/>
              <w:rPr>
                <w:sz w:val="24"/>
              </w:rPr>
            </w:pPr>
            <w:r>
              <w:rPr>
                <w:sz w:val="24"/>
              </w:rPr>
              <w:t xml:space="preserve">0～500NTU，可调</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重复性误差</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零点漂移</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量程漂移</w:t>
            </w:r>
            <w:r/>
          </w:p>
        </w:tc>
        <w:tc>
          <w:tcPr>
            <w:tcW w:w="3059" w:type="pct"/>
            <w:vAlign w:val="center"/>
            <w:textDirection w:val="lrTb"/>
            <w:noWrap w:val="false"/>
          </w:tcPr>
          <w:p>
            <w:pPr>
              <w:jc w:val="left"/>
              <w:spacing w:line="240" w:lineRule="exact"/>
              <w:widowControl/>
              <w:rPr>
                <w:sz w:val="24"/>
              </w:rPr>
            </w:pPr>
            <w:r>
              <w:rPr>
                <w:sz w:val="24"/>
              </w:rPr>
              <w:t xml:space="preserve">±1%</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线性误差</w:t>
            </w:r>
            <w:r/>
          </w:p>
        </w:tc>
        <w:tc>
          <w:tcPr>
            <w:tcW w:w="3059" w:type="pct"/>
            <w:vAlign w:val="center"/>
            <w:textDirection w:val="lrTb"/>
            <w:noWrap w:val="false"/>
          </w:tcPr>
          <w:p>
            <w:pPr>
              <w:jc w:val="left"/>
              <w:spacing w:line="240" w:lineRule="exact"/>
              <w:widowControl/>
              <w:rPr>
                <w:sz w:val="24"/>
              </w:rPr>
            </w:pPr>
            <w:r>
              <w:rPr>
                <w:sz w:val="24"/>
              </w:rPr>
              <w:t xml:space="preserve">±5%</w:t>
            </w:r>
            <w:r/>
          </w:p>
        </w:tc>
      </w:tr>
      <w:tr>
        <w:trPr>
          <w:jc w:val="center"/>
          <w:trHeight w:val="334"/>
        </w:trPr>
        <w:tc>
          <w:tcPr>
            <w:tcW w:w="1940" w:type="pct"/>
            <w:vAlign w:val="center"/>
            <w:textDirection w:val="lrTb"/>
            <w:noWrap w:val="false"/>
          </w:tcPr>
          <w:p>
            <w:pPr>
              <w:jc w:val="left"/>
              <w:spacing w:line="240" w:lineRule="exact"/>
              <w:widowControl/>
              <w:rPr>
                <w:sz w:val="24"/>
              </w:rPr>
            </w:pPr>
            <w:r>
              <w:rPr>
                <w:sz w:val="24"/>
              </w:rPr>
              <w:t xml:space="preserve">电压稳定性</w:t>
            </w:r>
            <w:r/>
          </w:p>
        </w:tc>
        <w:tc>
          <w:tcPr>
            <w:tcW w:w="3059" w:type="pct"/>
            <w:vAlign w:val="center"/>
            <w:textDirection w:val="lrTb"/>
            <w:noWrap w:val="false"/>
          </w:tcPr>
          <w:p>
            <w:pPr>
              <w:jc w:val="left"/>
              <w:spacing w:line="240" w:lineRule="exact"/>
              <w:widowControl/>
              <w:rPr>
                <w:sz w:val="24"/>
              </w:rPr>
            </w:pPr>
            <w:r>
              <w:rPr>
                <w:sz w:val="24"/>
              </w:rPr>
              <w:t xml:space="preserve">±3%</w:t>
            </w:r>
            <w:r/>
          </w:p>
        </w:tc>
      </w:tr>
    </w:tbl>
    <w:p>
      <w:pPr>
        <w:ind w:firstLine="480"/>
        <w:jc w:val="left"/>
        <w:spacing w:line="360" w:lineRule="auto"/>
        <w:rPr>
          <w:sz w:val="24"/>
        </w:rPr>
      </w:pPr>
      <w:r>
        <w:rPr>
          <w:sz w:val="24"/>
        </w:rPr>
      </w:r>
      <w:r/>
    </w:p>
    <w:p>
      <w:pPr>
        <w:ind w:firstLine="482"/>
        <w:spacing w:line="360" w:lineRule="auto"/>
        <w:rPr>
          <w:b/>
          <w:bCs/>
          <w:sz w:val="24"/>
        </w:rPr>
        <w:outlineLvl w:val="1"/>
      </w:pPr>
      <w:r>
        <w:rPr>
          <w:rFonts w:hint="eastAsia"/>
          <w:b/>
          <w:bCs/>
          <w:sz w:val="24"/>
        </w:rPr>
        <w:t xml:space="preserve">2.2</w:t>
      </w:r>
      <w:r>
        <w:rPr>
          <w:b/>
          <w:bCs/>
          <w:sz w:val="24"/>
        </w:rPr>
        <w:t xml:space="preserve">氨氮水质自动分析仪技术要求</w:t>
      </w:r>
      <w:r/>
    </w:p>
    <w:p>
      <w:pPr>
        <w:ind w:firstLine="480"/>
        <w:jc w:val="left"/>
        <w:spacing w:line="360" w:lineRule="auto"/>
        <w:rPr>
          <w:bCs/>
          <w:sz w:val="24"/>
        </w:rPr>
      </w:pPr>
      <w:r>
        <w:rPr>
          <w:bCs/>
          <w:sz w:val="24"/>
        </w:rPr>
        <w:t xml:space="preserve">1)</w:t>
      </w:r>
      <w:r>
        <w:rPr>
          <w:rFonts w:hint="eastAsia"/>
          <w:bCs/>
          <w:sz w:val="24"/>
        </w:rPr>
        <w:t xml:space="preserve"> </w:t>
      </w:r>
      <w:r>
        <w:rPr>
          <w:bCs/>
          <w:sz w:val="24"/>
        </w:rPr>
        <w:t xml:space="preserve">测量原理：纳氏试剂分光光度法、水杨酸分光光度法</w:t>
      </w:r>
      <w:r/>
    </w:p>
    <w:p>
      <w:pPr>
        <w:ind w:firstLine="480"/>
        <w:jc w:val="left"/>
        <w:spacing w:line="360" w:lineRule="auto"/>
        <w:rPr>
          <w:bCs/>
          <w:sz w:val="24"/>
        </w:rPr>
      </w:pPr>
      <w:r>
        <w:rPr>
          <w:bCs/>
          <w:sz w:val="24"/>
        </w:rPr>
        <w:t xml:space="preserve">2)</w:t>
      </w:r>
      <w:r>
        <w:rPr>
          <w:rFonts w:hint="eastAsia"/>
          <w:bCs/>
          <w:sz w:val="24"/>
        </w:rPr>
        <w:t xml:space="preserve"> </w:t>
      </w:r>
      <w:r>
        <w:rPr>
          <w:bCs/>
          <w:sz w:val="24"/>
        </w:rPr>
        <w:t xml:space="preserve">测量范围：</w:t>
      </w:r>
      <w:r>
        <w:rPr>
          <w:sz w:val="24"/>
        </w:rPr>
        <w:t xml:space="preserve">0~50mg/L（可扩展）</w:t>
      </w:r>
      <w:r>
        <w:rPr>
          <w:bCs/>
          <w:sz w:val="24"/>
        </w:rPr>
        <w:t xml:space="preserve">；</w:t>
      </w:r>
      <w:r/>
    </w:p>
    <w:p>
      <w:pPr>
        <w:ind w:firstLine="480"/>
        <w:jc w:val="left"/>
        <w:spacing w:line="360" w:lineRule="auto"/>
        <w:rPr>
          <w:bCs/>
          <w:sz w:val="24"/>
        </w:rPr>
      </w:pPr>
      <w:r>
        <w:rPr>
          <w:bCs/>
          <w:sz w:val="24"/>
        </w:rPr>
        <w:t xml:space="preserve">3)</w:t>
      </w:r>
      <w:r>
        <w:rPr>
          <w:rFonts w:hint="eastAsia"/>
          <w:bCs/>
          <w:sz w:val="24"/>
        </w:rPr>
        <w:t xml:space="preserve"> </w:t>
      </w:r>
      <w:r>
        <w:rPr>
          <w:bCs/>
          <w:sz w:val="24"/>
        </w:rPr>
        <w:t xml:space="preserve">示值误差：± 8.0%（20%）；± 5.0%（50%）；± 3.0%（80%）</w:t>
      </w:r>
      <w:r/>
    </w:p>
    <w:p>
      <w:pPr>
        <w:ind w:firstLine="480"/>
        <w:jc w:val="left"/>
        <w:spacing w:line="360" w:lineRule="auto"/>
        <w:rPr>
          <w:bCs/>
          <w:sz w:val="24"/>
        </w:rPr>
      </w:pPr>
      <w:r>
        <w:rPr>
          <w:bCs/>
          <w:sz w:val="24"/>
        </w:rPr>
        <w:t xml:space="preserve">4)</w:t>
      </w:r>
      <w:r>
        <w:rPr>
          <w:rFonts w:hint="eastAsia"/>
          <w:bCs/>
          <w:sz w:val="24"/>
        </w:rPr>
        <w:t xml:space="preserve"> </w:t>
      </w:r>
      <w:r>
        <w:rPr>
          <w:sz w:val="24"/>
        </w:rPr>
        <w:t xml:space="preserve">pH试验：±6% </w:t>
      </w:r>
      <w:r/>
    </w:p>
    <w:p>
      <w:pPr>
        <w:ind w:firstLine="480"/>
        <w:jc w:val="left"/>
        <w:spacing w:line="360" w:lineRule="auto"/>
        <w:rPr>
          <w:bCs/>
          <w:sz w:val="24"/>
        </w:rPr>
      </w:pPr>
      <w:r>
        <w:rPr>
          <w:bCs/>
          <w:sz w:val="24"/>
        </w:rPr>
        <w:t xml:space="preserve">5)</w:t>
      </w:r>
      <w:r>
        <w:rPr>
          <w:rFonts w:hint="eastAsia"/>
          <w:bCs/>
          <w:sz w:val="24"/>
        </w:rPr>
        <w:t xml:space="preserve"> </w:t>
      </w:r>
      <w:r>
        <w:rPr>
          <w:bCs/>
          <w:sz w:val="24"/>
        </w:rPr>
        <w:t xml:space="preserve">▲定量下限：0.005 mg/L（示值误差±30%）；</w:t>
      </w:r>
      <w:r>
        <w:rPr>
          <w:sz w:val="24"/>
        </w:rPr>
        <w:t xml:space="preserve">绝对误差：≤0.15mg/L</w:t>
      </w:r>
      <w:r/>
    </w:p>
    <w:p>
      <w:pPr>
        <w:ind w:firstLine="480"/>
        <w:jc w:val="left"/>
        <w:spacing w:line="360" w:lineRule="auto"/>
        <w:rPr>
          <w:bCs/>
          <w:sz w:val="24"/>
        </w:rPr>
      </w:pPr>
      <w:r>
        <w:rPr>
          <w:bCs/>
          <w:sz w:val="24"/>
        </w:rPr>
        <w:t xml:space="preserve">6)</w:t>
      </w:r>
      <w:r>
        <w:rPr>
          <w:rFonts w:hint="eastAsia"/>
          <w:bCs/>
          <w:sz w:val="24"/>
        </w:rPr>
        <w:t xml:space="preserve"> </w:t>
      </w:r>
      <w:r>
        <w:rPr>
          <w:bCs/>
          <w:sz w:val="24"/>
        </w:rPr>
        <w:t xml:space="preserve">24h低浓度漂移：≤0.05mg/L</w:t>
      </w:r>
      <w:r/>
    </w:p>
    <w:p>
      <w:pPr>
        <w:ind w:firstLine="480"/>
        <w:jc w:val="left"/>
        <w:spacing w:line="360" w:lineRule="auto"/>
        <w:rPr>
          <w:bCs/>
          <w:sz w:val="24"/>
        </w:rPr>
      </w:pPr>
      <w:r>
        <w:rPr>
          <w:bCs/>
          <w:sz w:val="24"/>
        </w:rPr>
        <w:t xml:space="preserve">7)</w:t>
      </w:r>
      <w:r>
        <w:rPr>
          <w:sz w:val="24"/>
        </w:rPr>
        <w:t xml:space="preserve"> </w:t>
      </w:r>
      <w:r>
        <w:rPr>
          <w:bCs/>
          <w:sz w:val="24"/>
        </w:rPr>
        <w:t xml:space="preserve">24h高浓度漂移：≤1.0%</w:t>
      </w:r>
      <w:r/>
    </w:p>
    <w:p>
      <w:pPr>
        <w:ind w:firstLine="480"/>
        <w:jc w:val="left"/>
        <w:spacing w:line="360" w:lineRule="auto"/>
        <w:rPr>
          <w:bCs/>
          <w:sz w:val="24"/>
        </w:rPr>
      </w:pPr>
      <w:r>
        <w:rPr>
          <w:bCs/>
          <w:sz w:val="24"/>
        </w:rPr>
        <w:t xml:space="preserve">8)</w:t>
      </w:r>
      <w:r>
        <w:rPr>
          <w:rFonts w:hint="eastAsia"/>
          <w:bCs/>
          <w:sz w:val="24"/>
        </w:rPr>
        <w:t xml:space="preserve"> </w:t>
      </w:r>
      <w:r>
        <w:rPr>
          <w:bCs/>
          <w:sz w:val="24"/>
        </w:rPr>
        <w:t xml:space="preserve">重复性：≤2.0%</w:t>
      </w:r>
      <w:r/>
    </w:p>
    <w:p>
      <w:pPr>
        <w:ind w:firstLine="480"/>
        <w:jc w:val="left"/>
        <w:spacing w:line="360" w:lineRule="auto"/>
        <w:rPr>
          <w:bCs/>
          <w:sz w:val="24"/>
        </w:rPr>
      </w:pPr>
      <w:r>
        <w:rPr>
          <w:bCs/>
          <w:sz w:val="24"/>
        </w:rPr>
        <w:t xml:space="preserve">9)</w:t>
      </w:r>
      <w:r>
        <w:rPr>
          <w:rFonts w:hint="eastAsia"/>
          <w:bCs/>
          <w:sz w:val="24"/>
        </w:rPr>
        <w:t xml:space="preserve"> </w:t>
      </w:r>
      <w:r>
        <w:rPr>
          <w:bCs/>
          <w:sz w:val="24"/>
        </w:rPr>
        <w:t xml:space="preserve">▲实际废水样品比对试验：≤0.2 mg/L（水样浓度&lt;2.0 mg/L时）；≤10.0%（水样浓度≥2.0 mg/L时），</w:t>
      </w:r>
      <w:r>
        <w:rPr>
          <w:sz w:val="24"/>
        </w:rPr>
        <w:t xml:space="preserve">具备抗浊度干扰功能，高浊度水体（200-350NTU）比对试验结果不超过8%</w:t>
      </w:r>
      <w:r>
        <w:rPr>
          <w:b/>
          <w:bCs/>
          <w:sz w:val="24"/>
        </w:rPr>
        <w:t xml:space="preserve">（</w:t>
      </w:r>
      <w:bookmarkStart w:id="110" w:name="OLE_LINK48"/>
      <w:r/>
      <w:bookmarkStart w:id="111" w:name="OLE_LINK49"/>
      <w:r>
        <w:rPr>
          <w:b/>
          <w:bCs/>
          <w:sz w:val="24"/>
        </w:rPr>
        <w:t xml:space="preserve">投标文件中须提供</w:t>
      </w:r>
      <w:bookmarkEnd w:id="110"/>
      <w:r/>
      <w:bookmarkEnd w:id="111"/>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0"/>
        <w:jc w:val="left"/>
        <w:spacing w:line="360" w:lineRule="auto"/>
        <w:rPr>
          <w:bCs/>
          <w:sz w:val="24"/>
        </w:rPr>
      </w:pPr>
      <w:r>
        <w:rPr>
          <w:bCs/>
          <w:sz w:val="24"/>
        </w:rPr>
        <w:t xml:space="preserve">10)</w:t>
      </w:r>
      <w:r>
        <w:rPr>
          <w:rFonts w:hint="eastAsia"/>
          <w:bCs/>
          <w:sz w:val="24"/>
        </w:rPr>
        <w:t xml:space="preserve"> </w:t>
      </w:r>
      <w:r>
        <w:rPr>
          <w:bCs/>
          <w:sz w:val="24"/>
        </w:rPr>
        <w:t xml:space="preserve">记忆效应：± 0.3 mg/L（80%→20%）；± 0.2 mg/L（20%→80%）</w:t>
      </w:r>
      <w:r/>
    </w:p>
    <w:p>
      <w:pPr>
        <w:ind w:firstLine="480"/>
        <w:jc w:val="left"/>
        <w:spacing w:line="360" w:lineRule="auto"/>
        <w:rPr>
          <w:sz w:val="24"/>
        </w:rPr>
      </w:pPr>
      <w:r>
        <w:rPr>
          <w:bCs/>
          <w:sz w:val="24"/>
        </w:rPr>
        <w:t xml:space="preserve">11)</w:t>
      </w:r>
      <w:r>
        <w:rPr>
          <w:rFonts w:hint="eastAsia"/>
          <w:bCs/>
          <w:sz w:val="24"/>
        </w:rPr>
        <w:t xml:space="preserve"> </w:t>
      </w:r>
      <w:r>
        <w:rPr>
          <w:sz w:val="24"/>
        </w:rPr>
        <w:t xml:space="preserve">▲仪器自身可实现自动水样测试、校准、标准样测试、标液核查、空白样测试、零点漂移测试、量程漂移测试功能；且有独立的零点核查、标准样、水样通道。</w:t>
      </w:r>
      <w:r/>
    </w:p>
    <w:p>
      <w:pPr>
        <w:ind w:firstLine="480"/>
        <w:jc w:val="left"/>
        <w:spacing w:line="360" w:lineRule="auto"/>
        <w:rPr>
          <w:bCs/>
          <w:sz w:val="24"/>
        </w:rPr>
      </w:pPr>
      <w:r>
        <w:rPr>
          <w:bCs/>
          <w:sz w:val="24"/>
        </w:rPr>
        <w:t xml:space="preserve">12)</w:t>
      </w:r>
      <w:r>
        <w:rPr>
          <w:rFonts w:hint="eastAsia"/>
          <w:bCs/>
          <w:sz w:val="24"/>
        </w:rPr>
        <w:t xml:space="preserve"> </w:t>
      </w:r>
      <w:r>
        <w:rPr>
          <w:bCs/>
          <w:sz w:val="24"/>
        </w:rPr>
        <w:t xml:space="preserve">▲</w:t>
      </w:r>
      <w:r>
        <w:rPr>
          <w:sz w:val="24"/>
        </w:rPr>
        <w:t xml:space="preserve">具有高、中、低量程智能选择、自动切换功能，支持超量程自动调档再测；且具备多量程标定功能，不同量程段标定匹配的校准曲线，保证校准曲线适用量程</w:t>
      </w:r>
      <w:r>
        <w:rPr>
          <w:bCs/>
          <w:sz w:val="24"/>
        </w:rPr>
        <w:t xml:space="preserve">。</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2"/>
        <w:spacing w:line="360" w:lineRule="auto"/>
        <w:rPr>
          <w:b/>
          <w:bCs/>
          <w:sz w:val="24"/>
        </w:rPr>
        <w:outlineLvl w:val="1"/>
      </w:pPr>
      <w:r>
        <w:rPr>
          <w:rFonts w:hint="eastAsia"/>
          <w:b/>
          <w:bCs/>
          <w:sz w:val="24"/>
        </w:rPr>
        <w:t xml:space="preserve">2.3</w:t>
      </w:r>
      <w:r>
        <w:rPr>
          <w:b/>
          <w:bCs/>
          <w:sz w:val="24"/>
        </w:rPr>
        <w:t xml:space="preserve">高锰酸盐指数水质自动分析仪技术要求</w:t>
      </w:r>
      <w:r/>
    </w:p>
    <w:p>
      <w:pPr>
        <w:numPr>
          <w:ilvl w:val="0"/>
          <w:numId w:val="7"/>
        </w:numPr>
        <w:ind w:left="0" w:firstLine="480"/>
        <w:jc w:val="left"/>
        <w:spacing w:line="360" w:lineRule="auto"/>
        <w:rPr>
          <w:bCs/>
          <w:sz w:val="24"/>
        </w:rPr>
      </w:pPr>
      <w:r>
        <w:rPr>
          <w:bCs/>
          <w:sz w:val="24"/>
        </w:rPr>
        <w:t xml:space="preserve">测量原理：高锰酸钾氧化光度法或滴定法；</w:t>
      </w:r>
      <w:r/>
    </w:p>
    <w:p>
      <w:pPr>
        <w:numPr>
          <w:ilvl w:val="0"/>
          <w:numId w:val="7"/>
        </w:numPr>
        <w:ind w:left="0" w:firstLine="480"/>
        <w:jc w:val="left"/>
        <w:spacing w:line="360" w:lineRule="auto"/>
        <w:rPr>
          <w:bCs/>
          <w:sz w:val="24"/>
        </w:rPr>
      </w:pPr>
      <w:r>
        <w:rPr>
          <w:bCs/>
          <w:sz w:val="24"/>
        </w:rPr>
        <w:t xml:space="preserve">测量范围：0～20mg/L，量程可调</w:t>
      </w:r>
      <w:r/>
    </w:p>
    <w:p>
      <w:pPr>
        <w:numPr>
          <w:ilvl w:val="0"/>
          <w:numId w:val="7"/>
        </w:numPr>
        <w:ind w:left="0" w:firstLine="480"/>
        <w:jc w:val="left"/>
        <w:spacing w:line="360" w:lineRule="auto"/>
        <w:rPr>
          <w:bCs/>
          <w:sz w:val="24"/>
        </w:rPr>
      </w:pPr>
      <w:r>
        <w:rPr>
          <w:bCs/>
          <w:sz w:val="24"/>
        </w:rPr>
        <w:t xml:space="preserve">零点漂移：±5%</w:t>
      </w:r>
      <w:r/>
    </w:p>
    <w:p>
      <w:pPr>
        <w:numPr>
          <w:ilvl w:val="0"/>
          <w:numId w:val="7"/>
        </w:numPr>
        <w:ind w:left="0" w:firstLine="480"/>
        <w:jc w:val="left"/>
        <w:spacing w:line="360" w:lineRule="auto"/>
        <w:rPr>
          <w:bCs/>
          <w:sz w:val="24"/>
        </w:rPr>
      </w:pPr>
      <w:r>
        <w:rPr>
          <w:bCs/>
          <w:sz w:val="24"/>
        </w:rPr>
        <w:t xml:space="preserve">量程漂移：±5%；</w:t>
      </w:r>
      <w:r/>
    </w:p>
    <w:p>
      <w:pPr>
        <w:numPr>
          <w:ilvl w:val="0"/>
          <w:numId w:val="7"/>
        </w:numPr>
        <w:ind w:left="0" w:firstLine="480"/>
        <w:jc w:val="left"/>
        <w:spacing w:line="360" w:lineRule="auto"/>
        <w:rPr>
          <w:bCs/>
          <w:sz w:val="24"/>
        </w:rPr>
      </w:pPr>
      <w:r>
        <w:rPr>
          <w:bCs/>
          <w:sz w:val="24"/>
        </w:rPr>
        <w:t xml:space="preserve">葡萄糖试验：±5%（测量误差）</w:t>
      </w:r>
      <w:r/>
    </w:p>
    <w:p>
      <w:pPr>
        <w:numPr>
          <w:ilvl w:val="0"/>
          <w:numId w:val="7"/>
        </w:numPr>
        <w:ind w:left="0" w:firstLine="480"/>
        <w:jc w:val="left"/>
        <w:spacing w:line="360" w:lineRule="auto"/>
        <w:rPr>
          <w:bCs/>
          <w:sz w:val="24"/>
        </w:rPr>
      </w:pPr>
      <w:r>
        <w:rPr>
          <w:bCs/>
          <w:sz w:val="24"/>
        </w:rPr>
        <w:t xml:space="preserve">重复性：≤5%</w:t>
      </w:r>
      <w:r/>
    </w:p>
    <w:p>
      <w:pPr>
        <w:numPr>
          <w:ilvl w:val="0"/>
          <w:numId w:val="7"/>
        </w:numPr>
        <w:ind w:left="0" w:firstLine="480"/>
        <w:jc w:val="left"/>
        <w:spacing w:line="360" w:lineRule="auto"/>
        <w:rPr>
          <w:bCs/>
          <w:sz w:val="24"/>
        </w:rPr>
      </w:pPr>
      <w:r>
        <w:rPr>
          <w:bCs/>
          <w:sz w:val="24"/>
        </w:rPr>
        <w:t xml:space="preserve">电压稳定性：±5%</w:t>
      </w:r>
      <w:r/>
    </w:p>
    <w:p>
      <w:pPr>
        <w:numPr>
          <w:ilvl w:val="0"/>
          <w:numId w:val="7"/>
        </w:numPr>
        <w:ind w:left="0" w:firstLine="480"/>
        <w:jc w:val="left"/>
        <w:spacing w:line="360" w:lineRule="auto"/>
        <w:rPr>
          <w:bCs/>
          <w:sz w:val="24"/>
        </w:rPr>
      </w:pPr>
      <w:r>
        <w:rPr>
          <w:bCs/>
          <w:sz w:val="24"/>
        </w:rPr>
        <w:t xml:space="preserve">MTBF：≥1440 h/次</w:t>
      </w:r>
      <w:r/>
    </w:p>
    <w:p>
      <w:pPr>
        <w:ind w:firstLine="480"/>
        <w:jc w:val="left"/>
        <w:spacing w:line="360" w:lineRule="auto"/>
        <w:rPr>
          <w:bCs/>
          <w:sz w:val="24"/>
        </w:rPr>
      </w:pPr>
      <w:r>
        <w:rPr>
          <w:bCs/>
          <w:sz w:val="24"/>
        </w:rPr>
        <w:t xml:space="preserve">9)</w:t>
      </w:r>
      <w:r>
        <w:rPr>
          <w:bCs/>
          <w:sz w:val="24"/>
        </w:rPr>
        <w:tab/>
      </w:r>
      <w:r>
        <w:rPr>
          <w:bCs/>
          <w:sz w:val="24"/>
        </w:rPr>
        <w:t xml:space="preserve">▲</w:t>
      </w:r>
      <w:r>
        <w:rPr>
          <w:sz w:val="24"/>
        </w:rPr>
        <w:t xml:space="preserve">具有高低监测量程自动切换功能，量程切换时不影响数据读取与输出；可在量程范围内自动完成标准溶液配制，实现质控、盲样考核自动化，同时支持多点线性测试、加标回收测试的自动运行与远程操作。</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0"/>
        <w:jc w:val="left"/>
        <w:spacing w:line="360" w:lineRule="auto"/>
        <w:rPr>
          <w:bCs/>
          <w:sz w:val="24"/>
        </w:rPr>
      </w:pPr>
      <w:r>
        <w:rPr>
          <w:bCs/>
          <w:sz w:val="24"/>
        </w:rPr>
        <w:t xml:space="preserve">10)▲</w:t>
      </w:r>
      <w:r>
        <w:rPr>
          <w:sz w:val="24"/>
        </w:rPr>
        <w:t xml:space="preserve">试剂余量监控：具备纯水、试剂、核查样和标样等余量监控和提示报警功能：具备监测频次加密设置功能，可加密频次到1次/小时</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numPr>
          <w:ilvl w:val="0"/>
          <w:numId w:val="8"/>
        </w:numPr>
        <w:ind w:firstLine="480"/>
        <w:jc w:val="left"/>
        <w:spacing w:line="360" w:lineRule="auto"/>
        <w:tabs>
          <w:tab w:val="left" w:pos="312" w:leader="none"/>
        </w:tabs>
        <w:rPr>
          <w:bCs/>
          <w:sz w:val="24"/>
        </w:rPr>
      </w:pPr>
      <w:r>
        <w:rPr>
          <w:bCs/>
          <w:sz w:val="24"/>
        </w:rPr>
        <w:t xml:space="preserve">▲液路气泡清扰：具备液体检测功能，可对仪器运行过程中液路状态进行实时监控，识别气泡并消除气泡干扰对定量准确度的影响</w:t>
      </w:r>
      <w:r>
        <w:rPr>
          <w:sz w:val="24"/>
        </w:rPr>
        <w:t xml:space="preserve">。</w:t>
      </w:r>
      <w:r>
        <w:rPr>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numPr>
          <w:ilvl w:val="0"/>
          <w:numId w:val="8"/>
        </w:numPr>
        <w:ind w:firstLine="480"/>
        <w:jc w:val="left"/>
        <w:spacing w:line="360" w:lineRule="auto"/>
        <w:tabs>
          <w:tab w:val="left" w:pos="312" w:leader="none"/>
        </w:tabs>
        <w:rPr>
          <w:rFonts w:ascii="宋体" w:hAnsi="宋体" w:cs="宋体"/>
          <w:sz w:val="24"/>
        </w:rPr>
      </w:pPr>
      <w:r>
        <w:rPr>
          <w:sz w:val="24"/>
        </w:rPr>
        <w:t xml:space="preserve">▲仪器自身可实现自动水样测试、校准、标准样测试、标液核查、空白样测试、零点漂移测试、量程漂移测试功能；且有独立的零点核查、标准样、水样通道。</w:t>
      </w:r>
      <w:r/>
    </w:p>
    <w:p>
      <w:pPr>
        <w:numPr>
          <w:ilvl w:val="0"/>
          <w:numId w:val="8"/>
        </w:numPr>
        <w:ind w:firstLine="480"/>
        <w:jc w:val="left"/>
        <w:spacing w:line="360" w:lineRule="auto"/>
        <w:tabs>
          <w:tab w:val="left" w:pos="312" w:leader="none"/>
        </w:tabs>
        <w:rPr>
          <w:bCs/>
          <w:sz w:val="24"/>
        </w:rPr>
      </w:pPr>
      <w:r>
        <w:rPr>
          <w:rFonts w:hint="eastAsia"/>
          <w:bCs/>
          <w:sz w:val="24"/>
        </w:rPr>
        <w:t xml:space="preserve">实际水样比对测试：</w:t>
      </w:r>
      <w:r>
        <w:rPr>
          <w:rFonts w:hint="eastAsia" w:ascii="宋体" w:hAnsi="宋体" w:cs="宋体"/>
          <w:sz w:val="24"/>
        </w:rPr>
        <w:t xml:space="preserve">≤±20%（实验室结果在＞1.5mg/L范围内时），≤±30%（实验室结果在0.5-1.5mg/L范围内时），≤±40%（实验室结果在≤0.5mg/L范围内时）</w:t>
      </w:r>
      <w:r/>
    </w:p>
    <w:p>
      <w:pPr>
        <w:ind w:firstLine="482"/>
        <w:spacing w:line="360" w:lineRule="auto"/>
        <w:rPr>
          <w:b/>
          <w:bCs/>
          <w:sz w:val="24"/>
        </w:rPr>
        <w:outlineLvl w:val="1"/>
      </w:pPr>
      <w:r>
        <w:rPr>
          <w:rFonts w:hint="eastAsia"/>
          <w:b/>
          <w:bCs/>
          <w:sz w:val="24"/>
        </w:rPr>
        <w:t xml:space="preserve">2.4</w:t>
      </w:r>
      <w:r>
        <w:rPr>
          <w:b/>
          <w:bCs/>
          <w:sz w:val="24"/>
        </w:rPr>
        <w:t xml:space="preserve">总磷水质自动分析仪技术要求</w:t>
      </w:r>
      <w:r/>
    </w:p>
    <w:p>
      <w:pPr>
        <w:numPr>
          <w:ilvl w:val="0"/>
          <w:numId w:val="9"/>
        </w:numPr>
        <w:ind w:left="0" w:firstLine="480"/>
        <w:jc w:val="left"/>
        <w:spacing w:line="360" w:lineRule="auto"/>
        <w:rPr>
          <w:bCs/>
          <w:sz w:val="24"/>
        </w:rPr>
      </w:pPr>
      <w:r>
        <w:rPr>
          <w:bCs/>
          <w:sz w:val="24"/>
        </w:rPr>
        <w:t xml:space="preserve">测定方法：过硫酸钾消解-钼酸铵分光光度法；</w:t>
      </w:r>
      <w:r/>
    </w:p>
    <w:p>
      <w:pPr>
        <w:numPr>
          <w:ilvl w:val="0"/>
          <w:numId w:val="9"/>
        </w:numPr>
        <w:ind w:left="0" w:firstLine="480"/>
        <w:jc w:val="left"/>
        <w:spacing w:line="360" w:lineRule="auto"/>
        <w:rPr>
          <w:bCs/>
          <w:sz w:val="24"/>
        </w:rPr>
      </w:pPr>
      <w:r>
        <w:rPr>
          <w:bCs/>
          <w:sz w:val="24"/>
        </w:rPr>
        <w:t xml:space="preserve">测量范围：0～10mg/L（可扩展）；</w:t>
      </w:r>
      <w:r/>
    </w:p>
    <w:p>
      <w:pPr>
        <w:numPr>
          <w:ilvl w:val="0"/>
          <w:numId w:val="9"/>
        </w:numPr>
        <w:ind w:left="0" w:firstLine="480"/>
        <w:jc w:val="left"/>
        <w:spacing w:line="360" w:lineRule="auto"/>
        <w:rPr>
          <w:bCs/>
          <w:sz w:val="24"/>
        </w:rPr>
      </w:pPr>
      <w:r>
        <w:rPr>
          <w:sz w:val="24"/>
        </w:rPr>
        <w:t xml:space="preserve">直线性：±1%</w:t>
      </w:r>
      <w:r>
        <w:rPr>
          <w:bCs/>
          <w:sz w:val="24"/>
        </w:rPr>
        <w:t xml:space="preserve">；</w:t>
      </w:r>
      <w:r/>
    </w:p>
    <w:p>
      <w:pPr>
        <w:numPr>
          <w:ilvl w:val="0"/>
          <w:numId w:val="9"/>
        </w:numPr>
        <w:ind w:left="0" w:firstLine="480"/>
        <w:jc w:val="left"/>
        <w:spacing w:line="360" w:lineRule="auto"/>
        <w:rPr>
          <w:bCs/>
          <w:sz w:val="24"/>
        </w:rPr>
      </w:pPr>
      <w:r>
        <w:rPr>
          <w:bCs/>
          <w:sz w:val="24"/>
        </w:rPr>
        <w:t xml:space="preserve">重复性：≤5%；</w:t>
      </w:r>
      <w:r/>
    </w:p>
    <w:p>
      <w:pPr>
        <w:numPr>
          <w:ilvl w:val="0"/>
          <w:numId w:val="9"/>
        </w:numPr>
        <w:ind w:left="0" w:firstLine="480"/>
        <w:jc w:val="left"/>
        <w:spacing w:line="360" w:lineRule="auto"/>
        <w:rPr>
          <w:bCs/>
          <w:sz w:val="24"/>
        </w:rPr>
      </w:pPr>
      <w:r>
        <w:rPr>
          <w:bCs/>
          <w:sz w:val="24"/>
        </w:rPr>
        <w:t xml:space="preserve">准确度：±10%；</w:t>
      </w:r>
      <w:r/>
    </w:p>
    <w:p>
      <w:pPr>
        <w:numPr>
          <w:ilvl w:val="0"/>
          <w:numId w:val="9"/>
        </w:numPr>
        <w:ind w:left="0" w:firstLine="480"/>
        <w:jc w:val="left"/>
        <w:spacing w:line="360" w:lineRule="auto"/>
        <w:rPr>
          <w:bCs/>
          <w:sz w:val="24"/>
        </w:rPr>
      </w:pPr>
      <w:r>
        <w:rPr>
          <w:bCs/>
          <w:sz w:val="24"/>
        </w:rPr>
        <w:t xml:space="preserve">零点漂移：±1%；</w:t>
      </w:r>
      <w:r/>
    </w:p>
    <w:p>
      <w:pPr>
        <w:numPr>
          <w:ilvl w:val="0"/>
          <w:numId w:val="9"/>
        </w:numPr>
        <w:ind w:left="0" w:firstLine="480"/>
        <w:jc w:val="left"/>
        <w:spacing w:line="360" w:lineRule="auto"/>
        <w:rPr>
          <w:bCs/>
          <w:sz w:val="24"/>
        </w:rPr>
      </w:pPr>
      <w:r>
        <w:rPr>
          <w:bCs/>
          <w:sz w:val="24"/>
        </w:rPr>
        <w:t xml:space="preserve">量程漂移：±1% </w:t>
      </w:r>
      <w:r/>
    </w:p>
    <w:p>
      <w:pPr>
        <w:numPr>
          <w:ilvl w:val="0"/>
          <w:numId w:val="9"/>
        </w:numPr>
        <w:ind w:left="0" w:firstLine="480"/>
        <w:jc w:val="left"/>
        <w:spacing w:line="360" w:lineRule="auto"/>
        <w:rPr>
          <w:bCs/>
          <w:sz w:val="24"/>
        </w:rPr>
      </w:pPr>
      <w:r>
        <w:rPr>
          <w:bCs/>
          <w:sz w:val="24"/>
        </w:rPr>
        <w:t xml:space="preserve">平均无故障连续运行时间：≥1440h/次；</w:t>
      </w:r>
      <w:r/>
    </w:p>
    <w:p>
      <w:pPr>
        <w:numPr>
          <w:ilvl w:val="0"/>
          <w:numId w:val="9"/>
        </w:numPr>
        <w:ind w:left="0" w:firstLine="480"/>
        <w:jc w:val="left"/>
        <w:spacing w:line="360" w:lineRule="auto"/>
        <w:rPr>
          <w:bCs/>
          <w:sz w:val="24"/>
        </w:rPr>
      </w:pPr>
      <w:r>
        <w:rPr>
          <w:bCs/>
          <w:sz w:val="24"/>
        </w:rPr>
        <w:t xml:space="preserve">实际水样比对测试：</w:t>
      </w:r>
      <w:r>
        <w:rPr>
          <w:rFonts w:hint="eastAsia"/>
          <w:bCs/>
          <w:sz w:val="24"/>
        </w:rPr>
        <w:t xml:space="preserve">当湖库总磷的实验室结果与自动站结果均低于0.05mg/L时，比对合格，</w:t>
      </w:r>
      <w:r>
        <w:rPr>
          <w:bCs/>
          <w:sz w:val="24"/>
        </w:rPr>
        <w:t xml:space="preserve">≤</w:t>
      </w:r>
      <w:r>
        <w:rPr>
          <w:rFonts w:hint="eastAsia"/>
          <w:bCs/>
          <w:sz w:val="24"/>
        </w:rPr>
        <w:t xml:space="preserve">3</w:t>
      </w:r>
      <w:r>
        <w:rPr>
          <w:bCs/>
          <w:sz w:val="24"/>
        </w:rPr>
        <w:t xml:space="preserve">0%</w:t>
      </w:r>
      <w:r>
        <w:rPr>
          <w:rFonts w:hint="eastAsia"/>
          <w:bCs/>
          <w:sz w:val="24"/>
        </w:rPr>
        <w:t xml:space="preserve">（实验室结果在0.05-0.1mg/L），</w:t>
      </w:r>
      <w:r>
        <w:rPr>
          <w:bCs/>
          <w:sz w:val="24"/>
        </w:rPr>
        <w:t xml:space="preserve">≤</w:t>
      </w:r>
      <w:r>
        <w:rPr>
          <w:rFonts w:hint="eastAsia"/>
          <w:bCs/>
          <w:sz w:val="24"/>
        </w:rPr>
        <w:t xml:space="preserve">2</w:t>
      </w:r>
      <w:r>
        <w:rPr>
          <w:bCs/>
          <w:sz w:val="24"/>
        </w:rPr>
        <w:t xml:space="preserve">0%</w:t>
      </w:r>
      <w:r>
        <w:rPr>
          <w:rFonts w:hint="eastAsia"/>
          <w:bCs/>
          <w:sz w:val="24"/>
        </w:rPr>
        <w:t xml:space="preserve">（实验室结果＞0.1mg/L）</w:t>
      </w:r>
      <w:r>
        <w:rPr>
          <w:bCs/>
          <w:sz w:val="24"/>
        </w:rPr>
        <w:t xml:space="preserve">；</w:t>
      </w:r>
      <w:r/>
    </w:p>
    <w:p>
      <w:pPr>
        <w:ind w:firstLine="480"/>
        <w:jc w:val="left"/>
        <w:spacing w:line="360" w:lineRule="auto"/>
        <w:rPr>
          <w:sz w:val="24"/>
        </w:rPr>
      </w:pPr>
      <w:r>
        <w:rPr>
          <w:sz w:val="24"/>
        </w:rPr>
        <w:t xml:space="preserve">10)模拟输出及通讯：模拟输出、RS232/ RS485；</w:t>
      </w:r>
      <w:r/>
    </w:p>
    <w:p>
      <w:pPr>
        <w:ind w:firstLine="480"/>
        <w:jc w:val="left"/>
        <w:spacing w:line="360" w:lineRule="auto"/>
        <w:rPr>
          <w:sz w:val="24"/>
        </w:rPr>
      </w:pPr>
      <w:r>
        <w:rPr>
          <w:sz w:val="24"/>
        </w:rPr>
        <w:t xml:space="preserve">11)▲实际水样比对测试：高浓度水样比对试验结果不超过8%，具备抗浊度干扰功能，高浊度水体（200-350NTU）比对试验结果不超过10%，需对不同浊度的水体进行实际水样测试，测试样本数不少于15个</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0"/>
        <w:jc w:val="left"/>
        <w:spacing w:line="360" w:lineRule="auto"/>
        <w:rPr>
          <w:b/>
          <w:sz w:val="24"/>
        </w:rPr>
      </w:pPr>
      <w:r>
        <w:rPr>
          <w:sz w:val="24"/>
        </w:rPr>
        <w:t xml:space="preserve">12)▲具备监测频次加密设置功能，有应急需要时可加密频次到1次/小时</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0"/>
        <w:jc w:val="left"/>
        <w:spacing w:line="360" w:lineRule="auto"/>
        <w:rPr>
          <w:sz w:val="24"/>
        </w:rPr>
      </w:pPr>
      <w:r>
        <w:rPr>
          <w:sz w:val="24"/>
        </w:rPr>
        <w:t xml:space="preserve">13)▲仪器自身可实现自动水样测试、校准、标准样测试、标液核查、空白样测试、零点漂移测试、量程漂移测试功能；且有独立的零点核查、标准样、水样通道。</w:t>
      </w:r>
      <w:r/>
    </w:p>
    <w:p>
      <w:pPr>
        <w:ind w:firstLine="480"/>
        <w:jc w:val="left"/>
        <w:spacing w:line="360" w:lineRule="auto"/>
        <w:rPr>
          <w:sz w:val="24"/>
        </w:rPr>
      </w:pPr>
      <w:r>
        <w:rPr>
          <w:sz w:val="24"/>
        </w:rPr>
        <w:t xml:space="preserve">14)▲计量进样：光电计量传感器与自驱动柱察泵组合定量取样</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2"/>
        <w:spacing w:line="360" w:lineRule="auto"/>
        <w:rPr>
          <w:b/>
          <w:bCs/>
          <w:sz w:val="24"/>
        </w:rPr>
        <w:outlineLvl w:val="1"/>
      </w:pPr>
      <w:r>
        <w:rPr>
          <w:rFonts w:hint="eastAsia"/>
          <w:b/>
          <w:bCs/>
          <w:sz w:val="24"/>
        </w:rPr>
        <w:t xml:space="preserve">2.5</w:t>
      </w:r>
      <w:r>
        <w:rPr>
          <w:b/>
          <w:bCs/>
          <w:sz w:val="24"/>
        </w:rPr>
        <w:t xml:space="preserve">总氮水质自动分析仪技术要求</w:t>
      </w:r>
      <w:r/>
    </w:p>
    <w:p>
      <w:pPr>
        <w:numPr>
          <w:ilvl w:val="0"/>
          <w:numId w:val="10"/>
        </w:numPr>
        <w:ind w:left="0" w:firstLine="480"/>
        <w:jc w:val="left"/>
        <w:spacing w:line="360" w:lineRule="auto"/>
        <w:rPr>
          <w:bCs/>
          <w:sz w:val="24"/>
        </w:rPr>
      </w:pPr>
      <w:r>
        <w:rPr>
          <w:bCs/>
          <w:sz w:val="24"/>
        </w:rPr>
        <w:t xml:space="preserve">测定方法：碱性过硫酸钾消解-紫外分光光度法；</w:t>
      </w:r>
      <w:r/>
    </w:p>
    <w:p>
      <w:pPr>
        <w:numPr>
          <w:ilvl w:val="0"/>
          <w:numId w:val="10"/>
        </w:numPr>
        <w:ind w:left="0" w:firstLine="480"/>
        <w:jc w:val="left"/>
        <w:spacing w:line="360" w:lineRule="auto"/>
        <w:rPr>
          <w:bCs/>
          <w:sz w:val="24"/>
        </w:rPr>
      </w:pPr>
      <w:r>
        <w:rPr>
          <w:bCs/>
          <w:sz w:val="24"/>
        </w:rPr>
        <w:t xml:space="preserve">测量范围：0～20 mg/L（可扩展）；</w:t>
      </w:r>
      <w:r/>
    </w:p>
    <w:p>
      <w:pPr>
        <w:numPr>
          <w:ilvl w:val="0"/>
          <w:numId w:val="10"/>
        </w:numPr>
        <w:ind w:left="0" w:firstLine="480"/>
        <w:jc w:val="left"/>
        <w:spacing w:line="360" w:lineRule="auto"/>
        <w:rPr>
          <w:bCs/>
          <w:sz w:val="24"/>
        </w:rPr>
      </w:pPr>
      <w:r>
        <w:rPr>
          <w:sz w:val="24"/>
        </w:rPr>
        <w:t xml:space="preserve">示值误差：标准溶液≤2.0mg/L，不超过±0.2mg/L, 标准溶液＞2.0mg/L,不超过±10%</w:t>
      </w:r>
      <w:r>
        <w:rPr>
          <w:bCs/>
          <w:sz w:val="24"/>
        </w:rPr>
        <w:t xml:space="preserve">； </w:t>
      </w:r>
      <w:r/>
    </w:p>
    <w:p>
      <w:pPr>
        <w:numPr>
          <w:ilvl w:val="0"/>
          <w:numId w:val="10"/>
        </w:numPr>
        <w:ind w:left="0" w:firstLine="480"/>
        <w:jc w:val="left"/>
        <w:spacing w:line="360" w:lineRule="auto"/>
        <w:rPr>
          <w:bCs/>
          <w:sz w:val="24"/>
        </w:rPr>
      </w:pPr>
      <w:r>
        <w:rPr>
          <w:bCs/>
          <w:sz w:val="24"/>
        </w:rPr>
        <w:t xml:space="preserve">重复性：±5%；</w:t>
      </w:r>
      <w:r/>
    </w:p>
    <w:p>
      <w:pPr>
        <w:numPr>
          <w:ilvl w:val="0"/>
          <w:numId w:val="10"/>
        </w:numPr>
        <w:ind w:left="0" w:firstLine="480"/>
        <w:jc w:val="left"/>
        <w:spacing w:line="360" w:lineRule="auto"/>
        <w:rPr>
          <w:bCs/>
          <w:sz w:val="24"/>
        </w:rPr>
      </w:pPr>
      <w:r>
        <w:rPr>
          <w:bCs/>
          <w:sz w:val="24"/>
        </w:rPr>
        <w:t xml:space="preserve">准确度：±10%；</w:t>
      </w:r>
      <w:r/>
    </w:p>
    <w:p>
      <w:pPr>
        <w:numPr>
          <w:ilvl w:val="0"/>
          <w:numId w:val="10"/>
        </w:numPr>
        <w:ind w:left="0" w:firstLine="480"/>
        <w:jc w:val="left"/>
        <w:spacing w:line="360" w:lineRule="auto"/>
        <w:rPr>
          <w:bCs/>
          <w:sz w:val="24"/>
        </w:rPr>
      </w:pPr>
      <w:r>
        <w:rPr>
          <w:bCs/>
          <w:sz w:val="24"/>
        </w:rPr>
        <w:t xml:space="preserve">零点漂移：±5%</w:t>
      </w:r>
      <w:r/>
    </w:p>
    <w:p>
      <w:pPr>
        <w:numPr>
          <w:ilvl w:val="0"/>
          <w:numId w:val="10"/>
        </w:numPr>
        <w:ind w:left="0" w:firstLine="480"/>
        <w:jc w:val="left"/>
        <w:spacing w:line="360" w:lineRule="auto"/>
        <w:rPr>
          <w:bCs/>
          <w:sz w:val="24"/>
        </w:rPr>
      </w:pPr>
      <w:r>
        <w:rPr>
          <w:bCs/>
          <w:sz w:val="24"/>
        </w:rPr>
        <w:t xml:space="preserve">量程漂移：±5%</w:t>
      </w:r>
      <w:r/>
    </w:p>
    <w:p>
      <w:pPr>
        <w:numPr>
          <w:ilvl w:val="0"/>
          <w:numId w:val="10"/>
        </w:numPr>
        <w:ind w:left="0" w:firstLine="480"/>
        <w:jc w:val="left"/>
        <w:spacing w:line="360" w:lineRule="auto"/>
        <w:rPr>
          <w:bCs/>
          <w:sz w:val="24"/>
        </w:rPr>
      </w:pPr>
      <w:r>
        <w:rPr>
          <w:bCs/>
          <w:sz w:val="24"/>
        </w:rPr>
        <w:t xml:space="preserve">平均无故障连续运行时间：≥1440h/次；</w:t>
      </w:r>
      <w:r/>
    </w:p>
    <w:p>
      <w:pPr>
        <w:numPr>
          <w:ilvl w:val="0"/>
          <w:numId w:val="10"/>
        </w:numPr>
        <w:ind w:left="0" w:firstLine="480"/>
        <w:jc w:val="left"/>
        <w:spacing w:line="360" w:lineRule="auto"/>
        <w:rPr>
          <w:bCs/>
          <w:sz w:val="24"/>
        </w:rPr>
      </w:pPr>
      <w:r>
        <w:rPr>
          <w:bCs/>
          <w:sz w:val="24"/>
        </w:rPr>
        <w:t xml:space="preserve">实际水样比对测试：≤10%；</w:t>
      </w:r>
      <w:r/>
    </w:p>
    <w:p>
      <w:pPr>
        <w:ind w:firstLine="480"/>
        <w:jc w:val="left"/>
        <w:spacing w:line="360" w:lineRule="auto"/>
        <w:rPr>
          <w:sz w:val="24"/>
        </w:rPr>
      </w:pPr>
      <w:r>
        <w:rPr>
          <w:sz w:val="24"/>
        </w:rPr>
        <w:t xml:space="preserve">10)▲实际水样比对测试：高浓度水样比对试验结果不超过8%，具备抗浊度干扰功能，高浊度水体（200-350NTU）比对试验结果不超过10%，需对不同浊度的水体进行实际水样测试，测试样本数不少于15个</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ind w:firstLine="480"/>
        <w:jc w:val="left"/>
        <w:spacing w:line="360" w:lineRule="auto"/>
        <w:rPr>
          <w:bCs/>
          <w:sz w:val="24"/>
        </w:rPr>
      </w:pPr>
      <w:r>
        <w:rPr>
          <w:sz w:val="24"/>
        </w:rPr>
        <w:t xml:space="preserve">11)▲具有高低监测量程自动切换功能，量程切换时不影响数据读取与输出；可在量程范围内自动完成标准溶液配制，实现质控、盲样考核自动化，同时支持多点线性测试、加标回收测试的自动运行与远程操作。</w:t>
      </w:r>
      <w:r>
        <w:rPr>
          <w:b/>
          <w:bCs/>
          <w:sz w:val="24"/>
        </w:rPr>
        <w:t xml:space="preserve">（</w:t>
      </w:r>
      <w:r>
        <w:rPr>
          <w:rFonts w:hint="eastAsia"/>
          <w:b/>
          <w:bCs/>
          <w:sz w:val="24"/>
        </w:rPr>
        <w:t xml:space="preserve">投标文件中须提供</w:t>
      </w:r>
      <w:r>
        <w:rPr>
          <w:b/>
          <w:sz w:val="24"/>
        </w:rPr>
        <w:t xml:space="preserve">环境监测仪器质量监督检验中心检测报告或省级（含省、自治区、直辖市）及以上计量检测单位报告证明</w:t>
      </w:r>
      <w:r>
        <w:rPr>
          <w:b/>
          <w:bCs/>
          <w:sz w:val="24"/>
        </w:rPr>
        <w:t xml:space="preserve">（检测报告中需体现此功能））</w:t>
      </w:r>
      <w:r/>
    </w:p>
    <w:p>
      <w:pPr>
        <w:numPr>
          <w:ilvl w:val="0"/>
          <w:numId w:val="8"/>
        </w:numPr>
        <w:ind w:firstLine="480"/>
        <w:jc w:val="left"/>
        <w:spacing w:line="360" w:lineRule="auto"/>
        <w:tabs>
          <w:tab w:val="left" w:pos="312" w:leader="none"/>
        </w:tabs>
        <w:rPr>
          <w:sz w:val="24"/>
        </w:rPr>
      </w:pPr>
      <w:r/>
      <w:bookmarkStart w:id="112" w:name="OLE_LINK50"/>
      <w:r>
        <w:rPr>
          <w:sz w:val="24"/>
        </w:rPr>
        <w:t xml:space="preserve">▲</w:t>
      </w:r>
      <w:bookmarkEnd w:id="112"/>
      <w:r>
        <w:rPr>
          <w:sz w:val="24"/>
        </w:rPr>
        <w:t xml:space="preserve">仪器自身可实现自动水样测试、校准、标准样测试、标液核查、空白样测试、零点漂移测试、量程漂移测试功能；且有独立的零点核查、标准样、水样通道。</w:t>
      </w:r>
      <w:r/>
    </w:p>
    <w:p>
      <w:pPr>
        <w:ind w:firstLine="482"/>
        <w:spacing w:line="360" w:lineRule="auto"/>
        <w:rPr>
          <w:b/>
          <w:bCs/>
          <w:sz w:val="24"/>
        </w:rPr>
        <w:outlineLvl w:val="1"/>
      </w:pPr>
      <w:r>
        <w:rPr>
          <w:rFonts w:hint="eastAsia"/>
          <w:b/>
          <w:bCs/>
          <w:sz w:val="24"/>
        </w:rPr>
        <w:t xml:space="preserve">2.6</w:t>
      </w:r>
      <w:r>
        <w:rPr>
          <w:b/>
          <w:bCs/>
          <w:sz w:val="24"/>
        </w:rPr>
        <w:t xml:space="preserve">在线叶绿素a分析仪技术要求</w:t>
      </w:r>
      <w:r/>
    </w:p>
    <w:p>
      <w:pPr>
        <w:ind w:firstLine="480"/>
        <w:jc w:val="left"/>
        <w:spacing w:line="360" w:lineRule="auto"/>
        <w:rPr>
          <w:bCs/>
          <w:sz w:val="24"/>
        </w:rPr>
      </w:pPr>
      <w:r>
        <w:rPr>
          <w:bCs/>
          <w:sz w:val="24"/>
        </w:rPr>
        <w:t xml:space="preserve">1）测定原理：荧光法</w:t>
      </w:r>
      <w:r/>
    </w:p>
    <w:p>
      <w:pPr>
        <w:ind w:firstLine="480"/>
        <w:jc w:val="left"/>
        <w:spacing w:line="360" w:lineRule="auto"/>
        <w:rPr>
          <w:bCs/>
          <w:sz w:val="24"/>
        </w:rPr>
      </w:pPr>
      <w:r>
        <w:rPr>
          <w:bCs/>
          <w:sz w:val="24"/>
        </w:rPr>
        <w:t xml:space="preserve">2）测量范围：</w:t>
      </w:r>
      <w:r>
        <w:rPr>
          <w:sz w:val="24"/>
        </w:rPr>
        <w:t xml:space="preserve">0～500 μg/L</w:t>
      </w:r>
      <w:r/>
    </w:p>
    <w:p>
      <w:pPr>
        <w:ind w:firstLine="480"/>
        <w:jc w:val="left"/>
        <w:spacing w:line="360" w:lineRule="auto"/>
        <w:rPr>
          <w:bCs/>
          <w:sz w:val="24"/>
        </w:rPr>
      </w:pPr>
      <w:r>
        <w:rPr>
          <w:bCs/>
          <w:sz w:val="24"/>
        </w:rPr>
        <w:t xml:space="preserve">3）</w:t>
      </w:r>
      <w:r>
        <w:rPr>
          <w:sz w:val="24"/>
        </w:rPr>
        <w:t xml:space="preserve">漂移（零点、量程）</w:t>
      </w:r>
      <w:r>
        <w:rPr>
          <w:bCs/>
          <w:sz w:val="24"/>
        </w:rPr>
        <w:t xml:space="preserve">：</w:t>
      </w:r>
      <w:r>
        <w:rPr>
          <w:sz w:val="24"/>
        </w:rPr>
        <w:t xml:space="preserve">±5%FS</w:t>
      </w:r>
      <w:r/>
    </w:p>
    <w:p>
      <w:pPr>
        <w:ind w:firstLine="480"/>
        <w:jc w:val="left"/>
        <w:spacing w:line="360" w:lineRule="auto"/>
        <w:rPr>
          <w:sz w:val="24"/>
        </w:rPr>
      </w:pPr>
      <w:r>
        <w:rPr>
          <w:bCs/>
          <w:sz w:val="24"/>
        </w:rPr>
        <w:t xml:space="preserve">4）</w:t>
      </w:r>
      <w:r>
        <w:rPr>
          <w:sz w:val="24"/>
        </w:rPr>
        <w:t xml:space="preserve">重复性</w:t>
      </w:r>
      <w:r>
        <w:rPr>
          <w:bCs/>
          <w:sz w:val="24"/>
        </w:rPr>
        <w:t xml:space="preserve">：</w:t>
      </w:r>
      <w:r>
        <w:rPr>
          <w:sz w:val="24"/>
        </w:rPr>
        <w:t xml:space="preserve">≤5%；检出限：0.1μg/L</w:t>
      </w:r>
      <w:r/>
    </w:p>
    <w:p>
      <w:pPr>
        <w:ind w:firstLine="480"/>
        <w:jc w:val="left"/>
        <w:spacing w:line="360" w:lineRule="auto"/>
        <w:rPr>
          <w:bCs/>
          <w:sz w:val="24"/>
        </w:rPr>
      </w:pPr>
      <w:r>
        <w:rPr>
          <w:sz w:val="24"/>
        </w:rPr>
        <w:t xml:space="preserve">5）平均无故障运行时间：</w:t>
      </w:r>
      <w:r>
        <w:rPr>
          <w:bCs/>
          <w:sz w:val="24"/>
        </w:rPr>
        <w:t xml:space="preserve">≥1440h/次；</w:t>
      </w:r>
      <w:r/>
    </w:p>
    <w:p>
      <w:pPr>
        <w:ind w:firstLine="482"/>
        <w:spacing w:line="360" w:lineRule="auto"/>
        <w:rPr>
          <w:b/>
          <w:bCs/>
          <w:sz w:val="24"/>
        </w:rPr>
        <w:outlineLvl w:val="1"/>
      </w:pPr>
      <w:r/>
      <w:bookmarkStart w:id="113" w:name="_Hlk61276023"/>
      <w:r>
        <w:rPr>
          <w:rFonts w:hint="eastAsia"/>
          <w:b/>
          <w:bCs/>
          <w:sz w:val="24"/>
        </w:rPr>
        <w:t xml:space="preserve">2.7</w:t>
      </w:r>
      <w:r>
        <w:rPr>
          <w:b/>
          <w:bCs/>
          <w:sz w:val="24"/>
        </w:rPr>
        <w:t xml:space="preserve">在线藻密度分析仪技术要求</w:t>
      </w:r>
      <w:r/>
    </w:p>
    <w:p>
      <w:pPr>
        <w:ind w:firstLine="480"/>
        <w:jc w:val="left"/>
        <w:spacing w:line="360" w:lineRule="auto"/>
        <w:rPr>
          <w:bCs/>
          <w:sz w:val="24"/>
        </w:rPr>
      </w:pPr>
      <w:r>
        <w:rPr>
          <w:bCs/>
          <w:sz w:val="24"/>
        </w:rPr>
        <w:t xml:space="preserve">1）测定原理：荧光法</w:t>
      </w:r>
      <w:r/>
    </w:p>
    <w:p>
      <w:pPr>
        <w:ind w:firstLine="480"/>
        <w:jc w:val="left"/>
        <w:spacing w:line="360" w:lineRule="auto"/>
        <w:rPr>
          <w:bCs/>
          <w:sz w:val="24"/>
        </w:rPr>
      </w:pPr>
      <w:r>
        <w:rPr>
          <w:bCs/>
          <w:sz w:val="24"/>
        </w:rPr>
        <w:t xml:space="preserve">2）测量范围：</w:t>
      </w:r>
      <w:r>
        <w:rPr>
          <w:sz w:val="24"/>
        </w:rPr>
        <w:t xml:space="preserve">0-2000000 cell/mL</w:t>
      </w:r>
      <w:r/>
    </w:p>
    <w:p>
      <w:pPr>
        <w:ind w:firstLine="480"/>
        <w:jc w:val="left"/>
        <w:spacing w:line="360" w:lineRule="auto"/>
        <w:rPr>
          <w:bCs/>
          <w:sz w:val="24"/>
        </w:rPr>
      </w:pPr>
      <w:r>
        <w:rPr>
          <w:bCs/>
          <w:sz w:val="24"/>
        </w:rPr>
        <w:t xml:space="preserve">3）</w:t>
      </w:r>
      <w:r>
        <w:rPr>
          <w:sz w:val="24"/>
        </w:rPr>
        <w:t xml:space="preserve">漂移（零点、量程）</w:t>
      </w:r>
      <w:r>
        <w:rPr>
          <w:bCs/>
          <w:sz w:val="24"/>
        </w:rPr>
        <w:t xml:space="preserve">：</w:t>
      </w:r>
      <w:r>
        <w:rPr>
          <w:sz w:val="24"/>
        </w:rPr>
        <w:t xml:space="preserve">±5%FS</w:t>
      </w:r>
      <w:r/>
    </w:p>
    <w:p>
      <w:pPr>
        <w:ind w:firstLine="480"/>
        <w:jc w:val="left"/>
        <w:spacing w:line="360" w:lineRule="auto"/>
        <w:rPr>
          <w:sz w:val="24"/>
        </w:rPr>
      </w:pPr>
      <w:r>
        <w:rPr>
          <w:bCs/>
          <w:sz w:val="24"/>
        </w:rPr>
        <w:t xml:space="preserve">4）</w:t>
      </w:r>
      <w:r>
        <w:rPr>
          <w:sz w:val="24"/>
        </w:rPr>
        <w:t xml:space="preserve">重复性</w:t>
      </w:r>
      <w:r>
        <w:rPr>
          <w:bCs/>
          <w:sz w:val="24"/>
        </w:rPr>
        <w:t xml:space="preserve">：</w:t>
      </w:r>
      <w:r>
        <w:rPr>
          <w:sz w:val="24"/>
        </w:rPr>
        <w:t xml:space="preserve">≤5%；检出限：0.1cell/μL</w:t>
      </w:r>
      <w:r/>
    </w:p>
    <w:p>
      <w:pPr>
        <w:ind w:firstLine="480"/>
        <w:jc w:val="left"/>
        <w:spacing w:line="360" w:lineRule="auto"/>
        <w:rPr>
          <w:bCs/>
          <w:sz w:val="24"/>
        </w:rPr>
      </w:pPr>
      <w:r>
        <w:rPr>
          <w:sz w:val="24"/>
        </w:rPr>
        <w:t xml:space="preserve">5）平均无故障运行时间：</w:t>
      </w:r>
      <w:r>
        <w:rPr>
          <w:bCs/>
          <w:sz w:val="24"/>
        </w:rPr>
        <w:t xml:space="preserve">≥1440h/次；</w:t>
      </w:r>
      <w:bookmarkEnd w:id="86"/>
      <w:r/>
      <w:bookmarkEnd w:id="87"/>
      <w:r/>
      <w:bookmarkEnd w:id="108"/>
      <w:r/>
      <w:bookmarkEnd w:id="113"/>
      <w:r/>
      <w:r/>
    </w:p>
    <w:p>
      <w:pPr>
        <w:ind w:firstLine="482"/>
        <w:spacing w:line="360" w:lineRule="auto"/>
        <w:rPr>
          <w:b/>
          <w:bCs/>
          <w:sz w:val="24"/>
        </w:rPr>
        <w:outlineLvl w:val="1"/>
      </w:pPr>
      <w:r/>
      <w:bookmarkStart w:id="114" w:name="_Toc89347203"/>
      <w:r>
        <w:rPr>
          <w:rFonts w:hint="eastAsia"/>
          <w:b/>
          <w:bCs/>
          <w:sz w:val="24"/>
        </w:rPr>
        <w:t xml:space="preserve">3.</w:t>
      </w:r>
      <w:r>
        <w:rPr>
          <w:b/>
          <w:bCs/>
          <w:sz w:val="24"/>
        </w:rPr>
        <w:t xml:space="preserve">系统集成技术要求</w:t>
      </w:r>
      <w:r/>
    </w:p>
    <w:p>
      <w:pPr>
        <w:numPr>
          <w:ilvl w:val="255"/>
          <w:numId w:val="0"/>
        </w:numPr>
        <w:ind w:firstLine="482"/>
        <w:keepLines/>
        <w:keepNext/>
        <w:spacing w:line="360" w:lineRule="auto"/>
        <w:rPr>
          <w:b/>
          <w:sz w:val="24"/>
        </w:rPr>
        <w:outlineLvl w:val="2"/>
      </w:pPr>
      <w:r>
        <w:rPr>
          <w:rFonts w:hint="eastAsia"/>
          <w:b/>
          <w:sz w:val="24"/>
        </w:rPr>
        <w:t xml:space="preserve">3.1</w:t>
      </w:r>
      <w:r>
        <w:rPr>
          <w:b/>
          <w:sz w:val="24"/>
        </w:rPr>
        <w:t xml:space="preserve">基本要求</w:t>
      </w:r>
      <w:bookmarkEnd w:id="114"/>
      <w:r/>
      <w:r/>
    </w:p>
    <w:p>
      <w:pPr>
        <w:ind w:firstLine="480"/>
        <w:jc w:val="left"/>
        <w:spacing w:line="360" w:lineRule="auto"/>
        <w:rPr>
          <w:sz w:val="24"/>
        </w:rPr>
      </w:pPr>
      <w:r/>
      <w:bookmarkStart w:id="115" w:name="_Toc89347204"/>
      <w:r>
        <w:rPr>
          <w:sz w:val="24"/>
        </w:rPr>
        <w:t xml:space="preserve">（1）</w:t>
      </w:r>
      <w:r>
        <w:rPr>
          <w:bCs/>
          <w:sz w:val="24"/>
        </w:rPr>
        <w:t xml:space="preserve">应</w:t>
      </w:r>
      <w:r>
        <w:rPr>
          <w:sz w:val="24"/>
        </w:rPr>
        <w:t xml:space="preserve">具有仪器及系统运行周期（连续或间歇）设置功能，具备常规、应急、质控等多种运行模式；</w:t>
      </w:r>
      <w:r/>
    </w:p>
    <w:p>
      <w:pPr>
        <w:ind w:firstLine="480"/>
        <w:jc w:val="left"/>
        <w:spacing w:line="360" w:lineRule="auto"/>
        <w:rPr>
          <w:sz w:val="24"/>
        </w:rPr>
      </w:pPr>
      <w:r>
        <w:rPr>
          <w:sz w:val="24"/>
        </w:rPr>
        <w:t xml:space="preserve">（2）应具有异常信息记录和上传功能，如采水故障、部件故障、超量程报警、超标报警、缺试剂报警、位置偏移报警等信息；</w:t>
      </w:r>
      <w:r/>
    </w:p>
    <w:p>
      <w:pPr>
        <w:ind w:firstLine="480"/>
        <w:jc w:val="left"/>
        <w:spacing w:line="360" w:lineRule="auto"/>
        <w:rPr>
          <w:sz w:val="24"/>
        </w:rPr>
      </w:pPr>
      <w:r>
        <w:rPr>
          <w:sz w:val="24"/>
        </w:rPr>
        <w:t xml:space="preserve">（3）应具备仪器关键参数上传、远程设置功能，能接受远程控制指令；</w:t>
      </w:r>
      <w:r/>
    </w:p>
    <w:p>
      <w:pPr>
        <w:ind w:firstLine="480"/>
        <w:jc w:val="left"/>
        <w:spacing w:line="360" w:lineRule="auto"/>
        <w:rPr>
          <w:sz w:val="24"/>
        </w:rPr>
      </w:pPr>
      <w:r>
        <w:rPr>
          <w:sz w:val="24"/>
        </w:rPr>
        <w:t xml:space="preserve">（4）能准确的上传下达指令，确保仪器、系统运行的监测数据和状态信息等稳定传输；</w:t>
      </w:r>
      <w:r/>
    </w:p>
    <w:p>
      <w:pPr>
        <w:ind w:firstLine="480"/>
        <w:jc w:val="left"/>
        <w:spacing w:line="360" w:lineRule="auto"/>
        <w:rPr>
          <w:sz w:val="24"/>
        </w:rPr>
      </w:pPr>
      <w:r>
        <w:rPr>
          <w:sz w:val="24"/>
        </w:rPr>
        <w:t xml:space="preserve">（5）具有废液收集装置，能满足四周废液量的收集；</w:t>
      </w:r>
      <w:r/>
    </w:p>
    <w:p>
      <w:pPr>
        <w:ind w:firstLine="480"/>
        <w:jc w:val="left"/>
        <w:spacing w:line="360" w:lineRule="auto"/>
        <w:rPr>
          <w:sz w:val="24"/>
        </w:rPr>
      </w:pPr>
      <w:r>
        <w:rPr>
          <w:sz w:val="24"/>
        </w:rPr>
        <w:t xml:space="preserve">（6）具备断电再度通电后自动排空水样和试剂、自动清洗管路、自动复位到待机状态的功能；</w:t>
      </w:r>
      <w:r/>
    </w:p>
    <w:p>
      <w:pPr>
        <w:ind w:firstLine="480"/>
        <w:jc w:val="left"/>
        <w:spacing w:line="360" w:lineRule="auto"/>
        <w:rPr>
          <w:sz w:val="24"/>
        </w:rPr>
      </w:pPr>
      <w:r>
        <w:rPr>
          <w:sz w:val="24"/>
        </w:rPr>
        <w:t xml:space="preserve">（7）具有分析仪器及系统过程日志记录和环境参数记录功能，并能够上传至中心平台；</w:t>
      </w:r>
      <w:r/>
    </w:p>
    <w:p>
      <w:pPr>
        <w:ind w:firstLine="480"/>
        <w:jc w:val="left"/>
        <w:spacing w:line="360" w:lineRule="auto"/>
        <w:rPr>
          <w:sz w:val="24"/>
        </w:rPr>
      </w:pPr>
      <w:r>
        <w:rPr>
          <w:sz w:val="24"/>
        </w:rPr>
        <w:t xml:space="preserve">（8）能够存储不少于1年的原始数据和运行日志；</w:t>
      </w:r>
      <w:r/>
    </w:p>
    <w:p>
      <w:pPr>
        <w:ind w:firstLine="480"/>
        <w:jc w:val="left"/>
        <w:spacing w:line="360" w:lineRule="auto"/>
        <w:rPr>
          <w:sz w:val="24"/>
        </w:rPr>
      </w:pPr>
      <w:r>
        <w:rPr>
          <w:sz w:val="24"/>
        </w:rPr>
        <w:t xml:space="preserve">（9）水质自动分析仪器（常规五参数、叶绿素a、藻密度外）及控制单元具有三级管理权限；</w:t>
      </w:r>
      <w:r/>
    </w:p>
    <w:p>
      <w:pPr>
        <w:numPr>
          <w:ilvl w:val="255"/>
          <w:numId w:val="0"/>
        </w:numPr>
        <w:ind w:firstLine="482"/>
        <w:keepLines/>
        <w:keepNext/>
        <w:spacing w:line="360" w:lineRule="auto"/>
        <w:rPr>
          <w:b/>
          <w:sz w:val="24"/>
        </w:rPr>
        <w:outlineLvl w:val="2"/>
      </w:pPr>
      <w:r>
        <w:rPr>
          <w:rFonts w:hint="eastAsia"/>
          <w:b/>
          <w:sz w:val="24"/>
        </w:rPr>
        <w:t xml:space="preserve">3.2</w:t>
      </w:r>
      <w:r>
        <w:rPr>
          <w:b/>
          <w:sz w:val="24"/>
        </w:rPr>
        <w:t xml:space="preserve">船体要求</w:t>
      </w:r>
      <w:r/>
    </w:p>
    <w:p>
      <w:pPr>
        <w:numPr>
          <w:ilvl w:val="0"/>
          <w:numId w:val="11"/>
        </w:numPr>
        <w:ind w:left="0" w:firstLine="480"/>
        <w:jc w:val="left"/>
        <w:spacing w:line="360" w:lineRule="auto"/>
        <w:rPr>
          <w:sz w:val="24"/>
        </w:rPr>
      </w:pPr>
      <w:r>
        <w:rPr>
          <w:sz w:val="24"/>
        </w:rPr>
        <w:t xml:space="preserve">浮船式水站由浮体平台（船体、浮柱、防撞装置、船体护栏等）、水样预处理单元、分析单元、控制单元和辅助单元（安防装置、视频监控、安防传感器等）等组成；</w:t>
      </w:r>
      <w:r/>
    </w:p>
    <w:p>
      <w:pPr>
        <w:numPr>
          <w:ilvl w:val="0"/>
          <w:numId w:val="11"/>
        </w:numPr>
        <w:ind w:left="0" w:firstLine="480"/>
        <w:jc w:val="left"/>
        <w:spacing w:line="360" w:lineRule="auto"/>
        <w:rPr>
          <w:sz w:val="24"/>
        </w:rPr>
      </w:pPr>
      <w:r>
        <w:rPr>
          <w:sz w:val="24"/>
        </w:rPr>
        <w:t xml:space="preserve">船体四周设缆庄，船头设手抛锚方便船体定点固定；</w:t>
      </w:r>
      <w:r/>
    </w:p>
    <w:p>
      <w:pPr>
        <w:numPr>
          <w:ilvl w:val="0"/>
          <w:numId w:val="11"/>
        </w:numPr>
        <w:ind w:left="0" w:firstLine="480"/>
        <w:jc w:val="left"/>
        <w:spacing w:line="360" w:lineRule="auto"/>
        <w:rPr>
          <w:sz w:val="24"/>
        </w:rPr>
      </w:pPr>
      <w:r>
        <w:rPr>
          <w:sz w:val="24"/>
        </w:rPr>
        <w:t xml:space="preserve">船体设计寿命5年以上，适合湖泊、水库、河流等野外环境的长期使用；</w:t>
      </w:r>
      <w:r/>
    </w:p>
    <w:p>
      <w:pPr>
        <w:numPr>
          <w:ilvl w:val="0"/>
          <w:numId w:val="11"/>
        </w:numPr>
        <w:ind w:left="0" w:firstLine="480"/>
        <w:jc w:val="left"/>
        <w:spacing w:line="360" w:lineRule="auto"/>
        <w:rPr>
          <w:sz w:val="24"/>
        </w:rPr>
      </w:pPr>
      <w:r>
        <w:rPr>
          <w:sz w:val="24"/>
        </w:rPr>
        <w:t xml:space="preserve">船体耐冲击性良好，抗撕裂强度高，重要部位采用加强牢固设计，保证浮船整体结构牢固可靠，可在极端恶劣气候条件下确保系统安全。</w:t>
      </w:r>
      <w:r/>
    </w:p>
    <w:p>
      <w:pPr>
        <w:numPr>
          <w:ilvl w:val="0"/>
          <w:numId w:val="11"/>
        </w:numPr>
        <w:ind w:left="0" w:firstLine="480"/>
        <w:jc w:val="left"/>
        <w:spacing w:line="360" w:lineRule="auto"/>
        <w:rPr>
          <w:sz w:val="24"/>
        </w:rPr>
      </w:pPr>
      <w:r>
        <w:rPr>
          <w:sz w:val="24"/>
        </w:rPr>
        <w:t xml:space="preserve">具有自体防撞保护功能，碰撞时不会损坏碰撞物（如船只等），浮体本身也不损坏不沉没，能够有效保护搭载的仪器设备；</w:t>
      </w:r>
      <w:r/>
    </w:p>
    <w:p>
      <w:pPr>
        <w:numPr>
          <w:ilvl w:val="0"/>
          <w:numId w:val="11"/>
        </w:numPr>
        <w:ind w:left="0" w:firstLine="482"/>
        <w:jc w:val="left"/>
        <w:spacing w:line="360" w:lineRule="auto"/>
        <w:rPr>
          <w:sz w:val="24"/>
        </w:rPr>
      </w:pPr>
      <w:r>
        <w:rPr>
          <w:b/>
          <w:bCs/>
          <w:sz w:val="24"/>
        </w:rPr>
        <w:t xml:space="preserve">▲</w:t>
      </w:r>
      <w:r>
        <w:rPr>
          <w:sz w:val="24"/>
        </w:rPr>
        <w:t xml:space="preserve">具备警示灯和具备自动移位报警功能的全球定位系统，具备设置系统位置偏移报警值功能，实时定位监测位置，偏移触发报警；</w:t>
      </w:r>
      <w:r>
        <w:rPr>
          <w:b/>
          <w:bCs/>
          <w:sz w:val="24"/>
        </w:rPr>
        <w:t xml:space="preserve">（需提供国家法定计量检定机构出具的检测报告原件扫描件证明，且报告中能明确包含该功能指标）</w:t>
      </w:r>
      <w:r/>
    </w:p>
    <w:p>
      <w:pPr>
        <w:numPr>
          <w:ilvl w:val="0"/>
          <w:numId w:val="11"/>
        </w:numPr>
        <w:ind w:left="0" w:firstLine="480"/>
        <w:jc w:val="left"/>
        <w:spacing w:line="360" w:lineRule="auto"/>
        <w:rPr>
          <w:sz w:val="24"/>
        </w:rPr>
      </w:pPr>
      <w:r>
        <w:rPr>
          <w:sz w:val="24"/>
        </w:rPr>
        <w:t xml:space="preserve">船体内部进行隔热保温处理，船舱设计采用对流、冷热气流自循环设计，切实保证船舱内环境温度低于45℃；</w:t>
      </w:r>
      <w:r/>
    </w:p>
    <w:p>
      <w:pPr>
        <w:numPr>
          <w:ilvl w:val="0"/>
          <w:numId w:val="11"/>
        </w:numPr>
        <w:ind w:left="0" w:firstLine="482"/>
        <w:jc w:val="left"/>
        <w:spacing w:line="360" w:lineRule="auto"/>
        <w:rPr>
          <w:sz w:val="24"/>
        </w:rPr>
      </w:pPr>
      <w:r>
        <w:rPr>
          <w:b/>
          <w:bCs/>
          <w:sz w:val="24"/>
        </w:rPr>
        <w:t xml:space="preserve">▲供电系统应能应对持续的阴雨天气，供电持续时长≥10 天</w:t>
      </w:r>
      <w:r>
        <w:rPr>
          <w:sz w:val="24"/>
        </w:rPr>
        <w:t xml:space="preserve">。</w:t>
      </w:r>
      <w:r>
        <w:rPr>
          <w:b/>
          <w:bCs/>
          <w:sz w:val="24"/>
        </w:rPr>
        <w:t xml:space="preserve">（需提供国家法定计量检定机构出具的检测报告原件扫描件证明，且报告中能明确包含该功能指标）</w:t>
      </w:r>
      <w:r/>
    </w:p>
    <w:p>
      <w:pPr>
        <w:numPr>
          <w:ilvl w:val="255"/>
          <w:numId w:val="0"/>
        </w:numPr>
        <w:ind w:firstLine="482"/>
        <w:keepLines/>
        <w:keepNext/>
        <w:spacing w:line="360" w:lineRule="auto"/>
        <w:rPr>
          <w:b/>
          <w:sz w:val="24"/>
        </w:rPr>
        <w:outlineLvl w:val="2"/>
      </w:pPr>
      <w:r>
        <w:rPr>
          <w:rFonts w:hint="eastAsia"/>
          <w:b/>
          <w:sz w:val="24"/>
        </w:rPr>
        <w:t xml:space="preserve">3.3</w:t>
      </w:r>
      <w:r>
        <w:rPr>
          <w:b/>
          <w:sz w:val="24"/>
        </w:rPr>
        <w:t xml:space="preserve">船体技术参数</w:t>
      </w:r>
      <w:r/>
    </w:p>
    <w:p>
      <w:pPr>
        <w:pStyle w:val="762"/>
        <w:numPr>
          <w:ilvl w:val="0"/>
          <w:numId w:val="12"/>
        </w:numPr>
        <w:ind w:left="0" w:firstLine="480"/>
        <w:jc w:val="left"/>
        <w:spacing w:line="360" w:lineRule="auto"/>
        <w:rPr>
          <w:bCs/>
          <w:sz w:val="24"/>
        </w:rPr>
      </w:pPr>
      <w:r>
        <w:rPr>
          <w:sz w:val="24"/>
        </w:rPr>
        <w:t xml:space="preserve">浮体尺寸≥5m×2.8m（长×宽），舱室内高度≥1.75米方便人员进入，采用高强度玻璃钢等材质，抗腐蚀、耐碰撞、服役期长、不易为水生物附着；</w:t>
      </w:r>
      <w:r>
        <w:rPr>
          <w:bCs/>
          <w:sz w:val="24"/>
        </w:rPr>
        <w:t xml:space="preserve"> </w:t>
      </w:r>
      <w:r/>
    </w:p>
    <w:p>
      <w:pPr>
        <w:pStyle w:val="762"/>
        <w:numPr>
          <w:ilvl w:val="0"/>
          <w:numId w:val="12"/>
        </w:numPr>
        <w:ind w:left="0" w:firstLine="480"/>
        <w:jc w:val="left"/>
        <w:spacing w:line="360" w:lineRule="auto"/>
        <w:rPr>
          <w:sz w:val="24"/>
        </w:rPr>
      </w:pPr>
      <w:r>
        <w:rPr>
          <w:sz w:val="24"/>
        </w:rPr>
        <w:t xml:space="preserve">船舱温度≤45℃，防风等级≥8级，定位系统误差≤10m（95%概率），支持不少于5人（500kg）同时登船作业。</w:t>
      </w:r>
      <w:r/>
    </w:p>
    <w:p>
      <w:pPr>
        <w:pStyle w:val="762"/>
        <w:numPr>
          <w:ilvl w:val="0"/>
          <w:numId w:val="12"/>
        </w:numPr>
        <w:ind w:left="0" w:firstLine="480"/>
        <w:jc w:val="left"/>
        <w:spacing w:line="360" w:lineRule="auto"/>
        <w:rPr>
          <w:sz w:val="24"/>
        </w:rPr>
      </w:pPr>
      <w:r>
        <w:rPr>
          <w:sz w:val="24"/>
        </w:rPr>
        <w:t xml:space="preserve">仪表舱采用走入式设计，舱室为封闭空间，维护人员进入后可关闭舱门，防止下雨维护时雨水进入舱内，及保护维护人员安全； </w:t>
      </w:r>
      <w:r/>
    </w:p>
    <w:p>
      <w:pPr>
        <w:pStyle w:val="762"/>
        <w:numPr>
          <w:ilvl w:val="0"/>
          <w:numId w:val="12"/>
        </w:numPr>
        <w:ind w:left="0" w:firstLine="480"/>
        <w:jc w:val="left"/>
        <w:spacing w:line="360" w:lineRule="auto"/>
        <w:rPr>
          <w:bCs/>
          <w:sz w:val="24"/>
        </w:rPr>
      </w:pPr>
      <w:r>
        <w:rPr>
          <w:sz w:val="24"/>
        </w:rPr>
        <w:t xml:space="preserve">浮船设有前后登船甲板，船体周围采用游艇式围栏设计，保护登船人员安全；</w:t>
      </w:r>
      <w:r>
        <w:rPr>
          <w:bCs/>
          <w:sz w:val="24"/>
        </w:rPr>
        <w:t xml:space="preserve"> </w:t>
      </w:r>
      <w:r/>
    </w:p>
    <w:p>
      <w:pPr>
        <w:pStyle w:val="762"/>
        <w:numPr>
          <w:ilvl w:val="0"/>
          <w:numId w:val="12"/>
        </w:numPr>
        <w:ind w:left="0" w:firstLine="480"/>
        <w:jc w:val="left"/>
        <w:spacing w:line="360" w:lineRule="auto"/>
        <w:rPr>
          <w:sz w:val="24"/>
        </w:rPr>
      </w:pPr>
      <w:r>
        <w:rPr>
          <w:sz w:val="24"/>
        </w:rPr>
        <w:t xml:space="preserve">仪表舱防水等级≥IP52，内置温湿度、漏水检测传感器，保证供电系统和监测设备的正常运行。</w:t>
      </w:r>
      <w:r/>
    </w:p>
    <w:p>
      <w:pPr>
        <w:pStyle w:val="762"/>
        <w:numPr>
          <w:ilvl w:val="0"/>
          <w:numId w:val="12"/>
        </w:numPr>
        <w:ind w:left="0" w:firstLine="480"/>
        <w:jc w:val="left"/>
        <w:spacing w:line="360" w:lineRule="auto"/>
        <w:rPr>
          <w:sz w:val="24"/>
        </w:rPr>
      </w:pPr>
      <w:r>
        <w:rPr>
          <w:sz w:val="24"/>
        </w:rPr>
        <w:t xml:space="preserve">本项目浮船站需采用太阳能和风力发电互补供电。</w:t>
      </w:r>
      <w:r/>
    </w:p>
    <w:p>
      <w:pPr>
        <w:numPr>
          <w:ilvl w:val="255"/>
          <w:numId w:val="0"/>
        </w:numPr>
        <w:ind w:firstLine="482"/>
        <w:keepLines/>
        <w:keepNext/>
        <w:spacing w:line="360" w:lineRule="auto"/>
        <w:rPr>
          <w:b/>
          <w:sz w:val="24"/>
        </w:rPr>
        <w:outlineLvl w:val="2"/>
      </w:pPr>
      <w:r>
        <w:rPr>
          <w:rFonts w:hint="eastAsia"/>
          <w:b/>
          <w:sz w:val="24"/>
        </w:rPr>
        <w:t xml:space="preserve">3.4</w:t>
      </w:r>
      <w:r>
        <w:rPr>
          <w:b/>
          <w:sz w:val="24"/>
        </w:rPr>
        <w:t xml:space="preserve">采水单元</w:t>
      </w:r>
      <w:r/>
    </w:p>
    <w:p>
      <w:pPr>
        <w:ind w:firstLine="480"/>
        <w:jc w:val="left"/>
        <w:spacing w:line="360" w:lineRule="auto"/>
        <w:rPr>
          <w:sz w:val="24"/>
        </w:rPr>
      </w:pPr>
      <w:r>
        <w:rPr>
          <w:sz w:val="24"/>
        </w:rPr>
        <w:t xml:space="preserve">采水点位于双体船中间位置水下0.5米-1米之间，采水箱应采用防附着材料，具有防堵塞装置和防生物附着能力。</w:t>
      </w:r>
      <w:bookmarkEnd w:id="115"/>
      <w:r/>
      <w:r/>
    </w:p>
    <w:p>
      <w:pPr>
        <w:numPr>
          <w:ilvl w:val="255"/>
          <w:numId w:val="0"/>
        </w:numPr>
        <w:ind w:firstLine="482"/>
        <w:keepLines/>
        <w:keepNext/>
        <w:spacing w:line="360" w:lineRule="auto"/>
        <w:rPr>
          <w:b/>
          <w:sz w:val="24"/>
        </w:rPr>
        <w:outlineLvl w:val="2"/>
      </w:pPr>
      <w:r/>
      <w:bookmarkStart w:id="116" w:name="_Toc89347205"/>
      <w:r>
        <w:rPr>
          <w:rFonts w:hint="eastAsia"/>
          <w:b/>
          <w:sz w:val="24"/>
        </w:rPr>
        <w:t xml:space="preserve">3.5</w:t>
      </w:r>
      <w:r>
        <w:rPr>
          <w:b/>
          <w:sz w:val="24"/>
        </w:rPr>
        <w:t xml:space="preserve">控制单元</w:t>
      </w:r>
      <w:bookmarkEnd w:id="116"/>
      <w:r/>
      <w:r/>
    </w:p>
    <w:p>
      <w:pPr>
        <w:numPr>
          <w:ilvl w:val="3"/>
          <w:numId w:val="13"/>
        </w:numPr>
        <w:ind w:left="0" w:firstLine="480"/>
        <w:jc w:val="left"/>
        <w:spacing w:line="360" w:lineRule="auto"/>
        <w:rPr>
          <w:sz w:val="24"/>
        </w:rPr>
      </w:pPr>
      <w:r>
        <w:rPr>
          <w:sz w:val="24"/>
        </w:rPr>
        <w:t xml:space="preserve">必须支持中文显示，操作方便；</w:t>
      </w:r>
      <w:r/>
    </w:p>
    <w:p>
      <w:pPr>
        <w:numPr>
          <w:ilvl w:val="3"/>
          <w:numId w:val="13"/>
        </w:numPr>
        <w:ind w:left="0" w:firstLine="480"/>
        <w:jc w:val="left"/>
        <w:spacing w:line="360" w:lineRule="auto"/>
        <w:rPr>
          <w:sz w:val="24"/>
        </w:rPr>
      </w:pPr>
      <w:r>
        <w:rPr>
          <w:sz w:val="24"/>
        </w:rPr>
        <w:t xml:space="preserve">具有断电保护功能，能够在断电时保存系统参数和历史数据，在来电时自动恢复系统；</w:t>
      </w:r>
      <w:r/>
    </w:p>
    <w:p>
      <w:pPr>
        <w:numPr>
          <w:ilvl w:val="3"/>
          <w:numId w:val="13"/>
        </w:numPr>
        <w:ind w:left="0" w:firstLine="480"/>
        <w:jc w:val="left"/>
        <w:spacing w:line="360" w:lineRule="auto"/>
        <w:rPr>
          <w:sz w:val="24"/>
        </w:rPr>
      </w:pPr>
      <w:r>
        <w:rPr>
          <w:sz w:val="24"/>
        </w:rPr>
        <w:t xml:space="preserve">具备自动采集数据功能，包括自动采集水质自动分析仪器数据、集成控制数据等，采集的数据应自动添加数据标识，异常监测数据能自动识别，并主动上传至中心平台；</w:t>
      </w:r>
      <w:r/>
    </w:p>
    <w:p>
      <w:pPr>
        <w:numPr>
          <w:ilvl w:val="3"/>
          <w:numId w:val="13"/>
        </w:numPr>
        <w:ind w:left="0" w:firstLine="480"/>
        <w:jc w:val="left"/>
        <w:spacing w:line="360" w:lineRule="auto"/>
        <w:rPr>
          <w:sz w:val="24"/>
        </w:rPr>
      </w:pPr>
      <w:r>
        <w:rPr>
          <w:sz w:val="24"/>
        </w:rPr>
        <w:t xml:space="preserve">能够兼容视频监控设备并能实现对视频设备进行校时、重新启动、参数设置、软件升级、远程维护等；</w:t>
      </w:r>
      <w:r/>
    </w:p>
    <w:p>
      <w:pPr>
        <w:numPr>
          <w:ilvl w:val="3"/>
          <w:numId w:val="13"/>
        </w:numPr>
        <w:ind w:left="0" w:firstLine="480"/>
        <w:jc w:val="left"/>
        <w:spacing w:line="360" w:lineRule="auto"/>
        <w:rPr>
          <w:sz w:val="24"/>
        </w:rPr>
      </w:pPr>
      <w:r>
        <w:rPr>
          <w:sz w:val="24"/>
        </w:rPr>
        <w:t xml:space="preserve">具备对自动分析仪器的启停、校时、校准、质控测试等控制功能；</w:t>
      </w:r>
      <w:r/>
    </w:p>
    <w:p>
      <w:pPr>
        <w:numPr>
          <w:ilvl w:val="3"/>
          <w:numId w:val="13"/>
        </w:numPr>
        <w:ind w:left="0" w:firstLine="480"/>
        <w:jc w:val="left"/>
        <w:spacing w:line="360" w:lineRule="auto"/>
        <w:rPr>
          <w:sz w:val="24"/>
        </w:rPr>
      </w:pPr>
      <w:r>
        <w:rPr>
          <w:sz w:val="24"/>
        </w:rPr>
        <w:t xml:space="preserve">控制器输入输出接口余量有不少于1路，以便以后扩展；</w:t>
      </w:r>
      <w:r/>
    </w:p>
    <w:p>
      <w:pPr>
        <w:numPr>
          <w:ilvl w:val="3"/>
          <w:numId w:val="13"/>
        </w:numPr>
        <w:ind w:left="0" w:firstLine="480"/>
        <w:jc w:val="left"/>
        <w:spacing w:line="360" w:lineRule="auto"/>
        <w:rPr>
          <w:sz w:val="24"/>
        </w:rPr>
      </w:pPr>
      <w:r>
        <w:rPr>
          <w:sz w:val="24"/>
        </w:rPr>
        <w:t xml:space="preserve">控制器符合抗电磁辐射、电磁感应的相关规定，具备电源隔离和信号隔离措施；</w:t>
      </w:r>
      <w:r/>
    </w:p>
    <w:p>
      <w:pPr>
        <w:numPr>
          <w:ilvl w:val="3"/>
          <w:numId w:val="13"/>
        </w:numPr>
        <w:ind w:left="0" w:firstLine="480"/>
        <w:jc w:val="left"/>
        <w:spacing w:line="360" w:lineRule="auto"/>
        <w:rPr>
          <w:sz w:val="24"/>
        </w:rPr>
      </w:pPr>
      <w:r>
        <w:rPr>
          <w:sz w:val="24"/>
        </w:rPr>
        <w:t xml:space="preserve">具备参数设置功能，能够对小数位、单位、仪器测定上下限、报警（超标）上下限等参数进行设置；</w:t>
      </w:r>
      <w:r/>
    </w:p>
    <w:p>
      <w:pPr>
        <w:numPr>
          <w:ilvl w:val="3"/>
          <w:numId w:val="13"/>
        </w:numPr>
        <w:ind w:left="0" w:firstLine="480"/>
        <w:jc w:val="left"/>
        <w:spacing w:line="360" w:lineRule="auto"/>
        <w:rPr>
          <w:sz w:val="24"/>
        </w:rPr>
      </w:pPr>
      <w:r>
        <w:rPr>
          <w:sz w:val="24"/>
        </w:rPr>
        <w:t xml:space="preserve">具备各仪器监测结果、状态参数、运行流程、报警信息等显示的功能；</w:t>
      </w:r>
      <w:r/>
    </w:p>
    <w:p>
      <w:pPr>
        <w:numPr>
          <w:ilvl w:val="3"/>
          <w:numId w:val="13"/>
        </w:numPr>
        <w:ind w:left="0" w:firstLine="480"/>
        <w:jc w:val="left"/>
        <w:spacing w:line="360" w:lineRule="auto"/>
        <w:rPr>
          <w:sz w:val="24"/>
        </w:rPr>
      </w:pPr>
      <w:r>
        <w:rPr>
          <w:sz w:val="24"/>
        </w:rPr>
        <w:t xml:space="preserve">具有监测数据查询、导出、自动备份功能，可分类查询水质周期数据、质控数据（空白测试数据、标样核查数据等）及其对应的仪器、系统日志流程信息；</w:t>
      </w:r>
      <w:r/>
    </w:p>
    <w:p>
      <w:pPr>
        <w:numPr>
          <w:ilvl w:val="3"/>
          <w:numId w:val="13"/>
        </w:numPr>
        <w:ind w:left="0" w:firstLine="480"/>
        <w:jc w:val="left"/>
        <w:spacing w:line="360" w:lineRule="auto"/>
        <w:rPr>
          <w:sz w:val="24"/>
        </w:rPr>
      </w:pPr>
      <w:r>
        <w:rPr>
          <w:sz w:val="24"/>
        </w:rPr>
        <w:t xml:space="preserve">采集自动分析仪器和集成系统各单元的工作状态量，并以运行日志的形式记录保存；</w:t>
      </w:r>
      <w:r/>
    </w:p>
    <w:p>
      <w:pPr>
        <w:numPr>
          <w:ilvl w:val="3"/>
          <w:numId w:val="13"/>
        </w:numPr>
        <w:ind w:left="0" w:firstLine="480"/>
        <w:jc w:val="left"/>
        <w:spacing w:line="360" w:lineRule="auto"/>
        <w:rPr>
          <w:sz w:val="24"/>
        </w:rPr>
      </w:pPr>
      <w:r>
        <w:rPr>
          <w:sz w:val="24"/>
        </w:rPr>
        <w:t xml:space="preserve">采集自动分析仪器的监测数据，并分类保存；</w:t>
      </w:r>
      <w:r/>
    </w:p>
    <w:p>
      <w:pPr>
        <w:numPr>
          <w:ilvl w:val="3"/>
          <w:numId w:val="13"/>
        </w:numPr>
        <w:ind w:left="0" w:firstLine="480"/>
        <w:jc w:val="left"/>
        <w:spacing w:line="360" w:lineRule="auto"/>
        <w:rPr>
          <w:sz w:val="24"/>
        </w:rPr>
      </w:pPr>
      <w:r>
        <w:rPr>
          <w:sz w:val="24"/>
        </w:rPr>
        <w:t xml:space="preserve">采用无线的通讯方式满足数据传输要求；</w:t>
      </w:r>
      <w:r/>
    </w:p>
    <w:p>
      <w:pPr>
        <w:numPr>
          <w:ilvl w:val="3"/>
          <w:numId w:val="13"/>
        </w:numPr>
        <w:ind w:left="0" w:firstLine="480"/>
        <w:jc w:val="left"/>
        <w:spacing w:line="360" w:lineRule="auto"/>
        <w:rPr>
          <w:sz w:val="24"/>
        </w:rPr>
      </w:pPr>
      <w:r>
        <w:rPr>
          <w:sz w:val="24"/>
        </w:rPr>
        <w:t xml:space="preserve">具备对通信链路的自动诊断功能，具备超时补发功能；</w:t>
      </w:r>
      <w:r/>
    </w:p>
    <w:p>
      <w:pPr>
        <w:numPr>
          <w:ilvl w:val="3"/>
          <w:numId w:val="13"/>
        </w:numPr>
        <w:ind w:left="0" w:firstLine="480"/>
        <w:jc w:val="left"/>
        <w:spacing w:line="360" w:lineRule="auto"/>
        <w:rPr>
          <w:sz w:val="24"/>
        </w:rPr>
      </w:pPr>
      <w:r>
        <w:rPr>
          <w:sz w:val="24"/>
        </w:rPr>
        <w:t xml:space="preserve">功率：＜20W；CPU主频≥2.0GHz、内存≥2GB，硬盘容量≥500GB，显示器≥12英寸，通讯接口：不少于8 个RS232/485 COM 口，不少于2 个网口；</w:t>
      </w:r>
      <w:r/>
    </w:p>
    <w:p>
      <w:pPr>
        <w:numPr>
          <w:ilvl w:val="3"/>
          <w:numId w:val="13"/>
        </w:numPr>
        <w:ind w:left="0" w:firstLine="480"/>
        <w:jc w:val="left"/>
        <w:spacing w:line="360" w:lineRule="auto"/>
        <w:rPr>
          <w:sz w:val="24"/>
        </w:rPr>
      </w:pPr>
      <w:r>
        <w:rPr>
          <w:sz w:val="24"/>
        </w:rPr>
        <w:t xml:space="preserve">▲模块化设计，系统具有良好的扩展性和兼容性，根据水质实际情况，可灵活增加新的监测参数，达到水站扩项监测功能。</w:t>
      </w:r>
      <w:r>
        <w:rPr>
          <w:b/>
          <w:bCs/>
          <w:sz w:val="24"/>
        </w:rPr>
        <w:t xml:space="preserve">（需提供国家法定计量检定机构出具的检测报告原件扫描件证明，且报告中能明确包含该功能指标）</w:t>
      </w:r>
      <w:r/>
    </w:p>
    <w:p>
      <w:pPr>
        <w:numPr>
          <w:ilvl w:val="255"/>
          <w:numId w:val="0"/>
        </w:numPr>
        <w:ind w:firstLine="482"/>
        <w:keepLines/>
        <w:keepNext/>
        <w:spacing w:line="360" w:lineRule="auto"/>
        <w:rPr>
          <w:b/>
          <w:sz w:val="24"/>
        </w:rPr>
        <w:outlineLvl w:val="2"/>
      </w:pPr>
      <w:r/>
      <w:bookmarkStart w:id="117" w:name="_Toc89347206"/>
      <w:r>
        <w:rPr>
          <w:rFonts w:hint="eastAsia"/>
          <w:b/>
          <w:sz w:val="24"/>
        </w:rPr>
        <w:t xml:space="preserve">3.6</w:t>
      </w:r>
      <w:r>
        <w:rPr>
          <w:b/>
          <w:sz w:val="24"/>
        </w:rPr>
        <w:t xml:space="preserve">数据采集与传输单元</w:t>
      </w:r>
      <w:bookmarkEnd w:id="117"/>
      <w:r/>
      <w:r/>
    </w:p>
    <w:p>
      <w:pPr>
        <w:ind w:firstLine="482"/>
        <w:jc w:val="left"/>
        <w:spacing w:line="360" w:lineRule="auto"/>
        <w:rPr>
          <w:b/>
          <w:bCs/>
          <w:sz w:val="24"/>
        </w:rPr>
      </w:pPr>
      <w:r>
        <w:rPr>
          <w:rFonts w:hint="eastAsia"/>
          <w:b/>
          <w:bCs/>
          <w:sz w:val="24"/>
        </w:rPr>
        <w:t xml:space="preserve">3.6.1</w:t>
      </w:r>
      <w:r>
        <w:rPr>
          <w:b/>
          <w:bCs/>
          <w:sz w:val="24"/>
        </w:rPr>
        <w:t xml:space="preserve">数据采集与存储</w:t>
      </w:r>
      <w:r/>
    </w:p>
    <w:p>
      <w:pPr>
        <w:ind w:firstLine="480"/>
        <w:jc w:val="left"/>
        <w:spacing w:line="360" w:lineRule="auto"/>
        <w:rPr>
          <w:sz w:val="24"/>
        </w:rPr>
      </w:pPr>
      <w:r>
        <w:rPr>
          <w:sz w:val="24"/>
        </w:rPr>
        <w:t xml:space="preserve">支持RS-232或RS-485标准通讯方式、TCP/IP通信方式。按照国家地表水自动监测平台质控功能要求实现相应的数据标示、关键参数、工作状态、告警信息上报，并响应平台下发的控制命令。</w:t>
      </w:r>
      <w:r/>
    </w:p>
    <w:p>
      <w:pPr>
        <w:ind w:firstLine="480"/>
        <w:jc w:val="left"/>
        <w:spacing w:line="360" w:lineRule="auto"/>
        <w:rPr>
          <w:sz w:val="24"/>
        </w:rPr>
      </w:pPr>
      <w:r>
        <w:rPr>
          <w:sz w:val="24"/>
        </w:rPr>
        <w:t xml:space="preserve">（1）监测项目数据采集</w:t>
      </w:r>
      <w:r/>
    </w:p>
    <w:p>
      <w:pPr>
        <w:ind w:firstLine="480"/>
        <w:jc w:val="left"/>
        <w:spacing w:line="360" w:lineRule="auto"/>
        <w:rPr>
          <w:sz w:val="24"/>
        </w:rPr>
      </w:pPr>
      <w:r>
        <w:rPr>
          <w:sz w:val="24"/>
        </w:rPr>
        <w:t xml:space="preserve">pH、溶解氧、电导率、浊度、水温、高锰酸盐指数、氨氮、总磷、总氮，叶绿素a、</w:t>
      </w:r>
      <w:r>
        <w:rPr>
          <w:sz w:val="24"/>
        </w:rPr>
        <w:t xml:space="preserve">藻密度</w:t>
      </w:r>
      <w:r>
        <w:rPr>
          <w:sz w:val="24"/>
        </w:rPr>
        <w:t xml:space="preserve">，预留不少于2个扩展口以备未来系统升级。</w:t>
      </w:r>
      <w:r/>
    </w:p>
    <w:p>
      <w:pPr>
        <w:ind w:firstLine="480"/>
        <w:jc w:val="left"/>
        <w:spacing w:line="360" w:lineRule="auto"/>
        <w:rPr>
          <w:sz w:val="24"/>
        </w:rPr>
      </w:pPr>
      <w:r>
        <w:rPr>
          <w:sz w:val="24"/>
        </w:rPr>
        <w:t xml:space="preserve">（2）环境指标</w:t>
      </w:r>
      <w:r/>
    </w:p>
    <w:p>
      <w:pPr>
        <w:ind w:firstLine="480"/>
        <w:jc w:val="left"/>
        <w:spacing w:line="360" w:lineRule="auto"/>
        <w:rPr>
          <w:sz w:val="24"/>
        </w:rPr>
      </w:pPr>
      <w:r>
        <w:rPr>
          <w:sz w:val="24"/>
        </w:rPr>
        <w:t xml:space="preserve">温度（包括舱内）、湿度（包括舱内）。</w:t>
      </w:r>
      <w:r/>
    </w:p>
    <w:p>
      <w:pPr>
        <w:ind w:firstLine="480"/>
        <w:jc w:val="left"/>
        <w:spacing w:line="360" w:lineRule="auto"/>
        <w:rPr>
          <w:sz w:val="24"/>
        </w:rPr>
      </w:pPr>
      <w:r>
        <w:rPr>
          <w:sz w:val="24"/>
        </w:rPr>
        <w:t xml:space="preserve">（3）仪器设备的工作状态：供电、启动、停止、运行、测量、校零、校标、标样核查、清洗、维护、故障、试剂添加、采样时间、采样频次、供电系统状态、通信状态等。</w:t>
      </w:r>
      <w:r/>
    </w:p>
    <w:p>
      <w:pPr>
        <w:ind w:firstLine="480"/>
        <w:jc w:val="left"/>
        <w:spacing w:line="360" w:lineRule="auto"/>
        <w:rPr>
          <w:sz w:val="24"/>
        </w:rPr>
      </w:pPr>
      <w:r>
        <w:rPr>
          <w:sz w:val="24"/>
        </w:rPr>
        <w:t xml:space="preserve">（4）报警信息</w:t>
      </w:r>
      <w:r/>
    </w:p>
    <w:p>
      <w:pPr>
        <w:ind w:firstLine="480"/>
        <w:jc w:val="left"/>
        <w:spacing w:line="360" w:lineRule="auto"/>
        <w:rPr>
          <w:sz w:val="24"/>
        </w:rPr>
      </w:pPr>
      <w:r>
        <w:rPr>
          <w:sz w:val="24"/>
        </w:rPr>
        <w:t xml:space="preserve">供电电源断电、设备断电、设备停运、试剂缺少、设备异常改动，数据超标、数据越限、标定异常、测量异常等仪器内部异常，室内温湿度、烟感等安全信息。</w:t>
      </w:r>
      <w:r/>
    </w:p>
    <w:p>
      <w:pPr>
        <w:ind w:firstLine="480"/>
        <w:jc w:val="left"/>
        <w:spacing w:line="360" w:lineRule="auto"/>
        <w:rPr>
          <w:sz w:val="24"/>
        </w:rPr>
      </w:pPr>
      <w:r>
        <w:rPr>
          <w:sz w:val="24"/>
        </w:rPr>
        <w:t xml:space="preserve">（5）关键参数</w:t>
      </w:r>
      <w:r/>
    </w:p>
    <w:p>
      <w:pPr>
        <w:ind w:firstLine="480"/>
        <w:jc w:val="left"/>
        <w:spacing w:line="360" w:lineRule="auto"/>
        <w:rPr>
          <w:sz w:val="24"/>
        </w:rPr>
      </w:pPr>
      <w:r>
        <w:rPr>
          <w:sz w:val="24"/>
        </w:rPr>
        <w:t xml:space="preserve">应包括标定间隔、测量间隔、标样核查间隔、测量模式、量程上下限、曲线系数、标液参数、标定信息、设备序列号等。</w:t>
      </w:r>
      <w:r/>
    </w:p>
    <w:p>
      <w:pPr>
        <w:ind w:firstLine="480"/>
        <w:jc w:val="left"/>
        <w:spacing w:line="360" w:lineRule="auto"/>
        <w:rPr>
          <w:sz w:val="24"/>
        </w:rPr>
      </w:pPr>
      <w:r>
        <w:rPr>
          <w:sz w:val="24"/>
        </w:rPr>
        <w:t xml:space="preserve">（6）监测项目</w:t>
      </w:r>
      <w:r/>
    </w:p>
    <w:p>
      <w:pPr>
        <w:ind w:firstLine="480"/>
        <w:jc w:val="left"/>
        <w:spacing w:line="360" w:lineRule="auto"/>
        <w:rPr>
          <w:sz w:val="24"/>
        </w:rPr>
      </w:pPr>
      <w:r>
        <w:rPr>
          <w:sz w:val="24"/>
        </w:rPr>
        <w:t xml:space="preserve">根据确定的监测频次，每次作为一次有效值进行采集，可设置频次。</w:t>
      </w:r>
      <w:r/>
    </w:p>
    <w:p>
      <w:pPr>
        <w:ind w:firstLine="480"/>
        <w:jc w:val="left"/>
        <w:spacing w:line="360" w:lineRule="auto"/>
        <w:rPr>
          <w:sz w:val="24"/>
        </w:rPr>
      </w:pPr>
      <w:r>
        <w:rPr>
          <w:sz w:val="24"/>
        </w:rPr>
        <w:t xml:space="preserve">（7）具有历史数据存储功能，断电后数据至少保存90天，并能储存三年以上的原始数据，同时保存相应时期发生的有关校准、断电及其它事件记录。</w:t>
      </w:r>
      <w:r/>
    </w:p>
    <w:p>
      <w:pPr>
        <w:ind w:firstLine="480"/>
        <w:jc w:val="left"/>
        <w:spacing w:line="360" w:lineRule="auto"/>
        <w:rPr>
          <w:sz w:val="24"/>
        </w:rPr>
      </w:pPr>
      <w:r>
        <w:rPr>
          <w:sz w:val="24"/>
        </w:rPr>
        <w:t xml:space="preserve">（8）采集自动分析仪器和集成系统各单元的工作状态量，并以运行日志的形式记录保存。</w:t>
      </w:r>
      <w:r/>
    </w:p>
    <w:p>
      <w:pPr>
        <w:ind w:firstLine="480"/>
        <w:jc w:val="left"/>
        <w:spacing w:line="360" w:lineRule="auto"/>
        <w:rPr>
          <w:sz w:val="24"/>
        </w:rPr>
      </w:pPr>
      <w:r>
        <w:rPr>
          <w:sz w:val="24"/>
        </w:rPr>
        <w:t xml:space="preserve">（9）自动记录并分类数据采集异常信息，便于用户全面管理数据，不同监测点可以灵活设置不同监测项目。</w:t>
      </w:r>
      <w:r/>
    </w:p>
    <w:p>
      <w:pPr>
        <w:ind w:firstLine="482"/>
        <w:jc w:val="left"/>
        <w:spacing w:line="360" w:lineRule="auto"/>
        <w:rPr>
          <w:b/>
          <w:bCs/>
          <w:sz w:val="24"/>
        </w:rPr>
      </w:pPr>
      <w:r>
        <w:rPr>
          <w:rFonts w:hint="eastAsia"/>
          <w:b/>
          <w:bCs/>
          <w:sz w:val="24"/>
        </w:rPr>
        <w:t xml:space="preserve">3.6.2</w:t>
      </w:r>
      <w:r>
        <w:rPr>
          <w:b/>
          <w:bCs/>
          <w:sz w:val="24"/>
        </w:rPr>
        <w:t xml:space="preserve">数据传输与通讯</w:t>
      </w:r>
      <w:r/>
    </w:p>
    <w:p>
      <w:pPr>
        <w:ind w:firstLine="480"/>
        <w:jc w:val="left"/>
        <w:spacing w:line="360" w:lineRule="auto"/>
        <w:rPr>
          <w:sz w:val="24"/>
        </w:rPr>
      </w:pPr>
      <w:r>
        <w:rPr>
          <w:sz w:val="24"/>
        </w:rPr>
        <w:t xml:space="preserve">采用以无线通讯（GPRS、CDMA、3G、4G），一点多传数据远传通讯方式，无线通讯方式实时在线，通讯周期频率按需实时可调，实现相应的数据标示、关键参数、工作状态、告警信息上报，并响应平台下发的控制命令，</w:t>
      </w:r>
      <w:r>
        <w:rPr>
          <w:rFonts w:hint="eastAsia" w:ascii="宋体" w:hAnsi="宋体" w:cs="宋体"/>
          <w:sz w:val="24"/>
        </w:rPr>
        <w:t xml:space="preserve">监测系统数据传输要符合《污染物自动监测监控系统数据传输技术要求》（HJ 212-2025）</w:t>
      </w:r>
      <w:r>
        <w:rPr>
          <w:sz w:val="24"/>
        </w:rPr>
        <w:t xml:space="preserve">。</w:t>
      </w:r>
      <w:bookmarkEnd w:id="88"/>
      <w:r/>
      <w:bookmarkEnd w:id="89"/>
      <w:r/>
      <w:bookmarkEnd w:id="90"/>
      <w:r/>
      <w:bookmarkEnd w:id="91"/>
      <w:r/>
      <w:bookmarkEnd w:id="92"/>
      <w:r/>
      <w:bookmarkEnd w:id="93"/>
      <w:r/>
      <w:bookmarkEnd w:id="94"/>
      <w:r/>
      <w:r/>
    </w:p>
    <w:p>
      <w:pPr>
        <w:ind w:firstLine="482"/>
        <w:spacing w:line="360" w:lineRule="auto"/>
        <w:rPr>
          <w:rFonts w:ascii="宋体" w:hAnsi="宋体" w:cs="宋体"/>
          <w:b/>
          <w:bCs/>
          <w:sz w:val="24"/>
        </w:rPr>
        <w:outlineLvl w:val="1"/>
      </w:pPr>
      <w:r>
        <w:rPr>
          <w:rFonts w:hint="eastAsia" w:ascii="宋体" w:hAnsi="宋体" w:cs="宋体"/>
          <w:b/>
          <w:bCs/>
          <w:sz w:val="24"/>
        </w:rPr>
        <w:t xml:space="preserve">（三）质保及售后服务要求</w:t>
      </w:r>
      <w:r/>
    </w:p>
    <w:p>
      <w:pPr>
        <w:ind w:firstLine="482"/>
        <w:spacing w:line="360" w:lineRule="auto"/>
        <w:rPr>
          <w:rFonts w:ascii="宋体" w:hAnsi="宋体" w:cs="宋体"/>
          <w:b/>
          <w:sz w:val="24"/>
        </w:rPr>
      </w:pPr>
      <w:r>
        <w:rPr>
          <w:rFonts w:hint="eastAsia" w:ascii="宋体" w:hAnsi="宋体" w:cs="宋体"/>
          <w:b/>
          <w:sz w:val="24"/>
        </w:rPr>
        <w:t xml:space="preserve">1.质保期</w:t>
      </w:r>
      <w:r/>
    </w:p>
    <w:p>
      <w:pPr>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b/>
          <w:sz w:val="24"/>
        </w:rPr>
        <w:t xml:space="preserve">免费质保期为项目验收合格之日起二年</w:t>
      </w:r>
      <w:r>
        <w:rPr>
          <w:rFonts w:hint="eastAsia" w:ascii="宋体" w:hAnsi="宋体" w:cs="宋体"/>
          <w:sz w:val="24"/>
        </w:rPr>
        <w:t xml:space="preserve">。质保期内应免费提供技术服务，技术服务包括系统的维修和技术支持。</w:t>
      </w:r>
      <w:r/>
    </w:p>
    <w:p>
      <w:pPr>
        <w:ind w:firstLine="480"/>
        <w:spacing w:line="360" w:lineRule="auto"/>
        <w:rPr>
          <w:rFonts w:ascii="宋体" w:hAnsi="宋体" w:cs="宋体"/>
          <w:sz w:val="24"/>
        </w:rPr>
      </w:pPr>
      <w:r>
        <w:rPr>
          <w:rFonts w:hint="eastAsia" w:ascii="宋体" w:hAnsi="宋体" w:cs="宋体"/>
          <w:sz w:val="24"/>
        </w:rPr>
        <w:t xml:space="preserve">1.2质保期结束后，中标单位保证不少于6年的耗材及备品备件的正常供应，并以优惠价格供应。</w:t>
      </w:r>
      <w:r/>
    </w:p>
    <w:p>
      <w:pPr>
        <w:ind w:firstLine="480"/>
        <w:spacing w:line="360" w:lineRule="auto"/>
        <w:rPr>
          <w:rFonts w:ascii="宋体" w:hAnsi="宋体" w:cs="宋体"/>
          <w:sz w:val="24"/>
        </w:rPr>
      </w:pPr>
      <w:r>
        <w:rPr>
          <w:rFonts w:hint="eastAsia" w:ascii="宋体" w:hAnsi="宋体" w:cs="宋体"/>
          <w:sz w:val="24"/>
        </w:rPr>
        <w:t xml:space="preserve">1.3中标单位提供系统运行维护手册,内容详细,方法简便。</w:t>
      </w:r>
      <w:r/>
    </w:p>
    <w:p>
      <w:pPr>
        <w:ind w:firstLine="482"/>
        <w:spacing w:line="360" w:lineRule="auto"/>
        <w:rPr>
          <w:rFonts w:ascii="宋体" w:hAnsi="宋体" w:cs="宋体"/>
          <w:b/>
          <w:sz w:val="24"/>
        </w:rPr>
      </w:pPr>
      <w:r>
        <w:rPr>
          <w:rFonts w:hint="eastAsia" w:ascii="宋体" w:hAnsi="宋体" w:cs="宋体"/>
          <w:b/>
          <w:sz w:val="24"/>
        </w:rPr>
        <w:t xml:space="preserve">2.服务和技术支持要求</w:t>
      </w:r>
      <w:r/>
    </w:p>
    <w:p>
      <w:pPr>
        <w:ind w:firstLine="480"/>
        <w:spacing w:line="360" w:lineRule="auto"/>
        <w:rPr>
          <w:rFonts w:ascii="宋体" w:hAnsi="宋体" w:cs="宋体"/>
          <w:sz w:val="24"/>
        </w:rPr>
      </w:pPr>
      <w:r>
        <w:rPr>
          <w:rFonts w:hint="eastAsia" w:ascii="宋体" w:hAnsi="宋体" w:cs="宋体"/>
          <w:sz w:val="24"/>
        </w:rPr>
        <w:t xml:space="preserve">2.1在安装调试、试运行期间和质保期内，中标单位应保证提供及时充足的技术服务。系统出现故障时，中标单位应在接到通知后能够2小时响应、12小时到达现场服务以及故障应急处理方案，并负责48小时内修复出现的问题。否则采购人将自行采取必要的措施，由此产生风险和费用应由中标单位承担。</w:t>
      </w:r>
      <w:r/>
    </w:p>
    <w:p>
      <w:pPr>
        <w:ind w:firstLine="480"/>
        <w:spacing w:line="360" w:lineRule="auto"/>
        <w:rPr>
          <w:rFonts w:ascii="宋体" w:hAnsi="宋体" w:cs="宋体"/>
          <w:sz w:val="24"/>
        </w:rPr>
      </w:pPr>
      <w:r>
        <w:rPr>
          <w:rFonts w:hint="eastAsia" w:ascii="宋体" w:hAnsi="宋体" w:cs="宋体"/>
          <w:sz w:val="24"/>
        </w:rPr>
        <w:t xml:space="preserve">2.2投标人在提交投标文件时应提供售后服务方案和应急方案，包括售后服务的经费问题。</w:t>
      </w:r>
      <w:r/>
    </w:p>
    <w:p>
      <w:pPr>
        <w:ind w:firstLine="480"/>
        <w:spacing w:line="360" w:lineRule="auto"/>
        <w:rPr>
          <w:rFonts w:ascii="宋体" w:hAnsi="宋体" w:cs="宋体"/>
          <w:sz w:val="24"/>
        </w:rPr>
      </w:pPr>
      <w:r>
        <w:rPr>
          <w:rFonts w:hint="eastAsia" w:ascii="宋体" w:hAnsi="宋体" w:cs="宋体"/>
          <w:sz w:val="24"/>
        </w:rPr>
        <w:t xml:space="preserve">2.3软件升级及系统扩展方案</w:t>
      </w:r>
      <w:r/>
    </w:p>
    <w:p>
      <w:pPr>
        <w:ind w:firstLine="480"/>
        <w:spacing w:line="360" w:lineRule="auto"/>
        <w:rPr>
          <w:rFonts w:ascii="宋体" w:hAnsi="宋体" w:cs="宋体"/>
          <w:sz w:val="24"/>
        </w:rPr>
      </w:pPr>
      <w:r>
        <w:rPr>
          <w:rFonts w:hint="eastAsia" w:ascii="宋体" w:hAnsi="宋体" w:cs="宋体"/>
          <w:sz w:val="24"/>
        </w:rPr>
        <w:t xml:space="preserve">中标单位必须对提供的软件知识产权负责，根据采购人的要求和行业技术的发展，免费提供系统监控软件和通讯软件的维护和改进工作。如今后对水质自动监测技术规范作出调整，中标单位须及时地免费为采购人提供软件升级服务或调整。</w:t>
      </w:r>
      <w:r/>
    </w:p>
    <w:p>
      <w:pPr>
        <w:ind w:firstLine="480"/>
        <w:spacing w:line="360" w:lineRule="auto"/>
        <w:rPr>
          <w:rFonts w:ascii="宋体" w:hAnsi="宋体" w:cs="宋体"/>
          <w:sz w:val="24"/>
        </w:rPr>
      </w:pPr>
      <w:r>
        <w:rPr>
          <w:rFonts w:hint="eastAsia" w:ascii="宋体" w:hAnsi="宋体" w:cs="宋体"/>
          <w:sz w:val="24"/>
        </w:rPr>
        <w:t xml:space="preserve">2.4要求合同签订后规定时间内完成系统所有建设内容。试运行</w:t>
      </w:r>
      <w:r>
        <w:rPr>
          <w:rFonts w:ascii="宋体" w:hAnsi="宋体" w:cs="宋体"/>
          <w:sz w:val="24"/>
        </w:rPr>
        <w:t xml:space="preserve">1个月后组织项目建设整体验收</w:t>
      </w:r>
      <w:r>
        <w:rPr>
          <w:rFonts w:hint="eastAsia" w:ascii="宋体" w:hAnsi="宋体" w:cs="宋体"/>
          <w:sz w:val="24"/>
        </w:rPr>
        <w:t xml:space="preserve">，试运行期间保证正常运行。投标人应制订明确的合同交货进度表。</w:t>
      </w:r>
      <w:r/>
    </w:p>
    <w:p>
      <w:pPr>
        <w:ind w:firstLine="480"/>
        <w:spacing w:line="360" w:lineRule="auto"/>
        <w:rPr>
          <w:rFonts w:ascii="宋体" w:hAnsi="宋体" w:cs="宋体"/>
          <w:sz w:val="24"/>
        </w:rPr>
      </w:pPr>
      <w:r>
        <w:rPr>
          <w:rFonts w:hint="eastAsia" w:ascii="宋体" w:hAnsi="宋体" w:cs="宋体"/>
          <w:sz w:val="24"/>
        </w:rPr>
        <w:t xml:space="preserve">2.5质保及运维期间，技术人员如果出现1次未能及时解决问题的，采购人有权对其进行扣款，单次扣款比例不超过项目总金额的1%。中标单位需在每月15日前提供上月详细的服务报告，如实记录包括设备维修保养更换、质控核查等内容。相关报告将做为采购人对中标单位在免费服务期间质量评估的重要依据。</w:t>
      </w:r>
      <w:r/>
    </w:p>
    <w:p>
      <w:pPr>
        <w:ind w:firstLine="482"/>
        <w:spacing w:line="360" w:lineRule="auto"/>
        <w:rPr>
          <w:rFonts w:ascii="宋体" w:hAnsi="宋体" w:cs="宋体"/>
          <w:b/>
          <w:sz w:val="24"/>
        </w:rPr>
      </w:pPr>
      <w:r>
        <w:rPr>
          <w:rFonts w:hint="eastAsia" w:ascii="宋体" w:hAnsi="宋体" w:cs="宋体"/>
          <w:b/>
          <w:sz w:val="24"/>
        </w:rPr>
        <w:t xml:space="preserve">3.培训要求</w:t>
      </w:r>
      <w:r/>
    </w:p>
    <w:p>
      <w:pPr>
        <w:ind w:firstLine="480"/>
        <w:spacing w:line="360" w:lineRule="auto"/>
        <w:rPr>
          <w:rFonts w:ascii="宋体" w:hAnsi="宋体" w:cs="宋体"/>
          <w:sz w:val="24"/>
        </w:rPr>
      </w:pPr>
      <w:r>
        <w:rPr>
          <w:rFonts w:hint="eastAsia" w:ascii="宋体" w:hAnsi="宋体" w:cs="宋体"/>
          <w:sz w:val="24"/>
        </w:rPr>
        <w:t xml:space="preserve">服务期间，采购人可以要求中标单位对有培训要求的人员做点对点的培训，次数不限，以采购人需求为准，以便对项目实施进行有效管理，同时保证采购人能够进行系统的应用操作。投标人需要提供详细的培训方案。</w:t>
      </w:r>
      <w:r/>
    </w:p>
    <w:p>
      <w:pPr>
        <w:ind w:firstLine="482"/>
        <w:spacing w:line="360" w:lineRule="auto"/>
        <w:rPr>
          <w:rFonts w:ascii="宋体" w:hAnsi="宋体" w:cs="宋体"/>
          <w:b/>
          <w:bCs/>
          <w:sz w:val="24"/>
        </w:rPr>
      </w:pPr>
      <w:r>
        <w:rPr>
          <w:rFonts w:hint="eastAsia" w:ascii="宋体" w:hAnsi="宋体" w:cs="宋体"/>
          <w:b/>
          <w:bCs/>
          <w:sz w:val="24"/>
        </w:rPr>
        <w:t xml:space="preserve">4.建设期的质量保证</w:t>
      </w:r>
      <w:r/>
    </w:p>
    <w:p>
      <w:pPr>
        <w:ind w:firstLine="480"/>
        <w:spacing w:line="360" w:lineRule="auto"/>
        <w:rPr>
          <w:rFonts w:ascii="宋体" w:hAnsi="宋体" w:cs="宋体"/>
          <w:sz w:val="24"/>
        </w:rPr>
      </w:pPr>
      <w:r>
        <w:rPr>
          <w:rFonts w:hint="eastAsia" w:ascii="宋体" w:hAnsi="宋体" w:cs="宋体"/>
          <w:sz w:val="24"/>
        </w:rPr>
        <w:t xml:space="preserve">4.1中标单位不得以任何形式将本项目转包于他方。</w:t>
      </w:r>
      <w:r/>
    </w:p>
    <w:p>
      <w:pPr>
        <w:ind w:firstLine="480"/>
        <w:spacing w:line="360" w:lineRule="auto"/>
        <w:rPr>
          <w:rFonts w:ascii="宋体" w:hAnsi="宋体" w:cs="宋体"/>
          <w:sz w:val="24"/>
        </w:rPr>
      </w:pPr>
      <w:r>
        <w:rPr>
          <w:rFonts w:hint="eastAsia" w:ascii="宋体" w:hAnsi="宋体" w:cs="宋体"/>
          <w:sz w:val="24"/>
        </w:rPr>
        <w:t xml:space="preserve">4.2系统和设备达不到招标文件质量和规格要求的，采购人有权解除合同，所有责任由中标单位承担。</w:t>
      </w:r>
      <w:r/>
    </w:p>
    <w:p>
      <w:pPr>
        <w:ind w:firstLine="480"/>
        <w:spacing w:line="360" w:lineRule="auto"/>
        <w:rPr>
          <w:rFonts w:ascii="宋体" w:hAnsi="宋体" w:cs="宋体"/>
          <w:sz w:val="24"/>
        </w:rPr>
      </w:pPr>
      <w:r>
        <w:rPr>
          <w:rFonts w:hint="eastAsia" w:ascii="宋体" w:hAnsi="宋体" w:cs="宋体"/>
          <w:sz w:val="24"/>
        </w:rPr>
        <w:t xml:space="preserve">4.3中标单位必须严格按照合同约定工期要求将合同设备全部交付到指定地点，完成系统所有建设内容。</w:t>
      </w:r>
      <w:r/>
    </w:p>
    <w:p>
      <w:pPr>
        <w:ind w:firstLine="480"/>
        <w:spacing w:line="360" w:lineRule="auto"/>
        <w:rPr>
          <w:rFonts w:ascii="宋体" w:hAnsi="宋体" w:cs="宋体"/>
          <w:sz w:val="24"/>
        </w:rPr>
      </w:pPr>
      <w:r>
        <w:rPr>
          <w:rFonts w:hint="eastAsia" w:ascii="宋体" w:hAnsi="宋体" w:cs="宋体"/>
          <w:sz w:val="24"/>
        </w:rPr>
        <w:t xml:space="preserve">4.4投标人需提供系统各单元详细的仪器、设备和采用的各种材料明细清单，包括品牌、型号、详细配置、制造商、数量、备品备件及专用工具等等。</w:t>
      </w:r>
      <w:r/>
    </w:p>
    <w:p>
      <w:pPr>
        <w:ind w:firstLine="480"/>
        <w:spacing w:line="360" w:lineRule="auto"/>
        <w:rPr>
          <w:rFonts w:ascii="宋体" w:hAnsi="宋体" w:cs="宋体"/>
          <w:sz w:val="24"/>
        </w:rPr>
      </w:pPr>
      <w:r>
        <w:rPr>
          <w:rFonts w:hint="eastAsia" w:ascii="宋体" w:hAnsi="宋体" w:cs="宋体"/>
          <w:sz w:val="24"/>
        </w:rPr>
        <w:t xml:space="preserve">4.5自动站在正式验收之前，仪器设备的安全由中标单位负责，以保证验收交付时设备完好。</w:t>
      </w:r>
      <w:r/>
    </w:p>
    <w:p>
      <w:pPr>
        <w:ind w:firstLine="480"/>
        <w:spacing w:line="360" w:lineRule="auto"/>
        <w:rPr>
          <w:rFonts w:ascii="宋体" w:hAnsi="宋体" w:cs="宋体"/>
          <w:sz w:val="24"/>
        </w:rPr>
      </w:pPr>
      <w:r>
        <w:rPr>
          <w:rFonts w:hint="eastAsia" w:ascii="宋体" w:hAnsi="宋体" w:cs="宋体"/>
          <w:sz w:val="24"/>
        </w:rPr>
        <w:t xml:space="preserve">4.6</w:t>
      </w:r>
      <w:r>
        <w:rPr>
          <w:rFonts w:hint="eastAsia" w:ascii="宋体" w:hAnsi="宋体" w:cs="宋体"/>
          <w:b/>
          <w:sz w:val="24"/>
        </w:rPr>
        <w:t xml:space="preserve">自动站在正式交付之前，运行所需的电、通讯等费用由中标单位承担，以保证交付之前系统稳定运行。</w:t>
      </w:r>
      <w:r/>
    </w:p>
    <w:p>
      <w:pPr>
        <w:ind w:firstLine="482"/>
        <w:spacing w:line="360" w:lineRule="auto"/>
        <w:rPr>
          <w:rFonts w:ascii="宋体" w:hAnsi="宋体" w:cs="宋体"/>
          <w:b/>
          <w:bCs/>
          <w:sz w:val="24"/>
        </w:rPr>
      </w:pPr>
      <w:r>
        <w:rPr>
          <w:rFonts w:hint="eastAsia" w:ascii="宋体" w:hAnsi="宋体" w:cs="宋体"/>
          <w:b/>
          <w:bCs/>
          <w:sz w:val="24"/>
        </w:rPr>
        <w:t xml:space="preserve">5.供货及投入正常运转的时限要求</w:t>
      </w:r>
      <w:r/>
    </w:p>
    <w:p>
      <w:pPr>
        <w:ind w:firstLine="482"/>
        <w:spacing w:line="360" w:lineRule="auto"/>
        <w:rPr>
          <w:rFonts w:ascii="宋体" w:hAnsi="宋体" w:cs="宋体"/>
          <w:sz w:val="24"/>
        </w:rPr>
      </w:pPr>
      <w:r>
        <w:rPr>
          <w:rFonts w:hint="eastAsia" w:ascii="宋体" w:hAnsi="宋体" w:cs="宋体"/>
          <w:b/>
          <w:sz w:val="24"/>
        </w:rPr>
        <w:t xml:space="preserve">中标单位在签订合同后30天内完成供货、安装、调试、检测并投入试运行。</w:t>
      </w:r>
      <w:r>
        <w:rPr>
          <w:rFonts w:hint="eastAsia" w:ascii="宋体" w:hAnsi="宋体" w:cs="宋体"/>
          <w:sz w:val="24"/>
        </w:rPr>
        <w:t xml:space="preserve">投标人应制订明确的合同交货进度表。试运行期满后组织项目整体验收，试运行期间保证正常运行。投标人应制订明确的合同交货进度表。提供详细的安装调试实施方案和进度计划，明确管理与技术人员职责，强调安装时效性。</w:t>
      </w:r>
      <w:r/>
    </w:p>
    <w:p>
      <w:pPr>
        <w:ind w:firstLine="482"/>
        <w:spacing w:line="360" w:lineRule="auto"/>
        <w:rPr>
          <w:rFonts w:ascii="宋体" w:hAnsi="宋体" w:cs="宋体"/>
          <w:b/>
          <w:bCs/>
          <w:sz w:val="24"/>
        </w:rPr>
      </w:pPr>
      <w:r>
        <w:rPr>
          <w:rFonts w:hint="eastAsia" w:ascii="宋体" w:hAnsi="宋体" w:cs="宋体"/>
          <w:b/>
          <w:bCs/>
          <w:sz w:val="24"/>
        </w:rPr>
        <w:t xml:space="preserve">6.项目建设验收办法</w:t>
      </w:r>
      <w:r/>
    </w:p>
    <w:p>
      <w:pPr>
        <w:ind w:firstLine="480"/>
        <w:spacing w:line="360" w:lineRule="auto"/>
        <w:rPr>
          <w:rFonts w:ascii="宋体" w:hAnsi="宋体" w:cs="宋体"/>
          <w:sz w:val="24"/>
        </w:rPr>
      </w:pPr>
      <w:r>
        <w:rPr>
          <w:rFonts w:hint="eastAsia" w:ascii="宋体" w:hAnsi="宋体" w:cs="宋体"/>
          <w:sz w:val="24"/>
        </w:rPr>
        <w:t xml:space="preserve">货物到达安装现场后，投标人和招标人（或委托的监理方）共同打开包装验货检查货物数量。投标人应提供详细装箱单据。如果货物质量或技术规格与合同不符，或货物有明显损坏，招标人有权提出索赔。只有经安装调试并且技术性能达到本招标文件所述的技术要求后，招标人才能接受全部货物。</w:t>
      </w:r>
      <w:r/>
    </w:p>
    <w:p>
      <w:pPr>
        <w:ind w:firstLine="480"/>
        <w:spacing w:line="360" w:lineRule="auto"/>
        <w:rPr>
          <w:rFonts w:ascii="宋体" w:hAnsi="宋体" w:cs="宋体"/>
          <w:sz w:val="24"/>
        </w:rPr>
      </w:pPr>
      <w:r>
        <w:rPr>
          <w:rFonts w:hint="eastAsia" w:ascii="宋体" w:hAnsi="宋体" w:cs="宋体"/>
          <w:sz w:val="24"/>
        </w:rPr>
        <w:t xml:space="preserve">系统试运行期满后（试运行期须符合相关技术规范要求），考察系统运行情况，进行相关指标的测试，由中标人提供验收报告，经招标人确认后，组织项目整体验收，相关费用由中标人承担。</w:t>
      </w:r>
      <w:r/>
    </w:p>
    <w:p>
      <w:pPr>
        <w:ind w:firstLine="480"/>
        <w:spacing w:line="360" w:lineRule="auto"/>
        <w:rPr>
          <w:rFonts w:ascii="宋体" w:hAnsi="宋体" w:cs="宋体"/>
          <w:sz w:val="24"/>
        </w:rPr>
      </w:pPr>
      <w:r>
        <w:rPr>
          <w:rFonts w:hint="eastAsia" w:ascii="宋体" w:hAnsi="宋体" w:cs="宋体"/>
          <w:sz w:val="24"/>
        </w:rPr>
        <w:t xml:space="preserve">仪器设备不满足招标文件要求的，招标人有权解除合同并追究中标人法律责任。</w:t>
      </w:r>
      <w:r/>
    </w:p>
    <w:p>
      <w:pPr>
        <w:ind w:firstLine="482"/>
        <w:spacing w:line="360" w:lineRule="auto"/>
        <w:rPr>
          <w:rFonts w:ascii="宋体" w:hAnsi="宋体" w:cs="宋体"/>
          <w:b/>
          <w:bCs/>
          <w:sz w:val="24"/>
        </w:rPr>
        <w:outlineLvl w:val="1"/>
      </w:pPr>
      <w:r>
        <w:rPr>
          <w:rFonts w:hint="eastAsia" w:ascii="宋体" w:hAnsi="宋体" w:cs="宋体"/>
          <w:b/>
          <w:bCs/>
          <w:sz w:val="24"/>
        </w:rPr>
        <w:t xml:space="preserve">（四）运维技术服务要求</w:t>
      </w:r>
      <w:r/>
    </w:p>
    <w:p>
      <w:pPr>
        <w:ind w:firstLine="480"/>
        <w:spacing w:line="360" w:lineRule="auto"/>
        <w:rPr>
          <w:rFonts w:ascii="宋体" w:hAnsi="宋体"/>
          <w:sz w:val="24"/>
        </w:rPr>
      </w:pPr>
      <w:r>
        <w:rPr>
          <w:rFonts w:hint="eastAsia" w:ascii="宋体" w:hAnsi="宋体"/>
          <w:sz w:val="24"/>
        </w:rPr>
        <w:t xml:space="preserve">中标单位应就本项目提供两年的运维服务，运维期自验收合格之日起算。</w:t>
      </w:r>
      <w:r/>
    </w:p>
    <w:p>
      <w:pPr>
        <w:ind w:firstLine="480"/>
        <w:spacing w:line="360" w:lineRule="auto"/>
        <w:rPr>
          <w:rFonts w:ascii="宋体" w:hAnsi="宋体" w:cs="宋体"/>
          <w:sz w:val="24"/>
        </w:rPr>
      </w:pPr>
      <w:r>
        <w:rPr>
          <w:rFonts w:hint="eastAsia" w:ascii="宋体" w:hAnsi="宋体" w:cs="宋体"/>
          <w:sz w:val="24"/>
        </w:rPr>
        <w:t xml:space="preserve">1.备品备件及备机要求</w:t>
      </w:r>
      <w:r/>
    </w:p>
    <w:p>
      <w:pPr>
        <w:ind w:firstLine="480"/>
        <w:spacing w:line="360" w:lineRule="auto"/>
        <w:rPr>
          <w:rFonts w:ascii="宋体" w:hAnsi="宋体" w:cs="宋体"/>
          <w:sz w:val="24"/>
        </w:rPr>
      </w:pPr>
      <w:r>
        <w:rPr>
          <w:rFonts w:hint="eastAsia" w:ascii="宋体" w:hAnsi="宋体" w:cs="宋体"/>
          <w:sz w:val="24"/>
        </w:rPr>
        <w:t xml:space="preserve">在项目建设时，准备所涉及的各类设备的备件库，用于快速、高效以更换配件或维修，保证整套设备正常运行。投标人应具备完善的系统配件、仪表配件供应渠道。</w:t>
      </w:r>
      <w:r/>
    </w:p>
    <w:p>
      <w:pPr>
        <w:ind w:firstLine="480"/>
        <w:spacing w:line="360" w:lineRule="auto"/>
        <w:rPr>
          <w:rFonts w:ascii="宋体" w:hAnsi="宋体" w:cs="宋体"/>
          <w:sz w:val="24"/>
        </w:rPr>
      </w:pPr>
      <w:r>
        <w:rPr>
          <w:rFonts w:hint="eastAsia" w:ascii="宋体" w:hAnsi="宋体" w:cs="宋体"/>
          <w:sz w:val="24"/>
        </w:rPr>
        <w:t xml:space="preserve">投标人须配置充足的水质自动站的分析仪表备用机，在水质自动站仪器仪表发生故障且24小时不能修复时，须用备机替代工作。</w:t>
      </w:r>
      <w:r/>
    </w:p>
    <w:p>
      <w:pPr>
        <w:ind w:firstLine="480"/>
        <w:spacing w:line="360" w:lineRule="auto"/>
        <w:rPr>
          <w:rFonts w:ascii="宋体" w:hAnsi="宋体" w:cs="宋体"/>
          <w:sz w:val="24"/>
        </w:rPr>
      </w:pPr>
      <w:r>
        <w:rPr>
          <w:rFonts w:hint="eastAsia" w:ascii="宋体" w:hAnsi="宋体" w:cs="宋体"/>
          <w:sz w:val="24"/>
        </w:rPr>
        <w:t xml:space="preserve">2.数据保密要求</w:t>
      </w:r>
      <w:r/>
    </w:p>
    <w:p>
      <w:pPr>
        <w:ind w:firstLine="480"/>
        <w:spacing w:line="360" w:lineRule="auto"/>
        <w:rPr>
          <w:rFonts w:ascii="宋体" w:hAnsi="宋体" w:cs="宋体"/>
          <w:sz w:val="24"/>
        </w:rPr>
      </w:pPr>
      <w:r>
        <w:rPr>
          <w:rFonts w:hint="eastAsia" w:ascii="宋体" w:hAnsi="宋体" w:cs="宋体"/>
          <w:sz w:val="24"/>
        </w:rPr>
        <w:t xml:space="preserve">在</w:t>
      </w:r>
      <w:bookmarkStart w:id="118" w:name="OLE_LINK153"/>
      <w:r/>
      <w:bookmarkStart w:id="119" w:name="OLE_LINK154"/>
      <w:r>
        <w:rPr>
          <w:rFonts w:hint="eastAsia" w:ascii="宋体" w:hAnsi="宋体" w:cs="宋体"/>
          <w:sz w:val="24"/>
        </w:rPr>
        <w:t xml:space="preserve">水质监测浮船站</w:t>
      </w:r>
      <w:bookmarkEnd w:id="118"/>
      <w:r/>
      <w:bookmarkEnd w:id="119"/>
      <w:r>
        <w:rPr>
          <w:rFonts w:hint="eastAsia" w:ascii="宋体" w:hAnsi="宋体" w:cs="宋体"/>
          <w:sz w:val="24"/>
        </w:rPr>
        <w:t xml:space="preserve">运行维护期间，</w:t>
      </w:r>
      <w:bookmarkStart w:id="120" w:name="OLE_LINK151"/>
      <w:r/>
      <w:bookmarkStart w:id="121" w:name="OLE_LINK152"/>
      <w:r>
        <w:rPr>
          <w:rFonts w:hint="eastAsia" w:ascii="宋体" w:hAnsi="宋体" w:cs="宋体"/>
          <w:sz w:val="24"/>
        </w:rPr>
        <w:t xml:space="preserve">中标人</w:t>
      </w:r>
      <w:bookmarkEnd w:id="120"/>
      <w:r/>
      <w:bookmarkEnd w:id="121"/>
      <w:r>
        <w:rPr>
          <w:rFonts w:hint="eastAsia" w:ascii="宋体" w:hAnsi="宋体" w:cs="宋体"/>
          <w:sz w:val="24"/>
        </w:rPr>
        <w:t xml:space="preserve">不得以任何形式外包合同规定的运行维护任务。不论何时，中标人都须承担监测数据的保密责任；中标人按照采购人的要求，进行报告和传输有关的监测数据；未经采购人许可不得以任何方式和渠道向外界传递任何监测数据，否则采购人有权终止合同，并追究中标人相关法律责任。不论何时，中标人无权将采购人的任何资产进行对外投资、合作、经济担保及资产抵押。</w:t>
      </w:r>
      <w:r/>
    </w:p>
    <w:p>
      <w:pPr>
        <w:ind w:firstLine="480"/>
        <w:spacing w:line="360" w:lineRule="auto"/>
        <w:rPr>
          <w:rFonts w:ascii="宋体" w:hAnsi="宋体" w:cs="宋体"/>
          <w:sz w:val="24"/>
        </w:rPr>
      </w:pPr>
      <w:r>
        <w:rPr>
          <w:rFonts w:hint="eastAsia" w:ascii="宋体" w:hAnsi="宋体" w:cs="宋体"/>
          <w:sz w:val="24"/>
        </w:rPr>
        <w:t xml:space="preserve">3.运维方案及管理要求</w:t>
      </w:r>
      <w:r/>
    </w:p>
    <w:p>
      <w:pPr>
        <w:ind w:firstLine="480"/>
        <w:spacing w:line="360" w:lineRule="auto"/>
        <w:rPr>
          <w:rFonts w:ascii="宋体" w:hAnsi="宋体" w:cs="宋体"/>
          <w:sz w:val="24"/>
        </w:rPr>
      </w:pPr>
      <w:r>
        <w:rPr>
          <w:rFonts w:hint="eastAsia" w:ascii="宋体" w:hAnsi="宋体" w:cs="宋体"/>
          <w:sz w:val="24"/>
        </w:rPr>
        <w:t xml:space="preserve">投标人须提供完整的水质监测浮船站在线监测仪器运行维护实施方案（包括应急事故处理方案等）。明确维护方法、周期、响应时间、内容和技术保障。</w:t>
      </w:r>
      <w:r/>
    </w:p>
    <w:p>
      <w:pPr>
        <w:ind w:firstLine="200"/>
        <w:spacing w:line="360" w:lineRule="auto"/>
        <w:rPr>
          <w:rFonts w:ascii="宋体" w:hAnsi="宋体" w:cs="宋体"/>
          <w:sz w:val="24"/>
        </w:rPr>
      </w:pPr>
      <w:r>
        <w:rPr>
          <w:rFonts w:hint="eastAsia" w:ascii="宋体" w:hAnsi="宋体" w:cs="宋体"/>
          <w:sz w:val="24"/>
        </w:rPr>
        <w:t xml:space="preserve">  在运行维护期间，中标人必须遵守国家的有关法律法规及其他规定，本着为采购人负责的精神，依照规范，科学管理，使各监测监控系统运行达到国家及行业颁布的技术标准和采购人要求的考核指标要求；使</w:t>
      </w:r>
      <w:bookmarkStart w:id="122" w:name="OLE_LINK155"/>
      <w:r/>
      <w:bookmarkStart w:id="123" w:name="OLE_LINK156"/>
      <w:r>
        <w:rPr>
          <w:rFonts w:hint="eastAsia" w:ascii="宋体" w:hAnsi="宋体" w:cs="宋体"/>
          <w:sz w:val="24"/>
        </w:rPr>
        <w:t xml:space="preserve">水质自动站</w:t>
      </w:r>
      <w:bookmarkEnd w:id="122"/>
      <w:r/>
      <w:bookmarkEnd w:id="123"/>
      <w:r>
        <w:rPr>
          <w:rFonts w:hint="eastAsia" w:ascii="宋体" w:hAnsi="宋体" w:cs="宋体"/>
          <w:sz w:val="24"/>
        </w:rPr>
        <w:t xml:space="preserve">系统运行真正发挥其效能和作用。</w:t>
      </w:r>
      <w:r/>
    </w:p>
    <w:p>
      <w:pPr>
        <w:ind w:firstLine="480"/>
        <w:spacing w:line="360" w:lineRule="auto"/>
        <w:rPr>
          <w:rFonts w:ascii="宋体" w:hAnsi="宋体" w:cs="宋体"/>
          <w:sz w:val="24"/>
        </w:rPr>
      </w:pPr>
      <w:r>
        <w:rPr>
          <w:rFonts w:hint="eastAsia" w:ascii="宋体" w:hAnsi="宋体" w:cs="宋体"/>
          <w:sz w:val="24"/>
        </w:rPr>
        <w:t xml:space="preserve">3.1提供配制并定期更换水质自动站仪表所需试剂、标样等耗材，并承担相应费用。</w:t>
      </w:r>
      <w:r/>
    </w:p>
    <w:p>
      <w:pPr>
        <w:ind w:firstLine="480"/>
        <w:spacing w:line="360" w:lineRule="auto"/>
        <w:rPr>
          <w:rFonts w:ascii="宋体" w:hAnsi="宋体" w:cs="宋体"/>
          <w:sz w:val="24"/>
        </w:rPr>
      </w:pPr>
      <w:r>
        <w:rPr>
          <w:rFonts w:hint="eastAsia" w:ascii="宋体" w:hAnsi="宋体" w:cs="宋体"/>
          <w:sz w:val="24"/>
        </w:rPr>
        <w:t xml:space="preserve">3.2提供并定期更换水质自动站系统和仪表所需备品备件，并承担相应费用。</w:t>
      </w:r>
      <w:r/>
    </w:p>
    <w:p>
      <w:pPr>
        <w:ind w:firstLine="480"/>
        <w:spacing w:line="360" w:lineRule="auto"/>
        <w:rPr>
          <w:rFonts w:ascii="宋体" w:hAnsi="宋体" w:cs="宋体"/>
          <w:sz w:val="24"/>
        </w:rPr>
      </w:pPr>
      <w:r>
        <w:rPr>
          <w:rFonts w:hint="eastAsia" w:ascii="宋体" w:hAnsi="宋体" w:cs="宋体"/>
          <w:sz w:val="24"/>
        </w:rPr>
        <w:t xml:space="preserve">3.3对水质自动站系统和仪表进行定期检修、维护保养。</w:t>
      </w:r>
      <w:r/>
    </w:p>
    <w:p>
      <w:pPr>
        <w:ind w:firstLine="480"/>
        <w:spacing w:line="360" w:lineRule="auto"/>
        <w:rPr>
          <w:rFonts w:ascii="宋体" w:hAnsi="宋体" w:cs="宋体"/>
          <w:sz w:val="24"/>
        </w:rPr>
      </w:pPr>
      <w:r>
        <w:rPr>
          <w:rFonts w:hint="eastAsia" w:ascii="宋体" w:hAnsi="宋体" w:cs="宋体"/>
          <w:sz w:val="24"/>
        </w:rPr>
        <w:t xml:space="preserve">3.4及时排除在线分析仪器出现的故障，要求</w:t>
      </w:r>
      <w:bookmarkStart w:id="124" w:name="OLE_LINK158"/>
      <w:r/>
      <w:bookmarkStart w:id="125" w:name="OLE_LINK157"/>
      <w:r>
        <w:rPr>
          <w:rFonts w:hint="eastAsia" w:ascii="宋体" w:hAnsi="宋体" w:cs="宋体"/>
          <w:sz w:val="24"/>
        </w:rPr>
        <w:t xml:space="preserve">中标人</w:t>
      </w:r>
      <w:bookmarkEnd w:id="124"/>
      <w:r/>
      <w:bookmarkEnd w:id="125"/>
      <w:r>
        <w:rPr>
          <w:rFonts w:hint="eastAsia" w:ascii="宋体" w:hAnsi="宋体" w:cs="宋体"/>
          <w:sz w:val="24"/>
        </w:rPr>
        <w:t xml:space="preserve">在2小时内响应。如24小时内无法解决故障，须通过更换备机或委托有资质的检测机构进行检测以确保数据的完整性，所需费用由中标人负责。对于一些关键维护，包括贵重消耗件的更换，需与采购人沟通确认，所产生的维修费用由中标人承担。</w:t>
      </w:r>
      <w:r/>
    </w:p>
    <w:p>
      <w:pPr>
        <w:ind w:firstLine="480"/>
        <w:spacing w:line="360" w:lineRule="auto"/>
        <w:rPr>
          <w:rFonts w:ascii="宋体" w:hAnsi="宋体" w:cs="宋体"/>
          <w:sz w:val="24"/>
        </w:rPr>
      </w:pPr>
      <w:r>
        <w:rPr>
          <w:rFonts w:hint="eastAsia" w:ascii="宋体" w:hAnsi="宋体" w:cs="宋体"/>
          <w:sz w:val="24"/>
        </w:rPr>
        <w:t xml:space="preserve">3.5对水质自动站仪表进行定期校准、核查、比对和性能测试工作，每天至少两次数据调用监控并进行数据梳理，频次要求每月至少2次维护，其中安全度夏期间（3-10月）根据采购人要求增加运维频次，每月开展一次实际水样的实验室比对测试。配合采购人进行水质自动站质量保证和质量质控工作。</w:t>
      </w:r>
      <w:r/>
    </w:p>
    <w:p>
      <w:pPr>
        <w:ind w:firstLine="480"/>
        <w:spacing w:line="360" w:lineRule="auto"/>
        <w:rPr>
          <w:rFonts w:ascii="宋体" w:hAnsi="宋体" w:cs="宋体"/>
          <w:sz w:val="24"/>
        </w:rPr>
      </w:pPr>
      <w:r>
        <w:rPr>
          <w:rFonts w:hint="eastAsia" w:ascii="宋体" w:hAnsi="宋体" w:cs="宋体"/>
          <w:sz w:val="24"/>
        </w:rPr>
        <w:t xml:space="preserve">3.6保证浮船内外和机柜内外的清洁，整齐。</w:t>
      </w:r>
      <w:r/>
    </w:p>
    <w:p>
      <w:pPr>
        <w:ind w:firstLine="480"/>
        <w:spacing w:line="360" w:lineRule="auto"/>
        <w:rPr>
          <w:rFonts w:ascii="宋体" w:hAnsi="宋体" w:cs="宋体"/>
          <w:sz w:val="24"/>
        </w:rPr>
      </w:pPr>
      <w:r>
        <w:rPr>
          <w:rFonts w:hint="eastAsia" w:ascii="宋体" w:hAnsi="宋体" w:cs="宋体"/>
          <w:sz w:val="24"/>
        </w:rPr>
        <w:t xml:space="preserve">3.7认真、及时做好运行维护记录，汇总各水质自动站每周维护记录，每月以书面形式上报至采购人，该书面报告作为运行维护考核的依据之一，内容包括：每日运行数据监控统计表、现场维护记录、仪器设备故障及排除情况登记表、每月运行情况、备品备件管理登记表、仪器质控统计表等。</w:t>
      </w:r>
      <w:r/>
    </w:p>
    <w:p>
      <w:pPr>
        <w:ind w:firstLine="480"/>
        <w:spacing w:line="360" w:lineRule="auto"/>
        <w:rPr>
          <w:rFonts w:ascii="宋体" w:hAnsi="宋体" w:cs="宋体"/>
          <w:sz w:val="24"/>
        </w:rPr>
      </w:pPr>
      <w:r>
        <w:rPr>
          <w:rFonts w:hint="eastAsia" w:ascii="宋体" w:hAnsi="宋体" w:cs="宋体"/>
          <w:sz w:val="24"/>
        </w:rPr>
        <w:t xml:space="preserve">3.8运行维护期间，委托中标人运行维护及管理的全部资产属采购人所有，未经采购人书面同意，中标人不得以任何方式对各类财产进行出售、抵押或转移。</w:t>
      </w:r>
      <w:r/>
    </w:p>
    <w:p>
      <w:pPr>
        <w:ind w:firstLine="480"/>
        <w:spacing w:line="360" w:lineRule="auto"/>
        <w:rPr>
          <w:rFonts w:ascii="宋体" w:hAnsi="宋体" w:cs="宋体"/>
          <w:sz w:val="24"/>
        </w:rPr>
      </w:pPr>
      <w:r>
        <w:rPr>
          <w:rFonts w:hint="eastAsia" w:ascii="宋体" w:hAnsi="宋体" w:cs="宋体"/>
          <w:sz w:val="24"/>
        </w:rPr>
        <w:t xml:space="preserve">在委托运行维护及管理期间，中标人有责任保护上述全部资产的完整、安全并处于良好状态，遇到自然灾害等不可预防、抗拒外部因素造成资产损害，中标人应第一时间向采购人上报相关情况。</w:t>
      </w:r>
      <w:r/>
    </w:p>
    <w:p>
      <w:pPr>
        <w:ind w:firstLine="480"/>
        <w:spacing w:line="360" w:lineRule="auto"/>
        <w:rPr>
          <w:rFonts w:ascii="宋体" w:hAnsi="宋体" w:cs="宋体"/>
          <w:sz w:val="24"/>
        </w:rPr>
      </w:pPr>
      <w:r>
        <w:rPr>
          <w:rFonts w:hint="eastAsia" w:ascii="宋体" w:hAnsi="宋体" w:cs="宋体"/>
          <w:sz w:val="24"/>
        </w:rPr>
        <w:t xml:space="preserve">中标人须全面承担水质自动站资产的保护工作，切实做好安全保卫、防盗、防火、防雷击以及防止其他人为或自然事故的发生。凡是由于保卫保管疏漏或使用不当造成的资产损失，由中标人负责赔偿，必要时采购人要追究中标人的责任。</w:t>
      </w:r>
      <w:r/>
    </w:p>
    <w:p>
      <w:pPr>
        <w:ind w:firstLine="480"/>
        <w:spacing w:line="360" w:lineRule="auto"/>
        <w:rPr>
          <w:rFonts w:ascii="宋体" w:hAnsi="宋体" w:cs="宋体"/>
          <w:sz w:val="24"/>
        </w:rPr>
      </w:pPr>
      <w:r>
        <w:rPr>
          <w:rFonts w:hint="eastAsia" w:ascii="宋体" w:hAnsi="宋体" w:cs="宋体"/>
          <w:sz w:val="24"/>
        </w:rPr>
        <w:t xml:space="preserve">3.9保证水质自动站数据传输的通讯正常，须预留无线传输模式；配合采购人完善数据的集成接入。</w:t>
      </w:r>
      <w:r/>
    </w:p>
    <w:p>
      <w:pPr>
        <w:ind w:firstLine="480"/>
        <w:spacing w:line="360" w:lineRule="auto"/>
        <w:rPr>
          <w:rFonts w:ascii="宋体" w:hAnsi="宋体" w:cs="宋体"/>
          <w:sz w:val="24"/>
        </w:rPr>
      </w:pPr>
      <w:r>
        <w:rPr>
          <w:rFonts w:hint="eastAsia" w:ascii="宋体" w:hAnsi="宋体" w:cs="宋体"/>
          <w:sz w:val="24"/>
        </w:rPr>
        <w:t xml:space="preserve">3.10协助采购人做好水质自动站固定资产的管理、备品配件的登记等工作。</w:t>
      </w:r>
      <w:r/>
    </w:p>
    <w:p>
      <w:pPr>
        <w:ind w:firstLine="480"/>
        <w:spacing w:line="360" w:lineRule="auto"/>
        <w:rPr>
          <w:rFonts w:ascii="宋体" w:hAnsi="宋体" w:cs="宋体"/>
          <w:sz w:val="24"/>
        </w:rPr>
      </w:pPr>
      <w:r>
        <w:rPr>
          <w:rFonts w:hint="eastAsia" w:ascii="宋体" w:hAnsi="宋体" w:cs="宋体"/>
          <w:sz w:val="24"/>
        </w:rPr>
        <w:t xml:space="preserve">3.11中标人须确保运维人员的相对固定，人员频繁调动、缺乏熟练的运维人员都将视为管理制度混乱而扣减运维费用；节假日期间，中标人必须安排值班人员，保证水质自动站正常运行。</w:t>
      </w:r>
      <w:r/>
    </w:p>
    <w:p>
      <w:pPr>
        <w:ind w:firstLine="480"/>
        <w:spacing w:line="360" w:lineRule="auto"/>
        <w:rPr>
          <w:rFonts w:ascii="宋体" w:hAnsi="宋体" w:cs="宋体"/>
          <w:sz w:val="24"/>
        </w:rPr>
      </w:pPr>
      <w:r>
        <w:rPr>
          <w:rFonts w:hint="eastAsia" w:ascii="宋体" w:hAnsi="宋体" w:cs="宋体"/>
          <w:sz w:val="24"/>
        </w:rPr>
        <w:t xml:space="preserve">3.12采购人根据管理要求和运维服务成效考核的情况，有权要求中标人适当增加车辆和人员。</w:t>
      </w:r>
      <w:r/>
    </w:p>
    <w:p>
      <w:pPr>
        <w:ind w:firstLine="480"/>
        <w:spacing w:line="360" w:lineRule="auto"/>
        <w:rPr>
          <w:rFonts w:ascii="宋体" w:hAnsi="宋体" w:cs="宋体"/>
          <w:sz w:val="24"/>
        </w:rPr>
      </w:pPr>
      <w:r>
        <w:rPr>
          <w:rFonts w:hint="eastAsia" w:ascii="宋体" w:hAnsi="宋体" w:cs="宋体"/>
          <w:sz w:val="24"/>
        </w:rPr>
        <w:t xml:space="preserve">3.13切实按照《江苏省环境水质（地表水）自动监测预警系统运行管理办法（试行）》对运营水质自动站进行管理。</w:t>
      </w:r>
      <w:r/>
    </w:p>
    <w:p>
      <w:pPr>
        <w:ind w:firstLine="424"/>
        <w:spacing w:line="360" w:lineRule="auto"/>
        <w:rPr>
          <w:rFonts w:ascii="宋体" w:hAnsi="宋体" w:cs="宋体"/>
          <w:b/>
          <w:bCs/>
          <w:sz w:val="24"/>
        </w:rPr>
      </w:pPr>
      <w:r>
        <w:rPr>
          <w:rFonts w:hint="eastAsia" w:ascii="宋体" w:hAnsi="宋体" w:cs="宋体"/>
          <w:b/>
          <w:bCs/>
          <w:sz w:val="24"/>
        </w:rPr>
        <w:t xml:space="preserve">五、综合说明及其他要求：</w:t>
      </w:r>
      <w:r/>
    </w:p>
    <w:p>
      <w:pPr>
        <w:ind w:firstLine="480"/>
        <w:spacing w:line="360" w:lineRule="auto"/>
        <w:rPr>
          <w:rFonts w:ascii="宋体" w:hAnsi="宋体" w:cs="宋体"/>
          <w:sz w:val="24"/>
        </w:rPr>
      </w:pPr>
      <w:r>
        <w:rPr>
          <w:rFonts w:hint="eastAsia" w:ascii="宋体" w:hAnsi="宋体" w:cs="宋体"/>
          <w:sz w:val="24"/>
        </w:rPr>
        <w:t xml:space="preserve">1.供应商应提供原装、全新的、符合国家及采购人提出的有关质量标准的设备，提供原厂配套的配件，必须具备生产厂商的质量合格证明、保修证明及加盖公章的技术证明文件。所提供的仪器设备的性能达到或优于本招标文件所列技术指标。</w:t>
      </w:r>
      <w:r/>
    </w:p>
    <w:p>
      <w:pPr>
        <w:ind w:firstLine="480"/>
        <w:spacing w:line="360" w:lineRule="auto"/>
        <w:rPr>
          <w:rFonts w:ascii="宋体" w:hAnsi="宋体" w:cs="宋体"/>
          <w:sz w:val="24"/>
        </w:rPr>
      </w:pPr>
      <w:r>
        <w:rPr>
          <w:rFonts w:hint="eastAsia" w:ascii="宋体" w:hAnsi="宋体" w:cs="宋体"/>
          <w:sz w:val="24"/>
        </w:rPr>
        <w:t xml:space="preserve">2.供应商应具有较强的系统集成能力，提供优质的售后服务，有有良好的信誉和口碑，提供的集成服务、运行管理必须符合国家、江苏省的相关标准和规范及招标文件的规定。</w:t>
      </w:r>
      <w:r/>
    </w:p>
    <w:p>
      <w:pPr>
        <w:ind w:firstLine="480"/>
        <w:spacing w:line="360" w:lineRule="auto"/>
        <w:rPr>
          <w:rFonts w:ascii="宋体" w:hAnsi="宋体"/>
          <w:sz w:val="24"/>
        </w:rPr>
      </w:pPr>
      <w:r>
        <w:rPr>
          <w:rFonts w:hint="eastAsia" w:ascii="宋体" w:hAnsi="宋体" w:cs="仿宋_GB2312"/>
          <w:sz w:val="24"/>
        </w:rPr>
        <w:t xml:space="preserve">3．</w:t>
      </w:r>
      <w:r>
        <w:rPr>
          <w:rFonts w:hint="eastAsia" w:ascii="宋体" w:hAnsi="宋体"/>
          <w:sz w:val="24"/>
        </w:rPr>
        <w:t xml:space="preserve">本项目响应报价应包括</w:t>
      </w:r>
      <w:bookmarkStart w:id="126" w:name="OLE_LINK115"/>
      <w:r>
        <w:rPr>
          <w:rFonts w:hint="eastAsia" w:ascii="宋体" w:hAnsi="宋体"/>
          <w:sz w:val="24"/>
        </w:rPr>
        <w:t xml:space="preserve">全部货物和服务内容（包括售后服务和运维服务）、辅助材料、备品备件、安装、调试、国家有关部门检测、强制性认证等费用，以及人工、机械、运输、仓储、保险、中标服务费、各种税费、劳保、</w:t>
      </w:r>
      <w:bookmarkEnd w:id="126"/>
      <w:r>
        <w:rPr>
          <w:rFonts w:hint="eastAsia"/>
          <w:sz w:val="24"/>
        </w:rPr>
        <w:t xml:space="preserve">专利技术及质保期间等的一切费用</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cs="宋体"/>
          <w:sz w:val="24"/>
        </w:rPr>
        <w:t xml:space="preserve">4.本项目为交钥匙服务，投标人须在报价中对所要采购的全部内容进行报价，只投其中部分内容者，其投标文件将被拒绝，采购人除支付本次采购项目的中标金额外，不再承担其他任何费用。</w:t>
      </w:r>
      <w:r/>
    </w:p>
    <w:p>
      <w:pPr>
        <w:ind w:firstLine="480"/>
        <w:spacing w:line="360" w:lineRule="auto"/>
        <w:rPr>
          <w:rFonts w:ascii="宋体" w:hAnsi="宋体" w:cs="仿宋_GB2312"/>
          <w:sz w:val="24"/>
        </w:rPr>
      </w:pPr>
      <w:r>
        <w:rPr>
          <w:rFonts w:hint="eastAsia" w:ascii="宋体" w:hAnsi="宋体" w:cs="仿宋_GB2312"/>
          <w:sz w:val="24"/>
        </w:rPr>
        <w:t xml:space="preserve">5．投标人应对招标文件规定的货物技术性能逐项做出实质性响应。</w:t>
      </w:r>
      <w:r/>
    </w:p>
    <w:p>
      <w:pPr>
        <w:ind w:firstLine="480"/>
        <w:spacing w:line="360" w:lineRule="auto"/>
        <w:rPr>
          <w:rFonts w:ascii="宋体" w:hAnsi="宋体" w:cs="仿宋_GB2312"/>
          <w:sz w:val="24"/>
        </w:rPr>
      </w:pPr>
      <w:r>
        <w:rPr>
          <w:rFonts w:hint="eastAsia" w:ascii="宋体" w:hAnsi="宋体" w:cs="仿宋_GB2312"/>
          <w:sz w:val="24"/>
        </w:rPr>
        <w:t xml:space="preserve">6．投标人在投标文件中提供的产品和服务，应满足或做优于招标文件要求，所提供的所有产品均须符合国家有关质量标准和规范。</w:t>
      </w:r>
      <w:r/>
    </w:p>
    <w:p>
      <w:pPr>
        <w:ind w:firstLine="480"/>
        <w:jc w:val="left"/>
        <w:spacing w:line="360" w:lineRule="auto"/>
        <w:widowControl/>
        <w:rPr>
          <w:rFonts w:ascii="宋体" w:hAnsi="宋体" w:cs="宋体"/>
          <w:sz w:val="24"/>
        </w:rPr>
      </w:pPr>
      <w:r>
        <w:rPr>
          <w:rFonts w:hint="eastAsia" w:ascii="宋体" w:hAnsi="宋体" w:cs="宋体"/>
          <w:sz w:val="24"/>
        </w:rPr>
        <w:t xml:space="preserve">7.中标单位应认真尽责地执行采购人委托的各项服务事项，完成本项目的供货和服务工作，并承担本项目实施过程中人员、财产的安全。</w:t>
      </w:r>
      <w:r/>
    </w:p>
    <w:p>
      <w:pPr>
        <w:ind w:firstLine="480"/>
        <w:spacing w:line="360" w:lineRule="auto"/>
        <w:rPr>
          <w:rFonts w:ascii="宋体" w:hAnsi="宋体" w:cs="仿宋_GB2312"/>
          <w:sz w:val="24"/>
        </w:rPr>
      </w:pPr>
      <w:r/>
      <w:bookmarkStart w:id="127" w:name="_Toc322435994"/>
      <w:r/>
      <w:bookmarkStart w:id="128" w:name="_Toc322436049"/>
      <w:r/>
      <w:bookmarkStart w:id="129" w:name="_Toc322435824"/>
      <w:r/>
      <w:bookmarkStart w:id="130" w:name="_Toc322436229"/>
      <w:r>
        <w:rPr>
          <w:rFonts w:hint="eastAsia" w:ascii="宋体" w:hAnsi="宋体" w:cs="仿宋_GB2312"/>
          <w:sz w:val="24"/>
        </w:rPr>
        <w:t xml:space="preserve">8．</w:t>
      </w:r>
      <w:bookmarkEnd w:id="127"/>
      <w:r/>
      <w:bookmarkEnd w:id="128"/>
      <w:r/>
      <w:bookmarkEnd w:id="129"/>
      <w:r/>
      <w:bookmarkEnd w:id="130"/>
      <w:r>
        <w:rPr>
          <w:rFonts w:hint="eastAsia" w:ascii="宋体" w:hAnsi="宋体" w:cs="仿宋_GB2312"/>
          <w:sz w:val="24"/>
        </w:rPr>
        <w:t xml:space="preserve">交货地点：采购人指定地点。</w:t>
      </w:r>
      <w:bookmarkStart w:id="131" w:name="_Toc322526060"/>
      <w:r/>
      <w:bookmarkStart w:id="132" w:name="_Toc322435995"/>
      <w:r/>
      <w:bookmarkStart w:id="133" w:name="_Toc322435825"/>
      <w:r/>
      <w:bookmarkStart w:id="134" w:name="_Toc322436230"/>
      <w:r/>
      <w:bookmarkStart w:id="135" w:name="_Toc322436050"/>
      <w:r/>
      <w:bookmarkEnd w:id="131"/>
      <w:r/>
      <w:bookmarkEnd w:id="132"/>
      <w:r/>
      <w:bookmarkEnd w:id="133"/>
      <w:r/>
      <w:bookmarkEnd w:id="134"/>
      <w:r/>
      <w:bookmarkEnd w:id="135"/>
      <w:r/>
      <w:r/>
    </w:p>
    <w:p>
      <w:pPr>
        <w:ind w:firstLine="480"/>
        <w:jc w:val="left"/>
        <w:spacing w:line="360" w:lineRule="auto"/>
        <w:widowControl/>
        <w:rPr>
          <w:rFonts w:ascii="宋体" w:hAnsi="宋体" w:cs="仿宋_GB2312"/>
          <w:sz w:val="24"/>
        </w:rPr>
      </w:pPr>
      <w:r/>
      <w:bookmarkStart w:id="136" w:name="_Toc322436232"/>
      <w:r/>
      <w:bookmarkStart w:id="137" w:name="_Toc322435827"/>
      <w:r/>
      <w:bookmarkStart w:id="138" w:name="_Toc322435997"/>
      <w:r/>
      <w:bookmarkStart w:id="139" w:name="_Toc322436052"/>
      <w:r/>
      <w:bookmarkStart w:id="140" w:name="_Toc322526062"/>
      <w:r>
        <w:rPr>
          <w:rFonts w:hint="eastAsia" w:ascii="宋体" w:hAnsi="宋体" w:cs="仿宋_GB2312"/>
          <w:b/>
          <w:sz w:val="24"/>
        </w:rPr>
        <w:t xml:space="preserve">9.付款方式</w:t>
      </w:r>
      <w:bookmarkEnd w:id="136"/>
      <w:r/>
      <w:bookmarkEnd w:id="137"/>
      <w:r/>
      <w:bookmarkEnd w:id="138"/>
      <w:r/>
      <w:bookmarkEnd w:id="139"/>
      <w:r/>
      <w:bookmarkEnd w:id="140"/>
      <w:r>
        <w:rPr>
          <w:rFonts w:hint="eastAsia" w:ascii="宋体" w:hAnsi="宋体" w:cs="仿宋_GB2312"/>
          <w:b/>
          <w:sz w:val="24"/>
        </w:rPr>
        <w:t xml:space="preserve">： </w:t>
      </w:r>
      <w:r>
        <w:rPr>
          <w:rFonts w:hint="eastAsia" w:ascii="宋体" w:hAnsi="宋体" w:cs="宋体"/>
          <w:b/>
          <w:sz w:val="24"/>
        </w:rPr>
        <w:t xml:space="preserve">合同签订生效后一个月内甲方支付合同金额的50%；项目建设完成后，经甲方验收合格，甲方支付合同金额的剩余50%。运维服务期内，乙方如果出现1次未能及时解决问题的，甲方有权要求乙方支付违约金，单次违约金不超过项目总金额的1%，乙方未按要求支付的，甲方有权从履约保函中执行。乙方需在每月15日前提供上月详细的服务报告，如实记录包括设备维修保养更换、质控核查等内容。相关报告将做为甲方对其运维服务期间质量评估的重要依据。</w:t>
      </w:r>
      <w:r/>
    </w:p>
    <w:p>
      <w:pPr>
        <w:ind w:firstLine="480"/>
        <w:spacing w:line="360" w:lineRule="auto"/>
        <w:rPr>
          <w:sz w:val="24"/>
        </w:rPr>
      </w:pPr>
      <w:r>
        <w:rPr>
          <w:rFonts w:hint="eastAsia" w:ascii="宋体" w:hAnsi="宋体" w:cs="仿宋_GB2312"/>
          <w:sz w:val="24"/>
        </w:rPr>
        <w:t xml:space="preserve">10.</w:t>
      </w:r>
      <w:r>
        <w:rPr>
          <w:rFonts w:hint="eastAsia"/>
          <w:sz w:val="24"/>
        </w:rPr>
        <w:t xml:space="preserve">验收基本要求：须符合招标文件和采购合同的要求及其在投标文件和投标过程中作出的响应及承诺。采购合同、招标文件、中标单位的投标文件均作为验收依据和标准。</w:t>
      </w:r>
      <w:r/>
    </w:p>
    <w:p>
      <w:pPr>
        <w:ind w:firstLine="480"/>
        <w:spacing w:line="360" w:lineRule="auto"/>
        <w:rPr>
          <w:rFonts w:ascii="宋体" w:hAnsi="宋体" w:cs="仿宋_GB2312"/>
          <w:sz w:val="24"/>
        </w:rPr>
      </w:pPr>
      <w:r/>
      <w:bookmarkStart w:id="141" w:name="OLE_LINK161"/>
      <w:r/>
      <w:bookmarkStart w:id="142" w:name="OLE_LINK162"/>
      <w:r>
        <w:rPr>
          <w:rFonts w:hint="eastAsia" w:ascii="宋体" w:hAnsi="宋体"/>
          <w:bCs/>
          <w:sz w:val="24"/>
        </w:rPr>
        <w:t xml:space="preserve">11.</w:t>
      </w:r>
      <w:bookmarkStart w:id="143" w:name="OLE_LINK54"/>
      <w:r/>
      <w:bookmarkStart w:id="144" w:name="OLE_LINK53"/>
      <w:r>
        <w:rPr>
          <w:rFonts w:hint="eastAsia" w:ascii="宋体" w:hAnsi="宋体"/>
          <w:bCs/>
          <w:sz w:val="24"/>
        </w:rPr>
        <w:t xml:space="preserve">中标单位</w:t>
      </w:r>
      <w:bookmarkEnd w:id="141"/>
      <w:r/>
      <w:bookmarkEnd w:id="142"/>
      <w:r>
        <w:rPr>
          <w:rFonts w:hint="eastAsia" w:ascii="宋体" w:hAnsi="宋体"/>
          <w:bCs/>
          <w:sz w:val="24"/>
        </w:rPr>
        <w:t xml:space="preserve">应能保证所提供货物和服务涉及到的知识产权是合法取得，并享有完整的知识产权，不会因为采购人的使用而被责令停止使用、追偿或要求赔偿损失，如出现此情况，一切经济和法律责任均由中标单位承担。</w:t>
      </w:r>
      <w:bookmarkEnd w:id="143"/>
      <w:r/>
      <w:bookmarkEnd w:id="144"/>
      <w:r/>
      <w:r/>
    </w:p>
    <w:p>
      <w:pPr>
        <w:ind w:firstLine="480"/>
        <w:spacing w:line="360" w:lineRule="auto"/>
        <w:rPr>
          <w:rFonts w:ascii="宋体" w:hAnsi="宋体" w:cs="仿宋_GB2312"/>
          <w:sz w:val="24"/>
        </w:rPr>
      </w:pPr>
      <w:r>
        <w:rPr>
          <w:rFonts w:hint="eastAsia" w:ascii="宋体" w:hAnsi="宋体" w:cs="宋体"/>
          <w:sz w:val="24"/>
        </w:rPr>
        <w:t xml:space="preserve">12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2"/>
        <w:spacing w:line="360" w:lineRule="auto"/>
        <w:rPr>
          <w:rFonts w:ascii="宋体" w:hAnsi="宋体" w:cs="宋体"/>
          <w:b/>
          <w:bCs/>
          <w:sz w:val="24"/>
        </w:rPr>
      </w:pPr>
      <w:r>
        <w:rPr>
          <w:rFonts w:hint="eastAsia" w:ascii="宋体" w:hAnsi="宋体" w:cs="宋体"/>
          <w:b/>
          <w:bCs/>
          <w:sz w:val="24"/>
          <w:lang w:bidi="ar"/>
        </w:rPr>
        <w:t xml:space="preserve">六、相关政策性要求：</w:t>
      </w:r>
      <w:r/>
    </w:p>
    <w:p>
      <w:pPr>
        <w:ind w:firstLine="480"/>
        <w:spacing w:line="360" w:lineRule="auto"/>
        <w:rPr>
          <w:rFonts w:ascii="宋体" w:hAnsi="宋体" w:cs="宋体"/>
          <w:b/>
          <w:sz w:val="24"/>
          <w:lang w:bidi="ar"/>
        </w:rPr>
      </w:pPr>
      <w:r>
        <w:rPr>
          <w:rFonts w:hint="eastAsia" w:ascii="宋体" w:hAnsi="宋体" w:cs="宋体"/>
          <w:b/>
          <w:sz w:val="24"/>
          <w:lang w:bidi="ar"/>
        </w:rPr>
        <w:t xml:space="preserve">1.关于政府采购促进中小企业发展政策要求：</w:t>
      </w:r>
      <w:r/>
    </w:p>
    <w:p>
      <w:pPr>
        <w:ind w:firstLine="480"/>
        <w:spacing w:line="360" w:lineRule="auto"/>
        <w:rPr>
          <w:rFonts w:ascii="宋体" w:hAnsi="宋体" w:cs="宋体"/>
          <w:sz w:val="24"/>
          <w:lang w:bidi="ar"/>
        </w:rPr>
      </w:pPr>
      <w:r>
        <w:rPr>
          <w:rFonts w:hint="eastAsia" w:ascii="宋体" w:hAnsi="宋体" w:cs="宋体"/>
          <w:sz w:val="24"/>
          <w:lang w:bidi="ar"/>
        </w:rPr>
        <w:t xml:space="preserve">1</w:t>
      </w:r>
      <w:r>
        <w:rPr>
          <w:rFonts w:hint="eastAsia" w:ascii="宋体" w:hAnsi="宋体" w:cs="宋体"/>
          <w:sz w:val="24"/>
          <w:lang w:val="zh-CN" w:bidi="ar"/>
        </w:rPr>
        <w:t xml:space="preserve">.1</w:t>
      </w:r>
      <w:r>
        <w:rPr>
          <w:rFonts w:hint="eastAsia" w:ascii="宋体" w:hAnsi="宋体" w:cs="宋体"/>
          <w:sz w:val="24"/>
          <w:lang w:bidi="ar"/>
        </w:rPr>
        <w:t xml:space="preserve">本采购标的对应的中小企业划分标准所属行业为：工业。</w:t>
      </w:r>
      <w:r/>
    </w:p>
    <w:p>
      <w:pPr>
        <w:ind w:firstLine="480"/>
        <w:spacing w:line="360" w:lineRule="auto"/>
        <w:rPr>
          <w:rFonts w:ascii="宋体" w:hAnsi="宋体" w:cs="宋体"/>
          <w:bCs/>
          <w:sz w:val="24"/>
          <w:lang w:val="zh-TW"/>
        </w:rPr>
      </w:pPr>
      <w:r>
        <w:rPr>
          <w:rFonts w:hint="eastAsia" w:ascii="宋体" w:hAnsi="宋体" w:cs="宋体"/>
          <w:sz w:val="24"/>
          <w:lang w:bidi="ar"/>
        </w:rPr>
        <w:t xml:space="preserve">1.2</w:t>
      </w:r>
      <w:r>
        <w:rPr>
          <w:rFonts w:hint="eastAsia" w:ascii="宋体" w:hAnsi="宋体" w:cs="宋体"/>
          <w:sz w:val="24"/>
          <w:lang w:val="zh-CN" w:bidi="ar"/>
        </w:rPr>
        <w:t xml:space="preserve">根据《政府采购促进中小企业发展管理办法》</w:t>
      </w:r>
      <w:r>
        <w:rPr>
          <w:rFonts w:hint="eastAsia" w:ascii="宋体" w:hAnsi="宋体" w:cs="宋体"/>
          <w:sz w:val="24"/>
          <w:lang w:bidi="ar"/>
        </w:rPr>
        <w:t xml:space="preserve">、</w:t>
      </w:r>
      <w:r>
        <w:rPr>
          <w:rFonts w:hint="eastAsia" w:ascii="宋体" w:hAnsi="宋体" w:cs="宋体"/>
          <w:sz w:val="24"/>
          <w:lang w:val="zh-CN" w:bidi="ar"/>
        </w:rPr>
        <w:t xml:space="preserve">《关于做好政府采购支持企业发展有关事项的通知》（苏财购〔2020〕52号）、</w:t>
      </w:r>
      <w:r>
        <w:rPr>
          <w:rFonts w:hint="eastAsia" w:ascii="宋体" w:hAnsi="宋体" w:cs="宋体"/>
          <w:sz w:val="24"/>
          <w:lang w:bidi="ar"/>
        </w:rPr>
        <w:t xml:space="preserve">《关于促进残疾人就业政府采购政策的通知》（财库〔2017〕141号）、《关于政府采购支持监狱企业发展有关问题的通</w:t>
      </w:r>
      <w:r>
        <w:rPr>
          <w:rFonts w:hint="eastAsia" w:ascii="宋体" w:hAnsi="宋体" w:cs="宋体"/>
          <w:sz w:val="24"/>
        </w:rPr>
        <w:t xml:space="preserve">知》（财库〔2014〕68号）等文件的精神，</w:t>
      </w:r>
      <w:r>
        <w:rPr>
          <w:rFonts w:hint="eastAsia" w:ascii="宋体" w:hAnsi="宋体" w:cs="宋体"/>
          <w:b/>
          <w:bCs/>
          <w:sz w:val="24"/>
          <w:lang w:val="zh-TW" w:eastAsia="zh-TW"/>
        </w:rPr>
        <w:t xml:space="preserve">本项目整体专门面向中小微企业采购，</w:t>
      </w:r>
      <w:r>
        <w:rPr>
          <w:rFonts w:hint="eastAsia" w:ascii="宋体" w:hAnsi="宋体" w:cs="宋体"/>
          <w:bCs/>
          <w:sz w:val="24"/>
          <w:lang w:val="zh-TW" w:eastAsia="zh-TW"/>
        </w:rPr>
        <w:t xml:space="preserve">残疾人福利性单位</w:t>
      </w:r>
      <w:r>
        <w:rPr>
          <w:rFonts w:hint="eastAsia" w:ascii="宋体" w:hAnsi="宋体" w:cs="宋体"/>
          <w:bCs/>
          <w:sz w:val="24"/>
          <w:lang w:val="zh-TW"/>
        </w:rPr>
        <w:t xml:space="preserve">及</w:t>
      </w:r>
      <w:r>
        <w:rPr>
          <w:rFonts w:hint="eastAsia" w:ascii="宋体" w:hAnsi="宋体" w:cs="宋体"/>
          <w:bCs/>
          <w:sz w:val="24"/>
          <w:lang w:val="zh-TW" w:eastAsia="zh-TW"/>
        </w:rPr>
        <w:t xml:space="preserve">监狱企业视同小型、微型企业。</w:t>
      </w:r>
      <w:r/>
    </w:p>
    <w:p>
      <w:pPr>
        <w:ind w:firstLine="480"/>
        <w:spacing w:line="360" w:lineRule="auto"/>
        <w:rPr>
          <w:rFonts w:ascii="宋体" w:hAnsi="宋体" w:cs="宋体"/>
          <w:sz w:val="24"/>
        </w:rPr>
      </w:pPr>
      <w:r>
        <w:rPr>
          <w:rFonts w:hint="eastAsia" w:ascii="宋体" w:hAnsi="宋体" w:cs="宋体"/>
          <w:bCs/>
          <w:sz w:val="24"/>
          <w:lang w:val="zh-TW"/>
        </w:rPr>
        <w:t xml:space="preserve">1.3</w:t>
      </w:r>
      <w:r>
        <w:rPr>
          <w:rFonts w:hint="eastAsia" w:ascii="宋体" w:hAnsi="宋体"/>
          <w:bCs/>
          <w:sz w:val="24"/>
        </w:rPr>
        <w:t xml:space="preserve">在货物采购项目中，货物由中小企业制造，即货物由中小企业生产且使用该中小企业商号或者注册商标</w:t>
      </w:r>
      <w:r>
        <w:rPr>
          <w:rFonts w:hint="eastAsia" w:ascii="宋体" w:hAnsi="宋体"/>
          <w:sz w:val="24"/>
        </w:rPr>
        <w:t xml:space="preserve">，才可享受规定的中小企业相关扶持政策。</w:t>
      </w:r>
      <w:r/>
    </w:p>
    <w:p>
      <w:pPr>
        <w:ind w:firstLine="480"/>
        <w:spacing w:line="360" w:lineRule="auto"/>
        <w:rPr>
          <w:rFonts w:ascii="宋体" w:hAnsi="宋体"/>
          <w:sz w:val="24"/>
        </w:rPr>
      </w:pPr>
      <w:r>
        <w:rPr>
          <w:rFonts w:hint="eastAsia" w:ascii="宋体" w:hAnsi="宋体" w:cs="宋体"/>
          <w:sz w:val="24"/>
        </w:rPr>
        <w:t xml:space="preserve">1.4投标文件中小微企业必须提供投标人签署的《中小企业声明函》；监狱企业必须提供由省级以上监狱管理局、戒毒管理局（含新疆生产建设兵团）出具的属于监狱企业的证明文件；残疾人福利性单位必须提供《残疾人福利性单位声明函》。</w:t>
      </w:r>
      <w:r>
        <w:rPr>
          <w:rFonts w:hint="eastAsia" w:ascii="宋体" w:hAnsi="宋体"/>
          <w:sz w:val="24"/>
        </w:rPr>
        <w:t xml:space="preserve">投标人对提供的《中小企业声明函》 、《残疾人福利性单位声明函》及监狱企业认定证明的真实性负责，若其提供虚假材料的，按《中华人民共和国政府采购法》相关规定处理并报请政府采购监管部门给予行政处罚。</w:t>
      </w:r>
      <w:r/>
    </w:p>
    <w:p>
      <w:pPr>
        <w:ind w:firstLine="482"/>
        <w:spacing w:line="360" w:lineRule="auto"/>
        <w:rPr>
          <w:rFonts w:ascii="宋体" w:hAnsi="宋体"/>
          <w:sz w:val="24"/>
        </w:rPr>
      </w:pPr>
      <w:r>
        <w:rPr>
          <w:rFonts w:hint="eastAsia" w:ascii="宋体" w:hAnsi="宋体"/>
          <w:b/>
          <w:sz w:val="24"/>
        </w:rPr>
        <w:t xml:space="preserve">2.关于节能产品、环境标志产品的说明（如有涉及）</w:t>
      </w:r>
      <w:r>
        <w:rPr>
          <w:rFonts w:hint="eastAsia" w:ascii="宋体" w:hAnsi="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2.1</w:t>
      </w:r>
      <w:bookmarkStart w:id="145" w:name="OLE_LINK230"/>
      <w:r/>
      <w:bookmarkStart w:id="146" w:name="OLE_LINK229"/>
      <w:r>
        <w:rPr>
          <w:rFonts w:ascii="宋体" w:hAnsi="宋体" w:cs="宋体"/>
          <w:sz w:val="24"/>
        </w:rPr>
        <w:t xml:space="preserve">本次采购的产品中如</w:t>
      </w:r>
      <w:r>
        <w:rPr>
          <w:rFonts w:hint="eastAsia" w:ascii="宋体" w:hAnsi="宋体" w:cs="宋体"/>
          <w:sz w:val="24"/>
        </w:rPr>
        <w:t xml:space="preserve">有</w:t>
      </w:r>
      <w:r>
        <w:rPr>
          <w:rFonts w:ascii="宋体" w:hAnsi="宋体" w:cs="宋体"/>
          <w:sz w:val="24"/>
        </w:rPr>
        <w:t xml:space="preserve">属于《节能产品政府采购品目清单》中强制采购的产品，</w:t>
      </w:r>
      <w:r>
        <w:rPr>
          <w:rFonts w:hint="eastAsia" w:ascii="宋体" w:hAnsi="宋体" w:cs="宋体"/>
          <w:sz w:val="24"/>
        </w:rPr>
        <w:t xml:space="preserve">必</w:t>
      </w:r>
      <w:r>
        <w:rPr>
          <w:rFonts w:ascii="宋体" w:hAnsi="宋体" w:cs="宋体"/>
          <w:sz w:val="24"/>
        </w:rPr>
        <w:t xml:space="preserve">须在投标文件中提供具备国家确定的认证机构的节能产品认证证书</w:t>
      </w:r>
      <w:r>
        <w:rPr>
          <w:rFonts w:hint="eastAsia" w:ascii="宋体" w:hAnsi="宋体" w:cs="宋体"/>
          <w:sz w:val="24"/>
        </w:rPr>
        <w:t xml:space="preserve">或承诺交货时提供</w:t>
      </w:r>
      <w:bookmarkEnd w:id="145"/>
      <w:r/>
      <w:bookmarkEnd w:id="146"/>
      <w:r>
        <w:rPr>
          <w:rFonts w:hint="eastAsia" w:ascii="宋体" w:hAnsi="宋体" w:cs="宋体"/>
          <w:sz w:val="24"/>
        </w:rPr>
        <w:t xml:space="preserve">（</w:t>
      </w:r>
      <w:r>
        <w:rPr>
          <w:rFonts w:ascii="宋体" w:hAnsi="宋体" w:cs="宋体"/>
          <w:sz w:val="24"/>
        </w:rPr>
        <w:t xml:space="preserve">未提供或提供不全认证证书</w:t>
      </w:r>
      <w:r>
        <w:rPr>
          <w:rFonts w:hint="eastAsia" w:ascii="宋体" w:hAnsi="宋体" w:cs="宋体"/>
          <w:sz w:val="24"/>
        </w:rPr>
        <w:t xml:space="preserve">或未承诺交货时提供</w:t>
      </w:r>
      <w:r>
        <w:rPr>
          <w:rFonts w:ascii="宋体" w:hAnsi="宋体" w:cs="宋体"/>
          <w:sz w:val="24"/>
        </w:rPr>
        <w:t xml:space="preserve">的将视为未实质性响应采购要求</w:t>
      </w:r>
      <w:r>
        <w:rPr>
          <w:rFonts w:hint="eastAsia" w:ascii="宋体" w:hAnsi="宋体" w:cs="宋体"/>
          <w:sz w:val="24"/>
        </w:rPr>
        <w:t xml:space="preserve">；承诺交货时提供而未能提供的，可取消中标资格并赔偿甲方经济损失）</w:t>
      </w:r>
      <w:r>
        <w:rPr>
          <w:rFonts w:ascii="宋体" w:hAnsi="宋体" w:cs="宋体"/>
          <w:sz w:val="24"/>
        </w:rPr>
        <w:t xml:space="preserve">；如为《环境标志产品政府采购品目清单》中的产品，</w:t>
      </w:r>
      <w:r>
        <w:rPr>
          <w:rFonts w:hint="eastAsia" w:ascii="宋体" w:hAnsi="宋体" w:cs="宋体"/>
          <w:sz w:val="24"/>
        </w:rPr>
        <w:t xml:space="preserve">需</w:t>
      </w:r>
      <w:r>
        <w:rPr>
          <w:rFonts w:ascii="宋体" w:hAnsi="宋体" w:cs="宋体"/>
          <w:sz w:val="24"/>
        </w:rPr>
        <w:t xml:space="preserve">在投标文件中提供具备国家确定的认证机构的环保标志产品认证证书。</w:t>
      </w:r>
      <w:r/>
    </w:p>
    <w:p>
      <w:pPr>
        <w:ind w:firstLine="480"/>
        <w:spacing w:line="360" w:lineRule="auto"/>
        <w:rPr>
          <w:rFonts w:ascii="宋体" w:hAnsi="宋体" w:cs="宋体"/>
          <w:sz w:val="24"/>
        </w:rPr>
      </w:pPr>
      <w:r>
        <w:rPr>
          <w:rFonts w:hint="eastAsia" w:ascii="宋体" w:hAnsi="宋体" w:cs="宋体"/>
          <w:sz w:val="24"/>
        </w:rPr>
        <w:t xml:space="preserve">2.2投标</w:t>
      </w:r>
      <w:r>
        <w:rPr>
          <w:rFonts w:ascii="宋体" w:hAnsi="宋体" w:cs="宋体"/>
          <w:sz w:val="24"/>
        </w:rPr>
        <w:t xml:space="preserve">产品属于国家节能</w:t>
      </w:r>
      <w:r>
        <w:rPr>
          <w:rFonts w:hint="eastAsia" w:ascii="宋体" w:hAnsi="宋体" w:cs="宋体"/>
          <w:sz w:val="24"/>
        </w:rPr>
        <w:t xml:space="preserve">、</w:t>
      </w:r>
      <w:r>
        <w:rPr>
          <w:rFonts w:ascii="宋体" w:hAnsi="宋体" w:cs="宋体"/>
          <w:sz w:val="24"/>
        </w:rPr>
        <w:t xml:space="preserve">环保品目清单优先采购范围的，将</w:t>
      </w:r>
      <w:r>
        <w:rPr>
          <w:rFonts w:hint="eastAsia" w:ascii="宋体" w:hAnsi="宋体" w:cs="宋体"/>
          <w:sz w:val="24"/>
        </w:rPr>
        <w:t xml:space="preserve">在评审</w:t>
      </w:r>
      <w:r>
        <w:rPr>
          <w:rFonts w:ascii="宋体" w:hAnsi="宋体" w:cs="宋体"/>
          <w:sz w:val="24"/>
        </w:rPr>
        <w:t xml:space="preserve">中给予</w:t>
      </w:r>
      <w:r>
        <w:rPr>
          <w:rFonts w:hint="eastAsia" w:ascii="宋体" w:hAnsi="宋体" w:cs="宋体"/>
          <w:sz w:val="24"/>
        </w:rPr>
        <w:t xml:space="preserve">优惠：在得分相同的情况下，提供</w:t>
      </w:r>
      <w:r>
        <w:rPr>
          <w:rFonts w:ascii="宋体" w:hAnsi="宋体" w:cs="宋体"/>
          <w:sz w:val="24"/>
        </w:rPr>
        <w:t xml:space="preserve">国家节能</w:t>
      </w:r>
      <w:r>
        <w:rPr>
          <w:rFonts w:hint="eastAsia" w:ascii="宋体" w:hAnsi="宋体" w:cs="宋体"/>
          <w:sz w:val="24"/>
        </w:rPr>
        <w:t xml:space="preserve">、</w:t>
      </w:r>
      <w:r>
        <w:rPr>
          <w:rFonts w:ascii="宋体" w:hAnsi="宋体" w:cs="宋体"/>
          <w:sz w:val="24"/>
        </w:rPr>
        <w:t xml:space="preserve">环保品目清单优先采购范围的</w:t>
      </w:r>
      <w:r>
        <w:rPr>
          <w:rFonts w:hint="eastAsia" w:ascii="宋体" w:hAnsi="宋体" w:cs="宋体"/>
          <w:sz w:val="24"/>
        </w:rPr>
        <w:t xml:space="preserve">产品的优先中标</w:t>
      </w:r>
      <w:r>
        <w:rPr>
          <w:rFonts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2.3认证证书</w:t>
      </w:r>
      <w:r>
        <w:rPr>
          <w:rFonts w:ascii="宋体" w:hAnsi="宋体" w:cs="宋体"/>
          <w:sz w:val="24"/>
        </w:rPr>
        <w:t xml:space="preserve">以</w:t>
      </w:r>
      <w:r>
        <w:rPr>
          <w:rFonts w:hint="eastAsia" w:ascii="宋体" w:hAnsi="宋体" w:cs="宋体"/>
          <w:sz w:val="24"/>
        </w:rPr>
        <w:t xml:space="preserve">《</w:t>
      </w:r>
      <w:r>
        <w:rPr>
          <w:rFonts w:ascii="宋体" w:hAnsi="宋体" w:cs="宋体"/>
          <w:sz w:val="24"/>
        </w:rPr>
        <w:t xml:space="preserve">市场监管总局关于发布参与实施政府采购节能产品、环境标志产品认证机构名录的公告</w:t>
      </w:r>
      <w:r>
        <w:rPr>
          <w:rFonts w:hint="eastAsia" w:ascii="宋体" w:hAnsi="宋体" w:cs="宋体"/>
          <w:sz w:val="24"/>
        </w:rPr>
        <w:t xml:space="preserve">》</w:t>
      </w:r>
      <w:r>
        <w:rPr>
          <w:rFonts w:ascii="宋体" w:hAnsi="宋体" w:cs="宋体"/>
          <w:sz w:val="24"/>
        </w:rPr>
        <w:t xml:space="preserve">中的</w:t>
      </w:r>
      <w:r>
        <w:rPr>
          <w:rFonts w:ascii="宋体" w:hAnsi="宋体" w:cs="宋体"/>
          <w:b/>
          <w:sz w:val="24"/>
        </w:rPr>
        <w:t xml:space="preserve">认证机构</w:t>
      </w:r>
      <w:r>
        <w:rPr>
          <w:rFonts w:ascii="宋体" w:hAnsi="宋体" w:cs="宋体"/>
          <w:sz w:val="24"/>
        </w:rPr>
        <w:t xml:space="preserve">出具的认证证书为准。投标人可通过“中国政府采购网”（http://www.ccgp.gov.cn）查询认证机构情况，未提供或提供不全认证证书的将视为未实质性响应采购要求。</w:t>
      </w:r>
      <w:r/>
    </w:p>
    <w:p>
      <w:pPr>
        <w:ind w:firstLine="480"/>
        <w:spacing w:line="360" w:lineRule="auto"/>
        <w:rPr>
          <w:rFonts w:ascii="宋体" w:hAnsi="宋体" w:cs="宋体"/>
          <w:sz w:val="24"/>
        </w:rPr>
      </w:pPr>
      <w:r>
        <w:rPr>
          <w:rFonts w:hint="eastAsia" w:ascii="宋体" w:hAnsi="宋体" w:cs="宋体"/>
          <w:sz w:val="24"/>
        </w:rPr>
        <w:t xml:space="preserve">2.4</w:t>
      </w:r>
      <w:r>
        <w:rPr>
          <w:rFonts w:ascii="宋体" w:hAnsi="宋体" w:cs="宋体"/>
          <w:sz w:val="24"/>
        </w:rPr>
        <w:t xml:space="preserve">《节能产品政府采购品目清单》</w:t>
      </w:r>
      <w:r>
        <w:rPr>
          <w:rFonts w:hint="eastAsia" w:ascii="宋体" w:hAnsi="宋体" w:cs="宋体"/>
          <w:sz w:val="24"/>
        </w:rPr>
        <w:t xml:space="preserve">、</w:t>
      </w:r>
      <w:r>
        <w:rPr>
          <w:rFonts w:ascii="宋体" w:hAnsi="宋体" w:cs="宋体"/>
          <w:sz w:val="24"/>
        </w:rPr>
        <w:t xml:space="preserve">《环境标志产品政府采购品目清单》可通过“中国政府采购网”（http://www.ccgp.gov.cn）</w:t>
      </w:r>
      <w:r>
        <w:rPr>
          <w:rFonts w:hint="eastAsia" w:ascii="宋体" w:hAnsi="宋体" w:cs="宋体"/>
          <w:sz w:val="24"/>
        </w:rPr>
        <w:t xml:space="preserve">（财库【2019】18号、财库【2019】19号文查询；</w:t>
      </w:r>
      <w:r/>
    </w:p>
    <w:p>
      <w:pPr>
        <w:ind w:firstLine="480"/>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t xml:space="preserve">如投标产品不属于国家节能环保品目清单范围内的，投标人应综合考虑节能、节水、环保、循环、低碳、再生、有机等因素，绿色采购，优先考虑绿色产品。</w:t>
      </w:r>
      <w:r/>
    </w:p>
    <w:p>
      <w:pPr>
        <w:ind w:firstLine="422"/>
        <w:spacing w:line="360" w:lineRule="auto"/>
        <w:rPr>
          <w:rFonts w:ascii="宋体" w:hAnsi="宋体" w:cs="宋体"/>
          <w:b/>
          <w:sz w:val="24"/>
        </w:rPr>
      </w:pPr>
      <w:r>
        <w:rPr>
          <w:rFonts w:hint="eastAsia" w:ascii="宋体" w:hAnsi="宋体" w:cs="宋体"/>
          <w:b/>
          <w:sz w:val="24"/>
        </w:rPr>
        <w:t xml:space="preserve">3.政府采购中实施本国产品标准及相关政策</w:t>
      </w:r>
      <w:r/>
    </w:p>
    <w:p>
      <w:pPr>
        <w:ind w:firstLine="480"/>
        <w:spacing w:line="348" w:lineRule="auto"/>
        <w:rPr>
          <w:rFonts w:ascii="宋体" w:hAnsi="宋体"/>
          <w:sz w:val="24"/>
        </w:rPr>
      </w:pPr>
      <w:r>
        <w:rPr>
          <w:rFonts w:hint="eastAsia" w:ascii="宋体" w:hAnsi="宋体"/>
          <w:sz w:val="24"/>
        </w:rPr>
        <w:t xml:space="preserve">根据《国务院办公厅关于在政府采购中实施本国产品标准及相关政策的通知》（国办发〔2025〕34号）等相关文件规定，对符合该文件适用范围的政府采购项目，执行本国产品相关政策。</w:t>
      </w:r>
      <w:r/>
    </w:p>
    <w:p>
      <w:pPr>
        <w:ind w:firstLine="480"/>
        <w:spacing w:line="348" w:lineRule="auto"/>
        <w:rPr>
          <w:rFonts w:ascii="宋体" w:hAnsi="宋体"/>
          <w:sz w:val="24"/>
        </w:rPr>
      </w:pPr>
      <w:r>
        <w:rPr>
          <w:rFonts w:hint="eastAsia" w:ascii="宋体" w:hAnsi="宋体"/>
          <w:sz w:val="24"/>
        </w:rPr>
        <w:t xml:space="preserve">3.1</w:t>
      </w:r>
      <w:bookmarkStart w:id="147" w:name="OLE_LINK3"/>
      <w:r>
        <w:rPr>
          <w:rFonts w:hint="eastAsia" w:ascii="宋体" w:hAnsi="宋体"/>
          <w:sz w:val="24"/>
        </w:rPr>
        <w:t xml:space="preserve">本国产品标准：</w:t>
      </w:r>
      <w:r/>
    </w:p>
    <w:p>
      <w:pPr>
        <w:ind w:firstLine="480"/>
        <w:spacing w:line="348" w:lineRule="auto"/>
        <w:rPr>
          <w:rFonts w:ascii="宋体" w:hAnsi="宋体"/>
          <w:sz w:val="24"/>
        </w:rPr>
      </w:pPr>
      <w:r>
        <w:rPr>
          <w:rFonts w:hint="eastAsia" w:ascii="宋体" w:hAnsi="宋体"/>
          <w:sz w:val="24"/>
        </w:rPr>
        <w:t xml:space="preserve">详见</w:t>
      </w:r>
      <w:bookmarkStart w:id="148" w:name="OLE_LINK108"/>
      <w:r/>
      <w:bookmarkStart w:id="149" w:name="OLE_LINK107"/>
      <w:r>
        <w:rPr>
          <w:rFonts w:hint="eastAsia" w:ascii="宋体" w:hAnsi="宋体"/>
          <w:sz w:val="24"/>
        </w:rPr>
        <w:t xml:space="preserve">《国务院办公厅关于在政府采购中实施本国产品标准及相关政策的通知》（</w:t>
      </w:r>
      <w:bookmarkStart w:id="150" w:name="OLE_LINK24"/>
      <w:r/>
      <w:bookmarkStart w:id="151" w:name="OLE_LINK15"/>
      <w:r>
        <w:rPr>
          <w:rFonts w:hint="eastAsia" w:ascii="宋体" w:hAnsi="宋体"/>
          <w:sz w:val="24"/>
        </w:rPr>
        <w:t xml:space="preserve">国办发〔2025〕34号</w:t>
      </w:r>
      <w:bookmarkEnd w:id="148"/>
      <w:r/>
      <w:bookmarkEnd w:id="149"/>
      <w:r/>
      <w:bookmarkEnd w:id="150"/>
      <w:r/>
      <w:bookmarkEnd w:id="151"/>
      <w:r>
        <w:rPr>
          <w:rFonts w:hint="eastAsia" w:ascii="宋体" w:hAnsi="宋体"/>
          <w:sz w:val="24"/>
        </w:rPr>
        <w:t xml:space="preserve">）</w:t>
      </w:r>
      <w:bookmarkEnd w:id="147"/>
      <w:r>
        <w:rPr>
          <w:rFonts w:hint="eastAsia" w:ascii="宋体" w:hAnsi="宋体"/>
          <w:sz w:val="24"/>
        </w:rPr>
        <w:t xml:space="preserve">。</w:t>
      </w:r>
      <w:r/>
    </w:p>
    <w:p>
      <w:pPr>
        <w:ind w:firstLine="480"/>
        <w:spacing w:line="348" w:lineRule="auto"/>
        <w:rPr>
          <w:rFonts w:ascii="宋体" w:hAnsi="宋体"/>
          <w:sz w:val="24"/>
        </w:rPr>
      </w:pPr>
      <w:r>
        <w:rPr>
          <w:rFonts w:hint="eastAsia" w:ascii="宋体" w:hAnsi="宋体"/>
          <w:sz w:val="24"/>
        </w:rPr>
        <w:t xml:space="preserve">3.2适用范围：</w:t>
      </w:r>
      <w:r/>
    </w:p>
    <w:p>
      <w:pPr>
        <w:ind w:firstLine="480"/>
        <w:spacing w:line="348" w:lineRule="auto"/>
        <w:rPr>
          <w:rFonts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48" w:lineRule="auto"/>
        <w:rPr>
          <w:rFonts w:ascii="宋体" w:hAnsi="宋体"/>
          <w:sz w:val="24"/>
        </w:rPr>
      </w:pPr>
      <w:r>
        <w:rPr>
          <w:rFonts w:hint="eastAsia" w:ascii="宋体" w:hAnsi="宋体"/>
          <w:sz w:val="24"/>
        </w:rPr>
        <w:t xml:space="preserve">3.3对本国产品的支持政策：</w:t>
      </w:r>
      <w:r>
        <w:rPr>
          <w:rFonts w:ascii="宋体" w:hAnsi="宋体"/>
          <w:sz w:val="24"/>
        </w:rPr>
        <w:t xml:space="preserve"> </w:t>
      </w:r>
      <w:r/>
    </w:p>
    <w:p>
      <w:pPr>
        <w:ind w:firstLine="482"/>
        <w:spacing w:line="348" w:lineRule="auto"/>
        <w:rPr>
          <w:rFonts w:ascii="宋体" w:hAnsi="宋体"/>
          <w:b/>
          <w:sz w:val="24"/>
        </w:rPr>
      </w:pPr>
      <w:r>
        <w:rPr>
          <w:rFonts w:hint="eastAsia" w:ascii="宋体" w:hAnsi="宋体"/>
          <w:b/>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48" w:lineRule="auto"/>
        <w:rPr>
          <w:rFonts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48" w:lineRule="auto"/>
        <w:rPr>
          <w:rFonts w:ascii="宋体" w:hAnsi="宋体"/>
          <w:sz w:val="24"/>
        </w:rPr>
      </w:pPr>
      <w:r>
        <w:rPr>
          <w:rFonts w:hint="eastAsia" w:ascii="宋体" w:hAnsi="宋体"/>
          <w:sz w:val="24"/>
        </w:rPr>
        <w:t xml:space="preserve">3.4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p>
    <w:p>
      <w:pPr>
        <w:ind w:firstLine="424"/>
        <w:spacing w:line="360" w:lineRule="auto"/>
        <w:rPr>
          <w:rFonts w:hint="eastAsia" w:ascii="宋体" w:hAnsi="宋体"/>
          <w:sz w:val="24"/>
        </w:rPr>
      </w:pPr>
      <w:r>
        <w:rPr>
          <w:rFonts w:hint="eastAsia" w:ascii="宋体" w:hAnsi="宋体"/>
          <w:sz w:val="24"/>
        </w:rPr>
        <w:t xml:space="preserve">3.5供应商提供虚假《声明函》、虚假证明文件谋取中标、成交的，依照《中华人民共和国政府采购法》等法律法规规定追究相应责任。</w:t>
      </w:r>
      <w:r/>
    </w:p>
    <w:p>
      <w:pPr>
        <w:ind w:firstLine="424"/>
        <w:spacing w:line="360" w:lineRule="auto"/>
        <w:rPr>
          <w:rFonts w:hint="eastAsia" w:ascii="宋体" w:hAnsi="宋体"/>
          <w:sz w:val="24"/>
          <w:lang w:val="en-US" w:eastAsia="zh-CN"/>
        </w:rPr>
      </w:pPr>
      <w:r>
        <w:rPr>
          <w:rFonts w:hint="eastAsia" w:ascii="宋体" w:hAnsi="宋体"/>
          <w:sz w:val="24"/>
          <w:lang w:val="en-US" w:eastAsia="zh-CN"/>
        </w:rPr>
        <w:t xml:space="preserve">3.6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bookmarkStart w:id="174" w:name="_GoBack"/>
      <w:r/>
      <w:bookmarkEnd w:id="174"/>
      <w:r/>
      <w:r/>
    </w:p>
    <w:p>
      <w:pPr>
        <w:ind w:firstLine="424"/>
        <w:spacing w:line="360" w:lineRule="auto"/>
        <w:rPr>
          <w:rFonts w:hint="eastAsia" w:ascii="宋体" w:hAnsi="宋体"/>
          <w:sz w:val="24"/>
        </w:rPr>
      </w:pPr>
      <w:r>
        <w:rPr>
          <w:rFonts w:hint="eastAsia" w:ascii="宋体" w:hAnsi="宋体"/>
          <w:sz w:val="24"/>
        </w:rPr>
      </w:r>
      <w:r/>
    </w:p>
    <w:p>
      <w:pPr>
        <w:jc w:val="center"/>
        <w:spacing w:line="360" w:lineRule="auto"/>
        <w:outlineLvl w:val="0"/>
      </w:pPr>
      <w:r>
        <w:rPr>
          <w:rFonts w:hint="eastAsia" w:ascii="宋体" w:hAnsi="宋体" w:cs="宋体"/>
          <w:sz w:val="24"/>
          <w:lang w:val="zh-CN"/>
        </w:rPr>
        <w:br w:type="page" w:clear="all"/>
      </w:r>
      <w:r>
        <w:rPr>
          <w:rFonts w:ascii="宋体" w:hAnsi="宋体" w:cs="宋体"/>
          <w:b/>
          <w:sz w:val="44"/>
          <w:szCs w:val="44"/>
          <w:lang w:val="zh-CN"/>
        </w:rPr>
        <w:t xml:space="preserve">第五章 合同主要条款</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采购编号：JSZC-320507-SZST-G2026-0020</w:t>
      </w:r>
      <w:r/>
    </w:p>
    <w:p>
      <w:pPr>
        <w:spacing w:line="360" w:lineRule="auto"/>
        <w:rPr>
          <w:rFonts w:ascii="宋体" w:hAnsi="宋体"/>
          <w:sz w:val="24"/>
        </w:rPr>
      </w:pPr>
      <w:r>
        <w:rPr>
          <w:rFonts w:ascii="宋体" w:hAnsi="宋体"/>
          <w:sz w:val="24"/>
        </w:rPr>
        <w:t xml:space="preserve">甲方：                   </w:t>
      </w:r>
      <w:r/>
    </w:p>
    <w:p>
      <w:pPr>
        <w:spacing w:line="360" w:lineRule="auto"/>
        <w:rPr>
          <w:rFonts w:ascii="宋体" w:hAnsi="宋体"/>
          <w:sz w:val="24"/>
        </w:rPr>
      </w:pPr>
      <w:r>
        <w:rPr>
          <w:rFonts w:ascii="宋体" w:hAnsi="宋体"/>
          <w:sz w:val="24"/>
        </w:rPr>
        <w:t xml:space="preserve">联系人：</w:t>
      </w:r>
      <w:r/>
    </w:p>
    <w:p>
      <w:pPr>
        <w:spacing w:line="360" w:lineRule="auto"/>
        <w:rPr>
          <w:rFonts w:ascii="宋体" w:hAnsi="宋体"/>
          <w:sz w:val="24"/>
        </w:rPr>
      </w:pPr>
      <w:r>
        <w:rPr>
          <w:rFonts w:ascii="宋体" w:hAnsi="宋体"/>
          <w:sz w:val="24"/>
        </w:rPr>
        <w:t xml:space="preserve">电话：</w:t>
      </w:r>
      <w:r/>
    </w:p>
    <w:p>
      <w:pPr>
        <w:spacing w:line="360" w:lineRule="auto"/>
        <w:rPr>
          <w:rFonts w:ascii="宋体" w:hAnsi="宋体"/>
          <w:sz w:val="24"/>
        </w:rPr>
      </w:pPr>
      <w:r>
        <w:rPr>
          <w:rFonts w:ascii="宋体" w:hAnsi="宋体"/>
          <w:sz w:val="24"/>
        </w:rPr>
      </w:r>
      <w:r/>
    </w:p>
    <w:p>
      <w:pPr>
        <w:spacing w:line="360" w:lineRule="auto"/>
        <w:rPr>
          <w:rFonts w:ascii="宋体" w:hAnsi="宋体"/>
          <w:sz w:val="24"/>
          <w:szCs w:val="20"/>
        </w:rPr>
      </w:pPr>
      <w:r>
        <w:rPr>
          <w:rFonts w:ascii="宋体" w:hAnsi="宋体"/>
          <w:sz w:val="24"/>
        </w:rPr>
        <w:t xml:space="preserve">乙方：</w:t>
      </w:r>
      <w:r>
        <w:rPr>
          <w:rFonts w:ascii="宋体" w:hAnsi="宋体"/>
          <w:sz w:val="24"/>
          <w:szCs w:val="20"/>
        </w:rPr>
        <w:t xml:space="preserve"> </w:t>
      </w:r>
      <w:r/>
    </w:p>
    <w:p>
      <w:pPr>
        <w:spacing w:line="360" w:lineRule="auto"/>
        <w:rPr>
          <w:rFonts w:ascii="宋体" w:hAnsi="宋体"/>
          <w:sz w:val="24"/>
        </w:rPr>
      </w:pPr>
      <w:r>
        <w:rPr>
          <w:rFonts w:ascii="宋体" w:hAnsi="宋体"/>
          <w:sz w:val="24"/>
        </w:rPr>
        <w:t xml:space="preserve">联系人：</w:t>
      </w:r>
      <w:r/>
    </w:p>
    <w:p>
      <w:pPr>
        <w:spacing w:line="360" w:lineRule="auto"/>
        <w:rPr>
          <w:rFonts w:ascii="宋体" w:hAnsi="宋体"/>
          <w:sz w:val="24"/>
        </w:rPr>
      </w:pPr>
      <w:r>
        <w:rPr>
          <w:rFonts w:ascii="宋体" w:hAnsi="宋体"/>
          <w:sz w:val="24"/>
        </w:rPr>
        <w:t xml:space="preserve">电话：</w:t>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b/>
          <w:bCs/>
          <w:sz w:val="24"/>
          <w:highlight w:val="yellow"/>
        </w:rPr>
      </w:pPr>
      <w:r>
        <w:rPr>
          <w:rFonts w:hAnsi="宋体"/>
          <w:sz w:val="24"/>
        </w:rPr>
        <w:t xml:space="preserve">根据</w:t>
      </w:r>
      <w:r>
        <w:rPr>
          <w:rFonts w:hint="eastAsia" w:hAnsi="宋体"/>
          <w:sz w:val="24"/>
        </w:rPr>
        <w:t xml:space="preserve">苏州市天美达招投标咨询服务有限公司采购</w:t>
      </w:r>
      <w:r>
        <w:rPr>
          <w:rFonts w:hAnsi="宋体"/>
          <w:sz w:val="24"/>
        </w:rPr>
        <w:t xml:space="preserve">编号为</w:t>
      </w:r>
      <w:r>
        <w:rPr>
          <w:rFonts w:ascii="宋体" w:hAnsi="宋体" w:cs="宋体"/>
          <w:sz w:val="24"/>
        </w:rPr>
        <w:t xml:space="preserve">JSZC-320507-SZST-G2026-0020</w:t>
      </w:r>
      <w:r>
        <w:rPr>
          <w:rFonts w:hAnsi="宋体"/>
          <w:sz w:val="24"/>
        </w:rPr>
        <w:t xml:space="preserve">号的</w:t>
      </w:r>
      <w:r>
        <w:rPr>
          <w:rFonts w:hint="eastAsia" w:hAnsi="宋体"/>
          <w:sz w:val="24"/>
        </w:rPr>
        <w:t xml:space="preserve">招标文件</w:t>
      </w:r>
      <w:r>
        <w:rPr>
          <w:rFonts w:hAnsi="宋体"/>
          <w:sz w:val="24"/>
        </w:rPr>
        <w:t xml:space="preserve">及乙方的投标文件和中标通知书，甲方和乙方就</w:t>
      </w:r>
      <w:bookmarkStart w:id="152" w:name="OLE_LINK120"/>
      <w:r/>
      <w:bookmarkStart w:id="153" w:name="OLE_LINK121"/>
      <w:r>
        <w:rPr>
          <w:rFonts w:hint="eastAsia" w:hAnsi="宋体"/>
          <w:sz w:val="24"/>
          <w:u w:val="single"/>
        </w:rPr>
        <w:t xml:space="preserve">2026年阳澄湖水质监测浮船站项目</w:t>
      </w:r>
      <w:bookmarkEnd w:id="152"/>
      <w:r/>
      <w:bookmarkEnd w:id="153"/>
      <w:r>
        <w:rPr>
          <w:rFonts w:hAnsi="宋体"/>
          <w:sz w:val="24"/>
        </w:rPr>
        <w:t xml:space="preserve">的事宜，签订本合同。</w:t>
      </w:r>
      <w:r/>
    </w:p>
    <w:p>
      <w:pPr>
        <w:spacing w:line="360" w:lineRule="auto"/>
        <w:rPr>
          <w:rFonts w:ascii="宋体" w:hAnsi="宋体"/>
          <w:sz w:val="24"/>
        </w:rPr>
      </w:pPr>
      <w:r>
        <w:rPr>
          <w:rFonts w:hint="eastAsia" w:ascii="宋体" w:hAnsi="宋体"/>
          <w:sz w:val="24"/>
        </w:rPr>
        <w:t xml:space="preserve">一、定义：以下术语有特定的含义：</w:t>
      </w:r>
      <w:r/>
    </w:p>
    <w:p>
      <w:pPr>
        <w:ind w:firstLine="480"/>
        <w:spacing w:line="360" w:lineRule="auto"/>
        <w:rPr>
          <w:rFonts w:ascii="宋体" w:hAnsi="宋体"/>
          <w:sz w:val="24"/>
        </w:rPr>
      </w:pPr>
      <w:r>
        <w:rPr>
          <w:rFonts w:hint="eastAsia" w:ascii="宋体" w:hAnsi="宋体"/>
          <w:sz w:val="24"/>
        </w:rPr>
        <w:t xml:space="preserve">“设备”本合同所称设备是指乙方基于其已中标的投标文件而应向甲方提供的符合采购要求规格及功能的：</w:t>
      </w:r>
      <w:r>
        <w:rPr>
          <w:rFonts w:hint="eastAsia" w:hAnsi="宋体"/>
          <w:sz w:val="24"/>
          <w:u w:val="single"/>
        </w:rPr>
        <w:t xml:space="preserve">               </w:t>
      </w:r>
      <w:r>
        <w:rPr>
          <w:rFonts w:hint="eastAsia" w:ascii="宋体" w:hAnsi="宋体"/>
          <w:sz w:val="24"/>
        </w:rPr>
        <w:t xml:space="preserve">及其全部备品备件，它还应包括由乙方送交给甲方的所有的必须文件和与设备使用有关的应进行的任何规定的服务。</w:t>
      </w:r>
      <w:r/>
    </w:p>
    <w:p>
      <w:pPr>
        <w:ind w:firstLine="480"/>
        <w:spacing w:line="360" w:lineRule="auto"/>
        <w:rPr>
          <w:rFonts w:ascii="宋体" w:hAnsi="宋体"/>
          <w:sz w:val="24"/>
        </w:rPr>
      </w:pPr>
      <w:r>
        <w:rPr>
          <w:rFonts w:hint="eastAsia" w:ascii="宋体" w:hAnsi="宋体"/>
          <w:sz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80"/>
        <w:spacing w:line="360" w:lineRule="auto"/>
        <w:rPr>
          <w:rFonts w:ascii="宋体" w:hAnsi="宋体"/>
          <w:sz w:val="24"/>
        </w:rPr>
      </w:pPr>
      <w:r>
        <w:rPr>
          <w:rFonts w:hint="eastAsia" w:ascii="宋体" w:hAnsi="宋体"/>
          <w:sz w:val="24"/>
        </w:rPr>
        <w:t xml:space="preserve">“合同价”系指根据中标的投标文件和合同规定，乙方在正确地履行合同义务后甲方应支付乙方的价款。</w:t>
      </w:r>
      <w:r/>
    </w:p>
    <w:p>
      <w:pPr>
        <w:ind w:firstLine="480"/>
        <w:spacing w:line="360" w:lineRule="auto"/>
        <w:rPr>
          <w:rFonts w:ascii="宋体" w:hAnsi="宋体"/>
          <w:sz w:val="24"/>
        </w:rPr>
      </w:pPr>
      <w:r>
        <w:rPr>
          <w:rFonts w:hint="eastAsia" w:ascii="宋体" w:hAnsi="宋体"/>
          <w:sz w:val="24"/>
        </w:rPr>
        <w:t xml:space="preserve">“甲方”系指合同中明确规定的实际购买货物和接受服务单位。</w:t>
      </w:r>
      <w:r/>
    </w:p>
    <w:p>
      <w:pPr>
        <w:ind w:firstLine="480"/>
        <w:spacing w:line="360" w:lineRule="auto"/>
        <w:rPr>
          <w:rFonts w:ascii="宋体" w:hAnsi="宋体"/>
          <w:sz w:val="24"/>
        </w:rPr>
      </w:pPr>
      <w:r>
        <w:rPr>
          <w:rFonts w:hint="eastAsia" w:ascii="宋体" w:hAnsi="宋体"/>
          <w:sz w:val="24"/>
        </w:rPr>
        <w:t xml:space="preserve">“乙方”系指合同中规定的提供货物和提供服务的单位。</w:t>
      </w:r>
      <w:r/>
    </w:p>
    <w:p>
      <w:pPr>
        <w:ind w:firstLine="480"/>
        <w:spacing w:line="360" w:lineRule="auto"/>
        <w:rPr>
          <w:rFonts w:ascii="宋体" w:hAnsi="宋体"/>
          <w:sz w:val="24"/>
        </w:rPr>
      </w:pPr>
      <w:r>
        <w:rPr>
          <w:rFonts w:hint="eastAsia" w:ascii="宋体" w:hAnsi="宋体"/>
          <w:sz w:val="24"/>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ascii="宋体" w:hAnsi="宋体"/>
          <w:sz w:val="24"/>
        </w:rPr>
      </w:pPr>
      <w:r>
        <w:rPr>
          <w:rFonts w:hint="eastAsia" w:ascii="宋体" w:hAnsi="宋体"/>
          <w:sz w:val="24"/>
        </w:rPr>
        <w:t xml:space="preserve">二、项目名称：</w:t>
      </w:r>
      <w:r>
        <w:rPr>
          <w:rFonts w:ascii="宋体" w:hAnsi="宋体"/>
          <w:sz w:val="24"/>
        </w:rPr>
        <w:t xml:space="preserve"> </w:t>
      </w:r>
      <w:r>
        <w:rPr>
          <w:rFonts w:hint="eastAsia" w:ascii="宋体" w:hAnsi="宋体"/>
          <w:sz w:val="24"/>
        </w:rPr>
        <w:t xml:space="preserve">2026年阳澄湖水质监测浮船站项目</w:t>
      </w:r>
      <w:r/>
    </w:p>
    <w:p>
      <w:pPr>
        <w:spacing w:line="360" w:lineRule="auto"/>
        <w:rPr>
          <w:rFonts w:ascii="宋体" w:hAnsi="宋体"/>
          <w:sz w:val="24"/>
        </w:rPr>
      </w:pPr>
      <w:r>
        <w:rPr>
          <w:rFonts w:hint="eastAsia" w:ascii="宋体" w:hAnsi="宋体"/>
          <w:sz w:val="24"/>
        </w:rPr>
        <w:t xml:space="preserve">三、商品名称、数量及价格：详见附件。</w:t>
      </w:r>
      <w:r/>
    </w:p>
    <w:p>
      <w:pPr>
        <w:spacing w:line="360" w:lineRule="auto"/>
        <w:rPr>
          <w:rFonts w:ascii="宋体" w:hAnsi="宋体"/>
          <w:sz w:val="24"/>
        </w:rPr>
      </w:pPr>
      <w:r>
        <w:rPr>
          <w:rFonts w:hint="eastAsia" w:ascii="宋体" w:hAnsi="宋体"/>
          <w:sz w:val="24"/>
        </w:rPr>
        <w:t xml:space="preserve">四、合同总价款：            元整。</w:t>
      </w:r>
      <w:r/>
    </w:p>
    <w:p>
      <w:pPr>
        <w:spacing w:line="360" w:lineRule="auto"/>
        <w:rPr>
          <w:rFonts w:ascii="宋体" w:hAnsi="宋体"/>
          <w:sz w:val="24"/>
        </w:rPr>
      </w:pPr>
      <w:r>
        <w:rPr>
          <w:rFonts w:hint="eastAsia" w:ascii="宋体" w:hAnsi="宋体"/>
          <w:sz w:val="24"/>
        </w:rPr>
        <w:t xml:space="preserve">五、合同总价范围：</w:t>
      </w:r>
      <w:r/>
    </w:p>
    <w:p>
      <w:pPr>
        <w:ind w:firstLine="480"/>
        <w:spacing w:line="360" w:lineRule="auto"/>
        <w:rPr>
          <w:rFonts w:ascii="宋体" w:hAnsi="宋体"/>
          <w:sz w:val="24"/>
        </w:rPr>
      </w:pPr>
      <w:r>
        <w:rPr>
          <w:rFonts w:hint="eastAsia" w:ascii="宋体" w:hAnsi="宋体"/>
          <w:sz w:val="24"/>
        </w:rPr>
        <w:t xml:space="preserve">1．</w:t>
      </w:r>
      <w:r>
        <w:rPr>
          <w:rFonts w:hint="eastAsia" w:hAnsi="宋体"/>
          <w:sz w:val="24"/>
          <w:u w:val="single"/>
        </w:rPr>
        <w:t xml:space="preserve">            </w:t>
      </w:r>
      <w:r>
        <w:rPr>
          <w:rFonts w:hint="eastAsia" w:ascii="宋体" w:hAnsi="宋体"/>
          <w:sz w:val="24"/>
        </w:rPr>
        <w:t xml:space="preserve">的</w:t>
      </w:r>
      <w:r>
        <w:rPr>
          <w:rFonts w:hint="eastAsia" w:ascii="宋体" w:hAnsi="宋体"/>
          <w:sz w:val="24"/>
        </w:rPr>
        <w:t xml:space="preserve">全部货物和服务内容（包括售后服务和运维服务）、辅助材料、备品备件、安装、调试、国家有关部门检测、强制性认证等费用，以及人工、机械、运输、仓储、保险、中标服务费、各种税费、劳保、</w:t>
      </w:r>
      <w:bookmarkStart w:id="154" w:name="OLE_LINK119"/>
      <w:r/>
      <w:bookmarkStart w:id="155" w:name="OLE_LINK118"/>
      <w:r>
        <w:rPr>
          <w:rFonts w:hint="eastAsia"/>
          <w:sz w:val="24"/>
        </w:rPr>
        <w:t xml:space="preserve">专利技术及质保期间等的一切费用</w:t>
      </w:r>
      <w:r>
        <w:rPr>
          <w:rFonts w:hint="eastAsia" w:ascii="宋体" w:hAnsi="宋体"/>
          <w:sz w:val="24"/>
        </w:rPr>
        <w:t xml:space="preserve">。</w:t>
      </w:r>
      <w:bookmarkEnd w:id="154"/>
      <w:r/>
      <w:bookmarkEnd w:id="155"/>
      <w:r/>
      <w:r/>
    </w:p>
    <w:p>
      <w:pPr>
        <w:ind w:firstLine="480"/>
        <w:spacing w:line="360" w:lineRule="auto"/>
        <w:rPr>
          <w:rFonts w:ascii="宋体" w:hAnsi="宋体"/>
          <w:sz w:val="24"/>
        </w:rPr>
      </w:pPr>
      <w:r>
        <w:rPr>
          <w:rFonts w:hint="eastAsia" w:ascii="宋体" w:hAnsi="宋体"/>
          <w:sz w:val="24"/>
        </w:rPr>
        <w:t xml:space="preserve">2．免费期内的质保，</w:t>
      </w:r>
      <w:r>
        <w:rPr>
          <w:sz w:val="24"/>
        </w:rPr>
        <w:t xml:space="preserve">保修期内，提供免费的维修、更换损坏零部件及技术咨询服务。在保修期结束后以优惠价格提供备品配件</w:t>
      </w:r>
      <w:r>
        <w:rPr>
          <w:rFonts w:hint="eastAsia" w:ascii="宋体" w:hAnsi="宋体"/>
          <w:sz w:val="24"/>
        </w:rPr>
        <w:t xml:space="preserve">，软件终身免费升级。</w:t>
      </w:r>
      <w:r/>
    </w:p>
    <w:p>
      <w:pPr>
        <w:ind w:firstLine="494"/>
        <w:spacing w:line="360" w:lineRule="auto"/>
        <w:rPr>
          <w:rFonts w:ascii="宋体" w:hAnsi="宋体"/>
          <w:sz w:val="24"/>
        </w:rPr>
      </w:pPr>
      <w:r>
        <w:rPr>
          <w:rFonts w:hint="eastAsia" w:ascii="宋体" w:hAnsi="宋体"/>
          <w:sz w:val="24"/>
        </w:rPr>
        <w:t xml:space="preserve">3. 招标文件规定的其他费用。      </w:t>
      </w:r>
      <w:r/>
    </w:p>
    <w:p>
      <w:pPr>
        <w:spacing w:line="360" w:lineRule="auto"/>
        <w:rPr>
          <w:rFonts w:ascii="宋体" w:hAnsi="宋体"/>
          <w:sz w:val="24"/>
        </w:rPr>
      </w:pPr>
      <w:r>
        <w:rPr>
          <w:rFonts w:hint="eastAsia" w:ascii="宋体" w:hAnsi="宋体"/>
          <w:sz w:val="24"/>
        </w:rPr>
        <w:t xml:space="preserve">六、交货内容：</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符合</w:t>
      </w:r>
      <w:r>
        <w:rPr>
          <w:rFonts w:hint="eastAsia" w:ascii="宋体" w:hAnsi="宋体"/>
          <w:sz w:val="24"/>
        </w:rPr>
        <w:t xml:space="preserve">本合同及招标文件</w:t>
      </w:r>
      <w:r>
        <w:rPr>
          <w:rFonts w:ascii="宋体" w:hAnsi="宋体"/>
          <w:sz w:val="24"/>
        </w:rPr>
        <w:t xml:space="preserve">规定的</w:t>
      </w:r>
      <w:r>
        <w:rPr>
          <w:rFonts w:hint="eastAsia" w:ascii="宋体" w:hAnsi="宋体"/>
          <w:sz w:val="24"/>
          <w:u w:val="single"/>
        </w:rPr>
        <w:t xml:space="preserve">     </w:t>
      </w:r>
      <w:r>
        <w:rPr>
          <w:rFonts w:hint="eastAsia" w:ascii="宋体" w:hAnsi="宋体"/>
          <w:sz w:val="24"/>
        </w:rPr>
        <w:t xml:space="preserve">的全部仪器设备、软硬件及全部配套服务。</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保证</w:t>
      </w:r>
      <w:r>
        <w:rPr>
          <w:rFonts w:hint="eastAsia" w:ascii="宋体" w:hAnsi="宋体"/>
          <w:sz w:val="24"/>
        </w:rPr>
        <w:t xml:space="preserve">自动监测站仪器</w:t>
      </w:r>
      <w:r>
        <w:rPr>
          <w:rFonts w:ascii="宋体" w:hAnsi="宋体"/>
          <w:sz w:val="24"/>
        </w:rPr>
        <w:t xml:space="preserve">使用及维修所需的全套技术资料和文件，至少应包括以下内容：</w:t>
      </w:r>
      <w:r>
        <w:rPr>
          <w:rFonts w:hint="eastAsia" w:ascii="宋体" w:hAnsi="宋体"/>
          <w:sz w:val="24"/>
        </w:rPr>
        <w:t xml:space="preserve">设备清单；出厂合格证；进口件原产地证明文件；操作的标识和中文标注；使用中文说明书；使用维修保养中文说明书；</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其他必备材料和必备工具、货物等。</w:t>
      </w:r>
      <w:r/>
    </w:p>
    <w:p>
      <w:pPr>
        <w:spacing w:line="360" w:lineRule="auto"/>
        <w:rPr>
          <w:rFonts w:ascii="宋体" w:hAnsi="宋体"/>
          <w:sz w:val="24"/>
        </w:rPr>
      </w:pPr>
      <w:r>
        <w:rPr>
          <w:rFonts w:hint="eastAsia" w:ascii="宋体" w:hAnsi="宋体"/>
          <w:sz w:val="24"/>
        </w:rPr>
        <w:t xml:space="preserve">七、交货地点：乙方交货至甲方指定地点，所发生的运输等费用及货物的损坏造成的损失由乙方承担。</w:t>
      </w:r>
      <w:r/>
    </w:p>
    <w:p>
      <w:pPr>
        <w:spacing w:line="360" w:lineRule="auto"/>
        <w:rPr>
          <w:rFonts w:ascii="宋体" w:hAnsi="宋体"/>
          <w:sz w:val="24"/>
        </w:rPr>
      </w:pPr>
      <w:r>
        <w:rPr>
          <w:rFonts w:hint="eastAsia" w:ascii="宋体" w:hAnsi="宋体"/>
          <w:sz w:val="24"/>
        </w:rPr>
        <w:t xml:space="preserve">八、交货期及运维期限</w:t>
      </w:r>
      <w:r/>
    </w:p>
    <w:p>
      <w:pPr>
        <w:ind w:firstLine="480"/>
        <w:spacing w:line="360" w:lineRule="auto"/>
        <w:rPr>
          <w:rFonts w:ascii="宋体" w:hAnsi="宋体"/>
          <w:sz w:val="24"/>
        </w:rPr>
      </w:pPr>
      <w:r>
        <w:rPr>
          <w:rFonts w:hint="eastAsia" w:ascii="宋体" w:hAnsi="宋体"/>
          <w:sz w:val="24"/>
        </w:rPr>
        <w:t xml:space="preserve">1．交货期：签订合同后30天内完成供货、安装、调试、检测并投入试运行。</w:t>
      </w:r>
      <w:r/>
    </w:p>
    <w:p>
      <w:pPr>
        <w:ind w:firstLine="480"/>
        <w:spacing w:line="360" w:lineRule="auto"/>
        <w:rPr>
          <w:rFonts w:ascii="宋体" w:hAnsi="宋体"/>
          <w:sz w:val="24"/>
        </w:rPr>
      </w:pPr>
      <w:r>
        <w:rPr>
          <w:rFonts w:hint="eastAsia" w:ascii="宋体" w:hAnsi="宋体"/>
          <w:sz w:val="24"/>
        </w:rPr>
        <w:t xml:space="preserve">2．运维期限：</w:t>
      </w:r>
      <w:bookmarkStart w:id="156" w:name="OLE_LINK147"/>
      <w:r/>
      <w:bookmarkStart w:id="157" w:name="OLE_LINK148"/>
      <w:r/>
      <w:bookmarkStart w:id="158" w:name="OLE_LINK136"/>
      <w:r/>
      <w:bookmarkStart w:id="159" w:name="OLE_LINK137"/>
      <w:r>
        <w:rPr>
          <w:rFonts w:hint="eastAsia" w:ascii="宋体" w:hAnsi="宋体"/>
          <w:sz w:val="24"/>
        </w:rPr>
        <w:t xml:space="preserve">乙方应就本项目提供两年的运维服务，运维期自试运行结束且项目建设整体验收合格之日起算。</w:t>
      </w:r>
      <w:bookmarkEnd w:id="156"/>
      <w:r/>
      <w:bookmarkEnd w:id="157"/>
      <w:r/>
      <w:bookmarkEnd w:id="158"/>
      <w:r/>
      <w:bookmarkEnd w:id="159"/>
      <w:r/>
      <w:r/>
    </w:p>
    <w:p>
      <w:pPr>
        <w:spacing w:line="360" w:lineRule="auto"/>
        <w:rPr>
          <w:rFonts w:ascii="宋体" w:hAnsi="宋体"/>
          <w:sz w:val="24"/>
        </w:rPr>
      </w:pPr>
      <w:r>
        <w:rPr>
          <w:rFonts w:hint="eastAsia" w:ascii="宋体" w:hAnsi="宋体"/>
          <w:sz w:val="24"/>
        </w:rPr>
        <w:t xml:space="preserve">九、付款方式：</w:t>
      </w:r>
      <w:r>
        <w:rPr>
          <w:rFonts w:ascii="宋体" w:hAnsi="宋体"/>
          <w:sz w:val="24"/>
        </w:rPr>
        <w:t xml:space="preserve"> </w:t>
      </w:r>
      <w:r/>
    </w:p>
    <w:p>
      <w:pPr>
        <w:ind w:firstLine="480"/>
        <w:jc w:val="left"/>
        <w:spacing w:line="360" w:lineRule="auto"/>
        <w:widowControl/>
        <w:rPr>
          <w:rFonts w:ascii="宋体" w:hAnsi="宋体" w:cs="仿宋_GB2312"/>
          <w:sz w:val="24"/>
        </w:rPr>
      </w:pPr>
      <w:r/>
      <w:bookmarkStart w:id="160" w:name="OLE_LINK11"/>
      <w:r>
        <w:rPr>
          <w:rFonts w:hint="eastAsia" w:ascii="宋体" w:hAnsi="宋体" w:cs="宋体"/>
          <w:sz w:val="24"/>
        </w:rPr>
        <w:t xml:space="preserve">合同签订生效后一个月内甲方支付合同金额的50%；项目建设完成后，经甲方验收合格，甲方支付合同金额的剩余50%。运维服务期内，乙方如果出现1次未能及时解决问题的，甲方有权要求乙方支付违约金，单次违约金不超过项目总金额的1%，乙方未按要求支付的，</w:t>
      </w:r>
      <w:bookmarkStart w:id="161" w:name="OLE_LINK41"/>
      <w:r/>
      <w:bookmarkStart w:id="162" w:name="OLE_LINK46"/>
      <w:r>
        <w:rPr>
          <w:rFonts w:hint="eastAsia" w:ascii="宋体" w:hAnsi="宋体" w:cs="宋体"/>
          <w:sz w:val="24"/>
        </w:rPr>
        <w:t xml:space="preserve">甲方有权从履约保函中执行</w:t>
      </w:r>
      <w:bookmarkEnd w:id="161"/>
      <w:r/>
      <w:bookmarkEnd w:id="162"/>
      <w:r>
        <w:rPr>
          <w:rFonts w:hint="eastAsia" w:ascii="宋体" w:hAnsi="宋体" w:cs="宋体"/>
          <w:sz w:val="24"/>
        </w:rPr>
        <w:t xml:space="preserve">。乙方需在每月15日前提供上月详细的服务报告，如实记录包括设备维修保养更换、质控核查等内容。相关报告将做为甲方对其运维服务期间质量评估的重要依据。</w:t>
      </w:r>
      <w:bookmarkEnd w:id="160"/>
      <w:r/>
      <w:r/>
    </w:p>
    <w:p>
      <w:pPr>
        <w:ind w:firstLine="480"/>
        <w:spacing w:line="360" w:lineRule="auto"/>
        <w:rPr>
          <w:rFonts w:ascii="宋体" w:hAnsi="宋体"/>
          <w:sz w:val="24"/>
        </w:rPr>
      </w:pPr>
      <w:r>
        <w:rPr>
          <w:rFonts w:hint="eastAsia" w:ascii="宋体" w:hAnsi="宋体"/>
          <w:sz w:val="24"/>
        </w:rPr>
        <w:t xml:space="preserve">每次付款前，乙方必须出具正式发票；每次款项转帐支付到合同列明的乙方帐户。</w:t>
      </w:r>
      <w:r/>
    </w:p>
    <w:p>
      <w:pPr>
        <w:spacing w:line="360" w:lineRule="auto"/>
        <w:rPr>
          <w:rFonts w:ascii="宋体" w:hAnsi="宋体"/>
          <w:sz w:val="24"/>
        </w:rPr>
      </w:pPr>
      <w:r>
        <w:rPr>
          <w:rFonts w:hint="eastAsia" w:ascii="宋体" w:hAnsi="宋体"/>
          <w:sz w:val="24"/>
        </w:rPr>
        <w:t xml:space="preserve">十、颜色、储放和保护</w:t>
      </w:r>
      <w:r/>
    </w:p>
    <w:p>
      <w:pPr>
        <w:ind w:firstLine="480"/>
        <w:spacing w:line="360" w:lineRule="auto"/>
        <w:rPr>
          <w:rFonts w:ascii="宋体" w:hAnsi="宋体"/>
          <w:sz w:val="24"/>
        </w:rPr>
      </w:pPr>
      <w:r>
        <w:rPr>
          <w:rFonts w:hint="eastAsia" w:ascii="宋体" w:hAnsi="宋体"/>
          <w:sz w:val="24"/>
        </w:rPr>
        <w:t xml:space="preserve">颜色以甲方提供或确定的色样为准。</w:t>
      </w:r>
      <w:r/>
    </w:p>
    <w:p>
      <w:pPr>
        <w:ind w:firstLine="480"/>
        <w:spacing w:line="360" w:lineRule="auto"/>
        <w:rPr>
          <w:rFonts w:ascii="宋体" w:hAnsi="宋体"/>
          <w:sz w:val="24"/>
        </w:rPr>
      </w:pPr>
      <w:r>
        <w:rPr>
          <w:rFonts w:hint="eastAsia" w:ascii="宋体" w:hAnsi="宋体"/>
          <w:sz w:val="24"/>
        </w:rPr>
        <w:t xml:space="preserve">仪器设备由乙方运至甲方指定地点，验收交货前存放及保管概由乙方负责。</w:t>
      </w:r>
      <w:r/>
    </w:p>
    <w:p>
      <w:pPr>
        <w:spacing w:line="360" w:lineRule="auto"/>
        <w:rPr>
          <w:rFonts w:ascii="宋体" w:hAnsi="宋体"/>
          <w:sz w:val="24"/>
        </w:rPr>
      </w:pPr>
      <w:r>
        <w:rPr>
          <w:rFonts w:hint="eastAsia" w:ascii="宋体" w:hAnsi="宋体"/>
          <w:sz w:val="24"/>
        </w:rPr>
        <w:t xml:space="preserve">十一、技术条款</w:t>
      </w:r>
      <w:r/>
    </w:p>
    <w:p>
      <w:pPr>
        <w:ind w:firstLine="480"/>
        <w:spacing w:line="360" w:lineRule="auto"/>
        <w:rPr>
          <w:rFonts w:ascii="宋体" w:hAnsi="宋体"/>
          <w:sz w:val="24"/>
        </w:rPr>
      </w:pPr>
      <w:r>
        <w:rPr>
          <w:rFonts w:hint="eastAsia" w:ascii="宋体" w:hAnsi="宋体"/>
          <w:sz w:val="24"/>
        </w:rPr>
        <w:t xml:space="preserve">乙方所供仪器设备须符合招标文件技术指标要求和国家标准及规范要求，乙方投标文件中列明的设备及元器件品牌、生产地、制造厂商、质量保证等必须符合相关的国家标准和规范。</w:t>
      </w:r>
      <w:r/>
    </w:p>
    <w:p>
      <w:pPr>
        <w:spacing w:line="360" w:lineRule="auto"/>
        <w:rPr>
          <w:rFonts w:ascii="宋体" w:hAnsi="宋体"/>
          <w:sz w:val="24"/>
        </w:rPr>
      </w:pPr>
      <w:r>
        <w:rPr>
          <w:rFonts w:hint="eastAsia" w:ascii="宋体" w:hAnsi="宋体"/>
          <w:sz w:val="24"/>
        </w:rPr>
        <w:t xml:space="preserve">十二、质量保证</w:t>
      </w:r>
      <w:r/>
    </w:p>
    <w:p>
      <w:pPr>
        <w:ind w:firstLine="480"/>
        <w:spacing w:line="360" w:lineRule="auto"/>
        <w:rPr>
          <w:rFonts w:ascii="宋体" w:hAnsi="宋体"/>
          <w:sz w:val="24"/>
        </w:rPr>
      </w:pPr>
      <w:r>
        <w:rPr>
          <w:rFonts w:hint="eastAsia" w:ascii="宋体" w:hAnsi="宋体"/>
          <w:sz w:val="24"/>
        </w:rPr>
        <w:t xml:space="preserve">乙方提供的所有仪器设备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spacing w:line="360" w:lineRule="auto"/>
        <w:rPr>
          <w:rFonts w:ascii="宋体" w:hAnsi="宋体"/>
          <w:sz w:val="24"/>
        </w:rPr>
      </w:pPr>
      <w:r>
        <w:rPr>
          <w:rFonts w:hint="eastAsia" w:ascii="宋体" w:hAnsi="宋体"/>
          <w:sz w:val="24"/>
        </w:rPr>
        <w:t xml:space="preserve">十三、本合同应为完整的仪器设备、集成及功能的提供。</w:t>
      </w:r>
      <w:r/>
    </w:p>
    <w:p>
      <w:pPr>
        <w:ind w:firstLine="480"/>
        <w:spacing w:line="360" w:lineRule="auto"/>
        <w:rPr>
          <w:rFonts w:ascii="宋体" w:hAnsi="宋体"/>
          <w:sz w:val="24"/>
        </w:rPr>
      </w:pPr>
      <w:r>
        <w:rPr>
          <w:rFonts w:hint="eastAsia" w:ascii="宋体" w:hAnsi="宋体"/>
          <w:sz w:val="24"/>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spacing w:line="360" w:lineRule="auto"/>
        <w:rPr>
          <w:rFonts w:ascii="宋体" w:hAnsi="宋体"/>
          <w:sz w:val="24"/>
        </w:rPr>
      </w:pPr>
      <w:r>
        <w:rPr>
          <w:rFonts w:hint="eastAsia" w:ascii="宋体" w:hAnsi="宋体"/>
          <w:sz w:val="24"/>
        </w:rPr>
        <w:t xml:space="preserve">十四、质保期：</w:t>
      </w:r>
      <w:r/>
    </w:p>
    <w:p>
      <w:pPr>
        <w:ind w:firstLine="480"/>
        <w:spacing w:line="360" w:lineRule="auto"/>
        <w:rPr>
          <w:rFonts w:ascii="宋体" w:hAnsi="宋体"/>
          <w:sz w:val="24"/>
        </w:rPr>
      </w:pPr>
      <w:r>
        <w:rPr>
          <w:rFonts w:hint="eastAsia" w:ascii="宋体" w:hAnsi="宋体"/>
          <w:sz w:val="24"/>
        </w:rPr>
        <w:t xml:space="preserve">自项目建设验收合格之日起算，所有仪器设备免费质保期为二年。</w:t>
      </w:r>
      <w:r/>
    </w:p>
    <w:p>
      <w:pPr>
        <w:spacing w:line="360" w:lineRule="auto"/>
        <w:rPr>
          <w:rFonts w:ascii="宋体" w:hAnsi="宋体"/>
          <w:sz w:val="24"/>
        </w:rPr>
      </w:pPr>
      <w:r>
        <w:rPr>
          <w:rFonts w:hint="eastAsia" w:ascii="宋体" w:hAnsi="宋体"/>
          <w:sz w:val="24"/>
        </w:rPr>
        <w:t xml:space="preserve">十五、售后及运维服务</w:t>
      </w:r>
      <w:r/>
    </w:p>
    <w:p>
      <w:pPr>
        <w:ind w:firstLine="480"/>
        <w:spacing w:line="360" w:lineRule="auto"/>
        <w:rPr>
          <w:rFonts w:ascii="宋体" w:hAnsi="宋体"/>
          <w:sz w:val="24"/>
        </w:rPr>
      </w:pPr>
      <w:r>
        <w:rPr>
          <w:rFonts w:hint="eastAsia" w:ascii="宋体" w:hAnsi="宋体"/>
          <w:sz w:val="24"/>
        </w:rPr>
        <w:t xml:space="preserve">售后及运维服务见招标文件要求及乙方投标文件中的承诺。</w:t>
      </w:r>
      <w:r/>
    </w:p>
    <w:p>
      <w:pPr>
        <w:jc w:val="left"/>
        <w:spacing w:line="360" w:lineRule="auto"/>
        <w:rPr>
          <w:rFonts w:ascii="宋体" w:hAnsi="宋体" w:cs="宋体"/>
          <w:sz w:val="24"/>
        </w:rPr>
      </w:pPr>
      <w:r>
        <w:rPr>
          <w:rFonts w:hint="eastAsia" w:ascii="宋体" w:hAnsi="宋体" w:cs="宋体"/>
          <w:bCs/>
          <w:spacing w:val="-3"/>
          <w:sz w:val="24"/>
        </w:rPr>
        <w:t xml:space="preserve">十六、验收</w:t>
      </w:r>
      <w:r/>
    </w:p>
    <w:p>
      <w:pPr>
        <w:ind w:firstLine="480"/>
        <w:jc w:val="left"/>
        <w:spacing w:line="360" w:lineRule="auto"/>
        <w:rPr>
          <w:rFonts w:ascii="宋体" w:hAnsi="宋体" w:cs="宋体"/>
          <w:sz w:val="24"/>
        </w:rPr>
      </w:pPr>
      <w:r>
        <w:rPr>
          <w:rFonts w:hint="eastAsia" w:ascii="宋体" w:hAnsi="宋体" w:cs="宋体"/>
          <w:sz w:val="24"/>
        </w:rPr>
        <w:t xml:space="preserve">1.验收实施主体：甲方</w:t>
      </w:r>
      <w:r/>
    </w:p>
    <w:p>
      <w:pPr>
        <w:ind w:firstLine="480"/>
        <w:jc w:val="left"/>
        <w:spacing w:line="360" w:lineRule="auto"/>
        <w:rPr>
          <w:rFonts w:ascii="宋体" w:hAnsi="宋体" w:cs="宋体"/>
          <w:sz w:val="24"/>
        </w:rPr>
      </w:pPr>
      <w:r>
        <w:rPr>
          <w:rFonts w:hint="eastAsia" w:ascii="宋体" w:hAnsi="宋体" w:cs="宋体"/>
          <w:sz w:val="24"/>
        </w:rPr>
        <w:t xml:space="preserve">2.验收方式：试运行结束后进行项目建设整体验收。</w:t>
      </w:r>
      <w:r/>
    </w:p>
    <w:p>
      <w:pPr>
        <w:ind w:firstLine="480"/>
        <w:jc w:val="left"/>
        <w:spacing w:line="360" w:lineRule="auto"/>
        <w:rPr>
          <w:rFonts w:ascii="宋体" w:hAnsi="宋体" w:cs="宋体"/>
          <w:sz w:val="24"/>
        </w:rPr>
      </w:pPr>
      <w:r>
        <w:rPr>
          <w:rFonts w:hint="eastAsia" w:ascii="宋体" w:hAnsi="宋体" w:cs="宋体"/>
          <w:sz w:val="24"/>
        </w:rPr>
        <w:t xml:space="preserve">3.验收时间：以甲方通知时间为准</w:t>
      </w:r>
      <w:r/>
    </w:p>
    <w:p>
      <w:pPr>
        <w:ind w:firstLine="480"/>
        <w:jc w:val="left"/>
        <w:spacing w:line="360" w:lineRule="auto"/>
        <w:rPr>
          <w:rFonts w:ascii="宋体" w:hAnsi="宋体" w:cs="宋体"/>
          <w:sz w:val="24"/>
        </w:rPr>
      </w:pPr>
      <w:r>
        <w:rPr>
          <w:rFonts w:hint="eastAsia" w:ascii="宋体" w:hAnsi="宋体" w:cs="宋体"/>
          <w:sz w:val="24"/>
        </w:rPr>
        <w:t xml:space="preserve">4.验收内容：合同履约情况、货物及服务质量等。</w:t>
      </w:r>
      <w:r/>
    </w:p>
    <w:p>
      <w:pPr>
        <w:ind w:firstLine="480"/>
        <w:jc w:val="left"/>
        <w:spacing w:line="360" w:lineRule="auto"/>
        <w:rPr>
          <w:rFonts w:ascii="宋体" w:hAnsi="宋体"/>
          <w:sz w:val="24"/>
        </w:rPr>
      </w:pPr>
      <w:r>
        <w:rPr>
          <w:rFonts w:hint="eastAsia" w:ascii="宋体" w:hAnsi="宋体" w:cs="宋体"/>
          <w:sz w:val="24"/>
        </w:rPr>
        <w:t xml:space="preserve">5.验收标准：</w:t>
      </w:r>
      <w:r>
        <w:rPr>
          <w:rFonts w:hint="eastAsia" w:ascii="宋体" w:hAnsi="宋体"/>
          <w:sz w:val="24"/>
        </w:rPr>
        <w:t xml:space="preserve">根据国家、行业相关标准、采购合同、招标文件、乙方的投标文件及其在投标过程中作出的响应及承诺作为验收依据和标准。</w:t>
      </w:r>
      <w:r/>
    </w:p>
    <w:p>
      <w:pPr>
        <w:ind w:firstLine="480"/>
        <w:spacing w:line="360" w:lineRule="auto"/>
        <w:rPr>
          <w:rFonts w:ascii="宋体" w:hAnsi="宋体"/>
          <w:bCs/>
          <w:sz w:val="24"/>
        </w:rPr>
      </w:pPr>
      <w:r>
        <w:rPr>
          <w:rFonts w:hint="eastAsia" w:ascii="宋体" w:hAnsi="宋体"/>
          <w:bCs/>
          <w:sz w:val="24"/>
        </w:rPr>
        <w:t xml:space="preserve">十七、知识产权及保密条款</w:t>
      </w:r>
      <w:r/>
    </w:p>
    <w:p>
      <w:pPr>
        <w:ind w:firstLine="480"/>
        <w:spacing w:line="360" w:lineRule="auto"/>
        <w:rPr>
          <w:rFonts w:ascii="宋体" w:hAnsi="宋体"/>
          <w:bCs/>
          <w:sz w:val="24"/>
        </w:rPr>
      </w:pPr>
      <w:r>
        <w:rPr>
          <w:rFonts w:hint="eastAsia" w:ascii="宋体" w:hAnsi="宋体"/>
          <w:bCs/>
          <w:sz w:val="24"/>
        </w:rPr>
        <w:t xml:space="preserve">1.乙方应能保证所提供货物和服务涉及到的知识产权是合法取得，并享有完整的知识产权，不会因为甲方的使用而被责令停止使用、追偿或要求赔偿损失，如出现此情况，一切经济和法律责任均由乙方承担。</w:t>
      </w:r>
      <w:r/>
    </w:p>
    <w:p>
      <w:pPr>
        <w:ind w:firstLine="480"/>
        <w:jc w:val="left"/>
        <w:spacing w:line="360" w:lineRule="auto"/>
        <w:rPr>
          <w:rFonts w:ascii="宋体" w:hAnsi="宋体"/>
          <w:sz w:val="24"/>
        </w:rPr>
      </w:pPr>
      <w:r>
        <w:rPr>
          <w:rFonts w:hint="eastAsia" w:ascii="宋体" w:hAnsi="宋体"/>
          <w:sz w:val="24"/>
        </w:rPr>
        <w:t xml:space="preserve">2.乙方应对合同履行过程中所获悉的甲方和第三方的未公开信息负有保密义务，未经其书面同意，乙方不得公开或向任何第三方透露。但经双方确认的为履行本协议而必须获知上述信息的雇员除外，乙方必须要求其雇员履行同样的保密义务。该保密义务在合同终止后仍然有效。</w:t>
      </w:r>
      <w:r/>
    </w:p>
    <w:p>
      <w:pPr>
        <w:spacing w:line="360" w:lineRule="auto"/>
        <w:rPr>
          <w:rFonts w:ascii="宋体" w:hAnsi="宋体"/>
          <w:sz w:val="24"/>
        </w:rPr>
      </w:pPr>
      <w:r>
        <w:rPr>
          <w:rFonts w:hint="eastAsia" w:ascii="宋体" w:hAnsi="宋体"/>
          <w:sz w:val="24"/>
        </w:rPr>
        <w:t xml:space="preserve">十八、公认之人力不可抗拒事故</w:t>
      </w:r>
      <w:r/>
    </w:p>
    <w:p>
      <w:pPr>
        <w:ind w:firstLine="480"/>
        <w:spacing w:line="360" w:lineRule="auto"/>
        <w:rPr>
          <w:rFonts w:ascii="宋体" w:hAnsi="宋体"/>
          <w:sz w:val="24"/>
        </w:rPr>
      </w:pPr>
      <w:r>
        <w:rPr>
          <w:rFonts w:hint="eastAsia" w:ascii="宋体" w:hAnsi="宋体"/>
          <w:sz w:val="24"/>
        </w:rPr>
        <w:t xml:space="preserve">由于不可抗力的原因造成延期或不能交货，乙方将不承担责任，但乙方应立即通知甲方，不可抗力发生后</w:t>
      </w:r>
      <w:r>
        <w:rPr>
          <w:rFonts w:ascii="宋体" w:hAnsi="宋体"/>
          <w:sz w:val="24"/>
        </w:rPr>
        <w:t xml:space="preserve">14</w:t>
      </w:r>
      <w:r>
        <w:rPr>
          <w:rFonts w:hint="eastAsia" w:ascii="宋体" w:hAnsi="宋体"/>
          <w:sz w:val="24"/>
        </w:rPr>
        <w:t xml:space="preserve">日内乙方将当地有关部门出具的事故证明书以书面形式通知甲方。在上述情况下，乙方仍应采取必要措施尽快交货。意外事故持续四周以上，甲方有权取消此合同，并保留要求乙方赔偿的权利。</w:t>
      </w:r>
      <w:r/>
    </w:p>
    <w:p>
      <w:pPr>
        <w:spacing w:line="360" w:lineRule="auto"/>
        <w:rPr>
          <w:rFonts w:ascii="宋体" w:hAnsi="宋体"/>
          <w:sz w:val="24"/>
        </w:rPr>
      </w:pPr>
      <w:r>
        <w:rPr>
          <w:rFonts w:hint="eastAsia" w:ascii="宋体" w:hAnsi="宋体"/>
          <w:sz w:val="24"/>
        </w:rPr>
        <w:t xml:space="preserve">十九、违约责任</w:t>
      </w:r>
      <w:r/>
    </w:p>
    <w:p>
      <w:pPr>
        <w:ind w:firstLine="480"/>
        <w:spacing w:line="360" w:lineRule="auto"/>
        <w:rPr>
          <w:rFonts w:ascii="宋体" w:hAnsi="宋体"/>
          <w:sz w:val="24"/>
        </w:rPr>
      </w:pPr>
      <w:r>
        <w:rPr>
          <w:rFonts w:hint="eastAsia" w:ascii="宋体" w:hAnsi="宋体"/>
          <w:sz w:val="24"/>
        </w:rPr>
        <w:t xml:space="preserve">乙方有下列违约情况之一，并在收到甲方发出的乙方违约通知的当日或经甲方书面认可延长的时间内未能纠正过失，甲方有权单方终止部分或全部合同，在这种情况下，并不影响甲方向乙方提出索赔。</w:t>
      </w:r>
      <w:r/>
    </w:p>
    <w:p>
      <w:pPr>
        <w:ind w:firstLine="480"/>
        <w:spacing w:line="360" w:lineRule="auto"/>
        <w:rPr>
          <w:rFonts w:ascii="宋体" w:hAnsi="宋体"/>
          <w:sz w:val="24"/>
        </w:rPr>
      </w:pPr>
      <w:r>
        <w:rPr>
          <w:rFonts w:hint="eastAsia" w:ascii="宋体" w:hAnsi="宋体"/>
          <w:sz w:val="24"/>
        </w:rPr>
        <w:t xml:space="preserve">1．除人力不可抗拒因素外，乙方不能按期交货，或因运输及安装中设备缺损需要更换而影响实际交付使用时，乙方必须向甲方支付延期交货或延期交付使用的违约金，具体标准按合同总价每日万分之四</w:t>
      </w:r>
      <w:r>
        <w:rPr>
          <w:rFonts w:ascii="宋体" w:hAnsi="宋体"/>
          <w:sz w:val="24"/>
        </w:rPr>
        <w:t xml:space="preserve">计算。</w:t>
      </w:r>
      <w:r/>
    </w:p>
    <w:p>
      <w:pPr>
        <w:ind w:firstLine="480"/>
        <w:spacing w:line="360" w:lineRule="auto"/>
        <w:rPr>
          <w:rFonts w:ascii="宋体" w:hAnsi="宋体"/>
          <w:sz w:val="24"/>
        </w:rPr>
      </w:pPr>
      <w:r>
        <w:rPr>
          <w:rFonts w:hint="eastAsia" w:ascii="宋体" w:hAnsi="宋体"/>
          <w:sz w:val="24"/>
        </w:rPr>
        <w:t xml:space="preserve">2．延期交货时间超过2</w:t>
      </w:r>
      <w:r>
        <w:rPr>
          <w:rFonts w:ascii="宋体" w:hAnsi="宋体"/>
          <w:sz w:val="24"/>
        </w:rPr>
        <w:t xml:space="preserve">周</w:t>
      </w:r>
      <w:r>
        <w:rPr>
          <w:rFonts w:hint="eastAsia" w:ascii="宋体" w:hAnsi="宋体"/>
          <w:sz w:val="24"/>
        </w:rPr>
        <w:t xml:space="preserve">或交货不合格从而影响甲方按期正常使用的</w:t>
      </w:r>
      <w:r>
        <w:rPr>
          <w:rFonts w:ascii="宋体" w:hAnsi="宋体"/>
          <w:sz w:val="24"/>
        </w:rPr>
        <w:t xml:space="preserve">视为乙方严重违约，甲方有权立即终止合同，乙方仍需向甲方支付全部延期交货违约金，</w:t>
      </w:r>
      <w:r>
        <w:rPr>
          <w:rFonts w:hint="eastAsia" w:ascii="宋体" w:hAnsi="宋体"/>
          <w:sz w:val="24"/>
        </w:rPr>
        <w:t xml:space="preserve">并赔偿甲方相关损失，并</w:t>
      </w:r>
      <w:r>
        <w:rPr>
          <w:rFonts w:ascii="宋体" w:hAnsi="宋体"/>
          <w:sz w:val="24"/>
        </w:rPr>
        <w:t xml:space="preserve">返还甲方已支付的合同款。</w:t>
      </w:r>
      <w:r/>
    </w:p>
    <w:p>
      <w:pPr>
        <w:ind w:firstLine="480"/>
        <w:spacing w:line="360" w:lineRule="auto"/>
        <w:rPr>
          <w:rFonts w:ascii="宋体" w:hAnsi="宋体"/>
          <w:sz w:val="24"/>
        </w:rPr>
      </w:pPr>
      <w:r>
        <w:rPr>
          <w:rFonts w:hint="eastAsia" w:ascii="宋体" w:hAnsi="宋体"/>
          <w:sz w:val="24"/>
        </w:rPr>
        <w:t xml:space="preserve">3.若乙方未遵守保密义务，出现泄漏甲方或第三方秘密的情形，甲方有权要求乙方赔偿损失，并追究乙方</w:t>
      </w:r>
      <w:bookmarkStart w:id="163" w:name="OLE_LINK47"/>
      <w:r/>
      <w:bookmarkStart w:id="164" w:name="OLE_LINK51"/>
      <w:r/>
      <w:bookmarkStart w:id="165" w:name="OLE_LINK52"/>
      <w:r>
        <w:rPr>
          <w:rFonts w:hint="eastAsia" w:ascii="宋体" w:hAnsi="宋体"/>
          <w:sz w:val="24"/>
        </w:rPr>
        <w:t xml:space="preserve">合同总价款20%</w:t>
      </w:r>
      <w:bookmarkEnd w:id="163"/>
      <w:r/>
      <w:bookmarkEnd w:id="164"/>
      <w:r/>
      <w:bookmarkEnd w:id="165"/>
      <w:r>
        <w:rPr>
          <w:rFonts w:hint="eastAsia" w:ascii="宋体" w:hAnsi="宋体"/>
          <w:sz w:val="24"/>
        </w:rPr>
        <w:t xml:space="preserve">的违约金，且甲方有权解除合同。情节严重涉及违法犯罪的，依法移交司法机关处理。</w:t>
      </w:r>
      <w:r/>
    </w:p>
    <w:p>
      <w:pPr>
        <w:ind w:firstLine="480"/>
        <w:spacing w:line="360" w:lineRule="auto"/>
        <w:rPr>
          <w:rFonts w:ascii="宋体" w:hAnsi="宋体"/>
          <w:sz w:val="24"/>
        </w:rPr>
      </w:pPr>
      <w:r>
        <w:rPr>
          <w:rFonts w:hint="eastAsia" w:ascii="宋体" w:hAnsi="宋体"/>
          <w:sz w:val="24"/>
        </w:rPr>
        <w:t xml:space="preserve">4.若因乙方侵犯知识产权，甲方有权要求乙方赔偿损失，并追究乙方合同总价款20%的违约金，且甲方有权解除合同。</w:t>
      </w:r>
      <w:r/>
    </w:p>
    <w:p>
      <w:pPr>
        <w:ind w:firstLine="480"/>
        <w:spacing w:line="360" w:lineRule="auto"/>
        <w:rPr>
          <w:rFonts w:ascii="宋体" w:hAnsi="宋体"/>
          <w:sz w:val="24"/>
        </w:rPr>
      </w:pPr>
      <w:r>
        <w:rPr>
          <w:rFonts w:hint="eastAsia" w:ascii="宋体" w:hAnsi="宋体"/>
          <w:sz w:val="24"/>
        </w:rPr>
        <w:t xml:space="preserve">5.乙方在服务期内，若受到国家、省、市市场监督管理部门、生态环境主管部门以及行业协会通报批评或行政处罚的，甲方有权利视情况终止合同，并要求乙方赔偿甲方因此所遭受的损失。</w:t>
      </w:r>
      <w:r/>
    </w:p>
    <w:p>
      <w:pPr>
        <w:ind w:firstLine="480"/>
        <w:spacing w:line="360" w:lineRule="auto"/>
        <w:rPr>
          <w:rFonts w:ascii="宋体" w:hAnsi="宋体"/>
          <w:sz w:val="24"/>
        </w:rPr>
      </w:pPr>
      <w:r>
        <w:rPr>
          <w:rFonts w:hint="eastAsia" w:ascii="宋体" w:hAnsi="宋体"/>
          <w:sz w:val="24"/>
        </w:rPr>
        <w:t xml:space="preserve">6.乙方因违反合同及招标文件其他应尽义务的，甲方有权根据乙方违约程度要求乙方支付相当于合同总价款20%的违约金。如违约金不足弥补甲方损失的，由乙方另行支付，由此引起的后果，甲方保留进一步追索的权利。</w:t>
      </w:r>
      <w:r/>
    </w:p>
    <w:p>
      <w:pPr>
        <w:ind w:firstLine="480"/>
        <w:spacing w:line="360" w:lineRule="auto"/>
        <w:rPr>
          <w:rFonts w:ascii="宋体" w:hAnsi="宋体"/>
          <w:sz w:val="24"/>
        </w:rPr>
      </w:pPr>
      <w:r>
        <w:rPr>
          <w:rFonts w:hint="eastAsia" w:ascii="宋体" w:hAnsi="宋体"/>
          <w:sz w:val="24"/>
        </w:rPr>
        <w:t xml:space="preserve">7.以上赔偿范围包括但不限于造成的甲方直接损失以及甲方因此合理维权而发生的差旅费、调查取证费、律师费、诉讼费、仲裁费、公告费、鉴定费、保全费、担保费用等。</w:t>
      </w:r>
      <w:r/>
    </w:p>
    <w:p>
      <w:pPr>
        <w:spacing w:line="360" w:lineRule="auto"/>
        <w:rPr>
          <w:rFonts w:ascii="宋体" w:hAnsi="宋体"/>
          <w:sz w:val="24"/>
        </w:rPr>
      </w:pPr>
      <w:r>
        <w:rPr>
          <w:rFonts w:hint="eastAsia" w:ascii="宋体" w:hAnsi="宋体"/>
          <w:sz w:val="24"/>
        </w:rPr>
        <w:t xml:space="preserve">二十、索赔：</w:t>
      </w:r>
      <w:r/>
    </w:p>
    <w:p>
      <w:pPr>
        <w:ind w:firstLine="480"/>
        <w:spacing w:line="360" w:lineRule="auto"/>
        <w:rPr>
          <w:rFonts w:ascii="宋体" w:hAnsi="宋体"/>
          <w:sz w:val="24"/>
        </w:rPr>
      </w:pPr>
      <w:r>
        <w:rPr>
          <w:rFonts w:hint="eastAsia" w:ascii="宋体" w:hAnsi="宋体"/>
          <w:sz w:val="24"/>
        </w:rPr>
        <w:t xml:space="preserve">如在仪器设备交货、使用过程中，甲方发现仪器或仪器设备有关部件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80"/>
        <w:spacing w:line="360" w:lineRule="auto"/>
        <w:rPr>
          <w:rFonts w:ascii="宋体" w:hAnsi="宋体"/>
          <w:sz w:val="24"/>
        </w:rPr>
      </w:pPr>
      <w:r>
        <w:rPr>
          <w:rFonts w:hint="eastAsia" w:ascii="宋体" w:hAnsi="宋体"/>
          <w:sz w:val="24"/>
        </w:rPr>
        <w:t xml:space="preserve">索赔方式除上述规定之外，甲方还有权选择以下方式进行索赔：</w:t>
      </w:r>
      <w:r/>
    </w:p>
    <w:p>
      <w:pPr>
        <w:ind w:firstLine="480"/>
        <w:spacing w:line="360" w:lineRule="auto"/>
        <w:rPr>
          <w:rFonts w:ascii="宋体" w:hAnsi="宋体"/>
          <w:sz w:val="24"/>
        </w:rPr>
      </w:pPr>
      <w:r>
        <w:rPr>
          <w:rFonts w:hint="eastAsia" w:ascii="宋体" w:hAnsi="宋体"/>
          <w:sz w:val="24"/>
        </w:rPr>
        <w:t xml:space="preserve">1．乙方同意退货，乙方返还甲方已支付的合同款，并承担由此发生的一切损失和费用，包括甲方直接损失、利息、银行手续费、运费、保险费、仓储费、装卸费以及为保护退回货物所需的其它必要费用。</w:t>
      </w:r>
      <w:r/>
    </w:p>
    <w:p>
      <w:pPr>
        <w:ind w:firstLine="480"/>
        <w:spacing w:line="360" w:lineRule="auto"/>
        <w:rPr>
          <w:rFonts w:ascii="宋体" w:hAnsi="宋体"/>
          <w:sz w:val="24"/>
        </w:rPr>
      </w:pPr>
      <w:r>
        <w:rPr>
          <w:rFonts w:hint="eastAsia" w:ascii="宋体" w:hAnsi="宋体"/>
          <w:sz w:val="24"/>
        </w:rPr>
        <w:t xml:space="preserve">2．根据货物的损坏程度以及甲方遭受损失的数额，经甲乙双方商定降低货物的价格。</w:t>
      </w:r>
      <w:r/>
    </w:p>
    <w:p>
      <w:pPr>
        <w:ind w:firstLine="480"/>
        <w:spacing w:line="360" w:lineRule="auto"/>
        <w:rPr>
          <w:rFonts w:ascii="宋体" w:hAnsi="宋体"/>
          <w:sz w:val="24"/>
        </w:rPr>
      </w:pPr>
      <w:r>
        <w:rPr>
          <w:rFonts w:hint="eastAsia" w:ascii="宋体" w:hAnsi="宋体"/>
          <w:sz w:val="24"/>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80"/>
        <w:spacing w:line="360" w:lineRule="auto"/>
        <w:rPr>
          <w:rFonts w:ascii="宋体" w:hAnsi="宋体"/>
          <w:sz w:val="24"/>
        </w:rPr>
      </w:pPr>
      <w:r>
        <w:rPr>
          <w:rFonts w:hint="eastAsia" w:ascii="宋体" w:hAnsi="宋体"/>
          <w:sz w:val="24"/>
        </w:rPr>
        <w:t xml:space="preserve">4．从尚未支付的合同价款或履约保函中扣除乙方应承担的违约金、赔偿金以及甲方因急需更换有关部件或紧急维修而支付的各种费用以及因索赔而发生的合理费用，包括律师费用。如果这些金额不足以赔偿索赔金额，甲方有权向乙方提出对不足部分的赔偿。</w:t>
      </w:r>
      <w:r/>
    </w:p>
    <w:p>
      <w:pPr>
        <w:spacing w:line="360" w:lineRule="auto"/>
        <w:rPr>
          <w:rFonts w:ascii="宋体" w:hAnsi="宋体"/>
          <w:sz w:val="24"/>
        </w:rPr>
      </w:pPr>
      <w:r>
        <w:rPr>
          <w:rFonts w:hint="eastAsia" w:ascii="宋体" w:hAnsi="宋体"/>
          <w:sz w:val="24"/>
        </w:rPr>
        <w:t xml:space="preserve">二十一、资料提供：</w:t>
      </w:r>
      <w:r/>
    </w:p>
    <w:p>
      <w:pPr>
        <w:ind w:firstLine="480"/>
        <w:spacing w:line="360" w:lineRule="auto"/>
        <w:rPr>
          <w:rFonts w:ascii="宋体" w:hAnsi="宋体"/>
          <w:sz w:val="24"/>
        </w:rPr>
      </w:pPr>
      <w:r>
        <w:rPr>
          <w:rFonts w:hint="eastAsia" w:ascii="宋体" w:hAnsi="宋体"/>
          <w:sz w:val="24"/>
        </w:rPr>
        <w:t xml:space="preserve">合同签订一周内乙方提供主要设备的样本及技术配置、参数。</w:t>
      </w:r>
      <w:r/>
    </w:p>
    <w:p>
      <w:pPr>
        <w:spacing w:line="360" w:lineRule="auto"/>
        <w:rPr>
          <w:rFonts w:ascii="宋体" w:hAnsi="宋体"/>
          <w:sz w:val="24"/>
        </w:rPr>
      </w:pPr>
      <w:r>
        <w:rPr>
          <w:rFonts w:hint="eastAsia" w:ascii="宋体" w:hAnsi="宋体"/>
          <w:sz w:val="24"/>
        </w:rPr>
        <w:t xml:space="preserve">二十二、合同组成</w:t>
      </w:r>
      <w:r/>
    </w:p>
    <w:p>
      <w:pPr>
        <w:ind w:firstLine="480"/>
        <w:spacing w:line="360" w:lineRule="auto"/>
        <w:rPr>
          <w:rFonts w:ascii="宋体" w:hAnsi="宋体"/>
          <w:sz w:val="24"/>
        </w:rPr>
      </w:pPr>
      <w:r>
        <w:rPr>
          <w:rFonts w:hint="eastAsia" w:ascii="宋体" w:hAnsi="宋体"/>
          <w:sz w:val="24"/>
        </w:rPr>
        <w:t xml:space="preserve">“合同”系指本文件及其附件中的所有部分，同时招标文件、乙方的投标文件、乙方在磋商采购过程中的澄清、承诺以及中标通知书等为本合同不可缺少的必要组成部分。</w:t>
      </w:r>
      <w:r/>
    </w:p>
    <w:p>
      <w:pPr>
        <w:spacing w:line="360" w:lineRule="auto"/>
        <w:rPr>
          <w:rFonts w:ascii="宋体" w:hAnsi="宋体"/>
          <w:sz w:val="24"/>
        </w:rPr>
      </w:pPr>
      <w:r>
        <w:rPr>
          <w:rFonts w:hint="eastAsia" w:ascii="宋体" w:hAnsi="宋体"/>
          <w:sz w:val="24"/>
        </w:rPr>
        <w:t xml:space="preserve">二十三</w:t>
      </w:r>
      <w:r>
        <w:rPr>
          <w:rFonts w:ascii="宋体" w:hAnsi="宋体"/>
          <w:sz w:val="24"/>
        </w:rPr>
        <w:t xml:space="preserve">、其它：</w:t>
      </w:r>
      <w:r/>
    </w:p>
    <w:p>
      <w:pPr>
        <w:ind w:firstLine="480"/>
        <w:spacing w:line="360" w:lineRule="auto"/>
        <w:rPr>
          <w:rFonts w:ascii="宋体" w:hAnsi="宋体"/>
          <w:sz w:val="24"/>
        </w:rPr>
      </w:pPr>
      <w:r>
        <w:rPr>
          <w:rFonts w:hint="eastAsia" w:ascii="宋体" w:hAnsi="宋体"/>
          <w:sz w:val="24"/>
        </w:rPr>
        <w:t xml:space="preserve">1．合同经甲乙双方代表签字并加盖公章或合同章后生效，并在苏采云系统进行合同公示。</w:t>
      </w:r>
      <w:r/>
    </w:p>
    <w:p>
      <w:pPr>
        <w:ind w:firstLine="480"/>
        <w:spacing w:line="360" w:lineRule="auto"/>
        <w:rPr>
          <w:rFonts w:ascii="宋体" w:hAnsi="宋体"/>
          <w:sz w:val="24"/>
        </w:rPr>
      </w:pPr>
      <w:r>
        <w:rPr>
          <w:rFonts w:hint="eastAsia" w:ascii="宋体" w:hAnsi="宋体"/>
          <w:sz w:val="24"/>
        </w:rPr>
        <w:t xml:space="preserve">2．合同签订后甲乙双方即直接产生权利与义务的关系，合同执行过程中出现的问题应按照《民法典》的规定办理，在合同履行过程中，双方如有争议，经协商无效，任何一方可向甲方所在地人民法院提起诉讼。</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合同在执行过程中出现的未尽事宜，双方在不违背本合同的原则下协商解决，协商结果以书面形式记录在案，作为本合同附件，与本合同具有同等效力。</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本合同一式</w:t>
      </w:r>
      <w:r>
        <w:rPr>
          <w:rFonts w:hint="eastAsia" w:ascii="宋体" w:hAnsi="宋体"/>
          <w:sz w:val="24"/>
        </w:rPr>
        <w:t xml:space="preserve">叁</w:t>
      </w:r>
      <w:r>
        <w:rPr>
          <w:rFonts w:ascii="宋体" w:hAnsi="宋体"/>
          <w:sz w:val="24"/>
        </w:rPr>
        <w:t xml:space="preserve">份，甲乙双方、采购代理机构各执</w:t>
      </w:r>
      <w:r>
        <w:rPr>
          <w:rFonts w:hint="eastAsia" w:ascii="宋体" w:hAnsi="宋体"/>
          <w:sz w:val="24"/>
        </w:rPr>
        <w:t xml:space="preserve">壹</w:t>
      </w:r>
      <w:r>
        <w:rPr>
          <w:rFonts w:ascii="宋体" w:hAnsi="宋体"/>
          <w:sz w:val="24"/>
        </w:rPr>
        <w:t xml:space="preserve">份。</w:t>
      </w:r>
      <w:r/>
    </w:p>
    <w:p>
      <w:pPr>
        <w:ind w:firstLine="480"/>
        <w:spacing w:line="360" w:lineRule="auto"/>
        <w:rPr>
          <w:rFonts w:ascii="宋体" w:hAnsi="宋体"/>
          <w:sz w:val="24"/>
        </w:rPr>
      </w:pPr>
      <w:r>
        <w:rPr>
          <w:rFonts w:ascii="宋体" w:hAnsi="宋体"/>
          <w:sz w:val="24"/>
        </w:rPr>
      </w:r>
      <w:r/>
    </w:p>
    <w:p>
      <w:pPr>
        <w:ind w:firstLine="420"/>
        <w:spacing w:line="360" w:lineRule="auto"/>
        <w:rPr>
          <w:rFonts w:ascii="宋体" w:hAnsi="宋体"/>
          <w:sz w:val="24"/>
        </w:rPr>
      </w:pPr>
      <w:r>
        <w:rPr>
          <w:rFonts w:ascii="宋体" w:hAnsi="宋体"/>
          <w:sz w:val="24"/>
        </w:rPr>
        <w:t xml:space="preserve">甲方（盖章）：       </w:t>
      </w:r>
      <w:r>
        <w:rPr>
          <w:rFonts w:hint="eastAsia" w:ascii="宋体" w:hAnsi="宋体"/>
          <w:sz w:val="24"/>
        </w:rPr>
        <w:t xml:space="preserve">               </w:t>
      </w:r>
      <w:r>
        <w:rPr>
          <w:rFonts w:ascii="宋体" w:hAnsi="宋体"/>
          <w:sz w:val="24"/>
        </w:rPr>
        <w:t xml:space="preserve">乙方（盖章）：</w:t>
      </w:r>
      <w:r>
        <w:rPr>
          <w:rFonts w:hint="eastAsia" w:ascii="宋体" w:hAnsi="宋体"/>
          <w:sz w:val="24"/>
        </w:rPr>
        <w:t xml:space="preserve">  </w:t>
      </w:r>
      <w:r/>
    </w:p>
    <w:p>
      <w:pPr>
        <w:ind w:firstLine="420"/>
        <w:spacing w:line="360" w:lineRule="auto"/>
        <w:rPr>
          <w:rFonts w:ascii="宋体" w:hAnsi="宋体"/>
          <w:sz w:val="24"/>
        </w:rPr>
      </w:pPr>
      <w:r>
        <w:rPr>
          <w:rFonts w:ascii="宋体" w:hAnsi="宋体"/>
          <w:sz w:val="24"/>
        </w:rPr>
        <w:t xml:space="preserve">甲方代表：      </w:t>
      </w:r>
      <w:r>
        <w:rPr>
          <w:rFonts w:hint="eastAsia" w:ascii="宋体" w:hAnsi="宋体"/>
          <w:sz w:val="24"/>
        </w:rPr>
        <w:t xml:space="preserve">                   </w:t>
      </w:r>
      <w:r>
        <w:rPr>
          <w:rFonts w:ascii="宋体" w:hAnsi="宋体"/>
          <w:sz w:val="24"/>
        </w:rPr>
        <w:t xml:space="preserve"> 乙方代表：</w:t>
      </w:r>
      <w:r/>
    </w:p>
    <w:p>
      <w:pPr>
        <w:ind w:firstLine="420"/>
        <w:spacing w:line="360" w:lineRule="auto"/>
        <w:rPr>
          <w:rFonts w:ascii="宋体" w:hAnsi="宋体"/>
          <w:sz w:val="24"/>
        </w:rPr>
      </w:pPr>
      <w:r>
        <w:rPr>
          <w:rFonts w:ascii="宋体" w:hAnsi="宋体"/>
          <w:sz w:val="24"/>
        </w:rPr>
        <w:t xml:space="preserve">日期：  年  月  日</w:t>
      </w:r>
      <w:r>
        <w:rPr>
          <w:rFonts w:hint="eastAsia" w:ascii="宋体" w:hAnsi="宋体"/>
          <w:sz w:val="24"/>
        </w:rPr>
        <w:t xml:space="preserve">                  </w:t>
      </w:r>
      <w:r>
        <w:rPr>
          <w:rFonts w:ascii="宋体" w:hAnsi="宋体"/>
          <w:sz w:val="24"/>
        </w:rPr>
        <w:t xml:space="preserve">日期：     年  月   日</w:t>
      </w:r>
      <w:r>
        <w:rPr>
          <w:rFonts w:ascii="宋体" w:hAnsi="宋体"/>
          <w:sz w:val="24"/>
        </w:rPr>
        <w:tab/>
      </w:r>
      <w:r/>
    </w:p>
    <w:p>
      <w:pPr>
        <w:ind w:firstLine="4840"/>
        <w:spacing w:line="360" w:lineRule="auto"/>
        <w:rPr>
          <w:rStyle w:val="875"/>
          <w:rFonts w:ascii="宋体" w:hAnsi="宋体"/>
          <w:b w:val="0"/>
          <w:spacing w:val="-10"/>
          <w:sz w:val="24"/>
        </w:rPr>
      </w:pPr>
      <w:r>
        <w:rPr>
          <w:rFonts w:ascii="宋体" w:hAnsi="宋体"/>
          <w:spacing w:val="-10"/>
          <w:sz w:val="24"/>
        </w:rPr>
        <w:t xml:space="preserve">账号：</w:t>
      </w:r>
      <w:r/>
    </w:p>
    <w:p>
      <w:pPr>
        <w:jc w:val="left"/>
        <w:widowControl/>
        <w:rPr>
          <w:rStyle w:val="875"/>
          <w:rFonts w:ascii="宋体" w:hAnsi="宋体" w:cs="宋体"/>
          <w:sz w:val="43"/>
          <w:szCs w:val="43"/>
        </w:rPr>
      </w:pPr>
      <w:r>
        <w:rPr>
          <w:rStyle w:val="875"/>
          <w:rFonts w:ascii="宋体" w:hAnsi="宋体" w:cs="宋体"/>
          <w:sz w:val="43"/>
          <w:szCs w:val="43"/>
        </w:rPr>
        <w:br w:type="page" w:clear="all"/>
      </w:r>
      <w:r/>
    </w:p>
    <w:p>
      <w:pPr>
        <w:pStyle w:val="903"/>
        <w:jc w:val="center"/>
        <w:spacing w:line="360" w:lineRule="auto"/>
        <w:rPr>
          <w:rFonts w:hAnsi="宋体" w:cs="宋体"/>
          <w:bCs/>
          <w:sz w:val="24"/>
        </w:rPr>
      </w:pPr>
      <w:r>
        <w:rPr>
          <w:rStyle w:val="875"/>
          <w:rFonts w:hint="eastAsia" w:ascii="宋体" w:hAnsi="宋体" w:cs="宋体"/>
          <w:sz w:val="43"/>
          <w:szCs w:val="43"/>
        </w:rPr>
        <w:t xml:space="preserve">第六章 评标办法及评分标准</w:t>
      </w:r>
      <w:r/>
    </w:p>
    <w:p>
      <w:pPr>
        <w:pStyle w:val="903"/>
        <w:ind w:firstLine="482"/>
        <w:spacing w:line="360" w:lineRule="auto"/>
        <w:rPr>
          <w:rFonts w:hAnsi="宋体" w:cs="宋体"/>
          <w:b/>
          <w:sz w:val="24"/>
          <w:lang w:bidi="ar"/>
        </w:rPr>
        <w:outlineLvl w:val="0"/>
      </w:pPr>
      <w:r>
        <w:rPr>
          <w:rFonts w:hint="eastAsia" w:hAnsi="宋体" w:cs="宋体"/>
          <w:b/>
          <w:sz w:val="24"/>
          <w:lang w:bidi="ar"/>
        </w:rPr>
        <w:t xml:space="preserve">一、评标方法</w:t>
      </w:r>
      <w:r/>
    </w:p>
    <w:p>
      <w:pPr>
        <w:ind w:firstLine="480"/>
        <w:spacing w:line="360" w:lineRule="auto"/>
        <w:rPr>
          <w:rFonts w:hAnsi="宋体"/>
          <w:sz w:val="24"/>
        </w:rPr>
      </w:pPr>
      <w:r>
        <w:rPr>
          <w:rFonts w:hint="eastAsia" w:hAnsi="宋体"/>
          <w:sz w:val="24"/>
        </w:rPr>
        <w:t xml:space="preserve">1.本次招标的评标方法采用综合评标法。即在满足招标文件全部实质性要求前提下，按照招标文件中规定的评分标准和各项因素进行综合评审后，以</w:t>
      </w:r>
      <w:bookmarkStart w:id="166" w:name="OLE_LINK187"/>
      <w:r>
        <w:rPr>
          <w:rFonts w:hint="eastAsia" w:hAnsi="宋体"/>
          <w:sz w:val="24"/>
        </w:rPr>
        <w:t xml:space="preserve">评标总得分</w:t>
      </w:r>
      <w:bookmarkEnd w:id="166"/>
      <w:r>
        <w:rPr>
          <w:rFonts w:hint="eastAsia" w:hAnsi="宋体"/>
          <w:sz w:val="24"/>
        </w:rPr>
        <w:t xml:space="preserve">最高的投标人作为中标候选人或者中标人的评标方法。</w:t>
      </w:r>
      <w:r/>
    </w:p>
    <w:p>
      <w:pPr>
        <w:ind w:firstLine="480"/>
        <w:spacing w:line="360" w:lineRule="auto"/>
        <w:rPr>
          <w:rFonts w:hAnsi="宋体"/>
          <w:sz w:val="24"/>
        </w:rPr>
      </w:pPr>
      <w:r>
        <w:rPr>
          <w:rFonts w:hint="eastAsia" w:hAnsi="宋体"/>
          <w:sz w:val="24"/>
        </w:rPr>
        <w:t xml:space="preserve">2.评标委员会各成员独立对每个进入打分程序的有效投标人的</w:t>
      </w:r>
      <w:r>
        <w:rPr>
          <w:rFonts w:hint="eastAsia" w:ascii="宋体" w:hAnsi="宋体"/>
          <w:sz w:val="24"/>
        </w:rPr>
        <w:t xml:space="preserve">投标文件（报价除外）</w:t>
      </w:r>
      <w:r>
        <w:rPr>
          <w:rFonts w:hint="eastAsia" w:hAnsi="宋体"/>
          <w:sz w:val="24"/>
        </w:rPr>
        <w:t xml:space="preserve">以打分的形式进行评审和评价，将评委评分按算术平均法汇总，计算出每个投标人的技术商务得分，</w:t>
      </w:r>
      <w:r>
        <w:rPr>
          <w:rFonts w:hint="eastAsia" w:ascii="宋体" w:hAnsi="宋体"/>
          <w:sz w:val="24"/>
        </w:rPr>
        <w:t xml:space="preserve">报价得分软件自动生成，二者相加为投标人的</w:t>
      </w:r>
      <w:r>
        <w:rPr>
          <w:rFonts w:hint="eastAsia" w:hAnsi="宋体"/>
          <w:sz w:val="24"/>
        </w:rPr>
        <w:t xml:space="preserve">评标总得分</w:t>
      </w:r>
      <w:r>
        <w:rPr>
          <w:rFonts w:hint="eastAsia" w:ascii="宋体" w:hAnsi="宋体"/>
          <w:sz w:val="24"/>
        </w:rPr>
        <w:t xml:space="preserve">（各项得分按四舍五入原则精确到小数点后两位）。</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如出现</w:t>
      </w:r>
      <w:r>
        <w:rPr>
          <w:rFonts w:hint="eastAsia" w:hAnsi="宋体"/>
          <w:sz w:val="24"/>
        </w:rPr>
        <w:t xml:space="preserve">评标总得分</w:t>
      </w:r>
      <w:r>
        <w:rPr>
          <w:rFonts w:hint="eastAsia" w:ascii="宋体" w:hAnsi="宋体" w:cs="宋体"/>
          <w:sz w:val="24"/>
        </w:rPr>
        <w:t xml:space="preserve">最高的投标人有两个或两个以上的，以实际最后报价较低者优先作为中标候选人，如果报价也相同的，则由代理机构组织以抽签方式确定中标候选人。</w:t>
      </w:r>
      <w:r/>
    </w:p>
    <w:p>
      <w:pPr>
        <w:ind w:firstLine="480"/>
        <w:spacing w:line="360" w:lineRule="auto"/>
        <w:rPr>
          <w:rFonts w:ascii="宋体" w:hAnsi="宋体" w:cs="宋体"/>
          <w:b/>
          <w:sz w:val="24"/>
        </w:rPr>
      </w:pPr>
      <w:r/>
      <w:bookmarkStart w:id="167" w:name="OLE_LINK94"/>
      <w:r/>
      <w:bookmarkStart w:id="168" w:name="OLE_LINK93"/>
      <w:r>
        <w:rPr>
          <w:rFonts w:hint="eastAsia" w:ascii="宋体" w:hAnsi="宋体" w:cs="宋体"/>
          <w:b/>
          <w:sz w:val="24"/>
        </w:rPr>
        <w:t xml:space="preserve">4.</w:t>
      </w:r>
      <w:bookmarkEnd w:id="167"/>
      <w:r/>
      <w:bookmarkEnd w:id="168"/>
      <w:r>
        <w:rPr>
          <w:rFonts w:ascii="宋体" w:hAnsi="宋体" w:cs="宋体"/>
          <w:b/>
          <w:sz w:val="24"/>
        </w:rPr>
        <w:t xml:space="preserve">提供相同品牌产品</w:t>
      </w:r>
      <w:r>
        <w:rPr>
          <w:rFonts w:hint="eastAsia" w:ascii="宋体" w:hAnsi="宋体" w:cs="宋体"/>
          <w:b/>
          <w:sz w:val="24"/>
        </w:rPr>
        <w:t xml:space="preserve">（核心产品）</w:t>
      </w:r>
      <w:r>
        <w:rPr>
          <w:rFonts w:ascii="宋体" w:hAnsi="宋体" w:cs="宋体"/>
          <w:b/>
          <w:sz w:val="24"/>
        </w:rPr>
        <w:t xml:space="preserve">的不同</w:t>
      </w:r>
      <w:r>
        <w:rPr>
          <w:rFonts w:hint="eastAsia" w:ascii="宋体" w:hAnsi="宋体" w:cs="宋体"/>
          <w:b/>
          <w:sz w:val="24"/>
        </w:rPr>
        <w:t xml:space="preserve">投标人</w:t>
      </w:r>
      <w:r>
        <w:rPr>
          <w:rFonts w:ascii="宋体" w:hAnsi="宋体" w:cs="宋体"/>
          <w:b/>
          <w:sz w:val="24"/>
        </w:rPr>
        <w:t xml:space="preserve">，按一家</w:t>
      </w:r>
      <w:r>
        <w:rPr>
          <w:rFonts w:hint="eastAsia" w:ascii="宋体" w:hAnsi="宋体" w:cs="宋体"/>
          <w:b/>
          <w:sz w:val="24"/>
        </w:rPr>
        <w:t xml:space="preserve">投标人</w:t>
      </w:r>
      <w:r>
        <w:rPr>
          <w:rFonts w:ascii="宋体" w:hAnsi="宋体" w:cs="宋体"/>
          <w:b/>
          <w:sz w:val="24"/>
        </w:rPr>
        <w:t xml:space="preserve">计算，</w:t>
      </w:r>
      <w:r>
        <w:rPr>
          <w:rFonts w:ascii="宋体" w:hAnsi="宋体" w:cs="宋体"/>
          <w:sz w:val="24"/>
        </w:rPr>
        <w:t xml:space="preserve">得分高的获得推荐资格，得分相同的，由评委会抽签决定，其他同品牌</w:t>
      </w:r>
      <w:r>
        <w:rPr>
          <w:rFonts w:hint="eastAsia" w:ascii="宋体" w:hAnsi="宋体" w:cs="宋体"/>
          <w:sz w:val="24"/>
        </w:rPr>
        <w:t xml:space="preserve">投标人</w:t>
      </w:r>
      <w:r>
        <w:rPr>
          <w:rFonts w:ascii="宋体" w:hAnsi="宋体" w:cs="宋体"/>
          <w:sz w:val="24"/>
        </w:rPr>
        <w:t xml:space="preserve">不作为</w:t>
      </w:r>
      <w:r>
        <w:rPr>
          <w:rFonts w:hint="eastAsia" w:ascii="宋体" w:hAnsi="宋体" w:cs="宋体"/>
          <w:sz w:val="24"/>
        </w:rPr>
        <w:t xml:space="preserve">中标</w:t>
      </w:r>
      <w:r>
        <w:rPr>
          <w:rFonts w:ascii="宋体" w:hAnsi="宋体" w:cs="宋体"/>
          <w:sz w:val="24"/>
        </w:rPr>
        <w:t xml:space="preserve">候选人。</w:t>
      </w:r>
      <w:r/>
    </w:p>
    <w:p>
      <w:pPr>
        <w:pStyle w:val="903"/>
        <w:ind w:firstLine="482"/>
        <w:spacing w:line="360" w:lineRule="auto"/>
        <w:rPr>
          <w:rFonts w:hAnsi="宋体" w:cs="宋体"/>
          <w:b/>
          <w:bCs/>
          <w:sz w:val="24"/>
        </w:rPr>
        <w:outlineLvl w:val="0"/>
      </w:pPr>
      <w:r>
        <w:rPr>
          <w:rFonts w:hint="eastAsia" w:hAnsi="宋体" w:cs="宋体"/>
          <w:b/>
          <w:sz w:val="24"/>
          <w:lang w:bidi="ar"/>
        </w:rPr>
        <w:t xml:space="preserve">二、评分标准：</w:t>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235"/>
        <w:gridCol w:w="6457"/>
        <w:gridCol w:w="1016"/>
      </w:tblGrid>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b/>
                <w:sz w:val="24"/>
              </w:rPr>
            </w:pPr>
            <w:r>
              <w:rPr>
                <w:b/>
                <w:sz w:val="24"/>
              </w:rPr>
              <w:t xml:space="preserve">序号</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rPr>
                <w:b/>
                <w:sz w:val="24"/>
              </w:rPr>
            </w:pPr>
            <w:r>
              <w:rPr>
                <w:b/>
                <w:sz w:val="24"/>
              </w:rPr>
              <w:t xml:space="preserve">项目</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center"/>
              <w:rPr>
                <w:b/>
                <w:sz w:val="24"/>
              </w:rPr>
            </w:pPr>
            <w:r>
              <w:rPr>
                <w:b/>
                <w:sz w:val="24"/>
              </w:rPr>
              <w:t xml:space="preserve">评分细则</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rPr>
                <w:b/>
                <w:sz w:val="24"/>
              </w:rPr>
            </w:pPr>
            <w:r>
              <w:rPr>
                <w:b/>
                <w:sz w:val="24"/>
              </w:rPr>
              <w:t xml:space="preserve">分值(分)</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b/>
                <w:sz w:val="24"/>
              </w:rPr>
            </w:pPr>
            <w:r>
              <w:rPr>
                <w:b/>
                <w:sz w:val="24"/>
              </w:rPr>
              <w:t xml:space="preserve">一、报价部分（30分）</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spacing w:line="360" w:lineRule="auto"/>
              <w:rPr>
                <w:sz w:val="24"/>
              </w:rPr>
            </w:pPr>
            <w:r>
              <w:rPr>
                <w:sz w:val="24"/>
              </w:rPr>
              <w:t xml:space="preserve">投标报价</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spacing w:line="360" w:lineRule="auto"/>
              <w:rPr>
                <w:sz w:val="24"/>
              </w:rPr>
            </w:pPr>
            <w:r>
              <w:rPr>
                <w:sz w:val="24"/>
              </w:rPr>
              <w:t xml:space="preserve">价格分采用低价优先法计算，即满足</w:t>
            </w:r>
            <w:r>
              <w:rPr>
                <w:rFonts w:hint="eastAsia"/>
                <w:sz w:val="24"/>
              </w:rPr>
              <w:t xml:space="preserve">招标文件</w:t>
            </w:r>
            <w:r>
              <w:rPr>
                <w:sz w:val="24"/>
              </w:rPr>
              <w:t xml:space="preserve">要求且</w:t>
            </w:r>
            <w:r>
              <w:rPr>
                <w:rFonts w:hint="eastAsia"/>
                <w:sz w:val="24"/>
              </w:rPr>
              <w:t xml:space="preserve">投标</w:t>
            </w:r>
            <w:r>
              <w:rPr>
                <w:sz w:val="24"/>
              </w:rPr>
              <w:t xml:space="preserve">报价最低的价格为</w:t>
            </w:r>
            <w:bookmarkStart w:id="169" w:name="OLE_LINK189"/>
            <w:r/>
            <w:bookmarkStart w:id="170" w:name="OLE_LINK188"/>
            <w:r>
              <w:rPr>
                <w:rFonts w:hint="eastAsia"/>
                <w:sz w:val="24"/>
              </w:rPr>
              <w:t xml:space="preserve">评标</w:t>
            </w:r>
            <w:bookmarkEnd w:id="169"/>
            <w:r/>
            <w:bookmarkEnd w:id="170"/>
            <w:r>
              <w:rPr>
                <w:sz w:val="24"/>
              </w:rPr>
              <w:t xml:space="preserve">基准价，其价格分为满分，其他投标人的价格分按照下列公式计算：</w:t>
            </w:r>
            <w:r/>
          </w:p>
          <w:p>
            <w:pPr>
              <w:spacing w:line="360" w:lineRule="auto"/>
              <w:rPr>
                <w:sz w:val="24"/>
              </w:rPr>
            </w:pPr>
            <w:r>
              <w:rPr>
                <w:sz w:val="24"/>
              </w:rPr>
              <w:t xml:space="preserve">价格分=（</w:t>
            </w:r>
            <w:r>
              <w:rPr>
                <w:rFonts w:hint="eastAsia"/>
                <w:sz w:val="24"/>
              </w:rPr>
              <w:t xml:space="preserve">评标</w:t>
            </w:r>
            <w:r>
              <w:rPr>
                <w:sz w:val="24"/>
              </w:rPr>
              <w:t xml:space="preserve">基准价</w:t>
            </w:r>
            <w:r>
              <w:rPr>
                <w:rFonts w:hint="eastAsia"/>
                <w:sz w:val="24"/>
              </w:rPr>
              <w:t xml:space="preserve">/投标</w:t>
            </w:r>
            <w:r>
              <w:rPr>
                <w:sz w:val="24"/>
              </w:rPr>
              <w:t xml:space="preserve">报价）×30%×100</w:t>
            </w:r>
            <w:r/>
          </w:p>
          <w:p>
            <w:pPr>
              <w:spacing w:line="360" w:lineRule="auto"/>
              <w:rPr>
                <w:sz w:val="24"/>
              </w:rPr>
            </w:pPr>
            <w:r>
              <w:rPr>
                <w:rFonts w:hint="eastAsia"/>
                <w:sz w:val="24"/>
              </w:rPr>
              <w:t xml:space="preserve">注</w:t>
            </w:r>
            <w:r>
              <w:rPr>
                <w:sz w:val="24"/>
              </w:rPr>
              <w:t xml:space="preserve">：</w:t>
            </w:r>
            <w:r/>
          </w:p>
          <w:p>
            <w:pPr>
              <w:spacing w:line="360" w:lineRule="auto"/>
              <w:rPr>
                <w:b/>
                <w:sz w:val="24"/>
              </w:rPr>
            </w:pPr>
            <w:r>
              <w:rPr>
                <w:rFonts w:hint="eastAsia"/>
                <w:b/>
                <w:sz w:val="24"/>
              </w:rPr>
              <w:t xml:space="preserve">1.</w:t>
            </w:r>
            <w:r>
              <w:rPr>
                <w:b/>
                <w:sz w:val="24"/>
              </w:rPr>
              <w:t xml:space="preserve">报价超过</w:t>
            </w:r>
            <w:r>
              <w:rPr>
                <w:rFonts w:hint="eastAsia"/>
                <w:b/>
                <w:sz w:val="24"/>
              </w:rPr>
              <w:t xml:space="preserve">采购</w:t>
            </w:r>
            <w:r>
              <w:rPr>
                <w:b/>
                <w:sz w:val="24"/>
              </w:rPr>
              <w:t xml:space="preserve">预算或最高限价的，</w:t>
            </w:r>
            <w:r>
              <w:rPr>
                <w:rFonts w:hint="eastAsia"/>
                <w:b/>
                <w:sz w:val="24"/>
              </w:rPr>
              <w:t xml:space="preserve">为</w:t>
            </w:r>
            <w:r>
              <w:rPr>
                <w:b/>
                <w:sz w:val="24"/>
              </w:rPr>
              <w:t xml:space="preserve">无效</w:t>
            </w:r>
            <w:r>
              <w:rPr>
                <w:rFonts w:hint="eastAsia"/>
                <w:b/>
                <w:sz w:val="24"/>
              </w:rPr>
              <w:t xml:space="preserve">投标</w:t>
            </w:r>
            <w:r>
              <w:rPr>
                <w:b/>
                <w:sz w:val="24"/>
              </w:rPr>
              <w:t xml:space="preserve">；</w:t>
            </w:r>
            <w:r/>
          </w:p>
          <w:p>
            <w:pPr>
              <w:spacing w:line="360" w:lineRule="auto"/>
              <w:rPr>
                <w:rFonts w:ascii="宋体" w:hAnsi="宋体"/>
                <w:b/>
                <w:sz w:val="24"/>
              </w:rPr>
            </w:pPr>
            <w:r>
              <w:rPr>
                <w:rFonts w:hint="eastAsia"/>
                <w:b/>
                <w:sz w:val="24"/>
              </w:rPr>
              <w:t xml:space="preserve">2.</w:t>
            </w:r>
            <w:r>
              <w:rPr>
                <w:rFonts w:hint="eastAsia" w:ascii="宋体" w:hAnsi="宋体"/>
                <w:b/>
                <w:sz w:val="24"/>
              </w:rPr>
              <w:t xml:space="preserve">投标人报价过低的将启动异常低价投标审查程序，具体启动标准及程序详见“第二章 投标人须知”。</w:t>
            </w:r>
            <w:r/>
          </w:p>
          <w:p>
            <w:pPr>
              <w:spacing w:line="360" w:lineRule="auto"/>
              <w:rPr>
                <w:rFonts w:ascii="宋体" w:hAnsi="宋体"/>
                <w:b/>
                <w:sz w:val="24"/>
              </w:rPr>
            </w:pPr>
            <w:r>
              <w:rPr>
                <w:rFonts w:hint="eastAsia" w:ascii="宋体" w:hAnsi="宋体"/>
                <w:b/>
                <w:sz w:val="24"/>
              </w:rPr>
              <w:t xml:space="preserve">3.</w:t>
            </w:r>
            <w:r>
              <w:rPr>
                <w:rFonts w:hint="eastAsia"/>
                <w:b/>
              </w:rPr>
              <w:t xml:space="preserve"> </w:t>
            </w:r>
            <w:r>
              <w:rPr>
                <w:rFonts w:hint="eastAsia" w:ascii="宋体" w:hAnsi="宋体"/>
                <w:b/>
                <w:sz w:val="24"/>
              </w:rPr>
              <w:t xml:space="preserve">本项目为专门面向中小企业采购，不再执行小微企业价格评审优惠的扶持政策。</w:t>
            </w:r>
            <w:r/>
          </w:p>
          <w:p>
            <w:pPr>
              <w:spacing w:line="348" w:lineRule="auto"/>
              <w:rPr>
                <w:rFonts w:ascii="宋体" w:hAnsi="宋体"/>
                <w:sz w:val="24"/>
              </w:rPr>
            </w:pPr>
            <w:r>
              <w:rPr>
                <w:rFonts w:hint="eastAsia" w:ascii="宋体" w:hAnsi="宋体"/>
                <w:b/>
                <w:sz w:val="24"/>
              </w:rPr>
              <w:t xml:space="preserve">4.本项目执行本国产品支持政策，政府采购活动中既有本国产品又有非本国产品参与竞争的，依法对本国产品给予价格评审优惠，对本国产品的报价给予20%的价格扣除，用扣除后的价格参与评审。具体详见“第四章 招标书”及</w:t>
            </w:r>
            <w:r>
              <w:rPr>
                <w:rFonts w:hint="eastAsia" w:ascii="宋体" w:hAnsi="宋体"/>
                <w:b/>
                <w:sz w:val="24"/>
              </w:rPr>
              <w:t xml:space="preserve">《国务院办公厅关于在政府采购中实施本国产品标准及相关政策的通知》（国办发〔2025〕34号。</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30</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b/>
                <w:sz w:val="24"/>
              </w:rPr>
            </w:pPr>
            <w:r>
              <w:rPr>
                <w:b/>
                <w:sz w:val="24"/>
              </w:rPr>
              <w:t xml:space="preserve">二、商务部分（25分）</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spacing w:line="360" w:lineRule="auto"/>
              <w:rPr>
                <w:sz w:val="24"/>
              </w:rPr>
            </w:pPr>
            <w:r>
              <w:rPr>
                <w:sz w:val="24"/>
              </w:rPr>
              <w:t xml:space="preserve">管理体系认证</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tabs>
                <w:tab w:val="left" w:pos="480" w:leader="none"/>
              </w:tabs>
              <w:rPr>
                <w:rFonts w:ascii="宋体" w:hAnsi="宋体"/>
                <w:sz w:val="24"/>
                <w:szCs w:val="21"/>
              </w:rPr>
            </w:pPr>
            <w:r>
              <w:rPr>
                <w:rFonts w:hint="eastAsia" w:ascii="宋体" w:hAnsi="宋体"/>
                <w:sz w:val="24"/>
                <w:szCs w:val="21"/>
              </w:rPr>
              <w:t xml:space="preserve">投标单位具有环境管理体系认证证书、质量管理体系认证证书、职业健康安全体系认证证书的每个得1分，最高得3分。（投标文件中提供证书复印件及国家认监委网站查询证书有效的截图，否则不得分</w:t>
            </w:r>
            <w:r>
              <w:rPr>
                <w:rFonts w:hint="eastAsia" w:ascii="宋体" w:hAnsi="宋体" w:cs="宋体"/>
                <w:bCs/>
                <w:sz w:val="24"/>
                <w:szCs w:val="21"/>
              </w:rPr>
              <w:t xml:space="preserve">。</w:t>
            </w:r>
            <w:r>
              <w:rPr>
                <w:rFonts w:hint="eastAsia" w:ascii="宋体" w:hAnsi="宋体"/>
                <w:sz w:val="24"/>
                <w:szCs w:val="21"/>
              </w:rPr>
              <w:t xml:space="preserve">）</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rFonts w:hint="eastAsia"/>
                <w:sz w:val="24"/>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spacing w:line="360" w:lineRule="auto"/>
              <w:rPr>
                <w:sz w:val="24"/>
              </w:rPr>
            </w:pPr>
            <w:r>
              <w:rPr>
                <w:sz w:val="24"/>
              </w:rPr>
              <w:t xml:space="preserve">项目团队配置情况</w:t>
            </w:r>
            <w:r/>
          </w:p>
        </w:tc>
        <w:tc>
          <w:tcPr>
            <w:tcBorders>
              <w:top w:val="single" w:color="000000" w:sz="4" w:space="0"/>
              <w:left w:val="single" w:color="000000" w:sz="4" w:space="0"/>
              <w:bottom w:val="single" w:color="000000" w:sz="4" w:space="0"/>
              <w:right w:val="single" w:color="000000" w:sz="4" w:space="0"/>
            </w:tcBorders>
            <w:tcW w:w="3476" w:type="pct"/>
            <w:textDirection w:val="lrTb"/>
            <w:noWrap w:val="false"/>
          </w:tcPr>
          <w:p>
            <w:pPr>
              <w:jc w:val="left"/>
              <w:spacing w:line="360" w:lineRule="auto"/>
              <w:tabs>
                <w:tab w:val="left" w:pos="420" w:leader="none"/>
              </w:tabs>
              <w:rPr>
                <w:rFonts w:ascii="宋体" w:cs="宋体"/>
                <w:sz w:val="24"/>
              </w:rPr>
            </w:pPr>
            <w:r/>
            <w:bookmarkStart w:id="171" w:name="OLE_LINK7"/>
            <w:r>
              <w:rPr>
                <w:rFonts w:hint="eastAsia" w:ascii="宋体" w:cs="宋体"/>
                <w:sz w:val="24"/>
              </w:rPr>
              <w:t xml:space="preserve">技术人员9分：</w:t>
            </w:r>
            <w:bookmarkEnd w:id="171"/>
            <w:r/>
            <w:r/>
          </w:p>
          <w:p>
            <w:pPr>
              <w:jc w:val="left"/>
              <w:spacing w:line="360" w:lineRule="auto"/>
              <w:rPr>
                <w:rFonts w:ascii="宋体" w:hAnsi="宋体" w:cs="宋体"/>
                <w:bCs/>
                <w:sz w:val="24"/>
                <w:szCs w:val="21"/>
              </w:rPr>
            </w:pPr>
            <w:r>
              <w:rPr>
                <w:rFonts w:hint="eastAsia" w:ascii="宋体" w:hAnsi="宋体" w:cs="宋体"/>
                <w:bCs/>
                <w:sz w:val="24"/>
                <w:szCs w:val="21"/>
              </w:rPr>
              <w:t xml:space="preserve">为本项目配置的</w:t>
            </w:r>
            <w:bookmarkStart w:id="172" w:name="OLE_LINK110"/>
            <w:r/>
            <w:bookmarkStart w:id="173" w:name="OLE_LINK109"/>
            <w:r>
              <w:rPr>
                <w:rFonts w:hint="eastAsia" w:ascii="宋体" w:hAnsi="宋体" w:cs="宋体"/>
                <w:bCs/>
                <w:sz w:val="24"/>
                <w:szCs w:val="21"/>
              </w:rPr>
              <w:t xml:space="preserve">专业运维技术人员</w:t>
            </w:r>
            <w:bookmarkEnd w:id="172"/>
            <w:r/>
            <w:bookmarkEnd w:id="173"/>
            <w:r>
              <w:rPr>
                <w:rFonts w:hint="eastAsia" w:ascii="宋体" w:hAnsi="宋体" w:cs="宋体"/>
                <w:bCs/>
                <w:sz w:val="24"/>
                <w:szCs w:val="21"/>
              </w:rPr>
              <w:t xml:space="preserve">具有省级及以上生态环境部门或省级及以上环保产业协会的地表水自动监测上岗证或培训合格证明材料，每个得3分，最多得9分。</w:t>
            </w:r>
            <w:r/>
          </w:p>
          <w:p>
            <w:pPr>
              <w:jc w:val="left"/>
              <w:spacing w:line="360" w:lineRule="auto"/>
              <w:rPr>
                <w:sz w:val="24"/>
              </w:rPr>
            </w:pPr>
            <w:r>
              <w:rPr>
                <w:rFonts w:hint="eastAsia" w:ascii="宋体" w:hAnsi="宋体"/>
                <w:sz w:val="24"/>
                <w:szCs w:val="21"/>
              </w:rPr>
              <w:t xml:space="preserve">注：须在投标文件中提供人员相应证书及投标人为其缴纳的最近一期的社保证明复印件，否则不得分。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rFonts w:hint="eastAsia"/>
                <w:sz w:val="24"/>
              </w:rPr>
              <w:t xml:space="preserve">3</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spacing w:line="360" w:lineRule="auto"/>
              <w:rPr>
                <w:sz w:val="24"/>
              </w:rPr>
            </w:pPr>
            <w:r>
              <w:rPr>
                <w:rFonts w:hint="eastAsia"/>
                <w:sz w:val="24"/>
              </w:rPr>
              <w:t xml:space="preserve">备品备件配置情况</w:t>
            </w:r>
            <w:r/>
          </w:p>
        </w:tc>
        <w:tc>
          <w:tcPr>
            <w:tcBorders>
              <w:top w:val="single" w:color="000000" w:sz="4" w:space="0"/>
              <w:left w:val="single" w:color="000000" w:sz="4" w:space="0"/>
              <w:bottom w:val="single" w:color="000000" w:sz="4" w:space="0"/>
              <w:right w:val="single" w:color="000000" w:sz="4" w:space="0"/>
            </w:tcBorders>
            <w:tcW w:w="3476" w:type="pct"/>
            <w:textDirection w:val="lrTb"/>
            <w:noWrap w:val="false"/>
          </w:tcPr>
          <w:p>
            <w:pPr>
              <w:jc w:val="left"/>
              <w:spacing w:line="360" w:lineRule="auto"/>
              <w:rPr>
                <w:rFonts w:ascii="宋体" w:hAnsi="宋体" w:cs="宋体"/>
                <w:bCs/>
                <w:sz w:val="24"/>
                <w:szCs w:val="21"/>
              </w:rPr>
            </w:pPr>
            <w:r>
              <w:rPr>
                <w:rFonts w:hint="eastAsia" w:ascii="宋体" w:hAnsi="宋体" w:cs="宋体"/>
                <w:bCs/>
                <w:sz w:val="24"/>
                <w:szCs w:val="21"/>
              </w:rPr>
              <w:t xml:space="preserve">包括仪器设备备品备件配置齐全程度，供应渠道，存放地点及更换频次等。内容全面、完整、规范、具有相应支撑材料得 4 分；内容较全面、较完整、支撑材料基本齐全得2 分；内容基本全面、支撑材料不太齐全得 1 分；否则不得分。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rFonts w:hint="eastAsia"/>
                <w:sz w:val="24"/>
              </w:rPr>
              <w:t xml:space="preserve">4</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spacing w:line="360" w:lineRule="auto"/>
              <w:rPr>
                <w:sz w:val="24"/>
              </w:rPr>
            </w:pPr>
            <w:r>
              <w:rPr>
                <w:sz w:val="24"/>
              </w:rPr>
              <w:t xml:space="preserve">项目经验</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rPr>
                <w:sz w:val="24"/>
              </w:rPr>
            </w:pPr>
            <w:r>
              <w:rPr>
                <w:rFonts w:hint="eastAsia" w:ascii="宋体" w:cs="宋体"/>
                <w:sz w:val="24"/>
                <w:szCs w:val="21"/>
              </w:rPr>
              <w:t xml:space="preserve">自</w:t>
            </w:r>
            <w:r>
              <w:rPr>
                <w:rFonts w:hint="eastAsia" w:ascii="宋体" w:hAnsi="宋体"/>
                <w:sz w:val="24"/>
                <w:szCs w:val="21"/>
              </w:rPr>
              <w:t xml:space="preserve">2023年1月1日（日期以合同签订时间为准）以来承担过类似地表水水质自动站（运维范围至少包括五参数（</w:t>
            </w:r>
            <w:r>
              <w:rPr>
                <w:rFonts w:hint="eastAsia" w:ascii="宋体" w:hAnsi="宋体" w:cs="宋体"/>
                <w:sz w:val="24"/>
                <w:szCs w:val="21"/>
              </w:rPr>
              <w:t xml:space="preserve">水温、pH值、溶解氧、电导率、浊度</w:t>
            </w:r>
            <w:r>
              <w:rPr>
                <w:rFonts w:hint="eastAsia" w:ascii="宋体" w:hAnsi="宋体"/>
                <w:sz w:val="24"/>
                <w:szCs w:val="21"/>
              </w:rPr>
              <w:t xml:space="preserve">）、氨氮、高锰酸盐指数、总磷、总氮九项指标且运维期不低于半年）建设或运维业绩的，每一份业绩合同得3分，最高9分。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9</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b/>
                <w:sz w:val="24"/>
              </w:rPr>
            </w:pPr>
            <w:r>
              <w:rPr>
                <w:b/>
                <w:sz w:val="24"/>
              </w:rPr>
              <w:t xml:space="preserve">三、技术部分（45分）</w:t>
            </w:r>
            <w:r/>
          </w:p>
        </w:tc>
      </w:tr>
      <w:tr>
        <w:trPr>
          <w:jc w:val="center"/>
        </w:trPr>
        <w:tc>
          <w:tcPr>
            <w:tcBorders>
              <w:top w:val="single" w:color="000000" w:sz="4" w:space="0"/>
              <w:left w:val="single" w:color="000000" w:sz="4" w:space="0"/>
              <w:right w:val="single" w:color="000000" w:sz="4" w:space="0"/>
            </w:tcBorders>
            <w:tcW w:w="312" w:type="pct"/>
            <w:vAlign w:val="center"/>
            <w:vMerge w:val="restart"/>
            <w:textDirection w:val="lrTb"/>
            <w:noWrap w:val="false"/>
          </w:tcPr>
          <w:p>
            <w:pPr>
              <w:jc w:val="center"/>
              <w:spacing w:line="360" w:lineRule="auto"/>
              <w:rPr>
                <w:sz w:val="24"/>
              </w:rPr>
            </w:pPr>
            <w:r>
              <w:rPr>
                <w:sz w:val="24"/>
              </w:rPr>
              <w:t xml:space="preserve">1</w:t>
            </w:r>
            <w:r/>
          </w:p>
        </w:tc>
        <w:tc>
          <w:tcPr>
            <w:tcBorders>
              <w:top w:val="single" w:color="000000" w:sz="4" w:space="0"/>
              <w:left w:val="single" w:color="000000" w:sz="4" w:space="0"/>
              <w:right w:val="single" w:color="000000" w:sz="4" w:space="0"/>
            </w:tcBorders>
            <w:tcW w:w="665" w:type="pct"/>
            <w:vAlign w:val="center"/>
            <w:vMerge w:val="restart"/>
            <w:textDirection w:val="lrTb"/>
            <w:noWrap w:val="false"/>
          </w:tcPr>
          <w:p>
            <w:pPr>
              <w:jc w:val="left"/>
              <w:widowControl/>
              <w:rPr>
                <w:sz w:val="24"/>
              </w:rPr>
            </w:pPr>
            <w:r>
              <w:rPr>
                <w:sz w:val="24"/>
              </w:rPr>
              <w:t xml:space="preserve">自动监测设备和系统技术要求响应情况</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widowControl/>
              <w:rPr>
                <w:sz w:val="24"/>
              </w:rPr>
            </w:pPr>
            <w:r>
              <w:rPr>
                <w:sz w:val="24"/>
              </w:rPr>
              <w:t xml:space="preserve">所有指标均满足招标文件技术要求的得1</w:t>
            </w:r>
            <w:r>
              <w:rPr>
                <w:rFonts w:hint="eastAsia"/>
                <w:sz w:val="24"/>
              </w:rPr>
              <w:t xml:space="preserve">7</w:t>
            </w:r>
            <w:r>
              <w:rPr>
                <w:sz w:val="24"/>
              </w:rPr>
              <w:t xml:space="preserve">分：</w:t>
            </w:r>
            <w:r>
              <w:rPr>
                <w:rFonts w:hint="eastAsia" w:ascii="宋体" w:hAnsi="宋体" w:cs="宋体"/>
                <w:sz w:val="24"/>
              </w:rPr>
              <w:t xml:space="preserve">①</w:t>
            </w:r>
            <w:r>
              <w:rPr>
                <w:sz w:val="24"/>
              </w:rPr>
              <w:t xml:space="preserve">参数中带▲号参数为重要指标，一项不满足，扣1分；</w:t>
            </w:r>
            <w:r>
              <w:rPr>
                <w:rFonts w:hint="eastAsia" w:ascii="宋体" w:hAnsi="宋体" w:cs="宋体"/>
                <w:sz w:val="24"/>
              </w:rPr>
              <w:t xml:space="preserve">②</w:t>
            </w:r>
            <w:r>
              <w:rPr>
                <w:sz w:val="24"/>
              </w:rPr>
              <w:t xml:space="preserve">其余参数若有一项不满足要求的，扣0.5分；本项最低</w:t>
            </w:r>
            <w:r>
              <w:rPr>
                <w:rFonts w:hint="eastAsia"/>
                <w:sz w:val="24"/>
              </w:rPr>
              <w:t xml:space="preserve">0分</w:t>
            </w:r>
            <w:r>
              <w:rPr>
                <w:sz w:val="24"/>
              </w:rPr>
              <w:t xml:space="preserve">。</w:t>
            </w:r>
            <w:r/>
          </w:p>
          <w:p>
            <w:pPr>
              <w:jc w:val="left"/>
              <w:spacing w:line="360" w:lineRule="auto"/>
              <w:widowControl/>
              <w:rPr>
                <w:sz w:val="24"/>
              </w:rPr>
            </w:pPr>
            <w:r>
              <w:rPr>
                <w:sz w:val="24"/>
              </w:rPr>
              <w:t xml:space="preserve">评审依据：带▲号参数需按照要求提供证明文件，未提供不得分。</w:t>
            </w:r>
            <w:r/>
          </w:p>
        </w:tc>
        <w:tc>
          <w:tcPr>
            <w:tcBorders>
              <w:top w:val="single" w:color="000000" w:sz="4" w:space="0"/>
              <w:left w:val="single" w:color="000000" w:sz="4" w:space="0"/>
              <w:right w:val="single" w:color="000000" w:sz="4" w:space="0"/>
            </w:tcBorders>
            <w:tcW w:w="547" w:type="pct"/>
            <w:vAlign w:val="center"/>
            <w:vMerge w:val="restart"/>
            <w:textDirection w:val="lrTb"/>
            <w:noWrap w:val="false"/>
          </w:tcPr>
          <w:p>
            <w:pPr>
              <w:jc w:val="center"/>
              <w:spacing w:line="360" w:lineRule="auto"/>
              <w:rPr>
                <w:sz w:val="24"/>
              </w:rPr>
            </w:pPr>
            <w:r>
              <w:rPr>
                <w:rFonts w:hint="eastAsia"/>
                <w:sz w:val="24"/>
              </w:rPr>
              <w:t xml:space="preserve">19</w:t>
            </w:r>
            <w:r/>
          </w:p>
        </w:tc>
      </w:tr>
      <w:tr>
        <w:trPr>
          <w:jc w:val="center"/>
        </w:trPr>
        <w:tc>
          <w:tcPr>
            <w:tcBorders>
              <w:left w:val="single" w:color="000000" w:sz="4" w:space="0"/>
              <w:bottom w:val="single" w:color="000000" w:sz="4" w:space="0"/>
              <w:right w:val="single" w:color="000000" w:sz="4" w:space="0"/>
            </w:tcBorders>
            <w:tcW w:w="312" w:type="pct"/>
            <w:vAlign w:val="center"/>
            <w:vMerge w:val="continue"/>
            <w:textDirection w:val="lrTb"/>
            <w:noWrap w:val="false"/>
          </w:tcPr>
          <w:p>
            <w:pPr>
              <w:jc w:val="center"/>
              <w:spacing w:line="360" w:lineRule="auto"/>
              <w:rPr>
                <w:sz w:val="24"/>
              </w:rPr>
            </w:pPr>
            <w:r>
              <w:rPr>
                <w:sz w:val="24"/>
              </w:rPr>
            </w:r>
            <w:r/>
          </w:p>
        </w:tc>
        <w:tc>
          <w:tcPr>
            <w:tcBorders>
              <w:left w:val="single" w:color="000000" w:sz="4" w:space="0"/>
              <w:bottom w:val="single" w:color="000000" w:sz="4" w:space="0"/>
              <w:right w:val="single" w:color="000000" w:sz="4" w:space="0"/>
            </w:tcBorders>
            <w:tcW w:w="665" w:type="pct"/>
            <w:vAlign w:val="center"/>
            <w:vMerge w:val="continue"/>
            <w:textDirection w:val="lrTb"/>
            <w:noWrap w:val="false"/>
          </w:tcPr>
          <w:p>
            <w:pPr>
              <w:jc w:val="lef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widowControl/>
              <w:rPr>
                <w:sz w:val="24"/>
              </w:rPr>
            </w:pPr>
            <w:r>
              <w:rPr>
                <w:sz w:val="24"/>
                <w:lang w:bidi="ar"/>
              </w:rPr>
              <w:t xml:space="preserve">仪器品牌：</w:t>
            </w:r>
            <w:r>
              <w:rPr>
                <w:sz w:val="24"/>
              </w:rPr>
              <w:t xml:space="preserve">水质五参数、高锰酸盐指数、氨氮、总磷、总氮、叶绿素、藻密度</w:t>
            </w:r>
            <w:r>
              <w:rPr>
                <w:sz w:val="24"/>
                <w:lang w:bidi="ar"/>
              </w:rPr>
              <w:t xml:space="preserve">的选型仪器为同一品牌得2分</w:t>
            </w:r>
            <w:r>
              <w:rPr>
                <w:rFonts w:hint="eastAsia"/>
                <w:sz w:val="24"/>
                <w:lang w:bidi="ar"/>
              </w:rPr>
              <w:t xml:space="preserve">。</w:t>
            </w:r>
            <w:r/>
          </w:p>
        </w:tc>
        <w:tc>
          <w:tcPr>
            <w:tcBorders>
              <w:left w:val="single" w:color="000000" w:sz="4" w:space="0"/>
              <w:bottom w:val="single" w:color="000000" w:sz="4" w:space="0"/>
              <w:right w:val="single" w:color="000000" w:sz="4" w:space="0"/>
            </w:tcBorders>
            <w:tcW w:w="547" w:type="pct"/>
            <w:vAlign w:val="center"/>
            <w:vMerge w:val="continue"/>
            <w:textDirection w:val="lrTb"/>
            <w:noWrap w:val="false"/>
          </w:tcPr>
          <w:p>
            <w:pPr>
              <w:jc w:val="center"/>
              <w:spacing w:line="360" w:lineRule="auto"/>
              <w:rPr>
                <w:sz w:val="24"/>
              </w:rPr>
            </w:pPr>
            <w:r>
              <w:rPr>
                <w:sz w:val="24"/>
              </w:rPr>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widowControl/>
              <w:rPr>
                <w:sz w:val="24"/>
              </w:rPr>
            </w:pPr>
            <w:r>
              <w:rPr>
                <w:sz w:val="24"/>
                <w:lang w:bidi="ar"/>
              </w:rPr>
              <w:t xml:space="preserve">仪器</w:t>
            </w:r>
            <w:r>
              <w:rPr>
                <w:rFonts w:hint="eastAsia"/>
                <w:sz w:val="24"/>
                <w:lang w:bidi="ar"/>
              </w:rPr>
              <w:t xml:space="preserve">及</w:t>
            </w:r>
            <w:r>
              <w:rPr>
                <w:sz w:val="24"/>
                <w:lang w:bidi="ar"/>
              </w:rPr>
              <w:t xml:space="preserve">系统的供货、安装、调试、验收方案</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rPr>
                <w:sz w:val="24"/>
              </w:rPr>
            </w:pPr>
            <w:r>
              <w:rPr>
                <w:sz w:val="24"/>
                <w:lang w:bidi="ar"/>
              </w:rPr>
              <w:t xml:space="preserve">仪器及系统的供货、安装、调试、验收方案</w:t>
            </w:r>
            <w:r>
              <w:rPr>
                <w:rFonts w:hint="eastAsia"/>
                <w:sz w:val="24"/>
                <w:lang w:bidi="ar"/>
              </w:rPr>
              <w:t xml:space="preserve">：</w:t>
            </w:r>
            <w:r>
              <w:rPr>
                <w:sz w:val="24"/>
                <w:lang w:bidi="ar"/>
              </w:rPr>
              <w:t xml:space="preserve">方案全面、完整、合理、可行得</w:t>
            </w:r>
            <w:r>
              <w:rPr>
                <w:rFonts w:hint="eastAsia"/>
                <w:sz w:val="24"/>
                <w:lang w:bidi="ar"/>
              </w:rPr>
              <w:t xml:space="preserve">6</w:t>
            </w:r>
            <w:r>
              <w:rPr>
                <w:sz w:val="24"/>
                <w:lang w:bidi="ar"/>
              </w:rPr>
              <w:t xml:space="preserve">分；方案较全面、较合理、较可行得4分；方案基本可行得2分；方案简略、欠缺得1分；未提供不得分。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6</w:t>
            </w:r>
            <w:r/>
          </w:p>
        </w:tc>
      </w:tr>
      <w:tr>
        <w:trPr>
          <w:jc w:val="center"/>
        </w:trPr>
        <w:tc>
          <w:tcPr>
            <w:tcBorders>
              <w:top w:val="single" w:color="000000" w:sz="4" w:space="0"/>
              <w:left w:val="single" w:color="000000" w:sz="4" w:space="0"/>
              <w:right w:val="single" w:color="000000" w:sz="4" w:space="0"/>
            </w:tcBorders>
            <w:tcW w:w="312" w:type="pct"/>
            <w:vAlign w:val="center"/>
            <w:textDirection w:val="lrTb"/>
            <w:noWrap w:val="false"/>
          </w:tcPr>
          <w:p>
            <w:pPr>
              <w:jc w:val="center"/>
              <w:spacing w:line="360" w:lineRule="auto"/>
              <w:rPr>
                <w:sz w:val="24"/>
              </w:rPr>
            </w:pPr>
            <w:r>
              <w:rPr>
                <w:sz w:val="24"/>
              </w:rPr>
              <w:t xml:space="preserve">3</w:t>
            </w:r>
            <w:r/>
          </w:p>
        </w:tc>
        <w:tc>
          <w:tcPr>
            <w:tcBorders>
              <w:top w:val="single" w:color="000000" w:sz="4" w:space="0"/>
              <w:left w:val="single" w:color="000000" w:sz="4" w:space="0"/>
              <w:right w:val="single" w:color="000000" w:sz="4" w:space="0"/>
            </w:tcBorders>
            <w:tcW w:w="665" w:type="pct"/>
            <w:vAlign w:val="center"/>
            <w:textDirection w:val="lrTb"/>
            <w:noWrap w:val="false"/>
          </w:tcPr>
          <w:p>
            <w:pPr>
              <w:jc w:val="left"/>
              <w:spacing w:line="360" w:lineRule="auto"/>
              <w:widowControl/>
              <w:rPr>
                <w:sz w:val="24"/>
              </w:rPr>
            </w:pPr>
            <w:r>
              <w:rPr>
                <w:sz w:val="24"/>
              </w:rPr>
              <w:t xml:space="preserve">运维服务方案</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rPr>
                <w:sz w:val="24"/>
              </w:rPr>
            </w:pPr>
            <w:r>
              <w:rPr>
                <w:sz w:val="24"/>
                <w:lang w:bidi="ar"/>
              </w:rPr>
              <w:t xml:space="preserve">针对运维期的日常服务方案及仪器运营期间数据异常、系统故障和数据缺失等应急情况预案：方案全面合理，预案考虑周全、可操作性强，应对措施及解决方案切实可行得</w:t>
            </w:r>
            <w:r>
              <w:rPr>
                <w:rFonts w:hint="eastAsia"/>
                <w:sz w:val="24"/>
                <w:lang w:bidi="ar"/>
              </w:rPr>
              <w:t xml:space="preserve">6</w:t>
            </w:r>
            <w:r>
              <w:rPr>
                <w:sz w:val="24"/>
                <w:lang w:bidi="ar"/>
              </w:rPr>
              <w:t xml:space="preserve">分；方案较全面合理，预案考虑较全、可操作性良好，应对措施及解决方案较可行得4分；方案基本可行，预案考虑不够全面、可操作性及解决方案一般得2分；方案及应急预案简略、操作性及解决方案欠缺得1分；未提供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6</w:t>
            </w:r>
            <w:r/>
          </w:p>
        </w:tc>
      </w:tr>
      <w:tr>
        <w:trPr>
          <w:jc w:val="center"/>
        </w:trPr>
        <w:tc>
          <w:tcPr>
            <w:tcBorders>
              <w:top w:val="single" w:color="000000" w:sz="4" w:space="0"/>
              <w:left w:val="single" w:color="000000" w:sz="4" w:space="0"/>
              <w:right w:val="single" w:color="000000" w:sz="4" w:space="0"/>
            </w:tcBorders>
            <w:tcW w:w="312" w:type="pct"/>
            <w:vAlign w:val="center"/>
            <w:textDirection w:val="lrTb"/>
            <w:noWrap w:val="false"/>
          </w:tcPr>
          <w:p>
            <w:pPr>
              <w:jc w:val="center"/>
              <w:spacing w:line="360" w:lineRule="auto"/>
              <w:rPr>
                <w:sz w:val="24"/>
              </w:rPr>
            </w:pPr>
            <w:r>
              <w:rPr>
                <w:rFonts w:hint="eastAsia"/>
                <w:sz w:val="24"/>
              </w:rPr>
              <w:t xml:space="preserve">4</w:t>
            </w:r>
            <w:r/>
          </w:p>
        </w:tc>
        <w:tc>
          <w:tcPr>
            <w:tcBorders>
              <w:top w:val="single" w:color="000000" w:sz="4" w:space="0"/>
              <w:left w:val="single" w:color="000000" w:sz="4" w:space="0"/>
              <w:right w:val="single" w:color="000000" w:sz="4" w:space="0"/>
            </w:tcBorders>
            <w:tcW w:w="665" w:type="pct"/>
            <w:vAlign w:val="center"/>
            <w:textDirection w:val="lrTb"/>
            <w:noWrap w:val="false"/>
          </w:tcPr>
          <w:p>
            <w:pPr>
              <w:jc w:val="left"/>
              <w:spacing w:line="360" w:lineRule="auto"/>
              <w:widowControl/>
              <w:rPr>
                <w:sz w:val="24"/>
              </w:rPr>
            </w:pPr>
            <w:r>
              <w:rPr>
                <w:rFonts w:hint="eastAsia"/>
                <w:sz w:val="24"/>
                <w:lang w:bidi="ar"/>
              </w:rPr>
              <w:t xml:space="preserve">质量控制保障</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tabs>
                <w:tab w:val="left" w:pos="567" w:leader="none"/>
              </w:tabs>
              <w:rPr>
                <w:rFonts w:ascii="宋体" w:cs="宋体"/>
                <w:sz w:val="24"/>
                <w:lang w:bidi="ar"/>
              </w:rPr>
            </w:pPr>
            <w:r>
              <w:rPr>
                <w:rFonts w:hint="eastAsia" w:ascii="宋体" w:cs="宋体"/>
                <w:sz w:val="24"/>
                <w:lang w:bidi="ar"/>
              </w:rPr>
              <w:t xml:space="preserve">（1）具有自有（或控股、委托）用于质量控制的CMA或CNAS资质认定的实验室（须</w:t>
            </w:r>
            <w:r>
              <w:rPr>
                <w:rFonts w:hint="eastAsia" w:ascii="宋体" w:cs="宋体"/>
                <w:sz w:val="24"/>
              </w:rPr>
              <w:t xml:space="preserve">覆盖水温、pH、溶解氧、电导率、浊度、高锰酸盐指数、氨氮、总磷和总氮监测能力）得2分，</w:t>
            </w:r>
            <w:r>
              <w:rPr>
                <w:rFonts w:hint="eastAsia" w:ascii="宋体" w:cs="宋体"/>
                <w:sz w:val="24"/>
                <w:lang w:bidi="ar"/>
              </w:rPr>
              <w:t xml:space="preserve">提供实验室资质证书及涵盖本项目指标的计量认证证明，控股或委托的需提供关系证明，委托的服务期须覆盖本次运维期，否则不得分。</w:t>
            </w:r>
            <w:r/>
          </w:p>
          <w:p>
            <w:pPr>
              <w:jc w:val="left"/>
              <w:spacing w:line="360" w:lineRule="auto"/>
              <w:rPr>
                <w:sz w:val="24"/>
              </w:rPr>
            </w:pPr>
            <w:r>
              <w:rPr>
                <w:sz w:val="24"/>
                <w:lang w:bidi="ar"/>
              </w:rPr>
              <w:t xml:space="preserve">（</w:t>
            </w:r>
            <w:r>
              <w:rPr>
                <w:rFonts w:hint="eastAsia"/>
                <w:sz w:val="24"/>
                <w:lang w:bidi="ar"/>
              </w:rPr>
              <w:t xml:space="preserve">2</w:t>
            </w:r>
            <w:r>
              <w:rPr>
                <w:sz w:val="24"/>
                <w:lang w:bidi="ar"/>
              </w:rPr>
              <w:t xml:space="preserve">）仪器质控方案全面，对应质控工作体系及基本制度科学合理，质控能力强、针对性强得</w:t>
            </w:r>
            <w:r>
              <w:rPr>
                <w:rFonts w:hint="eastAsia"/>
                <w:sz w:val="24"/>
                <w:lang w:bidi="ar"/>
              </w:rPr>
              <w:t xml:space="preserve">6</w:t>
            </w:r>
            <w:r>
              <w:rPr>
                <w:sz w:val="24"/>
                <w:lang w:bidi="ar"/>
              </w:rPr>
              <w:t xml:space="preserve">分；方案较全面，质控工作体系及基本制度较为合理得，质控能力良好，可操作性良好得4分；方案基本完整，质控措施能力一般得得2分；方案简略，质控能力较差得1分；未提供不得分。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spacing w:line="360" w:lineRule="auto"/>
              <w:rPr>
                <w:sz w:val="24"/>
              </w:rPr>
            </w:pPr>
            <w:r>
              <w:rPr>
                <w:rFonts w:hint="eastAsia"/>
                <w:sz w:val="24"/>
              </w:rPr>
              <w:t xml:space="preserve">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spacing w:line="360" w:lineRule="auto"/>
              <w:widowControl/>
              <w:rPr>
                <w:sz w:val="24"/>
              </w:rPr>
            </w:pPr>
            <w:r>
              <w:rPr>
                <w:sz w:val="24"/>
              </w:rPr>
              <w:t xml:space="preserve">售后服务</w:t>
            </w:r>
            <w:r/>
          </w:p>
        </w:tc>
        <w:tc>
          <w:tcPr>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spacing w:line="360" w:lineRule="auto"/>
              <w:rPr>
                <w:sz w:val="24"/>
              </w:rPr>
            </w:pPr>
            <w:r>
              <w:rPr>
                <w:sz w:val="24"/>
                <w:lang w:bidi="ar"/>
              </w:rPr>
              <w:t xml:space="preserve">售后服务方案包含但不限于售后运维和应急工作体系及基本制度搭建，方案科学合理、运维工作体系及基本制度考虑全面、管理针对实际情况较强、有可操作性得</w:t>
            </w:r>
            <w:r>
              <w:rPr>
                <w:rFonts w:hint="eastAsia"/>
                <w:sz w:val="24"/>
                <w:lang w:bidi="ar"/>
              </w:rPr>
              <w:t xml:space="preserve">6</w:t>
            </w:r>
            <w:r>
              <w:rPr>
                <w:sz w:val="24"/>
                <w:lang w:bidi="ar"/>
              </w:rPr>
              <w:t xml:space="preserve">分；方案较全面合理，运维工作体系制度有基本考虑、管理针对性及可操作性良好得4分；方案基本可行，合理性、针对性及可操作性一般得2分；方案简略，针对性及可操作性欠缺得1分；未提供不得分。</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rPr>
                <w:sz w:val="24"/>
              </w:rPr>
            </w:pPr>
            <w:r>
              <w:rPr>
                <w:rFonts w:hint="eastAsia"/>
                <w:sz w:val="24"/>
              </w:rPr>
              <w:t xml:space="preserve">6</w:t>
            </w:r>
            <w:r/>
          </w:p>
        </w:tc>
      </w:tr>
    </w:tbl>
    <w:p>
      <w:pPr>
        <w:spacing w:line="360" w:lineRule="auto"/>
        <w:rPr>
          <w:rFonts w:ascii="宋体" w:hAnsi="宋体" w:cs="宋体"/>
          <w:b/>
          <w:sz w:val="24"/>
          <w:lang w:bidi="ar"/>
        </w:rPr>
      </w:pPr>
      <w:r>
        <w:rPr>
          <w:rFonts w:ascii="宋体" w:hAnsi="宋体" w:cs="宋体"/>
          <w:b/>
          <w:sz w:val="24"/>
          <w:lang w:bidi="ar"/>
        </w:rPr>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注：</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针对评分标准中评分的每一条，投标人在投标文件中应提供清晰明了的相关资料并做出相应说明供评委评判，不提供相关资料或提供的资料不清晰或评委无法判断是否满足评分要求的，视为不具备该项得分的条件。</w:t>
      </w:r>
      <w:r/>
    </w:p>
    <w:p>
      <w:pPr>
        <w:ind w:firstLine="482"/>
        <w:spacing w:line="360" w:lineRule="auto"/>
        <w:rPr>
          <w:rFonts w:ascii="宋体" w:hAnsi="宋体" w:cs="宋体"/>
          <w:b/>
          <w:sz w:val="24"/>
          <w:lang w:bidi="ar"/>
        </w:rPr>
      </w:pPr>
      <w:r>
        <w:rPr>
          <w:rFonts w:hint="eastAsia" w:ascii="宋体" w:hAnsi="宋体" w:cs="宋体"/>
          <w:sz w:val="24"/>
        </w:rPr>
        <w:t xml:space="preserve">2.</w:t>
      </w:r>
      <w:r>
        <w:rPr>
          <w:rFonts w:hint="eastAsia" w:ascii="宋体" w:hAnsi="宋体" w:cs="宋体"/>
          <w:bCs/>
          <w:sz w:val="24"/>
        </w:rPr>
        <w:t xml:space="preserve">招标文件中要求复印件或扫描件的可互相代替；</w:t>
      </w:r>
      <w:r>
        <w:rPr>
          <w:rFonts w:hint="eastAsia" w:ascii="宋体" w:hAnsi="宋体" w:cs="宋体"/>
          <w:sz w:val="24"/>
        </w:rPr>
        <w:t xml:space="preserve">要求加盖公章的，可用电子签章。</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楷体_GB2312;楷体">
    <w:panose1 w:val="02010609060101010101"/>
  </w:font>
  <w:font w:name="宋体;SimSun">
    <w:panose1 w:val="02010600030101010101"/>
  </w:font>
  <w:font w:name="华文新魏">
    <w:panose1 w:val="02010800040101010101"/>
  </w:font>
  <w:font w:name="等线">
    <w:panose1 w:val="02010600030101010101"/>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方正仿宋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t xml:space="preserve">第 </w:t>
                          </w:r>
                          <w:r>
                            <w:fldChar w:fldCharType="begin"/>
                          </w:r>
                          <w:r>
                            <w:instrText xml:space="preserve"> PAGE  \* MERGEFORMAT </w:instrText>
                          </w:r>
                          <w:r>
                            <w:fldChar w:fldCharType="separate"/>
                          </w:r>
                          <w:r>
                            <w:t xml:space="preserve">69</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t xml:space="preserve">第 </w:t>
                    </w:r>
                    <w:r>
                      <w:fldChar w:fldCharType="begin"/>
                    </w:r>
                    <w:r>
                      <w:instrText xml:space="preserve"> PAGE  \* MERGEFORMAT </w:instrText>
                    </w:r>
                    <w:r>
                      <w:fldChar w:fldCharType="separate"/>
                    </w:r>
                    <w:r>
                      <w:t xml:space="preserve">69</w:t>
                    </w:r>
                    <w:r>
                      <w:fldChar w:fldCharType="end"/>
                    </w:r>
                    <w:r>
                      <w:rPr>
                        <w:rFonts w:hint="eastAsia"/>
                      </w:rPr>
                      <w:t xml:space="preserve"> 页</w:t>
                    </w:r>
                    <w:r/>
                  </w:p>
                </w:txbxContent>
              </v:textbox>
            </v:shape>
          </w:pict>
        </mc:Fallback>
      </mc:AlternateContent>
    </w:r>
    <w:r>
      <w:rPr>
        <w:lang w:val="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Fonts w:ascii="宋体" w:hAnsi="宋体" w:cs="宋体"/>
        <w:sz w:val="18"/>
        <w:szCs w:val="18"/>
        <w:u w:val="single"/>
      </w:rPr>
    </w:pPr>
    <w:r>
      <w:rPr>
        <w:rFonts w:hint="eastAsia" w:ascii="宋体" w:hAnsi="宋体" w:cs="宋体"/>
        <w:sz w:val="18"/>
        <w:szCs w:val="18"/>
        <w:u w:val="single"/>
      </w:rPr>
      <w:t xml:space="preserve">苏州市天美达招投标咨询服务有限公司                          采购编号：JSZC-320507-SZST-G2026-0020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900" w:hanging="4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4">
    <w:multiLevelType w:val="hybridMultilevel"/>
    <w:lvl w:ilvl="0">
      <w:start w:val="1"/>
      <w:numFmt w:val="decimal"/>
      <w:isLgl w:val="false"/>
      <w:suff w:val="nothing"/>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1"/>
      <w:numFmt w:val="decimal"/>
      <w:isLgl w:val="false"/>
      <w:suff w:val="space"/>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10"/>
      <w:isLgl w:val="false"/>
      <w:suff w:val="tab"/>
      <w:lvlText w:val="(%1)"/>
      <w:lvlJc w:val="left"/>
      <w:pPr>
        <w:ind w:left="0" w:firstLine="0"/>
      </w:pPr>
      <w:rPr>
        <w:rFonts w:hint="eastAsia"/>
      </w:rPr>
    </w:lvl>
    <w:lvl w:ilvl="1">
      <w:start w:val="1"/>
      <w:numFmt w:val="decimal"/>
      <w:isLgl/>
      <w:suff w:val="space"/>
      <w:lvlText w:val="%1.%2"/>
      <w:lvlJc w:val="left"/>
      <w:pPr>
        <w:ind w:left="0" w:firstLine="0"/>
      </w:pPr>
      <w:rPr>
        <w:rFonts w:hint="default" w:ascii="Times New Roman" w:hAnsi="Times New Roman"/>
      </w:rPr>
    </w:lvl>
    <w:lvl w:ilvl="2">
      <w:start w:val="1"/>
      <w:numFmt w:val="decimal"/>
      <w:isLgl/>
      <w:suff w:val="space"/>
      <w:lvlText w:val="%1.%2.%3"/>
      <w:lvlJc w:val="left"/>
      <w:pPr>
        <w:ind w:left="0" w:firstLine="0"/>
      </w:pPr>
      <w:rPr>
        <w:rFonts w:hint="default" w:ascii="Times New Roman" w:hAnsi="Times New Roman"/>
      </w:rPr>
    </w:lvl>
    <w:lvl w:ilvl="3">
      <w:start w:val="1"/>
      <w:numFmt w:val="decimal"/>
      <w:isLgl/>
      <w:suff w:val="space"/>
      <w:lvlText w:val="%1.%2.%3.%4"/>
      <w:lvlJc w:val="left"/>
      <w:pPr>
        <w:ind w:left="0" w:firstLine="0"/>
      </w:pPr>
      <w:rPr>
        <w:rFonts w:hint="default" w:ascii="Times New Roman" w:hAnsi="Times New Roman"/>
      </w:rPr>
    </w:lvl>
    <w:lvl w:ilvl="4">
      <w:start w:val="1"/>
      <w:numFmt w:val="decimal"/>
      <w:isLgl/>
      <w:suff w:val="space"/>
      <w:lvlText w:val="%1.%2.%3.%4.%5"/>
      <w:lvlJc w:val="left"/>
      <w:pPr>
        <w:ind w:left="0" w:firstLine="0"/>
      </w:pPr>
      <w:rPr>
        <w:rFonts w:hint="default" w:ascii="Times New Roman" w:hAnsi="Times New Roman"/>
      </w:rPr>
    </w:lvl>
    <w:lvl w:ilvl="5">
      <w:start w:val="1"/>
      <w:numFmt w:val="decimal"/>
      <w:isLgl/>
      <w:suff w:val="space"/>
      <w:lvlText w:val="%1.%2.%3.%4.%5.%6"/>
      <w:lvlJc w:val="left"/>
      <w:pPr>
        <w:ind w:left="0" w:firstLine="0"/>
      </w:pPr>
      <w:rPr>
        <w:rFonts w:hint="default" w:ascii="Times New Roman" w:hAnsi="Times New Roman"/>
      </w:rPr>
    </w:lvl>
    <w:lvl w:ilvl="6">
      <w:start w:val="1"/>
      <w:numFmt w:val="decimal"/>
      <w:isLgl/>
      <w:suff w:val="space"/>
      <w:lvlText w:val="%1.%2.%3.%4.%5.%6.%7"/>
      <w:lvlJc w:val="left"/>
      <w:pPr>
        <w:ind w:left="0" w:firstLine="0"/>
      </w:pPr>
      <w:rPr>
        <w:rFonts w:hint="default" w:ascii="Times New Roman" w:hAnsi="Times New Roman"/>
      </w:rPr>
    </w:lvl>
    <w:lvl w:ilvl="7">
      <w:start w:val="1"/>
      <w:numFmt w:val="decimal"/>
      <w:isLgl/>
      <w:suff w:val="space"/>
      <w:lvlText w:val="%1.%2.%3.%4.%5.%6.%7.%8"/>
      <w:lvlJc w:val="left"/>
      <w:pPr>
        <w:ind w:left="0" w:firstLine="0"/>
      </w:pPr>
      <w:rPr>
        <w:rFonts w:hint="default" w:ascii="Times New Roman" w:hAnsi="Times New Roman" w:cs="Times New Roman"/>
        <w:b/>
        <w:bCs w:val="0"/>
        <w:i w:val="0"/>
        <w:iCs w:val="0"/>
        <w:caps w:val="0"/>
        <w:smallCaps w:val="0"/>
        <w:strike w:val="0"/>
        <w:vanish w:val="0"/>
        <w:color w:val="000000"/>
        <w:spacing w:val="0"/>
        <w:position w:val="0"/>
        <w:u w:val="none"/>
        <w:vertAlign w:val="baseline"/>
        <w14:ligatures w14:val="none"/>
      </w:rPr>
    </w:lvl>
    <w:lvl w:ilvl="8">
      <w:start w:val="1"/>
      <w:numFmt w:val="decimal"/>
      <w:isLgl/>
      <w:suff w:val="space"/>
      <w:lvlText w:val="%1.%2.%3.%4.%5.%6.%7.%8.%9"/>
      <w:lvlJc w:val="left"/>
      <w:pPr>
        <w:ind w:left="0" w:firstLine="0"/>
      </w:pPr>
      <w:rPr>
        <w:rFonts w:hint="default" w:ascii="Times New Roman" w:hAnsi="Times New Roman"/>
        <w:b/>
        <w:i w:val="0"/>
        <w:sz w:val="24"/>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center"/>
      <w:pPr>
        <w:ind w:left="900" w:hanging="4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nothing"/>
      <w:lvlText w:val="（%4）"/>
      <w:lvlJc w:val="left"/>
      <w:pPr>
        <w:ind w:left="2160" w:hanging="420"/>
      </w:pPr>
      <w:rPr>
        <w:rFonts w:hint="default"/>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040"/>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848" w:hanging="420"/>
        <w:tabs>
          <w:tab w:val="left" w:pos="848" w:leader="none"/>
        </w:tabs>
      </w:pPr>
    </w:lvl>
    <w:lvl w:ilvl="1">
      <w:start w:val="1"/>
      <w:numFmt w:val="lowerLetter"/>
      <w:isLgl w:val="false"/>
      <w:suff w:val="tab"/>
      <w:lvlText w:val="%2)"/>
      <w:lvlJc w:val="left"/>
      <w:pPr>
        <w:ind w:left="1268" w:hanging="420"/>
      </w:pPr>
    </w:lvl>
    <w:lvl w:ilvl="2">
      <w:start w:val="1"/>
      <w:numFmt w:val="lowerRoman"/>
      <w:isLgl w:val="false"/>
      <w:suff w:val="tab"/>
      <w:lvlText w:val="%3."/>
      <w:lvlJc w:val="right"/>
      <w:pPr>
        <w:ind w:left="1688" w:hanging="420"/>
      </w:pPr>
    </w:lvl>
    <w:lvl w:ilvl="3">
      <w:start w:val="1"/>
      <w:numFmt w:val="decimal"/>
      <w:isLgl w:val="false"/>
      <w:suff w:val="tab"/>
      <w:lvlText w:val="%4."/>
      <w:lvlJc w:val="left"/>
      <w:pPr>
        <w:ind w:left="2108" w:hanging="420"/>
      </w:pPr>
    </w:lvl>
    <w:lvl w:ilvl="4">
      <w:start w:val="1"/>
      <w:numFmt w:val="lowerLetter"/>
      <w:isLgl w:val="false"/>
      <w:suff w:val="tab"/>
      <w:lvlText w:val="%5)"/>
      <w:lvlJc w:val="left"/>
      <w:pPr>
        <w:ind w:left="2528" w:hanging="420"/>
      </w:pPr>
    </w:lvl>
    <w:lvl w:ilvl="5">
      <w:start w:val="1"/>
      <w:numFmt w:val="lowerRoman"/>
      <w:isLgl w:val="false"/>
      <w:suff w:val="tab"/>
      <w:lvlText w:val="%6."/>
      <w:lvlJc w:val="right"/>
      <w:pPr>
        <w:ind w:left="2948" w:hanging="420"/>
      </w:pPr>
    </w:lvl>
    <w:lvl w:ilvl="6">
      <w:start w:val="1"/>
      <w:numFmt w:val="decimal"/>
      <w:isLgl w:val="false"/>
      <w:suff w:val="tab"/>
      <w:lvlText w:val="%7."/>
      <w:lvlJc w:val="left"/>
      <w:pPr>
        <w:ind w:left="3368" w:hanging="420"/>
      </w:pPr>
    </w:lvl>
    <w:lvl w:ilvl="7">
      <w:start w:val="1"/>
      <w:numFmt w:val="lowerLetter"/>
      <w:isLgl w:val="false"/>
      <w:suff w:val="tab"/>
      <w:lvlText w:val="%8)"/>
      <w:lvlJc w:val="left"/>
      <w:pPr>
        <w:ind w:left="3788" w:hanging="420"/>
      </w:pPr>
    </w:lvl>
    <w:lvl w:ilvl="8">
      <w:start w:val="1"/>
      <w:numFmt w:val="lowerRoman"/>
      <w:isLgl w:val="false"/>
      <w:suff w:val="tab"/>
      <w:lvlText w:val="%9."/>
      <w:lvlJc w:val="right"/>
      <w:pPr>
        <w:ind w:left="4208" w:hanging="420"/>
      </w:pPr>
    </w:lvl>
  </w:abstractNum>
  <w:abstractNum w:abstractNumId="12">
    <w:multiLevelType w:val="hybridMultilevel"/>
    <w:lvl w:ilvl="0">
      <w:start w:val="1"/>
      <w:numFmt w:val="bullet"/>
      <w:pStyle w:val="84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12"/>
  </w:num>
  <w:num w:numId="3">
    <w:abstractNumId w:val="10"/>
  </w:num>
  <w:num w:numId="4">
    <w:abstractNumId w:val="2"/>
  </w:num>
  <w:num w:numId="5">
    <w:abstractNumId w:val="7"/>
  </w:num>
  <w:num w:numId="6">
    <w:abstractNumId w:val="0"/>
    <w:lvlOverride w:ilvl="0">
      <w:startOverride w:val="1"/>
    </w:lvlOverride>
  </w:num>
  <w:num w:numId="7">
    <w:abstractNumId w:val="1"/>
  </w:num>
  <w:num w:numId="8">
    <w:abstractNumId w:val="5"/>
  </w:num>
  <w:num w:numId="9">
    <w:abstractNumId w:val="11"/>
  </w:num>
  <w:num w:numId="10">
    <w:abstractNumId w:val="9"/>
  </w:num>
  <w:num w:numId="11">
    <w:abstractNumId w:val="3"/>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TOC Heading"/>
    <w:uiPriority w:val="39"/>
    <w:unhideWhenUsed/>
  </w:style>
  <w:style w:type="paragraph" w:styleId="7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0">
    <w:name w:val="Heading 1"/>
    <w:basedOn w:val="709"/>
    <w:next w:val="709"/>
    <w:link w:val="797"/>
    <w:uiPriority w:val="0"/>
    <w:qFormat/>
    <w:pPr>
      <w:numPr>
        <w:ilvl w:val="0"/>
        <w:numId w:val="1"/>
      </w:numPr>
      <w:keepLines/>
      <w:keepNext/>
      <w:spacing w:before="480" w:after="200"/>
      <w:outlineLvl w:val="0"/>
    </w:pPr>
    <w:rPr>
      <w:rFonts w:ascii="Arial" w:hAnsi="Arial" w:eastAsia="Arial" w:cs="Arial"/>
      <w:sz w:val="40"/>
      <w:szCs w:val="40"/>
    </w:rPr>
  </w:style>
  <w:style w:type="paragraph" w:styleId="711">
    <w:name w:val="Heading 2"/>
    <w:basedOn w:val="709"/>
    <w:next w:val="709"/>
    <w:link w:val="798"/>
    <w:uiPriority w:val="0"/>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99"/>
    <w:uiPriority w:val="0"/>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800"/>
    <w:uiPriority w:val="0"/>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801"/>
    <w:uiPriority w:val="0"/>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802"/>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804"/>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805"/>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style>
  <w:style w:type="table" w:styleId="720" w:default="1">
    <w:name w:val="Normal Table"/>
    <w:uiPriority w:val="99"/>
    <w:semiHidden/>
    <w:unhideWhenUsed/>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Normal Indent"/>
    <w:basedOn w:val="709"/>
    <w:next w:val="709"/>
    <w:uiPriority w:val="0"/>
    <w:qFormat/>
    <w:pPr>
      <w:ind w:firstLine="420"/>
      <w:jc w:val="left"/>
    </w:pPr>
    <w:rPr>
      <w:sz w:val="24"/>
    </w:rPr>
  </w:style>
  <w:style w:type="paragraph" w:styleId="723">
    <w:name w:val="Caption"/>
    <w:basedOn w:val="709"/>
    <w:next w:val="70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9"/>
    <w:link w:val="1034"/>
    <w:uiPriority w:val="99"/>
    <w:unhideWhenUsed/>
    <w:qFormat/>
    <w:pPr>
      <w:jc w:val="left"/>
    </w:pPr>
  </w:style>
  <w:style w:type="paragraph" w:styleId="725">
    <w:name w:val="Body Text"/>
    <w:basedOn w:val="709"/>
    <w:next w:val="709"/>
    <w:uiPriority w:val="0"/>
    <w:qFormat/>
    <w:pPr>
      <w:spacing w:after="120" w:line="400" w:lineRule="exact"/>
    </w:pPr>
    <w:rPr>
      <w:rFonts w:ascii="宋体"/>
      <w:sz w:val="24"/>
      <w:szCs w:val="20"/>
    </w:rPr>
  </w:style>
  <w:style w:type="paragraph" w:styleId="726">
    <w:name w:val="Body Text Indent"/>
    <w:basedOn w:val="709"/>
    <w:next w:val="727"/>
    <w:link w:val="1038"/>
    <w:uiPriority w:val="0"/>
    <w:qFormat/>
    <w:pPr>
      <w:ind w:left="570"/>
      <w:spacing w:line="520" w:lineRule="exact"/>
    </w:pPr>
    <w:rPr>
      <w:rFonts w:ascii="方正仿宋简体" w:hAnsi="创艺简仿宋" w:eastAsia="方正仿宋简体"/>
      <w:sz w:val="24"/>
    </w:rPr>
  </w:style>
  <w:style w:type="paragraph" w:styleId="727" w:customStyle="1">
    <w:name w:val="目录 51"/>
    <w:next w:val="709"/>
    <w:uiPriority w:val="0"/>
    <w:qFormat/>
    <w:pPr>
      <w:ind w:left="1275"/>
      <w:jc w:val="both"/>
    </w:pPr>
    <w:rPr>
      <w:rFonts w:ascii="Times New Roman" w:hAnsi="Times New Roman" w:eastAsia="宋体" w:cs="Times New Roman"/>
      <w:sz w:val="21"/>
      <w:lang w:val="en-US" w:eastAsia="zh-CN" w:bidi="ar-SA"/>
    </w:rPr>
  </w:style>
  <w:style w:type="paragraph" w:styleId="728">
    <w:name w:val="toc 5"/>
    <w:basedOn w:val="709"/>
    <w:next w:val="709"/>
    <w:uiPriority w:val="39"/>
    <w:unhideWhenUsed/>
    <w:qFormat/>
    <w:pPr>
      <w:ind w:left="1134"/>
      <w:spacing w:after="57"/>
    </w:pPr>
  </w:style>
  <w:style w:type="paragraph" w:styleId="729">
    <w:name w:val="toc 3"/>
    <w:basedOn w:val="709"/>
    <w:next w:val="709"/>
    <w:uiPriority w:val="39"/>
    <w:unhideWhenUsed/>
    <w:qFormat/>
    <w:pPr>
      <w:ind w:left="567"/>
      <w:spacing w:after="57"/>
    </w:pPr>
  </w:style>
  <w:style w:type="paragraph" w:styleId="730">
    <w:name w:val="Plain Text"/>
    <w:basedOn w:val="709"/>
    <w:uiPriority w:val="0"/>
    <w:qFormat/>
    <w:rPr>
      <w:rFonts w:ascii="宋体" w:hAnsi="Courier New"/>
    </w:rPr>
  </w:style>
  <w:style w:type="paragraph" w:styleId="731">
    <w:name w:val="toc 8"/>
    <w:basedOn w:val="709"/>
    <w:next w:val="709"/>
    <w:uiPriority w:val="39"/>
    <w:unhideWhenUsed/>
    <w:qFormat/>
    <w:pPr>
      <w:ind w:left="1984"/>
      <w:spacing w:after="57"/>
    </w:pPr>
  </w:style>
  <w:style w:type="paragraph" w:styleId="732">
    <w:name w:val="endnote text"/>
    <w:basedOn w:val="709"/>
    <w:link w:val="817"/>
    <w:uiPriority w:val="99"/>
    <w:unhideWhenUsed/>
    <w:qFormat/>
    <w:rPr>
      <w:sz w:val="20"/>
    </w:rPr>
  </w:style>
  <w:style w:type="paragraph" w:styleId="733">
    <w:name w:val="Balloon Text"/>
    <w:basedOn w:val="709"/>
    <w:uiPriority w:val="0"/>
    <w:semiHidden/>
    <w:qFormat/>
    <w:rPr>
      <w:sz w:val="18"/>
      <w:szCs w:val="18"/>
    </w:rPr>
  </w:style>
  <w:style w:type="paragraph" w:styleId="734">
    <w:name w:val="Footer"/>
    <w:basedOn w:val="709"/>
    <w:link w:val="815"/>
    <w:uiPriority w:val="99"/>
    <w:unhideWhenUsed/>
    <w:qFormat/>
    <w:pPr>
      <w:tabs>
        <w:tab w:val="center" w:pos="7143" w:leader="none"/>
        <w:tab w:val="right" w:pos="14287" w:leader="none"/>
      </w:tabs>
    </w:pPr>
  </w:style>
  <w:style w:type="paragraph" w:styleId="735">
    <w:name w:val="Header"/>
    <w:basedOn w:val="709"/>
    <w:link w:val="814"/>
    <w:uiPriority w:val="99"/>
    <w:unhideWhenUsed/>
    <w:qFormat/>
    <w:pPr>
      <w:tabs>
        <w:tab w:val="center" w:pos="7143" w:leader="none"/>
        <w:tab w:val="right" w:pos="14287" w:leader="none"/>
      </w:tabs>
    </w:pPr>
  </w:style>
  <w:style w:type="paragraph" w:styleId="736">
    <w:name w:val="toc 1"/>
    <w:basedOn w:val="709"/>
    <w:next w:val="709"/>
    <w:uiPriority w:val="39"/>
    <w:unhideWhenUsed/>
    <w:qFormat/>
    <w:pPr>
      <w:spacing w:after="57"/>
    </w:pPr>
  </w:style>
  <w:style w:type="paragraph" w:styleId="737">
    <w:name w:val="toc 4"/>
    <w:basedOn w:val="709"/>
    <w:next w:val="709"/>
    <w:uiPriority w:val="39"/>
    <w:unhideWhenUsed/>
    <w:qFormat/>
    <w:pPr>
      <w:ind w:left="850"/>
      <w:spacing w:after="57"/>
    </w:pPr>
  </w:style>
  <w:style w:type="paragraph" w:styleId="738">
    <w:name w:val="Subtitle"/>
    <w:basedOn w:val="709"/>
    <w:next w:val="709"/>
    <w:link w:val="809"/>
    <w:uiPriority w:val="11"/>
    <w:qFormat/>
    <w:pPr>
      <w:spacing w:before="200" w:after="200"/>
    </w:pPr>
    <w:rPr>
      <w:sz w:val="24"/>
    </w:rPr>
  </w:style>
  <w:style w:type="paragraph" w:styleId="739">
    <w:name w:val="footnote text"/>
    <w:basedOn w:val="709"/>
    <w:link w:val="816"/>
    <w:uiPriority w:val="99"/>
    <w:unhideWhenUsed/>
    <w:qFormat/>
    <w:pPr>
      <w:spacing w:after="40"/>
    </w:pPr>
    <w:rPr>
      <w:sz w:val="18"/>
    </w:rPr>
  </w:style>
  <w:style w:type="paragraph" w:styleId="740">
    <w:name w:val="toc 6"/>
    <w:basedOn w:val="709"/>
    <w:next w:val="709"/>
    <w:uiPriority w:val="39"/>
    <w:unhideWhenUsed/>
    <w:qFormat/>
    <w:pPr>
      <w:ind w:left="1417"/>
      <w:spacing w:after="57"/>
    </w:pPr>
  </w:style>
  <w:style w:type="paragraph" w:styleId="741">
    <w:name w:val="Body Text Indent 3"/>
    <w:basedOn w:val="709"/>
    <w:link w:val="1037"/>
    <w:uiPriority w:val="99"/>
    <w:semiHidden/>
    <w:unhideWhenUsed/>
    <w:qFormat/>
    <w:pPr>
      <w:ind w:left="420"/>
      <w:spacing w:after="120"/>
    </w:pPr>
    <w:rPr>
      <w:sz w:val="16"/>
      <w:szCs w:val="16"/>
    </w:rPr>
  </w:style>
  <w:style w:type="paragraph" w:styleId="742">
    <w:name w:val="table of figures"/>
    <w:basedOn w:val="709"/>
    <w:next w:val="709"/>
    <w:uiPriority w:val="99"/>
    <w:unhideWhenUsed/>
    <w:qFormat/>
  </w:style>
  <w:style w:type="paragraph" w:styleId="743">
    <w:name w:val="toc 2"/>
    <w:basedOn w:val="709"/>
    <w:next w:val="709"/>
    <w:uiPriority w:val="39"/>
    <w:unhideWhenUsed/>
    <w:qFormat/>
    <w:pPr>
      <w:ind w:left="283"/>
      <w:spacing w:after="57"/>
    </w:pPr>
  </w:style>
  <w:style w:type="paragraph" w:styleId="744">
    <w:name w:val="toc 9"/>
    <w:basedOn w:val="709"/>
    <w:next w:val="709"/>
    <w:uiPriority w:val="39"/>
    <w:unhideWhenUsed/>
    <w:qFormat/>
    <w:pPr>
      <w:ind w:left="2268"/>
      <w:spacing w:after="57"/>
    </w:pPr>
  </w:style>
  <w:style w:type="paragraph" w:styleId="745">
    <w:name w:val="Title"/>
    <w:basedOn w:val="709"/>
    <w:next w:val="709"/>
    <w:link w:val="808"/>
    <w:uiPriority w:val="10"/>
    <w:qFormat/>
    <w:pPr>
      <w:contextualSpacing/>
      <w:spacing w:before="300" w:after="200"/>
    </w:pPr>
    <w:rPr>
      <w:sz w:val="48"/>
      <w:szCs w:val="48"/>
    </w:rPr>
  </w:style>
  <w:style w:type="paragraph" w:styleId="746">
    <w:name w:val="annotation subject"/>
    <w:basedOn w:val="724"/>
    <w:next w:val="724"/>
    <w:link w:val="1035"/>
    <w:uiPriority w:val="99"/>
    <w:semiHidden/>
    <w:unhideWhenUsed/>
    <w:qFormat/>
    <w:rPr>
      <w:b/>
      <w:bCs/>
    </w:rPr>
  </w:style>
  <w:style w:type="paragraph" w:styleId="747">
    <w:name w:val="Body Text First Indent 2"/>
    <w:basedOn w:val="726"/>
    <w:link w:val="1039"/>
    <w:uiPriority w:val="99"/>
    <w:semiHidden/>
    <w:unhideWhenUsed/>
    <w:qFormat/>
    <w:pPr>
      <w:ind w:left="420" w:firstLine="420"/>
      <w:spacing w:after="120" w:line="240" w:lineRule="auto"/>
    </w:pPr>
    <w:rPr>
      <w:rFonts w:ascii="Times New Roman" w:hAnsi="Times New Roman" w:eastAsia="宋体"/>
      <w:sz w:val="21"/>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annotation reference"/>
    <w:basedOn w:val="719"/>
    <w:uiPriority w:val="99"/>
    <w:semiHidden/>
    <w:unhideWhenUsed/>
    <w:qFormat/>
    <w:rPr>
      <w:sz w:val="21"/>
      <w:szCs w:val="21"/>
    </w:rPr>
  </w:style>
  <w:style w:type="character" w:styleId="752">
    <w:name w:val="footnote reference"/>
    <w:uiPriority w:val="99"/>
    <w:unhideWhenUsed/>
    <w:qFormat/>
    <w:rPr>
      <w:vertAlign w:val="superscript"/>
    </w:rPr>
  </w:style>
  <w:style w:type="character" w:styleId="753" w:customStyle="1">
    <w:name w:val="Heading 1 Char"/>
    <w:basedOn w:val="719"/>
    <w:uiPriority w:val="9"/>
    <w:qFormat/>
    <w:rPr>
      <w:rFonts w:ascii="Arial" w:hAnsi="Arial" w:eastAsia="Arial" w:cs="Arial"/>
      <w:sz w:val="40"/>
      <w:szCs w:val="40"/>
    </w:rPr>
  </w:style>
  <w:style w:type="character" w:styleId="754" w:customStyle="1">
    <w:name w:val="Heading 2 Char"/>
    <w:basedOn w:val="719"/>
    <w:uiPriority w:val="9"/>
    <w:qFormat/>
    <w:rPr>
      <w:rFonts w:ascii="Arial" w:hAnsi="Arial" w:eastAsia="Arial" w:cs="Arial"/>
      <w:sz w:val="34"/>
    </w:rPr>
  </w:style>
  <w:style w:type="character" w:styleId="755" w:customStyle="1">
    <w:name w:val="Heading 3 Char"/>
    <w:basedOn w:val="719"/>
    <w:uiPriority w:val="9"/>
    <w:qFormat/>
    <w:rPr>
      <w:rFonts w:ascii="Arial" w:hAnsi="Arial" w:eastAsia="Arial" w:cs="Arial"/>
      <w:sz w:val="30"/>
      <w:szCs w:val="30"/>
    </w:rPr>
  </w:style>
  <w:style w:type="character" w:styleId="756" w:customStyle="1">
    <w:name w:val="Heading 4 Char"/>
    <w:basedOn w:val="719"/>
    <w:uiPriority w:val="9"/>
    <w:qFormat/>
    <w:rPr>
      <w:rFonts w:ascii="Arial" w:hAnsi="Arial" w:eastAsia="Arial" w:cs="Arial"/>
      <w:b/>
      <w:bCs/>
      <w:sz w:val="26"/>
      <w:szCs w:val="26"/>
    </w:rPr>
  </w:style>
  <w:style w:type="character" w:styleId="757" w:customStyle="1">
    <w:name w:val="Heading 5 Char"/>
    <w:basedOn w:val="719"/>
    <w:uiPriority w:val="9"/>
    <w:qFormat/>
    <w:rPr>
      <w:rFonts w:ascii="Arial" w:hAnsi="Arial" w:eastAsia="Arial" w:cs="Arial"/>
      <w:b/>
      <w:bCs/>
      <w:sz w:val="24"/>
      <w:szCs w:val="24"/>
    </w:rPr>
  </w:style>
  <w:style w:type="character" w:styleId="758" w:customStyle="1">
    <w:name w:val="Heading 6 Char"/>
    <w:basedOn w:val="719"/>
    <w:uiPriority w:val="9"/>
    <w:qFormat/>
    <w:rPr>
      <w:rFonts w:ascii="Arial" w:hAnsi="Arial" w:eastAsia="Arial" w:cs="Arial"/>
      <w:b/>
      <w:bCs/>
      <w:sz w:val="22"/>
      <w:szCs w:val="22"/>
    </w:rPr>
  </w:style>
  <w:style w:type="character" w:styleId="759" w:customStyle="1">
    <w:name w:val="Heading 7 Char"/>
    <w:basedOn w:val="719"/>
    <w:uiPriority w:val="9"/>
    <w:qFormat/>
    <w:rPr>
      <w:rFonts w:ascii="Arial" w:hAnsi="Arial" w:eastAsia="Arial" w:cs="Arial"/>
      <w:b/>
      <w:bCs/>
      <w:i/>
      <w:iCs/>
      <w:sz w:val="22"/>
      <w:szCs w:val="22"/>
    </w:rPr>
  </w:style>
  <w:style w:type="character" w:styleId="760" w:customStyle="1">
    <w:name w:val="Heading 8 Char"/>
    <w:basedOn w:val="719"/>
    <w:uiPriority w:val="9"/>
    <w:qFormat/>
    <w:rPr>
      <w:rFonts w:ascii="Arial" w:hAnsi="Arial" w:eastAsia="Arial" w:cs="Arial"/>
      <w:i/>
      <w:iCs/>
      <w:sz w:val="22"/>
      <w:szCs w:val="22"/>
    </w:rPr>
  </w:style>
  <w:style w:type="character" w:styleId="761" w:customStyle="1">
    <w:name w:val="Heading 9 Char"/>
    <w:basedOn w:val="719"/>
    <w:uiPriority w:val="9"/>
    <w:qFormat/>
    <w:rPr>
      <w:rFonts w:ascii="Arial" w:hAnsi="Arial" w:eastAsia="Arial" w:cs="Arial"/>
      <w:i/>
      <w:iCs/>
      <w:sz w:val="21"/>
      <w:szCs w:val="21"/>
    </w:rPr>
  </w:style>
  <w:style w:type="paragraph" w:styleId="762">
    <w:name w:val="List Paragraph"/>
    <w:basedOn w:val="709"/>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Title Char"/>
    <w:basedOn w:val="719"/>
    <w:uiPriority w:val="10"/>
    <w:qFormat/>
    <w:rPr>
      <w:sz w:val="48"/>
      <w:szCs w:val="48"/>
    </w:rPr>
  </w:style>
  <w:style w:type="character" w:styleId="765" w:customStyle="1">
    <w:name w:val="Subtitle Char"/>
    <w:basedOn w:val="719"/>
    <w:uiPriority w:val="11"/>
    <w:qFormat/>
    <w:rPr>
      <w:sz w:val="24"/>
      <w:szCs w:val="24"/>
    </w:rPr>
  </w:style>
  <w:style w:type="paragraph" w:styleId="766">
    <w:name w:val="Quote"/>
    <w:basedOn w:val="709"/>
    <w:next w:val="709"/>
    <w:uiPriority w:val="29"/>
    <w:qFormat/>
    <w:pPr>
      <w:ind w:left="720" w:right="720"/>
    </w:pPr>
    <w:rPr>
      <w:i/>
    </w:rPr>
  </w:style>
  <w:style w:type="paragraph" w:styleId="767">
    <w:name w:val="Intense Quote"/>
    <w:basedOn w:val="709"/>
    <w:next w:val="7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Header Char"/>
    <w:basedOn w:val="719"/>
    <w:uiPriority w:val="99"/>
    <w:qFormat/>
  </w:style>
  <w:style w:type="character" w:styleId="769" w:customStyle="1">
    <w:name w:val="Caption Char"/>
    <w:uiPriority w:val="99"/>
    <w:qFormat/>
  </w:style>
  <w:style w:type="table" w:styleId="770" w:customStyle="1">
    <w:name w:val="Plain Table 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正文首行缩进 211"/>
    <w:basedOn w:val="793"/>
    <w:uiPriority w:val="0"/>
    <w:qFormat/>
    <w:pPr>
      <w:ind w:firstLine="420"/>
      <w:spacing w:before="100" w:beforeAutospacing="1"/>
    </w:pPr>
  </w:style>
  <w:style w:type="paragraph" w:styleId="793" w:customStyle="1">
    <w:name w:val="正文文本缩进11"/>
    <w:basedOn w:val="709"/>
    <w:next w:val="709"/>
    <w:uiPriority w:val="0"/>
    <w:qFormat/>
    <w:pPr>
      <w:ind w:left="420"/>
      <w:spacing w:after="120"/>
    </w:pPr>
  </w:style>
  <w:style w:type="paragraph" w:styleId="794" w:customStyle="1">
    <w:name w:val="正文缩进111"/>
    <w:basedOn w:val="709"/>
    <w:uiPriority w:val="0"/>
    <w:unhideWhenUsed/>
    <w:qFormat/>
    <w:pPr>
      <w:ind w:firstLine="420"/>
      <w:jc w:val="left"/>
      <w:widowControl/>
    </w:pPr>
    <w:rPr>
      <w:rFonts w:ascii="楷体_GB2312" w:hAnsi="Calibri" w:eastAsia="楷体_GB2312"/>
      <w:sz w:val="24"/>
      <w:szCs w:val="22"/>
    </w:rPr>
  </w:style>
  <w:style w:type="paragraph" w:styleId="795" w:customStyle="1">
    <w:name w:val="段"/>
    <w:basedOn w:val="709"/>
    <w:next w:val="709"/>
    <w:uiPriority w:val="0"/>
    <w:qFormat/>
    <w:pPr>
      <w:ind w:firstLine="200"/>
      <w:widowControl/>
    </w:pPr>
    <w:rPr>
      <w:rFonts w:hint="eastAsia" w:ascii="宋体"/>
      <w:szCs w:val="22"/>
    </w:rPr>
  </w:style>
  <w:style w:type="paragraph" w:styleId="796" w:customStyle="1">
    <w:name w:val="首行缩进"/>
    <w:basedOn w:val="709"/>
    <w:uiPriority w:val="0"/>
    <w:qFormat/>
    <w:pPr>
      <w:ind w:firstLine="480"/>
    </w:pPr>
    <w:rPr>
      <w:lang w:val="zh-CN"/>
    </w:rPr>
  </w:style>
  <w:style w:type="character" w:styleId="797" w:customStyle="1">
    <w:name w:val="标题 1 Char"/>
    <w:link w:val="710"/>
    <w:uiPriority w:val="0"/>
    <w:qFormat/>
    <w:rPr>
      <w:rFonts w:ascii="Arial" w:hAnsi="Arial" w:eastAsia="Arial" w:cs="Arial"/>
      <w:sz w:val="40"/>
      <w:szCs w:val="40"/>
    </w:rPr>
  </w:style>
  <w:style w:type="character" w:styleId="798" w:customStyle="1">
    <w:name w:val="标题 2 Char"/>
    <w:link w:val="711"/>
    <w:uiPriority w:val="9"/>
    <w:qFormat/>
    <w:rPr>
      <w:rFonts w:ascii="Arial" w:hAnsi="Arial" w:eastAsia="Arial" w:cs="Arial"/>
      <w:sz w:val="34"/>
    </w:rPr>
  </w:style>
  <w:style w:type="character" w:styleId="799" w:customStyle="1">
    <w:name w:val="标题 3 Char"/>
    <w:link w:val="712"/>
    <w:uiPriority w:val="9"/>
    <w:qFormat/>
    <w:rPr>
      <w:rFonts w:ascii="Arial" w:hAnsi="Arial" w:eastAsia="Arial" w:cs="Arial"/>
      <w:sz w:val="30"/>
      <w:szCs w:val="30"/>
    </w:rPr>
  </w:style>
  <w:style w:type="character" w:styleId="800" w:customStyle="1">
    <w:name w:val="标题 4 Char"/>
    <w:link w:val="713"/>
    <w:uiPriority w:val="9"/>
    <w:qFormat/>
    <w:rPr>
      <w:rFonts w:ascii="Arial" w:hAnsi="Arial" w:eastAsia="Arial" w:cs="Arial"/>
      <w:b/>
      <w:bCs/>
      <w:sz w:val="26"/>
      <w:szCs w:val="26"/>
    </w:rPr>
  </w:style>
  <w:style w:type="character" w:styleId="801" w:customStyle="1">
    <w:name w:val="标题 5 Char"/>
    <w:link w:val="714"/>
    <w:uiPriority w:val="9"/>
    <w:qFormat/>
    <w:rPr>
      <w:rFonts w:ascii="Arial" w:hAnsi="Arial" w:eastAsia="Arial" w:cs="Arial"/>
      <w:b/>
      <w:bCs/>
      <w:sz w:val="24"/>
      <w:szCs w:val="24"/>
    </w:rPr>
  </w:style>
  <w:style w:type="character" w:styleId="802" w:customStyle="1">
    <w:name w:val="标题 6 Char"/>
    <w:link w:val="715"/>
    <w:uiPriority w:val="9"/>
    <w:qFormat/>
    <w:rPr>
      <w:rFonts w:ascii="Arial" w:hAnsi="Arial" w:eastAsia="Arial" w:cs="Arial"/>
      <w:b/>
      <w:bCs/>
      <w:sz w:val="22"/>
      <w:szCs w:val="22"/>
    </w:rPr>
  </w:style>
  <w:style w:type="character" w:styleId="803" w:customStyle="1">
    <w:name w:val="标题 7 Char"/>
    <w:link w:val="716"/>
    <w:uiPriority w:val="9"/>
    <w:qFormat/>
    <w:rPr>
      <w:rFonts w:ascii="Arial" w:hAnsi="Arial" w:eastAsia="Arial" w:cs="Arial"/>
      <w:b/>
      <w:bCs/>
      <w:i/>
      <w:iCs/>
      <w:sz w:val="22"/>
      <w:szCs w:val="22"/>
    </w:rPr>
  </w:style>
  <w:style w:type="character" w:styleId="804" w:customStyle="1">
    <w:name w:val="标题 8 Char"/>
    <w:link w:val="717"/>
    <w:uiPriority w:val="9"/>
    <w:qFormat/>
    <w:rPr>
      <w:rFonts w:ascii="Arial" w:hAnsi="Arial" w:eastAsia="Arial" w:cs="Arial"/>
      <w:i/>
      <w:iCs/>
      <w:sz w:val="22"/>
      <w:szCs w:val="22"/>
    </w:rPr>
  </w:style>
  <w:style w:type="character" w:styleId="805" w:customStyle="1">
    <w:name w:val="标题 9 Char"/>
    <w:link w:val="718"/>
    <w:uiPriority w:val="9"/>
    <w:qFormat/>
    <w:rPr>
      <w:rFonts w:ascii="Arial" w:hAnsi="Arial" w:eastAsia="Arial" w:cs="Arial"/>
      <w:i/>
      <w:iCs/>
      <w:sz w:val="21"/>
      <w:szCs w:val="21"/>
    </w:rPr>
  </w:style>
  <w:style w:type="paragraph" w:styleId="806" w:customStyle="1">
    <w:name w:val="列出段落1"/>
    <w:basedOn w:val="709"/>
    <w:uiPriority w:val="34"/>
    <w:qFormat/>
    <w:pPr>
      <w:contextualSpacing/>
      <w:ind w:left="720"/>
    </w:pPr>
  </w:style>
  <w:style w:type="paragraph" w:styleId="807" w:customStyle="1">
    <w:name w:val="无间隔1"/>
    <w:uiPriority w:val="1"/>
    <w:qFormat/>
    <w:rPr>
      <w:rFonts w:ascii="Times New Roman" w:hAnsi="Times New Roman" w:eastAsia="宋体" w:cs="Times New Roman"/>
      <w:lang w:val="en-US" w:eastAsia="zh-CN" w:bidi="ar-SA"/>
    </w:rPr>
  </w:style>
  <w:style w:type="character" w:styleId="808" w:customStyle="1">
    <w:name w:val="标题 Char"/>
    <w:link w:val="745"/>
    <w:uiPriority w:val="10"/>
    <w:qFormat/>
    <w:rPr>
      <w:sz w:val="48"/>
      <w:szCs w:val="48"/>
    </w:rPr>
  </w:style>
  <w:style w:type="character" w:styleId="809" w:customStyle="1">
    <w:name w:val="副标题 Char"/>
    <w:link w:val="738"/>
    <w:uiPriority w:val="11"/>
    <w:qFormat/>
    <w:rPr>
      <w:sz w:val="24"/>
      <w:szCs w:val="24"/>
    </w:rPr>
  </w:style>
  <w:style w:type="paragraph" w:styleId="810" w:customStyle="1">
    <w:name w:val="引用1"/>
    <w:basedOn w:val="709"/>
    <w:next w:val="709"/>
    <w:link w:val="811"/>
    <w:uiPriority w:val="29"/>
    <w:qFormat/>
    <w:pPr>
      <w:ind w:left="720" w:right="720"/>
    </w:pPr>
    <w:rPr>
      <w:i/>
    </w:rPr>
  </w:style>
  <w:style w:type="character" w:styleId="811" w:customStyle="1">
    <w:name w:val="Quote Char"/>
    <w:link w:val="810"/>
    <w:uiPriority w:val="29"/>
    <w:qFormat/>
    <w:rPr>
      <w:i/>
    </w:rPr>
  </w:style>
  <w:style w:type="paragraph" w:styleId="812" w:customStyle="1">
    <w:name w:val="明显引用1"/>
    <w:basedOn w:val="709"/>
    <w:next w:val="709"/>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页眉 Char"/>
    <w:link w:val="735"/>
    <w:uiPriority w:val="99"/>
    <w:qFormat/>
  </w:style>
  <w:style w:type="character" w:styleId="815" w:customStyle="1">
    <w:name w:val="页脚 Char"/>
    <w:link w:val="734"/>
    <w:uiPriority w:val="99"/>
    <w:qFormat/>
  </w:style>
  <w:style w:type="character" w:styleId="816" w:customStyle="1">
    <w:name w:val="脚注文本 Char"/>
    <w:link w:val="739"/>
    <w:uiPriority w:val="99"/>
    <w:qFormat/>
    <w:rPr>
      <w:sz w:val="18"/>
    </w:rPr>
  </w:style>
  <w:style w:type="character" w:styleId="817" w:customStyle="1">
    <w:name w:val="尾注文本 Char"/>
    <w:link w:val="732"/>
    <w:uiPriority w:val="99"/>
    <w:qFormat/>
    <w:rPr>
      <w:sz w:val="20"/>
    </w:rPr>
  </w:style>
  <w:style w:type="paragraph" w:styleId="818" w:customStyle="1">
    <w:name w:val="标题 11"/>
    <w:basedOn w:val="709"/>
    <w:next w:val="709"/>
    <w:link w:val="829"/>
    <w:uiPriority w:val="9"/>
    <w:qFormat/>
    <w:pPr>
      <w:jc w:val="left"/>
      <w:keepLines/>
      <w:keepNext/>
      <w:outlineLvl w:val="0"/>
    </w:pPr>
    <w:rPr>
      <w:b/>
      <w:bCs/>
      <w:sz w:val="30"/>
      <w:szCs w:val="44"/>
    </w:rPr>
  </w:style>
  <w:style w:type="paragraph" w:styleId="819" w:customStyle="1">
    <w:name w:val="标题 21"/>
    <w:basedOn w:val="709"/>
    <w:next w:val="709"/>
    <w:link w:val="830"/>
    <w:uiPriority w:val="0"/>
    <w:qFormat/>
    <w:pPr>
      <w:keepLines/>
      <w:keepNext/>
      <w:spacing w:before="260" w:after="260" w:line="413" w:lineRule="auto"/>
      <w:outlineLvl w:val="1"/>
    </w:pPr>
    <w:rPr>
      <w:rFonts w:ascii="Arial" w:hAnsi="Arial" w:eastAsia="黑体"/>
      <w:b/>
      <w:sz w:val="32"/>
    </w:rPr>
  </w:style>
  <w:style w:type="paragraph" w:styleId="820" w:customStyle="1">
    <w:name w:val="标题 31"/>
    <w:basedOn w:val="709"/>
    <w:next w:val="709"/>
    <w:link w:val="831"/>
    <w:uiPriority w:val="9"/>
    <w:qFormat/>
    <w:pPr>
      <w:keepLines/>
      <w:keepNext/>
      <w:spacing w:before="120" w:after="120"/>
      <w:outlineLvl w:val="2"/>
    </w:pPr>
    <w:rPr>
      <w:b/>
      <w:bCs/>
      <w:sz w:val="28"/>
      <w:szCs w:val="32"/>
    </w:rPr>
  </w:style>
  <w:style w:type="paragraph" w:styleId="821" w:customStyle="1">
    <w:name w:val="标题 41"/>
    <w:basedOn w:val="709"/>
    <w:next w:val="709"/>
    <w:link w:val="832"/>
    <w:uiPriority w:val="9"/>
    <w:qFormat/>
    <w:pPr>
      <w:keepLines/>
      <w:keepNext/>
      <w:spacing w:before="120" w:after="120"/>
      <w:outlineLvl w:val="3"/>
    </w:pPr>
    <w:rPr>
      <w:b/>
      <w:bCs/>
      <w:sz w:val="28"/>
      <w:szCs w:val="28"/>
    </w:rPr>
  </w:style>
  <w:style w:type="paragraph" w:styleId="822" w:customStyle="1">
    <w:name w:val="标题 51"/>
    <w:basedOn w:val="709"/>
    <w:next w:val="709"/>
    <w:link w:val="833"/>
    <w:uiPriority w:val="9"/>
    <w:qFormat/>
    <w:pPr>
      <w:keepLines/>
      <w:keepNext/>
      <w:spacing w:before="320" w:after="200"/>
      <w:outlineLvl w:val="4"/>
    </w:pPr>
    <w:rPr>
      <w:rFonts w:ascii="Arial" w:hAnsi="Arial" w:eastAsia="Arial" w:cs="Arial"/>
      <w:b/>
      <w:bCs/>
      <w:sz w:val="24"/>
    </w:rPr>
  </w:style>
  <w:style w:type="paragraph" w:styleId="823" w:customStyle="1">
    <w:name w:val="标题 61"/>
    <w:basedOn w:val="709"/>
    <w:next w:val="709"/>
    <w:link w:val="834"/>
    <w:uiPriority w:val="9"/>
    <w:qFormat/>
    <w:pPr>
      <w:keepLines/>
      <w:keepNext/>
      <w:spacing w:before="320" w:after="200"/>
      <w:outlineLvl w:val="5"/>
    </w:pPr>
    <w:rPr>
      <w:rFonts w:ascii="Arial" w:hAnsi="Arial" w:eastAsia="Arial" w:cs="Arial"/>
      <w:b/>
      <w:bCs/>
      <w:sz w:val="22"/>
      <w:szCs w:val="22"/>
    </w:rPr>
  </w:style>
  <w:style w:type="paragraph" w:styleId="824" w:customStyle="1">
    <w:name w:val="标题 71"/>
    <w:basedOn w:val="709"/>
    <w:next w:val="709"/>
    <w:link w:val="835"/>
    <w:uiPriority w:val="9"/>
    <w:qFormat/>
    <w:pPr>
      <w:keepLines/>
      <w:keepNext/>
      <w:spacing w:before="320" w:after="200"/>
      <w:outlineLvl w:val="6"/>
    </w:pPr>
    <w:rPr>
      <w:rFonts w:ascii="Arial" w:hAnsi="Arial" w:eastAsia="Arial" w:cs="Arial"/>
      <w:b/>
      <w:bCs/>
      <w:i/>
      <w:iCs/>
      <w:sz w:val="22"/>
      <w:szCs w:val="22"/>
    </w:rPr>
  </w:style>
  <w:style w:type="paragraph" w:styleId="825" w:customStyle="1">
    <w:name w:val="标题 81"/>
    <w:basedOn w:val="709"/>
    <w:next w:val="709"/>
    <w:link w:val="836"/>
    <w:uiPriority w:val="9"/>
    <w:qFormat/>
    <w:pPr>
      <w:keepLines/>
      <w:keepNext/>
      <w:spacing w:before="320" w:after="200"/>
      <w:outlineLvl w:val="7"/>
    </w:pPr>
    <w:rPr>
      <w:rFonts w:ascii="Arial" w:hAnsi="Arial" w:eastAsia="Arial" w:cs="Arial"/>
      <w:i/>
      <w:iCs/>
      <w:sz w:val="22"/>
      <w:szCs w:val="22"/>
    </w:rPr>
  </w:style>
  <w:style w:type="paragraph" w:styleId="826" w:customStyle="1">
    <w:name w:val="标题 91"/>
    <w:basedOn w:val="709"/>
    <w:next w:val="709"/>
    <w:link w:val="837"/>
    <w:uiPriority w:val="9"/>
    <w:qFormat/>
    <w:pPr>
      <w:keepLines/>
      <w:keepNext/>
      <w:spacing w:before="320" w:after="200"/>
      <w:outlineLvl w:val="8"/>
    </w:pPr>
    <w:rPr>
      <w:rFonts w:ascii="Arial" w:hAnsi="Arial" w:eastAsia="Arial" w:cs="Arial"/>
      <w:i/>
      <w:iCs/>
      <w:szCs w:val="21"/>
    </w:rPr>
  </w:style>
  <w:style w:type="character" w:styleId="827" w:customStyle="1">
    <w:name w:val="默认段落字体1"/>
    <w:uiPriority w:val="1"/>
    <w:unhideWhenUsed/>
    <w:qFormat/>
  </w:style>
  <w:style w:type="table" w:styleId="828" w:customStyle="1">
    <w:name w:val="普通表格1"/>
    <w:uiPriority w:val="99"/>
    <w:unhideWhenUsed/>
    <w:qFormat/>
    <w:tblPr>
      <w:tblCellMar>
        <w:left w:w="0" w:type="dxa"/>
        <w:top w:w="0" w:type="dxa"/>
        <w:right w:w="0" w:type="dxa"/>
        <w:bottom w:w="0" w:type="dxa"/>
      </w:tblCellMar>
    </w:tblPr>
  </w:style>
  <w:style w:type="character" w:styleId="829" w:customStyle="1">
    <w:name w:val="标题 1 字符"/>
    <w:link w:val="818"/>
    <w:uiPriority w:val="9"/>
    <w:qFormat/>
    <w:rPr>
      <w:rFonts w:ascii="Arial" w:hAnsi="Arial" w:eastAsia="Arial" w:cs="Arial"/>
      <w:sz w:val="40"/>
      <w:szCs w:val="40"/>
    </w:rPr>
  </w:style>
  <w:style w:type="character" w:styleId="830" w:customStyle="1">
    <w:name w:val="标题 2 字符"/>
    <w:link w:val="819"/>
    <w:uiPriority w:val="9"/>
    <w:qFormat/>
    <w:rPr>
      <w:rFonts w:ascii="Arial" w:hAnsi="Arial" w:eastAsia="Arial" w:cs="Arial"/>
      <w:sz w:val="34"/>
    </w:rPr>
  </w:style>
  <w:style w:type="character" w:styleId="831" w:customStyle="1">
    <w:name w:val="标题 3 字符"/>
    <w:link w:val="820"/>
    <w:uiPriority w:val="9"/>
    <w:qFormat/>
    <w:rPr>
      <w:rFonts w:ascii="Arial" w:hAnsi="Arial" w:eastAsia="Arial" w:cs="Arial"/>
      <w:sz w:val="30"/>
      <w:szCs w:val="30"/>
    </w:rPr>
  </w:style>
  <w:style w:type="character" w:styleId="832" w:customStyle="1">
    <w:name w:val="标题 4 字符"/>
    <w:link w:val="821"/>
    <w:uiPriority w:val="9"/>
    <w:qFormat/>
    <w:rPr>
      <w:rFonts w:ascii="Arial" w:hAnsi="Arial" w:eastAsia="Arial" w:cs="Arial"/>
      <w:b/>
      <w:bCs/>
      <w:sz w:val="26"/>
      <w:szCs w:val="26"/>
    </w:rPr>
  </w:style>
  <w:style w:type="character" w:styleId="833" w:customStyle="1">
    <w:name w:val="标题 5 字符"/>
    <w:link w:val="822"/>
    <w:uiPriority w:val="9"/>
    <w:qFormat/>
    <w:rPr>
      <w:rFonts w:ascii="Arial" w:hAnsi="Arial" w:eastAsia="Arial" w:cs="Arial"/>
      <w:b/>
      <w:bCs/>
      <w:sz w:val="24"/>
      <w:szCs w:val="24"/>
    </w:rPr>
  </w:style>
  <w:style w:type="character" w:styleId="834" w:customStyle="1">
    <w:name w:val="标题 6 字符"/>
    <w:link w:val="823"/>
    <w:uiPriority w:val="9"/>
    <w:qFormat/>
    <w:rPr>
      <w:rFonts w:ascii="Arial" w:hAnsi="Arial" w:eastAsia="Arial" w:cs="Arial"/>
      <w:b/>
      <w:bCs/>
      <w:sz w:val="22"/>
      <w:szCs w:val="22"/>
    </w:rPr>
  </w:style>
  <w:style w:type="character" w:styleId="835" w:customStyle="1">
    <w:name w:val="标题 7 字符"/>
    <w:link w:val="824"/>
    <w:uiPriority w:val="9"/>
    <w:qFormat/>
    <w:rPr>
      <w:rFonts w:ascii="Arial" w:hAnsi="Arial" w:eastAsia="Arial" w:cs="Arial"/>
      <w:b/>
      <w:bCs/>
      <w:i/>
      <w:iCs/>
      <w:sz w:val="22"/>
      <w:szCs w:val="22"/>
    </w:rPr>
  </w:style>
  <w:style w:type="character" w:styleId="836" w:customStyle="1">
    <w:name w:val="标题 8 字符"/>
    <w:link w:val="825"/>
    <w:uiPriority w:val="9"/>
    <w:qFormat/>
    <w:rPr>
      <w:rFonts w:ascii="Arial" w:hAnsi="Arial" w:eastAsia="Arial" w:cs="Arial"/>
      <w:i/>
      <w:iCs/>
      <w:sz w:val="22"/>
      <w:szCs w:val="22"/>
    </w:rPr>
  </w:style>
  <w:style w:type="character" w:styleId="837" w:customStyle="1">
    <w:name w:val="标题 9 字符"/>
    <w:link w:val="826"/>
    <w:uiPriority w:val="9"/>
    <w:qFormat/>
    <w:rPr>
      <w:rFonts w:ascii="Arial" w:hAnsi="Arial" w:eastAsia="Arial" w:cs="Arial"/>
      <w:i/>
      <w:iCs/>
      <w:sz w:val="21"/>
      <w:szCs w:val="21"/>
    </w:rPr>
  </w:style>
  <w:style w:type="paragraph" w:styleId="838" w:customStyle="1">
    <w:name w:val="目录 71"/>
    <w:basedOn w:val="709"/>
    <w:next w:val="709"/>
    <w:uiPriority w:val="39"/>
    <w:unhideWhenUsed/>
    <w:qFormat/>
    <w:pPr>
      <w:ind w:left="1701"/>
      <w:spacing w:after="57"/>
    </w:pPr>
  </w:style>
  <w:style w:type="paragraph" w:styleId="839" w:customStyle="1">
    <w:name w:val="正文缩进1"/>
    <w:basedOn w:val="709"/>
    <w:next w:val="709"/>
    <w:uiPriority w:val="0"/>
    <w:qFormat/>
    <w:pPr>
      <w:ind w:firstLine="420"/>
      <w:jc w:val="left"/>
    </w:pPr>
    <w:rPr>
      <w:rFonts w:eastAsia="楷体_GB2312"/>
      <w:sz w:val="24"/>
      <w:szCs w:val="20"/>
    </w:rPr>
  </w:style>
  <w:style w:type="paragraph" w:styleId="840" w:customStyle="1">
    <w:name w:val="题注1"/>
    <w:basedOn w:val="709"/>
    <w:next w:val="709"/>
    <w:uiPriority w:val="35"/>
    <w:qFormat/>
    <w:pPr>
      <w:spacing w:line="276" w:lineRule="auto"/>
    </w:pPr>
    <w:rPr>
      <w:b/>
      <w:bCs/>
      <w:color w:val="4f81bd"/>
      <w:sz w:val="18"/>
      <w:szCs w:val="18"/>
    </w:rPr>
  </w:style>
  <w:style w:type="paragraph" w:styleId="841" w:customStyle="1">
    <w:name w:val="批注文字1"/>
    <w:basedOn w:val="709"/>
    <w:uiPriority w:val="0"/>
    <w:qFormat/>
    <w:pPr>
      <w:jc w:val="left"/>
    </w:pPr>
  </w:style>
  <w:style w:type="paragraph" w:styleId="842" w:customStyle="1">
    <w:name w:val="正文文本1"/>
    <w:basedOn w:val="709"/>
    <w:uiPriority w:val="0"/>
    <w:qFormat/>
    <w:pPr>
      <w:spacing w:after="120"/>
    </w:pPr>
  </w:style>
  <w:style w:type="paragraph" w:styleId="843" w:customStyle="1">
    <w:name w:val="正文文本缩进111"/>
    <w:basedOn w:val="709"/>
    <w:next w:val="844"/>
    <w:uiPriority w:val="0"/>
    <w:qFormat/>
    <w:pPr>
      <w:ind w:firstLine="560"/>
      <w:jc w:val="left"/>
      <w:spacing w:line="300" w:lineRule="auto"/>
    </w:pPr>
    <w:rPr>
      <w:rFonts w:eastAsia="Times New Roman"/>
      <w:sz w:val="28"/>
    </w:rPr>
  </w:style>
  <w:style w:type="paragraph" w:styleId="844" w:customStyle="1">
    <w:name w:val="寄信人地址11"/>
    <w:basedOn w:val="709"/>
    <w:uiPriority w:val="0"/>
    <w:qFormat/>
    <w:rPr>
      <w:rFonts w:ascii="Arial" w:hAnsi="Arial"/>
    </w:rPr>
  </w:style>
  <w:style w:type="paragraph" w:styleId="845" w:customStyle="1">
    <w:name w:val="文本块1"/>
    <w:basedOn w:val="818"/>
    <w:next w:val="709"/>
    <w:uiPriority w:val="0"/>
    <w:qFormat/>
    <w:pPr>
      <w:ind w:left="630" w:right="-609" w:firstLine="420"/>
      <w:spacing w:line="360" w:lineRule="auto"/>
    </w:pPr>
    <w:rPr>
      <w:rFonts w:hint="eastAsia" w:ascii="仿宋_GB2312" w:eastAsia="仿宋_GB2312"/>
      <w:szCs w:val="20"/>
    </w:rPr>
  </w:style>
  <w:style w:type="paragraph" w:styleId="846" w:customStyle="1">
    <w:name w:val="目录 511"/>
    <w:basedOn w:val="709"/>
    <w:next w:val="709"/>
    <w:uiPriority w:val="39"/>
    <w:unhideWhenUsed/>
    <w:qFormat/>
    <w:pPr>
      <w:ind w:left="1134"/>
      <w:spacing w:after="57"/>
    </w:pPr>
  </w:style>
  <w:style w:type="paragraph" w:styleId="847" w:customStyle="1">
    <w:name w:val="目录 31"/>
    <w:basedOn w:val="709"/>
    <w:next w:val="709"/>
    <w:uiPriority w:val="39"/>
    <w:unhideWhenUsed/>
    <w:qFormat/>
    <w:pPr>
      <w:ind w:left="567"/>
      <w:spacing w:after="57"/>
    </w:pPr>
  </w:style>
  <w:style w:type="paragraph" w:styleId="848" w:customStyle="1">
    <w:name w:val="纯文本11"/>
    <w:basedOn w:val="709"/>
    <w:uiPriority w:val="0"/>
    <w:qFormat/>
    <w:rPr>
      <w:rFonts w:ascii="宋体" w:hAnsi="Courier New" w:eastAsia="楷体_GB2312"/>
      <w:sz w:val="26"/>
    </w:rPr>
  </w:style>
  <w:style w:type="paragraph" w:styleId="849" w:customStyle="1">
    <w:name w:val="列表项目符号 51"/>
    <w:basedOn w:val="709"/>
    <w:uiPriority w:val="0"/>
    <w:qFormat/>
    <w:pPr>
      <w:numPr>
        <w:ilvl w:val="0"/>
        <w:numId w:val="2"/>
      </w:numPr>
    </w:pPr>
  </w:style>
  <w:style w:type="paragraph" w:styleId="850" w:customStyle="1">
    <w:name w:val="目录 81"/>
    <w:basedOn w:val="709"/>
    <w:next w:val="709"/>
    <w:uiPriority w:val="39"/>
    <w:unhideWhenUsed/>
    <w:qFormat/>
    <w:pPr>
      <w:ind w:left="1984"/>
      <w:spacing w:after="57"/>
    </w:pPr>
  </w:style>
  <w:style w:type="paragraph" w:styleId="851" w:customStyle="1">
    <w:name w:val="正文文本缩进 21"/>
    <w:basedOn w:val="709"/>
    <w:next w:val="852"/>
    <w:uiPriority w:val="0"/>
    <w:qFormat/>
    <w:pPr>
      <w:ind w:firstLine="540"/>
      <w:spacing w:line="360" w:lineRule="auto"/>
    </w:pPr>
    <w:rPr>
      <w:rFonts w:ascii="宋体" w:hAnsi="宋体"/>
      <w:sz w:val="24"/>
    </w:rPr>
  </w:style>
  <w:style w:type="paragraph" w:styleId="852" w:customStyle="1">
    <w:name w:val="索引 91"/>
    <w:basedOn w:val="709"/>
    <w:next w:val="709"/>
    <w:uiPriority w:val="0"/>
    <w:semiHidden/>
    <w:qFormat/>
    <w:pPr>
      <w:ind w:left="1600"/>
    </w:pPr>
  </w:style>
  <w:style w:type="paragraph" w:styleId="853" w:customStyle="1">
    <w:name w:val="尾注文本1"/>
    <w:basedOn w:val="709"/>
    <w:link w:val="854"/>
    <w:uiPriority w:val="99"/>
    <w:unhideWhenUsed/>
    <w:qFormat/>
    <w:rPr>
      <w:sz w:val="20"/>
    </w:rPr>
  </w:style>
  <w:style w:type="character" w:styleId="854" w:customStyle="1">
    <w:name w:val="尾注文本 字符"/>
    <w:link w:val="853"/>
    <w:uiPriority w:val="99"/>
    <w:qFormat/>
    <w:rPr>
      <w:sz w:val="20"/>
    </w:rPr>
  </w:style>
  <w:style w:type="paragraph" w:styleId="855" w:customStyle="1">
    <w:name w:val="页脚1"/>
    <w:basedOn w:val="709"/>
    <w:link w:val="856"/>
    <w:uiPriority w:val="0"/>
    <w:qFormat/>
    <w:pPr>
      <w:jc w:val="left"/>
      <w:tabs>
        <w:tab w:val="center" w:pos="4153" w:leader="none"/>
        <w:tab w:val="right" w:pos="8306" w:leader="none"/>
      </w:tabs>
    </w:pPr>
    <w:rPr>
      <w:sz w:val="18"/>
      <w:szCs w:val="18"/>
    </w:rPr>
  </w:style>
  <w:style w:type="character" w:styleId="856" w:customStyle="1">
    <w:name w:val="页脚 字符"/>
    <w:link w:val="855"/>
    <w:uiPriority w:val="99"/>
    <w:qFormat/>
  </w:style>
  <w:style w:type="paragraph" w:styleId="857" w:customStyle="1">
    <w:name w:val="页眉1"/>
    <w:basedOn w:val="709"/>
    <w:link w:val="85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58" w:customStyle="1">
    <w:name w:val="页眉 字符"/>
    <w:link w:val="857"/>
    <w:uiPriority w:val="99"/>
    <w:qFormat/>
  </w:style>
  <w:style w:type="paragraph" w:styleId="859" w:customStyle="1">
    <w:name w:val="目录 111"/>
    <w:basedOn w:val="709"/>
    <w:next w:val="709"/>
    <w:uiPriority w:val="39"/>
    <w:unhideWhenUsed/>
    <w:qFormat/>
    <w:pPr>
      <w:spacing w:after="57"/>
    </w:pPr>
  </w:style>
  <w:style w:type="paragraph" w:styleId="860" w:customStyle="1">
    <w:name w:val="目录 41"/>
    <w:basedOn w:val="709"/>
    <w:next w:val="709"/>
    <w:uiPriority w:val="39"/>
    <w:unhideWhenUsed/>
    <w:qFormat/>
    <w:pPr>
      <w:ind w:left="850"/>
      <w:spacing w:after="57"/>
    </w:pPr>
  </w:style>
  <w:style w:type="paragraph" w:styleId="861" w:customStyle="1">
    <w:name w:val="副标题1"/>
    <w:basedOn w:val="709"/>
    <w:next w:val="709"/>
    <w:link w:val="862"/>
    <w:uiPriority w:val="11"/>
    <w:qFormat/>
    <w:pPr>
      <w:spacing w:before="200" w:after="200"/>
    </w:pPr>
    <w:rPr>
      <w:sz w:val="24"/>
    </w:rPr>
  </w:style>
  <w:style w:type="character" w:styleId="862" w:customStyle="1">
    <w:name w:val="副标题 字符"/>
    <w:link w:val="861"/>
    <w:uiPriority w:val="11"/>
    <w:qFormat/>
    <w:rPr>
      <w:sz w:val="24"/>
      <w:szCs w:val="24"/>
    </w:rPr>
  </w:style>
  <w:style w:type="paragraph" w:styleId="863" w:customStyle="1">
    <w:name w:val="脚注文本1"/>
    <w:basedOn w:val="709"/>
    <w:link w:val="864"/>
    <w:uiPriority w:val="99"/>
    <w:unhideWhenUsed/>
    <w:qFormat/>
    <w:pPr>
      <w:spacing w:after="40"/>
    </w:pPr>
    <w:rPr>
      <w:sz w:val="18"/>
    </w:rPr>
  </w:style>
  <w:style w:type="character" w:styleId="864" w:customStyle="1">
    <w:name w:val="脚注文本 字符"/>
    <w:link w:val="863"/>
    <w:uiPriority w:val="99"/>
    <w:qFormat/>
    <w:rPr>
      <w:sz w:val="18"/>
    </w:rPr>
  </w:style>
  <w:style w:type="paragraph" w:styleId="865" w:customStyle="1">
    <w:name w:val="目录 61"/>
    <w:basedOn w:val="709"/>
    <w:next w:val="709"/>
    <w:uiPriority w:val="39"/>
    <w:unhideWhenUsed/>
    <w:qFormat/>
    <w:pPr>
      <w:ind w:left="1417"/>
      <w:spacing w:after="57"/>
    </w:pPr>
  </w:style>
  <w:style w:type="paragraph" w:styleId="866" w:customStyle="1">
    <w:name w:val="正文文本缩进 31"/>
    <w:basedOn w:val="709"/>
    <w:uiPriority w:val="0"/>
    <w:qFormat/>
    <w:pPr>
      <w:ind w:firstLine="480"/>
      <w:jc w:val="left"/>
      <w:spacing w:line="440" w:lineRule="atLeast"/>
    </w:pPr>
    <w:rPr>
      <w:sz w:val="24"/>
    </w:rPr>
  </w:style>
  <w:style w:type="paragraph" w:styleId="867" w:customStyle="1">
    <w:name w:val="图表目录1"/>
    <w:basedOn w:val="709"/>
    <w:next w:val="709"/>
    <w:uiPriority w:val="99"/>
    <w:unhideWhenUsed/>
    <w:qFormat/>
  </w:style>
  <w:style w:type="paragraph" w:styleId="868" w:customStyle="1">
    <w:name w:val="目录 21"/>
    <w:basedOn w:val="709"/>
    <w:next w:val="709"/>
    <w:uiPriority w:val="39"/>
    <w:unhideWhenUsed/>
    <w:qFormat/>
    <w:pPr>
      <w:ind w:left="283"/>
      <w:spacing w:after="57"/>
    </w:pPr>
  </w:style>
  <w:style w:type="paragraph" w:styleId="869" w:customStyle="1">
    <w:name w:val="目录 91"/>
    <w:basedOn w:val="709"/>
    <w:next w:val="709"/>
    <w:uiPriority w:val="39"/>
    <w:unhideWhenUsed/>
    <w:qFormat/>
    <w:pPr>
      <w:ind w:left="2268"/>
      <w:spacing w:after="57"/>
    </w:pPr>
  </w:style>
  <w:style w:type="paragraph" w:styleId="870" w:customStyle="1">
    <w:name w:val="普通(网站)1"/>
    <w:basedOn w:val="709"/>
    <w:uiPriority w:val="99"/>
    <w:qFormat/>
    <w:pPr>
      <w:jc w:val="left"/>
      <w:spacing w:beforeAutospacing="1" w:afterAutospacing="1"/>
    </w:pPr>
    <w:rPr>
      <w:sz w:val="24"/>
    </w:rPr>
  </w:style>
  <w:style w:type="paragraph" w:styleId="871" w:customStyle="1">
    <w:name w:val="标题1"/>
    <w:basedOn w:val="709"/>
    <w:next w:val="709"/>
    <w:link w:val="872"/>
    <w:uiPriority w:val="10"/>
    <w:qFormat/>
    <w:pPr>
      <w:contextualSpacing/>
      <w:spacing w:before="300" w:after="200"/>
    </w:pPr>
    <w:rPr>
      <w:sz w:val="48"/>
      <w:szCs w:val="48"/>
    </w:rPr>
  </w:style>
  <w:style w:type="character" w:styleId="872" w:customStyle="1">
    <w:name w:val="标题 字符"/>
    <w:link w:val="871"/>
    <w:uiPriority w:val="10"/>
    <w:qFormat/>
    <w:rPr>
      <w:sz w:val="48"/>
      <w:szCs w:val="48"/>
    </w:rPr>
  </w:style>
  <w:style w:type="paragraph" w:styleId="873" w:customStyle="1">
    <w:name w:val="正文首行缩进 2111"/>
    <w:basedOn w:val="843"/>
    <w:uiPriority w:val="0"/>
    <w:qFormat/>
    <w:pPr>
      <w:ind w:left="420" w:firstLine="420"/>
      <w:spacing w:before="100" w:beforeAutospacing="1" w:after="120" w:line="240" w:lineRule="auto"/>
    </w:pPr>
  </w:style>
  <w:style w:type="table" w:styleId="874" w:customStyle="1">
    <w:name w:val="网格型1"/>
    <w:basedOn w:val="828"/>
    <w:uiPriority w:val="39"/>
    <w:qFormat/>
    <w:tblPr/>
  </w:style>
  <w:style w:type="character" w:styleId="875" w:customStyle="1">
    <w:name w:val="要点1"/>
    <w:uiPriority w:val="0"/>
    <w:qFormat/>
    <w:rPr>
      <w:rFonts w:ascii="Calibri" w:hAnsi="Calibri" w:eastAsia="宋体" w:cs="Times New Roman"/>
      <w:b/>
    </w:rPr>
  </w:style>
  <w:style w:type="character" w:styleId="876" w:customStyle="1">
    <w:name w:val="尾注引用1"/>
    <w:uiPriority w:val="99"/>
    <w:unhideWhenUsed/>
    <w:qFormat/>
    <w:rPr>
      <w:vertAlign w:val="superscript"/>
    </w:rPr>
  </w:style>
  <w:style w:type="character" w:styleId="877" w:customStyle="1">
    <w:name w:val="页码11"/>
    <w:uiPriority w:val="0"/>
    <w:qFormat/>
  </w:style>
  <w:style w:type="character" w:styleId="878" w:customStyle="1">
    <w:name w:val="强调1"/>
    <w:uiPriority w:val="0"/>
    <w:qFormat/>
  </w:style>
  <w:style w:type="character" w:styleId="879" w:customStyle="1">
    <w:name w:val="超链接1"/>
    <w:uiPriority w:val="0"/>
    <w:qFormat/>
    <w:rPr>
      <w:color w:val="333333"/>
      <w:u w:val="none"/>
    </w:rPr>
  </w:style>
  <w:style w:type="character" w:styleId="880" w:customStyle="1">
    <w:name w:val="脚注引用1"/>
    <w:uiPriority w:val="99"/>
    <w:unhideWhenUsed/>
    <w:qFormat/>
    <w:rPr>
      <w:vertAlign w:val="superscript"/>
    </w:rPr>
  </w:style>
  <w:style w:type="character" w:styleId="881" w:customStyle="1">
    <w:name w:val="引用 字符"/>
    <w:link w:val="882"/>
    <w:uiPriority w:val="29"/>
    <w:qFormat/>
    <w:rPr>
      <w:i/>
    </w:rPr>
  </w:style>
  <w:style w:type="paragraph" w:styleId="882" w:customStyle="1">
    <w:name w:val="引用2"/>
    <w:basedOn w:val="709"/>
    <w:next w:val="709"/>
    <w:link w:val="881"/>
    <w:uiPriority w:val="29"/>
    <w:qFormat/>
    <w:pPr>
      <w:ind w:left="720" w:right="720"/>
    </w:pPr>
    <w:rPr>
      <w:i/>
    </w:rPr>
  </w:style>
  <w:style w:type="character" w:styleId="883" w:customStyle="1">
    <w:name w:val="明显引用 字符"/>
    <w:link w:val="884"/>
    <w:uiPriority w:val="30"/>
    <w:qFormat/>
    <w:rPr>
      <w:i/>
    </w:rPr>
  </w:style>
  <w:style w:type="paragraph" w:styleId="884" w:customStyle="1">
    <w:name w:val="明显引用2"/>
    <w:basedOn w:val="709"/>
    <w:next w:val="70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Footer Char"/>
    <w:uiPriority w:val="99"/>
    <w:qFormat/>
  </w:style>
  <w:style w:type="character" w:styleId="886" w:customStyle="1">
    <w:name w:val="已访问的超链接1"/>
    <w:uiPriority w:val="0"/>
    <w:qFormat/>
    <w:rPr>
      <w:color w:val="333333"/>
      <w:u w:val="none"/>
    </w:rPr>
  </w:style>
  <w:style w:type="character" w:styleId="887" w:customStyle="1">
    <w:name w:val="NormalCharacter1"/>
    <w:uiPriority w:val="99"/>
    <w:semiHidden/>
    <w:qFormat/>
  </w:style>
  <w:style w:type="character" w:styleId="888" w:customStyle="1">
    <w:name w:val="页码1"/>
    <w:uiPriority w:val="0"/>
    <w:qFormat/>
  </w:style>
  <w:style w:type="paragraph" w:styleId="889" w:customStyle="1">
    <w:name w:val="纯文本1"/>
    <w:basedOn w:val="709"/>
    <w:uiPriority w:val="0"/>
    <w:qFormat/>
    <w:rPr>
      <w:rFonts w:ascii="宋体" w:hAnsi="Courier New"/>
    </w:rPr>
  </w:style>
  <w:style w:type="paragraph" w:styleId="890" w:customStyle="1">
    <w:name w:val="TOC 标题11"/>
    <w:uiPriority w:val="39"/>
    <w:unhideWhenUsed/>
    <w:qFormat/>
    <w:rPr>
      <w:rFonts w:ascii="Times New Roman" w:hAnsi="Times New Roman" w:eastAsia="宋体" w:cs="Times New Roman"/>
      <w:lang w:val="en-US" w:eastAsia="zh-CN" w:bidi="ar-SA"/>
    </w:rPr>
  </w:style>
  <w:style w:type="paragraph" w:styleId="891" w:customStyle="1">
    <w:name w:val="正文文本缩进1"/>
    <w:basedOn w:val="709"/>
    <w:next w:val="727"/>
    <w:uiPriority w:val="0"/>
    <w:qFormat/>
    <w:pPr>
      <w:ind w:left="570"/>
      <w:spacing w:line="520" w:lineRule="exact"/>
    </w:pPr>
    <w:rPr>
      <w:rFonts w:ascii="方正仿宋简体" w:hAnsi="创艺简仿宋" w:eastAsia="方正仿宋简体"/>
      <w:sz w:val="24"/>
      <w:szCs w:val="20"/>
    </w:rPr>
  </w:style>
  <w:style w:type="paragraph" w:styleId="892" w:customStyle="1">
    <w:name w:val="寄信人地址1"/>
    <w:basedOn w:val="709"/>
    <w:uiPriority w:val="0"/>
    <w:qFormat/>
    <w:rPr>
      <w:rFonts w:ascii="Arial" w:hAnsi="Arial" w:eastAsia="楷体_GB2312"/>
      <w:sz w:val="26"/>
      <w:szCs w:val="20"/>
    </w:rPr>
  </w:style>
  <w:style w:type="paragraph" w:styleId="893" w:customStyle="1">
    <w:name w:val="列出段落11"/>
    <w:basedOn w:val="709"/>
    <w:uiPriority w:val="0"/>
    <w:qFormat/>
    <w:pPr>
      <w:ind w:firstLine="420"/>
    </w:pPr>
    <w:rPr>
      <w:rFonts w:ascii="等线" w:hAnsi="等线" w:eastAsia="等线"/>
      <w:sz w:val="24"/>
    </w:rPr>
  </w:style>
  <w:style w:type="paragraph" w:styleId="894" w:customStyle="1">
    <w:name w:val="正文首行缩进 21"/>
    <w:basedOn w:val="891"/>
    <w:next w:val="709"/>
    <w:uiPriority w:val="0"/>
    <w:qFormat/>
    <w:pPr>
      <w:ind w:firstLine="420"/>
    </w:pPr>
    <w:rPr>
      <w:rFonts w:eastAsia="楷体_GB2312"/>
      <w:sz w:val="28"/>
    </w:rPr>
  </w:style>
  <w:style w:type="paragraph" w:styleId="895" w:customStyle="1">
    <w:name w:val="目录 11"/>
    <w:basedOn w:val="709"/>
    <w:next w:val="709"/>
    <w:uiPriority w:val="0"/>
    <w:semiHidden/>
    <w:qFormat/>
    <w:pPr>
      <w:jc w:val="left"/>
    </w:pPr>
    <w:rPr>
      <w:rFonts w:eastAsia="楷体_GB2312"/>
      <w:sz w:val="24"/>
      <w:szCs w:val="20"/>
    </w:rPr>
  </w:style>
  <w:style w:type="paragraph" w:styleId="896" w:customStyle="1">
    <w:name w:val="表文字"/>
    <w:basedOn w:val="709"/>
    <w:next w:val="709"/>
    <w:uiPriority w:val="0"/>
    <w:qFormat/>
    <w:rPr>
      <w:rFonts w:ascii="宋体" w:hAnsi="宋体"/>
    </w:rPr>
  </w:style>
  <w:style w:type="paragraph" w:styleId="897" w:customStyle="1">
    <w:name w:val="列表段落"/>
    <w:basedOn w:val="709"/>
    <w:uiPriority w:val="34"/>
    <w:qFormat/>
    <w:pPr>
      <w:ind w:firstLine="420"/>
    </w:pPr>
  </w:style>
  <w:style w:type="paragraph" w:styleId="898" w:customStyle="1">
    <w:name w:val="Andy_正文"/>
    <w:basedOn w:val="709"/>
    <w:uiPriority w:val="0"/>
    <w:qFormat/>
    <w:pPr>
      <w:ind w:firstLine="480"/>
      <w:spacing w:line="360" w:lineRule="auto"/>
    </w:pPr>
    <w:rPr>
      <w:rFonts w:ascii="Calibri" w:hAnsi="Calibri"/>
      <w:sz w:val="24"/>
    </w:rPr>
  </w:style>
  <w:style w:type="paragraph" w:styleId="899" w:customStyle="1">
    <w:name w:val="修订1"/>
    <w:uiPriority w:val="99"/>
    <w:unhideWhenUsed/>
    <w:qFormat/>
    <w:rPr>
      <w:rFonts w:ascii="Times New Roman" w:hAnsi="Times New Roman" w:eastAsia="宋体" w:cs="Times New Roman"/>
      <w:sz w:val="21"/>
      <w:szCs w:val="24"/>
      <w:lang w:val="en-US" w:eastAsia="zh-CN" w:bidi="ar-SA"/>
    </w:rPr>
  </w:style>
  <w:style w:type="paragraph" w:styleId="900" w:customStyle="1">
    <w:name w:val="无间隔2"/>
    <w:uiPriority w:val="1"/>
    <w:qFormat/>
    <w:rPr>
      <w:rFonts w:ascii="Times New Roman" w:hAnsi="Times New Roman" w:eastAsia="宋体" w:cs="Times New Roman"/>
      <w:lang w:val="en-US" w:eastAsia="zh-CN" w:bidi="ar-SA"/>
    </w:rPr>
  </w:style>
  <w:style w:type="paragraph" w:styleId="901" w:customStyle="1">
    <w:name w:val="纯文本4"/>
    <w:basedOn w:val="709"/>
    <w:uiPriority w:val="0"/>
    <w:qFormat/>
    <w:rPr>
      <w:rFonts w:ascii="宋体" w:hAnsi="Courier New" w:eastAsia="楷体_GB2312"/>
      <w:sz w:val="26"/>
      <w:szCs w:val="20"/>
    </w:rPr>
  </w:style>
  <w:style w:type="paragraph" w:styleId="902" w:customStyle="1">
    <w:name w:val="样式 正文文本缩进 + 首行缩进:  2 字符 行距: 1.5 倍行距"/>
    <w:basedOn w:val="843"/>
    <w:uiPriority w:val="0"/>
    <w:qFormat/>
    <w:pPr>
      <w:ind w:firstLine="482"/>
      <w:spacing w:before="156"/>
    </w:pPr>
    <w:rPr>
      <w:rFonts w:cs="宋体"/>
      <w:b/>
    </w:rPr>
  </w:style>
  <w:style w:type="paragraph" w:styleId="903" w:customStyle="1">
    <w:name w:val="纯文本2"/>
    <w:basedOn w:val="709"/>
    <w:uiPriority w:val="0"/>
    <w:qFormat/>
    <w:rPr>
      <w:rFonts w:ascii="宋体" w:hAnsi="Courier New"/>
    </w:rPr>
  </w:style>
  <w:style w:type="paragraph" w:styleId="904" w:customStyle="1">
    <w:name w:val="Default"/>
    <w:uiPriority w:val="0"/>
    <w:qFormat/>
    <w:pPr>
      <w:widowControl w:val="off"/>
    </w:pPr>
    <w:rPr>
      <w:rFonts w:ascii="华文新魏" w:hAnsi="华文新魏" w:eastAsia="宋体" w:cs="Times New Roman"/>
      <w:color w:val="000000"/>
      <w:sz w:val="24"/>
      <w:lang w:val="en-US" w:eastAsia="zh-CN" w:bidi="ar-SA"/>
    </w:rPr>
  </w:style>
  <w:style w:type="table" w:styleId="905" w:customStyle="1">
    <w:name w:val="Bordered - Accent 4"/>
    <w:uiPriority w:val="99"/>
    <w:qFormat/>
    <w:tblPr>
      <w:tblCellMar>
        <w:left w:w="0" w:type="dxa"/>
        <w:top w:w="0" w:type="dxa"/>
        <w:right w:w="0" w:type="dxa"/>
        <w:bottom w:w="0" w:type="dxa"/>
      </w:tblCellMar>
    </w:tblPr>
  </w:style>
  <w:style w:type="table" w:styleId="906" w:customStyle="1">
    <w:name w:val="List Table 2 - Accent 6"/>
    <w:uiPriority w:val="99"/>
    <w:qFormat/>
    <w:tblPr>
      <w:tblCellMar>
        <w:left w:w="0" w:type="dxa"/>
        <w:top w:w="0" w:type="dxa"/>
        <w:right w:w="0" w:type="dxa"/>
        <w:bottom w:w="0" w:type="dxa"/>
      </w:tblCellMar>
    </w:tblPr>
  </w:style>
  <w:style w:type="table" w:styleId="907" w:customStyle="1">
    <w:name w:val="List Table 1 Light - Accent 2"/>
    <w:uiPriority w:val="99"/>
    <w:qFormat/>
    <w:tblPr>
      <w:tblCellMar>
        <w:left w:w="0" w:type="dxa"/>
        <w:top w:w="0" w:type="dxa"/>
        <w:right w:w="0" w:type="dxa"/>
        <w:bottom w:w="0" w:type="dxa"/>
      </w:tblCellMar>
    </w:tblPr>
  </w:style>
  <w:style w:type="table" w:styleId="908" w:customStyle="1">
    <w:name w:val="网格表 41"/>
    <w:uiPriority w:val="59"/>
    <w:qFormat/>
    <w:tblPr>
      <w:tblCellMar>
        <w:left w:w="0" w:type="dxa"/>
        <w:top w:w="0" w:type="dxa"/>
        <w:right w:w="0" w:type="dxa"/>
        <w:bottom w:w="0" w:type="dxa"/>
      </w:tblCellMar>
    </w:tblPr>
  </w:style>
  <w:style w:type="table" w:styleId="909" w:customStyle="1">
    <w:name w:val="Bordered - Accent 5"/>
    <w:uiPriority w:val="99"/>
    <w:qFormat/>
    <w:tblPr>
      <w:tblCellMar>
        <w:left w:w="0" w:type="dxa"/>
        <w:top w:w="0" w:type="dxa"/>
        <w:right w:w="0" w:type="dxa"/>
        <w:bottom w:w="0" w:type="dxa"/>
      </w:tblCellMar>
    </w:tblPr>
  </w:style>
  <w:style w:type="table" w:styleId="910" w:customStyle="1">
    <w:name w:val="List Table 4 - Accent 6"/>
    <w:uiPriority w:val="99"/>
    <w:qFormat/>
    <w:tblPr>
      <w:tblCellMar>
        <w:left w:w="0" w:type="dxa"/>
        <w:top w:w="0" w:type="dxa"/>
        <w:right w:w="0" w:type="dxa"/>
        <w:bottom w:w="0" w:type="dxa"/>
      </w:tblCellMar>
    </w:tblPr>
  </w:style>
  <w:style w:type="table" w:styleId="911" w:customStyle="1">
    <w:name w:val="Grid Table 4 - Accent 6"/>
    <w:uiPriority w:val="59"/>
    <w:qFormat/>
    <w:tblPr>
      <w:tblCellMar>
        <w:left w:w="0" w:type="dxa"/>
        <w:top w:w="0" w:type="dxa"/>
        <w:right w:w="0" w:type="dxa"/>
        <w:bottom w:w="0" w:type="dxa"/>
      </w:tblCellMar>
    </w:tblPr>
  </w:style>
  <w:style w:type="table" w:styleId="912" w:customStyle="1">
    <w:name w:val="Bordered &amp; Lined - Accent"/>
    <w:uiPriority w:val="99"/>
    <w:qFormat/>
    <w:rPr>
      <w:color w:val="404040"/>
    </w:rPr>
    <w:tblPr>
      <w:tblCellMar>
        <w:left w:w="0" w:type="dxa"/>
        <w:top w:w="0" w:type="dxa"/>
        <w:right w:w="0" w:type="dxa"/>
        <w:bottom w:w="0" w:type="dxa"/>
      </w:tblCellMar>
    </w:tblPr>
  </w:style>
  <w:style w:type="table" w:styleId="913" w:customStyle="1">
    <w:name w:val="List Table 5 Dark - Accent 3"/>
    <w:uiPriority w:val="99"/>
    <w:qFormat/>
    <w:tblPr>
      <w:tblCellMar>
        <w:left w:w="0" w:type="dxa"/>
        <w:top w:w="0" w:type="dxa"/>
        <w:right w:w="0" w:type="dxa"/>
        <w:bottom w:w="0" w:type="dxa"/>
      </w:tblCellMar>
    </w:tblPr>
  </w:style>
  <w:style w:type="table" w:styleId="914" w:customStyle="1">
    <w:name w:val="Grid Table 4 - Accent 5"/>
    <w:uiPriority w:val="59"/>
    <w:qFormat/>
    <w:tblPr>
      <w:tblCellMar>
        <w:left w:w="0" w:type="dxa"/>
        <w:top w:w="0" w:type="dxa"/>
        <w:right w:w="0" w:type="dxa"/>
        <w:bottom w:w="0" w:type="dxa"/>
      </w:tblCellMar>
    </w:tblPr>
  </w:style>
  <w:style w:type="table" w:styleId="915" w:customStyle="1">
    <w:name w:val="Lined - Accent 2"/>
    <w:uiPriority w:val="99"/>
    <w:qFormat/>
    <w:rPr>
      <w:color w:val="404040"/>
    </w:rPr>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Grid Table 5 Dark- Accent 4"/>
    <w:uiPriority w:val="99"/>
    <w:qFormat/>
    <w:tblPr>
      <w:tblCellMar>
        <w:left w:w="0" w:type="dxa"/>
        <w:top w:w="0" w:type="dxa"/>
        <w:right w:w="0" w:type="dxa"/>
        <w:bottom w:w="0" w:type="dxa"/>
      </w:tblCellMar>
    </w:tblPr>
  </w:style>
  <w:style w:type="table" w:styleId="918" w:customStyle="1">
    <w:name w:val="清单表 7 彩色1"/>
    <w:uiPriority w:val="99"/>
    <w:qFormat/>
    <w:tblPr>
      <w:tblCellMar>
        <w:left w:w="0" w:type="dxa"/>
        <w:top w:w="0" w:type="dxa"/>
        <w:right w:w="0" w:type="dxa"/>
        <w:bottom w:w="0" w:type="dxa"/>
      </w:tblCellMar>
    </w:tblPr>
  </w:style>
  <w:style w:type="table" w:styleId="919" w:customStyle="1">
    <w:name w:val="List Table 2 - Accent 5"/>
    <w:uiPriority w:val="99"/>
    <w:qFormat/>
    <w:tblPr>
      <w:tblCellMar>
        <w:left w:w="0" w:type="dxa"/>
        <w:top w:w="0" w:type="dxa"/>
        <w:right w:w="0" w:type="dxa"/>
        <w:bottom w:w="0" w:type="dxa"/>
      </w:tblCellMar>
    </w:tblPr>
  </w:style>
  <w:style w:type="table" w:styleId="920" w:customStyle="1">
    <w:name w:val="Grid Table 4 - Accent 4"/>
    <w:uiPriority w:val="5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List Table 6 Colorful - Accent 5"/>
    <w:uiPriority w:val="99"/>
    <w:qFormat/>
    <w:tblPr>
      <w:tblCellMar>
        <w:left w:w="0" w:type="dxa"/>
        <w:top w:w="0" w:type="dxa"/>
        <w:right w:w="0" w:type="dxa"/>
        <w:bottom w:w="0" w:type="dxa"/>
      </w:tblCellMar>
    </w:tblPr>
  </w:style>
  <w:style w:type="table" w:styleId="923" w:customStyle="1">
    <w:name w:val="List Table 2 - Accent 2"/>
    <w:uiPriority w:val="99"/>
    <w:qFormat/>
    <w:tblPr>
      <w:tblCellMar>
        <w:left w:w="0" w:type="dxa"/>
        <w:top w:w="0" w:type="dxa"/>
        <w:right w:w="0" w:type="dxa"/>
        <w:bottom w:w="0" w:type="dxa"/>
      </w:tblCellMar>
    </w:tblPr>
  </w:style>
  <w:style w:type="table" w:styleId="924" w:customStyle="1">
    <w:name w:val="Grid Table 5 Dark - Accent 5"/>
    <w:uiPriority w:val="99"/>
    <w:qFormat/>
    <w:tblPr>
      <w:tblCellMar>
        <w:left w:w="0" w:type="dxa"/>
        <w:top w:w="0" w:type="dxa"/>
        <w:right w:w="0" w:type="dxa"/>
        <w:bottom w:w="0" w:type="dxa"/>
      </w:tblCellMar>
    </w:tblPr>
  </w:style>
  <w:style w:type="table" w:styleId="925" w:customStyle="1">
    <w:name w:val="List Table 6 Colorful - Accent 2"/>
    <w:uiPriority w:val="99"/>
    <w:qFormat/>
    <w:tblPr>
      <w:tblCellMar>
        <w:left w:w="0" w:type="dxa"/>
        <w:top w:w="0" w:type="dxa"/>
        <w:right w:w="0" w:type="dxa"/>
        <w:bottom w:w="0" w:type="dxa"/>
      </w:tblCellMar>
    </w:tblPr>
  </w:style>
  <w:style w:type="table" w:styleId="926" w:customStyle="1">
    <w:name w:val="清单表 41"/>
    <w:uiPriority w:val="99"/>
    <w:qFormat/>
    <w:tblPr>
      <w:tblCellMar>
        <w:left w:w="0" w:type="dxa"/>
        <w:top w:w="0" w:type="dxa"/>
        <w:right w:w="0" w:type="dxa"/>
        <w:bottom w:w="0" w:type="dxa"/>
      </w:tblCellMar>
    </w:tblPr>
  </w:style>
  <w:style w:type="table" w:styleId="927" w:customStyle="1">
    <w:name w:val="Grid Table 5 Dark - Accent 2"/>
    <w:uiPriority w:val="99"/>
    <w:qFormat/>
    <w:tblPr>
      <w:tblCellMar>
        <w:left w:w="0" w:type="dxa"/>
        <w:top w:w="0" w:type="dxa"/>
        <w:right w:w="0" w:type="dxa"/>
        <w:bottom w:w="0" w:type="dxa"/>
      </w:tblCellMar>
    </w:tblPr>
  </w:style>
  <w:style w:type="table" w:styleId="928" w:customStyle="1">
    <w:name w:val="List Table 7 Colorful - Accent 3"/>
    <w:uiPriority w:val="99"/>
    <w:qFormat/>
    <w:tblPr>
      <w:tblCellMar>
        <w:left w:w="0" w:type="dxa"/>
        <w:top w:w="0" w:type="dxa"/>
        <w:right w:w="0" w:type="dxa"/>
        <w:bottom w:w="0" w:type="dxa"/>
      </w:tblCellMar>
    </w:tblPr>
  </w:style>
  <w:style w:type="table" w:styleId="929" w:customStyle="1">
    <w:name w:val="List Table 4 - Accent 2"/>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Bordered &amp; Lined - Accent 4"/>
    <w:uiPriority w:val="99"/>
    <w:qFormat/>
    <w:rPr>
      <w:color w:val="404040"/>
    </w:rPr>
    <w:tblPr>
      <w:tblCellMar>
        <w:left w:w="0" w:type="dxa"/>
        <w:top w:w="0" w:type="dxa"/>
        <w:right w:w="0" w:type="dxa"/>
        <w:bottom w:w="0" w:type="dxa"/>
      </w:tblCellMar>
    </w:tblPr>
  </w:style>
  <w:style w:type="table" w:styleId="932" w:customStyle="1">
    <w:name w:val="List Table 5 Dark - Accent 4"/>
    <w:uiPriority w:val="99"/>
    <w:qFormat/>
    <w:tblPr>
      <w:tblCellMar>
        <w:left w:w="0" w:type="dxa"/>
        <w:top w:w="0" w:type="dxa"/>
        <w:right w:w="0" w:type="dxa"/>
        <w:bottom w:w="0" w:type="dxa"/>
      </w:tblCellMar>
    </w:tblPr>
  </w:style>
  <w:style w:type="table" w:styleId="933" w:customStyle="1">
    <w:name w:val="Grid Table 6 Colorful - Accent 6"/>
    <w:uiPriority w:val="99"/>
    <w:qFormat/>
    <w:tblPr>
      <w:tblCellMar>
        <w:left w:w="0" w:type="dxa"/>
        <w:top w:w="0" w:type="dxa"/>
        <w:right w:w="0" w:type="dxa"/>
        <w:bottom w:w="0" w:type="dxa"/>
      </w:tblCellMar>
    </w:tblPr>
  </w:style>
  <w:style w:type="table" w:styleId="934" w:customStyle="1">
    <w:name w:val="Grid Table 3 - Accent 5"/>
    <w:uiPriority w:val="99"/>
    <w:qFormat/>
    <w:tblPr>
      <w:tblCellMar>
        <w:left w:w="0" w:type="dxa"/>
        <w:top w:w="0" w:type="dxa"/>
        <w:right w:w="0" w:type="dxa"/>
        <w:bottom w:w="0" w:type="dxa"/>
      </w:tblCellMar>
    </w:tblPr>
  </w:style>
  <w:style w:type="table" w:styleId="935" w:customStyle="1">
    <w:name w:val="List Table 6 Colorful - Accent 6"/>
    <w:uiPriority w:val="99"/>
    <w:qFormat/>
    <w:tblPr>
      <w:tblCellMar>
        <w:left w:w="0" w:type="dxa"/>
        <w:top w:w="0" w:type="dxa"/>
        <w:right w:w="0" w:type="dxa"/>
        <w:bottom w:w="0" w:type="dxa"/>
      </w:tblCellMar>
    </w:tblPr>
  </w:style>
  <w:style w:type="table" w:styleId="936" w:customStyle="1">
    <w:name w:val="List Table 4 - Accent 5"/>
    <w:uiPriority w:val="99"/>
    <w:qFormat/>
    <w:tblPr>
      <w:tblCellMar>
        <w:left w:w="0" w:type="dxa"/>
        <w:top w:w="0" w:type="dxa"/>
        <w:right w:w="0" w:type="dxa"/>
        <w:bottom w:w="0" w:type="dxa"/>
      </w:tblCellMar>
    </w:tblPr>
  </w:style>
  <w:style w:type="table" w:styleId="937" w:customStyle="1">
    <w:name w:val="Grid Table 7 Colorful - Accent 3"/>
    <w:uiPriority w:val="99"/>
    <w:qFormat/>
    <w:tblPr>
      <w:tblCellMar>
        <w:left w:w="0" w:type="dxa"/>
        <w:top w:w="0" w:type="dxa"/>
        <w:right w:w="0" w:type="dxa"/>
        <w:bottom w:w="0" w:type="dxa"/>
      </w:tblCellMar>
    </w:tblPr>
  </w:style>
  <w:style w:type="table" w:styleId="938" w:customStyle="1">
    <w:name w:val="Grid Table 3 - Accent 6"/>
    <w:uiPriority w:val="99"/>
    <w:qFormat/>
    <w:tblPr>
      <w:tblCellMar>
        <w:left w:w="0" w:type="dxa"/>
        <w:top w:w="0" w:type="dxa"/>
        <w:right w:w="0" w:type="dxa"/>
        <w:bottom w:w="0" w:type="dxa"/>
      </w:tblCellMar>
    </w:tblPr>
  </w:style>
  <w:style w:type="table" w:styleId="939" w:customStyle="1">
    <w:name w:val="Bordered - Accent 1"/>
    <w:uiPriority w:val="99"/>
    <w:qFormat/>
    <w:tblPr>
      <w:tblCellMar>
        <w:left w:w="0" w:type="dxa"/>
        <w:top w:w="0" w:type="dxa"/>
        <w:right w:w="0" w:type="dxa"/>
        <w:bottom w:w="0" w:type="dxa"/>
      </w:tblCellMar>
    </w:tblPr>
  </w:style>
  <w:style w:type="table" w:styleId="940" w:customStyle="1">
    <w:name w:val="List Table 4 - Accent 4"/>
    <w:uiPriority w:val="99"/>
    <w:qFormat/>
    <w:tblPr>
      <w:tblCellMar>
        <w:left w:w="0" w:type="dxa"/>
        <w:top w:w="0" w:type="dxa"/>
        <w:right w:w="0" w:type="dxa"/>
        <w:bottom w:w="0" w:type="dxa"/>
      </w:tblCellMar>
    </w:tblPr>
  </w:style>
  <w:style w:type="table" w:styleId="941" w:customStyle="1">
    <w:name w:val="网格表 7 彩色1"/>
    <w:uiPriority w:val="99"/>
    <w:qFormat/>
    <w:tblPr>
      <w:tblCellMar>
        <w:left w:w="0" w:type="dxa"/>
        <w:top w:w="0" w:type="dxa"/>
        <w:right w:w="0" w:type="dxa"/>
        <w:bottom w:w="0" w:type="dxa"/>
      </w:tblCellMar>
    </w:tblPr>
  </w:style>
  <w:style w:type="table" w:styleId="942" w:customStyle="1">
    <w:name w:val="List Table 7 Colorful - Accent 5"/>
    <w:uiPriority w:val="99"/>
    <w:qFormat/>
    <w:tblPr>
      <w:tblCellMar>
        <w:left w:w="0" w:type="dxa"/>
        <w:top w:w="0" w:type="dxa"/>
        <w:right w:w="0" w:type="dxa"/>
        <w:bottom w:w="0" w:type="dxa"/>
      </w:tblCellMar>
    </w:tblPr>
  </w:style>
  <w:style w:type="table" w:styleId="943" w:customStyle="1">
    <w:name w:val="List Table 5 Dark - Accent 2"/>
    <w:uiPriority w:val="99"/>
    <w:qFormat/>
    <w:tblPr>
      <w:tblCellMar>
        <w:left w:w="0" w:type="dxa"/>
        <w:top w:w="0" w:type="dxa"/>
        <w:right w:w="0" w:type="dxa"/>
        <w:bottom w:w="0" w:type="dxa"/>
      </w:tblCellMar>
    </w:tblPr>
  </w:style>
  <w:style w:type="table" w:styleId="944" w:customStyle="1">
    <w:name w:val="Grid Table 4 - Accent 2"/>
    <w:uiPriority w:val="59"/>
    <w:qFormat/>
    <w:tblPr>
      <w:tblCellMar>
        <w:left w:w="0" w:type="dxa"/>
        <w:top w:w="0" w:type="dxa"/>
        <w:right w:w="0" w:type="dxa"/>
        <w:bottom w:w="0" w:type="dxa"/>
      </w:tblCellMar>
    </w:tblPr>
  </w:style>
  <w:style w:type="table" w:styleId="945" w:customStyle="1">
    <w:name w:val="Grid Table 3 - Accent 3"/>
    <w:uiPriority w:val="99"/>
    <w:qFormat/>
    <w:tblPr>
      <w:tblCellMar>
        <w:left w:w="0" w:type="dxa"/>
        <w:top w:w="0" w:type="dxa"/>
        <w:right w:w="0" w:type="dxa"/>
        <w:bottom w:w="0" w:type="dxa"/>
      </w:tblCellMar>
    </w:tblPr>
  </w:style>
  <w:style w:type="table" w:styleId="946" w:customStyle="1">
    <w:name w:val="List Table 6 Colorful - Accent 3"/>
    <w:uiPriority w:val="99"/>
    <w:qFormat/>
    <w:tblPr>
      <w:tblCellMar>
        <w:left w:w="0" w:type="dxa"/>
        <w:top w:w="0" w:type="dxa"/>
        <w:right w:w="0" w:type="dxa"/>
        <w:bottom w:w="0" w:type="dxa"/>
      </w:tblCellMar>
    </w:tblPr>
  </w:style>
  <w:style w:type="table" w:styleId="947" w:customStyle="1">
    <w:name w:val="List Table 1 Light - Accent 5"/>
    <w:uiPriority w:val="99"/>
    <w:qFormat/>
    <w:tblPr>
      <w:tblCellMar>
        <w:left w:w="0" w:type="dxa"/>
        <w:top w:w="0" w:type="dxa"/>
        <w:right w:w="0" w:type="dxa"/>
        <w:bottom w:w="0" w:type="dxa"/>
      </w:tblCellMar>
    </w:tblPr>
  </w:style>
  <w:style w:type="table" w:styleId="948" w:customStyle="1">
    <w:name w:val="Grid Table 7 Colorful - Accent 4"/>
    <w:uiPriority w:val="99"/>
    <w:qFormat/>
    <w:tblPr>
      <w:tblCellMar>
        <w:left w:w="0" w:type="dxa"/>
        <w:top w:w="0" w:type="dxa"/>
        <w:right w:w="0" w:type="dxa"/>
        <w:bottom w:w="0" w:type="dxa"/>
      </w:tblCellMar>
    </w:tblPr>
  </w:style>
  <w:style w:type="table" w:styleId="949" w:customStyle="1">
    <w:name w:val="Lined - Accent"/>
    <w:uiPriority w:val="99"/>
    <w:qFormat/>
    <w:rPr>
      <w:color w:val="404040"/>
    </w:rPr>
    <w:tblPr>
      <w:tblCellMar>
        <w:left w:w="0" w:type="dxa"/>
        <w:top w:w="0" w:type="dxa"/>
        <w:right w:w="0" w:type="dxa"/>
        <w:bottom w:w="0" w:type="dxa"/>
      </w:tblCellMar>
    </w:tblPr>
  </w:style>
  <w:style w:type="table" w:styleId="950" w:customStyle="1">
    <w:name w:val="List Table 2 - Accent 3"/>
    <w:uiPriority w:val="99"/>
    <w:qFormat/>
    <w:tblPr>
      <w:tblCellMar>
        <w:left w:w="0" w:type="dxa"/>
        <w:top w:w="0" w:type="dxa"/>
        <w:right w:w="0" w:type="dxa"/>
        <w:bottom w:w="0" w:type="dxa"/>
      </w:tblCellMar>
    </w:tblPr>
  </w:style>
  <w:style w:type="table" w:styleId="951" w:customStyle="1">
    <w:name w:val="Grid Table 4 - Accent 1"/>
    <w:uiPriority w:val="59"/>
    <w:qFormat/>
    <w:tblPr>
      <w:tblCellMar>
        <w:left w:w="0" w:type="dxa"/>
        <w:top w:w="0" w:type="dxa"/>
        <w:right w:w="0" w:type="dxa"/>
        <w:bottom w:w="0" w:type="dxa"/>
      </w:tblCellMar>
    </w:tblPr>
  </w:style>
  <w:style w:type="table" w:styleId="952" w:customStyle="1">
    <w:name w:val="Bordered - Accent 2"/>
    <w:uiPriority w:val="99"/>
    <w:qFormat/>
    <w:tblPr>
      <w:tblCellMar>
        <w:left w:w="0" w:type="dxa"/>
        <w:top w:w="0" w:type="dxa"/>
        <w:right w:w="0" w:type="dxa"/>
        <w:bottom w:w="0" w:type="dxa"/>
      </w:tblCellMar>
    </w:tblPr>
  </w:style>
  <w:style w:type="table" w:styleId="953" w:customStyle="1">
    <w:name w:val="清单表 6 彩色1"/>
    <w:uiPriority w:val="99"/>
    <w:qFormat/>
    <w:tblPr>
      <w:tblCellMar>
        <w:left w:w="0" w:type="dxa"/>
        <w:top w:w="0" w:type="dxa"/>
        <w:right w:w="0" w:type="dxa"/>
        <w:bottom w:w="0" w:type="dxa"/>
      </w:tblCellMar>
    </w:tblPr>
  </w:style>
  <w:style w:type="table" w:styleId="954" w:customStyle="1">
    <w:name w:val="Grid Table 7 Colorful - Accent 6"/>
    <w:uiPriority w:val="99"/>
    <w:qFormat/>
    <w:tblPr>
      <w:tblCellMar>
        <w:left w:w="0" w:type="dxa"/>
        <w:top w:w="0" w:type="dxa"/>
        <w:right w:w="0" w:type="dxa"/>
        <w:bottom w:w="0" w:type="dxa"/>
      </w:tblCellMar>
    </w:tblPr>
  </w:style>
  <w:style w:type="table" w:styleId="955" w:customStyle="1">
    <w:name w:val="Bordered &amp; Lined - Accent 6"/>
    <w:uiPriority w:val="99"/>
    <w:qFormat/>
    <w:rPr>
      <w:color w:val="404040"/>
    </w:rPr>
    <w:tblPr>
      <w:tblCellMar>
        <w:left w:w="0" w:type="dxa"/>
        <w:top w:w="0" w:type="dxa"/>
        <w:right w:w="0" w:type="dxa"/>
        <w:bottom w:w="0" w:type="dxa"/>
      </w:tblCellMar>
    </w:tblPr>
  </w:style>
  <w:style w:type="table" w:styleId="956" w:customStyle="1">
    <w:name w:val="清单表 21"/>
    <w:uiPriority w:val="99"/>
    <w:qFormat/>
    <w:tblPr>
      <w:tblCellMar>
        <w:left w:w="0" w:type="dxa"/>
        <w:top w:w="0" w:type="dxa"/>
        <w:right w:w="0" w:type="dxa"/>
        <w:bottom w:w="0" w:type="dxa"/>
      </w:tblCellMar>
    </w:tblPr>
  </w:style>
  <w:style w:type="table" w:styleId="957" w:customStyle="1">
    <w:name w:val="Grid Table 5 Dark - Accent 3"/>
    <w:uiPriority w:val="99"/>
    <w:qFormat/>
    <w:tblPr>
      <w:tblCellMar>
        <w:left w:w="0" w:type="dxa"/>
        <w:top w:w="0" w:type="dxa"/>
        <w:right w:w="0" w:type="dxa"/>
        <w:bottom w:w="0" w:type="dxa"/>
      </w:tblCellMar>
    </w:tblPr>
  </w:style>
  <w:style w:type="table" w:styleId="958" w:customStyle="1">
    <w:name w:val="Lined - Accent 1"/>
    <w:uiPriority w:val="99"/>
    <w:qFormat/>
    <w:rPr>
      <w:color w:val="404040"/>
    </w:rPr>
    <w:tblPr>
      <w:tblCellMar>
        <w:left w:w="0" w:type="dxa"/>
        <w:top w:w="0" w:type="dxa"/>
        <w:right w:w="0" w:type="dxa"/>
        <w:bottom w:w="0" w:type="dxa"/>
      </w:tblCellMar>
    </w:tblPr>
  </w:style>
  <w:style w:type="table" w:styleId="959" w:customStyle="1">
    <w:name w:val="List Table 4 - Accent 3"/>
    <w:uiPriority w:val="99"/>
    <w:qFormat/>
    <w:tblPr>
      <w:tblCellMar>
        <w:left w:w="0" w:type="dxa"/>
        <w:top w:w="0" w:type="dxa"/>
        <w:right w:w="0" w:type="dxa"/>
        <w:bottom w:w="0" w:type="dxa"/>
      </w:tblCellMar>
    </w:tblPr>
  </w:style>
  <w:style w:type="table" w:styleId="960" w:customStyle="1">
    <w:name w:val="List Table 1 Light - Accent 3"/>
    <w:uiPriority w:val="99"/>
    <w:qFormat/>
    <w:tblPr>
      <w:tblCellMar>
        <w:left w:w="0" w:type="dxa"/>
        <w:top w:w="0" w:type="dxa"/>
        <w:right w:w="0" w:type="dxa"/>
        <w:bottom w:w="0" w:type="dxa"/>
      </w:tblCellMar>
    </w:tblPr>
  </w:style>
  <w:style w:type="table" w:styleId="961" w:customStyle="1">
    <w:name w:val="Bordered - Accent 3"/>
    <w:uiPriority w:val="99"/>
    <w:qFormat/>
    <w:tblPr>
      <w:tblCellMar>
        <w:left w:w="0" w:type="dxa"/>
        <w:top w:w="0" w:type="dxa"/>
        <w:right w:w="0" w:type="dxa"/>
        <w:bottom w:w="0" w:type="dxa"/>
      </w:tblCellMar>
    </w:tblPr>
  </w:style>
  <w:style w:type="table" w:styleId="962" w:customStyle="1">
    <w:name w:val="List Table 3 - Accent 1"/>
    <w:uiPriority w:val="99"/>
    <w:qFormat/>
    <w:tblPr>
      <w:tblCellMar>
        <w:left w:w="0" w:type="dxa"/>
        <w:top w:w="0" w:type="dxa"/>
        <w:right w:w="0" w:type="dxa"/>
        <w:bottom w:w="0" w:type="dxa"/>
      </w:tblCellMar>
    </w:tblPr>
  </w:style>
  <w:style w:type="table" w:styleId="963" w:customStyle="1">
    <w:name w:val="Grid Table 5 Dark - Accent 6"/>
    <w:uiPriority w:val="99"/>
    <w:qFormat/>
    <w:tblPr>
      <w:tblCellMar>
        <w:left w:w="0" w:type="dxa"/>
        <w:top w:w="0" w:type="dxa"/>
        <w:right w:w="0" w:type="dxa"/>
        <w:bottom w:w="0" w:type="dxa"/>
      </w:tblCellMar>
    </w:tblPr>
  </w:style>
  <w:style w:type="table" w:styleId="964" w:customStyle="1">
    <w:name w:val="Bordered - Accent 6"/>
    <w:uiPriority w:val="99"/>
    <w:qFormat/>
    <w:tblPr>
      <w:tblCellMar>
        <w:left w:w="0" w:type="dxa"/>
        <w:top w:w="0" w:type="dxa"/>
        <w:right w:w="0" w:type="dxa"/>
        <w:bottom w:w="0" w:type="dxa"/>
      </w:tblCellMar>
    </w:tblPr>
  </w:style>
  <w:style w:type="table" w:styleId="965" w:customStyle="1">
    <w:name w:val="Lined - Accent 4"/>
    <w:uiPriority w:val="99"/>
    <w:qFormat/>
    <w:rPr>
      <w:color w:val="404040"/>
    </w:rPr>
    <w:tblPr>
      <w:tblCellMar>
        <w:left w:w="0" w:type="dxa"/>
        <w:top w:w="0" w:type="dxa"/>
        <w:right w:w="0" w:type="dxa"/>
        <w:bottom w:w="0" w:type="dxa"/>
      </w:tblCellMar>
    </w:tblPr>
  </w:style>
  <w:style w:type="table" w:styleId="966" w:customStyle="1">
    <w:name w:val="List Table 4 - Accent 1"/>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3 - Accent 6"/>
    <w:uiPriority w:val="99"/>
    <w:qFormat/>
    <w:tblPr>
      <w:tblCellMar>
        <w:left w:w="0" w:type="dxa"/>
        <w:top w:w="0" w:type="dxa"/>
        <w:right w:w="0" w:type="dxa"/>
        <w:bottom w:w="0" w:type="dxa"/>
      </w:tblCellMar>
    </w:tblPr>
  </w:style>
  <w:style w:type="table" w:styleId="970" w:customStyle="1">
    <w:name w:val="Grid Table 5 Dark- Accent 1"/>
    <w:uiPriority w:val="99"/>
    <w:qFormat/>
    <w:tblPr>
      <w:tblCellMar>
        <w:left w:w="0" w:type="dxa"/>
        <w:top w:w="0" w:type="dxa"/>
        <w:right w:w="0" w:type="dxa"/>
        <w:bottom w:w="0" w:type="dxa"/>
      </w:tblCellMar>
    </w:tblPr>
  </w:style>
  <w:style w:type="table" w:styleId="971" w:customStyle="1">
    <w:name w:val="网格表 31"/>
    <w:uiPriority w:val="99"/>
    <w:qFormat/>
    <w:tblPr>
      <w:tblCellMar>
        <w:left w:w="0" w:type="dxa"/>
        <w:top w:w="0" w:type="dxa"/>
        <w:right w:w="0" w:type="dxa"/>
        <w:bottom w:w="0" w:type="dxa"/>
      </w:tblCellMar>
    </w:tblPr>
  </w:style>
  <w:style w:type="table" w:styleId="972" w:customStyle="1">
    <w:name w:val="Grid Table 2 - Accent 1"/>
    <w:uiPriority w:val="99"/>
    <w:qFormat/>
    <w:tblPr>
      <w:tblCellMar>
        <w:left w:w="0" w:type="dxa"/>
        <w:top w:w="0" w:type="dxa"/>
        <w:right w:w="0" w:type="dxa"/>
        <w:bottom w:w="0" w:type="dxa"/>
      </w:tblCellMar>
    </w:tblPr>
  </w:style>
  <w:style w:type="table" w:styleId="973" w:customStyle="1">
    <w:name w:val="Table Grid Light"/>
    <w:uiPriority w:val="59"/>
    <w:qFormat/>
    <w:tblPr>
      <w:tblCellMar>
        <w:left w:w="0" w:type="dxa"/>
        <w:top w:w="0" w:type="dxa"/>
        <w:right w:w="0" w:type="dxa"/>
        <w:bottom w:w="0" w:type="dxa"/>
      </w:tblCellMar>
    </w:tblPr>
  </w:style>
  <w:style w:type="table" w:styleId="974" w:customStyle="1">
    <w:name w:val="无格式表格 11"/>
    <w:uiPriority w:val="59"/>
    <w:qFormat/>
    <w:tblPr>
      <w:tblCellMar>
        <w:left w:w="0" w:type="dxa"/>
        <w:top w:w="0" w:type="dxa"/>
        <w:right w:w="0" w:type="dxa"/>
        <w:bottom w:w="0" w:type="dxa"/>
      </w:tblCellMar>
    </w:tblPr>
  </w:style>
  <w:style w:type="table" w:styleId="975" w:customStyle="1">
    <w:name w:val="无格式表格 21"/>
    <w:uiPriority w:val="59"/>
    <w:qFormat/>
    <w:tblPr>
      <w:tblCellMar>
        <w:left w:w="0" w:type="dxa"/>
        <w:top w:w="0" w:type="dxa"/>
        <w:right w:w="0" w:type="dxa"/>
        <w:bottom w:w="0" w:type="dxa"/>
      </w:tblCellMar>
    </w:tblPr>
  </w:style>
  <w:style w:type="table" w:styleId="976" w:customStyle="1">
    <w:name w:val="Grid Table 1 Light - Accent 5"/>
    <w:uiPriority w:val="99"/>
    <w:qFormat/>
    <w:tblPr>
      <w:tblCellMar>
        <w:left w:w="0" w:type="dxa"/>
        <w:top w:w="0" w:type="dxa"/>
        <w:right w:w="0" w:type="dxa"/>
        <w:bottom w:w="0" w:type="dxa"/>
      </w:tblCellMar>
    </w:tblPr>
  </w:style>
  <w:style w:type="table" w:styleId="977" w:customStyle="1">
    <w:name w:val="无格式表格 31"/>
    <w:uiPriority w:val="99"/>
    <w:qFormat/>
    <w:tblPr>
      <w:tblCellMar>
        <w:left w:w="0" w:type="dxa"/>
        <w:top w:w="0" w:type="dxa"/>
        <w:right w:w="0" w:type="dxa"/>
        <w:bottom w:w="0" w:type="dxa"/>
      </w:tblCellMar>
    </w:tblPr>
  </w:style>
  <w:style w:type="table" w:styleId="978" w:customStyle="1">
    <w:name w:val="网格表 21"/>
    <w:uiPriority w:val="99"/>
    <w:qFormat/>
    <w:tblPr>
      <w:tblCellMar>
        <w:left w:w="0" w:type="dxa"/>
        <w:top w:w="0" w:type="dxa"/>
        <w:right w:w="0" w:type="dxa"/>
        <w:bottom w:w="0" w:type="dxa"/>
      </w:tblCellMar>
    </w:tblPr>
  </w:style>
  <w:style w:type="table" w:styleId="979" w:customStyle="1">
    <w:name w:val="无格式表格 41"/>
    <w:uiPriority w:val="99"/>
    <w:qFormat/>
    <w:tblPr>
      <w:tblCellMar>
        <w:left w:w="0" w:type="dxa"/>
        <w:top w:w="0" w:type="dxa"/>
        <w:right w:w="0" w:type="dxa"/>
        <w:bottom w:w="0" w:type="dxa"/>
      </w:tblCellMar>
    </w:tblPr>
  </w:style>
  <w:style w:type="table" w:styleId="980" w:customStyle="1">
    <w:name w:val="Grid Table 2 - Accent 2"/>
    <w:uiPriority w:val="99"/>
    <w:qFormat/>
    <w:tblPr>
      <w:tblCellMar>
        <w:left w:w="0" w:type="dxa"/>
        <w:top w:w="0" w:type="dxa"/>
        <w:right w:w="0" w:type="dxa"/>
        <w:bottom w:w="0" w:type="dxa"/>
      </w:tblCellMar>
    </w:tblPr>
  </w:style>
  <w:style w:type="table" w:styleId="981" w:customStyle="1">
    <w:name w:val="无格式表格 51"/>
    <w:uiPriority w:val="99"/>
    <w:qFormat/>
    <w:tblPr>
      <w:tblCellMar>
        <w:left w:w="0" w:type="dxa"/>
        <w:top w:w="0" w:type="dxa"/>
        <w:right w:w="0" w:type="dxa"/>
        <w:bottom w:w="0" w:type="dxa"/>
      </w:tblCellMar>
    </w:tblPr>
  </w:style>
  <w:style w:type="table" w:styleId="982" w:customStyle="1">
    <w:name w:val="网格表 1 浅色1"/>
    <w:uiPriority w:val="99"/>
    <w:qFormat/>
    <w:tblPr>
      <w:tblCellMar>
        <w:left w:w="0" w:type="dxa"/>
        <w:top w:w="0" w:type="dxa"/>
        <w:right w:w="0" w:type="dxa"/>
        <w:bottom w:w="0" w:type="dxa"/>
      </w:tblCellMar>
    </w:tblPr>
  </w:style>
  <w:style w:type="table" w:styleId="983" w:customStyle="1">
    <w:name w:val="Grid Table 1 Light - Accent 1"/>
    <w:uiPriority w:val="99"/>
    <w:qFormat/>
    <w:tblPr>
      <w:tblCellMar>
        <w:left w:w="0" w:type="dxa"/>
        <w:top w:w="0" w:type="dxa"/>
        <w:right w:w="0" w:type="dxa"/>
        <w:bottom w:w="0" w:type="dxa"/>
      </w:tblCellMar>
    </w:tblPr>
  </w:style>
  <w:style w:type="table" w:styleId="984" w:customStyle="1">
    <w:name w:val="Grid Table 1 Light - Accent 2"/>
    <w:uiPriority w:val="99"/>
    <w:qFormat/>
    <w:tblPr>
      <w:tblCellMar>
        <w:left w:w="0" w:type="dxa"/>
        <w:top w:w="0" w:type="dxa"/>
        <w:right w:w="0" w:type="dxa"/>
        <w:bottom w:w="0" w:type="dxa"/>
      </w:tblCellMar>
    </w:tblPr>
  </w:style>
  <w:style w:type="table" w:styleId="985" w:customStyle="1">
    <w:name w:val="Grid Table 1 Light - Accent 3"/>
    <w:uiPriority w:val="99"/>
    <w:qFormat/>
    <w:tblPr>
      <w:tblCellMar>
        <w:left w:w="0" w:type="dxa"/>
        <w:top w:w="0" w:type="dxa"/>
        <w:right w:w="0" w:type="dxa"/>
        <w:bottom w:w="0" w:type="dxa"/>
      </w:tblCellMar>
    </w:tblPr>
  </w:style>
  <w:style w:type="table" w:styleId="986" w:customStyle="1">
    <w:name w:val="Grid Table 1 Light - Accent 4"/>
    <w:uiPriority w:val="99"/>
    <w:qFormat/>
    <w:tblPr>
      <w:tblCellMar>
        <w:left w:w="0" w:type="dxa"/>
        <w:top w:w="0" w:type="dxa"/>
        <w:right w:w="0" w:type="dxa"/>
        <w:bottom w:w="0" w:type="dxa"/>
      </w:tblCellMar>
    </w:tblPr>
  </w:style>
  <w:style w:type="table" w:styleId="987" w:customStyle="1">
    <w:name w:val="Grid Table 1 Light - Accent 6"/>
    <w:uiPriority w:val="99"/>
    <w:qFormat/>
    <w:tblPr>
      <w:tblCellMar>
        <w:left w:w="0" w:type="dxa"/>
        <w:top w:w="0" w:type="dxa"/>
        <w:right w:w="0" w:type="dxa"/>
        <w:bottom w:w="0" w:type="dxa"/>
      </w:tblCellMar>
    </w:tblPr>
  </w:style>
  <w:style w:type="table" w:styleId="988" w:customStyle="1">
    <w:name w:val="Grid Table 2 - Accent 3"/>
    <w:uiPriority w:val="99"/>
    <w:qFormat/>
    <w:tblPr>
      <w:tblCellMar>
        <w:left w:w="0" w:type="dxa"/>
        <w:top w:w="0" w:type="dxa"/>
        <w:right w:w="0" w:type="dxa"/>
        <w:bottom w:w="0" w:type="dxa"/>
      </w:tblCellMar>
    </w:tblPr>
  </w:style>
  <w:style w:type="table" w:styleId="989" w:customStyle="1">
    <w:name w:val="Grid Table 2 - Accent 4"/>
    <w:uiPriority w:val="99"/>
    <w:qFormat/>
    <w:tblPr>
      <w:tblCellMar>
        <w:left w:w="0" w:type="dxa"/>
        <w:top w:w="0" w:type="dxa"/>
        <w:right w:w="0" w:type="dxa"/>
        <w:bottom w:w="0" w:type="dxa"/>
      </w:tblCellMar>
    </w:tblPr>
  </w:style>
  <w:style w:type="table" w:styleId="990" w:customStyle="1">
    <w:name w:val="Grid Table 2 - Accent 5"/>
    <w:uiPriority w:val="99"/>
    <w:qFormat/>
    <w:tblPr>
      <w:tblCellMar>
        <w:left w:w="0" w:type="dxa"/>
        <w:top w:w="0" w:type="dxa"/>
        <w:right w:w="0" w:type="dxa"/>
        <w:bottom w:w="0" w:type="dxa"/>
      </w:tblCellMar>
    </w:tblPr>
  </w:style>
  <w:style w:type="table" w:styleId="991" w:customStyle="1">
    <w:name w:val="Grid Table 2 - Accent 6"/>
    <w:uiPriority w:val="99"/>
    <w:qFormat/>
    <w:tblPr>
      <w:tblCellMar>
        <w:left w:w="0" w:type="dxa"/>
        <w:top w:w="0" w:type="dxa"/>
        <w:right w:w="0" w:type="dxa"/>
        <w:bottom w:w="0" w:type="dxa"/>
      </w:tblCellMar>
    </w:tblPr>
  </w:style>
  <w:style w:type="table" w:styleId="992" w:customStyle="1">
    <w:name w:val="Grid Table 3 - Accent 1"/>
    <w:uiPriority w:val="99"/>
    <w:qFormat/>
    <w:tblPr>
      <w:tblCellMar>
        <w:left w:w="0" w:type="dxa"/>
        <w:top w:w="0" w:type="dxa"/>
        <w:right w:w="0" w:type="dxa"/>
        <w:bottom w:w="0" w:type="dxa"/>
      </w:tblCellMar>
    </w:tblPr>
  </w:style>
  <w:style w:type="table" w:styleId="993" w:customStyle="1">
    <w:name w:val="Lined - Accent 3"/>
    <w:uiPriority w:val="99"/>
    <w:qFormat/>
    <w:rPr>
      <w:color w:val="404040"/>
    </w:rPr>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Grid Table 7 Colorful - Accent 2"/>
    <w:uiPriority w:val="99"/>
    <w:qFormat/>
    <w:tblPr>
      <w:tblCellMar>
        <w:left w:w="0" w:type="dxa"/>
        <w:top w:w="0" w:type="dxa"/>
        <w:right w:w="0" w:type="dxa"/>
        <w:bottom w:w="0" w:type="dxa"/>
      </w:tblCellMar>
    </w:tblPr>
  </w:style>
  <w:style w:type="table" w:styleId="996" w:customStyle="1">
    <w:name w:val="Grid Table 3 - Accent 4"/>
    <w:uiPriority w:val="99"/>
    <w:qFormat/>
    <w:tblPr>
      <w:tblCellMar>
        <w:left w:w="0" w:type="dxa"/>
        <w:top w:w="0" w:type="dxa"/>
        <w:right w:w="0" w:type="dxa"/>
        <w:bottom w:w="0" w:type="dxa"/>
      </w:tblCellMar>
    </w:tblPr>
  </w:style>
  <w:style w:type="table" w:styleId="997" w:customStyle="1">
    <w:name w:val="Bordered"/>
    <w:uiPriority w:val="99"/>
    <w:qFormat/>
    <w:tblPr>
      <w:tblCellMar>
        <w:left w:w="0" w:type="dxa"/>
        <w:top w:w="0" w:type="dxa"/>
        <w:right w:w="0" w:type="dxa"/>
        <w:bottom w:w="0" w:type="dxa"/>
      </w:tblCellMar>
    </w:tblPr>
  </w:style>
  <w:style w:type="table" w:styleId="998" w:customStyle="1">
    <w:name w:val="List Table 5 Dark - Accent 1"/>
    <w:uiPriority w:val="99"/>
    <w:qFormat/>
    <w:tblPr>
      <w:tblCellMar>
        <w:left w:w="0" w:type="dxa"/>
        <w:top w:w="0" w:type="dxa"/>
        <w:right w:w="0" w:type="dxa"/>
        <w:bottom w:w="0" w:type="dxa"/>
      </w:tblCellMar>
    </w:tblPr>
  </w:style>
  <w:style w:type="table" w:styleId="999" w:customStyle="1">
    <w:name w:val="Grid Table 4 - Accent 3"/>
    <w:uiPriority w:val="5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清单表 5 深色1"/>
    <w:uiPriority w:val="99"/>
    <w:qFormat/>
    <w:tblPr>
      <w:tblCellMar>
        <w:left w:w="0" w:type="dxa"/>
        <w:top w:w="0" w:type="dxa"/>
        <w:right w:w="0" w:type="dxa"/>
        <w:bottom w:w="0" w:type="dxa"/>
      </w:tblCellMar>
    </w:tblPr>
  </w:style>
  <w:style w:type="table" w:styleId="1002" w:customStyle="1">
    <w:name w:val="网格表 5 深色1"/>
    <w:uiPriority w:val="99"/>
    <w:qFormat/>
    <w:tblPr>
      <w:tblCellMar>
        <w:left w:w="0" w:type="dxa"/>
        <w:top w:w="0" w:type="dxa"/>
        <w:right w:w="0" w:type="dxa"/>
        <w:bottom w:w="0" w:type="dxa"/>
      </w:tblCellMar>
    </w:tblPr>
  </w:style>
  <w:style w:type="table" w:styleId="1003" w:customStyle="1">
    <w:name w:val="Bordered &amp; Lined - Accent 2"/>
    <w:uiPriority w:val="99"/>
    <w:qFormat/>
    <w:rPr>
      <w:color w:val="404040"/>
    </w:rPr>
    <w:tblPr>
      <w:tblCellMar>
        <w:left w:w="0" w:type="dxa"/>
        <w:top w:w="0" w:type="dxa"/>
        <w:right w:w="0" w:type="dxa"/>
        <w:bottom w:w="0" w:type="dxa"/>
      </w:tblCellMar>
    </w:tblPr>
  </w:style>
  <w:style w:type="table" w:styleId="1004" w:customStyle="1">
    <w:name w:val="List Table 5 Dark - Accent 5"/>
    <w:uiPriority w:val="99"/>
    <w:qFormat/>
    <w:tblPr>
      <w:tblCellMar>
        <w:left w:w="0" w:type="dxa"/>
        <w:top w:w="0" w:type="dxa"/>
        <w:right w:w="0" w:type="dxa"/>
        <w:bottom w:w="0" w:type="dxa"/>
      </w:tblCellMar>
    </w:tblPr>
  </w:style>
  <w:style w:type="table" w:styleId="1005" w:customStyle="1">
    <w:name w:val="网格表 6 彩色1"/>
    <w:uiPriority w:val="99"/>
    <w:qFormat/>
    <w:tblPr>
      <w:tblCellMar>
        <w:left w:w="0" w:type="dxa"/>
        <w:top w:w="0" w:type="dxa"/>
        <w:right w:w="0" w:type="dxa"/>
        <w:bottom w:w="0" w:type="dxa"/>
      </w:tblCellMar>
    </w:tblPr>
  </w:style>
  <w:style w:type="table" w:styleId="1006" w:customStyle="1">
    <w:name w:val="Bordered &amp; Lined - Accent 3"/>
    <w:uiPriority w:val="99"/>
    <w:qFormat/>
    <w:rPr>
      <w:color w:val="404040"/>
    </w:rPr>
    <w:tblPr>
      <w:tblCellMar>
        <w:left w:w="0" w:type="dxa"/>
        <w:top w:w="0" w:type="dxa"/>
        <w:right w:w="0" w:type="dxa"/>
        <w:bottom w:w="0" w:type="dxa"/>
      </w:tblCellMar>
    </w:tblPr>
  </w:style>
  <w:style w:type="table" w:styleId="1007" w:customStyle="1">
    <w:name w:val="List Table 6 Colorful - Accent 1"/>
    <w:uiPriority w:val="99"/>
    <w:qFormat/>
    <w:tblPr>
      <w:tblCellMar>
        <w:left w:w="0" w:type="dxa"/>
        <w:top w:w="0" w:type="dxa"/>
        <w:right w:w="0" w:type="dxa"/>
        <w:bottom w:w="0" w:type="dxa"/>
      </w:tblCellMar>
    </w:tblPr>
  </w:style>
  <w:style w:type="table" w:styleId="1008" w:customStyle="1">
    <w:name w:val="Grid Table 6 Colorful - Accent 1"/>
    <w:uiPriority w:val="99"/>
    <w:qFormat/>
    <w:tblPr>
      <w:tblCellMar>
        <w:left w:w="0" w:type="dxa"/>
        <w:top w:w="0" w:type="dxa"/>
        <w:right w:w="0" w:type="dxa"/>
        <w:bottom w:w="0" w:type="dxa"/>
      </w:tblCellMar>
    </w:tblPr>
  </w:style>
  <w:style w:type="table" w:styleId="1009" w:customStyle="1">
    <w:name w:val="List Table 6 Colorful - Accent 4"/>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Grid Table 6 Colorful - Accent 2"/>
    <w:uiPriority w:val="99"/>
    <w:qFormat/>
    <w:tblPr>
      <w:tblCellMar>
        <w:left w:w="0" w:type="dxa"/>
        <w:top w:w="0" w:type="dxa"/>
        <w:right w:w="0" w:type="dxa"/>
        <w:bottom w:w="0" w:type="dxa"/>
      </w:tblCellMar>
    </w:tblPr>
  </w:style>
  <w:style w:type="table" w:styleId="1012" w:customStyle="1">
    <w:name w:val="Lined - Accent 5"/>
    <w:uiPriority w:val="99"/>
    <w:qFormat/>
    <w:rPr>
      <w:color w:val="404040"/>
    </w:rPr>
    <w:tblPr>
      <w:tblCellMar>
        <w:left w:w="0" w:type="dxa"/>
        <w:top w:w="0" w:type="dxa"/>
        <w:right w:w="0" w:type="dxa"/>
        <w:bottom w:w="0" w:type="dxa"/>
      </w:tblCellMar>
    </w:tblPr>
  </w:style>
  <w:style w:type="table" w:styleId="1013" w:customStyle="1">
    <w:name w:val="List Table 2 - Accent 1"/>
    <w:uiPriority w:val="99"/>
    <w:qFormat/>
    <w:tblPr>
      <w:tblCellMar>
        <w:left w:w="0" w:type="dxa"/>
        <w:top w:w="0" w:type="dxa"/>
        <w:right w:w="0" w:type="dxa"/>
        <w:bottom w:w="0" w:type="dxa"/>
      </w:tblCellMar>
    </w:tblPr>
  </w:style>
  <w:style w:type="table" w:styleId="1014" w:customStyle="1">
    <w:name w:val="Grid Table 6 Colorful - Accent 3"/>
    <w:uiPriority w:val="99"/>
    <w:qFormat/>
    <w:tblPr>
      <w:tblCellMar>
        <w:left w:w="0" w:type="dxa"/>
        <w:top w:w="0" w:type="dxa"/>
        <w:right w:w="0" w:type="dxa"/>
        <w:bottom w:w="0" w:type="dxa"/>
      </w:tblCellMar>
    </w:tblPr>
  </w:style>
  <w:style w:type="table" w:styleId="1015" w:customStyle="1">
    <w:name w:val="List Table 7 Colorful - Accent 1"/>
    <w:uiPriority w:val="99"/>
    <w:qFormat/>
    <w:tblPr>
      <w:tblCellMar>
        <w:left w:w="0" w:type="dxa"/>
        <w:top w:w="0" w:type="dxa"/>
        <w:right w:w="0" w:type="dxa"/>
        <w:bottom w:w="0" w:type="dxa"/>
      </w:tblCellMar>
    </w:tblPr>
  </w:style>
  <w:style w:type="table" w:styleId="1016" w:customStyle="1">
    <w:name w:val="List Table 3 - Accent 3"/>
    <w:uiPriority w:val="99"/>
    <w:qFormat/>
    <w:tblPr>
      <w:tblCellMar>
        <w:left w:w="0" w:type="dxa"/>
        <w:top w:w="0" w:type="dxa"/>
        <w:right w:w="0" w:type="dxa"/>
        <w:bottom w:w="0" w:type="dxa"/>
      </w:tblCellMar>
    </w:tblPr>
  </w:style>
  <w:style w:type="table" w:styleId="1017" w:customStyle="1">
    <w:name w:val="Grid Table 6 Colorful - Accent 4"/>
    <w:uiPriority w:val="99"/>
    <w:qFormat/>
    <w:tblPr>
      <w:tblCellMar>
        <w:left w:w="0" w:type="dxa"/>
        <w:top w:w="0" w:type="dxa"/>
        <w:right w:w="0" w:type="dxa"/>
        <w:bottom w:w="0" w:type="dxa"/>
      </w:tblCellMar>
    </w:tblPr>
  </w:style>
  <w:style w:type="table" w:styleId="1018" w:customStyle="1">
    <w:name w:val="Lined - Accent 6"/>
    <w:uiPriority w:val="99"/>
    <w:qFormat/>
    <w:rPr>
      <w:color w:val="404040"/>
    </w:rPr>
    <w:tblPr>
      <w:tblCellMar>
        <w:left w:w="0" w:type="dxa"/>
        <w:top w:w="0" w:type="dxa"/>
        <w:right w:w="0" w:type="dxa"/>
        <w:bottom w:w="0" w:type="dxa"/>
      </w:tblCellMar>
    </w:tblPr>
  </w:style>
  <w:style w:type="table" w:styleId="1019" w:customStyle="1">
    <w:name w:val="List Table 2 - Accent 4"/>
    <w:uiPriority w:val="99"/>
    <w:qFormat/>
    <w:tblPr>
      <w:tblCellMar>
        <w:left w:w="0" w:type="dxa"/>
        <w:top w:w="0" w:type="dxa"/>
        <w:right w:w="0" w:type="dxa"/>
        <w:bottom w:w="0" w:type="dxa"/>
      </w:tblCellMar>
    </w:tblPr>
  </w:style>
  <w:style w:type="table" w:styleId="1020" w:customStyle="1">
    <w:name w:val="Grid Table 6 Colorful - Accent 5"/>
    <w:uiPriority w:val="99"/>
    <w:qFormat/>
    <w:tblPr>
      <w:tblCellMar>
        <w:left w:w="0" w:type="dxa"/>
        <w:top w:w="0" w:type="dxa"/>
        <w:right w:w="0" w:type="dxa"/>
        <w:bottom w:w="0" w:type="dxa"/>
      </w:tblCellMar>
    </w:tblPr>
  </w:style>
  <w:style w:type="table" w:styleId="1021" w:customStyle="1">
    <w:name w:val="Bordered &amp; Lined - Accent 5"/>
    <w:uiPriority w:val="99"/>
    <w:qFormat/>
    <w:rPr>
      <w:color w:val="404040"/>
    </w:rPr>
    <w:tblPr>
      <w:tblCellMar>
        <w:left w:w="0" w:type="dxa"/>
        <w:top w:w="0" w:type="dxa"/>
        <w:right w:w="0" w:type="dxa"/>
        <w:bottom w:w="0" w:type="dxa"/>
      </w:tblCellMar>
    </w:tblPr>
  </w:style>
  <w:style w:type="table" w:styleId="1022" w:customStyle="1">
    <w:name w:val="清单表 31"/>
    <w:uiPriority w:val="99"/>
    <w:qFormat/>
    <w:tblPr>
      <w:tblCellMar>
        <w:left w:w="0" w:type="dxa"/>
        <w:top w:w="0" w:type="dxa"/>
        <w:right w:w="0" w:type="dxa"/>
        <w:bottom w:w="0" w:type="dxa"/>
      </w:tblCellMar>
    </w:tblPr>
  </w:style>
  <w:style w:type="table" w:styleId="1023" w:customStyle="1">
    <w:name w:val="Grid Table 7 Colorful - Accent 1"/>
    <w:uiPriority w:val="99"/>
    <w:qFormat/>
    <w:tblPr>
      <w:tblCellMar>
        <w:left w:w="0" w:type="dxa"/>
        <w:top w:w="0" w:type="dxa"/>
        <w:right w:w="0" w:type="dxa"/>
        <w:bottom w:w="0" w:type="dxa"/>
      </w:tblCellMar>
    </w:tblPr>
  </w:style>
  <w:style w:type="table" w:styleId="1024" w:customStyle="1">
    <w:name w:val="Bordered &amp; Lined - Accent 1"/>
    <w:uiPriority w:val="99"/>
    <w:qFormat/>
    <w:rPr>
      <w:color w:val="404040"/>
    </w:rPr>
    <w:tblPr>
      <w:tblCellMar>
        <w:left w:w="0" w:type="dxa"/>
        <w:top w:w="0" w:type="dxa"/>
        <w:right w:w="0" w:type="dxa"/>
        <w:bottom w:w="0" w:type="dxa"/>
      </w:tblCellMar>
    </w:tblPr>
  </w:style>
  <w:style w:type="table" w:styleId="1025" w:customStyle="1">
    <w:name w:val="List Table 3 - Accent 5"/>
    <w:uiPriority w:val="99"/>
    <w:qFormat/>
    <w:tblPr>
      <w:tblCellMar>
        <w:left w:w="0" w:type="dxa"/>
        <w:top w:w="0" w:type="dxa"/>
        <w:right w:w="0" w:type="dxa"/>
        <w:bottom w:w="0" w:type="dxa"/>
      </w:tblCellMar>
    </w:tblPr>
  </w:style>
  <w:style w:type="table" w:styleId="1026" w:customStyle="1">
    <w:name w:val="Grid Table 7 Colorful - Accent 5"/>
    <w:uiPriority w:val="99"/>
    <w:qFormat/>
    <w:tblPr>
      <w:tblCellMar>
        <w:left w:w="0" w:type="dxa"/>
        <w:top w:w="0" w:type="dxa"/>
        <w:right w:w="0" w:type="dxa"/>
        <w:bottom w:w="0" w:type="dxa"/>
      </w:tblCellMar>
    </w:tblPr>
  </w:style>
  <w:style w:type="table" w:styleId="1027" w:customStyle="1">
    <w:name w:val="List Table 7 Colorful - Accent 4"/>
    <w:uiPriority w:val="99"/>
    <w:qFormat/>
    <w:tblPr>
      <w:tblCellMar>
        <w:left w:w="0" w:type="dxa"/>
        <w:top w:w="0" w:type="dxa"/>
        <w:right w:w="0" w:type="dxa"/>
        <w:bottom w:w="0" w:type="dxa"/>
      </w:tblCellMar>
    </w:tblPr>
  </w:style>
  <w:style w:type="table" w:styleId="1028" w:customStyle="1">
    <w:name w:val="List Table 3 - Accent 4"/>
    <w:uiPriority w:val="99"/>
    <w:qFormat/>
    <w:tblPr>
      <w:tblCellMar>
        <w:left w:w="0" w:type="dxa"/>
        <w:top w:w="0" w:type="dxa"/>
        <w:right w:w="0" w:type="dxa"/>
        <w:bottom w:w="0" w:type="dxa"/>
      </w:tblCellMar>
    </w:tblPr>
  </w:style>
  <w:style w:type="table" w:styleId="1029" w:customStyle="1">
    <w:name w:val="清单表 1 浅色1"/>
    <w:uiPriority w:val="99"/>
    <w:qFormat/>
    <w:tblPr>
      <w:tblCellMar>
        <w:left w:w="0" w:type="dxa"/>
        <w:top w:w="0" w:type="dxa"/>
        <w:right w:w="0" w:type="dxa"/>
        <w:bottom w:w="0" w:type="dxa"/>
      </w:tblCellMar>
    </w:tblPr>
  </w:style>
  <w:style w:type="paragraph" w:styleId="1030" w:customStyle="1">
    <w:name w:val="修订2"/>
    <w:uiPriority w:val="99"/>
    <w:unhideWhenUsed/>
    <w:qFormat/>
    <w:rPr>
      <w:rFonts w:ascii="Times New Roman" w:hAnsi="Times New Roman" w:eastAsia="宋体" w:cs="Times New Roman"/>
      <w:sz w:val="21"/>
      <w:szCs w:val="24"/>
      <w:lang w:val="en-US" w:eastAsia="zh-CN" w:bidi="ar-SA"/>
    </w:rPr>
  </w:style>
  <w:style w:type="paragraph" w:styleId="1031" w:customStyle="1">
    <w:name w:val="正文1"/>
    <w:next w:val="709"/>
    <w:uiPriority w:val="0"/>
    <w:qFormat/>
    <w:pPr>
      <w:jc w:val="both"/>
    </w:pPr>
    <w:rPr>
      <w:rFonts w:ascii="Calibri" w:hAnsi="Calibri" w:eastAsia="宋体" w:cs="Calibri"/>
      <w:sz w:val="21"/>
      <w:szCs w:val="21"/>
      <w:lang w:val="en-US" w:eastAsia="zh-CN" w:bidi="ar-SA"/>
    </w:rPr>
  </w:style>
  <w:style w:type="paragraph" w:styleId="1032" w:customStyle="1">
    <w:name w:val="Plain Text1"/>
    <w:basedOn w:val="709"/>
    <w:uiPriority w:val="0"/>
    <w:qFormat/>
    <w:rPr>
      <w:rFonts w:ascii="宋体" w:hAnsi="Courier New"/>
    </w:rPr>
  </w:style>
  <w:style w:type="paragraph" w:styleId="1033" w:customStyle="1">
    <w:name w:val="列出段落2"/>
    <w:uiPriority w:val="34"/>
    <w:qFormat/>
    <w:pPr>
      <w:ind w:firstLine="420"/>
      <w:jc w:val="both"/>
      <w:widowControl w:val="off"/>
    </w:pPr>
    <w:rPr>
      <w:rFonts w:ascii="Calibri" w:hAnsi="Calibri" w:eastAsia="宋体" w:cs="Times New Roman"/>
      <w:sz w:val="21"/>
      <w:lang w:val="en-US" w:eastAsia="zh-CN" w:bidi="ar-SA"/>
    </w:rPr>
  </w:style>
  <w:style w:type="character" w:styleId="1034" w:customStyle="1">
    <w:name w:val="批注文字 Char"/>
    <w:basedOn w:val="719"/>
    <w:link w:val="724"/>
    <w:uiPriority w:val="99"/>
    <w:qFormat/>
    <w:rPr>
      <w:sz w:val="21"/>
      <w:szCs w:val="24"/>
    </w:rPr>
  </w:style>
  <w:style w:type="character" w:styleId="1035" w:customStyle="1">
    <w:name w:val="批注主题 Char"/>
    <w:basedOn w:val="1034"/>
    <w:link w:val="746"/>
    <w:uiPriority w:val="99"/>
    <w:semiHidden/>
    <w:qFormat/>
    <w:rPr>
      <w:b/>
      <w:bCs/>
      <w:sz w:val="21"/>
      <w:szCs w:val="24"/>
    </w:rPr>
  </w:style>
  <w:style w:type="paragraph" w:styleId="1036" w:customStyle="1">
    <w:name w:val="正文文本缩进12"/>
    <w:basedOn w:val="709"/>
    <w:next w:val="844"/>
    <w:uiPriority w:val="0"/>
    <w:qFormat/>
    <w:pPr>
      <w:ind w:firstLine="560"/>
      <w:jc w:val="left"/>
      <w:spacing w:line="300" w:lineRule="auto"/>
    </w:pPr>
    <w:rPr>
      <w:rFonts w:eastAsia="Times New Roman"/>
      <w:sz w:val="28"/>
    </w:rPr>
  </w:style>
  <w:style w:type="character" w:styleId="1037" w:customStyle="1">
    <w:name w:val="正文文本缩进 3 Char"/>
    <w:basedOn w:val="719"/>
    <w:link w:val="741"/>
    <w:uiPriority w:val="99"/>
    <w:semiHidden/>
    <w:qFormat/>
    <w:rPr>
      <w:sz w:val="16"/>
      <w:szCs w:val="16"/>
    </w:rPr>
  </w:style>
  <w:style w:type="character" w:styleId="1038" w:customStyle="1">
    <w:name w:val="正文文本缩进 Char"/>
    <w:basedOn w:val="719"/>
    <w:link w:val="726"/>
    <w:uiPriority w:val="0"/>
    <w:qFormat/>
    <w:rPr>
      <w:rFonts w:ascii="方正仿宋简体" w:hAnsi="创艺简仿宋" w:eastAsia="方正仿宋简体"/>
      <w:sz w:val="24"/>
      <w:szCs w:val="24"/>
    </w:rPr>
  </w:style>
  <w:style w:type="character" w:styleId="1039" w:customStyle="1">
    <w:name w:val="正文首行缩进 2 Char"/>
    <w:basedOn w:val="1038"/>
    <w:link w:val="747"/>
    <w:uiPriority w:val="99"/>
    <w:semiHidden/>
    <w:qFormat/>
    <w:rPr>
      <w:rFonts w:ascii="方正仿宋简体" w:hAnsi="创艺简仿宋" w:eastAsia="方正仿宋简体"/>
      <w:sz w:val="21"/>
      <w:szCs w:val="24"/>
    </w:rPr>
  </w:style>
  <w:style w:type="paragraph" w:styleId="1040" w:customStyle="1">
    <w:name w:val="排列"/>
    <w:basedOn w:val="709"/>
    <w:next w:val="709"/>
    <w:uiPriority w:val="0"/>
    <w:pPr>
      <w:numPr>
        <w:ilvl w:val="0"/>
        <w:numId w:val="3"/>
      </w:numPr>
      <w:spacing w:line="360" w:lineRule="auto"/>
      <w:tabs>
        <w:tab w:val="left" w:pos="964" w:leader="none"/>
      </w:tabs>
    </w:pPr>
    <w:rPr>
      <w:rFonts w:ascii="宋体"/>
      <w:sz w:val="24"/>
      <w:szCs w:val="21"/>
    </w:rPr>
  </w:style>
  <w:style w:type="paragraph" w:styleId="1041" w:customStyle="1">
    <w:name w:val="WW-正文缩进1"/>
    <w:basedOn w:val="709"/>
    <w:uiPriority w:val="0"/>
    <w:qFormat/>
    <w:pPr>
      <w:ind w:firstLine="420"/>
      <w:jc w:val="left"/>
    </w:pPr>
    <w:rPr>
      <w:rFonts w:eastAsia="楷体_GB2312;楷体"/>
      <w:sz w:val="24"/>
      <w:szCs w:val="20"/>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高飞</cp:lastModifiedBy>
  <cp:revision>67</cp:revision>
  <dcterms:created xsi:type="dcterms:W3CDTF">2024-10-19T22:57:00Z</dcterms:created>
  <dcterms:modified xsi:type="dcterms:W3CDTF">2026-04-28T05:10:00Z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ADFC513B7F4E4E059167884B1E77443E_13</vt:lpwstr>
  </property>
  <property fmtid="{D5CDD505-2E9C-101B-9397-08002B2CF9AE}" pid="4" name="KSOTemplateDocerSaveRecord">
    <vt:lpwstr>eyJoZGlkIjoiNDMzNTBiNGNkZmM5ZTRhNDYyMDY1MDZlYzdmOTk1YTQiLCJ1c2VySWQiOiIxMzY5NjAzNTY0In0=</vt:lpwstr>
  </property>
</Properties>
</file>