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69120C">
      <w:pPr>
        <w:jc w:val="center"/>
        <w:rPr>
          <w:rFonts w:hint="eastAsia" w:ascii="宋体" w:hAnsi="宋体" w:cs="宋体"/>
          <w:b/>
          <w:bCs/>
          <w:color w:val="auto"/>
          <w:sz w:val="56"/>
          <w:szCs w:val="56"/>
          <w:highlight w:val="none"/>
          <w:lang w:eastAsia="zh-CN"/>
        </w:rPr>
      </w:pPr>
    </w:p>
    <w:p w14:paraId="0E34D939">
      <w:pPr>
        <w:jc w:val="center"/>
        <w:rPr>
          <w:rFonts w:hint="eastAsia" w:ascii="黑体" w:hAnsi="黑体" w:eastAsia="宋体" w:cs="黑体"/>
          <w:b/>
          <w:bCs/>
          <w:color w:val="auto"/>
          <w:sz w:val="44"/>
          <w:szCs w:val="44"/>
          <w:highlight w:val="none"/>
          <w:lang w:eastAsia="zh-CN"/>
        </w:rPr>
      </w:pPr>
      <w:r>
        <w:rPr>
          <w:rFonts w:hint="eastAsia" w:ascii="宋体" w:hAnsi="宋体" w:cs="宋体"/>
          <w:b/>
          <w:bCs/>
          <w:color w:val="auto"/>
          <w:sz w:val="56"/>
          <w:szCs w:val="56"/>
          <w:highlight w:val="none"/>
          <w:lang w:eastAsia="zh-CN"/>
        </w:rPr>
        <w:t>研创园综合安保管理辅助服务项目</w:t>
      </w:r>
    </w:p>
    <w:p w14:paraId="3D20FD92">
      <w:pPr>
        <w:jc w:val="center"/>
        <w:rPr>
          <w:rFonts w:ascii="黑体" w:hAnsi="黑体" w:eastAsia="黑体" w:cs="黑体"/>
          <w:b/>
          <w:bCs/>
          <w:color w:val="auto"/>
          <w:sz w:val="48"/>
          <w:szCs w:val="48"/>
          <w:highlight w:val="none"/>
        </w:rPr>
      </w:pPr>
    </w:p>
    <w:p w14:paraId="168F61B1">
      <w:pPr>
        <w:jc w:val="center"/>
        <w:rPr>
          <w:rFonts w:hint="eastAsia" w:ascii="黑体" w:hAnsi="黑体" w:eastAsia="黑体"/>
          <w:color w:val="auto"/>
          <w:sz w:val="32"/>
          <w:szCs w:val="32"/>
          <w:highlight w:val="none"/>
          <w:lang w:eastAsia="zh-CN"/>
        </w:rPr>
      </w:pPr>
      <w:r>
        <w:rPr>
          <w:rFonts w:hint="eastAsia" w:ascii="黑体" w:hAnsi="黑体" w:eastAsia="黑体"/>
          <w:color w:val="auto"/>
          <w:sz w:val="32"/>
          <w:szCs w:val="32"/>
          <w:highlight w:val="none"/>
        </w:rPr>
        <w:t>项目编号：</w:t>
      </w:r>
      <w:r>
        <w:rPr>
          <w:rFonts w:hint="eastAsia" w:ascii="黑体" w:hAnsi="黑体" w:eastAsia="黑体"/>
          <w:color w:val="auto"/>
          <w:sz w:val="32"/>
          <w:szCs w:val="32"/>
          <w:highlight w:val="none"/>
          <w:lang w:eastAsia="zh-CN"/>
        </w:rPr>
        <w:t>JSZC-320192-JCZJ-G2026-0004</w:t>
      </w:r>
    </w:p>
    <w:p w14:paraId="7815D240">
      <w:pPr>
        <w:rPr>
          <w:rFonts w:hint="eastAsia" w:ascii="华文琥珀" w:eastAsia="华文琥珀"/>
          <w:color w:val="auto"/>
          <w:sz w:val="36"/>
          <w:szCs w:val="36"/>
          <w:highlight w:val="none"/>
        </w:rPr>
      </w:pPr>
    </w:p>
    <w:p w14:paraId="6367E93F">
      <w:pPr>
        <w:jc w:val="center"/>
        <w:rPr>
          <w:rFonts w:hint="eastAsia" w:ascii="方正大标宋简体" w:eastAsia="方正大标宋简体"/>
          <w:b/>
          <w:color w:val="auto"/>
          <w:sz w:val="18"/>
          <w:szCs w:val="18"/>
          <w:highlight w:val="none"/>
        </w:rPr>
      </w:pPr>
    </w:p>
    <w:p w14:paraId="3DF541B3">
      <w:pPr>
        <w:jc w:val="center"/>
        <w:rPr>
          <w:rFonts w:hint="eastAsia" w:ascii="方正大标宋简体" w:eastAsia="方正大标宋简体"/>
          <w:b/>
          <w:color w:val="auto"/>
          <w:sz w:val="18"/>
          <w:szCs w:val="18"/>
          <w:highlight w:val="none"/>
        </w:rPr>
      </w:pPr>
    </w:p>
    <w:p w14:paraId="3C59298D">
      <w:pPr>
        <w:jc w:val="center"/>
        <w:rPr>
          <w:rFonts w:hint="eastAsia" w:ascii="方正大标宋简体" w:eastAsia="方正大标宋简体"/>
          <w:b/>
          <w:color w:val="auto"/>
          <w:sz w:val="18"/>
          <w:szCs w:val="18"/>
          <w:highlight w:val="none"/>
        </w:rPr>
      </w:pPr>
    </w:p>
    <w:p w14:paraId="7EC48CD3">
      <w:pPr>
        <w:jc w:val="center"/>
        <w:rPr>
          <w:rFonts w:hint="eastAsia" w:ascii="方正大标宋简体" w:eastAsia="方正大标宋简体"/>
          <w:b/>
          <w:color w:val="auto"/>
          <w:sz w:val="18"/>
          <w:szCs w:val="18"/>
          <w:highlight w:val="none"/>
        </w:rPr>
      </w:pPr>
    </w:p>
    <w:p w14:paraId="25775DFC">
      <w:pPr>
        <w:jc w:val="center"/>
        <w:rPr>
          <w:rFonts w:hint="eastAsia" w:ascii="黑体" w:eastAsia="黑体"/>
          <w:color w:val="auto"/>
          <w:sz w:val="82"/>
          <w:szCs w:val="72"/>
          <w:highlight w:val="none"/>
        </w:rPr>
      </w:pPr>
      <w:r>
        <w:rPr>
          <w:rFonts w:hint="eastAsia" w:ascii="黑体" w:eastAsia="黑体"/>
          <w:color w:val="auto"/>
          <w:sz w:val="82"/>
          <w:szCs w:val="72"/>
          <w:highlight w:val="none"/>
        </w:rPr>
        <w:t>招  标  文  件</w:t>
      </w:r>
    </w:p>
    <w:p w14:paraId="731B9EF8">
      <w:pPr>
        <w:autoSpaceDE w:val="0"/>
        <w:autoSpaceDN w:val="0"/>
        <w:adjustRightInd w:val="0"/>
        <w:spacing w:line="500" w:lineRule="exact"/>
        <w:ind w:firstLine="1980" w:firstLineChars="550"/>
        <w:jc w:val="left"/>
        <w:rPr>
          <w:rFonts w:hint="eastAsia" w:ascii="华文楷体" w:eastAsia="华文楷体"/>
          <w:color w:val="auto"/>
          <w:sz w:val="36"/>
          <w:szCs w:val="36"/>
          <w:highlight w:val="none"/>
        </w:rPr>
      </w:pPr>
    </w:p>
    <w:p w14:paraId="70198826">
      <w:pPr>
        <w:autoSpaceDE w:val="0"/>
        <w:autoSpaceDN w:val="0"/>
        <w:adjustRightInd w:val="0"/>
        <w:spacing w:line="500" w:lineRule="exact"/>
        <w:ind w:firstLine="1980" w:firstLineChars="550"/>
        <w:jc w:val="left"/>
        <w:rPr>
          <w:rFonts w:hint="eastAsia" w:ascii="华文楷体" w:eastAsia="华文楷体"/>
          <w:color w:val="auto"/>
          <w:sz w:val="36"/>
          <w:szCs w:val="36"/>
          <w:highlight w:val="none"/>
        </w:rPr>
      </w:pPr>
    </w:p>
    <w:p w14:paraId="3E7AEFD4">
      <w:pPr>
        <w:autoSpaceDE w:val="0"/>
        <w:autoSpaceDN w:val="0"/>
        <w:adjustRightInd w:val="0"/>
        <w:spacing w:line="500" w:lineRule="exact"/>
        <w:jc w:val="left"/>
        <w:rPr>
          <w:rFonts w:hint="eastAsia" w:ascii="华文楷体" w:eastAsia="华文楷体"/>
          <w:color w:val="auto"/>
          <w:sz w:val="36"/>
          <w:szCs w:val="36"/>
          <w:highlight w:val="none"/>
        </w:rPr>
      </w:pPr>
    </w:p>
    <w:p w14:paraId="2943B16C">
      <w:pPr>
        <w:rPr>
          <w:rFonts w:hint="eastAsia"/>
          <w:color w:val="auto"/>
          <w:highlight w:val="none"/>
        </w:rPr>
      </w:pPr>
    </w:p>
    <w:p w14:paraId="07377EA6">
      <w:pPr>
        <w:rPr>
          <w:color w:val="auto"/>
          <w:highlight w:val="none"/>
        </w:rPr>
      </w:pPr>
    </w:p>
    <w:p w14:paraId="7F859020">
      <w:pPr>
        <w:pStyle w:val="81"/>
      </w:pPr>
    </w:p>
    <w:p w14:paraId="2FE0D93F">
      <w:pPr>
        <w:pStyle w:val="25"/>
        <w:rPr>
          <w:color w:val="auto"/>
          <w:highlight w:val="none"/>
        </w:rPr>
      </w:pPr>
    </w:p>
    <w:p w14:paraId="0479EA1E">
      <w:pPr>
        <w:rPr>
          <w:color w:val="auto"/>
          <w:highlight w:val="none"/>
        </w:rPr>
      </w:pPr>
    </w:p>
    <w:p w14:paraId="5590F7CF">
      <w:pPr>
        <w:rPr>
          <w:rFonts w:hint="eastAsia"/>
          <w:color w:val="auto"/>
          <w:highlight w:val="none"/>
        </w:rPr>
      </w:pPr>
    </w:p>
    <w:tbl>
      <w:tblPr>
        <w:tblStyle w:val="65"/>
        <w:tblW w:w="0" w:type="auto"/>
        <w:jc w:val="center"/>
        <w:tblLayout w:type="fixed"/>
        <w:tblCellMar>
          <w:top w:w="0" w:type="dxa"/>
          <w:left w:w="108" w:type="dxa"/>
          <w:bottom w:w="0" w:type="dxa"/>
          <w:right w:w="108" w:type="dxa"/>
        </w:tblCellMar>
      </w:tblPr>
      <w:tblGrid>
        <w:gridCol w:w="2413"/>
        <w:gridCol w:w="5606"/>
      </w:tblGrid>
      <w:tr w14:paraId="622306C3">
        <w:tblPrEx>
          <w:tblCellMar>
            <w:top w:w="0" w:type="dxa"/>
            <w:left w:w="108" w:type="dxa"/>
            <w:bottom w:w="0" w:type="dxa"/>
            <w:right w:w="108" w:type="dxa"/>
          </w:tblCellMar>
        </w:tblPrEx>
        <w:trPr>
          <w:trHeight w:val="761" w:hRule="atLeast"/>
          <w:jc w:val="center"/>
        </w:trPr>
        <w:tc>
          <w:tcPr>
            <w:tcW w:w="2413" w:type="dxa"/>
          </w:tcPr>
          <w:p w14:paraId="682C9B36">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采购人：</w:t>
            </w:r>
          </w:p>
        </w:tc>
        <w:tc>
          <w:tcPr>
            <w:tcW w:w="5606" w:type="dxa"/>
          </w:tcPr>
          <w:p w14:paraId="6A6E0FB6">
            <w:pPr>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南京江北新区产业技术研创园管理办公室</w:t>
            </w:r>
          </w:p>
        </w:tc>
      </w:tr>
      <w:tr w14:paraId="2BAE3E3D">
        <w:tblPrEx>
          <w:tblCellMar>
            <w:top w:w="0" w:type="dxa"/>
            <w:left w:w="108" w:type="dxa"/>
            <w:bottom w:w="0" w:type="dxa"/>
            <w:right w:w="108" w:type="dxa"/>
          </w:tblCellMar>
        </w:tblPrEx>
        <w:trPr>
          <w:trHeight w:val="761" w:hRule="atLeast"/>
          <w:jc w:val="center"/>
        </w:trPr>
        <w:tc>
          <w:tcPr>
            <w:tcW w:w="2413" w:type="dxa"/>
          </w:tcPr>
          <w:p w14:paraId="42D134DB">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采购代理机构：</w:t>
            </w:r>
          </w:p>
        </w:tc>
        <w:tc>
          <w:tcPr>
            <w:tcW w:w="5606" w:type="dxa"/>
          </w:tcPr>
          <w:p w14:paraId="6592BBF8">
            <w:pPr>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南京建淳造价师事务所有限公司</w:t>
            </w:r>
          </w:p>
        </w:tc>
      </w:tr>
      <w:tr w14:paraId="67846AA7">
        <w:tblPrEx>
          <w:tblCellMar>
            <w:top w:w="0" w:type="dxa"/>
            <w:left w:w="108" w:type="dxa"/>
            <w:bottom w:w="0" w:type="dxa"/>
            <w:right w:w="108" w:type="dxa"/>
          </w:tblCellMar>
        </w:tblPrEx>
        <w:trPr>
          <w:trHeight w:val="761" w:hRule="atLeast"/>
          <w:jc w:val="center"/>
        </w:trPr>
        <w:tc>
          <w:tcPr>
            <w:tcW w:w="2413" w:type="dxa"/>
          </w:tcPr>
          <w:p w14:paraId="20AFDEB5">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日  期：</w:t>
            </w:r>
          </w:p>
        </w:tc>
        <w:tc>
          <w:tcPr>
            <w:tcW w:w="5606" w:type="dxa"/>
          </w:tcPr>
          <w:p w14:paraId="4EC0A2D0">
            <w:pPr>
              <w:rPr>
                <w:rFonts w:hint="default" w:ascii="黑体" w:hAnsi="黑体" w:eastAsia="黑体" w:cs="黑体"/>
                <w:b/>
                <w:bCs/>
                <w:color w:val="auto"/>
                <w:sz w:val="32"/>
                <w:szCs w:val="32"/>
                <w:highlight w:val="none"/>
                <w:lang w:val="en-US" w:eastAsia="zh-CN"/>
              </w:rPr>
            </w:pPr>
            <w:bookmarkStart w:id="0" w:name="EB011e21966a4746ceac4488705cfdd813"/>
            <w:r>
              <w:rPr>
                <w:rFonts w:hint="eastAsia" w:ascii="黑体" w:hAnsi="黑体" w:eastAsia="黑体" w:cs="黑体"/>
                <w:b/>
                <w:bCs/>
                <w:color w:val="auto"/>
                <w:sz w:val="32"/>
                <w:szCs w:val="32"/>
                <w:highlight w:val="none"/>
              </w:rPr>
              <w:t>202</w:t>
            </w:r>
            <w:r>
              <w:rPr>
                <w:rFonts w:hint="eastAsia" w:ascii="黑体" w:hAnsi="黑体" w:eastAsia="黑体" w:cs="黑体"/>
                <w:b/>
                <w:bCs/>
                <w:color w:val="auto"/>
                <w:sz w:val="32"/>
                <w:szCs w:val="32"/>
                <w:highlight w:val="none"/>
                <w:lang w:val="en-US" w:eastAsia="zh-CN"/>
              </w:rPr>
              <w:t>6</w:t>
            </w:r>
            <w:r>
              <w:rPr>
                <w:rFonts w:hint="eastAsia" w:ascii="黑体" w:hAnsi="黑体" w:eastAsia="黑体" w:cs="黑体"/>
                <w:b/>
                <w:bCs/>
                <w:color w:val="auto"/>
                <w:sz w:val="32"/>
                <w:szCs w:val="32"/>
                <w:highlight w:val="none"/>
              </w:rPr>
              <w:t>年</w:t>
            </w:r>
            <w:r>
              <w:rPr>
                <w:rFonts w:hint="eastAsia" w:ascii="黑体" w:hAnsi="黑体" w:eastAsia="黑体" w:cs="黑体"/>
                <w:b/>
                <w:bCs/>
                <w:color w:val="auto"/>
                <w:sz w:val="32"/>
                <w:szCs w:val="32"/>
                <w:highlight w:val="none"/>
                <w:lang w:val="en-US" w:eastAsia="zh-CN"/>
              </w:rPr>
              <w:t>4</w:t>
            </w:r>
            <w:r>
              <w:rPr>
                <w:rFonts w:hint="eastAsia" w:ascii="黑体" w:hAnsi="黑体" w:eastAsia="黑体" w:cs="黑体"/>
                <w:b/>
                <w:bCs/>
                <w:color w:val="auto"/>
                <w:sz w:val="32"/>
                <w:szCs w:val="32"/>
                <w:highlight w:val="none"/>
              </w:rPr>
              <w:t>月</w:t>
            </w:r>
            <w:bookmarkEnd w:id="0"/>
            <w:r>
              <w:rPr>
                <w:rFonts w:hint="eastAsia" w:ascii="黑体" w:hAnsi="黑体" w:eastAsia="黑体" w:cs="黑体"/>
                <w:b/>
                <w:bCs/>
                <w:color w:val="auto"/>
                <w:sz w:val="32"/>
                <w:szCs w:val="32"/>
                <w:highlight w:val="none"/>
                <w:lang w:val="en-US" w:eastAsia="zh-CN"/>
              </w:rPr>
              <w:t>27日</w:t>
            </w:r>
          </w:p>
        </w:tc>
      </w:tr>
    </w:tbl>
    <w:p w14:paraId="39424BDC">
      <w:pPr>
        <w:jc w:val="center"/>
        <w:rPr>
          <w:rFonts w:ascii="宋体" w:hAnsi="宋体"/>
          <w:b/>
          <w:bCs/>
          <w:color w:val="auto"/>
          <w:sz w:val="24"/>
          <w:szCs w:val="28"/>
          <w:highlight w:val="none"/>
        </w:rPr>
      </w:pPr>
    </w:p>
    <w:p w14:paraId="29652A83">
      <w:pPr>
        <w:jc w:val="center"/>
        <w:rPr>
          <w:rFonts w:ascii="宋体" w:hAnsi="宋体"/>
          <w:b/>
          <w:bCs/>
          <w:color w:val="auto"/>
          <w:sz w:val="24"/>
          <w:szCs w:val="28"/>
          <w:highlight w:val="none"/>
        </w:rPr>
      </w:pPr>
    </w:p>
    <w:p w14:paraId="17D177E7">
      <w:pPr>
        <w:jc w:val="center"/>
        <w:rPr>
          <w:rFonts w:ascii="宋体" w:hAnsi="宋体"/>
          <w:b/>
          <w:bCs/>
          <w:color w:val="auto"/>
          <w:sz w:val="24"/>
          <w:szCs w:val="28"/>
          <w:highlight w:val="none"/>
        </w:rPr>
      </w:pPr>
    </w:p>
    <w:p w14:paraId="4DBD7E9D">
      <w:pPr>
        <w:jc w:val="center"/>
        <w:rPr>
          <w:rFonts w:ascii="宋体" w:hAnsi="宋体"/>
          <w:b/>
          <w:bCs/>
          <w:color w:val="auto"/>
          <w:sz w:val="24"/>
          <w:szCs w:val="28"/>
          <w:highlight w:val="none"/>
        </w:rPr>
      </w:pPr>
    </w:p>
    <w:p w14:paraId="42566B0F">
      <w:pPr>
        <w:jc w:val="center"/>
        <w:rPr>
          <w:rFonts w:ascii="宋体" w:hAnsi="宋体"/>
          <w:b/>
          <w:bCs/>
          <w:color w:val="auto"/>
          <w:sz w:val="24"/>
          <w:szCs w:val="28"/>
          <w:highlight w:val="none"/>
        </w:rPr>
      </w:pPr>
    </w:p>
    <w:p w14:paraId="6049D660">
      <w:pPr>
        <w:jc w:val="center"/>
        <w:rPr>
          <w:rFonts w:ascii="宋体" w:hAnsi="宋体"/>
          <w:b/>
          <w:bCs/>
          <w:color w:val="auto"/>
          <w:sz w:val="24"/>
          <w:szCs w:val="28"/>
          <w:highlight w:val="none"/>
        </w:rPr>
      </w:pPr>
    </w:p>
    <w:p w14:paraId="0421C27A">
      <w:pPr>
        <w:jc w:val="center"/>
        <w:rPr>
          <w:rFonts w:ascii="宋体" w:hAnsi="宋体"/>
          <w:b/>
          <w:bCs/>
          <w:color w:val="auto"/>
          <w:sz w:val="24"/>
          <w:szCs w:val="28"/>
          <w:highlight w:val="none"/>
        </w:rPr>
      </w:pPr>
    </w:p>
    <w:p w14:paraId="5D4F82A7">
      <w:pPr>
        <w:jc w:val="center"/>
        <w:rPr>
          <w:rFonts w:hint="eastAsia" w:eastAsia="仿宋_GB2312"/>
          <w:color w:val="auto"/>
          <w:highlight w:val="none"/>
        </w:rPr>
      </w:pPr>
      <w:r>
        <w:rPr>
          <w:rFonts w:ascii="宋体" w:hAnsi="宋体"/>
          <w:b/>
          <w:bCs/>
          <w:color w:val="auto"/>
          <w:sz w:val="24"/>
          <w:szCs w:val="28"/>
          <w:highlight w:val="none"/>
        </w:rPr>
        <w:t>目</w:t>
      </w:r>
      <w:r>
        <w:rPr>
          <w:rFonts w:hint="eastAsia" w:ascii="宋体" w:hAnsi="宋体"/>
          <w:b/>
          <w:bCs/>
          <w:color w:val="auto"/>
          <w:sz w:val="24"/>
          <w:szCs w:val="28"/>
          <w:highlight w:val="none"/>
        </w:rPr>
        <w:t xml:space="preserve">  </w:t>
      </w:r>
      <w:r>
        <w:rPr>
          <w:rFonts w:ascii="宋体" w:hAnsi="宋体"/>
          <w:b/>
          <w:bCs/>
          <w:color w:val="auto"/>
          <w:sz w:val="24"/>
          <w:szCs w:val="28"/>
          <w:highlight w:val="none"/>
        </w:rPr>
        <w:t>录</w:t>
      </w:r>
    </w:p>
    <w:p w14:paraId="5275396C">
      <w:pPr>
        <w:pStyle w:val="44"/>
        <w:tabs>
          <w:tab w:val="right" w:leader="dot" w:pos="9740"/>
        </w:tabs>
        <w:rPr>
          <w:color w:val="auto"/>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_Toc12452 </w:instrText>
      </w:r>
      <w:r>
        <w:rPr>
          <w:rFonts w:hint="eastAsia" w:ascii="宋体" w:hAnsi="宋体" w:cs="宋体"/>
          <w:color w:val="auto"/>
          <w:szCs w:val="24"/>
          <w:highlight w:val="none"/>
        </w:rPr>
        <w:fldChar w:fldCharType="separate"/>
      </w:r>
      <w:r>
        <w:rPr>
          <w:rFonts w:hint="eastAsia"/>
          <w:color w:val="auto"/>
          <w:szCs w:val="44"/>
          <w:highlight w:val="none"/>
        </w:rPr>
        <w:t>第一部分  招标公告</w:t>
      </w:r>
      <w:r>
        <w:rPr>
          <w:color w:val="auto"/>
        </w:rPr>
        <w:tab/>
      </w:r>
      <w:r>
        <w:rPr>
          <w:color w:val="auto"/>
        </w:rPr>
        <w:fldChar w:fldCharType="begin"/>
      </w:r>
      <w:r>
        <w:rPr>
          <w:color w:val="auto"/>
        </w:rPr>
        <w:instrText xml:space="preserve"> PAGEREF _Toc12452 \h </w:instrText>
      </w:r>
      <w:r>
        <w:rPr>
          <w:color w:val="auto"/>
        </w:rPr>
        <w:fldChar w:fldCharType="separate"/>
      </w:r>
      <w:r>
        <w:rPr>
          <w:color w:val="auto"/>
        </w:rPr>
        <w:t>4</w:t>
      </w:r>
      <w:r>
        <w:rPr>
          <w:color w:val="auto"/>
        </w:rPr>
        <w:fldChar w:fldCharType="end"/>
      </w:r>
      <w:r>
        <w:rPr>
          <w:rFonts w:hint="eastAsia" w:ascii="宋体" w:hAnsi="宋体" w:cs="宋体"/>
          <w:color w:val="auto"/>
          <w:szCs w:val="24"/>
          <w:highlight w:val="none"/>
        </w:rPr>
        <w:fldChar w:fldCharType="end"/>
      </w:r>
    </w:p>
    <w:p w14:paraId="731E492F">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_Toc20555 </w:instrText>
      </w:r>
      <w:r>
        <w:rPr>
          <w:rFonts w:hint="eastAsia" w:ascii="宋体" w:hAnsi="宋体" w:cs="宋体"/>
          <w:color w:val="auto"/>
          <w:szCs w:val="24"/>
          <w:highlight w:val="none"/>
        </w:rPr>
        <w:fldChar w:fldCharType="separate"/>
      </w:r>
      <w:r>
        <w:rPr>
          <w:rFonts w:hint="eastAsia" w:ascii="宋体" w:hAnsi="宋体" w:cs="宋体"/>
          <w:bCs/>
          <w:color w:val="auto"/>
          <w:szCs w:val="24"/>
          <w:highlight w:val="none"/>
        </w:rPr>
        <w:t>一、项目基本情况</w:t>
      </w:r>
      <w:r>
        <w:rPr>
          <w:color w:val="auto"/>
        </w:rPr>
        <w:tab/>
      </w:r>
      <w:r>
        <w:rPr>
          <w:color w:val="auto"/>
        </w:rPr>
        <w:fldChar w:fldCharType="begin"/>
      </w:r>
      <w:r>
        <w:rPr>
          <w:color w:val="auto"/>
        </w:rPr>
        <w:instrText xml:space="preserve"> PAGEREF _Toc20555 \h </w:instrText>
      </w:r>
      <w:r>
        <w:rPr>
          <w:color w:val="auto"/>
        </w:rPr>
        <w:fldChar w:fldCharType="separate"/>
      </w:r>
      <w:r>
        <w:rPr>
          <w:color w:val="auto"/>
        </w:rPr>
        <w:t>4</w:t>
      </w:r>
      <w:r>
        <w:rPr>
          <w:color w:val="auto"/>
        </w:rPr>
        <w:fldChar w:fldCharType="end"/>
      </w:r>
      <w:r>
        <w:rPr>
          <w:rFonts w:hint="eastAsia" w:ascii="宋体" w:hAnsi="宋体" w:cs="宋体"/>
          <w:color w:val="auto"/>
          <w:szCs w:val="24"/>
          <w:highlight w:val="none"/>
        </w:rPr>
        <w:fldChar w:fldCharType="end"/>
      </w:r>
    </w:p>
    <w:p w14:paraId="3808663B">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_Toc29741 </w:instrText>
      </w:r>
      <w:r>
        <w:rPr>
          <w:rFonts w:hint="eastAsia" w:ascii="宋体" w:hAnsi="宋体" w:cs="宋体"/>
          <w:color w:val="auto"/>
          <w:szCs w:val="24"/>
          <w:highlight w:val="none"/>
        </w:rPr>
        <w:fldChar w:fldCharType="separate"/>
      </w:r>
      <w:r>
        <w:rPr>
          <w:rFonts w:hint="eastAsia" w:ascii="宋体" w:hAnsi="宋体" w:cs="宋体"/>
          <w:bCs/>
          <w:color w:val="auto"/>
          <w:szCs w:val="24"/>
          <w:highlight w:val="none"/>
        </w:rPr>
        <w:t>二、申请人的资格要求：</w:t>
      </w:r>
      <w:r>
        <w:rPr>
          <w:color w:val="auto"/>
        </w:rPr>
        <w:tab/>
      </w:r>
      <w:r>
        <w:rPr>
          <w:color w:val="auto"/>
        </w:rPr>
        <w:fldChar w:fldCharType="begin"/>
      </w:r>
      <w:r>
        <w:rPr>
          <w:color w:val="auto"/>
        </w:rPr>
        <w:instrText xml:space="preserve"> PAGEREF _Toc29741 \h </w:instrText>
      </w:r>
      <w:r>
        <w:rPr>
          <w:color w:val="auto"/>
        </w:rPr>
        <w:fldChar w:fldCharType="separate"/>
      </w:r>
      <w:r>
        <w:rPr>
          <w:color w:val="auto"/>
        </w:rPr>
        <w:t>4</w:t>
      </w:r>
      <w:r>
        <w:rPr>
          <w:color w:val="auto"/>
        </w:rPr>
        <w:fldChar w:fldCharType="end"/>
      </w:r>
      <w:r>
        <w:rPr>
          <w:rFonts w:hint="eastAsia" w:ascii="宋体" w:hAnsi="宋体" w:cs="宋体"/>
          <w:color w:val="auto"/>
          <w:szCs w:val="24"/>
          <w:highlight w:val="none"/>
        </w:rPr>
        <w:fldChar w:fldCharType="end"/>
      </w:r>
    </w:p>
    <w:p w14:paraId="5CCD812E">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_Toc30579 </w:instrText>
      </w:r>
      <w:r>
        <w:rPr>
          <w:rFonts w:hint="eastAsia" w:ascii="宋体" w:hAnsi="宋体" w:cs="宋体"/>
          <w:color w:val="auto"/>
          <w:szCs w:val="24"/>
          <w:highlight w:val="none"/>
        </w:rPr>
        <w:fldChar w:fldCharType="separate"/>
      </w:r>
      <w:r>
        <w:rPr>
          <w:rFonts w:hint="eastAsia" w:ascii="宋体" w:hAnsi="宋体" w:cs="宋体"/>
          <w:bCs/>
          <w:color w:val="auto"/>
          <w:szCs w:val="24"/>
          <w:highlight w:val="none"/>
        </w:rPr>
        <w:t>三、获取招标文件</w:t>
      </w:r>
      <w:r>
        <w:rPr>
          <w:color w:val="auto"/>
        </w:rPr>
        <w:tab/>
      </w:r>
      <w:r>
        <w:rPr>
          <w:color w:val="auto"/>
        </w:rPr>
        <w:fldChar w:fldCharType="begin"/>
      </w:r>
      <w:r>
        <w:rPr>
          <w:color w:val="auto"/>
        </w:rPr>
        <w:instrText xml:space="preserve"> PAGEREF _Toc30579 \h </w:instrText>
      </w:r>
      <w:r>
        <w:rPr>
          <w:color w:val="auto"/>
        </w:rPr>
        <w:fldChar w:fldCharType="separate"/>
      </w:r>
      <w:r>
        <w:rPr>
          <w:color w:val="auto"/>
        </w:rPr>
        <w:t>5</w:t>
      </w:r>
      <w:r>
        <w:rPr>
          <w:color w:val="auto"/>
        </w:rPr>
        <w:fldChar w:fldCharType="end"/>
      </w:r>
      <w:r>
        <w:rPr>
          <w:rFonts w:hint="eastAsia" w:ascii="宋体" w:hAnsi="宋体" w:cs="宋体"/>
          <w:color w:val="auto"/>
          <w:szCs w:val="24"/>
          <w:highlight w:val="none"/>
        </w:rPr>
        <w:fldChar w:fldCharType="end"/>
      </w:r>
    </w:p>
    <w:p w14:paraId="5D61A953">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_Toc31377 </w:instrText>
      </w:r>
      <w:r>
        <w:rPr>
          <w:rFonts w:hint="eastAsia" w:ascii="宋体" w:hAnsi="宋体" w:cs="宋体"/>
          <w:color w:val="auto"/>
          <w:szCs w:val="24"/>
          <w:highlight w:val="none"/>
        </w:rPr>
        <w:fldChar w:fldCharType="separate"/>
      </w:r>
      <w:r>
        <w:rPr>
          <w:rFonts w:hint="eastAsia" w:ascii="宋体" w:hAnsi="宋体" w:cs="宋体"/>
          <w:bCs/>
          <w:color w:val="auto"/>
          <w:szCs w:val="24"/>
          <w:highlight w:val="none"/>
        </w:rPr>
        <w:t>四、提交投标文件截止时间、开标时间和地点</w:t>
      </w:r>
      <w:r>
        <w:rPr>
          <w:color w:val="auto"/>
        </w:rPr>
        <w:tab/>
      </w:r>
      <w:r>
        <w:rPr>
          <w:color w:val="auto"/>
        </w:rPr>
        <w:fldChar w:fldCharType="begin"/>
      </w:r>
      <w:r>
        <w:rPr>
          <w:color w:val="auto"/>
        </w:rPr>
        <w:instrText xml:space="preserve"> PAGEREF _Toc31377 \h </w:instrText>
      </w:r>
      <w:r>
        <w:rPr>
          <w:color w:val="auto"/>
        </w:rPr>
        <w:fldChar w:fldCharType="separate"/>
      </w:r>
      <w:r>
        <w:rPr>
          <w:color w:val="auto"/>
        </w:rPr>
        <w:t>5</w:t>
      </w:r>
      <w:r>
        <w:rPr>
          <w:color w:val="auto"/>
        </w:rPr>
        <w:fldChar w:fldCharType="end"/>
      </w:r>
      <w:r>
        <w:rPr>
          <w:rFonts w:hint="eastAsia" w:ascii="宋体" w:hAnsi="宋体" w:cs="宋体"/>
          <w:color w:val="auto"/>
          <w:szCs w:val="24"/>
          <w:highlight w:val="none"/>
        </w:rPr>
        <w:fldChar w:fldCharType="end"/>
      </w:r>
    </w:p>
    <w:p w14:paraId="47B504F6">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_Toc32088 </w:instrText>
      </w:r>
      <w:r>
        <w:rPr>
          <w:rFonts w:hint="eastAsia" w:ascii="宋体" w:hAnsi="宋体" w:cs="宋体"/>
          <w:color w:val="auto"/>
          <w:szCs w:val="24"/>
          <w:highlight w:val="none"/>
        </w:rPr>
        <w:fldChar w:fldCharType="separate"/>
      </w:r>
      <w:r>
        <w:rPr>
          <w:rFonts w:hint="eastAsia" w:ascii="宋体" w:hAnsi="宋体" w:cs="宋体"/>
          <w:bCs/>
          <w:color w:val="auto"/>
          <w:szCs w:val="24"/>
          <w:highlight w:val="none"/>
        </w:rPr>
        <w:t>五、公告期限</w:t>
      </w:r>
      <w:r>
        <w:rPr>
          <w:color w:val="auto"/>
        </w:rPr>
        <w:tab/>
      </w:r>
      <w:r>
        <w:rPr>
          <w:color w:val="auto"/>
        </w:rPr>
        <w:fldChar w:fldCharType="begin"/>
      </w:r>
      <w:r>
        <w:rPr>
          <w:color w:val="auto"/>
        </w:rPr>
        <w:instrText xml:space="preserve"> PAGEREF _Toc32088 \h </w:instrText>
      </w:r>
      <w:r>
        <w:rPr>
          <w:color w:val="auto"/>
        </w:rPr>
        <w:fldChar w:fldCharType="separate"/>
      </w:r>
      <w:r>
        <w:rPr>
          <w:color w:val="auto"/>
        </w:rPr>
        <w:t>5</w:t>
      </w:r>
      <w:r>
        <w:rPr>
          <w:color w:val="auto"/>
        </w:rPr>
        <w:fldChar w:fldCharType="end"/>
      </w:r>
      <w:r>
        <w:rPr>
          <w:rFonts w:hint="eastAsia" w:ascii="宋体" w:hAnsi="宋体" w:cs="宋体"/>
          <w:color w:val="auto"/>
          <w:szCs w:val="24"/>
          <w:highlight w:val="none"/>
        </w:rPr>
        <w:fldChar w:fldCharType="end"/>
      </w:r>
    </w:p>
    <w:p w14:paraId="7B946CB3">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_Toc30674 </w:instrText>
      </w:r>
      <w:r>
        <w:rPr>
          <w:rFonts w:hint="eastAsia" w:ascii="宋体" w:hAnsi="宋体" w:cs="宋体"/>
          <w:color w:val="auto"/>
          <w:szCs w:val="24"/>
          <w:highlight w:val="none"/>
        </w:rPr>
        <w:fldChar w:fldCharType="separate"/>
      </w:r>
      <w:r>
        <w:rPr>
          <w:rFonts w:hint="eastAsia" w:ascii="宋体" w:hAnsi="宋体" w:cs="宋体"/>
          <w:bCs/>
          <w:color w:val="auto"/>
          <w:szCs w:val="24"/>
          <w:highlight w:val="none"/>
        </w:rPr>
        <w:t>六、其他补充事宜</w:t>
      </w:r>
      <w:r>
        <w:rPr>
          <w:color w:val="auto"/>
        </w:rPr>
        <w:tab/>
      </w:r>
      <w:r>
        <w:rPr>
          <w:color w:val="auto"/>
        </w:rPr>
        <w:fldChar w:fldCharType="begin"/>
      </w:r>
      <w:r>
        <w:rPr>
          <w:color w:val="auto"/>
        </w:rPr>
        <w:instrText xml:space="preserve"> PAGEREF _Toc30674 \h </w:instrText>
      </w:r>
      <w:r>
        <w:rPr>
          <w:color w:val="auto"/>
        </w:rPr>
        <w:fldChar w:fldCharType="separate"/>
      </w:r>
      <w:r>
        <w:rPr>
          <w:color w:val="auto"/>
        </w:rPr>
        <w:t>5</w:t>
      </w:r>
      <w:r>
        <w:rPr>
          <w:color w:val="auto"/>
        </w:rPr>
        <w:fldChar w:fldCharType="end"/>
      </w:r>
      <w:r>
        <w:rPr>
          <w:rFonts w:hint="eastAsia" w:ascii="宋体" w:hAnsi="宋体" w:cs="宋体"/>
          <w:color w:val="auto"/>
          <w:szCs w:val="24"/>
          <w:highlight w:val="none"/>
        </w:rPr>
        <w:fldChar w:fldCharType="end"/>
      </w:r>
    </w:p>
    <w:p w14:paraId="4BC941AC">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_Toc19045 </w:instrText>
      </w:r>
      <w:r>
        <w:rPr>
          <w:rFonts w:hint="eastAsia" w:ascii="宋体" w:hAnsi="宋体" w:cs="宋体"/>
          <w:color w:val="auto"/>
          <w:szCs w:val="24"/>
          <w:highlight w:val="none"/>
        </w:rPr>
        <w:fldChar w:fldCharType="separate"/>
      </w:r>
      <w:r>
        <w:rPr>
          <w:rFonts w:hint="eastAsia" w:ascii="宋体" w:hAnsi="宋体" w:cs="宋体"/>
          <w:bCs/>
          <w:color w:val="auto"/>
          <w:szCs w:val="24"/>
          <w:highlight w:val="none"/>
        </w:rPr>
        <w:t>七、对本次招标提出询问，请按以下方式联系。</w:t>
      </w:r>
      <w:r>
        <w:rPr>
          <w:color w:val="auto"/>
        </w:rPr>
        <w:tab/>
      </w:r>
      <w:r>
        <w:rPr>
          <w:color w:val="auto"/>
        </w:rPr>
        <w:fldChar w:fldCharType="begin"/>
      </w:r>
      <w:r>
        <w:rPr>
          <w:color w:val="auto"/>
        </w:rPr>
        <w:instrText xml:space="preserve"> PAGEREF _Toc19045 \h </w:instrText>
      </w:r>
      <w:r>
        <w:rPr>
          <w:color w:val="auto"/>
        </w:rPr>
        <w:fldChar w:fldCharType="separate"/>
      </w:r>
      <w:r>
        <w:rPr>
          <w:color w:val="auto"/>
        </w:rPr>
        <w:t>7</w:t>
      </w:r>
      <w:r>
        <w:rPr>
          <w:color w:val="auto"/>
        </w:rPr>
        <w:fldChar w:fldCharType="end"/>
      </w:r>
      <w:r>
        <w:rPr>
          <w:rFonts w:hint="eastAsia" w:ascii="宋体" w:hAnsi="宋体" w:cs="宋体"/>
          <w:color w:val="auto"/>
          <w:szCs w:val="24"/>
          <w:highlight w:val="none"/>
        </w:rPr>
        <w:fldChar w:fldCharType="end"/>
      </w:r>
    </w:p>
    <w:p w14:paraId="2FF6FE3F">
      <w:pPr>
        <w:pStyle w:val="4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_Toc27994 </w:instrText>
      </w:r>
      <w:r>
        <w:rPr>
          <w:rFonts w:hint="eastAsia" w:ascii="宋体" w:hAnsi="宋体" w:cs="宋体"/>
          <w:color w:val="auto"/>
          <w:szCs w:val="24"/>
          <w:highlight w:val="none"/>
        </w:rPr>
        <w:fldChar w:fldCharType="separate"/>
      </w:r>
      <w:r>
        <w:rPr>
          <w:rFonts w:hint="eastAsia"/>
          <w:color w:val="auto"/>
          <w:szCs w:val="44"/>
          <w:highlight w:val="none"/>
        </w:rPr>
        <w:t xml:space="preserve">第二部分  </w:t>
      </w:r>
      <w:r>
        <w:rPr>
          <w:rFonts w:hint="eastAsia"/>
          <w:color w:val="auto"/>
          <w:szCs w:val="44"/>
          <w:highlight w:val="none"/>
          <w:lang w:eastAsia="zh-CN"/>
        </w:rPr>
        <w:t>供应商</w:t>
      </w:r>
      <w:r>
        <w:rPr>
          <w:rFonts w:hint="eastAsia"/>
          <w:color w:val="auto"/>
          <w:szCs w:val="44"/>
          <w:highlight w:val="none"/>
        </w:rPr>
        <w:t>须知</w:t>
      </w:r>
      <w:r>
        <w:rPr>
          <w:color w:val="auto"/>
        </w:rPr>
        <w:tab/>
      </w:r>
      <w:r>
        <w:rPr>
          <w:color w:val="auto"/>
        </w:rPr>
        <w:fldChar w:fldCharType="begin"/>
      </w:r>
      <w:r>
        <w:rPr>
          <w:color w:val="auto"/>
        </w:rPr>
        <w:instrText xml:space="preserve"> PAGEREF _Toc27994 \h </w:instrText>
      </w:r>
      <w:r>
        <w:rPr>
          <w:color w:val="auto"/>
        </w:rPr>
        <w:fldChar w:fldCharType="separate"/>
      </w:r>
      <w:r>
        <w:rPr>
          <w:color w:val="auto"/>
        </w:rPr>
        <w:t>8</w:t>
      </w:r>
      <w:r>
        <w:rPr>
          <w:color w:val="auto"/>
        </w:rPr>
        <w:fldChar w:fldCharType="end"/>
      </w:r>
      <w:r>
        <w:rPr>
          <w:rFonts w:hint="eastAsia" w:ascii="宋体" w:hAnsi="宋体" w:cs="宋体"/>
          <w:color w:val="auto"/>
          <w:szCs w:val="24"/>
          <w:highlight w:val="none"/>
        </w:rPr>
        <w:fldChar w:fldCharType="end"/>
      </w:r>
    </w:p>
    <w:p w14:paraId="3625F982">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_Toc21085 </w:instrText>
      </w:r>
      <w:r>
        <w:rPr>
          <w:rFonts w:hint="eastAsia" w:ascii="宋体" w:hAnsi="宋体" w:cs="宋体"/>
          <w:color w:val="auto"/>
          <w:szCs w:val="24"/>
          <w:highlight w:val="none"/>
        </w:rPr>
        <w:fldChar w:fldCharType="separate"/>
      </w:r>
      <w:r>
        <w:rPr>
          <w:rFonts w:hint="eastAsia"/>
          <w:color w:val="auto"/>
          <w:highlight w:val="none"/>
          <w:lang w:eastAsia="zh-CN"/>
        </w:rPr>
        <w:t>供应商</w:t>
      </w:r>
      <w:r>
        <w:rPr>
          <w:rFonts w:hint="eastAsia"/>
          <w:color w:val="auto"/>
          <w:highlight w:val="none"/>
        </w:rPr>
        <w:t>须知前附表</w:t>
      </w:r>
      <w:r>
        <w:rPr>
          <w:color w:val="auto"/>
        </w:rPr>
        <w:tab/>
      </w:r>
      <w:r>
        <w:rPr>
          <w:color w:val="auto"/>
        </w:rPr>
        <w:fldChar w:fldCharType="begin"/>
      </w:r>
      <w:r>
        <w:rPr>
          <w:color w:val="auto"/>
        </w:rPr>
        <w:instrText xml:space="preserve"> PAGEREF _Toc21085 \h </w:instrText>
      </w:r>
      <w:r>
        <w:rPr>
          <w:color w:val="auto"/>
        </w:rPr>
        <w:fldChar w:fldCharType="separate"/>
      </w:r>
      <w:r>
        <w:rPr>
          <w:color w:val="auto"/>
        </w:rPr>
        <w:t>8</w:t>
      </w:r>
      <w:r>
        <w:rPr>
          <w:color w:val="auto"/>
        </w:rPr>
        <w:fldChar w:fldCharType="end"/>
      </w:r>
      <w:r>
        <w:rPr>
          <w:rFonts w:hint="eastAsia" w:ascii="宋体" w:hAnsi="宋体" w:cs="宋体"/>
          <w:color w:val="auto"/>
          <w:szCs w:val="24"/>
          <w:highlight w:val="none"/>
        </w:rPr>
        <w:fldChar w:fldCharType="end"/>
      </w:r>
    </w:p>
    <w:p w14:paraId="52B02A7C">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_Toc8154 </w:instrText>
      </w:r>
      <w:r>
        <w:rPr>
          <w:rFonts w:hint="eastAsia" w:ascii="宋体" w:hAnsi="宋体" w:cs="宋体"/>
          <w:color w:val="auto"/>
          <w:szCs w:val="24"/>
          <w:highlight w:val="none"/>
        </w:rPr>
        <w:fldChar w:fldCharType="separate"/>
      </w:r>
      <w:r>
        <w:rPr>
          <w:rFonts w:hint="eastAsia" w:ascii="宋体" w:hAnsi="宋体" w:eastAsia="宋体" w:cs="宋体"/>
          <w:color w:val="auto"/>
          <w:highlight w:val="none"/>
        </w:rPr>
        <w:t>一、总 则</w:t>
      </w:r>
      <w:r>
        <w:rPr>
          <w:color w:val="auto"/>
        </w:rPr>
        <w:tab/>
      </w:r>
      <w:r>
        <w:rPr>
          <w:color w:val="auto"/>
        </w:rPr>
        <w:fldChar w:fldCharType="begin"/>
      </w:r>
      <w:r>
        <w:rPr>
          <w:color w:val="auto"/>
        </w:rPr>
        <w:instrText xml:space="preserve"> PAGEREF _Toc8154 \h </w:instrText>
      </w:r>
      <w:r>
        <w:rPr>
          <w:color w:val="auto"/>
        </w:rPr>
        <w:fldChar w:fldCharType="separate"/>
      </w:r>
      <w:r>
        <w:rPr>
          <w:color w:val="auto"/>
        </w:rPr>
        <w:t>9</w:t>
      </w:r>
      <w:r>
        <w:rPr>
          <w:color w:val="auto"/>
        </w:rPr>
        <w:fldChar w:fldCharType="end"/>
      </w:r>
      <w:r>
        <w:rPr>
          <w:rFonts w:hint="eastAsia" w:ascii="宋体" w:hAnsi="宋体" w:cs="宋体"/>
          <w:color w:val="auto"/>
          <w:szCs w:val="24"/>
          <w:highlight w:val="none"/>
        </w:rPr>
        <w:fldChar w:fldCharType="end"/>
      </w:r>
    </w:p>
    <w:p w14:paraId="1F299A65">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_Toc20295 </w:instrText>
      </w:r>
      <w:r>
        <w:rPr>
          <w:rFonts w:hint="eastAsia" w:ascii="宋体" w:hAnsi="宋体" w:cs="宋体"/>
          <w:color w:val="auto"/>
          <w:szCs w:val="24"/>
          <w:highlight w:val="none"/>
        </w:rPr>
        <w:fldChar w:fldCharType="separate"/>
      </w:r>
      <w:r>
        <w:rPr>
          <w:rFonts w:hint="eastAsia" w:ascii="宋体" w:hAnsi="宋体" w:eastAsia="宋体" w:cs="宋体"/>
          <w:color w:val="auto"/>
          <w:szCs w:val="24"/>
        </w:rPr>
        <w:t>一、总则</w:t>
      </w:r>
      <w:r>
        <w:rPr>
          <w:color w:val="auto"/>
        </w:rPr>
        <w:tab/>
      </w:r>
      <w:r>
        <w:rPr>
          <w:color w:val="auto"/>
        </w:rPr>
        <w:fldChar w:fldCharType="begin"/>
      </w:r>
      <w:r>
        <w:rPr>
          <w:color w:val="auto"/>
        </w:rPr>
        <w:instrText xml:space="preserve"> PAGEREF _Toc20295 \h </w:instrText>
      </w:r>
      <w:r>
        <w:rPr>
          <w:color w:val="auto"/>
        </w:rPr>
        <w:fldChar w:fldCharType="separate"/>
      </w:r>
      <w:r>
        <w:rPr>
          <w:color w:val="auto"/>
        </w:rPr>
        <w:t>9</w:t>
      </w:r>
      <w:r>
        <w:rPr>
          <w:color w:val="auto"/>
        </w:rPr>
        <w:fldChar w:fldCharType="end"/>
      </w:r>
      <w:r>
        <w:rPr>
          <w:rFonts w:hint="eastAsia" w:ascii="宋体" w:hAnsi="宋体" w:cs="宋体"/>
          <w:color w:val="auto"/>
          <w:szCs w:val="24"/>
          <w:highlight w:val="none"/>
        </w:rPr>
        <w:fldChar w:fldCharType="end"/>
      </w:r>
    </w:p>
    <w:p w14:paraId="70B3DC9A">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_Toc4361 </w:instrText>
      </w:r>
      <w:r>
        <w:rPr>
          <w:rFonts w:hint="eastAsia" w:ascii="宋体" w:hAnsi="宋体" w:cs="宋体"/>
          <w:color w:val="auto"/>
          <w:szCs w:val="24"/>
          <w:highlight w:val="none"/>
        </w:rPr>
        <w:fldChar w:fldCharType="separate"/>
      </w:r>
      <w:r>
        <w:rPr>
          <w:rFonts w:hint="eastAsia" w:ascii="宋体" w:hAnsi="宋体" w:eastAsia="宋体" w:cs="宋体"/>
          <w:color w:val="auto"/>
          <w:szCs w:val="24"/>
        </w:rPr>
        <w:t>二、招标文件构成</w:t>
      </w:r>
      <w:r>
        <w:rPr>
          <w:color w:val="auto"/>
        </w:rPr>
        <w:tab/>
      </w:r>
      <w:r>
        <w:rPr>
          <w:color w:val="auto"/>
        </w:rPr>
        <w:fldChar w:fldCharType="begin"/>
      </w:r>
      <w:r>
        <w:rPr>
          <w:color w:val="auto"/>
        </w:rPr>
        <w:instrText xml:space="preserve"> PAGEREF _Toc4361 \h </w:instrText>
      </w:r>
      <w:r>
        <w:rPr>
          <w:color w:val="auto"/>
        </w:rPr>
        <w:fldChar w:fldCharType="separate"/>
      </w:r>
      <w:r>
        <w:rPr>
          <w:color w:val="auto"/>
        </w:rPr>
        <w:t>9</w:t>
      </w:r>
      <w:r>
        <w:rPr>
          <w:color w:val="auto"/>
        </w:rPr>
        <w:fldChar w:fldCharType="end"/>
      </w:r>
      <w:r>
        <w:rPr>
          <w:rFonts w:hint="eastAsia" w:ascii="宋体" w:hAnsi="宋体" w:cs="宋体"/>
          <w:color w:val="auto"/>
          <w:szCs w:val="24"/>
          <w:highlight w:val="none"/>
        </w:rPr>
        <w:fldChar w:fldCharType="end"/>
      </w:r>
    </w:p>
    <w:p w14:paraId="512B9C26">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_Toc21654 </w:instrText>
      </w:r>
      <w:r>
        <w:rPr>
          <w:rFonts w:hint="eastAsia" w:ascii="宋体" w:hAnsi="宋体" w:cs="宋体"/>
          <w:color w:val="auto"/>
          <w:szCs w:val="24"/>
          <w:highlight w:val="none"/>
        </w:rPr>
        <w:fldChar w:fldCharType="separate"/>
      </w:r>
      <w:r>
        <w:rPr>
          <w:rFonts w:hint="eastAsia" w:ascii="宋体" w:hAnsi="宋体" w:eastAsia="宋体" w:cs="宋体"/>
          <w:color w:val="auto"/>
          <w:szCs w:val="24"/>
        </w:rPr>
        <w:t>三、投标文件的编制</w:t>
      </w:r>
      <w:r>
        <w:rPr>
          <w:color w:val="auto"/>
        </w:rPr>
        <w:tab/>
      </w:r>
      <w:r>
        <w:rPr>
          <w:color w:val="auto"/>
        </w:rPr>
        <w:fldChar w:fldCharType="begin"/>
      </w:r>
      <w:r>
        <w:rPr>
          <w:color w:val="auto"/>
        </w:rPr>
        <w:instrText xml:space="preserve"> PAGEREF _Toc21654 \h </w:instrText>
      </w:r>
      <w:r>
        <w:rPr>
          <w:color w:val="auto"/>
        </w:rPr>
        <w:fldChar w:fldCharType="separate"/>
      </w:r>
      <w:r>
        <w:rPr>
          <w:color w:val="auto"/>
        </w:rPr>
        <w:t>10</w:t>
      </w:r>
      <w:r>
        <w:rPr>
          <w:color w:val="auto"/>
        </w:rPr>
        <w:fldChar w:fldCharType="end"/>
      </w:r>
      <w:r>
        <w:rPr>
          <w:rFonts w:hint="eastAsia" w:ascii="宋体" w:hAnsi="宋体" w:cs="宋体"/>
          <w:color w:val="auto"/>
          <w:szCs w:val="24"/>
          <w:highlight w:val="none"/>
        </w:rPr>
        <w:fldChar w:fldCharType="end"/>
      </w:r>
    </w:p>
    <w:p w14:paraId="2D1E9C22">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_Toc17572 </w:instrText>
      </w:r>
      <w:r>
        <w:rPr>
          <w:rFonts w:hint="eastAsia" w:ascii="宋体" w:hAnsi="宋体" w:cs="宋体"/>
          <w:color w:val="auto"/>
          <w:szCs w:val="24"/>
          <w:highlight w:val="none"/>
        </w:rPr>
        <w:fldChar w:fldCharType="separate"/>
      </w:r>
      <w:r>
        <w:rPr>
          <w:rFonts w:hint="eastAsia" w:ascii="宋体" w:hAnsi="宋体" w:eastAsia="宋体" w:cs="宋体"/>
          <w:color w:val="auto"/>
          <w:szCs w:val="24"/>
        </w:rPr>
        <w:t>五、开标、评标与定标</w:t>
      </w:r>
      <w:r>
        <w:rPr>
          <w:color w:val="auto"/>
        </w:rPr>
        <w:tab/>
      </w:r>
      <w:r>
        <w:rPr>
          <w:color w:val="auto"/>
        </w:rPr>
        <w:fldChar w:fldCharType="begin"/>
      </w:r>
      <w:r>
        <w:rPr>
          <w:color w:val="auto"/>
        </w:rPr>
        <w:instrText xml:space="preserve"> PAGEREF _Toc17572 \h </w:instrText>
      </w:r>
      <w:r>
        <w:rPr>
          <w:color w:val="auto"/>
        </w:rPr>
        <w:fldChar w:fldCharType="separate"/>
      </w:r>
      <w:r>
        <w:rPr>
          <w:color w:val="auto"/>
        </w:rPr>
        <w:t>13</w:t>
      </w:r>
      <w:r>
        <w:rPr>
          <w:color w:val="auto"/>
        </w:rPr>
        <w:fldChar w:fldCharType="end"/>
      </w:r>
      <w:r>
        <w:rPr>
          <w:rFonts w:hint="eastAsia" w:ascii="宋体" w:hAnsi="宋体" w:cs="宋体"/>
          <w:color w:val="auto"/>
          <w:szCs w:val="24"/>
          <w:highlight w:val="none"/>
        </w:rPr>
        <w:fldChar w:fldCharType="end"/>
      </w:r>
    </w:p>
    <w:p w14:paraId="1B7ACC92">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_Toc1226 </w:instrText>
      </w:r>
      <w:r>
        <w:rPr>
          <w:rFonts w:hint="eastAsia" w:ascii="宋体" w:hAnsi="宋体" w:cs="宋体"/>
          <w:color w:val="auto"/>
          <w:szCs w:val="24"/>
          <w:highlight w:val="none"/>
        </w:rPr>
        <w:fldChar w:fldCharType="separate"/>
      </w:r>
      <w:r>
        <w:rPr>
          <w:rFonts w:hint="eastAsia" w:ascii="宋体" w:hAnsi="宋体" w:eastAsia="宋体" w:cs="宋体"/>
          <w:color w:val="auto"/>
          <w:szCs w:val="24"/>
        </w:rPr>
        <w:t>六、签订合同</w:t>
      </w:r>
      <w:r>
        <w:rPr>
          <w:color w:val="auto"/>
        </w:rPr>
        <w:tab/>
      </w:r>
      <w:r>
        <w:rPr>
          <w:color w:val="auto"/>
        </w:rPr>
        <w:fldChar w:fldCharType="begin"/>
      </w:r>
      <w:r>
        <w:rPr>
          <w:color w:val="auto"/>
        </w:rPr>
        <w:instrText xml:space="preserve"> PAGEREF _Toc1226 \h </w:instrText>
      </w:r>
      <w:r>
        <w:rPr>
          <w:color w:val="auto"/>
        </w:rPr>
        <w:fldChar w:fldCharType="separate"/>
      </w:r>
      <w:r>
        <w:rPr>
          <w:color w:val="auto"/>
        </w:rPr>
        <w:t>16</w:t>
      </w:r>
      <w:r>
        <w:rPr>
          <w:color w:val="auto"/>
        </w:rPr>
        <w:fldChar w:fldCharType="end"/>
      </w:r>
      <w:r>
        <w:rPr>
          <w:rFonts w:hint="eastAsia" w:ascii="宋体" w:hAnsi="宋体" w:cs="宋体"/>
          <w:color w:val="auto"/>
          <w:szCs w:val="24"/>
          <w:highlight w:val="none"/>
        </w:rPr>
        <w:fldChar w:fldCharType="end"/>
      </w:r>
    </w:p>
    <w:p w14:paraId="13FB652A">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_Toc4633 </w:instrText>
      </w:r>
      <w:r>
        <w:rPr>
          <w:rFonts w:hint="eastAsia" w:ascii="宋体" w:hAnsi="宋体" w:cs="宋体"/>
          <w:color w:val="auto"/>
          <w:szCs w:val="24"/>
          <w:highlight w:val="none"/>
        </w:rPr>
        <w:fldChar w:fldCharType="separate"/>
      </w:r>
      <w:r>
        <w:rPr>
          <w:rFonts w:hint="eastAsia" w:ascii="宋体" w:hAnsi="宋体" w:eastAsia="宋体" w:cs="宋体"/>
          <w:color w:val="auto"/>
          <w:szCs w:val="24"/>
        </w:rPr>
        <w:t>七、质疑</w:t>
      </w:r>
      <w:r>
        <w:rPr>
          <w:color w:val="auto"/>
        </w:rPr>
        <w:tab/>
      </w:r>
      <w:r>
        <w:rPr>
          <w:color w:val="auto"/>
        </w:rPr>
        <w:fldChar w:fldCharType="begin"/>
      </w:r>
      <w:r>
        <w:rPr>
          <w:color w:val="auto"/>
        </w:rPr>
        <w:instrText xml:space="preserve"> PAGEREF _Toc4633 \h </w:instrText>
      </w:r>
      <w:r>
        <w:rPr>
          <w:color w:val="auto"/>
        </w:rPr>
        <w:fldChar w:fldCharType="separate"/>
      </w:r>
      <w:r>
        <w:rPr>
          <w:color w:val="auto"/>
        </w:rPr>
        <w:t>17</w:t>
      </w:r>
      <w:r>
        <w:rPr>
          <w:color w:val="auto"/>
        </w:rPr>
        <w:fldChar w:fldCharType="end"/>
      </w:r>
      <w:r>
        <w:rPr>
          <w:rFonts w:hint="eastAsia" w:ascii="宋体" w:hAnsi="宋体" w:cs="宋体"/>
          <w:color w:val="auto"/>
          <w:szCs w:val="24"/>
          <w:highlight w:val="none"/>
        </w:rPr>
        <w:fldChar w:fldCharType="end"/>
      </w:r>
    </w:p>
    <w:p w14:paraId="77D3A12D">
      <w:pPr>
        <w:pStyle w:val="4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_Toc17626 </w:instrText>
      </w:r>
      <w:r>
        <w:rPr>
          <w:rFonts w:hint="eastAsia" w:ascii="宋体" w:hAnsi="宋体" w:cs="宋体"/>
          <w:color w:val="auto"/>
          <w:szCs w:val="24"/>
          <w:highlight w:val="none"/>
        </w:rPr>
        <w:fldChar w:fldCharType="separate"/>
      </w:r>
      <w:r>
        <w:rPr>
          <w:rFonts w:hint="eastAsia"/>
          <w:color w:val="auto"/>
          <w:szCs w:val="44"/>
          <w:highlight w:val="none"/>
        </w:rPr>
        <w:t>第三部分  评标方法和标准</w:t>
      </w:r>
      <w:r>
        <w:rPr>
          <w:color w:val="auto"/>
        </w:rPr>
        <w:tab/>
      </w:r>
      <w:r>
        <w:rPr>
          <w:color w:val="auto"/>
        </w:rPr>
        <w:fldChar w:fldCharType="begin"/>
      </w:r>
      <w:r>
        <w:rPr>
          <w:color w:val="auto"/>
        </w:rPr>
        <w:instrText xml:space="preserve"> PAGEREF _Toc17626 \h </w:instrText>
      </w:r>
      <w:r>
        <w:rPr>
          <w:color w:val="auto"/>
        </w:rPr>
        <w:fldChar w:fldCharType="separate"/>
      </w:r>
      <w:r>
        <w:rPr>
          <w:color w:val="auto"/>
        </w:rPr>
        <w:t>18</w:t>
      </w:r>
      <w:r>
        <w:rPr>
          <w:color w:val="auto"/>
        </w:rPr>
        <w:fldChar w:fldCharType="end"/>
      </w:r>
      <w:r>
        <w:rPr>
          <w:rFonts w:hint="eastAsia" w:ascii="宋体" w:hAnsi="宋体" w:cs="宋体"/>
          <w:color w:val="auto"/>
          <w:szCs w:val="24"/>
          <w:highlight w:val="none"/>
        </w:rPr>
        <w:fldChar w:fldCharType="end"/>
      </w:r>
    </w:p>
    <w:p w14:paraId="66B9D455">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_Toc4281 </w:instrText>
      </w:r>
      <w:r>
        <w:rPr>
          <w:rFonts w:hint="eastAsia" w:ascii="宋体" w:hAnsi="宋体" w:cs="宋体"/>
          <w:color w:val="auto"/>
          <w:szCs w:val="24"/>
          <w:highlight w:val="none"/>
        </w:rPr>
        <w:fldChar w:fldCharType="separate"/>
      </w:r>
      <w:r>
        <w:rPr>
          <w:rFonts w:hint="eastAsia"/>
          <w:color w:val="auto"/>
          <w:highlight w:val="none"/>
        </w:rPr>
        <w:t>一、资格审查</w:t>
      </w:r>
      <w:r>
        <w:rPr>
          <w:color w:val="auto"/>
        </w:rPr>
        <w:tab/>
      </w:r>
      <w:r>
        <w:rPr>
          <w:color w:val="auto"/>
        </w:rPr>
        <w:fldChar w:fldCharType="begin"/>
      </w:r>
      <w:r>
        <w:rPr>
          <w:color w:val="auto"/>
        </w:rPr>
        <w:instrText xml:space="preserve"> PAGEREF _Toc4281 \h </w:instrText>
      </w:r>
      <w:r>
        <w:rPr>
          <w:color w:val="auto"/>
        </w:rPr>
        <w:fldChar w:fldCharType="separate"/>
      </w:r>
      <w:r>
        <w:rPr>
          <w:color w:val="auto"/>
        </w:rPr>
        <w:t>18</w:t>
      </w:r>
      <w:r>
        <w:rPr>
          <w:color w:val="auto"/>
        </w:rPr>
        <w:fldChar w:fldCharType="end"/>
      </w:r>
      <w:r>
        <w:rPr>
          <w:rFonts w:hint="eastAsia" w:ascii="宋体" w:hAnsi="宋体" w:cs="宋体"/>
          <w:color w:val="auto"/>
          <w:szCs w:val="24"/>
          <w:highlight w:val="none"/>
        </w:rPr>
        <w:fldChar w:fldCharType="end"/>
      </w:r>
    </w:p>
    <w:p w14:paraId="54A8FD71">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_Toc25638 </w:instrText>
      </w:r>
      <w:r>
        <w:rPr>
          <w:rFonts w:hint="eastAsia" w:ascii="宋体" w:hAnsi="宋体" w:cs="宋体"/>
          <w:color w:val="auto"/>
          <w:szCs w:val="24"/>
          <w:highlight w:val="none"/>
        </w:rPr>
        <w:fldChar w:fldCharType="separate"/>
      </w:r>
      <w:r>
        <w:rPr>
          <w:rFonts w:hint="eastAsia"/>
          <w:color w:val="auto"/>
        </w:rPr>
        <w:t xml:space="preserve">二、 </w:t>
      </w:r>
      <w:r>
        <w:rPr>
          <w:rFonts w:hint="eastAsia"/>
          <w:color w:val="auto"/>
          <w:highlight w:val="none"/>
        </w:rPr>
        <w:t>符合性审查</w:t>
      </w:r>
      <w:r>
        <w:rPr>
          <w:color w:val="auto"/>
        </w:rPr>
        <w:tab/>
      </w:r>
      <w:r>
        <w:rPr>
          <w:color w:val="auto"/>
        </w:rPr>
        <w:fldChar w:fldCharType="begin"/>
      </w:r>
      <w:r>
        <w:rPr>
          <w:color w:val="auto"/>
        </w:rPr>
        <w:instrText xml:space="preserve"> PAGEREF _Toc25638 \h </w:instrText>
      </w:r>
      <w:r>
        <w:rPr>
          <w:color w:val="auto"/>
        </w:rPr>
        <w:fldChar w:fldCharType="separate"/>
      </w:r>
      <w:r>
        <w:rPr>
          <w:color w:val="auto"/>
        </w:rPr>
        <w:t>19</w:t>
      </w:r>
      <w:r>
        <w:rPr>
          <w:color w:val="auto"/>
        </w:rPr>
        <w:fldChar w:fldCharType="end"/>
      </w:r>
      <w:r>
        <w:rPr>
          <w:rFonts w:hint="eastAsia" w:ascii="宋体" w:hAnsi="宋体" w:cs="宋体"/>
          <w:color w:val="auto"/>
          <w:szCs w:val="24"/>
          <w:highlight w:val="none"/>
        </w:rPr>
        <w:fldChar w:fldCharType="end"/>
      </w:r>
    </w:p>
    <w:p w14:paraId="2F1FE8CF">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_Toc23155 </w:instrText>
      </w:r>
      <w:r>
        <w:rPr>
          <w:rFonts w:hint="eastAsia" w:ascii="宋体" w:hAnsi="宋体" w:cs="宋体"/>
          <w:color w:val="auto"/>
          <w:szCs w:val="24"/>
          <w:highlight w:val="none"/>
        </w:rPr>
        <w:fldChar w:fldCharType="separate"/>
      </w:r>
      <w:r>
        <w:rPr>
          <w:rFonts w:hint="eastAsia"/>
          <w:color w:val="auto"/>
        </w:rPr>
        <w:t xml:space="preserve">三、 </w:t>
      </w:r>
      <w:r>
        <w:rPr>
          <w:color w:val="auto"/>
          <w:highlight w:val="none"/>
        </w:rPr>
        <w:t>评分办法—综合评分法</w:t>
      </w:r>
      <w:r>
        <w:rPr>
          <w:color w:val="auto"/>
        </w:rPr>
        <w:tab/>
      </w:r>
      <w:r>
        <w:rPr>
          <w:color w:val="auto"/>
        </w:rPr>
        <w:fldChar w:fldCharType="begin"/>
      </w:r>
      <w:r>
        <w:rPr>
          <w:color w:val="auto"/>
        </w:rPr>
        <w:instrText xml:space="preserve"> PAGEREF _Toc23155 \h </w:instrText>
      </w:r>
      <w:r>
        <w:rPr>
          <w:color w:val="auto"/>
        </w:rPr>
        <w:fldChar w:fldCharType="separate"/>
      </w:r>
      <w:r>
        <w:rPr>
          <w:color w:val="auto"/>
        </w:rPr>
        <w:t>19</w:t>
      </w:r>
      <w:r>
        <w:rPr>
          <w:color w:val="auto"/>
        </w:rPr>
        <w:fldChar w:fldCharType="end"/>
      </w:r>
      <w:r>
        <w:rPr>
          <w:rFonts w:hint="eastAsia" w:ascii="宋体" w:hAnsi="宋体" w:cs="宋体"/>
          <w:color w:val="auto"/>
          <w:szCs w:val="24"/>
          <w:highlight w:val="none"/>
        </w:rPr>
        <w:fldChar w:fldCharType="end"/>
      </w:r>
    </w:p>
    <w:p w14:paraId="5B022BE8">
      <w:pPr>
        <w:pStyle w:val="4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_Toc9411 </w:instrText>
      </w:r>
      <w:r>
        <w:rPr>
          <w:rFonts w:hint="eastAsia" w:ascii="宋体" w:hAnsi="宋体" w:cs="宋体"/>
          <w:color w:val="auto"/>
          <w:szCs w:val="24"/>
          <w:highlight w:val="none"/>
        </w:rPr>
        <w:fldChar w:fldCharType="separate"/>
      </w:r>
      <w:r>
        <w:rPr>
          <w:rFonts w:hint="eastAsia"/>
          <w:color w:val="auto"/>
          <w:szCs w:val="44"/>
          <w:highlight w:val="none"/>
        </w:rPr>
        <w:t>第四部分 采购需求</w:t>
      </w:r>
      <w:r>
        <w:rPr>
          <w:color w:val="auto"/>
        </w:rPr>
        <w:tab/>
      </w:r>
      <w:r>
        <w:rPr>
          <w:color w:val="auto"/>
        </w:rPr>
        <w:fldChar w:fldCharType="begin"/>
      </w:r>
      <w:r>
        <w:rPr>
          <w:color w:val="auto"/>
        </w:rPr>
        <w:instrText xml:space="preserve"> PAGEREF _Toc9411 \h </w:instrText>
      </w:r>
      <w:r>
        <w:rPr>
          <w:color w:val="auto"/>
        </w:rPr>
        <w:fldChar w:fldCharType="separate"/>
      </w:r>
      <w:r>
        <w:rPr>
          <w:color w:val="auto"/>
        </w:rPr>
        <w:t>23</w:t>
      </w:r>
      <w:r>
        <w:rPr>
          <w:color w:val="auto"/>
        </w:rPr>
        <w:fldChar w:fldCharType="end"/>
      </w:r>
      <w:r>
        <w:rPr>
          <w:rFonts w:hint="eastAsia" w:ascii="宋体" w:hAnsi="宋体" w:cs="宋体"/>
          <w:color w:val="auto"/>
          <w:szCs w:val="24"/>
          <w:highlight w:val="none"/>
        </w:rPr>
        <w:fldChar w:fldCharType="end"/>
      </w:r>
    </w:p>
    <w:p w14:paraId="378F15FC">
      <w:pPr>
        <w:pStyle w:val="4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_Toc349 </w:instrText>
      </w:r>
      <w:r>
        <w:rPr>
          <w:rFonts w:hint="eastAsia" w:ascii="宋体" w:hAnsi="宋体" w:cs="宋体"/>
          <w:color w:val="auto"/>
          <w:szCs w:val="24"/>
          <w:highlight w:val="none"/>
        </w:rPr>
        <w:fldChar w:fldCharType="separate"/>
      </w:r>
      <w:r>
        <w:rPr>
          <w:rFonts w:hint="eastAsia" w:ascii="Calibri"/>
          <w:color w:val="auto"/>
          <w:szCs w:val="44"/>
        </w:rPr>
        <w:t xml:space="preserve">第五部分 </w:t>
      </w:r>
      <w:r>
        <w:rPr>
          <w:rFonts w:hint="eastAsia" w:ascii="Calibri"/>
          <w:color w:val="auto"/>
          <w:szCs w:val="44"/>
          <w:highlight w:val="none"/>
        </w:rPr>
        <w:t>合同格式及条款</w:t>
      </w:r>
      <w:r>
        <w:rPr>
          <w:color w:val="auto"/>
        </w:rPr>
        <w:tab/>
      </w:r>
      <w:r>
        <w:rPr>
          <w:color w:val="auto"/>
        </w:rPr>
        <w:fldChar w:fldCharType="begin"/>
      </w:r>
      <w:r>
        <w:rPr>
          <w:color w:val="auto"/>
        </w:rPr>
        <w:instrText xml:space="preserve"> PAGEREF _Toc349 \h </w:instrText>
      </w:r>
      <w:r>
        <w:rPr>
          <w:color w:val="auto"/>
        </w:rPr>
        <w:fldChar w:fldCharType="separate"/>
      </w:r>
      <w:r>
        <w:rPr>
          <w:color w:val="auto"/>
        </w:rPr>
        <w:t>25</w:t>
      </w:r>
      <w:r>
        <w:rPr>
          <w:color w:val="auto"/>
        </w:rPr>
        <w:fldChar w:fldCharType="end"/>
      </w:r>
      <w:r>
        <w:rPr>
          <w:rFonts w:hint="eastAsia" w:ascii="宋体" w:hAnsi="宋体" w:cs="宋体"/>
          <w:color w:val="auto"/>
          <w:szCs w:val="24"/>
          <w:highlight w:val="none"/>
        </w:rPr>
        <w:fldChar w:fldCharType="end"/>
      </w:r>
    </w:p>
    <w:p w14:paraId="4FDBEEC6">
      <w:pPr>
        <w:pStyle w:val="4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_Toc12127 </w:instrText>
      </w:r>
      <w:r>
        <w:rPr>
          <w:rFonts w:hint="eastAsia" w:ascii="宋体" w:hAnsi="宋体" w:cs="宋体"/>
          <w:color w:val="auto"/>
          <w:szCs w:val="24"/>
          <w:highlight w:val="none"/>
        </w:rPr>
        <w:fldChar w:fldCharType="separate"/>
      </w:r>
      <w:r>
        <w:rPr>
          <w:rFonts w:hint="eastAsia"/>
          <w:color w:val="auto"/>
          <w:szCs w:val="44"/>
          <w:highlight w:val="none"/>
        </w:rPr>
        <w:t>第六部分  投标文件格式</w:t>
      </w:r>
      <w:r>
        <w:rPr>
          <w:color w:val="auto"/>
        </w:rPr>
        <w:tab/>
      </w:r>
      <w:r>
        <w:rPr>
          <w:color w:val="auto"/>
        </w:rPr>
        <w:fldChar w:fldCharType="begin"/>
      </w:r>
      <w:r>
        <w:rPr>
          <w:color w:val="auto"/>
        </w:rPr>
        <w:instrText xml:space="preserve"> PAGEREF _Toc12127 \h </w:instrText>
      </w:r>
      <w:r>
        <w:rPr>
          <w:color w:val="auto"/>
        </w:rPr>
        <w:fldChar w:fldCharType="separate"/>
      </w:r>
      <w:r>
        <w:rPr>
          <w:color w:val="auto"/>
        </w:rPr>
        <w:t>54</w:t>
      </w:r>
      <w:r>
        <w:rPr>
          <w:color w:val="auto"/>
        </w:rPr>
        <w:fldChar w:fldCharType="end"/>
      </w:r>
      <w:r>
        <w:rPr>
          <w:rFonts w:hint="eastAsia" w:ascii="宋体" w:hAnsi="宋体" w:cs="宋体"/>
          <w:color w:val="auto"/>
          <w:szCs w:val="24"/>
          <w:highlight w:val="none"/>
        </w:rPr>
        <w:fldChar w:fldCharType="end"/>
      </w:r>
    </w:p>
    <w:p w14:paraId="7B339859">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_Toc13980 </w:instrText>
      </w:r>
      <w:r>
        <w:rPr>
          <w:rFonts w:hint="eastAsia" w:ascii="宋体" w:hAnsi="宋体" w:cs="宋体"/>
          <w:color w:val="auto"/>
          <w:szCs w:val="24"/>
          <w:highlight w:val="none"/>
        </w:rPr>
        <w:fldChar w:fldCharType="separate"/>
      </w:r>
      <w:r>
        <w:rPr>
          <w:color w:val="auto"/>
          <w:highlight w:val="none"/>
        </w:rPr>
        <w:t>封面</w:t>
      </w:r>
      <w:r>
        <w:rPr>
          <w:color w:val="auto"/>
        </w:rPr>
        <w:tab/>
      </w:r>
      <w:r>
        <w:rPr>
          <w:color w:val="auto"/>
        </w:rPr>
        <w:fldChar w:fldCharType="begin"/>
      </w:r>
      <w:r>
        <w:rPr>
          <w:color w:val="auto"/>
        </w:rPr>
        <w:instrText xml:space="preserve"> PAGEREF _Toc13980 \h </w:instrText>
      </w:r>
      <w:r>
        <w:rPr>
          <w:color w:val="auto"/>
        </w:rPr>
        <w:fldChar w:fldCharType="separate"/>
      </w:r>
      <w:r>
        <w:rPr>
          <w:color w:val="auto"/>
        </w:rPr>
        <w:t>54</w:t>
      </w:r>
      <w:r>
        <w:rPr>
          <w:color w:val="auto"/>
        </w:rPr>
        <w:fldChar w:fldCharType="end"/>
      </w:r>
      <w:r>
        <w:rPr>
          <w:rFonts w:hint="eastAsia" w:ascii="宋体" w:hAnsi="宋体" w:cs="宋体"/>
          <w:color w:val="auto"/>
          <w:szCs w:val="24"/>
          <w:highlight w:val="none"/>
        </w:rPr>
        <w:fldChar w:fldCharType="end"/>
      </w:r>
    </w:p>
    <w:p w14:paraId="5D4E72BC">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_Toc5903 </w:instrText>
      </w:r>
      <w:r>
        <w:rPr>
          <w:rFonts w:hint="eastAsia" w:ascii="宋体" w:hAnsi="宋体" w:cs="宋体"/>
          <w:color w:val="auto"/>
          <w:szCs w:val="24"/>
          <w:highlight w:val="none"/>
        </w:rPr>
        <w:fldChar w:fldCharType="separate"/>
      </w:r>
      <w:r>
        <w:rPr>
          <w:color w:val="auto"/>
          <w:highlight w:val="none"/>
        </w:rPr>
        <w:t>目录</w:t>
      </w:r>
      <w:r>
        <w:rPr>
          <w:color w:val="auto"/>
        </w:rPr>
        <w:tab/>
      </w:r>
      <w:r>
        <w:rPr>
          <w:color w:val="auto"/>
        </w:rPr>
        <w:fldChar w:fldCharType="begin"/>
      </w:r>
      <w:r>
        <w:rPr>
          <w:color w:val="auto"/>
        </w:rPr>
        <w:instrText xml:space="preserve"> PAGEREF _Toc5903 \h </w:instrText>
      </w:r>
      <w:r>
        <w:rPr>
          <w:color w:val="auto"/>
        </w:rPr>
        <w:fldChar w:fldCharType="separate"/>
      </w:r>
      <w:r>
        <w:rPr>
          <w:color w:val="auto"/>
        </w:rPr>
        <w:t>55</w:t>
      </w:r>
      <w:r>
        <w:rPr>
          <w:color w:val="auto"/>
        </w:rPr>
        <w:fldChar w:fldCharType="end"/>
      </w:r>
      <w:r>
        <w:rPr>
          <w:rFonts w:hint="eastAsia" w:ascii="宋体" w:hAnsi="宋体" w:cs="宋体"/>
          <w:color w:val="auto"/>
          <w:szCs w:val="24"/>
          <w:highlight w:val="none"/>
        </w:rPr>
        <w:fldChar w:fldCharType="end"/>
      </w:r>
    </w:p>
    <w:p w14:paraId="70DAA205">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_Toc21860 </w:instrText>
      </w:r>
      <w:r>
        <w:rPr>
          <w:rFonts w:hint="eastAsia" w:ascii="宋体" w:hAnsi="宋体" w:cs="宋体"/>
          <w:color w:val="auto"/>
          <w:szCs w:val="24"/>
          <w:highlight w:val="none"/>
        </w:rPr>
        <w:fldChar w:fldCharType="separate"/>
      </w:r>
      <w:r>
        <w:rPr>
          <w:color w:val="auto"/>
          <w:highlight w:val="none"/>
        </w:rPr>
        <w:t>一、</w:t>
      </w:r>
      <w:r>
        <w:rPr>
          <w:rFonts w:hint="eastAsia"/>
          <w:color w:val="auto"/>
          <w:highlight w:val="none"/>
          <w:lang w:eastAsia="zh-CN"/>
        </w:rPr>
        <w:t>供应商</w:t>
      </w:r>
      <w:r>
        <w:rPr>
          <w:color w:val="auto"/>
          <w:highlight w:val="none"/>
        </w:rPr>
        <w:t>基本情况</w:t>
      </w:r>
      <w:r>
        <w:rPr>
          <w:color w:val="auto"/>
        </w:rPr>
        <w:tab/>
      </w:r>
      <w:r>
        <w:rPr>
          <w:color w:val="auto"/>
        </w:rPr>
        <w:fldChar w:fldCharType="begin"/>
      </w:r>
      <w:r>
        <w:rPr>
          <w:color w:val="auto"/>
        </w:rPr>
        <w:instrText xml:space="preserve"> PAGEREF _Toc21860 \h </w:instrText>
      </w:r>
      <w:r>
        <w:rPr>
          <w:color w:val="auto"/>
        </w:rPr>
        <w:fldChar w:fldCharType="separate"/>
      </w:r>
      <w:r>
        <w:rPr>
          <w:color w:val="auto"/>
        </w:rPr>
        <w:t>56</w:t>
      </w:r>
      <w:r>
        <w:rPr>
          <w:color w:val="auto"/>
        </w:rPr>
        <w:fldChar w:fldCharType="end"/>
      </w:r>
      <w:r>
        <w:rPr>
          <w:rFonts w:hint="eastAsia" w:ascii="宋体" w:hAnsi="宋体" w:cs="宋体"/>
          <w:color w:val="auto"/>
          <w:szCs w:val="24"/>
          <w:highlight w:val="none"/>
        </w:rPr>
        <w:fldChar w:fldCharType="end"/>
      </w:r>
    </w:p>
    <w:p w14:paraId="05A4CDD1">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_Toc29894 </w:instrText>
      </w:r>
      <w:r>
        <w:rPr>
          <w:rFonts w:hint="eastAsia" w:ascii="宋体" w:hAnsi="宋体" w:cs="宋体"/>
          <w:color w:val="auto"/>
          <w:szCs w:val="24"/>
          <w:highlight w:val="none"/>
        </w:rPr>
        <w:fldChar w:fldCharType="separate"/>
      </w:r>
      <w:r>
        <w:rPr>
          <w:color w:val="auto"/>
          <w:highlight w:val="none"/>
        </w:rPr>
        <w:t>二、</w:t>
      </w:r>
      <w:r>
        <w:rPr>
          <w:rFonts w:hint="eastAsia"/>
          <w:color w:val="auto"/>
          <w:highlight w:val="none"/>
          <w:lang w:val="en-US" w:eastAsia="zh-CN"/>
        </w:rPr>
        <w:t>供应商</w:t>
      </w:r>
      <w:r>
        <w:rPr>
          <w:color w:val="auto"/>
          <w:highlight w:val="none"/>
        </w:rPr>
        <w:t>资质</w:t>
      </w:r>
      <w:r>
        <w:rPr>
          <w:rFonts w:hint="eastAsia"/>
          <w:color w:val="auto"/>
          <w:highlight w:val="none"/>
          <w:lang w:eastAsia="zh-CN"/>
        </w:rPr>
        <w:t>（</w:t>
      </w:r>
      <w:r>
        <w:rPr>
          <w:rFonts w:hint="eastAsia"/>
          <w:color w:val="auto"/>
          <w:highlight w:val="none"/>
          <w:lang w:val="en-US" w:eastAsia="zh-CN"/>
        </w:rPr>
        <w:t>按资格要求提供</w:t>
      </w:r>
      <w:r>
        <w:rPr>
          <w:rFonts w:hint="eastAsia"/>
          <w:color w:val="auto"/>
          <w:highlight w:val="none"/>
          <w:lang w:eastAsia="zh-CN"/>
        </w:rPr>
        <w:t>）</w:t>
      </w:r>
      <w:r>
        <w:rPr>
          <w:color w:val="auto"/>
        </w:rPr>
        <w:tab/>
      </w:r>
      <w:r>
        <w:rPr>
          <w:color w:val="auto"/>
        </w:rPr>
        <w:fldChar w:fldCharType="begin"/>
      </w:r>
      <w:r>
        <w:rPr>
          <w:color w:val="auto"/>
        </w:rPr>
        <w:instrText xml:space="preserve"> PAGEREF _Toc29894 \h </w:instrText>
      </w:r>
      <w:r>
        <w:rPr>
          <w:color w:val="auto"/>
        </w:rPr>
        <w:fldChar w:fldCharType="separate"/>
      </w:r>
      <w:r>
        <w:rPr>
          <w:color w:val="auto"/>
        </w:rPr>
        <w:t>57</w:t>
      </w:r>
      <w:r>
        <w:rPr>
          <w:color w:val="auto"/>
        </w:rPr>
        <w:fldChar w:fldCharType="end"/>
      </w:r>
      <w:r>
        <w:rPr>
          <w:rFonts w:hint="eastAsia" w:ascii="宋体" w:hAnsi="宋体" w:cs="宋体"/>
          <w:color w:val="auto"/>
          <w:szCs w:val="24"/>
          <w:highlight w:val="none"/>
        </w:rPr>
        <w:fldChar w:fldCharType="end"/>
      </w:r>
    </w:p>
    <w:p w14:paraId="480DC269">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_Toc23340 </w:instrText>
      </w:r>
      <w:r>
        <w:rPr>
          <w:rFonts w:hint="eastAsia" w:ascii="宋体" w:hAnsi="宋体" w:cs="宋体"/>
          <w:color w:val="auto"/>
          <w:szCs w:val="24"/>
          <w:highlight w:val="none"/>
        </w:rPr>
        <w:fldChar w:fldCharType="separate"/>
      </w:r>
      <w:r>
        <w:rPr>
          <w:color w:val="auto"/>
          <w:highlight w:val="none"/>
        </w:rPr>
        <w:t>三、</w:t>
      </w:r>
      <w:r>
        <w:rPr>
          <w:rFonts w:hint="eastAsia"/>
          <w:color w:val="auto"/>
          <w:highlight w:val="none"/>
          <w:lang w:eastAsia="zh-CN"/>
        </w:rPr>
        <w:t>供应商</w:t>
      </w:r>
      <w:r>
        <w:rPr>
          <w:rFonts w:hint="eastAsia" w:ascii="宋体" w:hAnsi="宋体" w:cs="Arial"/>
          <w:bCs/>
          <w:color w:val="auto"/>
          <w:highlight w:val="none"/>
        </w:rPr>
        <w:t>具有良好的商业信誉和健全的财务会计制度</w:t>
      </w:r>
      <w:r>
        <w:rPr>
          <w:color w:val="auto"/>
        </w:rPr>
        <w:tab/>
      </w:r>
      <w:r>
        <w:rPr>
          <w:color w:val="auto"/>
        </w:rPr>
        <w:fldChar w:fldCharType="begin"/>
      </w:r>
      <w:r>
        <w:rPr>
          <w:color w:val="auto"/>
        </w:rPr>
        <w:instrText xml:space="preserve"> PAGEREF _Toc23340 \h </w:instrText>
      </w:r>
      <w:r>
        <w:rPr>
          <w:color w:val="auto"/>
        </w:rPr>
        <w:fldChar w:fldCharType="separate"/>
      </w:r>
      <w:r>
        <w:rPr>
          <w:color w:val="auto"/>
        </w:rPr>
        <w:t>58</w:t>
      </w:r>
      <w:r>
        <w:rPr>
          <w:color w:val="auto"/>
        </w:rPr>
        <w:fldChar w:fldCharType="end"/>
      </w:r>
      <w:r>
        <w:rPr>
          <w:rFonts w:hint="eastAsia" w:ascii="宋体" w:hAnsi="宋体" w:cs="宋体"/>
          <w:color w:val="auto"/>
          <w:szCs w:val="24"/>
          <w:highlight w:val="none"/>
        </w:rPr>
        <w:fldChar w:fldCharType="end"/>
      </w:r>
    </w:p>
    <w:p w14:paraId="25D11474">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_Toc8006 </w:instrText>
      </w:r>
      <w:r>
        <w:rPr>
          <w:rFonts w:hint="eastAsia" w:ascii="宋体" w:hAnsi="宋体" w:cs="宋体"/>
          <w:color w:val="auto"/>
          <w:szCs w:val="24"/>
          <w:highlight w:val="none"/>
        </w:rPr>
        <w:fldChar w:fldCharType="separate"/>
      </w:r>
      <w:r>
        <w:rPr>
          <w:color w:val="auto"/>
          <w:highlight w:val="none"/>
        </w:rPr>
        <w:t>四、</w:t>
      </w:r>
      <w:r>
        <w:rPr>
          <w:rFonts w:hint="eastAsia" w:ascii="宋体" w:hAnsi="宋体" w:cs="Arial"/>
          <w:bCs/>
          <w:color w:val="auto"/>
          <w:highlight w:val="none"/>
        </w:rPr>
        <w:t>具有履行合同所必需的设备和专业技术能力</w:t>
      </w:r>
      <w:r>
        <w:rPr>
          <w:color w:val="auto"/>
        </w:rPr>
        <w:tab/>
      </w:r>
      <w:r>
        <w:rPr>
          <w:color w:val="auto"/>
        </w:rPr>
        <w:fldChar w:fldCharType="begin"/>
      </w:r>
      <w:r>
        <w:rPr>
          <w:color w:val="auto"/>
        </w:rPr>
        <w:instrText xml:space="preserve"> PAGEREF _Toc8006 \h </w:instrText>
      </w:r>
      <w:r>
        <w:rPr>
          <w:color w:val="auto"/>
        </w:rPr>
        <w:fldChar w:fldCharType="separate"/>
      </w:r>
      <w:r>
        <w:rPr>
          <w:color w:val="auto"/>
        </w:rPr>
        <w:t>59</w:t>
      </w:r>
      <w:r>
        <w:rPr>
          <w:color w:val="auto"/>
        </w:rPr>
        <w:fldChar w:fldCharType="end"/>
      </w:r>
      <w:r>
        <w:rPr>
          <w:rFonts w:hint="eastAsia" w:ascii="宋体" w:hAnsi="宋体" w:cs="宋体"/>
          <w:color w:val="auto"/>
          <w:szCs w:val="24"/>
          <w:highlight w:val="none"/>
        </w:rPr>
        <w:fldChar w:fldCharType="end"/>
      </w:r>
    </w:p>
    <w:p w14:paraId="0A26AF20">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_Toc24135 </w:instrText>
      </w:r>
      <w:r>
        <w:rPr>
          <w:rFonts w:hint="eastAsia" w:ascii="宋体" w:hAnsi="宋体" w:cs="宋体"/>
          <w:color w:val="auto"/>
          <w:szCs w:val="24"/>
          <w:highlight w:val="none"/>
        </w:rPr>
        <w:fldChar w:fldCharType="separate"/>
      </w:r>
      <w:r>
        <w:rPr>
          <w:color w:val="auto"/>
          <w:highlight w:val="none"/>
        </w:rPr>
        <w:t>六、无重大违法行为声明</w:t>
      </w:r>
      <w:r>
        <w:rPr>
          <w:color w:val="auto"/>
        </w:rPr>
        <w:tab/>
      </w:r>
      <w:r>
        <w:rPr>
          <w:color w:val="auto"/>
        </w:rPr>
        <w:fldChar w:fldCharType="begin"/>
      </w:r>
      <w:r>
        <w:rPr>
          <w:color w:val="auto"/>
        </w:rPr>
        <w:instrText xml:space="preserve"> PAGEREF _Toc24135 \h </w:instrText>
      </w:r>
      <w:r>
        <w:rPr>
          <w:color w:val="auto"/>
        </w:rPr>
        <w:fldChar w:fldCharType="separate"/>
      </w:r>
      <w:r>
        <w:rPr>
          <w:color w:val="auto"/>
        </w:rPr>
        <w:t>61</w:t>
      </w:r>
      <w:r>
        <w:rPr>
          <w:color w:val="auto"/>
        </w:rPr>
        <w:fldChar w:fldCharType="end"/>
      </w:r>
      <w:r>
        <w:rPr>
          <w:rFonts w:hint="eastAsia" w:ascii="宋体" w:hAnsi="宋体" w:cs="宋体"/>
          <w:color w:val="auto"/>
          <w:szCs w:val="24"/>
          <w:highlight w:val="none"/>
        </w:rPr>
        <w:fldChar w:fldCharType="end"/>
      </w:r>
    </w:p>
    <w:p w14:paraId="5985465D">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_Toc27588 </w:instrText>
      </w:r>
      <w:r>
        <w:rPr>
          <w:rFonts w:hint="eastAsia" w:ascii="宋体" w:hAnsi="宋体" w:cs="宋体"/>
          <w:color w:val="auto"/>
          <w:szCs w:val="24"/>
          <w:highlight w:val="none"/>
        </w:rPr>
        <w:fldChar w:fldCharType="separate"/>
      </w:r>
      <w:r>
        <w:rPr>
          <w:color w:val="auto"/>
          <w:highlight w:val="none"/>
        </w:rPr>
        <w:t>七、投标函</w:t>
      </w:r>
      <w:r>
        <w:rPr>
          <w:color w:val="auto"/>
        </w:rPr>
        <w:tab/>
      </w:r>
      <w:r>
        <w:rPr>
          <w:color w:val="auto"/>
        </w:rPr>
        <w:fldChar w:fldCharType="begin"/>
      </w:r>
      <w:r>
        <w:rPr>
          <w:color w:val="auto"/>
        </w:rPr>
        <w:instrText xml:space="preserve"> PAGEREF _Toc27588 \h </w:instrText>
      </w:r>
      <w:r>
        <w:rPr>
          <w:color w:val="auto"/>
        </w:rPr>
        <w:fldChar w:fldCharType="separate"/>
      </w:r>
      <w:r>
        <w:rPr>
          <w:color w:val="auto"/>
        </w:rPr>
        <w:t>62</w:t>
      </w:r>
      <w:r>
        <w:rPr>
          <w:color w:val="auto"/>
        </w:rPr>
        <w:fldChar w:fldCharType="end"/>
      </w:r>
      <w:r>
        <w:rPr>
          <w:rFonts w:hint="eastAsia" w:ascii="宋体" w:hAnsi="宋体" w:cs="宋体"/>
          <w:color w:val="auto"/>
          <w:szCs w:val="24"/>
          <w:highlight w:val="none"/>
        </w:rPr>
        <w:fldChar w:fldCharType="end"/>
      </w:r>
    </w:p>
    <w:p w14:paraId="49F4EB8E">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_Toc24194 </w:instrText>
      </w:r>
      <w:r>
        <w:rPr>
          <w:rFonts w:hint="eastAsia" w:ascii="宋体" w:hAnsi="宋体" w:cs="宋体"/>
          <w:color w:val="auto"/>
          <w:szCs w:val="24"/>
          <w:highlight w:val="none"/>
        </w:rPr>
        <w:fldChar w:fldCharType="separate"/>
      </w:r>
      <w:r>
        <w:rPr>
          <w:color w:val="auto"/>
          <w:highlight w:val="none"/>
        </w:rPr>
        <w:t>八、法定代表人身份证明或授权委托书</w:t>
      </w:r>
      <w:r>
        <w:rPr>
          <w:color w:val="auto"/>
        </w:rPr>
        <w:tab/>
      </w:r>
      <w:r>
        <w:rPr>
          <w:color w:val="auto"/>
        </w:rPr>
        <w:fldChar w:fldCharType="begin"/>
      </w:r>
      <w:r>
        <w:rPr>
          <w:color w:val="auto"/>
        </w:rPr>
        <w:instrText xml:space="preserve"> PAGEREF _Toc24194 \h </w:instrText>
      </w:r>
      <w:r>
        <w:rPr>
          <w:color w:val="auto"/>
        </w:rPr>
        <w:fldChar w:fldCharType="separate"/>
      </w:r>
      <w:r>
        <w:rPr>
          <w:color w:val="auto"/>
        </w:rPr>
        <w:t>63</w:t>
      </w:r>
      <w:r>
        <w:rPr>
          <w:color w:val="auto"/>
        </w:rPr>
        <w:fldChar w:fldCharType="end"/>
      </w:r>
      <w:r>
        <w:rPr>
          <w:rFonts w:hint="eastAsia" w:ascii="宋体" w:hAnsi="宋体" w:cs="宋体"/>
          <w:color w:val="auto"/>
          <w:szCs w:val="24"/>
          <w:highlight w:val="none"/>
        </w:rPr>
        <w:fldChar w:fldCharType="end"/>
      </w:r>
    </w:p>
    <w:p w14:paraId="618695A2">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_Toc1181 </w:instrText>
      </w:r>
      <w:r>
        <w:rPr>
          <w:rFonts w:hint="eastAsia" w:ascii="宋体" w:hAnsi="宋体" w:cs="宋体"/>
          <w:color w:val="auto"/>
          <w:szCs w:val="24"/>
          <w:highlight w:val="none"/>
        </w:rPr>
        <w:fldChar w:fldCharType="separate"/>
      </w:r>
      <w:r>
        <w:rPr>
          <w:rFonts w:hint="eastAsia"/>
          <w:color w:val="auto"/>
          <w:highlight w:val="none"/>
          <w:lang w:val="en-US" w:eastAsia="zh-CN"/>
        </w:rPr>
        <w:t>九、</w:t>
      </w:r>
      <w:r>
        <w:rPr>
          <w:color w:val="auto"/>
          <w:highlight w:val="none"/>
        </w:rPr>
        <w:t>开标一览表</w:t>
      </w:r>
      <w:r>
        <w:rPr>
          <w:color w:val="auto"/>
        </w:rPr>
        <w:tab/>
      </w:r>
      <w:r>
        <w:rPr>
          <w:color w:val="auto"/>
        </w:rPr>
        <w:fldChar w:fldCharType="begin"/>
      </w:r>
      <w:r>
        <w:rPr>
          <w:color w:val="auto"/>
        </w:rPr>
        <w:instrText xml:space="preserve"> PAGEREF _Toc1181 \h </w:instrText>
      </w:r>
      <w:r>
        <w:rPr>
          <w:color w:val="auto"/>
        </w:rPr>
        <w:fldChar w:fldCharType="separate"/>
      </w:r>
      <w:r>
        <w:rPr>
          <w:color w:val="auto"/>
        </w:rPr>
        <w:t>65</w:t>
      </w:r>
      <w:r>
        <w:rPr>
          <w:color w:val="auto"/>
        </w:rPr>
        <w:fldChar w:fldCharType="end"/>
      </w:r>
      <w:r>
        <w:rPr>
          <w:rFonts w:hint="eastAsia" w:ascii="宋体" w:hAnsi="宋体" w:cs="宋体"/>
          <w:color w:val="auto"/>
          <w:szCs w:val="24"/>
          <w:highlight w:val="none"/>
        </w:rPr>
        <w:fldChar w:fldCharType="end"/>
      </w:r>
    </w:p>
    <w:p w14:paraId="7AA59B77">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_Toc26487 </w:instrText>
      </w:r>
      <w:r>
        <w:rPr>
          <w:rFonts w:hint="eastAsia" w:ascii="宋体" w:hAnsi="宋体" w:cs="宋体"/>
          <w:color w:val="auto"/>
          <w:szCs w:val="24"/>
          <w:highlight w:val="none"/>
        </w:rPr>
        <w:fldChar w:fldCharType="separate"/>
      </w:r>
      <w:r>
        <w:rPr>
          <w:rFonts w:hint="eastAsia" w:ascii="宋体" w:hAnsi="宋体" w:eastAsia="宋体" w:cs="宋体"/>
          <w:color w:val="auto"/>
          <w:kern w:val="2"/>
          <w:szCs w:val="20"/>
          <w:highlight w:val="none"/>
          <w:lang w:val="en-US" w:eastAsia="zh-CN"/>
        </w:rPr>
        <w:t>供应商名称（加盖公章）：</w:t>
      </w:r>
      <w:r>
        <w:rPr>
          <w:color w:val="auto"/>
        </w:rPr>
        <w:tab/>
      </w:r>
      <w:r>
        <w:rPr>
          <w:color w:val="auto"/>
        </w:rPr>
        <w:fldChar w:fldCharType="begin"/>
      </w:r>
      <w:r>
        <w:rPr>
          <w:color w:val="auto"/>
        </w:rPr>
        <w:instrText xml:space="preserve"> PAGEREF _Toc26487 \h </w:instrText>
      </w:r>
      <w:r>
        <w:rPr>
          <w:color w:val="auto"/>
        </w:rPr>
        <w:fldChar w:fldCharType="separate"/>
      </w:r>
      <w:r>
        <w:rPr>
          <w:color w:val="auto"/>
        </w:rPr>
        <w:t>65</w:t>
      </w:r>
      <w:r>
        <w:rPr>
          <w:color w:val="auto"/>
        </w:rPr>
        <w:fldChar w:fldCharType="end"/>
      </w:r>
      <w:r>
        <w:rPr>
          <w:rFonts w:hint="eastAsia" w:ascii="宋体" w:hAnsi="宋体" w:cs="宋体"/>
          <w:color w:val="auto"/>
          <w:szCs w:val="24"/>
          <w:highlight w:val="none"/>
        </w:rPr>
        <w:fldChar w:fldCharType="end"/>
      </w:r>
    </w:p>
    <w:p w14:paraId="5BBA24C3">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_Toc3795 </w:instrText>
      </w:r>
      <w:r>
        <w:rPr>
          <w:rFonts w:hint="eastAsia" w:ascii="宋体" w:hAnsi="宋体" w:cs="宋体"/>
          <w:color w:val="auto"/>
          <w:szCs w:val="24"/>
          <w:highlight w:val="none"/>
        </w:rPr>
        <w:fldChar w:fldCharType="separate"/>
      </w:r>
      <w:r>
        <w:rPr>
          <w:rFonts w:hint="eastAsia" w:ascii="宋体" w:hAnsi="宋体" w:eastAsia="宋体" w:cs="宋体"/>
          <w:color w:val="auto"/>
          <w:kern w:val="2"/>
          <w:szCs w:val="20"/>
          <w:highlight w:val="none"/>
          <w:lang w:val="en-US" w:eastAsia="zh-CN"/>
        </w:rPr>
        <w:t>项目编号：</w:t>
      </w:r>
      <w:r>
        <w:rPr>
          <w:color w:val="auto"/>
        </w:rPr>
        <w:tab/>
      </w:r>
      <w:r>
        <w:rPr>
          <w:color w:val="auto"/>
        </w:rPr>
        <w:fldChar w:fldCharType="begin"/>
      </w:r>
      <w:r>
        <w:rPr>
          <w:color w:val="auto"/>
        </w:rPr>
        <w:instrText xml:space="preserve"> PAGEREF _Toc3795 \h </w:instrText>
      </w:r>
      <w:r>
        <w:rPr>
          <w:color w:val="auto"/>
        </w:rPr>
        <w:fldChar w:fldCharType="separate"/>
      </w:r>
      <w:r>
        <w:rPr>
          <w:color w:val="auto"/>
        </w:rPr>
        <w:t>65</w:t>
      </w:r>
      <w:r>
        <w:rPr>
          <w:color w:val="auto"/>
        </w:rPr>
        <w:fldChar w:fldCharType="end"/>
      </w:r>
      <w:r>
        <w:rPr>
          <w:rFonts w:hint="eastAsia" w:ascii="宋体" w:hAnsi="宋体" w:cs="宋体"/>
          <w:color w:val="auto"/>
          <w:szCs w:val="24"/>
          <w:highlight w:val="none"/>
        </w:rPr>
        <w:fldChar w:fldCharType="end"/>
      </w:r>
    </w:p>
    <w:p w14:paraId="1C1F33D9">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_Toc31414 </w:instrText>
      </w:r>
      <w:r>
        <w:rPr>
          <w:rFonts w:hint="eastAsia" w:ascii="宋体" w:hAnsi="宋体" w:cs="宋体"/>
          <w:color w:val="auto"/>
          <w:szCs w:val="24"/>
          <w:highlight w:val="none"/>
        </w:rPr>
        <w:fldChar w:fldCharType="separate"/>
      </w:r>
      <w:r>
        <w:rPr>
          <w:rFonts w:hint="eastAsia" w:ascii="宋体" w:hAnsi="宋体" w:eastAsia="宋体" w:cs="宋体"/>
          <w:color w:val="auto"/>
          <w:kern w:val="2"/>
          <w:szCs w:val="20"/>
          <w:highlight w:val="none"/>
          <w:lang w:val="en-US" w:eastAsia="zh-CN"/>
        </w:rPr>
        <w:t>项目名称：</w:t>
      </w:r>
      <w:r>
        <w:rPr>
          <w:color w:val="auto"/>
        </w:rPr>
        <w:tab/>
      </w:r>
      <w:r>
        <w:rPr>
          <w:color w:val="auto"/>
        </w:rPr>
        <w:fldChar w:fldCharType="begin"/>
      </w:r>
      <w:r>
        <w:rPr>
          <w:color w:val="auto"/>
        </w:rPr>
        <w:instrText xml:space="preserve"> PAGEREF _Toc31414 \h </w:instrText>
      </w:r>
      <w:r>
        <w:rPr>
          <w:color w:val="auto"/>
        </w:rPr>
        <w:fldChar w:fldCharType="separate"/>
      </w:r>
      <w:r>
        <w:rPr>
          <w:color w:val="auto"/>
        </w:rPr>
        <w:t>65</w:t>
      </w:r>
      <w:r>
        <w:rPr>
          <w:color w:val="auto"/>
        </w:rPr>
        <w:fldChar w:fldCharType="end"/>
      </w:r>
      <w:r>
        <w:rPr>
          <w:rFonts w:hint="eastAsia" w:ascii="宋体" w:hAnsi="宋体" w:cs="宋体"/>
          <w:color w:val="auto"/>
          <w:szCs w:val="24"/>
          <w:highlight w:val="none"/>
        </w:rPr>
        <w:fldChar w:fldCharType="end"/>
      </w:r>
    </w:p>
    <w:p w14:paraId="7020AF06">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_Toc23579 </w:instrText>
      </w:r>
      <w:r>
        <w:rPr>
          <w:rFonts w:hint="eastAsia" w:ascii="宋体" w:hAnsi="宋体" w:cs="宋体"/>
          <w:color w:val="auto"/>
          <w:szCs w:val="24"/>
          <w:highlight w:val="none"/>
        </w:rPr>
        <w:fldChar w:fldCharType="separate"/>
      </w:r>
      <w:r>
        <w:rPr>
          <w:color w:val="auto"/>
          <w:highlight w:val="none"/>
        </w:rPr>
        <w:t>十、明细报价表</w:t>
      </w:r>
      <w:r>
        <w:rPr>
          <w:color w:val="auto"/>
        </w:rPr>
        <w:tab/>
      </w:r>
      <w:r>
        <w:rPr>
          <w:color w:val="auto"/>
        </w:rPr>
        <w:fldChar w:fldCharType="begin"/>
      </w:r>
      <w:r>
        <w:rPr>
          <w:color w:val="auto"/>
        </w:rPr>
        <w:instrText xml:space="preserve"> PAGEREF _Toc23579 \h </w:instrText>
      </w:r>
      <w:r>
        <w:rPr>
          <w:color w:val="auto"/>
        </w:rPr>
        <w:fldChar w:fldCharType="separate"/>
      </w:r>
      <w:r>
        <w:rPr>
          <w:color w:val="auto"/>
        </w:rPr>
        <w:t>66</w:t>
      </w:r>
      <w:r>
        <w:rPr>
          <w:color w:val="auto"/>
        </w:rPr>
        <w:fldChar w:fldCharType="end"/>
      </w:r>
      <w:r>
        <w:rPr>
          <w:rFonts w:hint="eastAsia" w:ascii="宋体" w:hAnsi="宋体" w:cs="宋体"/>
          <w:color w:val="auto"/>
          <w:szCs w:val="24"/>
          <w:highlight w:val="none"/>
        </w:rPr>
        <w:fldChar w:fldCharType="end"/>
      </w:r>
    </w:p>
    <w:p w14:paraId="1D607BF7">
      <w:pPr>
        <w:pStyle w:val="4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_Toc10225 </w:instrText>
      </w:r>
      <w:r>
        <w:rPr>
          <w:rFonts w:hint="eastAsia" w:ascii="宋体" w:hAnsi="宋体" w:cs="宋体"/>
          <w:color w:val="auto"/>
          <w:szCs w:val="24"/>
          <w:highlight w:val="none"/>
        </w:rPr>
        <w:fldChar w:fldCharType="separate"/>
      </w:r>
      <w:r>
        <w:rPr>
          <w:rFonts w:hint="eastAsia" w:ascii="宋体" w:hAnsi="宋体" w:eastAsia="宋体" w:cs="宋体"/>
          <w:color w:val="auto"/>
          <w:szCs w:val="24"/>
          <w:highlight w:val="none"/>
        </w:rPr>
        <w:t>投标报价明细表</w:t>
      </w:r>
      <w:r>
        <w:rPr>
          <w:color w:val="auto"/>
        </w:rPr>
        <w:tab/>
      </w:r>
      <w:r>
        <w:rPr>
          <w:color w:val="auto"/>
        </w:rPr>
        <w:fldChar w:fldCharType="begin"/>
      </w:r>
      <w:r>
        <w:rPr>
          <w:color w:val="auto"/>
        </w:rPr>
        <w:instrText xml:space="preserve"> PAGEREF _Toc10225 \h </w:instrText>
      </w:r>
      <w:r>
        <w:rPr>
          <w:color w:val="auto"/>
        </w:rPr>
        <w:fldChar w:fldCharType="separate"/>
      </w:r>
      <w:r>
        <w:rPr>
          <w:color w:val="auto"/>
        </w:rPr>
        <w:t>66</w:t>
      </w:r>
      <w:r>
        <w:rPr>
          <w:color w:val="auto"/>
        </w:rPr>
        <w:fldChar w:fldCharType="end"/>
      </w:r>
      <w:r>
        <w:rPr>
          <w:rFonts w:hint="eastAsia" w:ascii="宋体" w:hAnsi="宋体" w:cs="宋体"/>
          <w:color w:val="auto"/>
          <w:szCs w:val="24"/>
          <w:highlight w:val="none"/>
        </w:rPr>
        <w:fldChar w:fldCharType="end"/>
      </w:r>
    </w:p>
    <w:p w14:paraId="27FAE01F">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_Toc5837 </w:instrText>
      </w:r>
      <w:r>
        <w:rPr>
          <w:rFonts w:hint="eastAsia" w:ascii="宋体" w:hAnsi="宋体" w:cs="宋体"/>
          <w:color w:val="auto"/>
          <w:szCs w:val="24"/>
          <w:highlight w:val="none"/>
        </w:rPr>
        <w:fldChar w:fldCharType="separate"/>
      </w:r>
      <w:r>
        <w:rPr>
          <w:color w:val="auto"/>
          <w:highlight w:val="none"/>
        </w:rPr>
        <w:t>十一、中小企业声明函</w:t>
      </w:r>
      <w:r>
        <w:rPr>
          <w:color w:val="auto"/>
        </w:rPr>
        <w:tab/>
      </w:r>
      <w:r>
        <w:rPr>
          <w:color w:val="auto"/>
        </w:rPr>
        <w:fldChar w:fldCharType="begin"/>
      </w:r>
      <w:r>
        <w:rPr>
          <w:color w:val="auto"/>
        </w:rPr>
        <w:instrText xml:space="preserve"> PAGEREF _Toc5837 \h </w:instrText>
      </w:r>
      <w:r>
        <w:rPr>
          <w:color w:val="auto"/>
        </w:rPr>
        <w:fldChar w:fldCharType="separate"/>
      </w:r>
      <w:r>
        <w:rPr>
          <w:color w:val="auto"/>
        </w:rPr>
        <w:t>66</w:t>
      </w:r>
      <w:r>
        <w:rPr>
          <w:color w:val="auto"/>
        </w:rPr>
        <w:fldChar w:fldCharType="end"/>
      </w:r>
      <w:r>
        <w:rPr>
          <w:rFonts w:hint="eastAsia" w:ascii="宋体" w:hAnsi="宋体" w:cs="宋体"/>
          <w:color w:val="auto"/>
          <w:szCs w:val="24"/>
          <w:highlight w:val="none"/>
        </w:rPr>
        <w:fldChar w:fldCharType="end"/>
      </w:r>
    </w:p>
    <w:p w14:paraId="17865866">
      <w:pPr>
        <w:pStyle w:val="4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_Toc11215 </w:instrText>
      </w:r>
      <w:r>
        <w:rPr>
          <w:rFonts w:hint="eastAsia" w:ascii="宋体" w:hAnsi="宋体" w:cs="宋体"/>
          <w:color w:val="auto"/>
          <w:szCs w:val="24"/>
          <w:highlight w:val="none"/>
        </w:rPr>
        <w:fldChar w:fldCharType="separate"/>
      </w:r>
      <w:r>
        <w:rPr>
          <w:rFonts w:hint="eastAsia" w:ascii="宋体" w:hAnsi="宋体"/>
          <w:bCs/>
          <w:color w:val="auto"/>
          <w:szCs w:val="28"/>
          <w:highlight w:val="none"/>
        </w:rPr>
        <w:t>属于监狱企业的证明文件</w:t>
      </w:r>
      <w:r>
        <w:rPr>
          <w:color w:val="auto"/>
        </w:rPr>
        <w:tab/>
      </w:r>
      <w:r>
        <w:rPr>
          <w:color w:val="auto"/>
        </w:rPr>
        <w:fldChar w:fldCharType="begin"/>
      </w:r>
      <w:r>
        <w:rPr>
          <w:color w:val="auto"/>
        </w:rPr>
        <w:instrText xml:space="preserve"> PAGEREF _Toc11215 \h </w:instrText>
      </w:r>
      <w:r>
        <w:rPr>
          <w:color w:val="auto"/>
        </w:rPr>
        <w:fldChar w:fldCharType="separate"/>
      </w:r>
      <w:r>
        <w:rPr>
          <w:color w:val="auto"/>
        </w:rPr>
        <w:t>68</w:t>
      </w:r>
      <w:r>
        <w:rPr>
          <w:color w:val="auto"/>
        </w:rPr>
        <w:fldChar w:fldCharType="end"/>
      </w:r>
      <w:r>
        <w:rPr>
          <w:rFonts w:hint="eastAsia" w:ascii="宋体" w:hAnsi="宋体" w:cs="宋体"/>
          <w:color w:val="auto"/>
          <w:szCs w:val="24"/>
          <w:highlight w:val="none"/>
        </w:rPr>
        <w:fldChar w:fldCharType="end"/>
      </w:r>
    </w:p>
    <w:p w14:paraId="1A2AB59B">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_Toc32250 </w:instrText>
      </w:r>
      <w:r>
        <w:rPr>
          <w:rFonts w:hint="eastAsia" w:ascii="宋体" w:hAnsi="宋体" w:cs="宋体"/>
          <w:color w:val="auto"/>
          <w:szCs w:val="24"/>
          <w:highlight w:val="none"/>
        </w:rPr>
        <w:fldChar w:fldCharType="separate"/>
      </w:r>
      <w:r>
        <w:rPr>
          <w:color w:val="auto"/>
          <w:highlight w:val="none"/>
        </w:rPr>
        <w:t>十二、响应偏差表</w:t>
      </w:r>
      <w:r>
        <w:rPr>
          <w:color w:val="auto"/>
        </w:rPr>
        <w:tab/>
      </w:r>
      <w:r>
        <w:rPr>
          <w:color w:val="auto"/>
        </w:rPr>
        <w:fldChar w:fldCharType="begin"/>
      </w:r>
      <w:r>
        <w:rPr>
          <w:color w:val="auto"/>
        </w:rPr>
        <w:instrText xml:space="preserve"> PAGEREF _Toc32250 \h </w:instrText>
      </w:r>
      <w:r>
        <w:rPr>
          <w:color w:val="auto"/>
        </w:rPr>
        <w:fldChar w:fldCharType="separate"/>
      </w:r>
      <w:r>
        <w:rPr>
          <w:color w:val="auto"/>
        </w:rPr>
        <w:t>69</w:t>
      </w:r>
      <w:r>
        <w:rPr>
          <w:color w:val="auto"/>
        </w:rPr>
        <w:fldChar w:fldCharType="end"/>
      </w:r>
      <w:r>
        <w:rPr>
          <w:rFonts w:hint="eastAsia" w:ascii="宋体" w:hAnsi="宋体" w:cs="宋体"/>
          <w:color w:val="auto"/>
          <w:szCs w:val="24"/>
          <w:highlight w:val="none"/>
        </w:rPr>
        <w:fldChar w:fldCharType="end"/>
      </w:r>
    </w:p>
    <w:p w14:paraId="4B2AB6B0">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_Toc29203 </w:instrText>
      </w:r>
      <w:r>
        <w:rPr>
          <w:rFonts w:hint="eastAsia" w:ascii="宋体" w:hAnsi="宋体" w:cs="宋体"/>
          <w:color w:val="auto"/>
          <w:szCs w:val="24"/>
          <w:highlight w:val="none"/>
        </w:rPr>
        <w:fldChar w:fldCharType="separate"/>
      </w:r>
      <w:r>
        <w:rPr>
          <w:rFonts w:hint="eastAsia"/>
          <w:color w:val="auto"/>
          <w:highlight w:val="none"/>
          <w:lang w:eastAsia="zh-CN"/>
        </w:rPr>
        <w:t>（二）投标商务偏离表</w:t>
      </w:r>
      <w:r>
        <w:rPr>
          <w:color w:val="auto"/>
        </w:rPr>
        <w:tab/>
      </w:r>
      <w:r>
        <w:rPr>
          <w:color w:val="auto"/>
        </w:rPr>
        <w:fldChar w:fldCharType="begin"/>
      </w:r>
      <w:r>
        <w:rPr>
          <w:color w:val="auto"/>
        </w:rPr>
        <w:instrText xml:space="preserve"> PAGEREF _Toc29203 \h </w:instrText>
      </w:r>
      <w:r>
        <w:rPr>
          <w:color w:val="auto"/>
        </w:rPr>
        <w:fldChar w:fldCharType="separate"/>
      </w:r>
      <w:r>
        <w:rPr>
          <w:color w:val="auto"/>
        </w:rPr>
        <w:t>70</w:t>
      </w:r>
      <w:r>
        <w:rPr>
          <w:color w:val="auto"/>
        </w:rPr>
        <w:fldChar w:fldCharType="end"/>
      </w:r>
      <w:r>
        <w:rPr>
          <w:rFonts w:hint="eastAsia" w:ascii="宋体" w:hAnsi="宋体" w:cs="宋体"/>
          <w:color w:val="auto"/>
          <w:szCs w:val="24"/>
          <w:highlight w:val="none"/>
        </w:rPr>
        <w:fldChar w:fldCharType="end"/>
      </w:r>
    </w:p>
    <w:p w14:paraId="081E2CBC">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_Toc15209 </w:instrText>
      </w:r>
      <w:r>
        <w:rPr>
          <w:rFonts w:hint="eastAsia" w:ascii="宋体" w:hAnsi="宋体" w:cs="宋体"/>
          <w:color w:val="auto"/>
          <w:szCs w:val="24"/>
          <w:highlight w:val="none"/>
        </w:rPr>
        <w:fldChar w:fldCharType="separate"/>
      </w:r>
      <w:r>
        <w:rPr>
          <w:color w:val="auto"/>
          <w:highlight w:val="none"/>
        </w:rPr>
        <w:t>十</w:t>
      </w:r>
      <w:r>
        <w:rPr>
          <w:rFonts w:hint="eastAsia"/>
          <w:color w:val="auto"/>
          <w:highlight w:val="none"/>
          <w:lang w:val="en-US" w:eastAsia="zh-CN"/>
        </w:rPr>
        <w:t>三</w:t>
      </w:r>
      <w:r>
        <w:rPr>
          <w:color w:val="auto"/>
          <w:highlight w:val="none"/>
        </w:rPr>
        <w:t>、</w:t>
      </w:r>
      <w:r>
        <w:rPr>
          <w:rFonts w:hint="eastAsia"/>
          <w:color w:val="auto"/>
          <w:highlight w:val="none"/>
          <w:lang w:val="en-US" w:eastAsia="zh-CN"/>
        </w:rPr>
        <w:t>服务</w:t>
      </w:r>
      <w:r>
        <w:rPr>
          <w:color w:val="auto"/>
          <w:highlight w:val="none"/>
        </w:rPr>
        <w:t>方案</w:t>
      </w:r>
      <w:r>
        <w:rPr>
          <w:color w:val="auto"/>
        </w:rPr>
        <w:tab/>
      </w:r>
      <w:r>
        <w:rPr>
          <w:color w:val="auto"/>
        </w:rPr>
        <w:fldChar w:fldCharType="begin"/>
      </w:r>
      <w:r>
        <w:rPr>
          <w:color w:val="auto"/>
        </w:rPr>
        <w:instrText xml:space="preserve"> PAGEREF _Toc15209 \h </w:instrText>
      </w:r>
      <w:r>
        <w:rPr>
          <w:color w:val="auto"/>
        </w:rPr>
        <w:fldChar w:fldCharType="separate"/>
      </w:r>
      <w:r>
        <w:rPr>
          <w:color w:val="auto"/>
        </w:rPr>
        <w:t>72</w:t>
      </w:r>
      <w:r>
        <w:rPr>
          <w:color w:val="auto"/>
        </w:rPr>
        <w:fldChar w:fldCharType="end"/>
      </w:r>
      <w:r>
        <w:rPr>
          <w:rFonts w:hint="eastAsia" w:ascii="宋体" w:hAnsi="宋体" w:cs="宋体"/>
          <w:color w:val="auto"/>
          <w:szCs w:val="24"/>
          <w:highlight w:val="none"/>
        </w:rPr>
        <w:fldChar w:fldCharType="end"/>
      </w:r>
    </w:p>
    <w:p w14:paraId="779DC06E">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_Toc32310 </w:instrText>
      </w:r>
      <w:r>
        <w:rPr>
          <w:rFonts w:hint="eastAsia" w:ascii="宋体" w:hAnsi="宋体" w:cs="宋体"/>
          <w:color w:val="auto"/>
          <w:szCs w:val="24"/>
          <w:highlight w:val="none"/>
        </w:rPr>
        <w:fldChar w:fldCharType="separate"/>
      </w:r>
      <w:r>
        <w:rPr>
          <w:color w:val="auto"/>
          <w:highlight w:val="none"/>
        </w:rPr>
        <w:t>十</w:t>
      </w:r>
      <w:r>
        <w:rPr>
          <w:rFonts w:hint="eastAsia"/>
          <w:color w:val="auto"/>
          <w:highlight w:val="none"/>
          <w:lang w:val="en-US" w:eastAsia="zh-CN"/>
        </w:rPr>
        <w:t>四</w:t>
      </w:r>
      <w:r>
        <w:rPr>
          <w:color w:val="auto"/>
          <w:highlight w:val="none"/>
        </w:rPr>
        <w:t>、</w:t>
      </w:r>
      <w:r>
        <w:rPr>
          <w:rFonts w:hint="eastAsia"/>
          <w:color w:val="auto"/>
          <w:highlight w:val="none"/>
          <w:lang w:eastAsia="zh-CN"/>
        </w:rPr>
        <w:t>供应商</w:t>
      </w:r>
      <w:r>
        <w:rPr>
          <w:color w:val="auto"/>
          <w:highlight w:val="none"/>
        </w:rPr>
        <w:t>项目业绩一览表</w:t>
      </w:r>
      <w:r>
        <w:rPr>
          <w:color w:val="auto"/>
        </w:rPr>
        <w:tab/>
      </w:r>
      <w:r>
        <w:rPr>
          <w:color w:val="auto"/>
        </w:rPr>
        <w:fldChar w:fldCharType="begin"/>
      </w:r>
      <w:r>
        <w:rPr>
          <w:color w:val="auto"/>
        </w:rPr>
        <w:instrText xml:space="preserve"> PAGEREF _Toc32310 \h </w:instrText>
      </w:r>
      <w:r>
        <w:rPr>
          <w:color w:val="auto"/>
        </w:rPr>
        <w:fldChar w:fldCharType="separate"/>
      </w:r>
      <w:r>
        <w:rPr>
          <w:color w:val="auto"/>
        </w:rPr>
        <w:t>73</w:t>
      </w:r>
      <w:r>
        <w:rPr>
          <w:color w:val="auto"/>
        </w:rPr>
        <w:fldChar w:fldCharType="end"/>
      </w:r>
      <w:r>
        <w:rPr>
          <w:rFonts w:hint="eastAsia" w:ascii="宋体" w:hAnsi="宋体" w:cs="宋体"/>
          <w:color w:val="auto"/>
          <w:szCs w:val="24"/>
          <w:highlight w:val="none"/>
        </w:rPr>
        <w:fldChar w:fldCharType="end"/>
      </w:r>
    </w:p>
    <w:p w14:paraId="76C3F4A8">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_Toc27216 </w:instrText>
      </w:r>
      <w:r>
        <w:rPr>
          <w:rFonts w:hint="eastAsia" w:ascii="宋体" w:hAnsi="宋体" w:cs="宋体"/>
          <w:color w:val="auto"/>
          <w:szCs w:val="24"/>
          <w:highlight w:val="none"/>
        </w:rPr>
        <w:fldChar w:fldCharType="separate"/>
      </w:r>
      <w:r>
        <w:rPr>
          <w:color w:val="auto"/>
          <w:highlight w:val="none"/>
        </w:rPr>
        <w:t>十</w:t>
      </w:r>
      <w:r>
        <w:rPr>
          <w:rFonts w:hint="eastAsia"/>
          <w:color w:val="auto"/>
          <w:highlight w:val="none"/>
          <w:lang w:val="en-US" w:eastAsia="zh-CN"/>
        </w:rPr>
        <w:t>五</w:t>
      </w:r>
      <w:r>
        <w:rPr>
          <w:color w:val="auto"/>
          <w:highlight w:val="none"/>
        </w:rPr>
        <w:t>、</w:t>
      </w:r>
      <w:r>
        <w:rPr>
          <w:rFonts w:hint="eastAsia" w:ascii="宋体" w:hAnsi="宋体" w:eastAsia="宋体" w:cs="宋体"/>
          <w:color w:val="auto"/>
          <w:spacing w:val="0"/>
          <w:w w:val="100"/>
          <w:szCs w:val="32"/>
          <w:highlight w:val="none"/>
          <w:lang w:val="en-US" w:eastAsia="zh-CN"/>
        </w:rPr>
        <w:t>服务承诺1</w:t>
      </w:r>
      <w:r>
        <w:rPr>
          <w:color w:val="auto"/>
        </w:rPr>
        <w:tab/>
      </w:r>
      <w:r>
        <w:rPr>
          <w:color w:val="auto"/>
        </w:rPr>
        <w:fldChar w:fldCharType="begin"/>
      </w:r>
      <w:r>
        <w:rPr>
          <w:color w:val="auto"/>
        </w:rPr>
        <w:instrText xml:space="preserve"> PAGEREF _Toc27216 \h </w:instrText>
      </w:r>
      <w:r>
        <w:rPr>
          <w:color w:val="auto"/>
        </w:rPr>
        <w:fldChar w:fldCharType="separate"/>
      </w:r>
      <w:r>
        <w:rPr>
          <w:color w:val="auto"/>
        </w:rPr>
        <w:t>74</w:t>
      </w:r>
      <w:r>
        <w:rPr>
          <w:color w:val="auto"/>
        </w:rPr>
        <w:fldChar w:fldCharType="end"/>
      </w:r>
      <w:r>
        <w:rPr>
          <w:rFonts w:hint="eastAsia" w:ascii="宋体" w:hAnsi="宋体" w:cs="宋体"/>
          <w:color w:val="auto"/>
          <w:szCs w:val="24"/>
          <w:highlight w:val="none"/>
        </w:rPr>
        <w:fldChar w:fldCharType="end"/>
      </w:r>
    </w:p>
    <w:p w14:paraId="2C8C2DC8">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_Toc5550 </w:instrText>
      </w:r>
      <w:r>
        <w:rPr>
          <w:rFonts w:hint="eastAsia" w:ascii="宋体" w:hAnsi="宋体" w:cs="宋体"/>
          <w:color w:val="auto"/>
          <w:szCs w:val="24"/>
          <w:highlight w:val="none"/>
        </w:rPr>
        <w:fldChar w:fldCharType="separate"/>
      </w:r>
      <w:r>
        <w:rPr>
          <w:color w:val="auto"/>
          <w:highlight w:val="none"/>
        </w:rPr>
        <w:t>十</w:t>
      </w:r>
      <w:r>
        <w:rPr>
          <w:rFonts w:hint="eastAsia"/>
          <w:color w:val="auto"/>
          <w:highlight w:val="none"/>
          <w:lang w:val="en-US" w:eastAsia="zh-CN"/>
        </w:rPr>
        <w:t>六</w:t>
      </w:r>
      <w:r>
        <w:rPr>
          <w:color w:val="auto"/>
          <w:highlight w:val="none"/>
        </w:rPr>
        <w:t>、</w:t>
      </w:r>
      <w:r>
        <w:rPr>
          <w:rFonts w:hint="eastAsia" w:ascii="宋体" w:hAnsi="宋体" w:eastAsia="宋体" w:cs="宋体"/>
          <w:color w:val="auto"/>
          <w:spacing w:val="0"/>
          <w:w w:val="100"/>
          <w:szCs w:val="32"/>
          <w:highlight w:val="none"/>
          <w:lang w:val="en-US" w:eastAsia="zh-CN"/>
        </w:rPr>
        <w:t>服务承诺2</w:t>
      </w:r>
      <w:r>
        <w:rPr>
          <w:color w:val="auto"/>
        </w:rPr>
        <w:tab/>
      </w:r>
      <w:r>
        <w:rPr>
          <w:color w:val="auto"/>
        </w:rPr>
        <w:fldChar w:fldCharType="begin"/>
      </w:r>
      <w:r>
        <w:rPr>
          <w:color w:val="auto"/>
        </w:rPr>
        <w:instrText xml:space="preserve"> PAGEREF _Toc5550 \h </w:instrText>
      </w:r>
      <w:r>
        <w:rPr>
          <w:color w:val="auto"/>
        </w:rPr>
        <w:fldChar w:fldCharType="separate"/>
      </w:r>
      <w:r>
        <w:rPr>
          <w:color w:val="auto"/>
        </w:rPr>
        <w:t>74</w:t>
      </w:r>
      <w:r>
        <w:rPr>
          <w:color w:val="auto"/>
        </w:rPr>
        <w:fldChar w:fldCharType="end"/>
      </w:r>
      <w:r>
        <w:rPr>
          <w:rFonts w:hint="eastAsia" w:ascii="宋体" w:hAnsi="宋体" w:cs="宋体"/>
          <w:color w:val="auto"/>
          <w:szCs w:val="24"/>
          <w:highlight w:val="none"/>
        </w:rPr>
        <w:fldChar w:fldCharType="end"/>
      </w:r>
    </w:p>
    <w:p w14:paraId="59866959">
      <w:pPr>
        <w:pStyle w:val="54"/>
        <w:tabs>
          <w:tab w:val="right" w:leader="dot" w:pos="9740"/>
        </w:tabs>
        <w:rPr>
          <w:color w:val="auto"/>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_Toc23810 </w:instrText>
      </w:r>
      <w:r>
        <w:rPr>
          <w:rFonts w:hint="eastAsia" w:ascii="宋体" w:hAnsi="宋体" w:cs="宋体"/>
          <w:color w:val="auto"/>
          <w:szCs w:val="24"/>
          <w:highlight w:val="none"/>
        </w:rPr>
        <w:fldChar w:fldCharType="separate"/>
      </w:r>
      <w:r>
        <w:rPr>
          <w:color w:val="auto"/>
          <w:highlight w:val="none"/>
        </w:rPr>
        <w:t>十</w:t>
      </w:r>
      <w:r>
        <w:rPr>
          <w:rFonts w:hint="eastAsia"/>
          <w:color w:val="auto"/>
          <w:highlight w:val="none"/>
          <w:lang w:val="en-US" w:eastAsia="zh-CN"/>
        </w:rPr>
        <w:t>七</w:t>
      </w:r>
      <w:r>
        <w:rPr>
          <w:color w:val="auto"/>
          <w:highlight w:val="none"/>
        </w:rPr>
        <w:t>、投标所需其他材料</w:t>
      </w:r>
      <w:r>
        <w:rPr>
          <w:color w:val="auto"/>
        </w:rPr>
        <w:tab/>
      </w:r>
      <w:r>
        <w:rPr>
          <w:color w:val="auto"/>
        </w:rPr>
        <w:fldChar w:fldCharType="begin"/>
      </w:r>
      <w:r>
        <w:rPr>
          <w:color w:val="auto"/>
        </w:rPr>
        <w:instrText xml:space="preserve"> PAGEREF _Toc23810 \h </w:instrText>
      </w:r>
      <w:r>
        <w:rPr>
          <w:color w:val="auto"/>
        </w:rPr>
        <w:fldChar w:fldCharType="separate"/>
      </w:r>
      <w:r>
        <w:rPr>
          <w:color w:val="auto"/>
        </w:rPr>
        <w:t>75</w:t>
      </w:r>
      <w:r>
        <w:rPr>
          <w:color w:val="auto"/>
        </w:rPr>
        <w:fldChar w:fldCharType="end"/>
      </w:r>
      <w:r>
        <w:rPr>
          <w:rFonts w:hint="eastAsia" w:ascii="宋体" w:hAnsi="宋体" w:cs="宋体"/>
          <w:color w:val="auto"/>
          <w:szCs w:val="24"/>
          <w:highlight w:val="none"/>
        </w:rPr>
        <w:fldChar w:fldCharType="end"/>
      </w:r>
    </w:p>
    <w:p w14:paraId="45612346">
      <w:pPr>
        <w:keepNext/>
        <w:keepLines/>
        <w:pageBreakBefore/>
        <w:jc w:val="center"/>
        <w:outlineLvl w:val="0"/>
        <w:rPr>
          <w:b/>
          <w:color w:val="auto"/>
          <w:sz w:val="32"/>
          <w:highlight w:val="none"/>
        </w:rPr>
      </w:pPr>
      <w:r>
        <w:rPr>
          <w:rFonts w:hint="eastAsia" w:ascii="宋体" w:hAnsi="宋体" w:cs="宋体"/>
          <w:color w:val="auto"/>
          <w:szCs w:val="24"/>
          <w:highlight w:val="none"/>
        </w:rPr>
        <w:fldChar w:fldCharType="end"/>
      </w:r>
      <w:bookmarkStart w:id="1" w:name="_Toc514054470"/>
      <w:bookmarkStart w:id="2" w:name="_Toc12452"/>
      <w:r>
        <w:rPr>
          <w:rFonts w:hint="eastAsia"/>
          <w:b/>
          <w:color w:val="auto"/>
          <w:sz w:val="44"/>
          <w:szCs w:val="44"/>
          <w:highlight w:val="none"/>
        </w:rPr>
        <w:t>第一部分  招标公告</w:t>
      </w:r>
      <w:bookmarkEnd w:id="1"/>
      <w:bookmarkEnd w:id="2"/>
    </w:p>
    <w:tbl>
      <w:tblPr>
        <w:tblStyle w:val="65"/>
        <w:tblW w:w="9746"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6"/>
      </w:tblGrid>
      <w:tr w14:paraId="3B921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9746" w:type="dxa"/>
          </w:tcPr>
          <w:p w14:paraId="7907120C">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34700DDB">
            <w:pPr>
              <w:spacing w:line="360" w:lineRule="auto"/>
              <w:ind w:firstLine="240" w:firstLineChars="100"/>
              <w:rPr>
                <w:rFonts w:hint="eastAsia" w:ascii="宋体" w:hAnsi="宋体" w:cs="宋体"/>
                <w:color w:val="auto"/>
                <w:sz w:val="24"/>
                <w:szCs w:val="24"/>
                <w:highlight w:val="none"/>
              </w:rPr>
            </w:pPr>
            <w:bookmarkStart w:id="3" w:name="OLE_LINK2"/>
            <w:r>
              <w:rPr>
                <w:rFonts w:hint="eastAsia" w:ascii="宋体" w:hAnsi="宋体" w:cs="宋体"/>
                <w:color w:val="auto"/>
                <w:sz w:val="24"/>
                <w:szCs w:val="24"/>
                <w:highlight w:val="none"/>
                <w:u w:val="none"/>
                <w:lang w:eastAsia="zh-CN"/>
              </w:rPr>
              <w:t>研创园综合安保管理辅助服务项目</w:t>
            </w:r>
            <w:r>
              <w:rPr>
                <w:rFonts w:hint="eastAsia" w:ascii="宋体" w:hAnsi="宋体" w:cs="宋体"/>
                <w:color w:val="auto"/>
                <w:sz w:val="24"/>
                <w:szCs w:val="24"/>
                <w:highlight w:val="none"/>
                <w:u w:val="none"/>
              </w:rPr>
              <w:t>的潜在</w:t>
            </w:r>
            <w:r>
              <w:rPr>
                <w:rFonts w:hint="eastAsia" w:ascii="宋体" w:hAnsi="宋体" w:cs="宋体"/>
                <w:color w:val="auto"/>
                <w:sz w:val="24"/>
                <w:szCs w:val="24"/>
                <w:highlight w:val="none"/>
                <w:u w:val="none"/>
                <w:lang w:eastAsia="zh-CN"/>
              </w:rPr>
              <w:t>供应商</w:t>
            </w:r>
            <w:r>
              <w:rPr>
                <w:rFonts w:hint="eastAsia" w:ascii="宋体" w:hAnsi="宋体" w:cs="宋体"/>
                <w:color w:val="auto"/>
                <w:sz w:val="24"/>
                <w:szCs w:val="24"/>
                <w:highlight w:val="none"/>
                <w:u w:val="none"/>
              </w:rPr>
              <w:t>应在</w:t>
            </w:r>
            <w:r>
              <w:rPr>
                <w:rFonts w:hint="eastAsia" w:ascii="宋体" w:hAnsi="宋体"/>
                <w:color w:val="auto"/>
                <w:sz w:val="24"/>
                <w:highlight w:val="none"/>
                <w:u w:val="none"/>
              </w:rPr>
              <w:t>“江苏政府采购网”</w:t>
            </w:r>
            <w:r>
              <w:rPr>
                <w:rFonts w:hint="eastAsia" w:ascii="宋体" w:hAnsi="宋体"/>
                <w:color w:val="auto"/>
                <w:sz w:val="24"/>
                <w:highlight w:val="none"/>
                <w:u w:val="none"/>
                <w:lang w:val="en-US" w:eastAsia="zh-CN"/>
              </w:rPr>
              <w:t>苏采云系统</w:t>
            </w:r>
            <w:r>
              <w:rPr>
                <w:rFonts w:hint="eastAsia" w:ascii="宋体" w:hAnsi="宋体" w:cs="宋体"/>
                <w:color w:val="auto"/>
                <w:sz w:val="24"/>
                <w:szCs w:val="24"/>
                <w:highlight w:val="none"/>
              </w:rPr>
              <w:t>获取招标文件，并于202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25</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分（北京时间）前递交投标文件。</w:t>
            </w:r>
            <w:bookmarkEnd w:id="3"/>
          </w:p>
        </w:tc>
      </w:tr>
    </w:tbl>
    <w:p w14:paraId="3020DC09">
      <w:pPr>
        <w:pStyle w:val="439"/>
        <w:tabs>
          <w:tab w:val="left" w:pos="1134"/>
          <w:tab w:val="left" w:pos="5612"/>
        </w:tabs>
        <w:spacing w:line="312" w:lineRule="auto"/>
        <w:ind w:firstLine="0" w:firstLineChars="0"/>
        <w:outlineLvl w:val="1"/>
        <w:rPr>
          <w:rFonts w:hint="eastAsia" w:ascii="宋体" w:hAnsi="宋体" w:cs="宋体"/>
          <w:color w:val="auto"/>
          <w:sz w:val="24"/>
          <w:szCs w:val="24"/>
          <w:highlight w:val="none"/>
        </w:rPr>
      </w:pPr>
      <w:bookmarkStart w:id="4" w:name="_Toc2298"/>
      <w:bookmarkStart w:id="5" w:name="_Toc20555"/>
      <w:r>
        <w:rPr>
          <w:rFonts w:hint="eastAsia" w:ascii="宋体" w:hAnsi="宋体" w:cs="宋体"/>
          <w:b/>
          <w:bCs/>
          <w:color w:val="auto"/>
          <w:sz w:val="24"/>
          <w:szCs w:val="24"/>
          <w:highlight w:val="none"/>
        </w:rPr>
        <w:t>一、项目基本情况</w:t>
      </w:r>
      <w:bookmarkEnd w:id="4"/>
      <w:bookmarkEnd w:id="5"/>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219362BB">
      <w:pPr>
        <w:pStyle w:val="439"/>
        <w:tabs>
          <w:tab w:val="left" w:pos="1134"/>
        </w:tabs>
        <w:spacing w:line="312"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JSZC-320192-JCZJ-G2026-0004</w:t>
      </w:r>
    </w:p>
    <w:p w14:paraId="3EABCB4D">
      <w:pPr>
        <w:pStyle w:val="439"/>
        <w:tabs>
          <w:tab w:val="left" w:pos="1134"/>
        </w:tabs>
        <w:spacing w:line="312"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研创园综合安保管理辅助服务项目</w:t>
      </w:r>
    </w:p>
    <w:p w14:paraId="0C028C5F">
      <w:pPr>
        <w:pStyle w:val="439"/>
        <w:tabs>
          <w:tab w:val="left" w:pos="1134"/>
        </w:tabs>
        <w:spacing w:line="312" w:lineRule="auto"/>
        <w:ind w:firstLine="480"/>
        <w:rPr>
          <w:rFonts w:hint="eastAsia"/>
        </w:rPr>
      </w:pPr>
      <w:r>
        <w:rPr>
          <w:rFonts w:hint="eastAsia" w:ascii="宋体" w:hAnsi="宋体" w:cs="宋体"/>
          <w:color w:val="auto"/>
          <w:sz w:val="24"/>
          <w:szCs w:val="24"/>
          <w:highlight w:val="none"/>
          <w:lang w:val="en-US" w:eastAsia="zh-CN"/>
        </w:rPr>
        <w:t>预算金额：1550</w:t>
      </w:r>
      <w:r>
        <w:rPr>
          <w:rFonts w:hint="eastAsia" w:ascii="宋体" w:hAnsi="宋体" w:cs="宋体"/>
          <w:color w:val="auto"/>
          <w:sz w:val="24"/>
          <w:szCs w:val="24"/>
          <w:highlight w:val="none"/>
        </w:rPr>
        <w:t>万</w:t>
      </w:r>
      <w:r>
        <w:rPr>
          <w:rFonts w:hint="eastAsia" w:ascii="宋体" w:hAnsi="宋体" w:cs="宋体"/>
          <w:color w:val="auto"/>
          <w:sz w:val="24"/>
          <w:szCs w:val="24"/>
          <w:highlight w:val="none"/>
          <w:lang w:val="en-US" w:eastAsia="zh-CN"/>
        </w:rPr>
        <w:t>元。其中2026年预算350万元、2027年预算600万元、2028年预算600万元。</w:t>
      </w:r>
    </w:p>
    <w:p w14:paraId="4FBDF1CD">
      <w:pPr>
        <w:pStyle w:val="439"/>
        <w:tabs>
          <w:tab w:val="left" w:pos="1134"/>
        </w:tabs>
        <w:spacing w:line="312"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最高限价：</w:t>
      </w:r>
      <w:r>
        <w:rPr>
          <w:rFonts w:hint="eastAsia" w:ascii="宋体" w:hAnsi="宋体" w:eastAsia="宋体" w:cs="宋体"/>
          <w:color w:val="auto"/>
          <w:kern w:val="0"/>
          <w:sz w:val="24"/>
          <w:szCs w:val="24"/>
          <w:highlight w:val="none"/>
          <w:lang w:val="en-US" w:eastAsia="zh-CN"/>
        </w:rPr>
        <w:t>1472.5</w:t>
      </w:r>
      <w:r>
        <w:rPr>
          <w:rFonts w:hint="eastAsia" w:ascii="宋体" w:hAnsi="宋体" w:cs="宋体"/>
          <w:color w:val="auto"/>
          <w:sz w:val="24"/>
          <w:szCs w:val="24"/>
          <w:highlight w:val="none"/>
          <w:lang w:val="en-US" w:eastAsia="zh-CN"/>
        </w:rPr>
        <w:t>万元。本项目设置单价最高限价，报价超过招标文件规定的单价最高限价和总价最高限价及改变不可竞争费的按无效标处理。</w:t>
      </w:r>
    </w:p>
    <w:p w14:paraId="0B084391">
      <w:pPr>
        <w:pStyle w:val="439"/>
        <w:tabs>
          <w:tab w:val="left" w:pos="1134"/>
        </w:tabs>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采购需求：</w:t>
      </w:r>
      <w:bookmarkStart w:id="6" w:name="OLE_LINK10"/>
      <w:bookmarkStart w:id="7" w:name="OLE_LINK3"/>
      <w:r>
        <w:rPr>
          <w:rFonts w:hint="eastAsia" w:ascii="宋体" w:hAnsi="宋体" w:cs="宋体"/>
          <w:color w:val="auto"/>
          <w:sz w:val="24"/>
          <w:szCs w:val="24"/>
          <w:highlight w:val="none"/>
        </w:rPr>
        <w:t>研创园综合安保管理辅助服务项目工作内容主要为协助南京江北新区产业技术研创园管理办公室开展城市市容管理、治安巡防和综合治理等工作</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详见采购文件</w:t>
      </w:r>
      <w:bookmarkEnd w:id="6"/>
      <w:r>
        <w:rPr>
          <w:rFonts w:hint="eastAsia" w:ascii="宋体" w:hAnsi="宋体" w:cs="宋体"/>
          <w:color w:val="auto"/>
          <w:sz w:val="24"/>
          <w:szCs w:val="24"/>
          <w:highlight w:val="none"/>
        </w:rPr>
        <w:t>。</w:t>
      </w:r>
      <w:bookmarkEnd w:id="7"/>
    </w:p>
    <w:p w14:paraId="0EB8DDBB">
      <w:pPr>
        <w:pStyle w:val="439"/>
        <w:tabs>
          <w:tab w:val="left" w:pos="1134"/>
        </w:tabs>
        <w:spacing w:line="312" w:lineRule="auto"/>
        <w:rPr>
          <w:rFonts w:hint="eastAsia" w:ascii="宋体" w:hAnsi="宋体" w:cs="宋体"/>
          <w:color w:val="auto"/>
          <w:sz w:val="24"/>
          <w:szCs w:val="24"/>
          <w:highlight w:val="yellow"/>
        </w:rPr>
      </w:pPr>
      <w:r>
        <w:rPr>
          <w:rFonts w:hint="eastAsia" w:ascii="宋体" w:hAnsi="宋体" w:cs="宋体"/>
          <w:color w:val="auto"/>
          <w:sz w:val="24"/>
          <w:szCs w:val="24"/>
          <w:highlight w:val="none"/>
        </w:rPr>
        <w:t>合同履行期限：合同服务期限（约31个月）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自2026年6月1日至2028年12月31日。</w:t>
      </w:r>
      <w:bookmarkStart w:id="8" w:name="_Toc3038"/>
    </w:p>
    <w:p w14:paraId="28B53630">
      <w:pPr>
        <w:pStyle w:val="439"/>
        <w:tabs>
          <w:tab w:val="left" w:pos="1134"/>
        </w:tabs>
        <w:spacing w:line="312" w:lineRule="auto"/>
        <w:ind w:left="479" w:leftChars="228"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本项目（是/否）接受联合体投标：否。</w:t>
      </w:r>
    </w:p>
    <w:p w14:paraId="0F6DC8A2">
      <w:pPr>
        <w:pStyle w:val="439"/>
        <w:tabs>
          <w:tab w:val="left" w:pos="1134"/>
        </w:tabs>
        <w:spacing w:line="312" w:lineRule="auto"/>
        <w:ind w:firstLine="0" w:firstLineChars="0"/>
        <w:outlineLvl w:val="1"/>
        <w:rPr>
          <w:rFonts w:hint="eastAsia" w:ascii="宋体" w:hAnsi="宋体" w:cs="宋体"/>
          <w:b/>
          <w:bCs/>
          <w:color w:val="auto"/>
          <w:sz w:val="24"/>
          <w:szCs w:val="24"/>
          <w:highlight w:val="none"/>
        </w:rPr>
      </w:pPr>
      <w:bookmarkStart w:id="9" w:name="_Toc29741"/>
      <w:r>
        <w:rPr>
          <w:rFonts w:hint="eastAsia" w:ascii="宋体" w:hAnsi="宋体" w:cs="宋体"/>
          <w:b/>
          <w:bCs/>
          <w:color w:val="auto"/>
          <w:sz w:val="24"/>
          <w:szCs w:val="24"/>
          <w:highlight w:val="none"/>
        </w:rPr>
        <w:t>二、申请人的资格要求：</w:t>
      </w:r>
      <w:bookmarkEnd w:id="8"/>
      <w:bookmarkEnd w:id="9"/>
    </w:p>
    <w:p w14:paraId="60F6BC04">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14:paraId="4FDB2413">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w:t>
      </w:r>
      <w:bookmarkStart w:id="10" w:name="OLE_LINK6"/>
      <w:r>
        <w:rPr>
          <w:rFonts w:hint="eastAsia" w:ascii="宋体" w:hAnsi="宋体" w:cs="宋体"/>
          <w:color w:val="auto"/>
          <w:sz w:val="24"/>
          <w:szCs w:val="24"/>
          <w:highlight w:val="none"/>
        </w:rPr>
        <w:t>具有独立承担民事责任的能力（提供法人或者其他组织的营业执照；供应商为自然人的，提供其身份证）；</w:t>
      </w:r>
      <w:bookmarkEnd w:id="10"/>
    </w:p>
    <w:p w14:paraId="2D976F72">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Start w:id="11" w:name="OLE_LINK7"/>
      <w:r>
        <w:rPr>
          <w:rFonts w:hint="eastAsia" w:ascii="宋体" w:hAnsi="宋体" w:cs="宋体"/>
          <w:color w:val="auto"/>
          <w:sz w:val="24"/>
          <w:szCs w:val="24"/>
          <w:highlight w:val="none"/>
        </w:rPr>
        <w:t>具有良好的商业信誉和健全的财务会计制度（提供2023年度</w:t>
      </w:r>
      <w:r>
        <w:rPr>
          <w:rFonts w:hint="eastAsia" w:ascii="宋体" w:hAnsi="宋体" w:cs="宋体"/>
          <w:color w:val="auto"/>
          <w:sz w:val="24"/>
          <w:szCs w:val="24"/>
          <w:highlight w:val="none"/>
          <w:lang w:val="en-US" w:eastAsia="zh-CN"/>
        </w:rPr>
        <w:t>或2024年度</w:t>
      </w:r>
      <w:r>
        <w:rPr>
          <w:rFonts w:hint="eastAsia" w:ascii="宋体" w:hAnsi="宋体" w:cs="宋体"/>
          <w:color w:val="auto"/>
          <w:sz w:val="24"/>
          <w:szCs w:val="24"/>
          <w:highlight w:val="none"/>
        </w:rPr>
        <w:t>财务报告，至少包含资产负债表、利润表，或投标截止时间前六个月内银行出具的资信证明；成立不满一年的无须提供）；</w:t>
      </w:r>
      <w:bookmarkEnd w:id="11"/>
    </w:p>
    <w:p w14:paraId="481ADECE">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（3）具有履行合同所必需的设备和专业技术能力（供应商根据履行采购项目合同需要，提供履行合同所必需的设备和专业技术能力的声明函或证明材料）；</w:t>
      </w:r>
    </w:p>
    <w:p w14:paraId="41606676">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（4）有依法缴纳税收和社会保障资金的良好记录（提供202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月至今）中任一月份的依法缴纳税收和社会保险费的相关材料（提供相关主管部门证明或银行代扣证明的复印件，根据国家相关政策免缴或迟缴的需提供相关证明材料）；</w:t>
      </w:r>
    </w:p>
    <w:p w14:paraId="087791DA">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（5）参加政府采购活动前三年内，在经营活动中没有重大违法记录（提供承诺书）；</w:t>
      </w:r>
    </w:p>
    <w:p w14:paraId="5A17B41D">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（6）</w:t>
      </w:r>
      <w:bookmarkStart w:id="12" w:name="OLE_LINK8"/>
      <w:r>
        <w:rPr>
          <w:rFonts w:hint="eastAsia" w:ascii="宋体" w:hAnsi="宋体" w:cs="宋体"/>
          <w:color w:val="auto"/>
          <w:sz w:val="24"/>
          <w:szCs w:val="24"/>
          <w:highlight w:val="none"/>
        </w:rPr>
        <w:t>法律、行政法规规定的其他条件。</w:t>
      </w:r>
      <w:bookmarkEnd w:id="12"/>
    </w:p>
    <w:p w14:paraId="074EF1F4">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（7）</w:t>
      </w:r>
      <w:bookmarkStart w:id="13" w:name="OLE_LINK9"/>
      <w:r>
        <w:rPr>
          <w:rFonts w:hint="eastAsia" w:ascii="宋体" w:hAnsi="宋体" w:cs="宋体"/>
          <w:color w:val="auto"/>
          <w:sz w:val="24"/>
          <w:szCs w:val="24"/>
          <w:highlight w:val="none"/>
        </w:rPr>
        <w:t>《南京市政府采购供应商信用记录表暨信用承诺书》</w:t>
      </w:r>
      <w:bookmarkEnd w:id="13"/>
    </w:p>
    <w:p w14:paraId="05C4223A">
      <w:pPr>
        <w:pStyle w:val="2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2.落实政府采购政策满足的资格要求：</w:t>
      </w:r>
    </w:p>
    <w:p w14:paraId="57FE6A5E">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bookmarkStart w:id="14" w:name="OLE_LINK15"/>
      <w:r>
        <w:rPr>
          <w:rFonts w:hint="eastAsia" w:ascii="宋体" w:hAnsi="宋体" w:cs="宋体"/>
          <w:color w:val="auto"/>
          <w:sz w:val="24"/>
          <w:szCs w:val="24"/>
          <w:highlight w:val="none"/>
        </w:rPr>
        <w:t>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bookmarkEnd w:id="14"/>
    </w:p>
    <w:p w14:paraId="22DAF9BA">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bookmarkStart w:id="15" w:name="OLE_LINK11"/>
      <w:bookmarkStart w:id="16" w:name="_Toc26697"/>
      <w:r>
        <w:rPr>
          <w:rFonts w:hint="eastAsia" w:ascii="宋体" w:hAnsi="宋体" w:cs="宋体"/>
          <w:color w:val="auto"/>
          <w:sz w:val="24"/>
          <w:szCs w:val="24"/>
          <w:highlight w:val="none"/>
          <w:lang w:val="en-US" w:eastAsia="zh-CN"/>
        </w:rPr>
        <w:t>无</w:t>
      </w:r>
      <w:bookmarkEnd w:id="15"/>
    </w:p>
    <w:p w14:paraId="7271D1A0">
      <w:pPr>
        <w:pStyle w:val="2"/>
        <w:spacing w:line="329" w:lineRule="auto"/>
        <w:ind w:firstLine="0" w:firstLineChars="0"/>
        <w:outlineLvl w:val="1"/>
        <w:rPr>
          <w:rFonts w:hint="eastAsia" w:ascii="宋体" w:hAnsi="宋体" w:cs="宋体"/>
          <w:b/>
          <w:bCs/>
          <w:color w:val="auto"/>
          <w:sz w:val="24"/>
          <w:szCs w:val="24"/>
          <w:highlight w:val="none"/>
        </w:rPr>
      </w:pPr>
      <w:bookmarkStart w:id="17" w:name="_Toc30579"/>
      <w:r>
        <w:rPr>
          <w:rFonts w:hint="eastAsia" w:ascii="宋体" w:hAnsi="宋体" w:cs="宋体"/>
          <w:b/>
          <w:bCs/>
          <w:color w:val="auto"/>
          <w:sz w:val="24"/>
          <w:szCs w:val="24"/>
          <w:highlight w:val="none"/>
        </w:rPr>
        <w:t>三、获取招标文件</w:t>
      </w:r>
      <w:bookmarkEnd w:id="16"/>
      <w:bookmarkEnd w:id="17"/>
    </w:p>
    <w:p w14:paraId="65E13037">
      <w:pPr>
        <w:pStyle w:val="2"/>
        <w:spacing w:line="329"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1、时间：</w:t>
      </w:r>
      <w:bookmarkStart w:id="18" w:name="OLE_LINK33"/>
      <w:r>
        <w:rPr>
          <w:rFonts w:hint="eastAsia" w:ascii="宋体" w:hAnsi="宋体" w:cs="宋体"/>
          <w:color w:val="auto"/>
          <w:sz w:val="24"/>
          <w:szCs w:val="24"/>
          <w:highlight w:val="none"/>
        </w:rPr>
        <w:t>自公告发布之日起</w:t>
      </w:r>
      <w:bookmarkEnd w:id="18"/>
      <w:r>
        <w:rPr>
          <w:rFonts w:hint="eastAsia" w:ascii="宋体" w:hAnsi="宋体" w:cs="宋体"/>
          <w:color w:val="auto"/>
          <w:sz w:val="24"/>
          <w:szCs w:val="24"/>
          <w:highlight w:val="none"/>
          <w:lang w:val="en-US" w:eastAsia="zh-CN"/>
        </w:rPr>
        <w:t>五个工作日</w:t>
      </w:r>
    </w:p>
    <w:p w14:paraId="419383A1">
      <w:pPr>
        <w:pStyle w:val="2"/>
        <w:spacing w:line="329" w:lineRule="auto"/>
        <w:ind w:firstLine="480"/>
        <w:jc w:val="left"/>
        <w:rPr>
          <w:rFonts w:hint="eastAsia" w:ascii="宋体" w:hAnsi="宋体"/>
          <w:color w:val="auto"/>
          <w:sz w:val="24"/>
          <w:highlight w:val="none"/>
        </w:rPr>
      </w:pPr>
      <w:r>
        <w:rPr>
          <w:rFonts w:hint="eastAsia" w:ascii="宋体" w:hAnsi="宋体" w:cs="宋体"/>
          <w:color w:val="auto"/>
          <w:sz w:val="24"/>
          <w:szCs w:val="24"/>
          <w:highlight w:val="none"/>
        </w:rPr>
        <w:t>2、地点：</w:t>
      </w:r>
      <w:bookmarkStart w:id="19" w:name="OLE_LINK27"/>
      <w:r>
        <w:rPr>
          <w:rFonts w:hint="eastAsia" w:ascii="宋体" w:hAnsi="宋体"/>
          <w:color w:val="auto"/>
          <w:sz w:val="24"/>
          <w:highlight w:val="none"/>
        </w:rPr>
        <w:t>“江苏政府采购网”</w:t>
      </w:r>
      <w:bookmarkEnd w:id="19"/>
    </w:p>
    <w:p w14:paraId="5E5EB26F">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3、方式：</w:t>
      </w:r>
      <w:bookmarkStart w:id="20" w:name="OLE_LINK20"/>
      <w:r>
        <w:rPr>
          <w:rFonts w:hint="eastAsia" w:ascii="宋体" w:hAnsi="宋体" w:cs="宋体"/>
          <w:color w:val="auto"/>
          <w:sz w:val="24"/>
          <w:szCs w:val="24"/>
          <w:highlight w:val="none"/>
        </w:rPr>
        <w:t>本项目采用网上注册登记方式免费获取。</w:t>
      </w:r>
      <w:bookmarkEnd w:id="20"/>
    </w:p>
    <w:p w14:paraId="07161094">
      <w:pPr>
        <w:pStyle w:val="439"/>
        <w:tabs>
          <w:tab w:val="left" w:pos="1134"/>
        </w:tabs>
        <w:spacing w:line="360" w:lineRule="exact"/>
        <w:ind w:firstLine="0" w:firstLineChars="0"/>
        <w:outlineLvl w:val="1"/>
        <w:rPr>
          <w:rFonts w:hint="eastAsia" w:ascii="宋体" w:hAnsi="宋体" w:cs="宋体"/>
          <w:b/>
          <w:bCs/>
          <w:color w:val="auto"/>
          <w:sz w:val="24"/>
          <w:szCs w:val="24"/>
          <w:highlight w:val="none"/>
        </w:rPr>
      </w:pPr>
      <w:bookmarkStart w:id="21" w:name="_Toc2291"/>
      <w:bookmarkStart w:id="22" w:name="_Toc31377"/>
      <w:r>
        <w:rPr>
          <w:rFonts w:hint="eastAsia" w:ascii="宋体" w:hAnsi="宋体" w:cs="宋体"/>
          <w:b/>
          <w:bCs/>
          <w:color w:val="auto"/>
          <w:sz w:val="24"/>
          <w:szCs w:val="24"/>
          <w:highlight w:val="none"/>
        </w:rPr>
        <w:t>四、提交投标文件截止时间、开标时间和地点</w:t>
      </w:r>
      <w:bookmarkEnd w:id="21"/>
      <w:bookmarkEnd w:id="22"/>
    </w:p>
    <w:p w14:paraId="0314EA85">
      <w:pPr>
        <w:pStyle w:val="439"/>
        <w:tabs>
          <w:tab w:val="left" w:pos="1134"/>
        </w:tabs>
        <w:spacing w:line="312" w:lineRule="auto"/>
        <w:ind w:firstLine="480"/>
        <w:rPr>
          <w:rFonts w:ascii="宋体" w:hAnsi="宋体" w:cs="宋体"/>
          <w:color w:val="auto"/>
          <w:sz w:val="24"/>
          <w:szCs w:val="24"/>
          <w:highlight w:val="none"/>
        </w:rPr>
      </w:pPr>
      <w:r>
        <w:rPr>
          <w:rFonts w:hint="eastAsia" w:ascii="宋体" w:hAnsi="宋体"/>
          <w:bCs/>
          <w:color w:val="auto"/>
          <w:sz w:val="24"/>
          <w:szCs w:val="20"/>
          <w:highlight w:val="none"/>
        </w:rPr>
        <w:t>投标文件截止时间及开标时间：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25</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分（北京时间）</w:t>
      </w:r>
    </w:p>
    <w:p w14:paraId="3AA9AE83">
      <w:pPr>
        <w:pStyle w:val="439"/>
        <w:tabs>
          <w:tab w:val="left" w:pos="1134"/>
        </w:tabs>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bookmarkStart w:id="23" w:name="OLE_LINK28"/>
      <w:r>
        <w:rPr>
          <w:rFonts w:hint="eastAsia" w:ascii="宋体" w:hAnsi="宋体"/>
          <w:color w:val="auto"/>
          <w:sz w:val="24"/>
          <w:highlight w:val="none"/>
        </w:rPr>
        <w:t>“苏采云”政府采购交易系统网上开标大厅</w:t>
      </w:r>
      <w:bookmarkEnd w:id="23"/>
      <w:r>
        <w:rPr>
          <w:rFonts w:hint="eastAsia" w:ascii="宋体" w:hAnsi="宋体"/>
          <w:color w:val="auto"/>
          <w:sz w:val="24"/>
          <w:highlight w:val="none"/>
        </w:rPr>
        <w:t>。</w:t>
      </w:r>
    </w:p>
    <w:p w14:paraId="52F19121">
      <w:pPr>
        <w:pStyle w:val="439"/>
        <w:tabs>
          <w:tab w:val="left" w:pos="1134"/>
        </w:tabs>
        <w:spacing w:line="312" w:lineRule="auto"/>
        <w:ind w:firstLine="0" w:firstLineChars="0"/>
        <w:outlineLvl w:val="1"/>
        <w:rPr>
          <w:rFonts w:hint="eastAsia" w:ascii="宋体" w:hAnsi="宋体" w:cs="宋体"/>
          <w:b/>
          <w:bCs/>
          <w:color w:val="auto"/>
          <w:sz w:val="24"/>
          <w:szCs w:val="24"/>
          <w:highlight w:val="none"/>
        </w:rPr>
      </w:pPr>
      <w:bookmarkStart w:id="24" w:name="_Toc5544"/>
      <w:bookmarkStart w:id="25" w:name="_Toc32088"/>
      <w:r>
        <w:rPr>
          <w:rFonts w:hint="eastAsia" w:ascii="宋体" w:hAnsi="宋体" w:cs="宋体"/>
          <w:b/>
          <w:bCs/>
          <w:color w:val="auto"/>
          <w:sz w:val="24"/>
          <w:szCs w:val="24"/>
          <w:highlight w:val="none"/>
        </w:rPr>
        <w:t>五、公告期限</w:t>
      </w:r>
      <w:bookmarkEnd w:id="24"/>
      <w:bookmarkEnd w:id="25"/>
    </w:p>
    <w:p w14:paraId="512FA24E">
      <w:pPr>
        <w:pStyle w:val="439"/>
        <w:tabs>
          <w:tab w:val="left" w:pos="1276"/>
        </w:tabs>
        <w:spacing w:line="31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598F6000">
      <w:pPr>
        <w:pStyle w:val="439"/>
        <w:tabs>
          <w:tab w:val="left" w:pos="1134"/>
        </w:tabs>
        <w:spacing w:line="360" w:lineRule="exact"/>
        <w:ind w:firstLine="0" w:firstLineChars="0"/>
        <w:outlineLvl w:val="1"/>
        <w:rPr>
          <w:rFonts w:hint="eastAsia" w:ascii="宋体" w:hAnsi="宋体" w:cs="宋体"/>
          <w:b/>
          <w:bCs/>
          <w:color w:val="auto"/>
          <w:sz w:val="24"/>
          <w:szCs w:val="24"/>
          <w:highlight w:val="none"/>
        </w:rPr>
      </w:pPr>
      <w:bookmarkStart w:id="26" w:name="_Toc30674"/>
      <w:bookmarkStart w:id="27" w:name="_Toc12830"/>
      <w:r>
        <w:rPr>
          <w:rFonts w:hint="eastAsia" w:ascii="宋体" w:hAnsi="宋体" w:cs="宋体"/>
          <w:b/>
          <w:bCs/>
          <w:color w:val="auto"/>
          <w:sz w:val="24"/>
          <w:szCs w:val="24"/>
          <w:highlight w:val="none"/>
        </w:rPr>
        <w:t>六、其他补充事宜</w:t>
      </w:r>
      <w:bookmarkEnd w:id="26"/>
      <w:bookmarkEnd w:id="27"/>
    </w:p>
    <w:p w14:paraId="0412C118">
      <w:pPr>
        <w:spacing w:line="360" w:lineRule="auto"/>
        <w:ind w:firstLine="482" w:firstLineChars="200"/>
        <w:rPr>
          <w:rFonts w:ascii="宋体" w:hAnsi="宋体" w:cs="宋体"/>
          <w:b/>
          <w:color w:val="auto"/>
          <w:sz w:val="24"/>
          <w:szCs w:val="24"/>
          <w:highlight w:val="none"/>
        </w:rPr>
      </w:pPr>
      <w:bookmarkStart w:id="28" w:name="OLE_LINK30"/>
      <w:bookmarkStart w:id="29" w:name="_Toc10479"/>
      <w:r>
        <w:rPr>
          <w:rFonts w:hint="eastAsia" w:ascii="宋体" w:hAnsi="宋体"/>
          <w:b/>
          <w:color w:val="auto"/>
          <w:sz w:val="24"/>
          <w:szCs w:val="24"/>
          <w:highlight w:val="none"/>
        </w:rPr>
        <w:t>1、</w:t>
      </w:r>
      <w:r>
        <w:rPr>
          <w:rFonts w:hint="eastAsia" w:ascii="宋体" w:hAnsi="宋体" w:cs="宋体"/>
          <w:b/>
          <w:color w:val="auto"/>
          <w:sz w:val="24"/>
          <w:szCs w:val="24"/>
          <w:highlight w:val="none"/>
        </w:rPr>
        <w:t>潜在供应商访问政府采购管理交易系统（苏采云）的网络地址和方法：</w:t>
      </w:r>
    </w:p>
    <w:p w14:paraId="235107E8">
      <w:pPr>
        <w:spacing w:line="360" w:lineRule="auto"/>
        <w:ind w:left="218" w:leftChars="104" w:firstLine="379" w:firstLineChars="158"/>
        <w:jc w:val="left"/>
        <w:rPr>
          <w:rFonts w:hint="eastAsia" w:ascii="宋体" w:hAnsi="宋体"/>
          <w:bCs/>
          <w:color w:val="auto"/>
          <w:sz w:val="24"/>
          <w:szCs w:val="24"/>
          <w:highlight w:val="none"/>
        </w:rPr>
      </w:pPr>
      <w:r>
        <w:rPr>
          <w:rFonts w:hint="eastAsia" w:ascii="宋体" w:hAnsi="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8B31A92">
      <w:pPr>
        <w:spacing w:line="360" w:lineRule="auto"/>
        <w:ind w:left="218" w:leftChars="104" w:firstLine="379" w:firstLineChars="158"/>
        <w:jc w:val="left"/>
        <w:rPr>
          <w:rFonts w:hint="eastAsia" w:ascii="宋体" w:hAnsi="宋体"/>
          <w:bCs/>
          <w:color w:val="auto"/>
          <w:sz w:val="24"/>
          <w:szCs w:val="24"/>
          <w:highlight w:val="none"/>
        </w:rPr>
      </w:pPr>
      <w:r>
        <w:rPr>
          <w:rFonts w:hint="eastAsia" w:ascii="宋体" w:hAnsi="宋体"/>
          <w:bCs/>
          <w:color w:val="auto"/>
          <w:sz w:val="24"/>
          <w:szCs w:val="24"/>
          <w:highlight w:val="none"/>
        </w:rPr>
        <w:t>（2）“CA数字证书”的获取：供应商需办理CA锁，“苏采云”系统目前仅支持“苏采云”系统下的政务CA，省内各地区办理的“苏采云”系统下的政务CA全省通用。</w:t>
      </w:r>
    </w:p>
    <w:p w14:paraId="3B86771A">
      <w:pPr>
        <w:spacing w:line="360" w:lineRule="auto"/>
        <w:ind w:left="218" w:leftChars="104" w:firstLine="379" w:firstLineChars="158"/>
        <w:jc w:val="left"/>
        <w:rPr>
          <w:rFonts w:hint="eastAsia" w:ascii="宋体" w:hAnsi="宋体"/>
          <w:bCs/>
          <w:color w:val="auto"/>
          <w:sz w:val="24"/>
          <w:szCs w:val="24"/>
          <w:highlight w:val="none"/>
        </w:rPr>
      </w:pPr>
      <w:r>
        <w:rPr>
          <w:rFonts w:hint="eastAsia" w:ascii="宋体" w:hAnsi="宋体"/>
          <w:bCs/>
          <w:color w:val="auto"/>
          <w:sz w:val="24"/>
          <w:szCs w:val="24"/>
          <w:highlight w:val="none"/>
        </w:rPr>
        <w:t>（3）“CA数字证书”的办理材料以及供应商操作手册详见：http://jsxcmm.com/help/gys.html。</w:t>
      </w:r>
    </w:p>
    <w:p w14:paraId="4C92D183">
      <w:pPr>
        <w:spacing w:line="360" w:lineRule="auto"/>
        <w:ind w:left="218" w:leftChars="104" w:firstLine="379" w:firstLineChars="158"/>
        <w:jc w:val="left"/>
        <w:rPr>
          <w:rFonts w:hint="eastAsia" w:ascii="宋体" w:hAnsi="宋体"/>
          <w:bCs/>
          <w:color w:val="auto"/>
          <w:sz w:val="24"/>
          <w:szCs w:val="24"/>
          <w:highlight w:val="none"/>
        </w:rPr>
      </w:pPr>
      <w:r>
        <w:rPr>
          <w:rFonts w:hint="eastAsia" w:ascii="宋体" w:hAnsi="宋体"/>
          <w:bCs/>
          <w:color w:val="auto"/>
          <w:sz w:val="24"/>
          <w:szCs w:val="24"/>
          <w:highlight w:val="none"/>
        </w:rPr>
        <w:t>（4）潜在供应商访问“苏采云”系统的网络地址和方法：“苏采云”系统的网址：http://jszfcg.jsczt.cn/jszc/login。</w:t>
      </w:r>
    </w:p>
    <w:p w14:paraId="35763A78">
      <w:pPr>
        <w:spacing w:line="360" w:lineRule="auto"/>
        <w:ind w:left="218" w:leftChars="104" w:firstLine="379" w:firstLineChars="158"/>
        <w:jc w:val="left"/>
        <w:rPr>
          <w:rFonts w:hint="eastAsia" w:ascii="宋体" w:hAnsi="宋体"/>
          <w:bCs/>
          <w:color w:val="auto"/>
          <w:sz w:val="24"/>
          <w:szCs w:val="24"/>
          <w:highlight w:val="none"/>
        </w:rPr>
      </w:pPr>
      <w:r>
        <w:rPr>
          <w:rFonts w:hint="eastAsia" w:ascii="宋体" w:hAnsi="宋体"/>
          <w:bCs/>
          <w:color w:val="auto"/>
          <w:sz w:val="24"/>
          <w:szCs w:val="24"/>
          <w:highlight w:val="none"/>
        </w:rPr>
        <w:t>（5）采购文件（后缀名为“.kedt”）、供应商操作手册及政府采购客户端工具也可通过“苏采云”系统--已报名项目--报名详情页面内相应链接进行下载。</w:t>
      </w:r>
    </w:p>
    <w:p w14:paraId="5431094D">
      <w:pPr>
        <w:spacing w:line="360" w:lineRule="auto"/>
        <w:ind w:left="218" w:leftChars="104" w:firstLine="379" w:firstLineChars="158"/>
        <w:jc w:val="left"/>
        <w:rPr>
          <w:rFonts w:hint="eastAsia" w:ascii="宋体" w:hAnsi="宋体"/>
          <w:bCs/>
          <w:color w:val="auto"/>
          <w:sz w:val="24"/>
          <w:szCs w:val="24"/>
          <w:highlight w:val="none"/>
        </w:rPr>
      </w:pPr>
      <w:r>
        <w:rPr>
          <w:rFonts w:hint="eastAsia" w:ascii="宋体" w:hAnsi="宋体"/>
          <w:bCs/>
          <w:color w:val="auto"/>
          <w:sz w:val="24"/>
          <w:szCs w:val="24"/>
          <w:highlight w:val="none"/>
        </w:rPr>
        <w:t>（6）招标代理机构（采购代理机构）将数据电文形式的采购文件加载至“苏采云”系统，供潜在供应商下载或者查阅。    </w:t>
      </w:r>
    </w:p>
    <w:p w14:paraId="2A5DED9A">
      <w:pPr>
        <w:spacing w:line="360" w:lineRule="auto"/>
        <w:ind w:left="218" w:leftChars="104" w:firstLine="379" w:firstLineChars="158"/>
        <w:jc w:val="left"/>
        <w:rPr>
          <w:rFonts w:hint="eastAsia" w:ascii="宋体" w:hAnsi="宋体"/>
          <w:bCs/>
          <w:color w:val="auto"/>
          <w:sz w:val="24"/>
          <w:szCs w:val="24"/>
          <w:highlight w:val="none"/>
        </w:rPr>
      </w:pPr>
      <w:r>
        <w:rPr>
          <w:rFonts w:hint="eastAsia" w:ascii="宋体" w:hAnsi="宋体"/>
          <w:bCs/>
          <w:color w:val="auto"/>
          <w:sz w:val="24"/>
          <w:szCs w:val="24"/>
          <w:highlight w:val="none"/>
        </w:rPr>
        <w:t>（7）苏采云系统使用谷歌浏览器参与不见面开标。</w:t>
      </w:r>
    </w:p>
    <w:p w14:paraId="167845CC">
      <w:pPr>
        <w:spacing w:line="360" w:lineRule="auto"/>
        <w:ind w:firstLine="420"/>
        <w:rPr>
          <w:rFonts w:hint="eastAsia" w:ascii="宋体" w:hAnsi="宋体" w:cs="宋体"/>
          <w:bCs/>
          <w:color w:val="auto"/>
          <w:sz w:val="24"/>
          <w:szCs w:val="24"/>
          <w:highlight w:val="none"/>
        </w:rPr>
      </w:pPr>
      <w:r>
        <w:rPr>
          <w:rFonts w:hint="eastAsia" w:ascii="宋体" w:hAnsi="宋体" w:cs="宋体"/>
          <w:b/>
          <w:color w:val="auto"/>
          <w:sz w:val="24"/>
          <w:szCs w:val="24"/>
          <w:highlight w:val="none"/>
        </w:rPr>
        <w:t>2.信用承诺</w:t>
      </w:r>
      <w:r>
        <w:rPr>
          <w:rFonts w:hint="eastAsia" w:ascii="宋体" w:hAnsi="宋体" w:cs="宋体"/>
          <w:bCs/>
          <w:color w:val="auto"/>
          <w:sz w:val="24"/>
          <w:szCs w:val="24"/>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color w:val="auto"/>
          <w:highlight w:val="none"/>
        </w:rPr>
        <w:fldChar w:fldCharType="begin"/>
      </w:r>
      <w:r>
        <w:rPr>
          <w:color w:val="auto"/>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color w:val="auto"/>
          <w:highlight w:val="none"/>
        </w:rPr>
        <w:fldChar w:fldCharType="separate"/>
      </w:r>
      <w:r>
        <w:rPr>
          <w:rFonts w:hint="eastAsia" w:ascii="宋体" w:hAnsi="宋体" w:cs="宋体"/>
          <w:bCs/>
          <w:color w:val="auto"/>
          <w:sz w:val="24"/>
          <w:szCs w:val="24"/>
          <w:highlight w:val="none"/>
        </w:rPr>
        <w:t>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要求完成注册），然后在“信用记录”模块页面点击“信用记录打印”下载本单位《南京市政府采购供应商信用记录表暨信用承诺书》，由法人签字并盖单位公章，装订在响应文件中。</w:t>
      </w:r>
    </w:p>
    <w:p w14:paraId="0F677076">
      <w:pPr>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在政府采购资格审查环节，供应商只需提供书面《南京市政府采购供应商信用记录表暨信用承诺书》，即可替代以下证明材料： </w:t>
      </w:r>
    </w:p>
    <w:p w14:paraId="4FCA422C">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（1）符合国家相关规定的财务状况报告； </w:t>
      </w:r>
    </w:p>
    <w:p w14:paraId="636C9244">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（2）依法缴纳税收的证明材料； </w:t>
      </w:r>
    </w:p>
    <w:p w14:paraId="5169B942">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（3）依法缴纳社会保障资金的证明材料； </w:t>
      </w:r>
    </w:p>
    <w:p w14:paraId="13309B3F">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（4）具备履行政府采购合同所必需的设备和专业技术能力的证明材料； </w:t>
      </w:r>
    </w:p>
    <w:p w14:paraId="46715ABF">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（5）参加政府采购活动前三年内在经营活动中没有重大违法记录的证明材料； </w:t>
      </w:r>
    </w:p>
    <w:p w14:paraId="74D16B30">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（6）未被列入失信被执行人、重大税收违法失信主体、政府采购严重违法失信行为记录名单的证明材料。 </w:t>
      </w:r>
    </w:p>
    <w:p w14:paraId="4E80E709">
      <w:pPr>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供应商在中标（成交）后，应按采购文件要求，将上述由信用承诺书替代的证明材料提交采购人或采购代理机构核验。经核验无误后，由采购人或采购代理机构发出中标（成交）通知书。 </w:t>
      </w:r>
    </w:p>
    <w:p w14:paraId="18197986">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供应商涉及以下情形的，不适用信用承诺： </w:t>
      </w:r>
    </w:p>
    <w:p w14:paraId="47553671">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（1）供应商被列入严重失信主体名单； </w:t>
      </w:r>
    </w:p>
    <w:p w14:paraId="6F7267F4">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（2）被相关监管部门作出行政处罚且尚在处罚有效期内； </w:t>
      </w:r>
    </w:p>
    <w:p w14:paraId="74314735">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（3）其他法律、行政法规规定的不适用信用承诺的情形。 </w:t>
      </w:r>
    </w:p>
    <w:p w14:paraId="35BC0BAC">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供应商对信用承诺内容的真实性、合法性、有效性负责。如作出虚假信用承诺，视同为“提供虚假材料谋取中标、成交”的违法行为。</w:t>
      </w:r>
    </w:p>
    <w:p w14:paraId="4E4EE221">
      <w:pPr>
        <w:spacing w:line="360" w:lineRule="auto"/>
        <w:ind w:firstLine="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3.有关本次采购的事项若存在变动或修改，敬请及时关注“江苏省政府采购网”发布的信息。</w:t>
      </w:r>
    </w:p>
    <w:p w14:paraId="0C033C60">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2"/>
        <w:rPr>
          <w:rFonts w:hint="default" w:ascii="宋体" w:hAnsi="宋体" w:cs="宋体"/>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4.</w:t>
      </w:r>
      <w:r>
        <w:rPr>
          <w:rFonts w:hint="eastAsia" w:ascii="宋体" w:hAnsi="宋体" w:cs="宋体"/>
          <w:color w:val="auto"/>
          <w:sz w:val="24"/>
          <w:szCs w:val="24"/>
          <w:highlight w:val="none"/>
        </w:rPr>
        <w:t>拒绝下述供应商参加本次采购活动</w:t>
      </w:r>
    </w:p>
    <w:p w14:paraId="3CD38670">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4.1拒绝被“信用中国”（www.creditchina.gov.cn）、“中国政府采购网”(www.ccgp.gov.cn）、“信用江苏”（http://credit.jiangsu.gov.cn/）列入失信被执行人、重大税收违法案件当事人、政府采购严重失信行为的供应商参加投标</w:t>
      </w:r>
      <w:r>
        <w:rPr>
          <w:rFonts w:hint="eastAsia" w:ascii="宋体" w:hAnsi="宋体" w:cs="宋体"/>
          <w:color w:val="auto"/>
          <w:sz w:val="24"/>
          <w:szCs w:val="24"/>
          <w:highlight w:val="none"/>
        </w:rPr>
        <w:t>。</w:t>
      </w:r>
    </w:p>
    <w:p w14:paraId="7A64C51A">
      <w:pPr>
        <w:pStyle w:val="2"/>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2"/>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4.2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p>
    <w:bookmarkEnd w:id="28"/>
    <w:p w14:paraId="6FDF17FD">
      <w:pPr>
        <w:pStyle w:val="439"/>
        <w:tabs>
          <w:tab w:val="left" w:pos="1276"/>
        </w:tabs>
        <w:ind w:firstLine="0" w:firstLineChars="0"/>
        <w:outlineLvl w:val="1"/>
        <w:rPr>
          <w:rFonts w:hint="eastAsia" w:ascii="宋体" w:hAnsi="宋体" w:cs="宋体"/>
          <w:b/>
          <w:bCs/>
          <w:color w:val="auto"/>
          <w:sz w:val="24"/>
          <w:szCs w:val="24"/>
          <w:highlight w:val="none"/>
        </w:rPr>
      </w:pPr>
      <w:bookmarkStart w:id="30" w:name="_Toc19045"/>
      <w:r>
        <w:rPr>
          <w:rFonts w:hint="eastAsia" w:ascii="宋体" w:hAnsi="宋体" w:cs="宋体"/>
          <w:b/>
          <w:bCs/>
          <w:color w:val="auto"/>
          <w:sz w:val="24"/>
          <w:szCs w:val="24"/>
          <w:highlight w:val="none"/>
        </w:rPr>
        <w:t>七、对本次招标提出询问，请按以下方式联系。</w:t>
      </w:r>
      <w:bookmarkEnd w:id="29"/>
      <w:bookmarkEnd w:id="30"/>
    </w:p>
    <w:p w14:paraId="24D5AF12">
      <w:pPr>
        <w:spacing w:line="360" w:lineRule="auto"/>
        <w:ind w:firstLine="420"/>
        <w:outlineLvl w:val="2"/>
        <w:rPr>
          <w:rFonts w:hint="eastAsia" w:ascii="宋体" w:hAnsi="宋体" w:cs="宋体"/>
          <w:bCs/>
          <w:color w:val="auto"/>
          <w:sz w:val="24"/>
          <w:szCs w:val="24"/>
          <w:highlight w:val="none"/>
        </w:rPr>
      </w:pPr>
      <w:r>
        <w:rPr>
          <w:rFonts w:hint="eastAsia" w:ascii="宋体" w:hAnsi="宋体" w:cs="宋体"/>
          <w:bCs/>
          <w:color w:val="auto"/>
          <w:sz w:val="24"/>
          <w:szCs w:val="24"/>
          <w:highlight w:val="none"/>
        </w:rPr>
        <w:t>1.采购人信息</w:t>
      </w:r>
    </w:p>
    <w:p w14:paraId="7F01748F">
      <w:pPr>
        <w:spacing w:line="360" w:lineRule="auto"/>
        <w:ind w:firstLine="4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eastAsia="zh-CN"/>
        </w:rPr>
        <w:t>南京江北新区产业技术研创园管理办公室</w:t>
      </w:r>
    </w:p>
    <w:p w14:paraId="7663547D">
      <w:pPr>
        <w:spacing w:line="360" w:lineRule="auto"/>
        <w:ind w:firstLine="420"/>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lang w:val="en-US" w:eastAsia="zh-CN"/>
        </w:rPr>
        <w:t>南京市</w:t>
      </w:r>
      <w:r>
        <w:rPr>
          <w:rFonts w:hint="eastAsia" w:ascii="宋体" w:hAnsi="宋体" w:cs="宋体"/>
          <w:bCs/>
          <w:color w:val="auto"/>
          <w:sz w:val="24"/>
          <w:szCs w:val="24"/>
          <w:highlight w:val="none"/>
          <w:lang w:val="en-US" w:eastAsia="zh-CN"/>
        </w:rPr>
        <w:t>江北新区</w:t>
      </w:r>
    </w:p>
    <w:p w14:paraId="72A31049">
      <w:pPr>
        <w:pStyle w:val="2"/>
        <w:rPr>
          <w:rFonts w:hint="default"/>
          <w:lang w:val="en-US"/>
        </w:rPr>
      </w:pPr>
      <w:r>
        <w:rPr>
          <w:rFonts w:hint="eastAsia" w:ascii="宋体" w:hAnsi="宋体" w:cs="宋体"/>
          <w:bCs/>
          <w:color w:val="auto"/>
          <w:sz w:val="24"/>
          <w:szCs w:val="24"/>
          <w:highlight w:val="none"/>
          <w:lang w:val="en-US" w:eastAsia="zh-CN"/>
        </w:rPr>
        <w:t>联系人：熊工</w:t>
      </w:r>
    </w:p>
    <w:p w14:paraId="7AA50FA4">
      <w:pPr>
        <w:spacing w:line="360" w:lineRule="auto"/>
        <w:ind w:firstLine="4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联系方式：</w:t>
      </w:r>
      <w:r>
        <w:rPr>
          <w:rFonts w:hint="eastAsia" w:ascii="宋体" w:hAnsi="宋体" w:cs="宋体"/>
          <w:bCs/>
          <w:color w:val="auto"/>
          <w:sz w:val="24"/>
          <w:szCs w:val="24"/>
          <w:highlight w:val="none"/>
          <w:lang w:val="en-US" w:eastAsia="zh-CN"/>
        </w:rPr>
        <w:t>02558536585</w:t>
      </w:r>
    </w:p>
    <w:p w14:paraId="5F0293C9">
      <w:pPr>
        <w:spacing w:line="360" w:lineRule="auto"/>
        <w:ind w:firstLine="420"/>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2.采购代理机构信息</w:t>
      </w:r>
    </w:p>
    <w:p w14:paraId="18831036">
      <w:pPr>
        <w:spacing w:line="360" w:lineRule="auto"/>
        <w:ind w:firstLine="4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名称：</w:t>
      </w:r>
      <w:r>
        <w:rPr>
          <w:rFonts w:hint="eastAsia" w:ascii="宋体" w:hAnsi="宋体" w:cs="宋体"/>
          <w:bCs/>
          <w:color w:val="auto"/>
          <w:sz w:val="24"/>
          <w:szCs w:val="24"/>
          <w:highlight w:val="none"/>
          <w:lang w:eastAsia="zh-CN"/>
        </w:rPr>
        <w:t>南京建淳造价师事务所有限公司</w:t>
      </w:r>
    </w:p>
    <w:p w14:paraId="3CC43E1B">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地址：南京市</w:t>
      </w:r>
      <w:r>
        <w:rPr>
          <w:rFonts w:hint="eastAsia" w:ascii="宋体" w:hAnsi="宋体" w:cs="宋体"/>
          <w:bCs/>
          <w:color w:val="auto"/>
          <w:sz w:val="24"/>
          <w:szCs w:val="24"/>
          <w:highlight w:val="none"/>
          <w:lang w:val="en-US" w:eastAsia="zh-CN"/>
        </w:rPr>
        <w:t>江东中路186-1号宏普捷座703室</w:t>
      </w:r>
      <w:r>
        <w:rPr>
          <w:rFonts w:hint="eastAsia" w:ascii="宋体" w:hAnsi="宋体" w:cs="宋体"/>
          <w:bCs/>
          <w:color w:val="auto"/>
          <w:sz w:val="24"/>
          <w:szCs w:val="24"/>
          <w:highlight w:val="none"/>
        </w:rPr>
        <w:t xml:space="preserve"> </w:t>
      </w:r>
    </w:p>
    <w:p w14:paraId="0EAAB4E2">
      <w:pPr>
        <w:spacing w:line="360" w:lineRule="auto"/>
        <w:ind w:firstLine="42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联系方式：</w:t>
      </w:r>
      <w:r>
        <w:rPr>
          <w:rFonts w:hint="eastAsia" w:ascii="宋体" w:hAnsi="宋体" w:cs="宋体"/>
          <w:bCs/>
          <w:color w:val="auto"/>
          <w:sz w:val="24"/>
          <w:szCs w:val="24"/>
          <w:highlight w:val="none"/>
          <w:lang w:val="en-US" w:eastAsia="zh-CN"/>
        </w:rPr>
        <w:t>13851975061</w:t>
      </w:r>
    </w:p>
    <w:p w14:paraId="29B6C211">
      <w:pPr>
        <w:spacing w:line="360" w:lineRule="auto"/>
        <w:ind w:firstLine="42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邮箱：</w:t>
      </w:r>
      <w:r>
        <w:rPr>
          <w:rFonts w:hint="eastAsia" w:ascii="宋体" w:hAnsi="宋体" w:cs="宋体"/>
          <w:bCs/>
          <w:color w:val="auto"/>
          <w:sz w:val="24"/>
          <w:szCs w:val="24"/>
          <w:highlight w:val="none"/>
          <w:lang w:val="en-US" w:eastAsia="zh-CN"/>
        </w:rPr>
        <w:t>453609116@qq.com</w:t>
      </w:r>
    </w:p>
    <w:p w14:paraId="3CFCF519">
      <w:pPr>
        <w:spacing w:line="360" w:lineRule="auto"/>
        <w:ind w:firstLine="420"/>
        <w:outlineLvl w:val="2"/>
        <w:rPr>
          <w:rFonts w:hint="eastAsia" w:ascii="宋体" w:hAnsi="宋体" w:cs="宋体"/>
          <w:bCs/>
          <w:color w:val="auto"/>
          <w:sz w:val="24"/>
          <w:szCs w:val="24"/>
          <w:highlight w:val="none"/>
        </w:rPr>
      </w:pPr>
      <w:r>
        <w:rPr>
          <w:rFonts w:hint="eastAsia" w:ascii="宋体" w:hAnsi="宋体" w:cs="宋体"/>
          <w:bCs/>
          <w:color w:val="auto"/>
          <w:sz w:val="24"/>
          <w:szCs w:val="24"/>
          <w:highlight w:val="none"/>
        </w:rPr>
        <w:t>3.项目联系方式</w:t>
      </w:r>
    </w:p>
    <w:p w14:paraId="1E855F08">
      <w:pPr>
        <w:spacing w:line="360" w:lineRule="auto"/>
        <w:ind w:firstLine="42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项目联系人：</w:t>
      </w:r>
      <w:r>
        <w:rPr>
          <w:rFonts w:hint="eastAsia" w:ascii="宋体" w:hAnsi="宋体" w:cs="宋体"/>
          <w:bCs/>
          <w:color w:val="auto"/>
          <w:sz w:val="24"/>
          <w:szCs w:val="24"/>
          <w:highlight w:val="none"/>
          <w:lang w:val="en-US" w:eastAsia="zh-CN"/>
        </w:rPr>
        <w:t>张工</w:t>
      </w:r>
    </w:p>
    <w:p w14:paraId="290A9550">
      <w:pPr>
        <w:spacing w:line="360" w:lineRule="auto"/>
        <w:ind w:firstLine="42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电话：</w:t>
      </w:r>
      <w:r>
        <w:rPr>
          <w:rFonts w:hint="eastAsia" w:ascii="宋体" w:hAnsi="宋体" w:cs="宋体"/>
          <w:bCs/>
          <w:color w:val="auto"/>
          <w:sz w:val="24"/>
          <w:szCs w:val="24"/>
          <w:highlight w:val="none"/>
          <w:lang w:val="en-US" w:eastAsia="zh-CN"/>
        </w:rPr>
        <w:t>13851975061</w:t>
      </w:r>
    </w:p>
    <w:p w14:paraId="7E5CADC7">
      <w:pPr>
        <w:jc w:val="center"/>
        <w:outlineLvl w:val="0"/>
        <w:rPr>
          <w:rFonts w:hint="eastAsia"/>
          <w:b/>
          <w:color w:val="auto"/>
          <w:sz w:val="44"/>
          <w:szCs w:val="44"/>
          <w:highlight w:val="none"/>
        </w:rPr>
      </w:pPr>
      <w:r>
        <w:rPr>
          <w:rFonts w:hint="eastAsia"/>
          <w:b/>
          <w:color w:val="auto"/>
          <w:sz w:val="44"/>
          <w:szCs w:val="44"/>
          <w:highlight w:val="none"/>
        </w:rPr>
        <w:br w:type="page"/>
      </w:r>
      <w:bookmarkStart w:id="31" w:name="_Toc27994"/>
      <w:r>
        <w:rPr>
          <w:rFonts w:hint="eastAsia"/>
          <w:b/>
          <w:color w:val="auto"/>
          <w:sz w:val="44"/>
          <w:szCs w:val="44"/>
          <w:highlight w:val="none"/>
        </w:rPr>
        <w:t xml:space="preserve">第二部分  </w:t>
      </w:r>
      <w:r>
        <w:rPr>
          <w:rFonts w:hint="eastAsia"/>
          <w:b/>
          <w:color w:val="auto"/>
          <w:sz w:val="44"/>
          <w:szCs w:val="44"/>
          <w:highlight w:val="none"/>
          <w:lang w:eastAsia="zh-CN"/>
        </w:rPr>
        <w:t>供应商</w:t>
      </w:r>
      <w:r>
        <w:rPr>
          <w:rFonts w:hint="eastAsia"/>
          <w:b/>
          <w:color w:val="auto"/>
          <w:sz w:val="44"/>
          <w:szCs w:val="44"/>
          <w:highlight w:val="none"/>
        </w:rPr>
        <w:t>须知</w:t>
      </w:r>
      <w:bookmarkEnd w:id="31"/>
    </w:p>
    <w:p w14:paraId="07B98BB8">
      <w:pPr>
        <w:pStyle w:val="4"/>
        <w:keepNext w:val="0"/>
        <w:keepLines w:val="0"/>
        <w:spacing w:before="0" w:after="0" w:line="240" w:lineRule="auto"/>
        <w:jc w:val="center"/>
        <w:rPr>
          <w:rFonts w:hint="eastAsia"/>
          <w:color w:val="auto"/>
          <w:highlight w:val="none"/>
        </w:rPr>
      </w:pPr>
      <w:bookmarkStart w:id="32" w:name="_Toc17705"/>
      <w:bookmarkStart w:id="33" w:name="_Toc514054471"/>
      <w:bookmarkStart w:id="34" w:name="_Toc21085"/>
      <w:r>
        <w:rPr>
          <w:rFonts w:hint="eastAsia"/>
          <w:color w:val="auto"/>
          <w:highlight w:val="none"/>
          <w:lang w:eastAsia="zh-CN"/>
        </w:rPr>
        <w:t>供应商</w:t>
      </w:r>
      <w:r>
        <w:rPr>
          <w:rFonts w:hint="eastAsia"/>
          <w:color w:val="auto"/>
          <w:highlight w:val="none"/>
        </w:rPr>
        <w:t>须知前附表</w:t>
      </w:r>
      <w:bookmarkEnd w:id="32"/>
      <w:bookmarkEnd w:id="33"/>
      <w:bookmarkEnd w:id="34"/>
    </w:p>
    <w:tbl>
      <w:tblPr>
        <w:tblStyle w:val="65"/>
        <w:tblW w:w="9734"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2519"/>
        <w:gridCol w:w="6288"/>
      </w:tblGrid>
      <w:tr w14:paraId="43023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7" w:type="dxa"/>
            <w:vAlign w:val="center"/>
          </w:tcPr>
          <w:p w14:paraId="1DC92766">
            <w:pPr>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序号</w:t>
            </w:r>
          </w:p>
        </w:tc>
        <w:tc>
          <w:tcPr>
            <w:tcW w:w="2519" w:type="dxa"/>
            <w:vAlign w:val="center"/>
          </w:tcPr>
          <w:p w14:paraId="4BD8585F">
            <w:pPr>
              <w:jc w:val="center"/>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内容</w:t>
            </w:r>
          </w:p>
        </w:tc>
        <w:tc>
          <w:tcPr>
            <w:tcW w:w="6288" w:type="dxa"/>
            <w:vAlign w:val="center"/>
          </w:tcPr>
          <w:p w14:paraId="65CBE870">
            <w:pPr>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说明及要求</w:t>
            </w:r>
          </w:p>
        </w:tc>
      </w:tr>
      <w:tr w14:paraId="5992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927" w:type="dxa"/>
            <w:vAlign w:val="center"/>
          </w:tcPr>
          <w:p w14:paraId="49875BF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19" w:type="dxa"/>
            <w:vAlign w:val="center"/>
          </w:tcPr>
          <w:p w14:paraId="2FFEAE7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288" w:type="dxa"/>
            <w:vAlign w:val="center"/>
          </w:tcPr>
          <w:p w14:paraId="507BB28A">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须知前附表内容不一致时，以</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须知前附表为准。</w:t>
            </w:r>
          </w:p>
        </w:tc>
      </w:tr>
      <w:tr w14:paraId="53D88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927" w:type="dxa"/>
            <w:vAlign w:val="center"/>
          </w:tcPr>
          <w:p w14:paraId="7724497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519" w:type="dxa"/>
            <w:vAlign w:val="center"/>
          </w:tcPr>
          <w:p w14:paraId="629CCF4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288" w:type="dxa"/>
            <w:vAlign w:val="center"/>
          </w:tcPr>
          <w:p w14:paraId="1470C5F1">
            <w:pPr>
              <w:rPr>
                <w:rFonts w:ascii="宋体" w:hAnsi="宋体" w:cs="宋体"/>
                <w:color w:val="auto"/>
                <w:sz w:val="24"/>
                <w:szCs w:val="24"/>
                <w:highlight w:val="none"/>
              </w:rPr>
            </w:pPr>
            <w:r>
              <w:rPr>
                <w:rFonts w:hint="eastAsia" w:ascii="宋体" w:hAnsi="宋体" w:cs="宋体"/>
                <w:color w:val="auto"/>
                <w:sz w:val="24"/>
                <w:szCs w:val="24"/>
                <w:highlight w:val="none"/>
              </w:rPr>
              <w:t>本项目不收取投标保证金</w:t>
            </w:r>
          </w:p>
        </w:tc>
      </w:tr>
      <w:tr w14:paraId="32C56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927" w:type="dxa"/>
            <w:vAlign w:val="center"/>
          </w:tcPr>
          <w:p w14:paraId="44C02BE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519" w:type="dxa"/>
            <w:vAlign w:val="center"/>
          </w:tcPr>
          <w:p w14:paraId="4D2B00B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288" w:type="dxa"/>
            <w:vAlign w:val="center"/>
          </w:tcPr>
          <w:p w14:paraId="24E9298E">
            <w:pPr>
              <w:widowControl/>
              <w:rPr>
                <w:rFonts w:hint="eastAsia" w:ascii="宋体" w:hAnsi="宋体" w:cs="宋体"/>
                <w:color w:val="auto"/>
                <w:sz w:val="24"/>
                <w:szCs w:val="24"/>
                <w:highlight w:val="none"/>
              </w:rPr>
            </w:pPr>
            <w:bookmarkStart w:id="35" w:name="EBd40b5fb42f2944a3b45e579ce3941f02"/>
            <w:r>
              <w:rPr>
                <w:rFonts w:hint="eastAsia" w:ascii="宋体" w:hAnsi="宋体" w:cs="宋体"/>
                <w:color w:val="auto"/>
                <w:sz w:val="24"/>
                <w:szCs w:val="24"/>
                <w:highlight w:val="none"/>
              </w:rPr>
              <w:t>90</w:t>
            </w:r>
            <w:bookmarkEnd w:id="35"/>
            <w:r>
              <w:rPr>
                <w:rFonts w:hint="eastAsia" w:ascii="宋体" w:hAnsi="宋体" w:cs="宋体"/>
                <w:color w:val="auto"/>
                <w:sz w:val="24"/>
                <w:szCs w:val="24"/>
                <w:highlight w:val="none"/>
              </w:rPr>
              <w:t>日（从提交投标文件截止之日起算）</w:t>
            </w:r>
          </w:p>
        </w:tc>
      </w:tr>
      <w:tr w14:paraId="3E61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8" w:hRule="atLeast"/>
        </w:trPr>
        <w:tc>
          <w:tcPr>
            <w:tcW w:w="927" w:type="dxa"/>
            <w:tcBorders>
              <w:bottom w:val="single" w:color="auto" w:sz="4" w:space="0"/>
            </w:tcBorders>
            <w:vAlign w:val="center"/>
          </w:tcPr>
          <w:p w14:paraId="5E57571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519" w:type="dxa"/>
            <w:vAlign w:val="center"/>
          </w:tcPr>
          <w:p w14:paraId="5BF6C32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288" w:type="dxa"/>
            <w:vAlign w:val="center"/>
          </w:tcPr>
          <w:p w14:paraId="011141E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51FBA7FC">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4F68C091">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经评审后的得分，并按得分由高到低进行排序。</w:t>
            </w:r>
          </w:p>
        </w:tc>
      </w:tr>
      <w:tr w14:paraId="38FF9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927" w:type="dxa"/>
            <w:vAlign w:val="center"/>
          </w:tcPr>
          <w:p w14:paraId="487F61F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519" w:type="dxa"/>
            <w:vAlign w:val="center"/>
          </w:tcPr>
          <w:p w14:paraId="6D9711D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288" w:type="dxa"/>
            <w:vAlign w:val="center"/>
          </w:tcPr>
          <w:p w14:paraId="0CEF000E">
            <w:pP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中标结果确定后，采购人将向中标人发出《中标通知书》。</w:t>
            </w:r>
          </w:p>
        </w:tc>
      </w:tr>
      <w:tr w14:paraId="6171F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trPr>
        <w:tc>
          <w:tcPr>
            <w:tcW w:w="927" w:type="dxa"/>
            <w:vAlign w:val="center"/>
          </w:tcPr>
          <w:p w14:paraId="7E87CC9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519" w:type="dxa"/>
            <w:vAlign w:val="center"/>
          </w:tcPr>
          <w:p w14:paraId="7CBDC05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288" w:type="dxa"/>
            <w:vAlign w:val="center"/>
          </w:tcPr>
          <w:p w14:paraId="6AECA30D">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本项目中标服务费</w:t>
            </w:r>
            <w:r>
              <w:rPr>
                <w:rFonts w:hint="eastAsia" w:ascii="宋体" w:hAnsi="宋体" w:cs="宋体"/>
                <w:color w:val="auto"/>
                <w:sz w:val="24"/>
                <w:szCs w:val="24"/>
                <w:highlight w:val="none"/>
                <w:lang w:val="en-US" w:eastAsia="zh-CN"/>
              </w:rPr>
              <w:t>按“中标单位根据计价格 2002〔1980〕号文件规定标准的37.8%收取</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由采购人支付</w:t>
            </w:r>
            <w:r>
              <w:rPr>
                <w:rFonts w:hint="eastAsia" w:ascii="宋体" w:hAnsi="宋体" w:cs="宋体"/>
                <w:color w:val="auto"/>
                <w:sz w:val="24"/>
                <w:szCs w:val="24"/>
                <w:highlight w:val="none"/>
              </w:rPr>
              <w:t>。</w:t>
            </w:r>
          </w:p>
          <w:p w14:paraId="5D0175AC">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账户信息：</w:t>
            </w:r>
          </w:p>
          <w:p w14:paraId="7B4DEB05">
            <w:pP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户    名：</w:t>
            </w:r>
            <w:r>
              <w:rPr>
                <w:rFonts w:hint="eastAsia" w:ascii="宋体" w:hAnsi="宋体" w:cs="宋体"/>
                <w:color w:val="auto"/>
                <w:sz w:val="24"/>
                <w:szCs w:val="24"/>
                <w:highlight w:val="none"/>
                <w:lang w:eastAsia="zh-CN"/>
              </w:rPr>
              <w:t>南京建淳造价师事务所有限公司</w:t>
            </w:r>
          </w:p>
          <w:p w14:paraId="568550B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开户银行：</w:t>
            </w:r>
            <w:r>
              <w:rPr>
                <w:rFonts w:hint="eastAsia" w:ascii="宋体" w:hAnsi="宋体" w:cs="宋体"/>
                <w:color w:val="auto"/>
                <w:sz w:val="24"/>
                <w:szCs w:val="24"/>
                <w:highlight w:val="none"/>
                <w:lang w:val="en-US" w:eastAsia="zh-CN"/>
              </w:rPr>
              <w:t>招商银行解放路</w:t>
            </w:r>
            <w:r>
              <w:rPr>
                <w:rFonts w:hint="eastAsia" w:ascii="宋体" w:hAnsi="宋体" w:cs="宋体"/>
                <w:color w:val="auto"/>
                <w:sz w:val="24"/>
                <w:szCs w:val="24"/>
                <w:highlight w:val="none"/>
              </w:rPr>
              <w:t xml:space="preserve">支行   </w:t>
            </w:r>
          </w:p>
          <w:p w14:paraId="6BB3D966">
            <w:pPr>
              <w:widowControl/>
              <w:rPr>
                <w:rFonts w:hint="default" w:eastAsia="宋体"/>
                <w:color w:val="auto"/>
                <w:highlight w:val="none"/>
                <w:lang w:val="en-US" w:eastAsia="zh-CN"/>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    号：</w:t>
            </w:r>
            <w:r>
              <w:rPr>
                <w:rFonts w:hint="eastAsia" w:ascii="宋体" w:hAnsi="宋体" w:cs="宋体"/>
                <w:color w:val="auto"/>
                <w:sz w:val="24"/>
                <w:szCs w:val="24"/>
                <w:highlight w:val="none"/>
                <w:lang w:val="en-US" w:eastAsia="zh-CN"/>
              </w:rPr>
              <w:t>253880060810001</w:t>
            </w:r>
          </w:p>
        </w:tc>
      </w:tr>
      <w:tr w14:paraId="3C453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927" w:type="dxa"/>
            <w:vAlign w:val="center"/>
          </w:tcPr>
          <w:p w14:paraId="6A0313B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519" w:type="dxa"/>
            <w:vAlign w:val="center"/>
          </w:tcPr>
          <w:p w14:paraId="23A6160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288" w:type="dxa"/>
            <w:vAlign w:val="center"/>
          </w:tcPr>
          <w:p w14:paraId="5636AE45">
            <w:pPr>
              <w:rPr>
                <w:rFonts w:hint="eastAsia"/>
                <w:color w:val="auto"/>
                <w:highlight w:val="none"/>
              </w:rPr>
            </w:pPr>
            <w:r>
              <w:rPr>
                <w:rFonts w:hint="eastAsia" w:ascii="宋体" w:hAnsi="宋体" w:cs="Courier New"/>
                <w:color w:val="auto"/>
                <w:sz w:val="24"/>
                <w:szCs w:val="24"/>
              </w:rPr>
              <w:t>本项目无需缴纳履约保证金</w:t>
            </w:r>
          </w:p>
        </w:tc>
      </w:tr>
    </w:tbl>
    <w:p w14:paraId="644A7A37">
      <w:pPr>
        <w:pStyle w:val="338"/>
        <w:jc w:val="center"/>
        <w:outlineLvl w:val="1"/>
        <w:rPr>
          <w:rFonts w:hint="eastAsia" w:ascii="宋体" w:hAnsi="宋体" w:eastAsia="宋体" w:cs="宋体"/>
          <w:color w:val="auto"/>
          <w:highlight w:val="none"/>
        </w:rPr>
      </w:pPr>
      <w:bookmarkStart w:id="36" w:name="_Toc25522"/>
      <w:bookmarkStart w:id="37" w:name="_Toc514054472"/>
    </w:p>
    <w:p w14:paraId="19A92D85">
      <w:pPr>
        <w:pStyle w:val="338"/>
        <w:jc w:val="center"/>
        <w:outlineLvl w:val="1"/>
        <w:rPr>
          <w:rFonts w:hint="eastAsia" w:ascii="宋体" w:hAnsi="宋体" w:eastAsia="宋体" w:cs="宋体"/>
          <w:color w:val="auto"/>
          <w:highlight w:val="none"/>
        </w:rPr>
      </w:pPr>
    </w:p>
    <w:p w14:paraId="0597D27E">
      <w:pPr>
        <w:pStyle w:val="338"/>
        <w:jc w:val="center"/>
        <w:outlineLvl w:val="1"/>
        <w:rPr>
          <w:rFonts w:hint="eastAsia" w:ascii="宋体" w:hAnsi="宋体" w:eastAsia="宋体" w:cs="宋体"/>
          <w:color w:val="auto"/>
          <w:highlight w:val="none"/>
        </w:rPr>
      </w:pPr>
    </w:p>
    <w:p w14:paraId="56684620">
      <w:pPr>
        <w:pStyle w:val="338"/>
        <w:jc w:val="center"/>
        <w:outlineLvl w:val="1"/>
        <w:rPr>
          <w:rFonts w:hint="eastAsia" w:ascii="宋体" w:hAnsi="宋体" w:eastAsia="宋体" w:cs="宋体"/>
          <w:color w:val="auto"/>
          <w:highlight w:val="none"/>
        </w:rPr>
      </w:pPr>
    </w:p>
    <w:p w14:paraId="28C99256">
      <w:pPr>
        <w:pStyle w:val="338"/>
        <w:jc w:val="center"/>
        <w:outlineLvl w:val="1"/>
        <w:rPr>
          <w:rFonts w:hint="eastAsia" w:ascii="宋体" w:hAnsi="宋体" w:eastAsia="宋体" w:cs="宋体"/>
          <w:color w:val="auto"/>
          <w:highlight w:val="none"/>
        </w:rPr>
      </w:pPr>
    </w:p>
    <w:p w14:paraId="46037E7D">
      <w:pPr>
        <w:pStyle w:val="338"/>
        <w:jc w:val="center"/>
        <w:outlineLvl w:val="1"/>
        <w:rPr>
          <w:rFonts w:hint="eastAsia" w:ascii="宋体" w:hAnsi="宋体" w:eastAsia="宋体" w:cs="宋体"/>
          <w:color w:val="auto"/>
          <w:highlight w:val="none"/>
        </w:rPr>
      </w:pPr>
    </w:p>
    <w:p w14:paraId="643FD32C">
      <w:pPr>
        <w:pStyle w:val="338"/>
        <w:jc w:val="center"/>
        <w:outlineLvl w:val="1"/>
        <w:rPr>
          <w:rFonts w:hint="eastAsia" w:ascii="宋体" w:hAnsi="宋体" w:eastAsia="宋体" w:cs="宋体"/>
          <w:color w:val="auto"/>
          <w:highlight w:val="none"/>
        </w:rPr>
      </w:pPr>
    </w:p>
    <w:p w14:paraId="621AE209">
      <w:pPr>
        <w:pStyle w:val="338"/>
        <w:jc w:val="center"/>
        <w:outlineLvl w:val="1"/>
        <w:rPr>
          <w:rFonts w:hint="eastAsia" w:ascii="宋体" w:hAnsi="宋体" w:eastAsia="宋体" w:cs="宋体"/>
          <w:color w:val="auto"/>
          <w:highlight w:val="none"/>
        </w:rPr>
      </w:pPr>
      <w:bookmarkStart w:id="38" w:name="_Toc8154"/>
      <w:r>
        <w:rPr>
          <w:rFonts w:hint="eastAsia" w:ascii="宋体" w:hAnsi="宋体" w:eastAsia="宋体" w:cs="宋体"/>
          <w:color w:val="auto"/>
          <w:highlight w:val="none"/>
        </w:rPr>
        <w:t>一、总 则</w:t>
      </w:r>
      <w:bookmarkEnd w:id="36"/>
      <w:bookmarkEnd w:id="37"/>
      <w:bookmarkEnd w:id="38"/>
    </w:p>
    <w:p w14:paraId="393EB899">
      <w:pPr>
        <w:keepNext w:val="0"/>
        <w:keepLines w:val="0"/>
        <w:pageBreakBefore w:val="0"/>
        <w:widowControl w:val="0"/>
        <w:spacing w:line="400" w:lineRule="exact"/>
        <w:ind w:firstLine="442"/>
        <w:outlineLvl w:val="1"/>
        <w:rPr>
          <w:rFonts w:hint="eastAsia" w:ascii="宋体" w:hAnsi="宋体" w:eastAsia="宋体" w:cs="宋体"/>
          <w:b/>
          <w:color w:val="auto"/>
          <w:sz w:val="24"/>
          <w:szCs w:val="24"/>
        </w:rPr>
      </w:pPr>
      <w:bookmarkStart w:id="39" w:name="_Toc20295"/>
      <w:r>
        <w:rPr>
          <w:rFonts w:hint="eastAsia" w:ascii="宋体" w:hAnsi="宋体" w:eastAsia="宋体" w:cs="宋体"/>
          <w:b/>
          <w:color w:val="auto"/>
          <w:sz w:val="24"/>
          <w:szCs w:val="24"/>
        </w:rPr>
        <w:t>一、总则</w:t>
      </w:r>
      <w:bookmarkEnd w:id="39"/>
    </w:p>
    <w:p w14:paraId="59C1AE8F">
      <w:pPr>
        <w:keepNext w:val="0"/>
        <w:keepLines w:val="0"/>
        <w:pageBreakBefore w:val="0"/>
        <w:widowControl w:val="0"/>
        <w:spacing w:line="400" w:lineRule="exact"/>
        <w:ind w:firstLine="442"/>
        <w:outlineLvl w:val="2"/>
        <w:rPr>
          <w:rFonts w:hint="eastAsia" w:ascii="宋体" w:hAnsi="宋体" w:eastAsia="宋体" w:cs="宋体"/>
          <w:color w:val="auto"/>
          <w:sz w:val="24"/>
          <w:szCs w:val="24"/>
        </w:rPr>
      </w:pPr>
      <w:r>
        <w:rPr>
          <w:rFonts w:hint="eastAsia" w:ascii="宋体" w:hAnsi="宋体" w:eastAsia="宋体" w:cs="宋体"/>
          <w:b/>
          <w:color w:val="auto"/>
          <w:sz w:val="24"/>
          <w:szCs w:val="24"/>
        </w:rPr>
        <w:t>1、适用法律</w:t>
      </w:r>
    </w:p>
    <w:p w14:paraId="197E118A">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E54E710">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2、定义</w:t>
      </w:r>
    </w:p>
    <w:p w14:paraId="22902C2A">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2.1、“采购人”是指依法进行政府采购的国家机关、事业单位、团体组织。</w:t>
      </w:r>
    </w:p>
    <w:p w14:paraId="61361C2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2.2、“供应商”是指参加投标竞争，并符合招标文件规定资格条件的法人、其他组织或者自然人。</w:t>
      </w:r>
    </w:p>
    <w:p w14:paraId="427E2B43">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2.3、“采购代理机构”是指集中采购机构和集中采购机构以外的采购代理机构，集中采购机构以外的采购代理机构，是从事采购代理业务的社会中介机构。</w:t>
      </w:r>
    </w:p>
    <w:p w14:paraId="1D9CB0CF">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2.4、“货物和服务”指本招标文件中所述产品及相关服务。</w:t>
      </w:r>
    </w:p>
    <w:p w14:paraId="30957C8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2.5、“用户或使用单位”是指使用货物，接受服务的单位。</w:t>
      </w:r>
    </w:p>
    <w:p w14:paraId="4A02DA8A">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3、政策功能</w:t>
      </w:r>
    </w:p>
    <w:p w14:paraId="18B7711B">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3.1、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p>
    <w:p w14:paraId="7857515D">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3.2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经过认证的环境标志产品。</w:t>
      </w:r>
    </w:p>
    <w:p w14:paraId="1A54B1E9">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3.3提供的产品属于信息安全产品的，供应商应当选择经国家认证的信息安全产品，并提供由中国信息安全认证中心按国家标准认证颁发的有效认证证书复印件。</w:t>
      </w:r>
    </w:p>
    <w:p w14:paraId="1B19EF4E">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3.4 提供的产品属于政府强制采购节能产品的，供应商应当选择《节能产品政府采购清单》中的产品，并提供有效的节能产品认证证书复印件。</w:t>
      </w:r>
    </w:p>
    <w:p w14:paraId="2E4B77F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lang w:val="en-US"/>
        </w:rPr>
        <w:t>3.5 提供的产品属于环境标志产品的,供应商应当选择《环境标志产品政府采购清单》中的,且经过认证的环境标志产品投标,并提供有效的环境标志产品认证证书复印件。</w:t>
      </w:r>
    </w:p>
    <w:p w14:paraId="4F90305D">
      <w:pPr>
        <w:keepNext w:val="0"/>
        <w:keepLines w:val="0"/>
        <w:pageBreakBefore w:val="0"/>
        <w:widowControl w:val="0"/>
        <w:spacing w:line="400" w:lineRule="exact"/>
        <w:ind w:firstLine="442"/>
        <w:outlineLvl w:val="1"/>
        <w:rPr>
          <w:rFonts w:hint="eastAsia" w:ascii="宋体" w:hAnsi="宋体" w:eastAsia="宋体" w:cs="宋体"/>
          <w:b/>
          <w:color w:val="auto"/>
          <w:sz w:val="24"/>
          <w:szCs w:val="24"/>
        </w:rPr>
      </w:pPr>
      <w:bookmarkStart w:id="40" w:name="_Toc4361"/>
      <w:r>
        <w:rPr>
          <w:rFonts w:hint="eastAsia" w:ascii="宋体" w:hAnsi="宋体" w:eastAsia="宋体" w:cs="宋体"/>
          <w:b/>
          <w:color w:val="auto"/>
          <w:sz w:val="24"/>
          <w:szCs w:val="24"/>
        </w:rPr>
        <w:t>二、招标文件构成</w:t>
      </w:r>
      <w:bookmarkEnd w:id="40"/>
    </w:p>
    <w:p w14:paraId="49C8A23D">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4、招标文件组成</w:t>
      </w:r>
    </w:p>
    <w:p w14:paraId="78546F85">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rPr>
        <w:t>4.1、招标文件包括以下主要内容：</w:t>
      </w:r>
      <w:r>
        <w:rPr>
          <w:rFonts w:hint="eastAsia" w:ascii="宋体" w:hAnsi="宋体" w:eastAsia="宋体" w:cs="宋体"/>
          <w:color w:val="auto"/>
          <w:sz w:val="24"/>
          <w:szCs w:val="24"/>
          <w:lang w:val="en-US"/>
        </w:rPr>
        <w:t>（1）投标邀请（2）供应商须知（3）合同文本（4）采购需求（5）评标方法与评标标准（6）投标文件格式。</w:t>
      </w:r>
    </w:p>
    <w:p w14:paraId="73E92BC9">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4.2、招标的最小单位是包。招标货物数量及技术要求中未分包的，供应商对要求提供的货物和服务不得部分投标；招标货物数量及技术要求中已经分包的，应当以包为单位投标。</w:t>
      </w:r>
    </w:p>
    <w:p w14:paraId="400C7EA9">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4.3、采购代理机构如果要求供应商按照招标文件规定提交备选投标方案的，供应商可以提交备选方案；否则，备选方案将被拒绝。</w:t>
      </w:r>
    </w:p>
    <w:p w14:paraId="26B00D43">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5、招标文件的澄清或者修改</w:t>
      </w:r>
    </w:p>
    <w:p w14:paraId="73F18CC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5.1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14:paraId="6B489126">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p>
    <w:p w14:paraId="60AA47F9">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5.2、采购人或者采购代理机构在招标文件要求提交投标文件截止时间三日前，有权决定延长投标截止时间和开标时间，并在原采购信息发布媒体上发布变更公告。</w:t>
      </w:r>
    </w:p>
    <w:p w14:paraId="11F27086">
      <w:pPr>
        <w:keepNext w:val="0"/>
        <w:keepLines w:val="0"/>
        <w:pageBreakBefore w:val="0"/>
        <w:widowControl w:val="0"/>
        <w:spacing w:line="400" w:lineRule="exact"/>
        <w:ind w:firstLine="442"/>
        <w:outlineLvl w:val="1"/>
        <w:rPr>
          <w:rFonts w:hint="eastAsia" w:ascii="宋体" w:hAnsi="宋体" w:eastAsia="宋体" w:cs="宋体"/>
          <w:b/>
          <w:color w:val="auto"/>
          <w:sz w:val="24"/>
          <w:szCs w:val="24"/>
        </w:rPr>
      </w:pPr>
      <w:bookmarkStart w:id="41" w:name="_Toc21654"/>
      <w:r>
        <w:rPr>
          <w:rFonts w:hint="eastAsia" w:ascii="宋体" w:hAnsi="宋体" w:eastAsia="宋体" w:cs="宋体"/>
          <w:b/>
          <w:color w:val="auto"/>
          <w:sz w:val="24"/>
          <w:szCs w:val="24"/>
        </w:rPr>
        <w:t>三、投标文件的编制</w:t>
      </w:r>
      <w:bookmarkEnd w:id="41"/>
    </w:p>
    <w:p w14:paraId="7D30FCDF">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6、投标文件的语言、计量单位、货币和编制</w:t>
      </w:r>
    </w:p>
    <w:p w14:paraId="63CC199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366EB24C">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6.2、供应商所使用的计量单位应为国家法定计量单位。</w:t>
      </w:r>
    </w:p>
    <w:p w14:paraId="02F4F15B">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6.3、供应商应用人民币报价。投标产品如果是进口产品的，应提供人民币与外币之间的汇率；报价单位为“元”。</w:t>
      </w:r>
    </w:p>
    <w:p w14:paraId="74AB0E9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6.4、投标文件应字迹清楚、内容齐全、不得涂改。如有修改，修改处须有供应商公章或投标专用章和法定代表人或其授权的供应商代表签字。</w:t>
      </w:r>
    </w:p>
    <w:p w14:paraId="74EF360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6.5、供应商应在投标文件中写清相应的项目编号、项目名称、分包号、供应商全称、地址、电话、传真等。</w:t>
      </w:r>
    </w:p>
    <w:p w14:paraId="51DBAE5F">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6.6、供应商根据招标文件载明的标的采购项目实际情况，拟在中标后将中标项目的非主体、非关键性工作交由他人完成的，应当在投标文件中载明。</w:t>
      </w:r>
    </w:p>
    <w:p w14:paraId="47CB0635">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7、投标文件的组成</w:t>
      </w:r>
    </w:p>
    <w:p w14:paraId="29FC599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7.1、供应商应当根据招标文件要求编制投标文件，投标文件应对招标文件提出的要求和条件作出实质性响应，并在偏离表等处逐条标明满足与否。</w:t>
      </w:r>
    </w:p>
    <w:p w14:paraId="5150D96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7.2、投标文件由商务部分、技术部分、价格部分以及其他部分组成。</w:t>
      </w:r>
    </w:p>
    <w:p w14:paraId="469034B9">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8、投标文件的商务部分</w:t>
      </w:r>
    </w:p>
    <w:p w14:paraId="4D639066">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8.1、商务部分是证明供应商有资格参加投标和中标后有能力履行合同的文件，这些文件应能满足招标的要求，包括但不限于下列文件（加</w:t>
      </w:r>
      <w:r>
        <w:rPr>
          <w:rFonts w:hint="eastAsia" w:ascii="宋体" w:hAnsi="宋体" w:eastAsia="宋体" w:cs="宋体"/>
          <w:color w:val="auto"/>
          <w:sz w:val="24"/>
          <w:szCs w:val="24"/>
          <w:lang w:val="en-US"/>
        </w:rPr>
        <w:t>★项</w:t>
      </w:r>
      <w:r>
        <w:rPr>
          <w:rFonts w:hint="eastAsia" w:ascii="宋体" w:hAnsi="宋体" w:eastAsia="宋体" w:cs="宋体"/>
          <w:color w:val="auto"/>
          <w:sz w:val="24"/>
          <w:szCs w:val="24"/>
        </w:rPr>
        <w:t>材料如提供不全或不满足招标文件的实质性要求，评标委员会有权否决供应商的投标）：</w:t>
      </w:r>
    </w:p>
    <w:p w14:paraId="034DD074">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投标函（格式见附件）；</w:t>
      </w:r>
    </w:p>
    <w:p w14:paraId="364FA3F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法定代表人授权委托书及委托代理人的身份证明文件的电子件（格式见附件）；</w:t>
      </w:r>
    </w:p>
    <w:p w14:paraId="29C2E5AC">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rPr>
        <w:t>★第一章投标邀请中2.1《中华人民共和国政府采购法》规定的资格条件证明文件；</w:t>
      </w:r>
    </w:p>
    <w:p w14:paraId="02433123">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（4）★第一章投标邀请中2.4采购人根据采购项目的特殊要求规定的特定条件证明文件；</w:t>
      </w:r>
    </w:p>
    <w:p w14:paraId="005ACBC8">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开标一览表（格式见附件）；</w:t>
      </w:r>
    </w:p>
    <w:p w14:paraId="0A4BB33E">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rPr>
        <w:t>（6）</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分项报价表</w:t>
      </w:r>
    </w:p>
    <w:p w14:paraId="6D02A956">
      <w:pPr>
        <w:keepNext w:val="0"/>
        <w:keepLines w:val="0"/>
        <w:pageBreakBefore w:val="0"/>
        <w:widowControl w:val="0"/>
        <w:spacing w:line="400" w:lineRule="exact"/>
        <w:ind w:firstLine="48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rPr>
        <w:t>南京市政府采购供应商信用记录表暨信用承诺书</w:t>
      </w:r>
      <w:r>
        <w:rPr>
          <w:rFonts w:hint="eastAsia" w:ascii="宋体" w:hAnsi="宋体" w:eastAsia="宋体" w:cs="宋体"/>
          <w:color w:val="auto"/>
          <w:sz w:val="24"/>
          <w:szCs w:val="24"/>
        </w:rPr>
        <w:t>》</w:t>
      </w:r>
    </w:p>
    <w:p w14:paraId="20BF3A4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（8）商务条款偏离表；</w:t>
      </w:r>
    </w:p>
    <w:p w14:paraId="6C818BC1">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（9）要求采购人提供的配合（如有自拟并自行添加）；</w:t>
      </w:r>
    </w:p>
    <w:p w14:paraId="7786E23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（10）其它（供应商认为有必要提供的声明和文件，如有，自行拟定并添加）。</w:t>
      </w:r>
    </w:p>
    <w:p w14:paraId="77C5CF8A">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9、投标文件的技术部分</w:t>
      </w:r>
    </w:p>
    <w:p w14:paraId="0A40F6D1">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p>
    <w:p w14:paraId="28CF80A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（1）技术说明或服务方案；</w:t>
      </w:r>
    </w:p>
    <w:p w14:paraId="59940338">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（2）技术条款偏离表</w:t>
      </w:r>
    </w:p>
    <w:p w14:paraId="22F3BE0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（3）供应商认为需要提供的其他技术资料。</w:t>
      </w:r>
    </w:p>
    <w:p w14:paraId="6374E9AE">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10、投标文件的价格部分</w:t>
      </w:r>
    </w:p>
    <w:p w14:paraId="6323ECF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10.1、价格部分是对采购标的价格构成的说明，招标文件如无特别说明，每一项货物及服务仅接受一个价格。</w:t>
      </w:r>
    </w:p>
    <w:p w14:paraId="2D529503">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10.2、报价应包含本次招标标的有关的所有费用，以及技术资料、支付给员工的工资和国家强制缴纳的各种社会保障资金，以及供应商认为需要的其他费用等。</w:t>
      </w:r>
    </w:p>
    <w:p w14:paraId="08A0672B">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10.3、供应商的任何错漏、优惠、竞争性报价不得作为减轻责任、减少服务、增加收费、降低质量的理由。</w:t>
      </w:r>
    </w:p>
    <w:p w14:paraId="01DD716D">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10.4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15273A5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10.5、供应商应在《开标一览表》、《分项报价》等标明投标货物和服务的单价、总价以及分项报价。对于采用货币报价的项目，开标一览表中的投标总报价应与投标分项报价表中的投标总报价一致，如不一致评标时</w:t>
      </w:r>
      <w:r>
        <w:rPr>
          <w:rFonts w:hint="eastAsia" w:ascii="宋体" w:hAnsi="宋体" w:eastAsia="宋体" w:cs="宋体"/>
          <w:color w:val="auto"/>
          <w:sz w:val="24"/>
          <w:szCs w:val="24"/>
          <w:lang w:val="en-US"/>
        </w:rPr>
        <w:t>以</w:t>
      </w:r>
      <w:r>
        <w:rPr>
          <w:rFonts w:hint="eastAsia" w:ascii="宋体" w:hAnsi="宋体" w:eastAsia="宋体" w:cs="宋体"/>
          <w:color w:val="auto"/>
          <w:sz w:val="24"/>
          <w:szCs w:val="24"/>
        </w:rPr>
        <w:t>开标一览表中价格为准。</w:t>
      </w:r>
    </w:p>
    <w:p w14:paraId="0F3EBE69">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10.6、本项目预算为：详见第一章。</w:t>
      </w:r>
    </w:p>
    <w:p w14:paraId="26065ACF">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11、投标文件的其他部分</w:t>
      </w:r>
    </w:p>
    <w:p w14:paraId="6758FCCD">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11.1、其他部分由供应商根据编制投标文件需要提供的其他相关文件组成。</w:t>
      </w:r>
    </w:p>
    <w:p w14:paraId="0228984A">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12、投标保证金</w:t>
      </w:r>
    </w:p>
    <w:p w14:paraId="4E0FA2AD">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本项目不缴纳投标保证金。</w:t>
      </w:r>
    </w:p>
    <w:p w14:paraId="33992A15">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13、投标有效期</w:t>
      </w:r>
    </w:p>
    <w:p w14:paraId="5BFF797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13.1、自开标之日起90天内投标有效，投标有效期从提交投标文件的截止之日起算。</w:t>
      </w:r>
    </w:p>
    <w:p w14:paraId="21DAA309">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13.2、特殊情况下，在原投标有效期截止之前，采购代理机构可要求供应商同意延长投标有效期，这种要求与答复均应以书面形式提交。供应商可拒绝这种要求。接受延长投标有效期的供应商将不会要求和允许修正其投标。</w:t>
      </w:r>
    </w:p>
    <w:p w14:paraId="48CD830A">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14、投标文件签署</w:t>
      </w:r>
    </w:p>
    <w:p w14:paraId="16716E2C">
      <w:pPr>
        <w:keepNext w:val="0"/>
        <w:keepLines w:val="0"/>
        <w:pageBreakBefore w:val="0"/>
        <w:widowControl w:val="0"/>
        <w:spacing w:line="400" w:lineRule="exact"/>
        <w:ind w:firstLine="440"/>
        <w:outlineLvl w:val="3"/>
        <w:rPr>
          <w:rFonts w:hint="eastAsia" w:ascii="宋体" w:hAnsi="宋体" w:eastAsia="宋体" w:cs="宋体"/>
          <w:b/>
          <w:bCs/>
          <w:color w:val="auto"/>
          <w:sz w:val="24"/>
          <w:szCs w:val="24"/>
        </w:rPr>
      </w:pPr>
      <w:r>
        <w:rPr>
          <w:rFonts w:hint="eastAsia" w:ascii="宋体" w:hAnsi="宋体" w:eastAsia="宋体" w:cs="宋体"/>
          <w:color w:val="auto"/>
          <w:sz w:val="24"/>
          <w:szCs w:val="24"/>
        </w:rPr>
        <w:t>14.1、投标文件应按招标文件要求加盖电子章。</w:t>
      </w:r>
    </w:p>
    <w:p w14:paraId="7DD23CFE">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15、投标费用</w:t>
      </w:r>
    </w:p>
    <w:p w14:paraId="440C5DB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15.1、供应商应承担所有与准备和参加投标有关的费用，无论采购结果如何，采购代理机构和采购人在任何情况下均无义务和责任承担这些费用。</w:t>
      </w:r>
    </w:p>
    <w:p w14:paraId="78266508">
      <w:pPr>
        <w:keepNext w:val="0"/>
        <w:keepLines w:val="0"/>
        <w:pageBreakBefore w:val="0"/>
        <w:widowControl w:val="0"/>
        <w:spacing w:line="400" w:lineRule="exact"/>
        <w:ind w:firstLine="442"/>
        <w:rPr>
          <w:rFonts w:hint="eastAsia" w:ascii="宋体" w:hAnsi="宋体" w:eastAsia="宋体" w:cs="宋体"/>
          <w:b/>
          <w:color w:val="auto"/>
          <w:sz w:val="24"/>
          <w:szCs w:val="24"/>
        </w:rPr>
      </w:pPr>
      <w:r>
        <w:rPr>
          <w:rFonts w:hint="eastAsia" w:ascii="宋体" w:hAnsi="宋体" w:eastAsia="宋体" w:cs="宋体"/>
          <w:b/>
          <w:color w:val="auto"/>
          <w:sz w:val="24"/>
          <w:szCs w:val="24"/>
        </w:rPr>
        <w:t>四、投标文件的递交</w:t>
      </w:r>
    </w:p>
    <w:p w14:paraId="40A0AA91">
      <w:pPr>
        <w:keepNext w:val="0"/>
        <w:keepLines w:val="0"/>
        <w:pageBreakBefore w:val="0"/>
        <w:widowControl w:val="0"/>
        <w:spacing w:line="400" w:lineRule="exact"/>
        <w:ind w:firstLine="442"/>
        <w:outlineLvl w:val="2"/>
        <w:rPr>
          <w:rFonts w:hint="eastAsia" w:ascii="宋体" w:hAnsi="宋体" w:eastAsia="宋体" w:cs="宋体"/>
          <w:color w:val="auto"/>
          <w:sz w:val="24"/>
          <w:szCs w:val="24"/>
        </w:rPr>
      </w:pPr>
      <w:r>
        <w:rPr>
          <w:rFonts w:hint="eastAsia" w:ascii="宋体" w:hAnsi="宋体" w:eastAsia="宋体" w:cs="宋体"/>
          <w:b/>
          <w:color w:val="auto"/>
          <w:sz w:val="24"/>
          <w:szCs w:val="24"/>
        </w:rPr>
        <w:t>16、投标文件的递交</w:t>
      </w:r>
    </w:p>
    <w:p w14:paraId="28A00F21">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16.1、供应商应当按照《操作手册》规定，在招标公告规定的投标截止时间前制作并上传电子投标文件。</w:t>
      </w:r>
      <w:bookmarkStart w:id="42" w:name="_Toc16938542"/>
      <w:bookmarkEnd w:id="42"/>
      <w:bookmarkStart w:id="43" w:name="_Toc513029226"/>
      <w:bookmarkEnd w:id="43"/>
      <w:bookmarkStart w:id="44" w:name="_Toc20823298"/>
      <w:bookmarkEnd w:id="44"/>
    </w:p>
    <w:p w14:paraId="0ED1FEB6">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rPr>
        <w:t>6</w:t>
      </w:r>
      <w:r>
        <w:rPr>
          <w:rFonts w:hint="eastAsia" w:ascii="宋体" w:hAnsi="宋体" w:eastAsia="宋体" w:cs="宋体"/>
          <w:color w:val="auto"/>
          <w:sz w:val="24"/>
          <w:szCs w:val="24"/>
        </w:rPr>
        <w:t>.</w:t>
      </w:r>
      <w:r>
        <w:rPr>
          <w:rFonts w:hint="eastAsia" w:ascii="宋体" w:hAnsi="宋体" w:eastAsia="宋体" w:cs="宋体"/>
          <w:color w:val="auto"/>
          <w:sz w:val="24"/>
          <w:szCs w:val="24"/>
          <w:lang w:val="en-US"/>
        </w:rPr>
        <w:t>2</w:t>
      </w:r>
      <w:r>
        <w:rPr>
          <w:rFonts w:hint="eastAsia" w:ascii="宋体" w:hAnsi="宋体" w:eastAsia="宋体" w:cs="宋体"/>
          <w:color w:val="auto"/>
          <w:sz w:val="24"/>
          <w:szCs w:val="24"/>
        </w:rPr>
        <w:t>、供应商应充分考虑网络环境、网络带宽等因素</w:t>
      </w:r>
      <w:r>
        <w:rPr>
          <w:rFonts w:hint="eastAsia" w:ascii="宋体" w:hAnsi="宋体" w:eastAsia="宋体" w:cs="宋体"/>
          <w:color w:val="auto"/>
          <w:sz w:val="24"/>
          <w:szCs w:val="24"/>
          <w:lang w:val="en-US"/>
        </w:rPr>
        <w:t>可能对投标产生的影响</w:t>
      </w:r>
      <w:r>
        <w:rPr>
          <w:rFonts w:hint="eastAsia" w:ascii="宋体" w:hAnsi="宋体" w:eastAsia="宋体" w:cs="宋体"/>
          <w:color w:val="auto"/>
          <w:sz w:val="24"/>
          <w:szCs w:val="24"/>
        </w:rPr>
        <w:t>，如因供应商自身原因造成的电子投标文件上传不成功的，按照本招标文件第二章第2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.1条规定做无效投标处理。</w:t>
      </w:r>
    </w:p>
    <w:p w14:paraId="7CB36B9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rPr>
        <w:t>6</w:t>
      </w:r>
      <w:r>
        <w:rPr>
          <w:rFonts w:hint="eastAsia" w:ascii="宋体" w:hAnsi="宋体" w:eastAsia="宋体" w:cs="宋体"/>
          <w:color w:val="auto"/>
          <w:sz w:val="24"/>
          <w:szCs w:val="24"/>
        </w:rPr>
        <w:t>.</w:t>
      </w:r>
      <w:r>
        <w:rPr>
          <w:rFonts w:hint="eastAsia" w:ascii="宋体" w:hAnsi="宋体" w:eastAsia="宋体" w:cs="宋体"/>
          <w:color w:val="auto"/>
          <w:sz w:val="24"/>
          <w:szCs w:val="24"/>
          <w:lang w:val="en-US"/>
        </w:rPr>
        <w:t>3</w:t>
      </w:r>
      <w:r>
        <w:rPr>
          <w:rFonts w:hint="eastAsia" w:ascii="宋体" w:hAnsi="宋体" w:eastAsia="宋体" w:cs="宋体"/>
          <w:color w:val="auto"/>
          <w:sz w:val="24"/>
          <w:szCs w:val="24"/>
        </w:rPr>
        <w:t>、代理机构可以按照规定，通过修改招标文件酌情延长投标截止时间，在此情况下，供应商的所有权利和义务均以延长后新的截止时间为准。</w:t>
      </w:r>
    </w:p>
    <w:p w14:paraId="1D4E7375">
      <w:pPr>
        <w:keepNext w:val="0"/>
        <w:keepLines w:val="0"/>
        <w:pageBreakBefore w:val="0"/>
        <w:widowControl w:val="0"/>
        <w:spacing w:line="400" w:lineRule="exact"/>
        <w:ind w:firstLine="442"/>
        <w:outlineLvl w:val="2"/>
        <w:rPr>
          <w:rFonts w:hint="eastAsia" w:ascii="宋体" w:hAnsi="宋体" w:eastAsia="宋体" w:cs="宋体"/>
          <w:color w:val="auto"/>
          <w:sz w:val="24"/>
          <w:szCs w:val="24"/>
        </w:rPr>
      </w:pPr>
      <w:r>
        <w:rPr>
          <w:rFonts w:hint="eastAsia" w:ascii="宋体" w:hAnsi="宋体" w:eastAsia="宋体" w:cs="宋体"/>
          <w:b/>
          <w:color w:val="auto"/>
          <w:sz w:val="24"/>
          <w:szCs w:val="24"/>
        </w:rPr>
        <w:t>17、有下列情形的投标文件将被拒收</w:t>
      </w:r>
      <w:r>
        <w:rPr>
          <w:rFonts w:hint="eastAsia" w:ascii="宋体" w:hAnsi="宋体" w:eastAsia="宋体" w:cs="宋体"/>
          <w:color w:val="auto"/>
          <w:sz w:val="24"/>
          <w:szCs w:val="24"/>
        </w:rPr>
        <w:t>：</w:t>
      </w:r>
    </w:p>
    <w:p w14:paraId="4BFF78F9">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17.1、投标截止时间后上传的任何投标文件将被拒绝。</w:t>
      </w:r>
    </w:p>
    <w:p w14:paraId="3C81ECB7">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18、投标文件的修改和撤回</w:t>
      </w:r>
    </w:p>
    <w:p w14:paraId="53749BC5">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lang w:val="en-US"/>
        </w:rPr>
        <w:t>18.1、</w:t>
      </w:r>
      <w:r>
        <w:rPr>
          <w:rFonts w:hint="eastAsia" w:ascii="宋体" w:hAnsi="宋体" w:eastAsia="宋体" w:cs="宋体"/>
          <w:color w:val="auto"/>
          <w:sz w:val="24"/>
          <w:szCs w:val="24"/>
        </w:rPr>
        <w:t>投标文件的撤回</w:t>
      </w:r>
    </w:p>
    <w:p w14:paraId="7BC62A6B">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lang w:val="en-US"/>
        </w:rPr>
        <w:t>18</w:t>
      </w:r>
      <w:r>
        <w:rPr>
          <w:rFonts w:hint="eastAsia" w:ascii="宋体" w:hAnsi="宋体" w:eastAsia="宋体" w:cs="宋体"/>
          <w:color w:val="auto"/>
          <w:sz w:val="24"/>
          <w:szCs w:val="24"/>
        </w:rPr>
        <w:t>.1.1</w:t>
      </w: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供应商可在投标截止时间前撤回其电子投标文件，具体操作方法见《操作手册》。</w:t>
      </w:r>
    </w:p>
    <w:p w14:paraId="51731B5B">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lang w:val="en-US"/>
        </w:rPr>
        <w:t>18</w:t>
      </w:r>
      <w:r>
        <w:rPr>
          <w:rFonts w:hint="eastAsia" w:ascii="宋体" w:hAnsi="宋体" w:eastAsia="宋体" w:cs="宋体"/>
          <w:color w:val="auto"/>
          <w:sz w:val="24"/>
          <w:szCs w:val="24"/>
        </w:rPr>
        <w:t>.1.2</w:t>
      </w: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供应商撤回电子投标文件，则认为其不再参与本项目投标活动。</w:t>
      </w:r>
    </w:p>
    <w:p w14:paraId="5810BC62">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lang w:val="en-US"/>
        </w:rPr>
        <w:t>18</w:t>
      </w:r>
      <w:r>
        <w:rPr>
          <w:rFonts w:hint="eastAsia" w:ascii="宋体" w:hAnsi="宋体" w:eastAsia="宋体" w:cs="宋体"/>
          <w:color w:val="auto"/>
          <w:sz w:val="24"/>
          <w:szCs w:val="24"/>
        </w:rPr>
        <w:t>.2 投标文件的修改</w:t>
      </w:r>
    </w:p>
    <w:p w14:paraId="134FA116">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lang w:val="en-US"/>
        </w:rPr>
        <w:t>18</w:t>
      </w:r>
      <w:r>
        <w:rPr>
          <w:rFonts w:hint="eastAsia" w:ascii="宋体" w:hAnsi="宋体" w:eastAsia="宋体" w:cs="宋体"/>
          <w:color w:val="auto"/>
          <w:sz w:val="24"/>
          <w:szCs w:val="24"/>
        </w:rPr>
        <w:t>.2.1</w:t>
      </w: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供应商可在投标截止时间前对其电子投标文件进行修改，具体操作方法见《操作手册》。</w:t>
      </w:r>
    </w:p>
    <w:p w14:paraId="535F1321">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lang w:val="en-US"/>
        </w:rPr>
        <w:t>18</w:t>
      </w:r>
      <w:r>
        <w:rPr>
          <w:rFonts w:hint="eastAsia" w:ascii="宋体" w:hAnsi="宋体" w:eastAsia="宋体" w:cs="宋体"/>
          <w:color w:val="auto"/>
          <w:sz w:val="24"/>
          <w:szCs w:val="24"/>
        </w:rPr>
        <w:t>.2.2</w:t>
      </w: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投标截止时间之后，供应商不得对其电子投标文件作任何修改。</w:t>
      </w:r>
    </w:p>
    <w:p w14:paraId="64F76CED">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lang w:val="en-US"/>
        </w:rPr>
        <w:t>18</w:t>
      </w:r>
      <w:r>
        <w:rPr>
          <w:rFonts w:hint="eastAsia" w:ascii="宋体" w:hAnsi="宋体" w:eastAsia="宋体" w:cs="宋体"/>
          <w:color w:val="auto"/>
          <w:sz w:val="24"/>
          <w:szCs w:val="24"/>
        </w:rPr>
        <w:t>.3 在投标截止时间至招标文件中规定的投标有效期满之间的这段时间内，供应商不得撤回其投标。</w:t>
      </w:r>
    </w:p>
    <w:p w14:paraId="33F69436">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19、诚实信用</w:t>
      </w:r>
    </w:p>
    <w:p w14:paraId="43502578">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19.1、供应商应当遵循公平竞争的原则，不得恶意串通，不得妨碍其他供应商的竞争行为，不得损害采购人或者其他供应商的合法权益。</w:t>
      </w:r>
    </w:p>
    <w:p w14:paraId="7B1E5686">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19.2、在评标过程中发现供应商有上述情形的，评标委员会应当认定其投标无效，并书面报告本级财政部门。</w:t>
      </w:r>
    </w:p>
    <w:p w14:paraId="5092A99B">
      <w:pPr>
        <w:keepNext w:val="0"/>
        <w:keepLines w:val="0"/>
        <w:pageBreakBefore w:val="0"/>
        <w:widowControl w:val="0"/>
        <w:spacing w:line="400" w:lineRule="exact"/>
        <w:ind w:firstLine="442"/>
        <w:outlineLvl w:val="1"/>
        <w:rPr>
          <w:rFonts w:hint="eastAsia" w:ascii="宋体" w:hAnsi="宋体" w:eastAsia="宋体" w:cs="宋体"/>
          <w:b/>
          <w:color w:val="auto"/>
          <w:sz w:val="24"/>
          <w:szCs w:val="24"/>
        </w:rPr>
      </w:pPr>
      <w:bookmarkStart w:id="45" w:name="_Toc17572"/>
      <w:r>
        <w:rPr>
          <w:rFonts w:hint="eastAsia" w:ascii="宋体" w:hAnsi="宋体" w:eastAsia="宋体" w:cs="宋体"/>
          <w:b/>
          <w:color w:val="auto"/>
          <w:sz w:val="24"/>
          <w:szCs w:val="24"/>
        </w:rPr>
        <w:t>五、开标、评标与定标</w:t>
      </w:r>
      <w:bookmarkEnd w:id="45"/>
    </w:p>
    <w:p w14:paraId="622C6056">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20、开标</w:t>
      </w:r>
    </w:p>
    <w:p w14:paraId="3D3E1526">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20.1、采购代理机构将在招标文件确定的时间和地点进行公开开标。供应商按照《操作手册》规定参加开标活动，并在苏采云系统规定的时间内对投标文件进行解密。苏采云系统公布各供应商名称和投标价格。</w:t>
      </w:r>
    </w:p>
    <w:p w14:paraId="16326948">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0</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供应商在开标过程中涉及到的投标文件解密、开标结果确认等工作，应按照《操作手册》规定执行。</w:t>
      </w:r>
    </w:p>
    <w:p w14:paraId="08AE79F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rPr>
        <w:t>3、</w:t>
      </w:r>
      <w:r>
        <w:rPr>
          <w:rFonts w:hint="eastAsia" w:ascii="宋体" w:hAnsi="宋体" w:eastAsia="宋体" w:cs="宋体"/>
          <w:color w:val="auto"/>
          <w:sz w:val="24"/>
          <w:szCs w:val="24"/>
        </w:rPr>
        <w:t>供应商如果对开标过程和开标</w:t>
      </w:r>
      <w:r>
        <w:rPr>
          <w:rFonts w:hint="eastAsia" w:ascii="宋体" w:hAnsi="宋体" w:eastAsia="宋体" w:cs="宋体"/>
          <w:color w:val="auto"/>
          <w:sz w:val="24"/>
          <w:szCs w:val="24"/>
          <w:lang w:val="en-US"/>
        </w:rPr>
        <w:t>结果</w:t>
      </w:r>
      <w:r>
        <w:rPr>
          <w:rFonts w:hint="eastAsia" w:ascii="宋体" w:hAnsi="宋体" w:eastAsia="宋体" w:cs="宋体"/>
          <w:color w:val="auto"/>
          <w:sz w:val="24"/>
          <w:szCs w:val="24"/>
        </w:rPr>
        <w:t>有疑义，应当根据《操作手册》规定提出，苏采云系统中《开标记录表》公布后5分钟内未提出的，视同认可开标结果。</w:t>
      </w:r>
    </w:p>
    <w:p w14:paraId="7B1092B1">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21、评标</w:t>
      </w:r>
    </w:p>
    <w:p w14:paraId="402AFC5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1</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rPr>
        <w:t>评标由依法组建的</w:t>
      </w:r>
      <w:r>
        <w:rPr>
          <w:rFonts w:hint="eastAsia" w:ascii="宋体" w:hAnsi="宋体" w:eastAsia="宋体" w:cs="宋体"/>
          <w:color w:val="auto"/>
          <w:sz w:val="24"/>
          <w:szCs w:val="24"/>
        </w:rPr>
        <w:t>评标委员会（以下简称“评委会”）进行。</w:t>
      </w:r>
    </w:p>
    <w:p w14:paraId="07EDA11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1</w:t>
      </w:r>
      <w:r>
        <w:rPr>
          <w:rFonts w:hint="eastAsia" w:ascii="宋体" w:hAnsi="宋体" w:eastAsia="宋体" w:cs="宋体"/>
          <w:color w:val="auto"/>
          <w:sz w:val="24"/>
          <w:szCs w:val="24"/>
        </w:rPr>
        <w:t>.2、评委会由采购人代表和有关技术、经济或法律等方面的专家组成，且人员构成符合政府采购有关规定。</w:t>
      </w:r>
    </w:p>
    <w:p w14:paraId="18EDD03B">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1</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评委会独立工作，负责评审所有投标文件并</w:t>
      </w:r>
      <w:r>
        <w:rPr>
          <w:rFonts w:hint="eastAsia" w:ascii="宋体" w:hAnsi="宋体" w:eastAsia="宋体" w:cs="宋体"/>
          <w:color w:val="auto"/>
          <w:sz w:val="24"/>
          <w:szCs w:val="24"/>
          <w:lang w:val="en-US"/>
        </w:rPr>
        <w:t>推荐</w:t>
      </w:r>
      <w:r>
        <w:rPr>
          <w:rFonts w:hint="eastAsia" w:ascii="宋体" w:hAnsi="宋体" w:eastAsia="宋体" w:cs="宋体"/>
          <w:color w:val="auto"/>
          <w:sz w:val="24"/>
          <w:szCs w:val="24"/>
        </w:rPr>
        <w:t>中标候选人，</w:t>
      </w:r>
      <w:r>
        <w:rPr>
          <w:rFonts w:hint="eastAsia" w:ascii="宋体" w:hAnsi="宋体" w:eastAsia="宋体" w:cs="宋体"/>
          <w:color w:val="auto"/>
          <w:sz w:val="24"/>
          <w:szCs w:val="24"/>
          <w:lang w:val="en-US"/>
        </w:rPr>
        <w:t>或根据采购人授权直接确定中标人</w:t>
      </w:r>
      <w:r>
        <w:rPr>
          <w:rFonts w:hint="eastAsia" w:ascii="宋体" w:hAnsi="宋体" w:eastAsia="宋体" w:cs="宋体"/>
          <w:color w:val="auto"/>
          <w:sz w:val="24"/>
          <w:szCs w:val="24"/>
        </w:rPr>
        <w:t>。</w:t>
      </w:r>
    </w:p>
    <w:p w14:paraId="4A4E3B73">
      <w:pPr>
        <w:keepNext w:val="0"/>
        <w:keepLines w:val="0"/>
        <w:pageBreakBefore w:val="0"/>
        <w:widowControl w:val="0"/>
        <w:spacing w:line="400" w:lineRule="exact"/>
        <w:ind w:firstLine="442"/>
        <w:outlineLvl w:val="2"/>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22、评标过程的保密与公正</w:t>
      </w:r>
    </w:p>
    <w:p w14:paraId="695EFD99">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2</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凡是与审查、澄清、评价和比较投标的有关资料以及授标建议等，采购人、评委、代理机构不得向供应商或与评标无关的其他人员透露。</w:t>
      </w:r>
    </w:p>
    <w:p w14:paraId="558CC7C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2</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供应商不得以任何</w:t>
      </w:r>
      <w:r>
        <w:rPr>
          <w:rFonts w:hint="eastAsia" w:ascii="宋体" w:hAnsi="宋体" w:eastAsia="宋体" w:cs="宋体"/>
          <w:color w:val="auto"/>
          <w:sz w:val="24"/>
          <w:szCs w:val="24"/>
          <w:lang w:val="en-US"/>
        </w:rPr>
        <w:t>方式</w:t>
      </w:r>
      <w:r>
        <w:rPr>
          <w:rFonts w:hint="eastAsia" w:ascii="宋体" w:hAnsi="宋体" w:eastAsia="宋体" w:cs="宋体"/>
          <w:color w:val="auto"/>
          <w:sz w:val="24"/>
          <w:szCs w:val="24"/>
        </w:rPr>
        <w:t>影响评标，否则其投标文件将被作为无效投标文件。</w:t>
      </w:r>
    </w:p>
    <w:p w14:paraId="395AFB9A">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2</w:t>
      </w:r>
      <w:r>
        <w:rPr>
          <w:rFonts w:hint="eastAsia" w:ascii="宋体" w:hAnsi="宋体" w:eastAsia="宋体" w:cs="宋体"/>
          <w:color w:val="auto"/>
          <w:sz w:val="24"/>
          <w:szCs w:val="24"/>
        </w:rPr>
        <w:t>.3、代理机构和评委会不向未中标的供应商解释未中标原因，也不公布评标过程中的相关细节。</w:t>
      </w:r>
    </w:p>
    <w:p w14:paraId="70FA26FD">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2</w:t>
      </w:r>
      <w:r>
        <w:rPr>
          <w:rFonts w:hint="eastAsia" w:ascii="宋体" w:hAnsi="宋体" w:eastAsia="宋体" w:cs="宋体"/>
          <w:color w:val="auto"/>
          <w:sz w:val="24"/>
          <w:szCs w:val="24"/>
        </w:rPr>
        <w:t>.4、采用综合评分法的项目，未中标的供应商可于中标结果公告期限届满之日起通过苏采云系统查看</w:t>
      </w:r>
      <w:r>
        <w:rPr>
          <w:rFonts w:hint="eastAsia" w:ascii="宋体" w:hAnsi="宋体" w:eastAsia="宋体" w:cs="宋体"/>
          <w:color w:val="auto"/>
          <w:sz w:val="24"/>
          <w:szCs w:val="24"/>
          <w:lang w:val="en-US"/>
        </w:rPr>
        <w:t>本单位</w:t>
      </w:r>
      <w:r>
        <w:rPr>
          <w:rFonts w:hint="eastAsia" w:ascii="宋体" w:hAnsi="宋体" w:eastAsia="宋体" w:cs="宋体"/>
          <w:color w:val="auto"/>
          <w:sz w:val="24"/>
          <w:szCs w:val="24"/>
        </w:rPr>
        <w:t>的评审得分及排</w:t>
      </w:r>
      <w:r>
        <w:rPr>
          <w:rFonts w:hint="eastAsia" w:ascii="宋体" w:hAnsi="宋体" w:eastAsia="宋体" w:cs="宋体"/>
          <w:color w:val="auto"/>
          <w:sz w:val="24"/>
          <w:szCs w:val="24"/>
          <w:lang w:val="en-US"/>
        </w:rPr>
        <w:t>名</w:t>
      </w:r>
      <w:r>
        <w:rPr>
          <w:rFonts w:hint="eastAsia" w:ascii="宋体" w:hAnsi="宋体" w:eastAsia="宋体" w:cs="宋体"/>
          <w:color w:val="auto"/>
          <w:sz w:val="24"/>
          <w:szCs w:val="24"/>
        </w:rPr>
        <w:t>情况。</w:t>
      </w:r>
    </w:p>
    <w:p w14:paraId="38F50074">
      <w:pPr>
        <w:keepNext w:val="0"/>
        <w:keepLines w:val="0"/>
        <w:pageBreakBefore w:val="0"/>
        <w:widowControl w:val="0"/>
        <w:spacing w:line="400" w:lineRule="exact"/>
        <w:ind w:firstLine="442"/>
        <w:outlineLvl w:val="2"/>
        <w:rPr>
          <w:rFonts w:hint="eastAsia" w:ascii="宋体" w:hAnsi="宋体" w:eastAsia="宋体" w:cs="宋体"/>
          <w:b/>
          <w:bCs/>
          <w:color w:val="auto"/>
          <w:sz w:val="24"/>
          <w:szCs w:val="24"/>
          <w:lang w:val="en-US"/>
        </w:rPr>
      </w:pPr>
      <w:bookmarkStart w:id="46" w:name="_Toc16938548"/>
      <w:bookmarkStart w:id="47" w:name="_Toc20823304"/>
      <w:bookmarkStart w:id="48" w:name="_Toc513029232"/>
      <w:r>
        <w:rPr>
          <w:rFonts w:hint="eastAsia" w:ascii="宋体" w:hAnsi="宋体" w:eastAsia="宋体" w:cs="宋体"/>
          <w:b/>
          <w:bCs/>
          <w:color w:val="auto"/>
          <w:sz w:val="24"/>
          <w:szCs w:val="24"/>
          <w:lang w:val="en-US"/>
        </w:rPr>
        <w:t>23.投标文件的澄清</w:t>
      </w:r>
      <w:bookmarkEnd w:id="46"/>
      <w:bookmarkEnd w:id="47"/>
      <w:bookmarkEnd w:id="48"/>
    </w:p>
    <w:p w14:paraId="65BD58F3">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3</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评标期间，评委会对投标文件中含义不明确、同类问题表述不一致或者有明显文字和计算错误的内容，有权要求供应商作出必要的澄清、说明或者补正。</w:t>
      </w:r>
    </w:p>
    <w:p w14:paraId="310E184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供应商的澄清、说明或者补正不得超出投标文件的范围或者改变投标文件的实质性内容。</w:t>
      </w:r>
    </w:p>
    <w:p w14:paraId="087529BA">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评委会并非对每个供应商都做澄清要求。</w:t>
      </w:r>
    </w:p>
    <w:p w14:paraId="083DAC01">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3</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需要供应商进行澄清、说明和补正的，评委会将通过苏采云系统向</w:t>
      </w:r>
      <w:r>
        <w:rPr>
          <w:rFonts w:hint="eastAsia" w:ascii="宋体" w:hAnsi="宋体" w:eastAsia="宋体" w:cs="宋体"/>
          <w:color w:val="auto"/>
          <w:sz w:val="24"/>
          <w:szCs w:val="24"/>
          <w:lang w:val="en-US"/>
        </w:rPr>
        <w:t>供应商</w:t>
      </w:r>
      <w:r>
        <w:rPr>
          <w:rFonts w:hint="eastAsia" w:ascii="宋体" w:hAnsi="宋体" w:eastAsia="宋体" w:cs="宋体"/>
          <w:color w:val="auto"/>
          <w:sz w:val="24"/>
          <w:szCs w:val="24"/>
        </w:rPr>
        <w:t>发出《澄清要求函》，接到《澄清要求函》的</w:t>
      </w:r>
      <w:r>
        <w:rPr>
          <w:rFonts w:hint="eastAsia" w:ascii="宋体" w:hAnsi="宋体" w:eastAsia="宋体" w:cs="宋体"/>
          <w:color w:val="auto"/>
          <w:sz w:val="24"/>
          <w:szCs w:val="24"/>
          <w:lang w:val="en-US"/>
        </w:rPr>
        <w:t>供应商</w:t>
      </w:r>
      <w:r>
        <w:rPr>
          <w:rFonts w:hint="eastAsia" w:ascii="宋体" w:hAnsi="宋体" w:eastAsia="宋体" w:cs="宋体"/>
          <w:color w:val="auto"/>
          <w:sz w:val="24"/>
          <w:szCs w:val="24"/>
        </w:rPr>
        <w:t>应当按照要求在苏采云系统中提交《澄清响应函》并加盖电子公章。澄清、说明和补正的内容作为投标文件的补充部分，具体操作方式见《操作手册》。</w:t>
      </w:r>
    </w:p>
    <w:p w14:paraId="66B9DA1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3</w:t>
      </w:r>
      <w:r>
        <w:rPr>
          <w:rFonts w:hint="eastAsia" w:ascii="宋体" w:hAnsi="宋体" w:eastAsia="宋体" w:cs="宋体"/>
          <w:color w:val="auto"/>
          <w:sz w:val="24"/>
          <w:szCs w:val="24"/>
        </w:rPr>
        <w:t>.3、接到评委会澄清、说明和补正要求的，供应商如未按规定</w:t>
      </w:r>
      <w:r>
        <w:rPr>
          <w:rFonts w:hint="eastAsia" w:ascii="宋体" w:hAnsi="宋体" w:eastAsia="宋体" w:cs="宋体"/>
          <w:color w:val="auto"/>
          <w:sz w:val="24"/>
          <w:szCs w:val="24"/>
          <w:lang w:val="en-US"/>
        </w:rPr>
        <w:t>作</w:t>
      </w:r>
      <w:r>
        <w:rPr>
          <w:rFonts w:hint="eastAsia" w:ascii="宋体" w:hAnsi="宋体" w:eastAsia="宋体" w:cs="宋体"/>
          <w:color w:val="auto"/>
          <w:sz w:val="24"/>
          <w:szCs w:val="24"/>
        </w:rPr>
        <w:t>出澄清、说明和补正，其风险由供应商自行承担。</w:t>
      </w:r>
    </w:p>
    <w:p w14:paraId="0964A786">
      <w:pPr>
        <w:keepNext w:val="0"/>
        <w:keepLines w:val="0"/>
        <w:pageBreakBefore w:val="0"/>
        <w:widowControl w:val="0"/>
        <w:spacing w:line="400" w:lineRule="exact"/>
        <w:ind w:firstLine="442"/>
        <w:outlineLvl w:val="2"/>
        <w:rPr>
          <w:rFonts w:hint="eastAsia" w:ascii="宋体" w:hAnsi="宋体" w:eastAsia="宋体" w:cs="宋体"/>
          <w:b/>
          <w:bCs/>
          <w:color w:val="auto"/>
          <w:sz w:val="24"/>
          <w:szCs w:val="24"/>
          <w:lang w:val="en-US"/>
        </w:rPr>
      </w:pPr>
      <w:bookmarkStart w:id="49" w:name="_Toc16938549"/>
      <w:bookmarkStart w:id="50" w:name="_Toc20823305"/>
      <w:bookmarkStart w:id="51" w:name="_Toc513029233"/>
      <w:r>
        <w:rPr>
          <w:rFonts w:hint="eastAsia" w:ascii="宋体" w:hAnsi="宋体" w:eastAsia="宋体" w:cs="宋体"/>
          <w:b/>
          <w:bCs/>
          <w:color w:val="auto"/>
          <w:sz w:val="24"/>
          <w:szCs w:val="24"/>
          <w:lang w:val="en-US"/>
        </w:rPr>
        <w:t>24、投标文件的</w:t>
      </w:r>
      <w:bookmarkEnd w:id="49"/>
      <w:bookmarkEnd w:id="50"/>
      <w:bookmarkEnd w:id="51"/>
      <w:r>
        <w:rPr>
          <w:rFonts w:hint="eastAsia" w:ascii="宋体" w:hAnsi="宋体" w:eastAsia="宋体" w:cs="宋体"/>
          <w:b/>
          <w:bCs/>
          <w:color w:val="auto"/>
          <w:sz w:val="24"/>
          <w:szCs w:val="24"/>
          <w:lang w:val="en-US"/>
        </w:rPr>
        <w:t>审查</w:t>
      </w:r>
    </w:p>
    <w:p w14:paraId="6226E548">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投标文件审查分为资格审查和符合性审查。</w:t>
      </w:r>
    </w:p>
    <w:p w14:paraId="2732551D">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.1.1</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资格审查。依据法律法规和招标文件规定，由采购人对投标文件中的资格证明文件进行审查，</w:t>
      </w:r>
      <w:r>
        <w:rPr>
          <w:rFonts w:hint="eastAsia" w:ascii="宋体" w:hAnsi="宋体" w:eastAsia="宋体" w:cs="宋体"/>
          <w:color w:val="auto"/>
          <w:sz w:val="24"/>
          <w:szCs w:val="24"/>
          <w:lang w:val="en-US"/>
        </w:rPr>
        <w:t>并</w:t>
      </w:r>
      <w:r>
        <w:rPr>
          <w:rFonts w:hint="eastAsia" w:ascii="宋体" w:hAnsi="宋体" w:eastAsia="宋体" w:cs="宋体"/>
          <w:color w:val="auto"/>
          <w:sz w:val="24"/>
          <w:szCs w:val="24"/>
        </w:rPr>
        <w:t>向评委会反馈</w:t>
      </w:r>
      <w:r>
        <w:rPr>
          <w:rFonts w:hint="eastAsia" w:ascii="宋体" w:hAnsi="宋体" w:eastAsia="宋体" w:cs="宋体"/>
          <w:color w:val="auto"/>
          <w:sz w:val="24"/>
          <w:szCs w:val="24"/>
          <w:lang w:val="en-US"/>
        </w:rPr>
        <w:t>审查结论</w:t>
      </w:r>
      <w:r>
        <w:rPr>
          <w:rFonts w:hint="eastAsia" w:ascii="宋体" w:hAnsi="宋体" w:eastAsia="宋体" w:cs="宋体"/>
          <w:color w:val="auto"/>
          <w:sz w:val="24"/>
          <w:szCs w:val="24"/>
        </w:rPr>
        <w:t>。</w:t>
      </w:r>
    </w:p>
    <w:p w14:paraId="45ABDA1F">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采购人进行资格审查时，将在“信用中国”网站（www.creditchina.gov.cn）查询供应商的信用记录，以确定供应商是否具备投标资格，查询结果留存并归档。</w:t>
      </w:r>
    </w:p>
    <w:p w14:paraId="3D9C980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接受联合体的项目，联合体成员存在不良信用记录的，视同联合体存在不良</w:t>
      </w:r>
      <w:r>
        <w:rPr>
          <w:rFonts w:hint="eastAsia" w:ascii="宋体" w:hAnsi="宋体" w:eastAsia="宋体" w:cs="宋体"/>
          <w:color w:val="auto"/>
          <w:sz w:val="24"/>
          <w:szCs w:val="24"/>
          <w:lang w:val="en-US"/>
        </w:rPr>
        <w:t>信</w:t>
      </w:r>
      <w:r>
        <w:rPr>
          <w:rFonts w:hint="eastAsia" w:ascii="宋体" w:hAnsi="宋体" w:eastAsia="宋体" w:cs="宋体"/>
          <w:color w:val="auto"/>
          <w:sz w:val="24"/>
          <w:szCs w:val="24"/>
        </w:rPr>
        <w:t>用记录。</w:t>
      </w:r>
    </w:p>
    <w:p w14:paraId="763E394D">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.1.2</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符合性审查。依据招标文件的规定，由评委会从有效性、完整性和对招标文件的响应程度</w:t>
      </w:r>
      <w:r>
        <w:rPr>
          <w:rFonts w:hint="eastAsia" w:ascii="宋体" w:hAnsi="宋体" w:eastAsia="宋体" w:cs="宋体"/>
          <w:color w:val="auto"/>
          <w:sz w:val="24"/>
          <w:szCs w:val="24"/>
          <w:lang w:val="en-US"/>
        </w:rPr>
        <w:t>等方面对投标文件</w:t>
      </w:r>
      <w:r>
        <w:rPr>
          <w:rFonts w:hint="eastAsia" w:ascii="宋体" w:hAnsi="宋体" w:eastAsia="宋体" w:cs="宋体"/>
          <w:color w:val="auto"/>
          <w:sz w:val="24"/>
          <w:szCs w:val="24"/>
        </w:rPr>
        <w:t>进行审查，以确定是否对招标文件的实质性要求作出响应。</w:t>
      </w:r>
    </w:p>
    <w:p w14:paraId="76DD4B0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.1.3</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未通过资格审查或符合性审查的供应商，交易中心将</w:t>
      </w:r>
      <w:r>
        <w:rPr>
          <w:rFonts w:hint="eastAsia" w:ascii="宋体" w:hAnsi="宋体" w:eastAsia="宋体" w:cs="宋体"/>
          <w:color w:val="auto"/>
          <w:sz w:val="24"/>
          <w:szCs w:val="24"/>
          <w:lang w:val="en-US"/>
        </w:rPr>
        <w:t>通过</w:t>
      </w:r>
      <w:r>
        <w:rPr>
          <w:rFonts w:hint="eastAsia" w:ascii="宋体" w:hAnsi="宋体" w:eastAsia="宋体" w:cs="宋体"/>
          <w:color w:val="auto"/>
          <w:sz w:val="24"/>
          <w:szCs w:val="24"/>
        </w:rPr>
        <w:t>苏采云系统告知</w:t>
      </w:r>
      <w:r>
        <w:rPr>
          <w:rFonts w:hint="eastAsia" w:ascii="宋体" w:hAnsi="宋体" w:eastAsia="宋体" w:cs="宋体"/>
          <w:color w:val="auto"/>
          <w:sz w:val="24"/>
          <w:szCs w:val="24"/>
          <w:lang w:val="en-US"/>
        </w:rPr>
        <w:t>其具体</w:t>
      </w:r>
      <w:r>
        <w:rPr>
          <w:rFonts w:hint="eastAsia" w:ascii="宋体" w:hAnsi="宋体" w:eastAsia="宋体" w:cs="宋体"/>
          <w:color w:val="auto"/>
          <w:sz w:val="24"/>
          <w:szCs w:val="24"/>
        </w:rPr>
        <w:t>原因，评标结束后</w:t>
      </w:r>
      <w:r>
        <w:rPr>
          <w:rFonts w:hint="eastAsia" w:ascii="宋体" w:hAnsi="宋体" w:eastAsia="宋体" w:cs="宋体"/>
          <w:color w:val="auto"/>
          <w:sz w:val="24"/>
          <w:szCs w:val="24"/>
          <w:lang w:val="en-US"/>
        </w:rPr>
        <w:t>不再接受有关询问</w:t>
      </w:r>
      <w:r>
        <w:rPr>
          <w:rFonts w:hint="eastAsia" w:ascii="宋体" w:hAnsi="宋体" w:eastAsia="宋体" w:cs="宋体"/>
          <w:color w:val="auto"/>
          <w:sz w:val="24"/>
          <w:szCs w:val="24"/>
        </w:rPr>
        <w:t>。</w:t>
      </w:r>
    </w:p>
    <w:p w14:paraId="0CD8FD2E">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评委会</w:t>
      </w:r>
      <w:r>
        <w:rPr>
          <w:rFonts w:hint="eastAsia" w:ascii="宋体" w:hAnsi="宋体" w:eastAsia="宋体" w:cs="宋体"/>
          <w:color w:val="auto"/>
          <w:sz w:val="24"/>
          <w:szCs w:val="24"/>
          <w:lang w:val="en-US"/>
        </w:rPr>
        <w:t>仅对</w:t>
      </w:r>
      <w:r>
        <w:rPr>
          <w:rFonts w:hint="eastAsia" w:ascii="宋体" w:hAnsi="宋体" w:eastAsia="宋体" w:cs="宋体"/>
          <w:color w:val="auto"/>
          <w:sz w:val="24"/>
          <w:szCs w:val="24"/>
        </w:rPr>
        <w:t>实质性响应招标文件要求</w:t>
      </w:r>
      <w:r>
        <w:rPr>
          <w:rFonts w:hint="eastAsia" w:ascii="宋体" w:hAnsi="宋体" w:eastAsia="宋体" w:cs="宋体"/>
          <w:color w:val="auto"/>
          <w:sz w:val="24"/>
          <w:szCs w:val="24"/>
          <w:lang w:val="en-US"/>
        </w:rPr>
        <w:t>的投标文件进行详细评审</w:t>
      </w:r>
      <w:r>
        <w:rPr>
          <w:rFonts w:hint="eastAsia" w:ascii="宋体" w:hAnsi="宋体" w:eastAsia="宋体" w:cs="宋体"/>
          <w:color w:val="auto"/>
          <w:sz w:val="24"/>
          <w:szCs w:val="24"/>
        </w:rPr>
        <w:t>。实质性响应的投标文件应该是与招标文件要求的全部条款、条件和规格相符，没有重大偏离或保留的文件。</w:t>
      </w:r>
    </w:p>
    <w:p w14:paraId="7E363091">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所谓重大偏离或保留是指与招标文件规定的实质性要求存在负偏离，或者在实质上与招标文件不一致，而且限制了合同中</w:t>
      </w:r>
      <w:r>
        <w:rPr>
          <w:rFonts w:hint="eastAsia" w:ascii="宋体" w:hAnsi="宋体" w:eastAsia="宋体" w:cs="宋体"/>
          <w:color w:val="auto"/>
          <w:sz w:val="24"/>
          <w:szCs w:val="24"/>
          <w:lang w:val="en-US"/>
        </w:rPr>
        <w:t>采购人</w:t>
      </w:r>
      <w:r>
        <w:rPr>
          <w:rFonts w:hint="eastAsia" w:ascii="宋体" w:hAnsi="宋体" w:eastAsia="宋体" w:cs="宋体"/>
          <w:color w:val="auto"/>
          <w:sz w:val="24"/>
          <w:szCs w:val="24"/>
        </w:rPr>
        <w:t>的权利或供应商的义务，纠正这些偏离或保留将会对其他实质性响应的供应商产生不公正的影响。重大偏离的认定</w:t>
      </w:r>
      <w:r>
        <w:rPr>
          <w:rFonts w:hint="eastAsia" w:ascii="宋体" w:hAnsi="宋体" w:eastAsia="宋体" w:cs="宋体"/>
          <w:color w:val="auto"/>
          <w:sz w:val="24"/>
          <w:szCs w:val="24"/>
          <w:lang w:val="en-US"/>
        </w:rPr>
        <w:t>由</w:t>
      </w:r>
      <w:r>
        <w:rPr>
          <w:rFonts w:hint="eastAsia" w:ascii="宋体" w:hAnsi="宋体" w:eastAsia="宋体" w:cs="宋体"/>
          <w:color w:val="auto"/>
          <w:sz w:val="24"/>
          <w:szCs w:val="24"/>
        </w:rPr>
        <w:t>评委会</w:t>
      </w:r>
      <w:r>
        <w:rPr>
          <w:rFonts w:hint="eastAsia" w:ascii="宋体" w:hAnsi="宋体" w:eastAsia="宋体" w:cs="宋体"/>
          <w:color w:val="auto"/>
          <w:sz w:val="24"/>
          <w:szCs w:val="24"/>
          <w:lang w:val="en-US"/>
        </w:rPr>
        <w:t>按照</w:t>
      </w:r>
      <w:r>
        <w:rPr>
          <w:rFonts w:hint="eastAsia" w:ascii="宋体" w:hAnsi="宋体" w:eastAsia="宋体" w:cs="宋体"/>
          <w:color w:val="auto"/>
          <w:sz w:val="24"/>
          <w:szCs w:val="24"/>
        </w:rPr>
        <w:t>少数服从多数的原则作出结论。评委</w:t>
      </w:r>
      <w:r>
        <w:rPr>
          <w:rFonts w:hint="eastAsia" w:ascii="宋体" w:hAnsi="宋体" w:eastAsia="宋体" w:cs="宋体"/>
          <w:color w:val="auto"/>
          <w:sz w:val="24"/>
          <w:szCs w:val="24"/>
          <w:lang w:val="en-US"/>
        </w:rPr>
        <w:t>会认</w:t>
      </w:r>
      <w:r>
        <w:rPr>
          <w:rFonts w:hint="eastAsia" w:ascii="宋体" w:hAnsi="宋体" w:eastAsia="宋体" w:cs="宋体"/>
          <w:color w:val="auto"/>
          <w:sz w:val="24"/>
          <w:szCs w:val="24"/>
        </w:rPr>
        <w:t>定投标文件的响应性只根据投标文件本身的内容，而不寻求外部的证据。</w:t>
      </w:r>
    </w:p>
    <w:p w14:paraId="5D04959E">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如果投标文件实质上没有响应招标文件的要求，评委会将予以拒绝，供应商不得通过修改或撤销不合要求的偏离或保留而使其投标成为实质性响应的投标。</w:t>
      </w:r>
    </w:p>
    <w:p w14:paraId="2877F1D8">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.4</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评委会将对确定为实质性响应的投标进行进一步审核，确定其是否有计算上或累加上的算术错误。修正错误的原则如下：</w:t>
      </w:r>
    </w:p>
    <w:p w14:paraId="3B3CA906">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（1）投标文件中开标一览表内容与投标文件中相应内容不一致的，以开标一览表为准；</w:t>
      </w:r>
    </w:p>
    <w:p w14:paraId="0833DFF7">
      <w:pPr>
        <w:keepNext w:val="0"/>
        <w:keepLines w:val="0"/>
        <w:pageBreakBefore w:val="0"/>
        <w:widowControl w:val="0"/>
        <w:spacing w:line="400" w:lineRule="exact"/>
        <w:ind w:firstLine="440"/>
        <w:outlineLvl w:val="4"/>
        <w:rPr>
          <w:rFonts w:hint="eastAsia" w:ascii="宋体" w:hAnsi="宋体" w:eastAsia="宋体" w:cs="宋体"/>
          <w:color w:val="auto"/>
          <w:sz w:val="24"/>
          <w:szCs w:val="24"/>
        </w:rPr>
      </w:pPr>
      <w:r>
        <w:rPr>
          <w:rFonts w:hint="eastAsia" w:ascii="宋体" w:hAnsi="宋体" w:eastAsia="宋体" w:cs="宋体"/>
          <w:color w:val="auto"/>
          <w:sz w:val="24"/>
          <w:szCs w:val="24"/>
        </w:rPr>
        <w:t>（2）大写金额和小写金额不一致的，以大写金额为准；</w:t>
      </w:r>
    </w:p>
    <w:p w14:paraId="06B0B582">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（3）单价金额小数点或者百分比有明显错位的，以开标一览表的总价为准，并修改单价；</w:t>
      </w:r>
    </w:p>
    <w:p w14:paraId="530AF3C8">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（4）总价金额与按单价汇总金额不一致的，以单价金额计算结果为准。</w:t>
      </w:r>
    </w:p>
    <w:p w14:paraId="7C5DD6DD">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同时出现两种以上错误的，按照前款规定的顺序修正。</w:t>
      </w:r>
    </w:p>
    <w:p w14:paraId="355ACE5C">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.5、评委会将按上述修正错误的方法调整投标文件中的投标报价，并通过苏采云系统告知供应商，调整后的价格对供应商具有约束力。如果供应商不接受修正后的价格，则其投标将被拒绝。</w:t>
      </w:r>
    </w:p>
    <w:p w14:paraId="71515D40">
      <w:pPr>
        <w:keepNext w:val="0"/>
        <w:keepLines w:val="0"/>
        <w:pageBreakBefore w:val="0"/>
        <w:widowControl w:val="0"/>
        <w:spacing w:line="400" w:lineRule="exact"/>
        <w:ind w:firstLine="440"/>
        <w:rPr>
          <w:rFonts w:hint="eastAsia" w:ascii="宋体" w:hAnsi="宋体" w:eastAsia="宋体" w:cs="宋体"/>
          <w:color w:val="auto"/>
          <w:sz w:val="24"/>
          <w:szCs w:val="24"/>
        </w:rPr>
      </w:pPr>
      <w:bookmarkStart w:id="52" w:name="_Toc16938550"/>
      <w:bookmarkStart w:id="53" w:name="_Toc20823306"/>
      <w:bookmarkStart w:id="54" w:name="_Toc513029234"/>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4</w:t>
      </w:r>
      <w:r>
        <w:rPr>
          <w:rFonts w:hint="eastAsia" w:ascii="宋体" w:hAnsi="宋体" w:eastAsia="宋体" w:cs="宋体"/>
          <w:color w:val="auto"/>
          <w:sz w:val="24"/>
          <w:szCs w:val="24"/>
        </w:rPr>
        <w:t>.6</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供应商在开、评标全过程中应保持通讯畅通，及时登录苏采云系统查阅、答复相关信息，并安排专人与代理机构及评委会联系。</w:t>
      </w:r>
    </w:p>
    <w:p w14:paraId="59EB9457">
      <w:pPr>
        <w:keepNext w:val="0"/>
        <w:keepLines w:val="0"/>
        <w:pageBreakBefore w:val="0"/>
        <w:widowControl w:val="0"/>
        <w:spacing w:line="400" w:lineRule="exact"/>
        <w:ind w:firstLine="442"/>
        <w:outlineLvl w:val="2"/>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2</w:t>
      </w:r>
      <w:bookmarkEnd w:id="52"/>
      <w:bookmarkEnd w:id="53"/>
      <w:bookmarkEnd w:id="54"/>
      <w:r>
        <w:rPr>
          <w:rFonts w:hint="eastAsia" w:ascii="宋体" w:hAnsi="宋体" w:eastAsia="宋体" w:cs="宋体"/>
          <w:b/>
          <w:bCs/>
          <w:color w:val="auto"/>
          <w:sz w:val="24"/>
          <w:szCs w:val="24"/>
          <w:lang w:val="en-US"/>
        </w:rPr>
        <w:t>5、无效投标和废标</w:t>
      </w:r>
    </w:p>
    <w:p w14:paraId="0C30266A">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无效投标</w:t>
      </w:r>
      <w:r>
        <w:rPr>
          <w:rFonts w:hint="eastAsia" w:ascii="宋体" w:hAnsi="宋体" w:eastAsia="宋体" w:cs="宋体"/>
          <w:color w:val="auto"/>
          <w:sz w:val="24"/>
          <w:szCs w:val="24"/>
          <w:lang w:val="en-US"/>
        </w:rPr>
        <w:t>情形</w:t>
      </w:r>
    </w:p>
    <w:p w14:paraId="7BC841C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.1.1</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供应商在苏采云系统规定的时间内未成功解密电子投标文件。</w:t>
      </w:r>
    </w:p>
    <w:p w14:paraId="29DB6817">
      <w:pPr>
        <w:keepNext w:val="0"/>
        <w:keepLines w:val="0"/>
        <w:pageBreakBefore w:val="0"/>
        <w:widowControl w:val="0"/>
        <w:spacing w:line="400" w:lineRule="exact"/>
        <w:ind w:firstLine="440"/>
        <w:outlineLvl w:val="4"/>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.1.2</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供应商未按照招标文件要求上传电子投标文件。</w:t>
      </w:r>
    </w:p>
    <w:p w14:paraId="17B95E4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.1.3</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同一供应商提交两个（含两个）以上不同的投标报价。</w:t>
      </w:r>
    </w:p>
    <w:p w14:paraId="0F067A99">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.1.4</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供应商不具备招标文件中规定资格要求。</w:t>
      </w:r>
    </w:p>
    <w:p w14:paraId="7350FE08">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.1.5</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供应商的报价超过了采购预算或最高限价。</w:t>
      </w:r>
    </w:p>
    <w:p w14:paraId="4F4472DE">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.1.6</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未通过符合性审查。</w:t>
      </w:r>
    </w:p>
    <w:p w14:paraId="5F242B6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.1.7</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不符合招标文件中实质性要求和条件（</w:t>
      </w:r>
      <w:r>
        <w:rPr>
          <w:rFonts w:hint="eastAsia" w:ascii="宋体" w:hAnsi="宋体" w:eastAsia="宋体" w:cs="宋体"/>
          <w:b/>
          <w:bCs/>
          <w:color w:val="auto"/>
          <w:sz w:val="24"/>
          <w:szCs w:val="24"/>
        </w:rPr>
        <w:t>本文件中斜体且有下划线部分，或者打“</w:t>
      </w:r>
      <w:r>
        <w:rPr>
          <w:rFonts w:hint="eastAsia" w:ascii="宋体" w:hAnsi="宋体" w:eastAsia="宋体" w:cs="宋体"/>
          <w:b/>
          <w:bCs/>
          <w:color w:val="auto"/>
          <w:sz w:val="24"/>
          <w:szCs w:val="24"/>
          <w:lang w:val="en-US"/>
        </w:rPr>
        <w:t>★</w:t>
      </w:r>
      <w:r>
        <w:rPr>
          <w:rFonts w:hint="eastAsia" w:ascii="宋体" w:hAnsi="宋体" w:eastAsia="宋体" w:cs="宋体"/>
          <w:b/>
          <w:bCs/>
          <w:color w:val="auto"/>
          <w:sz w:val="24"/>
          <w:szCs w:val="24"/>
        </w:rPr>
        <w:t>”内容为实质性要求和条件</w:t>
      </w:r>
      <w:r>
        <w:rPr>
          <w:rFonts w:hint="eastAsia" w:ascii="宋体" w:hAnsi="宋体" w:eastAsia="宋体" w:cs="宋体"/>
          <w:color w:val="auto"/>
          <w:sz w:val="24"/>
          <w:szCs w:val="24"/>
        </w:rPr>
        <w:t>）。</w:t>
      </w:r>
    </w:p>
    <w:p w14:paraId="11C4BED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.1.8</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F00E301">
      <w:pPr>
        <w:keepNext w:val="0"/>
        <w:keepLines w:val="0"/>
        <w:pageBreakBefore w:val="0"/>
        <w:widowControl w:val="0"/>
        <w:spacing w:line="400" w:lineRule="exact"/>
        <w:ind w:firstLine="440"/>
        <w:outlineLvl w:val="4"/>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.1.9</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投标文件含有采购人不能接受的附加条件。</w:t>
      </w:r>
    </w:p>
    <w:p w14:paraId="594381E6">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.1.10</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评委会认为供应商的报价明显低于其他通过符合性审查供应商的报价，有可能影响</w:t>
      </w:r>
      <w:r>
        <w:rPr>
          <w:rFonts w:hint="eastAsia" w:ascii="宋体" w:hAnsi="宋体" w:eastAsia="宋体" w:cs="宋体"/>
          <w:color w:val="auto"/>
          <w:sz w:val="24"/>
          <w:szCs w:val="24"/>
          <w:lang w:val="en-US"/>
        </w:rPr>
        <w:t>服务</w:t>
      </w:r>
      <w:r>
        <w:rPr>
          <w:rFonts w:hint="eastAsia" w:ascii="宋体" w:hAnsi="宋体" w:eastAsia="宋体" w:cs="宋体"/>
          <w:color w:val="auto"/>
          <w:sz w:val="24"/>
          <w:szCs w:val="24"/>
        </w:rPr>
        <w:t>质量或者不能诚信履约的，将通过苏采云系统要求其在合理的时间内提供说明，必要时提交相关证明材料。供应商不能证明其报价合理性的，评委会应当将其作为无效投标处理。</w:t>
      </w:r>
    </w:p>
    <w:p w14:paraId="06941711">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25.1.11、采购产品被财政部、国家发改委、生态环境部等列入“节能产品品目清单”强制采购范围，而供应商提供的产品不在强制采购范围内。</w:t>
      </w:r>
    </w:p>
    <w:p w14:paraId="4A996CB8">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.1.1</w:t>
      </w:r>
      <w:r>
        <w:rPr>
          <w:rFonts w:hint="eastAsia" w:ascii="宋体" w:hAnsi="宋体" w:eastAsia="宋体" w:cs="宋体"/>
          <w:color w:val="auto"/>
          <w:sz w:val="24"/>
          <w:szCs w:val="24"/>
          <w:lang w:val="en-US"/>
        </w:rPr>
        <w:t>2、</w:t>
      </w:r>
      <w:r>
        <w:rPr>
          <w:rFonts w:hint="eastAsia" w:ascii="宋体" w:hAnsi="宋体" w:eastAsia="宋体" w:cs="宋体"/>
          <w:color w:val="auto"/>
          <w:sz w:val="24"/>
          <w:szCs w:val="24"/>
        </w:rPr>
        <w:t>投标文件未按照招标文件要求加盖电子公章。</w:t>
      </w:r>
    </w:p>
    <w:p w14:paraId="1E70305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.1.1</w:t>
      </w:r>
      <w:r>
        <w:rPr>
          <w:rFonts w:hint="eastAsia" w:ascii="宋体" w:hAnsi="宋体" w:eastAsia="宋体" w:cs="宋体"/>
          <w:color w:val="auto"/>
          <w:sz w:val="24"/>
          <w:szCs w:val="24"/>
          <w:lang w:val="en-US"/>
        </w:rPr>
        <w:t>3、</w:t>
      </w:r>
      <w:r>
        <w:rPr>
          <w:rFonts w:hint="eastAsia" w:ascii="宋体" w:hAnsi="宋体" w:eastAsia="宋体" w:cs="宋体"/>
          <w:color w:val="auto"/>
          <w:sz w:val="24"/>
          <w:szCs w:val="24"/>
        </w:rPr>
        <w:t>法律法规及本招标文件规定的</w:t>
      </w:r>
      <w:r>
        <w:rPr>
          <w:rFonts w:hint="eastAsia" w:ascii="宋体" w:hAnsi="宋体" w:eastAsia="宋体" w:cs="宋体"/>
          <w:color w:val="auto"/>
          <w:sz w:val="24"/>
          <w:szCs w:val="24"/>
          <w:lang w:val="en-US"/>
        </w:rPr>
        <w:t>其他</w:t>
      </w:r>
      <w:r>
        <w:rPr>
          <w:rFonts w:hint="eastAsia" w:ascii="宋体" w:hAnsi="宋体" w:eastAsia="宋体" w:cs="宋体"/>
          <w:color w:val="auto"/>
          <w:sz w:val="24"/>
          <w:szCs w:val="24"/>
        </w:rPr>
        <w:t>无效投标情形。</w:t>
      </w:r>
    </w:p>
    <w:p w14:paraId="4F3CEE0E">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废标</w:t>
      </w:r>
      <w:r>
        <w:rPr>
          <w:rFonts w:hint="eastAsia" w:ascii="宋体" w:hAnsi="宋体" w:eastAsia="宋体" w:cs="宋体"/>
          <w:color w:val="auto"/>
          <w:sz w:val="24"/>
          <w:szCs w:val="24"/>
          <w:lang w:val="en-US"/>
        </w:rPr>
        <w:t>情形</w:t>
      </w:r>
    </w:p>
    <w:p w14:paraId="7EC013B9">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.2.1</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符合资格条件的供应商或者对招标文件作实质响应的供应商不足三家。</w:t>
      </w:r>
    </w:p>
    <w:p w14:paraId="09854409">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.2.2</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出现影响采购公正的违法、违规行为。</w:t>
      </w:r>
    </w:p>
    <w:p w14:paraId="6DDAD7C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.2.3</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因重大变故采购任务取消。</w:t>
      </w:r>
    </w:p>
    <w:p w14:paraId="7DB002A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.2.4</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评委会认定招标文件存在歧义、重大缺陷导致评审工作无法进行。</w:t>
      </w:r>
    </w:p>
    <w:p w14:paraId="74702138">
      <w:pPr>
        <w:keepNext w:val="0"/>
        <w:keepLines w:val="0"/>
        <w:pageBreakBefore w:val="0"/>
        <w:widowControl w:val="0"/>
        <w:spacing w:line="400" w:lineRule="exact"/>
        <w:ind w:firstLine="440"/>
        <w:outlineLvl w:val="4"/>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.2.5</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因苏采云系统故障造成开标不成功。</w:t>
      </w:r>
    </w:p>
    <w:p w14:paraId="24B6F708">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5</w:t>
      </w:r>
      <w:r>
        <w:rPr>
          <w:rFonts w:hint="eastAsia" w:ascii="宋体" w:hAnsi="宋体" w:eastAsia="宋体" w:cs="宋体"/>
          <w:color w:val="auto"/>
          <w:sz w:val="24"/>
          <w:szCs w:val="24"/>
        </w:rPr>
        <w:t>.3、如出现投标截止时间后参加投标的供应商或者对招标文件作出实质</w:t>
      </w:r>
      <w:r>
        <w:rPr>
          <w:rFonts w:hint="eastAsia" w:ascii="宋体" w:hAnsi="宋体" w:eastAsia="宋体" w:cs="宋体"/>
          <w:color w:val="auto"/>
          <w:sz w:val="24"/>
          <w:szCs w:val="24"/>
          <w:lang w:val="en-US"/>
        </w:rPr>
        <w:t>性</w:t>
      </w:r>
      <w:r>
        <w:rPr>
          <w:rFonts w:hint="eastAsia" w:ascii="宋体" w:hAnsi="宋体" w:eastAsia="宋体" w:cs="宋体"/>
          <w:color w:val="auto"/>
          <w:sz w:val="24"/>
          <w:szCs w:val="24"/>
        </w:rPr>
        <w:t>响应的供应商不足三家</w:t>
      </w:r>
      <w:r>
        <w:rPr>
          <w:rFonts w:hint="eastAsia" w:ascii="宋体" w:hAnsi="宋体" w:eastAsia="宋体" w:cs="宋体"/>
          <w:color w:val="auto"/>
          <w:sz w:val="24"/>
          <w:szCs w:val="24"/>
          <w:lang w:val="en-US"/>
        </w:rPr>
        <w:t>的</w:t>
      </w:r>
      <w:r>
        <w:rPr>
          <w:rFonts w:hint="eastAsia" w:ascii="宋体" w:hAnsi="宋体" w:eastAsia="宋体" w:cs="宋体"/>
          <w:color w:val="auto"/>
          <w:sz w:val="24"/>
          <w:szCs w:val="24"/>
        </w:rPr>
        <w:t>情况，按政府采购相关规定执行。</w:t>
      </w:r>
    </w:p>
    <w:p w14:paraId="2B86B1D3">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26、评标方法和标准</w:t>
      </w:r>
    </w:p>
    <w:p w14:paraId="21410A9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26.3.1、采用综合评分法。综合评分法是指投标文件满足招标文件全部实质性要求，且各分包按照招标文件中规定评审因素量化指标评审得分最高的供应商为中标候选人的评标方法。具体评分标准详见第三章。</w:t>
      </w:r>
    </w:p>
    <w:p w14:paraId="57ABE383">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26.3.2、同一个包中核心产品，提供相同品牌产品且通过资格审查、符合性审查的不同供应商参加同一合同项下投标的，按一家供应商计算，评审后得分最高的同品牌供应商获得中标人推荐资格；得分相同的，投标报价最低的获得中标人推荐资格；得分且投标报价相同的，技术指标最优的获得中标人推荐资格；其他同品牌供应商不作为中标候选人。</w:t>
      </w:r>
    </w:p>
    <w:p w14:paraId="5CA14AA4">
      <w:pPr>
        <w:keepNext w:val="0"/>
        <w:keepLines w:val="0"/>
        <w:pageBreakBefore w:val="0"/>
        <w:widowControl w:val="0"/>
        <w:spacing w:line="400" w:lineRule="exact"/>
        <w:ind w:firstLine="442"/>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27、确定中标供应商</w:t>
      </w:r>
    </w:p>
    <w:p w14:paraId="41D5D19E">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27.1、各分包在综合比较与评价后按照得分高低顺序对供应商进行排列。得分相同的，按投标报价由低到高顺序排列。得分且投标报价相同的，按第三章“评标办法”说明中确定的评分因素优劣顺序排列。评标委员会根据排名确定3名中标候选人。</w:t>
      </w:r>
    </w:p>
    <w:p w14:paraId="0E207A32">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27.2、按以下第(1)种方式确定中标供应商</w:t>
      </w:r>
    </w:p>
    <w:p w14:paraId="411C691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（1）评标委员会直接确定各分包排名第一的中标候选人为中标供应商；</w:t>
      </w:r>
    </w:p>
    <w:p w14:paraId="56DC64DF">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（2）采购人在评标委员会推荐的中标候选人中按顺序确定中标供应商。</w:t>
      </w:r>
    </w:p>
    <w:p w14:paraId="1E386ED2">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按第二种方式确定中标供应商的，代理机构自评审结束之日起两个工作日内将评审报告送交采购人，采购人应当自收到评审报告之日起五个工作日内在评审报告推荐的中标候选人中按顺序确定中标供应商。</w:t>
      </w:r>
    </w:p>
    <w:p w14:paraId="1A4AA0F2">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27.3、中标人确定后，在省级以上财政部门指定的媒体上公告中标结果，中标公告期为1个工作日。</w:t>
      </w:r>
    </w:p>
    <w:p w14:paraId="674ADD01">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27.4、中标结果确定后，</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rPr>
        <w:t>将向中标人发出《中标通知书》。中标人</w:t>
      </w:r>
      <w:r>
        <w:rPr>
          <w:rFonts w:hint="eastAsia" w:ascii="宋体" w:hAnsi="宋体" w:eastAsia="宋体" w:cs="宋体"/>
          <w:color w:val="auto"/>
          <w:sz w:val="24"/>
          <w:szCs w:val="24"/>
          <w:lang w:val="en-US"/>
        </w:rPr>
        <w:t>可</w:t>
      </w:r>
      <w:r>
        <w:rPr>
          <w:rFonts w:hint="eastAsia" w:ascii="宋体" w:hAnsi="宋体" w:eastAsia="宋体" w:cs="宋体"/>
          <w:color w:val="auto"/>
          <w:sz w:val="24"/>
          <w:szCs w:val="24"/>
        </w:rPr>
        <w:t>在中标结果公告届满之日起三十日内，登录苏采云系统下载。</w:t>
      </w:r>
    </w:p>
    <w:p w14:paraId="5EA2E08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因系统存储空间有限，中标结果公告届满之日起三十日后，苏采云系统不再保证提供下载《中标通知书》服务，因未及时下载而造成的不利后果由中标人自行承担。</w:t>
      </w:r>
    </w:p>
    <w:p w14:paraId="65F3ECB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rPr>
        <w:t>7</w:t>
      </w:r>
      <w:r>
        <w:rPr>
          <w:rFonts w:hint="eastAsia" w:ascii="宋体" w:hAnsi="宋体" w:eastAsia="宋体" w:cs="宋体"/>
          <w:color w:val="auto"/>
          <w:sz w:val="24"/>
          <w:szCs w:val="24"/>
        </w:rPr>
        <w:t>.5</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中标通知书</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是合同的一个组成部分，对采购人和中标人均具有法律效力。《中标通知书》发出后，采购人改变中标结果或者中标人放弃中标项目的，应当依法承担法律责任。</w:t>
      </w:r>
    </w:p>
    <w:p w14:paraId="051AE09F">
      <w:pPr>
        <w:keepNext w:val="0"/>
        <w:keepLines w:val="0"/>
        <w:pageBreakBefore w:val="0"/>
        <w:widowControl w:val="0"/>
        <w:spacing w:line="400" w:lineRule="exact"/>
        <w:ind w:firstLine="442"/>
        <w:outlineLvl w:val="1"/>
        <w:rPr>
          <w:rFonts w:hint="eastAsia" w:ascii="宋体" w:hAnsi="宋体" w:eastAsia="宋体" w:cs="宋体"/>
          <w:b/>
          <w:color w:val="auto"/>
          <w:sz w:val="24"/>
          <w:szCs w:val="24"/>
        </w:rPr>
      </w:pPr>
      <w:bookmarkStart w:id="55" w:name="_Toc1226"/>
      <w:r>
        <w:rPr>
          <w:rFonts w:hint="eastAsia" w:ascii="宋体" w:hAnsi="宋体" w:eastAsia="宋体" w:cs="宋体"/>
          <w:b/>
          <w:color w:val="auto"/>
          <w:sz w:val="24"/>
          <w:szCs w:val="24"/>
        </w:rPr>
        <w:t>六、签订合同</w:t>
      </w:r>
      <w:bookmarkEnd w:id="55"/>
    </w:p>
    <w:p w14:paraId="742D8499">
      <w:pPr>
        <w:keepNext w:val="0"/>
        <w:keepLines w:val="0"/>
        <w:pageBreakBefore w:val="0"/>
        <w:widowControl w:val="0"/>
        <w:spacing w:line="400" w:lineRule="exact"/>
        <w:ind w:firstLine="442"/>
        <w:outlineLvl w:val="2"/>
        <w:rPr>
          <w:rFonts w:hint="eastAsia" w:ascii="宋体" w:hAnsi="宋体" w:eastAsia="宋体" w:cs="宋体"/>
          <w:color w:val="auto"/>
          <w:sz w:val="24"/>
          <w:szCs w:val="24"/>
        </w:rPr>
      </w:pPr>
      <w:r>
        <w:rPr>
          <w:rFonts w:hint="eastAsia" w:ascii="宋体" w:hAnsi="宋体" w:eastAsia="宋体" w:cs="宋体"/>
          <w:b/>
          <w:color w:val="auto"/>
          <w:sz w:val="24"/>
          <w:szCs w:val="24"/>
        </w:rPr>
        <w:t>28、签订合同</w:t>
      </w:r>
    </w:p>
    <w:p w14:paraId="5B8542C2">
      <w:pPr>
        <w:keepNext w:val="0"/>
        <w:keepLines w:val="0"/>
        <w:pageBreakBefore w:val="0"/>
        <w:widowControl w:val="0"/>
        <w:spacing w:line="400" w:lineRule="exact"/>
        <w:ind w:firstLine="44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28</w:t>
      </w:r>
      <w:r>
        <w:rPr>
          <w:rFonts w:hint="eastAsia" w:ascii="宋体" w:hAnsi="宋体" w:eastAsia="宋体" w:cs="宋体"/>
          <w:color w:val="auto"/>
          <w:sz w:val="24"/>
          <w:szCs w:val="24"/>
        </w:rPr>
        <w:t>.l</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中标人应当在《中标通知书》发出之日起三十日内，按照招标文件确定的事项与采购人签订政府采购合同。采购人于合同签订后2个工作日内通过苏采云系统进行公示。</w:t>
      </w:r>
    </w:p>
    <w:p w14:paraId="4E09E7DB">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lang w:val="en-US"/>
        </w:rPr>
        <w:t>28</w:t>
      </w:r>
      <w:r>
        <w:rPr>
          <w:rFonts w:hint="eastAsia" w:ascii="宋体" w:hAnsi="宋体" w:eastAsia="宋体" w:cs="宋体"/>
          <w:color w:val="auto"/>
          <w:sz w:val="24"/>
          <w:szCs w:val="24"/>
        </w:rPr>
        <w:t>.2、招标文件、中标人的投标文件及招标过程中有关澄清、承诺文件均作为合同附件。</w:t>
      </w:r>
    </w:p>
    <w:p w14:paraId="6345C6F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lang w:val="en-US"/>
        </w:rPr>
        <w:t>28</w:t>
      </w:r>
      <w:r>
        <w:rPr>
          <w:rFonts w:hint="eastAsia" w:ascii="宋体" w:hAnsi="宋体" w:eastAsia="宋体" w:cs="宋体"/>
          <w:color w:val="auto"/>
          <w:sz w:val="24"/>
          <w:szCs w:val="24"/>
        </w:rPr>
        <w:t>.3、签订合同后，中标人不得将合同标的进行转包。未经采购人同意，中标人也不得采用分包的形式履行合同，否则采购人有权终止合同。转包或分包造成采购人损失的，中标人应承担相应赔偿责任。</w:t>
      </w:r>
    </w:p>
    <w:p w14:paraId="41E50297">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lang w:val="en-US"/>
        </w:rPr>
        <w:t>28</w:t>
      </w:r>
      <w:r>
        <w:rPr>
          <w:rFonts w:hint="eastAsia" w:ascii="宋体" w:hAnsi="宋体" w:eastAsia="宋体" w:cs="宋体"/>
          <w:color w:val="auto"/>
          <w:sz w:val="24"/>
          <w:szCs w:val="24"/>
        </w:rPr>
        <w:t>.4、中标人因自身原因拒绝与采购人签订合同的，不得参加采购人</w:t>
      </w:r>
      <w:r>
        <w:rPr>
          <w:rFonts w:hint="eastAsia" w:ascii="宋体" w:hAnsi="宋体" w:eastAsia="宋体" w:cs="宋体"/>
          <w:color w:val="auto"/>
          <w:sz w:val="24"/>
          <w:szCs w:val="24"/>
          <w:lang w:val="en-US"/>
        </w:rPr>
        <w:t>重新组织的</w:t>
      </w:r>
      <w:r>
        <w:rPr>
          <w:rFonts w:hint="eastAsia" w:ascii="宋体" w:hAnsi="宋体" w:eastAsia="宋体" w:cs="宋体"/>
          <w:color w:val="auto"/>
          <w:sz w:val="24"/>
          <w:szCs w:val="24"/>
        </w:rPr>
        <w:t>采购活动</w:t>
      </w:r>
      <w:r>
        <w:rPr>
          <w:rFonts w:hint="eastAsia" w:ascii="宋体" w:hAnsi="宋体" w:eastAsia="宋体" w:cs="宋体"/>
          <w:color w:val="auto"/>
          <w:sz w:val="24"/>
          <w:szCs w:val="24"/>
          <w:lang w:val="en-US"/>
        </w:rPr>
        <w:t>，且将可能被拒绝参加该采购人</w:t>
      </w:r>
      <w:r>
        <w:rPr>
          <w:rFonts w:hint="eastAsia" w:ascii="宋体" w:hAnsi="宋体" w:eastAsia="宋体" w:cs="宋体"/>
          <w:color w:val="auto"/>
          <w:sz w:val="24"/>
          <w:szCs w:val="24"/>
        </w:rPr>
        <w:t>一年内</w:t>
      </w:r>
      <w:r>
        <w:rPr>
          <w:rFonts w:hint="eastAsia" w:ascii="宋体" w:hAnsi="宋体" w:eastAsia="宋体" w:cs="宋体"/>
          <w:color w:val="auto"/>
          <w:sz w:val="24"/>
          <w:szCs w:val="24"/>
          <w:lang w:val="en-US"/>
        </w:rPr>
        <w:t>的其他</w:t>
      </w:r>
      <w:r>
        <w:rPr>
          <w:rFonts w:hint="eastAsia" w:ascii="宋体" w:hAnsi="宋体" w:eastAsia="宋体" w:cs="宋体"/>
          <w:color w:val="auto"/>
          <w:sz w:val="24"/>
          <w:szCs w:val="24"/>
        </w:rPr>
        <w:t>政府采购活动。</w:t>
      </w:r>
    </w:p>
    <w:p w14:paraId="0302300A">
      <w:pPr>
        <w:keepNext w:val="0"/>
        <w:keepLines w:val="0"/>
        <w:pageBreakBefore w:val="0"/>
        <w:widowControl w:val="0"/>
        <w:spacing w:line="400" w:lineRule="exact"/>
        <w:ind w:firstLine="442"/>
        <w:outlineLvl w:val="1"/>
        <w:rPr>
          <w:rFonts w:hint="eastAsia" w:ascii="宋体" w:hAnsi="宋体" w:eastAsia="宋体" w:cs="宋体"/>
          <w:b/>
          <w:color w:val="auto"/>
          <w:sz w:val="24"/>
          <w:szCs w:val="24"/>
        </w:rPr>
      </w:pPr>
      <w:bookmarkStart w:id="56" w:name="_Toc4633"/>
      <w:r>
        <w:rPr>
          <w:rFonts w:hint="eastAsia" w:ascii="宋体" w:hAnsi="宋体" w:eastAsia="宋体" w:cs="宋体"/>
          <w:b/>
          <w:color w:val="auto"/>
          <w:sz w:val="24"/>
          <w:szCs w:val="24"/>
        </w:rPr>
        <w:t>七、质疑</w:t>
      </w:r>
      <w:bookmarkEnd w:id="56"/>
    </w:p>
    <w:p w14:paraId="377A245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29、提出质疑的供应商应当是参与所质疑项目采购活动的供应商，潜在供应商依法获取其可质疑的采购文件的，可以对采购文件提出质疑。</w:t>
      </w:r>
    </w:p>
    <w:p w14:paraId="7286C1AE">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30、供应商认为采购文件、采购过程和采购结果使自己的权益受到损害的，可以在知道或应知其权益受到损害之日起七个工作日内，以书面形式向采购人或代理机构提出质疑。上述应知其权益受到损害之日是指：</w:t>
      </w:r>
    </w:p>
    <w:p w14:paraId="6C25315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30.1、对采购文件提出质疑的，为收到采购文件之日或者采购文件公告期限届满之日。</w:t>
      </w:r>
    </w:p>
    <w:p w14:paraId="69F1CAFA">
      <w:pPr>
        <w:keepNext w:val="0"/>
        <w:keepLines w:val="0"/>
        <w:pageBreakBefore w:val="0"/>
        <w:widowControl w:val="0"/>
        <w:spacing w:line="400" w:lineRule="exact"/>
        <w:ind w:firstLine="440"/>
        <w:outlineLvl w:val="2"/>
        <w:rPr>
          <w:rFonts w:hint="eastAsia" w:ascii="宋体" w:hAnsi="宋体" w:eastAsia="宋体" w:cs="宋体"/>
          <w:color w:val="auto"/>
          <w:sz w:val="24"/>
          <w:szCs w:val="24"/>
        </w:rPr>
      </w:pPr>
      <w:r>
        <w:rPr>
          <w:rFonts w:hint="eastAsia" w:ascii="宋体" w:hAnsi="宋体" w:eastAsia="宋体" w:cs="宋体"/>
          <w:color w:val="auto"/>
          <w:sz w:val="24"/>
          <w:szCs w:val="24"/>
        </w:rPr>
        <w:t>30.2、对采购过程提出质疑的，为各采购程序环节结束之日。</w:t>
      </w:r>
    </w:p>
    <w:p w14:paraId="31185282">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30.3、对中标或者成交结果提出质疑的，为中标或者成交结果公告期限届满之日。</w:t>
      </w:r>
    </w:p>
    <w:p w14:paraId="67E55ED0">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31、供应商应当在法定质疑期内一次性提出针对同一采购程序环节的质疑。供应商如在法定期限内对同一采购程序环节提出多次质疑的，代理机构或采购人将只对供应商第一次质疑作出答复。</w:t>
      </w:r>
    </w:p>
    <w:p w14:paraId="2B9176BF">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32、供应商提出质疑应提交《质疑函》原件。</w:t>
      </w:r>
    </w:p>
    <w:p w14:paraId="19531C1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供应商如组成联合体参加采购活动，《质疑函范本》中要求加盖公章之处，联合体各方均须按要求加盖公章。</w:t>
      </w:r>
    </w:p>
    <w:p w14:paraId="6CD82BC1">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33、供应商（含潜在供应商）对采购方式、采购需求、供应商资格条件及审查结果、评标方法和评标标准、合同文本的询问、质疑向代理机构提出，由代理机构负责答复。</w:t>
      </w:r>
    </w:p>
    <w:p w14:paraId="54C75A6F">
      <w:pPr>
        <w:keepNext w:val="0"/>
        <w:keepLines w:val="0"/>
        <w:pageBreakBefore w:val="0"/>
        <w:widowControl w:val="0"/>
        <w:spacing w:line="400" w:lineRule="exact"/>
        <w:ind w:firstLine="440"/>
        <w:outlineLvl w:val="3"/>
        <w:rPr>
          <w:rFonts w:hint="eastAsia" w:ascii="宋体" w:hAnsi="宋体" w:eastAsia="宋体" w:cs="宋体"/>
          <w:color w:val="auto"/>
          <w:sz w:val="24"/>
          <w:szCs w:val="24"/>
        </w:rPr>
      </w:pPr>
      <w:r>
        <w:rPr>
          <w:rFonts w:hint="eastAsia" w:ascii="宋体" w:hAnsi="宋体" w:eastAsia="宋体" w:cs="宋体"/>
          <w:color w:val="auto"/>
          <w:sz w:val="24"/>
          <w:szCs w:val="24"/>
        </w:rPr>
        <w:t>34、以下情形的质疑不予受理：</w:t>
      </w:r>
    </w:p>
    <w:p w14:paraId="01C99785">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34.1、内容不符合《政府采购质疑和投诉办法》第十二条规定的质疑。</w:t>
      </w:r>
    </w:p>
    <w:p w14:paraId="7C0D7D58">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34.2、超出政府采购法定期限的质疑。</w:t>
      </w:r>
    </w:p>
    <w:p w14:paraId="5AFFEA5F">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36.3、以传真、电子邮件等方式递交的非原件形式的质疑。</w:t>
      </w:r>
    </w:p>
    <w:p w14:paraId="2FDD4904">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34.4、未参加采购活动或在采购活动中自身权益未受到损害的供应商所提出的质疑。</w:t>
      </w:r>
    </w:p>
    <w:p w14:paraId="04746D3C">
      <w:pPr>
        <w:keepNext w:val="0"/>
        <w:keepLines w:val="0"/>
        <w:pageBreakBefore w:val="0"/>
        <w:widowControl w:val="0"/>
        <w:spacing w:line="400" w:lineRule="exact"/>
        <w:ind w:firstLine="440"/>
        <w:rPr>
          <w:rFonts w:hint="eastAsia" w:ascii="宋体" w:hAnsi="宋体" w:eastAsia="宋体" w:cs="宋体"/>
          <w:color w:val="auto"/>
          <w:sz w:val="24"/>
          <w:szCs w:val="24"/>
        </w:rPr>
      </w:pPr>
      <w:r>
        <w:rPr>
          <w:rFonts w:hint="eastAsia" w:ascii="宋体" w:hAnsi="宋体" w:eastAsia="宋体" w:cs="宋体"/>
          <w:color w:val="auto"/>
          <w:sz w:val="24"/>
          <w:szCs w:val="24"/>
        </w:rPr>
        <w:t>34.5、供应商组成联合体参加采购活动，联合体中任何一方或多方未按要求签字或签章、加盖公章的质疑。</w:t>
      </w:r>
    </w:p>
    <w:p w14:paraId="4ED41A9C">
      <w:pPr>
        <w:keepNext w:val="0"/>
        <w:keepLines w:val="0"/>
        <w:pageBreakBefore w:val="0"/>
        <w:widowControl w:val="0"/>
        <w:spacing w:line="400" w:lineRule="exact"/>
        <w:ind w:firstLine="440"/>
        <w:outlineLvl w:val="2"/>
        <w:rPr>
          <w:rFonts w:hint="eastAsia" w:ascii="宋体" w:hAnsi="宋体" w:eastAsia="宋体" w:cs="宋体"/>
          <w:color w:val="auto"/>
          <w:sz w:val="24"/>
          <w:szCs w:val="24"/>
        </w:rPr>
      </w:pPr>
      <w:r>
        <w:rPr>
          <w:rFonts w:hint="eastAsia" w:ascii="宋体" w:hAnsi="宋体" w:eastAsia="宋体" w:cs="宋体"/>
          <w:color w:val="auto"/>
          <w:sz w:val="24"/>
          <w:szCs w:val="24"/>
        </w:rPr>
        <w:t>34.6、法律法规规定的其他不予受理情形。</w:t>
      </w:r>
    </w:p>
    <w:p w14:paraId="00C1EFE4">
      <w:pPr>
        <w:keepNext w:val="0"/>
        <w:keepLines w:val="0"/>
        <w:pageBreakBefore w:val="0"/>
        <w:widowControl w:val="0"/>
        <w:spacing w:line="400" w:lineRule="exact"/>
        <w:ind w:firstLine="440"/>
        <w:rPr>
          <w:rFonts w:hint="eastAsia" w:ascii="宋体" w:hAnsi="宋体" w:eastAsia="宋体" w:cs="宋体"/>
          <w:b/>
          <w:color w:val="auto"/>
          <w:sz w:val="24"/>
          <w:szCs w:val="24"/>
        </w:rPr>
      </w:pPr>
      <w:r>
        <w:rPr>
          <w:rFonts w:hint="eastAsia" w:ascii="宋体" w:hAnsi="宋体" w:eastAsia="宋体" w:cs="宋体"/>
          <w:color w:val="auto"/>
          <w:sz w:val="24"/>
          <w:szCs w:val="24"/>
        </w:rPr>
        <w:t>35、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1D6038B">
      <w:pPr>
        <w:jc w:val="center"/>
        <w:outlineLvl w:val="0"/>
        <w:rPr>
          <w:rFonts w:hint="eastAsia"/>
          <w:b/>
          <w:color w:val="auto"/>
          <w:sz w:val="44"/>
          <w:szCs w:val="44"/>
          <w:highlight w:val="none"/>
        </w:rPr>
      </w:pPr>
      <w:r>
        <w:rPr>
          <w:rFonts w:hint="eastAsia"/>
          <w:b/>
          <w:color w:val="auto"/>
          <w:sz w:val="44"/>
          <w:szCs w:val="44"/>
          <w:highlight w:val="none"/>
        </w:rPr>
        <w:br w:type="page"/>
      </w:r>
      <w:bookmarkStart w:id="57" w:name="_Toc17626"/>
      <w:r>
        <w:rPr>
          <w:rFonts w:hint="eastAsia"/>
          <w:b/>
          <w:color w:val="auto"/>
          <w:sz w:val="44"/>
          <w:szCs w:val="44"/>
          <w:highlight w:val="none"/>
        </w:rPr>
        <w:t>第三部分  评标方法和标准</w:t>
      </w:r>
      <w:bookmarkEnd w:id="57"/>
    </w:p>
    <w:p w14:paraId="066A573D">
      <w:pPr>
        <w:pStyle w:val="4"/>
        <w:rPr>
          <w:color w:val="auto"/>
          <w:highlight w:val="none"/>
        </w:rPr>
      </w:pPr>
      <w:bookmarkStart w:id="58" w:name="_Toc171510803"/>
      <w:bookmarkStart w:id="59" w:name="_Toc4281"/>
      <w:bookmarkStart w:id="60" w:name="_Toc24217_WPSOffice_Level2"/>
      <w:bookmarkStart w:id="61" w:name="_Toc4647"/>
      <w:r>
        <w:rPr>
          <w:rFonts w:hint="eastAsia"/>
          <w:color w:val="auto"/>
          <w:highlight w:val="none"/>
        </w:rPr>
        <w:t>一、资格审查</w:t>
      </w:r>
      <w:bookmarkEnd w:id="58"/>
      <w:bookmarkEnd w:id="59"/>
    </w:p>
    <w:p w14:paraId="26B93892">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采购人按照下列指标对各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的资格进行审查，未通过审查的为无效标，不参与评标。</w:t>
      </w:r>
    </w:p>
    <w:tbl>
      <w:tblPr>
        <w:tblStyle w:val="65"/>
        <w:tblW w:w="9706" w:type="dxa"/>
        <w:tblInd w:w="3"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3277"/>
        <w:gridCol w:w="4665"/>
        <w:gridCol w:w="1764"/>
      </w:tblGrid>
      <w:tr w14:paraId="49717F8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81" w:hRule="atLeast"/>
        </w:trPr>
        <w:tc>
          <w:tcPr>
            <w:tcW w:w="7942" w:type="dxa"/>
            <w:gridSpan w:val="2"/>
            <w:tcBorders>
              <w:top w:val="outset" w:color="auto" w:sz="6" w:space="0"/>
              <w:left w:val="outset" w:color="auto" w:sz="6" w:space="0"/>
              <w:bottom w:val="outset" w:color="auto" w:sz="6" w:space="0"/>
              <w:right w:val="outset" w:color="auto" w:sz="6" w:space="0"/>
            </w:tcBorders>
            <w:vAlign w:val="center"/>
          </w:tcPr>
          <w:p w14:paraId="4B09725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资格审查因素</w:t>
            </w:r>
          </w:p>
        </w:tc>
        <w:tc>
          <w:tcPr>
            <w:tcW w:w="1764" w:type="dxa"/>
            <w:tcBorders>
              <w:top w:val="outset" w:color="auto" w:sz="6" w:space="0"/>
              <w:left w:val="outset" w:color="auto" w:sz="6" w:space="0"/>
              <w:bottom w:val="outset" w:color="auto" w:sz="6" w:space="0"/>
              <w:right w:val="outset" w:color="auto" w:sz="6" w:space="0"/>
            </w:tcBorders>
            <w:vAlign w:val="center"/>
          </w:tcPr>
          <w:p w14:paraId="604377A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审查标准</w:t>
            </w:r>
          </w:p>
        </w:tc>
      </w:tr>
      <w:tr w14:paraId="3DCEEE7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522" w:hRule="atLeast"/>
        </w:trPr>
        <w:tc>
          <w:tcPr>
            <w:tcW w:w="3277" w:type="dxa"/>
            <w:tcBorders>
              <w:top w:val="outset" w:color="auto" w:sz="6" w:space="0"/>
              <w:left w:val="outset" w:color="auto" w:sz="6" w:space="0"/>
              <w:bottom w:val="outset" w:color="auto" w:sz="6" w:space="0"/>
              <w:right w:val="outset" w:color="auto" w:sz="6" w:space="0"/>
            </w:tcBorders>
            <w:vAlign w:val="center"/>
          </w:tcPr>
          <w:p w14:paraId="1B0D862A">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具有独立承担民事责任的能力（提供法人或者其他组织的营业执照；供应商为自然人的，提供其身份证）</w:t>
            </w:r>
          </w:p>
        </w:tc>
        <w:tc>
          <w:tcPr>
            <w:tcW w:w="4665" w:type="dxa"/>
            <w:vMerge w:val="restart"/>
            <w:tcBorders>
              <w:top w:val="outset" w:color="auto" w:sz="6" w:space="0"/>
              <w:left w:val="outset" w:color="auto" w:sz="6" w:space="0"/>
              <w:right w:val="outset" w:color="auto" w:sz="6" w:space="0"/>
            </w:tcBorders>
            <w:vAlign w:val="center"/>
          </w:tcPr>
          <w:p w14:paraId="57A27C8D">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 要求完成注册），然后在“信用记录”模块页面点击“信用记录打印”下载本单位《南京市政府采购供应商信用记录表暨信用承诺书》，由法人签字并盖单位公章，装订在响应文件中。</w:t>
            </w:r>
          </w:p>
          <w:p w14:paraId="42B40B6C">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在政府采购资格审查环节，供应商只需提供书面《南京市政府采购供应商信用记录表暨信用承诺书》，即可替代以下证明材料： </w:t>
            </w:r>
          </w:p>
          <w:p w14:paraId="4960780E">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（1）符合国家相关规定的财务状况报告； </w:t>
            </w:r>
          </w:p>
          <w:p w14:paraId="5C759D15">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（2）依法缴纳税收的证明材料； </w:t>
            </w:r>
          </w:p>
          <w:p w14:paraId="1DBA5081">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（3）依法缴纳社会保障资金的证明材料； </w:t>
            </w:r>
          </w:p>
          <w:p w14:paraId="6CAA5393">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（4）具备履行政府采购合同所必需的设备和专业技术能力的证明材料； </w:t>
            </w:r>
          </w:p>
          <w:p w14:paraId="70FBA659">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（5）参加政府采购活动前三年内在经营活动中没有重大违法记录的证明材料； </w:t>
            </w:r>
          </w:p>
          <w:p w14:paraId="2A2EAC2D">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（6）未被列入失信被执行人、重大税收违法失信主体、政府采购严重违法失信行为记录名单的证明材料。 </w:t>
            </w:r>
          </w:p>
          <w:p w14:paraId="70170CA0">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供应商在中标（成交）后，应按采购文件要求，将上述由信用承诺书替代的证明材料提交采购人或采购代理机构核验。经核验无误后，由采购人或采购代理机构发出中标（成交）通知书。 </w:t>
            </w:r>
          </w:p>
        </w:tc>
        <w:tc>
          <w:tcPr>
            <w:tcW w:w="1764" w:type="dxa"/>
            <w:vMerge w:val="restart"/>
            <w:tcBorders>
              <w:top w:val="outset" w:color="auto" w:sz="6" w:space="0"/>
              <w:left w:val="outset" w:color="auto" w:sz="6" w:space="0"/>
              <w:bottom w:val="outset" w:color="auto" w:sz="6" w:space="0"/>
              <w:right w:val="outset" w:color="auto" w:sz="6" w:space="0"/>
            </w:tcBorders>
            <w:vAlign w:val="center"/>
          </w:tcPr>
          <w:p w14:paraId="1057CD65">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符合招标文件第11条“投标文件构成”的要求</w:t>
            </w:r>
          </w:p>
        </w:tc>
      </w:tr>
      <w:tr w14:paraId="121DF79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982" w:hRule="atLeast"/>
        </w:trPr>
        <w:tc>
          <w:tcPr>
            <w:tcW w:w="3277" w:type="dxa"/>
            <w:tcBorders>
              <w:top w:val="outset" w:color="auto" w:sz="6" w:space="0"/>
              <w:left w:val="outset" w:color="auto" w:sz="6" w:space="0"/>
              <w:bottom w:val="outset" w:color="auto" w:sz="6" w:space="0"/>
              <w:right w:val="outset" w:color="auto" w:sz="6" w:space="0"/>
            </w:tcBorders>
            <w:vAlign w:val="center"/>
          </w:tcPr>
          <w:p w14:paraId="770500E4">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具有良好的商业信誉和健全的财务会计制度（提供 2023年度</w:t>
            </w:r>
            <w:r>
              <w:rPr>
                <w:rFonts w:hint="eastAsia" w:ascii="宋体" w:hAnsi="宋体" w:cs="宋体"/>
                <w:color w:val="auto"/>
                <w:sz w:val="21"/>
                <w:szCs w:val="21"/>
                <w:highlight w:val="none"/>
                <w:lang w:val="en-US" w:eastAsia="zh-CN"/>
              </w:rPr>
              <w:t>或2024年度</w:t>
            </w:r>
            <w:r>
              <w:rPr>
                <w:rFonts w:hint="eastAsia" w:ascii="宋体" w:hAnsi="宋体" w:cs="宋体"/>
                <w:color w:val="auto"/>
                <w:sz w:val="21"/>
                <w:szCs w:val="21"/>
                <w:highlight w:val="none"/>
              </w:rPr>
              <w:t>财务报告，至少包含资产负债表、利润表，或投标截止时间前六个月内银行出具的资信证明；成立不满一年的无须提供）</w:t>
            </w:r>
          </w:p>
        </w:tc>
        <w:tc>
          <w:tcPr>
            <w:tcW w:w="4665" w:type="dxa"/>
            <w:vMerge w:val="continue"/>
            <w:tcBorders>
              <w:left w:val="outset" w:color="auto" w:sz="6" w:space="0"/>
              <w:right w:val="outset" w:color="auto" w:sz="6" w:space="0"/>
            </w:tcBorders>
            <w:vAlign w:val="center"/>
          </w:tcPr>
          <w:p w14:paraId="61B770C2">
            <w:pPr>
              <w:jc w:val="left"/>
              <w:rPr>
                <w:rFonts w:hint="eastAsia" w:ascii="宋体" w:hAnsi="宋体" w:cs="宋体"/>
                <w:color w:val="auto"/>
                <w:sz w:val="21"/>
                <w:szCs w:val="21"/>
                <w:highlight w:val="none"/>
              </w:rPr>
            </w:pPr>
          </w:p>
        </w:tc>
        <w:tc>
          <w:tcPr>
            <w:tcW w:w="1764" w:type="dxa"/>
            <w:vMerge w:val="continue"/>
            <w:tcBorders>
              <w:top w:val="outset" w:color="auto" w:sz="6" w:space="0"/>
              <w:left w:val="outset" w:color="auto" w:sz="6" w:space="0"/>
              <w:bottom w:val="outset" w:color="auto" w:sz="6" w:space="0"/>
              <w:right w:val="outset" w:color="auto" w:sz="6" w:space="0"/>
            </w:tcBorders>
            <w:vAlign w:val="center"/>
          </w:tcPr>
          <w:p w14:paraId="6B33F7CE">
            <w:pPr>
              <w:jc w:val="left"/>
              <w:rPr>
                <w:rFonts w:hint="eastAsia" w:ascii="宋体" w:hAnsi="宋体" w:cs="宋体"/>
                <w:color w:val="auto"/>
                <w:sz w:val="21"/>
                <w:szCs w:val="21"/>
                <w:highlight w:val="none"/>
              </w:rPr>
            </w:pPr>
          </w:p>
        </w:tc>
      </w:tr>
      <w:tr w14:paraId="69CDA30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04" w:hRule="atLeast"/>
        </w:trPr>
        <w:tc>
          <w:tcPr>
            <w:tcW w:w="3277" w:type="dxa"/>
            <w:tcBorders>
              <w:top w:val="outset" w:color="auto" w:sz="6" w:space="0"/>
              <w:left w:val="outset" w:color="auto" w:sz="6" w:space="0"/>
              <w:bottom w:val="outset" w:color="auto" w:sz="6" w:space="0"/>
              <w:right w:val="outset" w:color="auto" w:sz="6" w:space="0"/>
            </w:tcBorders>
            <w:vAlign w:val="center"/>
          </w:tcPr>
          <w:p w14:paraId="6EACB5EC">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具有履行合同所必需的设备和专业技术能力（供应商根据履行采购项目合同需要，提供履行合同所必需的设备和专业技术能力的声明函或证明材料）</w:t>
            </w:r>
          </w:p>
        </w:tc>
        <w:tc>
          <w:tcPr>
            <w:tcW w:w="4665" w:type="dxa"/>
            <w:vMerge w:val="continue"/>
            <w:tcBorders>
              <w:left w:val="outset" w:color="auto" w:sz="6" w:space="0"/>
              <w:right w:val="outset" w:color="auto" w:sz="6" w:space="0"/>
            </w:tcBorders>
            <w:vAlign w:val="center"/>
          </w:tcPr>
          <w:p w14:paraId="112E9175">
            <w:pPr>
              <w:jc w:val="left"/>
              <w:rPr>
                <w:rFonts w:hint="eastAsia" w:ascii="宋体" w:hAnsi="宋体" w:cs="宋体"/>
                <w:color w:val="auto"/>
                <w:sz w:val="21"/>
                <w:szCs w:val="21"/>
                <w:highlight w:val="none"/>
              </w:rPr>
            </w:pPr>
          </w:p>
        </w:tc>
        <w:tc>
          <w:tcPr>
            <w:tcW w:w="1764" w:type="dxa"/>
            <w:vMerge w:val="continue"/>
            <w:tcBorders>
              <w:top w:val="outset" w:color="auto" w:sz="6" w:space="0"/>
              <w:left w:val="outset" w:color="auto" w:sz="6" w:space="0"/>
              <w:bottom w:val="outset" w:color="auto" w:sz="6" w:space="0"/>
              <w:right w:val="outset" w:color="auto" w:sz="6" w:space="0"/>
            </w:tcBorders>
            <w:vAlign w:val="center"/>
          </w:tcPr>
          <w:p w14:paraId="364B75B6">
            <w:pPr>
              <w:jc w:val="left"/>
              <w:rPr>
                <w:rFonts w:hint="eastAsia" w:ascii="宋体" w:hAnsi="宋体" w:cs="宋体"/>
                <w:color w:val="auto"/>
                <w:sz w:val="21"/>
                <w:szCs w:val="21"/>
                <w:highlight w:val="none"/>
              </w:rPr>
            </w:pPr>
          </w:p>
        </w:tc>
      </w:tr>
      <w:tr w14:paraId="61270E3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178" w:hRule="atLeast"/>
        </w:trPr>
        <w:tc>
          <w:tcPr>
            <w:tcW w:w="3277" w:type="dxa"/>
            <w:tcBorders>
              <w:top w:val="outset" w:color="auto" w:sz="6" w:space="0"/>
              <w:left w:val="outset" w:color="auto" w:sz="6" w:space="0"/>
              <w:bottom w:val="outset" w:color="auto" w:sz="6" w:space="0"/>
              <w:right w:val="outset" w:color="auto" w:sz="6" w:space="0"/>
            </w:tcBorders>
            <w:vAlign w:val="center"/>
          </w:tcPr>
          <w:p w14:paraId="7A42244E">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有依法缴纳税收和社会保障资金的良好记录（提供202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月至今）中任一月份的依法缴纳税收和社会保险费的相关材料（提供相关主管部门证明或银行代扣证明的复印件，根据国家相关政策免缴或迟缴的需提供相关证明材料）</w:t>
            </w:r>
          </w:p>
        </w:tc>
        <w:tc>
          <w:tcPr>
            <w:tcW w:w="4665" w:type="dxa"/>
            <w:vMerge w:val="continue"/>
            <w:tcBorders>
              <w:left w:val="outset" w:color="auto" w:sz="6" w:space="0"/>
              <w:right w:val="outset" w:color="auto" w:sz="6" w:space="0"/>
            </w:tcBorders>
            <w:vAlign w:val="center"/>
          </w:tcPr>
          <w:p w14:paraId="68D112ED">
            <w:pPr>
              <w:jc w:val="left"/>
              <w:rPr>
                <w:rFonts w:hint="eastAsia" w:ascii="宋体" w:hAnsi="宋体" w:cs="宋体"/>
                <w:color w:val="auto"/>
                <w:sz w:val="21"/>
                <w:szCs w:val="21"/>
                <w:highlight w:val="none"/>
              </w:rPr>
            </w:pPr>
          </w:p>
        </w:tc>
        <w:tc>
          <w:tcPr>
            <w:tcW w:w="1764" w:type="dxa"/>
            <w:vMerge w:val="continue"/>
            <w:tcBorders>
              <w:top w:val="outset" w:color="auto" w:sz="6" w:space="0"/>
              <w:left w:val="outset" w:color="auto" w:sz="6" w:space="0"/>
              <w:bottom w:val="outset" w:color="auto" w:sz="6" w:space="0"/>
              <w:right w:val="outset" w:color="auto" w:sz="6" w:space="0"/>
            </w:tcBorders>
            <w:vAlign w:val="center"/>
          </w:tcPr>
          <w:p w14:paraId="50B689D1">
            <w:pPr>
              <w:jc w:val="left"/>
              <w:rPr>
                <w:rFonts w:hint="eastAsia" w:ascii="宋体" w:hAnsi="宋体" w:cs="宋体"/>
                <w:color w:val="auto"/>
                <w:sz w:val="21"/>
                <w:szCs w:val="21"/>
                <w:highlight w:val="none"/>
              </w:rPr>
            </w:pPr>
          </w:p>
        </w:tc>
      </w:tr>
      <w:tr w14:paraId="491DB95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38" w:hRule="atLeast"/>
        </w:trPr>
        <w:tc>
          <w:tcPr>
            <w:tcW w:w="3277" w:type="dxa"/>
            <w:tcBorders>
              <w:top w:val="outset" w:color="auto" w:sz="6" w:space="0"/>
              <w:left w:val="outset" w:color="auto" w:sz="6" w:space="0"/>
              <w:bottom w:val="outset" w:color="auto" w:sz="6" w:space="0"/>
              <w:right w:val="outset" w:color="auto" w:sz="6" w:space="0"/>
            </w:tcBorders>
            <w:vAlign w:val="center"/>
          </w:tcPr>
          <w:p w14:paraId="6574CE5A">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参加政府采购活动前三年内，在经营活动中没有重大违法记录（提供承诺书）；</w:t>
            </w:r>
          </w:p>
        </w:tc>
        <w:tc>
          <w:tcPr>
            <w:tcW w:w="4665" w:type="dxa"/>
            <w:vMerge w:val="continue"/>
            <w:tcBorders>
              <w:left w:val="outset" w:color="auto" w:sz="6" w:space="0"/>
              <w:right w:val="outset" w:color="auto" w:sz="6" w:space="0"/>
            </w:tcBorders>
            <w:vAlign w:val="center"/>
          </w:tcPr>
          <w:p w14:paraId="3FF8B8C7">
            <w:pPr>
              <w:jc w:val="left"/>
              <w:rPr>
                <w:rFonts w:hint="eastAsia" w:ascii="宋体" w:hAnsi="宋体" w:cs="宋体"/>
                <w:color w:val="auto"/>
                <w:sz w:val="21"/>
                <w:szCs w:val="21"/>
                <w:highlight w:val="none"/>
              </w:rPr>
            </w:pPr>
          </w:p>
        </w:tc>
        <w:tc>
          <w:tcPr>
            <w:tcW w:w="1764" w:type="dxa"/>
            <w:vMerge w:val="continue"/>
            <w:tcBorders>
              <w:top w:val="outset" w:color="auto" w:sz="6" w:space="0"/>
              <w:left w:val="outset" w:color="auto" w:sz="6" w:space="0"/>
              <w:bottom w:val="outset" w:color="auto" w:sz="6" w:space="0"/>
              <w:right w:val="outset" w:color="auto" w:sz="6" w:space="0"/>
            </w:tcBorders>
            <w:vAlign w:val="center"/>
          </w:tcPr>
          <w:p w14:paraId="7FDFF04B">
            <w:pPr>
              <w:jc w:val="left"/>
              <w:rPr>
                <w:rFonts w:hint="eastAsia" w:ascii="宋体" w:hAnsi="宋体" w:cs="宋体"/>
                <w:color w:val="auto"/>
                <w:sz w:val="21"/>
                <w:szCs w:val="21"/>
                <w:highlight w:val="none"/>
              </w:rPr>
            </w:pPr>
          </w:p>
        </w:tc>
      </w:tr>
      <w:tr w14:paraId="69A495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6" w:hRule="atLeast"/>
        </w:trPr>
        <w:tc>
          <w:tcPr>
            <w:tcW w:w="3277" w:type="dxa"/>
            <w:tcBorders>
              <w:top w:val="outset" w:color="auto" w:sz="6" w:space="0"/>
              <w:left w:val="outset" w:color="auto" w:sz="6" w:space="0"/>
              <w:bottom w:val="outset" w:color="auto" w:sz="6" w:space="0"/>
              <w:right w:val="outset" w:color="auto" w:sz="6" w:space="0"/>
            </w:tcBorders>
            <w:vAlign w:val="center"/>
          </w:tcPr>
          <w:p w14:paraId="335EE7ED">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法律、行政法规规定的其他条件</w:t>
            </w:r>
          </w:p>
        </w:tc>
        <w:tc>
          <w:tcPr>
            <w:tcW w:w="4665" w:type="dxa"/>
            <w:vMerge w:val="continue"/>
            <w:tcBorders>
              <w:left w:val="outset" w:color="auto" w:sz="6" w:space="0"/>
              <w:right w:val="outset" w:color="auto" w:sz="6" w:space="0"/>
            </w:tcBorders>
            <w:vAlign w:val="center"/>
          </w:tcPr>
          <w:p w14:paraId="09FBFD25">
            <w:pPr>
              <w:jc w:val="left"/>
              <w:rPr>
                <w:rFonts w:hint="eastAsia" w:ascii="宋体" w:hAnsi="宋体" w:cs="宋体"/>
                <w:color w:val="auto"/>
                <w:sz w:val="21"/>
                <w:szCs w:val="21"/>
                <w:highlight w:val="none"/>
              </w:rPr>
            </w:pPr>
          </w:p>
        </w:tc>
        <w:tc>
          <w:tcPr>
            <w:tcW w:w="1764" w:type="dxa"/>
            <w:vMerge w:val="continue"/>
            <w:tcBorders>
              <w:top w:val="outset" w:color="auto" w:sz="6" w:space="0"/>
              <w:left w:val="outset" w:color="auto" w:sz="6" w:space="0"/>
              <w:bottom w:val="outset" w:color="auto" w:sz="6" w:space="0"/>
              <w:right w:val="outset" w:color="auto" w:sz="6" w:space="0"/>
            </w:tcBorders>
            <w:vAlign w:val="center"/>
          </w:tcPr>
          <w:p w14:paraId="734BE5B3">
            <w:pPr>
              <w:jc w:val="left"/>
              <w:rPr>
                <w:rFonts w:hint="eastAsia" w:ascii="宋体" w:hAnsi="宋体" w:cs="宋体"/>
                <w:color w:val="auto"/>
                <w:sz w:val="21"/>
                <w:szCs w:val="21"/>
                <w:highlight w:val="none"/>
              </w:rPr>
            </w:pPr>
          </w:p>
        </w:tc>
      </w:tr>
      <w:tr w14:paraId="533FBBE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78" w:hRule="atLeast"/>
        </w:trPr>
        <w:tc>
          <w:tcPr>
            <w:tcW w:w="3277" w:type="dxa"/>
            <w:tcBorders>
              <w:top w:val="outset" w:color="auto" w:sz="6" w:space="0"/>
              <w:left w:val="outset" w:color="auto" w:sz="6" w:space="0"/>
              <w:bottom w:val="outset" w:color="auto" w:sz="6" w:space="0"/>
              <w:right w:val="outset" w:color="auto" w:sz="6" w:space="0"/>
            </w:tcBorders>
            <w:vAlign w:val="center"/>
          </w:tcPr>
          <w:p w14:paraId="097AD9D1">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《南京市政府采购供应商信用记录表暨信用承诺书》</w:t>
            </w:r>
          </w:p>
        </w:tc>
        <w:tc>
          <w:tcPr>
            <w:tcW w:w="4665" w:type="dxa"/>
            <w:vMerge w:val="continue"/>
            <w:tcBorders>
              <w:left w:val="outset" w:color="auto" w:sz="6" w:space="0"/>
              <w:bottom w:val="outset" w:color="auto" w:sz="6" w:space="0"/>
              <w:right w:val="outset" w:color="auto" w:sz="6" w:space="0"/>
            </w:tcBorders>
            <w:vAlign w:val="center"/>
          </w:tcPr>
          <w:p w14:paraId="3EFD5AEA">
            <w:pPr>
              <w:jc w:val="left"/>
              <w:rPr>
                <w:rFonts w:hint="eastAsia" w:ascii="宋体" w:hAnsi="宋体" w:cs="宋体"/>
                <w:color w:val="auto"/>
                <w:sz w:val="21"/>
                <w:szCs w:val="21"/>
                <w:highlight w:val="none"/>
              </w:rPr>
            </w:pPr>
          </w:p>
        </w:tc>
        <w:tc>
          <w:tcPr>
            <w:tcW w:w="1764" w:type="dxa"/>
            <w:vMerge w:val="continue"/>
            <w:tcBorders>
              <w:top w:val="outset" w:color="auto" w:sz="6" w:space="0"/>
              <w:left w:val="outset" w:color="auto" w:sz="6" w:space="0"/>
              <w:bottom w:val="outset" w:color="auto" w:sz="6" w:space="0"/>
              <w:right w:val="outset" w:color="auto" w:sz="6" w:space="0"/>
            </w:tcBorders>
            <w:vAlign w:val="center"/>
          </w:tcPr>
          <w:p w14:paraId="3ADFE76E">
            <w:pPr>
              <w:jc w:val="left"/>
              <w:rPr>
                <w:rFonts w:hint="eastAsia" w:ascii="宋体" w:hAnsi="宋体" w:cs="宋体"/>
                <w:color w:val="auto"/>
                <w:sz w:val="21"/>
                <w:szCs w:val="21"/>
                <w:highlight w:val="none"/>
              </w:rPr>
            </w:pPr>
          </w:p>
        </w:tc>
      </w:tr>
      <w:tr w14:paraId="0CE57CC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7942" w:type="dxa"/>
            <w:gridSpan w:val="2"/>
            <w:tcBorders>
              <w:top w:val="outset" w:color="auto" w:sz="6" w:space="0"/>
              <w:left w:val="outset" w:color="auto" w:sz="6" w:space="0"/>
              <w:bottom w:val="outset" w:color="auto" w:sz="6" w:space="0"/>
              <w:right w:val="outset" w:color="auto" w:sz="6" w:space="0"/>
            </w:tcBorders>
            <w:vAlign w:val="center"/>
          </w:tcPr>
          <w:p w14:paraId="60DBFCDD">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信用信息</w:t>
            </w:r>
          </w:p>
        </w:tc>
        <w:tc>
          <w:tcPr>
            <w:tcW w:w="1764" w:type="dxa"/>
            <w:tcBorders>
              <w:top w:val="outset" w:color="auto" w:sz="6" w:space="0"/>
              <w:left w:val="outset" w:color="auto" w:sz="6" w:space="0"/>
              <w:bottom w:val="outset" w:color="auto" w:sz="6" w:space="0"/>
              <w:right w:val="outset" w:color="auto" w:sz="6" w:space="0"/>
            </w:tcBorders>
            <w:vAlign w:val="center"/>
          </w:tcPr>
          <w:p w14:paraId="0B418C55">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符合招标文件规定</w:t>
            </w:r>
          </w:p>
        </w:tc>
      </w:tr>
      <w:tr w14:paraId="148DA88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7942" w:type="dxa"/>
            <w:gridSpan w:val="2"/>
            <w:tcBorders>
              <w:top w:val="outset" w:color="auto" w:sz="6" w:space="0"/>
              <w:left w:val="outset" w:color="auto" w:sz="6" w:space="0"/>
              <w:bottom w:val="outset" w:color="auto" w:sz="6" w:space="0"/>
              <w:right w:val="outset" w:color="auto" w:sz="6" w:space="0"/>
            </w:tcBorders>
            <w:vAlign w:val="center"/>
          </w:tcPr>
          <w:p w14:paraId="5DF65DA3">
            <w:pPr>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的关联性要求</w:t>
            </w:r>
          </w:p>
        </w:tc>
        <w:tc>
          <w:tcPr>
            <w:tcW w:w="1764" w:type="dxa"/>
            <w:tcBorders>
              <w:top w:val="outset" w:color="auto" w:sz="6" w:space="0"/>
              <w:left w:val="outset" w:color="auto" w:sz="6" w:space="0"/>
              <w:bottom w:val="outset" w:color="auto" w:sz="6" w:space="0"/>
              <w:right w:val="outset" w:color="auto" w:sz="6" w:space="0"/>
            </w:tcBorders>
            <w:vAlign w:val="center"/>
          </w:tcPr>
          <w:p w14:paraId="2CE0F1E4">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符合招标文件规定</w:t>
            </w:r>
          </w:p>
        </w:tc>
      </w:tr>
      <w:tr w14:paraId="0606079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7942" w:type="dxa"/>
            <w:gridSpan w:val="2"/>
            <w:tcBorders>
              <w:top w:val="outset" w:color="auto" w:sz="6" w:space="0"/>
              <w:left w:val="outset" w:color="auto" w:sz="6" w:space="0"/>
              <w:bottom w:val="outset" w:color="auto" w:sz="6" w:space="0"/>
              <w:right w:val="outset" w:color="auto" w:sz="6" w:space="0"/>
            </w:tcBorders>
            <w:vAlign w:val="center"/>
          </w:tcPr>
          <w:p w14:paraId="48828029">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符合联合体规定</w:t>
            </w:r>
          </w:p>
        </w:tc>
        <w:tc>
          <w:tcPr>
            <w:tcW w:w="1764" w:type="dxa"/>
            <w:tcBorders>
              <w:top w:val="outset" w:color="auto" w:sz="6" w:space="0"/>
              <w:left w:val="outset" w:color="auto" w:sz="6" w:space="0"/>
              <w:bottom w:val="outset" w:color="auto" w:sz="6" w:space="0"/>
              <w:right w:val="outset" w:color="auto" w:sz="6" w:space="0"/>
            </w:tcBorders>
            <w:vAlign w:val="center"/>
          </w:tcPr>
          <w:p w14:paraId="255F84FE">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符合招标文件规定</w:t>
            </w:r>
          </w:p>
        </w:tc>
      </w:tr>
      <w:tr w14:paraId="5E7429A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22" w:hRule="atLeast"/>
        </w:trPr>
        <w:tc>
          <w:tcPr>
            <w:tcW w:w="7942" w:type="dxa"/>
            <w:gridSpan w:val="2"/>
            <w:tcBorders>
              <w:top w:val="outset" w:color="auto" w:sz="6" w:space="0"/>
              <w:left w:val="outset" w:color="auto" w:sz="6" w:space="0"/>
              <w:bottom w:val="outset" w:color="auto" w:sz="6" w:space="0"/>
              <w:right w:val="outset" w:color="auto" w:sz="6" w:space="0"/>
            </w:tcBorders>
            <w:vAlign w:val="center"/>
          </w:tcPr>
          <w:p w14:paraId="3545DA47">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特定资格要求（如有）</w:t>
            </w:r>
          </w:p>
        </w:tc>
        <w:tc>
          <w:tcPr>
            <w:tcW w:w="1764" w:type="dxa"/>
            <w:tcBorders>
              <w:top w:val="outset" w:color="auto" w:sz="6" w:space="0"/>
              <w:left w:val="outset" w:color="auto" w:sz="6" w:space="0"/>
              <w:bottom w:val="outset" w:color="auto" w:sz="6" w:space="0"/>
              <w:right w:val="outset" w:color="auto" w:sz="6" w:space="0"/>
            </w:tcBorders>
            <w:vAlign w:val="center"/>
          </w:tcPr>
          <w:p w14:paraId="55A093A1">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符合招标文件规定</w:t>
            </w:r>
          </w:p>
        </w:tc>
      </w:tr>
    </w:tbl>
    <w:p w14:paraId="53851DFB">
      <w:pPr>
        <w:pStyle w:val="4"/>
        <w:numPr>
          <w:ilvl w:val="0"/>
          <w:numId w:val="5"/>
        </w:numPr>
        <w:spacing w:before="0" w:after="0" w:line="240" w:lineRule="auto"/>
        <w:rPr>
          <w:rFonts w:hint="eastAsia"/>
          <w:color w:val="auto"/>
          <w:highlight w:val="none"/>
        </w:rPr>
      </w:pPr>
      <w:bookmarkStart w:id="62" w:name="_Toc171510804"/>
      <w:bookmarkStart w:id="63" w:name="_Toc25638"/>
      <w:r>
        <w:rPr>
          <w:rFonts w:hint="eastAsia"/>
          <w:color w:val="auto"/>
          <w:highlight w:val="none"/>
        </w:rPr>
        <w:t>符合性审查</w:t>
      </w:r>
      <w:bookmarkEnd w:id="62"/>
      <w:bookmarkEnd w:id="63"/>
    </w:p>
    <w:p w14:paraId="559AB93D">
      <w:pPr>
        <w:rPr>
          <w:color w:val="auto"/>
          <w:sz w:val="24"/>
          <w:szCs w:val="24"/>
          <w:highlight w:val="none"/>
        </w:rPr>
      </w:pPr>
      <w:r>
        <w:rPr>
          <w:rFonts w:hint="eastAsia"/>
          <w:color w:val="auto"/>
          <w:sz w:val="24"/>
          <w:szCs w:val="24"/>
          <w:highlight w:val="none"/>
        </w:rPr>
        <w:t>符合性审查是指依据招标文件的规定，从商务和技术角度对投标文件的有效性和完整性进行审查，以确定是否对招标文件的实质性要求做出响应。</w:t>
      </w:r>
    </w:p>
    <w:p w14:paraId="1D8AAE5C">
      <w:pPr>
        <w:rPr>
          <w:color w:val="auto"/>
          <w:sz w:val="24"/>
          <w:szCs w:val="24"/>
          <w:highlight w:val="none"/>
        </w:rPr>
      </w:pPr>
      <w:r>
        <w:rPr>
          <w:rFonts w:hint="eastAsia"/>
          <w:color w:val="auto"/>
          <w:sz w:val="24"/>
          <w:szCs w:val="24"/>
          <w:highlight w:val="none"/>
        </w:rPr>
        <w:t>未通过审查的为无效标，不再参与评审。</w:t>
      </w:r>
    </w:p>
    <w:tbl>
      <w:tblPr>
        <w:tblStyle w:val="65"/>
        <w:tblW w:w="9691" w:type="dxa"/>
        <w:tblInd w:w="18"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5391"/>
        <w:gridCol w:w="4300"/>
      </w:tblGrid>
      <w:tr w14:paraId="44D37A4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5391" w:type="dxa"/>
            <w:tcBorders>
              <w:top w:val="outset" w:color="auto" w:sz="6" w:space="0"/>
              <w:left w:val="outset" w:color="auto" w:sz="6" w:space="0"/>
              <w:bottom w:val="outset" w:color="auto" w:sz="6" w:space="0"/>
              <w:right w:val="outset" w:color="auto" w:sz="6" w:space="0"/>
            </w:tcBorders>
            <w:vAlign w:val="center"/>
          </w:tcPr>
          <w:p w14:paraId="404001A2">
            <w:pPr>
              <w:jc w:val="center"/>
              <w:rPr>
                <w:rFonts w:cs="宋体"/>
                <w:color w:val="auto"/>
                <w:sz w:val="24"/>
                <w:szCs w:val="24"/>
                <w:highlight w:val="none"/>
              </w:rPr>
            </w:pPr>
            <w:r>
              <w:rPr>
                <w:rFonts w:hint="eastAsia" w:cs="宋体"/>
                <w:color w:val="auto"/>
                <w:sz w:val="24"/>
                <w:szCs w:val="24"/>
                <w:highlight w:val="none"/>
              </w:rPr>
              <w:t>符合性审查因素</w:t>
            </w:r>
          </w:p>
        </w:tc>
        <w:tc>
          <w:tcPr>
            <w:tcW w:w="4300" w:type="dxa"/>
            <w:tcBorders>
              <w:top w:val="outset" w:color="auto" w:sz="6" w:space="0"/>
              <w:left w:val="outset" w:color="auto" w:sz="6" w:space="0"/>
              <w:bottom w:val="outset" w:color="auto" w:sz="6" w:space="0"/>
              <w:right w:val="outset" w:color="auto" w:sz="6" w:space="0"/>
            </w:tcBorders>
            <w:vAlign w:val="center"/>
          </w:tcPr>
          <w:p w14:paraId="383E1FB8">
            <w:pPr>
              <w:jc w:val="center"/>
              <w:rPr>
                <w:rFonts w:cs="宋体"/>
                <w:color w:val="auto"/>
                <w:sz w:val="24"/>
                <w:szCs w:val="24"/>
                <w:highlight w:val="none"/>
              </w:rPr>
            </w:pPr>
            <w:r>
              <w:rPr>
                <w:rFonts w:hint="eastAsia" w:cs="宋体"/>
                <w:color w:val="auto"/>
                <w:sz w:val="24"/>
                <w:szCs w:val="24"/>
                <w:highlight w:val="none"/>
              </w:rPr>
              <w:t>审查标准</w:t>
            </w:r>
          </w:p>
        </w:tc>
      </w:tr>
      <w:tr w14:paraId="633A0E4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5391" w:type="dxa"/>
            <w:tcBorders>
              <w:top w:val="outset" w:color="auto" w:sz="6" w:space="0"/>
              <w:left w:val="outset" w:color="auto" w:sz="6" w:space="0"/>
              <w:bottom w:val="outset" w:color="auto" w:sz="6" w:space="0"/>
              <w:right w:val="outset" w:color="auto" w:sz="6" w:space="0"/>
            </w:tcBorders>
            <w:vAlign w:val="center"/>
          </w:tcPr>
          <w:p w14:paraId="4FF505DA">
            <w:pPr>
              <w:jc w:val="left"/>
              <w:rPr>
                <w:rFonts w:cs="宋体"/>
                <w:color w:val="auto"/>
                <w:sz w:val="24"/>
                <w:szCs w:val="24"/>
                <w:highlight w:val="none"/>
              </w:rPr>
            </w:pPr>
            <w:r>
              <w:rPr>
                <w:rFonts w:hint="eastAsia" w:cs="宋体"/>
                <w:color w:val="auto"/>
                <w:sz w:val="24"/>
                <w:szCs w:val="24"/>
                <w:highlight w:val="none"/>
              </w:rPr>
              <w:t>投标函</w:t>
            </w:r>
          </w:p>
        </w:tc>
        <w:tc>
          <w:tcPr>
            <w:tcW w:w="4300" w:type="dxa"/>
            <w:tcBorders>
              <w:top w:val="outset" w:color="auto" w:sz="6" w:space="0"/>
              <w:left w:val="outset" w:color="auto" w:sz="6" w:space="0"/>
              <w:bottom w:val="outset" w:color="auto" w:sz="6" w:space="0"/>
              <w:right w:val="outset" w:color="auto" w:sz="6" w:space="0"/>
            </w:tcBorders>
            <w:vAlign w:val="center"/>
          </w:tcPr>
          <w:p w14:paraId="4C2875BC">
            <w:pPr>
              <w:jc w:val="left"/>
              <w:rPr>
                <w:rFonts w:cs="宋体"/>
                <w:color w:val="auto"/>
                <w:sz w:val="24"/>
                <w:szCs w:val="24"/>
                <w:highlight w:val="none"/>
              </w:rPr>
            </w:pPr>
            <w:r>
              <w:rPr>
                <w:rFonts w:hint="eastAsia" w:cs="宋体"/>
                <w:color w:val="auto"/>
                <w:sz w:val="24"/>
                <w:szCs w:val="24"/>
                <w:highlight w:val="none"/>
              </w:rPr>
              <w:t>符合招标文件的要求</w:t>
            </w:r>
          </w:p>
        </w:tc>
      </w:tr>
      <w:tr w14:paraId="11E1858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5391" w:type="dxa"/>
            <w:tcBorders>
              <w:top w:val="outset" w:color="auto" w:sz="6" w:space="0"/>
              <w:left w:val="outset" w:color="auto" w:sz="6" w:space="0"/>
              <w:bottom w:val="outset" w:color="auto" w:sz="6" w:space="0"/>
              <w:right w:val="outset" w:color="auto" w:sz="6" w:space="0"/>
            </w:tcBorders>
            <w:vAlign w:val="center"/>
          </w:tcPr>
          <w:p w14:paraId="491E01AC">
            <w:pPr>
              <w:jc w:val="left"/>
              <w:rPr>
                <w:rFonts w:cs="宋体"/>
                <w:color w:val="auto"/>
                <w:sz w:val="24"/>
                <w:szCs w:val="24"/>
                <w:highlight w:val="none"/>
              </w:rPr>
            </w:pPr>
            <w:r>
              <w:rPr>
                <w:rFonts w:hint="eastAsia" w:cs="宋体"/>
                <w:color w:val="auto"/>
                <w:sz w:val="24"/>
                <w:szCs w:val="24"/>
                <w:highlight w:val="none"/>
              </w:rPr>
              <w:t>法定代表人身份证明或授权委托书</w:t>
            </w:r>
          </w:p>
        </w:tc>
        <w:tc>
          <w:tcPr>
            <w:tcW w:w="4300" w:type="dxa"/>
            <w:tcBorders>
              <w:top w:val="outset" w:color="auto" w:sz="6" w:space="0"/>
              <w:left w:val="outset" w:color="auto" w:sz="6" w:space="0"/>
              <w:bottom w:val="outset" w:color="auto" w:sz="6" w:space="0"/>
              <w:right w:val="outset" w:color="auto" w:sz="6" w:space="0"/>
            </w:tcBorders>
            <w:vAlign w:val="center"/>
          </w:tcPr>
          <w:p w14:paraId="35380B6F">
            <w:pPr>
              <w:jc w:val="left"/>
              <w:rPr>
                <w:rFonts w:cs="宋体"/>
                <w:color w:val="auto"/>
                <w:sz w:val="24"/>
                <w:szCs w:val="24"/>
                <w:highlight w:val="none"/>
              </w:rPr>
            </w:pPr>
            <w:r>
              <w:rPr>
                <w:rFonts w:hint="eastAsia" w:cs="宋体"/>
                <w:color w:val="auto"/>
                <w:sz w:val="24"/>
                <w:szCs w:val="24"/>
                <w:highlight w:val="none"/>
              </w:rPr>
              <w:t>符合招标文件的要求</w:t>
            </w:r>
          </w:p>
        </w:tc>
      </w:tr>
      <w:tr w14:paraId="267CB7D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5391" w:type="dxa"/>
            <w:tcBorders>
              <w:top w:val="outset" w:color="auto" w:sz="6" w:space="0"/>
              <w:left w:val="outset" w:color="auto" w:sz="6" w:space="0"/>
              <w:bottom w:val="outset" w:color="auto" w:sz="6" w:space="0"/>
              <w:right w:val="outset" w:color="auto" w:sz="6" w:space="0"/>
            </w:tcBorders>
            <w:vAlign w:val="center"/>
          </w:tcPr>
          <w:p w14:paraId="31EE91E1">
            <w:pPr>
              <w:jc w:val="left"/>
              <w:rPr>
                <w:rFonts w:cs="宋体"/>
                <w:color w:val="auto"/>
                <w:sz w:val="24"/>
                <w:szCs w:val="24"/>
                <w:highlight w:val="none"/>
              </w:rPr>
            </w:pPr>
            <w:r>
              <w:rPr>
                <w:rFonts w:hint="eastAsia" w:cs="宋体"/>
                <w:color w:val="auto"/>
                <w:sz w:val="24"/>
                <w:szCs w:val="24"/>
                <w:highlight w:val="none"/>
              </w:rPr>
              <w:t>签署和盖章符合要求</w:t>
            </w:r>
          </w:p>
        </w:tc>
        <w:tc>
          <w:tcPr>
            <w:tcW w:w="4300" w:type="dxa"/>
            <w:tcBorders>
              <w:top w:val="outset" w:color="auto" w:sz="6" w:space="0"/>
              <w:left w:val="outset" w:color="auto" w:sz="6" w:space="0"/>
              <w:bottom w:val="outset" w:color="auto" w:sz="6" w:space="0"/>
              <w:right w:val="outset" w:color="auto" w:sz="6" w:space="0"/>
            </w:tcBorders>
            <w:vAlign w:val="center"/>
          </w:tcPr>
          <w:p w14:paraId="72AC8894">
            <w:pPr>
              <w:jc w:val="left"/>
              <w:rPr>
                <w:rFonts w:cs="宋体"/>
                <w:color w:val="auto"/>
                <w:sz w:val="24"/>
                <w:szCs w:val="24"/>
                <w:highlight w:val="none"/>
              </w:rPr>
            </w:pPr>
            <w:r>
              <w:rPr>
                <w:rFonts w:hint="eastAsia" w:cs="宋体"/>
                <w:color w:val="auto"/>
                <w:sz w:val="24"/>
                <w:szCs w:val="24"/>
                <w:highlight w:val="none"/>
              </w:rPr>
              <w:t>符合招标文件规定</w:t>
            </w:r>
          </w:p>
        </w:tc>
      </w:tr>
      <w:tr w14:paraId="5950A33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5391" w:type="dxa"/>
            <w:tcBorders>
              <w:top w:val="outset" w:color="auto" w:sz="6" w:space="0"/>
              <w:left w:val="outset" w:color="auto" w:sz="6" w:space="0"/>
              <w:bottom w:val="outset" w:color="auto" w:sz="6" w:space="0"/>
              <w:right w:val="outset" w:color="auto" w:sz="6" w:space="0"/>
            </w:tcBorders>
            <w:vAlign w:val="center"/>
          </w:tcPr>
          <w:p w14:paraId="2623B164">
            <w:pPr>
              <w:jc w:val="left"/>
              <w:rPr>
                <w:rFonts w:cs="宋体"/>
                <w:color w:val="auto"/>
                <w:sz w:val="24"/>
                <w:szCs w:val="24"/>
                <w:highlight w:val="none"/>
              </w:rPr>
            </w:pPr>
            <w:r>
              <w:rPr>
                <w:rFonts w:hint="eastAsia" w:cs="宋体"/>
                <w:color w:val="auto"/>
                <w:sz w:val="24"/>
                <w:szCs w:val="24"/>
                <w:highlight w:val="none"/>
              </w:rPr>
              <w:t xml:space="preserve">开标一览表及投标报价 </w:t>
            </w:r>
          </w:p>
        </w:tc>
        <w:tc>
          <w:tcPr>
            <w:tcW w:w="4300" w:type="dxa"/>
            <w:tcBorders>
              <w:top w:val="outset" w:color="auto" w:sz="6" w:space="0"/>
              <w:left w:val="outset" w:color="auto" w:sz="6" w:space="0"/>
              <w:bottom w:val="outset" w:color="auto" w:sz="6" w:space="0"/>
              <w:right w:val="outset" w:color="auto" w:sz="6" w:space="0"/>
            </w:tcBorders>
            <w:vAlign w:val="center"/>
          </w:tcPr>
          <w:p w14:paraId="1D39D97E">
            <w:pPr>
              <w:jc w:val="left"/>
              <w:rPr>
                <w:rFonts w:cs="宋体"/>
                <w:color w:val="auto"/>
                <w:sz w:val="24"/>
                <w:szCs w:val="24"/>
                <w:highlight w:val="none"/>
              </w:rPr>
            </w:pPr>
            <w:r>
              <w:rPr>
                <w:rFonts w:hint="eastAsia" w:cs="宋体"/>
                <w:color w:val="auto"/>
                <w:sz w:val="24"/>
                <w:szCs w:val="24"/>
                <w:highlight w:val="none"/>
              </w:rPr>
              <w:t>格式、填写要求符合招标文件规定（报价未超过预算或最高限价）</w:t>
            </w:r>
          </w:p>
        </w:tc>
      </w:tr>
      <w:tr w14:paraId="49F6BEB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5391" w:type="dxa"/>
            <w:tcBorders>
              <w:top w:val="outset" w:color="auto" w:sz="6" w:space="0"/>
              <w:left w:val="outset" w:color="auto" w:sz="6" w:space="0"/>
              <w:bottom w:val="outset" w:color="auto" w:sz="6" w:space="0"/>
              <w:right w:val="outset" w:color="auto" w:sz="6" w:space="0"/>
            </w:tcBorders>
            <w:vAlign w:val="center"/>
          </w:tcPr>
          <w:p w14:paraId="21F4B6E4">
            <w:pPr>
              <w:jc w:val="left"/>
              <w:rPr>
                <w:rFonts w:cs="宋体"/>
                <w:color w:val="auto"/>
                <w:sz w:val="24"/>
                <w:szCs w:val="24"/>
                <w:highlight w:val="none"/>
              </w:rPr>
            </w:pPr>
            <w:r>
              <w:rPr>
                <w:rFonts w:hint="eastAsia" w:cs="宋体"/>
                <w:color w:val="auto"/>
                <w:sz w:val="24"/>
                <w:szCs w:val="24"/>
                <w:highlight w:val="none"/>
              </w:rPr>
              <w:t>投标文件对招标文件的实质性条款的响应性</w:t>
            </w:r>
          </w:p>
        </w:tc>
        <w:tc>
          <w:tcPr>
            <w:tcW w:w="4300" w:type="dxa"/>
            <w:tcBorders>
              <w:top w:val="outset" w:color="auto" w:sz="6" w:space="0"/>
              <w:left w:val="outset" w:color="auto" w:sz="6" w:space="0"/>
              <w:bottom w:val="outset" w:color="auto" w:sz="6" w:space="0"/>
              <w:right w:val="outset" w:color="auto" w:sz="6" w:space="0"/>
            </w:tcBorders>
            <w:vAlign w:val="center"/>
          </w:tcPr>
          <w:p w14:paraId="0644652C">
            <w:pPr>
              <w:jc w:val="left"/>
              <w:rPr>
                <w:rFonts w:cs="宋体"/>
                <w:color w:val="auto"/>
                <w:sz w:val="24"/>
                <w:szCs w:val="24"/>
                <w:highlight w:val="none"/>
              </w:rPr>
            </w:pPr>
            <w:r>
              <w:rPr>
                <w:rFonts w:hint="eastAsia" w:cs="宋体"/>
                <w:color w:val="auto"/>
                <w:sz w:val="24"/>
                <w:szCs w:val="24"/>
                <w:highlight w:val="none"/>
              </w:rPr>
              <w:t>符合招标文件规定</w:t>
            </w:r>
          </w:p>
        </w:tc>
      </w:tr>
    </w:tbl>
    <w:p w14:paraId="79ACD105">
      <w:pPr>
        <w:pStyle w:val="4"/>
        <w:numPr>
          <w:ilvl w:val="0"/>
          <w:numId w:val="6"/>
        </w:numPr>
        <w:rPr>
          <w:color w:val="auto"/>
          <w:highlight w:val="none"/>
        </w:rPr>
      </w:pPr>
      <w:bookmarkStart w:id="64" w:name="_Toc171510805"/>
      <w:bookmarkStart w:id="65" w:name="_Toc23155"/>
      <w:r>
        <w:rPr>
          <w:color w:val="auto"/>
          <w:highlight w:val="none"/>
        </w:rPr>
        <w:t>评分办法—综合评分法</w:t>
      </w:r>
      <w:bookmarkEnd w:id="64"/>
      <w:bookmarkEnd w:id="65"/>
    </w:p>
    <w:p w14:paraId="27D098F0">
      <w:pPr>
        <w:spacing w:line="500" w:lineRule="exact"/>
        <w:ind w:firstLine="482" w:firstLineChars="200"/>
        <w:jc w:val="left"/>
        <w:rPr>
          <w:rFonts w:hint="eastAsia" w:ascii="宋体" w:hAnsi="宋体" w:cs="宋体"/>
          <w:color w:val="auto"/>
          <w:sz w:val="24"/>
          <w:szCs w:val="24"/>
          <w:highlight w:val="none"/>
        </w:rPr>
      </w:pPr>
      <w:r>
        <w:rPr>
          <w:rFonts w:hint="eastAsia" w:ascii="宋体" w:hAnsi="宋体" w:cs="宋体"/>
          <w:b/>
          <w:color w:val="auto"/>
          <w:sz w:val="24"/>
          <w:szCs w:val="24"/>
          <w:highlight w:val="none"/>
        </w:rPr>
        <w:t>1、评审办法：</w:t>
      </w:r>
      <w:r>
        <w:rPr>
          <w:rFonts w:hint="eastAsia" w:ascii="宋体" w:hAnsi="宋体" w:cs="宋体"/>
          <w:color w:val="auto"/>
          <w:sz w:val="24"/>
          <w:szCs w:val="24"/>
          <w:highlight w:val="none"/>
        </w:rPr>
        <w:t>本项目采用综合评分法，评标委员会严格按照招标文件规定的评分标准和要求，对各响应文件进行综合评审，按得分高低顺序推荐中标候选人。得分相同的，按报价从低到高顺序排列；得分且报价相同的，按</w:t>
      </w:r>
      <w:r>
        <w:rPr>
          <w:rFonts w:hint="eastAsia" w:ascii="宋体" w:hAnsi="宋体" w:cs="宋体"/>
          <w:color w:val="auto"/>
          <w:sz w:val="24"/>
          <w:szCs w:val="24"/>
          <w:highlight w:val="none"/>
          <w:lang w:val="en-US" w:eastAsia="zh-CN"/>
        </w:rPr>
        <w:t>服务方案</w:t>
      </w:r>
      <w:r>
        <w:rPr>
          <w:rFonts w:hint="eastAsia" w:ascii="宋体" w:hAnsi="宋体" w:cs="宋体"/>
          <w:color w:val="auto"/>
          <w:sz w:val="24"/>
          <w:szCs w:val="24"/>
          <w:highlight w:val="none"/>
        </w:rPr>
        <w:t>优劣顺序排列。</w:t>
      </w:r>
    </w:p>
    <w:p w14:paraId="5DBCF858">
      <w:pPr>
        <w:spacing w:line="50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评标委员会根据评审后供应商排序推荐中标候选人。投标文件满足招标文件全部实质性要求，且评审后排序第一的供应商为第一中标候选人，依次类推。</w:t>
      </w:r>
    </w:p>
    <w:p w14:paraId="15D4A526">
      <w:pPr>
        <w:spacing w:line="500" w:lineRule="exact"/>
        <w:ind w:firstLine="482" w:firstLineChars="200"/>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综合评分保留至小数点后两位。</w:t>
      </w:r>
      <w:r>
        <w:rPr>
          <w:rFonts w:hint="eastAsia" w:ascii="宋体" w:hAnsi="宋体" w:cs="宋体"/>
          <w:color w:val="auto"/>
          <w:sz w:val="24"/>
          <w:szCs w:val="24"/>
          <w:highlight w:val="none"/>
        </w:rPr>
        <w:t xml:space="preserve"> </w:t>
      </w:r>
    </w:p>
    <w:p w14:paraId="2E42560D">
      <w:pPr>
        <w:numPr>
          <w:ilvl w:val="0"/>
          <w:numId w:val="0"/>
        </w:numPr>
        <w:spacing w:line="500" w:lineRule="exact"/>
        <w:ind w:firstLine="480" w:firstLineChars="200"/>
        <w:jc w:val="left"/>
        <w:rPr>
          <w:rFonts w:hint="default" w:eastAsia="仿宋_GB2312"/>
          <w:color w:val="auto"/>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b/>
          <w:color w:val="auto"/>
          <w:sz w:val="24"/>
          <w:szCs w:val="24"/>
          <w:highlight w:val="none"/>
        </w:rPr>
        <w:t>详细评审</w:t>
      </w:r>
      <w:r>
        <w:rPr>
          <w:rFonts w:hint="eastAsia" w:ascii="宋体" w:hAnsi="宋体" w:cs="宋体"/>
          <w:b/>
          <w:color w:val="auto"/>
          <w:sz w:val="24"/>
          <w:szCs w:val="24"/>
          <w:highlight w:val="none"/>
        </w:rPr>
        <w:t>。</w:t>
      </w:r>
      <w:r>
        <w:rPr>
          <w:rFonts w:hint="eastAsia" w:ascii="宋体" w:hAnsi="宋体" w:cs="宋体"/>
          <w:color w:val="auto"/>
          <w:sz w:val="24"/>
          <w:szCs w:val="24"/>
          <w:highlight w:val="none"/>
        </w:rPr>
        <w:t>评标委员会按照招标文件规定的评分标准，对各投标文件进行详细评审打分。评标委员会组长对各评审专家的打分情况进行复核无误后汇总，形成评审报告。</w:t>
      </w:r>
    </w:p>
    <w:bookmarkEnd w:id="60"/>
    <w:bookmarkEnd w:id="61"/>
    <w:tbl>
      <w:tblPr>
        <w:tblStyle w:val="65"/>
        <w:tblW w:w="4864"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388"/>
        <w:gridCol w:w="6883"/>
        <w:gridCol w:w="604"/>
      </w:tblGrid>
      <w:tr w14:paraId="1DC5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371" w:type="pct"/>
            <w:tcBorders>
              <w:top w:val="single" w:color="auto" w:sz="4" w:space="0"/>
              <w:left w:val="single" w:color="auto" w:sz="4" w:space="0"/>
              <w:bottom w:val="single" w:color="auto" w:sz="4" w:space="0"/>
              <w:right w:val="single" w:color="auto" w:sz="4" w:space="0"/>
            </w:tcBorders>
            <w:noWrap w:val="0"/>
            <w:vAlign w:val="center"/>
          </w:tcPr>
          <w:p w14:paraId="76FB4434">
            <w:pPr>
              <w:spacing w:line="360" w:lineRule="exact"/>
              <w:jc w:val="center"/>
              <w:rPr>
                <w:rFonts w:hint="eastAsia" w:ascii="宋体" w:hAnsi="宋体" w:eastAsia="宋体" w:cs="宋体"/>
                <w:b/>
                <w:bCs/>
                <w:color w:val="auto"/>
                <w:sz w:val="24"/>
                <w:szCs w:val="24"/>
                <w:highlight w:val="none"/>
              </w:rPr>
            </w:pPr>
            <w:bookmarkStart w:id="66" w:name="_Toc514054481"/>
            <w:r>
              <w:rPr>
                <w:rFonts w:hint="eastAsia" w:ascii="宋体" w:hAnsi="宋体" w:eastAsia="宋体" w:cs="宋体"/>
                <w:b/>
                <w:bCs/>
                <w:color w:val="auto"/>
                <w:sz w:val="24"/>
                <w:szCs w:val="24"/>
                <w:highlight w:val="none"/>
              </w:rPr>
              <w:t>序号</w:t>
            </w:r>
          </w:p>
        </w:tc>
        <w:tc>
          <w:tcPr>
            <w:tcW w:w="723" w:type="pct"/>
            <w:tcBorders>
              <w:top w:val="single" w:color="auto" w:sz="4" w:space="0"/>
              <w:left w:val="single" w:color="auto" w:sz="4" w:space="0"/>
              <w:bottom w:val="single" w:color="auto" w:sz="4" w:space="0"/>
              <w:right w:val="single" w:color="auto" w:sz="4" w:space="0"/>
            </w:tcBorders>
            <w:noWrap w:val="0"/>
            <w:vAlign w:val="center"/>
          </w:tcPr>
          <w:p w14:paraId="5CE6C878">
            <w:pPr>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3589" w:type="pct"/>
            <w:tcBorders>
              <w:top w:val="single" w:color="auto" w:sz="4" w:space="0"/>
              <w:left w:val="single" w:color="auto" w:sz="4" w:space="0"/>
              <w:bottom w:val="single" w:color="auto" w:sz="4" w:space="0"/>
              <w:right w:val="single" w:color="auto" w:sz="4" w:space="0"/>
            </w:tcBorders>
            <w:noWrap w:val="0"/>
            <w:vAlign w:val="center"/>
          </w:tcPr>
          <w:p w14:paraId="772B987A">
            <w:pPr>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01E9B1A7">
            <w:pPr>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r>
      <w:tr w14:paraId="2F161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371" w:type="pct"/>
            <w:tcBorders>
              <w:top w:val="single" w:color="auto" w:sz="4" w:space="0"/>
              <w:left w:val="single" w:color="auto" w:sz="4" w:space="0"/>
              <w:bottom w:val="single" w:color="auto" w:sz="4" w:space="0"/>
              <w:right w:val="single" w:color="auto" w:sz="4" w:space="0"/>
            </w:tcBorders>
            <w:noWrap w:val="0"/>
            <w:vAlign w:val="center"/>
          </w:tcPr>
          <w:p w14:paraId="01B3A6D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23" w:type="pct"/>
            <w:tcBorders>
              <w:top w:val="single" w:color="auto" w:sz="4" w:space="0"/>
              <w:left w:val="single" w:color="auto" w:sz="4" w:space="0"/>
              <w:bottom w:val="single" w:color="auto" w:sz="4" w:space="0"/>
              <w:right w:val="single" w:color="auto" w:sz="4" w:space="0"/>
            </w:tcBorders>
            <w:noWrap w:val="0"/>
            <w:vAlign w:val="center"/>
          </w:tcPr>
          <w:p w14:paraId="32934B0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14:paraId="3EAD536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3589" w:type="pct"/>
            <w:tcBorders>
              <w:top w:val="single" w:color="auto" w:sz="4" w:space="0"/>
              <w:left w:val="single" w:color="auto" w:sz="4" w:space="0"/>
              <w:bottom w:val="single" w:color="auto" w:sz="4" w:space="0"/>
              <w:right w:val="single" w:color="auto" w:sz="4" w:space="0"/>
            </w:tcBorders>
            <w:noWrap w:val="0"/>
            <w:vAlign w:val="center"/>
          </w:tcPr>
          <w:p w14:paraId="24B637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Style w:val="466"/>
                <w:rFonts w:hint="eastAsia" w:ascii="宋体" w:hAnsi="宋体" w:eastAsia="宋体" w:cs="宋体"/>
                <w:color w:val="auto"/>
                <w:sz w:val="24"/>
                <w:szCs w:val="24"/>
                <w:highlight w:val="none"/>
                <w:lang w:val="en-US" w:eastAsia="zh-CN"/>
              </w:rPr>
              <w:t>价格分采用低价优先法计算，即满足招标文件要求且报价最低的供应商报价为评标基准价，其价格分为满分10分，其它供应商的价格分统一按照以下公式计算（小数点保留二位）：投标报价得分=(评标基准价/该供应商的投标报价)×10分。</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4EE5A78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10</w:t>
            </w:r>
          </w:p>
        </w:tc>
      </w:tr>
      <w:tr w14:paraId="44E0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371" w:type="pct"/>
            <w:vMerge w:val="restart"/>
            <w:tcBorders>
              <w:left w:val="single" w:color="auto" w:sz="4" w:space="0"/>
              <w:right w:val="single" w:color="auto" w:sz="4" w:space="0"/>
            </w:tcBorders>
            <w:noWrap w:val="0"/>
            <w:vAlign w:val="center"/>
          </w:tcPr>
          <w:p w14:paraId="3C3EB07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723" w:type="pct"/>
            <w:vMerge w:val="restart"/>
            <w:tcBorders>
              <w:left w:val="single" w:color="auto" w:sz="4" w:space="0"/>
              <w:right w:val="single" w:color="auto" w:sz="4" w:space="0"/>
            </w:tcBorders>
            <w:noWrap w:val="0"/>
            <w:vAlign w:val="center"/>
          </w:tcPr>
          <w:p w14:paraId="7BEEF10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服务方案</w:t>
            </w:r>
          </w:p>
          <w:p w14:paraId="54629A1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rPr>
              <w:t>分）</w:t>
            </w:r>
          </w:p>
        </w:tc>
        <w:tc>
          <w:tcPr>
            <w:tcW w:w="35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2E9A3FB">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根据</w:t>
            </w:r>
            <w:r>
              <w:rPr>
                <w:rStyle w:val="466"/>
                <w:rFonts w:hint="eastAsia" w:ascii="宋体" w:hAnsi="宋体" w:cs="宋体"/>
                <w:color w:val="auto"/>
                <w:sz w:val="24"/>
                <w:szCs w:val="24"/>
                <w:highlight w:val="none"/>
                <w:lang w:val="en-US" w:eastAsia="zh-CN"/>
              </w:rPr>
              <w:t>供应商</w:t>
            </w:r>
            <w:r>
              <w:rPr>
                <w:rStyle w:val="466"/>
                <w:rFonts w:hint="eastAsia" w:ascii="宋体" w:hAnsi="宋体" w:eastAsia="宋体" w:cs="宋体"/>
                <w:color w:val="auto"/>
                <w:sz w:val="24"/>
                <w:szCs w:val="24"/>
                <w:highlight w:val="none"/>
                <w:lang w:val="en-US" w:eastAsia="zh-CN"/>
              </w:rPr>
              <w:t>提供的</w:t>
            </w:r>
            <w:r>
              <w:rPr>
                <w:rStyle w:val="466"/>
                <w:rFonts w:hint="eastAsia" w:ascii="宋体" w:hAnsi="宋体" w:cs="宋体"/>
                <w:color w:val="auto"/>
                <w:sz w:val="24"/>
                <w:szCs w:val="24"/>
                <w:highlight w:val="none"/>
                <w:lang w:val="en-US" w:eastAsia="zh-CN"/>
              </w:rPr>
              <w:t>安保辅助服务</w:t>
            </w:r>
            <w:r>
              <w:rPr>
                <w:rStyle w:val="466"/>
                <w:rFonts w:hint="eastAsia" w:ascii="宋体" w:hAnsi="宋体" w:eastAsia="宋体" w:cs="宋体"/>
                <w:color w:val="auto"/>
                <w:sz w:val="24"/>
                <w:szCs w:val="24"/>
                <w:highlight w:val="none"/>
                <w:lang w:val="en-US" w:eastAsia="zh-CN"/>
              </w:rPr>
              <w:t>实施方案与工作流程（包括但不限于本项目实施重难点分析；外包人员具体工作岗位、工作时间和工作任务安排；维护工作区范围内治安秩序、市政设施巡查、道路保洁及养护巡查、大气环境及水环境巡查、闲置地块及道路巡查、集中生活区安保巡查、防台防汛及扫雪防冻组织和巡查工作、夜间值班巡逻、其他园区交办</w:t>
            </w:r>
            <w:r>
              <w:rPr>
                <w:rStyle w:val="466"/>
                <w:rFonts w:hint="eastAsia" w:ascii="宋体" w:hAnsi="宋体" w:cs="宋体"/>
                <w:color w:val="auto"/>
                <w:sz w:val="24"/>
                <w:szCs w:val="24"/>
                <w:highlight w:val="none"/>
                <w:lang w:val="en-US" w:eastAsia="zh-CN"/>
              </w:rPr>
              <w:t>的</w:t>
            </w:r>
            <w:r>
              <w:rPr>
                <w:rStyle w:val="466"/>
                <w:rFonts w:hint="eastAsia" w:ascii="宋体" w:hAnsi="宋体" w:eastAsia="宋体" w:cs="宋体"/>
                <w:color w:val="auto"/>
                <w:sz w:val="24"/>
                <w:szCs w:val="24"/>
                <w:highlight w:val="none"/>
                <w:lang w:val="en-US" w:eastAsia="zh-CN"/>
              </w:rPr>
              <w:t xml:space="preserve">工作流程制定内容）进行综合评分： </w:t>
            </w:r>
          </w:p>
          <w:p w14:paraId="5D6D0B0E">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方案全面合理，工作流程描述完整、科学、可行的得</w:t>
            </w:r>
            <w:r>
              <w:rPr>
                <w:rStyle w:val="466"/>
                <w:rFonts w:hint="eastAsia" w:ascii="宋体" w:hAnsi="宋体" w:cs="宋体"/>
                <w:color w:val="auto"/>
                <w:sz w:val="24"/>
                <w:szCs w:val="24"/>
                <w:highlight w:val="none"/>
                <w:lang w:val="en-US" w:eastAsia="zh-CN"/>
              </w:rPr>
              <w:t>10</w:t>
            </w:r>
            <w:r>
              <w:rPr>
                <w:rStyle w:val="466"/>
                <w:rFonts w:hint="eastAsia" w:ascii="宋体" w:hAnsi="宋体" w:eastAsia="宋体" w:cs="宋体"/>
                <w:color w:val="auto"/>
                <w:sz w:val="24"/>
                <w:szCs w:val="24"/>
                <w:highlight w:val="none"/>
                <w:lang w:val="en-US" w:eastAsia="zh-CN"/>
              </w:rPr>
              <w:t>分；</w:t>
            </w:r>
          </w:p>
          <w:p w14:paraId="3A77BBB5">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方案合理可行，工作流程描述基本完整、科学、可行的得</w:t>
            </w:r>
            <w:r>
              <w:rPr>
                <w:rStyle w:val="466"/>
                <w:rFonts w:hint="eastAsia" w:ascii="宋体" w:hAnsi="宋体" w:cs="宋体"/>
                <w:color w:val="auto"/>
                <w:sz w:val="24"/>
                <w:szCs w:val="24"/>
                <w:highlight w:val="none"/>
                <w:lang w:val="en-US" w:eastAsia="zh-CN"/>
              </w:rPr>
              <w:t>7.5</w:t>
            </w:r>
            <w:r>
              <w:rPr>
                <w:rStyle w:val="466"/>
                <w:rFonts w:hint="eastAsia" w:ascii="宋体" w:hAnsi="宋体" w:eastAsia="宋体" w:cs="宋体"/>
                <w:color w:val="auto"/>
                <w:sz w:val="24"/>
                <w:szCs w:val="24"/>
                <w:highlight w:val="none"/>
                <w:lang w:val="en-US" w:eastAsia="zh-CN"/>
              </w:rPr>
              <w:t>分；方案全面，工作流程描述基本清晰的得</w:t>
            </w:r>
            <w:r>
              <w:rPr>
                <w:rStyle w:val="466"/>
                <w:rFonts w:hint="eastAsia" w:ascii="宋体" w:hAnsi="宋体" w:cs="宋体"/>
                <w:color w:val="auto"/>
                <w:sz w:val="24"/>
                <w:szCs w:val="24"/>
                <w:highlight w:val="none"/>
                <w:lang w:val="en-US" w:eastAsia="zh-CN"/>
              </w:rPr>
              <w:t>5</w:t>
            </w:r>
            <w:r>
              <w:rPr>
                <w:rStyle w:val="466"/>
                <w:rFonts w:hint="eastAsia" w:ascii="宋体" w:hAnsi="宋体" w:eastAsia="宋体" w:cs="宋体"/>
                <w:color w:val="auto"/>
                <w:sz w:val="24"/>
                <w:szCs w:val="24"/>
                <w:highlight w:val="none"/>
                <w:lang w:val="en-US" w:eastAsia="zh-CN"/>
              </w:rPr>
              <w:t>分；</w:t>
            </w:r>
          </w:p>
          <w:p w14:paraId="059B772C">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方案描述模糊且内容缺失得</w:t>
            </w:r>
            <w:r>
              <w:rPr>
                <w:rStyle w:val="466"/>
                <w:rFonts w:hint="eastAsia" w:ascii="宋体" w:hAnsi="宋体" w:cs="宋体"/>
                <w:color w:val="auto"/>
                <w:sz w:val="24"/>
                <w:szCs w:val="24"/>
                <w:highlight w:val="none"/>
                <w:lang w:val="en-US" w:eastAsia="zh-CN"/>
              </w:rPr>
              <w:t>2.5</w:t>
            </w:r>
            <w:r>
              <w:rPr>
                <w:rStyle w:val="466"/>
                <w:rFonts w:hint="eastAsia" w:ascii="宋体" w:hAnsi="宋体" w:eastAsia="宋体" w:cs="宋体"/>
                <w:color w:val="auto"/>
                <w:sz w:val="24"/>
                <w:szCs w:val="24"/>
                <w:highlight w:val="none"/>
                <w:lang w:val="en-US" w:eastAsia="zh-CN"/>
              </w:rPr>
              <w:t xml:space="preserve">分； </w:t>
            </w:r>
          </w:p>
          <w:p w14:paraId="372CC9B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不提供不得分。</w:t>
            </w:r>
          </w:p>
        </w:tc>
        <w:tc>
          <w:tcPr>
            <w:tcW w:w="3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730D4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6E12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371" w:type="pct"/>
            <w:vMerge w:val="continue"/>
            <w:tcBorders>
              <w:left w:val="single" w:color="auto" w:sz="4" w:space="0"/>
              <w:right w:val="single" w:color="auto" w:sz="4" w:space="0"/>
            </w:tcBorders>
            <w:noWrap w:val="0"/>
            <w:vAlign w:val="center"/>
          </w:tcPr>
          <w:p w14:paraId="04424DE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p>
        </w:tc>
        <w:tc>
          <w:tcPr>
            <w:tcW w:w="723" w:type="pct"/>
            <w:vMerge w:val="continue"/>
            <w:tcBorders>
              <w:left w:val="single" w:color="auto" w:sz="4" w:space="0"/>
              <w:right w:val="single" w:color="auto" w:sz="4" w:space="0"/>
            </w:tcBorders>
            <w:noWrap w:val="0"/>
            <w:vAlign w:val="center"/>
          </w:tcPr>
          <w:p w14:paraId="1E2BC81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p>
        </w:tc>
        <w:tc>
          <w:tcPr>
            <w:tcW w:w="35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F13E714">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根据</w:t>
            </w:r>
            <w:r>
              <w:rPr>
                <w:rStyle w:val="466"/>
                <w:rFonts w:hint="eastAsia" w:ascii="宋体" w:hAnsi="宋体" w:cs="宋体"/>
                <w:color w:val="auto"/>
                <w:sz w:val="24"/>
                <w:szCs w:val="24"/>
                <w:highlight w:val="none"/>
                <w:lang w:val="en-US" w:eastAsia="zh-CN"/>
              </w:rPr>
              <w:t>供应商</w:t>
            </w:r>
            <w:r>
              <w:rPr>
                <w:rStyle w:val="466"/>
                <w:rFonts w:hint="eastAsia" w:ascii="宋体" w:hAnsi="宋体" w:eastAsia="宋体" w:cs="宋体"/>
                <w:color w:val="auto"/>
                <w:sz w:val="24"/>
                <w:szCs w:val="24"/>
                <w:highlight w:val="none"/>
                <w:lang w:val="en-US" w:eastAsia="zh-CN"/>
              </w:rPr>
              <w:t>提供的培训制度（包括但不限于在岗培训、日常监督管理和考核、日常办公以及值班住宿等事项培训）进行综合评分：</w:t>
            </w:r>
          </w:p>
          <w:p w14:paraId="7D160CEB">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培训制度完善全面合理，描述全面、可行的得</w:t>
            </w:r>
            <w:r>
              <w:rPr>
                <w:rStyle w:val="466"/>
                <w:rFonts w:hint="eastAsia" w:ascii="宋体" w:hAnsi="宋体" w:cs="宋体"/>
                <w:color w:val="auto"/>
                <w:sz w:val="24"/>
                <w:szCs w:val="24"/>
                <w:highlight w:val="none"/>
                <w:lang w:val="en-US" w:eastAsia="zh-CN"/>
              </w:rPr>
              <w:t>10</w:t>
            </w:r>
            <w:r>
              <w:rPr>
                <w:rStyle w:val="466"/>
                <w:rFonts w:hint="eastAsia" w:ascii="宋体" w:hAnsi="宋体" w:eastAsia="宋体" w:cs="宋体"/>
                <w:color w:val="auto"/>
                <w:sz w:val="24"/>
                <w:szCs w:val="24"/>
                <w:highlight w:val="none"/>
                <w:lang w:val="en-US" w:eastAsia="zh-CN"/>
              </w:rPr>
              <w:t>分；</w:t>
            </w:r>
          </w:p>
          <w:p w14:paraId="509DC1E7">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培训制度全面合理，描述基本全面、可行的得7</w:t>
            </w:r>
            <w:r>
              <w:rPr>
                <w:rStyle w:val="466"/>
                <w:rFonts w:hint="eastAsia" w:ascii="宋体" w:hAnsi="宋体" w:cs="宋体"/>
                <w:color w:val="auto"/>
                <w:sz w:val="24"/>
                <w:szCs w:val="24"/>
                <w:highlight w:val="none"/>
                <w:lang w:val="en-US" w:eastAsia="zh-CN"/>
              </w:rPr>
              <w:t>.5</w:t>
            </w:r>
            <w:r>
              <w:rPr>
                <w:rStyle w:val="466"/>
                <w:rFonts w:hint="eastAsia" w:ascii="宋体" w:hAnsi="宋体" w:eastAsia="宋体" w:cs="宋体"/>
                <w:color w:val="auto"/>
                <w:sz w:val="24"/>
                <w:szCs w:val="24"/>
                <w:highlight w:val="none"/>
                <w:lang w:val="en-US" w:eastAsia="zh-CN"/>
              </w:rPr>
              <w:t>分；</w:t>
            </w:r>
          </w:p>
          <w:p w14:paraId="5051E0F8">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方案全面，培训制度描述基本清晰的得</w:t>
            </w:r>
            <w:r>
              <w:rPr>
                <w:rStyle w:val="466"/>
                <w:rFonts w:hint="eastAsia" w:ascii="宋体" w:hAnsi="宋体" w:cs="宋体"/>
                <w:color w:val="auto"/>
                <w:sz w:val="24"/>
                <w:szCs w:val="24"/>
                <w:highlight w:val="none"/>
                <w:lang w:val="en-US" w:eastAsia="zh-CN"/>
              </w:rPr>
              <w:t>5</w:t>
            </w:r>
            <w:r>
              <w:rPr>
                <w:rStyle w:val="466"/>
                <w:rFonts w:hint="eastAsia" w:ascii="宋体" w:hAnsi="宋体" w:eastAsia="宋体" w:cs="宋体"/>
                <w:color w:val="auto"/>
                <w:sz w:val="24"/>
                <w:szCs w:val="24"/>
                <w:highlight w:val="none"/>
                <w:lang w:val="en-US" w:eastAsia="zh-CN"/>
              </w:rPr>
              <w:t>分；</w:t>
            </w:r>
          </w:p>
          <w:p w14:paraId="0EB0CD62">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方案描述模糊且内容缺失得</w:t>
            </w:r>
            <w:r>
              <w:rPr>
                <w:rStyle w:val="466"/>
                <w:rFonts w:hint="eastAsia" w:ascii="宋体" w:hAnsi="宋体" w:cs="宋体"/>
                <w:color w:val="auto"/>
                <w:sz w:val="24"/>
                <w:szCs w:val="24"/>
                <w:highlight w:val="none"/>
                <w:lang w:val="en-US" w:eastAsia="zh-CN"/>
              </w:rPr>
              <w:t>2.5</w:t>
            </w:r>
            <w:r>
              <w:rPr>
                <w:rStyle w:val="466"/>
                <w:rFonts w:hint="eastAsia" w:ascii="宋体" w:hAnsi="宋体" w:eastAsia="宋体" w:cs="宋体"/>
                <w:color w:val="auto"/>
                <w:sz w:val="24"/>
                <w:szCs w:val="24"/>
                <w:highlight w:val="none"/>
                <w:lang w:val="en-US" w:eastAsia="zh-CN"/>
              </w:rPr>
              <w:t>分；</w:t>
            </w:r>
          </w:p>
          <w:p w14:paraId="5EEFE2A5">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default" w:ascii="宋体" w:hAnsi="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不提供不得分。</w:t>
            </w:r>
          </w:p>
        </w:tc>
        <w:tc>
          <w:tcPr>
            <w:tcW w:w="3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8FF2DE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4F24B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371" w:type="pct"/>
            <w:vMerge w:val="continue"/>
            <w:tcBorders>
              <w:left w:val="single" w:color="auto" w:sz="4" w:space="0"/>
              <w:right w:val="single" w:color="auto" w:sz="4" w:space="0"/>
            </w:tcBorders>
            <w:noWrap w:val="0"/>
            <w:vAlign w:val="center"/>
          </w:tcPr>
          <w:p w14:paraId="0BF0713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p>
        </w:tc>
        <w:tc>
          <w:tcPr>
            <w:tcW w:w="723" w:type="pct"/>
            <w:vMerge w:val="continue"/>
            <w:tcBorders>
              <w:left w:val="single" w:color="auto" w:sz="4" w:space="0"/>
              <w:right w:val="single" w:color="auto" w:sz="4" w:space="0"/>
            </w:tcBorders>
            <w:noWrap w:val="0"/>
            <w:vAlign w:val="center"/>
          </w:tcPr>
          <w:p w14:paraId="5006794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p>
        </w:tc>
        <w:tc>
          <w:tcPr>
            <w:tcW w:w="35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14B990E">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根据</w:t>
            </w:r>
            <w:r>
              <w:rPr>
                <w:rStyle w:val="466"/>
                <w:rFonts w:hint="eastAsia" w:ascii="宋体" w:hAnsi="宋体" w:cs="宋体"/>
                <w:color w:val="auto"/>
                <w:sz w:val="24"/>
                <w:szCs w:val="24"/>
                <w:highlight w:val="none"/>
                <w:lang w:val="en-US" w:eastAsia="zh-CN"/>
              </w:rPr>
              <w:t>供应商</w:t>
            </w:r>
            <w:r>
              <w:rPr>
                <w:rStyle w:val="466"/>
                <w:rFonts w:hint="eastAsia" w:ascii="宋体" w:hAnsi="宋体" w:eastAsia="宋体" w:cs="宋体"/>
                <w:color w:val="auto"/>
                <w:sz w:val="24"/>
                <w:szCs w:val="24"/>
                <w:highlight w:val="none"/>
                <w:lang w:val="en-US" w:eastAsia="zh-CN"/>
              </w:rPr>
              <w:t>提供的应急处置预案（包括但不限于突发事件应急处理；防火、防盗、防破坏、防治安灾害事故等内容）进行综合评分：</w:t>
            </w:r>
          </w:p>
          <w:p w14:paraId="7741EC72">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应急处置预案完善全面合理，描述全面、可行的得</w:t>
            </w:r>
            <w:r>
              <w:rPr>
                <w:rStyle w:val="466"/>
                <w:rFonts w:hint="eastAsia" w:ascii="宋体" w:hAnsi="宋体" w:cs="宋体"/>
                <w:color w:val="auto"/>
                <w:sz w:val="24"/>
                <w:szCs w:val="24"/>
                <w:highlight w:val="none"/>
                <w:lang w:val="en-US" w:eastAsia="zh-CN"/>
              </w:rPr>
              <w:t>10</w:t>
            </w:r>
            <w:r>
              <w:rPr>
                <w:rStyle w:val="466"/>
                <w:rFonts w:hint="eastAsia" w:ascii="宋体" w:hAnsi="宋体" w:eastAsia="宋体" w:cs="宋体"/>
                <w:color w:val="auto"/>
                <w:sz w:val="24"/>
                <w:szCs w:val="24"/>
                <w:highlight w:val="none"/>
                <w:lang w:val="en-US" w:eastAsia="zh-CN"/>
              </w:rPr>
              <w:t>分；</w:t>
            </w:r>
          </w:p>
          <w:p w14:paraId="04ABC1AB">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应急处置预案全面合理，描述基本全面、可行的得</w:t>
            </w:r>
            <w:r>
              <w:rPr>
                <w:rStyle w:val="466"/>
                <w:rFonts w:hint="eastAsia" w:ascii="宋体" w:hAnsi="宋体" w:cs="宋体"/>
                <w:color w:val="auto"/>
                <w:sz w:val="24"/>
                <w:szCs w:val="24"/>
                <w:highlight w:val="none"/>
                <w:lang w:val="en-US" w:eastAsia="zh-CN"/>
              </w:rPr>
              <w:t>7.5</w:t>
            </w:r>
            <w:r>
              <w:rPr>
                <w:rStyle w:val="466"/>
                <w:rFonts w:hint="eastAsia" w:ascii="宋体" w:hAnsi="宋体" w:eastAsia="宋体" w:cs="宋体"/>
                <w:color w:val="auto"/>
                <w:sz w:val="24"/>
                <w:szCs w:val="24"/>
                <w:highlight w:val="none"/>
                <w:lang w:val="en-US" w:eastAsia="zh-CN"/>
              </w:rPr>
              <w:t>分；</w:t>
            </w:r>
          </w:p>
          <w:p w14:paraId="1AEB6BAD">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应急处置预案全面，培训制度描述基本清晰的得</w:t>
            </w:r>
            <w:r>
              <w:rPr>
                <w:rStyle w:val="466"/>
                <w:rFonts w:hint="eastAsia" w:ascii="宋体" w:hAnsi="宋体" w:cs="宋体"/>
                <w:color w:val="auto"/>
                <w:sz w:val="24"/>
                <w:szCs w:val="24"/>
                <w:highlight w:val="none"/>
                <w:lang w:val="en-US" w:eastAsia="zh-CN"/>
              </w:rPr>
              <w:t>5</w:t>
            </w:r>
            <w:r>
              <w:rPr>
                <w:rStyle w:val="466"/>
                <w:rFonts w:hint="eastAsia" w:ascii="宋体" w:hAnsi="宋体" w:eastAsia="宋体" w:cs="宋体"/>
                <w:color w:val="auto"/>
                <w:sz w:val="24"/>
                <w:szCs w:val="24"/>
                <w:highlight w:val="none"/>
                <w:lang w:val="en-US" w:eastAsia="zh-CN"/>
              </w:rPr>
              <w:t>分；</w:t>
            </w:r>
          </w:p>
          <w:p w14:paraId="38E57182">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应急处置预案描述模糊且内容缺失得</w:t>
            </w:r>
            <w:r>
              <w:rPr>
                <w:rStyle w:val="466"/>
                <w:rFonts w:hint="eastAsia" w:ascii="宋体" w:hAnsi="宋体" w:cs="宋体"/>
                <w:color w:val="auto"/>
                <w:sz w:val="24"/>
                <w:szCs w:val="24"/>
                <w:highlight w:val="none"/>
                <w:lang w:val="en-US" w:eastAsia="zh-CN"/>
              </w:rPr>
              <w:t>2.5</w:t>
            </w:r>
            <w:r>
              <w:rPr>
                <w:rStyle w:val="466"/>
                <w:rFonts w:hint="eastAsia" w:ascii="宋体" w:hAnsi="宋体" w:eastAsia="宋体" w:cs="宋体"/>
                <w:color w:val="auto"/>
                <w:sz w:val="24"/>
                <w:szCs w:val="24"/>
                <w:highlight w:val="none"/>
                <w:lang w:val="en-US" w:eastAsia="zh-CN"/>
              </w:rPr>
              <w:t>分；</w:t>
            </w:r>
          </w:p>
          <w:p w14:paraId="115DF87B">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eastAsia="zh-CN"/>
              </w:rPr>
            </w:pPr>
            <w:r>
              <w:rPr>
                <w:rStyle w:val="466"/>
                <w:rFonts w:hint="eastAsia" w:ascii="宋体" w:hAnsi="宋体" w:eastAsia="宋体" w:cs="宋体"/>
                <w:color w:val="auto"/>
                <w:sz w:val="24"/>
                <w:szCs w:val="24"/>
                <w:highlight w:val="none"/>
                <w:lang w:val="en-US" w:eastAsia="zh-CN"/>
              </w:rPr>
              <w:t>不提供不得分。</w:t>
            </w:r>
          </w:p>
        </w:tc>
        <w:tc>
          <w:tcPr>
            <w:tcW w:w="3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6EDF8BF">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03EF5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371" w:type="pct"/>
            <w:vMerge w:val="continue"/>
            <w:tcBorders>
              <w:left w:val="single" w:color="auto" w:sz="4" w:space="0"/>
              <w:right w:val="single" w:color="auto" w:sz="4" w:space="0"/>
            </w:tcBorders>
            <w:noWrap w:val="0"/>
            <w:vAlign w:val="center"/>
          </w:tcPr>
          <w:p w14:paraId="6A2EB64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p>
        </w:tc>
        <w:tc>
          <w:tcPr>
            <w:tcW w:w="723" w:type="pct"/>
            <w:vMerge w:val="continue"/>
            <w:tcBorders>
              <w:left w:val="single" w:color="auto" w:sz="4" w:space="0"/>
              <w:right w:val="single" w:color="auto" w:sz="4" w:space="0"/>
            </w:tcBorders>
            <w:noWrap w:val="0"/>
            <w:vAlign w:val="center"/>
          </w:tcPr>
          <w:p w14:paraId="07DEF9F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p>
        </w:tc>
        <w:tc>
          <w:tcPr>
            <w:tcW w:w="35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38585EF">
            <w:pPr>
              <w:keepNext w:val="0"/>
              <w:keepLines w:val="0"/>
              <w:pageBreakBefore w:val="0"/>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根据</w:t>
            </w:r>
            <w:r>
              <w:rPr>
                <w:rStyle w:val="466"/>
                <w:rFonts w:hint="eastAsia" w:ascii="宋体" w:hAnsi="宋体" w:cs="宋体"/>
                <w:color w:val="auto"/>
                <w:sz w:val="24"/>
                <w:szCs w:val="24"/>
                <w:highlight w:val="none"/>
                <w:lang w:val="en-US" w:eastAsia="zh-CN"/>
              </w:rPr>
              <w:t>供应商</w:t>
            </w:r>
            <w:r>
              <w:rPr>
                <w:rStyle w:val="466"/>
                <w:rFonts w:hint="eastAsia" w:ascii="宋体" w:hAnsi="宋体" w:eastAsia="宋体" w:cs="宋体"/>
                <w:color w:val="auto"/>
                <w:sz w:val="24"/>
                <w:szCs w:val="24"/>
                <w:highlight w:val="none"/>
                <w:lang w:val="en-US" w:eastAsia="zh-CN"/>
              </w:rPr>
              <w:t>提供的沟通协调专项方案（包括但不限于提供综合治安管理服务，主要协助从事园区内城市市容管理、治安巡防和综合治理等工作等）进行综合评分：</w:t>
            </w:r>
          </w:p>
          <w:p w14:paraId="63FE6FEF">
            <w:pPr>
              <w:keepNext w:val="0"/>
              <w:keepLines w:val="0"/>
              <w:pageBreakBefore w:val="0"/>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沟通协调专项方案完善全面合理，描述全面、可行的得</w:t>
            </w:r>
            <w:r>
              <w:rPr>
                <w:rStyle w:val="466"/>
                <w:rFonts w:hint="eastAsia" w:ascii="宋体" w:hAnsi="宋体" w:cs="宋体"/>
                <w:color w:val="auto"/>
                <w:sz w:val="24"/>
                <w:szCs w:val="24"/>
                <w:highlight w:val="none"/>
                <w:lang w:val="en-US" w:eastAsia="zh-CN"/>
              </w:rPr>
              <w:t>10</w:t>
            </w:r>
            <w:r>
              <w:rPr>
                <w:rStyle w:val="466"/>
                <w:rFonts w:hint="eastAsia" w:ascii="宋体" w:hAnsi="宋体" w:eastAsia="宋体" w:cs="宋体"/>
                <w:color w:val="auto"/>
                <w:sz w:val="24"/>
                <w:szCs w:val="24"/>
                <w:highlight w:val="none"/>
                <w:lang w:val="en-US" w:eastAsia="zh-CN"/>
              </w:rPr>
              <w:t>分；</w:t>
            </w:r>
          </w:p>
          <w:p w14:paraId="209EF8EA">
            <w:pPr>
              <w:keepNext w:val="0"/>
              <w:keepLines w:val="0"/>
              <w:pageBreakBefore w:val="0"/>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沟通协调专项方案全面合理，描述基本全面、可行的得</w:t>
            </w:r>
            <w:r>
              <w:rPr>
                <w:rStyle w:val="466"/>
                <w:rFonts w:hint="eastAsia" w:ascii="宋体" w:hAnsi="宋体" w:cs="宋体"/>
                <w:color w:val="auto"/>
                <w:sz w:val="24"/>
                <w:szCs w:val="24"/>
                <w:highlight w:val="none"/>
                <w:lang w:val="en-US" w:eastAsia="zh-CN"/>
              </w:rPr>
              <w:t>7.5</w:t>
            </w:r>
            <w:r>
              <w:rPr>
                <w:rStyle w:val="466"/>
                <w:rFonts w:hint="eastAsia" w:ascii="宋体" w:hAnsi="宋体" w:eastAsia="宋体" w:cs="宋体"/>
                <w:color w:val="auto"/>
                <w:sz w:val="24"/>
                <w:szCs w:val="24"/>
                <w:highlight w:val="none"/>
                <w:lang w:val="en-US" w:eastAsia="zh-CN"/>
              </w:rPr>
              <w:t>分；</w:t>
            </w:r>
          </w:p>
          <w:p w14:paraId="28B76676">
            <w:pPr>
              <w:keepNext w:val="0"/>
              <w:keepLines w:val="0"/>
              <w:pageBreakBefore w:val="0"/>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沟通协调专项方案全面，培训制度描述基本清晰的得</w:t>
            </w:r>
            <w:r>
              <w:rPr>
                <w:rStyle w:val="466"/>
                <w:rFonts w:hint="eastAsia" w:ascii="宋体" w:hAnsi="宋体" w:cs="宋体"/>
                <w:color w:val="auto"/>
                <w:sz w:val="24"/>
                <w:szCs w:val="24"/>
                <w:highlight w:val="none"/>
                <w:lang w:val="en-US" w:eastAsia="zh-CN"/>
              </w:rPr>
              <w:t>5</w:t>
            </w:r>
            <w:r>
              <w:rPr>
                <w:rStyle w:val="466"/>
                <w:rFonts w:hint="eastAsia" w:ascii="宋体" w:hAnsi="宋体" w:eastAsia="宋体" w:cs="宋体"/>
                <w:color w:val="auto"/>
                <w:sz w:val="24"/>
                <w:szCs w:val="24"/>
                <w:highlight w:val="none"/>
                <w:lang w:val="en-US" w:eastAsia="zh-CN"/>
              </w:rPr>
              <w:t>分；</w:t>
            </w:r>
          </w:p>
          <w:p w14:paraId="3F7D6D60">
            <w:pPr>
              <w:keepNext w:val="0"/>
              <w:keepLines w:val="0"/>
              <w:pageBreakBefore w:val="0"/>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沟通协调专项方案描述模糊且内容缺失得</w:t>
            </w:r>
            <w:r>
              <w:rPr>
                <w:rStyle w:val="466"/>
                <w:rFonts w:hint="eastAsia" w:ascii="宋体" w:hAnsi="宋体" w:cs="宋体"/>
                <w:color w:val="auto"/>
                <w:sz w:val="24"/>
                <w:szCs w:val="24"/>
                <w:highlight w:val="none"/>
                <w:lang w:val="en-US" w:eastAsia="zh-CN"/>
              </w:rPr>
              <w:t>2.5</w:t>
            </w:r>
            <w:r>
              <w:rPr>
                <w:rStyle w:val="466"/>
                <w:rFonts w:hint="eastAsia" w:ascii="宋体" w:hAnsi="宋体" w:eastAsia="宋体" w:cs="宋体"/>
                <w:color w:val="auto"/>
                <w:sz w:val="24"/>
                <w:szCs w:val="24"/>
                <w:highlight w:val="none"/>
                <w:lang w:val="en-US" w:eastAsia="zh-CN"/>
              </w:rPr>
              <w:t>分；</w:t>
            </w:r>
          </w:p>
          <w:p w14:paraId="3A320E0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lang w:val="zh-CN" w:eastAsia="zh-CN" w:bidi="ar-SA"/>
              </w:rPr>
            </w:pPr>
            <w:r>
              <w:rPr>
                <w:rStyle w:val="466"/>
                <w:rFonts w:hint="eastAsia" w:ascii="宋体" w:hAnsi="宋体" w:eastAsia="宋体" w:cs="宋体"/>
                <w:color w:val="auto"/>
                <w:sz w:val="24"/>
                <w:szCs w:val="24"/>
                <w:highlight w:val="none"/>
                <w:lang w:val="en-US" w:eastAsia="zh-CN"/>
              </w:rPr>
              <w:t>不提供不得分。</w:t>
            </w:r>
          </w:p>
        </w:tc>
        <w:tc>
          <w:tcPr>
            <w:tcW w:w="3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F7BCC8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10</w:t>
            </w:r>
          </w:p>
        </w:tc>
      </w:tr>
      <w:tr w14:paraId="76558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371" w:type="pct"/>
            <w:vMerge w:val="continue"/>
            <w:tcBorders>
              <w:left w:val="single" w:color="auto" w:sz="4" w:space="0"/>
              <w:right w:val="single" w:color="auto" w:sz="4" w:space="0"/>
            </w:tcBorders>
            <w:noWrap w:val="0"/>
            <w:vAlign w:val="center"/>
          </w:tcPr>
          <w:p w14:paraId="30B9AA4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p>
        </w:tc>
        <w:tc>
          <w:tcPr>
            <w:tcW w:w="723" w:type="pct"/>
            <w:vMerge w:val="continue"/>
            <w:tcBorders>
              <w:left w:val="single" w:color="auto" w:sz="4" w:space="0"/>
              <w:right w:val="single" w:color="auto" w:sz="4" w:space="0"/>
            </w:tcBorders>
            <w:noWrap w:val="0"/>
            <w:vAlign w:val="center"/>
          </w:tcPr>
          <w:p w14:paraId="78CAB68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p>
        </w:tc>
        <w:tc>
          <w:tcPr>
            <w:tcW w:w="35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694EB16">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根据</w:t>
            </w:r>
            <w:r>
              <w:rPr>
                <w:rStyle w:val="466"/>
                <w:rFonts w:hint="eastAsia" w:ascii="宋体" w:hAnsi="宋体" w:cs="宋体"/>
                <w:color w:val="auto"/>
                <w:sz w:val="24"/>
                <w:szCs w:val="24"/>
                <w:highlight w:val="none"/>
                <w:lang w:val="en-US" w:eastAsia="zh-CN"/>
              </w:rPr>
              <w:t>供应商</w:t>
            </w:r>
            <w:r>
              <w:rPr>
                <w:rStyle w:val="466"/>
                <w:rFonts w:hint="eastAsia" w:ascii="宋体" w:hAnsi="宋体" w:eastAsia="宋体" w:cs="宋体"/>
                <w:color w:val="auto"/>
                <w:sz w:val="24"/>
                <w:szCs w:val="24"/>
                <w:highlight w:val="none"/>
                <w:lang w:val="en-US" w:eastAsia="zh-CN"/>
              </w:rPr>
              <w:t>提供的安保服务质量保障体系和措施（包括但不限于岗位设置、部门职责分配、后勤保障、巡逻执勤等）进行综合评分：</w:t>
            </w:r>
          </w:p>
          <w:p w14:paraId="673CA1E0">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安保服务质量保障体系和措施方案完善全面合理，描述全面、可行的得</w:t>
            </w:r>
            <w:r>
              <w:rPr>
                <w:rStyle w:val="466"/>
                <w:rFonts w:hint="eastAsia" w:ascii="宋体" w:hAnsi="宋体" w:cs="宋体"/>
                <w:color w:val="auto"/>
                <w:sz w:val="24"/>
                <w:szCs w:val="24"/>
                <w:highlight w:val="none"/>
                <w:lang w:val="en-US" w:eastAsia="zh-CN"/>
              </w:rPr>
              <w:t>10</w:t>
            </w:r>
            <w:r>
              <w:rPr>
                <w:rStyle w:val="466"/>
                <w:rFonts w:hint="eastAsia" w:ascii="宋体" w:hAnsi="宋体" w:eastAsia="宋体" w:cs="宋体"/>
                <w:color w:val="auto"/>
                <w:sz w:val="24"/>
                <w:szCs w:val="24"/>
                <w:highlight w:val="none"/>
                <w:lang w:val="en-US" w:eastAsia="zh-CN"/>
              </w:rPr>
              <w:t>分；</w:t>
            </w:r>
          </w:p>
          <w:p w14:paraId="20D5FBB7">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安保服务质量保障体系和措施方案全面合理，描述基本全面、可行的得</w:t>
            </w:r>
            <w:r>
              <w:rPr>
                <w:rStyle w:val="466"/>
                <w:rFonts w:hint="eastAsia" w:ascii="宋体" w:hAnsi="宋体" w:cs="宋体"/>
                <w:color w:val="auto"/>
                <w:sz w:val="24"/>
                <w:szCs w:val="24"/>
                <w:highlight w:val="none"/>
                <w:lang w:val="en-US" w:eastAsia="zh-CN"/>
              </w:rPr>
              <w:t>7.5</w:t>
            </w:r>
            <w:r>
              <w:rPr>
                <w:rStyle w:val="466"/>
                <w:rFonts w:hint="eastAsia" w:ascii="宋体" w:hAnsi="宋体" w:eastAsia="宋体" w:cs="宋体"/>
                <w:color w:val="auto"/>
                <w:sz w:val="24"/>
                <w:szCs w:val="24"/>
                <w:highlight w:val="none"/>
                <w:lang w:val="en-US" w:eastAsia="zh-CN"/>
              </w:rPr>
              <w:t>分；</w:t>
            </w:r>
          </w:p>
          <w:p w14:paraId="60BBF2C9">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val="en-US" w:eastAsia="zh-CN"/>
              </w:rPr>
            </w:pPr>
            <w:r>
              <w:rPr>
                <w:rStyle w:val="466"/>
                <w:rFonts w:hint="eastAsia" w:ascii="宋体" w:hAnsi="宋体" w:eastAsia="宋体" w:cs="宋体"/>
                <w:color w:val="auto"/>
                <w:sz w:val="24"/>
                <w:szCs w:val="24"/>
                <w:highlight w:val="none"/>
                <w:lang w:val="en-US" w:eastAsia="zh-CN"/>
              </w:rPr>
              <w:t>安保服务质量保障体系和措施方案全面，培训制度描述基本清晰的得</w:t>
            </w:r>
            <w:r>
              <w:rPr>
                <w:rStyle w:val="466"/>
                <w:rFonts w:hint="eastAsia" w:ascii="宋体" w:hAnsi="宋体" w:cs="宋体"/>
                <w:color w:val="auto"/>
                <w:sz w:val="24"/>
                <w:szCs w:val="24"/>
                <w:highlight w:val="none"/>
                <w:lang w:val="en-US" w:eastAsia="zh-CN"/>
              </w:rPr>
              <w:t>5</w:t>
            </w:r>
            <w:r>
              <w:rPr>
                <w:rStyle w:val="466"/>
                <w:rFonts w:hint="eastAsia" w:ascii="宋体" w:hAnsi="宋体" w:eastAsia="宋体" w:cs="宋体"/>
                <w:color w:val="auto"/>
                <w:sz w:val="24"/>
                <w:szCs w:val="24"/>
                <w:highlight w:val="none"/>
                <w:lang w:val="en-US" w:eastAsia="zh-CN"/>
              </w:rPr>
              <w:t>分；</w:t>
            </w:r>
          </w:p>
          <w:p w14:paraId="2F6A0AE2">
            <w:pPr>
              <w:keepNext w:val="0"/>
              <w:keepLines w:val="0"/>
              <w:pageBreakBefore w:val="0"/>
              <w:widowControl/>
              <w:kinsoku/>
              <w:wordWrap/>
              <w:overflowPunct/>
              <w:topLinePunct w:val="0"/>
              <w:autoSpaceDE/>
              <w:autoSpaceDN/>
              <w:bidi w:val="0"/>
              <w:adjustRightInd/>
              <w:snapToGrid/>
              <w:spacing w:line="360" w:lineRule="auto"/>
              <w:textAlignment w:val="auto"/>
              <w:rPr>
                <w:rStyle w:val="466"/>
                <w:rFonts w:hint="eastAsia" w:ascii="宋体" w:hAnsi="宋体" w:eastAsia="宋体" w:cs="宋体"/>
                <w:color w:val="auto"/>
                <w:sz w:val="24"/>
                <w:szCs w:val="24"/>
                <w:highlight w:val="none"/>
                <w:lang w:eastAsia="zh-CN"/>
              </w:rPr>
            </w:pPr>
            <w:r>
              <w:rPr>
                <w:rStyle w:val="466"/>
                <w:rFonts w:hint="eastAsia" w:ascii="宋体" w:hAnsi="宋体" w:eastAsia="宋体" w:cs="宋体"/>
                <w:color w:val="auto"/>
                <w:sz w:val="24"/>
                <w:szCs w:val="24"/>
                <w:highlight w:val="none"/>
                <w:lang w:val="en-US" w:eastAsia="zh-CN"/>
              </w:rPr>
              <w:t>安保服务质量保障体系和措施方案描述模糊且内容缺失得</w:t>
            </w:r>
            <w:r>
              <w:rPr>
                <w:rStyle w:val="466"/>
                <w:rFonts w:hint="eastAsia" w:ascii="宋体" w:hAnsi="宋体" w:cs="宋体"/>
                <w:color w:val="auto"/>
                <w:sz w:val="24"/>
                <w:szCs w:val="24"/>
                <w:highlight w:val="none"/>
                <w:lang w:val="en-US" w:eastAsia="zh-CN"/>
              </w:rPr>
              <w:t>2.5</w:t>
            </w:r>
            <w:r>
              <w:rPr>
                <w:rStyle w:val="466"/>
                <w:rFonts w:hint="eastAsia" w:ascii="宋体" w:hAnsi="宋体" w:eastAsia="宋体" w:cs="宋体"/>
                <w:color w:val="auto"/>
                <w:sz w:val="24"/>
                <w:szCs w:val="24"/>
                <w:highlight w:val="none"/>
                <w:lang w:val="en-US" w:eastAsia="zh-CN"/>
              </w:rPr>
              <w:t>分；不提供不得分。</w:t>
            </w:r>
          </w:p>
        </w:tc>
        <w:tc>
          <w:tcPr>
            <w:tcW w:w="3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0FFAC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5CAE0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371" w:type="pct"/>
            <w:tcBorders>
              <w:left w:val="single" w:color="auto" w:sz="4" w:space="0"/>
              <w:bottom w:val="single" w:color="auto" w:sz="4" w:space="0"/>
              <w:right w:val="single" w:color="auto" w:sz="4" w:space="0"/>
            </w:tcBorders>
            <w:noWrap w:val="0"/>
            <w:vAlign w:val="center"/>
          </w:tcPr>
          <w:p w14:paraId="25D4B81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723" w:type="pct"/>
            <w:tcBorders>
              <w:left w:val="single" w:color="auto" w:sz="4" w:space="0"/>
              <w:right w:val="single" w:color="auto" w:sz="4" w:space="0"/>
            </w:tcBorders>
            <w:noWrap w:val="0"/>
            <w:vAlign w:val="center"/>
          </w:tcPr>
          <w:p w14:paraId="462E90A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业绩</w:t>
            </w:r>
          </w:p>
          <w:p w14:paraId="65F6E70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p>
        </w:tc>
        <w:tc>
          <w:tcPr>
            <w:tcW w:w="3589" w:type="pct"/>
            <w:tcBorders>
              <w:top w:val="single" w:color="auto" w:sz="4" w:space="0"/>
              <w:left w:val="single" w:color="auto" w:sz="4" w:space="0"/>
              <w:bottom w:val="single" w:color="auto" w:sz="4" w:space="0"/>
              <w:right w:val="single" w:color="auto" w:sz="4" w:space="0"/>
            </w:tcBorders>
            <w:noWrap w:val="0"/>
            <w:vAlign w:val="center"/>
          </w:tcPr>
          <w:p w14:paraId="4B3B6828">
            <w:pPr>
              <w:pStyle w:val="8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2023年5月1日（含）以来，根据供应商具有类似的安保服务业绩（不包括含安保的物业管理服务业绩）进行评分，每提供一份业绩得3分，最多得9分。（提供合同复印件并加盖公章，时间以合同签订时间为准，未提供不得分）</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082E85A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r>
      <w:tr w14:paraId="7AFFC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371" w:type="pct"/>
            <w:vMerge w:val="restart"/>
            <w:tcBorders>
              <w:top w:val="single" w:color="auto" w:sz="4" w:space="0"/>
              <w:left w:val="single" w:color="auto" w:sz="4" w:space="0"/>
              <w:right w:val="single" w:color="auto" w:sz="4" w:space="0"/>
            </w:tcBorders>
            <w:noWrap w:val="0"/>
            <w:vAlign w:val="center"/>
          </w:tcPr>
          <w:p w14:paraId="2F8DC41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723" w:type="pct"/>
            <w:vMerge w:val="restart"/>
            <w:tcBorders>
              <w:top w:val="single" w:color="auto" w:sz="4" w:space="0"/>
              <w:left w:val="single" w:color="auto" w:sz="4" w:space="0"/>
              <w:right w:val="single" w:color="auto" w:sz="4" w:space="0"/>
            </w:tcBorders>
            <w:noWrap w:val="0"/>
            <w:vAlign w:val="center"/>
          </w:tcPr>
          <w:p w14:paraId="360904A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履约能力</w:t>
            </w:r>
          </w:p>
          <w:p w14:paraId="54C02C0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31</w:t>
            </w:r>
            <w:bookmarkStart w:id="153" w:name="_GoBack"/>
            <w:bookmarkEnd w:id="153"/>
            <w:r>
              <w:rPr>
                <w:rFonts w:hint="eastAsia" w:ascii="宋体" w:hAnsi="宋体" w:eastAsia="宋体" w:cs="宋体"/>
                <w:color w:val="auto"/>
                <w:sz w:val="24"/>
                <w:szCs w:val="24"/>
                <w:highlight w:val="none"/>
                <w:lang w:val="en-US" w:eastAsia="zh-CN"/>
              </w:rPr>
              <w:t>分）</w:t>
            </w:r>
          </w:p>
        </w:tc>
        <w:tc>
          <w:tcPr>
            <w:tcW w:w="35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AF6C42B">
            <w:pPr>
              <w:keepNext w:val="0"/>
              <w:keepLines w:val="0"/>
              <w:pageBreakBefore w:val="0"/>
              <w:widowControl/>
              <w:numPr>
                <w:ilvl w:val="0"/>
                <w:numId w:val="7"/>
              </w:numPr>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拟派项目负责人具备人力资源和社会保障部颁发的有效的保安员职业技能等级五级（原初级保安员）的得3分；具备人力资源和社会保障部颁发的有效的保安员职业技能等级四级（原中级保安员）的得6分；具备人力资源和社会保障部颁发的有效的保安员职业技能等级三级及以上（原高级保安员及以上）的得9分；最多得9分。</w:t>
            </w:r>
          </w:p>
          <w:p w14:paraId="466A0D82">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（需提供人力资源和社会保障部颁发的《保安员职业资格证》证书、证明文件复印件并加盖公章，同时</w:t>
            </w:r>
            <w:r>
              <w:rPr>
                <w:rFonts w:hint="eastAsia" w:ascii="宋体" w:hAnsi="宋体" w:eastAsia="宋体" w:cs="宋体"/>
                <w:b w:val="0"/>
                <w:bCs w:val="0"/>
                <w:color w:val="auto"/>
                <w:sz w:val="24"/>
                <w:szCs w:val="24"/>
                <w:highlight w:val="none"/>
                <w:lang w:val="en-US" w:eastAsia="zh-CN"/>
              </w:rPr>
              <w:t>提供供应商为其缴纳的202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年</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月以来任意一个月的</w:t>
            </w:r>
            <w:r>
              <w:rPr>
                <w:rFonts w:hint="eastAsia" w:ascii="宋体" w:hAnsi="宋体" w:eastAsia="宋体" w:cs="宋体"/>
                <w:b w:val="0"/>
                <w:bCs w:val="0"/>
                <w:color w:val="auto"/>
                <w:sz w:val="24"/>
                <w:szCs w:val="24"/>
                <w:highlight w:val="none"/>
                <w:lang w:val="zh-CN" w:eastAsia="zh-CN"/>
              </w:rPr>
              <w:t>社保缴费证明材料</w:t>
            </w:r>
            <w:r>
              <w:rPr>
                <w:rFonts w:hint="eastAsia" w:ascii="宋体" w:hAnsi="宋体" w:cs="宋体"/>
                <w:b w:val="0"/>
                <w:bCs w:val="0"/>
                <w:color w:val="auto"/>
                <w:sz w:val="24"/>
                <w:szCs w:val="24"/>
                <w:highlight w:val="none"/>
                <w:lang w:val="en-US" w:eastAsia="zh-CN"/>
              </w:rPr>
              <w:t>，不提供或提供不全不得分）</w:t>
            </w:r>
          </w:p>
        </w:tc>
        <w:tc>
          <w:tcPr>
            <w:tcW w:w="3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FC8898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r>
      <w:tr w14:paraId="4C85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371" w:type="pct"/>
            <w:vMerge w:val="continue"/>
            <w:tcBorders>
              <w:left w:val="single" w:color="auto" w:sz="4" w:space="0"/>
              <w:right w:val="single" w:color="auto" w:sz="4" w:space="0"/>
            </w:tcBorders>
            <w:noWrap w:val="0"/>
            <w:vAlign w:val="center"/>
          </w:tcPr>
          <w:p w14:paraId="7588D71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p>
        </w:tc>
        <w:tc>
          <w:tcPr>
            <w:tcW w:w="723" w:type="pct"/>
            <w:vMerge w:val="continue"/>
            <w:tcBorders>
              <w:left w:val="single" w:color="auto" w:sz="4" w:space="0"/>
              <w:right w:val="single" w:color="auto" w:sz="4" w:space="0"/>
            </w:tcBorders>
            <w:noWrap w:val="0"/>
            <w:vAlign w:val="center"/>
          </w:tcPr>
          <w:p w14:paraId="4E2D560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p>
        </w:tc>
        <w:tc>
          <w:tcPr>
            <w:tcW w:w="35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428C76">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2、供应商拟派的辅助人员中具备消防设施操作员证书，有一个得8分/人；本项最多得16分；（本项限评2人，需提供人力资源和社会保障部颁发的《消防设施操作员证》证书、证明文件复印件并加盖公章，同时</w:t>
            </w:r>
            <w:r>
              <w:rPr>
                <w:rFonts w:hint="eastAsia" w:ascii="宋体" w:hAnsi="宋体" w:eastAsia="宋体" w:cs="宋体"/>
                <w:b w:val="0"/>
                <w:bCs w:val="0"/>
                <w:color w:val="auto"/>
                <w:sz w:val="24"/>
                <w:szCs w:val="24"/>
                <w:highlight w:val="none"/>
                <w:lang w:val="en-US" w:eastAsia="zh-CN"/>
              </w:rPr>
              <w:t>提供供应商为其缴纳的202</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年</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月以来任意一个月的</w:t>
            </w:r>
            <w:r>
              <w:rPr>
                <w:rFonts w:hint="eastAsia" w:ascii="宋体" w:hAnsi="宋体" w:eastAsia="宋体" w:cs="宋体"/>
                <w:b w:val="0"/>
                <w:bCs w:val="0"/>
                <w:color w:val="auto"/>
                <w:sz w:val="24"/>
                <w:szCs w:val="24"/>
                <w:highlight w:val="none"/>
                <w:lang w:val="zh-CN" w:eastAsia="zh-CN"/>
              </w:rPr>
              <w:t>社保缴费证明材料</w:t>
            </w:r>
            <w:r>
              <w:rPr>
                <w:rFonts w:hint="eastAsia" w:ascii="宋体" w:hAnsi="宋体" w:cs="宋体"/>
                <w:b w:val="0"/>
                <w:bCs w:val="0"/>
                <w:color w:val="auto"/>
                <w:sz w:val="24"/>
                <w:szCs w:val="24"/>
                <w:highlight w:val="none"/>
                <w:lang w:val="en-US" w:eastAsia="zh-CN"/>
              </w:rPr>
              <w:t>，不提供或提供不全不得分。）</w:t>
            </w:r>
          </w:p>
        </w:tc>
        <w:tc>
          <w:tcPr>
            <w:tcW w:w="3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14E577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w:t>
            </w:r>
          </w:p>
        </w:tc>
      </w:tr>
      <w:tr w14:paraId="4D5B2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trPr>
        <w:tc>
          <w:tcPr>
            <w:tcW w:w="371" w:type="pct"/>
            <w:vMerge w:val="continue"/>
            <w:tcBorders>
              <w:left w:val="single" w:color="auto" w:sz="4" w:space="0"/>
              <w:right w:val="single" w:color="auto" w:sz="4" w:space="0"/>
            </w:tcBorders>
            <w:noWrap w:val="0"/>
            <w:vAlign w:val="center"/>
          </w:tcPr>
          <w:p w14:paraId="041B51C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p>
        </w:tc>
        <w:tc>
          <w:tcPr>
            <w:tcW w:w="723" w:type="pct"/>
            <w:vMerge w:val="continue"/>
            <w:tcBorders>
              <w:left w:val="single" w:color="auto" w:sz="4" w:space="0"/>
              <w:right w:val="single" w:color="auto" w:sz="4" w:space="0"/>
            </w:tcBorders>
            <w:noWrap w:val="0"/>
            <w:vAlign w:val="center"/>
          </w:tcPr>
          <w:p w14:paraId="74E182C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p>
        </w:tc>
        <w:tc>
          <w:tcPr>
            <w:tcW w:w="358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ED99273">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color w:val="auto"/>
                <w:sz w:val="24"/>
                <w:szCs w:val="24"/>
                <w:highlight w:val="none"/>
                <w:lang w:val="zh-CN"/>
              </w:rPr>
              <w:t>供应商承诺在履约中保证和采购人的配合度，保证高度配合采购人的要求，确保提供专业服务的及时性和准确性，承担因工作失误给</w:t>
            </w:r>
            <w:r>
              <w:rPr>
                <w:rFonts w:hint="eastAsia" w:ascii="宋体" w:hAnsi="宋体" w:cs="宋体"/>
                <w:color w:val="auto"/>
                <w:sz w:val="24"/>
                <w:szCs w:val="24"/>
                <w:highlight w:val="none"/>
                <w:lang w:val="zh-CN"/>
              </w:rPr>
              <w:t>采购人</w:t>
            </w:r>
            <w:r>
              <w:rPr>
                <w:rFonts w:hint="eastAsia" w:ascii="宋体" w:hAnsi="宋体" w:eastAsia="宋体" w:cs="宋体"/>
                <w:color w:val="auto"/>
                <w:sz w:val="24"/>
                <w:szCs w:val="24"/>
                <w:highlight w:val="none"/>
                <w:lang w:val="zh-CN"/>
              </w:rPr>
              <w:t>造成的损失</w:t>
            </w:r>
            <w:r>
              <w:rPr>
                <w:rFonts w:hint="eastAsia" w:ascii="宋体" w:hAnsi="宋体" w:eastAsia="宋体" w:cs="宋体"/>
                <w:b w:val="0"/>
                <w:bCs w:val="0"/>
                <w:color w:val="auto"/>
                <w:kern w:val="2"/>
                <w:sz w:val="24"/>
                <w:szCs w:val="24"/>
                <w:highlight w:val="none"/>
                <w:lang w:val="en-US" w:eastAsia="zh-CN" w:bidi="ar-SA"/>
              </w:rPr>
              <w:t>，提供承诺书得</w:t>
            </w:r>
            <w:r>
              <w:rPr>
                <w:rFonts w:hint="eastAsia" w:ascii="宋体" w:hAnsi="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en-US" w:eastAsia="zh-CN" w:bidi="ar-SA"/>
              </w:rPr>
              <w:t>分</w:t>
            </w:r>
            <w:r>
              <w:rPr>
                <w:rFonts w:hint="eastAsia" w:ascii="宋体" w:hAnsi="宋体" w:cs="宋体"/>
                <w:b w:val="0"/>
                <w:bCs w:val="0"/>
                <w:color w:val="auto"/>
                <w:kern w:val="2"/>
                <w:sz w:val="24"/>
                <w:szCs w:val="24"/>
                <w:highlight w:val="none"/>
                <w:lang w:val="en-US" w:eastAsia="zh-CN" w:bidi="ar-SA"/>
              </w:rPr>
              <w:t>。</w:t>
            </w:r>
            <w:r>
              <w:rPr>
                <w:rFonts w:hint="eastAsia" w:ascii="宋体" w:hAnsi="宋体" w:eastAsia="宋体" w:cs="宋体"/>
                <w:color w:val="auto"/>
                <w:sz w:val="24"/>
                <w:szCs w:val="24"/>
                <w:highlight w:val="none"/>
                <w:lang w:val="zh-CN"/>
              </w:rPr>
              <w:t>（承诺书加盖公章扫描上传至投标系统，未提供或者提供内容有误或者内容不全的不得分）</w:t>
            </w:r>
          </w:p>
        </w:tc>
        <w:tc>
          <w:tcPr>
            <w:tcW w:w="3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880631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r>
      <w:tr w14:paraId="5CF9C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95" w:type="pct"/>
            <w:gridSpan w:val="2"/>
            <w:tcBorders>
              <w:left w:val="single" w:color="auto" w:sz="4" w:space="0"/>
              <w:bottom w:val="single" w:color="auto" w:sz="4" w:space="0"/>
              <w:right w:val="single" w:color="auto" w:sz="4" w:space="0"/>
            </w:tcBorders>
            <w:noWrap w:val="0"/>
            <w:vAlign w:val="center"/>
          </w:tcPr>
          <w:p w14:paraId="1D364FA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合计</w:t>
            </w:r>
          </w:p>
        </w:tc>
        <w:tc>
          <w:tcPr>
            <w:tcW w:w="3904" w:type="pct"/>
            <w:gridSpan w:val="2"/>
            <w:tcBorders>
              <w:top w:val="single" w:color="auto" w:sz="4" w:space="0"/>
              <w:left w:val="single" w:color="auto" w:sz="4" w:space="0"/>
              <w:bottom w:val="single" w:color="auto" w:sz="4" w:space="0"/>
              <w:right w:val="single" w:color="auto" w:sz="4" w:space="0"/>
            </w:tcBorders>
            <w:noWrap w:val="0"/>
            <w:vAlign w:val="center"/>
          </w:tcPr>
          <w:p w14:paraId="44400E0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bl>
    <w:p w14:paraId="06631A4A">
      <w:pPr>
        <w:rPr>
          <w:rFonts w:hint="eastAsia" w:ascii="宋体" w:hAnsi="宋体" w:cs="宋体"/>
          <w:color w:val="auto"/>
          <w:sz w:val="24"/>
          <w:szCs w:val="24"/>
          <w:highlight w:val="none"/>
        </w:rPr>
      </w:pPr>
    </w:p>
    <w:p w14:paraId="729F05CD">
      <w:pPr>
        <w:rPr>
          <w:rFonts w:hint="eastAsia" w:ascii="宋体" w:hAnsi="宋体" w:cs="宋体"/>
          <w:color w:val="auto"/>
          <w:sz w:val="24"/>
          <w:szCs w:val="24"/>
          <w:highlight w:val="none"/>
        </w:rPr>
      </w:pPr>
    </w:p>
    <w:p w14:paraId="0FB2F06D">
      <w:pPr>
        <w:rPr>
          <w:rFonts w:hint="eastAsia" w:ascii="宋体" w:hAnsi="宋体" w:cs="宋体"/>
          <w:color w:val="auto"/>
          <w:sz w:val="24"/>
          <w:szCs w:val="24"/>
          <w:highlight w:val="none"/>
        </w:rPr>
      </w:pPr>
      <w:r>
        <w:rPr>
          <w:rFonts w:hint="eastAsia" w:ascii="宋体" w:hAnsi="宋体" w:cs="宋体"/>
          <w:color w:val="auto"/>
          <w:sz w:val="24"/>
          <w:szCs w:val="24"/>
          <w:highlight w:val="none"/>
        </w:rPr>
        <w:t>说明：</w:t>
      </w:r>
    </w:p>
    <w:p w14:paraId="711A323C">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（1）小微企业的价格扣除</w:t>
      </w:r>
    </w:p>
    <w:p w14:paraId="773AC201">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p>
    <w:p w14:paraId="343ABA78">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（1.2）价格扣除比例或者价格分加分比例对小型企业和微型企业同等对待，不作区分。</w:t>
      </w:r>
    </w:p>
    <w:p w14:paraId="140B0CDC">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（2）监狱和戒毒企业的价格扣除</w:t>
      </w:r>
    </w:p>
    <w:p w14:paraId="31BAF0D2">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（2.1）本项目对监狱和戒毒企业（简称监狱企业），给予10%的价格扣除，用扣除后的价格参与评审。</w:t>
      </w:r>
    </w:p>
    <w:p w14:paraId="27826B75">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（2.2）监狱企业需提供由省级以上监狱管理局、戒毒管理局（含新疆生产建设兵团）出具的属于监狱企业的证明文件。</w:t>
      </w:r>
    </w:p>
    <w:p w14:paraId="06C9801B">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（2.3）监狱企业标准请参照《关于政府采购支持监狱企业发展有关问题的通知》（财库[2014]68号）。</w:t>
      </w:r>
    </w:p>
    <w:p w14:paraId="339E9B46">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（3）残疾人福利性单位的价格扣除</w:t>
      </w:r>
    </w:p>
    <w:p w14:paraId="2FD70126">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（3.1）本项目对残疾人福利性单位，给予10%的价格扣除，用扣除后的价格参与评审。</w:t>
      </w:r>
    </w:p>
    <w:p w14:paraId="0CDFEFDB">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（3.2）残疾人福利单位需按照招标文件的要求提供《残疾人福利性单位声明函》。</w:t>
      </w:r>
    </w:p>
    <w:p w14:paraId="66EF5638">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（3.3）残疾人福利单位标准请参照《关于促进残疾人就业政府采购政策的通知》（财库〔2017〕141号）。</w:t>
      </w:r>
    </w:p>
    <w:p w14:paraId="56DBCEC1">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（4）监狱企业、残疾人福利单位属于小型、微型企业的，不重复享受政策。</w:t>
      </w:r>
    </w:p>
    <w:p w14:paraId="14F5DEF3">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（5）专门面向中小企业采购的项目，不再执行价格评审优惠的扶持政策。</w:t>
      </w:r>
    </w:p>
    <w:p w14:paraId="0BC6A9C8">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（6）对国家认定的节能产品和环保产品分别给予投标价的5%价格扣除，用扣除后的价格参与评审（特别说明：节能、环保产品必须纳入“中国政府采购网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75"/>
          <w:rFonts w:hint="eastAsia" w:ascii="宋体" w:hAnsi="宋体" w:cs="宋体"/>
          <w:color w:val="auto"/>
          <w:sz w:val="24"/>
          <w:szCs w:val="24"/>
          <w:highlight w:val="none"/>
        </w:rPr>
        <w:t>http://www.ccgp.gov.cn”等官方网站“节能、环保产品查询系统”</w:t>
      </w:r>
      <w:r>
        <w:rPr>
          <w:rStyle w:val="75"/>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，且以提供的证书复印件为准）。”</w:t>
      </w:r>
    </w:p>
    <w:p w14:paraId="22951702">
      <w:pPr>
        <w:ind w:left="420"/>
        <w:rPr>
          <w:rFonts w:hint="eastAsia" w:ascii="宋体" w:hAnsi="宋体" w:cs="宋体"/>
          <w:b/>
          <w:bCs/>
          <w:color w:val="auto"/>
          <w:sz w:val="24"/>
          <w:szCs w:val="24"/>
          <w:highlight w:val="none"/>
        </w:rPr>
      </w:pPr>
      <w:r>
        <w:rPr>
          <w:rFonts w:hint="eastAsia" w:ascii="宋体" w:hAnsi="宋体" w:cs="宋体"/>
          <w:color w:val="auto"/>
          <w:sz w:val="24"/>
          <w:szCs w:val="24"/>
          <w:highlight w:val="none"/>
        </w:rPr>
        <w:t>（7）所有认证、证明和业绩均以复印件加盖公章作为依据（文件中明确要求原件的除外），</w:t>
      </w:r>
      <w:r>
        <w:rPr>
          <w:rFonts w:hint="eastAsia" w:ascii="宋体" w:hAnsi="宋体" w:cs="宋体"/>
          <w:b/>
          <w:bCs/>
          <w:color w:val="auto"/>
          <w:sz w:val="24"/>
          <w:szCs w:val="24"/>
          <w:highlight w:val="none"/>
        </w:rPr>
        <w:t>原件标后备查。</w:t>
      </w:r>
    </w:p>
    <w:p w14:paraId="20903D54">
      <w:pPr>
        <w:rPr>
          <w:rFonts w:hint="eastAsia" w:ascii="宋体" w:hAnsi="宋体" w:cs="宋体"/>
          <w:color w:val="auto"/>
          <w:sz w:val="24"/>
          <w:szCs w:val="24"/>
          <w:highlight w:val="none"/>
        </w:rPr>
      </w:pPr>
    </w:p>
    <w:p w14:paraId="795E356D">
      <w:pPr>
        <w:ind w:firstLine="420"/>
        <w:rPr>
          <w:rFonts w:hint="eastAsia" w:ascii="宋体" w:hAnsi="宋体" w:cs="宋体"/>
          <w:color w:val="auto"/>
          <w:sz w:val="24"/>
          <w:szCs w:val="24"/>
          <w:highlight w:val="none"/>
        </w:rPr>
      </w:pPr>
      <w:r>
        <w:rPr>
          <w:rFonts w:hint="eastAsia" w:ascii="宋体" w:hAnsi="宋体" w:cs="宋体"/>
          <w:b/>
          <w:bCs/>
          <w:color w:val="auto"/>
          <w:sz w:val="24"/>
          <w:szCs w:val="24"/>
          <w:highlight w:val="none"/>
        </w:rPr>
        <w:t>3、评标结果</w:t>
      </w:r>
      <w:r>
        <w:rPr>
          <w:rFonts w:hint="eastAsia" w:ascii="宋体" w:hAnsi="宋体" w:cs="宋体"/>
          <w:color w:val="auto"/>
          <w:sz w:val="24"/>
          <w:szCs w:val="24"/>
          <w:highlight w:val="none"/>
        </w:rPr>
        <w:t>。评标委员会按照本办法规定推荐中标候选人，并形成评标报告。</w:t>
      </w:r>
    </w:p>
    <w:p w14:paraId="3CADF6E2">
      <w:pPr>
        <w:rPr>
          <w:rFonts w:hint="eastAsia"/>
          <w:b/>
          <w:color w:val="auto"/>
          <w:sz w:val="44"/>
          <w:szCs w:val="44"/>
          <w:highlight w:val="none"/>
        </w:rPr>
      </w:pPr>
    </w:p>
    <w:p w14:paraId="025434EB">
      <w:pPr>
        <w:jc w:val="center"/>
        <w:outlineLvl w:val="0"/>
        <w:rPr>
          <w:rFonts w:hint="eastAsia" w:ascii="宋体" w:hAnsi="宋体" w:cs="宋体"/>
          <w:color w:val="auto"/>
          <w:kern w:val="0"/>
          <w:sz w:val="24"/>
          <w:szCs w:val="24"/>
          <w:highlight w:val="none"/>
        </w:rPr>
      </w:pPr>
      <w:r>
        <w:rPr>
          <w:rFonts w:hint="eastAsia"/>
          <w:b/>
          <w:color w:val="auto"/>
          <w:sz w:val="44"/>
          <w:szCs w:val="44"/>
          <w:highlight w:val="none"/>
        </w:rPr>
        <w:br w:type="page"/>
      </w:r>
      <w:r>
        <w:rPr>
          <w:rFonts w:hint="eastAsia"/>
          <w:b/>
          <w:color w:val="auto"/>
          <w:sz w:val="44"/>
          <w:szCs w:val="44"/>
          <w:highlight w:val="none"/>
        </w:rPr>
        <w:t xml:space="preserve"> </w:t>
      </w:r>
      <w:bookmarkStart w:id="67" w:name="_Toc9411"/>
      <w:r>
        <w:rPr>
          <w:rFonts w:hint="eastAsia"/>
          <w:b/>
          <w:color w:val="auto"/>
          <w:sz w:val="44"/>
          <w:szCs w:val="44"/>
          <w:highlight w:val="none"/>
        </w:rPr>
        <w:t>第四部分 采购需求</w:t>
      </w:r>
      <w:bookmarkEnd w:id="66"/>
      <w:bookmarkEnd w:id="67"/>
      <w:bookmarkStart w:id="68" w:name="_Toc514054482"/>
    </w:p>
    <w:p w14:paraId="2886BA8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一、项目名称：</w:t>
      </w:r>
      <w:r>
        <w:rPr>
          <w:rFonts w:hint="eastAsia" w:ascii="宋体" w:hAnsi="宋体" w:eastAsia="宋体" w:cs="宋体"/>
          <w:sz w:val="24"/>
          <w:szCs w:val="24"/>
          <w:highlight w:val="none"/>
          <w:lang w:val="en-US" w:eastAsia="zh-CN"/>
        </w:rPr>
        <w:t>研创园综合安保管理辅助服务项目</w:t>
      </w:r>
    </w:p>
    <w:p w14:paraId="2B55E0A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二、项目概况：</w:t>
      </w:r>
      <w:r>
        <w:rPr>
          <w:rFonts w:hint="eastAsia" w:ascii="宋体" w:hAnsi="宋体" w:eastAsia="宋体" w:cs="宋体"/>
          <w:sz w:val="24"/>
          <w:szCs w:val="24"/>
          <w:lang w:eastAsia="zh-CN"/>
        </w:rPr>
        <w:t>研创园综合安保管理辅助服务</w:t>
      </w:r>
      <w:r>
        <w:rPr>
          <w:rFonts w:hint="eastAsia" w:ascii="宋体" w:hAnsi="宋体" w:eastAsia="宋体" w:cs="宋体"/>
          <w:sz w:val="24"/>
          <w:szCs w:val="24"/>
          <w:lang w:val="en-US" w:eastAsia="zh-CN"/>
        </w:rPr>
        <w:t>项目</w:t>
      </w:r>
      <w:r>
        <w:rPr>
          <w:rFonts w:hint="eastAsia" w:ascii="宋体" w:hAnsi="宋体" w:eastAsia="宋体" w:cs="宋体"/>
          <w:sz w:val="24"/>
          <w:szCs w:val="24"/>
          <w:lang w:eastAsia="zh-CN"/>
        </w:rPr>
        <w:t>工作</w:t>
      </w:r>
      <w:r>
        <w:rPr>
          <w:rFonts w:hint="eastAsia" w:ascii="宋体" w:hAnsi="宋体" w:eastAsia="宋体" w:cs="宋体"/>
          <w:sz w:val="24"/>
          <w:szCs w:val="24"/>
        </w:rPr>
        <w:t>内容主要为协助南京江北新区产业技术研创园管理办公室开展城市市容管理、治安巡防和综合治理等工作。</w:t>
      </w:r>
    </w:p>
    <w:p w14:paraId="6EEF447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三、项目主要工作内容：主要协助南京市江北新区研创园的城市市容管理、治安巡防和综合治理等工作。</w:t>
      </w:r>
    </w:p>
    <w:p w14:paraId="7D26F92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四、人员配置、成果资料要求：本项目拟根据实际管理需要，委托中标单位组织50名辅助人员开展综合治安管理服务。</w:t>
      </w:r>
    </w:p>
    <w:p w14:paraId="4E6C766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五、服务期限：</w:t>
      </w:r>
      <w:r>
        <w:rPr>
          <w:rFonts w:hint="eastAsia" w:ascii="宋体" w:hAnsi="宋体" w:eastAsia="宋体" w:cs="宋体"/>
          <w:color w:val="auto"/>
          <w:sz w:val="24"/>
          <w:szCs w:val="24"/>
          <w:highlight w:val="none"/>
        </w:rPr>
        <w:t>合同有效期</w:t>
      </w:r>
      <w:r>
        <w:rPr>
          <w:rFonts w:hint="eastAsia" w:ascii="宋体" w:hAnsi="宋体" w:eastAsia="宋体" w:cs="宋体"/>
          <w:color w:val="auto"/>
          <w:sz w:val="24"/>
          <w:szCs w:val="24"/>
          <w:highlight w:val="none"/>
          <w:lang w:val="en-US" w:eastAsia="zh-CN"/>
        </w:rPr>
        <w:t>自2026年6月1日起至2028年12月31日</w:t>
      </w:r>
      <w:r>
        <w:rPr>
          <w:rFonts w:hint="eastAsia" w:ascii="宋体" w:hAnsi="宋体" w:eastAsia="宋体" w:cs="宋体"/>
          <w:sz w:val="24"/>
          <w:szCs w:val="24"/>
          <w:highlight w:val="none"/>
          <w:lang w:val="en-US" w:eastAsia="zh-CN"/>
        </w:rPr>
        <w:t>（31个月）</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合同期限内，</w:t>
      </w:r>
      <w:r>
        <w:rPr>
          <w:rFonts w:hint="eastAsia" w:ascii="宋体" w:hAnsi="宋体" w:eastAsia="宋体" w:cs="宋体"/>
          <w:color w:val="auto"/>
          <w:sz w:val="24"/>
          <w:szCs w:val="24"/>
          <w:highlight w:val="none"/>
          <w:lang w:val="en-US" w:eastAsia="zh-CN"/>
        </w:rPr>
        <w:t>如遇特殊情况，</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提前一个月书面通知乙方后，</w:t>
      </w:r>
      <w:r>
        <w:rPr>
          <w:rFonts w:hint="eastAsia" w:ascii="宋体" w:hAnsi="宋体" w:eastAsia="宋体" w:cs="宋体"/>
          <w:color w:val="auto"/>
          <w:sz w:val="24"/>
          <w:szCs w:val="24"/>
          <w:highlight w:val="none"/>
        </w:rPr>
        <w:t>有权解除合同，费用据实结算，甲方不承担其他责任。</w:t>
      </w:r>
    </w:p>
    <w:p w14:paraId="334E3C0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六、控制价及控制价明细：</w:t>
      </w:r>
      <w:r>
        <w:rPr>
          <w:rFonts w:hint="eastAsia" w:ascii="宋体" w:hAnsi="宋体" w:cs="宋体"/>
          <w:sz w:val="24"/>
          <w:szCs w:val="24"/>
          <w:lang w:val="en-US" w:eastAsia="zh-CN"/>
        </w:rPr>
        <w:t>1472.5</w:t>
      </w:r>
      <w:r>
        <w:rPr>
          <w:rFonts w:hint="eastAsia" w:ascii="宋体" w:hAnsi="宋体" w:eastAsia="宋体" w:cs="宋体"/>
          <w:sz w:val="24"/>
          <w:szCs w:val="24"/>
        </w:rPr>
        <w:t>万元。</w:t>
      </w:r>
    </w:p>
    <w:tbl>
      <w:tblPr>
        <w:tblStyle w:val="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905"/>
        <w:gridCol w:w="2080"/>
        <w:gridCol w:w="1121"/>
        <w:gridCol w:w="1531"/>
        <w:gridCol w:w="3409"/>
      </w:tblGrid>
      <w:tr w14:paraId="3CD53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15" w:type="dxa"/>
            <w:noWrap w:val="0"/>
            <w:vAlign w:val="center"/>
          </w:tcPr>
          <w:p w14:paraId="3B0374A4">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b/>
                <w:bCs/>
                <w:sz w:val="24"/>
                <w:szCs w:val="24"/>
                <w:vertAlign w:val="baseline"/>
              </w:rPr>
            </w:pPr>
            <w:r>
              <w:rPr>
                <w:rFonts w:hint="eastAsia" w:ascii="宋体" w:hAnsi="宋体" w:eastAsia="宋体" w:cs="宋体"/>
                <w:b/>
                <w:bCs/>
                <w:sz w:val="24"/>
                <w:szCs w:val="24"/>
              </w:rPr>
              <w:t>项目</w:t>
            </w:r>
          </w:p>
        </w:tc>
        <w:tc>
          <w:tcPr>
            <w:tcW w:w="913" w:type="dxa"/>
            <w:noWrap w:val="0"/>
            <w:vAlign w:val="center"/>
          </w:tcPr>
          <w:p w14:paraId="1FC71491">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b/>
                <w:bCs/>
                <w:sz w:val="24"/>
                <w:szCs w:val="24"/>
                <w:vertAlign w:val="baseline"/>
              </w:rPr>
            </w:pPr>
            <w:r>
              <w:rPr>
                <w:rFonts w:hint="eastAsia" w:ascii="宋体" w:hAnsi="宋体" w:eastAsia="宋体" w:cs="宋体"/>
                <w:b/>
                <w:bCs/>
                <w:sz w:val="24"/>
                <w:szCs w:val="24"/>
              </w:rPr>
              <w:t>数量</w:t>
            </w:r>
          </w:p>
        </w:tc>
        <w:tc>
          <w:tcPr>
            <w:tcW w:w="2100" w:type="dxa"/>
            <w:noWrap w:val="0"/>
            <w:vAlign w:val="center"/>
          </w:tcPr>
          <w:p w14:paraId="77B2FA99">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b/>
                <w:bCs/>
                <w:sz w:val="24"/>
                <w:szCs w:val="24"/>
                <w:vertAlign w:val="baseline"/>
              </w:rPr>
            </w:pPr>
            <w:r>
              <w:rPr>
                <w:rFonts w:hint="eastAsia" w:ascii="宋体" w:hAnsi="宋体" w:eastAsia="宋体" w:cs="宋体"/>
                <w:b/>
                <w:bCs/>
                <w:sz w:val="24"/>
                <w:szCs w:val="24"/>
              </w:rPr>
              <w:t>价格</w:t>
            </w:r>
          </w:p>
        </w:tc>
        <w:tc>
          <w:tcPr>
            <w:tcW w:w="1132" w:type="dxa"/>
            <w:noWrap w:val="0"/>
            <w:vAlign w:val="center"/>
          </w:tcPr>
          <w:p w14:paraId="7A23386F">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b/>
                <w:bCs/>
                <w:sz w:val="24"/>
                <w:szCs w:val="24"/>
                <w:vertAlign w:val="baseline"/>
              </w:rPr>
            </w:pPr>
            <w:r>
              <w:rPr>
                <w:rFonts w:hint="eastAsia" w:ascii="宋体" w:hAnsi="宋体" w:eastAsia="宋体" w:cs="宋体"/>
                <w:b/>
                <w:bCs/>
                <w:sz w:val="24"/>
                <w:szCs w:val="24"/>
              </w:rPr>
              <w:t>服务期</w:t>
            </w:r>
          </w:p>
        </w:tc>
        <w:tc>
          <w:tcPr>
            <w:tcW w:w="1541" w:type="dxa"/>
            <w:noWrap w:val="0"/>
            <w:vAlign w:val="center"/>
          </w:tcPr>
          <w:p w14:paraId="6B710D02">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b/>
                <w:bCs/>
                <w:sz w:val="24"/>
                <w:szCs w:val="24"/>
                <w:vertAlign w:val="baseline"/>
              </w:rPr>
            </w:pPr>
            <w:r>
              <w:rPr>
                <w:rFonts w:hint="eastAsia" w:ascii="宋体" w:hAnsi="宋体" w:eastAsia="宋体" w:cs="宋体"/>
                <w:b/>
                <w:bCs/>
                <w:sz w:val="24"/>
                <w:szCs w:val="24"/>
              </w:rPr>
              <w:t>总计</w:t>
            </w:r>
          </w:p>
        </w:tc>
        <w:tc>
          <w:tcPr>
            <w:tcW w:w="3456" w:type="dxa"/>
            <w:noWrap w:val="0"/>
            <w:vAlign w:val="center"/>
          </w:tcPr>
          <w:p w14:paraId="5C80E9D3">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备注</w:t>
            </w:r>
          </w:p>
        </w:tc>
      </w:tr>
      <w:tr w14:paraId="512A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0" w:hRule="atLeast"/>
        </w:trPr>
        <w:tc>
          <w:tcPr>
            <w:tcW w:w="815" w:type="dxa"/>
            <w:noWrap w:val="0"/>
            <w:vAlign w:val="center"/>
          </w:tcPr>
          <w:p w14:paraId="06C3DAF6">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人员</w:t>
            </w:r>
            <w:r>
              <w:rPr>
                <w:rFonts w:hint="eastAsia" w:ascii="宋体" w:hAnsi="宋体" w:eastAsia="宋体" w:cs="宋体"/>
                <w:sz w:val="24"/>
                <w:szCs w:val="24"/>
                <w:lang w:val="en-US" w:eastAsia="zh-CN"/>
              </w:rPr>
              <w:t>基本费用</w:t>
            </w:r>
          </w:p>
        </w:tc>
        <w:tc>
          <w:tcPr>
            <w:tcW w:w="913" w:type="dxa"/>
            <w:noWrap w:val="0"/>
            <w:vAlign w:val="center"/>
          </w:tcPr>
          <w:p w14:paraId="7119CD8C">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50人</w:t>
            </w:r>
          </w:p>
        </w:tc>
        <w:tc>
          <w:tcPr>
            <w:tcW w:w="2100" w:type="dxa"/>
            <w:noWrap w:val="0"/>
            <w:vAlign w:val="center"/>
          </w:tcPr>
          <w:p w14:paraId="2F0298BE">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每人</w:t>
            </w:r>
            <w:r>
              <w:rPr>
                <w:rFonts w:hint="eastAsia" w:ascii="宋体" w:hAnsi="宋体" w:cs="宋体"/>
                <w:sz w:val="24"/>
                <w:szCs w:val="24"/>
                <w:lang w:val="en-US" w:eastAsia="zh-CN"/>
              </w:rPr>
              <w:t>11.4</w:t>
            </w:r>
            <w:r>
              <w:rPr>
                <w:rFonts w:hint="eastAsia" w:ascii="宋体" w:hAnsi="宋体" w:eastAsia="宋体" w:cs="宋体"/>
                <w:sz w:val="24"/>
                <w:szCs w:val="24"/>
              </w:rPr>
              <w:t>万元/年</w:t>
            </w:r>
          </w:p>
          <w:p w14:paraId="181EF6FE">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w:t>
            </w:r>
            <w:r>
              <w:rPr>
                <w:rFonts w:hint="eastAsia" w:ascii="宋体" w:hAnsi="宋体" w:cs="宋体"/>
                <w:sz w:val="24"/>
                <w:szCs w:val="24"/>
                <w:lang w:val="en-US" w:eastAsia="zh-CN"/>
              </w:rPr>
              <w:t>0.95万</w:t>
            </w:r>
            <w:r>
              <w:rPr>
                <w:rFonts w:hint="eastAsia" w:ascii="宋体" w:hAnsi="宋体" w:eastAsia="宋体" w:cs="宋体"/>
                <w:sz w:val="24"/>
                <w:szCs w:val="24"/>
              </w:rPr>
              <w:t>元/月）</w:t>
            </w:r>
          </w:p>
        </w:tc>
        <w:tc>
          <w:tcPr>
            <w:tcW w:w="1132" w:type="dxa"/>
            <w:noWrap w:val="0"/>
            <w:vAlign w:val="center"/>
          </w:tcPr>
          <w:p w14:paraId="2DEDED32">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31个月</w:t>
            </w:r>
          </w:p>
        </w:tc>
        <w:tc>
          <w:tcPr>
            <w:tcW w:w="1541" w:type="dxa"/>
            <w:noWrap w:val="0"/>
            <w:vAlign w:val="center"/>
          </w:tcPr>
          <w:p w14:paraId="50A6BA74">
            <w:pPr>
              <w:pStyle w:val="2"/>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宋体"/>
                <w:sz w:val="24"/>
                <w:szCs w:val="24"/>
                <w:vertAlign w:val="baseline"/>
              </w:rPr>
            </w:pPr>
            <w:r>
              <w:rPr>
                <w:rFonts w:hint="eastAsia" w:ascii="宋体" w:hAnsi="宋体" w:cs="宋体"/>
                <w:sz w:val="24"/>
                <w:szCs w:val="24"/>
                <w:lang w:val="en-US" w:eastAsia="zh-CN"/>
              </w:rPr>
              <w:t>1472.5</w:t>
            </w:r>
            <w:r>
              <w:rPr>
                <w:rFonts w:hint="eastAsia" w:ascii="宋体" w:hAnsi="宋体" w:eastAsia="宋体" w:cs="宋体"/>
                <w:sz w:val="24"/>
                <w:szCs w:val="24"/>
              </w:rPr>
              <w:t>万元</w:t>
            </w:r>
          </w:p>
        </w:tc>
        <w:tc>
          <w:tcPr>
            <w:tcW w:w="3456" w:type="dxa"/>
            <w:noWrap w:val="0"/>
            <w:vAlign w:val="center"/>
          </w:tcPr>
          <w:p w14:paraId="05EAF02D">
            <w:pPr>
              <w:keepNext w:val="0"/>
              <w:keepLines w:val="0"/>
              <w:pageBreakBefore w:val="0"/>
              <w:widowControl w:val="0"/>
              <w:kinsoku/>
              <w:wordWrap/>
              <w:overflowPunct/>
              <w:topLinePunct w:val="0"/>
              <w:autoSpaceDE/>
              <w:autoSpaceDN/>
              <w:bidi w:val="0"/>
              <w:adjustRightInd/>
              <w:snapToGrid/>
              <w:spacing w:line="280" w:lineRule="exact"/>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1、费用已包含基本工资、</w:t>
            </w:r>
            <w:r>
              <w:rPr>
                <w:rFonts w:hint="eastAsia" w:ascii="宋体" w:hAnsi="宋体" w:eastAsia="宋体" w:cs="宋体"/>
                <w:sz w:val="24"/>
                <w:szCs w:val="24"/>
                <w:lang w:val="en-US" w:eastAsia="zh-CN"/>
              </w:rPr>
              <w:t>加班费、</w:t>
            </w:r>
            <w:r>
              <w:rPr>
                <w:rFonts w:hint="eastAsia" w:ascii="宋体" w:hAnsi="宋体" w:eastAsia="宋体" w:cs="宋体"/>
                <w:sz w:val="24"/>
                <w:szCs w:val="24"/>
              </w:rPr>
              <w:t>伙食费、社保、公积金、高温费、商业保险、各项基金、教育经费、服装费、管理费、税费等。</w:t>
            </w:r>
          </w:p>
          <w:p w14:paraId="039DB493">
            <w:pPr>
              <w:keepNext w:val="0"/>
              <w:keepLines w:val="0"/>
              <w:pageBreakBefore w:val="0"/>
              <w:widowControl w:val="0"/>
              <w:kinsoku/>
              <w:wordWrap/>
              <w:overflowPunct/>
              <w:topLinePunct w:val="0"/>
              <w:autoSpaceDE/>
              <w:autoSpaceDN/>
              <w:bidi w:val="0"/>
              <w:adjustRightInd/>
              <w:snapToGrid/>
              <w:spacing w:line="280" w:lineRule="exact"/>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2、中标单位应自行考虑协议期内政府上调工资、社保和公积金基数，协议期内相关费用不予调整。</w:t>
            </w:r>
          </w:p>
          <w:p w14:paraId="16643ADE">
            <w:pPr>
              <w:keepNext w:val="0"/>
              <w:keepLines w:val="0"/>
              <w:pageBreakBefore w:val="0"/>
              <w:widowControl w:val="0"/>
              <w:kinsoku/>
              <w:wordWrap/>
              <w:overflowPunct/>
              <w:topLinePunct w:val="0"/>
              <w:autoSpaceDE/>
              <w:autoSpaceDN/>
              <w:bidi w:val="0"/>
              <w:adjustRightInd/>
              <w:snapToGrid/>
              <w:spacing w:line="280" w:lineRule="exact"/>
              <w:ind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3、中标单位应充分保障治安巡逻车辆，不低于15辆电动自行车，并负责对人员出行进行交通安全教育与监督。</w:t>
            </w:r>
          </w:p>
          <w:p w14:paraId="2F9F01A3">
            <w:pPr>
              <w:keepNext w:val="0"/>
              <w:keepLines w:val="0"/>
              <w:pageBreakBefore w:val="0"/>
              <w:widowControl w:val="0"/>
              <w:numPr>
                <w:ilvl w:val="0"/>
                <w:numId w:val="0"/>
              </w:numPr>
              <w:kinsoku/>
              <w:wordWrap/>
              <w:overflowPunct/>
              <w:topLinePunct w:val="0"/>
              <w:autoSpaceDE/>
              <w:autoSpaceDN/>
              <w:bidi w:val="0"/>
              <w:adjustRightInd/>
              <w:snapToGrid/>
              <w:spacing w:line="280" w:lineRule="exac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因24小时治安巡逻需要，中标单位需根据要求每月编制加值班表报送采购人审批实施。</w:t>
            </w:r>
          </w:p>
        </w:tc>
      </w:tr>
    </w:tbl>
    <w:p w14:paraId="22A1CBF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七、付款条件：</w:t>
      </w:r>
      <w:r>
        <w:rPr>
          <w:rFonts w:hint="eastAsia" w:ascii="宋体" w:hAnsi="宋体" w:eastAsia="宋体" w:cs="宋体"/>
          <w:sz w:val="24"/>
          <w:szCs w:val="24"/>
          <w:lang w:val="en-US" w:eastAsia="zh-CN"/>
        </w:rPr>
        <w:t>前九个季度，</w:t>
      </w:r>
      <w:r>
        <w:rPr>
          <w:rFonts w:hint="eastAsia" w:ascii="宋体" w:hAnsi="宋体" w:eastAsia="宋体" w:cs="宋体"/>
          <w:sz w:val="24"/>
          <w:szCs w:val="24"/>
        </w:rPr>
        <w:t>每</w:t>
      </w:r>
      <w:r>
        <w:rPr>
          <w:rFonts w:hint="eastAsia" w:ascii="宋体" w:hAnsi="宋体" w:eastAsia="宋体" w:cs="宋体"/>
          <w:sz w:val="24"/>
          <w:szCs w:val="24"/>
          <w:lang w:val="en-US" w:eastAsia="zh-CN"/>
        </w:rPr>
        <w:t>个</w:t>
      </w:r>
      <w:r>
        <w:rPr>
          <w:rFonts w:hint="eastAsia" w:ascii="宋体" w:hAnsi="宋体" w:eastAsia="宋体" w:cs="宋体"/>
          <w:sz w:val="24"/>
          <w:szCs w:val="24"/>
        </w:rPr>
        <w:t>季度</w:t>
      </w:r>
      <w:r>
        <w:rPr>
          <w:rFonts w:hint="eastAsia" w:ascii="宋体" w:hAnsi="宋体" w:eastAsia="宋体" w:cs="宋体"/>
          <w:sz w:val="24"/>
          <w:szCs w:val="24"/>
          <w:lang w:val="en-US" w:eastAsia="zh-CN"/>
        </w:rPr>
        <w:t>的末月</w:t>
      </w:r>
      <w:r>
        <w:rPr>
          <w:rFonts w:hint="eastAsia" w:ascii="宋体" w:hAnsi="宋体" w:eastAsia="宋体" w:cs="宋体"/>
          <w:sz w:val="24"/>
          <w:szCs w:val="24"/>
        </w:rPr>
        <w:t>付款一次，每次按</w:t>
      </w:r>
      <w:r>
        <w:rPr>
          <w:rFonts w:hint="eastAsia" w:ascii="宋体" w:hAnsi="宋体" w:eastAsia="宋体" w:cs="宋体"/>
          <w:sz w:val="24"/>
          <w:szCs w:val="24"/>
          <w:lang w:val="en-US" w:eastAsia="zh-CN"/>
        </w:rPr>
        <w:t>人员中标单价×人员数量</w:t>
      </w:r>
      <w:r>
        <w:rPr>
          <w:rFonts w:hint="eastAsia" w:ascii="宋体" w:hAnsi="宋体" w:eastAsia="宋体" w:cs="宋体"/>
          <w:sz w:val="24"/>
          <w:szCs w:val="24"/>
        </w:rPr>
        <w:t>的</w:t>
      </w:r>
      <w:r>
        <w:rPr>
          <w:rFonts w:hint="eastAsia" w:ascii="宋体" w:hAnsi="宋体" w:eastAsia="宋体" w:cs="宋体"/>
          <w:sz w:val="24"/>
          <w:szCs w:val="24"/>
          <w:lang w:val="en-US" w:eastAsia="zh-CN"/>
        </w:rPr>
        <w:t>9</w:t>
      </w:r>
      <w:r>
        <w:rPr>
          <w:rFonts w:hint="eastAsia" w:ascii="宋体" w:hAnsi="宋体" w:eastAsia="宋体" w:cs="宋体"/>
          <w:sz w:val="24"/>
          <w:szCs w:val="24"/>
        </w:rPr>
        <w:t>0%支付费用；待合同服务期结束后进行费用审计结算，审计结算完成后十五个工作日内付至审计结算价的100%。中标单位须在采购人付款前向采购人开具对应金额增值税专用发票，否则采购人有权相应推迟付款时间且不视作违约。</w:t>
      </w:r>
    </w:p>
    <w:p w14:paraId="67865C4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八、合同模板：详见附件。</w:t>
      </w:r>
    </w:p>
    <w:p w14:paraId="4CC6F3B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九、服务要求：</w:t>
      </w:r>
    </w:p>
    <w:p w14:paraId="720B138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服务内容：为了满足采购人安保工作需要，根据本招标文件的规定要求，中标单位向采购人提供综合治安管理服务，根据采购人的工作需要做好园区防火、防盗、防破坏、防治安灾害等安保巡查、司法安全保障；维护工作区范围内治安秩序、市政设施巡查、道路保洁及养护巡查、大气环境及水环境巡查、闲置地块及道路巡查、集中生活区安保巡查、防台防汛及扫雪防冻组织和巡查工作、夜间值班巡逻、其他园区交办工作；中标单位应按照采购人的管理模式对保安队员进行管理培训，执行安全防范任务，承担相应的保安服务责任。</w:t>
      </w:r>
    </w:p>
    <w:p w14:paraId="5BDCA8B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2、人员要求：50</w:t>
      </w:r>
      <w:r>
        <w:rPr>
          <w:rFonts w:hint="eastAsia" w:ascii="宋体" w:hAnsi="宋体" w:eastAsia="宋体" w:cs="宋体"/>
          <w:sz w:val="24"/>
          <w:szCs w:val="24"/>
          <w:lang w:val="en-US" w:eastAsia="zh-CN"/>
        </w:rPr>
        <w:t>名</w:t>
      </w:r>
      <w:r>
        <w:rPr>
          <w:rFonts w:hint="eastAsia" w:ascii="宋体" w:hAnsi="宋体" w:eastAsia="宋体" w:cs="宋体"/>
          <w:sz w:val="24"/>
          <w:szCs w:val="24"/>
        </w:rPr>
        <w:t>辅助人</w:t>
      </w:r>
      <w:r>
        <w:rPr>
          <w:rFonts w:hint="eastAsia" w:ascii="宋体" w:hAnsi="宋体" w:eastAsia="宋体" w:cs="宋体"/>
          <w:sz w:val="24"/>
          <w:szCs w:val="24"/>
          <w:highlight w:val="none"/>
        </w:rPr>
        <w:t>员</w:t>
      </w:r>
      <w:r>
        <w:rPr>
          <w:rFonts w:hint="eastAsia" w:ascii="宋体" w:hAnsi="宋体" w:eastAsia="宋体" w:cs="宋体"/>
          <w:sz w:val="24"/>
          <w:szCs w:val="24"/>
          <w:highlight w:val="none"/>
          <w:lang w:eastAsia="zh-CN"/>
        </w:rPr>
        <w:t>。</w:t>
      </w:r>
      <w:r>
        <w:rPr>
          <w:rFonts w:hint="eastAsia" w:ascii="宋体" w:hAnsi="宋体" w:eastAsia="宋体" w:cs="宋体"/>
          <w:color w:val="auto"/>
          <w:sz w:val="24"/>
          <w:szCs w:val="24"/>
          <w:highlight w:val="none"/>
        </w:rPr>
        <w:t>政治合格，品德良好，无不良劣迹，无犯罪记录。五官端正，身体健康，责任心强，年龄18-55周岁，初中（含初中）以上毕业。</w:t>
      </w:r>
    </w:p>
    <w:p w14:paraId="5C7BE49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3、辅助人员具备</w:t>
      </w:r>
      <w:r>
        <w:rPr>
          <w:rFonts w:hint="eastAsia" w:ascii="宋体" w:hAnsi="宋体" w:eastAsia="宋体" w:cs="宋体"/>
          <w:i w:val="0"/>
          <w:iCs w:val="0"/>
          <w:caps w:val="0"/>
          <w:color w:val="191919"/>
          <w:spacing w:val="0"/>
          <w:sz w:val="24"/>
          <w:szCs w:val="24"/>
          <w:shd w:val="clear" w:color="auto" w:fill="auto"/>
        </w:rPr>
        <w:t>《中华人民共和国保安员证》</w:t>
      </w:r>
      <w:r>
        <w:rPr>
          <w:rFonts w:hint="eastAsia" w:ascii="宋体" w:hAnsi="宋体" w:eastAsia="宋体" w:cs="宋体"/>
          <w:i w:val="0"/>
          <w:iCs w:val="0"/>
          <w:caps w:val="0"/>
          <w:spacing w:val="0"/>
          <w:sz w:val="24"/>
          <w:szCs w:val="24"/>
          <w:shd w:val="clear" w:color="auto" w:fill="auto"/>
          <w:lang w:val="en-US" w:eastAsia="zh-CN"/>
        </w:rPr>
        <w:t>则优先考虑。</w:t>
      </w:r>
    </w:p>
    <w:p w14:paraId="7350B4E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、岗位要求：</w:t>
      </w:r>
    </w:p>
    <w:p w14:paraId="4C0CE84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（1）着装：工作期间按规范要求着装，不得随意穿着，影响形象，服装要整洁干净。</w:t>
      </w:r>
    </w:p>
    <w:p w14:paraId="688A509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（2）仪容仪表：仪表端正，精神饱满，热情大方，面带微笑。</w:t>
      </w:r>
    </w:p>
    <w:p w14:paraId="62F0C75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（3）服务礼仪：动作规范，语言标准，态度热情、服务主动。</w:t>
      </w:r>
    </w:p>
    <w:p w14:paraId="2CADD26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执勤标准：依据法律法规认真开展安保服务工作，严格履行岗位职责，不准做与保安服务无关的事情；不迟到、不早退、晚间值班人员不准脱岗、睡岗；遵守釆购人各项规章制度，严格执行保密制度。在负责的保安区域内完成各类工作事项。</w:t>
      </w:r>
    </w:p>
    <w:p w14:paraId="01DC10E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（5）中标单位配备的保安员需要服从采购人的命令，听从指挥，文明执勤，采购人有权对中标单位及中标单位</w:t>
      </w:r>
      <w:r>
        <w:rPr>
          <w:rFonts w:hint="eastAsia" w:ascii="宋体" w:hAnsi="宋体" w:eastAsia="宋体" w:cs="宋体"/>
          <w:sz w:val="24"/>
          <w:szCs w:val="24"/>
          <w:lang w:eastAsia="zh-CN"/>
        </w:rPr>
        <w:t>辅助人员</w:t>
      </w:r>
      <w:r>
        <w:rPr>
          <w:rFonts w:hint="eastAsia" w:ascii="宋体" w:hAnsi="宋体" w:eastAsia="宋体" w:cs="宋体"/>
          <w:sz w:val="24"/>
          <w:szCs w:val="24"/>
        </w:rPr>
        <w:t>履行本合同约定的工作进行指导、监督。</w:t>
      </w:r>
    </w:p>
    <w:p w14:paraId="6AB1B26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eastAsia="zh-CN"/>
        </w:rPr>
        <w:t>辅助人员</w:t>
      </w:r>
      <w:r>
        <w:rPr>
          <w:rFonts w:hint="eastAsia" w:ascii="宋体" w:hAnsi="宋体" w:eastAsia="宋体" w:cs="宋体"/>
          <w:sz w:val="24"/>
          <w:szCs w:val="24"/>
        </w:rPr>
        <w:t>上班执勤期间必须严格规范着装，不准吸烟、饮食、聊天、看书报、电话聊天、酒后上岗或做其他与值勤无关的事项。并且要做好来访人员登记、接待工作，做好出入可疑人员及车辆的盘查工作，发现异常情况及时向采购人汇报。采购人有权要求中标单位立即更换不称职</w:t>
      </w:r>
      <w:r>
        <w:rPr>
          <w:rFonts w:hint="eastAsia" w:ascii="宋体" w:hAnsi="宋体" w:eastAsia="宋体" w:cs="宋体"/>
          <w:sz w:val="24"/>
          <w:szCs w:val="24"/>
          <w:lang w:eastAsia="zh-CN"/>
        </w:rPr>
        <w:t>辅助人员</w:t>
      </w:r>
      <w:r>
        <w:rPr>
          <w:rFonts w:hint="eastAsia" w:ascii="宋体" w:hAnsi="宋体" w:eastAsia="宋体" w:cs="宋体"/>
          <w:sz w:val="24"/>
          <w:szCs w:val="24"/>
        </w:rPr>
        <w:t>，中标单位应保证遵照采购人的要求，按约定调整</w:t>
      </w:r>
      <w:r>
        <w:rPr>
          <w:rFonts w:hint="eastAsia" w:ascii="宋体" w:hAnsi="宋体" w:eastAsia="宋体" w:cs="宋体"/>
          <w:sz w:val="24"/>
          <w:szCs w:val="24"/>
          <w:lang w:eastAsia="zh-CN"/>
        </w:rPr>
        <w:t>辅助人员</w:t>
      </w:r>
      <w:r>
        <w:rPr>
          <w:rFonts w:hint="eastAsia" w:ascii="宋体" w:hAnsi="宋体" w:eastAsia="宋体" w:cs="宋体"/>
          <w:sz w:val="24"/>
          <w:szCs w:val="24"/>
        </w:rPr>
        <w:t>。</w:t>
      </w:r>
    </w:p>
    <w:p w14:paraId="56A75B9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（7）中标单位向采购人提供的安保服务主要协助从事园区内城市市容管理、治安巡防和综合治理等工作。中标单位</w:t>
      </w:r>
      <w:r>
        <w:rPr>
          <w:rFonts w:hint="eastAsia" w:ascii="宋体" w:hAnsi="宋体" w:eastAsia="宋体" w:cs="宋体"/>
          <w:sz w:val="24"/>
          <w:szCs w:val="24"/>
          <w:lang w:eastAsia="zh-CN"/>
        </w:rPr>
        <w:t>辅助人员</w:t>
      </w:r>
      <w:r>
        <w:rPr>
          <w:rFonts w:hint="eastAsia" w:ascii="宋体" w:hAnsi="宋体" w:eastAsia="宋体" w:cs="宋体"/>
          <w:sz w:val="24"/>
          <w:szCs w:val="24"/>
        </w:rPr>
        <w:t>在巡逻执勤时，要切实负起安全管理责任，坚持不间断巡视检查，要求每2个小时左右巡逻一次，并做好巡逻记录以备查询。</w:t>
      </w:r>
    </w:p>
    <w:p w14:paraId="063798E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（8）中标单位</w:t>
      </w:r>
      <w:r>
        <w:rPr>
          <w:rFonts w:hint="eastAsia" w:ascii="宋体" w:hAnsi="宋体" w:eastAsia="宋体" w:cs="宋体"/>
          <w:sz w:val="24"/>
          <w:szCs w:val="24"/>
          <w:lang w:eastAsia="zh-CN"/>
        </w:rPr>
        <w:t>辅助人员</w:t>
      </w:r>
      <w:r>
        <w:rPr>
          <w:rFonts w:hint="eastAsia" w:ascii="宋体" w:hAnsi="宋体" w:eastAsia="宋体" w:cs="宋体"/>
          <w:sz w:val="24"/>
          <w:szCs w:val="24"/>
        </w:rPr>
        <w:t>在巡逻执勤时，密切注视安全异常情况；发现异常情况及可疑人员要积极采取及时有效的措施进行妥善处理，并立即向采购人和当地公安机关报告。发现犯罪嫌疑人应立即报警，协助扭送公安机关处理，并配合做好相关调查工作。</w:t>
      </w:r>
    </w:p>
    <w:p w14:paraId="4FC908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（9）中标单位向采购人提供保安服务的其他工作内容、规程及标准以行业制定的《保安服务操作规程》、《保安服务质量标准》及采购人相关的保卫、门卫管理制定的规定为准。</w:t>
      </w:r>
    </w:p>
    <w:p w14:paraId="29C5B3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（10）完成采购人交办的其它安保工作。</w:t>
      </w:r>
    </w:p>
    <w:p w14:paraId="77DB426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十、其他要求：</w:t>
      </w:r>
    </w:p>
    <w:p w14:paraId="3D60FC4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1、中标单位接受采购人的委托，提供综合治安管理服务，主要协助从事园区内城市市容管理、治安巡防和综合治理等工作。对于不符合采购人要求的</w:t>
      </w:r>
      <w:r>
        <w:rPr>
          <w:rFonts w:hint="eastAsia" w:ascii="宋体" w:hAnsi="宋体" w:eastAsia="宋体" w:cs="宋体"/>
          <w:sz w:val="24"/>
          <w:szCs w:val="24"/>
          <w:lang w:val="en-US" w:eastAsia="zh-CN"/>
        </w:rPr>
        <w:t>辅助</w:t>
      </w:r>
      <w:r>
        <w:rPr>
          <w:rFonts w:hint="eastAsia" w:ascii="宋体" w:hAnsi="宋体" w:eastAsia="宋体" w:cs="宋体"/>
          <w:sz w:val="24"/>
          <w:szCs w:val="24"/>
        </w:rPr>
        <w:t>人员，采购人有权要求中标单位及时更换，经采购人要求，中标单位既不给予回复意见也不及时予以更换的，采购人有权单方解除本协议并就因此遭受的损失向中标单位追偿。</w:t>
      </w:r>
    </w:p>
    <w:p w14:paraId="6F66913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中标单位为辅助人员配备制服，并与其签订劳动合同并负责辅助人员的工资、加班费、伙食费、福利、社保和公积金等，中标单位负责劳动争议纠纷处理。中标单位对辅助人员承担法律法规中应由用人单位承担的相关法律责任，辅助人员在工作中发生的工伤事故等由中标单位负责办理相关工伤手续并独立承担相应责任。若因劳动用工纠纷给采购人造成损失的，中标单位须赔偿采购人损失。</w:t>
      </w:r>
    </w:p>
    <w:p w14:paraId="35AE224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辅助人员具体工作岗位、工作时间和工作任务由使用单位具体负责安排并另行与中标单位确认，同时负责辅助人员的在岗培训、日常监督管理和考核、日常办公以及值班住宿等事项。中标单位提供的辅助人员在工作中给采购人或第三方造成损失的，由中标单位承担赔偿责任。</w:t>
      </w:r>
    </w:p>
    <w:p w14:paraId="7A19E3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b/>
          <w:color w:val="auto"/>
          <w:sz w:val="24"/>
          <w:szCs w:val="24"/>
          <w:highlight w:val="none"/>
        </w:rPr>
      </w:pPr>
      <w:r>
        <w:rPr>
          <w:rFonts w:hint="eastAsia" w:ascii="宋体" w:hAnsi="宋体" w:eastAsia="宋体" w:cs="宋体"/>
          <w:sz w:val="24"/>
          <w:szCs w:val="24"/>
          <w:lang w:val="en-US" w:eastAsia="zh-CN"/>
        </w:rPr>
        <w:t>4、</w:t>
      </w:r>
      <w:r>
        <w:rPr>
          <w:rFonts w:hint="eastAsia" w:ascii="宋体" w:hAnsi="宋体" w:eastAsia="宋体" w:cs="宋体"/>
          <w:sz w:val="24"/>
          <w:szCs w:val="24"/>
        </w:rPr>
        <w:t>中标单位应自行考虑协议期内政府上调工资、社保和公积金基数，协议期内相关费用不予调整。</w:t>
      </w:r>
      <w:r>
        <w:rPr>
          <w:rFonts w:hint="eastAsia" w:ascii="宋体" w:hAnsi="宋体" w:eastAsia="宋体" w:cs="宋体"/>
          <w:b/>
          <w:color w:val="auto"/>
          <w:sz w:val="24"/>
          <w:szCs w:val="24"/>
          <w:highlight w:val="none"/>
        </w:rPr>
        <w:br w:type="page"/>
      </w:r>
    </w:p>
    <w:p w14:paraId="051062BD">
      <w:pPr>
        <w:numPr>
          <w:ilvl w:val="0"/>
          <w:numId w:val="8"/>
        </w:numPr>
        <w:spacing w:line="360" w:lineRule="auto"/>
        <w:ind w:firstLine="883" w:firstLineChars="200"/>
        <w:jc w:val="center"/>
        <w:outlineLvl w:val="0"/>
        <w:rPr>
          <w:rFonts w:hint="eastAsia" w:ascii="Calibri"/>
          <w:b/>
          <w:color w:val="auto"/>
          <w:sz w:val="44"/>
          <w:szCs w:val="44"/>
          <w:highlight w:val="none"/>
        </w:rPr>
      </w:pPr>
      <w:r>
        <w:rPr>
          <w:rFonts w:hint="eastAsia" w:ascii="Calibri"/>
          <w:b/>
          <w:color w:val="auto"/>
          <w:sz w:val="44"/>
          <w:szCs w:val="44"/>
          <w:highlight w:val="none"/>
        </w:rPr>
        <w:t xml:space="preserve"> </w:t>
      </w:r>
      <w:bookmarkStart w:id="69" w:name="_Toc349"/>
      <w:r>
        <w:rPr>
          <w:rFonts w:hint="eastAsia" w:ascii="Calibri"/>
          <w:b/>
          <w:color w:val="auto"/>
          <w:sz w:val="44"/>
          <w:szCs w:val="44"/>
          <w:highlight w:val="none"/>
        </w:rPr>
        <w:t>合同格式及条款</w:t>
      </w:r>
      <w:bookmarkEnd w:id="68"/>
      <w:bookmarkEnd w:id="69"/>
    </w:p>
    <w:p w14:paraId="00EFDD6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highlight w:val="none"/>
          <w:lang w:val="en-US" w:eastAsia="zh-CN"/>
        </w:rPr>
      </w:pPr>
    </w:p>
    <w:p w14:paraId="4513F74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研创园综合安保管理辅助服务项目合同</w:t>
      </w:r>
    </w:p>
    <w:p w14:paraId="1AF0B79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32"/>
          <w:szCs w:val="32"/>
          <w:highlight w:val="none"/>
        </w:rPr>
      </w:pPr>
    </w:p>
    <w:p w14:paraId="3CDB9DF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32"/>
          <w:szCs w:val="32"/>
          <w:highlight w:val="none"/>
        </w:rPr>
      </w:pPr>
    </w:p>
    <w:p w14:paraId="194830A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p>
    <w:p w14:paraId="369F8B1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p>
    <w:p w14:paraId="73E520A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p>
    <w:p w14:paraId="6DC1141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p>
    <w:p w14:paraId="15F0EE5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p>
    <w:p w14:paraId="08CBA1C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p>
    <w:p w14:paraId="5E79E74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p>
    <w:p w14:paraId="317F058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p>
    <w:p w14:paraId="1432DCB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p>
    <w:p w14:paraId="3D81544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甲方：南京江北新区产业技术研创园管理办公室</w:t>
      </w:r>
    </w:p>
    <w:p w14:paraId="11395950">
      <w:pPr>
        <w:keepNext w:val="0"/>
        <w:keepLines w:val="0"/>
        <w:pageBreakBefore w:val="0"/>
        <w:widowControl w:val="0"/>
        <w:kinsoku/>
        <w:wordWrap/>
        <w:overflowPunct/>
        <w:topLinePunct w:val="0"/>
        <w:autoSpaceDE/>
        <w:autoSpaceDN/>
        <w:bidi w:val="0"/>
        <w:adjustRightInd/>
        <w:snapToGrid/>
        <w:spacing w:line="560" w:lineRule="exact"/>
        <w:ind w:firstLine="2400" w:firstLineChars="1000"/>
        <w:jc w:val="both"/>
        <w:textAlignment w:val="auto"/>
        <w:rPr>
          <w:rFonts w:hint="eastAsia" w:ascii="宋体" w:hAnsi="宋体" w:eastAsia="宋体" w:cs="宋体"/>
          <w:color w:val="auto"/>
          <w:sz w:val="24"/>
          <w:szCs w:val="24"/>
          <w:highlight w:val="none"/>
        </w:rPr>
        <w:sectPr>
          <w:pgSz w:w="11906" w:h="16838"/>
          <w:pgMar w:top="850" w:right="850" w:bottom="850" w:left="1417" w:header="283" w:footer="992" w:gutter="0"/>
          <w:cols w:space="425" w:num="1"/>
          <w:docGrid w:type="lines" w:linePitch="312" w:charSpace="0"/>
        </w:sectPr>
      </w:pPr>
      <w:r>
        <w:rPr>
          <w:rFonts w:hint="eastAsia" w:ascii="宋体" w:hAnsi="宋体" w:eastAsia="宋体" w:cs="宋体"/>
          <w:color w:val="auto"/>
          <w:sz w:val="24"/>
          <w:szCs w:val="24"/>
          <w:highlight w:val="none"/>
        </w:rPr>
        <w:t>乙方：</w:t>
      </w:r>
    </w:p>
    <w:p w14:paraId="6ED8A94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甲方：南京江北新区产业技术研创园管理办公室</w:t>
      </w:r>
    </w:p>
    <w:p w14:paraId="3B60903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p>
    <w:p w14:paraId="617D92B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p>
    <w:p w14:paraId="4E274B6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根据《中华人民共和国民法典》及有关法律法规，在自愿平等、协商一致的基础上，订立本合同，由双方共同遵守。</w:t>
      </w:r>
    </w:p>
    <w:p w14:paraId="377C3DA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一、服务范围</w:t>
      </w:r>
    </w:p>
    <w:p w14:paraId="21793B8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甲方因城市综合管理需要，委托乙方提供</w:t>
      </w:r>
      <w:r>
        <w:rPr>
          <w:rFonts w:hint="eastAsia" w:ascii="宋体" w:hAnsi="宋体" w:eastAsia="宋体" w:cs="宋体"/>
          <w:sz w:val="24"/>
          <w:szCs w:val="24"/>
          <w:highlight w:val="none"/>
          <w:lang w:val="en-US" w:eastAsia="zh-CN"/>
        </w:rPr>
        <w:t>综合安保管理辅助服务，</w:t>
      </w: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名，在所属辖区</w:t>
      </w:r>
      <w:r>
        <w:rPr>
          <w:rFonts w:hint="eastAsia" w:ascii="宋体" w:hAnsi="宋体" w:eastAsia="宋体" w:cs="宋体"/>
          <w:color w:val="auto"/>
          <w:sz w:val="24"/>
          <w:szCs w:val="24"/>
          <w:highlight w:val="none"/>
          <w:lang w:val="en-US" w:eastAsia="zh-CN"/>
        </w:rPr>
        <w:t>内从事24小时不间断的道路保洁巡查、河道养护巡查、绿化养护巡查、泵站养护巡查、管线及绿化占用巡查、闲置地块巡查、集中生活区看管、违停占道巡查、违建清理、菜地清理、迎查保障、市政道路及相关设施安全巡查、涉水设施巡查、扬尘管控、防台防汛辅助、扫雪防冻辅助、森林火灾防控等工作</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完成甲方交付的其它业务工作。</w:t>
      </w:r>
    </w:p>
    <w:p w14:paraId="5D72B14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合同有效期为固定期限，自2026年6月1日起至2028年12月31日止（共计31个月）。合同期限内，如遇政策调整、机构改革、规划变更、财政预算调整等特殊情况，甲方提前一个月书面通知乙方后，有权解除合同，费用据实结算，甲方不承担其他责任。</w:t>
      </w:r>
    </w:p>
    <w:p w14:paraId="44039B3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三、服务费用及支付方式</w:t>
      </w:r>
    </w:p>
    <w:p w14:paraId="71C0E5C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1、服务费标准：</w:t>
      </w:r>
    </w:p>
    <w:p w14:paraId="0576185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本合同采用固定综合单价计价，人员综合单价为______元/人/月，50名人员月度服务费合计人民币大写______元整（小写：¥______元）；合同总费用合计人民币大写______元整（小写：¥______元）。</w:t>
      </w:r>
    </w:p>
    <w:p w14:paraId="181C4B6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）该费用包含乙方指派的所有</w:t>
      </w:r>
      <w:r>
        <w:rPr>
          <w:rFonts w:hint="eastAsia" w:ascii="宋体" w:hAnsi="宋体" w:eastAsia="宋体" w:cs="宋体"/>
          <w:color w:val="auto"/>
          <w:sz w:val="24"/>
          <w:szCs w:val="24"/>
          <w:highlight w:val="none"/>
          <w:lang w:val="en-US" w:eastAsia="zh-CN"/>
        </w:rPr>
        <w:t>辅助</w:t>
      </w:r>
      <w:r>
        <w:rPr>
          <w:rFonts w:hint="eastAsia" w:ascii="宋体" w:hAnsi="宋体" w:eastAsia="宋体" w:cs="宋体"/>
          <w:color w:val="auto"/>
          <w:sz w:val="24"/>
          <w:szCs w:val="24"/>
          <w:highlight w:val="none"/>
        </w:rPr>
        <w:t>人员的</w:t>
      </w:r>
      <w:r>
        <w:rPr>
          <w:rFonts w:hint="eastAsia" w:ascii="宋体" w:hAnsi="宋体" w:eastAsia="宋体" w:cs="宋体"/>
          <w:kern w:val="2"/>
          <w:sz w:val="24"/>
          <w:szCs w:val="24"/>
          <w:highlight w:val="none"/>
          <w:lang w:val="en-US" w:eastAsia="zh-CN" w:bidi="ar-SA"/>
        </w:rPr>
        <w:t>基本工资、加班费、伙食费、社保、公积金、高温费、商业保险、各项基金、教育经费、服装费、中标单位管理费、税费等，且乙方自行考虑协议期内政府上调最低工资标准、社保和公积金基数，协议期内相关费用不予调整。</w:t>
      </w:r>
    </w:p>
    <w:p w14:paraId="463AB2F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w:t>
      </w:r>
      <w:r>
        <w:rPr>
          <w:rFonts w:hint="eastAsia" w:ascii="宋体" w:hAnsi="宋体" w:eastAsia="宋体" w:cs="宋体"/>
          <w:sz w:val="24"/>
          <w:szCs w:val="24"/>
          <w:lang w:val="en-US" w:eastAsia="zh-CN"/>
        </w:rPr>
        <w:t>前九个季度，</w:t>
      </w:r>
      <w:r>
        <w:rPr>
          <w:rFonts w:hint="eastAsia" w:ascii="宋体" w:hAnsi="宋体" w:eastAsia="宋体" w:cs="宋体"/>
          <w:sz w:val="24"/>
          <w:szCs w:val="24"/>
        </w:rPr>
        <w:t>每</w:t>
      </w:r>
      <w:r>
        <w:rPr>
          <w:rFonts w:hint="eastAsia" w:ascii="宋体" w:hAnsi="宋体" w:eastAsia="宋体" w:cs="宋体"/>
          <w:sz w:val="24"/>
          <w:szCs w:val="24"/>
          <w:lang w:val="en-US" w:eastAsia="zh-CN"/>
        </w:rPr>
        <w:t>个</w:t>
      </w:r>
      <w:r>
        <w:rPr>
          <w:rFonts w:hint="eastAsia" w:ascii="宋体" w:hAnsi="宋体" w:eastAsia="宋体" w:cs="宋体"/>
          <w:sz w:val="24"/>
          <w:szCs w:val="24"/>
        </w:rPr>
        <w:t>季度</w:t>
      </w:r>
      <w:r>
        <w:rPr>
          <w:rFonts w:hint="eastAsia" w:ascii="宋体" w:hAnsi="宋体" w:eastAsia="宋体" w:cs="宋体"/>
          <w:sz w:val="24"/>
          <w:szCs w:val="24"/>
          <w:lang w:val="en-US" w:eastAsia="zh-CN"/>
        </w:rPr>
        <w:t>的末月</w:t>
      </w:r>
      <w:r>
        <w:rPr>
          <w:rFonts w:hint="eastAsia" w:ascii="宋体" w:hAnsi="宋体" w:eastAsia="宋体" w:cs="宋体"/>
          <w:sz w:val="24"/>
          <w:szCs w:val="24"/>
        </w:rPr>
        <w:t>付款一次，每次按</w:t>
      </w:r>
      <w:r>
        <w:rPr>
          <w:rFonts w:hint="eastAsia" w:ascii="宋体" w:hAnsi="宋体" w:eastAsia="宋体" w:cs="宋体"/>
          <w:sz w:val="24"/>
          <w:szCs w:val="24"/>
          <w:lang w:val="en-US" w:eastAsia="zh-CN"/>
        </w:rPr>
        <w:t>人员中标单价×人员数量</w:t>
      </w:r>
      <w:r>
        <w:rPr>
          <w:rFonts w:hint="eastAsia" w:ascii="宋体" w:hAnsi="宋体" w:eastAsia="宋体" w:cs="宋体"/>
          <w:sz w:val="24"/>
          <w:szCs w:val="24"/>
        </w:rPr>
        <w:t>的</w:t>
      </w:r>
      <w:r>
        <w:rPr>
          <w:rFonts w:hint="eastAsia" w:ascii="宋体" w:hAnsi="宋体" w:eastAsia="宋体" w:cs="宋体"/>
          <w:sz w:val="24"/>
          <w:szCs w:val="24"/>
          <w:lang w:val="en-US" w:eastAsia="zh-CN"/>
        </w:rPr>
        <w:t>9</w:t>
      </w:r>
      <w:r>
        <w:rPr>
          <w:rFonts w:hint="eastAsia" w:ascii="宋体" w:hAnsi="宋体" w:eastAsia="宋体" w:cs="宋体"/>
          <w:sz w:val="24"/>
          <w:szCs w:val="24"/>
        </w:rPr>
        <w:t>0%支付费用；待合同服务期结束后进行费用审计结算，审计结算完成后十五个工作日内付至审计结算价的100%。中标单位须在采购人付款前向采购人开具对应金额增值税专用发票，否则采购人有权相应推迟付款时间且不视作违约。</w:t>
      </w:r>
    </w:p>
    <w:p w14:paraId="782AF50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val="en-US" w:eastAsia="zh-CN"/>
        </w:rPr>
        <w:t>辅助</w:t>
      </w:r>
      <w:r>
        <w:rPr>
          <w:rFonts w:hint="eastAsia" w:ascii="宋体" w:hAnsi="宋体" w:eastAsia="宋体" w:cs="宋体"/>
          <w:color w:val="auto"/>
          <w:sz w:val="24"/>
          <w:szCs w:val="24"/>
          <w:highlight w:val="none"/>
        </w:rPr>
        <w:t>人员任职要求</w:t>
      </w:r>
    </w:p>
    <w:p w14:paraId="0B4C8186">
      <w:pPr>
        <w:spacing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乙方指派的50名辅助人员，必须同时满足以下任职要求，乙方应在合同生效之日起3日内完成人员选派、背景审查、岗前培训，并将人员相关资料提交甲方备案，经甲方确认后方可上岗：1. 政治合格，品德良好，无不良劣迹，无违法犯罪记录、无吸毒史、无失信被执行人记录</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五官端正，身体健康，责任心强，年龄18-55周岁，初中（含初中）以上学历，无影响履职的传染性疾病、重大疾病或肢体残疾，能适应24小时轮班、户外巡查、应急值守工作；3. 具备相应的沟通能力、应急处置能力，经乙方岗前法律法规、岗位职责、安全规范、应急处置培训且考核合格后方可上岗；4. 乙方须为所有服务人员依法缴纳城镇职工社会保险</w:t>
      </w:r>
      <w:r>
        <w:rPr>
          <w:rFonts w:hint="eastAsia" w:ascii="宋体" w:hAnsi="宋体" w:eastAsia="宋体" w:cs="宋体"/>
          <w:sz w:val="24"/>
          <w:szCs w:val="24"/>
          <w:lang w:val="en-US" w:eastAsia="zh-CN"/>
        </w:rPr>
        <w:t>.</w:t>
      </w:r>
    </w:p>
    <w:p w14:paraId="0C380A2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五、权利与义务</w:t>
      </w:r>
    </w:p>
    <w:p w14:paraId="1C4D61E8">
      <w:pPr>
        <w:pStyle w:val="2"/>
        <w:spacing w:line="560" w:lineRule="exact"/>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1、乙方负责在合同生效之日起，选派合格</w:t>
      </w:r>
      <w:r>
        <w:rPr>
          <w:rFonts w:hint="eastAsia" w:ascii="宋体" w:hAnsi="宋体" w:eastAsia="宋体" w:cs="宋体"/>
          <w:color w:val="auto"/>
          <w:sz w:val="24"/>
          <w:szCs w:val="24"/>
          <w:highlight w:val="none"/>
          <w:u w:val="none"/>
          <w:lang w:val="en-US" w:eastAsia="zh-CN"/>
        </w:rPr>
        <w:t>安保辅助</w:t>
      </w:r>
      <w:r>
        <w:rPr>
          <w:rFonts w:hint="eastAsia" w:ascii="宋体" w:hAnsi="宋体" w:eastAsia="宋体" w:cs="宋体"/>
          <w:color w:val="auto"/>
          <w:sz w:val="24"/>
          <w:szCs w:val="24"/>
          <w:highlight w:val="none"/>
          <w:u w:val="none"/>
        </w:rPr>
        <w:t>人员</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按照本合同</w:t>
      </w:r>
      <w:r>
        <w:rPr>
          <w:rFonts w:hint="eastAsia" w:ascii="宋体" w:hAnsi="宋体" w:eastAsia="宋体" w:cs="宋体"/>
          <w:color w:val="auto"/>
          <w:sz w:val="24"/>
          <w:szCs w:val="24"/>
          <w:highlight w:val="none"/>
          <w:u w:val="none"/>
          <w:lang w:val="en-US" w:eastAsia="zh-CN"/>
        </w:rPr>
        <w:t>相关</w:t>
      </w:r>
      <w:r>
        <w:rPr>
          <w:rFonts w:hint="eastAsia" w:ascii="宋体" w:hAnsi="宋体" w:eastAsia="宋体" w:cs="宋体"/>
          <w:color w:val="auto"/>
          <w:sz w:val="24"/>
          <w:szCs w:val="24"/>
          <w:highlight w:val="none"/>
          <w:u w:val="none"/>
        </w:rPr>
        <w:t>约定及甲方认可的巡查计划、路线、频次与标准，在</w:t>
      </w:r>
      <w:r>
        <w:rPr>
          <w:rFonts w:hint="eastAsia" w:ascii="宋体" w:hAnsi="宋体" w:eastAsia="宋体" w:cs="宋体"/>
          <w:color w:val="auto"/>
          <w:sz w:val="24"/>
          <w:szCs w:val="24"/>
          <w:highlight w:val="none"/>
          <w:u w:val="none"/>
          <w:lang w:val="en-US" w:eastAsia="zh-CN"/>
        </w:rPr>
        <w:t>园区从事24小时不间断的道路保洁巡查、河道养护巡查、绿化养护巡查、泵站养护巡查、管线及绿化占用巡查、闲置地块巡查、集中生活区看管、违停占道巡查、违建清理、菜地清理、迎查保障、市政道路及相关设施安全巡查、涉水设施巡查、扬尘管控、防台防汛辅助、扫雪防冻辅助、森林火灾防控等工作</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val="en-US" w:eastAsia="zh-CN"/>
        </w:rPr>
        <w:t>并</w:t>
      </w:r>
      <w:r>
        <w:rPr>
          <w:rFonts w:hint="eastAsia" w:ascii="宋体" w:hAnsi="宋体" w:eastAsia="宋体" w:cs="宋体"/>
          <w:color w:val="auto"/>
          <w:sz w:val="24"/>
          <w:szCs w:val="24"/>
          <w:highlight w:val="none"/>
          <w:u w:val="none"/>
        </w:rPr>
        <w:t>完成甲方交付的其它业务工作。</w:t>
      </w:r>
      <w:r>
        <w:rPr>
          <w:rFonts w:hint="eastAsia" w:ascii="宋体" w:hAnsi="宋体" w:eastAsia="宋体" w:cs="宋体"/>
          <w:color w:val="auto"/>
          <w:sz w:val="24"/>
          <w:szCs w:val="24"/>
          <w:highlight w:val="none"/>
          <w:u w:val="none"/>
          <w:lang w:val="en-US" w:eastAsia="zh-CN"/>
        </w:rPr>
        <w:t>乙方应</w:t>
      </w:r>
      <w:r>
        <w:rPr>
          <w:rFonts w:hint="eastAsia" w:ascii="宋体" w:hAnsi="宋体" w:eastAsia="宋体" w:cs="宋体"/>
          <w:color w:val="auto"/>
          <w:sz w:val="24"/>
          <w:szCs w:val="24"/>
          <w:highlight w:val="none"/>
          <w:u w:val="none"/>
        </w:rPr>
        <w:t>确保其指派的安保辅助人员，履行包括但不限于以下职责：</w:t>
      </w:r>
    </w:p>
    <w:p w14:paraId="221AAAB4">
      <w:pPr>
        <w:pStyle w:val="2"/>
        <w:spacing w:line="560" w:lineRule="exact"/>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（1）按规定做好巡查记录，及时、准确、完整地记录巡查时间、路线、发现的问题及处置情况；</w:t>
      </w:r>
    </w:p>
    <w:p w14:paraId="1B8CAEC8">
      <w:pPr>
        <w:pStyle w:val="2"/>
        <w:spacing w:line="560" w:lineRule="exact"/>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（2）对巡查中发现的秩序混乱、安全隐患、设施损坏、突发事件及其他异常情况，应立即采取初步措施予以控制或警示，并第一时间按程序向甲方指定联系人及乙方现场负责人报告；</w:t>
      </w:r>
    </w:p>
    <w:p w14:paraId="02BB28DE">
      <w:pPr>
        <w:pStyle w:val="2"/>
        <w:spacing w:line="560" w:lineRule="exact"/>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（3）接受甲方及上级主管部门的监督检查，并对指出的问题及时整改、反馈；</w:t>
      </w:r>
    </w:p>
    <w:p w14:paraId="5F7C93F3">
      <w:pPr>
        <w:keepNext w:val="0"/>
        <w:keepLines w:val="0"/>
        <w:pageBreakBefore w:val="0"/>
        <w:widowControl w:val="0"/>
        <w:kinsoku/>
        <w:wordWrap/>
        <w:overflowPunct/>
        <w:topLinePunct w:val="0"/>
        <w:autoSpaceDE/>
        <w:autoSpaceDN/>
        <w:bidi w:val="0"/>
        <w:adjustRightInd/>
        <w:snapToGrid/>
        <w:spacing w:line="560" w:lineRule="exact"/>
        <w:ind w:left="199" w:leftChars="95" w:firstLine="240" w:firstLineChars="10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（4）遵守各项安全操作规程与职业规范，文明履职。</w:t>
      </w:r>
      <w:r>
        <w:rPr>
          <w:rFonts w:hint="eastAsia" w:ascii="宋体" w:hAnsi="宋体" w:eastAsia="宋体" w:cs="宋体"/>
          <w:color w:val="auto"/>
          <w:sz w:val="24"/>
          <w:szCs w:val="24"/>
          <w:highlight w:val="none"/>
          <w:u w:val="none"/>
          <w:lang w:val="en-US" w:eastAsia="zh-CN"/>
        </w:rPr>
        <w:t xml:space="preserve"> </w:t>
      </w:r>
    </w:p>
    <w:p w14:paraId="5469F967">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2、乙方</w:t>
      </w:r>
      <w:r>
        <w:rPr>
          <w:rFonts w:hint="eastAsia" w:ascii="宋体" w:hAnsi="宋体" w:eastAsia="宋体" w:cs="宋体"/>
          <w:color w:val="auto"/>
          <w:sz w:val="24"/>
          <w:szCs w:val="24"/>
          <w:highlight w:val="none"/>
          <w:lang w:val="en-US" w:eastAsia="zh-CN"/>
        </w:rPr>
        <w:t>需做好辅助人员</w:t>
      </w:r>
      <w:r>
        <w:rPr>
          <w:rFonts w:hint="eastAsia" w:ascii="宋体" w:hAnsi="宋体" w:eastAsia="宋体" w:cs="宋体"/>
          <w:color w:val="auto"/>
          <w:sz w:val="24"/>
          <w:szCs w:val="24"/>
          <w:highlight w:val="none"/>
        </w:rPr>
        <w:t>考勤管理</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保证无脱岗、离岗等情况。</w:t>
      </w:r>
      <w:r>
        <w:rPr>
          <w:rFonts w:hint="eastAsia" w:ascii="宋体" w:hAnsi="宋体" w:eastAsia="宋体" w:cs="宋体"/>
          <w:color w:val="auto"/>
          <w:sz w:val="24"/>
          <w:szCs w:val="24"/>
          <w:highlight w:val="none"/>
          <w:lang w:val="en-US" w:eastAsia="zh-CN"/>
        </w:rPr>
        <w:t>每发现一次脱岗、离岗行为罚款人民币2000元。</w:t>
      </w:r>
    </w:p>
    <w:p w14:paraId="1CBBE7E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3、乙方负责对派出的</w:t>
      </w:r>
      <w:r>
        <w:rPr>
          <w:rFonts w:hint="eastAsia" w:ascii="宋体" w:hAnsi="宋体" w:eastAsia="宋体" w:cs="宋体"/>
          <w:color w:val="auto"/>
          <w:sz w:val="24"/>
          <w:szCs w:val="24"/>
          <w:highlight w:val="none"/>
          <w:lang w:eastAsia="zh-CN"/>
        </w:rPr>
        <w:t>安保辅助</w:t>
      </w:r>
      <w:r>
        <w:rPr>
          <w:rFonts w:hint="eastAsia" w:ascii="宋体" w:hAnsi="宋体" w:eastAsia="宋体" w:cs="宋体"/>
          <w:color w:val="auto"/>
          <w:sz w:val="24"/>
          <w:szCs w:val="24"/>
          <w:highlight w:val="none"/>
        </w:rPr>
        <w:t>人员进行思想教育、风纪检查、技能培训，配备统一的制式服装，佩戴统一的</w:t>
      </w:r>
      <w:r>
        <w:rPr>
          <w:rFonts w:hint="eastAsia" w:ascii="宋体" w:hAnsi="宋体" w:eastAsia="宋体" w:cs="宋体"/>
          <w:color w:val="auto"/>
          <w:sz w:val="24"/>
          <w:szCs w:val="24"/>
          <w:highlight w:val="none"/>
          <w:lang w:eastAsia="zh-CN"/>
        </w:rPr>
        <w:t>安保辅助</w:t>
      </w:r>
      <w:r>
        <w:rPr>
          <w:rFonts w:hint="eastAsia" w:ascii="宋体" w:hAnsi="宋体" w:eastAsia="宋体" w:cs="宋体"/>
          <w:color w:val="auto"/>
          <w:sz w:val="24"/>
          <w:szCs w:val="24"/>
          <w:highlight w:val="none"/>
        </w:rPr>
        <w:t>服务标志，在岗时的文明用语等。</w:t>
      </w:r>
      <w:r>
        <w:rPr>
          <w:rFonts w:hint="eastAsia" w:ascii="宋体" w:hAnsi="宋体" w:eastAsia="宋体" w:cs="宋体"/>
          <w:color w:val="auto"/>
          <w:sz w:val="24"/>
          <w:szCs w:val="24"/>
          <w:highlight w:val="none"/>
          <w:lang w:val="en-US" w:eastAsia="zh-CN"/>
        </w:rPr>
        <w:t>每发现一次违规行为罚款人民币2000元。</w:t>
      </w:r>
    </w:p>
    <w:p w14:paraId="5BE6425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4、乙方</w:t>
      </w:r>
      <w:r>
        <w:rPr>
          <w:rFonts w:hint="eastAsia" w:ascii="宋体" w:hAnsi="宋体" w:eastAsia="宋体" w:cs="宋体"/>
          <w:color w:val="auto"/>
          <w:sz w:val="24"/>
          <w:szCs w:val="24"/>
          <w:highlight w:val="none"/>
          <w:lang w:eastAsia="zh-CN"/>
        </w:rPr>
        <w:t>安保辅助</w:t>
      </w:r>
      <w:r>
        <w:rPr>
          <w:rFonts w:hint="eastAsia" w:ascii="宋体" w:hAnsi="宋体" w:eastAsia="宋体" w:cs="宋体"/>
          <w:color w:val="auto"/>
          <w:sz w:val="24"/>
          <w:szCs w:val="24"/>
          <w:highlight w:val="none"/>
        </w:rPr>
        <w:t>人员在执行工作期间有违法违纪行为，乙方应严肃处理，因</w:t>
      </w:r>
      <w:r>
        <w:rPr>
          <w:rFonts w:hint="eastAsia" w:ascii="宋体" w:hAnsi="宋体" w:eastAsia="宋体" w:cs="宋体"/>
          <w:color w:val="auto"/>
          <w:sz w:val="24"/>
          <w:szCs w:val="24"/>
          <w:highlight w:val="none"/>
          <w:lang w:val="en-US" w:eastAsia="zh-CN"/>
        </w:rPr>
        <w:t>安保辅助</w:t>
      </w:r>
      <w:r>
        <w:rPr>
          <w:rFonts w:hint="eastAsia" w:ascii="宋体" w:hAnsi="宋体" w:eastAsia="宋体" w:cs="宋体"/>
          <w:color w:val="auto"/>
          <w:sz w:val="24"/>
          <w:szCs w:val="24"/>
          <w:highlight w:val="none"/>
        </w:rPr>
        <w:t>人员的故意或过失行为造成的所有经济损失的由乙方承担赔偿责任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并每次罚款人民币10000元。</w:t>
      </w:r>
    </w:p>
    <w:p w14:paraId="5B87328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5、乙方的</w:t>
      </w:r>
      <w:r>
        <w:rPr>
          <w:rFonts w:hint="eastAsia" w:ascii="宋体" w:hAnsi="宋体" w:eastAsia="宋体" w:cs="宋体"/>
          <w:color w:val="auto"/>
          <w:sz w:val="24"/>
          <w:szCs w:val="24"/>
          <w:highlight w:val="none"/>
          <w:lang w:eastAsia="zh-CN"/>
        </w:rPr>
        <w:t>安保辅助</w:t>
      </w:r>
      <w:r>
        <w:rPr>
          <w:rFonts w:hint="eastAsia" w:ascii="宋体" w:hAnsi="宋体" w:eastAsia="宋体" w:cs="宋体"/>
          <w:color w:val="auto"/>
          <w:sz w:val="24"/>
          <w:szCs w:val="24"/>
          <w:highlight w:val="none"/>
        </w:rPr>
        <w:t>人员在工作时间、工作地点做出的违反法律、法规等行为，造成他人人身伤害和财产损失的一切民事、行政、刑事责任及经济赔偿，由乙方全部承担，与甲方无关。不因本合同的存在增加甲方的法律责任，诉讼产生的费用包括诉讼费、律师费等由乙方承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并每次罚款人民币10000元。</w:t>
      </w:r>
    </w:p>
    <w:p w14:paraId="4153A3E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安保辅助</w:t>
      </w:r>
      <w:r>
        <w:rPr>
          <w:rFonts w:hint="eastAsia" w:ascii="宋体" w:hAnsi="宋体" w:eastAsia="宋体" w:cs="宋体"/>
          <w:color w:val="auto"/>
          <w:sz w:val="24"/>
          <w:szCs w:val="24"/>
          <w:highlight w:val="none"/>
        </w:rPr>
        <w:t>人员在工作期间发生安全事故、工伤事故的，乙方自行承担全部责任及一切损失。乙方用工应遵守国家有关法律法规，并合法办理各种用工手续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如因用工不当等责任与甲方无关，属于劳动、劳务关系范畴的纠纷由乙方自行解决并承担责任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若因此给甲方造成损失的需赔偿甲方损失</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并每次罚款人民币5000元。</w:t>
      </w:r>
    </w:p>
    <w:p w14:paraId="06690140">
      <w:pPr>
        <w:pStyle w:val="2"/>
        <w:spacing w:line="560" w:lineRule="exact"/>
        <w:ind w:firstLine="64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因乙方对其安保辅助人员的工作安排、调度管理、培训指导存在明显疏忽或失当，或乙方未履行本合同约定的管理监督责任，直接导致相关巡查工作出现重大疏漏，进而被街道级以上政府行政主管部门（或甲方上级主管单位）以书面形式正式通报批评的，视为乙方违约。每次发生上述情形，</w:t>
      </w:r>
      <w:r>
        <w:rPr>
          <w:rFonts w:hint="eastAsia" w:ascii="宋体" w:hAnsi="宋体" w:eastAsia="宋体" w:cs="宋体"/>
          <w:color w:val="auto"/>
          <w:sz w:val="24"/>
          <w:szCs w:val="24"/>
          <w:highlight w:val="none"/>
          <w:lang w:val="en-US" w:eastAsia="zh-CN"/>
        </w:rPr>
        <w:t>罚款人民币10000元。</w:t>
      </w:r>
    </w:p>
    <w:p w14:paraId="4B73F80D">
      <w:pPr>
        <w:keepNext w:val="0"/>
        <w:keepLines w:val="0"/>
        <w:pageBreakBefore w:val="0"/>
        <w:widowControl w:val="0"/>
        <w:kinsoku/>
        <w:wordWrap/>
        <w:overflowPunct/>
        <w:topLinePunct w:val="0"/>
        <w:autoSpaceDE/>
        <w:autoSpaceDN/>
        <w:bidi w:val="0"/>
        <w:adjustRightInd/>
        <w:snapToGrid/>
        <w:spacing w:line="560" w:lineRule="exact"/>
        <w:ind w:left="199" w:leftChars="95"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、乙方应保证</w:t>
      </w:r>
      <w:r>
        <w:rPr>
          <w:rFonts w:hint="eastAsia" w:ascii="宋体" w:hAnsi="宋体" w:eastAsia="宋体" w:cs="宋体"/>
          <w:color w:val="auto"/>
          <w:sz w:val="24"/>
          <w:szCs w:val="24"/>
          <w:highlight w:val="none"/>
          <w:lang w:eastAsia="zh-CN"/>
        </w:rPr>
        <w:t>安保辅助</w:t>
      </w:r>
      <w:r>
        <w:rPr>
          <w:rFonts w:hint="eastAsia" w:ascii="宋体" w:hAnsi="宋体" w:eastAsia="宋体" w:cs="宋体"/>
          <w:color w:val="auto"/>
          <w:sz w:val="24"/>
          <w:szCs w:val="24"/>
          <w:highlight w:val="none"/>
        </w:rPr>
        <w:t>人员的稳定性，非因甲方的要求或书面同意，不得单方随意调换</w:t>
      </w:r>
      <w:r>
        <w:rPr>
          <w:rFonts w:hint="eastAsia" w:ascii="宋体" w:hAnsi="宋体" w:eastAsia="宋体" w:cs="宋体"/>
          <w:color w:val="auto"/>
          <w:sz w:val="24"/>
          <w:szCs w:val="24"/>
          <w:highlight w:val="none"/>
          <w:lang w:eastAsia="zh-CN"/>
        </w:rPr>
        <w:t>安保辅助</w:t>
      </w: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u w:val="none"/>
          <w:lang w:val="en-US" w:eastAsia="zh-CN"/>
        </w:rPr>
        <w:t>乙方应</w:t>
      </w:r>
      <w:r>
        <w:rPr>
          <w:rFonts w:hint="eastAsia" w:ascii="宋体" w:hAnsi="宋体" w:eastAsia="宋体" w:cs="宋体"/>
          <w:color w:val="auto"/>
          <w:sz w:val="24"/>
          <w:szCs w:val="24"/>
          <w:highlight w:val="none"/>
          <w:u w:val="none"/>
        </w:rPr>
        <w:t>根据</w:t>
      </w:r>
      <w:r>
        <w:rPr>
          <w:rFonts w:hint="eastAsia" w:ascii="宋体" w:hAnsi="宋体" w:eastAsia="宋体" w:cs="宋体"/>
          <w:color w:val="auto"/>
          <w:sz w:val="24"/>
          <w:szCs w:val="24"/>
          <w:highlight w:val="none"/>
          <w:u w:val="none"/>
          <w:lang w:val="en-US" w:eastAsia="zh-CN"/>
        </w:rPr>
        <w:t>甲方</w:t>
      </w:r>
      <w:r>
        <w:rPr>
          <w:rFonts w:hint="eastAsia" w:ascii="宋体" w:hAnsi="宋体" w:eastAsia="宋体" w:cs="宋体"/>
          <w:color w:val="auto"/>
          <w:sz w:val="24"/>
          <w:szCs w:val="24"/>
          <w:highlight w:val="none"/>
          <w:u w:val="none"/>
        </w:rPr>
        <w:t>任务要求及时调换不称职人员。</w:t>
      </w:r>
    </w:p>
    <w:p w14:paraId="78994C0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六、违约责任</w:t>
      </w:r>
    </w:p>
    <w:p w14:paraId="651F09B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每次付款前，乙方应当提前向甲方提供合法有效差额征收税务发票，否则甲方有权延迟付款而不承担任何责任。乙方根据财税（2016）47号、财税（2016）68号文件的规定：纳税人提供安全保护服务，比照劳务派遣服务政策执行。</w:t>
      </w:r>
      <w:r>
        <w:rPr>
          <w:rFonts w:hint="eastAsia" w:ascii="宋体" w:hAnsi="宋体" w:eastAsia="宋体" w:cs="宋体"/>
          <w:color w:val="auto"/>
          <w:sz w:val="24"/>
          <w:szCs w:val="24"/>
          <w:highlight w:val="none"/>
          <w:lang w:val="en-US" w:eastAsia="zh-CN"/>
        </w:rPr>
        <w:t>开具</w:t>
      </w: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财务要求的发票</w:t>
      </w:r>
      <w:r>
        <w:rPr>
          <w:rFonts w:hint="eastAsia" w:ascii="宋体" w:hAnsi="宋体" w:eastAsia="宋体" w:cs="宋体"/>
          <w:color w:val="auto"/>
          <w:sz w:val="24"/>
          <w:szCs w:val="24"/>
          <w:highlight w:val="none"/>
          <w:lang w:eastAsia="zh-CN"/>
        </w:rPr>
        <w:t>。</w:t>
      </w:r>
    </w:p>
    <w:p w14:paraId="1EA1D7D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2、本合同除合同期满外，如因不可抗力或者政府部门规定导致合同提前解除的，本合同服务费按实际结算。因前述原因产生的劳动劳务纠纷及其它纠纷均不在本合同项下处理，均由乙方自行处理，与甲方无关。</w:t>
      </w:r>
    </w:p>
    <w:p w14:paraId="37B0E38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七、争议解决方式</w:t>
      </w:r>
    </w:p>
    <w:p w14:paraId="66D849D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在履行合同中，如发生争议，甲乙双方应本着互谅互让原则友好协商解决，如协商不成，可向甲方所在地人民法院提起诉讼。</w:t>
      </w:r>
    </w:p>
    <w:p w14:paraId="31AE973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八、合同生效与终止</w:t>
      </w:r>
    </w:p>
    <w:p w14:paraId="0B66BA8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本合同一式陆份，甲乙双方各叁份。自双方签章之日起生效，都具有同等法律效力，期满双方履行完各自权利义务后自然终止。</w:t>
      </w:r>
    </w:p>
    <w:p w14:paraId="1DF01E6F">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0496C68E">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412CD1DF">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tbl>
      <w:tblPr>
        <w:tblStyle w:val="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6"/>
        <w:gridCol w:w="4706"/>
      </w:tblGrid>
      <w:tr w14:paraId="3F478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jc w:val="center"/>
        </w:trPr>
        <w:tc>
          <w:tcPr>
            <w:tcW w:w="4706" w:type="dxa"/>
            <w:tcBorders>
              <w:top w:val="nil"/>
              <w:left w:val="nil"/>
              <w:bottom w:val="nil"/>
              <w:right w:val="nil"/>
            </w:tcBorders>
          </w:tcPr>
          <w:p w14:paraId="1E6EAB3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w:t>
            </w:r>
          </w:p>
        </w:tc>
        <w:tc>
          <w:tcPr>
            <w:tcW w:w="4706" w:type="dxa"/>
            <w:tcBorders>
              <w:top w:val="nil"/>
              <w:left w:val="nil"/>
              <w:bottom w:val="nil"/>
              <w:right w:val="nil"/>
            </w:tcBorders>
          </w:tcPr>
          <w:p w14:paraId="750B057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乙方：（盖章）</w:t>
            </w:r>
          </w:p>
        </w:tc>
      </w:tr>
      <w:tr w14:paraId="47FC4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jc w:val="center"/>
        </w:trPr>
        <w:tc>
          <w:tcPr>
            <w:tcW w:w="4706" w:type="dxa"/>
            <w:tcBorders>
              <w:top w:val="nil"/>
              <w:left w:val="nil"/>
              <w:bottom w:val="nil"/>
              <w:right w:val="nil"/>
            </w:tcBorders>
          </w:tcPr>
          <w:p w14:paraId="37C082D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负责人：（签字）</w:t>
            </w:r>
          </w:p>
        </w:tc>
        <w:tc>
          <w:tcPr>
            <w:tcW w:w="4706" w:type="dxa"/>
            <w:tcBorders>
              <w:top w:val="nil"/>
              <w:left w:val="nil"/>
              <w:bottom w:val="nil"/>
              <w:right w:val="nil"/>
            </w:tcBorders>
          </w:tcPr>
          <w:p w14:paraId="064337D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负责人：（签字）</w:t>
            </w:r>
          </w:p>
        </w:tc>
      </w:tr>
      <w:tr w14:paraId="42889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4706" w:type="dxa"/>
            <w:tcBorders>
              <w:top w:val="nil"/>
              <w:left w:val="nil"/>
              <w:bottom w:val="nil"/>
              <w:right w:val="nil"/>
            </w:tcBorders>
          </w:tcPr>
          <w:p w14:paraId="30D29412">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c>
          <w:tcPr>
            <w:tcW w:w="4706" w:type="dxa"/>
            <w:tcBorders>
              <w:top w:val="nil"/>
              <w:left w:val="nil"/>
              <w:bottom w:val="nil"/>
              <w:right w:val="nil"/>
            </w:tcBorders>
          </w:tcPr>
          <w:p w14:paraId="6064E98F">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14:paraId="6D00B6B1">
      <w:pPr>
        <w:keepNext w:val="0"/>
        <w:keepLines w:val="0"/>
        <w:pageBreakBefore w:val="0"/>
        <w:widowControl w:val="0"/>
        <w:tabs>
          <w:tab w:val="left" w:pos="6948"/>
        </w:tabs>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lang w:val="en-US" w:eastAsia="zh-CN"/>
        </w:rPr>
      </w:pPr>
    </w:p>
    <w:p w14:paraId="3EFD89DC">
      <w:pPr>
        <w:keepNext w:val="0"/>
        <w:keepLines w:val="0"/>
        <w:pageBreakBefore w:val="0"/>
        <w:widowControl w:val="0"/>
        <w:tabs>
          <w:tab w:val="left" w:pos="6948"/>
        </w:tabs>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lang w:val="en-US" w:eastAsia="zh-CN"/>
        </w:rPr>
      </w:pPr>
    </w:p>
    <w:p w14:paraId="1B5BB8E6">
      <w:pPr>
        <w:pStyle w:val="2"/>
        <w:rPr>
          <w:rFonts w:hint="eastAsia"/>
        </w:rPr>
      </w:pPr>
    </w:p>
    <w:p w14:paraId="365B0EDB">
      <w:pPr>
        <w:keepNext/>
        <w:keepLines/>
        <w:pageBreakBefore/>
        <w:jc w:val="center"/>
        <w:outlineLvl w:val="0"/>
        <w:rPr>
          <w:rFonts w:hint="eastAsia"/>
          <w:b/>
          <w:color w:val="auto"/>
          <w:sz w:val="44"/>
          <w:szCs w:val="44"/>
          <w:highlight w:val="none"/>
        </w:rPr>
      </w:pPr>
      <w:bookmarkStart w:id="70" w:name="_Toc12127"/>
      <w:bookmarkStart w:id="71" w:name="_Toc514054483"/>
      <w:r>
        <w:rPr>
          <w:rFonts w:hint="eastAsia"/>
          <w:b/>
          <w:color w:val="auto"/>
          <w:sz w:val="44"/>
          <w:szCs w:val="44"/>
          <w:highlight w:val="none"/>
        </w:rPr>
        <w:t>第六部分  投标文件格式</w:t>
      </w:r>
      <w:bookmarkEnd w:id="70"/>
      <w:bookmarkEnd w:id="71"/>
    </w:p>
    <w:p w14:paraId="5DBB5420">
      <w:pPr>
        <w:rPr>
          <w:color w:val="auto"/>
          <w:highlight w:val="none"/>
        </w:rPr>
      </w:pPr>
      <w:bookmarkStart w:id="72" w:name="EB819316f773b24a75aef829f9b72900c0"/>
    </w:p>
    <w:p w14:paraId="4D44A9C9">
      <w:pPr>
        <w:pStyle w:val="265"/>
        <w:ind w:firstLine="321" w:firstLineChars="100"/>
        <w:jc w:val="center"/>
        <w:outlineLvl w:val="1"/>
        <w:rPr>
          <w:color w:val="auto"/>
          <w:highlight w:val="none"/>
        </w:rPr>
      </w:pPr>
      <w:bookmarkStart w:id="73" w:name="_Toc514054484"/>
      <w:bookmarkStart w:id="74" w:name="_Toc26779"/>
      <w:bookmarkStart w:id="75" w:name="_Toc13980"/>
      <w:r>
        <w:rPr>
          <w:color w:val="auto"/>
          <w:highlight w:val="none"/>
        </w:rPr>
        <w:t>封面</w:t>
      </w:r>
      <w:bookmarkEnd w:id="73"/>
      <w:bookmarkEnd w:id="74"/>
      <w:bookmarkEnd w:id="75"/>
    </w:p>
    <w:p w14:paraId="7857944A">
      <w:pPr>
        <w:pStyle w:val="321"/>
        <w:autoSpaceDE w:val="0"/>
        <w:autoSpaceDN w:val="0"/>
        <w:adjustRightInd w:val="0"/>
        <w:jc w:val="left"/>
        <w:rPr>
          <w:rFonts w:hint="eastAsia" w:ascii="黑体" w:eastAsia="黑体" w:cs="黑体"/>
          <w:color w:val="auto"/>
          <w:kern w:val="0"/>
          <w:sz w:val="32"/>
          <w:szCs w:val="32"/>
          <w:highlight w:val="none"/>
        </w:rPr>
      </w:pPr>
    </w:p>
    <w:p w14:paraId="3D2B6E31">
      <w:pPr>
        <w:pStyle w:val="321"/>
        <w:autoSpaceDE w:val="0"/>
        <w:autoSpaceDN w:val="0"/>
        <w:adjustRightInd w:val="0"/>
        <w:jc w:val="left"/>
        <w:rPr>
          <w:rFonts w:hint="eastAsia" w:ascii="黑体" w:eastAsia="黑体" w:cs="黑体"/>
          <w:color w:val="auto"/>
          <w:kern w:val="0"/>
          <w:sz w:val="32"/>
          <w:szCs w:val="32"/>
          <w:highlight w:val="none"/>
        </w:rPr>
      </w:pPr>
    </w:p>
    <w:p w14:paraId="32E1EF93">
      <w:pPr>
        <w:pStyle w:val="321"/>
        <w:autoSpaceDE w:val="0"/>
        <w:autoSpaceDN w:val="0"/>
        <w:adjustRightInd w:val="0"/>
        <w:jc w:val="left"/>
        <w:rPr>
          <w:rFonts w:hint="eastAsia" w:ascii="黑体" w:eastAsia="黑体" w:cs="黑体"/>
          <w:color w:val="auto"/>
          <w:kern w:val="0"/>
          <w:sz w:val="32"/>
          <w:szCs w:val="32"/>
          <w:highlight w:val="none"/>
        </w:rPr>
      </w:pPr>
    </w:p>
    <w:p w14:paraId="7BCEA9F8">
      <w:pPr>
        <w:pStyle w:val="321"/>
        <w:autoSpaceDE w:val="0"/>
        <w:autoSpaceDN w:val="0"/>
        <w:adjustRightInd w:val="0"/>
        <w:jc w:val="center"/>
        <w:rPr>
          <w:rFonts w:hint="eastAsia" w:ascii="黑体" w:eastAsia="黑体" w:cs="黑体"/>
          <w:color w:val="auto"/>
          <w:kern w:val="0"/>
          <w:sz w:val="52"/>
          <w:szCs w:val="52"/>
          <w:highlight w:val="none"/>
        </w:rPr>
      </w:pPr>
    </w:p>
    <w:p w14:paraId="56FD7C80">
      <w:pPr>
        <w:pStyle w:val="321"/>
        <w:autoSpaceDE w:val="0"/>
        <w:autoSpaceDN w:val="0"/>
        <w:adjustRightInd w:val="0"/>
        <w:jc w:val="center"/>
        <w:rPr>
          <w:rFonts w:hint="eastAsia" w:ascii="黑体" w:eastAsia="黑体" w:cs="黑体"/>
          <w:color w:val="auto"/>
          <w:kern w:val="0"/>
          <w:sz w:val="28"/>
          <w:szCs w:val="28"/>
          <w:highlight w:val="none"/>
        </w:rPr>
      </w:pPr>
      <w:r>
        <w:rPr>
          <w:rFonts w:hint="eastAsia" w:ascii="黑体" w:eastAsia="黑体" w:cs="黑体"/>
          <w:color w:val="auto"/>
          <w:kern w:val="0"/>
          <w:sz w:val="72"/>
          <w:szCs w:val="72"/>
          <w:highlight w:val="none"/>
        </w:rPr>
        <w:t>投</w:t>
      </w:r>
      <w:r>
        <w:rPr>
          <w:rFonts w:ascii="黑体" w:eastAsia="黑体" w:cs="黑体"/>
          <w:color w:val="auto"/>
          <w:kern w:val="0"/>
          <w:sz w:val="72"/>
          <w:szCs w:val="72"/>
          <w:highlight w:val="none"/>
        </w:rPr>
        <w:t xml:space="preserve"> </w:t>
      </w:r>
      <w:r>
        <w:rPr>
          <w:rFonts w:hint="eastAsia" w:ascii="黑体" w:eastAsia="黑体" w:cs="黑体"/>
          <w:color w:val="auto"/>
          <w:kern w:val="0"/>
          <w:sz w:val="72"/>
          <w:szCs w:val="72"/>
          <w:highlight w:val="none"/>
        </w:rPr>
        <w:t>标</w:t>
      </w:r>
      <w:r>
        <w:rPr>
          <w:rFonts w:ascii="黑体" w:eastAsia="黑体" w:cs="黑体"/>
          <w:color w:val="auto"/>
          <w:kern w:val="0"/>
          <w:sz w:val="72"/>
          <w:szCs w:val="72"/>
          <w:highlight w:val="none"/>
        </w:rPr>
        <w:t xml:space="preserve"> </w:t>
      </w:r>
      <w:r>
        <w:rPr>
          <w:rFonts w:hint="eastAsia" w:ascii="黑体" w:eastAsia="黑体" w:cs="黑体"/>
          <w:color w:val="auto"/>
          <w:kern w:val="0"/>
          <w:sz w:val="72"/>
          <w:szCs w:val="72"/>
          <w:highlight w:val="none"/>
        </w:rPr>
        <w:t>文</w:t>
      </w:r>
      <w:r>
        <w:rPr>
          <w:rFonts w:ascii="黑体" w:eastAsia="黑体" w:cs="黑体"/>
          <w:color w:val="auto"/>
          <w:kern w:val="0"/>
          <w:sz w:val="72"/>
          <w:szCs w:val="72"/>
          <w:highlight w:val="none"/>
        </w:rPr>
        <w:t xml:space="preserve"> </w:t>
      </w:r>
      <w:r>
        <w:rPr>
          <w:rFonts w:hint="eastAsia" w:ascii="黑体" w:eastAsia="黑体" w:cs="黑体"/>
          <w:color w:val="auto"/>
          <w:kern w:val="0"/>
          <w:sz w:val="72"/>
          <w:szCs w:val="72"/>
          <w:highlight w:val="none"/>
        </w:rPr>
        <w:t>件</w:t>
      </w:r>
    </w:p>
    <w:p w14:paraId="5AC7A407">
      <w:pPr>
        <w:pStyle w:val="321"/>
        <w:autoSpaceDE w:val="0"/>
        <w:autoSpaceDN w:val="0"/>
        <w:adjustRightInd w:val="0"/>
        <w:jc w:val="left"/>
        <w:rPr>
          <w:rFonts w:hint="eastAsia" w:ascii="黑体" w:eastAsia="黑体" w:cs="黑体"/>
          <w:color w:val="auto"/>
          <w:kern w:val="0"/>
          <w:sz w:val="28"/>
          <w:szCs w:val="28"/>
          <w:highlight w:val="none"/>
        </w:rPr>
      </w:pPr>
    </w:p>
    <w:p w14:paraId="5D4CAD3A">
      <w:pPr>
        <w:pStyle w:val="321"/>
        <w:autoSpaceDE w:val="0"/>
        <w:autoSpaceDN w:val="0"/>
        <w:adjustRightInd w:val="0"/>
        <w:jc w:val="left"/>
        <w:rPr>
          <w:rFonts w:hint="eastAsia" w:ascii="黑体" w:eastAsia="黑体" w:cs="黑体"/>
          <w:color w:val="auto"/>
          <w:kern w:val="0"/>
          <w:sz w:val="28"/>
          <w:szCs w:val="28"/>
          <w:highlight w:val="none"/>
        </w:rPr>
      </w:pPr>
    </w:p>
    <w:p w14:paraId="669F9F6D">
      <w:pPr>
        <w:pStyle w:val="321"/>
        <w:autoSpaceDE w:val="0"/>
        <w:autoSpaceDN w:val="0"/>
        <w:adjustRightInd w:val="0"/>
        <w:jc w:val="left"/>
        <w:rPr>
          <w:rFonts w:hint="eastAsia" w:ascii="黑体" w:eastAsia="黑体" w:cs="黑体"/>
          <w:color w:val="auto"/>
          <w:kern w:val="0"/>
          <w:sz w:val="28"/>
          <w:szCs w:val="28"/>
          <w:highlight w:val="none"/>
        </w:rPr>
      </w:pPr>
    </w:p>
    <w:p w14:paraId="390E60A9">
      <w:pPr>
        <w:pStyle w:val="321"/>
        <w:autoSpaceDE w:val="0"/>
        <w:autoSpaceDN w:val="0"/>
        <w:adjustRightInd w:val="0"/>
        <w:jc w:val="left"/>
        <w:rPr>
          <w:rFonts w:hint="eastAsia" w:ascii="黑体" w:eastAsia="黑体" w:cs="黑体"/>
          <w:color w:val="auto"/>
          <w:kern w:val="0"/>
          <w:sz w:val="28"/>
          <w:szCs w:val="28"/>
          <w:highlight w:val="none"/>
        </w:rPr>
      </w:pPr>
    </w:p>
    <w:p w14:paraId="7D408D28">
      <w:pPr>
        <w:pStyle w:val="321"/>
        <w:autoSpaceDE w:val="0"/>
        <w:autoSpaceDN w:val="0"/>
        <w:adjustRightInd w:val="0"/>
        <w:jc w:val="left"/>
        <w:rPr>
          <w:rFonts w:hint="eastAsia" w:ascii="黑体" w:eastAsia="黑体" w:cs="黑体"/>
          <w:color w:val="auto"/>
          <w:kern w:val="0"/>
          <w:sz w:val="28"/>
          <w:szCs w:val="28"/>
          <w:highlight w:val="none"/>
        </w:rPr>
      </w:pPr>
    </w:p>
    <w:p w14:paraId="5616D481">
      <w:pPr>
        <w:pStyle w:val="59"/>
        <w:ind w:firstLine="723"/>
        <w:jc w:val="both"/>
        <w:rPr>
          <w:rFonts w:hint="eastAsia"/>
          <w:color w:val="auto"/>
          <w:highlight w:val="none"/>
        </w:rPr>
      </w:pPr>
      <w:r>
        <w:rPr>
          <w:rFonts w:hint="eastAsia"/>
          <w:b/>
          <w:color w:val="auto"/>
          <w:sz w:val="36"/>
          <w:szCs w:val="36"/>
          <w:highlight w:val="none"/>
        </w:rPr>
        <w:t>项目 名 称：</w:t>
      </w:r>
      <w:r>
        <w:rPr>
          <w:rFonts w:hint="eastAsia"/>
          <w:b/>
          <w:color w:val="auto"/>
          <w:sz w:val="36"/>
          <w:szCs w:val="36"/>
          <w:highlight w:val="none"/>
          <w:u w:val="single"/>
        </w:rPr>
        <w:t xml:space="preserve">               </w:t>
      </w:r>
    </w:p>
    <w:p w14:paraId="1DE9109F">
      <w:pPr>
        <w:pStyle w:val="59"/>
        <w:ind w:firstLine="723"/>
        <w:jc w:val="both"/>
        <w:rPr>
          <w:rFonts w:hint="eastAsia" w:eastAsia="宋体"/>
          <w:color w:val="auto"/>
          <w:highlight w:val="none"/>
          <w:lang w:eastAsia="zh-CN"/>
        </w:rPr>
      </w:pPr>
      <w:r>
        <w:rPr>
          <w:rFonts w:hint="eastAsia"/>
          <w:b/>
          <w:color w:val="auto"/>
          <w:sz w:val="36"/>
          <w:szCs w:val="36"/>
          <w:highlight w:val="none"/>
        </w:rPr>
        <w:t>项目 编 号：</w:t>
      </w:r>
      <w:r>
        <w:rPr>
          <w:rFonts w:hint="eastAsia"/>
          <w:b/>
          <w:color w:val="auto"/>
          <w:sz w:val="36"/>
          <w:szCs w:val="36"/>
          <w:highlight w:val="none"/>
          <w:u w:val="single"/>
        </w:rPr>
        <w:t> </w:t>
      </w:r>
      <w:r>
        <w:rPr>
          <w:rFonts w:hint="eastAsia"/>
          <w:b/>
          <w:color w:val="auto"/>
          <w:sz w:val="36"/>
          <w:szCs w:val="36"/>
          <w:highlight w:val="none"/>
          <w:u w:val="single"/>
          <w:lang w:eastAsia="zh-CN"/>
        </w:rPr>
        <w:t>JSZC-320192-JCZJ-G2026-0004</w:t>
      </w:r>
    </w:p>
    <w:p w14:paraId="6BE7EF48">
      <w:pPr>
        <w:pStyle w:val="59"/>
        <w:ind w:firstLine="723"/>
        <w:jc w:val="both"/>
        <w:rPr>
          <w:rFonts w:hint="eastAsia"/>
          <w:color w:val="auto"/>
          <w:highlight w:val="none"/>
        </w:rPr>
      </w:pPr>
      <w:r>
        <w:rPr>
          <w:rFonts w:hint="eastAsia"/>
          <w:b/>
          <w:color w:val="auto"/>
          <w:sz w:val="36"/>
          <w:szCs w:val="36"/>
          <w:highlight w:val="none"/>
          <w:lang w:eastAsia="zh-CN"/>
        </w:rPr>
        <w:t>供应商</w:t>
      </w:r>
      <w:r>
        <w:rPr>
          <w:rFonts w:hint="eastAsia"/>
          <w:b/>
          <w:color w:val="auto"/>
          <w:sz w:val="36"/>
          <w:szCs w:val="36"/>
          <w:highlight w:val="none"/>
        </w:rPr>
        <w:t>名称 ：</w:t>
      </w:r>
      <w:r>
        <w:rPr>
          <w:rFonts w:hint="eastAsia"/>
          <w:b/>
          <w:color w:val="auto"/>
          <w:sz w:val="36"/>
          <w:szCs w:val="36"/>
          <w:highlight w:val="none"/>
          <w:u w:val="single"/>
        </w:rPr>
        <w:t xml:space="preserve">（加盖CA电子公章）        </w:t>
      </w:r>
    </w:p>
    <w:p w14:paraId="5EBF902A">
      <w:pPr>
        <w:pStyle w:val="59"/>
        <w:ind w:firstLine="723"/>
        <w:jc w:val="both"/>
        <w:rPr>
          <w:rFonts w:hint="eastAsia"/>
          <w:color w:val="auto"/>
          <w:highlight w:val="none"/>
        </w:rPr>
      </w:pPr>
      <w:r>
        <w:rPr>
          <w:rFonts w:hint="eastAsia"/>
          <w:b/>
          <w:color w:val="auto"/>
          <w:sz w:val="36"/>
          <w:szCs w:val="36"/>
          <w:highlight w:val="none"/>
        </w:rPr>
        <w:t>日   期 ：</w:t>
      </w:r>
      <w:r>
        <w:rPr>
          <w:rFonts w:hint="eastAsia"/>
          <w:b/>
          <w:color w:val="auto"/>
          <w:sz w:val="36"/>
          <w:szCs w:val="36"/>
          <w:highlight w:val="none"/>
          <w:u w:val="single"/>
        </w:rPr>
        <w:t>                     </w:t>
      </w:r>
    </w:p>
    <w:p w14:paraId="56AA3943">
      <w:pPr>
        <w:pStyle w:val="59"/>
        <w:spacing w:line="0" w:lineRule="atLeast"/>
        <w:rPr>
          <w:rFonts w:hint="eastAsia"/>
          <w:color w:val="auto"/>
          <w:highlight w:val="none"/>
        </w:rPr>
      </w:pPr>
      <w:r>
        <w:rPr>
          <w:color w:val="auto"/>
          <w:highlight w:val="none"/>
        </w:rPr>
        <w:t> </w:t>
      </w:r>
    </w:p>
    <w:p w14:paraId="040B3561">
      <w:pPr>
        <w:pStyle w:val="59"/>
        <w:spacing w:line="0" w:lineRule="atLeast"/>
        <w:jc w:val="both"/>
        <w:rPr>
          <w:rFonts w:hint="eastAsia"/>
          <w:color w:val="auto"/>
          <w:highlight w:val="none"/>
        </w:rPr>
      </w:pPr>
      <w:r>
        <w:rPr>
          <w:color w:val="auto"/>
          <w:highlight w:val="none"/>
        </w:rPr>
        <w:t> </w:t>
      </w:r>
    </w:p>
    <w:p w14:paraId="1EF655DE">
      <w:pPr>
        <w:rPr>
          <w:color w:val="auto"/>
          <w:highlight w:val="none"/>
        </w:rPr>
      </w:pPr>
    </w:p>
    <w:p w14:paraId="31325640">
      <w:pPr>
        <w:pStyle w:val="425"/>
        <w:jc w:val="center"/>
        <w:outlineLvl w:val="1"/>
        <w:rPr>
          <w:color w:val="auto"/>
          <w:highlight w:val="none"/>
        </w:rPr>
      </w:pPr>
      <w:r>
        <w:rPr>
          <w:color w:val="auto"/>
          <w:highlight w:val="none"/>
        </w:rPr>
        <w:br w:type="page"/>
      </w:r>
      <w:bookmarkStart w:id="76" w:name="_Toc11482"/>
      <w:bookmarkStart w:id="77" w:name="_Toc5903"/>
      <w:bookmarkStart w:id="78" w:name="_Toc514054485"/>
      <w:r>
        <w:rPr>
          <w:color w:val="auto"/>
          <w:highlight w:val="none"/>
        </w:rPr>
        <w:t>目录</w:t>
      </w:r>
      <w:bookmarkEnd w:id="76"/>
      <w:bookmarkEnd w:id="77"/>
      <w:bookmarkEnd w:id="78"/>
    </w:p>
    <w:p w14:paraId="5182D75E">
      <w:pPr>
        <w:pStyle w:val="407"/>
        <w:spacing w:after="100" w:afterAutospacing="1"/>
        <w:rPr>
          <w:color w:val="auto"/>
          <w:highlight w:val="none"/>
        </w:rPr>
      </w:pPr>
      <w:r>
        <w:rPr>
          <w:rFonts w:ascii="宋体" w:hAnsi="宋体" w:eastAsia="宋体" w:cs="宋体"/>
          <w:color w:val="auto"/>
          <w:highlight w:val="none"/>
        </w:rPr>
        <w:t>一、</w:t>
      </w:r>
      <w:r>
        <w:rPr>
          <w:rFonts w:hint="eastAsia" w:ascii="宋体" w:hAnsi="宋体" w:eastAsia="宋体" w:cs="宋体"/>
          <w:color w:val="auto"/>
          <w:highlight w:val="none"/>
          <w:lang w:eastAsia="zh-CN"/>
        </w:rPr>
        <w:t>供应商</w:t>
      </w:r>
      <w:r>
        <w:rPr>
          <w:rFonts w:ascii="宋体" w:hAnsi="宋体" w:eastAsia="宋体" w:cs="宋体"/>
          <w:color w:val="auto"/>
          <w:highlight w:val="none"/>
        </w:rPr>
        <w:t>基本情况</w:t>
      </w:r>
    </w:p>
    <w:p w14:paraId="2FE944B0">
      <w:pPr>
        <w:pStyle w:val="407"/>
        <w:spacing w:after="100" w:afterAutospacing="1"/>
        <w:rPr>
          <w:color w:val="auto"/>
          <w:highlight w:val="none"/>
        </w:rPr>
      </w:pPr>
      <w:r>
        <w:rPr>
          <w:rFonts w:ascii="宋体" w:hAnsi="宋体" w:eastAsia="宋体" w:cs="宋体"/>
          <w:color w:val="auto"/>
          <w:highlight w:val="none"/>
        </w:rPr>
        <w:t>二、</w:t>
      </w:r>
      <w:r>
        <w:rPr>
          <w:rFonts w:hint="eastAsia" w:ascii="宋体" w:hAnsi="宋体" w:eastAsia="宋体" w:cs="宋体"/>
          <w:color w:val="auto"/>
          <w:highlight w:val="none"/>
          <w:lang w:eastAsia="zh-CN"/>
        </w:rPr>
        <w:t>供应商</w:t>
      </w:r>
      <w:r>
        <w:rPr>
          <w:rFonts w:ascii="宋体" w:hAnsi="宋体" w:eastAsia="宋体" w:cs="宋体"/>
          <w:color w:val="auto"/>
          <w:highlight w:val="none"/>
        </w:rPr>
        <w:t>资质</w:t>
      </w:r>
    </w:p>
    <w:p w14:paraId="3642ECC0">
      <w:pPr>
        <w:pStyle w:val="407"/>
        <w:spacing w:after="100" w:afterAutospacing="1"/>
        <w:rPr>
          <w:color w:val="auto"/>
          <w:highlight w:val="none"/>
        </w:rPr>
      </w:pPr>
      <w:r>
        <w:rPr>
          <w:rFonts w:ascii="宋体" w:hAnsi="宋体" w:eastAsia="宋体" w:cs="宋体"/>
          <w:color w:val="auto"/>
          <w:highlight w:val="none"/>
        </w:rPr>
        <w:t>三、</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具有良好的商业信誉和健全的财务会计制度</w:t>
      </w:r>
    </w:p>
    <w:p w14:paraId="0EA1E64F">
      <w:pPr>
        <w:pStyle w:val="407"/>
        <w:spacing w:after="100" w:afterAutospacing="1"/>
        <w:rPr>
          <w:color w:val="auto"/>
          <w:highlight w:val="none"/>
        </w:rPr>
      </w:pPr>
      <w:r>
        <w:rPr>
          <w:rFonts w:ascii="宋体" w:hAnsi="宋体" w:eastAsia="宋体" w:cs="宋体"/>
          <w:color w:val="auto"/>
          <w:highlight w:val="none"/>
        </w:rPr>
        <w:t>四、</w:t>
      </w:r>
      <w:r>
        <w:rPr>
          <w:rFonts w:hint="eastAsia" w:ascii="宋体" w:hAnsi="宋体" w:cs="Arial"/>
          <w:bCs/>
          <w:color w:val="auto"/>
          <w:highlight w:val="none"/>
        </w:rPr>
        <w:t>具有履行合同所必需的设备和专业技术能力</w:t>
      </w:r>
    </w:p>
    <w:p w14:paraId="35AB6287">
      <w:pPr>
        <w:pStyle w:val="407"/>
        <w:spacing w:after="100" w:afterAutospacing="1"/>
        <w:rPr>
          <w:rFonts w:hint="eastAsia" w:ascii="宋体" w:hAnsi="宋体" w:cs="Arial"/>
          <w:bCs/>
          <w:color w:val="auto"/>
          <w:highlight w:val="none"/>
        </w:rPr>
      </w:pPr>
      <w:r>
        <w:rPr>
          <w:rFonts w:ascii="宋体" w:hAnsi="宋体" w:eastAsia="宋体" w:cs="宋体"/>
          <w:color w:val="auto"/>
          <w:highlight w:val="none"/>
        </w:rPr>
        <w:t>五、</w:t>
      </w:r>
      <w:r>
        <w:rPr>
          <w:rFonts w:hint="eastAsia" w:ascii="宋体" w:hAnsi="宋体" w:cs="Arial"/>
          <w:bCs/>
          <w:color w:val="auto"/>
          <w:highlight w:val="none"/>
        </w:rPr>
        <w:t>有依法缴纳税收和社会保障资金的良好记录</w:t>
      </w:r>
    </w:p>
    <w:p w14:paraId="053AC3D4">
      <w:pPr>
        <w:pStyle w:val="407"/>
        <w:spacing w:after="100" w:afterAutospacing="1"/>
        <w:rPr>
          <w:color w:val="auto"/>
          <w:highlight w:val="none"/>
        </w:rPr>
      </w:pPr>
      <w:r>
        <w:rPr>
          <w:rFonts w:ascii="宋体" w:hAnsi="宋体" w:eastAsia="宋体" w:cs="宋体"/>
          <w:color w:val="auto"/>
          <w:highlight w:val="none"/>
        </w:rPr>
        <w:t>六、无重大违法行为声明</w:t>
      </w:r>
    </w:p>
    <w:p w14:paraId="70596C91">
      <w:pPr>
        <w:pStyle w:val="407"/>
        <w:spacing w:after="100" w:afterAutospacing="1"/>
        <w:rPr>
          <w:color w:val="auto"/>
          <w:highlight w:val="none"/>
        </w:rPr>
      </w:pPr>
      <w:r>
        <w:rPr>
          <w:rFonts w:ascii="宋体" w:hAnsi="宋体" w:eastAsia="宋体" w:cs="宋体"/>
          <w:color w:val="auto"/>
          <w:highlight w:val="none"/>
        </w:rPr>
        <w:t>七、投标函</w:t>
      </w:r>
    </w:p>
    <w:p w14:paraId="20F77FE8">
      <w:pPr>
        <w:pStyle w:val="407"/>
        <w:spacing w:after="100" w:afterAutospacing="1"/>
        <w:rPr>
          <w:color w:val="auto"/>
          <w:highlight w:val="none"/>
        </w:rPr>
      </w:pPr>
      <w:r>
        <w:rPr>
          <w:rFonts w:ascii="宋体" w:hAnsi="宋体" w:eastAsia="宋体" w:cs="宋体"/>
          <w:color w:val="auto"/>
          <w:highlight w:val="none"/>
        </w:rPr>
        <w:t>八、法定代表人身份证明或授权委托书</w:t>
      </w:r>
    </w:p>
    <w:p w14:paraId="518A052C">
      <w:pPr>
        <w:pStyle w:val="407"/>
        <w:spacing w:after="100" w:afterAutospacing="1"/>
        <w:rPr>
          <w:color w:val="auto"/>
          <w:highlight w:val="none"/>
        </w:rPr>
      </w:pPr>
      <w:r>
        <w:rPr>
          <w:rFonts w:ascii="宋体" w:hAnsi="宋体" w:eastAsia="宋体" w:cs="宋体"/>
          <w:color w:val="auto"/>
          <w:highlight w:val="none"/>
        </w:rPr>
        <w:t>九、开标一览表</w:t>
      </w:r>
    </w:p>
    <w:p w14:paraId="1161A97C">
      <w:pPr>
        <w:pStyle w:val="407"/>
        <w:spacing w:after="100" w:afterAutospacing="1"/>
        <w:rPr>
          <w:color w:val="auto"/>
          <w:highlight w:val="none"/>
        </w:rPr>
      </w:pPr>
      <w:r>
        <w:rPr>
          <w:rFonts w:ascii="宋体" w:hAnsi="宋体" w:eastAsia="宋体" w:cs="宋体"/>
          <w:color w:val="auto"/>
          <w:highlight w:val="none"/>
        </w:rPr>
        <w:t>十、明细报价表</w:t>
      </w:r>
    </w:p>
    <w:p w14:paraId="25F65169">
      <w:pPr>
        <w:pStyle w:val="407"/>
        <w:spacing w:after="100" w:afterAutospacing="1"/>
        <w:rPr>
          <w:color w:val="auto"/>
          <w:highlight w:val="none"/>
        </w:rPr>
      </w:pPr>
      <w:r>
        <w:rPr>
          <w:rFonts w:ascii="宋体" w:hAnsi="宋体" w:eastAsia="宋体" w:cs="宋体"/>
          <w:color w:val="auto"/>
          <w:highlight w:val="none"/>
        </w:rPr>
        <w:t>十一、中小企业声明函</w:t>
      </w:r>
    </w:p>
    <w:p w14:paraId="0A00EF86">
      <w:pPr>
        <w:pStyle w:val="407"/>
        <w:spacing w:after="100" w:afterAutospacing="1"/>
        <w:rPr>
          <w:color w:val="auto"/>
          <w:highlight w:val="none"/>
        </w:rPr>
      </w:pPr>
      <w:r>
        <w:rPr>
          <w:rFonts w:ascii="宋体" w:hAnsi="宋体" w:eastAsia="宋体" w:cs="宋体"/>
          <w:color w:val="auto"/>
          <w:highlight w:val="none"/>
        </w:rPr>
        <w:t>十二、响应偏差表</w:t>
      </w:r>
    </w:p>
    <w:p w14:paraId="48022BB3">
      <w:pPr>
        <w:pStyle w:val="407"/>
        <w:spacing w:after="100" w:afterAutospacing="1"/>
        <w:rPr>
          <w:color w:val="auto"/>
          <w:highlight w:val="none"/>
        </w:rPr>
      </w:pPr>
      <w:r>
        <w:rPr>
          <w:rFonts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ascii="宋体" w:hAnsi="宋体" w:eastAsia="宋体" w:cs="宋体"/>
          <w:color w:val="auto"/>
          <w:highlight w:val="none"/>
        </w:rPr>
        <w:t>、</w:t>
      </w:r>
      <w:bookmarkStart w:id="79" w:name="_Toc21060_WPSOffice_Level2"/>
      <w:r>
        <w:rPr>
          <w:rFonts w:hint="eastAsia" w:ascii="宋体" w:hAnsi="宋体" w:eastAsia="宋体" w:cs="宋体"/>
          <w:color w:val="auto"/>
          <w:highlight w:val="none"/>
          <w:lang w:val="en-US" w:eastAsia="zh-CN"/>
        </w:rPr>
        <w:t>服务</w:t>
      </w:r>
      <w:r>
        <w:rPr>
          <w:rFonts w:ascii="宋体" w:hAnsi="宋体" w:eastAsia="宋体" w:cs="宋体"/>
          <w:color w:val="auto"/>
          <w:highlight w:val="none"/>
        </w:rPr>
        <w:t>方案</w:t>
      </w:r>
      <w:bookmarkEnd w:id="79"/>
    </w:p>
    <w:p w14:paraId="0A3419EC">
      <w:pPr>
        <w:pStyle w:val="407"/>
        <w:spacing w:after="100" w:afterAutospacing="1"/>
        <w:rPr>
          <w:rFonts w:ascii="宋体" w:hAnsi="宋体" w:eastAsia="宋体" w:cs="宋体"/>
          <w:color w:val="auto"/>
          <w:highlight w:val="none"/>
        </w:rPr>
      </w:pPr>
      <w:r>
        <w:rPr>
          <w:rFonts w:ascii="宋体" w:hAnsi="宋体" w:eastAsia="宋体" w:cs="宋体"/>
          <w:color w:val="auto"/>
          <w:highlight w:val="none"/>
        </w:rPr>
        <w:t>十</w:t>
      </w:r>
      <w:r>
        <w:rPr>
          <w:rFonts w:hint="eastAsia" w:ascii="宋体" w:hAnsi="宋体" w:eastAsia="宋体" w:cs="宋体"/>
          <w:color w:val="auto"/>
          <w:highlight w:val="none"/>
          <w:lang w:val="en-US" w:eastAsia="zh-CN"/>
        </w:rPr>
        <w:t>四</w:t>
      </w:r>
      <w:r>
        <w:rPr>
          <w:rFonts w:ascii="宋体" w:hAnsi="宋体" w:eastAsia="宋体" w:cs="宋体"/>
          <w:color w:val="auto"/>
          <w:highlight w:val="none"/>
        </w:rPr>
        <w:t>、</w:t>
      </w:r>
      <w:r>
        <w:rPr>
          <w:rFonts w:hint="eastAsia" w:ascii="宋体" w:hAnsi="宋体" w:eastAsia="宋体" w:cs="宋体"/>
          <w:color w:val="auto"/>
          <w:highlight w:val="none"/>
          <w:lang w:eastAsia="zh-CN"/>
        </w:rPr>
        <w:t>供应商</w:t>
      </w:r>
      <w:r>
        <w:rPr>
          <w:rFonts w:ascii="宋体" w:hAnsi="宋体" w:eastAsia="宋体" w:cs="宋体"/>
          <w:color w:val="auto"/>
          <w:highlight w:val="none"/>
        </w:rPr>
        <w:t>项目业绩一览表</w:t>
      </w:r>
    </w:p>
    <w:p w14:paraId="70E0CBD0">
      <w:pPr>
        <w:pStyle w:val="407"/>
        <w:spacing w:after="100" w:afterAutospacing="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十五、服务承诺</w:t>
      </w:r>
    </w:p>
    <w:p w14:paraId="30DA8522">
      <w:pPr>
        <w:pStyle w:val="407"/>
        <w:spacing w:after="100" w:afterAutospacing="1"/>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十六、专家清单</w:t>
      </w:r>
    </w:p>
    <w:p w14:paraId="593D72D0">
      <w:pPr>
        <w:pStyle w:val="407"/>
        <w:spacing w:after="100" w:afterAutospacing="1"/>
        <w:rPr>
          <w:color w:val="auto"/>
          <w:highlight w:val="none"/>
        </w:rPr>
      </w:pPr>
      <w:r>
        <w:rPr>
          <w:rFonts w:ascii="宋体" w:hAnsi="宋体" w:eastAsia="宋体" w:cs="宋体"/>
          <w:color w:val="auto"/>
          <w:highlight w:val="none"/>
        </w:rPr>
        <w:t>十</w:t>
      </w:r>
      <w:r>
        <w:rPr>
          <w:rFonts w:hint="eastAsia" w:ascii="宋体" w:hAnsi="宋体" w:eastAsia="宋体" w:cs="宋体"/>
          <w:color w:val="auto"/>
          <w:highlight w:val="none"/>
          <w:lang w:val="en-US" w:eastAsia="zh-CN"/>
        </w:rPr>
        <w:t>七</w:t>
      </w:r>
      <w:r>
        <w:rPr>
          <w:rFonts w:ascii="宋体" w:hAnsi="宋体" w:eastAsia="宋体" w:cs="宋体"/>
          <w:color w:val="auto"/>
          <w:highlight w:val="none"/>
        </w:rPr>
        <w:t>、投标所需其他材料</w:t>
      </w:r>
    </w:p>
    <w:p w14:paraId="0AAB0238">
      <w:pPr>
        <w:rPr>
          <w:color w:val="auto"/>
          <w:highlight w:val="none"/>
        </w:rPr>
      </w:pPr>
    </w:p>
    <w:p w14:paraId="238ED58B">
      <w:pPr>
        <w:pStyle w:val="291"/>
        <w:outlineLvl w:val="1"/>
        <w:rPr>
          <w:color w:val="auto"/>
          <w:highlight w:val="none"/>
        </w:rPr>
      </w:pPr>
      <w:r>
        <w:rPr>
          <w:color w:val="auto"/>
          <w:highlight w:val="none"/>
        </w:rPr>
        <w:br w:type="page"/>
      </w:r>
      <w:bookmarkStart w:id="80" w:name="_Toc21860"/>
      <w:bookmarkStart w:id="81" w:name="_Toc23205_WPSOffice_Level2"/>
      <w:bookmarkStart w:id="82" w:name="_Toc514054486"/>
      <w:bookmarkStart w:id="83" w:name="_Toc21292"/>
      <w:r>
        <w:rPr>
          <w:color w:val="auto"/>
          <w:highlight w:val="none"/>
        </w:rPr>
        <w:t>一、</w:t>
      </w:r>
      <w:r>
        <w:rPr>
          <w:rFonts w:hint="eastAsia"/>
          <w:color w:val="auto"/>
          <w:highlight w:val="none"/>
          <w:lang w:eastAsia="zh-CN"/>
        </w:rPr>
        <w:t>供应商</w:t>
      </w:r>
      <w:r>
        <w:rPr>
          <w:color w:val="auto"/>
          <w:highlight w:val="none"/>
        </w:rPr>
        <w:t>基本情况</w:t>
      </w:r>
      <w:bookmarkEnd w:id="80"/>
      <w:bookmarkEnd w:id="81"/>
      <w:bookmarkEnd w:id="82"/>
      <w:bookmarkEnd w:id="83"/>
    </w:p>
    <w:p w14:paraId="7D032476">
      <w:pPr>
        <w:pStyle w:val="201"/>
        <w:jc w:val="center"/>
        <w:rPr>
          <w:rFonts w:hint="eastAsia"/>
          <w:color w:val="auto"/>
          <w:sz w:val="44"/>
          <w:szCs w:val="44"/>
          <w:highlight w:val="none"/>
        </w:rPr>
      </w:pPr>
      <w:r>
        <w:rPr>
          <w:rFonts w:hint="eastAsia"/>
          <w:color w:val="auto"/>
          <w:sz w:val="44"/>
          <w:szCs w:val="44"/>
          <w:highlight w:val="none"/>
          <w:lang w:eastAsia="zh-CN"/>
        </w:rPr>
        <w:t>供应商</w:t>
      </w:r>
      <w:r>
        <w:rPr>
          <w:rFonts w:hint="eastAsia"/>
          <w:color w:val="auto"/>
          <w:sz w:val="44"/>
          <w:szCs w:val="44"/>
          <w:highlight w:val="none"/>
        </w:rPr>
        <w:t>基本情况表</w:t>
      </w:r>
    </w:p>
    <w:tbl>
      <w:tblPr>
        <w:tblStyle w:val="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21F32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DD90616">
            <w:pPr>
              <w:pStyle w:val="201"/>
              <w:spacing w:line="60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6998" w:type="dxa"/>
            <w:gridSpan w:val="3"/>
            <w:vAlign w:val="center"/>
          </w:tcPr>
          <w:p w14:paraId="060C88D3">
            <w:pPr>
              <w:pStyle w:val="201"/>
              <w:spacing w:line="600" w:lineRule="exact"/>
              <w:jc w:val="center"/>
              <w:rPr>
                <w:rFonts w:hint="eastAsia" w:ascii="宋体" w:hAnsi="宋体" w:eastAsia="宋体" w:cs="宋体"/>
                <w:color w:val="auto"/>
                <w:sz w:val="24"/>
                <w:szCs w:val="24"/>
                <w:highlight w:val="none"/>
              </w:rPr>
            </w:pPr>
          </w:p>
        </w:tc>
      </w:tr>
      <w:tr w14:paraId="1335E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AF93EC8">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3118" w:type="dxa"/>
            <w:vAlign w:val="center"/>
          </w:tcPr>
          <w:p w14:paraId="556DAA0E">
            <w:pPr>
              <w:pStyle w:val="201"/>
              <w:spacing w:line="600" w:lineRule="exact"/>
              <w:jc w:val="center"/>
              <w:rPr>
                <w:rFonts w:hint="eastAsia" w:ascii="宋体" w:hAnsi="宋体" w:eastAsia="宋体" w:cs="宋体"/>
                <w:color w:val="auto"/>
                <w:sz w:val="24"/>
                <w:szCs w:val="24"/>
                <w:highlight w:val="none"/>
              </w:rPr>
            </w:pPr>
          </w:p>
        </w:tc>
        <w:tc>
          <w:tcPr>
            <w:tcW w:w="1276" w:type="dxa"/>
            <w:vAlign w:val="center"/>
          </w:tcPr>
          <w:p w14:paraId="2BB486EF">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注册地区</w:t>
            </w:r>
          </w:p>
        </w:tc>
        <w:tc>
          <w:tcPr>
            <w:tcW w:w="2604" w:type="dxa"/>
            <w:vAlign w:val="center"/>
          </w:tcPr>
          <w:p w14:paraId="4AE64B3A">
            <w:pPr>
              <w:pStyle w:val="201"/>
              <w:spacing w:line="600" w:lineRule="exact"/>
              <w:jc w:val="center"/>
              <w:rPr>
                <w:rFonts w:hint="eastAsia" w:ascii="宋体" w:hAnsi="宋体" w:eastAsia="宋体" w:cs="宋体"/>
                <w:color w:val="auto"/>
                <w:sz w:val="24"/>
                <w:szCs w:val="24"/>
                <w:highlight w:val="none"/>
              </w:rPr>
            </w:pPr>
          </w:p>
        </w:tc>
      </w:tr>
      <w:tr w14:paraId="7ADE9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1512898B">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3118" w:type="dxa"/>
            <w:vAlign w:val="center"/>
          </w:tcPr>
          <w:p w14:paraId="40FE474E">
            <w:pPr>
              <w:pStyle w:val="201"/>
              <w:spacing w:line="600" w:lineRule="exact"/>
              <w:jc w:val="center"/>
              <w:rPr>
                <w:rFonts w:hint="eastAsia" w:ascii="宋体" w:hAnsi="宋体" w:eastAsia="宋体" w:cs="宋体"/>
                <w:color w:val="auto"/>
                <w:sz w:val="24"/>
                <w:szCs w:val="24"/>
                <w:highlight w:val="none"/>
              </w:rPr>
            </w:pPr>
          </w:p>
        </w:tc>
        <w:tc>
          <w:tcPr>
            <w:tcW w:w="1276" w:type="dxa"/>
            <w:vAlign w:val="center"/>
          </w:tcPr>
          <w:p w14:paraId="1EC04824">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604" w:type="dxa"/>
            <w:vAlign w:val="center"/>
          </w:tcPr>
          <w:p w14:paraId="7FAA201F">
            <w:pPr>
              <w:pStyle w:val="201"/>
              <w:spacing w:line="600" w:lineRule="exact"/>
              <w:jc w:val="center"/>
              <w:rPr>
                <w:rFonts w:hint="eastAsia" w:ascii="宋体" w:hAnsi="宋体" w:eastAsia="宋体" w:cs="宋体"/>
                <w:color w:val="auto"/>
                <w:sz w:val="24"/>
                <w:szCs w:val="24"/>
                <w:highlight w:val="none"/>
              </w:rPr>
            </w:pPr>
          </w:p>
        </w:tc>
      </w:tr>
      <w:tr w14:paraId="6ED5C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5742D23">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3118" w:type="dxa"/>
            <w:vAlign w:val="center"/>
          </w:tcPr>
          <w:p w14:paraId="25D331C8">
            <w:pPr>
              <w:pStyle w:val="201"/>
              <w:spacing w:line="600" w:lineRule="exact"/>
              <w:jc w:val="center"/>
              <w:rPr>
                <w:rFonts w:hint="eastAsia" w:ascii="宋体" w:hAnsi="宋体" w:eastAsia="宋体" w:cs="宋体"/>
                <w:color w:val="auto"/>
                <w:sz w:val="24"/>
                <w:szCs w:val="24"/>
                <w:highlight w:val="none"/>
              </w:rPr>
            </w:pPr>
          </w:p>
        </w:tc>
        <w:tc>
          <w:tcPr>
            <w:tcW w:w="1276" w:type="dxa"/>
            <w:vAlign w:val="center"/>
          </w:tcPr>
          <w:p w14:paraId="6CF70818">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p>
        </w:tc>
        <w:tc>
          <w:tcPr>
            <w:tcW w:w="2604" w:type="dxa"/>
            <w:vAlign w:val="center"/>
          </w:tcPr>
          <w:p w14:paraId="472597D2">
            <w:pPr>
              <w:pStyle w:val="201"/>
              <w:spacing w:line="600" w:lineRule="exact"/>
              <w:jc w:val="center"/>
              <w:rPr>
                <w:rFonts w:hint="eastAsia" w:ascii="宋体" w:hAnsi="宋体" w:eastAsia="宋体" w:cs="宋体"/>
                <w:color w:val="auto"/>
                <w:sz w:val="24"/>
                <w:szCs w:val="24"/>
                <w:highlight w:val="none"/>
              </w:rPr>
            </w:pPr>
          </w:p>
        </w:tc>
      </w:tr>
      <w:tr w14:paraId="02532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33A48E15">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注册号或社会信用代码</w:t>
            </w:r>
          </w:p>
        </w:tc>
        <w:tc>
          <w:tcPr>
            <w:tcW w:w="3118" w:type="dxa"/>
            <w:vAlign w:val="center"/>
          </w:tcPr>
          <w:p w14:paraId="79A61D2E">
            <w:pPr>
              <w:pStyle w:val="201"/>
              <w:spacing w:line="600" w:lineRule="exact"/>
              <w:jc w:val="center"/>
              <w:rPr>
                <w:rFonts w:hint="eastAsia" w:ascii="宋体" w:hAnsi="宋体" w:eastAsia="宋体" w:cs="宋体"/>
                <w:color w:val="auto"/>
                <w:sz w:val="24"/>
                <w:szCs w:val="24"/>
                <w:highlight w:val="none"/>
              </w:rPr>
            </w:pPr>
          </w:p>
        </w:tc>
        <w:tc>
          <w:tcPr>
            <w:tcW w:w="1276" w:type="dxa"/>
            <w:vAlign w:val="center"/>
          </w:tcPr>
          <w:p w14:paraId="5D993BA7">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注册资本（万元）</w:t>
            </w:r>
          </w:p>
        </w:tc>
        <w:tc>
          <w:tcPr>
            <w:tcW w:w="2604" w:type="dxa"/>
            <w:vAlign w:val="center"/>
          </w:tcPr>
          <w:p w14:paraId="66D9E223">
            <w:pPr>
              <w:pStyle w:val="201"/>
              <w:spacing w:line="600" w:lineRule="exact"/>
              <w:jc w:val="center"/>
              <w:rPr>
                <w:rFonts w:hint="eastAsia" w:ascii="宋体" w:hAnsi="宋体" w:eastAsia="宋体" w:cs="宋体"/>
                <w:color w:val="auto"/>
                <w:sz w:val="24"/>
                <w:szCs w:val="24"/>
                <w:highlight w:val="none"/>
              </w:rPr>
            </w:pPr>
          </w:p>
        </w:tc>
      </w:tr>
      <w:tr w14:paraId="5613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0D65B565">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3118" w:type="dxa"/>
            <w:vAlign w:val="center"/>
          </w:tcPr>
          <w:p w14:paraId="6FC70A9C">
            <w:pPr>
              <w:pStyle w:val="201"/>
              <w:spacing w:line="600" w:lineRule="exact"/>
              <w:jc w:val="center"/>
              <w:rPr>
                <w:rFonts w:hint="eastAsia" w:ascii="宋体" w:hAnsi="宋体" w:eastAsia="宋体" w:cs="宋体"/>
                <w:color w:val="auto"/>
                <w:sz w:val="24"/>
                <w:szCs w:val="24"/>
                <w:highlight w:val="none"/>
              </w:rPr>
            </w:pPr>
          </w:p>
        </w:tc>
        <w:tc>
          <w:tcPr>
            <w:tcW w:w="1276" w:type="dxa"/>
            <w:vAlign w:val="center"/>
          </w:tcPr>
          <w:p w14:paraId="6E4B29D1">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2604" w:type="dxa"/>
            <w:vAlign w:val="center"/>
          </w:tcPr>
          <w:p w14:paraId="29DF8639">
            <w:pPr>
              <w:pStyle w:val="201"/>
              <w:spacing w:line="600" w:lineRule="exact"/>
              <w:jc w:val="center"/>
              <w:rPr>
                <w:rFonts w:hint="eastAsia" w:ascii="宋体" w:hAnsi="宋体" w:eastAsia="宋体" w:cs="宋体"/>
                <w:color w:val="auto"/>
                <w:sz w:val="24"/>
                <w:szCs w:val="24"/>
                <w:highlight w:val="none"/>
              </w:rPr>
            </w:pPr>
          </w:p>
        </w:tc>
      </w:tr>
      <w:tr w14:paraId="4C71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3E43754">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3118" w:type="dxa"/>
            <w:vAlign w:val="center"/>
          </w:tcPr>
          <w:p w14:paraId="36AB1C2E">
            <w:pPr>
              <w:pStyle w:val="201"/>
              <w:spacing w:line="600" w:lineRule="exact"/>
              <w:jc w:val="center"/>
              <w:rPr>
                <w:rFonts w:hint="eastAsia" w:ascii="宋体" w:hAnsi="宋体" w:eastAsia="宋体" w:cs="宋体"/>
                <w:color w:val="auto"/>
                <w:sz w:val="24"/>
                <w:szCs w:val="24"/>
                <w:highlight w:val="none"/>
              </w:rPr>
            </w:pPr>
          </w:p>
        </w:tc>
        <w:tc>
          <w:tcPr>
            <w:tcW w:w="1276" w:type="dxa"/>
            <w:vAlign w:val="center"/>
          </w:tcPr>
          <w:p w14:paraId="7E72BCD6">
            <w:pPr>
              <w:pStyle w:val="201"/>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604" w:type="dxa"/>
            <w:vAlign w:val="center"/>
          </w:tcPr>
          <w:p w14:paraId="7E4B311A">
            <w:pPr>
              <w:pStyle w:val="201"/>
              <w:spacing w:line="600" w:lineRule="exact"/>
              <w:jc w:val="center"/>
              <w:rPr>
                <w:rFonts w:hint="eastAsia" w:ascii="宋体" w:hAnsi="宋体" w:eastAsia="宋体" w:cs="宋体"/>
                <w:color w:val="auto"/>
                <w:sz w:val="24"/>
                <w:szCs w:val="24"/>
                <w:highlight w:val="none"/>
              </w:rPr>
            </w:pPr>
          </w:p>
        </w:tc>
      </w:tr>
      <w:tr w14:paraId="407A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3DDE90F0">
            <w:pPr>
              <w:pStyle w:val="201"/>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998" w:type="dxa"/>
            <w:gridSpan w:val="3"/>
          </w:tcPr>
          <w:p w14:paraId="4D81F9BA">
            <w:pPr>
              <w:pStyle w:val="201"/>
              <w:spacing w:line="560" w:lineRule="exact"/>
              <w:ind w:firstLine="1432" w:firstLineChars="597"/>
              <w:rPr>
                <w:rFonts w:hint="eastAsia" w:ascii="宋体" w:hAnsi="宋体" w:eastAsia="宋体" w:cs="宋体"/>
                <w:color w:val="auto"/>
                <w:sz w:val="24"/>
                <w:szCs w:val="24"/>
                <w:highlight w:val="none"/>
              </w:rPr>
            </w:pPr>
          </w:p>
        </w:tc>
      </w:tr>
      <w:tr w14:paraId="050B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45E82543">
            <w:pPr>
              <w:pStyle w:val="201"/>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998" w:type="dxa"/>
            <w:gridSpan w:val="3"/>
            <w:vAlign w:val="center"/>
          </w:tcPr>
          <w:p w14:paraId="713D86CB">
            <w:pPr>
              <w:pStyle w:val="201"/>
              <w:spacing w:line="500" w:lineRule="exact"/>
              <w:jc w:val="center"/>
              <w:rPr>
                <w:rFonts w:hint="eastAsia" w:ascii="宋体" w:hAnsi="宋体" w:eastAsia="宋体" w:cs="宋体"/>
                <w:color w:val="auto"/>
                <w:sz w:val="24"/>
                <w:szCs w:val="24"/>
                <w:highlight w:val="none"/>
              </w:rPr>
            </w:pPr>
          </w:p>
        </w:tc>
      </w:tr>
    </w:tbl>
    <w:p w14:paraId="35DE9E35">
      <w:pPr>
        <w:pStyle w:val="201"/>
        <w:spacing w:line="560" w:lineRule="exact"/>
        <w:jc w:val="center"/>
        <w:rPr>
          <w:rFonts w:hint="eastAsia" w:ascii="方正大标宋简体" w:eastAsia="方正大标宋简体"/>
          <w:bCs/>
          <w:color w:val="auto"/>
          <w:sz w:val="32"/>
          <w:szCs w:val="32"/>
          <w:highlight w:val="none"/>
        </w:rPr>
      </w:pPr>
    </w:p>
    <w:p w14:paraId="75A7AC2D">
      <w:pPr>
        <w:pStyle w:val="178"/>
        <w:outlineLvl w:val="1"/>
        <w:rPr>
          <w:rFonts w:hint="eastAsia"/>
          <w:color w:val="auto"/>
          <w:highlight w:val="none"/>
          <w:lang w:eastAsia="zh-CN"/>
        </w:rPr>
      </w:pPr>
      <w:r>
        <w:rPr>
          <w:color w:val="auto"/>
          <w:highlight w:val="none"/>
        </w:rPr>
        <w:br w:type="page"/>
      </w:r>
      <w:bookmarkStart w:id="84" w:name="_Toc30260_WPSOffice_Level2"/>
      <w:bookmarkStart w:id="85" w:name="_Toc514054487"/>
      <w:bookmarkStart w:id="86" w:name="_Toc29894"/>
      <w:bookmarkStart w:id="87" w:name="_Toc15353"/>
      <w:r>
        <w:rPr>
          <w:color w:val="auto"/>
          <w:highlight w:val="none"/>
        </w:rPr>
        <w:t>二、</w:t>
      </w:r>
      <w:r>
        <w:rPr>
          <w:rFonts w:hint="eastAsia"/>
          <w:color w:val="auto"/>
          <w:highlight w:val="none"/>
          <w:lang w:val="en-US" w:eastAsia="zh-CN"/>
        </w:rPr>
        <w:t>供应商</w:t>
      </w:r>
      <w:r>
        <w:rPr>
          <w:color w:val="auto"/>
          <w:highlight w:val="none"/>
        </w:rPr>
        <w:t>资质</w:t>
      </w:r>
      <w:bookmarkEnd w:id="84"/>
      <w:bookmarkEnd w:id="85"/>
      <w:r>
        <w:rPr>
          <w:rFonts w:hint="eastAsia"/>
          <w:color w:val="auto"/>
          <w:highlight w:val="none"/>
          <w:lang w:eastAsia="zh-CN"/>
        </w:rPr>
        <w:t>（</w:t>
      </w:r>
      <w:r>
        <w:rPr>
          <w:rFonts w:hint="eastAsia"/>
          <w:color w:val="auto"/>
          <w:highlight w:val="none"/>
          <w:lang w:val="en-US" w:eastAsia="zh-CN"/>
        </w:rPr>
        <w:t>按资格要求提供</w:t>
      </w:r>
      <w:r>
        <w:rPr>
          <w:rFonts w:hint="eastAsia"/>
          <w:color w:val="auto"/>
          <w:highlight w:val="none"/>
          <w:lang w:eastAsia="zh-CN"/>
        </w:rPr>
        <w:t>）</w:t>
      </w:r>
      <w:bookmarkEnd w:id="86"/>
      <w:bookmarkEnd w:id="87"/>
    </w:p>
    <w:p w14:paraId="554212DC">
      <w:pPr>
        <w:pStyle w:val="285"/>
        <w:rPr>
          <w:rFonts w:hint="eastAsia"/>
          <w:color w:val="auto"/>
          <w:highlight w:val="none"/>
        </w:rPr>
      </w:pPr>
      <w:r>
        <w:rPr>
          <w:rFonts w:hint="eastAsia"/>
          <w:color w:val="auto"/>
          <w:highlight w:val="none"/>
        </w:rPr>
        <w:t xml:space="preserve">    </w:t>
      </w:r>
      <w:bookmarkStart w:id="88" w:name="_Toc514054488"/>
      <w:bookmarkStart w:id="89" w:name="_Toc21452_WPSOffice_Level2"/>
    </w:p>
    <w:p w14:paraId="1DBB9E9B">
      <w:pPr>
        <w:pStyle w:val="285"/>
        <w:rPr>
          <w:rFonts w:hint="eastAsia"/>
          <w:color w:val="auto"/>
          <w:highlight w:val="none"/>
        </w:rPr>
      </w:pPr>
    </w:p>
    <w:p w14:paraId="3B009B91">
      <w:pPr>
        <w:pStyle w:val="285"/>
        <w:rPr>
          <w:rFonts w:hint="eastAsia"/>
          <w:color w:val="auto"/>
          <w:highlight w:val="none"/>
        </w:rPr>
      </w:pPr>
    </w:p>
    <w:p w14:paraId="29882A2D">
      <w:pPr>
        <w:pStyle w:val="285"/>
        <w:rPr>
          <w:rFonts w:hint="eastAsia"/>
          <w:color w:val="auto"/>
          <w:highlight w:val="none"/>
        </w:rPr>
      </w:pPr>
    </w:p>
    <w:p w14:paraId="6F7DC01F">
      <w:pPr>
        <w:pStyle w:val="285"/>
        <w:rPr>
          <w:rFonts w:hint="eastAsia"/>
          <w:color w:val="auto"/>
          <w:highlight w:val="none"/>
        </w:rPr>
      </w:pPr>
    </w:p>
    <w:p w14:paraId="31F8CD6A">
      <w:pPr>
        <w:pStyle w:val="285"/>
        <w:rPr>
          <w:rFonts w:hint="eastAsia"/>
          <w:color w:val="auto"/>
          <w:highlight w:val="none"/>
        </w:rPr>
      </w:pPr>
    </w:p>
    <w:p w14:paraId="6D490BB9">
      <w:pPr>
        <w:pStyle w:val="285"/>
        <w:rPr>
          <w:rFonts w:hint="eastAsia"/>
          <w:color w:val="auto"/>
          <w:highlight w:val="none"/>
        </w:rPr>
      </w:pPr>
    </w:p>
    <w:p w14:paraId="75CEEBDA">
      <w:pPr>
        <w:pStyle w:val="285"/>
        <w:rPr>
          <w:rFonts w:hint="eastAsia"/>
          <w:color w:val="auto"/>
          <w:highlight w:val="none"/>
        </w:rPr>
      </w:pPr>
    </w:p>
    <w:p w14:paraId="0BC2B200">
      <w:pPr>
        <w:pStyle w:val="285"/>
        <w:rPr>
          <w:rFonts w:hint="eastAsia"/>
          <w:color w:val="auto"/>
          <w:highlight w:val="none"/>
        </w:rPr>
      </w:pPr>
    </w:p>
    <w:p w14:paraId="30BEF734">
      <w:pPr>
        <w:pStyle w:val="285"/>
        <w:rPr>
          <w:rFonts w:hint="eastAsia"/>
          <w:color w:val="auto"/>
          <w:highlight w:val="none"/>
        </w:rPr>
      </w:pPr>
    </w:p>
    <w:p w14:paraId="340E3503">
      <w:pPr>
        <w:pStyle w:val="285"/>
        <w:rPr>
          <w:rFonts w:hint="eastAsia"/>
          <w:color w:val="auto"/>
          <w:highlight w:val="none"/>
        </w:rPr>
      </w:pPr>
    </w:p>
    <w:p w14:paraId="5C5F4FE2">
      <w:pPr>
        <w:pStyle w:val="285"/>
        <w:rPr>
          <w:rFonts w:hint="eastAsia"/>
          <w:color w:val="auto"/>
          <w:highlight w:val="none"/>
        </w:rPr>
      </w:pPr>
    </w:p>
    <w:p w14:paraId="4B4F0298">
      <w:pPr>
        <w:pStyle w:val="285"/>
        <w:rPr>
          <w:rFonts w:hint="eastAsia"/>
          <w:color w:val="auto"/>
          <w:highlight w:val="none"/>
        </w:rPr>
      </w:pPr>
    </w:p>
    <w:p w14:paraId="18E8F5FD">
      <w:pPr>
        <w:pStyle w:val="285"/>
        <w:rPr>
          <w:rFonts w:hint="eastAsia"/>
          <w:color w:val="auto"/>
          <w:highlight w:val="none"/>
        </w:rPr>
      </w:pPr>
    </w:p>
    <w:p w14:paraId="18712411">
      <w:pPr>
        <w:pStyle w:val="285"/>
        <w:rPr>
          <w:rFonts w:hint="eastAsia"/>
          <w:color w:val="auto"/>
          <w:highlight w:val="none"/>
        </w:rPr>
      </w:pPr>
    </w:p>
    <w:p w14:paraId="23510E9D">
      <w:pPr>
        <w:pStyle w:val="285"/>
        <w:rPr>
          <w:rFonts w:hint="eastAsia"/>
          <w:color w:val="auto"/>
          <w:highlight w:val="none"/>
        </w:rPr>
      </w:pPr>
    </w:p>
    <w:p w14:paraId="3401D3BB">
      <w:pPr>
        <w:pStyle w:val="285"/>
        <w:rPr>
          <w:rFonts w:hint="eastAsia"/>
          <w:color w:val="auto"/>
          <w:highlight w:val="none"/>
        </w:rPr>
      </w:pPr>
    </w:p>
    <w:p w14:paraId="2F52AB9D">
      <w:pPr>
        <w:pStyle w:val="285"/>
        <w:rPr>
          <w:rFonts w:hint="eastAsia"/>
          <w:color w:val="auto"/>
          <w:highlight w:val="none"/>
        </w:rPr>
      </w:pPr>
    </w:p>
    <w:p w14:paraId="2533DAE7">
      <w:pPr>
        <w:pStyle w:val="285"/>
        <w:rPr>
          <w:rFonts w:hint="eastAsia"/>
          <w:color w:val="auto"/>
          <w:highlight w:val="none"/>
        </w:rPr>
      </w:pPr>
    </w:p>
    <w:p w14:paraId="5772F74B">
      <w:pPr>
        <w:pStyle w:val="285"/>
        <w:rPr>
          <w:rFonts w:hint="eastAsia"/>
          <w:color w:val="auto"/>
          <w:highlight w:val="none"/>
        </w:rPr>
      </w:pPr>
    </w:p>
    <w:p w14:paraId="77A9CA89">
      <w:pPr>
        <w:pStyle w:val="285"/>
        <w:rPr>
          <w:rFonts w:hint="eastAsia"/>
          <w:color w:val="auto"/>
          <w:highlight w:val="none"/>
        </w:rPr>
      </w:pPr>
    </w:p>
    <w:p w14:paraId="2C7603E1">
      <w:pPr>
        <w:pStyle w:val="285"/>
        <w:outlineLvl w:val="1"/>
        <w:rPr>
          <w:color w:val="auto"/>
          <w:highlight w:val="none"/>
        </w:rPr>
      </w:pPr>
      <w:bookmarkStart w:id="90" w:name="_Toc18935"/>
      <w:bookmarkStart w:id="91" w:name="_Toc23340"/>
      <w:r>
        <w:rPr>
          <w:color w:val="auto"/>
          <w:highlight w:val="none"/>
        </w:rPr>
        <w:t>三、</w:t>
      </w:r>
      <w:bookmarkEnd w:id="88"/>
      <w:bookmarkEnd w:id="89"/>
      <w:bookmarkEnd w:id="90"/>
      <w:r>
        <w:rPr>
          <w:rFonts w:hint="eastAsia"/>
          <w:color w:val="auto"/>
          <w:highlight w:val="none"/>
          <w:lang w:eastAsia="zh-CN"/>
        </w:rPr>
        <w:t>供应商</w:t>
      </w:r>
      <w:r>
        <w:rPr>
          <w:rFonts w:hint="eastAsia" w:ascii="宋体" w:hAnsi="宋体" w:cs="Arial"/>
          <w:bCs/>
          <w:color w:val="auto"/>
          <w:highlight w:val="none"/>
        </w:rPr>
        <w:t>具有良好的商业信誉和健全的财务会计制度</w:t>
      </w:r>
      <w:bookmarkEnd w:id="91"/>
    </w:p>
    <w:p w14:paraId="503B7C13">
      <w:pPr>
        <w:pStyle w:val="404"/>
        <w:rPr>
          <w:color w:val="auto"/>
          <w:highlight w:val="none"/>
        </w:rPr>
      </w:pPr>
      <w:r>
        <w:rPr>
          <w:rFonts w:hint="eastAsia" w:ascii="宋体"/>
          <w:bCs/>
          <w:color w:val="auto"/>
          <w:szCs w:val="32"/>
          <w:highlight w:val="none"/>
        </w:rPr>
        <w:t>提供符合招标文件要求的资料</w:t>
      </w:r>
    </w:p>
    <w:p w14:paraId="71573B20">
      <w:pPr>
        <w:pStyle w:val="376"/>
        <w:outlineLvl w:val="1"/>
        <w:rPr>
          <w:color w:val="auto"/>
          <w:highlight w:val="none"/>
        </w:rPr>
      </w:pPr>
      <w:r>
        <w:rPr>
          <w:color w:val="auto"/>
          <w:highlight w:val="none"/>
        </w:rPr>
        <w:br w:type="page"/>
      </w:r>
      <w:bookmarkStart w:id="92" w:name="_Toc11562_WPSOffice_Level2"/>
      <w:bookmarkStart w:id="93" w:name="_Toc29626"/>
      <w:bookmarkStart w:id="94" w:name="_Toc514054489"/>
      <w:bookmarkStart w:id="95" w:name="_Toc8006"/>
      <w:r>
        <w:rPr>
          <w:color w:val="auto"/>
          <w:highlight w:val="none"/>
        </w:rPr>
        <w:t>四、</w:t>
      </w:r>
      <w:bookmarkEnd w:id="92"/>
      <w:bookmarkEnd w:id="93"/>
      <w:bookmarkEnd w:id="94"/>
      <w:r>
        <w:rPr>
          <w:rFonts w:hint="eastAsia" w:ascii="宋体" w:hAnsi="宋体" w:cs="Arial"/>
          <w:bCs/>
          <w:color w:val="auto"/>
          <w:highlight w:val="none"/>
        </w:rPr>
        <w:t>具有履行合同所必需的设备和专业技术能力</w:t>
      </w:r>
      <w:bookmarkEnd w:id="95"/>
    </w:p>
    <w:p w14:paraId="004D0220">
      <w:pPr>
        <w:pStyle w:val="292"/>
        <w:spacing w:line="600" w:lineRule="exact"/>
        <w:jc w:val="center"/>
        <w:rPr>
          <w:rFonts w:hint="eastAsia" w:ascii="宋体" w:hAnsi="宋体"/>
          <w:b/>
          <w:color w:val="auto"/>
          <w:sz w:val="32"/>
          <w:szCs w:val="24"/>
          <w:highlight w:val="none"/>
        </w:rPr>
      </w:pPr>
      <w:bookmarkStart w:id="96" w:name="_Toc31740_WPSOffice_Level2"/>
    </w:p>
    <w:p w14:paraId="156A8178">
      <w:pPr>
        <w:pStyle w:val="292"/>
        <w:spacing w:line="600" w:lineRule="exact"/>
        <w:jc w:val="center"/>
        <w:rPr>
          <w:rFonts w:hint="eastAsia" w:ascii="宋体" w:hAnsi="宋体"/>
          <w:b/>
          <w:color w:val="auto"/>
          <w:sz w:val="32"/>
          <w:szCs w:val="24"/>
          <w:highlight w:val="none"/>
        </w:rPr>
      </w:pPr>
      <w:r>
        <w:rPr>
          <w:rFonts w:hint="eastAsia" w:ascii="宋体" w:hAnsi="宋体"/>
          <w:b/>
          <w:color w:val="auto"/>
          <w:sz w:val="32"/>
          <w:szCs w:val="24"/>
          <w:highlight w:val="none"/>
        </w:rPr>
        <w:t>具备履行合同所必需的设备和专业技术能力的声明</w:t>
      </w:r>
      <w:bookmarkEnd w:id="96"/>
    </w:p>
    <w:p w14:paraId="65E5980A">
      <w:pPr>
        <w:pStyle w:val="292"/>
        <w:spacing w:line="600" w:lineRule="exact"/>
        <w:rPr>
          <w:rFonts w:hint="eastAsia" w:ascii="仿宋_GB2312" w:eastAsia="仿宋_GB2312"/>
          <w:color w:val="auto"/>
          <w:sz w:val="24"/>
          <w:highlight w:val="none"/>
          <w:u w:val="single"/>
        </w:rPr>
      </w:pPr>
    </w:p>
    <w:p w14:paraId="387792B8">
      <w:pPr>
        <w:pStyle w:val="292"/>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（采购</w:t>
      </w:r>
      <w:r>
        <w:rPr>
          <w:rFonts w:hint="eastAsia" w:ascii="宋体" w:hAnsi="宋体" w:eastAsia="宋体" w:cs="宋体"/>
          <w:color w:val="auto"/>
          <w:sz w:val="24"/>
          <w:highlight w:val="none"/>
          <w:u w:val="single"/>
          <w:lang w:val="en-US" w:eastAsia="zh-CN"/>
        </w:rPr>
        <w:t>人名称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p w14:paraId="3D58DE07">
      <w:pPr>
        <w:pStyle w:val="292"/>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我公司具备履行编号为</w:t>
      </w:r>
      <w:r>
        <w:rPr>
          <w:rFonts w:hint="eastAsia" w:ascii="宋体" w:hAnsi="宋体" w:eastAsia="宋体" w:cs="宋体"/>
          <w:color w:val="auto"/>
          <w:sz w:val="24"/>
          <w:highlight w:val="none"/>
          <w:u w:val="single"/>
        </w:rPr>
        <w:t xml:space="preserve">       号           项目</w:t>
      </w:r>
      <w:r>
        <w:rPr>
          <w:rFonts w:hint="eastAsia" w:ascii="宋体" w:hAnsi="宋体" w:eastAsia="宋体" w:cs="宋体"/>
          <w:color w:val="auto"/>
          <w:sz w:val="24"/>
          <w:highlight w:val="none"/>
        </w:rPr>
        <w:t>合同的设备和专业技术能力。</w:t>
      </w:r>
    </w:p>
    <w:p w14:paraId="107E714D">
      <w:pPr>
        <w:pStyle w:val="292"/>
        <w:spacing w:line="6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特此声明。</w:t>
      </w:r>
    </w:p>
    <w:p w14:paraId="7C307ECB">
      <w:pPr>
        <w:pStyle w:val="292"/>
        <w:spacing w:line="600" w:lineRule="exact"/>
        <w:ind w:firstLine="480" w:firstLineChars="200"/>
        <w:rPr>
          <w:rFonts w:hint="eastAsia" w:ascii="宋体" w:hAnsi="宋体" w:eastAsia="宋体" w:cs="宋体"/>
          <w:color w:val="auto"/>
          <w:sz w:val="24"/>
          <w:highlight w:val="none"/>
        </w:rPr>
      </w:pPr>
    </w:p>
    <w:p w14:paraId="70D6877D">
      <w:pPr>
        <w:pStyle w:val="292"/>
        <w:spacing w:line="600" w:lineRule="exact"/>
        <w:jc w:val="center"/>
        <w:rPr>
          <w:rFonts w:hint="eastAsia" w:ascii="宋体" w:hAnsi="宋体" w:eastAsia="宋体" w:cs="宋体"/>
          <w:b/>
          <w:bCs/>
          <w:color w:val="auto"/>
          <w:sz w:val="32"/>
          <w:szCs w:val="32"/>
          <w:highlight w:val="none"/>
        </w:rPr>
      </w:pPr>
    </w:p>
    <w:p w14:paraId="40BA30A1">
      <w:pPr>
        <w:pStyle w:val="238"/>
        <w:spacing w:line="700" w:lineRule="exact"/>
        <w:ind w:firstLine="629"/>
        <w:rPr>
          <w:rFonts w:hint="eastAsia" w:ascii="宋体" w:hAnsi="宋体" w:eastAsia="宋体" w:cs="宋体"/>
          <w:color w:val="auto"/>
          <w:sz w:val="24"/>
          <w:highlight w:val="none"/>
          <w:u w:val="single"/>
        </w:rPr>
      </w:pP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u w:val="single"/>
          <w:lang w:val="en-US" w:eastAsia="zh-CN"/>
        </w:rPr>
        <w:t>（加盖公章）</w:t>
      </w:r>
    </w:p>
    <w:p w14:paraId="0CE85882">
      <w:pPr>
        <w:pStyle w:val="238"/>
        <w:spacing w:line="70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法定代表人（或授权代表）：（签字或签章）</w:t>
      </w:r>
      <w:r>
        <w:rPr>
          <w:rFonts w:hint="eastAsia" w:ascii="宋体" w:hAnsi="宋体" w:eastAsia="宋体" w:cs="宋体"/>
          <w:color w:val="auto"/>
          <w:sz w:val="24"/>
          <w:highlight w:val="none"/>
          <w:u w:val="single"/>
        </w:rPr>
        <w:t xml:space="preserve">              </w:t>
      </w:r>
    </w:p>
    <w:p w14:paraId="5361634E">
      <w:pPr>
        <w:pStyle w:val="236"/>
        <w:ind w:firstLine="720" w:firstLineChars="300"/>
        <w:rPr>
          <w:rFonts w:hint="eastAsia" w:ascii="宋体" w:hAnsi="宋体" w:eastAsia="宋体" w:cs="宋体"/>
          <w:color w:val="auto"/>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AB618A6">
      <w:pPr>
        <w:pStyle w:val="407"/>
        <w:spacing w:after="100" w:afterAutospacing="1"/>
        <w:rPr>
          <w:rFonts w:hint="eastAsia" w:ascii="宋体" w:hAnsi="宋体" w:cs="Arial"/>
          <w:bCs/>
          <w:color w:val="auto"/>
          <w:highlight w:val="none"/>
        </w:rPr>
      </w:pPr>
      <w:r>
        <w:rPr>
          <w:color w:val="auto"/>
          <w:highlight w:val="none"/>
        </w:rPr>
        <w:br w:type="page"/>
      </w:r>
      <w:bookmarkStart w:id="97" w:name="_Toc514054490"/>
      <w:bookmarkStart w:id="98" w:name="_Toc467_WPSOffice_Level2"/>
      <w:bookmarkStart w:id="99" w:name="_Toc13419"/>
      <w:r>
        <w:rPr>
          <w:rFonts w:hint="eastAsia" w:ascii="宋体" w:hAnsi="宋体" w:eastAsia="黑体" w:cs="Arial"/>
          <w:b/>
          <w:bCs/>
          <w:color w:val="auto"/>
          <w:sz w:val="32"/>
          <w:highlight w:val="none"/>
        </w:rPr>
        <w:t>五、</w:t>
      </w:r>
      <w:bookmarkEnd w:id="97"/>
      <w:bookmarkEnd w:id="98"/>
      <w:bookmarkEnd w:id="99"/>
      <w:r>
        <w:rPr>
          <w:rFonts w:hint="eastAsia" w:ascii="宋体" w:hAnsi="宋体" w:eastAsia="黑体" w:cs="Arial"/>
          <w:b/>
          <w:bCs/>
          <w:color w:val="auto"/>
          <w:sz w:val="32"/>
          <w:highlight w:val="none"/>
        </w:rPr>
        <w:t>有依法缴纳税收和社会保障资金的良好记录</w:t>
      </w:r>
    </w:p>
    <w:p w14:paraId="22DBCB35">
      <w:pPr>
        <w:pStyle w:val="404"/>
        <w:rPr>
          <w:color w:val="auto"/>
          <w:highlight w:val="none"/>
        </w:rPr>
      </w:pPr>
      <w:r>
        <w:rPr>
          <w:rFonts w:hint="eastAsia" w:ascii="宋体"/>
          <w:bCs/>
          <w:color w:val="auto"/>
          <w:szCs w:val="32"/>
          <w:highlight w:val="none"/>
        </w:rPr>
        <w:t>提供符合招标文件要求的资料</w:t>
      </w:r>
    </w:p>
    <w:p w14:paraId="33FFB4F4">
      <w:pPr>
        <w:rPr>
          <w:color w:val="auto"/>
          <w:highlight w:val="none"/>
        </w:rPr>
      </w:pPr>
    </w:p>
    <w:p w14:paraId="29BFD6E4">
      <w:pPr>
        <w:rPr>
          <w:color w:val="auto"/>
          <w:highlight w:val="none"/>
        </w:rPr>
      </w:pPr>
    </w:p>
    <w:p w14:paraId="1423878C">
      <w:pPr>
        <w:rPr>
          <w:color w:val="auto"/>
          <w:highlight w:val="none"/>
        </w:rPr>
      </w:pPr>
    </w:p>
    <w:p w14:paraId="31CB82E8">
      <w:pPr>
        <w:rPr>
          <w:color w:val="auto"/>
          <w:highlight w:val="none"/>
        </w:rPr>
      </w:pPr>
    </w:p>
    <w:p w14:paraId="342E5CF3">
      <w:pPr>
        <w:rPr>
          <w:color w:val="auto"/>
          <w:highlight w:val="none"/>
        </w:rPr>
      </w:pPr>
    </w:p>
    <w:p w14:paraId="176D18F7">
      <w:pPr>
        <w:rPr>
          <w:color w:val="auto"/>
          <w:highlight w:val="none"/>
        </w:rPr>
      </w:pPr>
    </w:p>
    <w:p w14:paraId="742F2306">
      <w:pPr>
        <w:rPr>
          <w:color w:val="auto"/>
          <w:highlight w:val="none"/>
        </w:rPr>
      </w:pPr>
    </w:p>
    <w:p w14:paraId="3748DD2F">
      <w:pPr>
        <w:rPr>
          <w:color w:val="auto"/>
          <w:highlight w:val="none"/>
        </w:rPr>
      </w:pPr>
    </w:p>
    <w:p w14:paraId="0E86F574">
      <w:pPr>
        <w:rPr>
          <w:color w:val="auto"/>
          <w:highlight w:val="none"/>
        </w:rPr>
      </w:pPr>
    </w:p>
    <w:p w14:paraId="5925B486">
      <w:pPr>
        <w:rPr>
          <w:color w:val="auto"/>
          <w:highlight w:val="none"/>
        </w:rPr>
      </w:pPr>
    </w:p>
    <w:p w14:paraId="29962BFC">
      <w:pPr>
        <w:rPr>
          <w:color w:val="auto"/>
          <w:highlight w:val="none"/>
        </w:rPr>
      </w:pPr>
    </w:p>
    <w:p w14:paraId="35A88E0C">
      <w:pPr>
        <w:rPr>
          <w:color w:val="auto"/>
          <w:highlight w:val="none"/>
        </w:rPr>
      </w:pPr>
    </w:p>
    <w:p w14:paraId="5022B688">
      <w:pPr>
        <w:rPr>
          <w:color w:val="auto"/>
          <w:highlight w:val="none"/>
        </w:rPr>
      </w:pPr>
    </w:p>
    <w:p w14:paraId="00C7EEEB">
      <w:pPr>
        <w:rPr>
          <w:color w:val="auto"/>
          <w:highlight w:val="none"/>
        </w:rPr>
      </w:pPr>
    </w:p>
    <w:p w14:paraId="0DA41A08">
      <w:pPr>
        <w:rPr>
          <w:color w:val="auto"/>
          <w:highlight w:val="none"/>
        </w:rPr>
      </w:pPr>
    </w:p>
    <w:p w14:paraId="4066854F">
      <w:pPr>
        <w:rPr>
          <w:color w:val="auto"/>
          <w:highlight w:val="none"/>
        </w:rPr>
      </w:pPr>
    </w:p>
    <w:p w14:paraId="46B65FB3">
      <w:pPr>
        <w:rPr>
          <w:color w:val="auto"/>
          <w:highlight w:val="none"/>
        </w:rPr>
      </w:pPr>
    </w:p>
    <w:p w14:paraId="64B83C92">
      <w:pPr>
        <w:rPr>
          <w:color w:val="auto"/>
          <w:highlight w:val="none"/>
        </w:rPr>
      </w:pPr>
    </w:p>
    <w:p w14:paraId="57224755">
      <w:pPr>
        <w:rPr>
          <w:color w:val="auto"/>
          <w:highlight w:val="none"/>
        </w:rPr>
      </w:pPr>
    </w:p>
    <w:p w14:paraId="6E2579C8">
      <w:pPr>
        <w:rPr>
          <w:color w:val="auto"/>
          <w:highlight w:val="none"/>
        </w:rPr>
      </w:pPr>
    </w:p>
    <w:p w14:paraId="01812F1C">
      <w:pPr>
        <w:rPr>
          <w:color w:val="auto"/>
          <w:highlight w:val="none"/>
        </w:rPr>
      </w:pPr>
    </w:p>
    <w:p w14:paraId="42789C24">
      <w:pPr>
        <w:rPr>
          <w:color w:val="auto"/>
          <w:highlight w:val="none"/>
        </w:rPr>
      </w:pPr>
    </w:p>
    <w:p w14:paraId="16CE85E2">
      <w:pPr>
        <w:rPr>
          <w:color w:val="auto"/>
          <w:highlight w:val="none"/>
        </w:rPr>
      </w:pPr>
    </w:p>
    <w:p w14:paraId="69F149D2">
      <w:pPr>
        <w:rPr>
          <w:color w:val="auto"/>
          <w:highlight w:val="none"/>
        </w:rPr>
      </w:pPr>
    </w:p>
    <w:p w14:paraId="2AB9E1ED">
      <w:pPr>
        <w:rPr>
          <w:color w:val="auto"/>
          <w:highlight w:val="none"/>
        </w:rPr>
      </w:pPr>
    </w:p>
    <w:p w14:paraId="56AEB268">
      <w:pPr>
        <w:rPr>
          <w:color w:val="auto"/>
          <w:highlight w:val="none"/>
        </w:rPr>
      </w:pPr>
    </w:p>
    <w:p w14:paraId="61A451E4">
      <w:pPr>
        <w:rPr>
          <w:color w:val="auto"/>
          <w:highlight w:val="none"/>
        </w:rPr>
      </w:pPr>
    </w:p>
    <w:p w14:paraId="78FC0E75">
      <w:pPr>
        <w:rPr>
          <w:color w:val="auto"/>
          <w:highlight w:val="none"/>
        </w:rPr>
      </w:pPr>
    </w:p>
    <w:p w14:paraId="338C141A">
      <w:pPr>
        <w:rPr>
          <w:color w:val="auto"/>
          <w:highlight w:val="none"/>
        </w:rPr>
      </w:pPr>
    </w:p>
    <w:p w14:paraId="60979313">
      <w:pPr>
        <w:rPr>
          <w:color w:val="auto"/>
          <w:highlight w:val="none"/>
        </w:rPr>
      </w:pPr>
    </w:p>
    <w:p w14:paraId="4AA1D33C">
      <w:pPr>
        <w:rPr>
          <w:color w:val="auto"/>
          <w:highlight w:val="none"/>
        </w:rPr>
      </w:pPr>
    </w:p>
    <w:p w14:paraId="13C0A97B">
      <w:pPr>
        <w:rPr>
          <w:color w:val="auto"/>
          <w:highlight w:val="none"/>
        </w:rPr>
      </w:pPr>
    </w:p>
    <w:p w14:paraId="28C852A1">
      <w:pPr>
        <w:rPr>
          <w:color w:val="auto"/>
          <w:highlight w:val="none"/>
        </w:rPr>
      </w:pPr>
    </w:p>
    <w:p w14:paraId="13F60FA6">
      <w:pPr>
        <w:rPr>
          <w:color w:val="auto"/>
          <w:highlight w:val="none"/>
        </w:rPr>
      </w:pPr>
    </w:p>
    <w:p w14:paraId="563D1E5C">
      <w:pPr>
        <w:rPr>
          <w:color w:val="auto"/>
          <w:highlight w:val="none"/>
        </w:rPr>
      </w:pPr>
    </w:p>
    <w:p w14:paraId="15B2AE98">
      <w:pPr>
        <w:rPr>
          <w:color w:val="auto"/>
          <w:highlight w:val="none"/>
        </w:rPr>
      </w:pPr>
    </w:p>
    <w:p w14:paraId="2E7CB272">
      <w:pPr>
        <w:rPr>
          <w:color w:val="auto"/>
          <w:highlight w:val="none"/>
        </w:rPr>
      </w:pPr>
    </w:p>
    <w:p w14:paraId="1B760B91">
      <w:pPr>
        <w:rPr>
          <w:color w:val="auto"/>
          <w:highlight w:val="none"/>
        </w:rPr>
      </w:pPr>
    </w:p>
    <w:p w14:paraId="1AFED30E">
      <w:pPr>
        <w:rPr>
          <w:color w:val="auto"/>
          <w:highlight w:val="none"/>
        </w:rPr>
      </w:pPr>
    </w:p>
    <w:p w14:paraId="2BF55292">
      <w:pPr>
        <w:rPr>
          <w:color w:val="auto"/>
          <w:highlight w:val="none"/>
        </w:rPr>
      </w:pPr>
    </w:p>
    <w:p w14:paraId="613AC8A8">
      <w:pPr>
        <w:pStyle w:val="382"/>
        <w:outlineLvl w:val="1"/>
        <w:rPr>
          <w:color w:val="auto"/>
          <w:highlight w:val="none"/>
        </w:rPr>
      </w:pPr>
      <w:bookmarkStart w:id="100" w:name="_Toc514054491"/>
      <w:bookmarkStart w:id="101" w:name="_Toc24135"/>
      <w:bookmarkStart w:id="102" w:name="_Toc5571_WPSOffice_Level2"/>
      <w:bookmarkStart w:id="103" w:name="_Toc19673"/>
      <w:r>
        <w:rPr>
          <w:color w:val="auto"/>
          <w:highlight w:val="none"/>
        </w:rPr>
        <w:t>六、无重大违法行为声明</w:t>
      </w:r>
      <w:bookmarkEnd w:id="100"/>
      <w:bookmarkEnd w:id="101"/>
      <w:bookmarkEnd w:id="102"/>
      <w:bookmarkEnd w:id="103"/>
    </w:p>
    <w:p w14:paraId="30EDFC34">
      <w:pPr>
        <w:pStyle w:val="415"/>
        <w:tabs>
          <w:tab w:val="left" w:pos="1498"/>
        </w:tabs>
        <w:spacing w:line="580" w:lineRule="exact"/>
        <w:jc w:val="center"/>
        <w:rPr>
          <w:rFonts w:hint="eastAsia"/>
          <w:b/>
          <w:color w:val="auto"/>
          <w:sz w:val="32"/>
          <w:szCs w:val="32"/>
          <w:highlight w:val="none"/>
        </w:rPr>
      </w:pPr>
      <w:bookmarkStart w:id="104" w:name="_Toc7575_WPSOffice_Level2"/>
      <w:r>
        <w:rPr>
          <w:rFonts w:hint="eastAsia"/>
          <w:b/>
          <w:color w:val="auto"/>
          <w:sz w:val="32"/>
          <w:szCs w:val="32"/>
          <w:highlight w:val="none"/>
        </w:rPr>
        <w:t>无重大违法行为声明</w:t>
      </w:r>
      <w:bookmarkEnd w:id="104"/>
    </w:p>
    <w:p w14:paraId="54A8F034">
      <w:pPr>
        <w:pStyle w:val="415"/>
        <w:tabs>
          <w:tab w:val="left" w:pos="1498"/>
        </w:tabs>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（采购人名称）    </w:t>
      </w:r>
      <w:r>
        <w:rPr>
          <w:rFonts w:hint="eastAsia" w:ascii="宋体" w:hAnsi="宋体" w:eastAsia="宋体" w:cs="宋体"/>
          <w:color w:val="auto"/>
          <w:sz w:val="24"/>
          <w:highlight w:val="none"/>
        </w:rPr>
        <w:t>：</w:t>
      </w:r>
    </w:p>
    <w:p w14:paraId="4A3FF632">
      <w:pPr>
        <w:pStyle w:val="415"/>
        <w:spacing w:line="600" w:lineRule="exact"/>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我公司在参加编号为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项目的投标活动前3年内，在经营活动中没有重大违法记录。</w:t>
      </w:r>
    </w:p>
    <w:p w14:paraId="1431D33A">
      <w:pPr>
        <w:pStyle w:val="415"/>
        <w:spacing w:line="600" w:lineRule="exact"/>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特此声明。</w:t>
      </w:r>
    </w:p>
    <w:p w14:paraId="75EFA215">
      <w:pPr>
        <w:pStyle w:val="415"/>
        <w:spacing w:line="600" w:lineRule="exact"/>
        <w:ind w:firstLine="600"/>
        <w:rPr>
          <w:rFonts w:hint="eastAsia" w:ascii="宋体" w:hAnsi="宋体" w:eastAsia="宋体" w:cs="宋体"/>
          <w:color w:val="auto"/>
          <w:sz w:val="24"/>
          <w:highlight w:val="none"/>
        </w:rPr>
      </w:pPr>
    </w:p>
    <w:p w14:paraId="1D379AA4">
      <w:pPr>
        <w:pStyle w:val="415"/>
        <w:spacing w:line="600" w:lineRule="exact"/>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注：重大违法记录，是指供应商因违法经营受到刑事处罚或者责令停产停业、吊销许可证或者执照、较大数额罚款等行政处罚。</w:t>
      </w:r>
    </w:p>
    <w:p w14:paraId="203D6859">
      <w:pPr>
        <w:pStyle w:val="415"/>
        <w:spacing w:line="600" w:lineRule="exact"/>
        <w:ind w:firstLine="600"/>
        <w:rPr>
          <w:rFonts w:hint="eastAsia" w:ascii="宋体" w:hAnsi="宋体" w:eastAsia="宋体" w:cs="宋体"/>
          <w:color w:val="auto"/>
          <w:sz w:val="24"/>
          <w:highlight w:val="none"/>
        </w:rPr>
      </w:pPr>
    </w:p>
    <w:p w14:paraId="02DCF372">
      <w:pPr>
        <w:pStyle w:val="415"/>
        <w:spacing w:line="600" w:lineRule="exact"/>
        <w:ind w:firstLine="600"/>
        <w:rPr>
          <w:rFonts w:hint="eastAsia" w:ascii="宋体" w:hAnsi="宋体" w:eastAsia="宋体" w:cs="宋体"/>
          <w:color w:val="auto"/>
          <w:sz w:val="24"/>
          <w:highlight w:val="none"/>
        </w:rPr>
      </w:pPr>
    </w:p>
    <w:p w14:paraId="7D858459">
      <w:pPr>
        <w:pStyle w:val="238"/>
        <w:spacing w:line="700" w:lineRule="exact"/>
        <w:ind w:firstLine="629"/>
        <w:rPr>
          <w:rFonts w:hint="eastAsia" w:ascii="宋体" w:hAnsi="宋体" w:eastAsia="宋体" w:cs="宋体"/>
          <w:color w:val="auto"/>
          <w:sz w:val="24"/>
          <w:highlight w:val="none"/>
          <w:u w:val="single"/>
        </w:rPr>
      </w:pP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lang w:val="en-US" w:eastAsia="zh-CN"/>
        </w:rPr>
        <w:t xml:space="preserve"> （加盖公章）</w:t>
      </w:r>
    </w:p>
    <w:p w14:paraId="55E0342F">
      <w:pPr>
        <w:pStyle w:val="238"/>
        <w:spacing w:line="70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法定代表人（或授权代表）：（签字或签章）</w:t>
      </w:r>
      <w:r>
        <w:rPr>
          <w:rFonts w:hint="eastAsia" w:ascii="宋体" w:hAnsi="宋体" w:eastAsia="宋体" w:cs="宋体"/>
          <w:color w:val="auto"/>
          <w:sz w:val="24"/>
          <w:highlight w:val="none"/>
          <w:u w:val="single"/>
        </w:rPr>
        <w:t xml:space="preserve">              </w:t>
      </w:r>
    </w:p>
    <w:p w14:paraId="3D29E6C5">
      <w:pPr>
        <w:pStyle w:val="388"/>
        <w:ind w:firstLine="720" w:firstLineChars="300"/>
        <w:rPr>
          <w:rFonts w:hint="eastAsia" w:ascii="宋体" w:hAnsi="宋体" w:eastAsia="宋体" w:cs="宋体"/>
          <w:color w:val="auto"/>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E93DCD6">
      <w:pPr>
        <w:pStyle w:val="269"/>
        <w:outlineLvl w:val="1"/>
        <w:rPr>
          <w:color w:val="auto"/>
          <w:highlight w:val="none"/>
        </w:rPr>
      </w:pPr>
      <w:r>
        <w:rPr>
          <w:color w:val="auto"/>
          <w:highlight w:val="none"/>
        </w:rPr>
        <w:br w:type="page"/>
      </w:r>
      <w:bookmarkStart w:id="105" w:name="_Toc514054492"/>
      <w:bookmarkStart w:id="106" w:name="_Toc31956_WPSOffice_Level2"/>
      <w:bookmarkStart w:id="107" w:name="_Toc27588"/>
      <w:bookmarkStart w:id="108" w:name="_Toc30396"/>
      <w:r>
        <w:rPr>
          <w:color w:val="auto"/>
          <w:highlight w:val="none"/>
        </w:rPr>
        <w:t>七、投标函</w:t>
      </w:r>
      <w:bookmarkEnd w:id="105"/>
      <w:bookmarkEnd w:id="106"/>
      <w:bookmarkEnd w:id="107"/>
      <w:bookmarkEnd w:id="108"/>
    </w:p>
    <w:p w14:paraId="1AACCA5C">
      <w:pPr>
        <w:pStyle w:val="325"/>
        <w:tabs>
          <w:tab w:val="left" w:pos="1498"/>
        </w:tabs>
        <w:spacing w:line="400" w:lineRule="exact"/>
        <w:rPr>
          <w:rFonts w:hint="eastAsia" w:ascii="宋体" w:hAnsi="宋体" w:eastAsia="宋体" w:cs="宋体"/>
          <w:color w:val="auto"/>
          <w:sz w:val="24"/>
          <w:szCs w:val="22"/>
          <w:highlight w:val="none"/>
        </w:rPr>
      </w:pPr>
      <w:bookmarkStart w:id="109" w:name="_Toc514054493"/>
      <w:bookmarkStart w:id="110" w:name="_Toc22395"/>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B9CCE43">
      <w:pPr>
        <w:pStyle w:val="325"/>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经研究，我们决定参加编号为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的招标活动并投标，为此，我方郑重声明以下诸点，并负法律责任。</w:t>
      </w:r>
    </w:p>
    <w:p w14:paraId="4D1243C9">
      <w:pPr>
        <w:pStyle w:val="325"/>
        <w:numPr>
          <w:ilvl w:val="0"/>
          <w:numId w:val="9"/>
        </w:numPr>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经研究招标文件的全部内容后，我方愿按招标文件的规定要求提供所有货物和服务；</w:t>
      </w:r>
    </w:p>
    <w:p w14:paraId="1D8BCCE8">
      <w:pPr>
        <w:pStyle w:val="325"/>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eastAsia="宋体" w:cs="宋体"/>
          <w:b/>
          <w:bCs/>
          <w:color w:val="auto"/>
          <w:sz w:val="24"/>
          <w:highlight w:val="none"/>
        </w:rPr>
        <w:t xml:space="preserve">我方没有为本采购项目提供整体设计、规范编制，以及项目管理、监理、检测等服务。 </w:t>
      </w:r>
    </w:p>
    <w:p w14:paraId="1F3E12E2">
      <w:pPr>
        <w:pStyle w:val="325"/>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三、我方与参与本次采购活动的其他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的法定代表人或委托代理人</w:t>
      </w:r>
      <w:r>
        <w:rPr>
          <w:rFonts w:hint="eastAsia" w:ascii="宋体" w:hAnsi="宋体" w:eastAsia="宋体" w:cs="宋体"/>
          <w:b/>
          <w:bCs/>
          <w:color w:val="auto"/>
          <w:sz w:val="24"/>
          <w:highlight w:val="none"/>
        </w:rPr>
        <w:t xml:space="preserve">无夫妻、直系血亲关系； </w:t>
      </w:r>
    </w:p>
    <w:p w14:paraId="0163E694">
      <w:pPr>
        <w:pStyle w:val="325"/>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四、我方与参与本次采购活动的其他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的负责人</w:t>
      </w:r>
      <w:r>
        <w:rPr>
          <w:rFonts w:hint="eastAsia" w:ascii="宋体" w:hAnsi="宋体" w:eastAsia="宋体" w:cs="宋体"/>
          <w:b/>
          <w:bCs/>
          <w:color w:val="auto"/>
          <w:sz w:val="24"/>
          <w:highlight w:val="none"/>
        </w:rPr>
        <w:t xml:space="preserve">不是同一人，也不存在直接控股、管理关系。 </w:t>
      </w:r>
    </w:p>
    <w:p w14:paraId="0579BD7C">
      <w:pPr>
        <w:pStyle w:val="325"/>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五、我们理解，最低报价不是中标的唯一条件，你们有选择中标人的权利；</w:t>
      </w:r>
    </w:p>
    <w:p w14:paraId="24E1079F">
      <w:pPr>
        <w:pStyle w:val="325"/>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3D9AC7A3">
      <w:pPr>
        <w:pStyle w:val="325"/>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七、一旦我方中标，我方将根据招标文件的规定，严格按照《中华人民共和国民法典》履行自己的责任和义务，并保证于我方承诺的期限内完成项目规定的所有内容。</w:t>
      </w:r>
    </w:p>
    <w:p w14:paraId="55A64A11">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八、我方同意遵守贵方有关招标投标的各项规定；</w:t>
      </w:r>
    </w:p>
    <w:p w14:paraId="570F1C9F">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九、我方响应招标文件规定的投标有效期。</w:t>
      </w:r>
    </w:p>
    <w:p w14:paraId="13331262">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十、我方决不提供虚假材料谋取中标、决不采取不正当手段诋毁、排挤其他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、决不与采购人、 其它</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47E38176">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十一、与本投标有关的正式联系方式为： </w:t>
      </w:r>
    </w:p>
    <w:p w14:paraId="11EDBD81">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single"/>
        </w:rPr>
        <w:t xml:space="preserve">               </w:t>
      </w:r>
    </w:p>
    <w:p w14:paraId="6330ED0B">
      <w:pPr>
        <w:pStyle w:val="309"/>
        <w:tabs>
          <w:tab w:val="left" w:pos="1498"/>
        </w:tabs>
        <w:spacing w:line="40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p>
    <w:p w14:paraId="2CD21F2D">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A6EBA20">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十二、我方正式开户银行和帐号为： </w:t>
      </w:r>
    </w:p>
    <w:p w14:paraId="63116570">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A05FACB">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银行账号：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232FAA5">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加盖</w:t>
      </w:r>
      <w:r>
        <w:rPr>
          <w:rFonts w:hint="eastAsia" w:ascii="宋体" w:hAnsi="宋体" w:eastAsia="宋体" w:cs="宋体"/>
          <w:color w:val="auto"/>
          <w:sz w:val="24"/>
          <w:highlight w:val="none"/>
          <w:u w:val="single"/>
        </w:rPr>
        <w:t>公章）</w:t>
      </w:r>
      <w:r>
        <w:rPr>
          <w:rFonts w:hint="eastAsia" w:ascii="宋体" w:hAnsi="宋体" w:eastAsia="宋体" w:cs="宋体"/>
          <w:color w:val="auto"/>
          <w:sz w:val="24"/>
          <w:highlight w:val="none"/>
        </w:rPr>
        <w:t xml:space="preserve"> </w:t>
      </w:r>
    </w:p>
    <w:p w14:paraId="0551AC26">
      <w:pPr>
        <w:pStyle w:val="309"/>
        <w:tabs>
          <w:tab w:val="left" w:pos="1498"/>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p>
    <w:p w14:paraId="59428EEB">
      <w:pPr>
        <w:pStyle w:val="298"/>
        <w:spacing w:line="400" w:lineRule="exact"/>
        <w:outlineLvl w:val="1"/>
        <w:rPr>
          <w:color w:val="auto"/>
          <w:highlight w:val="none"/>
        </w:rPr>
      </w:pPr>
      <w:r>
        <w:rPr>
          <w:rFonts w:hint="eastAsia" w:ascii="仿宋_GB2312" w:hAnsi="Times New Roman" w:eastAsia="仿宋_GB2312"/>
          <w:color w:val="auto"/>
          <w:kern w:val="2"/>
          <w:sz w:val="24"/>
          <w:highlight w:val="none"/>
          <w:lang w:val="en-US" w:eastAsia="zh-CN"/>
        </w:rPr>
        <w:br w:type="page"/>
      </w:r>
      <w:bookmarkStart w:id="111" w:name="_Toc24194"/>
      <w:r>
        <w:rPr>
          <w:color w:val="auto"/>
          <w:highlight w:val="none"/>
        </w:rPr>
        <w:t>八、法定代表人身份证明或授权委托书</w:t>
      </w:r>
      <w:bookmarkEnd w:id="109"/>
      <w:bookmarkEnd w:id="110"/>
      <w:bookmarkEnd w:id="111"/>
    </w:p>
    <w:p w14:paraId="4D3DEE1A">
      <w:pPr>
        <w:pStyle w:val="280"/>
        <w:spacing w:line="560" w:lineRule="exact"/>
        <w:jc w:val="center"/>
        <w:rPr>
          <w:rFonts w:ascii="宋体"/>
          <w:b/>
          <w:bCs/>
          <w:color w:val="auto"/>
          <w:sz w:val="32"/>
          <w:szCs w:val="32"/>
          <w:highlight w:val="none"/>
        </w:rPr>
      </w:pPr>
      <w:bookmarkStart w:id="112" w:name="_Toc22626_WPSOffice_Level2"/>
      <w:r>
        <w:rPr>
          <w:rFonts w:ascii="宋体"/>
          <w:b/>
          <w:bCs/>
          <w:color w:val="auto"/>
          <w:sz w:val="32"/>
          <w:szCs w:val="32"/>
          <w:highlight w:val="none"/>
        </w:rPr>
        <w:t>法定代表人身份证明</w:t>
      </w:r>
      <w:bookmarkEnd w:id="112"/>
    </w:p>
    <w:p w14:paraId="2A3C23BA">
      <w:pPr>
        <w:pStyle w:val="366"/>
        <w:spacing w:line="480" w:lineRule="exact"/>
        <w:rPr>
          <w:rFonts w:eastAsia="仿宋_GB2312"/>
          <w:color w:val="auto"/>
          <w:sz w:val="24"/>
          <w:highlight w:val="none"/>
        </w:rPr>
      </w:pPr>
    </w:p>
    <w:p w14:paraId="06C06F6B">
      <w:pPr>
        <w:pStyle w:val="366"/>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96C468A">
      <w:pPr>
        <w:pStyle w:val="366"/>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0143C83">
      <w:pPr>
        <w:pStyle w:val="366"/>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p>
    <w:p w14:paraId="3ACDCFE3">
      <w:pPr>
        <w:pStyle w:val="366"/>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p>
    <w:p w14:paraId="16B25BC4">
      <w:pPr>
        <w:pStyle w:val="366"/>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 xml:space="preserve">                               </w:t>
      </w:r>
    </w:p>
    <w:p w14:paraId="14D44282">
      <w:pPr>
        <w:pStyle w:val="366"/>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系</w:t>
      </w:r>
    </w:p>
    <w:p w14:paraId="052A9369">
      <w:pPr>
        <w:pStyle w:val="366"/>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名称）的法定代表人。</w:t>
      </w:r>
    </w:p>
    <w:p w14:paraId="090E3168">
      <w:pPr>
        <w:pStyle w:val="366"/>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6EF7FC3E">
      <w:pPr>
        <w:pStyle w:val="169"/>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（法定代表人出席开标会议的提供，未出席的可不提供。附法定代表人身份证、扫描件。）</w:t>
      </w:r>
    </w:p>
    <w:p w14:paraId="6F2D0E33">
      <w:pPr>
        <w:pStyle w:val="366"/>
        <w:spacing w:line="480" w:lineRule="exact"/>
        <w:ind w:firstLine="480" w:firstLineChars="200"/>
        <w:rPr>
          <w:rFonts w:hint="eastAsia" w:ascii="宋体" w:hAnsi="宋体" w:eastAsia="宋体" w:cs="宋体"/>
          <w:color w:val="auto"/>
          <w:sz w:val="24"/>
          <w:highlight w:val="none"/>
        </w:rPr>
      </w:pPr>
    </w:p>
    <w:p w14:paraId="75B37405">
      <w:pPr>
        <w:pStyle w:val="366"/>
        <w:spacing w:line="480" w:lineRule="exact"/>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9C9845B">
      <w:pPr>
        <w:pStyle w:val="366"/>
        <w:spacing w:line="480" w:lineRule="exact"/>
        <w:jc w:val="right"/>
        <w:rPr>
          <w:rFonts w:hint="eastAsia" w:ascii="宋体" w:hAnsi="宋体" w:eastAsia="宋体" w:cs="宋体"/>
          <w:color w:val="auto"/>
          <w:sz w:val="24"/>
          <w:highlight w:val="none"/>
        </w:rPr>
      </w:pPr>
    </w:p>
    <w:p w14:paraId="5D2F2FCF">
      <w:pPr>
        <w:pStyle w:val="366"/>
        <w:spacing w:line="480" w:lineRule="exact"/>
        <w:jc w:val="right"/>
        <w:rPr>
          <w:rFonts w:hint="eastAsia" w:ascii="宋体" w:hAnsi="宋体" w:eastAsia="宋体" w:cs="宋体"/>
          <w:color w:val="auto"/>
          <w:sz w:val="24"/>
          <w:highlight w:val="none"/>
        </w:rPr>
      </w:pPr>
    </w:p>
    <w:p w14:paraId="752B3B44">
      <w:pPr>
        <w:pStyle w:val="169"/>
        <w:spacing w:line="700" w:lineRule="exact"/>
        <w:ind w:firstLine="44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加盖</w:t>
      </w:r>
      <w:r>
        <w:rPr>
          <w:rFonts w:hint="eastAsia" w:ascii="宋体" w:hAnsi="宋体" w:eastAsia="宋体" w:cs="宋体"/>
          <w:color w:val="auto"/>
          <w:sz w:val="24"/>
          <w:szCs w:val="24"/>
          <w:highlight w:val="none"/>
          <w:u w:val="single"/>
        </w:rPr>
        <w:t>公章）</w:t>
      </w:r>
    </w:p>
    <w:p w14:paraId="3689479D">
      <w:pPr>
        <w:pStyle w:val="280"/>
        <w:spacing w:line="560" w:lineRule="exact"/>
        <w:ind w:firstLine="424" w:firstLineChars="177"/>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（签字或签章）</w:t>
      </w:r>
    </w:p>
    <w:p w14:paraId="12A57754">
      <w:pPr>
        <w:pStyle w:val="254"/>
        <w:spacing w:line="700" w:lineRule="exact"/>
        <w:ind w:firstLine="988" w:firstLineChars="412"/>
        <w:jc w:val="righ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8781C57">
      <w:pPr>
        <w:pStyle w:val="280"/>
        <w:spacing w:line="560" w:lineRule="exact"/>
        <w:jc w:val="center"/>
        <w:rPr>
          <w:rFonts w:hint="eastAsia" w:ascii="宋体"/>
          <w:b/>
          <w:bCs/>
          <w:color w:val="auto"/>
          <w:sz w:val="32"/>
          <w:szCs w:val="32"/>
          <w:highlight w:val="none"/>
        </w:rPr>
      </w:pPr>
      <w:r>
        <w:rPr>
          <w:rFonts w:ascii="仿宋_GB2312" w:eastAsia="仿宋_GB2312"/>
          <w:color w:val="auto"/>
          <w:sz w:val="24"/>
          <w:highlight w:val="none"/>
        </w:rPr>
        <w:br w:type="page"/>
      </w:r>
      <w:bookmarkStart w:id="113" w:name="_Toc406_WPSOffice_Level2"/>
      <w:r>
        <w:rPr>
          <w:rFonts w:hint="eastAsia" w:ascii="宋体"/>
          <w:b/>
          <w:bCs/>
          <w:color w:val="auto"/>
          <w:sz w:val="32"/>
          <w:szCs w:val="32"/>
          <w:highlight w:val="none"/>
        </w:rPr>
        <w:t>法定代表人授权委托书</w:t>
      </w:r>
      <w:bookmarkEnd w:id="113"/>
    </w:p>
    <w:p w14:paraId="633DFA7A">
      <w:pPr>
        <w:pStyle w:val="280"/>
        <w:spacing w:line="600" w:lineRule="exact"/>
        <w:rPr>
          <w:rFonts w:hint="eastAsia" w:ascii="方正大标宋简体" w:eastAsia="方正大标宋简体"/>
          <w:color w:val="auto"/>
          <w:sz w:val="32"/>
          <w:highlight w:val="none"/>
        </w:rPr>
      </w:pPr>
    </w:p>
    <w:p w14:paraId="0B57E407">
      <w:pPr>
        <w:pStyle w:val="366"/>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24"/>
          <w:highlight w:val="none"/>
          <w:u w:val="single"/>
        </w:rPr>
        <w:t>（采购人名称）</w:t>
      </w:r>
      <w:r>
        <w:rPr>
          <w:rFonts w:hint="eastAsia" w:ascii="宋体" w:hAnsi="宋体" w:eastAsia="宋体" w:cs="宋体"/>
          <w:color w:val="auto"/>
          <w:sz w:val="24"/>
          <w:highlight w:val="none"/>
        </w:rPr>
        <w:t>：</w:t>
      </w:r>
    </w:p>
    <w:p w14:paraId="317DABF0">
      <w:pPr>
        <w:pStyle w:val="2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（单位名称）</w:t>
      </w:r>
      <w:r>
        <w:rPr>
          <w:rFonts w:hint="eastAsia" w:ascii="宋体" w:hAnsi="宋体" w:eastAsia="宋体" w:cs="宋体"/>
          <w:color w:val="auto"/>
          <w:sz w:val="24"/>
          <w:highlight w:val="none"/>
        </w:rPr>
        <w:t>法定代表人授权我单位</w:t>
      </w:r>
      <w:r>
        <w:rPr>
          <w:rFonts w:hint="eastAsia" w:ascii="宋体" w:hAnsi="宋体" w:eastAsia="宋体" w:cs="宋体"/>
          <w:color w:val="auto"/>
          <w:sz w:val="24"/>
          <w:highlight w:val="none"/>
          <w:u w:val="single"/>
        </w:rPr>
        <w:t xml:space="preserve">    （职务或职称）   （姓名）</w:t>
      </w:r>
      <w:r>
        <w:rPr>
          <w:rFonts w:hint="eastAsia" w:ascii="宋体" w:hAnsi="宋体" w:eastAsia="宋体" w:cs="宋体"/>
          <w:color w:val="auto"/>
          <w:sz w:val="24"/>
          <w:highlight w:val="none"/>
        </w:rPr>
        <w:t>为我单位本次授权代理人，全权处理此次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10"/>
          <w:sz w:val="24"/>
          <w:highlight w:val="none"/>
        </w:rPr>
        <w:t>公开招标</w:t>
      </w:r>
      <w:r>
        <w:rPr>
          <w:rFonts w:hint="eastAsia" w:ascii="宋体" w:hAnsi="宋体" w:eastAsia="宋体" w:cs="宋体"/>
          <w:color w:val="auto"/>
          <w:sz w:val="24"/>
          <w:highlight w:val="none"/>
        </w:rPr>
        <w:t>活动的一切事宜。</w:t>
      </w:r>
    </w:p>
    <w:p w14:paraId="2A8C5A09">
      <w:pPr>
        <w:pStyle w:val="280"/>
        <w:spacing w:line="600" w:lineRule="exact"/>
        <w:ind w:firstLine="63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特此授权</w:t>
      </w:r>
    </w:p>
    <w:p w14:paraId="4FAFD1E6">
      <w:pPr>
        <w:pStyle w:val="280"/>
        <w:spacing w:line="560" w:lineRule="exact"/>
        <w:ind w:firstLine="480" w:firstLineChars="200"/>
        <w:rPr>
          <w:rFonts w:hint="eastAsia" w:ascii="宋体" w:hAnsi="宋体" w:eastAsia="宋体" w:cs="宋体"/>
          <w:color w:val="auto"/>
          <w:sz w:val="24"/>
          <w:highlight w:val="none"/>
        </w:rPr>
      </w:pPr>
    </w:p>
    <w:p w14:paraId="5F212EE3">
      <w:pPr>
        <w:pStyle w:val="228"/>
        <w:spacing w:line="5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（授权委托人出席开标会议的提供法定代表人、授权委托人身份证扫描件。如为授权委托人参加投标的，须提供202</w:t>
      </w:r>
      <w:r>
        <w:rPr>
          <w:rFonts w:hint="eastAsia" w:ascii="宋体" w:hAnsi="宋体" w:cs="宋体"/>
          <w:b/>
          <w:color w:val="auto"/>
          <w:sz w:val="24"/>
          <w:highlight w:val="none"/>
          <w:lang w:val="en-US" w:eastAsia="zh-CN"/>
        </w:rPr>
        <w:t>6</w:t>
      </w:r>
      <w:r>
        <w:rPr>
          <w:rFonts w:hint="eastAsia" w:ascii="宋体" w:hAnsi="宋体" w:eastAsia="宋体" w:cs="宋体"/>
          <w:b/>
          <w:color w:val="auto"/>
          <w:sz w:val="24"/>
          <w:highlight w:val="none"/>
        </w:rPr>
        <w:t>年</w:t>
      </w:r>
      <w:r>
        <w:rPr>
          <w:rFonts w:hint="eastAsia" w:ascii="宋体" w:hAnsi="宋体" w:cs="宋体"/>
          <w:b/>
          <w:color w:val="auto"/>
          <w:sz w:val="24"/>
          <w:highlight w:val="none"/>
          <w:lang w:val="en-US" w:eastAsia="zh-CN"/>
        </w:rPr>
        <w:t>1</w:t>
      </w:r>
      <w:r>
        <w:rPr>
          <w:rFonts w:hint="eastAsia" w:ascii="宋体" w:hAnsi="宋体" w:eastAsia="宋体" w:cs="宋体"/>
          <w:b/>
          <w:color w:val="auto"/>
          <w:sz w:val="24"/>
          <w:highlight w:val="none"/>
        </w:rPr>
        <w:t>月以来任意一个月</w:t>
      </w:r>
      <w:r>
        <w:rPr>
          <w:rFonts w:hint="eastAsia" w:ascii="宋体" w:hAnsi="宋体" w:cs="宋体"/>
          <w:b/>
          <w:color w:val="auto"/>
          <w:sz w:val="24"/>
          <w:highlight w:val="none"/>
          <w:lang w:eastAsia="zh-CN"/>
        </w:rPr>
        <w:t>供应商</w:t>
      </w:r>
      <w:r>
        <w:rPr>
          <w:rFonts w:hint="eastAsia" w:ascii="宋体" w:hAnsi="宋体" w:eastAsia="宋体" w:cs="宋体"/>
          <w:b/>
          <w:color w:val="auto"/>
          <w:sz w:val="24"/>
          <w:highlight w:val="none"/>
        </w:rPr>
        <w:t>单位为授权委托人缴纳的社保证明材料）</w:t>
      </w:r>
    </w:p>
    <w:p w14:paraId="32248396">
      <w:pPr>
        <w:pStyle w:val="228"/>
        <w:spacing w:line="600" w:lineRule="exact"/>
        <w:ind w:firstLine="630"/>
        <w:rPr>
          <w:rFonts w:hint="eastAsia" w:ascii="宋体" w:hAnsi="宋体" w:eastAsia="宋体" w:cs="宋体"/>
          <w:b/>
          <w:color w:val="auto"/>
          <w:sz w:val="24"/>
          <w:highlight w:val="none"/>
        </w:rPr>
      </w:pPr>
    </w:p>
    <w:p w14:paraId="1A2C62B5">
      <w:pPr>
        <w:pStyle w:val="280"/>
        <w:spacing w:line="700" w:lineRule="exact"/>
        <w:ind w:firstLine="629"/>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（加盖公章）</w:t>
      </w:r>
    </w:p>
    <w:p w14:paraId="01C48C51">
      <w:pPr>
        <w:pStyle w:val="280"/>
        <w:spacing w:line="700" w:lineRule="exact"/>
        <w:ind w:firstLine="629"/>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（签字或签章）</w:t>
      </w:r>
    </w:p>
    <w:p w14:paraId="04921264">
      <w:pPr>
        <w:pStyle w:val="280"/>
        <w:spacing w:line="700" w:lineRule="exact"/>
        <w:ind w:firstLine="629"/>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0C4937A8">
      <w:pPr>
        <w:pStyle w:val="365"/>
        <w:ind w:firstLine="720" w:firstLineChars="300"/>
        <w:jc w:val="right"/>
        <w:rPr>
          <w:rFonts w:hint="eastAsia" w:ascii="宋体" w:hAnsi="宋体" w:eastAsia="宋体" w:cs="宋体"/>
          <w:color w:val="auto"/>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37E6227">
      <w:pPr>
        <w:pStyle w:val="379"/>
        <w:outlineLvl w:val="1"/>
        <w:rPr>
          <w:color w:val="auto"/>
          <w:highlight w:val="none"/>
        </w:rPr>
      </w:pPr>
      <w:r>
        <w:rPr>
          <w:color w:val="auto"/>
          <w:highlight w:val="none"/>
        </w:rPr>
        <w:br w:type="page"/>
      </w:r>
      <w:bookmarkStart w:id="114" w:name="_Toc1181"/>
      <w:bookmarkStart w:id="115" w:name="_Toc12853"/>
      <w:bookmarkStart w:id="116" w:name="_Toc514054494"/>
      <w:r>
        <w:rPr>
          <w:rFonts w:hint="eastAsia"/>
          <w:color w:val="auto"/>
          <w:highlight w:val="none"/>
          <w:lang w:val="en-US" w:eastAsia="zh-CN"/>
        </w:rPr>
        <w:t>九、</w:t>
      </w:r>
      <w:r>
        <w:rPr>
          <w:color w:val="auto"/>
          <w:highlight w:val="none"/>
        </w:rPr>
        <w:t>开标一览表</w:t>
      </w:r>
      <w:bookmarkEnd w:id="114"/>
      <w:bookmarkEnd w:id="115"/>
      <w:bookmarkEnd w:id="116"/>
    </w:p>
    <w:p w14:paraId="054E662D">
      <w:pPr>
        <w:pStyle w:val="379"/>
        <w:spacing w:line="360" w:lineRule="auto"/>
        <w:outlineLvl w:val="1"/>
        <w:rPr>
          <w:rFonts w:hint="eastAsia" w:ascii="宋体" w:hAnsi="宋体" w:eastAsia="宋体" w:cs="宋体"/>
          <w:color w:val="auto"/>
          <w:kern w:val="2"/>
          <w:sz w:val="24"/>
          <w:szCs w:val="20"/>
          <w:highlight w:val="none"/>
          <w:lang w:val="en-US" w:eastAsia="zh-CN"/>
        </w:rPr>
      </w:pPr>
      <w:bookmarkStart w:id="117" w:name="_Toc26487"/>
      <w:r>
        <w:rPr>
          <w:rFonts w:hint="eastAsia" w:ascii="宋体" w:hAnsi="宋体" w:eastAsia="宋体" w:cs="宋体"/>
          <w:color w:val="auto"/>
          <w:kern w:val="2"/>
          <w:sz w:val="24"/>
          <w:szCs w:val="20"/>
          <w:highlight w:val="none"/>
          <w:lang w:val="en-US" w:eastAsia="zh-CN"/>
        </w:rPr>
        <w:t>供应商名称（加盖公章）：</w:t>
      </w:r>
      <w:bookmarkEnd w:id="117"/>
    </w:p>
    <w:p w14:paraId="36FDD6DB">
      <w:pPr>
        <w:pStyle w:val="379"/>
        <w:spacing w:line="360" w:lineRule="auto"/>
        <w:outlineLvl w:val="1"/>
        <w:rPr>
          <w:rFonts w:hint="eastAsia" w:ascii="宋体" w:hAnsi="宋体" w:eastAsia="宋体" w:cs="宋体"/>
          <w:color w:val="auto"/>
          <w:kern w:val="2"/>
          <w:sz w:val="24"/>
          <w:szCs w:val="20"/>
          <w:highlight w:val="none"/>
          <w:lang w:val="en-US" w:eastAsia="zh-CN"/>
        </w:rPr>
      </w:pPr>
      <w:bookmarkStart w:id="118" w:name="_Toc3795"/>
      <w:r>
        <w:rPr>
          <w:rFonts w:hint="eastAsia" w:ascii="宋体" w:hAnsi="宋体" w:eastAsia="宋体" w:cs="宋体"/>
          <w:color w:val="auto"/>
          <w:kern w:val="2"/>
          <w:sz w:val="24"/>
          <w:szCs w:val="20"/>
          <w:highlight w:val="none"/>
          <w:lang w:val="en-US" w:eastAsia="zh-CN"/>
        </w:rPr>
        <w:t>项目编号：</w:t>
      </w:r>
      <w:bookmarkEnd w:id="118"/>
      <w:r>
        <w:rPr>
          <w:rFonts w:hint="eastAsia" w:ascii="宋体" w:hAnsi="宋体" w:eastAsia="宋体" w:cs="宋体"/>
          <w:color w:val="auto"/>
          <w:kern w:val="2"/>
          <w:sz w:val="24"/>
          <w:szCs w:val="20"/>
          <w:highlight w:val="none"/>
          <w:lang w:val="en-US" w:eastAsia="zh-CN"/>
        </w:rPr>
        <w:t xml:space="preserve"> </w:t>
      </w:r>
    </w:p>
    <w:p w14:paraId="2E011E2D">
      <w:pPr>
        <w:pStyle w:val="379"/>
        <w:spacing w:line="360" w:lineRule="auto"/>
        <w:outlineLvl w:val="1"/>
        <w:rPr>
          <w:rFonts w:hint="eastAsia" w:ascii="宋体" w:hAnsi="宋体" w:eastAsia="宋体" w:cs="宋体"/>
          <w:color w:val="auto"/>
          <w:kern w:val="2"/>
          <w:sz w:val="24"/>
          <w:szCs w:val="20"/>
          <w:highlight w:val="none"/>
          <w:lang w:val="en-US" w:eastAsia="zh-CN"/>
        </w:rPr>
      </w:pPr>
      <w:bookmarkStart w:id="119" w:name="_Toc31414"/>
      <w:r>
        <w:rPr>
          <w:rFonts w:hint="eastAsia" w:ascii="宋体" w:hAnsi="宋体" w:eastAsia="宋体" w:cs="宋体"/>
          <w:color w:val="auto"/>
          <w:kern w:val="2"/>
          <w:sz w:val="24"/>
          <w:szCs w:val="20"/>
          <w:highlight w:val="none"/>
          <w:lang w:val="en-US" w:eastAsia="zh-CN"/>
        </w:rPr>
        <w:t>项目名称：</w:t>
      </w:r>
      <w:bookmarkEnd w:id="119"/>
    </w:p>
    <w:tbl>
      <w:tblPr>
        <w:tblStyle w:val="65"/>
        <w:tblW w:w="9720" w:type="dxa"/>
        <w:tblCellSpacing w:w="0" w:type="dxa"/>
        <w:tblInd w:w="118" w:type="dxa"/>
        <w:tblLayout w:type="fixed"/>
        <w:tblCellMar>
          <w:top w:w="0" w:type="dxa"/>
          <w:left w:w="108" w:type="dxa"/>
          <w:bottom w:w="0" w:type="dxa"/>
          <w:right w:w="108" w:type="dxa"/>
        </w:tblCellMar>
      </w:tblPr>
      <w:tblGrid>
        <w:gridCol w:w="9720"/>
      </w:tblGrid>
      <w:tr w14:paraId="0754EC64">
        <w:tblPrEx>
          <w:tblCellMar>
            <w:top w:w="0" w:type="dxa"/>
            <w:left w:w="108" w:type="dxa"/>
            <w:bottom w:w="0" w:type="dxa"/>
            <w:right w:w="108" w:type="dxa"/>
          </w:tblCellMar>
        </w:tblPrEx>
        <w:trPr>
          <w:trHeight w:val="725" w:hRule="atLeast"/>
          <w:tblCellSpacing w:w="0" w:type="dxa"/>
        </w:trPr>
        <w:tc>
          <w:tcPr>
            <w:tcW w:w="9720" w:type="dxa"/>
            <w:tcBorders>
              <w:top w:val="single" w:color="000000" w:sz="4" w:space="0"/>
              <w:left w:val="single" w:color="000000" w:sz="4" w:space="0"/>
              <w:bottom w:val="single" w:color="000000" w:sz="4" w:space="0"/>
              <w:right w:val="single" w:color="000000" w:sz="4" w:space="0"/>
            </w:tcBorders>
            <w:vAlign w:val="center"/>
          </w:tcPr>
          <w:p w14:paraId="2FD0095F">
            <w:pPr>
              <w:pStyle w:val="59"/>
              <w:jc w:val="both"/>
              <w:rPr>
                <w:rFonts w:hint="eastAsia" w:ascii="宋体" w:hAnsi="宋体" w:eastAsia="宋体" w:cs="宋体"/>
                <w:color w:val="auto"/>
                <w:highlight w:val="none"/>
              </w:rPr>
            </w:pPr>
            <w:r>
              <w:rPr>
                <w:rFonts w:hint="eastAsia" w:ascii="宋体" w:hAnsi="宋体" w:eastAsia="宋体" w:cs="宋体"/>
                <w:color w:val="auto"/>
                <w:highlight w:val="none"/>
              </w:rPr>
              <w:t>投标总报价</w:t>
            </w:r>
          </w:p>
        </w:tc>
      </w:tr>
      <w:tr w14:paraId="6B2923F0">
        <w:tblPrEx>
          <w:tblCellMar>
            <w:top w:w="0" w:type="dxa"/>
            <w:left w:w="108" w:type="dxa"/>
            <w:bottom w:w="0" w:type="dxa"/>
            <w:right w:w="108" w:type="dxa"/>
          </w:tblCellMar>
        </w:tblPrEx>
        <w:trPr>
          <w:trHeight w:val="612" w:hRule="atLeast"/>
          <w:tblCellSpacing w:w="0" w:type="dxa"/>
        </w:trPr>
        <w:tc>
          <w:tcPr>
            <w:tcW w:w="9720" w:type="dxa"/>
            <w:tcBorders>
              <w:top w:val="single" w:color="000000" w:sz="4" w:space="0"/>
              <w:left w:val="single" w:color="000000" w:sz="4" w:space="0"/>
              <w:bottom w:val="single" w:color="000000" w:sz="4" w:space="0"/>
              <w:right w:val="single" w:color="000000" w:sz="4" w:space="0"/>
            </w:tcBorders>
            <w:vAlign w:val="center"/>
          </w:tcPr>
          <w:p w14:paraId="3F32F6C5">
            <w:pPr>
              <w:pStyle w:val="59"/>
              <w:spacing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小写：                 （人民币：元）</w:t>
            </w:r>
          </w:p>
        </w:tc>
      </w:tr>
    </w:tbl>
    <w:p w14:paraId="69D00EE7">
      <w:pPr>
        <w:rPr>
          <w:rFonts w:hint="eastAsia" w:ascii="宋体" w:hAnsi="宋体" w:eastAsia="宋体" w:cs="宋体"/>
          <w:b/>
          <w:color w:val="auto"/>
          <w:kern w:val="0"/>
          <w:sz w:val="32"/>
          <w:szCs w:val="24"/>
          <w:highlight w:val="none"/>
        </w:rPr>
      </w:pPr>
    </w:p>
    <w:p w14:paraId="1B260ADE">
      <w:pPr>
        <w:pStyle w:val="59"/>
        <w:jc w:val="both"/>
        <w:rPr>
          <w:rFonts w:hint="eastAsia" w:ascii="宋体" w:hAnsi="宋体" w:eastAsia="宋体" w:cs="宋体"/>
          <w:color w:val="auto"/>
          <w:highlight w:val="none"/>
        </w:rPr>
      </w:pPr>
      <w:bookmarkStart w:id="120" w:name="_Toc514054495"/>
      <w:bookmarkStart w:id="121" w:name="_Toc8851"/>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4D57351">
      <w:pPr>
        <w:rPr>
          <w:color w:val="auto"/>
          <w:highlight w:val="none"/>
        </w:rPr>
      </w:pPr>
    </w:p>
    <w:p w14:paraId="2AC45194">
      <w:pPr>
        <w:rPr>
          <w:color w:val="auto"/>
          <w:highlight w:val="none"/>
        </w:rPr>
      </w:pPr>
    </w:p>
    <w:p w14:paraId="02AEA523">
      <w:pPr>
        <w:rPr>
          <w:color w:val="auto"/>
          <w:highlight w:val="none"/>
        </w:rPr>
      </w:pPr>
    </w:p>
    <w:p w14:paraId="6D1B9761">
      <w:pPr>
        <w:rPr>
          <w:color w:val="auto"/>
          <w:highlight w:val="none"/>
        </w:rPr>
      </w:pPr>
    </w:p>
    <w:p w14:paraId="26B16059">
      <w:pPr>
        <w:rPr>
          <w:color w:val="auto"/>
          <w:highlight w:val="none"/>
        </w:rPr>
      </w:pPr>
    </w:p>
    <w:p w14:paraId="13A85244">
      <w:pPr>
        <w:rPr>
          <w:color w:val="auto"/>
          <w:highlight w:val="none"/>
        </w:rPr>
      </w:pPr>
    </w:p>
    <w:p w14:paraId="6507510B">
      <w:pPr>
        <w:rPr>
          <w:color w:val="auto"/>
          <w:highlight w:val="none"/>
        </w:rPr>
      </w:pPr>
    </w:p>
    <w:p w14:paraId="4D9AEAF5">
      <w:pPr>
        <w:rPr>
          <w:color w:val="auto"/>
          <w:highlight w:val="none"/>
        </w:rPr>
      </w:pPr>
    </w:p>
    <w:p w14:paraId="1AC33D88">
      <w:pPr>
        <w:rPr>
          <w:color w:val="auto"/>
          <w:highlight w:val="none"/>
        </w:rPr>
      </w:pPr>
    </w:p>
    <w:p w14:paraId="6C4CCDD3">
      <w:pPr>
        <w:rPr>
          <w:color w:val="auto"/>
          <w:highlight w:val="none"/>
        </w:rPr>
      </w:pPr>
    </w:p>
    <w:p w14:paraId="7FFC2A33">
      <w:pPr>
        <w:rPr>
          <w:color w:val="auto"/>
          <w:highlight w:val="none"/>
        </w:rPr>
      </w:pPr>
    </w:p>
    <w:p w14:paraId="628FE658">
      <w:pPr>
        <w:rPr>
          <w:color w:val="auto"/>
          <w:highlight w:val="none"/>
        </w:rPr>
      </w:pPr>
    </w:p>
    <w:p w14:paraId="02931E68">
      <w:pPr>
        <w:rPr>
          <w:color w:val="auto"/>
          <w:highlight w:val="none"/>
        </w:rPr>
      </w:pPr>
    </w:p>
    <w:p w14:paraId="45BDBCF5">
      <w:pPr>
        <w:rPr>
          <w:color w:val="auto"/>
          <w:highlight w:val="none"/>
        </w:rPr>
      </w:pPr>
    </w:p>
    <w:p w14:paraId="756F55D5">
      <w:pPr>
        <w:rPr>
          <w:color w:val="auto"/>
          <w:highlight w:val="none"/>
        </w:rPr>
      </w:pPr>
    </w:p>
    <w:p w14:paraId="0E242599">
      <w:pPr>
        <w:rPr>
          <w:color w:val="auto"/>
          <w:highlight w:val="none"/>
        </w:rPr>
      </w:pPr>
    </w:p>
    <w:p w14:paraId="25890DD4">
      <w:pPr>
        <w:rPr>
          <w:color w:val="auto"/>
          <w:highlight w:val="none"/>
        </w:rPr>
      </w:pPr>
    </w:p>
    <w:p w14:paraId="45210AA3">
      <w:pPr>
        <w:rPr>
          <w:color w:val="auto"/>
          <w:highlight w:val="none"/>
        </w:rPr>
      </w:pPr>
    </w:p>
    <w:p w14:paraId="24D19DA0">
      <w:pPr>
        <w:rPr>
          <w:color w:val="auto"/>
          <w:highlight w:val="none"/>
        </w:rPr>
      </w:pPr>
    </w:p>
    <w:p w14:paraId="3A0F1678">
      <w:pPr>
        <w:rPr>
          <w:color w:val="auto"/>
          <w:highlight w:val="none"/>
        </w:rPr>
      </w:pPr>
    </w:p>
    <w:p w14:paraId="3E042974">
      <w:pPr>
        <w:rPr>
          <w:color w:val="auto"/>
          <w:highlight w:val="none"/>
        </w:rPr>
      </w:pPr>
    </w:p>
    <w:p w14:paraId="5D673CA3">
      <w:pPr>
        <w:rPr>
          <w:color w:val="auto"/>
          <w:highlight w:val="none"/>
        </w:rPr>
      </w:pPr>
    </w:p>
    <w:p w14:paraId="7864C083">
      <w:pPr>
        <w:rPr>
          <w:color w:val="auto"/>
          <w:highlight w:val="none"/>
        </w:rPr>
      </w:pPr>
    </w:p>
    <w:p w14:paraId="09FADEA2">
      <w:pPr>
        <w:rPr>
          <w:color w:val="auto"/>
          <w:highlight w:val="none"/>
        </w:rPr>
      </w:pPr>
    </w:p>
    <w:p w14:paraId="1333CDC4">
      <w:pPr>
        <w:rPr>
          <w:color w:val="auto"/>
          <w:highlight w:val="none"/>
        </w:rPr>
      </w:pPr>
    </w:p>
    <w:p w14:paraId="0BA7A851">
      <w:pPr>
        <w:rPr>
          <w:color w:val="auto"/>
          <w:highlight w:val="none"/>
        </w:rPr>
      </w:pPr>
    </w:p>
    <w:p w14:paraId="51236D20">
      <w:pPr>
        <w:rPr>
          <w:color w:val="auto"/>
          <w:highlight w:val="none"/>
        </w:rPr>
      </w:pPr>
    </w:p>
    <w:p w14:paraId="024790B3">
      <w:pPr>
        <w:rPr>
          <w:color w:val="auto"/>
          <w:highlight w:val="none"/>
        </w:rPr>
      </w:pPr>
    </w:p>
    <w:p w14:paraId="3A0C12D8">
      <w:pPr>
        <w:pStyle w:val="328"/>
        <w:outlineLvl w:val="1"/>
        <w:rPr>
          <w:color w:val="auto"/>
          <w:highlight w:val="none"/>
        </w:rPr>
        <w:sectPr>
          <w:headerReference r:id="rId3" w:type="default"/>
          <w:footerReference r:id="rId4" w:type="default"/>
          <w:pgSz w:w="11906" w:h="16838"/>
          <w:pgMar w:top="1440" w:right="1083" w:bottom="1440" w:left="1083" w:header="851" w:footer="992" w:gutter="0"/>
          <w:pgNumType w:fmt="decimal"/>
          <w:cols w:space="0" w:num="1"/>
          <w:rtlGutter w:val="0"/>
          <w:docGrid w:type="lines" w:linePitch="314" w:charSpace="0"/>
        </w:sectPr>
      </w:pPr>
      <w:bookmarkStart w:id="122" w:name="_Toc23579"/>
    </w:p>
    <w:p w14:paraId="2D828C83">
      <w:pPr>
        <w:pStyle w:val="328"/>
        <w:outlineLvl w:val="1"/>
        <w:rPr>
          <w:color w:val="auto"/>
          <w:highlight w:val="none"/>
        </w:rPr>
      </w:pPr>
      <w:r>
        <w:rPr>
          <w:color w:val="auto"/>
          <w:highlight w:val="none"/>
        </w:rPr>
        <w:t>十、明细报价表</w:t>
      </w:r>
      <w:bookmarkEnd w:id="120"/>
      <w:bookmarkEnd w:id="121"/>
      <w:bookmarkEnd w:id="122"/>
    </w:p>
    <w:p w14:paraId="04848391">
      <w:pPr>
        <w:spacing w:line="480" w:lineRule="auto"/>
        <w:jc w:val="center"/>
        <w:outlineLvl w:val="0"/>
        <w:rPr>
          <w:rFonts w:hint="eastAsia" w:ascii="宋体" w:hAnsi="宋体" w:eastAsia="宋体" w:cs="宋体"/>
          <w:color w:val="auto"/>
          <w:sz w:val="24"/>
          <w:szCs w:val="24"/>
          <w:highlight w:val="none"/>
        </w:rPr>
      </w:pPr>
      <w:bookmarkStart w:id="123" w:name="_Toc10225"/>
      <w:bookmarkStart w:id="124" w:name="_Toc514054496"/>
      <w:r>
        <w:rPr>
          <w:rFonts w:hint="eastAsia" w:ascii="宋体" w:hAnsi="宋体" w:eastAsia="宋体" w:cs="宋体"/>
          <w:color w:val="auto"/>
          <w:sz w:val="24"/>
          <w:szCs w:val="24"/>
          <w:highlight w:val="none"/>
        </w:rPr>
        <w:t>投标报价明细表</w:t>
      </w:r>
      <w:bookmarkEnd w:id="123"/>
    </w:p>
    <w:p w14:paraId="713AD597">
      <w:pPr>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名称：（加盖公章）</w:t>
      </w:r>
    </w:p>
    <w:p w14:paraId="02E2E69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6D6CD379">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 xml:space="preserve"> </w:t>
      </w:r>
    </w:p>
    <w:tbl>
      <w:tblPr>
        <w:tblStyle w:val="65"/>
        <w:tblW w:w="4895" w:type="pct"/>
        <w:tblInd w:w="-5" w:type="dxa"/>
        <w:tblLayout w:type="fixed"/>
        <w:tblCellMar>
          <w:top w:w="0" w:type="dxa"/>
          <w:left w:w="108" w:type="dxa"/>
          <w:bottom w:w="0" w:type="dxa"/>
          <w:right w:w="108" w:type="dxa"/>
        </w:tblCellMar>
      </w:tblPr>
      <w:tblGrid>
        <w:gridCol w:w="1313"/>
        <w:gridCol w:w="1626"/>
        <w:gridCol w:w="1093"/>
        <w:gridCol w:w="1120"/>
        <w:gridCol w:w="1493"/>
        <w:gridCol w:w="1773"/>
        <w:gridCol w:w="1600"/>
        <w:gridCol w:w="1839"/>
        <w:gridCol w:w="2021"/>
      </w:tblGrid>
      <w:tr w14:paraId="70AF1997">
        <w:tblPrEx>
          <w:tblCellMar>
            <w:top w:w="0" w:type="dxa"/>
            <w:left w:w="108" w:type="dxa"/>
            <w:bottom w:w="0" w:type="dxa"/>
            <w:right w:w="108" w:type="dxa"/>
          </w:tblCellMar>
        </w:tblPrEx>
        <w:trPr>
          <w:trHeight w:val="636" w:hRule="atLeast"/>
        </w:trPr>
        <w:tc>
          <w:tcPr>
            <w:tcW w:w="1313" w:type="dxa"/>
            <w:tcBorders>
              <w:top w:val="single" w:color="000000" w:sz="4" w:space="0"/>
              <w:left w:val="single" w:color="000000" w:sz="4" w:space="0"/>
              <w:bottom w:val="single" w:color="000000" w:sz="4" w:space="0"/>
              <w:right w:val="single" w:color="000000" w:sz="4" w:space="0"/>
            </w:tcBorders>
            <w:noWrap w:val="0"/>
            <w:vAlign w:val="center"/>
          </w:tcPr>
          <w:p w14:paraId="70343FF7">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i w:val="0"/>
                <w:color w:val="auto"/>
                <w:spacing w:val="0"/>
                <w:sz w:val="24"/>
                <w:szCs w:val="24"/>
                <w:highlight w:val="none"/>
                <w:u w:val="none"/>
                <w:lang w:val="en-US" w:eastAsia="zh-CN" w:bidi="ar"/>
              </w:rPr>
              <w:t>序号</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7890B82B">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i w:val="0"/>
                <w:color w:val="auto"/>
                <w:spacing w:val="0"/>
                <w:sz w:val="24"/>
                <w:szCs w:val="24"/>
                <w:highlight w:val="none"/>
                <w:u w:val="none"/>
                <w:lang w:val="en-US" w:eastAsia="zh-CN" w:bidi="ar"/>
              </w:rPr>
              <w:t>名称</w:t>
            </w:r>
          </w:p>
        </w:tc>
        <w:tc>
          <w:tcPr>
            <w:tcW w:w="1093" w:type="dxa"/>
            <w:tcBorders>
              <w:top w:val="single" w:color="000000" w:sz="4" w:space="0"/>
              <w:left w:val="single" w:color="000000" w:sz="4" w:space="0"/>
              <w:bottom w:val="single" w:color="000000" w:sz="4" w:space="0"/>
              <w:right w:val="single" w:color="000000" w:sz="4" w:space="0"/>
            </w:tcBorders>
            <w:noWrap w:val="0"/>
            <w:vAlign w:val="center"/>
          </w:tcPr>
          <w:p w14:paraId="0A54C3B3">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i w:val="0"/>
                <w:color w:val="auto"/>
                <w:spacing w:val="0"/>
                <w:sz w:val="24"/>
                <w:szCs w:val="24"/>
                <w:highlight w:val="none"/>
                <w:u w:val="none"/>
                <w:lang w:val="en-US" w:eastAsia="zh-CN" w:bidi="ar"/>
              </w:rPr>
              <w:t>单位</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12E54B78">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color w:val="auto"/>
                <w:spacing w:val="0"/>
                <w:sz w:val="24"/>
                <w:szCs w:val="24"/>
                <w:highlight w:val="none"/>
                <w:u w:val="none"/>
                <w:lang w:val="en-US" w:eastAsia="zh-CN" w:bidi="ar"/>
              </w:rPr>
              <w:t>数量</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F5785">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bCs/>
                <w:i w:val="0"/>
                <w:color w:val="auto"/>
                <w:spacing w:val="0"/>
                <w:sz w:val="24"/>
                <w:szCs w:val="24"/>
                <w:highlight w:val="none"/>
                <w:u w:val="none"/>
                <w:lang w:val="en-US" w:eastAsia="zh-CN" w:bidi="ar"/>
              </w:rPr>
            </w:pPr>
            <w:r>
              <w:rPr>
                <w:rFonts w:hint="eastAsia" w:ascii="宋体" w:hAnsi="宋体" w:cs="宋体"/>
                <w:b/>
                <w:bCs/>
                <w:i w:val="0"/>
                <w:color w:val="auto"/>
                <w:spacing w:val="0"/>
                <w:sz w:val="24"/>
                <w:szCs w:val="24"/>
                <w:highlight w:val="none"/>
                <w:u w:val="none"/>
                <w:lang w:val="en-US" w:eastAsia="zh-CN" w:bidi="ar"/>
              </w:rPr>
              <w:t>服务期（月）</w:t>
            </w:r>
          </w:p>
        </w:tc>
        <w:tc>
          <w:tcPr>
            <w:tcW w:w="17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70457">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bCs/>
                <w:i w:val="0"/>
                <w:color w:val="auto"/>
                <w:spacing w:val="0"/>
                <w:sz w:val="24"/>
                <w:szCs w:val="24"/>
                <w:highlight w:val="none"/>
                <w:u w:val="none"/>
                <w:lang w:val="en-US" w:eastAsia="zh-CN" w:bidi="ar"/>
              </w:rPr>
            </w:pPr>
            <w:r>
              <w:rPr>
                <w:rFonts w:hint="eastAsia" w:ascii="宋体" w:hAnsi="宋体" w:eastAsia="宋体" w:cs="宋体"/>
                <w:b/>
                <w:bCs/>
                <w:i w:val="0"/>
                <w:color w:val="auto"/>
                <w:spacing w:val="0"/>
                <w:sz w:val="24"/>
                <w:szCs w:val="24"/>
                <w:highlight w:val="none"/>
                <w:u w:val="none"/>
                <w:lang w:val="en-US" w:eastAsia="zh-CN" w:bidi="ar"/>
              </w:rPr>
              <w:t>单价</w:t>
            </w:r>
            <w:r>
              <w:rPr>
                <w:rFonts w:hint="eastAsia" w:ascii="宋体" w:hAnsi="宋体" w:cs="宋体"/>
                <w:b/>
                <w:bCs/>
                <w:i w:val="0"/>
                <w:color w:val="auto"/>
                <w:spacing w:val="0"/>
                <w:sz w:val="24"/>
                <w:szCs w:val="24"/>
                <w:highlight w:val="none"/>
                <w:u w:val="none"/>
                <w:lang w:val="en-US" w:eastAsia="zh-CN" w:bidi="ar"/>
              </w:rPr>
              <w:t>控制价</w:t>
            </w:r>
            <w:r>
              <w:rPr>
                <w:rFonts w:hint="eastAsia" w:ascii="宋体" w:hAnsi="宋体" w:eastAsia="宋体" w:cs="宋体"/>
                <w:b/>
                <w:bCs/>
                <w:i w:val="0"/>
                <w:color w:val="auto"/>
                <w:spacing w:val="0"/>
                <w:sz w:val="24"/>
                <w:szCs w:val="24"/>
                <w:highlight w:val="none"/>
                <w:u w:val="none"/>
                <w:lang w:val="en-US" w:eastAsia="zh-CN" w:bidi="ar"/>
              </w:rPr>
              <w:t>（元/</w:t>
            </w:r>
            <w:r>
              <w:rPr>
                <w:rFonts w:hint="eastAsia" w:ascii="宋体" w:hAnsi="宋体" w:cs="宋体"/>
                <w:b/>
                <w:bCs/>
                <w:i w:val="0"/>
                <w:color w:val="auto"/>
                <w:spacing w:val="0"/>
                <w:sz w:val="24"/>
                <w:szCs w:val="24"/>
                <w:highlight w:val="none"/>
                <w:u w:val="none"/>
                <w:lang w:val="en-US" w:eastAsia="zh-CN" w:bidi="ar"/>
              </w:rPr>
              <w:t>月/人</w:t>
            </w:r>
            <w:r>
              <w:rPr>
                <w:rFonts w:hint="eastAsia" w:ascii="宋体" w:hAnsi="宋体" w:eastAsia="宋体" w:cs="宋体"/>
                <w:b/>
                <w:bCs/>
                <w:i w:val="0"/>
                <w:color w:val="auto"/>
                <w:spacing w:val="0"/>
                <w:sz w:val="24"/>
                <w:szCs w:val="24"/>
                <w:highlight w:val="none"/>
                <w:u w:val="none"/>
                <w:lang w:val="en-US" w:eastAsia="zh-CN" w:bidi="ar"/>
              </w:rPr>
              <w:t>）</w:t>
            </w:r>
          </w:p>
        </w:tc>
        <w:tc>
          <w:tcPr>
            <w:tcW w:w="16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1FFD7">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bCs/>
                <w:i w:val="0"/>
                <w:color w:val="auto"/>
                <w:spacing w:val="0"/>
                <w:sz w:val="24"/>
                <w:szCs w:val="24"/>
                <w:highlight w:val="none"/>
                <w:u w:val="none"/>
                <w:lang w:val="en-US" w:eastAsia="zh-CN" w:bidi="ar"/>
              </w:rPr>
            </w:pPr>
            <w:r>
              <w:rPr>
                <w:rFonts w:hint="eastAsia" w:ascii="宋体" w:hAnsi="宋体" w:eastAsia="宋体" w:cs="宋体"/>
                <w:b/>
                <w:bCs/>
                <w:i w:val="0"/>
                <w:color w:val="auto"/>
                <w:spacing w:val="0"/>
                <w:sz w:val="24"/>
                <w:szCs w:val="24"/>
                <w:highlight w:val="none"/>
                <w:u w:val="none"/>
                <w:lang w:val="en-US" w:eastAsia="zh-CN" w:bidi="ar"/>
              </w:rPr>
              <w:t>单价（元/</w:t>
            </w:r>
            <w:r>
              <w:rPr>
                <w:rFonts w:hint="eastAsia" w:ascii="宋体" w:hAnsi="宋体" w:cs="宋体"/>
                <w:b/>
                <w:bCs/>
                <w:i w:val="0"/>
                <w:color w:val="auto"/>
                <w:spacing w:val="0"/>
                <w:sz w:val="24"/>
                <w:szCs w:val="24"/>
                <w:highlight w:val="none"/>
                <w:u w:val="none"/>
                <w:lang w:val="en-US" w:eastAsia="zh-CN" w:bidi="ar"/>
              </w:rPr>
              <w:t>月/人</w:t>
            </w:r>
            <w:r>
              <w:rPr>
                <w:rFonts w:hint="eastAsia" w:ascii="宋体" w:hAnsi="宋体" w:eastAsia="宋体" w:cs="宋体"/>
                <w:b/>
                <w:bCs/>
                <w:i w:val="0"/>
                <w:color w:val="auto"/>
                <w:spacing w:val="0"/>
                <w:sz w:val="24"/>
                <w:szCs w:val="24"/>
                <w:highlight w:val="none"/>
                <w:u w:val="none"/>
                <w:lang w:val="en-US" w:eastAsia="zh-CN" w:bidi="ar"/>
              </w:rPr>
              <w:t>）</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C1DB1">
            <w:pPr>
              <w:keepNext w:val="0"/>
              <w:keepLines w:val="0"/>
              <w:pageBreakBefore w:val="0"/>
              <w:widowControl/>
              <w:suppressLineNumbers w:val="0"/>
              <w:spacing w:line="240" w:lineRule="auto"/>
              <w:ind w:left="0" w:leftChars="0" w:right="0" w:rightChars="0" w:firstLine="0" w:firstLineChars="0"/>
              <w:jc w:val="center"/>
              <w:rPr>
                <w:rFonts w:hint="default" w:ascii="宋体" w:hAnsi="宋体" w:eastAsia="宋体" w:cs="宋体"/>
                <w:b/>
                <w:bCs/>
                <w:i w:val="0"/>
                <w:color w:val="auto"/>
                <w:spacing w:val="0"/>
                <w:sz w:val="24"/>
                <w:szCs w:val="24"/>
                <w:highlight w:val="none"/>
                <w:u w:val="none"/>
                <w:lang w:val="en-US" w:eastAsia="zh-CN" w:bidi="ar"/>
              </w:rPr>
            </w:pPr>
            <w:r>
              <w:rPr>
                <w:rFonts w:hint="eastAsia" w:ascii="宋体" w:hAnsi="宋体" w:eastAsia="宋体" w:cs="宋体"/>
                <w:b/>
                <w:bCs/>
                <w:i w:val="0"/>
                <w:color w:val="auto"/>
                <w:spacing w:val="0"/>
                <w:sz w:val="24"/>
                <w:szCs w:val="24"/>
                <w:highlight w:val="none"/>
                <w:u w:val="none"/>
                <w:lang w:val="en-US" w:eastAsia="zh-CN" w:bidi="ar"/>
              </w:rPr>
              <w:t>单项合计（元/年</w:t>
            </w:r>
            <w:r>
              <w:rPr>
                <w:rFonts w:hint="eastAsia" w:ascii="宋体" w:hAnsi="宋体" w:cs="宋体"/>
                <w:b/>
                <w:bCs/>
                <w:i w:val="0"/>
                <w:color w:val="auto"/>
                <w:spacing w:val="0"/>
                <w:sz w:val="24"/>
                <w:szCs w:val="24"/>
                <w:highlight w:val="none"/>
                <w:u w:val="none"/>
                <w:lang w:val="en-US" w:eastAsia="zh-CN" w:bidi="ar"/>
              </w:rPr>
              <w:t>/人</w:t>
            </w:r>
            <w:r>
              <w:rPr>
                <w:rFonts w:hint="eastAsia" w:ascii="宋体" w:hAnsi="宋体" w:eastAsia="宋体" w:cs="宋体"/>
                <w:b/>
                <w:bCs/>
                <w:i w:val="0"/>
                <w:color w:val="auto"/>
                <w:spacing w:val="0"/>
                <w:sz w:val="24"/>
                <w:szCs w:val="24"/>
                <w:highlight w:val="none"/>
                <w:u w:val="none"/>
                <w:lang w:val="en-US" w:eastAsia="zh-CN" w:bidi="ar"/>
              </w:rPr>
              <w:t>）</w:t>
            </w:r>
          </w:p>
        </w:tc>
        <w:tc>
          <w:tcPr>
            <w:tcW w:w="2021" w:type="dxa"/>
            <w:tcBorders>
              <w:top w:val="single" w:color="000000" w:sz="4" w:space="0"/>
              <w:left w:val="single" w:color="000000" w:sz="4" w:space="0"/>
              <w:bottom w:val="single" w:color="000000" w:sz="4" w:space="0"/>
              <w:right w:val="single" w:color="000000" w:sz="4" w:space="0"/>
            </w:tcBorders>
            <w:noWrap w:val="0"/>
            <w:vAlign w:val="center"/>
          </w:tcPr>
          <w:p w14:paraId="3D64E096">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bCs/>
                <w:i w:val="0"/>
                <w:color w:val="auto"/>
                <w:spacing w:val="0"/>
                <w:sz w:val="24"/>
                <w:szCs w:val="24"/>
                <w:highlight w:val="none"/>
                <w:u w:val="none"/>
                <w:lang w:val="en-US" w:eastAsia="zh-CN" w:bidi="ar"/>
              </w:rPr>
            </w:pPr>
            <w:r>
              <w:rPr>
                <w:rFonts w:hint="eastAsia" w:ascii="宋体" w:hAnsi="宋体" w:cs="宋体"/>
                <w:b/>
                <w:bCs/>
                <w:i w:val="0"/>
                <w:color w:val="auto"/>
                <w:spacing w:val="0"/>
                <w:sz w:val="24"/>
                <w:szCs w:val="24"/>
                <w:highlight w:val="none"/>
                <w:u w:val="none"/>
                <w:lang w:val="en-US" w:eastAsia="zh-CN" w:bidi="ar"/>
              </w:rPr>
              <w:t>投标总价（元）</w:t>
            </w:r>
          </w:p>
        </w:tc>
      </w:tr>
      <w:tr w14:paraId="1F98F59B">
        <w:tblPrEx>
          <w:tblCellMar>
            <w:top w:w="0" w:type="dxa"/>
            <w:left w:w="108" w:type="dxa"/>
            <w:bottom w:w="0" w:type="dxa"/>
            <w:right w:w="108" w:type="dxa"/>
          </w:tblCellMar>
        </w:tblPrEx>
        <w:trPr>
          <w:trHeight w:val="703" w:hRule="atLeast"/>
        </w:trPr>
        <w:tc>
          <w:tcPr>
            <w:tcW w:w="13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E42F0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B5E49E">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辅助人员</w:t>
            </w:r>
          </w:p>
        </w:tc>
        <w:tc>
          <w:tcPr>
            <w:tcW w:w="10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5975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000000"/>
                <w:kern w:val="0"/>
                <w:sz w:val="20"/>
                <w:szCs w:val="20"/>
                <w:u w:val="none"/>
                <w:lang w:val="en-US" w:eastAsia="zh-CN" w:bidi="ar"/>
              </w:rPr>
              <w:t>人</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1D023">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000000"/>
                <w:kern w:val="0"/>
                <w:sz w:val="20"/>
                <w:szCs w:val="20"/>
                <w:u w:val="none"/>
                <w:lang w:val="en-US" w:eastAsia="zh-CN" w:bidi="ar"/>
              </w:rPr>
              <w:t>50</w:t>
            </w:r>
          </w:p>
        </w:tc>
        <w:tc>
          <w:tcPr>
            <w:tcW w:w="1493" w:type="dxa"/>
            <w:tcBorders>
              <w:top w:val="single" w:color="000000" w:sz="4" w:space="0"/>
              <w:left w:val="single" w:color="000000" w:sz="4" w:space="0"/>
              <w:bottom w:val="single" w:color="000000" w:sz="4" w:space="0"/>
              <w:right w:val="single" w:color="000000" w:sz="4" w:space="0"/>
            </w:tcBorders>
            <w:noWrap w:val="0"/>
            <w:vAlign w:val="center"/>
          </w:tcPr>
          <w:p w14:paraId="3CE70665">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31</w:t>
            </w:r>
          </w:p>
        </w:tc>
        <w:tc>
          <w:tcPr>
            <w:tcW w:w="1773" w:type="dxa"/>
            <w:tcBorders>
              <w:top w:val="single" w:color="000000" w:sz="4" w:space="0"/>
              <w:left w:val="single" w:color="000000" w:sz="4" w:space="0"/>
              <w:bottom w:val="nil"/>
              <w:right w:val="single" w:color="000000" w:sz="4" w:space="0"/>
            </w:tcBorders>
            <w:noWrap w:val="0"/>
            <w:vAlign w:val="center"/>
          </w:tcPr>
          <w:p w14:paraId="70B0B8EA">
            <w:pPr>
              <w:keepNext w:val="0"/>
              <w:keepLines w:val="0"/>
              <w:pageBreakBefore w:val="0"/>
              <w:widowControl/>
              <w:suppressLineNumbers w:val="0"/>
              <w:spacing w:line="240" w:lineRule="auto"/>
              <w:ind w:left="0" w:leftChars="0" w:right="0" w:rightChars="0" w:firstLine="0" w:firstLineChars="0"/>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i w:val="0"/>
                <w:iCs w:val="0"/>
                <w:color w:val="000000"/>
                <w:kern w:val="0"/>
                <w:sz w:val="22"/>
                <w:szCs w:val="22"/>
                <w:u w:val="none"/>
                <w:lang w:val="en-US" w:eastAsia="zh-CN" w:bidi="ar"/>
              </w:rPr>
              <w:t>9500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21E70BF1">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val="0"/>
                <w:bCs w:val="0"/>
                <w:color w:val="auto"/>
                <w:sz w:val="24"/>
                <w:szCs w:val="24"/>
                <w:highlight w:val="none"/>
                <w:lang w:val="en-US" w:eastAsia="zh-CN"/>
              </w:rPr>
            </w:pP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29C17FD5">
            <w:pPr>
              <w:keepNext w:val="0"/>
              <w:keepLines w:val="0"/>
              <w:pageBreakBefore w:val="0"/>
              <w:widowControl/>
              <w:suppressLineNumbers w:val="0"/>
              <w:spacing w:line="240" w:lineRule="auto"/>
              <w:ind w:left="0" w:leftChars="0" w:right="0" w:rightChars="0" w:firstLine="0" w:firstLineChars="0"/>
              <w:jc w:val="center"/>
              <w:rPr>
                <w:rFonts w:hint="default" w:ascii="宋体" w:hAnsi="宋体" w:eastAsia="宋体" w:cs="宋体"/>
                <w:b w:val="0"/>
                <w:bCs w:val="0"/>
                <w:color w:val="auto"/>
                <w:sz w:val="24"/>
                <w:szCs w:val="24"/>
                <w:highlight w:val="none"/>
                <w:lang w:val="en-US" w:eastAsia="zh-CN"/>
              </w:rPr>
            </w:pPr>
          </w:p>
        </w:tc>
        <w:tc>
          <w:tcPr>
            <w:tcW w:w="2021" w:type="dxa"/>
            <w:tcBorders>
              <w:top w:val="single" w:color="000000" w:sz="4" w:space="0"/>
              <w:left w:val="single" w:color="000000" w:sz="4" w:space="0"/>
              <w:bottom w:val="single" w:color="000000" w:sz="4" w:space="0"/>
              <w:right w:val="single" w:color="000000" w:sz="4" w:space="0"/>
            </w:tcBorders>
            <w:noWrap w:val="0"/>
            <w:vAlign w:val="center"/>
          </w:tcPr>
          <w:p w14:paraId="36D1DB4B">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b w:val="0"/>
                <w:bCs w:val="0"/>
                <w:color w:val="auto"/>
                <w:sz w:val="24"/>
                <w:szCs w:val="24"/>
                <w:highlight w:val="none"/>
                <w:lang w:val="en-US" w:eastAsia="zh-CN"/>
              </w:rPr>
            </w:pPr>
          </w:p>
        </w:tc>
      </w:tr>
      <w:tr w14:paraId="68051929">
        <w:tblPrEx>
          <w:tblCellMar>
            <w:top w:w="0" w:type="dxa"/>
            <w:left w:w="108" w:type="dxa"/>
            <w:bottom w:w="0" w:type="dxa"/>
            <w:right w:w="108" w:type="dxa"/>
          </w:tblCellMar>
        </w:tblPrEx>
        <w:trPr>
          <w:trHeight w:val="733" w:hRule="atLeast"/>
        </w:trPr>
        <w:tc>
          <w:tcPr>
            <w:tcW w:w="1313" w:type="dxa"/>
            <w:tcBorders>
              <w:top w:val="single" w:color="000000" w:sz="4" w:space="0"/>
              <w:left w:val="single" w:color="000000" w:sz="4" w:space="0"/>
              <w:bottom w:val="single" w:color="000000" w:sz="4" w:space="0"/>
              <w:right w:val="single" w:color="000000" w:sz="4" w:space="0"/>
            </w:tcBorders>
            <w:noWrap w:val="0"/>
            <w:vAlign w:val="center"/>
          </w:tcPr>
          <w:p w14:paraId="3441F280">
            <w:pPr>
              <w:keepNext w:val="0"/>
              <w:keepLines w:val="0"/>
              <w:pageBreakBefore w:val="0"/>
              <w:widowControl/>
              <w:suppressLineNumbers w:val="0"/>
              <w:spacing w:line="240" w:lineRule="auto"/>
              <w:ind w:left="0" w:leftChars="0" w:right="0" w:rightChars="0" w:firstLine="0" w:firstLineChars="0"/>
              <w:jc w:val="both"/>
              <w:rPr>
                <w:rFonts w:hint="eastAsia" w:ascii="宋体" w:hAnsi="宋体" w:eastAsia="宋体" w:cs="宋体"/>
                <w:b/>
                <w:bCs/>
                <w:color w:val="auto"/>
                <w:sz w:val="24"/>
                <w:szCs w:val="24"/>
                <w:highlight w:val="none"/>
              </w:rPr>
            </w:pPr>
            <w:r>
              <w:rPr>
                <w:rFonts w:hint="eastAsia" w:ascii="宋体" w:hAnsi="宋体" w:eastAsia="宋体" w:cs="宋体"/>
                <w:i w:val="0"/>
                <w:color w:val="auto"/>
                <w:spacing w:val="0"/>
                <w:sz w:val="24"/>
                <w:szCs w:val="24"/>
                <w:highlight w:val="none"/>
                <w:u w:val="none"/>
                <w:lang w:val="en-US" w:eastAsia="zh-CN" w:bidi="ar"/>
              </w:rPr>
              <w:t>合计：</w:t>
            </w:r>
          </w:p>
        </w:tc>
        <w:tc>
          <w:tcPr>
            <w:tcW w:w="12565" w:type="dxa"/>
            <w:gridSpan w:val="8"/>
            <w:tcBorders>
              <w:top w:val="single" w:color="000000" w:sz="4" w:space="0"/>
              <w:left w:val="single" w:color="000000" w:sz="4" w:space="0"/>
              <w:bottom w:val="single" w:color="000000" w:sz="4" w:space="0"/>
              <w:right w:val="single" w:color="000000" w:sz="4" w:space="0"/>
            </w:tcBorders>
            <w:noWrap w:val="0"/>
            <w:vAlign w:val="center"/>
          </w:tcPr>
          <w:p w14:paraId="3241E72F">
            <w:pPr>
              <w:keepNext w:val="0"/>
              <w:keepLines w:val="0"/>
              <w:pageBreakBefore w:val="0"/>
              <w:widowControl/>
              <w:suppressLineNumbers w:val="0"/>
              <w:spacing w:line="240" w:lineRule="auto"/>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i w:val="0"/>
                <w:color w:val="auto"/>
                <w:spacing w:val="0"/>
                <w:sz w:val="24"/>
                <w:szCs w:val="24"/>
                <w:highlight w:val="none"/>
                <w:u w:val="none"/>
                <w:lang w:val="en-US" w:eastAsia="zh-CN" w:bidi="ar"/>
              </w:rPr>
              <w:t>人民币</w:t>
            </w:r>
            <w:r>
              <w:rPr>
                <w:rFonts w:hint="eastAsia" w:ascii="宋体" w:hAnsi="宋体" w:eastAsia="宋体" w:cs="宋体"/>
                <w:i w:val="0"/>
                <w:color w:val="auto"/>
                <w:spacing w:val="0"/>
                <w:sz w:val="24"/>
                <w:szCs w:val="24"/>
                <w:highlight w:val="none"/>
                <w:u w:val="single"/>
                <w:lang w:val="en-US" w:eastAsia="zh-CN" w:bidi="ar"/>
              </w:rPr>
              <w:t xml:space="preserve">                                </w:t>
            </w:r>
            <w:r>
              <w:rPr>
                <w:rFonts w:hint="eastAsia" w:ascii="宋体" w:hAnsi="宋体" w:eastAsia="宋体" w:cs="宋体"/>
                <w:i w:val="0"/>
                <w:color w:val="auto"/>
                <w:spacing w:val="0"/>
                <w:sz w:val="24"/>
                <w:szCs w:val="24"/>
                <w:highlight w:val="none"/>
                <w:u w:val="none"/>
                <w:lang w:val="en-US" w:eastAsia="zh-CN" w:bidi="ar"/>
              </w:rPr>
              <w:t>元</w:t>
            </w:r>
          </w:p>
        </w:tc>
      </w:tr>
      <w:tr w14:paraId="4ACE0D89">
        <w:tblPrEx>
          <w:tblCellMar>
            <w:top w:w="0" w:type="dxa"/>
            <w:left w:w="108" w:type="dxa"/>
            <w:bottom w:w="0" w:type="dxa"/>
            <w:right w:w="108" w:type="dxa"/>
          </w:tblCellMar>
        </w:tblPrEx>
        <w:trPr>
          <w:trHeight w:val="733" w:hRule="atLeast"/>
        </w:trPr>
        <w:tc>
          <w:tcPr>
            <w:tcW w:w="13878" w:type="dxa"/>
            <w:gridSpan w:val="9"/>
            <w:tcBorders>
              <w:top w:val="single" w:color="000000" w:sz="4" w:space="0"/>
              <w:left w:val="single" w:color="000000" w:sz="4" w:space="0"/>
              <w:bottom w:val="single" w:color="000000" w:sz="4" w:space="0"/>
              <w:right w:val="single" w:color="000000" w:sz="4" w:space="0"/>
            </w:tcBorders>
            <w:noWrap w:val="0"/>
            <w:vAlign w:val="center"/>
          </w:tcPr>
          <w:p w14:paraId="599E69C4">
            <w:pPr>
              <w:keepNext w:val="0"/>
              <w:keepLines w:val="0"/>
              <w:pageBreakBefore w:val="0"/>
              <w:widowControl/>
              <w:suppressLineNumbers w:val="0"/>
              <w:spacing w:line="240" w:lineRule="auto"/>
              <w:ind w:left="0" w:leftChars="0" w:right="0" w:rightChars="0" w:firstLine="0" w:firstLineChars="0"/>
              <w:jc w:val="left"/>
              <w:rPr>
                <w:rFonts w:hint="eastAsia" w:ascii="宋体" w:hAnsi="宋体" w:eastAsia="宋体" w:cs="宋体"/>
                <w:b w:val="0"/>
                <w:bCs w:val="0"/>
                <w:i w:val="0"/>
                <w:color w:val="auto"/>
                <w:spacing w:val="0"/>
                <w:sz w:val="24"/>
                <w:szCs w:val="24"/>
                <w:highlight w:val="none"/>
                <w:u w:val="none"/>
                <w:lang w:val="en-US" w:eastAsia="zh-CN" w:bidi="ar"/>
              </w:rPr>
            </w:pPr>
            <w:bookmarkStart w:id="125" w:name="_Toc10632"/>
            <w:bookmarkStart w:id="126" w:name="_Toc5837"/>
            <w:r>
              <w:rPr>
                <w:rFonts w:hint="eastAsia" w:ascii="宋体" w:hAnsi="宋体" w:eastAsia="宋体" w:cs="宋体"/>
                <w:b w:val="0"/>
                <w:bCs w:val="0"/>
                <w:i w:val="0"/>
                <w:color w:val="auto"/>
                <w:spacing w:val="0"/>
                <w:sz w:val="24"/>
                <w:szCs w:val="24"/>
                <w:highlight w:val="none"/>
                <w:u w:val="none"/>
                <w:lang w:val="en-US" w:eastAsia="zh-CN" w:bidi="ar"/>
              </w:rPr>
              <w:t>备注:1、费用已包含基本工资、加班费、伙食费、社保、公积金、高温费、商业保险、各项基金、教育经费、服装费、管理费、税费等。</w:t>
            </w:r>
          </w:p>
          <w:p w14:paraId="5BFEE27A">
            <w:pPr>
              <w:keepNext w:val="0"/>
              <w:keepLines w:val="0"/>
              <w:pageBreakBefore w:val="0"/>
              <w:widowControl/>
              <w:suppressLineNumbers w:val="0"/>
              <w:spacing w:line="240" w:lineRule="auto"/>
              <w:ind w:left="0" w:leftChars="0" w:right="0" w:rightChars="0" w:firstLine="0" w:firstLineChars="0"/>
              <w:jc w:val="left"/>
              <w:rPr>
                <w:rFonts w:hint="eastAsia" w:ascii="宋体" w:hAnsi="宋体" w:eastAsia="宋体" w:cs="宋体"/>
                <w:b w:val="0"/>
                <w:bCs w:val="0"/>
                <w:i w:val="0"/>
                <w:color w:val="auto"/>
                <w:spacing w:val="0"/>
                <w:sz w:val="24"/>
                <w:szCs w:val="24"/>
                <w:highlight w:val="none"/>
                <w:u w:val="none"/>
                <w:lang w:val="en-US" w:eastAsia="zh-CN" w:bidi="ar"/>
              </w:rPr>
            </w:pPr>
            <w:r>
              <w:rPr>
                <w:rFonts w:hint="eastAsia" w:ascii="宋体" w:hAnsi="宋体" w:eastAsia="宋体" w:cs="宋体"/>
                <w:b w:val="0"/>
                <w:bCs w:val="0"/>
                <w:i w:val="0"/>
                <w:color w:val="auto"/>
                <w:spacing w:val="0"/>
                <w:sz w:val="24"/>
                <w:szCs w:val="24"/>
                <w:highlight w:val="none"/>
                <w:u w:val="none"/>
                <w:lang w:val="en-US" w:eastAsia="zh-CN" w:bidi="ar"/>
              </w:rPr>
              <w:t>2、中标单位应自行考虑协议期内政府上调工资、社保和公积金基数，协议期内相关费用不予调整。</w:t>
            </w:r>
          </w:p>
          <w:p w14:paraId="2974ABA1">
            <w:pPr>
              <w:keepNext w:val="0"/>
              <w:keepLines w:val="0"/>
              <w:pageBreakBefore w:val="0"/>
              <w:widowControl/>
              <w:suppressLineNumbers w:val="0"/>
              <w:spacing w:line="240" w:lineRule="auto"/>
              <w:ind w:left="0" w:leftChars="0" w:right="0" w:rightChars="0" w:firstLine="0" w:firstLineChars="0"/>
              <w:jc w:val="left"/>
              <w:rPr>
                <w:rFonts w:hint="eastAsia" w:ascii="宋体" w:hAnsi="宋体" w:eastAsia="宋体" w:cs="宋体"/>
                <w:b w:val="0"/>
                <w:bCs w:val="0"/>
                <w:i w:val="0"/>
                <w:color w:val="auto"/>
                <w:spacing w:val="0"/>
                <w:sz w:val="24"/>
                <w:szCs w:val="24"/>
                <w:highlight w:val="none"/>
                <w:u w:val="none"/>
                <w:lang w:val="en-US" w:eastAsia="zh-CN" w:bidi="ar"/>
              </w:rPr>
            </w:pPr>
            <w:r>
              <w:rPr>
                <w:rFonts w:hint="eastAsia" w:ascii="宋体" w:hAnsi="宋体" w:eastAsia="宋体" w:cs="宋体"/>
                <w:b w:val="0"/>
                <w:bCs w:val="0"/>
                <w:i w:val="0"/>
                <w:color w:val="auto"/>
                <w:spacing w:val="0"/>
                <w:sz w:val="24"/>
                <w:szCs w:val="24"/>
                <w:highlight w:val="none"/>
                <w:u w:val="none"/>
                <w:lang w:val="en-US" w:eastAsia="zh-CN" w:bidi="ar"/>
              </w:rPr>
              <w:t>3、中标单位应充分保障治安巡逻车辆，不低于15辆电动自行车，并负责对人员出行进行交通安全教育与监督。</w:t>
            </w:r>
          </w:p>
          <w:p w14:paraId="085855FB">
            <w:pPr>
              <w:keepNext w:val="0"/>
              <w:keepLines w:val="0"/>
              <w:pageBreakBefore w:val="0"/>
              <w:widowControl/>
              <w:suppressLineNumbers w:val="0"/>
              <w:spacing w:line="240" w:lineRule="auto"/>
              <w:ind w:left="0" w:leftChars="0" w:right="0" w:rightChars="0" w:firstLine="0" w:firstLineChars="0"/>
              <w:jc w:val="left"/>
              <w:rPr>
                <w:rFonts w:hint="default" w:ascii="宋体" w:hAnsi="宋体" w:eastAsia="宋体" w:cs="宋体"/>
                <w:i w:val="0"/>
                <w:color w:val="auto"/>
                <w:spacing w:val="0"/>
                <w:sz w:val="24"/>
                <w:szCs w:val="24"/>
                <w:highlight w:val="none"/>
                <w:u w:val="none"/>
                <w:lang w:val="en-US" w:eastAsia="zh-CN" w:bidi="ar"/>
              </w:rPr>
            </w:pPr>
            <w:r>
              <w:rPr>
                <w:rFonts w:hint="eastAsia" w:ascii="宋体" w:hAnsi="宋体" w:eastAsia="宋体" w:cs="宋体"/>
                <w:b w:val="0"/>
                <w:bCs w:val="0"/>
                <w:i w:val="0"/>
                <w:color w:val="auto"/>
                <w:spacing w:val="0"/>
                <w:sz w:val="24"/>
                <w:szCs w:val="24"/>
                <w:highlight w:val="none"/>
                <w:u w:val="none"/>
                <w:lang w:val="en-US" w:eastAsia="zh-CN" w:bidi="ar"/>
              </w:rPr>
              <w:t>4、因24小时治安巡逻需要，中标单位需根据要求每月编制加值班表报送采购人审批实施。</w:t>
            </w:r>
          </w:p>
        </w:tc>
      </w:tr>
    </w:tbl>
    <w:p w14:paraId="4E1451D5">
      <w:pPr>
        <w:pStyle w:val="364"/>
        <w:outlineLvl w:val="1"/>
        <w:rPr>
          <w:color w:val="auto"/>
          <w:highlight w:val="none"/>
        </w:rPr>
        <w:sectPr>
          <w:pgSz w:w="16838" w:h="11906" w:orient="landscape"/>
          <w:pgMar w:top="1083" w:right="1440" w:bottom="1083" w:left="1440" w:header="851" w:footer="992" w:gutter="0"/>
          <w:pgNumType w:fmt="decimal"/>
          <w:cols w:space="0" w:num="1"/>
          <w:rtlGutter w:val="0"/>
          <w:docGrid w:type="lines" w:linePitch="314" w:charSpace="0"/>
        </w:sectPr>
      </w:pPr>
    </w:p>
    <w:p w14:paraId="3720E900">
      <w:pPr>
        <w:pStyle w:val="364"/>
        <w:outlineLvl w:val="1"/>
        <w:rPr>
          <w:color w:val="auto"/>
          <w:highlight w:val="none"/>
        </w:rPr>
      </w:pPr>
    </w:p>
    <w:p w14:paraId="0F37C9F6">
      <w:pPr>
        <w:pStyle w:val="364"/>
        <w:outlineLvl w:val="1"/>
        <w:rPr>
          <w:color w:val="auto"/>
          <w:highlight w:val="none"/>
        </w:rPr>
      </w:pPr>
      <w:r>
        <w:rPr>
          <w:color w:val="auto"/>
          <w:highlight w:val="none"/>
        </w:rPr>
        <w:t>十一、中小企业声明函</w:t>
      </w:r>
      <w:bookmarkEnd w:id="124"/>
      <w:bookmarkEnd w:id="125"/>
      <w:bookmarkEnd w:id="126"/>
    </w:p>
    <w:p w14:paraId="176E74AF">
      <w:pPr>
        <w:jc w:val="center"/>
        <w:rPr>
          <w:rFonts w:hint="eastAsia" w:ascii="楷体" w:hAnsi="楷体" w:eastAsia="楷体" w:cs="楷体"/>
          <w:color w:val="auto"/>
          <w:sz w:val="32"/>
          <w:szCs w:val="32"/>
        </w:rPr>
      </w:pPr>
      <w:r>
        <w:rPr>
          <w:rStyle w:val="68"/>
          <w:rFonts w:hint="eastAsia" w:ascii="楷体" w:hAnsi="楷体" w:eastAsia="楷体" w:cs="楷体"/>
          <w:color w:val="auto"/>
          <w:kern w:val="0"/>
          <w:sz w:val="32"/>
          <w:szCs w:val="32"/>
          <w:lang w:bidi="ar"/>
        </w:rPr>
        <w:t>中小企业声明函（服务）</w:t>
      </w:r>
    </w:p>
    <w:p w14:paraId="2058A51C">
      <w:pPr>
        <w:widowControl/>
        <w:spacing w:before="100" w:beforeAutospacing="1" w:after="100" w:afterAutospacing="1" w:line="435" w:lineRule="exact"/>
        <w:ind w:firstLine="420" w:firstLineChars="200"/>
        <w:jc w:val="left"/>
        <w:rPr>
          <w:rFonts w:hint="eastAsia" w:ascii="宋体" w:hAnsi="宋体" w:eastAsia="宋体" w:cs="宋体"/>
          <w:color w:val="auto"/>
          <w:szCs w:val="20"/>
        </w:rPr>
      </w:pPr>
      <w:r>
        <w:rPr>
          <w:rFonts w:hint="eastAsia" w:ascii="宋体" w:hAnsi="宋体" w:eastAsia="宋体" w:cs="宋体"/>
          <w:color w:val="auto"/>
          <w:szCs w:val="20"/>
        </w:rPr>
        <w:t>本公司（联合体）郑重声明，根据《政府采购促进中小企业发展管理办法》（财库﹝2020﹞46 号）的规定，本公司（联合体）参加</w:t>
      </w:r>
      <w:r>
        <w:rPr>
          <w:rFonts w:hint="eastAsia" w:ascii="宋体" w:hAnsi="宋体" w:eastAsia="宋体" w:cs="宋体"/>
          <w:color w:val="auto"/>
          <w:szCs w:val="20"/>
          <w:u w:val="single"/>
        </w:rPr>
        <w:t xml:space="preserve">    （单位名称）</w:t>
      </w:r>
      <w:r>
        <w:rPr>
          <w:rFonts w:hint="eastAsia" w:ascii="宋体" w:hAnsi="宋体" w:eastAsia="宋体" w:cs="宋体"/>
          <w:color w:val="auto"/>
          <w:kern w:val="0"/>
          <w:lang w:bidi="ar"/>
        </w:rPr>
        <w:t>的</w:t>
      </w:r>
      <w:r>
        <w:rPr>
          <w:rFonts w:hint="eastAsia" w:ascii="宋体" w:hAnsi="宋体" w:eastAsia="宋体" w:cs="宋体"/>
          <w:color w:val="auto"/>
          <w:kern w:val="0"/>
          <w:u w:val="single"/>
          <w:lang w:bidi="ar"/>
        </w:rPr>
        <w:t xml:space="preserve"> </w:t>
      </w:r>
      <w:r>
        <w:rPr>
          <w:rFonts w:hint="eastAsia" w:ascii="宋体" w:hAnsi="宋体" w:eastAsia="宋体" w:cs="宋体"/>
          <w:color w:val="auto"/>
          <w:szCs w:val="20"/>
          <w:u w:val="single"/>
        </w:rPr>
        <w:t xml:space="preserve">   （项目名称）采</w:t>
      </w:r>
      <w:r>
        <w:rPr>
          <w:rFonts w:hint="eastAsia" w:ascii="宋体" w:hAnsi="宋体" w:eastAsia="宋体" w:cs="宋体"/>
          <w:color w:val="auto"/>
          <w:szCs w:val="20"/>
        </w:rPr>
        <w:t>购活动，提供的货物全部由符合政策要求的中小企业制造。相关企业（含联合体中的中小企业、签订分包意向协议的中小企业）的具体情况如下：</w:t>
      </w:r>
    </w:p>
    <w:p w14:paraId="0FDD987A">
      <w:pPr>
        <w:widowControl/>
        <w:spacing w:before="100" w:beforeAutospacing="1" w:after="100" w:afterAutospacing="1" w:line="435" w:lineRule="exact"/>
        <w:ind w:firstLine="420" w:firstLineChars="200"/>
        <w:jc w:val="left"/>
        <w:rPr>
          <w:rFonts w:hint="eastAsia" w:ascii="宋体" w:hAnsi="宋体" w:eastAsia="宋体" w:cs="宋体"/>
          <w:color w:val="auto"/>
        </w:rPr>
      </w:pPr>
      <w:r>
        <w:rPr>
          <w:rFonts w:hint="eastAsia" w:ascii="宋体" w:hAnsi="宋体" w:eastAsia="宋体" w:cs="宋体"/>
          <w:color w:val="auto"/>
          <w:kern w:val="0"/>
          <w:lang w:bidi="ar"/>
        </w:rPr>
        <w:t>1</w:t>
      </w:r>
      <w:r>
        <w:rPr>
          <w:rFonts w:hint="eastAsia" w:ascii="宋体" w:hAnsi="宋体" w:eastAsia="宋体" w:cs="宋体"/>
          <w:color w:val="auto"/>
          <w:szCs w:val="20"/>
          <w:u w:val="single"/>
        </w:rPr>
        <w:t xml:space="preserve">.     </w:t>
      </w:r>
      <w:r>
        <w:rPr>
          <w:rFonts w:hint="eastAsia" w:ascii="宋体" w:hAnsi="宋体" w:eastAsia="宋体" w:cs="宋体"/>
          <w:color w:val="auto"/>
          <w:kern w:val="0"/>
          <w:u w:val="single"/>
          <w:lang w:bidi="ar"/>
        </w:rPr>
        <w:t>（</w:t>
      </w:r>
      <w:r>
        <w:rPr>
          <w:rFonts w:hint="eastAsia" w:ascii="宋体" w:hAnsi="宋体" w:eastAsia="宋体" w:cs="宋体"/>
          <w:color w:val="auto"/>
          <w:szCs w:val="20"/>
          <w:u w:val="single"/>
        </w:rPr>
        <w:t>标的名称）</w:t>
      </w:r>
      <w:r>
        <w:rPr>
          <w:rFonts w:hint="eastAsia" w:ascii="宋体" w:hAnsi="宋体" w:eastAsia="宋体" w:cs="宋体"/>
          <w:color w:val="auto"/>
          <w:kern w:val="0"/>
          <w:lang w:bidi="ar"/>
        </w:rPr>
        <w:t>，属于</w:t>
      </w:r>
      <w:r>
        <w:rPr>
          <w:rFonts w:hint="eastAsia" w:ascii="宋体" w:hAnsi="宋体" w:eastAsia="宋体" w:cs="宋体"/>
          <w:color w:val="auto"/>
          <w:szCs w:val="20"/>
          <w:u w:val="single"/>
          <w:lang w:val="en-US" w:eastAsia="zh-CN"/>
        </w:rPr>
        <w:t>其他未列明</w:t>
      </w:r>
      <w:r>
        <w:rPr>
          <w:rFonts w:hint="eastAsia" w:ascii="宋体" w:hAnsi="宋体" w:eastAsia="宋体" w:cs="宋体"/>
          <w:color w:val="auto"/>
          <w:kern w:val="0"/>
          <w:lang w:bidi="ar"/>
        </w:rPr>
        <w:t>行业；</w:t>
      </w:r>
      <w:r>
        <w:rPr>
          <w:rFonts w:hint="eastAsia" w:ascii="宋体" w:hAnsi="宋体" w:eastAsia="宋体" w:cs="宋体"/>
          <w:color w:val="auto"/>
          <w:szCs w:val="20"/>
        </w:rPr>
        <w:t xml:space="preserve">制造商为 </w:t>
      </w:r>
      <w:r>
        <w:rPr>
          <w:rFonts w:hint="eastAsia" w:ascii="宋体" w:hAnsi="宋体" w:eastAsia="宋体" w:cs="宋体"/>
          <w:color w:val="auto"/>
          <w:szCs w:val="20"/>
          <w:u w:val="single"/>
        </w:rPr>
        <w:t xml:space="preserve">         （企业名称）</w:t>
      </w:r>
      <w:r>
        <w:rPr>
          <w:rFonts w:hint="eastAsia" w:ascii="宋体" w:hAnsi="宋体" w:eastAsia="宋体" w:cs="宋体"/>
          <w:color w:val="auto"/>
          <w:kern w:val="0"/>
          <w:lang w:bidi="ar"/>
        </w:rPr>
        <w:t>，</w:t>
      </w:r>
      <w:r>
        <w:rPr>
          <w:rFonts w:hint="eastAsia" w:ascii="宋体" w:hAnsi="宋体" w:eastAsia="宋体" w:cs="宋体"/>
          <w:color w:val="auto"/>
          <w:szCs w:val="20"/>
        </w:rPr>
        <w:t>从业人员</w:t>
      </w:r>
      <w:r>
        <w:rPr>
          <w:rFonts w:hint="eastAsia" w:ascii="宋体" w:hAnsi="宋体" w:eastAsia="宋体" w:cs="宋体"/>
          <w:color w:val="auto"/>
          <w:kern w:val="0"/>
          <w:u w:val="single"/>
          <w:lang w:bidi="ar"/>
        </w:rPr>
        <w:t xml:space="preserve">    </w:t>
      </w:r>
      <w:r>
        <w:rPr>
          <w:rFonts w:hint="eastAsia" w:ascii="宋体" w:hAnsi="宋体" w:eastAsia="宋体" w:cs="宋体"/>
          <w:color w:val="auto"/>
          <w:kern w:val="0"/>
          <w:lang w:bidi="ar"/>
        </w:rPr>
        <w:t>人，</w:t>
      </w:r>
      <w:r>
        <w:rPr>
          <w:rFonts w:hint="eastAsia" w:ascii="宋体" w:hAnsi="宋体" w:eastAsia="宋体" w:cs="宋体"/>
          <w:color w:val="auto"/>
          <w:szCs w:val="20"/>
        </w:rPr>
        <w:t>营业收入为</w:t>
      </w:r>
      <w:r>
        <w:rPr>
          <w:rFonts w:hint="eastAsia" w:ascii="宋体" w:hAnsi="宋体" w:eastAsia="宋体" w:cs="宋体"/>
          <w:color w:val="auto"/>
          <w:kern w:val="0"/>
          <w:u w:val="single"/>
          <w:lang w:bidi="ar"/>
        </w:rPr>
        <w:t xml:space="preserve">    </w:t>
      </w:r>
      <w:r>
        <w:rPr>
          <w:rFonts w:hint="eastAsia" w:ascii="宋体" w:hAnsi="宋体" w:eastAsia="宋体" w:cs="宋体"/>
          <w:color w:val="auto"/>
          <w:kern w:val="0"/>
          <w:lang w:bidi="ar"/>
        </w:rPr>
        <w:t>万元，</w:t>
      </w:r>
      <w:r>
        <w:rPr>
          <w:rFonts w:hint="eastAsia" w:ascii="宋体" w:hAnsi="宋体" w:eastAsia="宋体" w:cs="宋体"/>
          <w:color w:val="auto"/>
          <w:szCs w:val="20"/>
        </w:rPr>
        <w:t>资产总额为</w:t>
      </w:r>
      <w:r>
        <w:rPr>
          <w:rFonts w:hint="eastAsia" w:ascii="宋体" w:hAnsi="宋体" w:eastAsia="宋体" w:cs="宋体"/>
          <w:color w:val="auto"/>
          <w:kern w:val="0"/>
          <w:u w:val="single"/>
          <w:lang w:bidi="ar"/>
        </w:rPr>
        <w:t xml:space="preserve">   </w:t>
      </w:r>
      <w:r>
        <w:rPr>
          <w:rFonts w:hint="eastAsia" w:ascii="宋体" w:hAnsi="宋体" w:eastAsia="宋体" w:cs="宋体"/>
          <w:color w:val="auto"/>
          <w:kern w:val="0"/>
          <w:lang w:bidi="ar"/>
        </w:rPr>
        <w:t>万</w:t>
      </w:r>
      <w:r>
        <w:rPr>
          <w:rFonts w:hint="eastAsia" w:ascii="宋体" w:hAnsi="宋体" w:eastAsia="宋体" w:cs="宋体"/>
          <w:color w:val="auto"/>
          <w:szCs w:val="20"/>
        </w:rPr>
        <w:t>元，属于</w:t>
      </w:r>
      <w:r>
        <w:rPr>
          <w:rFonts w:hint="eastAsia" w:ascii="宋体" w:hAnsi="宋体" w:eastAsia="宋体" w:cs="宋体"/>
          <w:color w:val="auto"/>
          <w:szCs w:val="20"/>
          <w:u w:val="single"/>
        </w:rPr>
        <w:t xml:space="preserve">     （中型企业、小型企业、微型企业）</w:t>
      </w:r>
      <w:r>
        <w:rPr>
          <w:rFonts w:hint="eastAsia" w:ascii="宋体" w:hAnsi="宋体" w:eastAsia="宋体" w:cs="宋体"/>
          <w:color w:val="auto"/>
          <w:kern w:val="0"/>
          <w:lang w:bidi="ar"/>
        </w:rPr>
        <w:t>；</w:t>
      </w:r>
    </w:p>
    <w:p w14:paraId="2DD02CAE">
      <w:pPr>
        <w:widowControl/>
        <w:spacing w:before="100" w:beforeAutospacing="1" w:after="100" w:afterAutospacing="1" w:line="435" w:lineRule="exact"/>
        <w:ind w:firstLine="420" w:firstLineChars="200"/>
        <w:jc w:val="left"/>
        <w:rPr>
          <w:rFonts w:hint="eastAsia" w:ascii="宋体" w:hAnsi="宋体" w:eastAsia="宋体" w:cs="宋体"/>
          <w:color w:val="auto"/>
        </w:rPr>
      </w:pPr>
      <w:r>
        <w:rPr>
          <w:rFonts w:hint="eastAsia" w:ascii="宋体" w:hAnsi="宋体" w:eastAsia="宋体" w:cs="宋体"/>
          <w:color w:val="auto"/>
          <w:kern w:val="0"/>
          <w:lang w:bidi="ar"/>
        </w:rPr>
        <w:t>2</w:t>
      </w:r>
      <w:r>
        <w:rPr>
          <w:rFonts w:hint="eastAsia" w:ascii="宋体" w:hAnsi="宋体" w:eastAsia="宋体" w:cs="宋体"/>
          <w:color w:val="auto"/>
          <w:szCs w:val="20"/>
          <w:u w:val="single"/>
        </w:rPr>
        <w:t xml:space="preserve">.     </w:t>
      </w:r>
      <w:r>
        <w:rPr>
          <w:rFonts w:hint="eastAsia" w:ascii="宋体" w:hAnsi="宋体" w:eastAsia="宋体" w:cs="宋体"/>
          <w:color w:val="auto"/>
          <w:kern w:val="0"/>
          <w:u w:val="single"/>
          <w:lang w:bidi="ar"/>
        </w:rPr>
        <w:t>（</w:t>
      </w:r>
      <w:r>
        <w:rPr>
          <w:rFonts w:hint="eastAsia" w:ascii="宋体" w:hAnsi="宋体" w:eastAsia="宋体" w:cs="宋体"/>
          <w:color w:val="auto"/>
          <w:szCs w:val="20"/>
          <w:u w:val="single"/>
        </w:rPr>
        <w:t>标的名称）</w:t>
      </w:r>
      <w:r>
        <w:rPr>
          <w:rFonts w:hint="eastAsia" w:ascii="宋体" w:hAnsi="宋体" w:eastAsia="宋体" w:cs="宋体"/>
          <w:color w:val="auto"/>
          <w:kern w:val="0"/>
          <w:lang w:bidi="ar"/>
        </w:rPr>
        <w:t>，属于</w:t>
      </w:r>
      <w:r>
        <w:rPr>
          <w:rFonts w:hint="eastAsia" w:ascii="宋体" w:hAnsi="宋体" w:eastAsia="宋体" w:cs="宋体"/>
          <w:color w:val="auto"/>
          <w:szCs w:val="20"/>
          <w:u w:val="single"/>
        </w:rPr>
        <w:t xml:space="preserve">     （采购文件中明确的所属行业）</w:t>
      </w:r>
      <w:r>
        <w:rPr>
          <w:rFonts w:hint="eastAsia" w:ascii="宋体" w:hAnsi="宋体" w:eastAsia="宋体" w:cs="宋体"/>
          <w:color w:val="auto"/>
          <w:kern w:val="0"/>
          <w:lang w:bidi="ar"/>
        </w:rPr>
        <w:t>行业；</w:t>
      </w:r>
      <w:r>
        <w:rPr>
          <w:rFonts w:hint="eastAsia" w:ascii="宋体" w:hAnsi="宋体" w:eastAsia="宋体" w:cs="宋体"/>
          <w:color w:val="auto"/>
          <w:szCs w:val="20"/>
        </w:rPr>
        <w:t xml:space="preserve">制造商为 </w:t>
      </w:r>
      <w:r>
        <w:rPr>
          <w:rFonts w:hint="eastAsia" w:ascii="宋体" w:hAnsi="宋体" w:eastAsia="宋体" w:cs="宋体"/>
          <w:color w:val="auto"/>
          <w:szCs w:val="20"/>
          <w:u w:val="single"/>
        </w:rPr>
        <w:t xml:space="preserve">         （企业名称）</w:t>
      </w:r>
      <w:r>
        <w:rPr>
          <w:rFonts w:hint="eastAsia" w:ascii="宋体" w:hAnsi="宋体" w:eastAsia="宋体" w:cs="宋体"/>
          <w:color w:val="auto"/>
          <w:kern w:val="0"/>
          <w:lang w:bidi="ar"/>
        </w:rPr>
        <w:t>，</w:t>
      </w:r>
      <w:r>
        <w:rPr>
          <w:rFonts w:hint="eastAsia" w:ascii="宋体" w:hAnsi="宋体" w:eastAsia="宋体" w:cs="宋体"/>
          <w:color w:val="auto"/>
          <w:szCs w:val="20"/>
        </w:rPr>
        <w:t>从业人员</w:t>
      </w:r>
      <w:r>
        <w:rPr>
          <w:rFonts w:hint="eastAsia" w:ascii="宋体" w:hAnsi="宋体" w:eastAsia="宋体" w:cs="宋体"/>
          <w:color w:val="auto"/>
          <w:kern w:val="0"/>
          <w:u w:val="single"/>
          <w:lang w:bidi="ar"/>
        </w:rPr>
        <w:t xml:space="preserve">    </w:t>
      </w:r>
      <w:r>
        <w:rPr>
          <w:rFonts w:hint="eastAsia" w:ascii="宋体" w:hAnsi="宋体" w:eastAsia="宋体" w:cs="宋体"/>
          <w:color w:val="auto"/>
          <w:kern w:val="0"/>
          <w:lang w:bidi="ar"/>
        </w:rPr>
        <w:t>人，</w:t>
      </w:r>
      <w:r>
        <w:rPr>
          <w:rFonts w:hint="eastAsia" w:ascii="宋体" w:hAnsi="宋体" w:eastAsia="宋体" w:cs="宋体"/>
          <w:color w:val="auto"/>
          <w:szCs w:val="20"/>
        </w:rPr>
        <w:t>营业收入为</w:t>
      </w:r>
      <w:r>
        <w:rPr>
          <w:rFonts w:hint="eastAsia" w:ascii="宋体" w:hAnsi="宋体" w:eastAsia="宋体" w:cs="宋体"/>
          <w:color w:val="auto"/>
          <w:kern w:val="0"/>
          <w:u w:val="single"/>
          <w:lang w:bidi="ar"/>
        </w:rPr>
        <w:t xml:space="preserve">    </w:t>
      </w:r>
      <w:r>
        <w:rPr>
          <w:rFonts w:hint="eastAsia" w:ascii="宋体" w:hAnsi="宋体" w:eastAsia="宋体" w:cs="宋体"/>
          <w:color w:val="auto"/>
          <w:kern w:val="0"/>
          <w:lang w:bidi="ar"/>
        </w:rPr>
        <w:t>万元，</w:t>
      </w:r>
      <w:r>
        <w:rPr>
          <w:rFonts w:hint="eastAsia" w:ascii="宋体" w:hAnsi="宋体" w:eastAsia="宋体" w:cs="宋体"/>
          <w:color w:val="auto"/>
          <w:szCs w:val="20"/>
        </w:rPr>
        <w:t>资产总额为</w:t>
      </w:r>
      <w:r>
        <w:rPr>
          <w:rFonts w:hint="eastAsia" w:ascii="宋体" w:hAnsi="宋体" w:eastAsia="宋体" w:cs="宋体"/>
          <w:color w:val="auto"/>
          <w:kern w:val="0"/>
          <w:u w:val="single"/>
          <w:lang w:bidi="ar"/>
        </w:rPr>
        <w:t xml:space="preserve">   </w:t>
      </w:r>
      <w:r>
        <w:rPr>
          <w:rFonts w:hint="eastAsia" w:ascii="宋体" w:hAnsi="宋体" w:eastAsia="宋体" w:cs="宋体"/>
          <w:color w:val="auto"/>
          <w:kern w:val="0"/>
          <w:lang w:bidi="ar"/>
        </w:rPr>
        <w:t>万</w:t>
      </w:r>
      <w:r>
        <w:rPr>
          <w:rFonts w:hint="eastAsia" w:ascii="宋体" w:hAnsi="宋体" w:eastAsia="宋体" w:cs="宋体"/>
          <w:color w:val="auto"/>
          <w:szCs w:val="20"/>
        </w:rPr>
        <w:t>元，属于</w:t>
      </w:r>
      <w:r>
        <w:rPr>
          <w:rFonts w:hint="eastAsia" w:ascii="宋体" w:hAnsi="宋体" w:eastAsia="宋体" w:cs="宋体"/>
          <w:color w:val="auto"/>
          <w:szCs w:val="20"/>
          <w:u w:val="single"/>
        </w:rPr>
        <w:t xml:space="preserve">     （中型企业、小型企业、微型企业）</w:t>
      </w:r>
      <w:r>
        <w:rPr>
          <w:rFonts w:hint="eastAsia" w:ascii="宋体" w:hAnsi="宋体" w:eastAsia="宋体" w:cs="宋体"/>
          <w:color w:val="auto"/>
          <w:kern w:val="0"/>
          <w:lang w:bidi="ar"/>
        </w:rPr>
        <w:t>；</w:t>
      </w:r>
    </w:p>
    <w:p w14:paraId="1A0D8EAE">
      <w:pPr>
        <w:widowControl/>
        <w:spacing w:before="100" w:beforeAutospacing="1" w:after="100" w:afterAutospacing="1" w:line="435" w:lineRule="exact"/>
        <w:ind w:firstLine="420" w:firstLineChars="200"/>
        <w:jc w:val="left"/>
        <w:rPr>
          <w:rFonts w:hint="eastAsia" w:ascii="宋体" w:hAnsi="宋体" w:eastAsia="宋体" w:cs="宋体"/>
          <w:color w:val="auto"/>
        </w:rPr>
      </w:pPr>
      <w:r>
        <w:rPr>
          <w:rFonts w:hint="eastAsia" w:ascii="宋体" w:hAnsi="宋体" w:eastAsia="宋体" w:cs="宋体"/>
          <w:color w:val="auto"/>
          <w:kern w:val="0"/>
          <w:lang w:bidi="ar"/>
        </w:rPr>
        <w:t>……</w:t>
      </w:r>
    </w:p>
    <w:p w14:paraId="1CA644AD">
      <w:pPr>
        <w:widowControl/>
        <w:spacing w:before="100" w:beforeAutospacing="1" w:after="100" w:afterAutospacing="1" w:line="435" w:lineRule="exact"/>
        <w:ind w:firstLine="420" w:firstLineChars="200"/>
        <w:jc w:val="left"/>
        <w:rPr>
          <w:rFonts w:hint="eastAsia" w:ascii="宋体" w:hAnsi="宋体" w:eastAsia="宋体" w:cs="宋体"/>
          <w:color w:val="auto"/>
          <w:szCs w:val="20"/>
        </w:rPr>
      </w:pPr>
      <w:r>
        <w:rPr>
          <w:rFonts w:hint="eastAsia" w:ascii="宋体" w:hAnsi="宋体" w:eastAsia="宋体" w:cs="宋体"/>
          <w:color w:val="auto"/>
          <w:szCs w:val="20"/>
        </w:rPr>
        <w:t>以上企业，不属于大企业的分支机构，不存在控股股东为大企业的情形，也不存在与大企业的负责人为同一人的情形。</w:t>
      </w:r>
    </w:p>
    <w:p w14:paraId="5F823979">
      <w:pPr>
        <w:widowControl/>
        <w:spacing w:before="100" w:beforeAutospacing="1" w:after="100" w:afterAutospacing="1" w:line="435" w:lineRule="exact"/>
        <w:ind w:firstLine="420" w:firstLineChars="200"/>
        <w:jc w:val="left"/>
        <w:rPr>
          <w:rFonts w:hint="eastAsia" w:ascii="宋体" w:hAnsi="宋体" w:eastAsia="宋体" w:cs="宋体"/>
          <w:color w:val="auto"/>
          <w:szCs w:val="20"/>
        </w:rPr>
      </w:pPr>
      <w:r>
        <w:rPr>
          <w:rFonts w:hint="eastAsia" w:ascii="宋体" w:hAnsi="宋体" w:eastAsia="宋体" w:cs="宋体"/>
          <w:color w:val="auto"/>
          <w:szCs w:val="20"/>
        </w:rPr>
        <w:t>本企业对上述声明内容的真实性负责。如有虚假，将依法承担相应责任。</w:t>
      </w:r>
    </w:p>
    <w:p w14:paraId="61377F42">
      <w:pPr>
        <w:widowControl/>
        <w:spacing w:before="100" w:beforeAutospacing="1" w:after="100" w:afterAutospacing="1" w:line="435" w:lineRule="exact"/>
        <w:ind w:firstLine="420" w:firstLineChars="200"/>
        <w:jc w:val="center"/>
        <w:rPr>
          <w:rFonts w:hint="eastAsia" w:ascii="宋体" w:hAnsi="宋体" w:eastAsia="宋体" w:cs="宋体"/>
          <w:color w:val="auto"/>
          <w:szCs w:val="20"/>
          <w:lang w:val="en-US" w:eastAsia="zh-CN"/>
        </w:rPr>
      </w:pPr>
      <w:r>
        <w:rPr>
          <w:rFonts w:hint="eastAsia" w:ascii="宋体" w:hAnsi="宋体" w:eastAsia="宋体" w:cs="宋体"/>
          <w:color w:val="auto"/>
          <w:szCs w:val="20"/>
          <w:lang w:val="en-US" w:eastAsia="zh-CN"/>
        </w:rPr>
        <w:t xml:space="preserve">                          </w:t>
      </w:r>
      <w:r>
        <w:rPr>
          <w:rFonts w:hint="eastAsia" w:ascii="宋体" w:hAnsi="宋体" w:eastAsia="宋体" w:cs="宋体"/>
          <w:color w:val="auto"/>
          <w:szCs w:val="20"/>
        </w:rPr>
        <w:t>企业名称（</w:t>
      </w:r>
      <w:r>
        <w:rPr>
          <w:rFonts w:hint="eastAsia" w:ascii="宋体" w:hAnsi="宋体" w:eastAsia="宋体" w:cs="宋体"/>
          <w:color w:val="auto"/>
          <w:szCs w:val="20"/>
          <w:lang w:val="en-US" w:eastAsia="zh-CN"/>
        </w:rPr>
        <w:t>加盖公章</w:t>
      </w:r>
      <w:r>
        <w:rPr>
          <w:rFonts w:hint="eastAsia" w:ascii="宋体" w:hAnsi="宋体" w:eastAsia="宋体" w:cs="宋体"/>
          <w:color w:val="auto"/>
          <w:szCs w:val="20"/>
        </w:rPr>
        <w:t>）：</w:t>
      </w:r>
      <w:r>
        <w:rPr>
          <w:rFonts w:hint="eastAsia" w:ascii="宋体" w:hAnsi="宋体" w:eastAsia="宋体" w:cs="宋体"/>
          <w:color w:val="auto"/>
          <w:szCs w:val="20"/>
          <w:u w:val="single"/>
          <w:lang w:val="en-US" w:eastAsia="zh-CN"/>
        </w:rPr>
        <w:t xml:space="preserve">           </w:t>
      </w:r>
      <w:r>
        <w:rPr>
          <w:rFonts w:hint="eastAsia" w:ascii="宋体" w:hAnsi="宋体" w:eastAsia="宋体" w:cs="宋体"/>
          <w:color w:val="auto"/>
          <w:szCs w:val="20"/>
          <w:lang w:val="en-US" w:eastAsia="zh-CN"/>
        </w:rPr>
        <w:t xml:space="preserve">          </w:t>
      </w:r>
    </w:p>
    <w:p w14:paraId="6B78CE28">
      <w:pPr>
        <w:widowControl/>
        <w:spacing w:before="100" w:beforeAutospacing="1" w:after="100" w:afterAutospacing="1" w:line="435" w:lineRule="exact"/>
        <w:ind w:firstLine="420" w:firstLineChars="200"/>
        <w:jc w:val="center"/>
        <w:rPr>
          <w:rFonts w:hint="eastAsia" w:ascii="宋体" w:hAnsi="宋体" w:eastAsia="宋体" w:cs="宋体"/>
          <w:color w:val="auto"/>
          <w:szCs w:val="20"/>
        </w:rPr>
      </w:pPr>
      <w:r>
        <w:rPr>
          <w:rFonts w:hint="eastAsia" w:ascii="宋体" w:hAnsi="宋体" w:eastAsia="宋体" w:cs="宋体"/>
          <w:color w:val="auto"/>
          <w:szCs w:val="20"/>
          <w:lang w:val="en-US" w:eastAsia="zh-CN"/>
        </w:rPr>
        <w:t xml:space="preserve">           </w:t>
      </w:r>
      <w:r>
        <w:rPr>
          <w:rFonts w:hint="eastAsia" w:ascii="宋体" w:hAnsi="宋体" w:eastAsia="宋体" w:cs="宋体"/>
          <w:color w:val="auto"/>
          <w:szCs w:val="20"/>
        </w:rPr>
        <w:t>日 期：</w:t>
      </w:r>
    </w:p>
    <w:p w14:paraId="75F55B79">
      <w:pPr>
        <w:autoSpaceDE w:val="0"/>
        <w:autoSpaceDN w:val="0"/>
        <w:adjustRightInd w:val="0"/>
        <w:spacing w:line="420" w:lineRule="auto"/>
        <w:ind w:firstLine="422" w:firstLineChars="200"/>
        <w:jc w:val="left"/>
        <w:rPr>
          <w:rFonts w:hint="eastAsia" w:ascii="宋体" w:hAnsi="宋体" w:eastAsia="宋体" w:cs="宋体"/>
          <w:color w:val="auto"/>
          <w:sz w:val="21"/>
          <w:szCs w:val="21"/>
        </w:rPr>
      </w:pPr>
      <w:r>
        <w:rPr>
          <w:rFonts w:hint="eastAsia" w:ascii="宋体" w:hAnsi="宋体" w:eastAsia="宋体" w:cs="宋体"/>
          <w:b/>
          <w:bCs/>
          <w:color w:val="auto"/>
          <w:sz w:val="21"/>
          <w:szCs w:val="21"/>
          <w:vertAlign w:val="superscript"/>
        </w:rPr>
        <w:t>1</w:t>
      </w:r>
      <w:r>
        <w:rPr>
          <w:rFonts w:hint="eastAsia" w:ascii="宋体" w:hAnsi="宋体" w:eastAsia="宋体" w:cs="宋体"/>
          <w:color w:val="auto"/>
          <w:sz w:val="21"/>
          <w:szCs w:val="21"/>
        </w:rPr>
        <w:t>从业人员、营业收入、资产总额填报上一年度数据，无上一年度数据的新成立企业可不填报。</w:t>
      </w:r>
    </w:p>
    <w:p w14:paraId="43053A13">
      <w:pPr>
        <w:autoSpaceDE w:val="0"/>
        <w:autoSpaceDN w:val="0"/>
        <w:adjustRightInd w:val="0"/>
        <w:ind w:firstLine="422" w:firstLineChars="20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备注：</w:t>
      </w:r>
    </w:p>
    <w:p w14:paraId="6367D074">
      <w:pPr>
        <w:numPr>
          <w:ilvl w:val="0"/>
          <w:numId w:val="10"/>
        </w:numPr>
        <w:autoSpaceDE w:val="0"/>
        <w:autoSpaceDN w:val="0"/>
        <w:adjustRightInd w:val="0"/>
        <w:ind w:firstLine="422" w:firstLineChars="200"/>
        <w:jc w:val="left"/>
        <w:rPr>
          <w:rFonts w:hint="eastAsia" w:ascii="宋体" w:hAnsi="宋体" w:eastAsia="宋体" w:cs="宋体"/>
          <w:color w:val="auto"/>
          <w:sz w:val="21"/>
          <w:szCs w:val="21"/>
        </w:rPr>
      </w:pPr>
      <w:r>
        <w:rPr>
          <w:rFonts w:hint="eastAsia" w:ascii="宋体" w:hAnsi="宋体" w:eastAsia="宋体" w:cs="宋体"/>
          <w:b/>
          <w:bCs/>
          <w:color w:val="auto"/>
          <w:sz w:val="21"/>
          <w:szCs w:val="21"/>
        </w:rPr>
        <w:t>如供应商所投货物的制造商均为中小企业的，须由供应商在响应文件中提供加盖本单位公章的</w:t>
      </w:r>
      <w:r>
        <w:rPr>
          <w:rFonts w:hint="eastAsia" w:ascii="宋体" w:hAnsi="宋体" w:eastAsia="宋体" w:cs="宋体"/>
          <w:b/>
          <w:color w:val="auto"/>
          <w:sz w:val="21"/>
          <w:szCs w:val="21"/>
        </w:rPr>
        <w:t>声明</w:t>
      </w:r>
      <w:r>
        <w:rPr>
          <w:rFonts w:hint="eastAsia" w:ascii="宋体" w:hAnsi="宋体" w:eastAsia="宋体" w:cs="宋体"/>
          <w:b/>
          <w:bCs/>
          <w:color w:val="auto"/>
          <w:sz w:val="21"/>
          <w:szCs w:val="21"/>
        </w:rPr>
        <w:t>函，供应商应从制造商处获得充分、准确的信息，并对其出具的《中小企业声明函》真实性负责。</w:t>
      </w:r>
    </w:p>
    <w:p w14:paraId="3CB4FC1B">
      <w:pPr>
        <w:rPr>
          <w:color w:val="auto"/>
          <w:highlight w:val="none"/>
        </w:rPr>
      </w:pPr>
    </w:p>
    <w:p w14:paraId="769F8097">
      <w:pPr>
        <w:pStyle w:val="290"/>
        <w:spacing w:before="151" w:after="151" w:line="600" w:lineRule="exact"/>
        <w:jc w:val="center"/>
        <w:rPr>
          <w:rFonts w:hint="eastAsia" w:ascii="宋体"/>
          <w:b/>
          <w:bCs/>
          <w:color w:val="auto"/>
          <w:sz w:val="32"/>
          <w:szCs w:val="32"/>
          <w:highlight w:val="none"/>
        </w:rPr>
      </w:pPr>
    </w:p>
    <w:p w14:paraId="53FDF2A7">
      <w:pPr>
        <w:pStyle w:val="290"/>
        <w:spacing w:before="151" w:after="151" w:line="600" w:lineRule="exact"/>
        <w:jc w:val="center"/>
        <w:rPr>
          <w:rFonts w:hint="eastAsia" w:ascii="宋体"/>
          <w:b/>
          <w:bCs/>
          <w:color w:val="auto"/>
          <w:sz w:val="32"/>
          <w:szCs w:val="32"/>
          <w:highlight w:val="none"/>
        </w:rPr>
      </w:pPr>
    </w:p>
    <w:p w14:paraId="38FA30A8">
      <w:pPr>
        <w:pStyle w:val="290"/>
        <w:spacing w:before="151" w:after="151" w:line="600" w:lineRule="exact"/>
        <w:jc w:val="center"/>
        <w:rPr>
          <w:rFonts w:hint="eastAsia" w:ascii="宋体"/>
          <w:b/>
          <w:bCs/>
          <w:color w:val="auto"/>
          <w:sz w:val="32"/>
          <w:szCs w:val="32"/>
          <w:highlight w:val="none"/>
        </w:rPr>
      </w:pPr>
      <w:r>
        <w:rPr>
          <w:rFonts w:hint="eastAsia" w:ascii="宋体"/>
          <w:b/>
          <w:bCs/>
          <w:color w:val="auto"/>
          <w:sz w:val="32"/>
          <w:szCs w:val="32"/>
          <w:highlight w:val="none"/>
        </w:rPr>
        <w:t>残疾人福利性单位声明函</w:t>
      </w:r>
    </w:p>
    <w:p w14:paraId="6BAD4C6A">
      <w:pPr>
        <w:pStyle w:val="262"/>
        <w:spacing w:line="588" w:lineRule="exact"/>
        <w:rPr>
          <w:rFonts w:hint="eastAsia" w:ascii="仿宋_GB2312" w:eastAsia="仿宋_GB2312"/>
          <w:b/>
          <w:color w:val="auto"/>
          <w:spacing w:val="6"/>
          <w:sz w:val="30"/>
          <w:szCs w:val="30"/>
          <w:highlight w:val="none"/>
        </w:rPr>
      </w:pPr>
    </w:p>
    <w:p w14:paraId="1EDCE775">
      <w:pPr>
        <w:pStyle w:val="29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0DA11DF7">
      <w:pPr>
        <w:pStyle w:val="29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4BFA11D8">
      <w:pPr>
        <w:pStyle w:val="262"/>
        <w:spacing w:line="588" w:lineRule="exact"/>
        <w:ind w:firstLine="504" w:firstLineChars="200"/>
        <w:rPr>
          <w:rFonts w:hint="eastAsia" w:ascii="宋体" w:hAnsi="宋体" w:eastAsia="宋体" w:cs="宋体"/>
          <w:color w:val="auto"/>
          <w:spacing w:val="6"/>
          <w:sz w:val="24"/>
          <w:szCs w:val="24"/>
          <w:highlight w:val="none"/>
        </w:rPr>
      </w:pPr>
    </w:p>
    <w:p w14:paraId="4C7892C3">
      <w:pPr>
        <w:pStyle w:val="262"/>
        <w:spacing w:line="588" w:lineRule="exact"/>
        <w:ind w:firstLine="504" w:firstLineChars="200"/>
        <w:rPr>
          <w:rFonts w:hint="eastAsia" w:ascii="宋体" w:hAnsi="宋体" w:eastAsia="宋体" w:cs="宋体"/>
          <w:color w:val="auto"/>
          <w:spacing w:val="6"/>
          <w:sz w:val="24"/>
          <w:szCs w:val="24"/>
          <w:highlight w:val="none"/>
        </w:rPr>
      </w:pPr>
    </w:p>
    <w:p w14:paraId="554A5DA1">
      <w:pPr>
        <w:pStyle w:val="59"/>
        <w:ind w:firstLine="480" w:firstLineChars="200"/>
        <w:jc w:val="both"/>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单位名称：（</w:t>
      </w:r>
      <w:r>
        <w:rPr>
          <w:rFonts w:hint="eastAsia" w:ascii="宋体" w:hAnsi="宋体" w:eastAsia="宋体" w:cs="宋体"/>
          <w:color w:val="auto"/>
          <w:highlight w:val="none"/>
          <w:lang w:val="en-US" w:eastAsia="zh-CN"/>
        </w:rPr>
        <w:t>加盖</w:t>
      </w:r>
      <w:r>
        <w:rPr>
          <w:rFonts w:hint="eastAsia" w:ascii="宋体" w:hAnsi="宋体" w:eastAsia="宋体" w:cs="宋体"/>
          <w:color w:val="auto"/>
          <w:highlight w:val="none"/>
        </w:rPr>
        <w:t>公章）</w:t>
      </w:r>
      <w:r>
        <w:rPr>
          <w:rFonts w:hint="eastAsia" w:ascii="宋体" w:hAnsi="宋体" w:eastAsia="宋体" w:cs="宋体"/>
          <w:color w:val="auto"/>
          <w:highlight w:val="none"/>
          <w:u w:val="single"/>
          <w:lang w:val="en-US" w:eastAsia="zh-CN"/>
        </w:rPr>
        <w:t xml:space="preserve">                </w:t>
      </w:r>
    </w:p>
    <w:p w14:paraId="045D1C8F">
      <w:pPr>
        <w:pStyle w:val="238"/>
        <w:spacing w:line="7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法定代表人（或授权代表）：（签字或签章）</w:t>
      </w:r>
      <w:r>
        <w:rPr>
          <w:rFonts w:hint="eastAsia" w:ascii="宋体" w:hAnsi="宋体" w:eastAsia="宋体" w:cs="宋体"/>
          <w:color w:val="auto"/>
          <w:sz w:val="24"/>
          <w:highlight w:val="none"/>
          <w:u w:val="single"/>
        </w:rPr>
        <w:t xml:space="preserve">              </w:t>
      </w:r>
    </w:p>
    <w:p w14:paraId="21809C61">
      <w:pPr>
        <w:pStyle w:val="272"/>
        <w:ind w:firstLine="720" w:firstLineChars="300"/>
        <w:rPr>
          <w:rFonts w:hint="eastAsia" w:ascii="宋体" w:hAnsi="宋体" w:eastAsia="宋体" w:cs="宋体"/>
          <w:color w:val="auto"/>
          <w:sz w:val="24"/>
          <w:highlight w:val="none"/>
          <w:u w:val="single"/>
        </w:rPr>
      </w:pPr>
    </w:p>
    <w:p w14:paraId="4A032397">
      <w:pPr>
        <w:pStyle w:val="272"/>
        <w:ind w:firstLine="4320" w:firstLineChars="1800"/>
        <w:rPr>
          <w:rFonts w:hint="eastAsia" w:ascii="宋体" w:hAnsi="宋体" w:eastAsia="宋体" w:cs="宋体"/>
          <w:color w:val="auto"/>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51D32D9">
      <w:pPr>
        <w:pStyle w:val="454"/>
        <w:rPr>
          <w:rFonts w:hint="eastAsia" w:ascii="宋体" w:hAnsi="宋体" w:eastAsia="宋体" w:cs="宋体"/>
          <w:color w:val="auto"/>
          <w:highlight w:val="none"/>
        </w:rPr>
      </w:pPr>
    </w:p>
    <w:p w14:paraId="06ECD87C">
      <w:pPr>
        <w:pStyle w:val="2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注：1、残疾人福利性单位应完整填写此函并提供相关证明材料；</w:t>
      </w:r>
    </w:p>
    <w:p w14:paraId="6D4B5F5E">
      <w:pPr>
        <w:pStyle w:val="29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2、非残疾人福利性单位不需提供此声明函</w:t>
      </w:r>
    </w:p>
    <w:p w14:paraId="3658896B">
      <w:pPr>
        <w:rPr>
          <w:color w:val="auto"/>
          <w:highlight w:val="none"/>
        </w:rPr>
      </w:pPr>
    </w:p>
    <w:p w14:paraId="7EF8649F">
      <w:pPr>
        <w:rPr>
          <w:color w:val="auto"/>
          <w:highlight w:val="none"/>
        </w:rPr>
      </w:pPr>
    </w:p>
    <w:p w14:paraId="0D7F953D">
      <w:pPr>
        <w:rPr>
          <w:color w:val="auto"/>
          <w:highlight w:val="none"/>
        </w:rPr>
      </w:pPr>
    </w:p>
    <w:p w14:paraId="0E272052">
      <w:pPr>
        <w:rPr>
          <w:color w:val="auto"/>
          <w:highlight w:val="none"/>
        </w:rPr>
      </w:pPr>
    </w:p>
    <w:p w14:paraId="18248255">
      <w:pPr>
        <w:rPr>
          <w:color w:val="auto"/>
          <w:highlight w:val="none"/>
        </w:rPr>
      </w:pPr>
    </w:p>
    <w:p w14:paraId="6B7514A5">
      <w:pPr>
        <w:rPr>
          <w:color w:val="auto"/>
          <w:highlight w:val="none"/>
        </w:rPr>
      </w:pPr>
    </w:p>
    <w:p w14:paraId="59AFBD79">
      <w:pPr>
        <w:rPr>
          <w:color w:val="auto"/>
          <w:highlight w:val="none"/>
        </w:rPr>
      </w:pPr>
    </w:p>
    <w:p w14:paraId="2F22DFE0">
      <w:pPr>
        <w:rPr>
          <w:color w:val="auto"/>
          <w:highlight w:val="none"/>
        </w:rPr>
      </w:pPr>
    </w:p>
    <w:p w14:paraId="30ABAF37">
      <w:pPr>
        <w:rPr>
          <w:color w:val="auto"/>
          <w:highlight w:val="none"/>
        </w:rPr>
      </w:pPr>
    </w:p>
    <w:p w14:paraId="7725A080">
      <w:pPr>
        <w:rPr>
          <w:color w:val="auto"/>
          <w:highlight w:val="none"/>
        </w:rPr>
      </w:pPr>
    </w:p>
    <w:p w14:paraId="69E35C5C">
      <w:pPr>
        <w:rPr>
          <w:color w:val="auto"/>
          <w:highlight w:val="none"/>
        </w:rPr>
      </w:pPr>
    </w:p>
    <w:p w14:paraId="1CE70E29">
      <w:pPr>
        <w:rPr>
          <w:color w:val="auto"/>
          <w:highlight w:val="none"/>
        </w:rPr>
      </w:pPr>
    </w:p>
    <w:p w14:paraId="6CD6E051">
      <w:pPr>
        <w:rPr>
          <w:color w:val="auto"/>
          <w:highlight w:val="none"/>
        </w:rPr>
      </w:pPr>
    </w:p>
    <w:p w14:paraId="329F3AFA">
      <w:pPr>
        <w:rPr>
          <w:color w:val="auto"/>
          <w:highlight w:val="none"/>
        </w:rPr>
      </w:pPr>
    </w:p>
    <w:p w14:paraId="07AB2D24">
      <w:pPr>
        <w:jc w:val="left"/>
        <w:rPr>
          <w:color w:val="auto"/>
          <w:highlight w:val="none"/>
        </w:rPr>
      </w:pPr>
    </w:p>
    <w:p w14:paraId="6EC5CDD8">
      <w:pPr>
        <w:spacing w:line="360" w:lineRule="auto"/>
        <w:jc w:val="center"/>
        <w:outlineLvl w:val="0"/>
        <w:rPr>
          <w:rFonts w:hint="eastAsia" w:ascii="宋体" w:hAnsi="宋体"/>
          <w:b/>
          <w:bCs/>
          <w:color w:val="auto"/>
          <w:sz w:val="28"/>
          <w:szCs w:val="28"/>
          <w:highlight w:val="none"/>
        </w:rPr>
      </w:pPr>
      <w:bookmarkStart w:id="127" w:name="_Toc11215"/>
      <w:r>
        <w:rPr>
          <w:rFonts w:hint="eastAsia" w:ascii="宋体" w:hAnsi="宋体"/>
          <w:b/>
          <w:bCs/>
          <w:color w:val="auto"/>
          <w:sz w:val="28"/>
          <w:szCs w:val="28"/>
          <w:highlight w:val="none"/>
        </w:rPr>
        <w:t>属于监狱企业的证明文件</w:t>
      </w:r>
      <w:bookmarkEnd w:id="127"/>
    </w:p>
    <w:p w14:paraId="5FEC9F6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（提供由省级以上监狱管理局、戒毒管理局(含新疆生产建设兵团)出具的属于监狱企业的证明文件）</w:t>
      </w:r>
    </w:p>
    <w:p w14:paraId="0644B9F1">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73C7EF0A">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41A17386">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2848FF68">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7B2BB748">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21AA40AA">
      <w:pPr>
        <w:pStyle w:val="2"/>
        <w:rPr>
          <w:rFonts w:hint="eastAsia" w:ascii="宋体" w:hAnsi="宋体"/>
          <w:b/>
          <w:bCs/>
          <w:color w:val="auto"/>
          <w:highlight w:val="none"/>
        </w:rPr>
      </w:pPr>
    </w:p>
    <w:p w14:paraId="6DA3FF04">
      <w:pPr>
        <w:pStyle w:val="2"/>
        <w:rPr>
          <w:rFonts w:hint="eastAsia" w:ascii="宋体" w:hAnsi="宋体"/>
          <w:b/>
          <w:bCs/>
          <w:color w:val="auto"/>
          <w:highlight w:val="none"/>
        </w:rPr>
      </w:pPr>
    </w:p>
    <w:p w14:paraId="6DF7C2B6">
      <w:pPr>
        <w:pStyle w:val="2"/>
        <w:rPr>
          <w:rFonts w:hint="eastAsia" w:ascii="宋体" w:hAnsi="宋体"/>
          <w:b/>
          <w:bCs/>
          <w:color w:val="auto"/>
          <w:highlight w:val="none"/>
        </w:rPr>
      </w:pPr>
    </w:p>
    <w:p w14:paraId="14FA39FF">
      <w:pPr>
        <w:pStyle w:val="2"/>
        <w:rPr>
          <w:rFonts w:hint="eastAsia" w:ascii="宋体" w:hAnsi="宋体"/>
          <w:b/>
          <w:bCs/>
          <w:color w:val="auto"/>
          <w:highlight w:val="none"/>
        </w:rPr>
      </w:pPr>
    </w:p>
    <w:p w14:paraId="5D603A16">
      <w:pPr>
        <w:pStyle w:val="2"/>
        <w:rPr>
          <w:rFonts w:hint="eastAsia" w:ascii="宋体" w:hAnsi="宋体"/>
          <w:b/>
          <w:bCs/>
          <w:color w:val="auto"/>
          <w:highlight w:val="none"/>
        </w:rPr>
      </w:pPr>
    </w:p>
    <w:p w14:paraId="7065FA69">
      <w:pPr>
        <w:pStyle w:val="2"/>
        <w:rPr>
          <w:rFonts w:hint="eastAsia" w:ascii="宋体" w:hAnsi="宋体"/>
          <w:b/>
          <w:bCs/>
          <w:color w:val="auto"/>
          <w:highlight w:val="none"/>
        </w:rPr>
      </w:pPr>
    </w:p>
    <w:p w14:paraId="3E6C4CCE">
      <w:pPr>
        <w:pStyle w:val="2"/>
        <w:rPr>
          <w:rFonts w:hint="eastAsia" w:ascii="宋体" w:hAnsi="宋体"/>
          <w:b/>
          <w:bCs/>
          <w:color w:val="auto"/>
          <w:highlight w:val="none"/>
        </w:rPr>
      </w:pPr>
    </w:p>
    <w:p w14:paraId="6B7C2E65">
      <w:pPr>
        <w:pStyle w:val="2"/>
        <w:rPr>
          <w:rFonts w:hint="eastAsia" w:ascii="宋体" w:hAnsi="宋体"/>
          <w:b/>
          <w:bCs/>
          <w:color w:val="auto"/>
          <w:highlight w:val="none"/>
        </w:rPr>
      </w:pPr>
    </w:p>
    <w:p w14:paraId="5F8E0618">
      <w:pPr>
        <w:pStyle w:val="2"/>
        <w:rPr>
          <w:rFonts w:hint="eastAsia" w:ascii="宋体" w:hAnsi="宋体"/>
          <w:b/>
          <w:bCs/>
          <w:color w:val="auto"/>
          <w:highlight w:val="none"/>
        </w:rPr>
      </w:pPr>
    </w:p>
    <w:p w14:paraId="5C4DA7E6">
      <w:pPr>
        <w:pStyle w:val="2"/>
        <w:rPr>
          <w:rFonts w:hint="eastAsia" w:ascii="宋体" w:hAnsi="宋体"/>
          <w:b/>
          <w:bCs/>
          <w:color w:val="auto"/>
          <w:highlight w:val="none"/>
        </w:rPr>
      </w:pPr>
    </w:p>
    <w:p w14:paraId="34CA251A">
      <w:pPr>
        <w:pStyle w:val="2"/>
        <w:rPr>
          <w:rFonts w:hint="eastAsia" w:ascii="宋体" w:hAnsi="宋体"/>
          <w:b/>
          <w:bCs/>
          <w:color w:val="auto"/>
          <w:highlight w:val="none"/>
        </w:rPr>
      </w:pPr>
    </w:p>
    <w:p w14:paraId="59DC8519">
      <w:pPr>
        <w:pStyle w:val="2"/>
        <w:rPr>
          <w:rFonts w:hint="eastAsia" w:ascii="宋体" w:hAnsi="宋体"/>
          <w:b/>
          <w:bCs/>
          <w:color w:val="auto"/>
          <w:highlight w:val="none"/>
        </w:rPr>
      </w:pPr>
    </w:p>
    <w:p w14:paraId="727790D4">
      <w:pPr>
        <w:pStyle w:val="2"/>
        <w:rPr>
          <w:rFonts w:hint="eastAsia" w:ascii="宋体" w:hAnsi="宋体"/>
          <w:b/>
          <w:bCs/>
          <w:color w:val="auto"/>
          <w:highlight w:val="none"/>
        </w:rPr>
      </w:pPr>
    </w:p>
    <w:p w14:paraId="66D41EAB">
      <w:pPr>
        <w:pStyle w:val="2"/>
        <w:rPr>
          <w:rFonts w:hint="eastAsia" w:ascii="宋体" w:hAnsi="宋体"/>
          <w:b/>
          <w:bCs/>
          <w:color w:val="auto"/>
          <w:highlight w:val="none"/>
        </w:rPr>
      </w:pPr>
    </w:p>
    <w:p w14:paraId="32A1E53D">
      <w:pPr>
        <w:pStyle w:val="2"/>
        <w:rPr>
          <w:rFonts w:hint="eastAsia" w:ascii="宋体" w:hAnsi="宋体"/>
          <w:b/>
          <w:bCs/>
          <w:color w:val="auto"/>
          <w:highlight w:val="none"/>
        </w:rPr>
      </w:pPr>
    </w:p>
    <w:p w14:paraId="2DC5D3A6">
      <w:pPr>
        <w:pStyle w:val="2"/>
        <w:rPr>
          <w:rFonts w:hint="eastAsia" w:ascii="宋体" w:hAnsi="宋体"/>
          <w:b/>
          <w:bCs/>
          <w:color w:val="auto"/>
          <w:highlight w:val="none"/>
        </w:rPr>
      </w:pPr>
    </w:p>
    <w:p w14:paraId="68C23EF6">
      <w:pPr>
        <w:pStyle w:val="2"/>
        <w:rPr>
          <w:rFonts w:hint="eastAsia" w:ascii="宋体" w:hAnsi="宋体"/>
          <w:b/>
          <w:bCs/>
          <w:color w:val="auto"/>
          <w:highlight w:val="none"/>
        </w:rPr>
      </w:pPr>
    </w:p>
    <w:p w14:paraId="51FB56B0">
      <w:pPr>
        <w:pStyle w:val="2"/>
        <w:rPr>
          <w:rFonts w:hint="eastAsia" w:ascii="宋体" w:hAnsi="宋体"/>
          <w:b/>
          <w:bCs/>
          <w:color w:val="auto"/>
          <w:highlight w:val="none"/>
        </w:rPr>
      </w:pPr>
    </w:p>
    <w:p w14:paraId="220F15EF">
      <w:pPr>
        <w:pStyle w:val="2"/>
        <w:rPr>
          <w:rFonts w:hint="eastAsia" w:ascii="宋体" w:hAnsi="宋体"/>
          <w:b/>
          <w:bCs/>
          <w:color w:val="auto"/>
          <w:highlight w:val="none"/>
        </w:rPr>
      </w:pPr>
    </w:p>
    <w:p w14:paraId="4B581A8D">
      <w:pPr>
        <w:pStyle w:val="2"/>
        <w:rPr>
          <w:rFonts w:hint="eastAsia" w:ascii="宋体" w:hAnsi="宋体"/>
          <w:b/>
          <w:bCs/>
          <w:color w:val="auto"/>
          <w:highlight w:val="none"/>
        </w:rPr>
      </w:pPr>
    </w:p>
    <w:p w14:paraId="55DFA8FF">
      <w:pPr>
        <w:pStyle w:val="2"/>
        <w:rPr>
          <w:rFonts w:hint="eastAsia" w:ascii="宋体" w:hAnsi="宋体"/>
          <w:b/>
          <w:bCs/>
          <w:color w:val="auto"/>
          <w:highlight w:val="none"/>
        </w:rPr>
      </w:pPr>
    </w:p>
    <w:p w14:paraId="2ADB6CC4">
      <w:pPr>
        <w:pStyle w:val="2"/>
        <w:rPr>
          <w:rFonts w:hint="eastAsia" w:ascii="宋体" w:hAnsi="宋体"/>
          <w:b/>
          <w:bCs/>
          <w:color w:val="auto"/>
          <w:highlight w:val="none"/>
        </w:rPr>
      </w:pPr>
    </w:p>
    <w:p w14:paraId="3EAD8155">
      <w:pPr>
        <w:pStyle w:val="2"/>
        <w:rPr>
          <w:rFonts w:hint="eastAsia" w:ascii="宋体" w:hAnsi="宋体"/>
          <w:b/>
          <w:bCs/>
          <w:color w:val="auto"/>
          <w:highlight w:val="none"/>
        </w:rPr>
      </w:pPr>
    </w:p>
    <w:p w14:paraId="3496F517">
      <w:pPr>
        <w:pStyle w:val="2"/>
        <w:rPr>
          <w:rFonts w:hint="eastAsia" w:ascii="宋体" w:hAnsi="宋体"/>
          <w:b/>
          <w:bCs/>
          <w:color w:val="auto"/>
          <w:highlight w:val="none"/>
        </w:rPr>
      </w:pPr>
    </w:p>
    <w:p w14:paraId="7D058E86">
      <w:pPr>
        <w:pStyle w:val="2"/>
        <w:rPr>
          <w:rFonts w:hint="eastAsia" w:ascii="宋体" w:hAnsi="宋体"/>
          <w:b/>
          <w:bCs/>
          <w:color w:val="auto"/>
          <w:highlight w:val="none"/>
        </w:rPr>
      </w:pPr>
    </w:p>
    <w:p w14:paraId="424D7371">
      <w:pPr>
        <w:rPr>
          <w:color w:val="auto"/>
          <w:highlight w:val="none"/>
        </w:rPr>
      </w:pPr>
      <w:bookmarkStart w:id="128" w:name="_Toc514054497"/>
      <w:bookmarkStart w:id="129" w:name="_Toc16234"/>
    </w:p>
    <w:p w14:paraId="391E0864">
      <w:pPr>
        <w:rPr>
          <w:color w:val="auto"/>
          <w:highlight w:val="none"/>
        </w:rPr>
      </w:pPr>
    </w:p>
    <w:p w14:paraId="32003016">
      <w:pPr>
        <w:rPr>
          <w:color w:val="auto"/>
          <w:highlight w:val="none"/>
        </w:rPr>
      </w:pPr>
    </w:p>
    <w:p w14:paraId="46D69880">
      <w:pPr>
        <w:rPr>
          <w:color w:val="auto"/>
          <w:highlight w:val="none"/>
        </w:rPr>
      </w:pPr>
    </w:p>
    <w:p w14:paraId="62CBC4F4">
      <w:pPr>
        <w:rPr>
          <w:color w:val="auto"/>
          <w:highlight w:val="none"/>
        </w:rPr>
      </w:pPr>
    </w:p>
    <w:p w14:paraId="6B1C203E">
      <w:pPr>
        <w:rPr>
          <w:color w:val="auto"/>
          <w:highlight w:val="none"/>
        </w:rPr>
      </w:pPr>
    </w:p>
    <w:p w14:paraId="7D1F4B78">
      <w:pPr>
        <w:rPr>
          <w:color w:val="auto"/>
          <w:highlight w:val="none"/>
        </w:rPr>
      </w:pPr>
    </w:p>
    <w:p w14:paraId="7DD71BB8">
      <w:pPr>
        <w:pStyle w:val="454"/>
        <w:outlineLvl w:val="1"/>
        <w:rPr>
          <w:color w:val="auto"/>
          <w:highlight w:val="none"/>
        </w:rPr>
      </w:pPr>
      <w:bookmarkStart w:id="130" w:name="_Toc32250"/>
      <w:r>
        <w:rPr>
          <w:color w:val="auto"/>
          <w:highlight w:val="none"/>
        </w:rPr>
        <w:t>十二、响应偏差表</w:t>
      </w:r>
      <w:bookmarkEnd w:id="128"/>
      <w:bookmarkEnd w:id="129"/>
      <w:bookmarkEnd w:id="130"/>
    </w:p>
    <w:p w14:paraId="57A81C94">
      <w:pPr>
        <w:pStyle w:val="113"/>
        <w:jc w:val="center"/>
        <w:rPr>
          <w:rFonts w:hint="eastAsia"/>
          <w:color w:val="auto"/>
          <w:sz w:val="32"/>
          <w:szCs w:val="32"/>
          <w:highlight w:val="none"/>
        </w:rPr>
      </w:pPr>
      <w:bookmarkStart w:id="131" w:name="_Toc29509_WPSOffice_Level2"/>
      <w:r>
        <w:rPr>
          <w:rFonts w:hint="eastAsia"/>
          <w:color w:val="auto"/>
          <w:sz w:val="32"/>
          <w:szCs w:val="32"/>
          <w:highlight w:val="none"/>
        </w:rPr>
        <w:t>（一）投标技术响应偏差表</w:t>
      </w:r>
      <w:bookmarkEnd w:id="131"/>
    </w:p>
    <w:tbl>
      <w:tblPr>
        <w:tblStyle w:val="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2351"/>
        <w:gridCol w:w="2601"/>
        <w:gridCol w:w="2765"/>
      </w:tblGrid>
      <w:tr w14:paraId="19123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2765ED6E">
            <w:pPr>
              <w:pStyle w:val="113"/>
              <w:widowControl/>
              <w:adjustRightInd w:val="0"/>
              <w:snapToGrid w:val="0"/>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351" w:type="dxa"/>
            <w:tcBorders>
              <w:top w:val="single" w:color="auto" w:sz="4" w:space="0"/>
              <w:left w:val="single" w:color="auto" w:sz="4" w:space="0"/>
              <w:bottom w:val="single" w:color="auto" w:sz="4" w:space="0"/>
              <w:right w:val="single" w:color="auto" w:sz="4" w:space="0"/>
            </w:tcBorders>
            <w:vAlign w:val="center"/>
          </w:tcPr>
          <w:p w14:paraId="10A558CF">
            <w:pPr>
              <w:pStyle w:val="113"/>
              <w:widowControl/>
              <w:adjustRightInd w:val="0"/>
              <w:snapToGrid w:val="0"/>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招标文件内容</w:t>
            </w:r>
          </w:p>
        </w:tc>
        <w:tc>
          <w:tcPr>
            <w:tcW w:w="2601" w:type="dxa"/>
            <w:tcBorders>
              <w:top w:val="single" w:color="auto" w:sz="4" w:space="0"/>
              <w:left w:val="single" w:color="auto" w:sz="4" w:space="0"/>
              <w:bottom w:val="single" w:color="auto" w:sz="4" w:space="0"/>
              <w:right w:val="single" w:color="auto" w:sz="4" w:space="0"/>
            </w:tcBorders>
            <w:vAlign w:val="center"/>
          </w:tcPr>
          <w:p w14:paraId="63649AD3">
            <w:pPr>
              <w:pStyle w:val="113"/>
              <w:widowControl/>
              <w:adjustRightInd w:val="0"/>
              <w:snapToGrid w:val="0"/>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投标文件内容</w:t>
            </w:r>
          </w:p>
        </w:tc>
        <w:tc>
          <w:tcPr>
            <w:tcW w:w="2765" w:type="dxa"/>
            <w:tcBorders>
              <w:top w:val="single" w:color="auto" w:sz="4" w:space="0"/>
              <w:left w:val="single" w:color="auto" w:sz="4" w:space="0"/>
              <w:bottom w:val="single" w:color="auto" w:sz="4" w:space="0"/>
              <w:right w:val="single" w:color="auto" w:sz="4" w:space="0"/>
            </w:tcBorders>
            <w:vAlign w:val="center"/>
          </w:tcPr>
          <w:p w14:paraId="616A54B6">
            <w:pPr>
              <w:pStyle w:val="113"/>
              <w:widowControl/>
              <w:adjustRightInd w:val="0"/>
              <w:snapToGrid w:val="0"/>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偏差内容及说明</w:t>
            </w:r>
          </w:p>
        </w:tc>
      </w:tr>
      <w:tr w14:paraId="3F197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2BA395E6">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5DE9C34B">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26F2FE90">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6676C2F9">
            <w:pPr>
              <w:pStyle w:val="113"/>
              <w:spacing w:line="560" w:lineRule="exact"/>
              <w:jc w:val="center"/>
              <w:rPr>
                <w:rFonts w:ascii="仿宋_GB2312" w:eastAsia="仿宋_GB2312"/>
                <w:color w:val="auto"/>
                <w:sz w:val="24"/>
                <w:highlight w:val="none"/>
              </w:rPr>
            </w:pPr>
          </w:p>
        </w:tc>
      </w:tr>
      <w:tr w14:paraId="566DF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53C193A1">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7129EEE1">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64E40D69">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5D70F90B">
            <w:pPr>
              <w:pStyle w:val="113"/>
              <w:spacing w:line="560" w:lineRule="exact"/>
              <w:jc w:val="center"/>
              <w:rPr>
                <w:rFonts w:ascii="仿宋_GB2312" w:eastAsia="仿宋_GB2312"/>
                <w:color w:val="auto"/>
                <w:sz w:val="24"/>
                <w:highlight w:val="none"/>
              </w:rPr>
            </w:pPr>
          </w:p>
        </w:tc>
      </w:tr>
      <w:tr w14:paraId="4EA54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55057757">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6B8DF5E3">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3A2A14B9">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346C1482">
            <w:pPr>
              <w:pStyle w:val="113"/>
              <w:spacing w:line="560" w:lineRule="exact"/>
              <w:jc w:val="center"/>
              <w:rPr>
                <w:rFonts w:ascii="仿宋_GB2312" w:eastAsia="仿宋_GB2312"/>
                <w:color w:val="auto"/>
                <w:sz w:val="24"/>
                <w:highlight w:val="none"/>
              </w:rPr>
            </w:pPr>
          </w:p>
        </w:tc>
      </w:tr>
      <w:tr w14:paraId="5F09C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2BC01ECA">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7C854AD6">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1C179C9A">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00E2C658">
            <w:pPr>
              <w:pStyle w:val="113"/>
              <w:spacing w:line="560" w:lineRule="exact"/>
              <w:jc w:val="center"/>
              <w:rPr>
                <w:rFonts w:ascii="仿宋_GB2312" w:eastAsia="仿宋_GB2312"/>
                <w:color w:val="auto"/>
                <w:sz w:val="24"/>
                <w:highlight w:val="none"/>
              </w:rPr>
            </w:pPr>
          </w:p>
        </w:tc>
      </w:tr>
      <w:tr w14:paraId="5D6CB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3552B228">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1CEFC390">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3C7A5250">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7F1937EE">
            <w:pPr>
              <w:pStyle w:val="113"/>
              <w:spacing w:line="560" w:lineRule="exact"/>
              <w:jc w:val="center"/>
              <w:rPr>
                <w:rFonts w:ascii="仿宋_GB2312" w:eastAsia="仿宋_GB2312"/>
                <w:color w:val="auto"/>
                <w:sz w:val="24"/>
                <w:highlight w:val="none"/>
              </w:rPr>
            </w:pPr>
          </w:p>
        </w:tc>
      </w:tr>
      <w:tr w14:paraId="68547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1FBB13B8">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72E07960">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39740BF7">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00DACEB1">
            <w:pPr>
              <w:pStyle w:val="113"/>
              <w:spacing w:line="560" w:lineRule="exact"/>
              <w:jc w:val="center"/>
              <w:rPr>
                <w:rFonts w:ascii="仿宋_GB2312" w:eastAsia="仿宋_GB2312"/>
                <w:color w:val="auto"/>
                <w:sz w:val="24"/>
                <w:highlight w:val="none"/>
              </w:rPr>
            </w:pPr>
          </w:p>
        </w:tc>
      </w:tr>
      <w:tr w14:paraId="7A22D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6A169655">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0240F5BA">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5ABA34CB">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22596722">
            <w:pPr>
              <w:pStyle w:val="113"/>
              <w:spacing w:line="560" w:lineRule="exact"/>
              <w:jc w:val="center"/>
              <w:rPr>
                <w:rFonts w:ascii="仿宋_GB2312" w:eastAsia="仿宋_GB2312"/>
                <w:color w:val="auto"/>
                <w:sz w:val="24"/>
                <w:highlight w:val="none"/>
              </w:rPr>
            </w:pPr>
          </w:p>
        </w:tc>
      </w:tr>
      <w:tr w14:paraId="68E1D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2ECFCDC0">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74D8F843">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6A48C404">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04DF6B62">
            <w:pPr>
              <w:pStyle w:val="113"/>
              <w:spacing w:line="560" w:lineRule="exact"/>
              <w:jc w:val="center"/>
              <w:rPr>
                <w:rFonts w:ascii="仿宋_GB2312" w:eastAsia="仿宋_GB2312"/>
                <w:color w:val="auto"/>
                <w:sz w:val="24"/>
                <w:highlight w:val="none"/>
              </w:rPr>
            </w:pPr>
          </w:p>
        </w:tc>
      </w:tr>
      <w:tr w14:paraId="3CD9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388982A9">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3AEE70A1">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53DF0980">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553D7C81">
            <w:pPr>
              <w:pStyle w:val="113"/>
              <w:spacing w:line="560" w:lineRule="exact"/>
              <w:jc w:val="center"/>
              <w:rPr>
                <w:rFonts w:ascii="仿宋_GB2312" w:eastAsia="仿宋_GB2312"/>
                <w:color w:val="auto"/>
                <w:sz w:val="24"/>
                <w:highlight w:val="none"/>
              </w:rPr>
            </w:pPr>
          </w:p>
        </w:tc>
      </w:tr>
      <w:tr w14:paraId="236B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1BE41335">
            <w:pPr>
              <w:pStyle w:val="113"/>
              <w:spacing w:line="560" w:lineRule="exact"/>
              <w:jc w:val="center"/>
              <w:rPr>
                <w:rFonts w:ascii="仿宋_GB2312" w:eastAsia="仿宋_GB2312"/>
                <w:color w:val="auto"/>
                <w:sz w:val="24"/>
                <w:highlight w:val="none"/>
              </w:rPr>
            </w:pPr>
          </w:p>
        </w:tc>
        <w:tc>
          <w:tcPr>
            <w:tcW w:w="2351" w:type="dxa"/>
            <w:tcBorders>
              <w:top w:val="single" w:color="auto" w:sz="4" w:space="0"/>
              <w:left w:val="single" w:color="auto" w:sz="4" w:space="0"/>
              <w:bottom w:val="single" w:color="auto" w:sz="4" w:space="0"/>
              <w:right w:val="single" w:color="auto" w:sz="4" w:space="0"/>
            </w:tcBorders>
            <w:vAlign w:val="center"/>
          </w:tcPr>
          <w:p w14:paraId="13A6FB72">
            <w:pPr>
              <w:pStyle w:val="113"/>
              <w:spacing w:line="560" w:lineRule="exact"/>
              <w:jc w:val="center"/>
              <w:rPr>
                <w:rFonts w:ascii="仿宋_GB2312" w:eastAsia="仿宋_GB2312"/>
                <w:color w:val="auto"/>
                <w:sz w:val="24"/>
                <w:highlight w:val="none"/>
              </w:rPr>
            </w:pPr>
          </w:p>
        </w:tc>
        <w:tc>
          <w:tcPr>
            <w:tcW w:w="2601" w:type="dxa"/>
            <w:tcBorders>
              <w:top w:val="single" w:color="auto" w:sz="4" w:space="0"/>
              <w:left w:val="single" w:color="auto" w:sz="4" w:space="0"/>
              <w:bottom w:val="single" w:color="auto" w:sz="4" w:space="0"/>
              <w:right w:val="single" w:color="auto" w:sz="4" w:space="0"/>
            </w:tcBorders>
            <w:vAlign w:val="center"/>
          </w:tcPr>
          <w:p w14:paraId="5AEE7E4F">
            <w:pPr>
              <w:pStyle w:val="113"/>
              <w:spacing w:line="560" w:lineRule="exact"/>
              <w:jc w:val="center"/>
              <w:rPr>
                <w:rFonts w:ascii="仿宋_GB2312" w:eastAsia="仿宋_GB2312"/>
                <w:color w:val="auto"/>
                <w:sz w:val="24"/>
                <w:highlight w:val="none"/>
              </w:rPr>
            </w:pPr>
          </w:p>
        </w:tc>
        <w:tc>
          <w:tcPr>
            <w:tcW w:w="2765" w:type="dxa"/>
            <w:tcBorders>
              <w:top w:val="single" w:color="auto" w:sz="4" w:space="0"/>
              <w:left w:val="single" w:color="auto" w:sz="4" w:space="0"/>
              <w:bottom w:val="single" w:color="auto" w:sz="4" w:space="0"/>
              <w:right w:val="single" w:color="auto" w:sz="4" w:space="0"/>
            </w:tcBorders>
            <w:vAlign w:val="center"/>
          </w:tcPr>
          <w:p w14:paraId="78E88376">
            <w:pPr>
              <w:pStyle w:val="113"/>
              <w:spacing w:line="560" w:lineRule="exact"/>
              <w:jc w:val="center"/>
              <w:rPr>
                <w:rFonts w:ascii="仿宋_GB2312" w:eastAsia="仿宋_GB2312"/>
                <w:color w:val="auto"/>
                <w:sz w:val="24"/>
                <w:highlight w:val="none"/>
              </w:rPr>
            </w:pPr>
          </w:p>
        </w:tc>
      </w:tr>
    </w:tbl>
    <w:p w14:paraId="0AE9F291">
      <w:pPr>
        <w:pStyle w:val="113"/>
        <w:jc w:val="center"/>
        <w:rPr>
          <w:rFonts w:hint="eastAsia"/>
          <w:color w:val="auto"/>
          <w:sz w:val="22"/>
          <w:highlight w:val="none"/>
        </w:rPr>
      </w:pPr>
    </w:p>
    <w:p w14:paraId="1905C9F8">
      <w:pPr>
        <w:pStyle w:val="238"/>
        <w:spacing w:line="700" w:lineRule="exact"/>
        <w:ind w:firstLine="629"/>
        <w:rPr>
          <w:rFonts w:hint="eastAsia" w:ascii="宋体" w:hAnsi="宋体" w:eastAsia="宋体" w:cs="宋体"/>
          <w:color w:val="auto"/>
          <w:sz w:val="24"/>
          <w:highlight w:val="none"/>
          <w:u w:val="single"/>
        </w:rPr>
      </w:pP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val="en-US" w:eastAsia="zh-CN"/>
        </w:rPr>
        <w:t>加盖公章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152BE793">
      <w:pPr>
        <w:pStyle w:val="238"/>
        <w:spacing w:line="70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法定代表人（或授权代表）：（签字或签章）</w:t>
      </w:r>
      <w:r>
        <w:rPr>
          <w:rFonts w:hint="eastAsia" w:ascii="宋体" w:hAnsi="宋体" w:eastAsia="宋体" w:cs="宋体"/>
          <w:color w:val="auto"/>
          <w:sz w:val="24"/>
          <w:highlight w:val="none"/>
          <w:u w:val="single"/>
        </w:rPr>
        <w:t xml:space="preserve">              </w:t>
      </w:r>
    </w:p>
    <w:p w14:paraId="5ED8EA18">
      <w:pPr>
        <w:pStyle w:val="112"/>
        <w:ind w:firstLine="482"/>
        <w:rPr>
          <w:rFonts w:hint="eastAsia" w:hAnsi="宋体"/>
          <w:b/>
          <w:bCs/>
          <w:color w:val="auto"/>
          <w:sz w:val="24"/>
          <w:szCs w:val="28"/>
          <w:highlight w:val="none"/>
        </w:rPr>
      </w:pPr>
    </w:p>
    <w:p w14:paraId="3A4F7D9D">
      <w:pPr>
        <w:pStyle w:val="112"/>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1、凡投标文件中所投货物或服务与招标文件有偏差的（包括正偏差，负偏差），均应在此表中详细列出并说明理由。第四部分技术要求须逐条应答。</w:t>
      </w:r>
    </w:p>
    <w:p w14:paraId="12DE9556">
      <w:pPr>
        <w:pStyle w:val="113"/>
        <w:adjustRightInd w:val="0"/>
        <w:snapToGrid w:val="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w:t>
      </w:r>
      <w:r>
        <w:rPr>
          <w:rFonts w:hint="eastAsia" w:ascii="宋体" w:hAnsi="宋体"/>
          <w:b/>
          <w:bCs/>
          <w:color w:val="auto"/>
          <w:sz w:val="24"/>
          <w:szCs w:val="28"/>
          <w:highlight w:val="none"/>
          <w:lang w:eastAsia="zh-CN"/>
        </w:rPr>
        <w:t>供应商</w:t>
      </w:r>
      <w:r>
        <w:rPr>
          <w:rFonts w:hint="eastAsia" w:ascii="宋体" w:hAnsi="宋体"/>
          <w:b/>
          <w:bCs/>
          <w:color w:val="auto"/>
          <w:sz w:val="24"/>
          <w:szCs w:val="28"/>
          <w:highlight w:val="none"/>
        </w:rPr>
        <w:t>所投产品如与招标文件要求的规格及配置不一致，则须在上表偏离说明中详细注明。</w:t>
      </w:r>
    </w:p>
    <w:p w14:paraId="11415E6D">
      <w:pPr>
        <w:pStyle w:val="250"/>
        <w:jc w:val="center"/>
        <w:rPr>
          <w:rFonts w:hint="eastAsia"/>
          <w:color w:val="auto"/>
          <w:highlight w:val="none"/>
          <w:lang w:eastAsia="zh-CN"/>
        </w:rPr>
      </w:pPr>
    </w:p>
    <w:p w14:paraId="10ADDA28">
      <w:pPr>
        <w:pStyle w:val="250"/>
        <w:jc w:val="center"/>
        <w:rPr>
          <w:rFonts w:hint="eastAsia"/>
          <w:color w:val="auto"/>
          <w:highlight w:val="none"/>
          <w:lang w:eastAsia="zh-CN"/>
        </w:rPr>
      </w:pPr>
    </w:p>
    <w:p w14:paraId="30A9F58A">
      <w:pPr>
        <w:pStyle w:val="250"/>
        <w:jc w:val="center"/>
        <w:rPr>
          <w:rFonts w:hint="eastAsia"/>
          <w:color w:val="auto"/>
          <w:highlight w:val="none"/>
          <w:lang w:eastAsia="zh-CN"/>
        </w:rPr>
      </w:pPr>
    </w:p>
    <w:p w14:paraId="3E0F1D3C">
      <w:pPr>
        <w:pStyle w:val="250"/>
        <w:jc w:val="center"/>
        <w:rPr>
          <w:rFonts w:hint="eastAsia"/>
          <w:color w:val="auto"/>
          <w:highlight w:val="none"/>
          <w:lang w:eastAsia="zh-CN"/>
        </w:rPr>
      </w:pPr>
    </w:p>
    <w:p w14:paraId="42DD67FB">
      <w:pPr>
        <w:pStyle w:val="250"/>
        <w:jc w:val="center"/>
        <w:outlineLvl w:val="1"/>
        <w:rPr>
          <w:rFonts w:hint="eastAsia"/>
          <w:color w:val="auto"/>
          <w:highlight w:val="none"/>
          <w:lang w:eastAsia="zh-CN"/>
        </w:rPr>
      </w:pPr>
      <w:bookmarkStart w:id="132" w:name="_Toc9396"/>
      <w:bookmarkStart w:id="133" w:name="_Toc514054498"/>
      <w:bookmarkStart w:id="134" w:name="_Toc29203"/>
      <w:bookmarkStart w:id="135" w:name="_Toc3171_WPSOffice_Level2"/>
      <w:r>
        <w:rPr>
          <w:rFonts w:hint="eastAsia"/>
          <w:color w:val="auto"/>
          <w:highlight w:val="none"/>
          <w:lang w:eastAsia="zh-CN"/>
        </w:rPr>
        <w:t>（二）投标商务偏离表</w:t>
      </w:r>
      <w:bookmarkEnd w:id="132"/>
      <w:bookmarkEnd w:id="133"/>
      <w:bookmarkEnd w:id="134"/>
      <w:bookmarkEnd w:id="135"/>
    </w:p>
    <w:tbl>
      <w:tblPr>
        <w:tblStyle w:val="65"/>
        <w:tblW w:w="10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gridCol w:w="1517"/>
      </w:tblGrid>
      <w:tr w14:paraId="0960A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0931F1B8">
            <w:pPr>
              <w:pStyle w:val="113"/>
              <w:widowControl/>
              <w:adjustRightInd w:val="0"/>
              <w:snapToGrid w:val="0"/>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38C758C9">
            <w:pPr>
              <w:pStyle w:val="113"/>
              <w:widowControl/>
              <w:adjustRightInd w:val="0"/>
              <w:snapToGrid w:val="0"/>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4FB4E161">
            <w:pPr>
              <w:pStyle w:val="113"/>
              <w:widowControl/>
              <w:adjustRightInd w:val="0"/>
              <w:snapToGrid w:val="0"/>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偏差内容及说明</w:t>
            </w:r>
          </w:p>
        </w:tc>
        <w:tc>
          <w:tcPr>
            <w:tcW w:w="1517" w:type="dxa"/>
            <w:tcBorders>
              <w:top w:val="single" w:color="auto" w:sz="4" w:space="0"/>
              <w:left w:val="single" w:color="auto" w:sz="4" w:space="0"/>
              <w:bottom w:val="single" w:color="auto" w:sz="4" w:space="0"/>
              <w:right w:val="single" w:color="auto" w:sz="4" w:space="0"/>
            </w:tcBorders>
            <w:vAlign w:val="center"/>
          </w:tcPr>
          <w:p w14:paraId="76DB21BA">
            <w:pPr>
              <w:pStyle w:val="113"/>
              <w:widowControl/>
              <w:adjustRightInd w:val="0"/>
              <w:snapToGrid w:val="0"/>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页码</w:t>
            </w:r>
          </w:p>
        </w:tc>
      </w:tr>
      <w:tr w14:paraId="4014F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7584DA63">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AD036E4">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132CF60">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68AD5194">
            <w:pPr>
              <w:pStyle w:val="113"/>
              <w:spacing w:line="560" w:lineRule="exact"/>
              <w:jc w:val="center"/>
              <w:rPr>
                <w:rFonts w:ascii="仿宋_GB2312" w:eastAsia="仿宋_GB2312"/>
                <w:color w:val="auto"/>
                <w:sz w:val="24"/>
                <w:highlight w:val="none"/>
              </w:rPr>
            </w:pPr>
          </w:p>
        </w:tc>
      </w:tr>
      <w:tr w14:paraId="4B9C7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888A493">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D24BAA1">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D7964F7">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74287796">
            <w:pPr>
              <w:pStyle w:val="113"/>
              <w:spacing w:line="560" w:lineRule="exact"/>
              <w:jc w:val="center"/>
              <w:rPr>
                <w:rFonts w:ascii="仿宋_GB2312" w:eastAsia="仿宋_GB2312"/>
                <w:color w:val="auto"/>
                <w:sz w:val="24"/>
                <w:highlight w:val="none"/>
              </w:rPr>
            </w:pPr>
          </w:p>
        </w:tc>
      </w:tr>
      <w:tr w14:paraId="17C30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BAA846D">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25009C8">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F3CECD9">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1D328965">
            <w:pPr>
              <w:pStyle w:val="113"/>
              <w:spacing w:line="560" w:lineRule="exact"/>
              <w:jc w:val="center"/>
              <w:rPr>
                <w:rFonts w:ascii="仿宋_GB2312" w:eastAsia="仿宋_GB2312"/>
                <w:color w:val="auto"/>
                <w:sz w:val="24"/>
                <w:highlight w:val="none"/>
              </w:rPr>
            </w:pPr>
          </w:p>
        </w:tc>
      </w:tr>
      <w:tr w14:paraId="528A7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28CBAB7C">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49998D3">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73C1A58">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063D5637">
            <w:pPr>
              <w:pStyle w:val="113"/>
              <w:spacing w:line="560" w:lineRule="exact"/>
              <w:jc w:val="center"/>
              <w:rPr>
                <w:rFonts w:ascii="仿宋_GB2312" w:eastAsia="仿宋_GB2312"/>
                <w:color w:val="auto"/>
                <w:sz w:val="24"/>
                <w:highlight w:val="none"/>
              </w:rPr>
            </w:pPr>
          </w:p>
        </w:tc>
      </w:tr>
      <w:tr w14:paraId="3689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55F99A65">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ECA48A7">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A96061F">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54C95446">
            <w:pPr>
              <w:pStyle w:val="113"/>
              <w:spacing w:line="560" w:lineRule="exact"/>
              <w:jc w:val="center"/>
              <w:rPr>
                <w:rFonts w:ascii="仿宋_GB2312" w:eastAsia="仿宋_GB2312"/>
                <w:color w:val="auto"/>
                <w:sz w:val="24"/>
                <w:highlight w:val="none"/>
              </w:rPr>
            </w:pPr>
          </w:p>
        </w:tc>
      </w:tr>
      <w:tr w14:paraId="22818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02D8C96">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DE2EA8B">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0A73D6C">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14C08BB4">
            <w:pPr>
              <w:pStyle w:val="113"/>
              <w:spacing w:line="560" w:lineRule="exact"/>
              <w:jc w:val="center"/>
              <w:rPr>
                <w:rFonts w:ascii="仿宋_GB2312" w:eastAsia="仿宋_GB2312"/>
                <w:color w:val="auto"/>
                <w:sz w:val="24"/>
                <w:highlight w:val="none"/>
              </w:rPr>
            </w:pPr>
          </w:p>
        </w:tc>
      </w:tr>
      <w:tr w14:paraId="3F96E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A7F922C">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7258816">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0B88406">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6BA58229">
            <w:pPr>
              <w:pStyle w:val="113"/>
              <w:spacing w:line="560" w:lineRule="exact"/>
              <w:jc w:val="center"/>
              <w:rPr>
                <w:rFonts w:ascii="仿宋_GB2312" w:eastAsia="仿宋_GB2312"/>
                <w:color w:val="auto"/>
                <w:sz w:val="24"/>
                <w:highlight w:val="none"/>
              </w:rPr>
            </w:pPr>
          </w:p>
        </w:tc>
      </w:tr>
      <w:tr w14:paraId="2359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6D60659">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B013026">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0E4CCB0">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66AF87DC">
            <w:pPr>
              <w:pStyle w:val="113"/>
              <w:spacing w:line="560" w:lineRule="exact"/>
              <w:jc w:val="center"/>
              <w:rPr>
                <w:rFonts w:ascii="仿宋_GB2312" w:eastAsia="仿宋_GB2312"/>
                <w:color w:val="auto"/>
                <w:sz w:val="24"/>
                <w:highlight w:val="none"/>
              </w:rPr>
            </w:pPr>
          </w:p>
        </w:tc>
      </w:tr>
      <w:tr w14:paraId="55402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C55607A">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B001B9D">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1913BBB">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1D20D40A">
            <w:pPr>
              <w:pStyle w:val="113"/>
              <w:spacing w:line="560" w:lineRule="exact"/>
              <w:jc w:val="center"/>
              <w:rPr>
                <w:rFonts w:ascii="仿宋_GB2312" w:eastAsia="仿宋_GB2312"/>
                <w:color w:val="auto"/>
                <w:sz w:val="24"/>
                <w:highlight w:val="none"/>
              </w:rPr>
            </w:pPr>
          </w:p>
        </w:tc>
      </w:tr>
      <w:tr w14:paraId="582A1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08B868C7">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FDD5FFE">
            <w:pPr>
              <w:pStyle w:val="113"/>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6DC0F53">
            <w:pPr>
              <w:pStyle w:val="113"/>
              <w:spacing w:line="560" w:lineRule="exact"/>
              <w:jc w:val="center"/>
              <w:rPr>
                <w:rFonts w:ascii="仿宋_GB2312" w:eastAsia="仿宋_GB2312"/>
                <w:color w:val="auto"/>
                <w:sz w:val="24"/>
                <w:highlight w:val="none"/>
              </w:rPr>
            </w:pPr>
          </w:p>
        </w:tc>
        <w:tc>
          <w:tcPr>
            <w:tcW w:w="1517" w:type="dxa"/>
            <w:tcBorders>
              <w:top w:val="single" w:color="auto" w:sz="4" w:space="0"/>
              <w:left w:val="single" w:color="auto" w:sz="4" w:space="0"/>
              <w:bottom w:val="single" w:color="auto" w:sz="4" w:space="0"/>
              <w:right w:val="single" w:color="auto" w:sz="4" w:space="0"/>
            </w:tcBorders>
            <w:vAlign w:val="center"/>
          </w:tcPr>
          <w:p w14:paraId="0748A200">
            <w:pPr>
              <w:pStyle w:val="113"/>
              <w:spacing w:line="560" w:lineRule="exact"/>
              <w:jc w:val="center"/>
              <w:rPr>
                <w:rFonts w:ascii="仿宋_GB2312" w:eastAsia="仿宋_GB2312"/>
                <w:color w:val="auto"/>
                <w:sz w:val="24"/>
                <w:highlight w:val="none"/>
              </w:rPr>
            </w:pPr>
          </w:p>
        </w:tc>
      </w:tr>
    </w:tbl>
    <w:p w14:paraId="572C41EE">
      <w:pPr>
        <w:pStyle w:val="59"/>
        <w:ind w:firstLine="720" w:firstLineChars="300"/>
        <w:jc w:val="both"/>
        <w:rPr>
          <w:rFonts w:hint="eastAsia" w:ascii="宋体" w:hAnsi="宋体" w:eastAsia="宋体" w:cs="宋体"/>
          <w:color w:val="auto"/>
          <w:highlight w:val="none"/>
        </w:rPr>
      </w:pPr>
      <w:r>
        <w:rPr>
          <w:rFonts w:hint="eastAsia" w:hAnsi="宋体" w:cs="宋体"/>
          <w:color w:val="auto"/>
          <w:highlight w:val="none"/>
          <w:lang w:val="en-US" w:eastAsia="zh-CN"/>
        </w:rPr>
        <w:t>供应商</w:t>
      </w:r>
      <w:r>
        <w:rPr>
          <w:rFonts w:hint="eastAsia" w:ascii="宋体" w:hAnsi="宋体" w:eastAsia="宋体" w:cs="宋体"/>
          <w:color w:val="auto"/>
          <w:highlight w:val="none"/>
        </w:rPr>
        <w:t>名称：（</w:t>
      </w:r>
      <w:r>
        <w:rPr>
          <w:rFonts w:hint="eastAsia" w:ascii="宋体" w:hAnsi="宋体" w:eastAsia="宋体" w:cs="宋体"/>
          <w:color w:val="auto"/>
          <w:highlight w:val="none"/>
          <w:lang w:val="en-US" w:eastAsia="zh-CN"/>
        </w:rPr>
        <w:t>加盖公章</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p>
    <w:p w14:paraId="4DE0FA47">
      <w:pPr>
        <w:pStyle w:val="238"/>
        <w:spacing w:line="700" w:lineRule="exact"/>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法定代表人（或授权代表）：（签字或签章）</w:t>
      </w:r>
      <w:r>
        <w:rPr>
          <w:rFonts w:hint="eastAsia" w:ascii="宋体" w:hAnsi="宋体" w:eastAsia="宋体" w:cs="宋体"/>
          <w:color w:val="auto"/>
          <w:sz w:val="24"/>
          <w:highlight w:val="none"/>
          <w:u w:val="single"/>
        </w:rPr>
        <w:t xml:space="preserve">              </w:t>
      </w:r>
    </w:p>
    <w:p w14:paraId="6D12790C">
      <w:pPr>
        <w:pStyle w:val="238"/>
        <w:spacing w:line="700" w:lineRule="exact"/>
        <w:ind w:firstLine="629"/>
        <w:rPr>
          <w:rFonts w:hint="eastAsia" w:ascii="宋体" w:hAnsi="宋体" w:eastAsia="宋体" w:cs="宋体"/>
          <w:color w:val="auto"/>
          <w:sz w:val="24"/>
          <w:highlight w:val="none"/>
          <w:u w:val="single"/>
        </w:rPr>
      </w:pPr>
    </w:p>
    <w:p w14:paraId="4B80673D">
      <w:pPr>
        <w:pStyle w:val="113"/>
        <w:adjustRightInd w:val="0"/>
        <w:snapToGrid w:val="0"/>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1、</w:t>
      </w:r>
      <w:r>
        <w:rPr>
          <w:rFonts w:hint="eastAsia" w:ascii="宋体" w:hAnsi="宋体" w:cs="宋体"/>
          <w:b/>
          <w:bCs/>
          <w:color w:val="auto"/>
          <w:sz w:val="24"/>
          <w:szCs w:val="28"/>
          <w:highlight w:val="none"/>
          <w:lang w:eastAsia="zh-CN"/>
        </w:rPr>
        <w:t>供应商</w:t>
      </w:r>
      <w:r>
        <w:rPr>
          <w:rFonts w:hint="eastAsia" w:ascii="宋体" w:hAnsi="宋体" w:eastAsia="宋体" w:cs="宋体"/>
          <w:b/>
          <w:bCs/>
          <w:color w:val="auto"/>
          <w:sz w:val="24"/>
          <w:szCs w:val="28"/>
          <w:highlight w:val="none"/>
        </w:rPr>
        <w:t>商务条件如与招标文件要求的不一致，则须在上表偏离说明中详细注明。</w:t>
      </w:r>
    </w:p>
    <w:p w14:paraId="03134218">
      <w:pPr>
        <w:pStyle w:val="275"/>
        <w:outlineLvl w:val="1"/>
        <w:rPr>
          <w:color w:val="auto"/>
          <w:highlight w:val="none"/>
        </w:rPr>
      </w:pPr>
      <w:bookmarkStart w:id="136" w:name="_Toc514054500"/>
      <w:r>
        <w:rPr>
          <w:color w:val="auto"/>
          <w:highlight w:val="none"/>
        </w:rPr>
        <w:br w:type="page"/>
      </w:r>
      <w:bookmarkEnd w:id="136"/>
      <w:bookmarkStart w:id="137" w:name="_Toc514054502"/>
      <w:bookmarkStart w:id="138" w:name="_Toc15828"/>
      <w:bookmarkStart w:id="139" w:name="_Toc15209"/>
      <w:bookmarkStart w:id="140" w:name="_Toc25001_WPSOffice_Level2"/>
      <w:r>
        <w:rPr>
          <w:color w:val="auto"/>
          <w:highlight w:val="none"/>
        </w:rPr>
        <w:t>十</w:t>
      </w:r>
      <w:r>
        <w:rPr>
          <w:rFonts w:hint="eastAsia"/>
          <w:color w:val="auto"/>
          <w:highlight w:val="none"/>
          <w:lang w:val="en-US" w:eastAsia="zh-CN"/>
        </w:rPr>
        <w:t>三</w:t>
      </w:r>
      <w:r>
        <w:rPr>
          <w:color w:val="auto"/>
          <w:highlight w:val="none"/>
        </w:rPr>
        <w:t>、</w:t>
      </w:r>
      <w:r>
        <w:rPr>
          <w:rFonts w:hint="eastAsia"/>
          <w:color w:val="auto"/>
          <w:highlight w:val="none"/>
          <w:lang w:val="en-US" w:eastAsia="zh-CN"/>
        </w:rPr>
        <w:t>服务</w:t>
      </w:r>
      <w:r>
        <w:rPr>
          <w:color w:val="auto"/>
          <w:highlight w:val="none"/>
        </w:rPr>
        <w:t>方案</w:t>
      </w:r>
      <w:bookmarkEnd w:id="137"/>
      <w:bookmarkEnd w:id="138"/>
      <w:bookmarkEnd w:id="139"/>
      <w:bookmarkEnd w:id="140"/>
    </w:p>
    <w:p w14:paraId="78B80A86">
      <w:pPr>
        <w:pStyle w:val="322"/>
        <w:spacing w:line="560" w:lineRule="exact"/>
        <w:jc w:val="center"/>
        <w:rPr>
          <w:rFonts w:hint="eastAsia" w:ascii="宋体"/>
          <w:b/>
          <w:bCs/>
          <w:color w:val="auto"/>
          <w:sz w:val="32"/>
          <w:szCs w:val="32"/>
          <w:highlight w:val="none"/>
        </w:rPr>
      </w:pPr>
      <w:bookmarkStart w:id="141" w:name="_Toc2882_WPSOffice_Level2"/>
      <w:r>
        <w:rPr>
          <w:rFonts w:hint="eastAsia" w:ascii="宋体"/>
          <w:b/>
          <w:bCs/>
          <w:color w:val="auto"/>
          <w:sz w:val="32"/>
          <w:szCs w:val="32"/>
          <w:highlight w:val="none"/>
        </w:rPr>
        <w:t>按照招标文件要求，格式自拟</w:t>
      </w:r>
      <w:bookmarkEnd w:id="141"/>
    </w:p>
    <w:p w14:paraId="765280E3">
      <w:pPr>
        <w:pStyle w:val="172"/>
        <w:outlineLvl w:val="1"/>
        <w:rPr>
          <w:color w:val="auto"/>
          <w:highlight w:val="none"/>
        </w:rPr>
      </w:pPr>
      <w:r>
        <w:rPr>
          <w:color w:val="auto"/>
          <w:highlight w:val="none"/>
        </w:rPr>
        <w:br w:type="page"/>
      </w:r>
      <w:bookmarkStart w:id="142" w:name="_Toc30208_WPSOffice_Level2"/>
      <w:bookmarkStart w:id="143" w:name="_Toc32310"/>
      <w:bookmarkStart w:id="144" w:name="_Toc5519"/>
      <w:bookmarkStart w:id="145" w:name="_Toc514054504"/>
      <w:r>
        <w:rPr>
          <w:color w:val="auto"/>
          <w:highlight w:val="none"/>
        </w:rPr>
        <w:t>十</w:t>
      </w:r>
      <w:r>
        <w:rPr>
          <w:rFonts w:hint="eastAsia"/>
          <w:color w:val="auto"/>
          <w:highlight w:val="none"/>
          <w:lang w:val="en-US" w:eastAsia="zh-CN"/>
        </w:rPr>
        <w:t>四</w:t>
      </w:r>
      <w:r>
        <w:rPr>
          <w:color w:val="auto"/>
          <w:highlight w:val="none"/>
        </w:rPr>
        <w:t>、</w:t>
      </w:r>
      <w:r>
        <w:rPr>
          <w:rFonts w:hint="eastAsia"/>
          <w:color w:val="auto"/>
          <w:highlight w:val="none"/>
          <w:lang w:eastAsia="zh-CN"/>
        </w:rPr>
        <w:t>供应商</w:t>
      </w:r>
      <w:r>
        <w:rPr>
          <w:color w:val="auto"/>
          <w:highlight w:val="none"/>
        </w:rPr>
        <w:t>项目业绩一览表</w:t>
      </w:r>
      <w:bookmarkEnd w:id="142"/>
      <w:bookmarkEnd w:id="143"/>
      <w:bookmarkEnd w:id="144"/>
      <w:bookmarkEnd w:id="145"/>
    </w:p>
    <w:p w14:paraId="212B1ECF">
      <w:pPr>
        <w:pStyle w:val="355"/>
        <w:jc w:val="center"/>
        <w:rPr>
          <w:b/>
          <w:color w:val="auto"/>
          <w:sz w:val="32"/>
          <w:szCs w:val="32"/>
          <w:highlight w:val="none"/>
        </w:rPr>
      </w:pPr>
      <w:bookmarkStart w:id="146" w:name="_Toc10294_WPSOffice_Level2"/>
      <w:r>
        <w:rPr>
          <w:rFonts w:hint="eastAsia"/>
          <w:b/>
          <w:color w:val="auto"/>
          <w:sz w:val="32"/>
          <w:szCs w:val="32"/>
          <w:highlight w:val="none"/>
          <w:lang w:eastAsia="zh-CN"/>
        </w:rPr>
        <w:t>供应商</w:t>
      </w:r>
      <w:r>
        <w:rPr>
          <w:rFonts w:hint="eastAsia"/>
          <w:b/>
          <w:color w:val="auto"/>
          <w:sz w:val="32"/>
          <w:szCs w:val="32"/>
          <w:highlight w:val="none"/>
        </w:rPr>
        <w:t>项目业绩一览表</w:t>
      </w:r>
      <w:bookmarkEnd w:id="146"/>
    </w:p>
    <w:tbl>
      <w:tblPr>
        <w:tblStyle w:val="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675D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14:paraId="27D09730">
            <w:pPr>
              <w:pStyle w:val="411"/>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3827" w:type="dxa"/>
            <w:vAlign w:val="center"/>
          </w:tcPr>
          <w:p w14:paraId="1293C7B9">
            <w:pPr>
              <w:pStyle w:val="411"/>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2433" w:type="dxa"/>
            <w:vAlign w:val="center"/>
          </w:tcPr>
          <w:p w14:paraId="339BE6BF">
            <w:pPr>
              <w:pStyle w:val="411"/>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采购单位</w:t>
            </w:r>
          </w:p>
        </w:tc>
        <w:tc>
          <w:tcPr>
            <w:tcW w:w="1395" w:type="dxa"/>
            <w:vAlign w:val="center"/>
          </w:tcPr>
          <w:p w14:paraId="02EDCAA2">
            <w:pPr>
              <w:pStyle w:val="411"/>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合同金额</w:t>
            </w:r>
          </w:p>
        </w:tc>
      </w:tr>
      <w:tr w14:paraId="1B19A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43FB7505">
            <w:pPr>
              <w:pStyle w:val="411"/>
              <w:spacing w:line="560" w:lineRule="exact"/>
              <w:jc w:val="center"/>
              <w:rPr>
                <w:rFonts w:ascii="仿宋_GB2312" w:eastAsia="仿宋_GB2312"/>
                <w:color w:val="auto"/>
                <w:sz w:val="28"/>
                <w:highlight w:val="none"/>
              </w:rPr>
            </w:pPr>
          </w:p>
        </w:tc>
        <w:tc>
          <w:tcPr>
            <w:tcW w:w="3827" w:type="dxa"/>
            <w:vAlign w:val="center"/>
          </w:tcPr>
          <w:p w14:paraId="413007BB">
            <w:pPr>
              <w:pStyle w:val="411"/>
              <w:spacing w:line="560" w:lineRule="exact"/>
              <w:jc w:val="center"/>
              <w:rPr>
                <w:rFonts w:ascii="仿宋_GB2312" w:eastAsia="仿宋_GB2312"/>
                <w:color w:val="auto"/>
                <w:sz w:val="28"/>
                <w:highlight w:val="none"/>
              </w:rPr>
            </w:pPr>
          </w:p>
        </w:tc>
        <w:tc>
          <w:tcPr>
            <w:tcW w:w="2433" w:type="dxa"/>
            <w:vAlign w:val="center"/>
          </w:tcPr>
          <w:p w14:paraId="0C7BB573">
            <w:pPr>
              <w:pStyle w:val="411"/>
              <w:spacing w:line="560" w:lineRule="exact"/>
              <w:jc w:val="center"/>
              <w:rPr>
                <w:rFonts w:ascii="仿宋_GB2312" w:eastAsia="仿宋_GB2312"/>
                <w:color w:val="auto"/>
                <w:sz w:val="28"/>
                <w:highlight w:val="none"/>
              </w:rPr>
            </w:pPr>
          </w:p>
        </w:tc>
        <w:tc>
          <w:tcPr>
            <w:tcW w:w="1395" w:type="dxa"/>
            <w:vAlign w:val="center"/>
          </w:tcPr>
          <w:p w14:paraId="35318739">
            <w:pPr>
              <w:pStyle w:val="411"/>
              <w:spacing w:line="560" w:lineRule="exact"/>
              <w:jc w:val="center"/>
              <w:rPr>
                <w:rFonts w:ascii="仿宋_GB2312" w:eastAsia="仿宋_GB2312"/>
                <w:color w:val="auto"/>
                <w:sz w:val="28"/>
                <w:highlight w:val="none"/>
              </w:rPr>
            </w:pPr>
          </w:p>
        </w:tc>
      </w:tr>
      <w:tr w14:paraId="676E0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54C44B26">
            <w:pPr>
              <w:pStyle w:val="411"/>
              <w:spacing w:line="560" w:lineRule="exact"/>
              <w:jc w:val="center"/>
              <w:rPr>
                <w:rFonts w:ascii="仿宋_GB2312" w:eastAsia="仿宋_GB2312"/>
                <w:color w:val="auto"/>
                <w:sz w:val="28"/>
                <w:highlight w:val="none"/>
              </w:rPr>
            </w:pPr>
          </w:p>
        </w:tc>
        <w:tc>
          <w:tcPr>
            <w:tcW w:w="3827" w:type="dxa"/>
            <w:vAlign w:val="center"/>
          </w:tcPr>
          <w:p w14:paraId="3EC9BDCB">
            <w:pPr>
              <w:pStyle w:val="411"/>
              <w:spacing w:line="560" w:lineRule="exact"/>
              <w:jc w:val="center"/>
              <w:rPr>
                <w:rFonts w:ascii="仿宋_GB2312" w:eastAsia="仿宋_GB2312"/>
                <w:color w:val="auto"/>
                <w:sz w:val="28"/>
                <w:highlight w:val="none"/>
              </w:rPr>
            </w:pPr>
          </w:p>
        </w:tc>
        <w:tc>
          <w:tcPr>
            <w:tcW w:w="2433" w:type="dxa"/>
            <w:vAlign w:val="center"/>
          </w:tcPr>
          <w:p w14:paraId="189E21D1">
            <w:pPr>
              <w:pStyle w:val="411"/>
              <w:spacing w:line="560" w:lineRule="exact"/>
              <w:jc w:val="center"/>
              <w:rPr>
                <w:rFonts w:ascii="仿宋_GB2312" w:eastAsia="仿宋_GB2312"/>
                <w:color w:val="auto"/>
                <w:sz w:val="28"/>
                <w:highlight w:val="none"/>
              </w:rPr>
            </w:pPr>
          </w:p>
        </w:tc>
        <w:tc>
          <w:tcPr>
            <w:tcW w:w="1395" w:type="dxa"/>
            <w:vAlign w:val="center"/>
          </w:tcPr>
          <w:p w14:paraId="2765FA89">
            <w:pPr>
              <w:pStyle w:val="411"/>
              <w:spacing w:line="560" w:lineRule="exact"/>
              <w:jc w:val="center"/>
              <w:rPr>
                <w:rFonts w:ascii="仿宋_GB2312" w:eastAsia="仿宋_GB2312"/>
                <w:color w:val="auto"/>
                <w:sz w:val="28"/>
                <w:highlight w:val="none"/>
              </w:rPr>
            </w:pPr>
          </w:p>
        </w:tc>
      </w:tr>
      <w:tr w14:paraId="6A10B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42CDA4B1">
            <w:pPr>
              <w:pStyle w:val="411"/>
              <w:spacing w:line="560" w:lineRule="exact"/>
              <w:jc w:val="center"/>
              <w:rPr>
                <w:rFonts w:ascii="仿宋_GB2312" w:eastAsia="仿宋_GB2312"/>
                <w:color w:val="auto"/>
                <w:sz w:val="28"/>
                <w:highlight w:val="none"/>
              </w:rPr>
            </w:pPr>
          </w:p>
        </w:tc>
        <w:tc>
          <w:tcPr>
            <w:tcW w:w="3827" w:type="dxa"/>
            <w:vAlign w:val="center"/>
          </w:tcPr>
          <w:p w14:paraId="7F492F4D">
            <w:pPr>
              <w:pStyle w:val="411"/>
              <w:spacing w:line="560" w:lineRule="exact"/>
              <w:jc w:val="center"/>
              <w:rPr>
                <w:rFonts w:ascii="仿宋_GB2312" w:eastAsia="仿宋_GB2312"/>
                <w:color w:val="auto"/>
                <w:sz w:val="28"/>
                <w:highlight w:val="none"/>
              </w:rPr>
            </w:pPr>
          </w:p>
        </w:tc>
        <w:tc>
          <w:tcPr>
            <w:tcW w:w="2433" w:type="dxa"/>
            <w:vAlign w:val="center"/>
          </w:tcPr>
          <w:p w14:paraId="45DB26F6">
            <w:pPr>
              <w:pStyle w:val="411"/>
              <w:spacing w:line="560" w:lineRule="exact"/>
              <w:jc w:val="center"/>
              <w:rPr>
                <w:rFonts w:ascii="仿宋_GB2312" w:eastAsia="仿宋_GB2312"/>
                <w:color w:val="auto"/>
                <w:sz w:val="28"/>
                <w:highlight w:val="none"/>
              </w:rPr>
            </w:pPr>
          </w:p>
        </w:tc>
        <w:tc>
          <w:tcPr>
            <w:tcW w:w="1395" w:type="dxa"/>
            <w:vAlign w:val="center"/>
          </w:tcPr>
          <w:p w14:paraId="06AFE804">
            <w:pPr>
              <w:pStyle w:val="411"/>
              <w:spacing w:line="560" w:lineRule="exact"/>
              <w:jc w:val="center"/>
              <w:rPr>
                <w:rFonts w:ascii="仿宋_GB2312" w:eastAsia="仿宋_GB2312"/>
                <w:color w:val="auto"/>
                <w:sz w:val="28"/>
                <w:highlight w:val="none"/>
              </w:rPr>
            </w:pPr>
          </w:p>
        </w:tc>
      </w:tr>
      <w:tr w14:paraId="19EF7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0CCF986A">
            <w:pPr>
              <w:pStyle w:val="411"/>
              <w:spacing w:line="560" w:lineRule="exact"/>
              <w:jc w:val="center"/>
              <w:rPr>
                <w:rFonts w:ascii="仿宋_GB2312" w:eastAsia="仿宋_GB2312"/>
                <w:color w:val="auto"/>
                <w:sz w:val="28"/>
                <w:highlight w:val="none"/>
              </w:rPr>
            </w:pPr>
          </w:p>
        </w:tc>
        <w:tc>
          <w:tcPr>
            <w:tcW w:w="3827" w:type="dxa"/>
            <w:vAlign w:val="center"/>
          </w:tcPr>
          <w:p w14:paraId="4067B3A0">
            <w:pPr>
              <w:pStyle w:val="411"/>
              <w:spacing w:line="560" w:lineRule="exact"/>
              <w:jc w:val="center"/>
              <w:rPr>
                <w:rFonts w:ascii="仿宋_GB2312" w:eastAsia="仿宋_GB2312"/>
                <w:color w:val="auto"/>
                <w:sz w:val="28"/>
                <w:highlight w:val="none"/>
              </w:rPr>
            </w:pPr>
          </w:p>
        </w:tc>
        <w:tc>
          <w:tcPr>
            <w:tcW w:w="2433" w:type="dxa"/>
            <w:vAlign w:val="center"/>
          </w:tcPr>
          <w:p w14:paraId="5A8ADC06">
            <w:pPr>
              <w:pStyle w:val="411"/>
              <w:spacing w:line="560" w:lineRule="exact"/>
              <w:jc w:val="center"/>
              <w:rPr>
                <w:rFonts w:ascii="仿宋_GB2312" w:eastAsia="仿宋_GB2312"/>
                <w:color w:val="auto"/>
                <w:sz w:val="28"/>
                <w:highlight w:val="none"/>
              </w:rPr>
            </w:pPr>
          </w:p>
        </w:tc>
        <w:tc>
          <w:tcPr>
            <w:tcW w:w="1395" w:type="dxa"/>
            <w:vAlign w:val="center"/>
          </w:tcPr>
          <w:p w14:paraId="79086FCC">
            <w:pPr>
              <w:pStyle w:val="411"/>
              <w:spacing w:line="560" w:lineRule="exact"/>
              <w:jc w:val="center"/>
              <w:rPr>
                <w:rFonts w:ascii="仿宋_GB2312" w:eastAsia="仿宋_GB2312"/>
                <w:color w:val="auto"/>
                <w:sz w:val="28"/>
                <w:highlight w:val="none"/>
              </w:rPr>
            </w:pPr>
          </w:p>
        </w:tc>
      </w:tr>
    </w:tbl>
    <w:p w14:paraId="57489537">
      <w:pPr>
        <w:pStyle w:val="4"/>
        <w:ind w:firstLine="482"/>
        <w:rPr>
          <w:color w:val="auto"/>
          <w:highlight w:val="none"/>
        </w:rPr>
      </w:pPr>
      <w:r>
        <w:rPr>
          <w:color w:val="auto"/>
          <w:highlight w:val="none"/>
        </w:rPr>
        <w:br w:type="page"/>
      </w:r>
      <w:bookmarkStart w:id="147" w:name="_Toc30836_WPSOffice_Level2"/>
      <w:bookmarkStart w:id="148" w:name="_Toc15753"/>
      <w:bookmarkStart w:id="149" w:name="_Toc502821163"/>
      <w:bookmarkStart w:id="150" w:name="_Toc514054505"/>
    </w:p>
    <w:p w14:paraId="5EC76627">
      <w:pPr>
        <w:pStyle w:val="4"/>
        <w:ind w:firstLine="482"/>
        <w:rPr>
          <w:rFonts w:hint="default" w:ascii="宋体" w:hAnsi="宋体" w:eastAsia="宋体" w:cs="宋体"/>
          <w:color w:val="auto"/>
          <w:sz w:val="24"/>
          <w:szCs w:val="24"/>
          <w:lang w:val="en-US" w:eastAsia="zh-CN"/>
        </w:rPr>
      </w:pPr>
      <w:bookmarkStart w:id="151" w:name="_Toc27216"/>
      <w:r>
        <w:rPr>
          <w:color w:val="auto"/>
          <w:highlight w:val="none"/>
        </w:rPr>
        <w:t>十</w:t>
      </w:r>
      <w:r>
        <w:rPr>
          <w:rFonts w:hint="eastAsia"/>
          <w:color w:val="auto"/>
          <w:highlight w:val="none"/>
          <w:lang w:val="en-US" w:eastAsia="zh-CN"/>
        </w:rPr>
        <w:t>五</w:t>
      </w:r>
      <w:r>
        <w:rPr>
          <w:color w:val="auto"/>
          <w:highlight w:val="none"/>
        </w:rPr>
        <w:t>、</w:t>
      </w:r>
      <w:r>
        <w:rPr>
          <w:rFonts w:hint="eastAsia" w:ascii="宋体" w:hAnsi="宋体" w:eastAsia="宋体" w:cs="宋体"/>
          <w:color w:val="auto"/>
          <w:spacing w:val="0"/>
          <w:w w:val="100"/>
          <w:sz w:val="32"/>
          <w:szCs w:val="32"/>
          <w:highlight w:val="none"/>
          <w:lang w:val="en-US" w:eastAsia="zh-CN"/>
        </w:rPr>
        <w:t>服务承诺1</w:t>
      </w:r>
      <w:bookmarkEnd w:id="151"/>
    </w:p>
    <w:p w14:paraId="42943470">
      <w:pPr>
        <w:pageBreakBefore w:val="0"/>
        <w:widowControl w:val="0"/>
        <w:kinsoku/>
        <w:overflowPunct/>
        <w:autoSpaceDE/>
        <w:autoSpaceDN/>
        <w:bidi w:val="0"/>
        <w:adjustRightInd/>
        <w:snapToGrid/>
        <w:spacing w:line="440" w:lineRule="exact"/>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采 购</w:t>
      </w:r>
      <w:r>
        <w:rPr>
          <w:rFonts w:hint="eastAsia" w:ascii="宋体" w:hAnsi="宋体" w:eastAsia="宋体" w:cs="宋体"/>
          <w:color w:val="auto"/>
          <w:sz w:val="24"/>
          <w:szCs w:val="24"/>
        </w:rPr>
        <w:t xml:space="preserve"> 人 ) :</w:t>
      </w:r>
    </w:p>
    <w:p w14:paraId="0911161C">
      <w:pPr>
        <w:pageBreakBefore w:val="0"/>
        <w:widowControl w:val="0"/>
        <w:kinsoku/>
        <w:overflowPunct/>
        <w:autoSpaceDE/>
        <w:autoSpaceDN/>
        <w:bidi w:val="0"/>
        <w:adjustRightInd/>
        <w:snapToGrid/>
        <w:spacing w:line="440" w:lineRule="exact"/>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我公司现郑重承诺如下：  </w:t>
      </w:r>
    </w:p>
    <w:p w14:paraId="70BB7D23">
      <w:pPr>
        <w:pageBreakBefore w:val="0"/>
        <w:widowControl w:val="0"/>
        <w:kinsoku/>
        <w:overflow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承诺在在履约中保证和采购人的配合度，保证高度配合采购人的要求，确保提供专业服务的及时性和准确性，承担因工作失误给</w:t>
      </w:r>
      <w:r>
        <w:rPr>
          <w:rFonts w:hint="eastAsia" w:ascii="宋体" w:hAnsi="宋体" w:cs="宋体"/>
          <w:color w:val="auto"/>
          <w:sz w:val="24"/>
          <w:szCs w:val="24"/>
          <w:highlight w:val="none"/>
          <w:lang w:val="zh-CN"/>
        </w:rPr>
        <w:t>采购人</w:t>
      </w:r>
      <w:r>
        <w:rPr>
          <w:rFonts w:hint="eastAsia" w:ascii="宋体" w:hAnsi="宋体" w:eastAsia="宋体" w:cs="宋体"/>
          <w:color w:val="auto"/>
          <w:sz w:val="24"/>
          <w:szCs w:val="24"/>
          <w:highlight w:val="none"/>
          <w:lang w:val="zh-CN"/>
        </w:rPr>
        <w:t>造成的损失。</w:t>
      </w:r>
    </w:p>
    <w:p w14:paraId="29F5A579">
      <w:pPr>
        <w:pageBreakBefore w:val="0"/>
        <w:widowControl w:val="0"/>
        <w:kinsoku/>
        <w:overflow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0A2AAE02">
      <w:pPr>
        <w:pageBreakBefore w:val="0"/>
        <w:widowControl w:val="0"/>
        <w:kinsoku/>
        <w:overflow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(签章)</w:t>
      </w:r>
    </w:p>
    <w:p w14:paraId="060174B4">
      <w:pPr>
        <w:pageBreakBefore w:val="0"/>
        <w:widowControl w:val="0"/>
        <w:kinsoku/>
        <w:overflow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法定代表人(签字或签章)</w:t>
      </w:r>
    </w:p>
    <w:p w14:paraId="2584513E">
      <w:pPr>
        <w:pageBreakBefore w:val="0"/>
        <w:widowControl w:val="0"/>
        <w:kinsoku/>
        <w:overflow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p>
    <w:p w14:paraId="5B0B1921">
      <w:pPr>
        <w:pageBreakBefore w:val="0"/>
        <w:widowControl w:val="0"/>
        <w:kinsoku/>
        <w:overflow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二 O 二 </w:t>
      </w:r>
      <w:r>
        <w:rPr>
          <w:rFonts w:hint="eastAsia" w:ascii="宋体" w:hAnsi="宋体" w:cs="宋体"/>
          <w:color w:val="auto"/>
          <w:sz w:val="24"/>
          <w:szCs w:val="24"/>
          <w:lang w:val="en-US" w:eastAsia="zh-CN"/>
        </w:rPr>
        <w:t>六</w:t>
      </w:r>
      <w:r>
        <w:rPr>
          <w:rFonts w:hint="eastAsia" w:ascii="宋体" w:hAnsi="宋体" w:eastAsia="宋体" w:cs="宋体"/>
          <w:color w:val="auto"/>
          <w:sz w:val="24"/>
          <w:szCs w:val="24"/>
        </w:rPr>
        <w:t xml:space="preserve"> 年     月        </w:t>
      </w:r>
      <w:r>
        <w:rPr>
          <w:rFonts w:hint="eastAsia" w:ascii="宋体" w:hAnsi="宋体" w:eastAsia="宋体" w:cs="宋体"/>
          <w:color w:val="auto"/>
          <w:sz w:val="24"/>
          <w:szCs w:val="24"/>
          <w:lang w:val="en-US" w:eastAsia="zh-CN"/>
        </w:rPr>
        <w:t>日</w:t>
      </w:r>
    </w:p>
    <w:p w14:paraId="3D075758">
      <w:pPr>
        <w:pStyle w:val="4"/>
        <w:ind w:firstLine="482"/>
        <w:rPr>
          <w:color w:val="auto"/>
          <w:highlight w:val="none"/>
        </w:rPr>
      </w:pPr>
    </w:p>
    <w:p w14:paraId="14457289">
      <w:pPr>
        <w:rPr>
          <w:color w:val="auto"/>
          <w:highlight w:val="none"/>
        </w:rPr>
      </w:pPr>
    </w:p>
    <w:p w14:paraId="6867932D">
      <w:pPr>
        <w:pStyle w:val="81"/>
        <w:rPr>
          <w:color w:val="auto"/>
          <w:highlight w:val="none"/>
        </w:rPr>
      </w:pPr>
    </w:p>
    <w:p w14:paraId="519DC2D8">
      <w:pPr>
        <w:pStyle w:val="81"/>
        <w:rPr>
          <w:color w:val="auto"/>
          <w:highlight w:val="none"/>
        </w:rPr>
      </w:pPr>
    </w:p>
    <w:p w14:paraId="53CA8CAC">
      <w:pPr>
        <w:pStyle w:val="81"/>
        <w:rPr>
          <w:color w:val="auto"/>
          <w:highlight w:val="none"/>
        </w:rPr>
      </w:pPr>
    </w:p>
    <w:p w14:paraId="52A4F423">
      <w:pPr>
        <w:pStyle w:val="81"/>
        <w:rPr>
          <w:color w:val="auto"/>
          <w:highlight w:val="none"/>
        </w:rPr>
      </w:pPr>
    </w:p>
    <w:p w14:paraId="15187C83">
      <w:pPr>
        <w:pStyle w:val="81"/>
        <w:rPr>
          <w:color w:val="auto"/>
        </w:rPr>
      </w:pPr>
    </w:p>
    <w:p w14:paraId="24F63B72">
      <w:pPr>
        <w:pStyle w:val="311"/>
        <w:outlineLvl w:val="1"/>
        <w:rPr>
          <w:color w:val="auto"/>
          <w:highlight w:val="none"/>
        </w:rPr>
      </w:pPr>
      <w:bookmarkStart w:id="152" w:name="_Toc23810"/>
      <w:r>
        <w:rPr>
          <w:color w:val="auto"/>
          <w:highlight w:val="none"/>
        </w:rPr>
        <w:t>十</w:t>
      </w:r>
      <w:r>
        <w:rPr>
          <w:rFonts w:hint="eastAsia"/>
          <w:color w:val="auto"/>
          <w:highlight w:val="none"/>
          <w:lang w:val="en-US" w:eastAsia="zh-CN"/>
        </w:rPr>
        <w:t>六</w:t>
      </w:r>
      <w:r>
        <w:rPr>
          <w:color w:val="auto"/>
          <w:highlight w:val="none"/>
        </w:rPr>
        <w:t>、投标所需其他材料</w:t>
      </w:r>
      <w:bookmarkEnd w:id="147"/>
      <w:bookmarkEnd w:id="148"/>
      <w:bookmarkEnd w:id="149"/>
      <w:bookmarkEnd w:id="150"/>
      <w:bookmarkEnd w:id="152"/>
    </w:p>
    <w:p w14:paraId="0F28D693">
      <w:pPr>
        <w:pStyle w:val="417"/>
        <w:spacing w:line="360" w:lineRule="auto"/>
        <w:ind w:firstLine="420" w:firstLineChars="200"/>
        <w:rPr>
          <w:rFonts w:hint="eastAsia"/>
          <w:color w:val="auto"/>
          <w:highlight w:val="none"/>
        </w:rPr>
      </w:pPr>
      <w:r>
        <w:rPr>
          <w:rFonts w:hint="eastAsia"/>
          <w:color w:val="auto"/>
          <w:highlight w:val="none"/>
        </w:rPr>
        <w:t>请在此文档中增加投标所需其他相关内容（包括资格要求、评分办法、采购需求中涉及的证件证明及其它</w:t>
      </w:r>
      <w:r>
        <w:rPr>
          <w:rFonts w:hint="eastAsia"/>
          <w:color w:val="auto"/>
          <w:highlight w:val="none"/>
          <w:lang w:eastAsia="zh-CN"/>
        </w:rPr>
        <w:t>供应商</w:t>
      </w:r>
      <w:r>
        <w:rPr>
          <w:rFonts w:hint="eastAsia"/>
          <w:color w:val="auto"/>
          <w:highlight w:val="none"/>
        </w:rPr>
        <w:t>认为有必要提供的资料），如没有请空置。</w:t>
      </w:r>
    </w:p>
    <w:p w14:paraId="21A4D278">
      <w:pPr>
        <w:rPr>
          <w:rFonts w:hint="eastAsia"/>
          <w:color w:val="auto"/>
          <w:sz w:val="20"/>
          <w:highlight w:val="none"/>
        </w:rPr>
      </w:pPr>
      <w:r>
        <w:rPr>
          <w:rFonts w:hint="eastAsia"/>
          <w:color w:val="auto"/>
          <w:sz w:val="20"/>
          <w:highlight w:val="none"/>
        </w:rPr>
        <w:t xml:space="preserve"> </w:t>
      </w:r>
      <w:bookmarkEnd w:id="72"/>
    </w:p>
    <w:p w14:paraId="75D59BD2"/>
    <w:sectPr>
      <w:pgSz w:w="11906" w:h="16838"/>
      <w:pgMar w:top="1440" w:right="1083" w:bottom="1440" w:left="1083" w:header="851" w:footer="992" w:gutter="0"/>
      <w:pgNumType w:fmt="decimal"/>
      <w:cols w:space="0" w:num="1"/>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幼圆">
    <w:panose1 w:val="02010509060101010101"/>
    <w:charset w:val="86"/>
    <w:family w:val="modern"/>
    <w:pitch w:val="default"/>
    <w:sig w:usb0="00000001" w:usb1="080E0000" w:usb2="00000000" w:usb3="00000000" w:csb0="00040000" w:csb1="00000000"/>
  </w:font>
  <w:font w:name=".....?.">
    <w:altName w:val="宋体"/>
    <w:panose1 w:val="00000000000000000000"/>
    <w:charset w:val="86"/>
    <w:family w:val="swiss"/>
    <w:pitch w:val="default"/>
    <w:sig w:usb0="00000000" w:usb1="00000000" w:usb2="00000010" w:usb3="00000000" w:csb0="00040000" w:csb1="00000000"/>
  </w:font>
  <w:font w:name="Univers LT Std 45 Light">
    <w:altName w:val="宋体"/>
    <w:panose1 w:val="00000000000000000000"/>
    <w:charset w:val="86"/>
    <w:family w:val="swiss"/>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Helvetica">
    <w:altName w:val="Arial"/>
    <w:panose1 w:val="020B0504020202030204"/>
    <w:charset w:val="00"/>
    <w:family w:val="swiss"/>
    <w:pitch w:val="default"/>
    <w:sig w:usb0="00000000" w:usb1="00000000" w:usb2="00000000" w:usb3="00000000" w:csb0="00000093" w:csb1="00000000"/>
  </w:font>
  <w:font w:name="Helvetica-Light">
    <w:altName w:val="Arial"/>
    <w:panose1 w:val="00000000000000000000"/>
    <w:charset w:val="00"/>
    <w:family w:val="swiss"/>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Kingsoft Phonetic Plain">
    <w:altName w:val="Courier New"/>
    <w:panose1 w:val="00000000000000000000"/>
    <w:charset w:val="00"/>
    <w:family w:val="auto"/>
    <w:pitch w:val="default"/>
    <w:sig w:usb0="00000000" w:usb1="00000000" w:usb2="00000000" w:usb3="00000000" w:csb0="00040001" w:csb1="00000000"/>
  </w:font>
  <w:font w:name="华文琥珀">
    <w:panose1 w:val="02010800040101010101"/>
    <w:charset w:val="86"/>
    <w:family w:val="auto"/>
    <w:pitch w:val="default"/>
    <w:sig w:usb0="00000001" w:usb1="080F0000" w:usb2="00000000" w:usb3="00000000" w:csb0="00040000" w:csb1="00000000"/>
  </w:font>
  <w:font w:name="方正大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2F68C">
    <w:pPr>
      <w:pStyle w:val="4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BBDE9D">
                          <w:pPr>
                            <w:pStyle w:val="4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5BBDE9D">
                    <w:pPr>
                      <w:pStyle w:val="41"/>
                    </w:pPr>
                    <w:r>
                      <w:fldChar w:fldCharType="begin"/>
                    </w:r>
                    <w:r>
                      <w:instrText xml:space="preserve"> PAGE  \* MERGEFORMAT </w:instrText>
                    </w:r>
                    <w:r>
                      <w:fldChar w:fldCharType="separate"/>
                    </w:r>
                    <w:r>
                      <w:t>1</w:t>
                    </w:r>
                    <w:r>
                      <w:fldChar w:fldCharType="end"/>
                    </w:r>
                  </w:p>
                </w:txbxContent>
              </v:textbox>
            </v:shape>
          </w:pict>
        </mc:Fallback>
      </mc:AlternateContent>
    </w:r>
  </w:p>
  <w:p w14:paraId="324FF812">
    <w:pPr>
      <w:pStyle w:val="41"/>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A7C10">
    <w:pPr>
      <w:pStyle w:val="43"/>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pStyle w:val="165"/>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8F86B656"/>
    <w:multiLevelType w:val="singleLevel"/>
    <w:tmpl w:val="8F86B656"/>
    <w:lvl w:ilvl="0" w:tentative="0">
      <w:start w:val="2"/>
      <w:numFmt w:val="chineseCounting"/>
      <w:suff w:val="nothing"/>
      <w:lvlText w:val="%1、"/>
      <w:lvlJc w:val="left"/>
      <w:rPr>
        <w:rFonts w:hint="eastAsia"/>
      </w:rPr>
    </w:lvl>
  </w:abstractNum>
  <w:abstractNum w:abstractNumId="2">
    <w:nsid w:val="A838CA1C"/>
    <w:multiLevelType w:val="singleLevel"/>
    <w:tmpl w:val="A838CA1C"/>
    <w:lvl w:ilvl="0" w:tentative="0">
      <w:start w:val="1"/>
      <w:numFmt w:val="bullet"/>
      <w:pStyle w:val="300"/>
      <w:lvlText w:val="◆"/>
      <w:lvlJc w:val="left"/>
      <w:pPr>
        <w:tabs>
          <w:tab w:val="left" w:pos="930"/>
        </w:tabs>
        <w:ind w:left="930" w:hanging="210"/>
      </w:pPr>
      <w:rPr>
        <w:rFonts w:hint="eastAsia" w:ascii="宋体" w:hAnsi="宋体"/>
      </w:rPr>
    </w:lvl>
  </w:abstractNum>
  <w:abstractNum w:abstractNumId="3">
    <w:nsid w:val="A9484F4F"/>
    <w:multiLevelType w:val="singleLevel"/>
    <w:tmpl w:val="A9484F4F"/>
    <w:lvl w:ilvl="0" w:tentative="0">
      <w:start w:val="1"/>
      <w:numFmt w:val="chineseCounting"/>
      <w:suff w:val="nothing"/>
      <w:lvlText w:val="%1、"/>
      <w:lvlJc w:val="left"/>
      <w:rPr>
        <w:rFonts w:hint="eastAsia"/>
      </w:rPr>
    </w:lvl>
  </w:abstractNum>
  <w:abstractNum w:abstractNumId="4">
    <w:nsid w:val="B6B9DDDE"/>
    <w:multiLevelType w:val="singleLevel"/>
    <w:tmpl w:val="B6B9DDDE"/>
    <w:lvl w:ilvl="0" w:tentative="0">
      <w:start w:val="1"/>
      <w:numFmt w:val="decimal"/>
      <w:suff w:val="nothing"/>
      <w:lvlText w:val="%1、"/>
      <w:lvlJc w:val="left"/>
    </w:lvl>
  </w:abstractNum>
  <w:abstractNum w:abstractNumId="5">
    <w:nsid w:val="C8AD9CD8"/>
    <w:multiLevelType w:val="multilevel"/>
    <w:tmpl w:val="C8AD9CD8"/>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164"/>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FA74A4A2"/>
    <w:multiLevelType w:val="singleLevel"/>
    <w:tmpl w:val="FA74A4A2"/>
    <w:lvl w:ilvl="0" w:tentative="0">
      <w:start w:val="5"/>
      <w:numFmt w:val="chineseCounting"/>
      <w:suff w:val="space"/>
      <w:lvlText w:val="第%1部分"/>
      <w:lvlJc w:val="left"/>
      <w:rPr>
        <w:rFonts w:hint="eastAsia"/>
      </w:rPr>
    </w:lvl>
  </w:abstractNum>
  <w:abstractNum w:abstractNumId="7">
    <w:nsid w:val="0BAB8487"/>
    <w:multiLevelType w:val="singleLevel"/>
    <w:tmpl w:val="0BAB8487"/>
    <w:lvl w:ilvl="0" w:tentative="0">
      <w:start w:val="3"/>
      <w:numFmt w:val="chineseCounting"/>
      <w:suff w:val="nothing"/>
      <w:lvlText w:val="%1、"/>
      <w:lvlJc w:val="left"/>
      <w:rPr>
        <w:rFonts w:hint="eastAsia"/>
      </w:rPr>
    </w:lvl>
  </w:abstractNum>
  <w:abstractNum w:abstractNumId="8">
    <w:nsid w:val="483B5B90"/>
    <w:multiLevelType w:val="singleLevel"/>
    <w:tmpl w:val="483B5B90"/>
    <w:lvl w:ilvl="0" w:tentative="0">
      <w:start w:val="1"/>
      <w:numFmt w:val="decimal"/>
      <w:suff w:val="nothing"/>
      <w:lvlText w:val="%1、"/>
      <w:lvlJc w:val="left"/>
    </w:lvl>
  </w:abstractNum>
  <w:abstractNum w:abstractNumId="9">
    <w:nsid w:val="652B68F5"/>
    <w:multiLevelType w:val="multilevel"/>
    <w:tmpl w:val="652B68F5"/>
    <w:lvl w:ilvl="0" w:tentative="0">
      <w:start w:val="1"/>
      <w:numFmt w:val="decimal"/>
      <w:pStyle w:val="296"/>
      <w:lvlText w:val="%1."/>
      <w:lvlJc w:val="left"/>
      <w:pPr>
        <w:ind w:left="1418" w:hanging="1021"/>
      </w:pPr>
      <w:rPr>
        <w:rFonts w:hint="eastAsia" w:cs="Times New Roman"/>
        <w:bCs w:val="0"/>
        <w:i w:val="0"/>
        <w:iCs w:val="0"/>
        <w:caps w:val="0"/>
        <w:smallCaps w:val="0"/>
        <w:strike w:val="0"/>
        <w:dstrike w:val="0"/>
        <w:vanish w:val="0"/>
        <w:color w:val="000000"/>
        <w:spacing w:val="0"/>
        <w:position w:val="0"/>
        <w:u w:val="none"/>
        <w:vertAlign w:val="baseline"/>
      </w:rPr>
    </w:lvl>
    <w:lvl w:ilvl="1" w:tentative="0">
      <w:start w:val="1"/>
      <w:numFmt w:val="decimal"/>
      <w:pStyle w:val="386"/>
      <w:lvlText w:val="%1.%2."/>
      <w:lvlJc w:val="left"/>
      <w:pPr>
        <w:ind w:left="1441" w:hanging="1021"/>
      </w:pPr>
      <w:rPr>
        <w:rFonts w:hint="default" w:ascii="Arial Narrow" w:hAnsi="Arial Narrow" w:cs="Times New Roman"/>
        <w:b w:val="0"/>
        <w:bCs w:val="0"/>
        <w:i w:val="0"/>
        <w:iCs w:val="0"/>
        <w:caps w:val="0"/>
        <w:smallCaps w:val="0"/>
        <w:strike w:val="0"/>
        <w:dstrike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1.%2.%3.%4."/>
      <w:lvlJc w:val="left"/>
      <w:pPr>
        <w:ind w:left="1418" w:hanging="1021"/>
      </w:pPr>
      <w:rPr>
        <w:rFonts w:hint="default"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strike w:val="0"/>
        <w:dstrike w:val="0"/>
        <w:vanish w:val="0"/>
        <w:color w:val="000000"/>
        <w:spacing w:val="0"/>
        <w:position w:val="0"/>
        <w:u w:val="none"/>
        <w:vertAlign w:val="baseline"/>
      </w:rPr>
    </w:lvl>
    <w:lvl w:ilvl="5" w:tentative="0">
      <w:start w:val="1"/>
      <w:numFmt w:val="decimal"/>
      <w:lvlText w:val="%1.%2.%3.%4.%5.%6."/>
      <w:lvlJc w:val="left"/>
      <w:pPr>
        <w:ind w:left="1418" w:hanging="1021"/>
      </w:pPr>
      <w:rPr>
        <w:rFonts w:hint="default"/>
      </w:rPr>
    </w:lvl>
    <w:lvl w:ilvl="6" w:tentative="0">
      <w:start w:val="1"/>
      <w:numFmt w:val="decimal"/>
      <w:lvlText w:val="%1.%2.%3.%4.%5.%6.%7."/>
      <w:lvlJc w:val="left"/>
      <w:pPr>
        <w:ind w:left="1418" w:hanging="1021"/>
      </w:pPr>
      <w:rPr>
        <w:rFonts w:hint="default"/>
      </w:rPr>
    </w:lvl>
    <w:lvl w:ilvl="7" w:tentative="0">
      <w:start w:val="1"/>
      <w:numFmt w:val="decimal"/>
      <w:lvlText w:val="%1.%2.%3.%4.%5.%6.%7.%8."/>
      <w:lvlJc w:val="left"/>
      <w:pPr>
        <w:ind w:left="1418" w:hanging="1021"/>
      </w:pPr>
      <w:rPr>
        <w:rFonts w:hint="default"/>
      </w:rPr>
    </w:lvl>
    <w:lvl w:ilvl="8" w:tentative="0">
      <w:start w:val="1"/>
      <w:numFmt w:val="decimal"/>
      <w:lvlText w:val="%1.%2.%3.%4.%5.%6.%7.%8.%9."/>
      <w:lvlJc w:val="left"/>
      <w:pPr>
        <w:ind w:left="1418" w:hanging="1021"/>
      </w:pPr>
      <w:rPr>
        <w:rFonts w:hint="default"/>
      </w:rPr>
    </w:lvl>
  </w:abstractNum>
  <w:num w:numId="1">
    <w:abstractNumId w:val="5"/>
  </w:num>
  <w:num w:numId="2">
    <w:abstractNumId w:val="0"/>
  </w:num>
  <w:num w:numId="3">
    <w:abstractNumId w:val="9"/>
  </w:num>
  <w:num w:numId="4">
    <w:abstractNumId w:val="2"/>
  </w:num>
  <w:num w:numId="5">
    <w:abstractNumId w:val="1"/>
  </w:num>
  <w:num w:numId="6">
    <w:abstractNumId w:val="7"/>
  </w:num>
  <w:num w:numId="7">
    <w:abstractNumId w:val="8"/>
  </w:num>
  <w:num w:numId="8">
    <w:abstractNumId w:val="6"/>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7"/>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k2OTk4OTA3YTA3NmQ4YmM4ZDljYzY3OTFkZDJhY2IifQ=="/>
  </w:docVars>
  <w:rsids>
    <w:rsidRoot w:val="00172A27"/>
    <w:rsid w:val="0000537E"/>
    <w:rsid w:val="00011311"/>
    <w:rsid w:val="0001166A"/>
    <w:rsid w:val="000434BD"/>
    <w:rsid w:val="00050987"/>
    <w:rsid w:val="00072BFF"/>
    <w:rsid w:val="00084EFF"/>
    <w:rsid w:val="00093628"/>
    <w:rsid w:val="000C0A11"/>
    <w:rsid w:val="000C5F6B"/>
    <w:rsid w:val="000C7C77"/>
    <w:rsid w:val="000E3AC6"/>
    <w:rsid w:val="000F50C0"/>
    <w:rsid w:val="0011154D"/>
    <w:rsid w:val="001123BB"/>
    <w:rsid w:val="00123C0C"/>
    <w:rsid w:val="00126A6D"/>
    <w:rsid w:val="0015026D"/>
    <w:rsid w:val="00161595"/>
    <w:rsid w:val="00164472"/>
    <w:rsid w:val="00165D44"/>
    <w:rsid w:val="00190DEB"/>
    <w:rsid w:val="0019657A"/>
    <w:rsid w:val="001A5C11"/>
    <w:rsid w:val="001B2EB3"/>
    <w:rsid w:val="001F0AB3"/>
    <w:rsid w:val="001F0F86"/>
    <w:rsid w:val="00201214"/>
    <w:rsid w:val="002116E8"/>
    <w:rsid w:val="0022187F"/>
    <w:rsid w:val="00240630"/>
    <w:rsid w:val="00246560"/>
    <w:rsid w:val="00253C5E"/>
    <w:rsid w:val="00257719"/>
    <w:rsid w:val="00273769"/>
    <w:rsid w:val="002761C8"/>
    <w:rsid w:val="002A25C7"/>
    <w:rsid w:val="002A7997"/>
    <w:rsid w:val="002C5EE7"/>
    <w:rsid w:val="002C70BC"/>
    <w:rsid w:val="002D3731"/>
    <w:rsid w:val="002D56A6"/>
    <w:rsid w:val="002E0224"/>
    <w:rsid w:val="00301B83"/>
    <w:rsid w:val="003170D1"/>
    <w:rsid w:val="00322955"/>
    <w:rsid w:val="00371DE5"/>
    <w:rsid w:val="00374602"/>
    <w:rsid w:val="003914CE"/>
    <w:rsid w:val="003942D5"/>
    <w:rsid w:val="00395CDF"/>
    <w:rsid w:val="003A6B66"/>
    <w:rsid w:val="003A76DA"/>
    <w:rsid w:val="003C4510"/>
    <w:rsid w:val="003C5FBF"/>
    <w:rsid w:val="003D41C9"/>
    <w:rsid w:val="003D71E9"/>
    <w:rsid w:val="003E5898"/>
    <w:rsid w:val="003F2503"/>
    <w:rsid w:val="003F314F"/>
    <w:rsid w:val="003F5611"/>
    <w:rsid w:val="00410142"/>
    <w:rsid w:val="00416127"/>
    <w:rsid w:val="0042486B"/>
    <w:rsid w:val="00430000"/>
    <w:rsid w:val="00432426"/>
    <w:rsid w:val="00440216"/>
    <w:rsid w:val="00465EFE"/>
    <w:rsid w:val="0047628D"/>
    <w:rsid w:val="0049336B"/>
    <w:rsid w:val="004B5BDF"/>
    <w:rsid w:val="004C06DA"/>
    <w:rsid w:val="004C4114"/>
    <w:rsid w:val="004C44CE"/>
    <w:rsid w:val="004D5002"/>
    <w:rsid w:val="004F118D"/>
    <w:rsid w:val="004F157F"/>
    <w:rsid w:val="004F1EFB"/>
    <w:rsid w:val="004F6455"/>
    <w:rsid w:val="0050051D"/>
    <w:rsid w:val="00503E1F"/>
    <w:rsid w:val="00504226"/>
    <w:rsid w:val="00505313"/>
    <w:rsid w:val="005170A7"/>
    <w:rsid w:val="00530F8A"/>
    <w:rsid w:val="00534AFF"/>
    <w:rsid w:val="00553596"/>
    <w:rsid w:val="00556B79"/>
    <w:rsid w:val="00556BA8"/>
    <w:rsid w:val="00564553"/>
    <w:rsid w:val="005650C7"/>
    <w:rsid w:val="00572574"/>
    <w:rsid w:val="00591413"/>
    <w:rsid w:val="005916DE"/>
    <w:rsid w:val="005C57EC"/>
    <w:rsid w:val="005C5D3A"/>
    <w:rsid w:val="005D03EC"/>
    <w:rsid w:val="005D62F7"/>
    <w:rsid w:val="005E36AD"/>
    <w:rsid w:val="005F4138"/>
    <w:rsid w:val="006017C6"/>
    <w:rsid w:val="00603A60"/>
    <w:rsid w:val="00604B2A"/>
    <w:rsid w:val="00605A4C"/>
    <w:rsid w:val="006072E2"/>
    <w:rsid w:val="00607459"/>
    <w:rsid w:val="00607D43"/>
    <w:rsid w:val="00610D9E"/>
    <w:rsid w:val="006134D1"/>
    <w:rsid w:val="00625A0C"/>
    <w:rsid w:val="006356E5"/>
    <w:rsid w:val="00657633"/>
    <w:rsid w:val="00661286"/>
    <w:rsid w:val="006708C3"/>
    <w:rsid w:val="00670FEF"/>
    <w:rsid w:val="0068142E"/>
    <w:rsid w:val="00685549"/>
    <w:rsid w:val="006B0613"/>
    <w:rsid w:val="006B299B"/>
    <w:rsid w:val="006C02BE"/>
    <w:rsid w:val="006C7686"/>
    <w:rsid w:val="006D26B3"/>
    <w:rsid w:val="006E7280"/>
    <w:rsid w:val="00705A1D"/>
    <w:rsid w:val="0071749B"/>
    <w:rsid w:val="00732E75"/>
    <w:rsid w:val="0073316B"/>
    <w:rsid w:val="0075194C"/>
    <w:rsid w:val="007576B0"/>
    <w:rsid w:val="00766FD3"/>
    <w:rsid w:val="00772412"/>
    <w:rsid w:val="007755D8"/>
    <w:rsid w:val="007A444E"/>
    <w:rsid w:val="007B4EA3"/>
    <w:rsid w:val="007C5304"/>
    <w:rsid w:val="007D290B"/>
    <w:rsid w:val="007E2578"/>
    <w:rsid w:val="007E38B6"/>
    <w:rsid w:val="007F00BD"/>
    <w:rsid w:val="007F1908"/>
    <w:rsid w:val="00802AC2"/>
    <w:rsid w:val="00813747"/>
    <w:rsid w:val="0081446E"/>
    <w:rsid w:val="0082792D"/>
    <w:rsid w:val="00827D0C"/>
    <w:rsid w:val="00834718"/>
    <w:rsid w:val="00853D6E"/>
    <w:rsid w:val="00860188"/>
    <w:rsid w:val="00861289"/>
    <w:rsid w:val="00880AD2"/>
    <w:rsid w:val="008838EF"/>
    <w:rsid w:val="008901B9"/>
    <w:rsid w:val="00895182"/>
    <w:rsid w:val="008A0085"/>
    <w:rsid w:val="008B5320"/>
    <w:rsid w:val="008B793C"/>
    <w:rsid w:val="008D0F34"/>
    <w:rsid w:val="00900239"/>
    <w:rsid w:val="00903107"/>
    <w:rsid w:val="00903ABC"/>
    <w:rsid w:val="009072A4"/>
    <w:rsid w:val="009149D4"/>
    <w:rsid w:val="00917113"/>
    <w:rsid w:val="00935E64"/>
    <w:rsid w:val="00941751"/>
    <w:rsid w:val="00951234"/>
    <w:rsid w:val="00955E64"/>
    <w:rsid w:val="00980854"/>
    <w:rsid w:val="00983685"/>
    <w:rsid w:val="00997F30"/>
    <w:rsid w:val="009B6887"/>
    <w:rsid w:val="009B6BC6"/>
    <w:rsid w:val="009C4B3E"/>
    <w:rsid w:val="009C7109"/>
    <w:rsid w:val="009E0DFE"/>
    <w:rsid w:val="009E3907"/>
    <w:rsid w:val="009E740D"/>
    <w:rsid w:val="009F22C8"/>
    <w:rsid w:val="00A11B8C"/>
    <w:rsid w:val="00A178D7"/>
    <w:rsid w:val="00A32832"/>
    <w:rsid w:val="00A4316F"/>
    <w:rsid w:val="00A43E99"/>
    <w:rsid w:val="00A44EA1"/>
    <w:rsid w:val="00A61576"/>
    <w:rsid w:val="00A673E5"/>
    <w:rsid w:val="00A80394"/>
    <w:rsid w:val="00AB54E8"/>
    <w:rsid w:val="00AB6393"/>
    <w:rsid w:val="00AC37A4"/>
    <w:rsid w:val="00AD1C2C"/>
    <w:rsid w:val="00B07ADE"/>
    <w:rsid w:val="00B1639A"/>
    <w:rsid w:val="00B21CCA"/>
    <w:rsid w:val="00B25CEE"/>
    <w:rsid w:val="00B31858"/>
    <w:rsid w:val="00B34BCC"/>
    <w:rsid w:val="00B474B5"/>
    <w:rsid w:val="00B57271"/>
    <w:rsid w:val="00B76CAE"/>
    <w:rsid w:val="00B91A20"/>
    <w:rsid w:val="00BA05BC"/>
    <w:rsid w:val="00BA15C3"/>
    <w:rsid w:val="00BB2F97"/>
    <w:rsid w:val="00BB5290"/>
    <w:rsid w:val="00BC639C"/>
    <w:rsid w:val="00BC7FF2"/>
    <w:rsid w:val="00BD5CB5"/>
    <w:rsid w:val="00BE3A24"/>
    <w:rsid w:val="00BE5A28"/>
    <w:rsid w:val="00BF2B5D"/>
    <w:rsid w:val="00C00E4E"/>
    <w:rsid w:val="00C026F1"/>
    <w:rsid w:val="00C26F9F"/>
    <w:rsid w:val="00C35EF0"/>
    <w:rsid w:val="00C37201"/>
    <w:rsid w:val="00C430D3"/>
    <w:rsid w:val="00C815FD"/>
    <w:rsid w:val="00C8334C"/>
    <w:rsid w:val="00C935E3"/>
    <w:rsid w:val="00CA4E56"/>
    <w:rsid w:val="00CA6AA6"/>
    <w:rsid w:val="00CB036B"/>
    <w:rsid w:val="00CB532C"/>
    <w:rsid w:val="00CC58A3"/>
    <w:rsid w:val="00CD6519"/>
    <w:rsid w:val="00CD6BB4"/>
    <w:rsid w:val="00CE4218"/>
    <w:rsid w:val="00D00E6C"/>
    <w:rsid w:val="00D07F6F"/>
    <w:rsid w:val="00D17E2A"/>
    <w:rsid w:val="00D54CD3"/>
    <w:rsid w:val="00D555EF"/>
    <w:rsid w:val="00DB51D0"/>
    <w:rsid w:val="00DC6177"/>
    <w:rsid w:val="00DE6AC8"/>
    <w:rsid w:val="00E3777C"/>
    <w:rsid w:val="00E37CA6"/>
    <w:rsid w:val="00E37DE5"/>
    <w:rsid w:val="00E4499A"/>
    <w:rsid w:val="00E51EC4"/>
    <w:rsid w:val="00E705FD"/>
    <w:rsid w:val="00E75097"/>
    <w:rsid w:val="00E96959"/>
    <w:rsid w:val="00EA33B5"/>
    <w:rsid w:val="00EC1526"/>
    <w:rsid w:val="00EC5D7E"/>
    <w:rsid w:val="00EE3DBD"/>
    <w:rsid w:val="00EE68E8"/>
    <w:rsid w:val="00EE6966"/>
    <w:rsid w:val="00F033DA"/>
    <w:rsid w:val="00F051DE"/>
    <w:rsid w:val="00F20AB0"/>
    <w:rsid w:val="00F21B6A"/>
    <w:rsid w:val="00F53EBC"/>
    <w:rsid w:val="00F64C58"/>
    <w:rsid w:val="00F73586"/>
    <w:rsid w:val="00FA7DB0"/>
    <w:rsid w:val="00FC0A46"/>
    <w:rsid w:val="00FC321F"/>
    <w:rsid w:val="00FC3422"/>
    <w:rsid w:val="00FC40E9"/>
    <w:rsid w:val="00FC494E"/>
    <w:rsid w:val="00FD199B"/>
    <w:rsid w:val="00FE440D"/>
    <w:rsid w:val="012D2227"/>
    <w:rsid w:val="013F77F9"/>
    <w:rsid w:val="014A4B87"/>
    <w:rsid w:val="016D4D19"/>
    <w:rsid w:val="017D31AE"/>
    <w:rsid w:val="018362EB"/>
    <w:rsid w:val="01852063"/>
    <w:rsid w:val="01C4558B"/>
    <w:rsid w:val="01CE3A0A"/>
    <w:rsid w:val="01D32A98"/>
    <w:rsid w:val="01DC6265"/>
    <w:rsid w:val="01E96729"/>
    <w:rsid w:val="01FB2325"/>
    <w:rsid w:val="020016E9"/>
    <w:rsid w:val="020411DA"/>
    <w:rsid w:val="021A27AB"/>
    <w:rsid w:val="021B6523"/>
    <w:rsid w:val="021F7DC1"/>
    <w:rsid w:val="023567F6"/>
    <w:rsid w:val="02510197"/>
    <w:rsid w:val="02550D21"/>
    <w:rsid w:val="02555ED9"/>
    <w:rsid w:val="02557C87"/>
    <w:rsid w:val="02694F61"/>
    <w:rsid w:val="02775E4F"/>
    <w:rsid w:val="027D0F8C"/>
    <w:rsid w:val="0281282A"/>
    <w:rsid w:val="028D07AE"/>
    <w:rsid w:val="02B0310F"/>
    <w:rsid w:val="02DD6089"/>
    <w:rsid w:val="02E01C47"/>
    <w:rsid w:val="02FE28AF"/>
    <w:rsid w:val="02FF5110"/>
    <w:rsid w:val="031217FD"/>
    <w:rsid w:val="03267FEF"/>
    <w:rsid w:val="0352751F"/>
    <w:rsid w:val="035A2D65"/>
    <w:rsid w:val="035C6DF3"/>
    <w:rsid w:val="035D3297"/>
    <w:rsid w:val="036B5288"/>
    <w:rsid w:val="036C3B5B"/>
    <w:rsid w:val="03870C59"/>
    <w:rsid w:val="03914CEF"/>
    <w:rsid w:val="03990047"/>
    <w:rsid w:val="03A26EFC"/>
    <w:rsid w:val="03B1713F"/>
    <w:rsid w:val="03B83C77"/>
    <w:rsid w:val="03BE34C2"/>
    <w:rsid w:val="03C230FA"/>
    <w:rsid w:val="03C652EA"/>
    <w:rsid w:val="03CF75C5"/>
    <w:rsid w:val="03E70DB3"/>
    <w:rsid w:val="03FF60FC"/>
    <w:rsid w:val="04054B0A"/>
    <w:rsid w:val="04163446"/>
    <w:rsid w:val="04180E77"/>
    <w:rsid w:val="041871BE"/>
    <w:rsid w:val="042512D1"/>
    <w:rsid w:val="042C4A18"/>
    <w:rsid w:val="043476A2"/>
    <w:rsid w:val="043F474B"/>
    <w:rsid w:val="045F0F04"/>
    <w:rsid w:val="0466197E"/>
    <w:rsid w:val="046F70B9"/>
    <w:rsid w:val="04707BA2"/>
    <w:rsid w:val="047C774D"/>
    <w:rsid w:val="04810666"/>
    <w:rsid w:val="049727D9"/>
    <w:rsid w:val="04985152"/>
    <w:rsid w:val="04A0753D"/>
    <w:rsid w:val="04BC223F"/>
    <w:rsid w:val="04CF162C"/>
    <w:rsid w:val="04D550AF"/>
    <w:rsid w:val="04E023D2"/>
    <w:rsid w:val="04EC1F76"/>
    <w:rsid w:val="05041908"/>
    <w:rsid w:val="050D2A9B"/>
    <w:rsid w:val="050E7A01"/>
    <w:rsid w:val="05237BC9"/>
    <w:rsid w:val="052E656D"/>
    <w:rsid w:val="05390341"/>
    <w:rsid w:val="053973EC"/>
    <w:rsid w:val="054144F3"/>
    <w:rsid w:val="055B4494"/>
    <w:rsid w:val="056255CE"/>
    <w:rsid w:val="057D7017"/>
    <w:rsid w:val="059E1945"/>
    <w:rsid w:val="05B935A5"/>
    <w:rsid w:val="05C76E61"/>
    <w:rsid w:val="05D15877"/>
    <w:rsid w:val="05E22EEC"/>
    <w:rsid w:val="05F06371"/>
    <w:rsid w:val="05F55600"/>
    <w:rsid w:val="0622155A"/>
    <w:rsid w:val="06267163"/>
    <w:rsid w:val="06322B7D"/>
    <w:rsid w:val="063A47DF"/>
    <w:rsid w:val="06401FBB"/>
    <w:rsid w:val="06591DB5"/>
    <w:rsid w:val="066005BE"/>
    <w:rsid w:val="068E5516"/>
    <w:rsid w:val="068F128E"/>
    <w:rsid w:val="0697258F"/>
    <w:rsid w:val="06A27213"/>
    <w:rsid w:val="06A95F33"/>
    <w:rsid w:val="06B156A8"/>
    <w:rsid w:val="06B22CBB"/>
    <w:rsid w:val="06E72E78"/>
    <w:rsid w:val="06E73A4B"/>
    <w:rsid w:val="06E94E42"/>
    <w:rsid w:val="06FB4B01"/>
    <w:rsid w:val="07211383"/>
    <w:rsid w:val="072145DC"/>
    <w:rsid w:val="07290897"/>
    <w:rsid w:val="07324AE9"/>
    <w:rsid w:val="073836D3"/>
    <w:rsid w:val="073E4772"/>
    <w:rsid w:val="07543C3B"/>
    <w:rsid w:val="07610E7C"/>
    <w:rsid w:val="077B222C"/>
    <w:rsid w:val="077C5232"/>
    <w:rsid w:val="07941485"/>
    <w:rsid w:val="07D16222"/>
    <w:rsid w:val="07D4733A"/>
    <w:rsid w:val="07E07FF3"/>
    <w:rsid w:val="07FA6379"/>
    <w:rsid w:val="083E1F26"/>
    <w:rsid w:val="084615C6"/>
    <w:rsid w:val="08486B84"/>
    <w:rsid w:val="084E1719"/>
    <w:rsid w:val="085D0E47"/>
    <w:rsid w:val="087A5D27"/>
    <w:rsid w:val="08972694"/>
    <w:rsid w:val="08AC6BC5"/>
    <w:rsid w:val="08B84ACC"/>
    <w:rsid w:val="08DA2C94"/>
    <w:rsid w:val="08DD2784"/>
    <w:rsid w:val="08F33E8A"/>
    <w:rsid w:val="08F71A98"/>
    <w:rsid w:val="08FF094D"/>
    <w:rsid w:val="09016473"/>
    <w:rsid w:val="090316AB"/>
    <w:rsid w:val="090B5543"/>
    <w:rsid w:val="090C2377"/>
    <w:rsid w:val="091E788B"/>
    <w:rsid w:val="0923288D"/>
    <w:rsid w:val="09331EF6"/>
    <w:rsid w:val="094C1D6C"/>
    <w:rsid w:val="09594501"/>
    <w:rsid w:val="09820E09"/>
    <w:rsid w:val="0983332C"/>
    <w:rsid w:val="098552F6"/>
    <w:rsid w:val="09B43CFC"/>
    <w:rsid w:val="09DA460A"/>
    <w:rsid w:val="09DC796B"/>
    <w:rsid w:val="09DD0586"/>
    <w:rsid w:val="09DE4A06"/>
    <w:rsid w:val="09E467B4"/>
    <w:rsid w:val="09EE1002"/>
    <w:rsid w:val="09F47D86"/>
    <w:rsid w:val="09FC253B"/>
    <w:rsid w:val="0A191859"/>
    <w:rsid w:val="0A1B0808"/>
    <w:rsid w:val="0A232419"/>
    <w:rsid w:val="0A257EFD"/>
    <w:rsid w:val="0A302647"/>
    <w:rsid w:val="0A314F7C"/>
    <w:rsid w:val="0A3463D4"/>
    <w:rsid w:val="0A4C3C02"/>
    <w:rsid w:val="0A5D02F9"/>
    <w:rsid w:val="0A661B24"/>
    <w:rsid w:val="0A9028C7"/>
    <w:rsid w:val="0A93759F"/>
    <w:rsid w:val="0AA71557"/>
    <w:rsid w:val="0ABB4395"/>
    <w:rsid w:val="0ABB4BE6"/>
    <w:rsid w:val="0AD33E3F"/>
    <w:rsid w:val="0AD656DD"/>
    <w:rsid w:val="0ADA440C"/>
    <w:rsid w:val="0ADB7197"/>
    <w:rsid w:val="0AE07FAE"/>
    <w:rsid w:val="0B04224A"/>
    <w:rsid w:val="0B0D1D71"/>
    <w:rsid w:val="0B100BEF"/>
    <w:rsid w:val="0B526F89"/>
    <w:rsid w:val="0B7E1542"/>
    <w:rsid w:val="0B8213C1"/>
    <w:rsid w:val="0B853FFB"/>
    <w:rsid w:val="0B9A495D"/>
    <w:rsid w:val="0B9F45D6"/>
    <w:rsid w:val="0BA53FB9"/>
    <w:rsid w:val="0BB2614A"/>
    <w:rsid w:val="0BE60D47"/>
    <w:rsid w:val="0BFB5DB4"/>
    <w:rsid w:val="0C1E558E"/>
    <w:rsid w:val="0C2B1895"/>
    <w:rsid w:val="0C2E0560"/>
    <w:rsid w:val="0C32020B"/>
    <w:rsid w:val="0C465531"/>
    <w:rsid w:val="0CA534EF"/>
    <w:rsid w:val="0CAA62B8"/>
    <w:rsid w:val="0CBA3508"/>
    <w:rsid w:val="0CBD5E72"/>
    <w:rsid w:val="0CBF2D63"/>
    <w:rsid w:val="0D0125E6"/>
    <w:rsid w:val="0D2B61B4"/>
    <w:rsid w:val="0D2E2C4E"/>
    <w:rsid w:val="0D460148"/>
    <w:rsid w:val="0DBD4932"/>
    <w:rsid w:val="0DBF06AB"/>
    <w:rsid w:val="0DF77E44"/>
    <w:rsid w:val="0E1C6E84"/>
    <w:rsid w:val="0E250939"/>
    <w:rsid w:val="0E376D73"/>
    <w:rsid w:val="0E3A1EE7"/>
    <w:rsid w:val="0E5C239D"/>
    <w:rsid w:val="0E6C6348"/>
    <w:rsid w:val="0E6D45AA"/>
    <w:rsid w:val="0E7F296D"/>
    <w:rsid w:val="0E9114BB"/>
    <w:rsid w:val="0E9F6C2F"/>
    <w:rsid w:val="0EA53D44"/>
    <w:rsid w:val="0EA63619"/>
    <w:rsid w:val="0EA6654B"/>
    <w:rsid w:val="0EA87391"/>
    <w:rsid w:val="0EC566DC"/>
    <w:rsid w:val="0EC82542"/>
    <w:rsid w:val="0EC8358F"/>
    <w:rsid w:val="0ED325F2"/>
    <w:rsid w:val="0EEB184E"/>
    <w:rsid w:val="0F35369B"/>
    <w:rsid w:val="0F3B1FB3"/>
    <w:rsid w:val="0F5959E4"/>
    <w:rsid w:val="0F67453B"/>
    <w:rsid w:val="0F710B04"/>
    <w:rsid w:val="0F712A2B"/>
    <w:rsid w:val="0F8233F5"/>
    <w:rsid w:val="0F977B31"/>
    <w:rsid w:val="0F9D4A1B"/>
    <w:rsid w:val="0FA83670"/>
    <w:rsid w:val="0FAA5854"/>
    <w:rsid w:val="0FB146F6"/>
    <w:rsid w:val="0FBD6E6C"/>
    <w:rsid w:val="0FE64E29"/>
    <w:rsid w:val="0FFD461D"/>
    <w:rsid w:val="1001136B"/>
    <w:rsid w:val="10046F21"/>
    <w:rsid w:val="10160F70"/>
    <w:rsid w:val="10214641"/>
    <w:rsid w:val="10230B6D"/>
    <w:rsid w:val="10231F2D"/>
    <w:rsid w:val="10303AE2"/>
    <w:rsid w:val="10366181"/>
    <w:rsid w:val="103F4658"/>
    <w:rsid w:val="106B4B1A"/>
    <w:rsid w:val="106E4160"/>
    <w:rsid w:val="1074577C"/>
    <w:rsid w:val="109127D2"/>
    <w:rsid w:val="10A5627E"/>
    <w:rsid w:val="10AB48B4"/>
    <w:rsid w:val="10B47D10"/>
    <w:rsid w:val="10C169AD"/>
    <w:rsid w:val="10C761F4"/>
    <w:rsid w:val="10D3361E"/>
    <w:rsid w:val="10D33EBB"/>
    <w:rsid w:val="10D9692B"/>
    <w:rsid w:val="10EC17B7"/>
    <w:rsid w:val="10EF339B"/>
    <w:rsid w:val="10F05E17"/>
    <w:rsid w:val="10FA427B"/>
    <w:rsid w:val="10FE773C"/>
    <w:rsid w:val="11066BBB"/>
    <w:rsid w:val="112F31AE"/>
    <w:rsid w:val="113A2539"/>
    <w:rsid w:val="11561326"/>
    <w:rsid w:val="116A4DD1"/>
    <w:rsid w:val="117369F4"/>
    <w:rsid w:val="11820C08"/>
    <w:rsid w:val="118A36EE"/>
    <w:rsid w:val="11960F9B"/>
    <w:rsid w:val="119A56B6"/>
    <w:rsid w:val="119D0D03"/>
    <w:rsid w:val="119D51A7"/>
    <w:rsid w:val="119F0F1F"/>
    <w:rsid w:val="11C63E10"/>
    <w:rsid w:val="11CA0B93"/>
    <w:rsid w:val="11DF0DD9"/>
    <w:rsid w:val="11DF131B"/>
    <w:rsid w:val="11F0177A"/>
    <w:rsid w:val="11FC3C7B"/>
    <w:rsid w:val="12055F6E"/>
    <w:rsid w:val="12322597"/>
    <w:rsid w:val="123C00EC"/>
    <w:rsid w:val="12452572"/>
    <w:rsid w:val="1257411B"/>
    <w:rsid w:val="125C471A"/>
    <w:rsid w:val="126844B3"/>
    <w:rsid w:val="127777A6"/>
    <w:rsid w:val="127A7296"/>
    <w:rsid w:val="127E5D7B"/>
    <w:rsid w:val="128C0847"/>
    <w:rsid w:val="128F02CE"/>
    <w:rsid w:val="129374E3"/>
    <w:rsid w:val="129C49FF"/>
    <w:rsid w:val="12A113AE"/>
    <w:rsid w:val="12A67C59"/>
    <w:rsid w:val="12B3683D"/>
    <w:rsid w:val="12B427A8"/>
    <w:rsid w:val="12CA3D79"/>
    <w:rsid w:val="12D04177"/>
    <w:rsid w:val="12D37C8D"/>
    <w:rsid w:val="12E97C4A"/>
    <w:rsid w:val="12F75BB0"/>
    <w:rsid w:val="13021765"/>
    <w:rsid w:val="13075253"/>
    <w:rsid w:val="13160D6D"/>
    <w:rsid w:val="131867E3"/>
    <w:rsid w:val="13195FEF"/>
    <w:rsid w:val="13203999"/>
    <w:rsid w:val="13237BE7"/>
    <w:rsid w:val="13261045"/>
    <w:rsid w:val="132A0CBC"/>
    <w:rsid w:val="1339477D"/>
    <w:rsid w:val="13466E39"/>
    <w:rsid w:val="13572CE9"/>
    <w:rsid w:val="13586F52"/>
    <w:rsid w:val="135A7783"/>
    <w:rsid w:val="135C2B1C"/>
    <w:rsid w:val="13675A6C"/>
    <w:rsid w:val="136C0074"/>
    <w:rsid w:val="137F0390"/>
    <w:rsid w:val="13985C26"/>
    <w:rsid w:val="13A051F2"/>
    <w:rsid w:val="13A7544A"/>
    <w:rsid w:val="13BA3DEE"/>
    <w:rsid w:val="13BB7B66"/>
    <w:rsid w:val="13CB2B57"/>
    <w:rsid w:val="13CE5AEB"/>
    <w:rsid w:val="13E75FB2"/>
    <w:rsid w:val="13F82B68"/>
    <w:rsid w:val="13FC76FE"/>
    <w:rsid w:val="14083306"/>
    <w:rsid w:val="140A14D0"/>
    <w:rsid w:val="141A50D8"/>
    <w:rsid w:val="141A663B"/>
    <w:rsid w:val="145204CA"/>
    <w:rsid w:val="1458515C"/>
    <w:rsid w:val="14597B71"/>
    <w:rsid w:val="148003A3"/>
    <w:rsid w:val="148D32B1"/>
    <w:rsid w:val="149855A9"/>
    <w:rsid w:val="149E5024"/>
    <w:rsid w:val="149F5DAE"/>
    <w:rsid w:val="14BA7E1E"/>
    <w:rsid w:val="14BB6541"/>
    <w:rsid w:val="14C36CD2"/>
    <w:rsid w:val="14C96F10"/>
    <w:rsid w:val="14D47131"/>
    <w:rsid w:val="14E06391"/>
    <w:rsid w:val="14E54E9B"/>
    <w:rsid w:val="14F130ED"/>
    <w:rsid w:val="14F457E1"/>
    <w:rsid w:val="150A448F"/>
    <w:rsid w:val="15127C5A"/>
    <w:rsid w:val="15175270"/>
    <w:rsid w:val="152D05F0"/>
    <w:rsid w:val="156211B0"/>
    <w:rsid w:val="15641466"/>
    <w:rsid w:val="15652C41"/>
    <w:rsid w:val="15674319"/>
    <w:rsid w:val="159E329B"/>
    <w:rsid w:val="15A3158A"/>
    <w:rsid w:val="15A77C7C"/>
    <w:rsid w:val="15AE1730"/>
    <w:rsid w:val="15D55FD9"/>
    <w:rsid w:val="15DB004C"/>
    <w:rsid w:val="15E52C78"/>
    <w:rsid w:val="15F15AC1"/>
    <w:rsid w:val="15F31839"/>
    <w:rsid w:val="15F555B1"/>
    <w:rsid w:val="15FC3CA3"/>
    <w:rsid w:val="161F71BC"/>
    <w:rsid w:val="163E6302"/>
    <w:rsid w:val="164C1079"/>
    <w:rsid w:val="1658169C"/>
    <w:rsid w:val="165A3666"/>
    <w:rsid w:val="167069E6"/>
    <w:rsid w:val="167305A7"/>
    <w:rsid w:val="16783AEC"/>
    <w:rsid w:val="16817125"/>
    <w:rsid w:val="169326D4"/>
    <w:rsid w:val="16A30ACD"/>
    <w:rsid w:val="16A82624"/>
    <w:rsid w:val="16BA6AA9"/>
    <w:rsid w:val="16C86822"/>
    <w:rsid w:val="16D74B32"/>
    <w:rsid w:val="16D74CB7"/>
    <w:rsid w:val="16E178E4"/>
    <w:rsid w:val="16E372C2"/>
    <w:rsid w:val="16E473F0"/>
    <w:rsid w:val="17174029"/>
    <w:rsid w:val="171F0E6F"/>
    <w:rsid w:val="17377D82"/>
    <w:rsid w:val="17410382"/>
    <w:rsid w:val="17457E73"/>
    <w:rsid w:val="176D71ED"/>
    <w:rsid w:val="176D73C9"/>
    <w:rsid w:val="17712A16"/>
    <w:rsid w:val="17757E00"/>
    <w:rsid w:val="177B0E6C"/>
    <w:rsid w:val="178B4634"/>
    <w:rsid w:val="179C49C1"/>
    <w:rsid w:val="17A567DB"/>
    <w:rsid w:val="17C21563"/>
    <w:rsid w:val="17C52D61"/>
    <w:rsid w:val="17E366A4"/>
    <w:rsid w:val="17ED5DF9"/>
    <w:rsid w:val="17EF6030"/>
    <w:rsid w:val="180513B0"/>
    <w:rsid w:val="18567E5D"/>
    <w:rsid w:val="185F0E34"/>
    <w:rsid w:val="188C583F"/>
    <w:rsid w:val="18A57E35"/>
    <w:rsid w:val="18A676BA"/>
    <w:rsid w:val="18B4532A"/>
    <w:rsid w:val="18B828C6"/>
    <w:rsid w:val="18C45553"/>
    <w:rsid w:val="18C81723"/>
    <w:rsid w:val="18C82B09"/>
    <w:rsid w:val="18EB1002"/>
    <w:rsid w:val="18F558C8"/>
    <w:rsid w:val="18F87ADE"/>
    <w:rsid w:val="18F90F15"/>
    <w:rsid w:val="18F9364F"/>
    <w:rsid w:val="18F953B8"/>
    <w:rsid w:val="190B0544"/>
    <w:rsid w:val="194E7AD5"/>
    <w:rsid w:val="19540167"/>
    <w:rsid w:val="195A1D3D"/>
    <w:rsid w:val="196229FF"/>
    <w:rsid w:val="19643627"/>
    <w:rsid w:val="19766A09"/>
    <w:rsid w:val="19801636"/>
    <w:rsid w:val="198445CD"/>
    <w:rsid w:val="19866520"/>
    <w:rsid w:val="198A76E6"/>
    <w:rsid w:val="199809CA"/>
    <w:rsid w:val="19BC41BF"/>
    <w:rsid w:val="19CA1907"/>
    <w:rsid w:val="1A1207AD"/>
    <w:rsid w:val="1A352420"/>
    <w:rsid w:val="1A424B3D"/>
    <w:rsid w:val="1A4D757E"/>
    <w:rsid w:val="1A4E3CD6"/>
    <w:rsid w:val="1A5E6337"/>
    <w:rsid w:val="1A6346DA"/>
    <w:rsid w:val="1A916D88"/>
    <w:rsid w:val="1ABF7F3C"/>
    <w:rsid w:val="1AC707A9"/>
    <w:rsid w:val="1AC76DF0"/>
    <w:rsid w:val="1ACF2883"/>
    <w:rsid w:val="1AD2443D"/>
    <w:rsid w:val="1ADA606A"/>
    <w:rsid w:val="1B0D514B"/>
    <w:rsid w:val="1B156231"/>
    <w:rsid w:val="1B200E34"/>
    <w:rsid w:val="1B267FBB"/>
    <w:rsid w:val="1B487F31"/>
    <w:rsid w:val="1B4B5501"/>
    <w:rsid w:val="1B5176DF"/>
    <w:rsid w:val="1B544B28"/>
    <w:rsid w:val="1B5D2B28"/>
    <w:rsid w:val="1B60171F"/>
    <w:rsid w:val="1B6A434C"/>
    <w:rsid w:val="1B6B7B1B"/>
    <w:rsid w:val="1B7A20B5"/>
    <w:rsid w:val="1B962C97"/>
    <w:rsid w:val="1BA64FE7"/>
    <w:rsid w:val="1BAF532C"/>
    <w:rsid w:val="1BC867BE"/>
    <w:rsid w:val="1BD23AB8"/>
    <w:rsid w:val="1BD6378F"/>
    <w:rsid w:val="1BD71451"/>
    <w:rsid w:val="1BEA723A"/>
    <w:rsid w:val="1C0A00B2"/>
    <w:rsid w:val="1C1A3604"/>
    <w:rsid w:val="1C4050AC"/>
    <w:rsid w:val="1C4A71AB"/>
    <w:rsid w:val="1C542906"/>
    <w:rsid w:val="1C623275"/>
    <w:rsid w:val="1C67332C"/>
    <w:rsid w:val="1C722D4A"/>
    <w:rsid w:val="1C7B2878"/>
    <w:rsid w:val="1C8F393E"/>
    <w:rsid w:val="1C91796C"/>
    <w:rsid w:val="1C92116A"/>
    <w:rsid w:val="1C9A10CA"/>
    <w:rsid w:val="1C9C6787"/>
    <w:rsid w:val="1CA16557"/>
    <w:rsid w:val="1CF759BF"/>
    <w:rsid w:val="1D091942"/>
    <w:rsid w:val="1D097B94"/>
    <w:rsid w:val="1D0E6F59"/>
    <w:rsid w:val="1D0F1C41"/>
    <w:rsid w:val="1D4110DC"/>
    <w:rsid w:val="1D43351B"/>
    <w:rsid w:val="1D48246B"/>
    <w:rsid w:val="1D4E048D"/>
    <w:rsid w:val="1DAC21A4"/>
    <w:rsid w:val="1DAF4298"/>
    <w:rsid w:val="1DB00122"/>
    <w:rsid w:val="1DBB7BBC"/>
    <w:rsid w:val="1DDB32DF"/>
    <w:rsid w:val="1DE026A3"/>
    <w:rsid w:val="1DE456B2"/>
    <w:rsid w:val="1DEB1048"/>
    <w:rsid w:val="1E0A3890"/>
    <w:rsid w:val="1E14059F"/>
    <w:rsid w:val="1E4503B0"/>
    <w:rsid w:val="1E551DC9"/>
    <w:rsid w:val="1E6B4AD5"/>
    <w:rsid w:val="1E9021D3"/>
    <w:rsid w:val="1EBD29E4"/>
    <w:rsid w:val="1EF06916"/>
    <w:rsid w:val="1EF542C2"/>
    <w:rsid w:val="1EF86E6C"/>
    <w:rsid w:val="1EFF339B"/>
    <w:rsid w:val="1F050621"/>
    <w:rsid w:val="1F2F41B4"/>
    <w:rsid w:val="1F5F1CED"/>
    <w:rsid w:val="1F69491A"/>
    <w:rsid w:val="1F710E25"/>
    <w:rsid w:val="1F772D2E"/>
    <w:rsid w:val="1F79582C"/>
    <w:rsid w:val="1F911E88"/>
    <w:rsid w:val="1FA06536"/>
    <w:rsid w:val="1FA21CED"/>
    <w:rsid w:val="1FAD0CAB"/>
    <w:rsid w:val="1FAD2A59"/>
    <w:rsid w:val="1FB8489F"/>
    <w:rsid w:val="1FB922B6"/>
    <w:rsid w:val="1FC666A6"/>
    <w:rsid w:val="1FCD6C57"/>
    <w:rsid w:val="1FCF6E73"/>
    <w:rsid w:val="1FD057BE"/>
    <w:rsid w:val="1FFD1D31"/>
    <w:rsid w:val="200F101E"/>
    <w:rsid w:val="200F6219"/>
    <w:rsid w:val="2010118A"/>
    <w:rsid w:val="201900EE"/>
    <w:rsid w:val="20251384"/>
    <w:rsid w:val="2038712C"/>
    <w:rsid w:val="2055050C"/>
    <w:rsid w:val="205630F0"/>
    <w:rsid w:val="20885F8A"/>
    <w:rsid w:val="2091237A"/>
    <w:rsid w:val="20971013"/>
    <w:rsid w:val="209D2ACD"/>
    <w:rsid w:val="20A35C0A"/>
    <w:rsid w:val="20B971DB"/>
    <w:rsid w:val="20BA1C2D"/>
    <w:rsid w:val="20BD6CCC"/>
    <w:rsid w:val="20C4092D"/>
    <w:rsid w:val="20C577E4"/>
    <w:rsid w:val="20DD55C0"/>
    <w:rsid w:val="20E73D48"/>
    <w:rsid w:val="20EF1806"/>
    <w:rsid w:val="20F1259A"/>
    <w:rsid w:val="20F30A1B"/>
    <w:rsid w:val="20F515C0"/>
    <w:rsid w:val="20F85F56"/>
    <w:rsid w:val="210A7A37"/>
    <w:rsid w:val="210F1CA9"/>
    <w:rsid w:val="210F65AD"/>
    <w:rsid w:val="21281B9B"/>
    <w:rsid w:val="214275CF"/>
    <w:rsid w:val="214B42D7"/>
    <w:rsid w:val="21515666"/>
    <w:rsid w:val="215F5FD5"/>
    <w:rsid w:val="21644E00"/>
    <w:rsid w:val="216A0D0C"/>
    <w:rsid w:val="217D645B"/>
    <w:rsid w:val="21817CF9"/>
    <w:rsid w:val="21870299"/>
    <w:rsid w:val="218912A4"/>
    <w:rsid w:val="21A71024"/>
    <w:rsid w:val="21B53E47"/>
    <w:rsid w:val="21C73885"/>
    <w:rsid w:val="22105252"/>
    <w:rsid w:val="221072CF"/>
    <w:rsid w:val="2217065D"/>
    <w:rsid w:val="22451E05"/>
    <w:rsid w:val="22631AF5"/>
    <w:rsid w:val="22700661"/>
    <w:rsid w:val="22B81E40"/>
    <w:rsid w:val="22BC3C57"/>
    <w:rsid w:val="22D16A5E"/>
    <w:rsid w:val="22D2576F"/>
    <w:rsid w:val="22D55CE0"/>
    <w:rsid w:val="22F423EA"/>
    <w:rsid w:val="22FC5AF3"/>
    <w:rsid w:val="232050A1"/>
    <w:rsid w:val="233C045A"/>
    <w:rsid w:val="23434F97"/>
    <w:rsid w:val="23476663"/>
    <w:rsid w:val="23627FFE"/>
    <w:rsid w:val="236352E3"/>
    <w:rsid w:val="236F6BEA"/>
    <w:rsid w:val="23773AAF"/>
    <w:rsid w:val="238620D6"/>
    <w:rsid w:val="23957E82"/>
    <w:rsid w:val="23A31CB8"/>
    <w:rsid w:val="23AD74CB"/>
    <w:rsid w:val="23B02B18"/>
    <w:rsid w:val="23B65BB4"/>
    <w:rsid w:val="23E55453"/>
    <w:rsid w:val="23EE010A"/>
    <w:rsid w:val="23F724F4"/>
    <w:rsid w:val="23FC39F3"/>
    <w:rsid w:val="240B41F2"/>
    <w:rsid w:val="240D1D18"/>
    <w:rsid w:val="24156E1F"/>
    <w:rsid w:val="2419690F"/>
    <w:rsid w:val="242343C0"/>
    <w:rsid w:val="244B45EE"/>
    <w:rsid w:val="244C7F44"/>
    <w:rsid w:val="246868DD"/>
    <w:rsid w:val="248943F7"/>
    <w:rsid w:val="249B4BAD"/>
    <w:rsid w:val="24A6666E"/>
    <w:rsid w:val="24AE234A"/>
    <w:rsid w:val="24AF4B7D"/>
    <w:rsid w:val="24CF0D60"/>
    <w:rsid w:val="24D42836"/>
    <w:rsid w:val="25007671"/>
    <w:rsid w:val="25200217"/>
    <w:rsid w:val="252512E3"/>
    <w:rsid w:val="25450435"/>
    <w:rsid w:val="25706A02"/>
    <w:rsid w:val="25710085"/>
    <w:rsid w:val="25717BE3"/>
    <w:rsid w:val="25787665"/>
    <w:rsid w:val="25797B51"/>
    <w:rsid w:val="25920AFF"/>
    <w:rsid w:val="25B82CA0"/>
    <w:rsid w:val="25C37B2A"/>
    <w:rsid w:val="25CF7FE5"/>
    <w:rsid w:val="25EB1ECD"/>
    <w:rsid w:val="263D675C"/>
    <w:rsid w:val="26461511"/>
    <w:rsid w:val="2646263D"/>
    <w:rsid w:val="265B2E9C"/>
    <w:rsid w:val="265C0D35"/>
    <w:rsid w:val="26611A7E"/>
    <w:rsid w:val="26655E3B"/>
    <w:rsid w:val="26675D4E"/>
    <w:rsid w:val="2670658E"/>
    <w:rsid w:val="26926505"/>
    <w:rsid w:val="26A61FB0"/>
    <w:rsid w:val="26B40B71"/>
    <w:rsid w:val="26B807B0"/>
    <w:rsid w:val="26BA23B1"/>
    <w:rsid w:val="26D7485F"/>
    <w:rsid w:val="26E054C2"/>
    <w:rsid w:val="26E72878"/>
    <w:rsid w:val="26FD42C6"/>
    <w:rsid w:val="26FE1DEC"/>
    <w:rsid w:val="27220AE6"/>
    <w:rsid w:val="27356372"/>
    <w:rsid w:val="274A1570"/>
    <w:rsid w:val="2768326E"/>
    <w:rsid w:val="276F57B8"/>
    <w:rsid w:val="277D71B5"/>
    <w:rsid w:val="278E3170"/>
    <w:rsid w:val="27910EB2"/>
    <w:rsid w:val="27A92C50"/>
    <w:rsid w:val="27B0758A"/>
    <w:rsid w:val="27BB0DA8"/>
    <w:rsid w:val="27E160ED"/>
    <w:rsid w:val="27FF5E1C"/>
    <w:rsid w:val="282249BA"/>
    <w:rsid w:val="282B1512"/>
    <w:rsid w:val="283E4B96"/>
    <w:rsid w:val="284303FE"/>
    <w:rsid w:val="284676F1"/>
    <w:rsid w:val="28506677"/>
    <w:rsid w:val="285351DD"/>
    <w:rsid w:val="2869126D"/>
    <w:rsid w:val="28733093"/>
    <w:rsid w:val="287A1F18"/>
    <w:rsid w:val="288932D4"/>
    <w:rsid w:val="289C18BC"/>
    <w:rsid w:val="28A95D87"/>
    <w:rsid w:val="28D0604B"/>
    <w:rsid w:val="28DA5218"/>
    <w:rsid w:val="28F34F4F"/>
    <w:rsid w:val="28F434A6"/>
    <w:rsid w:val="29261596"/>
    <w:rsid w:val="2927387C"/>
    <w:rsid w:val="292C16FB"/>
    <w:rsid w:val="29310257"/>
    <w:rsid w:val="29323965"/>
    <w:rsid w:val="293715E5"/>
    <w:rsid w:val="293E5DCA"/>
    <w:rsid w:val="2940049A"/>
    <w:rsid w:val="294A6DBF"/>
    <w:rsid w:val="29524013"/>
    <w:rsid w:val="29666331"/>
    <w:rsid w:val="2975490E"/>
    <w:rsid w:val="297957C9"/>
    <w:rsid w:val="29825852"/>
    <w:rsid w:val="29843844"/>
    <w:rsid w:val="29991A09"/>
    <w:rsid w:val="299A404E"/>
    <w:rsid w:val="29A21154"/>
    <w:rsid w:val="29B21D8B"/>
    <w:rsid w:val="29B669AE"/>
    <w:rsid w:val="29D731D4"/>
    <w:rsid w:val="29ED4C08"/>
    <w:rsid w:val="29F55CE0"/>
    <w:rsid w:val="29FA0F90"/>
    <w:rsid w:val="29FE7B47"/>
    <w:rsid w:val="2A0239A1"/>
    <w:rsid w:val="2A0618EC"/>
    <w:rsid w:val="2A1060BE"/>
    <w:rsid w:val="2A3873C3"/>
    <w:rsid w:val="2A4C490D"/>
    <w:rsid w:val="2A540D6C"/>
    <w:rsid w:val="2A5C1303"/>
    <w:rsid w:val="2A697EC4"/>
    <w:rsid w:val="2A7171BF"/>
    <w:rsid w:val="2A7E3A46"/>
    <w:rsid w:val="2A8D4BDC"/>
    <w:rsid w:val="2A950CB9"/>
    <w:rsid w:val="2AAF0C3F"/>
    <w:rsid w:val="2ADB5B87"/>
    <w:rsid w:val="2ADF4084"/>
    <w:rsid w:val="2B051904"/>
    <w:rsid w:val="2B14398C"/>
    <w:rsid w:val="2B146082"/>
    <w:rsid w:val="2B2142FB"/>
    <w:rsid w:val="2B272A19"/>
    <w:rsid w:val="2B312790"/>
    <w:rsid w:val="2B6C62CF"/>
    <w:rsid w:val="2B7B1770"/>
    <w:rsid w:val="2B81786A"/>
    <w:rsid w:val="2B8D373E"/>
    <w:rsid w:val="2B8E751A"/>
    <w:rsid w:val="2B9625B2"/>
    <w:rsid w:val="2BD33847"/>
    <w:rsid w:val="2C026B8F"/>
    <w:rsid w:val="2C1A76C8"/>
    <w:rsid w:val="2C1D4AC2"/>
    <w:rsid w:val="2C1F1F46"/>
    <w:rsid w:val="2C233CCE"/>
    <w:rsid w:val="2C2C2173"/>
    <w:rsid w:val="2C300C99"/>
    <w:rsid w:val="2C523ABD"/>
    <w:rsid w:val="2C60020A"/>
    <w:rsid w:val="2C7C5C8D"/>
    <w:rsid w:val="2C8132A3"/>
    <w:rsid w:val="2C8C32DC"/>
    <w:rsid w:val="2CB05936"/>
    <w:rsid w:val="2CC50939"/>
    <w:rsid w:val="2CC87124"/>
    <w:rsid w:val="2CD86BC3"/>
    <w:rsid w:val="2CE850D0"/>
    <w:rsid w:val="2CF03F85"/>
    <w:rsid w:val="2CF57E14"/>
    <w:rsid w:val="2D0654A5"/>
    <w:rsid w:val="2D1F59FB"/>
    <w:rsid w:val="2D371BB4"/>
    <w:rsid w:val="2D4B6EB5"/>
    <w:rsid w:val="2D4F5DB1"/>
    <w:rsid w:val="2D5743BD"/>
    <w:rsid w:val="2D630A85"/>
    <w:rsid w:val="2D872B3B"/>
    <w:rsid w:val="2D8D59E3"/>
    <w:rsid w:val="2D9E60D7"/>
    <w:rsid w:val="2DA521D4"/>
    <w:rsid w:val="2DAE7956"/>
    <w:rsid w:val="2DB66F7C"/>
    <w:rsid w:val="2DBF278A"/>
    <w:rsid w:val="2DC86CB0"/>
    <w:rsid w:val="2DD85145"/>
    <w:rsid w:val="2DEE51F2"/>
    <w:rsid w:val="2DF25D80"/>
    <w:rsid w:val="2E04428C"/>
    <w:rsid w:val="2E045F3A"/>
    <w:rsid w:val="2E054C19"/>
    <w:rsid w:val="2E24768A"/>
    <w:rsid w:val="2E275FAC"/>
    <w:rsid w:val="2E33681F"/>
    <w:rsid w:val="2E374561"/>
    <w:rsid w:val="2E4B3B69"/>
    <w:rsid w:val="2E713152"/>
    <w:rsid w:val="2E813A2E"/>
    <w:rsid w:val="2E860259"/>
    <w:rsid w:val="2E8928E3"/>
    <w:rsid w:val="2E905A1F"/>
    <w:rsid w:val="2E9B28EE"/>
    <w:rsid w:val="2E9B6172"/>
    <w:rsid w:val="2EA6400F"/>
    <w:rsid w:val="2EBC05C2"/>
    <w:rsid w:val="2EBE24A8"/>
    <w:rsid w:val="2EBF5D1E"/>
    <w:rsid w:val="2EF8149C"/>
    <w:rsid w:val="2F0F494E"/>
    <w:rsid w:val="2F2E6FE6"/>
    <w:rsid w:val="2F3C45A9"/>
    <w:rsid w:val="2F4E7E78"/>
    <w:rsid w:val="2F527179"/>
    <w:rsid w:val="2F536C91"/>
    <w:rsid w:val="2F682419"/>
    <w:rsid w:val="2F754C15"/>
    <w:rsid w:val="2F7A295B"/>
    <w:rsid w:val="2F871743"/>
    <w:rsid w:val="2FB429B1"/>
    <w:rsid w:val="2FB43990"/>
    <w:rsid w:val="2FBE1E5D"/>
    <w:rsid w:val="2FC04374"/>
    <w:rsid w:val="2FCA755E"/>
    <w:rsid w:val="2FDB716E"/>
    <w:rsid w:val="2FE13C92"/>
    <w:rsid w:val="2FF7387C"/>
    <w:rsid w:val="2FFD5337"/>
    <w:rsid w:val="30011B0E"/>
    <w:rsid w:val="302C4A84"/>
    <w:rsid w:val="302E3742"/>
    <w:rsid w:val="30360848"/>
    <w:rsid w:val="30442F65"/>
    <w:rsid w:val="304F2600"/>
    <w:rsid w:val="30562C99"/>
    <w:rsid w:val="305807BF"/>
    <w:rsid w:val="30780B08"/>
    <w:rsid w:val="308B46F0"/>
    <w:rsid w:val="30947B64"/>
    <w:rsid w:val="309E7A6C"/>
    <w:rsid w:val="30A40B17"/>
    <w:rsid w:val="30C706B2"/>
    <w:rsid w:val="30D73AE0"/>
    <w:rsid w:val="30D84A5D"/>
    <w:rsid w:val="30F32296"/>
    <w:rsid w:val="30F4201C"/>
    <w:rsid w:val="30FE7D1A"/>
    <w:rsid w:val="31053544"/>
    <w:rsid w:val="31460DE6"/>
    <w:rsid w:val="31476A7B"/>
    <w:rsid w:val="314D5E4A"/>
    <w:rsid w:val="316F5DC0"/>
    <w:rsid w:val="31731D38"/>
    <w:rsid w:val="319D2E26"/>
    <w:rsid w:val="31A57A34"/>
    <w:rsid w:val="31AB0719"/>
    <w:rsid w:val="31AE054F"/>
    <w:rsid w:val="31B859B9"/>
    <w:rsid w:val="31CD7C22"/>
    <w:rsid w:val="31CF0AB2"/>
    <w:rsid w:val="31CF15AD"/>
    <w:rsid w:val="31CF2D03"/>
    <w:rsid w:val="31D63147"/>
    <w:rsid w:val="31EC3781"/>
    <w:rsid w:val="31EC6A80"/>
    <w:rsid w:val="31EE2735"/>
    <w:rsid w:val="31F2254D"/>
    <w:rsid w:val="320362C7"/>
    <w:rsid w:val="32096215"/>
    <w:rsid w:val="320F30FF"/>
    <w:rsid w:val="321E1594"/>
    <w:rsid w:val="321E77E6"/>
    <w:rsid w:val="32221084"/>
    <w:rsid w:val="32222D1D"/>
    <w:rsid w:val="322A678E"/>
    <w:rsid w:val="322D3E95"/>
    <w:rsid w:val="32382656"/>
    <w:rsid w:val="32577B4F"/>
    <w:rsid w:val="326C76FF"/>
    <w:rsid w:val="32842013"/>
    <w:rsid w:val="32843AED"/>
    <w:rsid w:val="3292332D"/>
    <w:rsid w:val="32CE0BF9"/>
    <w:rsid w:val="32DD31FD"/>
    <w:rsid w:val="32F17590"/>
    <w:rsid w:val="32F9390A"/>
    <w:rsid w:val="32FA5B5D"/>
    <w:rsid w:val="32FD6CA5"/>
    <w:rsid w:val="330C3D86"/>
    <w:rsid w:val="333B26CF"/>
    <w:rsid w:val="334B5AC8"/>
    <w:rsid w:val="337E22EA"/>
    <w:rsid w:val="33897B14"/>
    <w:rsid w:val="339A10EE"/>
    <w:rsid w:val="33A67997"/>
    <w:rsid w:val="33AB5121"/>
    <w:rsid w:val="33AF7055"/>
    <w:rsid w:val="33BC3052"/>
    <w:rsid w:val="33BE564F"/>
    <w:rsid w:val="33C444E3"/>
    <w:rsid w:val="33C55819"/>
    <w:rsid w:val="33C67833"/>
    <w:rsid w:val="33C85C5B"/>
    <w:rsid w:val="33CF2B46"/>
    <w:rsid w:val="33D72119"/>
    <w:rsid w:val="33E26D83"/>
    <w:rsid w:val="33E457EE"/>
    <w:rsid w:val="33F87A1E"/>
    <w:rsid w:val="33FA114D"/>
    <w:rsid w:val="34143233"/>
    <w:rsid w:val="3442156A"/>
    <w:rsid w:val="344D17F4"/>
    <w:rsid w:val="346D0873"/>
    <w:rsid w:val="34A74BBA"/>
    <w:rsid w:val="34B9437F"/>
    <w:rsid w:val="34BD6186"/>
    <w:rsid w:val="34C273F7"/>
    <w:rsid w:val="34C30DC5"/>
    <w:rsid w:val="34C77442"/>
    <w:rsid w:val="34CE1050"/>
    <w:rsid w:val="34CF6B76"/>
    <w:rsid w:val="34DA1493"/>
    <w:rsid w:val="34DB3D29"/>
    <w:rsid w:val="34DD12E8"/>
    <w:rsid w:val="35066A3B"/>
    <w:rsid w:val="351A72AD"/>
    <w:rsid w:val="352D3BC1"/>
    <w:rsid w:val="3530193A"/>
    <w:rsid w:val="3533785A"/>
    <w:rsid w:val="353F41FE"/>
    <w:rsid w:val="35411821"/>
    <w:rsid w:val="354B6B44"/>
    <w:rsid w:val="355B6B1C"/>
    <w:rsid w:val="355E6877"/>
    <w:rsid w:val="355F4968"/>
    <w:rsid w:val="35647C06"/>
    <w:rsid w:val="3569418A"/>
    <w:rsid w:val="35812566"/>
    <w:rsid w:val="358F0019"/>
    <w:rsid w:val="35A10E0D"/>
    <w:rsid w:val="35C335B1"/>
    <w:rsid w:val="35DD7E0F"/>
    <w:rsid w:val="35DE2C53"/>
    <w:rsid w:val="35FC7E3E"/>
    <w:rsid w:val="360A4309"/>
    <w:rsid w:val="360F36CE"/>
    <w:rsid w:val="362D7FF8"/>
    <w:rsid w:val="36306132"/>
    <w:rsid w:val="36314ACE"/>
    <w:rsid w:val="3632560E"/>
    <w:rsid w:val="3643781B"/>
    <w:rsid w:val="36545584"/>
    <w:rsid w:val="366F0610"/>
    <w:rsid w:val="36716136"/>
    <w:rsid w:val="36733C37"/>
    <w:rsid w:val="368C2F70"/>
    <w:rsid w:val="36B349A1"/>
    <w:rsid w:val="36C02010"/>
    <w:rsid w:val="36DF7544"/>
    <w:rsid w:val="36E301DA"/>
    <w:rsid w:val="36F34D9D"/>
    <w:rsid w:val="36F80606"/>
    <w:rsid w:val="36FA2713"/>
    <w:rsid w:val="37022674"/>
    <w:rsid w:val="373B4CBF"/>
    <w:rsid w:val="37474C07"/>
    <w:rsid w:val="3762626B"/>
    <w:rsid w:val="37A4078E"/>
    <w:rsid w:val="37A83DDA"/>
    <w:rsid w:val="37B23BD4"/>
    <w:rsid w:val="37B25DD7"/>
    <w:rsid w:val="37D71B26"/>
    <w:rsid w:val="37DC2D06"/>
    <w:rsid w:val="37DD4329"/>
    <w:rsid w:val="37E91560"/>
    <w:rsid w:val="37F54B45"/>
    <w:rsid w:val="38086216"/>
    <w:rsid w:val="381256F7"/>
    <w:rsid w:val="38207E14"/>
    <w:rsid w:val="382E616B"/>
    <w:rsid w:val="38473240"/>
    <w:rsid w:val="38511FE4"/>
    <w:rsid w:val="385C6972"/>
    <w:rsid w:val="387B504A"/>
    <w:rsid w:val="387E4B3B"/>
    <w:rsid w:val="38850DD0"/>
    <w:rsid w:val="389B6587"/>
    <w:rsid w:val="389D2FF0"/>
    <w:rsid w:val="38B57684"/>
    <w:rsid w:val="38C33337"/>
    <w:rsid w:val="38C460D2"/>
    <w:rsid w:val="38CC3AF8"/>
    <w:rsid w:val="38CF2341"/>
    <w:rsid w:val="38D32D28"/>
    <w:rsid w:val="38E5258F"/>
    <w:rsid w:val="38F138F2"/>
    <w:rsid w:val="391E708C"/>
    <w:rsid w:val="392B11DA"/>
    <w:rsid w:val="393D67A4"/>
    <w:rsid w:val="3948581A"/>
    <w:rsid w:val="394E275F"/>
    <w:rsid w:val="39663F4D"/>
    <w:rsid w:val="397017BA"/>
    <w:rsid w:val="397D4DF2"/>
    <w:rsid w:val="39861EF9"/>
    <w:rsid w:val="39981C2C"/>
    <w:rsid w:val="39B559CC"/>
    <w:rsid w:val="39EF73D1"/>
    <w:rsid w:val="3A0570F1"/>
    <w:rsid w:val="3A0A3865"/>
    <w:rsid w:val="3A0D5CD2"/>
    <w:rsid w:val="3A1E6380"/>
    <w:rsid w:val="3A396F6B"/>
    <w:rsid w:val="3A437DEA"/>
    <w:rsid w:val="3A5C534F"/>
    <w:rsid w:val="3A5E5547"/>
    <w:rsid w:val="3A63048C"/>
    <w:rsid w:val="3A68758F"/>
    <w:rsid w:val="3A766411"/>
    <w:rsid w:val="3A7D4B6B"/>
    <w:rsid w:val="3A802DEC"/>
    <w:rsid w:val="3A8657AF"/>
    <w:rsid w:val="3A9777D6"/>
    <w:rsid w:val="3A981440"/>
    <w:rsid w:val="3A9C399E"/>
    <w:rsid w:val="3AC0143A"/>
    <w:rsid w:val="3AC23405"/>
    <w:rsid w:val="3ACF78CF"/>
    <w:rsid w:val="3AD47518"/>
    <w:rsid w:val="3AD60A63"/>
    <w:rsid w:val="3AE84CF3"/>
    <w:rsid w:val="3AF13CEA"/>
    <w:rsid w:val="3AF37A62"/>
    <w:rsid w:val="3AFA0DF0"/>
    <w:rsid w:val="3B094D9C"/>
    <w:rsid w:val="3B0C28D2"/>
    <w:rsid w:val="3B2F036E"/>
    <w:rsid w:val="3B5129DA"/>
    <w:rsid w:val="3B712B29"/>
    <w:rsid w:val="3B89578C"/>
    <w:rsid w:val="3B8F5CCB"/>
    <w:rsid w:val="3B936B4F"/>
    <w:rsid w:val="3BA72930"/>
    <w:rsid w:val="3BB70A8F"/>
    <w:rsid w:val="3BBD597A"/>
    <w:rsid w:val="3BC60CD2"/>
    <w:rsid w:val="3BDF3B42"/>
    <w:rsid w:val="3C6E4EC6"/>
    <w:rsid w:val="3C771FCD"/>
    <w:rsid w:val="3C834FB5"/>
    <w:rsid w:val="3C8D77EB"/>
    <w:rsid w:val="3C932251"/>
    <w:rsid w:val="3C9C77E0"/>
    <w:rsid w:val="3CA803D8"/>
    <w:rsid w:val="3CAB5366"/>
    <w:rsid w:val="3CC316B6"/>
    <w:rsid w:val="3CC94BE8"/>
    <w:rsid w:val="3CF90C34"/>
    <w:rsid w:val="3CFA1741"/>
    <w:rsid w:val="3D35238C"/>
    <w:rsid w:val="3D360A6C"/>
    <w:rsid w:val="3D3B749E"/>
    <w:rsid w:val="3D434776"/>
    <w:rsid w:val="3D4521C0"/>
    <w:rsid w:val="3D4F6AA6"/>
    <w:rsid w:val="3D7015C8"/>
    <w:rsid w:val="3D8C7B10"/>
    <w:rsid w:val="3D950CBD"/>
    <w:rsid w:val="3DAB644F"/>
    <w:rsid w:val="3DAE7C70"/>
    <w:rsid w:val="3DB82756"/>
    <w:rsid w:val="3DBB6C99"/>
    <w:rsid w:val="3DC96858"/>
    <w:rsid w:val="3DCE3E6E"/>
    <w:rsid w:val="3DD24516"/>
    <w:rsid w:val="3DDB40EF"/>
    <w:rsid w:val="3DDC3F63"/>
    <w:rsid w:val="3DE03BA2"/>
    <w:rsid w:val="3E0C2C6F"/>
    <w:rsid w:val="3E1A1FFF"/>
    <w:rsid w:val="3E1C72D0"/>
    <w:rsid w:val="3E380DF4"/>
    <w:rsid w:val="3E3C1720"/>
    <w:rsid w:val="3E416D36"/>
    <w:rsid w:val="3E4222E3"/>
    <w:rsid w:val="3E4F1453"/>
    <w:rsid w:val="3E657566"/>
    <w:rsid w:val="3EA463FB"/>
    <w:rsid w:val="3EB05C6A"/>
    <w:rsid w:val="3EC23263"/>
    <w:rsid w:val="3ED0119F"/>
    <w:rsid w:val="3ED30239"/>
    <w:rsid w:val="3ED5122D"/>
    <w:rsid w:val="3EE23536"/>
    <w:rsid w:val="3EE84C99"/>
    <w:rsid w:val="3EED0B8F"/>
    <w:rsid w:val="3EF9316D"/>
    <w:rsid w:val="3F16108A"/>
    <w:rsid w:val="3F161F71"/>
    <w:rsid w:val="3F293E78"/>
    <w:rsid w:val="3F310B59"/>
    <w:rsid w:val="3F345D3C"/>
    <w:rsid w:val="3F3B4E99"/>
    <w:rsid w:val="3F4F7C6C"/>
    <w:rsid w:val="3F59273C"/>
    <w:rsid w:val="3F764014"/>
    <w:rsid w:val="3F7D5B4C"/>
    <w:rsid w:val="3F7F2B3A"/>
    <w:rsid w:val="3F9133A5"/>
    <w:rsid w:val="3F942E96"/>
    <w:rsid w:val="3FB16788"/>
    <w:rsid w:val="3FC748CB"/>
    <w:rsid w:val="3FE0432D"/>
    <w:rsid w:val="3FE61943"/>
    <w:rsid w:val="3FEC0F24"/>
    <w:rsid w:val="400C6ED0"/>
    <w:rsid w:val="40460634"/>
    <w:rsid w:val="40535CF7"/>
    <w:rsid w:val="405512C9"/>
    <w:rsid w:val="405A40DF"/>
    <w:rsid w:val="407D712F"/>
    <w:rsid w:val="40A01659"/>
    <w:rsid w:val="40CA3013"/>
    <w:rsid w:val="40CF4E07"/>
    <w:rsid w:val="40DE086C"/>
    <w:rsid w:val="40E02D18"/>
    <w:rsid w:val="4124719D"/>
    <w:rsid w:val="4130231F"/>
    <w:rsid w:val="413E57AF"/>
    <w:rsid w:val="41483F38"/>
    <w:rsid w:val="4157331D"/>
    <w:rsid w:val="415B1EBD"/>
    <w:rsid w:val="41826EB7"/>
    <w:rsid w:val="41847666"/>
    <w:rsid w:val="418D6E4C"/>
    <w:rsid w:val="41A768F3"/>
    <w:rsid w:val="41AB0A22"/>
    <w:rsid w:val="41B11ADD"/>
    <w:rsid w:val="41C31810"/>
    <w:rsid w:val="41C4799C"/>
    <w:rsid w:val="41E33C60"/>
    <w:rsid w:val="41E77A6F"/>
    <w:rsid w:val="41E81277"/>
    <w:rsid w:val="41EA0D90"/>
    <w:rsid w:val="41EC520B"/>
    <w:rsid w:val="41F7700E"/>
    <w:rsid w:val="42151A2B"/>
    <w:rsid w:val="421A40EA"/>
    <w:rsid w:val="421F6934"/>
    <w:rsid w:val="42246753"/>
    <w:rsid w:val="42264632"/>
    <w:rsid w:val="4239795E"/>
    <w:rsid w:val="424173B7"/>
    <w:rsid w:val="42442D4F"/>
    <w:rsid w:val="424D0CEC"/>
    <w:rsid w:val="424F3CAE"/>
    <w:rsid w:val="425A5DB0"/>
    <w:rsid w:val="42701434"/>
    <w:rsid w:val="42725710"/>
    <w:rsid w:val="42935686"/>
    <w:rsid w:val="42982C9D"/>
    <w:rsid w:val="42984A4B"/>
    <w:rsid w:val="42A41642"/>
    <w:rsid w:val="42AD6748"/>
    <w:rsid w:val="42C83582"/>
    <w:rsid w:val="42D054BE"/>
    <w:rsid w:val="42DE442F"/>
    <w:rsid w:val="42F81E8E"/>
    <w:rsid w:val="42FA5794"/>
    <w:rsid w:val="43043EC8"/>
    <w:rsid w:val="43086074"/>
    <w:rsid w:val="43193BDB"/>
    <w:rsid w:val="431D5002"/>
    <w:rsid w:val="433A3160"/>
    <w:rsid w:val="433B01F8"/>
    <w:rsid w:val="433C1E53"/>
    <w:rsid w:val="43452E25"/>
    <w:rsid w:val="43471869"/>
    <w:rsid w:val="436D305C"/>
    <w:rsid w:val="43805C0B"/>
    <w:rsid w:val="43817805"/>
    <w:rsid w:val="438F22F2"/>
    <w:rsid w:val="43982048"/>
    <w:rsid w:val="43BC6A8E"/>
    <w:rsid w:val="43C55D14"/>
    <w:rsid w:val="43CF6CE6"/>
    <w:rsid w:val="43EB664C"/>
    <w:rsid w:val="44006D4C"/>
    <w:rsid w:val="440A3726"/>
    <w:rsid w:val="44176214"/>
    <w:rsid w:val="44387FB7"/>
    <w:rsid w:val="44496945"/>
    <w:rsid w:val="444F4C93"/>
    <w:rsid w:val="445B6037"/>
    <w:rsid w:val="445D2FE5"/>
    <w:rsid w:val="445F5CB1"/>
    <w:rsid w:val="446B0669"/>
    <w:rsid w:val="446C618F"/>
    <w:rsid w:val="4470570D"/>
    <w:rsid w:val="44771C4E"/>
    <w:rsid w:val="447B4624"/>
    <w:rsid w:val="447C162A"/>
    <w:rsid w:val="448C608F"/>
    <w:rsid w:val="44912A94"/>
    <w:rsid w:val="449D0A3E"/>
    <w:rsid w:val="44A936C6"/>
    <w:rsid w:val="44AC45C4"/>
    <w:rsid w:val="44E74455"/>
    <w:rsid w:val="44ED69C5"/>
    <w:rsid w:val="44EF4258"/>
    <w:rsid w:val="450B3BFA"/>
    <w:rsid w:val="451231DA"/>
    <w:rsid w:val="451F76A5"/>
    <w:rsid w:val="45232CF2"/>
    <w:rsid w:val="45374C22"/>
    <w:rsid w:val="453E7B2C"/>
    <w:rsid w:val="4540601C"/>
    <w:rsid w:val="4541586E"/>
    <w:rsid w:val="4541761C"/>
    <w:rsid w:val="455139AB"/>
    <w:rsid w:val="45597918"/>
    <w:rsid w:val="455B5861"/>
    <w:rsid w:val="456321ED"/>
    <w:rsid w:val="45684BA8"/>
    <w:rsid w:val="45781EF3"/>
    <w:rsid w:val="457E3BAA"/>
    <w:rsid w:val="458B6276"/>
    <w:rsid w:val="459C4852"/>
    <w:rsid w:val="45A47F07"/>
    <w:rsid w:val="45B00823"/>
    <w:rsid w:val="45B93656"/>
    <w:rsid w:val="45C44B9A"/>
    <w:rsid w:val="45D9778B"/>
    <w:rsid w:val="45E561F9"/>
    <w:rsid w:val="45EA1A61"/>
    <w:rsid w:val="45F147B5"/>
    <w:rsid w:val="46106998"/>
    <w:rsid w:val="46176D11"/>
    <w:rsid w:val="4619686D"/>
    <w:rsid w:val="46595C6F"/>
    <w:rsid w:val="466310D3"/>
    <w:rsid w:val="46674775"/>
    <w:rsid w:val="46915998"/>
    <w:rsid w:val="46A57A8D"/>
    <w:rsid w:val="46B362F7"/>
    <w:rsid w:val="46CF1569"/>
    <w:rsid w:val="46E63C75"/>
    <w:rsid w:val="46F74436"/>
    <w:rsid w:val="46F77526"/>
    <w:rsid w:val="46FD57C4"/>
    <w:rsid w:val="46FE3A16"/>
    <w:rsid w:val="4703569B"/>
    <w:rsid w:val="470D5A07"/>
    <w:rsid w:val="4714011B"/>
    <w:rsid w:val="47290367"/>
    <w:rsid w:val="472E597E"/>
    <w:rsid w:val="47354F5E"/>
    <w:rsid w:val="47392CA0"/>
    <w:rsid w:val="475804B4"/>
    <w:rsid w:val="47712770"/>
    <w:rsid w:val="47720397"/>
    <w:rsid w:val="4779309D"/>
    <w:rsid w:val="477C493B"/>
    <w:rsid w:val="47834FD5"/>
    <w:rsid w:val="479673A0"/>
    <w:rsid w:val="47AA594C"/>
    <w:rsid w:val="47B16CDB"/>
    <w:rsid w:val="47CF7D10"/>
    <w:rsid w:val="47D227AD"/>
    <w:rsid w:val="47E34E14"/>
    <w:rsid w:val="47F643D0"/>
    <w:rsid w:val="47FE4FAD"/>
    <w:rsid w:val="480C3F11"/>
    <w:rsid w:val="48256D81"/>
    <w:rsid w:val="48393A65"/>
    <w:rsid w:val="483B34C3"/>
    <w:rsid w:val="48564A75"/>
    <w:rsid w:val="486949EB"/>
    <w:rsid w:val="487C33A3"/>
    <w:rsid w:val="48872B3B"/>
    <w:rsid w:val="48897310"/>
    <w:rsid w:val="488C5052"/>
    <w:rsid w:val="488D582A"/>
    <w:rsid w:val="48976A6D"/>
    <w:rsid w:val="48AE2359"/>
    <w:rsid w:val="48B545A9"/>
    <w:rsid w:val="48B85E47"/>
    <w:rsid w:val="48C730DB"/>
    <w:rsid w:val="48E64762"/>
    <w:rsid w:val="49090BD4"/>
    <w:rsid w:val="49125987"/>
    <w:rsid w:val="49137521"/>
    <w:rsid w:val="491F4510"/>
    <w:rsid w:val="493A31F1"/>
    <w:rsid w:val="49460EC3"/>
    <w:rsid w:val="495C4A24"/>
    <w:rsid w:val="495F570C"/>
    <w:rsid w:val="496352E8"/>
    <w:rsid w:val="496438D9"/>
    <w:rsid w:val="49A10689"/>
    <w:rsid w:val="49B10406"/>
    <w:rsid w:val="49B31524"/>
    <w:rsid w:val="49C56A6D"/>
    <w:rsid w:val="49D767A1"/>
    <w:rsid w:val="49DA58C3"/>
    <w:rsid w:val="49E113CD"/>
    <w:rsid w:val="49E53A4E"/>
    <w:rsid w:val="4A064990"/>
    <w:rsid w:val="4A0C1BD9"/>
    <w:rsid w:val="4A2319E6"/>
    <w:rsid w:val="4A280DAA"/>
    <w:rsid w:val="4A39107E"/>
    <w:rsid w:val="4A961DE3"/>
    <w:rsid w:val="4A96711A"/>
    <w:rsid w:val="4A975DE6"/>
    <w:rsid w:val="4A9A2911"/>
    <w:rsid w:val="4A9D70A2"/>
    <w:rsid w:val="4AA040CC"/>
    <w:rsid w:val="4AA759D5"/>
    <w:rsid w:val="4AA96C35"/>
    <w:rsid w:val="4AB56AE2"/>
    <w:rsid w:val="4AC27CB3"/>
    <w:rsid w:val="4ADA3B60"/>
    <w:rsid w:val="4ADF17E2"/>
    <w:rsid w:val="4AE01685"/>
    <w:rsid w:val="4AF63A9B"/>
    <w:rsid w:val="4B082B2F"/>
    <w:rsid w:val="4B0B04B0"/>
    <w:rsid w:val="4B1F5624"/>
    <w:rsid w:val="4B294F00"/>
    <w:rsid w:val="4B2A72A5"/>
    <w:rsid w:val="4B360F22"/>
    <w:rsid w:val="4B4E2A9C"/>
    <w:rsid w:val="4B5005B9"/>
    <w:rsid w:val="4B5029C6"/>
    <w:rsid w:val="4B530D8A"/>
    <w:rsid w:val="4B5334F5"/>
    <w:rsid w:val="4BB711B4"/>
    <w:rsid w:val="4BB9023C"/>
    <w:rsid w:val="4BBA3C84"/>
    <w:rsid w:val="4BBB4609"/>
    <w:rsid w:val="4BBE0CD2"/>
    <w:rsid w:val="4BD5286C"/>
    <w:rsid w:val="4C16465D"/>
    <w:rsid w:val="4C2A705C"/>
    <w:rsid w:val="4C6D519A"/>
    <w:rsid w:val="4C6F347E"/>
    <w:rsid w:val="4C742085"/>
    <w:rsid w:val="4C7C05D9"/>
    <w:rsid w:val="4C7E1155"/>
    <w:rsid w:val="4CAA161D"/>
    <w:rsid w:val="4CB16FD1"/>
    <w:rsid w:val="4CBB4C34"/>
    <w:rsid w:val="4CC36B68"/>
    <w:rsid w:val="4CC4300C"/>
    <w:rsid w:val="4CC5179B"/>
    <w:rsid w:val="4CCB3916"/>
    <w:rsid w:val="4CD11285"/>
    <w:rsid w:val="4CD3324F"/>
    <w:rsid w:val="4CDA3572"/>
    <w:rsid w:val="4CEC2091"/>
    <w:rsid w:val="4D0F4ED1"/>
    <w:rsid w:val="4D1F6494"/>
    <w:rsid w:val="4D2A13A7"/>
    <w:rsid w:val="4D371A30"/>
    <w:rsid w:val="4D44414D"/>
    <w:rsid w:val="4D583754"/>
    <w:rsid w:val="4D734A81"/>
    <w:rsid w:val="4DF96CE5"/>
    <w:rsid w:val="4DFF7EBE"/>
    <w:rsid w:val="4E266EEC"/>
    <w:rsid w:val="4E2776C4"/>
    <w:rsid w:val="4E28397B"/>
    <w:rsid w:val="4E577EB0"/>
    <w:rsid w:val="4E8D5680"/>
    <w:rsid w:val="4E8E799F"/>
    <w:rsid w:val="4EAF3848"/>
    <w:rsid w:val="4EB27F29"/>
    <w:rsid w:val="4ECE12B0"/>
    <w:rsid w:val="4ED92673"/>
    <w:rsid w:val="4EE94B66"/>
    <w:rsid w:val="4EEC684A"/>
    <w:rsid w:val="4F0E71F7"/>
    <w:rsid w:val="4F161B19"/>
    <w:rsid w:val="4F2C52EE"/>
    <w:rsid w:val="4F3F4BCC"/>
    <w:rsid w:val="4F504F61"/>
    <w:rsid w:val="4F5F4CD3"/>
    <w:rsid w:val="4F6120FD"/>
    <w:rsid w:val="4F6261FF"/>
    <w:rsid w:val="4F697E9B"/>
    <w:rsid w:val="4F85786B"/>
    <w:rsid w:val="4F8E4BCB"/>
    <w:rsid w:val="4F905A6B"/>
    <w:rsid w:val="4FC32649"/>
    <w:rsid w:val="4FCA6AE7"/>
    <w:rsid w:val="4FDE2637"/>
    <w:rsid w:val="4FE15C83"/>
    <w:rsid w:val="4FF337BE"/>
    <w:rsid w:val="50055CDD"/>
    <w:rsid w:val="500C3E41"/>
    <w:rsid w:val="500D0A2B"/>
    <w:rsid w:val="50211B71"/>
    <w:rsid w:val="50411035"/>
    <w:rsid w:val="504B5163"/>
    <w:rsid w:val="504D19FE"/>
    <w:rsid w:val="5055041F"/>
    <w:rsid w:val="50687593"/>
    <w:rsid w:val="50774266"/>
    <w:rsid w:val="50A701C4"/>
    <w:rsid w:val="50AD2009"/>
    <w:rsid w:val="50B96C00"/>
    <w:rsid w:val="50BA1A5A"/>
    <w:rsid w:val="50C45C31"/>
    <w:rsid w:val="50C730CB"/>
    <w:rsid w:val="50E006D7"/>
    <w:rsid w:val="50E7551B"/>
    <w:rsid w:val="50FB0926"/>
    <w:rsid w:val="51095DCA"/>
    <w:rsid w:val="510F6820"/>
    <w:rsid w:val="5138014E"/>
    <w:rsid w:val="514F1F23"/>
    <w:rsid w:val="516A750C"/>
    <w:rsid w:val="51730B5D"/>
    <w:rsid w:val="518A5759"/>
    <w:rsid w:val="51956D25"/>
    <w:rsid w:val="51984A67"/>
    <w:rsid w:val="519D31CB"/>
    <w:rsid w:val="51F33A51"/>
    <w:rsid w:val="523E34C1"/>
    <w:rsid w:val="5244074B"/>
    <w:rsid w:val="52481FEA"/>
    <w:rsid w:val="52495D62"/>
    <w:rsid w:val="52554692"/>
    <w:rsid w:val="525A582C"/>
    <w:rsid w:val="525D688A"/>
    <w:rsid w:val="52643E2D"/>
    <w:rsid w:val="52701540"/>
    <w:rsid w:val="527E3C5D"/>
    <w:rsid w:val="527F6F21"/>
    <w:rsid w:val="52944895"/>
    <w:rsid w:val="52B42AF3"/>
    <w:rsid w:val="52C462D8"/>
    <w:rsid w:val="52C8137C"/>
    <w:rsid w:val="52E301C4"/>
    <w:rsid w:val="52EB7859"/>
    <w:rsid w:val="52FC4EBC"/>
    <w:rsid w:val="53226CDE"/>
    <w:rsid w:val="532520FE"/>
    <w:rsid w:val="532878FE"/>
    <w:rsid w:val="533267F6"/>
    <w:rsid w:val="5334414A"/>
    <w:rsid w:val="534D3630"/>
    <w:rsid w:val="53633CD5"/>
    <w:rsid w:val="536A46DD"/>
    <w:rsid w:val="537D0C4F"/>
    <w:rsid w:val="537D3F15"/>
    <w:rsid w:val="538A535C"/>
    <w:rsid w:val="53A56D3F"/>
    <w:rsid w:val="53A771E4"/>
    <w:rsid w:val="53A84BF8"/>
    <w:rsid w:val="53AA2F2C"/>
    <w:rsid w:val="53AA5D24"/>
    <w:rsid w:val="53B70637"/>
    <w:rsid w:val="53CC532A"/>
    <w:rsid w:val="53CF4A39"/>
    <w:rsid w:val="53D17939"/>
    <w:rsid w:val="53E977FC"/>
    <w:rsid w:val="53F732A0"/>
    <w:rsid w:val="53FC6404"/>
    <w:rsid w:val="53FE5EDD"/>
    <w:rsid w:val="540168F4"/>
    <w:rsid w:val="5402493D"/>
    <w:rsid w:val="54177EC5"/>
    <w:rsid w:val="5440557B"/>
    <w:rsid w:val="54456FEB"/>
    <w:rsid w:val="54514F28"/>
    <w:rsid w:val="545E04FA"/>
    <w:rsid w:val="54600C32"/>
    <w:rsid w:val="54613836"/>
    <w:rsid w:val="547F6765"/>
    <w:rsid w:val="54847377"/>
    <w:rsid w:val="548B6D02"/>
    <w:rsid w:val="548E6EA9"/>
    <w:rsid w:val="549E2395"/>
    <w:rsid w:val="54B24889"/>
    <w:rsid w:val="54B619B3"/>
    <w:rsid w:val="54BE6593"/>
    <w:rsid w:val="54D04518"/>
    <w:rsid w:val="54DC2EBD"/>
    <w:rsid w:val="54F975CB"/>
    <w:rsid w:val="550D5F4F"/>
    <w:rsid w:val="550F0F45"/>
    <w:rsid w:val="552439FC"/>
    <w:rsid w:val="55584D81"/>
    <w:rsid w:val="557E34A8"/>
    <w:rsid w:val="558A0B6B"/>
    <w:rsid w:val="55927376"/>
    <w:rsid w:val="55A11D00"/>
    <w:rsid w:val="55BA26D5"/>
    <w:rsid w:val="55F46A72"/>
    <w:rsid w:val="55FF50B5"/>
    <w:rsid w:val="56002BDB"/>
    <w:rsid w:val="5621502B"/>
    <w:rsid w:val="56242D6E"/>
    <w:rsid w:val="5641251E"/>
    <w:rsid w:val="564E7DEA"/>
    <w:rsid w:val="56513437"/>
    <w:rsid w:val="565876BB"/>
    <w:rsid w:val="56903F5F"/>
    <w:rsid w:val="569853D7"/>
    <w:rsid w:val="56B04D62"/>
    <w:rsid w:val="56B063AF"/>
    <w:rsid w:val="56C43C09"/>
    <w:rsid w:val="56F06AAC"/>
    <w:rsid w:val="56F13672"/>
    <w:rsid w:val="56F44F15"/>
    <w:rsid w:val="570235A6"/>
    <w:rsid w:val="57040208"/>
    <w:rsid w:val="5726041F"/>
    <w:rsid w:val="57272B15"/>
    <w:rsid w:val="57283E0B"/>
    <w:rsid w:val="573E39BB"/>
    <w:rsid w:val="57435475"/>
    <w:rsid w:val="574D2A94"/>
    <w:rsid w:val="574D3083"/>
    <w:rsid w:val="57532D8B"/>
    <w:rsid w:val="5776253D"/>
    <w:rsid w:val="577A5410"/>
    <w:rsid w:val="579B705F"/>
    <w:rsid w:val="57A46A3E"/>
    <w:rsid w:val="57AD0DA8"/>
    <w:rsid w:val="57B318A8"/>
    <w:rsid w:val="57BB14B0"/>
    <w:rsid w:val="57BE3315"/>
    <w:rsid w:val="57C87729"/>
    <w:rsid w:val="57CC546B"/>
    <w:rsid w:val="57D67F65"/>
    <w:rsid w:val="57D706A2"/>
    <w:rsid w:val="57D740F4"/>
    <w:rsid w:val="57DA7B88"/>
    <w:rsid w:val="57EB38BD"/>
    <w:rsid w:val="580A1AEF"/>
    <w:rsid w:val="580D3D8A"/>
    <w:rsid w:val="581125D0"/>
    <w:rsid w:val="583B23FD"/>
    <w:rsid w:val="583C4512"/>
    <w:rsid w:val="585E4BB7"/>
    <w:rsid w:val="587277A5"/>
    <w:rsid w:val="588100CA"/>
    <w:rsid w:val="588418A2"/>
    <w:rsid w:val="58896EB8"/>
    <w:rsid w:val="58B24661"/>
    <w:rsid w:val="58D564EF"/>
    <w:rsid w:val="58E00C2E"/>
    <w:rsid w:val="58EE31BF"/>
    <w:rsid w:val="58F13D25"/>
    <w:rsid w:val="59093680"/>
    <w:rsid w:val="590D158A"/>
    <w:rsid w:val="590E1E59"/>
    <w:rsid w:val="592D3A9D"/>
    <w:rsid w:val="593C3876"/>
    <w:rsid w:val="593C7C64"/>
    <w:rsid w:val="5944315B"/>
    <w:rsid w:val="594D0D0D"/>
    <w:rsid w:val="59653481"/>
    <w:rsid w:val="5984379B"/>
    <w:rsid w:val="59875AED"/>
    <w:rsid w:val="598A113A"/>
    <w:rsid w:val="59991555"/>
    <w:rsid w:val="599E4BE5"/>
    <w:rsid w:val="59A27048"/>
    <w:rsid w:val="59A417FB"/>
    <w:rsid w:val="59B51FF2"/>
    <w:rsid w:val="59C56616"/>
    <w:rsid w:val="59D32817"/>
    <w:rsid w:val="59D345D5"/>
    <w:rsid w:val="59D36315"/>
    <w:rsid w:val="59E21DA4"/>
    <w:rsid w:val="59E45291"/>
    <w:rsid w:val="59EF1B90"/>
    <w:rsid w:val="5A3964F3"/>
    <w:rsid w:val="5A471609"/>
    <w:rsid w:val="5A584D94"/>
    <w:rsid w:val="5A630C35"/>
    <w:rsid w:val="5A715E56"/>
    <w:rsid w:val="5A7A2F5C"/>
    <w:rsid w:val="5A901D02"/>
    <w:rsid w:val="5A963B0E"/>
    <w:rsid w:val="5A9F0C15"/>
    <w:rsid w:val="5AB04A47"/>
    <w:rsid w:val="5AC42429"/>
    <w:rsid w:val="5ADC3C17"/>
    <w:rsid w:val="5ADF2C1D"/>
    <w:rsid w:val="5AFE0FC0"/>
    <w:rsid w:val="5AFE15DF"/>
    <w:rsid w:val="5B062A42"/>
    <w:rsid w:val="5B1516C2"/>
    <w:rsid w:val="5B2D321B"/>
    <w:rsid w:val="5B325C54"/>
    <w:rsid w:val="5B3945D8"/>
    <w:rsid w:val="5B4A5024"/>
    <w:rsid w:val="5B5C08B4"/>
    <w:rsid w:val="5B5F159B"/>
    <w:rsid w:val="5B745BFD"/>
    <w:rsid w:val="5B7C71A8"/>
    <w:rsid w:val="5BAA22D4"/>
    <w:rsid w:val="5BB06AD7"/>
    <w:rsid w:val="5BC70A55"/>
    <w:rsid w:val="5BC85F49"/>
    <w:rsid w:val="5BD12AB3"/>
    <w:rsid w:val="5BF27304"/>
    <w:rsid w:val="5BFE229B"/>
    <w:rsid w:val="5C015B40"/>
    <w:rsid w:val="5C103C43"/>
    <w:rsid w:val="5C13642C"/>
    <w:rsid w:val="5C233030"/>
    <w:rsid w:val="5C2861E3"/>
    <w:rsid w:val="5C332B83"/>
    <w:rsid w:val="5C3422B9"/>
    <w:rsid w:val="5C4001D5"/>
    <w:rsid w:val="5C584B91"/>
    <w:rsid w:val="5C647E8F"/>
    <w:rsid w:val="5C6E6AF1"/>
    <w:rsid w:val="5C7310DC"/>
    <w:rsid w:val="5C7B5868"/>
    <w:rsid w:val="5C7E4648"/>
    <w:rsid w:val="5C82259C"/>
    <w:rsid w:val="5C874012"/>
    <w:rsid w:val="5C9E54E5"/>
    <w:rsid w:val="5CA35FB2"/>
    <w:rsid w:val="5CA50DD2"/>
    <w:rsid w:val="5CB31179"/>
    <w:rsid w:val="5CB564CD"/>
    <w:rsid w:val="5CCE65C8"/>
    <w:rsid w:val="5CD1707F"/>
    <w:rsid w:val="5CF77F7E"/>
    <w:rsid w:val="5CF80AB0"/>
    <w:rsid w:val="5D0104EC"/>
    <w:rsid w:val="5D050BDC"/>
    <w:rsid w:val="5D2E60F1"/>
    <w:rsid w:val="5D336EF9"/>
    <w:rsid w:val="5D443CF5"/>
    <w:rsid w:val="5D5E0832"/>
    <w:rsid w:val="5D6E7593"/>
    <w:rsid w:val="5D777C27"/>
    <w:rsid w:val="5D895DF2"/>
    <w:rsid w:val="5D9407D9"/>
    <w:rsid w:val="5D9414CE"/>
    <w:rsid w:val="5D9562FF"/>
    <w:rsid w:val="5DA30A1C"/>
    <w:rsid w:val="5DB26EB1"/>
    <w:rsid w:val="5DC5784F"/>
    <w:rsid w:val="5DDF3CBF"/>
    <w:rsid w:val="5DE76A1C"/>
    <w:rsid w:val="5DEF1EB3"/>
    <w:rsid w:val="5DF37479"/>
    <w:rsid w:val="5E015B3F"/>
    <w:rsid w:val="5E092715"/>
    <w:rsid w:val="5E167440"/>
    <w:rsid w:val="5E201B01"/>
    <w:rsid w:val="5E3653EC"/>
    <w:rsid w:val="5E4736A0"/>
    <w:rsid w:val="5E5F6761"/>
    <w:rsid w:val="5E6A57E5"/>
    <w:rsid w:val="5E7E7A50"/>
    <w:rsid w:val="5E954808"/>
    <w:rsid w:val="5EA34DAF"/>
    <w:rsid w:val="5EA42C9D"/>
    <w:rsid w:val="5EA67F41"/>
    <w:rsid w:val="5EB34E40"/>
    <w:rsid w:val="5EC7073A"/>
    <w:rsid w:val="5ED115B9"/>
    <w:rsid w:val="5ED42CD8"/>
    <w:rsid w:val="5EF151BC"/>
    <w:rsid w:val="5EF67268"/>
    <w:rsid w:val="5F130955"/>
    <w:rsid w:val="5F132380"/>
    <w:rsid w:val="5F261904"/>
    <w:rsid w:val="5F655612"/>
    <w:rsid w:val="5F691E20"/>
    <w:rsid w:val="5F702B80"/>
    <w:rsid w:val="5F7C1524"/>
    <w:rsid w:val="5FD22FD8"/>
    <w:rsid w:val="5FE52CA8"/>
    <w:rsid w:val="5FEB699B"/>
    <w:rsid w:val="60291AD1"/>
    <w:rsid w:val="60317A23"/>
    <w:rsid w:val="60481488"/>
    <w:rsid w:val="60522285"/>
    <w:rsid w:val="606907DC"/>
    <w:rsid w:val="60854409"/>
    <w:rsid w:val="60A07495"/>
    <w:rsid w:val="60A6202F"/>
    <w:rsid w:val="60A9459B"/>
    <w:rsid w:val="60B22B68"/>
    <w:rsid w:val="60B552B6"/>
    <w:rsid w:val="60BF234B"/>
    <w:rsid w:val="60C37E4F"/>
    <w:rsid w:val="60C74A21"/>
    <w:rsid w:val="60DB43F4"/>
    <w:rsid w:val="60DF620F"/>
    <w:rsid w:val="60F91D87"/>
    <w:rsid w:val="610A22B4"/>
    <w:rsid w:val="610A2675"/>
    <w:rsid w:val="610B0DB2"/>
    <w:rsid w:val="61117C2B"/>
    <w:rsid w:val="61144F96"/>
    <w:rsid w:val="61154C74"/>
    <w:rsid w:val="6122434D"/>
    <w:rsid w:val="61227EAA"/>
    <w:rsid w:val="612858FE"/>
    <w:rsid w:val="61370F72"/>
    <w:rsid w:val="6155202D"/>
    <w:rsid w:val="615D7CA7"/>
    <w:rsid w:val="61817A49"/>
    <w:rsid w:val="6183704B"/>
    <w:rsid w:val="619E2D00"/>
    <w:rsid w:val="61A85167"/>
    <w:rsid w:val="61AA7929"/>
    <w:rsid w:val="61B9080E"/>
    <w:rsid w:val="61C73443"/>
    <w:rsid w:val="61EB0055"/>
    <w:rsid w:val="61FF1DD5"/>
    <w:rsid w:val="62475E43"/>
    <w:rsid w:val="624C1ED5"/>
    <w:rsid w:val="624C4633"/>
    <w:rsid w:val="62652744"/>
    <w:rsid w:val="62741E0A"/>
    <w:rsid w:val="62813D56"/>
    <w:rsid w:val="628C12D3"/>
    <w:rsid w:val="6297262B"/>
    <w:rsid w:val="62992AB5"/>
    <w:rsid w:val="629B7F14"/>
    <w:rsid w:val="62A1180C"/>
    <w:rsid w:val="62A74B0A"/>
    <w:rsid w:val="62C00F8F"/>
    <w:rsid w:val="62CE3DBD"/>
    <w:rsid w:val="62D77FFB"/>
    <w:rsid w:val="62F51D1A"/>
    <w:rsid w:val="63091744"/>
    <w:rsid w:val="634753DB"/>
    <w:rsid w:val="6367429A"/>
    <w:rsid w:val="63807109"/>
    <w:rsid w:val="63912907"/>
    <w:rsid w:val="63AE011A"/>
    <w:rsid w:val="63C22B0A"/>
    <w:rsid w:val="63C47822"/>
    <w:rsid w:val="63C71F7E"/>
    <w:rsid w:val="63D77671"/>
    <w:rsid w:val="63E01096"/>
    <w:rsid w:val="63EF366B"/>
    <w:rsid w:val="63FE69AC"/>
    <w:rsid w:val="6410048D"/>
    <w:rsid w:val="6416019A"/>
    <w:rsid w:val="64166260"/>
    <w:rsid w:val="64191A38"/>
    <w:rsid w:val="642F3009"/>
    <w:rsid w:val="643A769B"/>
    <w:rsid w:val="643D56FD"/>
    <w:rsid w:val="64567C78"/>
    <w:rsid w:val="645C36D2"/>
    <w:rsid w:val="64801AB7"/>
    <w:rsid w:val="64933E43"/>
    <w:rsid w:val="64A44A52"/>
    <w:rsid w:val="64AF5EF8"/>
    <w:rsid w:val="64B226BC"/>
    <w:rsid w:val="64C73242"/>
    <w:rsid w:val="64CF0348"/>
    <w:rsid w:val="64E421D7"/>
    <w:rsid w:val="64F43CE0"/>
    <w:rsid w:val="64F733FB"/>
    <w:rsid w:val="64FE29DC"/>
    <w:rsid w:val="651346FB"/>
    <w:rsid w:val="652F0DE7"/>
    <w:rsid w:val="653C2F50"/>
    <w:rsid w:val="654900FB"/>
    <w:rsid w:val="656A2FE9"/>
    <w:rsid w:val="65751B94"/>
    <w:rsid w:val="65834F1A"/>
    <w:rsid w:val="659D0447"/>
    <w:rsid w:val="65A66435"/>
    <w:rsid w:val="65D379C4"/>
    <w:rsid w:val="65E40235"/>
    <w:rsid w:val="65F938CF"/>
    <w:rsid w:val="65FD6F69"/>
    <w:rsid w:val="66124991"/>
    <w:rsid w:val="662B7800"/>
    <w:rsid w:val="66441755"/>
    <w:rsid w:val="66524D8D"/>
    <w:rsid w:val="665C6B7A"/>
    <w:rsid w:val="66633B2F"/>
    <w:rsid w:val="66803B38"/>
    <w:rsid w:val="668115D4"/>
    <w:rsid w:val="66855163"/>
    <w:rsid w:val="66911096"/>
    <w:rsid w:val="66A96F48"/>
    <w:rsid w:val="66BC0B99"/>
    <w:rsid w:val="66BC48FC"/>
    <w:rsid w:val="66C57C55"/>
    <w:rsid w:val="66CD3987"/>
    <w:rsid w:val="66EC357D"/>
    <w:rsid w:val="67184229"/>
    <w:rsid w:val="67387819"/>
    <w:rsid w:val="674E19F8"/>
    <w:rsid w:val="674F6AAF"/>
    <w:rsid w:val="67656D42"/>
    <w:rsid w:val="676D2F42"/>
    <w:rsid w:val="679A35EE"/>
    <w:rsid w:val="67A94E81"/>
    <w:rsid w:val="67A973A5"/>
    <w:rsid w:val="67B04461"/>
    <w:rsid w:val="67B912B5"/>
    <w:rsid w:val="67BF3022"/>
    <w:rsid w:val="67E45EB9"/>
    <w:rsid w:val="67ED0FA2"/>
    <w:rsid w:val="68237FC8"/>
    <w:rsid w:val="682C703D"/>
    <w:rsid w:val="682D7592"/>
    <w:rsid w:val="684D3A5E"/>
    <w:rsid w:val="687A681D"/>
    <w:rsid w:val="68805047"/>
    <w:rsid w:val="689F0032"/>
    <w:rsid w:val="68A613C0"/>
    <w:rsid w:val="68DB5A85"/>
    <w:rsid w:val="68E40C6F"/>
    <w:rsid w:val="68F93BE6"/>
    <w:rsid w:val="68FA3F4D"/>
    <w:rsid w:val="69006D22"/>
    <w:rsid w:val="690268D7"/>
    <w:rsid w:val="69247021"/>
    <w:rsid w:val="692C7B17"/>
    <w:rsid w:val="693469CC"/>
    <w:rsid w:val="69366BE8"/>
    <w:rsid w:val="695206FD"/>
    <w:rsid w:val="6964182C"/>
    <w:rsid w:val="696A6892"/>
    <w:rsid w:val="696D4587"/>
    <w:rsid w:val="69711126"/>
    <w:rsid w:val="697932A6"/>
    <w:rsid w:val="697A5C7D"/>
    <w:rsid w:val="69943E5B"/>
    <w:rsid w:val="6995480E"/>
    <w:rsid w:val="69AA4EE0"/>
    <w:rsid w:val="69C9180A"/>
    <w:rsid w:val="69DC584F"/>
    <w:rsid w:val="69F355C5"/>
    <w:rsid w:val="69FC0AE9"/>
    <w:rsid w:val="6A0A1320"/>
    <w:rsid w:val="6A1A798B"/>
    <w:rsid w:val="6A2366D7"/>
    <w:rsid w:val="6A237EFE"/>
    <w:rsid w:val="6A260A0B"/>
    <w:rsid w:val="6A292E0C"/>
    <w:rsid w:val="6A3D0252"/>
    <w:rsid w:val="6A3D3FA6"/>
    <w:rsid w:val="6A3D5D54"/>
    <w:rsid w:val="6A3E6DA0"/>
    <w:rsid w:val="6A4837BD"/>
    <w:rsid w:val="6A4D243B"/>
    <w:rsid w:val="6A522C53"/>
    <w:rsid w:val="6A553BF7"/>
    <w:rsid w:val="6A747EEA"/>
    <w:rsid w:val="6A771266"/>
    <w:rsid w:val="6A806C6B"/>
    <w:rsid w:val="6A815773"/>
    <w:rsid w:val="6A9242F2"/>
    <w:rsid w:val="6AB3406C"/>
    <w:rsid w:val="6ADF7440"/>
    <w:rsid w:val="6AF1774C"/>
    <w:rsid w:val="6AFC3B73"/>
    <w:rsid w:val="6AFC700B"/>
    <w:rsid w:val="6AFE6DF4"/>
    <w:rsid w:val="6AFF03A7"/>
    <w:rsid w:val="6B016D82"/>
    <w:rsid w:val="6B0625EA"/>
    <w:rsid w:val="6B126836"/>
    <w:rsid w:val="6B16483B"/>
    <w:rsid w:val="6B310756"/>
    <w:rsid w:val="6B3F5CBB"/>
    <w:rsid w:val="6B4753D2"/>
    <w:rsid w:val="6B4F7B8E"/>
    <w:rsid w:val="6B550C42"/>
    <w:rsid w:val="6B55422E"/>
    <w:rsid w:val="6B6932A5"/>
    <w:rsid w:val="6B7F041F"/>
    <w:rsid w:val="6B9F6CC6"/>
    <w:rsid w:val="6BE63278"/>
    <w:rsid w:val="6C085337"/>
    <w:rsid w:val="6C0A4840"/>
    <w:rsid w:val="6C186A79"/>
    <w:rsid w:val="6C2316D6"/>
    <w:rsid w:val="6C3031CC"/>
    <w:rsid w:val="6C303DC2"/>
    <w:rsid w:val="6C3A079D"/>
    <w:rsid w:val="6C3B62C3"/>
    <w:rsid w:val="6C44776E"/>
    <w:rsid w:val="6C4E249B"/>
    <w:rsid w:val="6C5D448C"/>
    <w:rsid w:val="6C7926A6"/>
    <w:rsid w:val="6C7A0F18"/>
    <w:rsid w:val="6C8807CB"/>
    <w:rsid w:val="6C9E253E"/>
    <w:rsid w:val="6CA351AC"/>
    <w:rsid w:val="6CA464CE"/>
    <w:rsid w:val="6CB3333B"/>
    <w:rsid w:val="6CB42462"/>
    <w:rsid w:val="6CC60283"/>
    <w:rsid w:val="6CCE3ADA"/>
    <w:rsid w:val="6CCE731C"/>
    <w:rsid w:val="6CE30E35"/>
    <w:rsid w:val="6CE626D3"/>
    <w:rsid w:val="6CF21078"/>
    <w:rsid w:val="6D237483"/>
    <w:rsid w:val="6D281AC6"/>
    <w:rsid w:val="6D372F2F"/>
    <w:rsid w:val="6D5B37C3"/>
    <w:rsid w:val="6D5D3DBC"/>
    <w:rsid w:val="6D68133A"/>
    <w:rsid w:val="6D6A3843"/>
    <w:rsid w:val="6D8C3ADE"/>
    <w:rsid w:val="6DAC1227"/>
    <w:rsid w:val="6DAD31F1"/>
    <w:rsid w:val="6DB12CE1"/>
    <w:rsid w:val="6DC5053A"/>
    <w:rsid w:val="6DF332FA"/>
    <w:rsid w:val="6DFC3078"/>
    <w:rsid w:val="6E080427"/>
    <w:rsid w:val="6E0C7B11"/>
    <w:rsid w:val="6E1312A6"/>
    <w:rsid w:val="6E1D2BDF"/>
    <w:rsid w:val="6E3836C7"/>
    <w:rsid w:val="6E48687E"/>
    <w:rsid w:val="6E4B4EE4"/>
    <w:rsid w:val="6E505259"/>
    <w:rsid w:val="6E7466D7"/>
    <w:rsid w:val="6E7A4E10"/>
    <w:rsid w:val="6E7C509D"/>
    <w:rsid w:val="6E820375"/>
    <w:rsid w:val="6EA316C2"/>
    <w:rsid w:val="6EA939B8"/>
    <w:rsid w:val="6EC055DE"/>
    <w:rsid w:val="6EE03586"/>
    <w:rsid w:val="6F0137F4"/>
    <w:rsid w:val="6F0D03EB"/>
    <w:rsid w:val="6F353E70"/>
    <w:rsid w:val="6F5070F6"/>
    <w:rsid w:val="6F513E55"/>
    <w:rsid w:val="6F5555A7"/>
    <w:rsid w:val="6F5D28A5"/>
    <w:rsid w:val="6F646517"/>
    <w:rsid w:val="6F665227"/>
    <w:rsid w:val="6F742218"/>
    <w:rsid w:val="6F810D35"/>
    <w:rsid w:val="6F854425"/>
    <w:rsid w:val="6F8E2454"/>
    <w:rsid w:val="6F962F28"/>
    <w:rsid w:val="6F9B4E77"/>
    <w:rsid w:val="6F9B77A5"/>
    <w:rsid w:val="6FAE68DF"/>
    <w:rsid w:val="6FB4345C"/>
    <w:rsid w:val="6FB645DF"/>
    <w:rsid w:val="6FCC3E02"/>
    <w:rsid w:val="6FD131C7"/>
    <w:rsid w:val="6FF9096F"/>
    <w:rsid w:val="70067DB8"/>
    <w:rsid w:val="700B6B5C"/>
    <w:rsid w:val="70125DB0"/>
    <w:rsid w:val="701568F0"/>
    <w:rsid w:val="701D05DB"/>
    <w:rsid w:val="701D2DE7"/>
    <w:rsid w:val="705E6B02"/>
    <w:rsid w:val="70716758"/>
    <w:rsid w:val="70883186"/>
    <w:rsid w:val="708E5586"/>
    <w:rsid w:val="70A628A5"/>
    <w:rsid w:val="70B14DA6"/>
    <w:rsid w:val="70B43B98"/>
    <w:rsid w:val="70C60851"/>
    <w:rsid w:val="70E21403"/>
    <w:rsid w:val="70E60EF4"/>
    <w:rsid w:val="70F36D42"/>
    <w:rsid w:val="711772FF"/>
    <w:rsid w:val="711B3F16"/>
    <w:rsid w:val="71213CDA"/>
    <w:rsid w:val="712C57C5"/>
    <w:rsid w:val="71397275"/>
    <w:rsid w:val="713D6D3A"/>
    <w:rsid w:val="715A791F"/>
    <w:rsid w:val="71746C5E"/>
    <w:rsid w:val="71864485"/>
    <w:rsid w:val="719721EE"/>
    <w:rsid w:val="71A1306D"/>
    <w:rsid w:val="71C2761C"/>
    <w:rsid w:val="71C67213"/>
    <w:rsid w:val="71E03B95"/>
    <w:rsid w:val="71F5041E"/>
    <w:rsid w:val="71F97377"/>
    <w:rsid w:val="72135D18"/>
    <w:rsid w:val="72165809"/>
    <w:rsid w:val="721B4488"/>
    <w:rsid w:val="721E41C6"/>
    <w:rsid w:val="72242A9F"/>
    <w:rsid w:val="722F0678"/>
    <w:rsid w:val="723932A5"/>
    <w:rsid w:val="7254624C"/>
    <w:rsid w:val="72630FF2"/>
    <w:rsid w:val="72695938"/>
    <w:rsid w:val="7270417C"/>
    <w:rsid w:val="727367B7"/>
    <w:rsid w:val="72741CFA"/>
    <w:rsid w:val="72841812"/>
    <w:rsid w:val="728C1627"/>
    <w:rsid w:val="7298621E"/>
    <w:rsid w:val="72A72905"/>
    <w:rsid w:val="72B03567"/>
    <w:rsid w:val="72B7351A"/>
    <w:rsid w:val="72B85CCA"/>
    <w:rsid w:val="72BA3DBC"/>
    <w:rsid w:val="72CA42C0"/>
    <w:rsid w:val="72DD00D4"/>
    <w:rsid w:val="72E6391D"/>
    <w:rsid w:val="72EB0621"/>
    <w:rsid w:val="72F07E08"/>
    <w:rsid w:val="730B2BD2"/>
    <w:rsid w:val="730B69EF"/>
    <w:rsid w:val="73102258"/>
    <w:rsid w:val="73186196"/>
    <w:rsid w:val="73793774"/>
    <w:rsid w:val="737E3665"/>
    <w:rsid w:val="739073E3"/>
    <w:rsid w:val="73A82490"/>
    <w:rsid w:val="73AA26AC"/>
    <w:rsid w:val="73AF2DAD"/>
    <w:rsid w:val="73B14A21"/>
    <w:rsid w:val="73E060CE"/>
    <w:rsid w:val="73F05BE5"/>
    <w:rsid w:val="7420296E"/>
    <w:rsid w:val="744A653C"/>
    <w:rsid w:val="744C5512"/>
    <w:rsid w:val="74542618"/>
    <w:rsid w:val="74597C2E"/>
    <w:rsid w:val="748527D2"/>
    <w:rsid w:val="74AB66DC"/>
    <w:rsid w:val="74BE1B80"/>
    <w:rsid w:val="74E21A99"/>
    <w:rsid w:val="75141AAE"/>
    <w:rsid w:val="751743B2"/>
    <w:rsid w:val="75295853"/>
    <w:rsid w:val="759B3DE8"/>
    <w:rsid w:val="75A25206"/>
    <w:rsid w:val="75A66EA3"/>
    <w:rsid w:val="75AC171D"/>
    <w:rsid w:val="75C31BFD"/>
    <w:rsid w:val="75D7046A"/>
    <w:rsid w:val="75EC4704"/>
    <w:rsid w:val="764A2F1E"/>
    <w:rsid w:val="76520C35"/>
    <w:rsid w:val="765608C9"/>
    <w:rsid w:val="76806E93"/>
    <w:rsid w:val="76834CEC"/>
    <w:rsid w:val="76A771B0"/>
    <w:rsid w:val="76BB4744"/>
    <w:rsid w:val="76CE5379"/>
    <w:rsid w:val="76D4359C"/>
    <w:rsid w:val="76EC08E6"/>
    <w:rsid w:val="76F214CF"/>
    <w:rsid w:val="770245AD"/>
    <w:rsid w:val="771F6B93"/>
    <w:rsid w:val="7723656C"/>
    <w:rsid w:val="772462D2"/>
    <w:rsid w:val="77304C77"/>
    <w:rsid w:val="77392FC3"/>
    <w:rsid w:val="773D3837"/>
    <w:rsid w:val="773F310C"/>
    <w:rsid w:val="77405256"/>
    <w:rsid w:val="77435204"/>
    <w:rsid w:val="775748F9"/>
    <w:rsid w:val="77676A44"/>
    <w:rsid w:val="777F5BFE"/>
    <w:rsid w:val="778A5F09"/>
    <w:rsid w:val="778B5390"/>
    <w:rsid w:val="778B6351"/>
    <w:rsid w:val="779571D0"/>
    <w:rsid w:val="779A4B60"/>
    <w:rsid w:val="77C05499"/>
    <w:rsid w:val="77C43611"/>
    <w:rsid w:val="77CC33D7"/>
    <w:rsid w:val="77D777E8"/>
    <w:rsid w:val="77DC6BAC"/>
    <w:rsid w:val="77F76B29"/>
    <w:rsid w:val="780A4482"/>
    <w:rsid w:val="784663F3"/>
    <w:rsid w:val="784C1F84"/>
    <w:rsid w:val="784E699C"/>
    <w:rsid w:val="789B15B8"/>
    <w:rsid w:val="78A21BA4"/>
    <w:rsid w:val="78A83695"/>
    <w:rsid w:val="78AA314D"/>
    <w:rsid w:val="78AC657F"/>
    <w:rsid w:val="78B43685"/>
    <w:rsid w:val="78C043A3"/>
    <w:rsid w:val="78C935D5"/>
    <w:rsid w:val="78D07480"/>
    <w:rsid w:val="78DB7A53"/>
    <w:rsid w:val="78DC47C4"/>
    <w:rsid w:val="78F349FC"/>
    <w:rsid w:val="78FD302B"/>
    <w:rsid w:val="79101BF2"/>
    <w:rsid w:val="79101DAE"/>
    <w:rsid w:val="792E6243"/>
    <w:rsid w:val="793F5645"/>
    <w:rsid w:val="79507852"/>
    <w:rsid w:val="79586707"/>
    <w:rsid w:val="796F56A3"/>
    <w:rsid w:val="79A41D98"/>
    <w:rsid w:val="79BA3DAC"/>
    <w:rsid w:val="79C52DEC"/>
    <w:rsid w:val="79D6037B"/>
    <w:rsid w:val="79D7587D"/>
    <w:rsid w:val="79EE45A6"/>
    <w:rsid w:val="7A036672"/>
    <w:rsid w:val="7A187C44"/>
    <w:rsid w:val="7A203DEB"/>
    <w:rsid w:val="7A255AD8"/>
    <w:rsid w:val="7A2B2477"/>
    <w:rsid w:val="7A434C4D"/>
    <w:rsid w:val="7A65732D"/>
    <w:rsid w:val="7A6F0EF3"/>
    <w:rsid w:val="7A8C2B0C"/>
    <w:rsid w:val="7A950461"/>
    <w:rsid w:val="7A965738"/>
    <w:rsid w:val="7A9E3AA1"/>
    <w:rsid w:val="7AA705C2"/>
    <w:rsid w:val="7AAE7271"/>
    <w:rsid w:val="7AB60D14"/>
    <w:rsid w:val="7AB937BF"/>
    <w:rsid w:val="7ABD766D"/>
    <w:rsid w:val="7AC335BE"/>
    <w:rsid w:val="7AC41222"/>
    <w:rsid w:val="7AC84B0B"/>
    <w:rsid w:val="7ACD29B3"/>
    <w:rsid w:val="7AD46261"/>
    <w:rsid w:val="7AD93554"/>
    <w:rsid w:val="7AEB21FF"/>
    <w:rsid w:val="7AEF4E49"/>
    <w:rsid w:val="7AF366E7"/>
    <w:rsid w:val="7B09166A"/>
    <w:rsid w:val="7B0C1557"/>
    <w:rsid w:val="7B121066"/>
    <w:rsid w:val="7B2F16E9"/>
    <w:rsid w:val="7B4140EA"/>
    <w:rsid w:val="7B4E7DC1"/>
    <w:rsid w:val="7B52248F"/>
    <w:rsid w:val="7B5D10B4"/>
    <w:rsid w:val="7B7219D4"/>
    <w:rsid w:val="7B75534E"/>
    <w:rsid w:val="7B786BEC"/>
    <w:rsid w:val="7B810197"/>
    <w:rsid w:val="7B8B06E8"/>
    <w:rsid w:val="7B8D69B4"/>
    <w:rsid w:val="7B9A4DB4"/>
    <w:rsid w:val="7B9E39F9"/>
    <w:rsid w:val="7BA867D9"/>
    <w:rsid w:val="7BC10593"/>
    <w:rsid w:val="7BDA7CD0"/>
    <w:rsid w:val="7BDB715D"/>
    <w:rsid w:val="7BE06FAB"/>
    <w:rsid w:val="7BEF0529"/>
    <w:rsid w:val="7BF25701"/>
    <w:rsid w:val="7BF700B4"/>
    <w:rsid w:val="7C0A00B0"/>
    <w:rsid w:val="7C0E12FE"/>
    <w:rsid w:val="7C120DEF"/>
    <w:rsid w:val="7C126152"/>
    <w:rsid w:val="7C1F175E"/>
    <w:rsid w:val="7C4222CD"/>
    <w:rsid w:val="7C5A2796"/>
    <w:rsid w:val="7C952974"/>
    <w:rsid w:val="7CA70F0D"/>
    <w:rsid w:val="7CAA3A35"/>
    <w:rsid w:val="7CC61DE9"/>
    <w:rsid w:val="7CCD4D16"/>
    <w:rsid w:val="7CE356CF"/>
    <w:rsid w:val="7CE56503"/>
    <w:rsid w:val="7D205829"/>
    <w:rsid w:val="7D252DA4"/>
    <w:rsid w:val="7D3A1C0A"/>
    <w:rsid w:val="7D6D6C2C"/>
    <w:rsid w:val="7D6E02A7"/>
    <w:rsid w:val="7D82050F"/>
    <w:rsid w:val="7D862791"/>
    <w:rsid w:val="7D8B4F21"/>
    <w:rsid w:val="7D9E42AB"/>
    <w:rsid w:val="7DB45D94"/>
    <w:rsid w:val="7DB86EA5"/>
    <w:rsid w:val="7DBF4AD1"/>
    <w:rsid w:val="7DC10D1E"/>
    <w:rsid w:val="7DC12610"/>
    <w:rsid w:val="7DC91981"/>
    <w:rsid w:val="7DCD72DE"/>
    <w:rsid w:val="7DCF4ABD"/>
    <w:rsid w:val="7DD00DFE"/>
    <w:rsid w:val="7DDB6E5C"/>
    <w:rsid w:val="7DFB58B2"/>
    <w:rsid w:val="7E1C41A7"/>
    <w:rsid w:val="7E2968C4"/>
    <w:rsid w:val="7E3B3F9F"/>
    <w:rsid w:val="7E3C65F7"/>
    <w:rsid w:val="7E5E656D"/>
    <w:rsid w:val="7E886E3D"/>
    <w:rsid w:val="7E8D29AE"/>
    <w:rsid w:val="7E950A29"/>
    <w:rsid w:val="7E977CD1"/>
    <w:rsid w:val="7E991289"/>
    <w:rsid w:val="7EA50156"/>
    <w:rsid w:val="7EAA5E87"/>
    <w:rsid w:val="7EB4618D"/>
    <w:rsid w:val="7EC64112"/>
    <w:rsid w:val="7EED1AD4"/>
    <w:rsid w:val="7EFC7B34"/>
    <w:rsid w:val="7F0730A4"/>
    <w:rsid w:val="7F141620"/>
    <w:rsid w:val="7F36720E"/>
    <w:rsid w:val="7F514156"/>
    <w:rsid w:val="7F5E6345"/>
    <w:rsid w:val="7F623E3B"/>
    <w:rsid w:val="7F667C25"/>
    <w:rsid w:val="7F6F0306"/>
    <w:rsid w:val="7F743B6E"/>
    <w:rsid w:val="7F9A7161"/>
    <w:rsid w:val="7F9F6E3D"/>
    <w:rsid w:val="7FB960D3"/>
    <w:rsid w:val="7FBB179D"/>
    <w:rsid w:val="7FBD72C3"/>
    <w:rsid w:val="7FC25763"/>
    <w:rsid w:val="7FD8065B"/>
    <w:rsid w:val="7FE51BBA"/>
    <w:rsid w:val="7FE65CC1"/>
    <w:rsid w:val="7FEC3D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57"/>
    <w:autoRedefine/>
    <w:qFormat/>
    <w:uiPriority w:val="0"/>
    <w:pPr>
      <w:keepNext/>
      <w:keepLines/>
      <w:spacing w:before="340" w:after="330" w:line="576" w:lineRule="auto"/>
      <w:outlineLvl w:val="0"/>
    </w:pPr>
    <w:rPr>
      <w:b/>
      <w:kern w:val="44"/>
      <w:sz w:val="44"/>
      <w:szCs w:val="20"/>
    </w:rPr>
  </w:style>
  <w:style w:type="paragraph" w:styleId="4">
    <w:name w:val="heading 2"/>
    <w:basedOn w:val="1"/>
    <w:next w:val="1"/>
    <w:link w:val="85"/>
    <w:autoRedefine/>
    <w:qFormat/>
    <w:uiPriority w:val="0"/>
    <w:pPr>
      <w:keepNext/>
      <w:keepLines/>
      <w:spacing w:before="260" w:after="260" w:line="413" w:lineRule="auto"/>
      <w:outlineLvl w:val="1"/>
    </w:pPr>
    <w:rPr>
      <w:rFonts w:ascii="Arial" w:hAnsi="Arial" w:eastAsia="黑体"/>
      <w:b/>
      <w:sz w:val="32"/>
      <w:szCs w:val="20"/>
    </w:rPr>
  </w:style>
  <w:style w:type="paragraph" w:styleId="5">
    <w:name w:val="heading 3"/>
    <w:basedOn w:val="1"/>
    <w:next w:val="1"/>
    <w:link w:val="86"/>
    <w:qFormat/>
    <w:uiPriority w:val="0"/>
    <w:pPr>
      <w:keepNext/>
      <w:keepLines/>
      <w:spacing w:before="260" w:after="260" w:line="413" w:lineRule="auto"/>
      <w:outlineLvl w:val="2"/>
    </w:pPr>
    <w:rPr>
      <w:b/>
      <w:sz w:val="32"/>
      <w:szCs w:val="20"/>
    </w:rPr>
  </w:style>
  <w:style w:type="paragraph" w:styleId="6">
    <w:name w:val="heading 4"/>
    <w:basedOn w:val="1"/>
    <w:next w:val="1"/>
    <w:link w:val="87"/>
    <w:autoRedefine/>
    <w:qFormat/>
    <w:uiPriority w:val="0"/>
    <w:pPr>
      <w:keepNext/>
      <w:keepLines/>
      <w:tabs>
        <w:tab w:val="left" w:pos="1134"/>
        <w:tab w:val="right" w:pos="7371"/>
      </w:tabs>
      <w:overflowPunct w:val="0"/>
      <w:autoSpaceDE w:val="0"/>
      <w:autoSpaceDN w:val="0"/>
      <w:adjustRightInd w:val="0"/>
      <w:snapToGrid w:val="0"/>
      <w:spacing w:line="360" w:lineRule="auto"/>
      <w:textAlignment w:val="baseline"/>
      <w:outlineLvl w:val="3"/>
    </w:pPr>
    <w:rPr>
      <w:rFonts w:ascii="宋体"/>
      <w:color w:val="800000"/>
      <w:kern w:val="0"/>
      <w:sz w:val="28"/>
      <w:szCs w:val="20"/>
    </w:rPr>
  </w:style>
  <w:style w:type="paragraph" w:styleId="7">
    <w:name w:val="heading 5"/>
    <w:basedOn w:val="1"/>
    <w:next w:val="1"/>
    <w:autoRedefine/>
    <w:qFormat/>
    <w:uiPriority w:val="0"/>
    <w:pPr>
      <w:keepNext/>
      <w:keepLines/>
      <w:tabs>
        <w:tab w:val="left" w:pos="1134"/>
        <w:tab w:val="right" w:pos="7371"/>
      </w:tabs>
      <w:overflowPunct w:val="0"/>
      <w:autoSpaceDE w:val="0"/>
      <w:autoSpaceDN w:val="0"/>
      <w:adjustRightInd w:val="0"/>
      <w:snapToGrid w:val="0"/>
      <w:spacing w:line="360" w:lineRule="auto"/>
      <w:jc w:val="left"/>
      <w:textAlignment w:val="baseline"/>
      <w:outlineLvl w:val="4"/>
    </w:pPr>
    <w:rPr>
      <w:rFonts w:ascii="宋体"/>
      <w:color w:val="008000"/>
      <w:kern w:val="0"/>
      <w:sz w:val="28"/>
      <w:szCs w:val="20"/>
    </w:rPr>
  </w:style>
  <w:style w:type="paragraph" w:styleId="8">
    <w:name w:val="heading 6"/>
    <w:basedOn w:val="1"/>
    <w:next w:val="1"/>
    <w:autoRedefine/>
    <w:qFormat/>
    <w:uiPriority w:val="0"/>
    <w:pPr>
      <w:keepNext/>
      <w:keepLines/>
      <w:tabs>
        <w:tab w:val="left" w:pos="1134"/>
        <w:tab w:val="right" w:pos="7371"/>
      </w:tabs>
      <w:overflowPunct w:val="0"/>
      <w:autoSpaceDE w:val="0"/>
      <w:autoSpaceDN w:val="0"/>
      <w:adjustRightInd w:val="0"/>
      <w:snapToGrid w:val="0"/>
      <w:spacing w:before="240" w:after="64" w:line="316" w:lineRule="auto"/>
      <w:jc w:val="left"/>
      <w:textAlignment w:val="baseline"/>
      <w:outlineLvl w:val="5"/>
    </w:pPr>
    <w:rPr>
      <w:rFonts w:ascii="Arial" w:hAnsi="Arial" w:eastAsia="黑体"/>
      <w:b/>
      <w:color w:val="000000"/>
      <w:kern w:val="0"/>
      <w:sz w:val="24"/>
      <w:szCs w:val="20"/>
    </w:rPr>
  </w:style>
  <w:style w:type="paragraph" w:styleId="9">
    <w:name w:val="heading 7"/>
    <w:basedOn w:val="1"/>
    <w:next w:val="1"/>
    <w:autoRedefine/>
    <w:qFormat/>
    <w:uiPriority w:val="0"/>
    <w:pPr>
      <w:keepNext/>
      <w:keepLines/>
      <w:tabs>
        <w:tab w:val="left" w:pos="1134"/>
        <w:tab w:val="right" w:pos="7371"/>
      </w:tabs>
      <w:overflowPunct w:val="0"/>
      <w:autoSpaceDE w:val="0"/>
      <w:autoSpaceDN w:val="0"/>
      <w:adjustRightInd w:val="0"/>
      <w:snapToGrid w:val="0"/>
      <w:spacing w:before="240" w:after="64" w:line="316" w:lineRule="auto"/>
      <w:jc w:val="left"/>
      <w:textAlignment w:val="baseline"/>
      <w:outlineLvl w:val="6"/>
    </w:pPr>
    <w:rPr>
      <w:rFonts w:ascii="宋体"/>
      <w:b/>
      <w:color w:val="000000"/>
      <w:kern w:val="0"/>
      <w:sz w:val="24"/>
      <w:szCs w:val="20"/>
    </w:rPr>
  </w:style>
  <w:style w:type="paragraph" w:styleId="10">
    <w:name w:val="heading 8"/>
    <w:basedOn w:val="1"/>
    <w:next w:val="1"/>
    <w:qFormat/>
    <w:uiPriority w:val="0"/>
    <w:pPr>
      <w:keepNext/>
      <w:keepLines/>
      <w:tabs>
        <w:tab w:val="left" w:pos="1134"/>
        <w:tab w:val="right" w:pos="7371"/>
      </w:tabs>
      <w:overflowPunct w:val="0"/>
      <w:autoSpaceDE w:val="0"/>
      <w:autoSpaceDN w:val="0"/>
      <w:adjustRightInd w:val="0"/>
      <w:snapToGrid w:val="0"/>
      <w:spacing w:before="240" w:after="64" w:line="316" w:lineRule="auto"/>
      <w:jc w:val="left"/>
      <w:textAlignment w:val="baseline"/>
      <w:outlineLvl w:val="7"/>
    </w:pPr>
    <w:rPr>
      <w:rFonts w:ascii="Arial" w:hAnsi="Arial" w:eastAsia="黑体"/>
      <w:color w:val="000000"/>
      <w:kern w:val="0"/>
      <w:sz w:val="24"/>
      <w:szCs w:val="20"/>
    </w:rPr>
  </w:style>
  <w:style w:type="paragraph" w:styleId="11">
    <w:name w:val="heading 9"/>
    <w:basedOn w:val="1"/>
    <w:next w:val="1"/>
    <w:autoRedefine/>
    <w:qFormat/>
    <w:uiPriority w:val="0"/>
    <w:pPr>
      <w:keepNext/>
      <w:spacing w:line="600" w:lineRule="exact"/>
      <w:jc w:val="center"/>
      <w:outlineLvl w:val="8"/>
    </w:pPr>
    <w:rPr>
      <w:rFonts w:ascii="仿宋_GB2312" w:eastAsia="仿宋_GB2312"/>
      <w:sz w:val="32"/>
    </w:rPr>
  </w:style>
  <w:style w:type="character" w:default="1" w:styleId="67">
    <w:name w:val="Default Paragraph Font"/>
    <w:autoRedefine/>
    <w:unhideWhenUsed/>
    <w:qFormat/>
    <w:uiPriority w:val="1"/>
  </w:style>
  <w:style w:type="table" w:default="1" w:styleId="65">
    <w:name w:val="Normal Table"/>
    <w:autoRedefine/>
    <w:semiHidden/>
    <w:qFormat/>
    <w:uiPriority w:val="0"/>
    <w:tblPr>
      <w:tblCellMar>
        <w:top w:w="0" w:type="dxa"/>
        <w:left w:w="108" w:type="dxa"/>
        <w:bottom w:w="0" w:type="dxa"/>
        <w:right w:w="108" w:type="dxa"/>
      </w:tblCellMar>
    </w:tblPr>
  </w:style>
  <w:style w:type="paragraph" w:styleId="2">
    <w:name w:val="List Paragraph"/>
    <w:basedOn w:val="1"/>
    <w:autoRedefine/>
    <w:qFormat/>
    <w:uiPriority w:val="34"/>
    <w:pPr>
      <w:ind w:firstLine="420" w:firstLineChars="200"/>
    </w:pPr>
  </w:style>
  <w:style w:type="paragraph" w:styleId="12">
    <w:name w:val="toc 7"/>
    <w:basedOn w:val="1"/>
    <w:next w:val="1"/>
    <w:autoRedefine/>
    <w:qFormat/>
    <w:uiPriority w:val="0"/>
    <w:pPr>
      <w:ind w:left="1260"/>
      <w:jc w:val="left"/>
    </w:pPr>
    <w:rPr>
      <w:rFonts w:ascii="Calibri" w:hAnsi="Calibri" w:cs="Calibri"/>
      <w:sz w:val="18"/>
      <w:szCs w:val="18"/>
    </w:rPr>
  </w:style>
  <w:style w:type="paragraph" w:styleId="13">
    <w:name w:val="List Bullet 4"/>
    <w:basedOn w:val="1"/>
    <w:qFormat/>
    <w:uiPriority w:val="0"/>
    <w:pPr>
      <w:tabs>
        <w:tab w:val="left" w:pos="360"/>
      </w:tabs>
      <w:spacing w:line="380" w:lineRule="exact"/>
      <w:ind w:left="360" w:hanging="360"/>
    </w:pPr>
    <w:rPr>
      <w:rFonts w:ascii="Calibri" w:hAnsi="Calibri"/>
      <w:sz w:val="28"/>
    </w:rPr>
  </w:style>
  <w:style w:type="paragraph" w:styleId="14">
    <w:name w:val="index 8"/>
    <w:basedOn w:val="1"/>
    <w:next w:val="1"/>
    <w:autoRedefine/>
    <w:qFormat/>
    <w:uiPriority w:val="0"/>
    <w:pPr>
      <w:ind w:left="1400" w:leftChars="1400"/>
    </w:pPr>
    <w:rPr>
      <w:rFonts w:ascii="Calibri" w:hAnsi="Calibri"/>
    </w:rPr>
  </w:style>
  <w:style w:type="paragraph" w:styleId="15">
    <w:name w:val="List Number"/>
    <w:basedOn w:val="1"/>
    <w:autoRedefine/>
    <w:qFormat/>
    <w:uiPriority w:val="0"/>
    <w:pPr>
      <w:tabs>
        <w:tab w:val="left" w:pos="0"/>
        <w:tab w:val="left" w:pos="840"/>
      </w:tabs>
      <w:spacing w:line="360" w:lineRule="auto"/>
    </w:pPr>
  </w:style>
  <w:style w:type="paragraph" w:styleId="16">
    <w:name w:val="Normal Indent"/>
    <w:basedOn w:val="1"/>
    <w:autoRedefine/>
    <w:qFormat/>
    <w:uiPriority w:val="0"/>
    <w:pPr>
      <w:autoSpaceDE w:val="0"/>
      <w:autoSpaceDN w:val="0"/>
      <w:adjustRightInd w:val="0"/>
      <w:snapToGrid w:val="0"/>
      <w:ind w:firstLine="420"/>
    </w:pPr>
    <w:rPr>
      <w:rFonts w:ascii="宋体"/>
      <w:color w:val="000000"/>
      <w:sz w:val="24"/>
      <w:szCs w:val="20"/>
    </w:rPr>
  </w:style>
  <w:style w:type="paragraph" w:styleId="17">
    <w:name w:val="caption"/>
    <w:basedOn w:val="1"/>
    <w:next w:val="1"/>
    <w:link w:val="88"/>
    <w:autoRedefine/>
    <w:qFormat/>
    <w:uiPriority w:val="0"/>
    <w:pPr>
      <w:tabs>
        <w:tab w:val="left" w:pos="0"/>
      </w:tabs>
      <w:spacing w:line="360" w:lineRule="auto"/>
    </w:pPr>
    <w:rPr>
      <w:rFonts w:ascii="Arial" w:hAnsi="Arial" w:eastAsia="黑体"/>
      <w:sz w:val="20"/>
      <w:szCs w:val="20"/>
    </w:rPr>
  </w:style>
  <w:style w:type="paragraph" w:styleId="18">
    <w:name w:val="index 5"/>
    <w:basedOn w:val="1"/>
    <w:next w:val="1"/>
    <w:qFormat/>
    <w:uiPriority w:val="0"/>
    <w:pPr>
      <w:ind w:left="800" w:leftChars="800"/>
    </w:pPr>
    <w:rPr>
      <w:rFonts w:ascii="Calibri" w:hAnsi="Calibri"/>
    </w:rPr>
  </w:style>
  <w:style w:type="paragraph" w:styleId="19">
    <w:name w:val="List Bullet"/>
    <w:basedOn w:val="1"/>
    <w:autoRedefine/>
    <w:qFormat/>
    <w:uiPriority w:val="0"/>
    <w:pPr>
      <w:tabs>
        <w:tab w:val="left" w:pos="840"/>
      </w:tabs>
      <w:spacing w:line="360" w:lineRule="auto"/>
      <w:ind w:left="962" w:hanging="480"/>
    </w:pPr>
    <w:rPr>
      <w:sz w:val="24"/>
    </w:rPr>
  </w:style>
  <w:style w:type="paragraph" w:styleId="20">
    <w:name w:val="Document Map"/>
    <w:basedOn w:val="1"/>
    <w:autoRedefine/>
    <w:qFormat/>
    <w:uiPriority w:val="0"/>
    <w:pPr>
      <w:shd w:val="clear" w:color="auto" w:fill="000080"/>
    </w:pPr>
  </w:style>
  <w:style w:type="paragraph" w:styleId="21">
    <w:name w:val="annotation text"/>
    <w:basedOn w:val="1"/>
    <w:link w:val="89"/>
    <w:autoRedefine/>
    <w:qFormat/>
    <w:uiPriority w:val="99"/>
    <w:pPr>
      <w:jc w:val="left"/>
    </w:pPr>
    <w:rPr>
      <w:rFonts w:ascii="Calibri" w:hAnsi="Calibri"/>
      <w:szCs w:val="20"/>
    </w:rPr>
  </w:style>
  <w:style w:type="paragraph" w:styleId="22">
    <w:name w:val="index 6"/>
    <w:basedOn w:val="1"/>
    <w:next w:val="1"/>
    <w:qFormat/>
    <w:uiPriority w:val="0"/>
    <w:pPr>
      <w:ind w:left="1000" w:leftChars="1000"/>
    </w:pPr>
    <w:rPr>
      <w:rFonts w:ascii="Calibri" w:hAnsi="Calibri"/>
    </w:rPr>
  </w:style>
  <w:style w:type="paragraph" w:styleId="23">
    <w:name w:val="Body Text 3"/>
    <w:basedOn w:val="1"/>
    <w:autoRedefine/>
    <w:qFormat/>
    <w:uiPriority w:val="0"/>
    <w:rPr>
      <w:color w:val="000000"/>
    </w:rPr>
  </w:style>
  <w:style w:type="paragraph" w:styleId="24">
    <w:name w:val="List Bullet 3"/>
    <w:basedOn w:val="1"/>
    <w:autoRedefine/>
    <w:qFormat/>
    <w:uiPriority w:val="0"/>
    <w:pPr>
      <w:tabs>
        <w:tab w:val="left" w:pos="1200"/>
      </w:tabs>
      <w:spacing w:line="380" w:lineRule="exact"/>
      <w:ind w:left="1200" w:hanging="360"/>
    </w:pPr>
    <w:rPr>
      <w:rFonts w:ascii="Calibri" w:hAnsi="Calibri"/>
      <w:sz w:val="28"/>
    </w:rPr>
  </w:style>
  <w:style w:type="paragraph" w:styleId="25">
    <w:name w:val="Body Text"/>
    <w:basedOn w:val="1"/>
    <w:link w:val="90"/>
    <w:autoRedefine/>
    <w:qFormat/>
    <w:uiPriority w:val="0"/>
    <w:pPr>
      <w:spacing w:line="60" w:lineRule="auto"/>
    </w:pPr>
    <w:rPr>
      <w:rFonts w:ascii="仿宋_GB2312" w:eastAsia="仿宋_GB2312"/>
      <w:sz w:val="32"/>
    </w:rPr>
  </w:style>
  <w:style w:type="paragraph" w:styleId="26">
    <w:name w:val="Body Text Indent"/>
    <w:basedOn w:val="1"/>
    <w:autoRedefine/>
    <w:qFormat/>
    <w:uiPriority w:val="0"/>
    <w:pPr>
      <w:ind w:firstLine="225" w:firstLineChars="225"/>
    </w:pPr>
    <w:rPr>
      <w:rFonts w:ascii="仿宋_GB2312" w:eastAsia="仿宋_GB2312"/>
      <w:sz w:val="32"/>
    </w:rPr>
  </w:style>
  <w:style w:type="paragraph" w:styleId="27">
    <w:name w:val="Block Text"/>
    <w:basedOn w:val="1"/>
    <w:qFormat/>
    <w:uiPriority w:val="0"/>
    <w:pPr>
      <w:spacing w:line="360" w:lineRule="exact"/>
      <w:ind w:left="1548" w:leftChars="-857" w:right="12" w:rightChars="12" w:hanging="2405" w:hangingChars="2405"/>
    </w:pPr>
    <w:rPr>
      <w:rFonts w:ascii="宋体"/>
      <w:bCs/>
      <w:sz w:val="28"/>
    </w:rPr>
  </w:style>
  <w:style w:type="paragraph" w:styleId="28">
    <w:name w:val="List Bullet 2"/>
    <w:basedOn w:val="1"/>
    <w:autoRedefine/>
    <w:qFormat/>
    <w:uiPriority w:val="0"/>
    <w:pPr>
      <w:tabs>
        <w:tab w:val="left" w:pos="720"/>
      </w:tabs>
      <w:spacing w:line="360" w:lineRule="auto"/>
      <w:ind w:left="720" w:hanging="360"/>
    </w:pPr>
    <w:rPr>
      <w:sz w:val="24"/>
    </w:rPr>
  </w:style>
  <w:style w:type="paragraph" w:styleId="29">
    <w:name w:val="HTML Address"/>
    <w:basedOn w:val="1"/>
    <w:autoRedefine/>
    <w:qFormat/>
    <w:uiPriority w:val="0"/>
    <w:rPr>
      <w:i/>
      <w:iCs/>
    </w:rPr>
  </w:style>
  <w:style w:type="paragraph" w:styleId="30">
    <w:name w:val="index 4"/>
    <w:basedOn w:val="1"/>
    <w:next w:val="1"/>
    <w:autoRedefine/>
    <w:qFormat/>
    <w:uiPriority w:val="0"/>
    <w:pPr>
      <w:ind w:left="600" w:leftChars="600"/>
    </w:pPr>
    <w:rPr>
      <w:rFonts w:ascii="Calibri" w:hAnsi="Calibri"/>
    </w:rPr>
  </w:style>
  <w:style w:type="paragraph" w:styleId="31">
    <w:name w:val="toc 5"/>
    <w:basedOn w:val="1"/>
    <w:next w:val="1"/>
    <w:autoRedefine/>
    <w:qFormat/>
    <w:uiPriority w:val="0"/>
    <w:pPr>
      <w:ind w:left="840"/>
      <w:jc w:val="left"/>
    </w:pPr>
    <w:rPr>
      <w:rFonts w:ascii="Calibri" w:hAnsi="Calibri" w:cs="Calibri"/>
      <w:sz w:val="18"/>
      <w:szCs w:val="18"/>
    </w:rPr>
  </w:style>
  <w:style w:type="paragraph" w:styleId="32">
    <w:name w:val="toc 3"/>
    <w:basedOn w:val="1"/>
    <w:next w:val="1"/>
    <w:qFormat/>
    <w:uiPriority w:val="39"/>
    <w:pPr>
      <w:ind w:left="420"/>
      <w:jc w:val="left"/>
    </w:pPr>
    <w:rPr>
      <w:rFonts w:ascii="Calibri" w:hAnsi="Calibri" w:cs="Calibri"/>
      <w:i/>
      <w:iCs/>
      <w:sz w:val="20"/>
      <w:szCs w:val="20"/>
    </w:rPr>
  </w:style>
  <w:style w:type="paragraph" w:styleId="33">
    <w:name w:val="Plain Text"/>
    <w:basedOn w:val="1"/>
    <w:autoRedefine/>
    <w:qFormat/>
    <w:uiPriority w:val="0"/>
    <w:rPr>
      <w:rFonts w:ascii="宋体"/>
      <w:szCs w:val="21"/>
    </w:rPr>
  </w:style>
  <w:style w:type="paragraph" w:styleId="34">
    <w:name w:val="List Bullet 5"/>
    <w:basedOn w:val="1"/>
    <w:autoRedefine/>
    <w:qFormat/>
    <w:uiPriority w:val="0"/>
    <w:pPr>
      <w:tabs>
        <w:tab w:val="left" w:pos="720"/>
      </w:tabs>
      <w:spacing w:line="380" w:lineRule="exact"/>
      <w:ind w:left="720" w:hanging="360"/>
    </w:pPr>
    <w:rPr>
      <w:rFonts w:ascii="Calibri" w:hAnsi="Calibri"/>
      <w:sz w:val="28"/>
    </w:rPr>
  </w:style>
  <w:style w:type="paragraph" w:styleId="35">
    <w:name w:val="toc 8"/>
    <w:basedOn w:val="1"/>
    <w:next w:val="1"/>
    <w:autoRedefine/>
    <w:qFormat/>
    <w:uiPriority w:val="0"/>
    <w:pPr>
      <w:ind w:left="1470"/>
      <w:jc w:val="left"/>
    </w:pPr>
    <w:rPr>
      <w:rFonts w:ascii="Calibri" w:hAnsi="Calibri" w:cs="Calibri"/>
      <w:sz w:val="18"/>
      <w:szCs w:val="18"/>
    </w:rPr>
  </w:style>
  <w:style w:type="paragraph" w:styleId="36">
    <w:name w:val="index 3"/>
    <w:basedOn w:val="1"/>
    <w:next w:val="1"/>
    <w:autoRedefine/>
    <w:qFormat/>
    <w:uiPriority w:val="0"/>
    <w:pPr>
      <w:ind w:left="400" w:leftChars="400"/>
    </w:pPr>
    <w:rPr>
      <w:rFonts w:ascii="Calibri" w:hAnsi="Calibri"/>
    </w:rPr>
  </w:style>
  <w:style w:type="paragraph" w:styleId="37">
    <w:name w:val="Date"/>
    <w:basedOn w:val="1"/>
    <w:next w:val="1"/>
    <w:qFormat/>
    <w:uiPriority w:val="0"/>
    <w:pPr>
      <w:ind w:left="2500" w:leftChars="2500"/>
    </w:pPr>
  </w:style>
  <w:style w:type="paragraph" w:styleId="38">
    <w:name w:val="Body Text Indent 2"/>
    <w:basedOn w:val="1"/>
    <w:qFormat/>
    <w:uiPriority w:val="0"/>
    <w:pPr>
      <w:spacing w:line="540" w:lineRule="exact"/>
      <w:ind w:firstLine="225" w:firstLineChars="225"/>
      <w:jc w:val="left"/>
    </w:pPr>
    <w:rPr>
      <w:rFonts w:ascii="仿宋_GB2312" w:eastAsia="仿宋_GB2312"/>
      <w:sz w:val="32"/>
    </w:rPr>
  </w:style>
  <w:style w:type="paragraph" w:styleId="39">
    <w:name w:val="endnote text"/>
    <w:basedOn w:val="1"/>
    <w:qFormat/>
    <w:uiPriority w:val="0"/>
    <w:pPr>
      <w:widowControl/>
      <w:snapToGrid w:val="0"/>
      <w:jc w:val="left"/>
    </w:pPr>
    <w:rPr>
      <w:rFonts w:ascii="宋体"/>
      <w:bCs/>
      <w:kern w:val="0"/>
      <w:szCs w:val="21"/>
    </w:rPr>
  </w:style>
  <w:style w:type="paragraph" w:styleId="40">
    <w:name w:val="Balloon Text"/>
    <w:basedOn w:val="1"/>
    <w:qFormat/>
    <w:uiPriority w:val="0"/>
    <w:rPr>
      <w:sz w:val="18"/>
      <w:szCs w:val="20"/>
    </w:rPr>
  </w:style>
  <w:style w:type="paragraph" w:styleId="41">
    <w:name w:val="footer"/>
    <w:basedOn w:val="1"/>
    <w:link w:val="91"/>
    <w:qFormat/>
    <w:uiPriority w:val="99"/>
    <w:pPr>
      <w:tabs>
        <w:tab w:val="center" w:pos="4153"/>
        <w:tab w:val="right" w:pos="8306"/>
      </w:tabs>
      <w:snapToGrid w:val="0"/>
      <w:jc w:val="left"/>
    </w:pPr>
    <w:rPr>
      <w:rFonts w:ascii="Calibri" w:hAnsi="Calibri"/>
      <w:sz w:val="18"/>
      <w:szCs w:val="18"/>
    </w:rPr>
  </w:style>
  <w:style w:type="paragraph" w:styleId="42">
    <w:name w:val="envelope return"/>
    <w:basedOn w:val="1"/>
    <w:qFormat/>
    <w:uiPriority w:val="0"/>
    <w:rPr>
      <w:rFonts w:ascii="Arial" w:hAnsi="Arial"/>
    </w:rPr>
  </w:style>
  <w:style w:type="paragraph" w:styleId="43">
    <w:name w:val="header"/>
    <w:basedOn w:val="1"/>
    <w:link w:val="92"/>
    <w:qFormat/>
    <w:uiPriority w:val="99"/>
    <w:pPr>
      <w:pBdr>
        <w:bottom w:val="single" w:color="auto" w:sz="6" w:space="1"/>
      </w:pBdr>
      <w:tabs>
        <w:tab w:val="center" w:pos="4153"/>
        <w:tab w:val="right" w:pos="8306"/>
      </w:tabs>
      <w:snapToGrid w:val="0"/>
      <w:jc w:val="center"/>
    </w:pPr>
    <w:rPr>
      <w:sz w:val="18"/>
      <w:szCs w:val="18"/>
    </w:rPr>
  </w:style>
  <w:style w:type="paragraph" w:styleId="44">
    <w:name w:val="toc 1"/>
    <w:basedOn w:val="1"/>
    <w:next w:val="1"/>
    <w:qFormat/>
    <w:uiPriority w:val="39"/>
    <w:pPr>
      <w:spacing w:before="120" w:after="120"/>
      <w:jc w:val="left"/>
    </w:pPr>
    <w:rPr>
      <w:rFonts w:ascii="Calibri" w:hAnsi="Calibri" w:cs="Calibri"/>
      <w:b/>
      <w:bCs/>
      <w:caps/>
      <w:sz w:val="20"/>
      <w:szCs w:val="20"/>
    </w:rPr>
  </w:style>
  <w:style w:type="paragraph" w:styleId="45">
    <w:name w:val="toc 4"/>
    <w:basedOn w:val="1"/>
    <w:next w:val="1"/>
    <w:qFormat/>
    <w:uiPriority w:val="0"/>
    <w:pPr>
      <w:ind w:left="630"/>
      <w:jc w:val="left"/>
    </w:pPr>
    <w:rPr>
      <w:rFonts w:ascii="Calibri" w:hAnsi="Calibri" w:cs="Calibri"/>
      <w:sz w:val="18"/>
      <w:szCs w:val="18"/>
    </w:rPr>
  </w:style>
  <w:style w:type="paragraph" w:styleId="46">
    <w:name w:val="index heading"/>
    <w:basedOn w:val="1"/>
    <w:next w:val="47"/>
    <w:qFormat/>
    <w:uiPriority w:val="0"/>
    <w:rPr>
      <w:rFonts w:ascii="Calibri" w:hAnsi="Calibri"/>
    </w:rPr>
  </w:style>
  <w:style w:type="paragraph" w:styleId="47">
    <w:name w:val="index 1"/>
    <w:basedOn w:val="1"/>
    <w:next w:val="1"/>
    <w:qFormat/>
    <w:uiPriority w:val="0"/>
    <w:rPr>
      <w:rFonts w:ascii="Calibri" w:hAnsi="Calibri"/>
    </w:rPr>
  </w:style>
  <w:style w:type="paragraph" w:styleId="48">
    <w:name w:val="footnote text"/>
    <w:basedOn w:val="1"/>
    <w:qFormat/>
    <w:uiPriority w:val="0"/>
    <w:pPr>
      <w:adjustRightInd w:val="0"/>
      <w:snapToGrid w:val="0"/>
      <w:jc w:val="left"/>
    </w:pPr>
    <w:rPr>
      <w:rFonts w:ascii="宋体"/>
      <w:bCs/>
      <w:kern w:val="0"/>
      <w:sz w:val="18"/>
      <w:szCs w:val="18"/>
    </w:rPr>
  </w:style>
  <w:style w:type="paragraph" w:styleId="49">
    <w:name w:val="toc 6"/>
    <w:basedOn w:val="1"/>
    <w:next w:val="1"/>
    <w:qFormat/>
    <w:uiPriority w:val="0"/>
    <w:pPr>
      <w:ind w:left="1050"/>
      <w:jc w:val="left"/>
    </w:pPr>
    <w:rPr>
      <w:rFonts w:ascii="Calibri" w:hAnsi="Calibri" w:cs="Calibri"/>
      <w:sz w:val="18"/>
      <w:szCs w:val="18"/>
    </w:rPr>
  </w:style>
  <w:style w:type="paragraph" w:styleId="50">
    <w:name w:val="Body Text Indent 3"/>
    <w:basedOn w:val="1"/>
    <w:qFormat/>
    <w:uiPriority w:val="0"/>
    <w:pPr>
      <w:ind w:firstLine="213" w:firstLineChars="213"/>
    </w:pPr>
    <w:rPr>
      <w:rFonts w:ascii="仿宋_GB2312" w:eastAsia="仿宋_GB2312"/>
      <w:sz w:val="30"/>
    </w:rPr>
  </w:style>
  <w:style w:type="paragraph" w:styleId="51">
    <w:name w:val="index 7"/>
    <w:basedOn w:val="1"/>
    <w:next w:val="1"/>
    <w:qFormat/>
    <w:uiPriority w:val="0"/>
    <w:pPr>
      <w:ind w:left="1200" w:leftChars="1200"/>
    </w:pPr>
    <w:rPr>
      <w:rFonts w:ascii="Calibri" w:hAnsi="Calibri"/>
    </w:rPr>
  </w:style>
  <w:style w:type="paragraph" w:styleId="52">
    <w:name w:val="index 9"/>
    <w:basedOn w:val="1"/>
    <w:next w:val="1"/>
    <w:qFormat/>
    <w:uiPriority w:val="0"/>
    <w:pPr>
      <w:ind w:left="1600" w:leftChars="1600"/>
    </w:pPr>
    <w:rPr>
      <w:rFonts w:ascii="Calibri" w:hAnsi="Calibri"/>
    </w:rPr>
  </w:style>
  <w:style w:type="paragraph" w:styleId="53">
    <w:name w:val="table of figures"/>
    <w:basedOn w:val="1"/>
    <w:next w:val="1"/>
    <w:autoRedefine/>
    <w:qFormat/>
    <w:uiPriority w:val="0"/>
    <w:pPr>
      <w:widowControl/>
      <w:ind w:left="400" w:leftChars="200" w:hanging="200" w:hangingChars="200"/>
      <w:jc w:val="left"/>
    </w:pPr>
    <w:rPr>
      <w:rFonts w:ascii="宋体"/>
      <w:bCs/>
      <w:kern w:val="0"/>
      <w:szCs w:val="21"/>
    </w:rPr>
  </w:style>
  <w:style w:type="paragraph" w:styleId="54">
    <w:name w:val="toc 2"/>
    <w:basedOn w:val="1"/>
    <w:next w:val="1"/>
    <w:autoRedefine/>
    <w:qFormat/>
    <w:uiPriority w:val="39"/>
    <w:pPr>
      <w:ind w:left="210"/>
      <w:jc w:val="left"/>
    </w:pPr>
    <w:rPr>
      <w:rFonts w:ascii="Calibri" w:hAnsi="Calibri" w:cs="Calibri"/>
      <w:smallCaps/>
      <w:sz w:val="20"/>
      <w:szCs w:val="20"/>
    </w:rPr>
  </w:style>
  <w:style w:type="paragraph" w:styleId="55">
    <w:name w:val="toc 9"/>
    <w:basedOn w:val="1"/>
    <w:next w:val="1"/>
    <w:autoRedefine/>
    <w:qFormat/>
    <w:uiPriority w:val="0"/>
    <w:pPr>
      <w:ind w:left="1680"/>
      <w:jc w:val="left"/>
    </w:pPr>
    <w:rPr>
      <w:rFonts w:ascii="Calibri" w:hAnsi="Calibri" w:cs="Calibri"/>
      <w:sz w:val="18"/>
      <w:szCs w:val="18"/>
    </w:rPr>
  </w:style>
  <w:style w:type="paragraph" w:styleId="56">
    <w:name w:val="Body Text 2"/>
    <w:basedOn w:val="1"/>
    <w:autoRedefine/>
    <w:qFormat/>
    <w:uiPriority w:val="0"/>
    <w:pPr>
      <w:spacing w:line="560" w:lineRule="exact"/>
    </w:pPr>
    <w:rPr>
      <w:rFonts w:ascii="仿宋_GB2312" w:eastAsia="仿宋_GB2312"/>
      <w:sz w:val="28"/>
      <w:szCs w:val="30"/>
    </w:rPr>
  </w:style>
  <w:style w:type="paragraph" w:styleId="57">
    <w:name w:val="List Continue 2"/>
    <w:basedOn w:val="1"/>
    <w:autoRedefine/>
    <w:qFormat/>
    <w:uiPriority w:val="0"/>
    <w:pPr>
      <w:spacing w:after="120"/>
      <w:ind w:left="840" w:leftChars="400"/>
    </w:pPr>
  </w:style>
  <w:style w:type="paragraph" w:styleId="58">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59">
    <w:name w:val="Normal (Web)"/>
    <w:basedOn w:val="1"/>
    <w:autoRedefine/>
    <w:qFormat/>
    <w:uiPriority w:val="0"/>
    <w:pPr>
      <w:widowControl/>
      <w:spacing w:before="100" w:beforeAutospacing="1" w:after="100" w:afterAutospacing="1"/>
      <w:jc w:val="left"/>
    </w:pPr>
    <w:rPr>
      <w:rFonts w:ascii="宋体"/>
      <w:kern w:val="0"/>
      <w:sz w:val="24"/>
      <w:szCs w:val="20"/>
    </w:rPr>
  </w:style>
  <w:style w:type="paragraph" w:styleId="60">
    <w:name w:val="index 2"/>
    <w:basedOn w:val="1"/>
    <w:next w:val="1"/>
    <w:autoRedefine/>
    <w:qFormat/>
    <w:uiPriority w:val="0"/>
    <w:pPr>
      <w:ind w:left="200" w:leftChars="200"/>
    </w:pPr>
    <w:rPr>
      <w:rFonts w:ascii="Calibri" w:hAnsi="Calibri"/>
    </w:rPr>
  </w:style>
  <w:style w:type="paragraph" w:styleId="61">
    <w:name w:val="Title"/>
    <w:basedOn w:val="1"/>
    <w:next w:val="1"/>
    <w:autoRedefine/>
    <w:qFormat/>
    <w:uiPriority w:val="0"/>
    <w:pPr>
      <w:spacing w:before="240" w:after="60"/>
      <w:jc w:val="center"/>
      <w:outlineLvl w:val="0"/>
    </w:pPr>
    <w:rPr>
      <w:rFonts w:ascii="Cambria" w:hAnsi="Cambria"/>
      <w:b/>
      <w:bCs/>
      <w:sz w:val="32"/>
      <w:szCs w:val="32"/>
    </w:rPr>
  </w:style>
  <w:style w:type="paragraph" w:styleId="62">
    <w:name w:val="annotation subject"/>
    <w:basedOn w:val="21"/>
    <w:next w:val="21"/>
    <w:autoRedefine/>
    <w:qFormat/>
    <w:uiPriority w:val="0"/>
    <w:rPr>
      <w:b/>
    </w:rPr>
  </w:style>
  <w:style w:type="paragraph" w:styleId="63">
    <w:name w:val="Body Text First Indent"/>
    <w:basedOn w:val="1"/>
    <w:next w:val="1"/>
    <w:autoRedefine/>
    <w:qFormat/>
    <w:uiPriority w:val="0"/>
    <w:pPr>
      <w:spacing w:after="120"/>
      <w:ind w:firstLine="100" w:firstLineChars="100"/>
    </w:pPr>
  </w:style>
  <w:style w:type="paragraph" w:styleId="64">
    <w:name w:val="Body Text First Indent 2"/>
    <w:basedOn w:val="26"/>
    <w:link w:val="93"/>
    <w:autoRedefine/>
    <w:qFormat/>
    <w:uiPriority w:val="0"/>
    <w:pPr>
      <w:spacing w:after="120"/>
      <w:ind w:left="200" w:leftChars="200" w:firstLine="200" w:firstLineChars="200"/>
    </w:pPr>
    <w:rPr>
      <w:rFonts w:ascii="Times New Roman"/>
      <w:kern w:val="0"/>
      <w:sz w:val="24"/>
      <w:szCs w:val="24"/>
    </w:rPr>
  </w:style>
  <w:style w:type="table" w:styleId="66">
    <w:name w:val="Table Grid"/>
    <w:basedOn w:val="6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8">
    <w:name w:val="Strong"/>
    <w:autoRedefine/>
    <w:qFormat/>
    <w:uiPriority w:val="0"/>
    <w:rPr>
      <w:b/>
    </w:rPr>
  </w:style>
  <w:style w:type="character" w:styleId="69">
    <w:name w:val="endnote reference"/>
    <w:autoRedefine/>
    <w:qFormat/>
    <w:uiPriority w:val="0"/>
    <w:rPr>
      <w:vertAlign w:val="superscript"/>
    </w:rPr>
  </w:style>
  <w:style w:type="character" w:styleId="70">
    <w:name w:val="page number"/>
    <w:autoRedefine/>
    <w:qFormat/>
    <w:uiPriority w:val="0"/>
  </w:style>
  <w:style w:type="character" w:styleId="71">
    <w:name w:val="FollowedHyperlink"/>
    <w:autoRedefine/>
    <w:qFormat/>
    <w:uiPriority w:val="0"/>
    <w:rPr>
      <w:color w:val="800080"/>
      <w:u w:val="single"/>
    </w:rPr>
  </w:style>
  <w:style w:type="character" w:styleId="72">
    <w:name w:val="Emphasis"/>
    <w:autoRedefine/>
    <w:qFormat/>
    <w:uiPriority w:val="0"/>
    <w:rPr>
      <w:color w:val="CC0033"/>
    </w:rPr>
  </w:style>
  <w:style w:type="character" w:styleId="73">
    <w:name w:val="HTML Typewriter"/>
    <w:autoRedefine/>
    <w:qFormat/>
    <w:uiPriority w:val="0"/>
    <w:rPr>
      <w:rFonts w:ascii="宋体" w:eastAsia="宋体" w:cs="宋体"/>
      <w:sz w:val="24"/>
      <w:szCs w:val="24"/>
      <w:lang w:bidi="ar-SA"/>
    </w:rPr>
  </w:style>
  <w:style w:type="character" w:styleId="74">
    <w:name w:val="HTML Acronym"/>
    <w:basedOn w:val="67"/>
    <w:qFormat/>
    <w:uiPriority w:val="0"/>
  </w:style>
  <w:style w:type="character" w:styleId="75">
    <w:name w:val="Hyperlink"/>
    <w:autoRedefine/>
    <w:qFormat/>
    <w:uiPriority w:val="99"/>
    <w:rPr>
      <w:color w:val="0000FF"/>
      <w:u w:val="single"/>
    </w:rPr>
  </w:style>
  <w:style w:type="character" w:styleId="76">
    <w:name w:val="HTML Code"/>
    <w:basedOn w:val="67"/>
    <w:qFormat/>
    <w:uiPriority w:val="0"/>
    <w:rPr>
      <w:rFonts w:hint="default" w:ascii="monospace" w:hAnsi="monospace" w:eastAsia="monospace" w:cs="monospace"/>
      <w:sz w:val="20"/>
    </w:rPr>
  </w:style>
  <w:style w:type="character" w:styleId="77">
    <w:name w:val="annotation reference"/>
    <w:autoRedefine/>
    <w:qFormat/>
    <w:uiPriority w:val="0"/>
    <w:rPr>
      <w:sz w:val="21"/>
    </w:rPr>
  </w:style>
  <w:style w:type="character" w:styleId="78">
    <w:name w:val="footnote reference"/>
    <w:autoRedefine/>
    <w:qFormat/>
    <w:uiPriority w:val="0"/>
    <w:rPr>
      <w:vertAlign w:val="superscript"/>
    </w:rPr>
  </w:style>
  <w:style w:type="character" w:styleId="79">
    <w:name w:val="HTML Keyboard"/>
    <w:basedOn w:val="67"/>
    <w:qFormat/>
    <w:uiPriority w:val="0"/>
    <w:rPr>
      <w:rFonts w:hint="default" w:ascii="monospace" w:hAnsi="monospace" w:eastAsia="monospace" w:cs="monospace"/>
      <w:sz w:val="20"/>
    </w:rPr>
  </w:style>
  <w:style w:type="character" w:styleId="80">
    <w:name w:val="HTML Sample"/>
    <w:basedOn w:val="67"/>
    <w:qFormat/>
    <w:uiPriority w:val="0"/>
    <w:rPr>
      <w:rFonts w:ascii="monospace" w:hAnsi="monospace" w:eastAsia="monospace" w:cs="monospace"/>
    </w:rPr>
  </w:style>
  <w:style w:type="paragraph" w:customStyle="1" w:styleId="81">
    <w:name w:val="彩色列表1"/>
    <w:basedOn w:val="1"/>
    <w:qFormat/>
    <w:uiPriority w:val="34"/>
    <w:pPr>
      <w:ind w:firstLine="420" w:firstLineChars="200"/>
    </w:pPr>
    <w:rPr>
      <w:szCs w:val="24"/>
    </w:rPr>
  </w:style>
  <w:style w:type="paragraph" w:customStyle="1" w:styleId="82">
    <w:name w:val="样式1"/>
    <w:basedOn w:val="15"/>
    <w:next w:val="1"/>
    <w:autoRedefine/>
    <w:qFormat/>
    <w:uiPriority w:val="0"/>
    <w:rPr>
      <w:rFonts w:ascii="Arial" w:hAnsi="Arial" w:eastAsia="幼圆" w:cs="Arial"/>
      <w:sz w:val="24"/>
      <w:szCs w:val="20"/>
    </w:rPr>
  </w:style>
  <w:style w:type="paragraph" w:customStyle="1" w:styleId="83">
    <w:name w:val="Default"/>
    <w:autoRedefine/>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character" w:customStyle="1" w:styleId="84">
    <w:name w:val="标题 1 Char"/>
    <w:link w:val="3"/>
    <w:autoRedefine/>
    <w:qFormat/>
    <w:uiPriority w:val="0"/>
    <w:rPr>
      <w:b/>
      <w:kern w:val="44"/>
      <w:sz w:val="44"/>
    </w:rPr>
  </w:style>
  <w:style w:type="character" w:customStyle="1" w:styleId="85">
    <w:name w:val="标题 2 Char"/>
    <w:link w:val="4"/>
    <w:autoRedefine/>
    <w:qFormat/>
    <w:uiPriority w:val="0"/>
    <w:rPr>
      <w:rFonts w:ascii="Arial" w:hAnsi="Arial" w:eastAsia="黑体"/>
      <w:b/>
      <w:kern w:val="2"/>
      <w:sz w:val="32"/>
    </w:rPr>
  </w:style>
  <w:style w:type="character" w:customStyle="1" w:styleId="86">
    <w:name w:val="标题 3 Char"/>
    <w:link w:val="5"/>
    <w:autoRedefine/>
    <w:qFormat/>
    <w:uiPriority w:val="0"/>
    <w:rPr>
      <w:b/>
      <w:kern w:val="2"/>
      <w:sz w:val="32"/>
    </w:rPr>
  </w:style>
  <w:style w:type="character" w:customStyle="1" w:styleId="87">
    <w:name w:val="标题 4 Char"/>
    <w:link w:val="6"/>
    <w:autoRedefine/>
    <w:qFormat/>
    <w:uiPriority w:val="0"/>
    <w:rPr>
      <w:rFonts w:ascii="宋体" w:eastAsia="宋体"/>
      <w:color w:val="800000"/>
      <w:sz w:val="28"/>
      <w:lang w:val="en-US" w:eastAsia="zh-CN" w:bidi="ar-SA"/>
    </w:rPr>
  </w:style>
  <w:style w:type="character" w:customStyle="1" w:styleId="88">
    <w:name w:val="题注 Char"/>
    <w:link w:val="17"/>
    <w:autoRedefine/>
    <w:qFormat/>
    <w:uiPriority w:val="0"/>
    <w:rPr>
      <w:rFonts w:ascii="Arial" w:hAnsi="Arial" w:eastAsia="黑体" w:cs="Arial"/>
      <w:kern w:val="2"/>
    </w:rPr>
  </w:style>
  <w:style w:type="character" w:customStyle="1" w:styleId="89">
    <w:name w:val="批注文字 Char"/>
    <w:link w:val="21"/>
    <w:autoRedefine/>
    <w:qFormat/>
    <w:uiPriority w:val="99"/>
    <w:rPr>
      <w:rFonts w:ascii="Calibri" w:hAnsi="Calibri" w:eastAsia="宋体" w:cs="Times New Roman"/>
      <w:kern w:val="2"/>
      <w:sz w:val="21"/>
    </w:rPr>
  </w:style>
  <w:style w:type="character" w:customStyle="1" w:styleId="90">
    <w:name w:val="正文文本 Char"/>
    <w:link w:val="25"/>
    <w:autoRedefine/>
    <w:qFormat/>
    <w:uiPriority w:val="0"/>
    <w:rPr>
      <w:rFonts w:ascii="仿宋_GB2312" w:eastAsia="仿宋_GB2312"/>
      <w:kern w:val="2"/>
      <w:sz w:val="32"/>
      <w:szCs w:val="22"/>
    </w:rPr>
  </w:style>
  <w:style w:type="character" w:customStyle="1" w:styleId="91">
    <w:name w:val="页脚 Char"/>
    <w:link w:val="41"/>
    <w:autoRedefine/>
    <w:qFormat/>
    <w:uiPriority w:val="99"/>
    <w:rPr>
      <w:rFonts w:ascii="Calibri" w:hAnsi="Calibri" w:eastAsia="宋体" w:cs="Times New Roman"/>
      <w:kern w:val="2"/>
      <w:sz w:val="18"/>
      <w:szCs w:val="18"/>
    </w:rPr>
  </w:style>
  <w:style w:type="character" w:customStyle="1" w:styleId="92">
    <w:name w:val="页眉 Char"/>
    <w:link w:val="43"/>
    <w:autoRedefine/>
    <w:qFormat/>
    <w:uiPriority w:val="99"/>
    <w:rPr>
      <w:kern w:val="2"/>
      <w:sz w:val="18"/>
      <w:szCs w:val="18"/>
    </w:rPr>
  </w:style>
  <w:style w:type="character" w:customStyle="1" w:styleId="93">
    <w:name w:val="正文首行缩进 2 Char"/>
    <w:link w:val="64"/>
    <w:autoRedefine/>
    <w:qFormat/>
    <w:uiPriority w:val="0"/>
    <w:rPr>
      <w:rFonts w:eastAsia="仿宋_GB2312"/>
      <w:sz w:val="24"/>
      <w:szCs w:val="24"/>
      <w:lang w:bidi="ar-SA"/>
    </w:rPr>
  </w:style>
  <w:style w:type="character" w:customStyle="1" w:styleId="94">
    <w:name w:val="maywed421"/>
    <w:autoRedefine/>
    <w:qFormat/>
    <w:uiPriority w:val="0"/>
    <w:rPr>
      <w:color w:val="366FB6"/>
      <w:u w:val="none"/>
    </w:rPr>
  </w:style>
  <w:style w:type="character" w:customStyle="1" w:styleId="95">
    <w:name w:val="Comment Text Char"/>
    <w:autoRedefine/>
    <w:qFormat/>
    <w:uiPriority w:val="0"/>
    <w:rPr>
      <w:rFonts w:cs="Times New Roman"/>
      <w:sz w:val="21"/>
      <w:szCs w:val="21"/>
      <w:lang w:bidi="ar-SA"/>
    </w:rPr>
  </w:style>
  <w:style w:type="character" w:customStyle="1" w:styleId="96">
    <w:name w:val="Char Char3"/>
    <w:autoRedefine/>
    <w:qFormat/>
    <w:uiPriority w:val="0"/>
    <w:rPr>
      <w:rFonts w:ascii="Arial" w:hAnsi="Arial" w:eastAsia="黑体" w:cs="Times New Roman"/>
      <w:b/>
      <w:bCs/>
      <w:kern w:val="2"/>
      <w:sz w:val="32"/>
      <w:szCs w:val="32"/>
      <w:lang w:val="en-US" w:eastAsia="zh-CN" w:bidi="ar-SA"/>
    </w:rPr>
  </w:style>
  <w:style w:type="character" w:customStyle="1" w:styleId="97">
    <w:name w:val="Heading 3 Char"/>
    <w:autoRedefine/>
    <w:qFormat/>
    <w:uiPriority w:val="0"/>
    <w:rPr>
      <w:rFonts w:cs="Times New Roman"/>
      <w:b/>
      <w:bCs/>
      <w:sz w:val="32"/>
      <w:szCs w:val="32"/>
      <w:lang w:bidi="ar-SA"/>
    </w:rPr>
  </w:style>
  <w:style w:type="character" w:customStyle="1" w:styleId="98">
    <w:name w:val="A0"/>
    <w:autoRedefine/>
    <w:qFormat/>
    <w:uiPriority w:val="0"/>
    <w:rPr>
      <w:rFonts w:ascii=".....?." w:hAnsi="宋体" w:eastAsia=".....?."/>
      <w:color w:val="000000"/>
      <w:sz w:val="22"/>
    </w:rPr>
  </w:style>
  <w:style w:type="character" w:customStyle="1" w:styleId="99">
    <w:name w:val="style91"/>
    <w:autoRedefine/>
    <w:qFormat/>
    <w:uiPriority w:val="0"/>
    <w:rPr>
      <w:color w:val="2060C0"/>
      <w:sz w:val="24"/>
      <w:szCs w:val="24"/>
    </w:rPr>
  </w:style>
  <w:style w:type="character" w:customStyle="1" w:styleId="100">
    <w:name w:val="marklong"/>
    <w:autoRedefine/>
    <w:qFormat/>
    <w:uiPriority w:val="0"/>
  </w:style>
  <w:style w:type="character" w:customStyle="1" w:styleId="101">
    <w:name w:val="font01"/>
    <w:autoRedefine/>
    <w:qFormat/>
    <w:uiPriority w:val="0"/>
    <w:rPr>
      <w:rFonts w:hint="eastAsia" w:ascii="宋体" w:hAnsi="宋体" w:eastAsia="宋体" w:cs="宋体"/>
      <w:color w:val="000000"/>
      <w:sz w:val="24"/>
      <w:szCs w:val="24"/>
      <w:u w:val="none"/>
    </w:rPr>
  </w:style>
  <w:style w:type="character" w:customStyle="1" w:styleId="102">
    <w:name w:val="mark"/>
    <w:autoRedefine/>
    <w:qFormat/>
    <w:uiPriority w:val="0"/>
    <w:rPr>
      <w:rFonts w:ascii="Times New Roman" w:hAnsi="Times New Roman" w:eastAsia="宋体" w:cs="Times New Roman"/>
    </w:rPr>
  </w:style>
  <w:style w:type="character" w:customStyle="1" w:styleId="103">
    <w:name w:val="font51"/>
    <w:autoRedefine/>
    <w:qFormat/>
    <w:uiPriority w:val="99"/>
    <w:rPr>
      <w:rFonts w:ascii="宋体" w:hAnsi="宋体" w:eastAsia="宋体" w:cs="宋体"/>
      <w:color w:val="000000"/>
      <w:sz w:val="22"/>
      <w:szCs w:val="22"/>
    </w:rPr>
  </w:style>
  <w:style w:type="character" w:customStyle="1" w:styleId="104">
    <w:name w:val=" Char Char23"/>
    <w:autoRedefine/>
    <w:qFormat/>
    <w:uiPriority w:val="0"/>
    <w:rPr>
      <w:kern w:val="2"/>
      <w:sz w:val="24"/>
      <w:szCs w:val="21"/>
      <w:lang w:bidi="ar-SA"/>
    </w:rPr>
  </w:style>
  <w:style w:type="character" w:customStyle="1" w:styleId="105">
    <w:name w:val="A1"/>
    <w:autoRedefine/>
    <w:qFormat/>
    <w:uiPriority w:val="0"/>
    <w:rPr>
      <w:rFonts w:ascii="Univers LT Std 45 Light" w:hAnsi="宋体" w:eastAsia="Univers LT Std 45 Light" w:cs="Univers LT Std 45 Light"/>
      <w:color w:val="221E1F"/>
      <w:sz w:val="10"/>
      <w:szCs w:val="10"/>
    </w:rPr>
  </w:style>
  <w:style w:type="character" w:customStyle="1" w:styleId="106">
    <w:name w:val="无间隔 Char"/>
    <w:link w:val="107"/>
    <w:autoRedefine/>
    <w:qFormat/>
    <w:uiPriority w:val="0"/>
    <w:rPr>
      <w:kern w:val="2"/>
      <w:sz w:val="22"/>
      <w:lang w:val="en-US" w:eastAsia="zh-CN" w:bidi="ar-SA"/>
    </w:rPr>
  </w:style>
  <w:style w:type="paragraph" w:styleId="107">
    <w:name w:val="No Spacing"/>
    <w:link w:val="106"/>
    <w:autoRedefine/>
    <w:qFormat/>
    <w:uiPriority w:val="0"/>
    <w:rPr>
      <w:rFonts w:ascii="Times New Roman" w:hAnsi="Times New Roman" w:eastAsia="宋体" w:cs="Times New Roman"/>
      <w:kern w:val="2"/>
      <w:sz w:val="22"/>
      <w:lang w:val="en-US" w:eastAsia="zh-CN" w:bidi="ar-SA"/>
    </w:rPr>
  </w:style>
  <w:style w:type="character" w:customStyle="1" w:styleId="108">
    <w:name w:val="apple-style-span"/>
    <w:autoRedefine/>
    <w:qFormat/>
    <w:uiPriority w:val="0"/>
    <w:rPr>
      <w:rFonts w:ascii="宋体" w:hAnsi="宋体" w:cs="Times New Roman"/>
    </w:rPr>
  </w:style>
  <w:style w:type="character" w:customStyle="1" w:styleId="109">
    <w:name w:val="标题 2 Char Char Char"/>
    <w:autoRedefine/>
    <w:qFormat/>
    <w:uiPriority w:val="0"/>
    <w:rPr>
      <w:rFonts w:ascii="Arial" w:hAnsi="Arial" w:eastAsia="宋体" w:cs="Arial"/>
      <w:b/>
      <w:bCs/>
      <w:i/>
      <w:iCs/>
      <w:sz w:val="28"/>
      <w:szCs w:val="28"/>
      <w:lang w:val="en-US" w:eastAsia="zh-CN" w:bidi="ar-SA"/>
    </w:rPr>
  </w:style>
  <w:style w:type="character" w:customStyle="1" w:styleId="110">
    <w:name w:val="Header Char1"/>
    <w:autoRedefine/>
    <w:qFormat/>
    <w:uiPriority w:val="0"/>
    <w:rPr>
      <w:rFonts w:cs="Times New Roman"/>
      <w:sz w:val="18"/>
      <w:szCs w:val="18"/>
      <w:lang w:bidi="ar-SA"/>
    </w:rPr>
  </w:style>
  <w:style w:type="character" w:customStyle="1" w:styleId="111">
    <w:name w:val="纯文本 Char_0_0"/>
    <w:link w:val="112"/>
    <w:autoRedefine/>
    <w:qFormat/>
    <w:uiPriority w:val="0"/>
    <w:rPr>
      <w:rFonts w:ascii="宋体" w:hAnsi="Courier New"/>
      <w:kern w:val="2"/>
      <w:sz w:val="21"/>
      <w:szCs w:val="21"/>
    </w:rPr>
  </w:style>
  <w:style w:type="paragraph" w:customStyle="1" w:styleId="112">
    <w:name w:val="纯文本_0_0"/>
    <w:basedOn w:val="113"/>
    <w:link w:val="111"/>
    <w:autoRedefine/>
    <w:unhideWhenUsed/>
    <w:qFormat/>
    <w:uiPriority w:val="0"/>
    <w:rPr>
      <w:rFonts w:ascii="宋体" w:hAnsi="Courier New"/>
      <w:szCs w:val="21"/>
    </w:rPr>
  </w:style>
  <w:style w:type="paragraph" w:customStyle="1" w:styleId="113">
    <w:name w:val="正文_7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14">
    <w:name w:val="纯文本 Char_0"/>
    <w:link w:val="115"/>
    <w:autoRedefine/>
    <w:qFormat/>
    <w:uiPriority w:val="0"/>
    <w:rPr>
      <w:rFonts w:ascii="宋体" w:hAnsi="Courier New" w:cs="Courier New"/>
      <w:kern w:val="2"/>
      <w:sz w:val="21"/>
      <w:szCs w:val="21"/>
    </w:rPr>
  </w:style>
  <w:style w:type="paragraph" w:customStyle="1" w:styleId="115">
    <w:name w:val="纯文本_0"/>
    <w:basedOn w:val="116"/>
    <w:link w:val="114"/>
    <w:autoRedefine/>
    <w:unhideWhenUsed/>
    <w:qFormat/>
    <w:uiPriority w:val="0"/>
    <w:rPr>
      <w:rFonts w:ascii="宋体" w:hAnsi="Courier New"/>
      <w:szCs w:val="21"/>
    </w:rPr>
  </w:style>
  <w:style w:type="paragraph" w:customStyle="1" w:styleId="116">
    <w:name w:val="正文_7"/>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17">
    <w:name w:val="font21"/>
    <w:autoRedefine/>
    <w:qFormat/>
    <w:uiPriority w:val="0"/>
    <w:rPr>
      <w:rFonts w:ascii="Times New Roman" w:hAnsi="Times New Roman"/>
      <w:color w:val="000000"/>
      <w:sz w:val="20"/>
      <w:u w:val="none"/>
    </w:rPr>
  </w:style>
  <w:style w:type="character" w:customStyle="1" w:styleId="118">
    <w:name w:val="普通文字1 Char"/>
    <w:autoRedefine/>
    <w:qFormat/>
    <w:uiPriority w:val="0"/>
    <w:rPr>
      <w:rFonts w:ascii="宋体" w:eastAsia="宋体" w:cs="Courier New"/>
      <w:kern w:val="2"/>
      <w:sz w:val="21"/>
      <w:szCs w:val="21"/>
      <w:lang w:val="en-US" w:eastAsia="zh-CN" w:bidi="ar-SA"/>
    </w:rPr>
  </w:style>
  <w:style w:type="character" w:customStyle="1" w:styleId="119">
    <w:name w:val="ca-1"/>
    <w:autoRedefine/>
    <w:qFormat/>
    <w:uiPriority w:val="0"/>
  </w:style>
  <w:style w:type="character" w:customStyle="1" w:styleId="120">
    <w:name w:val="正文缩进 Char1_0"/>
    <w:link w:val="121"/>
    <w:autoRedefine/>
    <w:qFormat/>
    <w:locked/>
    <w:uiPriority w:val="0"/>
    <w:rPr>
      <w:kern w:val="2"/>
      <w:sz w:val="21"/>
      <w:szCs w:val="22"/>
    </w:rPr>
  </w:style>
  <w:style w:type="paragraph" w:customStyle="1" w:styleId="121">
    <w:name w:val="正文缩进_0"/>
    <w:basedOn w:val="116"/>
    <w:link w:val="120"/>
    <w:autoRedefine/>
    <w:unhideWhenUsed/>
    <w:qFormat/>
    <w:uiPriority w:val="0"/>
    <w:pPr>
      <w:ind w:firstLine="420" w:firstLineChars="200"/>
    </w:pPr>
    <w:rPr>
      <w:szCs w:val="22"/>
    </w:rPr>
  </w:style>
  <w:style w:type="character" w:customStyle="1" w:styleId="122">
    <w:name w:val="font41"/>
    <w:autoRedefine/>
    <w:qFormat/>
    <w:uiPriority w:val="0"/>
    <w:rPr>
      <w:rFonts w:hint="eastAsia" w:ascii="宋体" w:hAnsi="宋体" w:eastAsia="宋体" w:cs="宋体"/>
      <w:color w:val="000000"/>
      <w:sz w:val="24"/>
      <w:szCs w:val="24"/>
      <w:u w:val="none"/>
    </w:rPr>
  </w:style>
  <w:style w:type="character" w:customStyle="1" w:styleId="123">
    <w:name w:val="font11"/>
    <w:autoRedefine/>
    <w:qFormat/>
    <w:uiPriority w:val="0"/>
    <w:rPr>
      <w:rFonts w:hint="default" w:ascii="Times" w:hAnsi="Times" w:eastAsia="Times" w:cs="Times"/>
      <w:color w:val="000000"/>
      <w:sz w:val="24"/>
      <w:szCs w:val="24"/>
      <w:u w:val="none"/>
    </w:rPr>
  </w:style>
  <w:style w:type="character" w:customStyle="1" w:styleId="124">
    <w:name w:val="style161"/>
    <w:autoRedefine/>
    <w:qFormat/>
    <w:uiPriority w:val="0"/>
    <w:rPr>
      <w:rFonts w:ascii="Verdana" w:hAnsi="Verdana" w:eastAsia="宋体"/>
      <w:b/>
      <w:color w:val="0A246A"/>
      <w:sz w:val="24"/>
      <w:szCs w:val="24"/>
      <w:lang w:val="en-US" w:eastAsia="zh-CN" w:bidi="ar-SA"/>
    </w:rPr>
  </w:style>
  <w:style w:type="character" w:customStyle="1" w:styleId="125">
    <w:name w:val="style15"/>
    <w:autoRedefine/>
    <w:qFormat/>
    <w:uiPriority w:val="0"/>
  </w:style>
  <w:style w:type="character" w:customStyle="1" w:styleId="126">
    <w:name w:val="ca-11"/>
    <w:autoRedefine/>
    <w:qFormat/>
    <w:uiPriority w:val="0"/>
    <w:rPr>
      <w:rFonts w:ascii="宋体" w:eastAsia="宋体"/>
      <w:b/>
      <w:bCs/>
      <w:color w:val="000000"/>
      <w:spacing w:val="-20"/>
      <w:sz w:val="28"/>
      <w:szCs w:val="28"/>
    </w:rPr>
  </w:style>
  <w:style w:type="character" w:customStyle="1" w:styleId="127">
    <w:name w:val="Plain Text Char1"/>
    <w:autoRedefine/>
    <w:qFormat/>
    <w:uiPriority w:val="0"/>
    <w:rPr>
      <w:rFonts w:ascii="宋体" w:eastAsia="宋体"/>
      <w:kern w:val="2"/>
      <w:sz w:val="21"/>
      <w:szCs w:val="21"/>
      <w:lang w:val="en-US" w:eastAsia="zh-CN" w:bidi="ar-SA"/>
    </w:rPr>
  </w:style>
  <w:style w:type="character" w:customStyle="1" w:styleId="128">
    <w:name w:val="ca-41"/>
    <w:autoRedefine/>
    <w:qFormat/>
    <w:uiPriority w:val="0"/>
    <w:rPr>
      <w:rFonts w:ascii="宋体" w:eastAsia="宋体"/>
      <w:b/>
      <w:bCs/>
      <w:color w:val="000000"/>
      <w:spacing w:val="-20"/>
      <w:sz w:val="21"/>
      <w:szCs w:val="21"/>
    </w:rPr>
  </w:style>
  <w:style w:type="character" w:customStyle="1" w:styleId="129">
    <w:name w:val="Heading 2 Char"/>
    <w:autoRedefine/>
    <w:qFormat/>
    <w:uiPriority w:val="0"/>
    <w:rPr>
      <w:rFonts w:ascii="Arial" w:hAnsi="Arial" w:eastAsia="黑体"/>
      <w:b/>
      <w:bCs/>
      <w:kern w:val="2"/>
      <w:sz w:val="32"/>
      <w:szCs w:val="32"/>
      <w:lang w:val="en-US" w:eastAsia="zh-CN" w:bidi="ar-SA"/>
    </w:rPr>
  </w:style>
  <w:style w:type="character" w:customStyle="1" w:styleId="130">
    <w:name w:val="正文文本缩进 Char"/>
    <w:link w:val="131"/>
    <w:autoRedefine/>
    <w:qFormat/>
    <w:uiPriority w:val="0"/>
    <w:rPr>
      <w:rFonts w:hAnsi="Times New Roman"/>
      <w:szCs w:val="20"/>
    </w:rPr>
  </w:style>
  <w:style w:type="paragraph" w:customStyle="1" w:styleId="131">
    <w:name w:val="正文文本缩进_0"/>
    <w:basedOn w:val="132"/>
    <w:link w:val="130"/>
    <w:autoRedefine/>
    <w:qFormat/>
    <w:uiPriority w:val="0"/>
    <w:pPr>
      <w:spacing w:line="360" w:lineRule="auto"/>
      <w:ind w:firstLine="420"/>
    </w:pPr>
    <w:rPr>
      <w:kern w:val="0"/>
      <w:sz w:val="20"/>
    </w:rPr>
  </w:style>
  <w:style w:type="paragraph" w:customStyle="1" w:styleId="132">
    <w:name w:val="正文_2"/>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33">
    <w:name w:val="Heading 4 Char"/>
    <w:autoRedefine/>
    <w:qFormat/>
    <w:uiPriority w:val="0"/>
    <w:rPr>
      <w:rFonts w:ascii="Cambria" w:hAnsi="Cambria" w:eastAsia="宋体" w:cs="Cambria"/>
      <w:b/>
      <w:bCs/>
      <w:sz w:val="28"/>
      <w:szCs w:val="28"/>
      <w:lang w:bidi="ar-SA"/>
    </w:rPr>
  </w:style>
  <w:style w:type="character" w:customStyle="1" w:styleId="134">
    <w:name w:val="Footer Char1"/>
    <w:autoRedefine/>
    <w:qFormat/>
    <w:uiPriority w:val="0"/>
    <w:rPr>
      <w:rFonts w:cs="Times New Roman"/>
      <w:sz w:val="18"/>
      <w:szCs w:val="18"/>
      <w:lang w:bidi="ar-SA"/>
    </w:rPr>
  </w:style>
  <w:style w:type="character" w:customStyle="1" w:styleId="135">
    <w:name w:val="正文（编号） Char Char"/>
    <w:link w:val="136"/>
    <w:autoRedefine/>
    <w:qFormat/>
    <w:uiPriority w:val="0"/>
    <w:rPr>
      <w:kern w:val="2"/>
      <w:sz w:val="24"/>
      <w:szCs w:val="24"/>
    </w:rPr>
  </w:style>
  <w:style w:type="paragraph" w:customStyle="1" w:styleId="136">
    <w:name w:val="正文（编号）"/>
    <w:basedOn w:val="137"/>
    <w:link w:val="135"/>
    <w:autoRedefine/>
    <w:qFormat/>
    <w:uiPriority w:val="0"/>
    <w:pPr>
      <w:tabs>
        <w:tab w:val="left" w:pos="720"/>
        <w:tab w:val="left" w:pos="780"/>
      </w:tabs>
      <w:spacing w:beforeLines="0" w:afterLines="0"/>
      <w:ind w:left="720" w:firstLine="0" w:firstLineChars="0"/>
    </w:pPr>
    <w:rPr>
      <w:szCs w:val="24"/>
    </w:rPr>
  </w:style>
  <w:style w:type="paragraph" w:customStyle="1" w:styleId="137">
    <w:name w:val="正文（缩进）"/>
    <w:basedOn w:val="1"/>
    <w:autoRedefine/>
    <w:qFormat/>
    <w:uiPriority w:val="0"/>
    <w:pPr>
      <w:spacing w:before="50" w:beforeLines="50" w:after="50" w:afterLines="50" w:line="360" w:lineRule="auto"/>
      <w:ind w:firstLine="200" w:firstLineChars="200"/>
    </w:pPr>
    <w:rPr>
      <w:sz w:val="24"/>
    </w:rPr>
  </w:style>
  <w:style w:type="character" w:customStyle="1" w:styleId="138">
    <w:name w:val="ca-51"/>
    <w:autoRedefine/>
    <w:qFormat/>
    <w:uiPriority w:val="0"/>
    <w:rPr>
      <w:rFonts w:ascii="楷体_GB2312" w:eastAsia="楷体_GB2312"/>
      <w:b/>
      <w:bCs/>
      <w:spacing w:val="-20"/>
      <w:sz w:val="24"/>
      <w:szCs w:val="24"/>
    </w:rPr>
  </w:style>
  <w:style w:type="character" w:customStyle="1" w:styleId="139">
    <w:name w:val="z1"/>
    <w:autoRedefine/>
    <w:qFormat/>
    <w:uiPriority w:val="0"/>
  </w:style>
  <w:style w:type="character" w:customStyle="1" w:styleId="140">
    <w:name w:val="Char Char1"/>
    <w:autoRedefine/>
    <w:qFormat/>
    <w:uiPriority w:val="0"/>
    <w:rPr>
      <w:rFonts w:ascii="宋体" w:eastAsia="宋体"/>
      <w:kern w:val="2"/>
      <w:sz w:val="21"/>
      <w:lang w:val="en-US" w:eastAsia="zh-CN"/>
    </w:rPr>
  </w:style>
  <w:style w:type="character" w:customStyle="1" w:styleId="141">
    <w:name w:val="正文（标记） Char2"/>
    <w:link w:val="142"/>
    <w:autoRedefine/>
    <w:qFormat/>
    <w:uiPriority w:val="0"/>
    <w:rPr>
      <w:kern w:val="2"/>
      <w:sz w:val="24"/>
      <w:szCs w:val="24"/>
    </w:rPr>
  </w:style>
  <w:style w:type="paragraph" w:customStyle="1" w:styleId="142">
    <w:name w:val="正文（标记）"/>
    <w:basedOn w:val="1"/>
    <w:link w:val="141"/>
    <w:autoRedefine/>
    <w:qFormat/>
    <w:uiPriority w:val="0"/>
    <w:pPr>
      <w:tabs>
        <w:tab w:val="left" w:pos="0"/>
        <w:tab w:val="left" w:pos="840"/>
      </w:tabs>
      <w:spacing w:before="50" w:beforeLines="50" w:after="50" w:afterLines="50"/>
    </w:pPr>
    <w:rPr>
      <w:sz w:val="24"/>
      <w:szCs w:val="24"/>
    </w:rPr>
  </w:style>
  <w:style w:type="character" w:customStyle="1" w:styleId="143">
    <w:name w:val="ca-31"/>
    <w:autoRedefine/>
    <w:qFormat/>
    <w:uiPriority w:val="0"/>
    <w:rPr>
      <w:rFonts w:ascii="宋体" w:eastAsia="宋体"/>
      <w:color w:val="000000"/>
      <w:sz w:val="21"/>
      <w:szCs w:val="21"/>
    </w:rPr>
  </w:style>
  <w:style w:type="character" w:customStyle="1" w:styleId="144">
    <w:name w:val="Char Char"/>
    <w:autoRedefine/>
    <w:qFormat/>
    <w:uiPriority w:val="0"/>
    <w:rPr>
      <w:rFonts w:eastAsia="宋体"/>
      <w:kern w:val="2"/>
      <w:sz w:val="18"/>
      <w:lang w:val="en-US" w:eastAsia="zh-CN"/>
    </w:rPr>
  </w:style>
  <w:style w:type="character" w:customStyle="1" w:styleId="145">
    <w:name w:val="Plain Text Char"/>
    <w:autoRedefine/>
    <w:qFormat/>
    <w:uiPriority w:val="0"/>
    <w:rPr>
      <w:rFonts w:ascii="宋体" w:eastAsia="宋体"/>
      <w:kern w:val="2"/>
      <w:sz w:val="21"/>
      <w:lang w:val="en-US" w:eastAsia="zh-CN"/>
    </w:rPr>
  </w:style>
  <w:style w:type="character" w:customStyle="1" w:styleId="146">
    <w:name w:val=" Char Char3"/>
    <w:autoRedefine/>
    <w:qFormat/>
    <w:uiPriority w:val="0"/>
    <w:rPr>
      <w:rFonts w:ascii="宋体" w:eastAsia="宋体"/>
      <w:sz w:val="18"/>
      <w:szCs w:val="18"/>
      <w:lang w:val="en-US" w:eastAsia="zh-CN" w:bidi="ar-SA"/>
    </w:rPr>
  </w:style>
  <w:style w:type="character" w:customStyle="1" w:styleId="147">
    <w:name w:val=" Char Char2"/>
    <w:autoRedefine/>
    <w:qFormat/>
    <w:uiPriority w:val="0"/>
    <w:rPr>
      <w:kern w:val="2"/>
      <w:sz w:val="18"/>
      <w:szCs w:val="18"/>
    </w:rPr>
  </w:style>
  <w:style w:type="character" w:customStyle="1" w:styleId="148">
    <w:name w:val="wj1"/>
    <w:autoRedefine/>
    <w:qFormat/>
    <w:uiPriority w:val="0"/>
    <w:rPr>
      <w:color w:val="000000"/>
      <w:sz w:val="18"/>
      <w:szCs w:val="18"/>
      <w:u w:val="none"/>
    </w:rPr>
  </w:style>
  <w:style w:type="character" w:customStyle="1" w:styleId="149">
    <w:name w:val="z12 style23"/>
    <w:autoRedefine/>
    <w:qFormat/>
    <w:uiPriority w:val="0"/>
  </w:style>
  <w:style w:type="character" w:customStyle="1" w:styleId="150">
    <w:name w:val="Footer Char"/>
    <w:autoRedefine/>
    <w:qFormat/>
    <w:uiPriority w:val="0"/>
    <w:rPr>
      <w:rFonts w:eastAsia="宋体"/>
      <w:kern w:val="2"/>
      <w:sz w:val="18"/>
      <w:lang w:val="en-US" w:eastAsia="zh-CN"/>
    </w:rPr>
  </w:style>
  <w:style w:type="character" w:customStyle="1" w:styleId="151">
    <w:name w:val="question-title"/>
    <w:autoRedefine/>
    <w:qFormat/>
    <w:uiPriority w:val="0"/>
  </w:style>
  <w:style w:type="character" w:customStyle="1" w:styleId="152">
    <w:name w:val="font71"/>
    <w:autoRedefine/>
    <w:qFormat/>
    <w:uiPriority w:val="0"/>
    <w:rPr>
      <w:rFonts w:hint="eastAsia" w:ascii="宋体" w:hAnsi="宋体" w:eastAsia="宋体" w:cs="宋体"/>
      <w:color w:val="FF0000"/>
      <w:sz w:val="24"/>
      <w:szCs w:val="24"/>
      <w:u w:val="none"/>
    </w:rPr>
  </w:style>
  <w:style w:type="character" w:customStyle="1" w:styleId="153">
    <w:name w:val="ca-21"/>
    <w:autoRedefine/>
    <w:qFormat/>
    <w:uiPriority w:val="0"/>
    <w:rPr>
      <w:rFonts w:ascii="宋体" w:eastAsia="宋体"/>
      <w:sz w:val="21"/>
    </w:rPr>
  </w:style>
  <w:style w:type="character" w:customStyle="1" w:styleId="154">
    <w:name w:val="正文（缩进） Char Char"/>
    <w:autoRedefine/>
    <w:qFormat/>
    <w:uiPriority w:val="0"/>
    <w:rPr>
      <w:rFonts w:eastAsia="宋体"/>
      <w:kern w:val="2"/>
      <w:sz w:val="24"/>
      <w:szCs w:val="24"/>
      <w:lang w:val="en-US" w:eastAsia="zh-CN" w:bidi="ar-SA"/>
    </w:rPr>
  </w:style>
  <w:style w:type="character" w:customStyle="1" w:styleId="155">
    <w:name w:val="ca-01"/>
    <w:autoRedefine/>
    <w:qFormat/>
    <w:uiPriority w:val="0"/>
    <w:rPr>
      <w:rFonts w:ascii="宋体" w:eastAsia="宋体"/>
      <w:b/>
      <w:bCs/>
      <w:spacing w:val="-20"/>
      <w:sz w:val="24"/>
      <w:szCs w:val="24"/>
    </w:rPr>
  </w:style>
  <w:style w:type="character" w:customStyle="1" w:styleId="156">
    <w:name w:val="正文文本缩进 2 Char"/>
    <w:link w:val="157"/>
    <w:autoRedefine/>
    <w:qFormat/>
    <w:uiPriority w:val="0"/>
    <w:rPr>
      <w:rFonts w:hAnsi="Times New Roman"/>
      <w:sz w:val="21"/>
      <w:szCs w:val="20"/>
    </w:rPr>
  </w:style>
  <w:style w:type="paragraph" w:customStyle="1" w:styleId="157">
    <w:name w:val="正文文本缩进 2_0"/>
    <w:basedOn w:val="132"/>
    <w:link w:val="156"/>
    <w:autoRedefine/>
    <w:qFormat/>
    <w:uiPriority w:val="0"/>
    <w:pPr>
      <w:spacing w:line="420" w:lineRule="exact"/>
      <w:ind w:firstLine="525"/>
    </w:pPr>
    <w:rPr>
      <w:kern w:val="0"/>
    </w:rPr>
  </w:style>
  <w:style w:type="character" w:customStyle="1" w:styleId="158">
    <w:name w:val="Header Char"/>
    <w:autoRedefine/>
    <w:qFormat/>
    <w:uiPriority w:val="0"/>
    <w:rPr>
      <w:rFonts w:eastAsia="宋体"/>
      <w:kern w:val="2"/>
      <w:sz w:val="18"/>
      <w:lang w:val="en-US" w:eastAsia="zh-CN"/>
    </w:rPr>
  </w:style>
  <w:style w:type="character" w:customStyle="1" w:styleId="159">
    <w:name w:val="font31"/>
    <w:autoRedefine/>
    <w:qFormat/>
    <w:uiPriority w:val="0"/>
    <w:rPr>
      <w:rFonts w:hint="default" w:ascii="Arial" w:hAnsi="Arial" w:cs="Arial"/>
      <w:color w:val="000000"/>
      <w:sz w:val="22"/>
      <w:szCs w:val="22"/>
      <w:u w:val="none"/>
    </w:rPr>
  </w:style>
  <w:style w:type="character" w:customStyle="1" w:styleId="160">
    <w:name w:val="Char Char2"/>
    <w:autoRedefine/>
    <w:qFormat/>
    <w:uiPriority w:val="0"/>
    <w:rPr>
      <w:kern w:val="2"/>
      <w:sz w:val="18"/>
      <w:szCs w:val="18"/>
    </w:rPr>
  </w:style>
  <w:style w:type="character" w:styleId="161">
    <w:name w:val="Placeholder Text"/>
    <w:autoRedefine/>
    <w:qFormat/>
    <w:uiPriority w:val="99"/>
    <w:rPr>
      <w:color w:val="808080"/>
    </w:rPr>
  </w:style>
  <w:style w:type="character" w:customStyle="1" w:styleId="162">
    <w:name w:val="段落 Char"/>
    <w:autoRedefine/>
    <w:qFormat/>
    <w:uiPriority w:val="0"/>
    <w:rPr>
      <w:rFonts w:ascii="仿宋_GB2312" w:eastAsia="仿宋_GB2312"/>
      <w:kern w:val="2"/>
      <w:sz w:val="24"/>
      <w:szCs w:val="24"/>
      <w:lang w:val="en-US" w:eastAsia="zh-CN" w:bidi="ar-SA"/>
    </w:rPr>
  </w:style>
  <w:style w:type="character" w:customStyle="1" w:styleId="163">
    <w:name w:val="apple-converted-space"/>
    <w:autoRedefine/>
    <w:qFormat/>
    <w:uiPriority w:val="0"/>
  </w:style>
  <w:style w:type="paragraph" w:customStyle="1" w:styleId="164">
    <w:name w:val="说明书2级标题"/>
    <w:basedOn w:val="1"/>
    <w:next w:val="165"/>
    <w:autoRedefine/>
    <w:qFormat/>
    <w:uiPriority w:val="0"/>
    <w:pPr>
      <w:numPr>
        <w:ilvl w:val="2"/>
        <w:numId w:val="1"/>
      </w:numPr>
      <w:spacing w:before="100" w:beforeLines="100"/>
    </w:pPr>
    <w:rPr>
      <w:rFonts w:ascii="Calibri" w:hAnsi="Calibri" w:eastAsia="黑体"/>
      <w:sz w:val="28"/>
      <w:szCs w:val="28"/>
    </w:rPr>
  </w:style>
  <w:style w:type="paragraph" w:customStyle="1" w:styleId="165">
    <w:name w:val="说明书3级标题"/>
    <w:basedOn w:val="1"/>
    <w:next w:val="1"/>
    <w:autoRedefine/>
    <w:qFormat/>
    <w:uiPriority w:val="0"/>
    <w:pPr>
      <w:numPr>
        <w:ilvl w:val="2"/>
        <w:numId w:val="2"/>
      </w:numPr>
      <w:spacing w:line="360" w:lineRule="auto"/>
    </w:pPr>
    <w:rPr>
      <w:rFonts w:ascii="Calibri" w:hAnsi="Calibri" w:eastAsia="黑体"/>
      <w:sz w:val="24"/>
    </w:rPr>
  </w:style>
  <w:style w:type="paragraph" w:customStyle="1" w:styleId="166">
    <w:name w:val="正文_9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7">
    <w:name w:val="正文小四"/>
    <w:basedOn w:val="1"/>
    <w:autoRedefine/>
    <w:qFormat/>
    <w:uiPriority w:val="0"/>
    <w:pPr>
      <w:spacing w:line="312" w:lineRule="auto"/>
    </w:pPr>
    <w:rPr>
      <w:rFonts w:ascii="Calibri" w:hAnsi="Calibri"/>
      <w:sz w:val="24"/>
    </w:rPr>
  </w:style>
  <w:style w:type="paragraph" w:customStyle="1" w:styleId="168">
    <w:name w:val="CM17"/>
    <w:basedOn w:val="1"/>
    <w:next w:val="1"/>
    <w:autoRedefine/>
    <w:qFormat/>
    <w:uiPriority w:val="0"/>
    <w:pPr>
      <w:autoSpaceDE w:val="0"/>
      <w:autoSpaceDN w:val="0"/>
      <w:adjustRightInd w:val="0"/>
      <w:spacing w:after="273" w:line="360" w:lineRule="auto"/>
      <w:jc w:val="left"/>
    </w:pPr>
    <w:rPr>
      <w:rFonts w:ascii="宋体"/>
      <w:kern w:val="0"/>
      <w:sz w:val="24"/>
    </w:rPr>
  </w:style>
  <w:style w:type="paragraph" w:customStyle="1" w:styleId="169">
    <w:name w:val="正文_0_0_0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0">
    <w:name w:val="Normal_6"/>
    <w:autoRedefine/>
    <w:qFormat/>
    <w:uiPriority w:val="0"/>
    <w:rPr>
      <w:rFonts w:ascii="黑体" w:hAnsi="黑体" w:eastAsia="黑体" w:cs="Times New Roman"/>
      <w:b/>
      <w:sz w:val="32"/>
      <w:szCs w:val="24"/>
      <w:lang w:val="en-US" w:eastAsia="zh-CN" w:bidi="ar-SA"/>
    </w:rPr>
  </w:style>
  <w:style w:type="paragraph" w:customStyle="1" w:styleId="17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172">
    <w:name w:val="Normal_17_0"/>
    <w:autoRedefine/>
    <w:qFormat/>
    <w:uiPriority w:val="0"/>
    <w:rPr>
      <w:rFonts w:ascii="黑体" w:hAnsi="黑体" w:eastAsia="黑体" w:cs="Times New Roman"/>
      <w:b/>
      <w:sz w:val="32"/>
      <w:szCs w:val="24"/>
      <w:lang w:val="en-US" w:eastAsia="zh-CN" w:bidi="ar-SA"/>
    </w:rPr>
  </w:style>
  <w:style w:type="paragraph" w:customStyle="1" w:styleId="173">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规范正文"/>
    <w:basedOn w:val="1"/>
    <w:autoRedefine/>
    <w:qFormat/>
    <w:uiPriority w:val="0"/>
    <w:pPr>
      <w:adjustRightInd w:val="0"/>
      <w:spacing w:line="360" w:lineRule="auto"/>
      <w:ind w:left="480"/>
      <w:textAlignment w:val="baseline"/>
    </w:pPr>
    <w:rPr>
      <w:kern w:val="0"/>
      <w:sz w:val="24"/>
      <w:szCs w:val="20"/>
    </w:rPr>
  </w:style>
  <w:style w:type="paragraph" w:customStyle="1" w:styleId="175">
    <w:name w:val="txt"/>
    <w:basedOn w:val="1"/>
    <w:autoRedefine/>
    <w:qFormat/>
    <w:uiPriority w:val="0"/>
    <w:pPr>
      <w:widowControl/>
      <w:spacing w:before="100" w:beforeAutospacing="1" w:after="100" w:afterAutospacing="1"/>
      <w:jc w:val="left"/>
    </w:pPr>
    <w:rPr>
      <w:rFonts w:ascii="宋体" w:cs="宋体"/>
      <w:kern w:val="0"/>
      <w:sz w:val="24"/>
    </w:rPr>
  </w:style>
  <w:style w:type="paragraph" w:customStyle="1" w:styleId="176">
    <w:name w:val="Normal_9"/>
    <w:autoRedefine/>
    <w:qFormat/>
    <w:uiPriority w:val="0"/>
    <w:rPr>
      <w:rFonts w:ascii="黑体" w:hAnsi="黑体" w:eastAsia="黑体" w:cs="Times New Roman"/>
      <w:b/>
      <w:sz w:val="32"/>
      <w:szCs w:val="24"/>
      <w:lang w:val="en-US" w:eastAsia="zh-CN" w:bidi="ar-SA"/>
    </w:rPr>
  </w:style>
  <w:style w:type="paragraph" w:customStyle="1" w:styleId="177">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78">
    <w:name w:val="Normal_1_1"/>
    <w:autoRedefine/>
    <w:qFormat/>
    <w:uiPriority w:val="0"/>
    <w:rPr>
      <w:rFonts w:ascii="黑体" w:hAnsi="黑体" w:eastAsia="黑体" w:cs="Times New Roman"/>
      <w:b/>
      <w:sz w:val="32"/>
      <w:szCs w:val="24"/>
      <w:lang w:val="en-US" w:eastAsia="zh-CN" w:bidi="ar-SA"/>
    </w:rPr>
  </w:style>
  <w:style w:type="paragraph" w:customStyle="1" w:styleId="179">
    <w:name w:val="表格正文"/>
    <w:basedOn w:val="1"/>
    <w:autoRedefine/>
    <w:qFormat/>
    <w:uiPriority w:val="0"/>
    <w:pPr>
      <w:tabs>
        <w:tab w:val="left" w:pos="420"/>
      </w:tabs>
      <w:snapToGrid w:val="0"/>
      <w:spacing w:line="300" w:lineRule="auto"/>
    </w:pPr>
  </w:style>
  <w:style w:type="paragraph" w:customStyle="1" w:styleId="180">
    <w:name w:val="加点正文缩进"/>
    <w:basedOn w:val="1"/>
    <w:autoRedefine/>
    <w:qFormat/>
    <w:uiPriority w:val="0"/>
    <w:pPr>
      <w:tabs>
        <w:tab w:val="left" w:pos="840"/>
      </w:tabs>
      <w:snapToGrid w:val="0"/>
      <w:spacing w:line="300" w:lineRule="auto"/>
      <w:ind w:left="962" w:hanging="480"/>
    </w:pPr>
    <w:rPr>
      <w:snapToGrid w:val="0"/>
      <w:sz w:val="24"/>
    </w:rPr>
  </w:style>
  <w:style w:type="paragraph" w:customStyle="1" w:styleId="181">
    <w:name w:val="Normal_1_0"/>
    <w:autoRedefine/>
    <w:qFormat/>
    <w:uiPriority w:val="0"/>
    <w:rPr>
      <w:rFonts w:ascii="Times New Roman" w:hAnsi="Times New Roman" w:eastAsia="Times New Roman" w:cs="Times New Roman"/>
      <w:sz w:val="24"/>
      <w:szCs w:val="24"/>
      <w:lang w:val="en-US" w:eastAsia="zh-CN" w:bidi="ar-SA"/>
    </w:rPr>
  </w:style>
  <w:style w:type="paragraph" w:customStyle="1" w:styleId="182">
    <w:name w:val="Char Char1 Char Char Char Char Char Char Char Char"/>
    <w:basedOn w:val="1"/>
    <w:autoRedefine/>
    <w:qFormat/>
    <w:uiPriority w:val="0"/>
    <w:pPr>
      <w:widowControl/>
      <w:spacing w:after="160" w:line="240" w:lineRule="exact"/>
      <w:jc w:val="left"/>
    </w:pPr>
  </w:style>
  <w:style w:type="paragraph" w:customStyle="1" w:styleId="183">
    <w:name w:val="Char1"/>
    <w:basedOn w:val="1"/>
    <w:autoRedefine/>
    <w:qFormat/>
    <w:uiPriority w:val="0"/>
  </w:style>
  <w:style w:type="paragraph" w:customStyle="1" w:styleId="184">
    <w:name w:val="style42"/>
    <w:basedOn w:val="1"/>
    <w:autoRedefine/>
    <w:qFormat/>
    <w:uiPriority w:val="0"/>
    <w:pPr>
      <w:widowControl/>
      <w:spacing w:before="100" w:beforeAutospacing="1" w:after="100" w:afterAutospacing="1"/>
      <w:jc w:val="left"/>
    </w:pPr>
    <w:rPr>
      <w:rFonts w:ascii="宋体" w:cs="宋体"/>
      <w:color w:val="000000"/>
      <w:kern w:val="0"/>
      <w:sz w:val="15"/>
      <w:szCs w:val="15"/>
    </w:rPr>
  </w:style>
  <w:style w:type="paragraph" w:customStyle="1" w:styleId="185">
    <w:name w:val="表中文字"/>
    <w:basedOn w:val="1"/>
    <w:autoRedefine/>
    <w:qFormat/>
    <w:uiPriority w:val="0"/>
    <w:pPr>
      <w:widowControl/>
    </w:pPr>
    <w:rPr>
      <w:rFonts w:ascii="Calibri" w:hAnsi="Calibri"/>
      <w:szCs w:val="20"/>
    </w:rPr>
  </w:style>
  <w:style w:type="paragraph" w:customStyle="1" w:styleId="186">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187">
    <w:name w:val="无标题正文 Char Char Char Char Char Char Char Char Char Char Char Char Char Char Char Char Char Char Char Char Char Char Char Char Char Char Char1 Char"/>
    <w:basedOn w:val="1"/>
    <w:autoRedefine/>
    <w:qFormat/>
    <w:uiPriority w:val="0"/>
    <w:pPr>
      <w:widowControl/>
      <w:spacing w:after="160" w:line="240" w:lineRule="exact"/>
      <w:jc w:val="center"/>
    </w:pPr>
    <w:rPr>
      <w:rFonts w:ascii="Arial" w:hAnsi="Arial"/>
      <w:kern w:val="0"/>
      <w:sz w:val="20"/>
      <w:szCs w:val="20"/>
      <w:lang w:eastAsia="en-US"/>
    </w:rPr>
  </w:style>
  <w:style w:type="paragraph" w:customStyle="1" w:styleId="188">
    <w:name w:val=" Char1"/>
    <w:basedOn w:val="1"/>
    <w:autoRedefine/>
    <w:qFormat/>
    <w:uiPriority w:val="0"/>
    <w:pPr>
      <w:tabs>
        <w:tab w:val="left" w:pos="360"/>
      </w:tabs>
      <w:spacing w:line="480" w:lineRule="auto"/>
      <w:ind w:left="360" w:right="202" w:firstLine="360"/>
    </w:pPr>
    <w:rPr>
      <w:sz w:val="24"/>
    </w:rPr>
  </w:style>
  <w:style w:type="paragraph" w:customStyle="1" w:styleId="189">
    <w:name w:val="正文_10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0">
    <w:name w:val="默认段落字体 Para Char"/>
    <w:basedOn w:val="1"/>
    <w:autoRedefine/>
    <w:qFormat/>
    <w:uiPriority w:val="0"/>
    <w:rPr>
      <w:rFonts w:ascii="宋体"/>
      <w:b/>
      <w:sz w:val="28"/>
      <w:szCs w:val="28"/>
    </w:rPr>
  </w:style>
  <w:style w:type="paragraph" w:customStyle="1" w:styleId="191">
    <w:name w:val="Table Text"/>
    <w:basedOn w:val="1"/>
    <w:autoRedefine/>
    <w:semiHidden/>
    <w:qFormat/>
    <w:uiPriority w:val="0"/>
    <w:rPr>
      <w:rFonts w:ascii="宋体" w:hAnsi="宋体" w:cs="宋体"/>
      <w:sz w:val="17"/>
      <w:szCs w:val="17"/>
      <w:lang w:eastAsia="en-US"/>
    </w:rPr>
  </w:style>
  <w:style w:type="paragraph" w:customStyle="1" w:styleId="192">
    <w:name w:val="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93">
    <w:name w:val="Normal_17"/>
    <w:autoRedefine/>
    <w:qFormat/>
    <w:uiPriority w:val="0"/>
    <w:rPr>
      <w:rFonts w:ascii="黑体" w:hAnsi="黑体" w:eastAsia="黑体" w:cs="Times New Roman"/>
      <w:b/>
      <w:sz w:val="32"/>
      <w:szCs w:val="24"/>
      <w:lang w:val="en-US" w:eastAsia="zh-CN" w:bidi="ar-SA"/>
    </w:rPr>
  </w:style>
  <w:style w:type="paragraph" w:customStyle="1" w:styleId="194">
    <w:name w:val="Char Char Char Char Char Char Char Char Char Char2"/>
    <w:basedOn w:val="1"/>
    <w:autoRedefine/>
    <w:qFormat/>
    <w:uiPriority w:val="0"/>
    <w:rPr>
      <w:rFonts w:ascii="Tahoma" w:hAnsi="Tahoma"/>
      <w:sz w:val="24"/>
      <w:szCs w:val="20"/>
    </w:rPr>
  </w:style>
  <w:style w:type="paragraph" w:customStyle="1" w:styleId="195">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196">
    <w:name w:val="正文_6_0_0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xl41"/>
    <w:basedOn w:val="1"/>
    <w:autoRedefine/>
    <w:qFormat/>
    <w:uiPriority w:val="0"/>
    <w:pPr>
      <w:widowControl/>
      <w:pBdr>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198">
    <w:name w:val="Normal Paragraph Char"/>
    <w:basedOn w:val="1"/>
    <w:autoRedefine/>
    <w:qFormat/>
    <w:uiPriority w:val="0"/>
    <w:pPr>
      <w:widowControl/>
      <w:spacing w:before="120" w:line="360" w:lineRule="auto"/>
      <w:ind w:firstLine="425"/>
    </w:pPr>
    <w:rPr>
      <w:rFonts w:ascii="Calibri" w:hAnsi="Calibri"/>
      <w:kern w:val="0"/>
      <w:sz w:val="24"/>
    </w:rPr>
  </w:style>
  <w:style w:type="paragraph" w:customStyle="1" w:styleId="199">
    <w:name w:val="xl40"/>
    <w:basedOn w:val="1"/>
    <w:autoRedefine/>
    <w:qFormat/>
    <w:uiPriority w:val="0"/>
    <w:pPr>
      <w:widowControl/>
      <w:pBdr>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200">
    <w:name w:val=" Char Char Char"/>
    <w:basedOn w:val="1"/>
    <w:autoRedefine/>
    <w:qFormat/>
    <w:uiPriority w:val="0"/>
    <w:rPr>
      <w:rFonts w:ascii="Calibri" w:hAnsi="Calibri"/>
      <w:szCs w:val="21"/>
    </w:rPr>
  </w:style>
  <w:style w:type="paragraph" w:customStyle="1" w:styleId="201">
    <w:name w:val="正文_1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2">
    <w:name w:val="标题2"/>
    <w:basedOn w:val="1"/>
    <w:autoRedefine/>
    <w:qFormat/>
    <w:uiPriority w:val="0"/>
    <w:pPr>
      <w:tabs>
        <w:tab w:val="left" w:pos="0"/>
      </w:tabs>
    </w:pPr>
    <w:rPr>
      <w:rFonts w:ascii="黑体" w:eastAsia="黑体"/>
      <w:sz w:val="24"/>
    </w:rPr>
  </w:style>
  <w:style w:type="paragraph" w:customStyle="1" w:styleId="203">
    <w:name w:val="正文_6_0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4">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5">
    <w:name w:val="样式 正文缩进 + (中文) 仿宋_GB2312 小四 Char"/>
    <w:basedOn w:val="16"/>
    <w:autoRedefine/>
    <w:qFormat/>
    <w:uiPriority w:val="0"/>
    <w:pPr>
      <w:autoSpaceDE/>
      <w:autoSpaceDN/>
      <w:adjustRightInd/>
      <w:snapToGrid/>
      <w:spacing w:line="360" w:lineRule="auto"/>
      <w:ind w:firstLine="200" w:firstLineChars="200"/>
    </w:pPr>
    <w:rPr>
      <w:color w:val="auto"/>
      <w:szCs w:val="24"/>
    </w:rPr>
  </w:style>
  <w:style w:type="paragraph" w:customStyle="1" w:styleId="206">
    <w:name w:val="五级条标题"/>
    <w:basedOn w:val="207"/>
    <w:next w:val="204"/>
    <w:autoRedefine/>
    <w:qFormat/>
    <w:uiPriority w:val="0"/>
    <w:pPr>
      <w:outlineLvl w:val="6"/>
    </w:pPr>
  </w:style>
  <w:style w:type="paragraph" w:customStyle="1" w:styleId="207">
    <w:name w:val="四级条标题"/>
    <w:basedOn w:val="208"/>
    <w:next w:val="204"/>
    <w:autoRedefine/>
    <w:qFormat/>
    <w:uiPriority w:val="0"/>
    <w:pPr>
      <w:ind w:left="0"/>
      <w:outlineLvl w:val="5"/>
    </w:pPr>
  </w:style>
  <w:style w:type="paragraph" w:customStyle="1" w:styleId="208">
    <w:name w:val="三级条标题"/>
    <w:basedOn w:val="209"/>
    <w:next w:val="204"/>
    <w:autoRedefine/>
    <w:qFormat/>
    <w:uiPriority w:val="0"/>
    <w:pPr>
      <w:ind w:left="1050"/>
      <w:outlineLvl w:val="4"/>
    </w:pPr>
  </w:style>
  <w:style w:type="paragraph" w:customStyle="1" w:styleId="209">
    <w:name w:val="二级条标题"/>
    <w:basedOn w:val="210"/>
    <w:next w:val="204"/>
    <w:autoRedefine/>
    <w:qFormat/>
    <w:uiPriority w:val="0"/>
    <w:pPr>
      <w:ind w:left="360"/>
      <w:outlineLvl w:val="3"/>
    </w:pPr>
  </w:style>
  <w:style w:type="paragraph" w:customStyle="1" w:styleId="210">
    <w:name w:val="一级条标题"/>
    <w:next w:val="204"/>
    <w:autoRedefine/>
    <w:qFormat/>
    <w:uiPriority w:val="0"/>
    <w:pPr>
      <w:outlineLvl w:val="2"/>
    </w:pPr>
    <w:rPr>
      <w:rFonts w:ascii="Times New Roman" w:hAnsi="Times New Roman" w:eastAsia="黑体" w:cs="Times New Roman"/>
      <w:sz w:val="21"/>
      <w:lang w:val="en-US" w:eastAsia="zh-CN" w:bidi="ar-SA"/>
    </w:rPr>
  </w:style>
  <w:style w:type="paragraph" w:customStyle="1" w:styleId="211">
    <w:name w:val="font6"/>
    <w:basedOn w:val="1"/>
    <w:autoRedefine/>
    <w:qFormat/>
    <w:uiPriority w:val="0"/>
    <w:pPr>
      <w:widowControl/>
      <w:spacing w:before="100" w:beforeAutospacing="1" w:after="100" w:afterAutospacing="1"/>
      <w:jc w:val="left"/>
    </w:pPr>
    <w:rPr>
      <w:kern w:val="0"/>
      <w:sz w:val="20"/>
      <w:szCs w:val="20"/>
    </w:rPr>
  </w:style>
  <w:style w:type="paragraph" w:customStyle="1" w:styleId="212">
    <w:name w:val="一级缩进"/>
    <w:autoRedefine/>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213">
    <w:name w:val="Char Char Char Char Char Char Char1 Char"/>
    <w:basedOn w:val="1"/>
    <w:autoRedefine/>
    <w:qFormat/>
    <w:uiPriority w:val="0"/>
    <w:rPr>
      <w:rFonts w:ascii="Tahoma" w:hAnsi="Tahoma"/>
      <w:sz w:val="24"/>
      <w:szCs w:val="20"/>
    </w:rPr>
  </w:style>
  <w:style w:type="paragraph" w:customStyle="1" w:styleId="214">
    <w:name w:val="正文_8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5">
    <w:name w:val="SFClearBullets"/>
    <w:autoRedefine/>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216">
    <w:name w:val="WPSOffice手动目录 2"/>
    <w:autoRedefine/>
    <w:qFormat/>
    <w:uiPriority w:val="0"/>
    <w:pPr>
      <w:ind w:leftChars="200"/>
    </w:pPr>
    <w:rPr>
      <w:rFonts w:ascii="Times New Roman" w:hAnsi="Times New Roman" w:eastAsia="宋体" w:cs="Times New Roman"/>
      <w:lang w:val="en-US" w:eastAsia="zh-CN" w:bidi="ar-SA"/>
    </w:rPr>
  </w:style>
  <w:style w:type="paragraph" w:customStyle="1" w:styleId="217">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8">
    <w:name w:val="表内容"/>
    <w:basedOn w:val="219"/>
    <w:autoRedefine/>
    <w:qFormat/>
    <w:uiPriority w:val="0"/>
    <w:pPr>
      <w:spacing w:line="320" w:lineRule="exact"/>
      <w:ind w:left="0" w:firstLine="0"/>
    </w:pPr>
    <w:rPr>
      <w:sz w:val="20"/>
    </w:rPr>
  </w:style>
  <w:style w:type="paragraph" w:customStyle="1" w:styleId="219">
    <w:name w:val="正文1"/>
    <w:basedOn w:val="1"/>
    <w:autoRedefine/>
    <w:qFormat/>
    <w:uiPriority w:val="0"/>
    <w:pPr>
      <w:widowControl/>
      <w:spacing w:line="360" w:lineRule="auto"/>
      <w:ind w:left="357" w:firstLine="420"/>
      <w:jc w:val="left"/>
    </w:pPr>
    <w:rPr>
      <w:rFonts w:cs="Arial"/>
      <w:szCs w:val="20"/>
    </w:rPr>
  </w:style>
  <w:style w:type="paragraph" w:customStyle="1" w:styleId="220">
    <w:name w:val="正文_15"/>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1">
    <w:name w:val="标题二、"/>
    <w:basedOn w:val="1"/>
    <w:autoRedefine/>
    <w:qFormat/>
    <w:uiPriority w:val="99"/>
    <w:pPr>
      <w:spacing w:line="360" w:lineRule="auto"/>
      <w:ind w:firstLine="200" w:firstLineChars="200"/>
      <w:outlineLvl w:val="2"/>
    </w:pPr>
    <w:rPr>
      <w:rFonts w:ascii="宋体" w:hAnsi="宋体"/>
      <w:b/>
      <w:szCs w:val="21"/>
    </w:rPr>
  </w:style>
  <w:style w:type="paragraph" w:customStyle="1" w:styleId="222">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23">
    <w:name w:val="列出段落[858D7CFB-ED40-4347-BF05-701D383B685F][858D7CFB-ED40-4347-BF05-701D383B685F]"/>
    <w:basedOn w:val="1"/>
    <w:autoRedefine/>
    <w:qFormat/>
    <w:uiPriority w:val="0"/>
    <w:pPr>
      <w:ind w:firstLine="200" w:firstLineChars="200"/>
    </w:pPr>
    <w:rPr>
      <w:rFonts w:ascii="Calibri" w:hAnsi="Calibri"/>
    </w:rPr>
  </w:style>
  <w:style w:type="paragraph" w:customStyle="1" w:styleId="224">
    <w:name w:val="TOC Heading"/>
    <w:basedOn w:val="3"/>
    <w:next w:val="1"/>
    <w:autoRedefine/>
    <w:qFormat/>
    <w:uiPriority w:val="0"/>
    <w:pPr>
      <w:widowControl/>
      <w:spacing w:before="480" w:after="0" w:line="276" w:lineRule="auto"/>
      <w:outlineLvl w:val="9"/>
    </w:pPr>
    <w:rPr>
      <w:rFonts w:ascii="Cambria" w:hAnsi="Cambria"/>
      <w:color w:val="365F91"/>
      <w:kern w:val="0"/>
      <w:sz w:val="28"/>
    </w:rPr>
  </w:style>
  <w:style w:type="paragraph" w:customStyle="1" w:styleId="225">
    <w:name w:val="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26">
    <w:name w:val="xl34"/>
    <w:basedOn w:val="1"/>
    <w:autoRedefine/>
    <w:qFormat/>
    <w:uiPriority w:val="0"/>
    <w:pPr>
      <w:widowControl/>
      <w:spacing w:before="100" w:beforeAutospacing="1" w:after="100" w:afterAutospacing="1"/>
      <w:jc w:val="center"/>
    </w:pPr>
    <w:rPr>
      <w:rFonts w:ascii="Arial Unicode MS" w:hAnsi="Arial Unicode MS" w:eastAsia="Arial Unicode MS"/>
      <w:kern w:val="0"/>
      <w:sz w:val="24"/>
    </w:rPr>
  </w:style>
  <w:style w:type="paragraph" w:customStyle="1" w:styleId="227">
    <w:name w:val="xl3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228">
    <w:name w:val="正文_1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9">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230">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0"/>
      <w:szCs w:val="20"/>
    </w:rPr>
  </w:style>
  <w:style w:type="paragraph" w:customStyle="1" w:styleId="231">
    <w:name w:val="正文_1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2">
    <w:name w:val="标准小四"/>
    <w:basedOn w:val="1"/>
    <w:qFormat/>
    <w:uiPriority w:val="0"/>
    <w:pPr>
      <w:spacing w:line="360" w:lineRule="auto"/>
      <w:ind w:firstLine="200" w:firstLineChars="200"/>
    </w:pPr>
    <w:rPr>
      <w:rFonts w:ascii="Arial" w:hAnsi="Arial"/>
      <w:sz w:val="24"/>
      <w:szCs w:val="21"/>
    </w:rPr>
  </w:style>
  <w:style w:type="paragraph" w:customStyle="1" w:styleId="233">
    <w:name w:val="ibm-list-next"/>
    <w:basedOn w:val="1"/>
    <w:autoRedefine/>
    <w:qFormat/>
    <w:uiPriority w:val="0"/>
    <w:pPr>
      <w:widowControl/>
      <w:spacing w:before="100" w:beforeAutospacing="1" w:after="100" w:afterAutospacing="1"/>
      <w:jc w:val="left"/>
    </w:pPr>
    <w:rPr>
      <w:rFonts w:ascii="宋体" w:cs="宋体"/>
      <w:kern w:val="0"/>
      <w:sz w:val="24"/>
    </w:rPr>
  </w:style>
  <w:style w:type="paragraph" w:customStyle="1" w:styleId="234">
    <w:name w:val="段落"/>
    <w:autoRedefine/>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235">
    <w:name w:val="正文11"/>
    <w:autoRedefine/>
    <w:qFormat/>
    <w:uiPriority w:val="99"/>
    <w:pPr>
      <w:widowControl w:val="0"/>
    </w:pPr>
    <w:rPr>
      <w:rFonts w:ascii="Times New Roman" w:hAnsi="Times New Roman" w:eastAsia="宋体" w:cs="Times New Roman"/>
      <w:kern w:val="2"/>
      <w:sz w:val="21"/>
      <w:szCs w:val="21"/>
      <w:lang w:val="en-US" w:eastAsia="zh-CN" w:bidi="ar-SA"/>
    </w:rPr>
  </w:style>
  <w:style w:type="paragraph" w:customStyle="1" w:styleId="236">
    <w:name w:val="正文_7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7">
    <w:name w:val="正文文本缩进1"/>
    <w:basedOn w:val="235"/>
    <w:qFormat/>
    <w:uiPriority w:val="99"/>
    <w:pPr>
      <w:spacing w:after="120"/>
      <w:ind w:left="420"/>
    </w:pPr>
    <w:rPr>
      <w:rFonts w:ascii="Calibri" w:hAnsi="Calibri" w:cs="Calibri"/>
    </w:rPr>
  </w:style>
  <w:style w:type="paragraph" w:customStyle="1" w:styleId="238">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9">
    <w:name w:val="首页标题 一号"/>
    <w:basedOn w:val="240"/>
    <w:autoRedefine/>
    <w:qFormat/>
    <w:uiPriority w:val="0"/>
    <w:rPr>
      <w:sz w:val="52"/>
    </w:rPr>
  </w:style>
  <w:style w:type="paragraph" w:customStyle="1" w:styleId="240">
    <w:name w:val="首页标题小初"/>
    <w:autoRedefine/>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241">
    <w:name w:val="Normal_14_0"/>
    <w:autoRedefine/>
    <w:qFormat/>
    <w:uiPriority w:val="0"/>
    <w:rPr>
      <w:rFonts w:ascii="黑体" w:hAnsi="黑体" w:eastAsia="黑体" w:cs="Times New Roman"/>
      <w:b/>
      <w:sz w:val="32"/>
      <w:szCs w:val="24"/>
      <w:lang w:val="en-US" w:eastAsia="zh-CN" w:bidi="ar-SA"/>
    </w:rPr>
  </w:style>
  <w:style w:type="paragraph" w:customStyle="1" w:styleId="242">
    <w:name w:val="pa-10"/>
    <w:basedOn w:val="1"/>
    <w:qFormat/>
    <w:uiPriority w:val="0"/>
    <w:pPr>
      <w:widowControl/>
      <w:spacing w:line="240" w:lineRule="atLeast"/>
    </w:pPr>
    <w:rPr>
      <w:rFonts w:ascii="宋体" w:cs="宋体"/>
      <w:kern w:val="0"/>
      <w:sz w:val="24"/>
    </w:rPr>
  </w:style>
  <w:style w:type="paragraph" w:customStyle="1" w:styleId="243">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244">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pa-9"/>
    <w:basedOn w:val="1"/>
    <w:qFormat/>
    <w:uiPriority w:val="0"/>
    <w:pPr>
      <w:widowControl/>
      <w:spacing w:line="360" w:lineRule="atLeast"/>
      <w:jc w:val="center"/>
    </w:pPr>
    <w:rPr>
      <w:rFonts w:ascii="宋体" w:cs="宋体"/>
      <w:kern w:val="0"/>
      <w:sz w:val="24"/>
    </w:rPr>
  </w:style>
  <w:style w:type="paragraph" w:customStyle="1" w:styleId="246">
    <w:name w:val="Char Char Char"/>
    <w:basedOn w:val="1"/>
    <w:autoRedefine/>
    <w:qFormat/>
    <w:uiPriority w:val="0"/>
    <w:rPr>
      <w:rFonts w:ascii="Tahoma" w:hAnsi="Tahoma"/>
      <w:sz w:val="24"/>
      <w:szCs w:val="20"/>
    </w:rPr>
  </w:style>
  <w:style w:type="paragraph" w:customStyle="1" w:styleId="247">
    <w:name w:val="技术方案正文"/>
    <w:basedOn w:val="1"/>
    <w:qFormat/>
    <w:uiPriority w:val="0"/>
    <w:pPr>
      <w:spacing w:line="360" w:lineRule="auto"/>
      <w:ind w:firstLine="480"/>
    </w:pPr>
    <w:rPr>
      <w:rFonts w:ascii="宋体"/>
      <w:sz w:val="24"/>
    </w:rPr>
  </w:style>
  <w:style w:type="paragraph" w:customStyle="1" w:styleId="248">
    <w:name w:val="Normal"/>
    <w:autoRedefine/>
    <w:qFormat/>
    <w:uiPriority w:val="0"/>
    <w:rPr>
      <w:rFonts w:ascii="Times New Roman" w:hAnsi="Times New Roman" w:eastAsia="Times New Roman" w:cs="Times New Roman"/>
      <w:sz w:val="24"/>
      <w:szCs w:val="24"/>
      <w:lang w:val="en-US" w:eastAsia="zh-CN" w:bidi="ar-SA"/>
    </w:rPr>
  </w:style>
  <w:style w:type="paragraph" w:customStyle="1" w:styleId="249">
    <w:name w:val="默认段落字体 Para Char Char Char Char Char Char Char Char Char1"/>
    <w:basedOn w:val="1"/>
    <w:autoRedefine/>
    <w:qFormat/>
    <w:uiPriority w:val="0"/>
    <w:rPr>
      <w:rFonts w:ascii="Tahoma" w:hAnsi="Tahoma"/>
      <w:sz w:val="24"/>
      <w:szCs w:val="20"/>
    </w:rPr>
  </w:style>
  <w:style w:type="paragraph" w:customStyle="1" w:styleId="250">
    <w:name w:val="Normal_13_0"/>
    <w:autoRedefine/>
    <w:qFormat/>
    <w:uiPriority w:val="0"/>
    <w:rPr>
      <w:rFonts w:ascii="黑体" w:hAnsi="黑体" w:eastAsia="黑体" w:cs="Times New Roman"/>
      <w:b/>
      <w:sz w:val="32"/>
      <w:szCs w:val="24"/>
      <w:lang w:val="en-US" w:eastAsia="zh-CN" w:bidi="ar-SA"/>
    </w:rPr>
  </w:style>
  <w:style w:type="paragraph" w:customStyle="1" w:styleId="251">
    <w:name w:val="List Paragraph1"/>
    <w:basedOn w:val="1"/>
    <w:autoRedefine/>
    <w:qFormat/>
    <w:uiPriority w:val="0"/>
    <w:pPr>
      <w:ind w:firstLine="200" w:firstLineChars="200"/>
    </w:pPr>
    <w:rPr>
      <w:rFonts w:ascii="Calibri" w:hAnsi="Calibri"/>
    </w:rPr>
  </w:style>
  <w:style w:type="paragraph" w:customStyle="1" w:styleId="252">
    <w:name w:val="Figure and Table Title"/>
    <w:basedOn w:val="1"/>
    <w:autoRedefine/>
    <w:qFormat/>
    <w:uiPriority w:val="0"/>
    <w:pPr>
      <w:widowControl/>
      <w:ind w:left="2160"/>
      <w:jc w:val="left"/>
    </w:pPr>
    <w:rPr>
      <w:rFonts w:ascii="Helvetica-Light" w:hAnsi="Helvetica-Light"/>
      <w:b/>
      <w:bCs/>
      <w:kern w:val="0"/>
      <w:sz w:val="20"/>
      <w:lang w:eastAsia="en-US"/>
    </w:rPr>
  </w:style>
  <w:style w:type="paragraph" w:customStyle="1" w:styleId="253">
    <w:name w:val="正文文字缩进 3"/>
    <w:basedOn w:val="1"/>
    <w:autoRedefine/>
    <w:qFormat/>
    <w:uiPriority w:val="0"/>
    <w:pPr>
      <w:spacing w:line="312" w:lineRule="auto"/>
      <w:ind w:left="420" w:firstLine="420"/>
    </w:pPr>
    <w:rPr>
      <w:rFonts w:ascii="黑体" w:hAnsi="黑体" w:cs="宋体"/>
      <w:bCs/>
      <w:color w:val="000000"/>
      <w:kern w:val="0"/>
      <w:sz w:val="24"/>
    </w:rPr>
  </w:style>
  <w:style w:type="paragraph" w:customStyle="1" w:styleId="254">
    <w:name w:val="正文_0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5">
    <w:name w:val="项目"/>
    <w:basedOn w:val="1"/>
    <w:autoRedefine/>
    <w:qFormat/>
    <w:uiPriority w:val="0"/>
    <w:pPr>
      <w:tabs>
        <w:tab w:val="left" w:pos="840"/>
      </w:tabs>
      <w:adjustRightInd w:val="0"/>
      <w:spacing w:before="60" w:after="60" w:line="360" w:lineRule="auto"/>
      <w:ind w:left="840" w:hanging="420"/>
      <w:textAlignment w:val="baseline"/>
    </w:pPr>
    <w:rPr>
      <w:rFonts w:ascii="宋体"/>
      <w:kern w:val="0"/>
      <w:szCs w:val="20"/>
    </w:rPr>
  </w:style>
  <w:style w:type="paragraph" w:customStyle="1" w:styleId="256">
    <w:name w:val="表格"/>
    <w:basedOn w:val="1"/>
    <w:autoRedefine/>
    <w:qFormat/>
    <w:uiPriority w:val="0"/>
    <w:pPr>
      <w:snapToGrid w:val="0"/>
      <w:ind w:firstLine="21" w:firstLineChars="21"/>
    </w:pPr>
    <w:rPr>
      <w:rFonts w:ascii="宋体"/>
      <w:szCs w:val="20"/>
    </w:rPr>
  </w:style>
  <w:style w:type="paragraph" w:customStyle="1" w:styleId="257">
    <w:name w:val="Normal_16_0"/>
    <w:autoRedefine/>
    <w:qFormat/>
    <w:uiPriority w:val="0"/>
    <w:rPr>
      <w:rFonts w:ascii="黑体" w:hAnsi="黑体" w:eastAsia="黑体" w:cs="Times New Roman"/>
      <w:b/>
      <w:sz w:val="32"/>
      <w:szCs w:val="24"/>
      <w:lang w:val="en-US" w:eastAsia="zh-CN" w:bidi="ar-SA"/>
    </w:rPr>
  </w:style>
  <w:style w:type="paragraph" w:customStyle="1" w:styleId="258">
    <w:name w:val="font9"/>
    <w:basedOn w:val="1"/>
    <w:autoRedefine/>
    <w:qFormat/>
    <w:uiPriority w:val="0"/>
    <w:pPr>
      <w:widowControl/>
      <w:spacing w:before="100" w:beforeAutospacing="1" w:after="100" w:afterAutospacing="1"/>
      <w:jc w:val="left"/>
    </w:pPr>
    <w:rPr>
      <w:rFonts w:ascii="宋体"/>
      <w:color w:val="000000"/>
      <w:kern w:val="0"/>
      <w:sz w:val="18"/>
      <w:szCs w:val="18"/>
    </w:rPr>
  </w:style>
  <w:style w:type="paragraph" w:customStyle="1" w:styleId="259">
    <w:name w:val="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
    <w:name w:val="保密事宜内容"/>
    <w:basedOn w:val="1"/>
    <w:autoRedefine/>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261">
    <w:name w:val="图号"/>
    <w:basedOn w:val="1"/>
    <w:autoRedefine/>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262">
    <w:name w:val="正文_1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63">
    <w:name w:val="表格标题"/>
    <w:basedOn w:val="1"/>
    <w:autoRedefine/>
    <w:qFormat/>
    <w:uiPriority w:val="0"/>
    <w:pPr>
      <w:jc w:val="center"/>
    </w:pPr>
    <w:rPr>
      <w:b/>
    </w:rPr>
  </w:style>
  <w:style w:type="paragraph" w:customStyle="1" w:styleId="264">
    <w:name w:val="标题 311"/>
    <w:basedOn w:val="1"/>
    <w:next w:val="1"/>
    <w:autoRedefine/>
    <w:qFormat/>
    <w:uiPriority w:val="0"/>
    <w:pPr>
      <w:keepNext/>
      <w:keepLines/>
      <w:spacing w:before="260" w:after="260" w:line="416" w:lineRule="auto"/>
      <w:outlineLvl w:val="2"/>
    </w:pPr>
    <w:rPr>
      <w:b/>
      <w:sz w:val="32"/>
      <w:szCs w:val="20"/>
    </w:rPr>
  </w:style>
  <w:style w:type="paragraph" w:customStyle="1" w:styleId="265">
    <w:name w:val="Normal_0_3"/>
    <w:autoRedefine/>
    <w:qFormat/>
    <w:uiPriority w:val="0"/>
    <w:rPr>
      <w:rFonts w:ascii="黑体" w:hAnsi="黑体" w:eastAsia="黑体" w:cs="Times New Roman"/>
      <w:b/>
      <w:sz w:val="32"/>
      <w:szCs w:val="24"/>
      <w:lang w:val="en-US" w:eastAsia="zh-CN" w:bidi="ar-SA"/>
    </w:rPr>
  </w:style>
  <w:style w:type="paragraph" w:customStyle="1" w:styleId="266">
    <w:name w:val="Char Char Char Char1"/>
    <w:basedOn w:val="1"/>
    <w:autoRedefine/>
    <w:qFormat/>
    <w:uiPriority w:val="0"/>
    <w:pPr>
      <w:spacing w:line="360" w:lineRule="auto"/>
      <w:ind w:firstLine="200" w:firstLineChars="200"/>
    </w:pPr>
    <w:rPr>
      <w:kern w:val="0"/>
      <w:sz w:val="24"/>
      <w:szCs w:val="20"/>
    </w:rPr>
  </w:style>
  <w:style w:type="paragraph" w:customStyle="1" w:styleId="267">
    <w:name w:val="È±Ê¡ÎÄ±¾"/>
    <w:basedOn w:val="1"/>
    <w:autoRedefine/>
    <w:qFormat/>
    <w:uiPriority w:val="0"/>
    <w:pPr>
      <w:widowControl/>
      <w:overflowPunct w:val="0"/>
      <w:autoSpaceDE w:val="0"/>
      <w:autoSpaceDN w:val="0"/>
      <w:adjustRightInd w:val="0"/>
      <w:spacing w:line="360" w:lineRule="auto"/>
      <w:jc w:val="left"/>
      <w:textAlignment w:val="baseline"/>
    </w:pPr>
    <w:rPr>
      <w:kern w:val="0"/>
      <w:sz w:val="24"/>
      <w:szCs w:val="20"/>
    </w:rPr>
  </w:style>
  <w:style w:type="paragraph" w:customStyle="1" w:styleId="268">
    <w:name w:val="D&amp;L"/>
    <w:basedOn w:val="43"/>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269">
    <w:name w:val="Normal_6_0"/>
    <w:autoRedefine/>
    <w:qFormat/>
    <w:uiPriority w:val="0"/>
    <w:rPr>
      <w:rFonts w:ascii="黑体" w:hAnsi="黑体" w:eastAsia="黑体" w:cs="Times New Roman"/>
      <w:b/>
      <w:sz w:val="32"/>
      <w:szCs w:val="24"/>
      <w:lang w:val="en-US" w:eastAsia="zh-CN" w:bidi="ar-SA"/>
    </w:rPr>
  </w:style>
  <w:style w:type="paragraph" w:customStyle="1" w:styleId="270">
    <w:name w:val="Bullet"/>
    <w:basedOn w:val="1"/>
    <w:autoRedefine/>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271">
    <w:name w:val="正文_12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72">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73">
    <w:name w:val="样式4"/>
    <w:basedOn w:val="5"/>
    <w:autoRedefine/>
    <w:qFormat/>
    <w:uiPriority w:val="0"/>
    <w:pPr>
      <w:spacing w:line="415" w:lineRule="auto"/>
    </w:pPr>
    <w:rPr>
      <w:rFonts w:ascii="Calibri" w:hAnsi="Calibri"/>
      <w:bCs/>
      <w:sz w:val="28"/>
      <w:szCs w:val="28"/>
    </w:rPr>
  </w:style>
  <w:style w:type="paragraph" w:customStyle="1" w:styleId="274">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5">
    <w:name w:val="Normal_15_0"/>
    <w:autoRedefine/>
    <w:qFormat/>
    <w:uiPriority w:val="0"/>
    <w:rPr>
      <w:rFonts w:ascii="黑体" w:hAnsi="黑体" w:eastAsia="黑体" w:cs="Times New Roman"/>
      <w:b/>
      <w:sz w:val="32"/>
      <w:szCs w:val="24"/>
      <w:lang w:val="en-US" w:eastAsia="zh-CN" w:bidi="ar-SA"/>
    </w:rPr>
  </w:style>
  <w:style w:type="paragraph" w:customStyle="1" w:styleId="276">
    <w:name w:val="篇名"/>
    <w:next w:val="3"/>
    <w:autoRedefine/>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77">
    <w:name w:val="正文文本11"/>
    <w:basedOn w:val="1"/>
    <w:next w:val="1"/>
    <w:autoRedefine/>
    <w:qFormat/>
    <w:uiPriority w:val="0"/>
    <w:rPr>
      <w:rFonts w:ascii="楷体_GB2312" w:hAnsi="Arial" w:eastAsia="楷体_GB2312"/>
      <w:sz w:val="28"/>
      <w:szCs w:val="28"/>
    </w:rPr>
  </w:style>
  <w:style w:type="paragraph" w:customStyle="1" w:styleId="278">
    <w:name w:val="正文_1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79">
    <w:name w:val="Normal_14"/>
    <w:autoRedefine/>
    <w:qFormat/>
    <w:uiPriority w:val="0"/>
    <w:rPr>
      <w:rFonts w:ascii="黑体" w:hAnsi="黑体" w:eastAsia="黑体" w:cs="Times New Roman"/>
      <w:b/>
      <w:sz w:val="32"/>
      <w:szCs w:val="24"/>
      <w:lang w:val="en-US" w:eastAsia="zh-CN" w:bidi="ar-SA"/>
    </w:rPr>
  </w:style>
  <w:style w:type="paragraph" w:customStyle="1" w:styleId="280">
    <w:name w:val="正文_1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1">
    <w:name w:val="Normal_5"/>
    <w:autoRedefine/>
    <w:qFormat/>
    <w:uiPriority w:val="0"/>
    <w:rPr>
      <w:rFonts w:ascii="黑体" w:hAnsi="黑体" w:eastAsia="黑体" w:cs="Times New Roman"/>
      <w:b/>
      <w:sz w:val="32"/>
      <w:szCs w:val="24"/>
      <w:lang w:val="en-US" w:eastAsia="zh-CN" w:bidi="ar-SA"/>
    </w:rPr>
  </w:style>
  <w:style w:type="paragraph" w:customStyle="1" w:styleId="282">
    <w:name w:val="正文（首行缩进）"/>
    <w:basedOn w:val="1"/>
    <w:autoRedefine/>
    <w:qFormat/>
    <w:uiPriority w:val="0"/>
    <w:pPr>
      <w:widowControl/>
      <w:spacing w:before="120" w:line="360" w:lineRule="auto"/>
      <w:ind w:firstLine="482"/>
    </w:pPr>
    <w:rPr>
      <w:rFonts w:ascii="Calibri" w:hAnsi="Calibri"/>
      <w:sz w:val="24"/>
      <w:szCs w:val="20"/>
    </w:rPr>
  </w:style>
  <w:style w:type="paragraph" w:customStyle="1" w:styleId="283">
    <w:name w:val="pa-6"/>
    <w:basedOn w:val="1"/>
    <w:autoRedefine/>
    <w:qFormat/>
    <w:uiPriority w:val="0"/>
    <w:pPr>
      <w:widowControl/>
      <w:spacing w:line="360" w:lineRule="atLeast"/>
    </w:pPr>
    <w:rPr>
      <w:rFonts w:ascii="宋体"/>
      <w:kern w:val="0"/>
      <w:sz w:val="24"/>
      <w:szCs w:val="20"/>
    </w:rPr>
  </w:style>
  <w:style w:type="paragraph" w:customStyle="1" w:styleId="284">
    <w:name w:val=" Char Char Char Char Char Char Char Char Char Char"/>
    <w:basedOn w:val="1"/>
    <w:autoRedefine/>
    <w:qFormat/>
    <w:uiPriority w:val="0"/>
    <w:rPr>
      <w:rFonts w:ascii="Tahoma" w:hAnsi="Tahoma"/>
      <w:sz w:val="24"/>
      <w:szCs w:val="20"/>
    </w:rPr>
  </w:style>
  <w:style w:type="paragraph" w:customStyle="1" w:styleId="285">
    <w:name w:val="Normal_2_0"/>
    <w:autoRedefine/>
    <w:qFormat/>
    <w:uiPriority w:val="0"/>
    <w:rPr>
      <w:rFonts w:ascii="黑体" w:hAnsi="黑体" w:eastAsia="黑体" w:cs="Times New Roman"/>
      <w:b/>
      <w:sz w:val="32"/>
      <w:szCs w:val="24"/>
      <w:lang w:val="en-US" w:eastAsia="zh-CN" w:bidi="ar-SA"/>
    </w:rPr>
  </w:style>
  <w:style w:type="paragraph" w:customStyle="1" w:styleId="286">
    <w:name w:val="a1"/>
    <w:basedOn w:val="1"/>
    <w:autoRedefine/>
    <w:qFormat/>
    <w:uiPriority w:val="0"/>
    <w:pPr>
      <w:widowControl/>
      <w:spacing w:before="100" w:beforeAutospacing="1" w:after="100" w:afterAutospacing="1"/>
      <w:jc w:val="left"/>
    </w:pPr>
    <w:rPr>
      <w:rFonts w:ascii="宋体"/>
      <w:kern w:val="0"/>
      <w:sz w:val="24"/>
    </w:rPr>
  </w:style>
  <w:style w:type="paragraph" w:customStyle="1" w:styleId="287">
    <w:name w:val="样式 正文首行缩进 2 + Arial"/>
    <w:basedOn w:val="1"/>
    <w:next w:val="1"/>
    <w:autoRedefine/>
    <w:qFormat/>
    <w:uiPriority w:val="0"/>
    <w:pPr>
      <w:spacing w:after="120" w:line="320" w:lineRule="atLeast"/>
      <w:ind w:firstLine="200" w:firstLineChars="200"/>
    </w:pPr>
    <w:rPr>
      <w:rFonts w:ascii="Arial" w:hAnsi="Arial"/>
    </w:rPr>
  </w:style>
  <w:style w:type="paragraph" w:customStyle="1" w:styleId="288">
    <w:name w:val="表文1"/>
    <w:basedOn w:val="1"/>
    <w:autoRedefine/>
    <w:qFormat/>
    <w:uiPriority w:val="0"/>
    <w:pPr>
      <w:widowControl/>
      <w:spacing w:line="360" w:lineRule="auto"/>
      <w:ind w:firstLine="196" w:firstLineChars="196"/>
    </w:pPr>
    <w:rPr>
      <w:rFonts w:ascii="宋体"/>
      <w:sz w:val="24"/>
    </w:rPr>
  </w:style>
  <w:style w:type="paragraph" w:customStyle="1" w:styleId="289">
    <w:name w:val="表格序号"/>
    <w:autoRedefine/>
    <w:qFormat/>
    <w:uiPriority w:val="0"/>
    <w:rPr>
      <w:rFonts w:ascii="Times New Roman" w:hAnsi="Times New Roman" w:eastAsia="仿宋_GB2312" w:cs="宋体"/>
      <w:kern w:val="44"/>
      <w:sz w:val="21"/>
      <w:lang w:val="en-US" w:eastAsia="zh-CN" w:bidi="ar-SA"/>
    </w:rPr>
  </w:style>
  <w:style w:type="paragraph" w:customStyle="1" w:styleId="290">
    <w:name w:val="正文_9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1">
    <w:name w:val="Normal_0_1"/>
    <w:autoRedefine/>
    <w:qFormat/>
    <w:uiPriority w:val="0"/>
    <w:rPr>
      <w:rFonts w:ascii="黑体" w:hAnsi="黑体" w:eastAsia="黑体" w:cs="Times New Roman"/>
      <w:b/>
      <w:sz w:val="32"/>
      <w:szCs w:val="24"/>
      <w:lang w:val="en-US" w:eastAsia="zh-CN" w:bidi="ar-SA"/>
    </w:rPr>
  </w:style>
  <w:style w:type="paragraph" w:customStyle="1" w:styleId="292">
    <w:name w:val="正文_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3">
    <w:name w:val="技术方案2"/>
    <w:basedOn w:val="1"/>
    <w:autoRedefine/>
    <w:qFormat/>
    <w:uiPriority w:val="0"/>
    <w:pPr>
      <w:spacing w:line="480" w:lineRule="auto"/>
    </w:pPr>
    <w:rPr>
      <w:rFonts w:ascii="宋体"/>
      <w:b/>
      <w:bCs/>
      <w:sz w:val="36"/>
    </w:rPr>
  </w:style>
  <w:style w:type="paragraph" w:customStyle="1" w:styleId="294">
    <w:name w:val="Normal_3"/>
    <w:autoRedefine/>
    <w:qFormat/>
    <w:uiPriority w:val="0"/>
    <w:rPr>
      <w:rFonts w:ascii="黑体" w:hAnsi="黑体" w:eastAsia="黑体" w:cs="Times New Roman"/>
      <w:b/>
      <w:sz w:val="32"/>
      <w:szCs w:val="24"/>
      <w:lang w:val="en-US" w:eastAsia="zh-CN" w:bidi="ar-SA"/>
    </w:rPr>
  </w:style>
  <w:style w:type="paragraph" w:customStyle="1" w:styleId="295">
    <w:name w:val="编号"/>
    <w:basedOn w:val="1"/>
    <w:next w:val="234"/>
    <w:autoRedefine/>
    <w:qFormat/>
    <w:uiPriority w:val="0"/>
    <w:pPr>
      <w:widowControl/>
      <w:tabs>
        <w:tab w:val="left" w:pos="420"/>
      </w:tabs>
      <w:ind w:left="420" w:right="-136" w:rightChars="-136" w:hanging="420"/>
    </w:pPr>
    <w:rPr>
      <w:rFonts w:ascii="仿宋_GB2312" w:eastAsia="仿宋_GB2312"/>
      <w:b/>
      <w:bCs/>
      <w:kern w:val="0"/>
      <w:sz w:val="24"/>
      <w:szCs w:val="21"/>
    </w:rPr>
  </w:style>
  <w:style w:type="paragraph" w:customStyle="1" w:styleId="296">
    <w:name w:val="B1"/>
    <w:basedOn w:val="1"/>
    <w:autoRedefine/>
    <w:qFormat/>
    <w:uiPriority w:val="0"/>
    <w:pPr>
      <w:numPr>
        <w:ilvl w:val="0"/>
        <w:numId w:val="3"/>
      </w:numPr>
      <w:tabs>
        <w:tab w:val="left" w:pos="1418"/>
      </w:tabs>
      <w:adjustRightInd w:val="0"/>
      <w:spacing w:beforeLines="50"/>
      <w:jc w:val="left"/>
      <w:outlineLvl w:val="0"/>
    </w:pPr>
    <w:rPr>
      <w:rFonts w:ascii="Arial Narrow" w:hAnsi="Arial Narrow" w:eastAsia="仿宋"/>
      <w:b/>
      <w:sz w:val="28"/>
      <w:szCs w:val="24"/>
    </w:rPr>
  </w:style>
  <w:style w:type="paragraph" w:customStyle="1" w:styleId="297">
    <w:name w:val="默认段落字体 Para Char Char Char Char Char Char Char Char Char Char Char Char Char Char"/>
    <w:basedOn w:val="20"/>
    <w:autoRedefine/>
    <w:qFormat/>
    <w:uiPriority w:val="0"/>
    <w:rPr>
      <w:rFonts w:ascii="Tahoma" w:hAnsi="Tahoma"/>
      <w:sz w:val="24"/>
    </w:rPr>
  </w:style>
  <w:style w:type="paragraph" w:customStyle="1" w:styleId="298">
    <w:name w:val="Normal_7_0"/>
    <w:autoRedefine/>
    <w:qFormat/>
    <w:uiPriority w:val="0"/>
    <w:rPr>
      <w:rFonts w:ascii="黑体" w:hAnsi="黑体" w:eastAsia="黑体" w:cs="Times New Roman"/>
      <w:b/>
      <w:sz w:val="32"/>
      <w:szCs w:val="24"/>
      <w:lang w:val="en-US" w:eastAsia="zh-CN" w:bidi="ar-SA"/>
    </w:rPr>
  </w:style>
  <w:style w:type="paragraph" w:customStyle="1" w:styleId="299">
    <w:name w:val="xl39"/>
    <w:basedOn w:val="1"/>
    <w:autoRedefine/>
    <w:qFormat/>
    <w:uiPriority w:val="0"/>
    <w:pPr>
      <w:widowControl/>
      <w:pBdr>
        <w:top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300">
    <w:name w:val="ul"/>
    <w:basedOn w:val="1"/>
    <w:autoRedefine/>
    <w:qFormat/>
    <w:uiPriority w:val="0"/>
    <w:pPr>
      <w:widowControl/>
      <w:numPr>
        <w:ilvl w:val="0"/>
        <w:numId w:val="4"/>
      </w:numPr>
      <w:tabs>
        <w:tab w:val="left" w:pos="842"/>
        <w:tab w:val="clear" w:pos="930"/>
      </w:tabs>
      <w:spacing w:line="360" w:lineRule="auto"/>
      <w:ind w:left="567" w:hanging="85"/>
      <w:jc w:val="left"/>
    </w:pPr>
    <w:rPr>
      <w:rFonts w:ascii="Calibri" w:hAnsi="Calibri"/>
      <w:kern w:val="0"/>
      <w:sz w:val="24"/>
    </w:rPr>
  </w:style>
  <w:style w:type="paragraph" w:customStyle="1" w:styleId="301">
    <w:name w:val="参考资料清单+倾斜+蓝色"/>
    <w:basedOn w:val="1"/>
    <w:autoRedefine/>
    <w:qFormat/>
    <w:uiPriority w:val="0"/>
    <w:pPr>
      <w:autoSpaceDE w:val="0"/>
      <w:autoSpaceDN w:val="0"/>
      <w:adjustRightInd w:val="0"/>
      <w:spacing w:line="360" w:lineRule="auto"/>
    </w:pPr>
    <w:rPr>
      <w:rFonts w:ascii="Arial" w:hAnsi="Arial"/>
      <w:i/>
      <w:iCs/>
      <w:color w:val="0000FF"/>
      <w:kern w:val="0"/>
      <w:szCs w:val="21"/>
      <w:lang w:val="en-US" w:eastAsia="zh-CN"/>
    </w:rPr>
  </w:style>
  <w:style w:type="paragraph" w:customStyle="1" w:styleId="302">
    <w:name w:val="编号3"/>
    <w:autoRedefine/>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303">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b w:val="0"/>
      <w:sz w:val="28"/>
    </w:rPr>
  </w:style>
  <w:style w:type="paragraph" w:customStyle="1" w:styleId="304">
    <w:name w:val="正文_1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5">
    <w:name w:val="Normal Paragraph"/>
    <w:basedOn w:val="1"/>
    <w:autoRedefine/>
    <w:qFormat/>
    <w:uiPriority w:val="0"/>
    <w:pPr>
      <w:widowControl/>
      <w:spacing w:before="120" w:line="360" w:lineRule="auto"/>
      <w:ind w:firstLine="425"/>
    </w:pPr>
    <w:rPr>
      <w:rFonts w:ascii="Calibri" w:hAnsi="Calibri"/>
      <w:kern w:val="0"/>
      <w:sz w:val="24"/>
      <w:szCs w:val="20"/>
    </w:rPr>
  </w:style>
  <w:style w:type="paragraph" w:customStyle="1" w:styleId="306">
    <w:name w:val="正文_7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7">
    <w:name w:val="Sourcetext bullet"/>
    <w:basedOn w:val="1"/>
    <w:autoRedefine/>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308">
    <w:name w:val="Table Text/Title"/>
    <w:basedOn w:val="1"/>
    <w:autoRedefine/>
    <w:qFormat/>
    <w:uiPriority w:val="0"/>
    <w:pPr>
      <w:widowControl/>
      <w:jc w:val="left"/>
    </w:pPr>
    <w:rPr>
      <w:rFonts w:ascii="宋体"/>
      <w:b/>
      <w:bCs/>
      <w:kern w:val="0"/>
      <w:sz w:val="20"/>
      <w:szCs w:val="20"/>
      <w:lang w:eastAsia="en-US"/>
    </w:rPr>
  </w:style>
  <w:style w:type="paragraph" w:customStyle="1" w:styleId="309">
    <w:name w:val="正文_0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0">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1">
    <w:name w:val="Normal_18_0"/>
    <w:qFormat/>
    <w:uiPriority w:val="0"/>
    <w:rPr>
      <w:rFonts w:ascii="黑体" w:hAnsi="黑体" w:eastAsia="黑体" w:cs="Times New Roman"/>
      <w:b/>
      <w:sz w:val="32"/>
      <w:szCs w:val="24"/>
      <w:lang w:val="en-US" w:eastAsia="zh-CN" w:bidi="ar-SA"/>
    </w:rPr>
  </w:style>
  <w:style w:type="paragraph" w:customStyle="1" w:styleId="312">
    <w:name w:val="样式3"/>
    <w:basedOn w:val="5"/>
    <w:qFormat/>
    <w:uiPriority w:val="0"/>
    <w:pPr>
      <w:spacing w:line="415" w:lineRule="auto"/>
    </w:pPr>
    <w:rPr>
      <w:rFonts w:ascii="Calibri" w:hAnsi="Calibri"/>
      <w:bCs/>
      <w:sz w:val="28"/>
      <w:szCs w:val="28"/>
    </w:rPr>
  </w:style>
  <w:style w:type="paragraph" w:customStyle="1" w:styleId="313">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314">
    <w:name w:val="默认段落字体 Para Char Char Char Char Char Char Char Char Char1 Char Char Char Char Char Char Char Char"/>
    <w:basedOn w:val="20"/>
    <w:qFormat/>
    <w:uiPriority w:val="0"/>
    <w:rPr>
      <w:rFonts w:ascii="Calibri" w:hAnsi="Calibri"/>
    </w:rPr>
  </w:style>
  <w:style w:type="paragraph" w:customStyle="1" w:styleId="315">
    <w:name w:val="新段落缩进"/>
    <w:basedOn w:val="1"/>
    <w:qFormat/>
    <w:uiPriority w:val="0"/>
    <w:pPr>
      <w:spacing w:line="400" w:lineRule="exact"/>
      <w:ind w:firstLine="200" w:firstLineChars="200"/>
    </w:pPr>
    <w:rPr>
      <w:rFonts w:ascii="仿宋_GB2312" w:eastAsia="仿宋_GB2312"/>
      <w:kern w:val="0"/>
      <w:sz w:val="24"/>
    </w:rPr>
  </w:style>
  <w:style w:type="paragraph" w:customStyle="1" w:styleId="316">
    <w:name w:val="Char Char Char Char Char Char Char Char Char Char1"/>
    <w:basedOn w:val="1"/>
    <w:qFormat/>
    <w:uiPriority w:val="0"/>
    <w:rPr>
      <w:rFonts w:ascii="Tahoma" w:hAnsi="Tahoma" w:cs="Tahoma"/>
      <w:sz w:val="24"/>
    </w:rPr>
  </w:style>
  <w:style w:type="paragraph" w:customStyle="1" w:styleId="317">
    <w:name w:val="Char1 Char Char Char"/>
    <w:basedOn w:val="1"/>
    <w:qFormat/>
    <w:uiPriority w:val="0"/>
    <w:rPr>
      <w:szCs w:val="20"/>
    </w:rPr>
  </w:style>
  <w:style w:type="paragraph" w:customStyle="1" w:styleId="318">
    <w:name w:val="Normal_18"/>
    <w:qFormat/>
    <w:uiPriority w:val="0"/>
    <w:rPr>
      <w:rFonts w:ascii="黑体" w:hAnsi="黑体" w:eastAsia="黑体" w:cs="Times New Roman"/>
      <w:b/>
      <w:sz w:val="32"/>
      <w:szCs w:val="24"/>
      <w:lang w:val="en-US" w:eastAsia="zh-CN" w:bidi="ar-SA"/>
    </w:rPr>
  </w:style>
  <w:style w:type="paragraph" w:customStyle="1" w:styleId="319">
    <w:name w:val="Normal_15"/>
    <w:qFormat/>
    <w:uiPriority w:val="0"/>
    <w:rPr>
      <w:rFonts w:ascii="黑体" w:hAnsi="黑体" w:eastAsia="黑体" w:cs="Times New Roman"/>
      <w:b/>
      <w:sz w:val="32"/>
      <w:szCs w:val="24"/>
      <w:lang w:val="en-US" w:eastAsia="zh-CN" w:bidi="ar-SA"/>
    </w:rPr>
  </w:style>
  <w:style w:type="paragraph" w:customStyle="1" w:styleId="320">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1">
    <w:name w:val="正文_2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2">
    <w:name w:val="正文_10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3">
    <w:name w:val="xl42"/>
    <w:basedOn w:val="1"/>
    <w:qFormat/>
    <w:uiPriority w:val="0"/>
    <w:pPr>
      <w:widowControl/>
      <w:pBdr>
        <w:top w:val="single" w:color="auto" w:sz="4" w:space="0"/>
        <w:right w:val="single" w:color="auto" w:sz="4" w:space="0"/>
      </w:pBdr>
      <w:spacing w:before="100" w:beforeAutospacing="1" w:after="100" w:afterAutospacing="1"/>
      <w:jc w:val="left"/>
      <w:textAlignment w:val="center"/>
    </w:pPr>
    <w:rPr>
      <w:rFonts w:ascii="Arial Unicode MS" w:hAnsi="Arial Unicode MS"/>
      <w:kern w:val="0"/>
      <w:sz w:val="24"/>
    </w:rPr>
  </w:style>
  <w:style w:type="paragraph" w:customStyle="1" w:styleId="324">
    <w:name w:val="正文_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5">
    <w:name w:val="正文_0_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6">
    <w:name w:val="保密事宜格式"/>
    <w:basedOn w:val="17"/>
    <w:qFormat/>
    <w:uiPriority w:val="0"/>
    <w:pPr>
      <w:pBdr>
        <w:top w:val="single" w:color="auto" w:sz="4" w:space="1"/>
        <w:left w:val="single" w:color="auto" w:sz="4" w:space="4"/>
        <w:bottom w:val="single" w:color="auto" w:sz="4" w:space="1"/>
        <w:right w:val="single" w:color="auto" w:sz="4" w:space="4"/>
      </w:pBdr>
      <w:shd w:val="clear" w:color="auto" w:fill="E6E6E6"/>
      <w:spacing w:before="152" w:after="160"/>
    </w:pPr>
    <w:rPr>
      <w:rFonts w:ascii="Tahoma" w:hAnsi="Tahoma" w:eastAsia="楷体_GB2312" w:cs="宋体"/>
      <w:b/>
      <w:kern w:val="0"/>
      <w:sz w:val="32"/>
    </w:rPr>
  </w:style>
  <w:style w:type="paragraph" w:customStyle="1" w:styleId="327">
    <w:name w:val="表格样式居左"/>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28">
    <w:name w:val="Normal_10_0"/>
    <w:qFormat/>
    <w:uiPriority w:val="0"/>
    <w:rPr>
      <w:rFonts w:ascii="黑体" w:hAnsi="黑体" w:eastAsia="黑体" w:cs="Times New Roman"/>
      <w:b/>
      <w:sz w:val="32"/>
      <w:szCs w:val="24"/>
      <w:lang w:val="en-US" w:eastAsia="zh-CN" w:bidi="ar-SA"/>
    </w:rPr>
  </w:style>
  <w:style w:type="paragraph" w:customStyle="1" w:styleId="32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kern w:val="0"/>
      <w:sz w:val="20"/>
      <w:szCs w:val="20"/>
    </w:rPr>
  </w:style>
  <w:style w:type="paragraph" w:customStyle="1" w:styleId="330">
    <w:name w:val="pa-5"/>
    <w:basedOn w:val="1"/>
    <w:qFormat/>
    <w:uiPriority w:val="0"/>
    <w:pPr>
      <w:widowControl/>
      <w:spacing w:line="280" w:lineRule="atLeast"/>
    </w:pPr>
    <w:rPr>
      <w:rFonts w:ascii="宋体" w:cs="宋体"/>
      <w:kern w:val="0"/>
      <w:sz w:val="24"/>
    </w:rPr>
  </w:style>
  <w:style w:type="paragraph" w:customStyle="1" w:styleId="331">
    <w:name w:val="Indent Normal"/>
    <w:basedOn w:val="1"/>
    <w:qFormat/>
    <w:uiPriority w:val="0"/>
    <w:pPr>
      <w:ind w:firstLine="150" w:firstLineChars="150"/>
    </w:pPr>
    <w:rPr>
      <w:sz w:val="24"/>
      <w:szCs w:val="20"/>
    </w:rPr>
  </w:style>
  <w:style w:type="paragraph" w:customStyle="1" w:styleId="332">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3">
    <w:name w:val="a0"/>
    <w:basedOn w:val="1"/>
    <w:qFormat/>
    <w:uiPriority w:val="0"/>
    <w:pPr>
      <w:widowControl/>
      <w:spacing w:before="100" w:beforeAutospacing="1" w:after="100" w:afterAutospacing="1"/>
      <w:jc w:val="left"/>
    </w:pPr>
    <w:rPr>
      <w:rFonts w:ascii="宋体"/>
      <w:kern w:val="0"/>
      <w:sz w:val="24"/>
    </w:rPr>
  </w:style>
  <w:style w:type="paragraph" w:customStyle="1" w:styleId="334">
    <w:name w:val="Body Text First Indent 21"/>
    <w:basedOn w:val="26"/>
    <w:qFormat/>
    <w:uiPriority w:val="99"/>
    <w:pPr>
      <w:ind w:firstLine="420" w:firstLineChars="200"/>
    </w:pPr>
  </w:style>
  <w:style w:type="paragraph" w:customStyle="1" w:styleId="335">
    <w:name w:val="Normal_9_0"/>
    <w:qFormat/>
    <w:uiPriority w:val="0"/>
    <w:rPr>
      <w:rFonts w:ascii="Times New Roman" w:hAnsi="Times New Roman" w:eastAsia="Times New Roman" w:cs="Times New Roman"/>
      <w:sz w:val="24"/>
      <w:szCs w:val="24"/>
      <w:lang w:val="en-US" w:eastAsia="zh-CN" w:bidi="ar-SA"/>
    </w:rPr>
  </w:style>
  <w:style w:type="paragraph" w:customStyle="1" w:styleId="336">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337">
    <w:name w:val="样式2"/>
    <w:basedOn w:val="5"/>
    <w:qFormat/>
    <w:uiPriority w:val="0"/>
    <w:pPr>
      <w:spacing w:line="415" w:lineRule="auto"/>
    </w:pPr>
    <w:rPr>
      <w:rFonts w:ascii="Calibri" w:hAnsi="Calibri"/>
      <w:bCs/>
      <w:sz w:val="28"/>
      <w:szCs w:val="28"/>
    </w:rPr>
  </w:style>
  <w:style w:type="paragraph" w:customStyle="1" w:styleId="338">
    <w:name w:val="Normal_0"/>
    <w:qFormat/>
    <w:uiPriority w:val="0"/>
    <w:rPr>
      <w:rFonts w:ascii="黑体" w:hAnsi="黑体" w:eastAsia="黑体" w:cs="Times New Roman"/>
      <w:b/>
      <w:sz w:val="32"/>
      <w:szCs w:val="24"/>
      <w:lang w:val="en-US" w:eastAsia="zh-CN" w:bidi="ar-SA"/>
    </w:rPr>
  </w:style>
  <w:style w:type="paragraph" w:customStyle="1" w:styleId="339">
    <w:name w:val="标书3"/>
    <w:next w:val="234"/>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340">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1">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2">
    <w:name w:val="Normal_1"/>
    <w:qFormat/>
    <w:uiPriority w:val="0"/>
    <w:rPr>
      <w:rFonts w:ascii="黑体" w:hAnsi="黑体" w:eastAsia="黑体" w:cs="Times New Roman"/>
      <w:b/>
      <w:sz w:val="32"/>
      <w:szCs w:val="24"/>
      <w:lang w:val="en-US" w:eastAsia="zh-CN" w:bidi="ar-SA"/>
    </w:rPr>
  </w:style>
  <w:style w:type="paragraph" w:customStyle="1" w:styleId="343">
    <w:name w:val="样式6"/>
    <w:basedOn w:val="82"/>
    <w:qFormat/>
    <w:uiPriority w:val="0"/>
    <w:pPr>
      <w:keepNext/>
      <w:keepLines/>
      <w:tabs>
        <w:tab w:val="clear" w:pos="840"/>
      </w:tabs>
      <w:spacing w:before="260" w:after="260" w:line="415" w:lineRule="auto"/>
      <w:outlineLvl w:val="1"/>
    </w:pPr>
    <w:rPr>
      <w:rFonts w:ascii="Times New Roman" w:hAnsi="Times New Roman" w:eastAsia="宋体" w:cs="Times New Roman"/>
      <w:b/>
      <w:bCs/>
      <w:sz w:val="32"/>
      <w:szCs w:val="32"/>
    </w:rPr>
  </w:style>
  <w:style w:type="paragraph" w:customStyle="1" w:styleId="344">
    <w:name w:val="我的样式"/>
    <w:basedOn w:val="1"/>
    <w:qFormat/>
    <w:uiPriority w:val="0"/>
    <w:pPr>
      <w:widowControl/>
      <w:spacing w:after="120"/>
      <w:ind w:firstLine="420"/>
      <w:jc w:val="left"/>
    </w:pPr>
    <w:rPr>
      <w:rFonts w:ascii="宋体"/>
      <w:color w:val="000000"/>
      <w:kern w:val="0"/>
      <w:sz w:val="24"/>
      <w:szCs w:val="16"/>
    </w:rPr>
  </w:style>
  <w:style w:type="paragraph" w:customStyle="1" w:styleId="34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0"/>
      <w:szCs w:val="20"/>
    </w:rPr>
  </w:style>
  <w:style w:type="paragraph" w:customStyle="1" w:styleId="346">
    <w:name w:val="正文缩进1"/>
    <w:basedOn w:val="1"/>
    <w:qFormat/>
    <w:uiPriority w:val="0"/>
    <w:pPr>
      <w:ind w:firstLine="420"/>
    </w:pPr>
    <w:rPr>
      <w:szCs w:val="20"/>
    </w:rPr>
  </w:style>
  <w:style w:type="paragraph" w:customStyle="1" w:styleId="347">
    <w:name w:val="font8"/>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348">
    <w:name w:val="默认段落字体 Para Char Char Char Char Char"/>
    <w:basedOn w:val="1"/>
    <w:qFormat/>
    <w:uiPriority w:val="0"/>
    <w:pPr>
      <w:spacing w:before="100" w:beforeAutospacing="1" w:after="100" w:afterAutospacing="1" w:line="360" w:lineRule="auto"/>
      <w:ind w:firstLine="200" w:firstLineChars="200"/>
      <w:jc w:val="left"/>
    </w:pPr>
    <w:rPr>
      <w:rFonts w:ascii="Arial" w:hAnsi="Arial"/>
      <w:kern w:val="0"/>
      <w:sz w:val="24"/>
      <w:lang w:eastAsia="en-US"/>
    </w:rPr>
  </w:style>
  <w:style w:type="paragraph" w:customStyle="1" w:styleId="349">
    <w:name w:val="Char Char1 Char Char Char Char Char Char"/>
    <w:basedOn w:val="1"/>
    <w:qFormat/>
    <w:uiPriority w:val="0"/>
    <w:pPr>
      <w:widowControl/>
      <w:jc w:val="center"/>
    </w:pPr>
    <w:rPr>
      <w:szCs w:val="20"/>
    </w:rPr>
  </w:style>
  <w:style w:type="paragraph" w:customStyle="1" w:styleId="350">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351">
    <w:name w:val="表格样式居中"/>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352">
    <w:name w:val="样式 序号----------- + 仿宋_GB2312"/>
    <w:basedOn w:val="353"/>
    <w:qFormat/>
    <w:uiPriority w:val="0"/>
    <w:pPr>
      <w:spacing w:line="360" w:lineRule="auto"/>
      <w:ind w:firstLine="200" w:firstLineChars="200"/>
    </w:pPr>
    <w:rPr>
      <w:rFonts w:ascii="仿宋_GB2312" w:eastAsia="仿宋_GB2312"/>
      <w:bCs w:val="0"/>
    </w:rPr>
  </w:style>
  <w:style w:type="paragraph" w:customStyle="1" w:styleId="353">
    <w:name w:val="序号-----------"/>
    <w:basedOn w:val="1"/>
    <w:qFormat/>
    <w:uiPriority w:val="0"/>
    <w:pPr>
      <w:widowControl/>
      <w:jc w:val="left"/>
    </w:pPr>
    <w:rPr>
      <w:rFonts w:ascii="宋体"/>
      <w:bCs/>
      <w:kern w:val="0"/>
      <w:szCs w:val="21"/>
    </w:rPr>
  </w:style>
  <w:style w:type="paragraph" w:customStyle="1" w:styleId="354">
    <w:name w:val="附图标题"/>
    <w:basedOn w:val="17"/>
    <w:next w:val="16"/>
    <w:qFormat/>
    <w:uiPriority w:val="0"/>
    <w:pPr>
      <w:tabs>
        <w:tab w:val="left" w:pos="780"/>
        <w:tab w:val="clear" w:pos="0"/>
      </w:tabs>
      <w:spacing w:after="100" w:afterLines="100"/>
      <w:ind w:left="780" w:hanging="480"/>
      <w:jc w:val="center"/>
    </w:pPr>
    <w:rPr>
      <w:b/>
      <w:sz w:val="21"/>
    </w:rPr>
  </w:style>
  <w:style w:type="paragraph" w:customStyle="1" w:styleId="355">
    <w:name w:val="正文_1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6">
    <w:name w:val="文档正文"/>
    <w:basedOn w:val="1"/>
    <w:qFormat/>
    <w:uiPriority w:val="0"/>
    <w:rPr>
      <w:rFonts w:ascii="宋体"/>
      <w:szCs w:val="20"/>
    </w:rPr>
  </w:style>
  <w:style w:type="paragraph" w:customStyle="1" w:styleId="357">
    <w:name w:val="Normal_4_0"/>
    <w:qFormat/>
    <w:uiPriority w:val="0"/>
    <w:rPr>
      <w:rFonts w:ascii="黑体" w:hAnsi="黑体" w:eastAsia="黑体" w:cs="Times New Roman"/>
      <w:b/>
      <w:sz w:val="32"/>
      <w:szCs w:val="24"/>
      <w:lang w:val="en-US" w:eastAsia="zh-CN" w:bidi="ar-SA"/>
    </w:rPr>
  </w:style>
  <w:style w:type="paragraph" w:customStyle="1" w:styleId="358">
    <w:name w:val="技术方案3"/>
    <w:basedOn w:val="1"/>
    <w:qFormat/>
    <w:uiPriority w:val="0"/>
    <w:pPr>
      <w:spacing w:line="360" w:lineRule="auto"/>
    </w:pPr>
    <w:rPr>
      <w:rFonts w:ascii="宋体"/>
      <w:b/>
      <w:bCs/>
      <w:sz w:val="32"/>
    </w:rPr>
  </w:style>
  <w:style w:type="paragraph" w:customStyle="1" w:styleId="35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360">
    <w:name w:val="pa-3"/>
    <w:basedOn w:val="1"/>
    <w:qFormat/>
    <w:uiPriority w:val="0"/>
    <w:pPr>
      <w:widowControl/>
      <w:spacing w:before="150" w:after="150"/>
      <w:jc w:val="left"/>
    </w:pPr>
    <w:rPr>
      <w:rFonts w:ascii="宋体" w:cs="宋体"/>
      <w:kern w:val="0"/>
      <w:sz w:val="24"/>
    </w:rPr>
  </w:style>
  <w:style w:type="paragraph" w:customStyle="1" w:styleId="361">
    <w:name w:val="pbody"/>
    <w:basedOn w:val="1"/>
    <w:qFormat/>
    <w:uiPriority w:val="0"/>
    <w:pPr>
      <w:widowControl/>
      <w:spacing w:before="100" w:beforeAutospacing="1" w:after="100" w:afterAutospacing="1" w:line="360" w:lineRule="auto"/>
      <w:jc w:val="left"/>
    </w:pPr>
    <w:rPr>
      <w:rFonts w:ascii="宋体" w:cs="宋体"/>
      <w:kern w:val="0"/>
      <w:sz w:val="24"/>
    </w:rPr>
  </w:style>
  <w:style w:type="paragraph" w:customStyle="1" w:styleId="362">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textAlignment w:val="top"/>
    </w:pPr>
    <w:rPr>
      <w:rFonts w:ascii="Arial Unicode MS" w:hAnsi="Arial Unicode MS"/>
      <w:color w:val="000000"/>
      <w:kern w:val="0"/>
      <w:sz w:val="18"/>
      <w:szCs w:val="18"/>
    </w:rPr>
  </w:style>
  <w:style w:type="paragraph" w:customStyle="1" w:styleId="363">
    <w:name w:val="首页单位日期"/>
    <w:basedOn w:val="1"/>
    <w:qFormat/>
    <w:uiPriority w:val="0"/>
    <w:pPr>
      <w:widowControl/>
      <w:adjustRightInd w:val="0"/>
      <w:snapToGrid w:val="0"/>
      <w:jc w:val="center"/>
    </w:pPr>
    <w:rPr>
      <w:rFonts w:ascii="宋体" w:cs="宋体"/>
      <w:bCs/>
      <w:kern w:val="0"/>
      <w:sz w:val="28"/>
      <w:szCs w:val="20"/>
    </w:rPr>
  </w:style>
  <w:style w:type="paragraph" w:customStyle="1" w:styleId="364">
    <w:name w:val="Normal_11_0"/>
    <w:qFormat/>
    <w:uiPriority w:val="0"/>
    <w:rPr>
      <w:rFonts w:ascii="黑体" w:hAnsi="黑体" w:eastAsia="黑体" w:cs="Times New Roman"/>
      <w:b/>
      <w:sz w:val="32"/>
      <w:szCs w:val="24"/>
      <w:lang w:val="en-US" w:eastAsia="zh-CN" w:bidi="ar-SA"/>
    </w:rPr>
  </w:style>
  <w:style w:type="paragraph" w:customStyle="1" w:styleId="365">
    <w:name w:val="正文_6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6">
    <w:name w:val="正文_0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正文_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68">
    <w:name w:val="技术方案正文样式"/>
    <w:basedOn w:val="1"/>
    <w:qFormat/>
    <w:uiPriority w:val="0"/>
    <w:pPr>
      <w:autoSpaceDE w:val="0"/>
      <w:autoSpaceDN w:val="0"/>
      <w:adjustRightInd w:val="0"/>
      <w:spacing w:line="400" w:lineRule="exact"/>
      <w:ind w:firstLine="200" w:firstLineChars="200"/>
    </w:pPr>
    <w:rPr>
      <w:rFonts w:ascii="宋体" w:cs="宋体"/>
      <w:sz w:val="24"/>
      <w:szCs w:val="21"/>
    </w:rPr>
  </w:style>
  <w:style w:type="paragraph" w:customStyle="1" w:styleId="369">
    <w:name w:val="首页标题"/>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370">
    <w:name w:val="Normal_16"/>
    <w:qFormat/>
    <w:uiPriority w:val="0"/>
    <w:rPr>
      <w:rFonts w:ascii="黑体" w:hAnsi="黑体" w:eastAsia="黑体" w:cs="Times New Roman"/>
      <w:b/>
      <w:sz w:val="32"/>
      <w:szCs w:val="24"/>
      <w:lang w:val="en-US" w:eastAsia="zh-CN" w:bidi="ar-SA"/>
    </w:rPr>
  </w:style>
  <w:style w:type="paragraph" w:customStyle="1" w:styleId="371">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2">
    <w:name w:val="正文_1_0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3">
    <w:name w:val="纯文本2"/>
    <w:basedOn w:val="1"/>
    <w:qFormat/>
    <w:uiPriority w:val="0"/>
    <w:pPr>
      <w:adjustRightInd w:val="0"/>
      <w:textAlignment w:val="baseline"/>
    </w:pPr>
    <w:rPr>
      <w:rFonts w:ascii="宋体" w:hAnsi="Courier New" w:eastAsia="楷体_GB2312"/>
      <w:sz w:val="26"/>
      <w:szCs w:val="20"/>
    </w:rPr>
  </w:style>
  <w:style w:type="paragraph" w:customStyle="1" w:styleId="374">
    <w:name w:val="pa-4"/>
    <w:basedOn w:val="1"/>
    <w:autoRedefine/>
    <w:qFormat/>
    <w:uiPriority w:val="0"/>
    <w:pPr>
      <w:widowControl/>
      <w:spacing w:line="280" w:lineRule="atLeast"/>
      <w:jc w:val="center"/>
    </w:pPr>
    <w:rPr>
      <w:rFonts w:ascii="宋体" w:cs="宋体"/>
      <w:kern w:val="0"/>
      <w:sz w:val="24"/>
    </w:rPr>
  </w:style>
  <w:style w:type="paragraph" w:customStyle="1" w:styleId="375">
    <w:name w:val="大汉方案正文 Char"/>
    <w:basedOn w:val="1"/>
    <w:autoRedefine/>
    <w:qFormat/>
    <w:uiPriority w:val="0"/>
    <w:pPr>
      <w:spacing w:line="360" w:lineRule="auto"/>
      <w:ind w:firstLine="200" w:firstLineChars="200"/>
    </w:pPr>
    <w:rPr>
      <w:rFonts w:ascii="Arial" w:hAnsi="Arial"/>
      <w:sz w:val="24"/>
    </w:rPr>
  </w:style>
  <w:style w:type="paragraph" w:customStyle="1" w:styleId="376">
    <w:name w:val="Normal_3_0"/>
    <w:autoRedefine/>
    <w:qFormat/>
    <w:uiPriority w:val="0"/>
    <w:rPr>
      <w:rFonts w:ascii="黑体" w:hAnsi="黑体" w:eastAsia="黑体" w:cs="Times New Roman"/>
      <w:b/>
      <w:sz w:val="32"/>
      <w:szCs w:val="24"/>
      <w:lang w:val="en-US" w:eastAsia="zh-CN" w:bidi="ar-SA"/>
    </w:rPr>
  </w:style>
  <w:style w:type="paragraph" w:customStyle="1" w:styleId="377">
    <w:name w:val="正文_9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8">
    <w:name w:val="标书2"/>
    <w:next w:val="234"/>
    <w:autoRedefine/>
    <w:qFormat/>
    <w:uiPriority w:val="0"/>
    <w:rPr>
      <w:rFonts w:ascii="Times New Roman" w:hAnsi="Times New Roman" w:eastAsia="黑体" w:cs="宋体"/>
      <w:b/>
      <w:kern w:val="2"/>
      <w:sz w:val="44"/>
      <w:lang w:val="en-US" w:eastAsia="zh-CN" w:bidi="ar-SA"/>
    </w:rPr>
  </w:style>
  <w:style w:type="paragraph" w:customStyle="1" w:styleId="379">
    <w:name w:val="Normal_8_0"/>
    <w:qFormat/>
    <w:uiPriority w:val="0"/>
    <w:rPr>
      <w:rFonts w:ascii="黑体" w:hAnsi="黑体" w:eastAsia="黑体" w:cs="Times New Roman"/>
      <w:b/>
      <w:sz w:val="32"/>
      <w:szCs w:val="24"/>
      <w:lang w:val="en-US" w:eastAsia="zh-CN" w:bidi="ar-SA"/>
    </w:rPr>
  </w:style>
  <w:style w:type="paragraph" w:customStyle="1" w:styleId="380">
    <w:name w:val="样式 序号----------- + 仿宋_GB23121"/>
    <w:basedOn w:val="353"/>
    <w:qFormat/>
    <w:uiPriority w:val="0"/>
    <w:pPr>
      <w:spacing w:line="360" w:lineRule="auto"/>
    </w:pPr>
    <w:rPr>
      <w:rFonts w:ascii="仿宋_GB2312" w:eastAsia="仿宋_GB2312"/>
      <w:bCs w:val="0"/>
    </w:rPr>
  </w:style>
  <w:style w:type="paragraph" w:customStyle="1" w:styleId="381">
    <w:name w:val="序号"/>
    <w:next w:val="1"/>
    <w:qFormat/>
    <w:uiPriority w:val="0"/>
    <w:pPr>
      <w:adjustRightInd w:val="0"/>
      <w:snapToGrid w:val="0"/>
      <w:jc w:val="center"/>
      <w:textAlignment w:val="center"/>
    </w:pPr>
    <w:rPr>
      <w:rFonts w:ascii="Times New Roman" w:hAnsi="Times New Roman" w:eastAsia="仿宋_GB2312" w:cs="Times New Roman"/>
      <w:bCs/>
      <w:kern w:val="44"/>
      <w:sz w:val="21"/>
      <w:szCs w:val="44"/>
      <w:lang w:val="en-US" w:eastAsia="zh-CN" w:bidi="ar-SA"/>
    </w:rPr>
  </w:style>
  <w:style w:type="paragraph" w:customStyle="1" w:styleId="382">
    <w:name w:val="Normal_5_0"/>
    <w:autoRedefine/>
    <w:qFormat/>
    <w:uiPriority w:val="0"/>
    <w:rPr>
      <w:rFonts w:ascii="黑体" w:hAnsi="黑体" w:eastAsia="黑体" w:cs="Times New Roman"/>
      <w:b/>
      <w:sz w:val="32"/>
      <w:szCs w:val="24"/>
      <w:lang w:val="en-US" w:eastAsia="zh-CN" w:bidi="ar-SA"/>
    </w:rPr>
  </w:style>
  <w:style w:type="paragraph" w:customStyle="1" w:styleId="383">
    <w:name w:val="缩进正文"/>
    <w:basedOn w:val="1"/>
    <w:autoRedefine/>
    <w:qFormat/>
    <w:uiPriority w:val="0"/>
    <w:pPr>
      <w:widowControl/>
      <w:adjustRightInd w:val="0"/>
      <w:spacing w:after="200" w:line="400" w:lineRule="exact"/>
      <w:ind w:left="1418" w:firstLine="425"/>
      <w:jc w:val="left"/>
      <w:textAlignment w:val="baseline"/>
    </w:pPr>
    <w:rPr>
      <w:rFonts w:ascii="宋体"/>
      <w:kern w:val="0"/>
      <w:sz w:val="24"/>
      <w:szCs w:val="20"/>
      <w:lang w:val="en-US" w:eastAsia="zh-CN"/>
    </w:rPr>
  </w:style>
  <w:style w:type="paragraph" w:customStyle="1" w:styleId="38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385">
    <w:name w:val="缺省文本"/>
    <w:basedOn w:val="1"/>
    <w:autoRedefine/>
    <w:qFormat/>
    <w:uiPriority w:val="0"/>
    <w:pPr>
      <w:autoSpaceDE w:val="0"/>
      <w:autoSpaceDN w:val="0"/>
      <w:adjustRightInd w:val="0"/>
      <w:jc w:val="left"/>
    </w:pPr>
    <w:rPr>
      <w:kern w:val="0"/>
      <w:sz w:val="24"/>
      <w:szCs w:val="20"/>
    </w:rPr>
  </w:style>
  <w:style w:type="paragraph" w:customStyle="1" w:styleId="386">
    <w:name w:val="B2"/>
    <w:basedOn w:val="1"/>
    <w:autoRedefine/>
    <w:qFormat/>
    <w:uiPriority w:val="0"/>
    <w:pPr>
      <w:numPr>
        <w:ilvl w:val="1"/>
        <w:numId w:val="3"/>
      </w:numPr>
      <w:tabs>
        <w:tab w:val="left" w:pos="1418"/>
      </w:tabs>
      <w:adjustRightInd w:val="0"/>
      <w:snapToGrid w:val="0"/>
      <w:spacing w:beforeLines="50"/>
      <w:outlineLvl w:val="1"/>
    </w:pPr>
    <w:rPr>
      <w:rFonts w:ascii="Arial Narrow" w:hAnsi="Arial Narrow" w:eastAsia="仿宋"/>
      <w:sz w:val="24"/>
      <w:szCs w:val="24"/>
    </w:rPr>
  </w:style>
  <w:style w:type="paragraph" w:customStyle="1" w:styleId="387">
    <w:name w:val="pa-2"/>
    <w:basedOn w:val="1"/>
    <w:qFormat/>
    <w:uiPriority w:val="0"/>
    <w:pPr>
      <w:widowControl/>
      <w:spacing w:line="360" w:lineRule="atLeast"/>
    </w:pPr>
    <w:rPr>
      <w:rFonts w:ascii="宋体" w:cs="宋体"/>
      <w:kern w:val="0"/>
      <w:sz w:val="24"/>
    </w:rPr>
  </w:style>
  <w:style w:type="paragraph" w:customStyle="1" w:styleId="388">
    <w:name w:val="正文_4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9">
    <w:name w:val="Normal_10"/>
    <w:qFormat/>
    <w:uiPriority w:val="0"/>
    <w:rPr>
      <w:rFonts w:ascii="黑体" w:hAnsi="黑体" w:eastAsia="黑体" w:cs="Times New Roman"/>
      <w:b/>
      <w:sz w:val="32"/>
      <w:szCs w:val="24"/>
      <w:lang w:val="en-US" w:eastAsia="zh-CN" w:bidi="ar-SA"/>
    </w:rPr>
  </w:style>
  <w:style w:type="paragraph" w:customStyle="1" w:styleId="390">
    <w:name w:val="Char"/>
    <w:basedOn w:val="1"/>
    <w:autoRedefine/>
    <w:qFormat/>
    <w:uiPriority w:val="0"/>
    <w:pPr>
      <w:tabs>
        <w:tab w:val="left" w:pos="360"/>
      </w:tabs>
    </w:pPr>
    <w:rPr>
      <w:rFonts w:ascii="仿宋_GB2312" w:eastAsia="仿宋_GB2312"/>
      <w:b/>
      <w:sz w:val="24"/>
    </w:rPr>
  </w:style>
  <w:style w:type="paragraph" w:customStyle="1" w:styleId="391">
    <w:name w:val="正文段"/>
    <w:basedOn w:val="1"/>
    <w:autoRedefine/>
    <w:qFormat/>
    <w:uiPriority w:val="0"/>
    <w:pPr>
      <w:widowControl/>
      <w:snapToGrid w:val="0"/>
      <w:spacing w:after="240" w:line="240" w:lineRule="atLeast"/>
      <w:ind w:firstLine="425"/>
    </w:pPr>
    <w:rPr>
      <w:kern w:val="0"/>
      <w:sz w:val="24"/>
      <w:szCs w:val="20"/>
    </w:rPr>
  </w:style>
  <w:style w:type="paragraph" w:customStyle="1" w:styleId="392">
    <w:name w:val="编号1"/>
    <w:next w:val="234"/>
    <w:autoRedefine/>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393">
    <w:name w:val="表格文字"/>
    <w:basedOn w:val="1"/>
    <w:autoRedefine/>
    <w:qFormat/>
    <w:uiPriority w:val="0"/>
    <w:pPr>
      <w:jc w:val="left"/>
    </w:pPr>
    <w:rPr>
      <w:sz w:val="18"/>
    </w:rPr>
  </w:style>
  <w:style w:type="paragraph" w:customStyle="1" w:styleId="394">
    <w:name w:val="正文_1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5">
    <w:name w:val="章标题"/>
    <w:next w:val="204"/>
    <w:qFormat/>
    <w:uiPriority w:val="0"/>
    <w:pPr>
      <w:tabs>
        <w:tab w:val="left" w:pos="1200"/>
      </w:tabs>
      <w:spacing w:before="50" w:beforeLines="50" w:after="50" w:afterLines="50"/>
      <w:ind w:left="1320" w:hanging="420"/>
      <w:jc w:val="both"/>
      <w:outlineLvl w:val="1"/>
    </w:pPr>
    <w:rPr>
      <w:rFonts w:ascii="黑体" w:hAnsi="Times New Roman" w:eastAsia="黑体" w:cs="Times New Roman"/>
      <w:sz w:val="21"/>
      <w:lang w:val="en-US" w:eastAsia="zh-CN" w:bidi="ar-SA"/>
    </w:rPr>
  </w:style>
  <w:style w:type="paragraph" w:customStyle="1" w:styleId="396">
    <w:name w:val="普通正文"/>
    <w:basedOn w:val="1"/>
    <w:qFormat/>
    <w:uiPriority w:val="0"/>
    <w:pPr>
      <w:adjustRightInd w:val="0"/>
      <w:ind w:firstLine="425"/>
      <w:jc w:val="left"/>
      <w:textAlignment w:val="baseline"/>
    </w:pPr>
    <w:rPr>
      <w:rFonts w:ascii="宋体"/>
      <w:kern w:val="0"/>
      <w:sz w:val="20"/>
      <w:szCs w:val="20"/>
    </w:rPr>
  </w:style>
  <w:style w:type="paragraph" w:customStyle="1" w:styleId="397">
    <w:name w:val="Normal_12"/>
    <w:qFormat/>
    <w:uiPriority w:val="0"/>
    <w:rPr>
      <w:rFonts w:ascii="黑体" w:hAnsi="黑体" w:eastAsia="黑体" w:cs="Times New Roman"/>
      <w:b/>
      <w:sz w:val="32"/>
      <w:szCs w:val="24"/>
      <w:lang w:val="en-US" w:eastAsia="zh-CN" w:bidi="ar-SA"/>
    </w:rPr>
  </w:style>
  <w:style w:type="paragraph" w:customStyle="1" w:styleId="398">
    <w:name w:val="Normal_19"/>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9">
    <w:name w:val="正文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00">
    <w:name w:val="Normal_11"/>
    <w:autoRedefine/>
    <w:qFormat/>
    <w:uiPriority w:val="0"/>
    <w:rPr>
      <w:rFonts w:ascii="黑体" w:hAnsi="黑体" w:eastAsia="黑体" w:cs="Times New Roman"/>
      <w:b/>
      <w:sz w:val="32"/>
      <w:szCs w:val="24"/>
      <w:lang w:val="en-US" w:eastAsia="zh-CN" w:bidi="ar-SA"/>
    </w:rPr>
  </w:style>
  <w:style w:type="paragraph" w:customStyle="1" w:styleId="401">
    <w:name w:val="图表目录1"/>
    <w:autoRedefine/>
    <w:qFormat/>
    <w:uiPriority w:val="0"/>
    <w:pPr>
      <w:ind w:left="840" w:hanging="420"/>
    </w:pPr>
    <w:rPr>
      <w:rFonts w:ascii="Times New Roman" w:hAnsi="Times New Roman" w:eastAsia="宋体" w:cs="宋体"/>
      <w:kern w:val="2"/>
      <w:sz w:val="21"/>
      <w:lang w:val="en-US" w:eastAsia="zh-CN" w:bidi="ar-SA"/>
    </w:rPr>
  </w:style>
  <w:style w:type="paragraph" w:customStyle="1" w:styleId="402">
    <w:name w:val="Normal_7"/>
    <w:qFormat/>
    <w:uiPriority w:val="0"/>
    <w:rPr>
      <w:rFonts w:ascii="黑体" w:hAnsi="黑体" w:eastAsia="黑体" w:cs="Times New Roman"/>
      <w:b/>
      <w:sz w:val="32"/>
      <w:szCs w:val="24"/>
      <w:lang w:val="en-US" w:eastAsia="zh-CN" w:bidi="ar-SA"/>
    </w:rPr>
  </w:style>
  <w:style w:type="paragraph" w:customStyle="1" w:styleId="403">
    <w:name w:val="正文_6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4">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5">
    <w:name w:val="正文_11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6">
    <w:name w:val="封面标准名称"/>
    <w:autoRedefine/>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07">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408">
    <w:name w:val="纯文本1"/>
    <w:basedOn w:val="1"/>
    <w:autoRedefine/>
    <w:qFormat/>
    <w:uiPriority w:val="0"/>
    <w:pPr>
      <w:adjustRightInd w:val="0"/>
      <w:textAlignment w:val="baseline"/>
    </w:pPr>
    <w:rPr>
      <w:rFonts w:ascii="宋体" w:hAnsi="Courier New" w:eastAsia="楷体_GB2312"/>
      <w:sz w:val="26"/>
      <w:szCs w:val="20"/>
    </w:rPr>
  </w:style>
  <w:style w:type="paragraph" w:customStyle="1" w:styleId="409">
    <w:name w:val="正文_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0">
    <w:name w:val="Char11"/>
    <w:basedOn w:val="1"/>
    <w:qFormat/>
    <w:uiPriority w:val="0"/>
    <w:rPr>
      <w:szCs w:val="21"/>
    </w:rPr>
  </w:style>
  <w:style w:type="paragraph" w:customStyle="1" w:styleId="411">
    <w:name w:val="正文_14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2">
    <w:name w:val="英文音标"/>
    <w:qFormat/>
    <w:uiPriority w:val="0"/>
    <w:rPr>
      <w:rFonts w:ascii="Kingsoft Phonetic Plain" w:hAnsi="Kingsoft Phonetic Plain" w:eastAsia="Kingsoft Phonetic Plain" w:cs="Times New Roman"/>
      <w:kern w:val="2"/>
      <w:sz w:val="24"/>
      <w:szCs w:val="24"/>
      <w:lang w:val="en-US" w:eastAsia="zh-CN" w:bidi="ar-SA"/>
    </w:rPr>
  </w:style>
  <w:style w:type="paragraph" w:customStyle="1" w:styleId="413">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414">
    <w:name w:val="pa-0"/>
    <w:basedOn w:val="1"/>
    <w:autoRedefine/>
    <w:qFormat/>
    <w:uiPriority w:val="0"/>
    <w:pPr>
      <w:widowControl/>
      <w:spacing w:line="360" w:lineRule="atLeast"/>
      <w:ind w:firstLine="480"/>
    </w:pPr>
    <w:rPr>
      <w:rFonts w:ascii="宋体" w:cs="宋体"/>
      <w:kern w:val="0"/>
      <w:sz w:val="24"/>
    </w:rPr>
  </w:style>
  <w:style w:type="paragraph" w:customStyle="1" w:styleId="415">
    <w:name w:val="正文_4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6">
    <w:name w:val="tabletext"/>
    <w:basedOn w:val="1"/>
    <w:autoRedefine/>
    <w:qFormat/>
    <w:uiPriority w:val="0"/>
    <w:pPr>
      <w:widowControl/>
      <w:spacing w:before="100" w:beforeAutospacing="1" w:after="100" w:afterAutospacing="1"/>
      <w:jc w:val="left"/>
    </w:pPr>
    <w:rPr>
      <w:rFonts w:ascii="宋体"/>
      <w:kern w:val="0"/>
      <w:sz w:val="24"/>
    </w:rPr>
  </w:style>
  <w:style w:type="paragraph" w:customStyle="1" w:styleId="417">
    <w:name w:val="正文_19"/>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8">
    <w:name w:val="附图居中"/>
    <w:basedOn w:val="1"/>
    <w:next w:val="354"/>
    <w:qFormat/>
    <w:uiPriority w:val="0"/>
    <w:pPr>
      <w:keepNext/>
      <w:tabs>
        <w:tab w:val="left" w:pos="0"/>
      </w:tabs>
      <w:spacing w:line="360" w:lineRule="auto"/>
      <w:ind w:left="1271" w:hanging="420"/>
      <w:jc w:val="center"/>
    </w:pPr>
    <w:rPr>
      <w:caps/>
      <w:sz w:val="24"/>
    </w:rPr>
  </w:style>
  <w:style w:type="paragraph" w:customStyle="1" w:styleId="419">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420">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1">
    <w:name w:val="正文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2">
    <w:name w:val="正文_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3">
    <w:name w:val="正文 + 宋体"/>
    <w:basedOn w:val="1"/>
    <w:autoRedefine/>
    <w:qFormat/>
    <w:uiPriority w:val="0"/>
    <w:pPr>
      <w:ind w:firstLine="250" w:firstLineChars="250"/>
    </w:pPr>
    <w:rPr>
      <w:rFonts w:ascii="宋体"/>
      <w:szCs w:val="21"/>
    </w:rPr>
  </w:style>
  <w:style w:type="paragraph" w:customStyle="1" w:styleId="424">
    <w:name w:val="FA正文+标号"/>
    <w:basedOn w:val="1"/>
    <w:autoRedefine/>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25">
    <w:name w:val="Normal_0_2"/>
    <w:autoRedefine/>
    <w:qFormat/>
    <w:uiPriority w:val="0"/>
    <w:rPr>
      <w:rFonts w:ascii="黑体" w:hAnsi="黑体" w:eastAsia="黑体" w:cs="Times New Roman"/>
      <w:b/>
      <w:sz w:val="32"/>
      <w:szCs w:val="24"/>
      <w:lang w:val="en-US" w:eastAsia="zh-CN" w:bidi="ar-SA"/>
    </w:rPr>
  </w:style>
  <w:style w:type="paragraph" w:customStyle="1" w:styleId="426">
    <w:name w:val="Normal_13"/>
    <w:qFormat/>
    <w:uiPriority w:val="0"/>
    <w:rPr>
      <w:rFonts w:ascii="黑体" w:hAnsi="黑体" w:eastAsia="黑体" w:cs="Times New Roman"/>
      <w:b/>
      <w:sz w:val="32"/>
      <w:szCs w:val="24"/>
      <w:lang w:val="en-US" w:eastAsia="zh-CN" w:bidi="ar-SA"/>
    </w:rPr>
  </w:style>
  <w:style w:type="paragraph" w:customStyle="1" w:styleId="427">
    <w:name w:val="正文_1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8">
    <w:name w:val="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429">
    <w:name w:val="正文（首行缩进两字）"/>
    <w:basedOn w:val="1"/>
    <w:autoRedefine/>
    <w:qFormat/>
    <w:uiPriority w:val="0"/>
    <w:pPr>
      <w:spacing w:line="312" w:lineRule="auto"/>
    </w:pPr>
    <w:rPr>
      <w:rFonts w:ascii="宋体" w:cs="宋体"/>
      <w:sz w:val="24"/>
    </w:rPr>
  </w:style>
  <w:style w:type="paragraph" w:customStyle="1" w:styleId="430">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1">
    <w:name w:val="样式5"/>
    <w:basedOn w:val="5"/>
    <w:autoRedefine/>
    <w:qFormat/>
    <w:uiPriority w:val="0"/>
    <w:pPr>
      <w:spacing w:line="415" w:lineRule="auto"/>
    </w:pPr>
    <w:rPr>
      <w:rFonts w:ascii="Calibri" w:hAnsi="Calibri"/>
      <w:bCs/>
      <w:sz w:val="28"/>
      <w:szCs w:val="28"/>
    </w:rPr>
  </w:style>
  <w:style w:type="paragraph" w:customStyle="1" w:styleId="432">
    <w:name w:val=" Char Char Char Char"/>
    <w:basedOn w:val="1"/>
    <w:autoRedefine/>
    <w:qFormat/>
    <w:uiPriority w:val="0"/>
    <w:pPr>
      <w:widowControl/>
      <w:spacing w:after="120" w:line="360" w:lineRule="auto"/>
      <w:ind w:left="560" w:firstLine="200" w:firstLineChars="200"/>
      <w:jc w:val="left"/>
    </w:pPr>
    <w:rPr>
      <w:rFonts w:ascii="Verdana" w:hAnsi="Verdana"/>
      <w:kern w:val="0"/>
      <w:sz w:val="24"/>
    </w:rPr>
  </w:style>
  <w:style w:type="paragraph" w:customStyle="1" w:styleId="433">
    <w:name w:val="WPSOffice手动目录 1"/>
    <w:qFormat/>
    <w:uiPriority w:val="0"/>
    <w:rPr>
      <w:rFonts w:ascii="Times New Roman" w:hAnsi="Times New Roman" w:eastAsia="宋体" w:cs="Times New Roman"/>
      <w:lang w:val="en-US" w:eastAsia="zh-CN" w:bidi="ar-SA"/>
    </w:rPr>
  </w:style>
  <w:style w:type="paragraph" w:customStyle="1" w:styleId="434">
    <w:name w:val="表头"/>
    <w:basedOn w:val="219"/>
    <w:qFormat/>
    <w:uiPriority w:val="0"/>
    <w:pPr>
      <w:spacing w:line="240" w:lineRule="auto"/>
      <w:ind w:left="0" w:firstLine="0"/>
    </w:pPr>
    <w:rPr>
      <w:sz w:val="20"/>
    </w:rPr>
  </w:style>
  <w:style w:type="paragraph" w:customStyle="1" w:styleId="435">
    <w:name w:val="Char12"/>
    <w:basedOn w:val="1"/>
    <w:qFormat/>
    <w:uiPriority w:val="0"/>
    <w:pPr>
      <w:tabs>
        <w:tab w:val="left" w:pos="360"/>
      </w:tabs>
      <w:spacing w:line="480" w:lineRule="auto"/>
      <w:ind w:left="360" w:right="202" w:firstLine="360"/>
    </w:pPr>
    <w:rPr>
      <w:sz w:val="24"/>
    </w:rPr>
  </w:style>
  <w:style w:type="paragraph" w:customStyle="1" w:styleId="436">
    <w:name w:val="寄信人地址1"/>
    <w:basedOn w:val="235"/>
    <w:autoRedefine/>
    <w:qFormat/>
    <w:uiPriority w:val="99"/>
    <w:rPr>
      <w:rFonts w:ascii="Arial" w:hAnsi="Arial" w:cs="Arial"/>
    </w:rPr>
  </w:style>
  <w:style w:type="paragraph" w:customStyle="1" w:styleId="437">
    <w:name w:val="Normal_0_0"/>
    <w:autoRedefine/>
    <w:qFormat/>
    <w:uiPriority w:val="0"/>
    <w:rPr>
      <w:rFonts w:ascii="黑体" w:hAnsi="黑体" w:eastAsia="黑体" w:cs="Times New Roman"/>
      <w:b/>
      <w:sz w:val="40"/>
      <w:szCs w:val="24"/>
      <w:lang w:val="en-US" w:eastAsia="zh-CN" w:bidi="ar-SA"/>
    </w:rPr>
  </w:style>
  <w:style w:type="paragraph" w:customStyle="1" w:styleId="438">
    <w:name w:val="样式 正文首行缩进 + 宋体 首行缩进:  0.74 厘米"/>
    <w:basedOn w:val="63"/>
    <w:autoRedefine/>
    <w:qFormat/>
    <w:uiPriority w:val="0"/>
    <w:pPr>
      <w:autoSpaceDE w:val="0"/>
      <w:autoSpaceDN w:val="0"/>
      <w:adjustRightInd w:val="0"/>
      <w:spacing w:before="120" w:after="0" w:line="380" w:lineRule="exact"/>
      <w:ind w:firstLine="210" w:firstLineChars="0"/>
    </w:pPr>
    <w:rPr>
      <w:rFonts w:ascii="宋体" w:cs="宋体"/>
      <w:kern w:val="0"/>
      <w:sz w:val="24"/>
      <w:szCs w:val="20"/>
    </w:rPr>
  </w:style>
  <w:style w:type="paragraph" w:customStyle="1" w:styleId="439">
    <w:name w:val="列出段落1"/>
    <w:basedOn w:val="1"/>
    <w:autoRedefine/>
    <w:qFormat/>
    <w:uiPriority w:val="99"/>
    <w:pPr>
      <w:ind w:firstLine="200" w:firstLineChars="200"/>
    </w:pPr>
    <w:rPr>
      <w:rFonts w:ascii="Calibri" w:hAnsi="Calibri"/>
    </w:rPr>
  </w:style>
  <w:style w:type="paragraph" w:customStyle="1" w:styleId="440">
    <w:name w:val="正文_13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1">
    <w:name w:val="Char Char Char Char Char Char Char Char Char Char"/>
    <w:basedOn w:val="1"/>
    <w:qFormat/>
    <w:uiPriority w:val="0"/>
    <w:rPr>
      <w:rFonts w:ascii="Tahoma" w:hAnsi="Tahoma"/>
      <w:sz w:val="24"/>
      <w:szCs w:val="20"/>
    </w:rPr>
  </w:style>
  <w:style w:type="paragraph" w:customStyle="1" w:styleId="442">
    <w:name w:val="首页空格"/>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443">
    <w:name w:val="目录 1_0"/>
    <w:basedOn w:val="132"/>
    <w:next w:val="132"/>
    <w:semiHidden/>
    <w:qFormat/>
    <w:uiPriority w:val="0"/>
    <w:pPr>
      <w:autoSpaceDE w:val="0"/>
      <w:autoSpaceDN w:val="0"/>
      <w:adjustRightInd w:val="0"/>
      <w:jc w:val="left"/>
    </w:pPr>
    <w:rPr>
      <w:rFonts w:hint="eastAsia" w:ascii="宋体" w:hAnsi="宋体"/>
      <w:b/>
      <w:kern w:val="0"/>
      <w:sz w:val="24"/>
    </w:rPr>
  </w:style>
  <w:style w:type="paragraph" w:customStyle="1" w:styleId="444">
    <w:name w:val="Normal_2"/>
    <w:autoRedefine/>
    <w:qFormat/>
    <w:uiPriority w:val="0"/>
    <w:rPr>
      <w:rFonts w:ascii="黑体" w:hAnsi="黑体" w:eastAsia="黑体" w:cs="Times New Roman"/>
      <w:b/>
      <w:sz w:val="32"/>
      <w:szCs w:val="24"/>
      <w:lang w:val="en-US" w:eastAsia="zh-CN" w:bidi="ar-SA"/>
    </w:rPr>
  </w:style>
  <w:style w:type="paragraph" w:customStyle="1" w:styleId="445">
    <w:name w:val="p0"/>
    <w:basedOn w:val="1"/>
    <w:autoRedefine/>
    <w:qFormat/>
    <w:uiPriority w:val="0"/>
    <w:pPr>
      <w:widowControl/>
    </w:pPr>
    <w:rPr>
      <w:kern w:val="0"/>
      <w:szCs w:val="21"/>
    </w:rPr>
  </w:style>
  <w:style w:type="paragraph" w:customStyle="1" w:styleId="446">
    <w:name w:val="Normal_4"/>
    <w:autoRedefine/>
    <w:qFormat/>
    <w:uiPriority w:val="0"/>
    <w:rPr>
      <w:rFonts w:ascii="黑体" w:hAnsi="黑体" w:eastAsia="黑体" w:cs="Times New Roman"/>
      <w:b/>
      <w:sz w:val="32"/>
      <w:szCs w:val="24"/>
      <w:lang w:val="en-US" w:eastAsia="zh-CN" w:bidi="ar-SA"/>
    </w:rPr>
  </w:style>
  <w:style w:type="paragraph" w:customStyle="1" w:styleId="447">
    <w:name w:val="font7"/>
    <w:basedOn w:val="1"/>
    <w:autoRedefine/>
    <w:qFormat/>
    <w:uiPriority w:val="0"/>
    <w:pPr>
      <w:widowControl/>
      <w:spacing w:before="100" w:beforeAutospacing="1" w:after="100" w:afterAutospacing="1"/>
      <w:jc w:val="left"/>
    </w:pPr>
    <w:rPr>
      <w:rFonts w:ascii="宋体"/>
      <w:kern w:val="0"/>
      <w:sz w:val="20"/>
      <w:szCs w:val="20"/>
    </w:rPr>
  </w:style>
  <w:style w:type="paragraph" w:customStyle="1" w:styleId="448">
    <w:name w:val="特点"/>
    <w:basedOn w:val="1"/>
    <w:next w:val="1"/>
    <w:autoRedefine/>
    <w:qFormat/>
    <w:uiPriority w:val="0"/>
    <w:pPr>
      <w:spacing w:line="360" w:lineRule="auto"/>
      <w:jc w:val="center"/>
    </w:pPr>
    <w:rPr>
      <w:rFonts w:ascii="Arial" w:hAnsi="Arial"/>
      <w:sz w:val="24"/>
      <w:szCs w:val="20"/>
    </w:rPr>
  </w:style>
  <w:style w:type="paragraph" w:customStyle="1" w:styleId="449">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0">
    <w:name w:val="正文（黑体）"/>
    <w:basedOn w:val="1"/>
    <w:next w:val="1"/>
    <w:qFormat/>
    <w:uiPriority w:val="0"/>
    <w:pPr>
      <w:spacing w:before="50" w:beforeLines="50" w:after="50" w:afterLines="50" w:line="360" w:lineRule="auto"/>
      <w:ind w:firstLine="200" w:firstLineChars="200"/>
    </w:pPr>
    <w:rPr>
      <w:rFonts w:ascii="黑体" w:eastAsia="黑体"/>
      <w:color w:val="000080"/>
      <w:sz w:val="24"/>
    </w:rPr>
  </w:style>
  <w:style w:type="paragraph" w:customStyle="1" w:styleId="451">
    <w:name w:val="首页小标题"/>
    <w:next w:val="442"/>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52">
    <w:name w:val="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53">
    <w:name w:val="pa-8"/>
    <w:basedOn w:val="1"/>
    <w:autoRedefine/>
    <w:qFormat/>
    <w:uiPriority w:val="0"/>
    <w:pPr>
      <w:widowControl/>
      <w:spacing w:line="280" w:lineRule="atLeast"/>
      <w:ind w:firstLine="480"/>
    </w:pPr>
    <w:rPr>
      <w:rFonts w:ascii="宋体" w:cs="宋体"/>
      <w:kern w:val="0"/>
      <w:sz w:val="24"/>
    </w:rPr>
  </w:style>
  <w:style w:type="paragraph" w:customStyle="1" w:styleId="454">
    <w:name w:val="Normal_12_0"/>
    <w:autoRedefine/>
    <w:qFormat/>
    <w:uiPriority w:val="0"/>
    <w:rPr>
      <w:rFonts w:ascii="黑体" w:hAnsi="黑体" w:eastAsia="黑体" w:cs="Times New Roman"/>
      <w:b/>
      <w:sz w:val="32"/>
      <w:szCs w:val="24"/>
      <w:lang w:val="en-US" w:eastAsia="zh-CN" w:bidi="ar-SA"/>
    </w:rPr>
  </w:style>
  <w:style w:type="table" w:customStyle="1" w:styleId="455">
    <w:name w:val="网格型1"/>
    <w:basedOn w:val="65"/>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6">
    <w:name w:val="Table Normal"/>
    <w:autoRedefine/>
    <w:unhideWhenUsed/>
    <w:qFormat/>
    <w:uiPriority w:val="0"/>
    <w:tblPr>
      <w:tblCellMar>
        <w:top w:w="0" w:type="dxa"/>
        <w:left w:w="0" w:type="dxa"/>
        <w:bottom w:w="0" w:type="dxa"/>
        <w:right w:w="0" w:type="dxa"/>
      </w:tblCellMar>
    </w:tblPr>
  </w:style>
  <w:style w:type="character" w:customStyle="1" w:styleId="457">
    <w:name w:val="标题 1 字符"/>
    <w:link w:val="3"/>
    <w:qFormat/>
    <w:uiPriority w:val="0"/>
    <w:rPr>
      <w:b/>
      <w:kern w:val="44"/>
      <w:sz w:val="44"/>
    </w:rPr>
  </w:style>
  <w:style w:type="paragraph" w:customStyle="1" w:styleId="458">
    <w:name w:val="列表段落1"/>
    <w:basedOn w:val="1"/>
    <w:next w:val="21"/>
    <w:qFormat/>
    <w:uiPriority w:val="0"/>
    <w:pPr>
      <w:ind w:firstLine="420" w:firstLineChars="200"/>
    </w:pPr>
  </w:style>
  <w:style w:type="paragraph" w:customStyle="1" w:styleId="459">
    <w:name w:val="报告正文"/>
    <w:basedOn w:val="1"/>
    <w:qFormat/>
    <w:uiPriority w:val="0"/>
    <w:pPr>
      <w:spacing w:line="360" w:lineRule="auto"/>
      <w:ind w:firstLine="480" w:firstLineChars="200"/>
    </w:pPr>
    <w:rPr>
      <w:rFonts w:eastAsia="仿宋_GB2312"/>
      <w:kern w:val="0"/>
      <w:sz w:val="24"/>
      <w:szCs w:val="24"/>
    </w:rPr>
  </w:style>
  <w:style w:type="paragraph" w:customStyle="1" w:styleId="460">
    <w:name w:val="列出段落"/>
    <w:basedOn w:val="1"/>
    <w:autoRedefine/>
    <w:qFormat/>
    <w:uiPriority w:val="34"/>
    <w:pPr>
      <w:ind w:left="720"/>
      <w:contextualSpacing/>
    </w:pPr>
  </w:style>
  <w:style w:type="paragraph" w:customStyle="1" w:styleId="461">
    <w:name w:val="正文文本缩进11"/>
    <w:basedOn w:val="1"/>
    <w:next w:val="436"/>
    <w:autoRedefine/>
    <w:unhideWhenUsed/>
    <w:qFormat/>
    <w:uiPriority w:val="0"/>
    <w:pPr>
      <w:spacing w:after="120"/>
      <w:ind w:left="420"/>
    </w:pPr>
  </w:style>
  <w:style w:type="paragraph" w:customStyle="1" w:styleId="462">
    <w:name w:val="索引 41"/>
    <w:basedOn w:val="1"/>
    <w:next w:val="1"/>
    <w:autoRedefine/>
    <w:semiHidden/>
    <w:qFormat/>
    <w:uiPriority w:val="0"/>
    <w:pPr>
      <w:ind w:left="1260"/>
    </w:pPr>
    <w:rPr>
      <w:rFonts w:ascii="Calibri" w:hAnsi="Calibri" w:eastAsia="Calibri" w:cs="宋体"/>
      <w:sz w:val="20"/>
      <w:lang w:val="zh-CN"/>
    </w:rPr>
  </w:style>
  <w:style w:type="paragraph" w:customStyle="1" w:styleId="463">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464">
    <w:name w:val="not([class*=suffix])"/>
    <w:basedOn w:val="67"/>
    <w:qFormat/>
    <w:uiPriority w:val="0"/>
    <w:rPr>
      <w:sz w:val="13"/>
      <w:szCs w:val="13"/>
    </w:rPr>
  </w:style>
  <w:style w:type="character" w:customStyle="1" w:styleId="465">
    <w:name w:val="not([class*=suffix])1"/>
    <w:basedOn w:val="67"/>
    <w:qFormat/>
    <w:uiPriority w:val="0"/>
  </w:style>
  <w:style w:type="character" w:customStyle="1" w:styleId="466">
    <w:name w:val="UserStyle_2"/>
    <w:qFormat/>
    <w:uiPriority w:val="0"/>
  </w:style>
  <w:style w:type="paragraph" w:customStyle="1" w:styleId="467">
    <w:name w:val="Heading #1"/>
    <w:basedOn w:val="1"/>
    <w:qFormat/>
    <w:uiPriority w:val="0"/>
    <w:pPr>
      <w:spacing w:before="360" w:after="380"/>
      <w:jc w:val="center"/>
      <w:outlineLvl w:val="0"/>
    </w:pPr>
    <w:rPr>
      <w:rFonts w:ascii="宋体" w:hAnsi="宋体" w:eastAsia="宋体" w:cs="宋体"/>
      <w:sz w:val="40"/>
      <w:szCs w:val="40"/>
      <w:lang w:val="zh-CN" w:eastAsia="zh-CN" w:bidi="zh-CN"/>
    </w:rPr>
  </w:style>
  <w:style w:type="character" w:customStyle="1" w:styleId="468">
    <w:name w:val="NormalCharacter"/>
    <w:semiHidden/>
    <w:qFormat/>
    <w:uiPriority w:val="0"/>
  </w:style>
  <w:style w:type="paragraph" w:customStyle="1" w:styleId="469">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1093</Words>
  <Characters>1229</Characters>
  <Lines>251</Lines>
  <Paragraphs>70</Paragraphs>
  <TotalTime>14</TotalTime>
  <ScaleCrop>false</ScaleCrop>
  <LinksUpToDate>false</LinksUpToDate>
  <CharactersWithSpaces>1305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2024-10-30T10:42:00Z</dcterms:created>
  <dc:creator>Administrator</dc:creator>
  <cp:lastModifiedBy>遣时光 </cp:lastModifiedBy>
  <cp:lastPrinted>2021-03-08T08:06:00Z</cp:lastPrinted>
  <dcterms:modified xsi:type="dcterms:W3CDTF">2026-04-28T09:13:20Z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0B7B3CEF455143DA80A9D7831CEDABA1_13</vt:lpwstr>
  </property>
  <property fmtid="{D5CDD505-2E9C-101B-9397-08002B2CF9AE}" pid="4" name="KSOTemplateDocerSaveRecord">
    <vt:lpwstr>eyJoZGlkIjoiMzEwNTM5NzYwMDRjMzkwZTVkZjY2ODkwMGIxNGU0OTUiLCJ1c2VySWQiOiIyMDE0ODYwMTEifQ==</vt:lpwstr>
  </property>
</Properties>
</file>