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rPr>
      </w:pPr>
      <w:r>
        <w:rPr>
          <w:rFonts w:ascii="Arial" w:hAnsi="Arial" w:eastAsia="黑体"/>
          <w:b/>
          <w:bCs/>
          <w:sz w:val="84"/>
        </w:rPr>
      </w:r>
      <w:r/>
    </w:p>
    <w:p>
      <w:r/>
      <w:r/>
    </w:p>
    <w:p>
      <w:pPr>
        <w:jc w:val="center"/>
        <w:spacing w:before="120" w:after="120" w:line="360" w:lineRule="auto"/>
        <w:rPr>
          <w:rFonts w:ascii="Arial" w:hAnsi="Arial" w:eastAsia="黑体"/>
          <w:b/>
          <w:bCs/>
          <w:sz w:val="84"/>
        </w:rPr>
      </w:pPr>
      <w:r>
        <w:rPr>
          <w:rFonts w:hint="eastAsia" w:ascii="Arial" w:hAnsi="Arial" w:eastAsia="黑体"/>
          <w:b/>
          <w:bCs/>
          <w:sz w:val="84"/>
        </w:rPr>
        <w:t xml:space="preserve">单一来源采购文件</w:t>
      </w:r>
      <w:r/>
    </w:p>
    <w:p>
      <w:pPr>
        <w:ind w:firstLine="1285"/>
        <w:spacing w:before="120" w:after="120" w:line="360" w:lineRule="auto"/>
        <w:rPr>
          <w:rFonts w:ascii="Arial" w:hAnsi="Arial"/>
          <w:b/>
          <w:bCs/>
          <w:sz w:val="32"/>
        </w:rPr>
      </w:pPr>
      <w:r>
        <w:rPr>
          <w:rFonts w:ascii="Arial" w:hAnsi="Arial"/>
          <w:b/>
          <w:bCs/>
          <w:sz w:val="32"/>
        </w:rPr>
      </w:r>
      <w:r/>
    </w:p>
    <w:p>
      <w:pPr>
        <w:ind w:left="638"/>
        <w:spacing w:before="120" w:after="120" w:line="360" w:lineRule="auto"/>
        <w:rPr>
          <w:rFonts w:hint="eastAsia" w:ascii="Arial" w:hAnsi="Arial" w:eastAsiaTheme="minorEastAsia"/>
          <w:b/>
          <w:bCs/>
          <w:sz w:val="32"/>
          <w:lang w:eastAsia="zh-CN"/>
        </w:rPr>
      </w:pPr>
      <w:r>
        <w:rPr>
          <w:rFonts w:hint="eastAsia" w:ascii="宋体" w:hAnsi="宋体" w:cs="宋体"/>
          <w:b/>
          <w:bCs/>
          <w:sz w:val="32"/>
          <w:szCs w:val="32"/>
        </w:rPr>
        <w:t xml:space="preserve">项目名称：</w:t>
      </w:r>
      <w:r>
        <w:rPr>
          <w:rFonts w:hint="eastAsia" w:ascii="宋体" w:hAnsi="宋体"/>
          <w:color w:val="000000"/>
          <w:sz w:val="32"/>
          <w:szCs w:val="32"/>
          <w:lang w:eastAsia="zh-CN"/>
        </w:rPr>
        <w:t xml:space="preserve">平面新闻宣传服务合作项目</w:t>
      </w:r>
      <w:r/>
    </w:p>
    <w:p>
      <w:pPr>
        <w:ind w:firstLine="636"/>
        <w:jc w:val="left"/>
        <w:spacing w:before="120" w:after="120" w:line="360" w:lineRule="auto"/>
        <w:rPr>
          <w:rFonts w:ascii="Arial" w:hAnsi="Arial"/>
          <w:b/>
          <w:bCs/>
          <w:sz w:val="32"/>
        </w:rPr>
      </w:pPr>
      <w:r>
        <w:rPr>
          <w:rFonts w:hint="eastAsia" w:ascii="Arial" w:hAnsi="Arial"/>
          <w:b/>
          <w:bCs/>
          <w:sz w:val="32"/>
        </w:rPr>
        <w:t xml:space="preserve">项目编号：</w:t>
      </w:r>
      <w:r>
        <w:rPr>
          <w:rFonts w:hint="eastAsia" w:ascii="Arial" w:hAnsi="Arial"/>
          <w:b w:val="0"/>
          <w:bCs w:val="0"/>
          <w:sz w:val="32"/>
        </w:rPr>
        <w:t xml:space="preserve">JSZC-321202-TZXH-D2026-0002</w:t>
      </w:r>
      <w:r>
        <w:rPr>
          <w:rFonts w:ascii="Arial" w:hAnsi="Arial"/>
          <w:b/>
          <w:bCs/>
          <w:sz w:val="32"/>
        </w:rPr>
        <w:t xml:space="preserve"> </w:t>
      </w:r>
      <w:r>
        <w:rPr>
          <w:rFonts w:hint="eastAsia" w:ascii="Arial" w:hAnsi="Arial"/>
          <w:b/>
          <w:bCs/>
          <w:sz w:val="32"/>
        </w:rPr>
        <w:t xml:space="preserve"> </w:t>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center"/>
        <w:spacing w:before="120" w:after="120" w:line="360" w:lineRule="auto"/>
        <w:rPr>
          <w:rFonts w:hint="eastAsia" w:ascii="Arial" w:hAnsi="Arial" w:eastAsiaTheme="minorEastAsia"/>
          <w:b/>
          <w:bCs/>
          <w:sz w:val="32"/>
          <w:lang w:eastAsia="zh-CN"/>
        </w:rPr>
      </w:pPr>
      <w:r>
        <w:rPr>
          <w:rFonts w:hint="eastAsia" w:ascii="Arial" w:hAnsi="Arial"/>
          <w:b/>
          <w:bCs/>
          <w:sz w:val="32"/>
          <w:lang w:eastAsia="zh-CN"/>
        </w:rPr>
        <w:t xml:space="preserve">泰州市兴和造价工程师事务所有限公司</w:t>
      </w:r>
      <w:r/>
    </w:p>
    <w:p>
      <w:pPr>
        <w:jc w:val="center"/>
        <w:spacing w:before="120" w:after="120" w:line="360" w:lineRule="auto"/>
        <w:rPr>
          <w:rFonts w:ascii="Arial" w:hAnsi="Arial"/>
          <w:sz w:val="24"/>
          <w:u w:val="single"/>
        </w:rPr>
      </w:pPr>
      <w:r>
        <w:rPr>
          <w:rFonts w:hint="eastAsia" w:ascii="Arial" w:hAnsi="Arial"/>
          <w:b/>
          <w:bCs/>
          <w:sz w:val="32"/>
        </w:rPr>
        <w:t xml:space="preserve">202</w:t>
      </w:r>
      <w:r>
        <w:rPr>
          <w:rFonts w:hint="eastAsia" w:ascii="Arial" w:hAnsi="Arial"/>
          <w:b/>
          <w:bCs/>
          <w:sz w:val="32"/>
          <w:lang w:val="en-US" w:eastAsia="zh-CN"/>
        </w:rPr>
        <w:t xml:space="preserve">6</w:t>
      </w:r>
      <w:r>
        <w:rPr>
          <w:rFonts w:hint="eastAsia" w:ascii="Arial" w:hAnsi="Arial"/>
          <w:b/>
          <w:bCs/>
          <w:sz w:val="32"/>
        </w:rPr>
        <w:t xml:space="preserve">年</w:t>
      </w:r>
      <w:r>
        <w:rPr>
          <w:rFonts w:hint="eastAsia" w:ascii="Arial" w:hAnsi="Arial"/>
          <w:b/>
          <w:bCs/>
          <w:sz w:val="32"/>
          <w:lang w:val="en-US" w:eastAsia="zh-CN"/>
        </w:rPr>
        <w:t xml:space="preserve">5</w:t>
      </w:r>
      <w:r>
        <w:rPr>
          <w:rFonts w:hint="eastAsia" w:ascii="Arial" w:hAnsi="Arial"/>
          <w:b/>
          <w:bCs/>
          <w:sz w:val="32"/>
        </w:rPr>
        <w:t xml:space="preserve">月</w:t>
      </w:r>
      <w:r/>
    </w:p>
    <w:p>
      <w:pPr>
        <w:jc w:val="center"/>
        <w:spacing w:before="120" w:after="120" w:line="360" w:lineRule="auto"/>
        <w:rPr>
          <w:rFonts w:ascii="Arial" w:hAnsi="Arial"/>
          <w:sz w:val="24"/>
        </w:rPr>
      </w:pPr>
      <w:r>
        <w:rPr>
          <w:rFonts w:ascii="Arial" w:hAnsi="Arial"/>
          <w:sz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Arial" w:eastAsia="黑体"/>
          <w:b/>
          <w:sz w:val="44"/>
          <w:szCs w:val="21"/>
        </w:rPr>
        <w:t xml:space="preserve">总  目  录</w:t>
      </w:r>
      <w:r/>
    </w:p>
    <w:p>
      <w:pPr>
        <w:jc w:val="left"/>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left"/>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p>
    <w:p>
      <w:pPr>
        <w:numPr>
          <w:ilvl w:val="0"/>
          <w:numId w:val="4"/>
        </w:numPr>
        <w:jc w:val="left"/>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p>
    <w:p>
      <w:pPr>
        <w:numPr>
          <w:ilvl w:val="0"/>
          <w:numId w:val="4"/>
        </w:numPr>
        <w:jc w:val="left"/>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合同文本（仅供参考）</w:t>
      </w:r>
      <w:r/>
    </w:p>
    <w:p>
      <w:pPr>
        <w:numPr>
          <w:ilvl w:val="0"/>
          <w:numId w:val="4"/>
        </w:numPr>
        <w:jc w:val="left"/>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p>
    <w:p>
      <w:pPr>
        <w:numPr>
          <w:ilvl w:val="0"/>
          <w:numId w:val="4"/>
        </w:numPr>
        <w:jc w:val="left"/>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p>
    <w:p>
      <w:pPr>
        <w:jc w:val="cente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pStyle w:val="903"/>
        <w:widowControl w:val="off"/>
      </w:p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p>
    <w:p>
      <w:pPr>
        <w:ind w:firstLine="480"/>
        <w:spacing w:line="360" w:lineRule="auto"/>
        <w:rPr>
          <w:rFonts w:ascii="宋体" w:hAnsi="宋体"/>
          <w:sz w:val="24"/>
        </w:rPr>
      </w:pPr>
      <w:r>
        <w:rPr>
          <w:rFonts w:hint="eastAsia" w:ascii="宋体" w:hAnsi="宋体"/>
          <w:sz w:val="24"/>
        </w:rPr>
        <w:t xml:space="preserve">受中共泰州市海陵区委宣传部的委托，</w:t>
      </w:r>
      <w:r>
        <w:rPr>
          <w:rFonts w:hint="eastAsia" w:ascii="宋体" w:hAnsi="宋体"/>
          <w:sz w:val="24"/>
          <w:lang w:eastAsia="zh-CN"/>
        </w:rPr>
        <w:t xml:space="preserve">泰州市兴和造价工程师事务所有限公司</w:t>
      </w:r>
      <w:r>
        <w:rPr>
          <w:rFonts w:hint="eastAsia" w:ascii="宋体" w:hAnsi="宋体"/>
          <w:sz w:val="24"/>
        </w:rPr>
        <w:t xml:space="preserve">就</w:t>
      </w:r>
      <w:r>
        <w:rPr>
          <w:rFonts w:hint="eastAsia" w:ascii="宋体" w:hAnsi="宋体"/>
          <w:sz w:val="24"/>
          <w:lang w:eastAsia="zh-CN"/>
        </w:rPr>
        <w:t xml:space="preserve">平面新闻宣传服务合作项目</w:t>
      </w:r>
      <w:r>
        <w:rPr>
          <w:rFonts w:hint="eastAsia" w:ascii="宋体" w:hAnsi="宋体"/>
          <w:sz w:val="24"/>
        </w:rPr>
        <w:t xml:space="preserve">（项目编号：JSZC-321202-TZXH-D2026-0002）进行单一来源采购，欢迎符合相关条件的合格供应商参加采购活动。</w:t>
      </w:r>
      <w:r/>
    </w:p>
    <w:p>
      <w:pPr>
        <w:ind w:firstLine="372"/>
        <w:spacing w:before="145" w:after="145" w:line="360" w:lineRule="auto"/>
        <w:rPr>
          <w:rFonts w:ascii="宋体" w:hAnsi="宋体"/>
          <w:b/>
          <w:sz w:val="24"/>
        </w:rPr>
        <w:outlineLvl w:val="2"/>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宋体" w:hAnsi="宋体"/>
          <w:b/>
          <w:sz w:val="24"/>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Theme="minorEastAsia"/>
          <w:sz w:val="24"/>
          <w:lang w:eastAsia="zh-CN"/>
        </w:rPr>
      </w:pPr>
      <w:r>
        <w:rPr>
          <w:rFonts w:hint="eastAsia" w:ascii="宋体" w:hAnsi="宋体"/>
          <w:sz w:val="24"/>
        </w:rPr>
        <w:t xml:space="preserve">1.项目编号：JSZC-321202-TZXH-D2026-0002</w:t>
      </w:r>
      <w:r/>
    </w:p>
    <w:p>
      <w:pPr>
        <w:ind w:left="479"/>
        <w:spacing w:line="360" w:lineRule="auto"/>
        <w:rPr>
          <w:rFonts w:hint="eastAsia" w:ascii="宋体" w:hAnsi="宋体" w:eastAsiaTheme="minorEastAsia"/>
          <w:sz w:val="24"/>
          <w:lang w:eastAsia="zh-CN"/>
        </w:rPr>
      </w:pPr>
      <w:r>
        <w:rPr>
          <w:rFonts w:hint="eastAsia" w:ascii="宋体" w:hAnsi="宋体"/>
          <w:sz w:val="24"/>
        </w:rPr>
        <w:t xml:space="preserve">2.项目名称：</w:t>
      </w:r>
      <w:r>
        <w:rPr>
          <w:rFonts w:hint="eastAsia" w:ascii="宋体" w:hAnsi="宋体"/>
          <w:sz w:val="24"/>
          <w:lang w:eastAsia="zh-CN"/>
        </w:rPr>
        <w:t xml:space="preserve">平面新闻宣传服务合作项目</w:t>
      </w:r>
      <w:bookmarkEnd w:id="11"/>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highlight w:val="yellow"/>
        </w:rPr>
        <w:t xml:space="preserve">预算金额（最高限价）：</w:t>
      </w:r>
      <w:r>
        <w:rPr>
          <w:rFonts w:hint="eastAsia" w:ascii="宋体" w:hAnsi="宋体"/>
          <w:sz w:val="24"/>
          <w:highlight w:val="yellow"/>
          <w:lang w:val="en-US" w:eastAsia="zh-CN"/>
        </w:rPr>
        <w:t xml:space="preserve">160</w:t>
      </w:r>
      <w:r>
        <w:rPr>
          <w:rFonts w:hint="eastAsia" w:ascii="宋体" w:hAnsi="宋体"/>
          <w:sz w:val="24"/>
          <w:highlight w:val="yellow"/>
        </w:rPr>
        <w:t xml:space="preserve">万元，</w:t>
      </w:r>
      <w:r>
        <w:rPr>
          <w:rFonts w:hint="eastAsia" w:ascii="宋体" w:hAnsi="宋体"/>
          <w:b/>
          <w:sz w:val="24"/>
        </w:rPr>
        <w:t xml:space="preserve">投标报价超过预算金额（最高限价）的按照无效响应文件处理。</w:t>
      </w:r>
      <w:r/>
    </w:p>
    <w:p>
      <w:pPr>
        <w:ind w:firstLine="480"/>
        <w:spacing w:line="360" w:lineRule="auto"/>
        <w:rPr>
          <w:rFonts w:ascii="宋体" w:hAnsi="宋体"/>
          <w:sz w:val="24"/>
          <w:u w:val="single"/>
        </w:rPr>
      </w:pPr>
      <w:r>
        <w:rPr>
          <w:rFonts w:hint="eastAsia" w:ascii="宋体" w:hAnsi="宋体"/>
          <w:sz w:val="24"/>
        </w:rPr>
        <w:t xml:space="preserve">4.采购需求（简介）：</w:t>
      </w:r>
      <w:r>
        <w:rPr>
          <w:rFonts w:hint="eastAsia" w:ascii="宋体" w:hAnsi="宋体"/>
          <w:sz w:val="24"/>
          <w:highlight w:val="yellow"/>
        </w:rPr>
        <w:t xml:space="preserve">2026年是“十五五”开局之年，亦是海陵建区三十周年。为抢抓发展机遇，进一步彰显“到海陵、肯定行、一定赢”的担当作为，全面报道海陵区经济社会发展的新成效与新经验，在市级报社开展平面新闻宣传合作，具体详见第四章采购需求。</w:t>
      </w:r>
      <w:r/>
    </w:p>
    <w:p>
      <w:pPr>
        <w:ind w:firstLine="480"/>
        <w:spacing w:line="360" w:lineRule="auto"/>
        <w:rPr>
          <w:rFonts w:hint="eastAsia" w:ascii="宋体" w:hAnsi="宋体" w:cs="宋体" w:eastAsiaTheme="minorEastAsia"/>
          <w:b/>
          <w:bCs/>
          <w:sz w:val="24"/>
          <w:szCs w:val="20"/>
          <w:lang w:val="en-US" w:eastAsia="zh-CN"/>
        </w:rPr>
      </w:pPr>
      <w:r>
        <w:rPr>
          <w:rFonts w:hint="eastAsia" w:ascii="宋体" w:hAnsi="宋体"/>
          <w:sz w:val="24"/>
        </w:rPr>
        <w:t xml:space="preserve">5.</w:t>
      </w:r>
      <w:bookmarkStart w:id="12" w:name="OLE_LINK31"/>
      <w:r/>
      <w:bookmarkStart w:id="13" w:name="OLE_LINK30"/>
      <w:r>
        <w:rPr>
          <w:rFonts w:hint="eastAsia" w:ascii="宋体" w:hAnsi="宋体"/>
          <w:sz w:val="24"/>
        </w:rPr>
        <w:t xml:space="preserve">合</w:t>
      </w:r>
      <w:r>
        <w:rPr>
          <w:rFonts w:hint="eastAsia" w:ascii="宋体" w:hAnsi="宋体"/>
          <w:sz w:val="24"/>
          <w:highlight w:val="yellow"/>
        </w:rPr>
        <w:t xml:space="preserve">同履行期限</w:t>
      </w:r>
      <w:bookmarkEnd w:id="12"/>
      <w:r/>
      <w:bookmarkEnd w:id="13"/>
      <w:r>
        <w:rPr>
          <w:rFonts w:hint="eastAsia" w:ascii="宋体" w:hAnsi="宋体"/>
          <w:sz w:val="24"/>
          <w:highlight w:val="yellow"/>
        </w:rPr>
        <w:t xml:space="preserve">：合同签订之日起至202</w:t>
      </w:r>
      <w:r>
        <w:rPr>
          <w:rFonts w:hint="eastAsia" w:ascii="宋体" w:hAnsi="宋体"/>
          <w:sz w:val="24"/>
          <w:highlight w:val="yellow"/>
          <w:lang w:val="en-US" w:eastAsia="zh-CN"/>
        </w:rPr>
        <w:t xml:space="preserve">6</w:t>
      </w:r>
      <w:r>
        <w:rPr>
          <w:rFonts w:hint="eastAsia" w:ascii="宋体" w:hAnsi="宋体"/>
          <w:sz w:val="24"/>
          <w:highlight w:val="yellow"/>
        </w:rPr>
        <w:t xml:space="preserve">年12月31日</w:t>
      </w:r>
      <w:r>
        <w:rPr>
          <w:rFonts w:hint="eastAsia" w:ascii="宋体" w:hAnsi="宋体"/>
          <w:sz w:val="24"/>
          <w:highlight w:val="yellow"/>
          <w:lang w:eastAsia="zh-CN"/>
        </w:rPr>
        <w:t xml:space="preserve">。</w:t>
      </w:r>
      <w:r/>
    </w:p>
    <w:p>
      <w:pPr>
        <w:ind w:firstLine="498"/>
        <w:spacing w:before="145" w:after="145" w:line="360" w:lineRule="auto"/>
        <w:rPr>
          <w:rFonts w:ascii="Times New Roman" w:hAnsi="Times New Roman"/>
          <w:b/>
          <w:bCs/>
          <w:sz w:val="24"/>
        </w:rPr>
        <w:outlineLvl w:val="2"/>
      </w:pPr>
      <w:r/>
      <w:bookmarkStart w:id="14" w:name="_Toc35393622"/>
      <w:r/>
      <w:bookmarkStart w:id="15" w:name="_Toc38985264"/>
      <w:r/>
      <w:bookmarkStart w:id="16" w:name="_Toc35393791"/>
      <w:r/>
      <w:bookmarkStart w:id="17" w:name="_Toc28359003"/>
      <w:r/>
      <w:bookmarkStart w:id="18" w:name="_Toc28359080"/>
      <w:r>
        <w:rPr>
          <w:rFonts w:hint="eastAsia" w:ascii="Times New Roman" w:hAnsi="Times New Roman"/>
          <w:b/>
          <w:bCs/>
          <w:sz w:val="24"/>
        </w:rPr>
        <w:t xml:space="preserve">二、</w:t>
      </w:r>
      <w:bookmarkEnd w:id="14"/>
      <w:r/>
      <w:bookmarkEnd w:id="15"/>
      <w:r/>
      <w:bookmarkEnd w:id="16"/>
      <w:r/>
      <w:bookmarkEnd w:id="17"/>
      <w:r/>
      <w:bookmarkEnd w:id="18"/>
      <w:r>
        <w:rPr>
          <w:rFonts w:hint="eastAsia" w:ascii="Times New Roman" w:hAnsi="Times New Roman"/>
          <w:b/>
          <w:bCs/>
          <w:sz w:val="24"/>
        </w:rPr>
        <w:t xml:space="preserve">合格单一来源供应商资格要求</w:t>
      </w:r>
      <w:r/>
    </w:p>
    <w:p>
      <w:pPr>
        <w:ind w:firstLine="482"/>
        <w:spacing w:line="360" w:lineRule="auto"/>
        <w:rPr>
          <w:rFonts w:ascii="宋体" w:hAnsi="宋体"/>
          <w:sz w:val="24"/>
        </w:rPr>
      </w:pPr>
      <w:r/>
      <w:bookmarkStart w:id="19" w:name="_Toc28359081"/>
      <w:r/>
      <w:bookmarkStart w:id="20" w:name="_Toc35393623"/>
      <w:r/>
      <w:bookmarkStart w:id="21" w:name="_Toc35393792"/>
      <w:r/>
      <w:bookmarkStart w:id="22" w:name="_Toc28359004"/>
      <w:r/>
      <w:bookmarkStart w:id="23" w:name="_Toc38985265"/>
      <w:r>
        <w:rPr>
          <w:rFonts w:hint="eastAsia" w:ascii="宋体" w:hAnsi="宋体"/>
          <w:sz w:val="24"/>
        </w:rPr>
        <w:t xml:space="preserve">（一</w:t>
      </w:r>
      <w:r>
        <w:rPr>
          <w:rFonts w:ascii="宋体" w:hAnsi="宋体"/>
          <w:sz w:val="24"/>
        </w:rPr>
        <w:t xml:space="preserve">）</w:t>
      </w:r>
      <w:r>
        <w:rPr>
          <w:rFonts w:hint="eastAsia" w:ascii="宋体" w:hAnsi="宋体"/>
          <w:sz w:val="24"/>
        </w:rPr>
        <w:t xml:space="preserve">申请人的资格要求：</w:t>
      </w:r>
      <w:r/>
    </w:p>
    <w:p>
      <w:pPr>
        <w:ind w:firstLine="482"/>
        <w:spacing w:line="360" w:lineRule="auto"/>
        <w:rPr>
          <w:rFonts w:hint="eastAsia" w:ascii="宋体" w:hAnsi="宋体"/>
          <w:sz w:val="24"/>
        </w:rPr>
      </w:pPr>
      <w:r>
        <w:rPr>
          <w:rFonts w:hint="eastAsia" w:ascii="宋体" w:hAnsi="宋体"/>
          <w:sz w:val="24"/>
        </w:rPr>
        <w:t xml:space="preserve">1.满足《中华人民共和国政府采购法》第二十二条的规定：</w:t>
      </w:r>
      <w:r/>
    </w:p>
    <w:p>
      <w:pPr>
        <w:ind w:firstLine="482"/>
        <w:spacing w:line="360" w:lineRule="auto"/>
        <w:rPr>
          <w:rFonts w:hint="eastAsia" w:ascii="宋体" w:hAnsi="宋体"/>
          <w:sz w:val="24"/>
        </w:rPr>
      </w:pPr>
      <w:r>
        <w:rPr>
          <w:rFonts w:hint="eastAsia" w:ascii="宋体" w:hAnsi="宋体"/>
          <w:sz w:val="24"/>
        </w:rPr>
        <w:t xml:space="preserve">1.1具有独立承担民事责任的能力；</w:t>
      </w:r>
      <w:r/>
    </w:p>
    <w:p>
      <w:pPr>
        <w:ind w:firstLine="482"/>
        <w:spacing w:line="360" w:lineRule="auto"/>
        <w:rPr>
          <w:rFonts w:hint="eastAsia" w:ascii="宋体" w:hAnsi="宋体"/>
          <w:sz w:val="24"/>
        </w:rPr>
      </w:pPr>
      <w:r>
        <w:rPr>
          <w:rFonts w:hint="eastAsia" w:ascii="宋体" w:hAnsi="宋体"/>
          <w:sz w:val="24"/>
        </w:rPr>
        <w:t xml:space="preserve">1.2具有良好的商业信誉和健全的财务会计制度；</w:t>
      </w:r>
      <w:r/>
    </w:p>
    <w:p>
      <w:pPr>
        <w:ind w:firstLine="482"/>
        <w:spacing w:line="360" w:lineRule="auto"/>
        <w:rPr>
          <w:rFonts w:hint="eastAsia" w:ascii="宋体" w:hAnsi="宋体"/>
          <w:sz w:val="24"/>
        </w:rPr>
      </w:pPr>
      <w:r>
        <w:rPr>
          <w:rFonts w:hint="eastAsia" w:ascii="宋体" w:hAnsi="宋体"/>
          <w:sz w:val="24"/>
        </w:rPr>
        <w:t xml:space="preserve">1.3具有依法缴纳税收和社会保障资金的良好记录；</w:t>
      </w:r>
      <w:r/>
    </w:p>
    <w:p>
      <w:pPr>
        <w:ind w:firstLine="482"/>
        <w:spacing w:line="360" w:lineRule="auto"/>
        <w:rPr>
          <w:rFonts w:hint="eastAsia" w:ascii="宋体" w:hAnsi="宋体"/>
          <w:sz w:val="24"/>
        </w:rPr>
      </w:pPr>
      <w:r>
        <w:rPr>
          <w:rFonts w:hint="eastAsia" w:ascii="宋体" w:hAnsi="宋体"/>
          <w:sz w:val="24"/>
        </w:rPr>
        <w:t xml:space="preserve">1.4具备履行合同所必需的设备和专业技术能力；</w:t>
      </w:r>
      <w:r/>
    </w:p>
    <w:p>
      <w:pPr>
        <w:ind w:firstLine="482"/>
        <w:spacing w:line="360" w:lineRule="auto"/>
        <w:rPr>
          <w:rFonts w:hint="eastAsia" w:ascii="宋体" w:hAnsi="宋体"/>
          <w:sz w:val="24"/>
        </w:rPr>
      </w:pPr>
      <w:r>
        <w:rPr>
          <w:rFonts w:hint="eastAsia" w:ascii="宋体" w:hAnsi="宋体"/>
          <w:sz w:val="24"/>
        </w:rPr>
        <w:t xml:space="preserve">1.5参加政府采购活动前三年内，在经营活动中没有重大违法记录；</w:t>
      </w:r>
      <w:r/>
    </w:p>
    <w:p>
      <w:pPr>
        <w:ind w:firstLine="482"/>
        <w:spacing w:line="360" w:lineRule="auto"/>
        <w:rPr>
          <w:rFonts w:ascii="宋体" w:hAnsi="宋体"/>
          <w:sz w:val="24"/>
        </w:rPr>
      </w:pPr>
      <w:r>
        <w:rPr>
          <w:rFonts w:hint="eastAsia" w:ascii="宋体" w:hAnsi="宋体"/>
          <w:sz w:val="24"/>
        </w:rPr>
        <w:t xml:space="preserve">1.6法律、行政法规规定的其他条件。</w:t>
      </w:r>
      <w:r/>
    </w:p>
    <w:p>
      <w:pPr>
        <w:ind w:firstLine="482"/>
        <w:spacing w:line="360" w:lineRule="auto"/>
        <w:rPr>
          <w:rFonts w:ascii="华文新魏" w:hAnsi="宋体" w:eastAsia="华文新魏"/>
          <w:sz w:val="36"/>
          <w:szCs w:val="36"/>
        </w:rPr>
      </w:pPr>
      <w:r>
        <w:rPr>
          <w:rFonts w:hint="eastAsia" w:ascii="宋体" w:hAnsi="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bookmarkStart w:id="24" w:name="OLE_LINK29"/>
      <w:r/>
      <w:bookmarkStart w:id="25" w:name="OLE_LINK28"/>
      <w:r>
        <w:rPr>
          <w:rFonts w:hint="eastAsia" w:ascii="宋体" w:hAnsi="宋体"/>
          <w:sz w:val="24"/>
        </w:rPr>
        <w:t xml:space="preserve">（响应文件中无需提供证明材料）。</w:t>
      </w:r>
      <w:bookmarkEnd w:id="24"/>
      <w:r/>
      <w:bookmarkEnd w:id="25"/>
      <w:r/>
      <w:r/>
    </w:p>
    <w:p>
      <w:pPr>
        <w:ind w:firstLine="482"/>
        <w:spacing w:line="360" w:lineRule="auto"/>
        <w:rPr>
          <w:rFonts w:ascii="宋体" w:hAnsi="宋体" w:cs="宋体"/>
          <w:sz w:val="24"/>
        </w:rPr>
      </w:pPr>
      <w:r>
        <w:rPr>
          <w:rFonts w:hint="eastAsia" w:ascii="宋体" w:hAnsi="宋体"/>
          <w:sz w:val="24"/>
        </w:rPr>
        <w:t xml:space="preserve">3.落实政府采购政策需满足的资格要求：无</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sz w:val="24"/>
        </w:rPr>
        <w:t xml:space="preserve">4.本项目</w:t>
      </w:r>
      <w:r>
        <w:rPr>
          <w:rFonts w:hint="eastAsia" w:ascii="宋体" w:hAnsi="宋体"/>
          <w:sz w:val="24"/>
          <w:u w:val="single"/>
        </w:rPr>
        <w:t xml:space="preserve"> 不接受 </w:t>
      </w:r>
      <w:r>
        <w:rPr>
          <w:rFonts w:hint="eastAsia" w:ascii="宋体" w:hAnsi="宋体"/>
          <w:sz w:val="24"/>
        </w:rPr>
        <w:t xml:space="preserve">联合体参与单一来源采购活动。</w:t>
      </w:r>
      <w:r/>
    </w:p>
    <w:p>
      <w:pPr>
        <w:ind w:firstLine="482"/>
        <w:spacing w:line="360" w:lineRule="auto"/>
        <w:rPr>
          <w:rFonts w:ascii="宋体" w:hAnsi="宋体"/>
          <w:sz w:val="24"/>
        </w:rPr>
      </w:pPr>
      <w:r>
        <w:rPr>
          <w:rFonts w:hint="eastAsia" w:ascii="宋体" w:hAnsi="宋体"/>
          <w:sz w:val="24"/>
        </w:rPr>
        <w:t xml:space="preserve">（二）本项目的特定资格要求：无</w:t>
      </w:r>
      <w:bookmarkEnd w:id="19"/>
      <w:r/>
      <w:bookmarkEnd w:id="20"/>
      <w:r/>
      <w:bookmarkEnd w:id="21"/>
      <w:r/>
      <w:bookmarkEnd w:id="22"/>
      <w:r/>
      <w:bookmarkEnd w:id="23"/>
      <w:r/>
      <w:bookmarkStart w:id="26" w:name="_Toc28359005"/>
      <w:r/>
      <w:bookmarkStart w:id="27" w:name="_Toc28359082"/>
      <w:r/>
      <w:bookmarkStart w:id="28" w:name="_Toc35393793"/>
      <w:r/>
      <w:bookmarkStart w:id="29" w:name="_Toc38985266"/>
      <w:r/>
      <w:bookmarkStart w:id="30" w:name="_Toc35393624"/>
      <w:r/>
      <w:r/>
    </w:p>
    <w:p>
      <w:pPr>
        <w:ind w:firstLine="372"/>
        <w:spacing w:before="145" w:after="145" w:line="360" w:lineRule="auto"/>
        <w:rPr>
          <w:rFonts w:ascii="宋体" w:hAnsi="宋体"/>
          <w:b/>
          <w:sz w:val="24"/>
        </w:rPr>
        <w:outlineLvl w:val="2"/>
      </w:pPr>
      <w:r>
        <w:rPr>
          <w:rFonts w:hint="eastAsia" w:ascii="宋体" w:hAnsi="宋体"/>
          <w:b/>
          <w:sz w:val="24"/>
        </w:rPr>
        <w:t xml:space="preserve">三、提交</w:t>
      </w:r>
      <w:bookmarkEnd w:id="26"/>
      <w:r/>
      <w:bookmarkEnd w:id="27"/>
      <w:r>
        <w:rPr>
          <w:rFonts w:hint="eastAsia" w:ascii="宋体" w:hAnsi="宋体"/>
          <w:b/>
          <w:sz w:val="24"/>
        </w:rPr>
        <w:t xml:space="preserve">响应文件截止时间</w:t>
      </w:r>
      <w:bookmarkEnd w:id="28"/>
      <w:r/>
      <w:bookmarkEnd w:id="29"/>
      <w:r/>
      <w:bookmarkEnd w:id="30"/>
      <w:r/>
      <w:r/>
    </w:p>
    <w:p>
      <w:pPr>
        <w:ind w:firstLine="480"/>
        <w:rPr>
          <w:rFonts w:ascii="宋体" w:hAnsi="宋体"/>
          <w:sz w:val="24"/>
        </w:rPr>
      </w:pPr>
      <w:r>
        <w:rPr>
          <w:rFonts w:hint="eastAsia" w:ascii="宋体" w:hAnsi="宋体"/>
          <w:sz w:val="24"/>
        </w:rPr>
        <w:t xml:space="preserve"> 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5</w:t>
      </w:r>
      <w:r>
        <w:rPr>
          <w:rFonts w:hint="eastAsia" w:ascii="宋体" w:hAnsi="宋体"/>
          <w:sz w:val="24"/>
        </w:rPr>
        <w:t xml:space="preserve">月</w:t>
      </w:r>
      <w:r>
        <w:rPr>
          <w:rFonts w:hint="eastAsia" w:ascii="宋体" w:hAnsi="宋体"/>
          <w:sz w:val="24"/>
          <w:lang w:val="en-US" w:eastAsia="zh-CN"/>
        </w:rPr>
        <w:t xml:space="preserve">26</w:t>
      </w:r>
      <w:r>
        <w:rPr>
          <w:rFonts w:hint="eastAsia" w:ascii="宋体" w:hAnsi="宋体"/>
          <w:sz w:val="24"/>
        </w:rPr>
        <w:t xml:space="preserve">日</w:t>
      </w:r>
      <w:r>
        <w:rPr>
          <w:rFonts w:ascii="宋体" w:hAnsi="宋体"/>
          <w:sz w:val="24"/>
        </w:rPr>
        <w:t xml:space="preserve"> </w:t>
      </w:r>
      <w:r>
        <w:rPr>
          <w:rFonts w:hint="eastAsia" w:ascii="宋体" w:hAnsi="宋体"/>
          <w:sz w:val="24"/>
          <w:lang w:val="en-US" w:eastAsia="zh-CN"/>
        </w:rPr>
        <w:t xml:space="preserve">9</w:t>
      </w:r>
      <w:r>
        <w:rPr>
          <w:rFonts w:ascii="宋体" w:hAnsi="宋体"/>
          <w:sz w:val="24"/>
        </w:rPr>
        <w:t xml:space="preserve"> </w:t>
      </w:r>
      <w:r>
        <w:rPr>
          <w:rFonts w:hint="eastAsia" w:ascii="宋体" w:hAnsi="宋体"/>
          <w:sz w:val="24"/>
        </w:rPr>
        <w:t xml:space="preserve">点</w:t>
      </w:r>
      <w:r>
        <w:rPr>
          <w:rFonts w:hint="eastAsia" w:ascii="宋体" w:hAnsi="宋体"/>
          <w:sz w:val="24"/>
          <w:lang w:val="en-US" w:eastAsia="zh-CN"/>
        </w:rPr>
        <w:t xml:space="preserve">3</w:t>
      </w:r>
      <w:r>
        <w:rPr>
          <w:rFonts w:hint="eastAsia" w:ascii="宋体" w:hAnsi="宋体"/>
          <w:sz w:val="24"/>
        </w:rPr>
        <w:t xml:space="preserve">0分（北京时间）。</w:t>
      </w:r>
      <w:r/>
    </w:p>
    <w:p>
      <w:pPr>
        <w:ind w:firstLine="482"/>
        <w:spacing w:before="145" w:after="145" w:line="360" w:lineRule="auto"/>
        <w:rPr>
          <w:rFonts w:ascii="Times New Roman" w:hAnsi="Times New Roman"/>
          <w:b/>
          <w:bCs/>
          <w:sz w:val="24"/>
          <w:szCs w:val="32"/>
        </w:rPr>
        <w:outlineLvl w:val="2"/>
      </w:pPr>
      <w:r/>
      <w:bookmarkStart w:id="31" w:name="_Toc35393627"/>
      <w:r/>
      <w:bookmarkStart w:id="32" w:name="_Toc38985269"/>
      <w:r/>
      <w:bookmarkStart w:id="33" w:name="_Toc28359085"/>
      <w:r/>
      <w:bookmarkStart w:id="34" w:name="_Toc28359008"/>
      <w:r/>
      <w:bookmarkStart w:id="35" w:name="_Toc35393796"/>
      <w:r>
        <w:rPr>
          <w:rFonts w:hint="eastAsia" w:ascii="Times New Roman" w:hAnsi="Times New Roman"/>
          <w:b/>
          <w:bCs/>
          <w:sz w:val="24"/>
          <w:szCs w:val="32"/>
        </w:rPr>
        <w:t xml:space="preserve">四、本次单一来源采购联系方式</w:t>
      </w:r>
      <w:bookmarkEnd w:id="31"/>
      <w:r/>
      <w:bookmarkEnd w:id="32"/>
      <w:r/>
      <w:bookmarkEnd w:id="33"/>
      <w:r/>
      <w:bookmarkEnd w:id="34"/>
      <w:r/>
      <w:bookmarkEnd w:id="35"/>
      <w:r/>
      <w:r/>
    </w:p>
    <w:p>
      <w:pPr>
        <w:ind w:firstLine="720"/>
        <w:jc w:val="left"/>
        <w:rPr>
          <w:rFonts w:ascii="宋体" w:hAnsi="宋体"/>
          <w:sz w:val="24"/>
        </w:rPr>
      </w:pPr>
      <w:r>
        <w:rPr>
          <w:rFonts w:hint="eastAsia" w:ascii="宋体" w:hAnsi="宋体" w:cs="宋体"/>
          <w:sz w:val="24"/>
        </w:rPr>
        <w:t xml:space="preserve">1.采购人信息</w:t>
      </w:r>
      <w:r/>
    </w:p>
    <w:p>
      <w:pPr>
        <w:ind w:firstLine="720"/>
        <w:spacing w:line="360" w:lineRule="auto"/>
        <w:rPr>
          <w:rFonts w:ascii="宋体" w:hAnsi="宋体" w:cs="宋体"/>
          <w:sz w:val="24"/>
          <w:u w:val="single"/>
        </w:rPr>
      </w:pPr>
      <w:r>
        <w:rPr>
          <w:rFonts w:hint="eastAsia" w:ascii="宋体" w:hAnsi="宋体"/>
          <w:sz w:val="24"/>
        </w:rPr>
        <w:t xml:space="preserve">名 称：</w:t>
      </w:r>
      <w:r>
        <w:rPr>
          <w:rFonts w:hint="eastAsia" w:ascii="宋体" w:hAnsi="宋体" w:cs="宋体"/>
          <w:sz w:val="24"/>
          <w:u w:val="single"/>
        </w:rPr>
        <w:t xml:space="preserve">中共泰州市海陵区委宣传部</w:t>
      </w:r>
      <w:r/>
    </w:p>
    <w:p>
      <w:pPr>
        <w:ind w:left="1079" w:hanging="300"/>
        <w:jc w:val="left"/>
        <w:spacing w:line="360" w:lineRule="auto"/>
        <w:rPr>
          <w:rFonts w:ascii="宋体" w:hAnsi="宋体"/>
          <w:sz w:val="24"/>
          <w:u w:val="single"/>
        </w:rPr>
      </w:pPr>
      <w:r>
        <w:rPr>
          <w:rFonts w:hint="eastAsia" w:ascii="宋体" w:hAnsi="宋体"/>
          <w:sz w:val="24"/>
        </w:rPr>
        <w:t xml:space="preserve">地址 </w:t>
      </w:r>
      <w:r>
        <w:rPr>
          <w:rFonts w:ascii="宋体" w:hAnsi="宋体"/>
          <w:sz w:val="24"/>
        </w:rPr>
        <w:t xml:space="preserve">：</w:t>
      </w:r>
      <w:r>
        <w:rPr>
          <w:rFonts w:hint="eastAsia" w:ascii="宋体" w:hAnsi="宋体"/>
          <w:sz w:val="24"/>
          <w:u w:val="single"/>
        </w:rPr>
        <w:t xml:space="preserve">泰州市海陵区人民东路26号</w:t>
      </w:r>
      <w:r/>
    </w:p>
    <w:p>
      <w:pPr>
        <w:ind w:left="1079" w:hanging="300"/>
        <w:jc w:val="left"/>
        <w:spacing w:line="360" w:lineRule="auto"/>
        <w:rPr>
          <w:rFonts w:ascii="宋体" w:hAnsi="宋体"/>
          <w:sz w:val="24"/>
        </w:rPr>
      </w:pPr>
      <w:r>
        <w:rPr>
          <w:rFonts w:hint="eastAsia" w:ascii="宋体" w:hAnsi="宋体"/>
          <w:sz w:val="24"/>
        </w:rPr>
        <w:t xml:space="preserve">联系人：</w:t>
      </w:r>
      <w:r>
        <w:rPr>
          <w:rFonts w:hint="eastAsia" w:ascii="宋体" w:hAnsi="宋体"/>
          <w:sz w:val="24"/>
          <w:u w:val="single"/>
        </w:rPr>
        <w:t xml:space="preserve"> </w:t>
      </w:r>
      <w:r>
        <w:rPr>
          <w:rFonts w:hint="eastAsia" w:ascii="宋体" w:hAnsi="宋体"/>
          <w:sz w:val="24"/>
          <w:u w:val="single"/>
          <w:lang w:val="en-US" w:eastAsia="zh-CN"/>
        </w:rPr>
        <w:t xml:space="preserve">吴先生</w:t>
      </w:r>
      <w:r>
        <w:rPr>
          <w:rFonts w:ascii="宋体" w:hAnsi="宋体"/>
          <w:sz w:val="24"/>
          <w:u w:val="single"/>
        </w:rPr>
        <w:t xml:space="preserve"> </w:t>
      </w:r>
      <w:r/>
    </w:p>
    <w:p>
      <w:pPr>
        <w:ind w:left="1079" w:hanging="300"/>
        <w:jc w:val="left"/>
        <w:spacing w:line="360" w:lineRule="auto"/>
        <w:rPr>
          <w:rFonts w:ascii="宋体" w:hAnsi="宋体"/>
          <w:sz w:val="24"/>
        </w:rPr>
      </w:pPr>
      <w:r>
        <w:rPr>
          <w:rFonts w:hint="eastAsia" w:ascii="宋体" w:hAnsi="宋体"/>
          <w:sz w:val="24"/>
        </w:rPr>
        <w:t xml:space="preserve">联系方式：</w:t>
      </w:r>
      <w:bookmarkStart w:id="36" w:name="OLE_LINK8"/>
      <w:r/>
      <w:bookmarkStart w:id="37" w:name="OLE_LINK7"/>
      <w:r/>
      <w:bookmarkStart w:id="38" w:name="_Toc28359009"/>
      <w:r/>
      <w:bookmarkStart w:id="39" w:name="_Toc28359086"/>
      <w:r>
        <w:rPr>
          <w:rFonts w:hint="eastAsia" w:ascii="宋体" w:hAnsi="宋体" w:cs="宋体"/>
          <w:color w:val="000000"/>
          <w:sz w:val="24"/>
          <w:u w:val="single"/>
        </w:rPr>
        <w:t xml:space="preserve">0523-8622</w:t>
      </w:r>
      <w:bookmarkEnd w:id="36"/>
      <w:r/>
      <w:bookmarkEnd w:id="37"/>
      <w:r>
        <w:rPr>
          <w:rFonts w:hint="eastAsia" w:ascii="宋体" w:hAnsi="宋体" w:cs="宋体"/>
          <w:color w:val="000000"/>
          <w:sz w:val="24"/>
          <w:u w:val="single"/>
          <w:lang w:val="en-US" w:eastAsia="zh-CN"/>
        </w:rPr>
        <w:t xml:space="preserve">4546</w:t>
      </w:r>
      <w:bookmarkEnd w:id="38"/>
      <w:bookmarkEnd w:id="39"/>
      <w:r/>
    </w:p>
    <w:p>
      <w:pPr>
        <w:numPr>
          <w:ilvl w:val="0"/>
          <w:numId w:val="5"/>
        </w:numPr>
        <w:ind w:left="1079" w:hanging="300"/>
        <w:jc w:val="left"/>
        <w:spacing w:line="360" w:lineRule="auto"/>
        <w:rPr>
          <w:rFonts w:ascii="宋体" w:hAnsi="宋体" w:cs="宋体"/>
          <w:sz w:val="24"/>
        </w:rPr>
      </w:pPr>
      <w:r>
        <w:rPr>
          <w:rFonts w:hint="eastAsia" w:ascii="宋体" w:hAnsi="宋体" w:cs="宋体"/>
          <w:sz w:val="24"/>
        </w:rPr>
        <w:t xml:space="preserve">采购代理机构信息</w:t>
      </w:r>
      <w:r/>
    </w:p>
    <w:p>
      <w:pPr>
        <w:ind w:left="1079" w:hanging="300"/>
        <w:jc w:val="left"/>
        <w:spacing w:line="360" w:lineRule="auto"/>
        <w:rPr>
          <w:rFonts w:hint="eastAsia" w:ascii="宋体" w:hAnsi="宋体" w:eastAsiaTheme="minorEastAsia"/>
          <w:sz w:val="24"/>
          <w:lang w:eastAsia="zh-CN"/>
        </w:rPr>
      </w:pPr>
      <w:r>
        <w:rPr>
          <w:rFonts w:hint="eastAsia" w:ascii="宋体" w:hAnsi="宋体"/>
          <w:sz w:val="24"/>
        </w:rPr>
        <w:t xml:space="preserve">名 称：</w:t>
      </w:r>
      <w:r>
        <w:rPr>
          <w:rFonts w:hint="eastAsia" w:ascii="宋体" w:hAnsi="宋体"/>
          <w:sz w:val="24"/>
          <w:u w:val="single"/>
          <w:lang w:eastAsia="zh-CN"/>
        </w:rPr>
        <w:t xml:space="preserve">泰州市兴和造价工程师事务所有限公司</w:t>
      </w:r>
      <w:r/>
    </w:p>
    <w:p>
      <w:pPr>
        <w:ind w:firstLine="720"/>
        <w:spacing w:line="360" w:lineRule="auto"/>
        <w:rPr>
          <w:rFonts w:ascii="宋体" w:hAnsi="宋体"/>
          <w:sz w:val="24"/>
        </w:rPr>
      </w:pPr>
      <w:r>
        <w:rPr>
          <w:rFonts w:hint="eastAsia" w:ascii="宋体" w:hAnsi="宋体"/>
          <w:sz w:val="24"/>
        </w:rPr>
        <w:t xml:space="preserve">地　址：</w:t>
      </w:r>
      <w:r>
        <w:rPr>
          <w:rFonts w:hint="eastAsia" w:ascii="宋体" w:hAnsi="宋体"/>
          <w:sz w:val="24"/>
          <w:u w:val="single"/>
        </w:rPr>
        <w:t xml:space="preserve">泰州市海陵区青年北路</w:t>
      </w:r>
      <w:r>
        <w:rPr>
          <w:rFonts w:hint="eastAsia" w:ascii="宋体" w:hAnsi="宋体"/>
          <w:sz w:val="24"/>
          <w:u w:val="single"/>
          <w:lang w:val="en-US" w:eastAsia="zh-CN"/>
        </w:rPr>
        <w:t xml:space="preserve">25</w:t>
      </w:r>
      <w:r>
        <w:rPr>
          <w:rFonts w:hint="eastAsia" w:ascii="宋体" w:hAnsi="宋体"/>
          <w:sz w:val="24"/>
          <w:u w:val="single"/>
        </w:rPr>
        <w:t xml:space="preserve">号</w:t>
      </w:r>
      <w:r/>
    </w:p>
    <w:p>
      <w:pPr>
        <w:ind w:firstLine="720"/>
        <w:spacing w:line="360" w:lineRule="auto"/>
        <w:rPr>
          <w:rFonts w:ascii="宋体" w:hAnsi="宋体"/>
          <w:sz w:val="24"/>
        </w:rPr>
      </w:pPr>
      <w:r>
        <w:rPr>
          <w:rFonts w:hint="eastAsia" w:ascii="宋体" w:hAnsi="宋体"/>
          <w:sz w:val="24"/>
        </w:rPr>
        <w:t xml:space="preserve">联系人：</w:t>
      </w:r>
      <w:r>
        <w:rPr>
          <w:rFonts w:hint="eastAsia" w:ascii="宋体" w:hAnsi="宋体"/>
          <w:sz w:val="24"/>
          <w:u w:val="single"/>
          <w:lang w:val="en-US" w:eastAsia="zh-CN"/>
        </w:rPr>
        <w:t xml:space="preserve">许</w:t>
      </w:r>
      <w:r>
        <w:rPr>
          <w:rFonts w:hint="eastAsia" w:ascii="宋体" w:hAnsi="宋体"/>
          <w:sz w:val="24"/>
          <w:u w:val="single"/>
        </w:rPr>
        <w:t xml:space="preserve">先生</w:t>
      </w:r>
      <w:r/>
    </w:p>
    <w:p>
      <w:pPr>
        <w:ind w:firstLine="720"/>
        <w:spacing w:line="360" w:lineRule="auto"/>
        <w:rPr>
          <w:rFonts w:hint="default" w:ascii="宋体" w:hAnsi="宋体" w:eastAsiaTheme="minorEastAsia"/>
          <w:sz w:val="24"/>
          <w:lang w:val="en-US" w:eastAsia="zh-CN"/>
        </w:rPr>
      </w:pPr>
      <w:r>
        <w:rPr>
          <w:rFonts w:hint="eastAsia" w:ascii="宋体" w:hAnsi="宋体"/>
          <w:sz w:val="24"/>
        </w:rPr>
        <w:t xml:space="preserve">联系方式：</w:t>
      </w:r>
      <w:bookmarkStart w:id="40" w:name="_Toc28359010"/>
      <w:r/>
      <w:bookmarkStart w:id="41" w:name="_Toc28359087"/>
      <w:r>
        <w:rPr>
          <w:rFonts w:hint="eastAsia" w:ascii="宋体" w:hAnsi="宋体"/>
          <w:sz w:val="24"/>
          <w:u w:val="single"/>
          <w:lang w:val="en-US" w:eastAsia="zh-CN"/>
        </w:rPr>
        <w:t xml:space="preserve">15061005550</w:t>
      </w:r>
      <w:bookmarkEnd w:id="40"/>
      <w:bookmarkEnd w:id="41"/>
      <w:r/>
    </w:p>
    <w:p>
      <w:pPr>
        <w:ind w:firstLine="498"/>
        <w:spacing w:before="145" w:after="145" w:line="360" w:lineRule="auto"/>
        <w:rPr>
          <w:rFonts w:ascii="Times New Roman" w:hAnsi="Times New Roman"/>
          <w:b/>
          <w:bCs/>
          <w:sz w:val="24"/>
          <w:szCs w:val="32"/>
        </w:rPr>
        <w:outlineLvl w:val="2"/>
      </w:pPr>
      <w:r>
        <w:rPr>
          <w:rFonts w:hint="eastAsia" w:ascii="Times New Roman" w:hAnsi="Times New Roman"/>
          <w:b/>
          <w:bCs/>
          <w:sz w:val="24"/>
          <w:szCs w:val="32"/>
        </w:rPr>
        <w:t xml:space="preserve">五、其他</w:t>
      </w:r>
      <w:r/>
    </w:p>
    <w:p>
      <w:pPr>
        <w:ind w:firstLine="482"/>
        <w:spacing w:line="460" w:lineRule="exact"/>
        <w:tabs>
          <w:tab w:val="left" w:pos="900" w:leader="none"/>
        </w:tabs>
        <w:rPr>
          <w:rFonts w:ascii="宋体" w:hAnsi="宋体"/>
          <w:bCs/>
          <w:sz w:val="24"/>
        </w:rPr>
      </w:pPr>
      <w:r>
        <w:rPr>
          <w:rFonts w:hint="eastAsia" w:ascii="宋体" w:hAnsi="宋体"/>
          <w:sz w:val="24"/>
          <w:szCs w:val="21"/>
        </w:rPr>
        <w:t xml:space="preserve">1.</w:t>
      </w:r>
      <w:r>
        <w:rPr>
          <w:rFonts w:hint="eastAsia" w:ascii="宋体" w:hAnsi="宋体"/>
          <w:bCs/>
          <w:sz w:val="24"/>
        </w:rPr>
        <w:t xml:space="preserve"> 潜在供应商登录“江苏省政府采购管理交易系统（苏采云）”须持经注册的CA证书。未注册、领取CA和办理电子签章的潜在供应商，请至泰州市高港区泰州大道388号(中国医药城会展交易中心W3馆西南角)公共资源交易大厅政务CA窗口办理，电话：0523-81568158。</w:t>
      </w:r>
      <w:r/>
    </w:p>
    <w:p>
      <w:pPr>
        <w:ind w:firstLine="482"/>
        <w:spacing w:line="460" w:lineRule="exact"/>
        <w:tabs>
          <w:tab w:val="left" w:pos="900" w:leader="none"/>
        </w:tabs>
        <w:rPr>
          <w:rFonts w:ascii="宋体" w:hAnsi="宋体"/>
          <w:bCs/>
          <w:sz w:val="24"/>
        </w:rPr>
      </w:pPr>
      <w:r>
        <w:rPr>
          <w:rFonts w:hint="eastAsia" w:ascii="宋体" w:hAnsi="宋体"/>
          <w:bCs/>
          <w:sz w:val="24"/>
        </w:rPr>
        <w:t xml:space="preserve">2.本项目采用全流程电子化，供应商应根据《江苏省政府采购管理交易系统（苏采云）供应商操作手册》（“泰州市政府采购网—下载中心”下载）规定，制作、上传电子响应文件（技术支持电话：0523-87633965、0523-86897512；客服QQ709339244、QQ：1810179072）。</w:t>
      </w:r>
      <w:r/>
    </w:p>
    <w:p>
      <w:pPr>
        <w:ind w:firstLine="482"/>
        <w:spacing w:line="460" w:lineRule="exact"/>
        <w:tabs>
          <w:tab w:val="left" w:pos="900" w:leader="none"/>
        </w:tabs>
        <w:rPr>
          <w:rFonts w:ascii="宋体" w:hAnsi="宋体"/>
          <w:bCs/>
          <w:sz w:val="24"/>
        </w:rPr>
      </w:pPr>
      <w:r>
        <w:rPr>
          <w:rFonts w:hint="eastAsia" w:ascii="宋体" w:hAnsi="宋体"/>
          <w:bCs/>
          <w:sz w:val="24"/>
        </w:rPr>
        <w:t xml:space="preserve">3.有关本次采购的事项若存在变动或修改，敬请及时关注“江苏政府采购网”发布的更正公告。</w:t>
      </w:r>
      <w:r/>
    </w:p>
    <w:p>
      <w:pPr>
        <w:ind w:firstLine="482"/>
        <w:spacing w:line="460" w:lineRule="exact"/>
        <w:tabs>
          <w:tab w:val="left" w:pos="900" w:leader="none"/>
        </w:tabs>
        <w:rPr>
          <w:rFonts w:ascii="宋体" w:hAnsi="宋体"/>
          <w:bCs/>
          <w:sz w:val="24"/>
        </w:rPr>
      </w:pPr>
      <w:r>
        <w:rPr>
          <w:rFonts w:hint="eastAsia" w:ascii="宋体" w:hAnsi="宋体"/>
          <w:bCs/>
          <w:sz w:val="24"/>
        </w:rPr>
        <w:t xml:space="preserve">如潜在供应商未按上述要求操作，将自行承担所产生的风险。</w:t>
      </w:r>
      <w:r/>
    </w:p>
    <w:p>
      <w:pPr>
        <w:ind w:firstLine="482"/>
        <w:spacing w:line="460" w:lineRule="exact"/>
        <w:tabs>
          <w:tab w:val="left" w:pos="900" w:leader="none"/>
        </w:tabs>
        <w:rPr>
          <w:rFonts w:ascii="宋体" w:hAnsi="宋体"/>
          <w:bCs/>
          <w:sz w:val="24"/>
        </w:rPr>
      </w:pPr>
      <w:r>
        <w:rPr>
          <w:rFonts w:hint="eastAsia" w:ascii="宋体" w:hAnsi="宋体"/>
          <w:bCs/>
          <w:sz w:val="24"/>
        </w:rPr>
        <w:t xml:space="preserve">4.本次单一来源采购不收取投标保证金。</w:t>
      </w:r>
      <w:r/>
    </w:p>
    <w:p>
      <w:pPr>
        <w:jc w:val="center"/>
        <w:spacing w:before="260" w:after="260" w:line="416" w:lineRule="auto"/>
        <w:rPr>
          <w:rFonts w:hint="eastAsia" w:ascii="黑体" w:hAnsi="Arial" w:eastAsia="黑体" w:cs="Arial"/>
          <w:b/>
          <w:bCs/>
          <w:sz w:val="44"/>
          <w:szCs w:val="44"/>
        </w:rPr>
        <w:outlineLvl w:val="1"/>
      </w:pPr>
      <w:r/>
      <w:bookmarkStart w:id="42" w:name="_Toc120614211"/>
      <w:r/>
      <w:r/>
    </w:p>
    <w:p>
      <w:pPr>
        <w:jc w:val="center"/>
        <w:spacing w:before="260" w:after="260" w:line="416" w:lineRule="auto"/>
        <w:rPr>
          <w:rFonts w:ascii="黑体" w:hAnsi="Arial" w:eastAsia="黑体" w:cs="Arial"/>
          <w:sz w:val="44"/>
          <w:szCs w:val="44"/>
        </w:rPr>
        <w:outlineLvl w:val="1"/>
      </w:pPr>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498"/>
        <w:spacing w:before="145" w:after="145" w:line="360" w:lineRule="auto"/>
        <w:rPr>
          <w:rFonts w:ascii="Times New Roman" w:hAnsi="Times New Roman"/>
          <w:b/>
          <w:bCs/>
          <w:sz w:val="32"/>
          <w:szCs w:val="32"/>
        </w:rPr>
        <w:outlineLvl w:val="2"/>
      </w:pPr>
      <w:r/>
      <w:bookmarkStart w:id="43" w:name="_Toc120614214"/>
      <w:r/>
      <w:bookmarkStart w:id="44" w:name="_Toc513029203"/>
      <w:r/>
      <w:bookmarkStart w:id="45" w:name="_Toc20823275"/>
      <w:r/>
      <w:bookmarkStart w:id="46" w:name="_Toc16938519"/>
      <w:r>
        <w:rPr>
          <w:rFonts w:hint="eastAsia" w:ascii="Times New Roman" w:hAnsi="Times New Roman"/>
          <w:b/>
          <w:bCs/>
          <w:sz w:val="32"/>
          <w:szCs w:val="32"/>
        </w:rPr>
        <w:t xml:space="preserve">一、总则</w:t>
      </w:r>
      <w:bookmarkEnd w:id="43"/>
      <w:r/>
      <w:bookmarkEnd w:id="44"/>
      <w:r/>
      <w:bookmarkEnd w:id="45"/>
      <w:r/>
      <w:bookmarkEnd w:id="46"/>
      <w:r/>
      <w:r/>
    </w:p>
    <w:p>
      <w:pPr>
        <w:ind w:firstLine="420"/>
        <w:rPr>
          <w:rFonts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本次政府采购活动采取单一来源采购方式。</w:t>
      </w:r>
      <w:r/>
    </w:p>
    <w:p>
      <w:pPr>
        <w:ind w:firstLine="420"/>
        <w:rPr>
          <w:rFonts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ind w:firstLine="480"/>
        <w:spacing w:line="400" w:lineRule="exact"/>
        <w:rPr>
          <w:rFonts w:ascii="Times New Roman" w:hAnsi="Times New Roman"/>
          <w:sz w:val="24"/>
        </w:rPr>
      </w:pPr>
      <w:r/>
      <w:bookmarkStart w:id="55" w:name="_Toc20823278"/>
      <w:r/>
      <w:bookmarkStart w:id="56" w:name="_Toc16938522"/>
      <w:r/>
      <w:bookmarkStart w:id="57" w:name="_Toc513029206"/>
      <w:r>
        <w:rPr>
          <w:rFonts w:hint="eastAsia" w:ascii="Times New Roman" w:hAnsi="Times New Roman"/>
          <w:sz w:val="24"/>
        </w:rPr>
        <w:t xml:space="preserve">2. 1 满足采购文件中合格单一来源供应商资格要求的规定。</w:t>
      </w:r>
      <w:r/>
    </w:p>
    <w:p>
      <w:pPr>
        <w:ind w:firstLine="480"/>
        <w:spacing w:line="400" w:lineRule="exact"/>
        <w:rPr>
          <w:rFonts w:ascii="宋体" w:hAnsi="宋体"/>
          <w:sz w:val="28"/>
          <w:szCs w:val="28"/>
        </w:rPr>
      </w:pPr>
      <w:r>
        <w:rPr>
          <w:rFonts w:hint="eastAsia" w:ascii="Times New Roman" w:hAnsi="Times New Roman"/>
          <w:sz w:val="24"/>
        </w:rPr>
        <w:t xml:space="preserve">2. 2 满足本采购文件实质性条款的规定。</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3、适用法律</w:t>
      </w:r>
      <w:bookmarkEnd w:id="55"/>
      <w:r/>
      <w:bookmarkEnd w:id="56"/>
      <w:r/>
      <w:bookmarkEnd w:id="57"/>
      <w:r/>
      <w:r/>
    </w:p>
    <w:p>
      <w:pPr>
        <w:ind w:firstLine="420"/>
        <w:spacing w:line="400" w:lineRule="exact"/>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ind w:firstLine="420"/>
        <w:rPr>
          <w:rFonts w:ascii="Arial" w:hAnsi="Arial" w:eastAsia="黑体" w:cs="Arial"/>
          <w:sz w:val="28"/>
          <w:szCs w:val="28"/>
        </w:rPr>
        <w:outlineLvl w:val="3"/>
      </w:pPr>
      <w:r/>
      <w:bookmarkStart w:id="58" w:name="_Toc513029207"/>
      <w:r/>
      <w:bookmarkStart w:id="59" w:name="_Toc20823279"/>
      <w:r/>
      <w:bookmarkStart w:id="60" w:name="_Toc462564067"/>
      <w:r/>
      <w:bookmarkStart w:id="61" w:name="_Toc16938523"/>
      <w:r>
        <w:rPr>
          <w:rFonts w:hint="eastAsia" w:ascii="Arial" w:hAnsi="Arial" w:eastAsia="黑体" w:cs="Arial"/>
          <w:sz w:val="28"/>
          <w:szCs w:val="28"/>
        </w:rPr>
        <w:t xml:space="preserve">4、相关费用</w:t>
      </w:r>
      <w:bookmarkEnd w:id="58"/>
      <w:r/>
      <w:bookmarkEnd w:id="59"/>
      <w:r/>
      <w:bookmarkEnd w:id="60"/>
      <w:r/>
      <w:bookmarkEnd w:id="61"/>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宋体" w:hAnsi="宋体"/>
          <w:sz w:val="24"/>
          <w:szCs w:val="21"/>
          <w:lang w:eastAsia="zh-CN"/>
        </w:rPr>
        <w:t xml:space="preserve">泰州市兴和造价工程师事务所有限公司</w:t>
      </w:r>
      <w:r>
        <w:rPr>
          <w:rFonts w:hint="eastAsia" w:ascii="宋体" w:hAnsi="宋体"/>
          <w:sz w:val="24"/>
          <w:szCs w:val="21"/>
        </w:rPr>
        <w:t xml:space="preserve">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4.2本次采购项目招标代理服务费由中标单位在领取中标通知书之前支付给招标代理公司，招标代理费依照苏政采协[2024]20号文收费标准</w:t>
      </w:r>
      <w:r>
        <w:rPr>
          <w:rFonts w:hint="eastAsia" w:ascii="宋体" w:hAnsi="宋体"/>
          <w:sz w:val="24"/>
          <w:szCs w:val="21"/>
          <w:lang w:eastAsia="zh-CN"/>
        </w:rPr>
        <w:t xml:space="preserve">，</w:t>
      </w:r>
      <w:r>
        <w:rPr>
          <w:rFonts w:hint="eastAsia" w:ascii="宋体" w:hAnsi="宋体"/>
          <w:sz w:val="24"/>
          <w:szCs w:val="21"/>
          <w:lang w:val="en-US" w:eastAsia="zh-CN"/>
        </w:rPr>
        <w:t xml:space="preserve">计7000元</w:t>
      </w:r>
      <w:r>
        <w:rPr>
          <w:rFonts w:hint="eastAsia" w:ascii="宋体" w:hAnsi="宋体"/>
          <w:sz w:val="24"/>
          <w:szCs w:val="21"/>
        </w:rPr>
        <w:t xml:space="preserve">；投标人投标报价时需充分考虑上述费用。</w:t>
      </w:r>
      <w:r/>
    </w:p>
    <w:p>
      <w:pPr>
        <w:ind w:firstLine="301"/>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ascii="宋体" w:hAnsi="宋体"/>
          <w:sz w:val="24"/>
        </w:rPr>
      </w:pPr>
      <w:r>
        <w:rPr>
          <w:rFonts w:hint="eastAsia" w:ascii="宋体" w:hAnsi="宋体"/>
          <w:bCs/>
          <w:sz w:val="24"/>
        </w:rPr>
        <w:t xml:space="preserve">5.1</w:t>
      </w:r>
      <w:r>
        <w:rPr>
          <w:rFonts w:hint="eastAsia" w:ascii="宋体" w:hAnsi="宋体"/>
          <w:sz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rPr>
        <w:t xml:space="preserve">并决定参加单一来源采购活动，即被认为接受了本采购文件的规定和约束，并且视为自接收本采购文件之日起已经知道或应当知道自身权益是否受到了损害。</w:t>
      </w:r>
      <w:r/>
    </w:p>
    <w:p>
      <w:pPr>
        <w:ind w:firstLine="321"/>
        <w:spacing w:before="145" w:after="145" w:line="360" w:lineRule="auto"/>
        <w:rPr>
          <w:rFonts w:ascii="Times New Roman" w:hAnsi="Times New Roman"/>
          <w:b/>
          <w:bCs/>
          <w:sz w:val="32"/>
          <w:szCs w:val="32"/>
        </w:rPr>
        <w:outlineLvl w:val="2"/>
      </w:pPr>
      <w:r/>
      <w:bookmarkStart w:id="62" w:name="_Toc120614215"/>
      <w:r/>
      <w:bookmarkStart w:id="63" w:name="_Toc16938525"/>
      <w:r/>
      <w:bookmarkStart w:id="64" w:name="_Toc20823281"/>
      <w:r/>
      <w:bookmarkStart w:id="65" w:name="_Toc513029209"/>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采购文件</w:t>
      </w:r>
      <w:r/>
    </w:p>
    <w:p>
      <w:pPr>
        <w:ind w:firstLine="420"/>
        <w:rPr>
          <w:rFonts w:ascii="Arial" w:hAnsi="Arial" w:eastAsia="黑体" w:cs="Arial"/>
          <w:sz w:val="28"/>
          <w:szCs w:val="28"/>
        </w:rPr>
        <w:outlineLvl w:val="3"/>
      </w:pPr>
      <w:r/>
      <w:bookmarkStart w:id="66" w:name="_Toc513029210"/>
      <w:r/>
      <w:bookmarkStart w:id="67" w:name="_Toc20823282"/>
      <w:r/>
      <w:bookmarkStart w:id="68" w:name="_Toc16938526"/>
      <w:r>
        <w:rPr>
          <w:rFonts w:hint="eastAsia" w:ascii="Arial" w:hAnsi="Arial" w:eastAsia="黑体" w:cs="Arial"/>
          <w:sz w:val="28"/>
          <w:szCs w:val="28"/>
        </w:rPr>
        <w:t xml:space="preserve">6、采购文件构成</w:t>
      </w:r>
      <w:bookmarkEnd w:id="66"/>
      <w:r/>
      <w:bookmarkEnd w:id="67"/>
      <w:r/>
      <w:bookmarkEnd w:id="68"/>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ascii="宋体" w:hAnsi="宋体"/>
          <w:sz w:val="24"/>
        </w:rPr>
      </w:pPr>
      <w:r>
        <w:rPr>
          <w:rFonts w:hint="eastAsia" w:ascii="宋体" w:hAnsi="宋体"/>
          <w:sz w:val="24"/>
        </w:rPr>
        <w:t xml:space="preserve">（1）单一来源采购</w:t>
      </w:r>
      <w:r>
        <w:rPr>
          <w:rFonts w:ascii="宋体" w:hAnsi="宋体"/>
          <w:sz w:val="24"/>
        </w:rPr>
        <w:t xml:space="preserve">邀请</w:t>
      </w:r>
      <w:r/>
    </w:p>
    <w:p>
      <w:pPr>
        <w:ind w:firstLine="360"/>
        <w:spacing w:line="400" w:lineRule="exact"/>
        <w:rPr>
          <w:rFonts w:ascii="宋体" w:hAnsi="宋体"/>
          <w:sz w:val="24"/>
        </w:rPr>
      </w:pPr>
      <w:r>
        <w:rPr>
          <w:rFonts w:hint="eastAsia" w:ascii="宋体" w:hAnsi="宋体"/>
          <w:sz w:val="24"/>
        </w:rPr>
        <w:t xml:space="preserve">（2）供应商须知</w:t>
      </w:r>
      <w:r/>
    </w:p>
    <w:p>
      <w:pPr>
        <w:ind w:firstLine="360"/>
        <w:spacing w:line="400" w:lineRule="exact"/>
        <w:rPr>
          <w:rFonts w:ascii="宋体" w:hAnsi="宋体"/>
          <w:sz w:val="24"/>
        </w:rPr>
      </w:pPr>
      <w:r>
        <w:rPr>
          <w:rFonts w:hint="eastAsia" w:ascii="宋体" w:hAnsi="宋体"/>
          <w:sz w:val="24"/>
        </w:rPr>
        <w:t xml:space="preserve">（3）合同文本</w:t>
      </w:r>
      <w:r/>
    </w:p>
    <w:p>
      <w:pPr>
        <w:ind w:firstLine="360"/>
        <w:spacing w:line="400" w:lineRule="exact"/>
        <w:rPr>
          <w:rFonts w:ascii="宋体" w:hAnsi="宋体"/>
          <w:sz w:val="24"/>
        </w:rPr>
      </w:pPr>
      <w:r>
        <w:rPr>
          <w:rFonts w:hint="eastAsia" w:ascii="宋体" w:hAnsi="宋体"/>
          <w:sz w:val="24"/>
        </w:rPr>
        <w:t xml:space="preserve">（4）采购需求</w:t>
      </w:r>
      <w:r/>
    </w:p>
    <w:p>
      <w:pPr>
        <w:ind w:firstLine="360"/>
        <w:spacing w:line="400" w:lineRule="exact"/>
        <w:rPr>
          <w:rFonts w:ascii="宋体" w:hAnsi="宋体"/>
          <w:sz w:val="24"/>
        </w:rPr>
      </w:pPr>
      <w:r>
        <w:rPr>
          <w:rFonts w:hint="eastAsia" w:ascii="宋体" w:hAnsi="宋体"/>
          <w:sz w:val="24"/>
        </w:rPr>
        <w:t xml:space="preserve">（5）响应文件格式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请仔细检查采购文件是否齐全，如有缺漏请立即与招标代理单位联系解决。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560"/>
        <w:rPr>
          <w:rFonts w:ascii="Arial" w:hAnsi="Arial" w:eastAsia="黑体" w:cs="Arial"/>
          <w:sz w:val="28"/>
          <w:szCs w:val="28"/>
        </w:rPr>
        <w:outlineLvl w:val="3"/>
      </w:pPr>
      <w:r/>
      <w:bookmarkStart w:id="69" w:name="_Toc462564070"/>
      <w:r/>
      <w:bookmarkStart w:id="70" w:name="_Toc16938527"/>
      <w:r/>
      <w:bookmarkStart w:id="71" w:name="_Toc20823283"/>
      <w:r/>
      <w:bookmarkStart w:id="72" w:name="_Toc513029211"/>
      <w:r>
        <w:rPr>
          <w:rFonts w:hint="eastAsia" w:ascii="Arial" w:hAnsi="Arial" w:eastAsia="黑体" w:cs="Arial"/>
          <w:sz w:val="28"/>
          <w:szCs w:val="28"/>
        </w:rPr>
        <w:t xml:space="preserve">7、采购文件的澄清</w:t>
      </w:r>
      <w:bookmarkEnd w:id="69"/>
      <w:r/>
      <w:bookmarkEnd w:id="70"/>
      <w:r/>
      <w:bookmarkEnd w:id="71"/>
      <w:r/>
      <w:bookmarkEnd w:id="72"/>
      <w:r/>
      <w:r/>
    </w:p>
    <w:p>
      <w:pPr>
        <w:ind w:firstLine="480"/>
        <w:spacing w:line="480" w:lineRule="exact"/>
        <w:rPr>
          <w:rFonts w:ascii="宋体" w:hAnsi="宋体"/>
          <w:sz w:val="24"/>
        </w:rPr>
      </w:pPr>
      <w:r/>
      <w:bookmarkStart w:id="73" w:name="_Toc20823284"/>
      <w:r/>
      <w:bookmarkStart w:id="74" w:name="_Toc16938528"/>
      <w:r/>
      <w:bookmarkStart w:id="75" w:name="_Toc513029212"/>
      <w:r/>
      <w:bookmarkStart w:id="76" w:name="_Toc462564071"/>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rPr>
        <w:t xml:space="preserve">响应文件接收截止时间（以下简称“截止时间”）</w:t>
      </w:r>
      <w:r>
        <w:rPr>
          <w:rFonts w:hint="eastAsia" w:ascii="宋体" w:hAnsi="宋体"/>
          <w:b/>
          <w:sz w:val="24"/>
        </w:rPr>
        <w:t xml:space="preserve">三天</w:t>
      </w:r>
      <w:r>
        <w:rPr>
          <w:rFonts w:hint="eastAsia" w:ascii="仿宋_GB2312" w:hAnsi="仿宋_GB2312"/>
          <w:sz w:val="24"/>
        </w:rPr>
        <w:t xml:space="preserve">前，在</w:t>
      </w:r>
      <w:r>
        <w:rPr>
          <w:rFonts w:hint="eastAsia" w:ascii="宋体" w:hAnsi="宋体"/>
          <w:sz w:val="24"/>
          <w:szCs w:val="21"/>
        </w:rPr>
        <w:t xml:space="preserve">苏采云系统中通知招标代理单位。</w:t>
      </w:r>
      <w:r>
        <w:rPr>
          <w:rFonts w:hint="eastAsia" w:ascii="宋体" w:hAnsi="宋体"/>
          <w:sz w:val="24"/>
        </w:rPr>
        <w:t xml:space="preserve">招标代理单位将在</w:t>
      </w:r>
      <w:r>
        <w:rPr>
          <w:rFonts w:hint="eastAsia" w:ascii="宋体" w:hAnsi="宋体"/>
          <w:sz w:val="24"/>
          <w:szCs w:val="21"/>
        </w:rPr>
        <w:t xml:space="preserve">苏采云系统中对澄清要求予以答复。</w:t>
      </w:r>
      <w:bookmarkEnd w:id="73"/>
      <w:bookmarkEnd w:id="74"/>
      <w:bookmarkEnd w:id="75"/>
      <w:bookmarkEnd w:id="76"/>
      <w:r/>
    </w:p>
    <w:p>
      <w:pPr>
        <w:ind w:firstLine="560"/>
        <w:rPr>
          <w:rFonts w:ascii="Arial" w:hAnsi="Arial" w:eastAsia="黑体" w:cs="Arial"/>
          <w:sz w:val="28"/>
          <w:szCs w:val="28"/>
        </w:rPr>
        <w:outlineLvl w:val="3"/>
      </w:pPr>
      <w:r/>
      <w:bookmarkStart w:id="77" w:name="_Toc20823285"/>
      <w:r/>
      <w:bookmarkStart w:id="78" w:name="_Toc462564072"/>
      <w:r/>
      <w:bookmarkStart w:id="79" w:name="_Toc120614216"/>
      <w:r/>
      <w:bookmarkStart w:id="80" w:name="_Toc16938529"/>
      <w:r/>
      <w:bookmarkStart w:id="81" w:name="_Toc513029213"/>
      <w:r>
        <w:rPr>
          <w:rFonts w:hint="eastAsia" w:ascii="Arial" w:hAnsi="Arial" w:eastAsia="黑体" w:cs="Arial"/>
          <w:sz w:val="28"/>
          <w:szCs w:val="28"/>
        </w:rPr>
        <w:t xml:space="preserve">8、采购文件的修改</w:t>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，招标代理单位可以以补充文件的方式对采购文件进行修改。</w:t>
      </w:r>
      <w:r/>
    </w:p>
    <w:p>
      <w:pPr>
        <w:ind w:firstLine="480"/>
        <w:spacing w:line="500" w:lineRule="exact"/>
        <w:rPr>
          <w:rFonts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招标代理单位</w:t>
      </w:r>
      <w:r>
        <w:rPr>
          <w:rFonts w:hint="eastAsia" w:ascii="宋体" w:hAnsi="宋体"/>
          <w:sz w:val="24"/>
        </w:rPr>
        <w:t xml:space="preserve">有权按照政府采购的有关要求</w:t>
      </w:r>
      <w:r>
        <w:rPr>
          <w:rFonts w:hint="eastAsia" w:ascii="宋体" w:hAnsi="宋体"/>
          <w:sz w:val="24"/>
          <w:szCs w:val="21"/>
        </w:rPr>
        <w:t xml:space="preserve">推迟</w:t>
      </w:r>
      <w:r>
        <w:rPr>
          <w:rFonts w:hint="eastAsia" w:ascii="宋体" w:hAnsi="宋体"/>
          <w:bCs/>
          <w:sz w:val="24"/>
        </w:rPr>
        <w:t xml:space="preserve">截止时间</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rPr>
        <w:t xml:space="preserve">补充文件将作为采购文件的组成部分，</w:t>
      </w:r>
      <w:r>
        <w:rPr>
          <w:rFonts w:hint="eastAsia" w:ascii="宋体" w:hAnsi="宋体"/>
          <w:sz w:val="24"/>
          <w:szCs w:val="21"/>
        </w:rPr>
        <w:t xml:space="preserve">并对供应商具有约束力。</w:t>
      </w:r>
      <w:r/>
    </w:p>
    <w:p>
      <w:pPr>
        <w:ind w:firstLine="482"/>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7"/>
      <w:r/>
      <w:bookmarkEnd w:id="78"/>
      <w:r/>
      <w:bookmarkEnd w:id="79"/>
      <w:r/>
      <w:bookmarkEnd w:id="80"/>
      <w:r/>
      <w:bookmarkEnd w:id="81"/>
      <w:r/>
      <w:r/>
    </w:p>
    <w:p>
      <w:pPr>
        <w:ind w:firstLine="560"/>
        <w:rPr>
          <w:rFonts w:ascii="Arial" w:hAnsi="Arial" w:eastAsia="黑体" w:cs="Arial"/>
          <w:b/>
          <w:sz w:val="28"/>
          <w:szCs w:val="28"/>
        </w:rPr>
        <w:outlineLvl w:val="3"/>
      </w:pPr>
      <w:r/>
      <w:bookmarkStart w:id="82" w:name="_Toc513029214"/>
      <w:r/>
      <w:bookmarkStart w:id="83" w:name="_Toc16938530"/>
      <w:r/>
      <w:bookmarkStart w:id="84" w:name="_Toc20823286"/>
      <w:r/>
      <w:bookmarkStart w:id="85" w:name="_Toc462564073"/>
      <w:r>
        <w:rPr>
          <w:rFonts w:hint="eastAsia" w:ascii="Arial" w:hAnsi="Arial" w:eastAsia="黑体" w:cs="Arial"/>
          <w:sz w:val="28"/>
          <w:szCs w:val="28"/>
        </w:rPr>
        <w:t xml:space="preserve">9、响应文件的语言及度量衡单位</w:t>
      </w:r>
      <w:bookmarkEnd w:id="82"/>
      <w:r/>
      <w:bookmarkEnd w:id="83"/>
      <w:r/>
      <w:bookmarkEnd w:id="84"/>
      <w:r/>
      <w:bookmarkEnd w:id="85"/>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供应商提交的响应文件以及供应商与招标代理单位就有关采购活动的所有来往通知、函件和文件均应使用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rPr>
          <w:rFonts w:ascii="Arial" w:hAnsi="Arial" w:eastAsia="黑体" w:cs="Arial"/>
          <w:sz w:val="28"/>
          <w:szCs w:val="28"/>
        </w:rPr>
        <w:outlineLvl w:val="3"/>
      </w:pPr>
      <w:r/>
      <w:bookmarkStart w:id="86" w:name="_Toc16938531"/>
      <w:r/>
      <w:bookmarkStart w:id="87" w:name="_Toc462564074"/>
      <w:r/>
      <w:bookmarkStart w:id="88" w:name="_Toc513029215"/>
      <w:r/>
      <w:bookmarkStart w:id="89" w:name="_Toc20823287"/>
      <w:r>
        <w:rPr>
          <w:rFonts w:hint="eastAsia" w:ascii="Arial" w:hAnsi="Arial" w:eastAsia="黑体" w:cs="Arial"/>
          <w:sz w:val="28"/>
          <w:szCs w:val="28"/>
        </w:rPr>
        <w:t xml:space="preserve">10、响应文件构成</w:t>
      </w:r>
      <w:bookmarkEnd w:id="86"/>
      <w:r/>
      <w:bookmarkEnd w:id="87"/>
      <w:r/>
      <w:bookmarkEnd w:id="88"/>
      <w:r/>
      <w:bookmarkEnd w:id="89"/>
      <w:r/>
      <w:r/>
    </w:p>
    <w:p>
      <w:pPr>
        <w:ind w:firstLine="480"/>
        <w:spacing w:line="440" w:lineRule="exact"/>
        <w:rPr>
          <w:rFonts w:ascii="宋体" w:hAnsi="宋体"/>
          <w:sz w:val="24"/>
          <w:szCs w:val="21"/>
        </w:rPr>
      </w:pPr>
      <w:r/>
      <w:bookmarkStart w:id="90" w:name="_Hlt26954838"/>
      <w:r/>
      <w:bookmarkEnd w:id="90"/>
      <w:r/>
      <w:bookmarkStart w:id="91" w:name="_Hlt26670360"/>
      <w:r/>
      <w:bookmarkEnd w:id="91"/>
      <w:r/>
      <w:bookmarkStart w:id="92" w:name="_Hlt26668975"/>
      <w:r/>
      <w:bookmarkEnd w:id="92"/>
      <w:r/>
      <w:bookmarkStart w:id="93" w:name="_Toc49090508"/>
      <w:r/>
      <w:bookmarkStart w:id="94" w:name="_Toc513029216"/>
      <w:r/>
      <w:bookmarkStart w:id="95" w:name="_Toc513029219"/>
      <w:r/>
      <w:bookmarkStart w:id="96" w:name="_Toc14577354"/>
      <w:r/>
      <w:bookmarkStart w:id="97" w:name="_Toc49090509"/>
      <w:r/>
      <w:bookmarkStart w:id="98" w:name="_Toc14577355"/>
      <w:r/>
      <w:bookmarkStart w:id="99" w:name="_Toc49090507"/>
      <w:r/>
      <w:bookmarkStart w:id="100" w:name="_Toc14577357"/>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供应商编写的响应文件应包括资格证明文件、符合性证明文件、技术要求响应及偏离表、商务要求响应及偏离表、其他证明文件、单一来源响应函等部分。</w:t>
      </w:r>
      <w:bookmarkEnd w:id="93"/>
      <w:bookmarkEnd w:id="94"/>
      <w:bookmarkEnd w:id="95"/>
      <w:bookmarkEnd w:id="96"/>
      <w:bookmarkEnd w:id="97"/>
      <w:bookmarkEnd w:id="98"/>
      <w:bookmarkEnd w:id="99"/>
      <w:bookmarkEnd w:id="100"/>
      <w:r/>
    </w:p>
    <w:p>
      <w:pPr>
        <w:pStyle w:val="649"/>
        <w:ind w:firstLine="420"/>
        <w:keepLines w:val="0"/>
        <w:keepNext w:val="0"/>
        <w:spacing w:before="0" w:after="0" w:line="240" w:lineRule="auto"/>
        <w:rPr>
          <w:b w:val="0"/>
          <w:bCs w:val="0"/>
        </w:rPr>
      </w:pPr>
      <w:r>
        <w:rPr>
          <w:rFonts w:hint="eastAsia"/>
          <w:b w:val="0"/>
          <w:bCs w:val="0"/>
        </w:rPr>
        <w:t xml:space="preserve">11、证明供应商及响应标的符合采购文件规定的文件</w:t>
      </w:r>
      <w:r/>
    </w:p>
    <w:p>
      <w:pPr>
        <w:spacing w:line="480" w:lineRule="exact"/>
        <w:rPr>
          <w:rFonts w:ascii="宋体" w:hAnsi="宋体"/>
          <w:sz w:val="24"/>
        </w:rPr>
      </w:pPr>
      <w:r>
        <w:rPr>
          <w:rFonts w:hint="eastAsia" w:ascii="宋体" w:hAnsi="宋体"/>
          <w:sz w:val="24"/>
        </w:rPr>
        <w:t xml:space="preserve">    11.1 供应商应按照法律、法规、规章和规范性文件以及采购文件要求提交证明文件，证明其及响应标的符合采购文件规定。</w:t>
      </w:r>
      <w:r/>
    </w:p>
    <w:p>
      <w:pPr>
        <w:ind w:firstLine="480"/>
        <w:spacing w:line="480" w:lineRule="exact"/>
        <w:rPr>
          <w:rFonts w:ascii="宋体" w:hAnsi="宋体"/>
          <w:sz w:val="24"/>
        </w:rPr>
      </w:pPr>
      <w:r>
        <w:rPr>
          <w:rFonts w:hint="eastAsia" w:ascii="宋体" w:hAnsi="宋体"/>
          <w:sz w:val="24"/>
        </w:rPr>
        <w:t xml:space="preserve">11.2采购文件对证明文件无明确形式要求的，证明文件可以以文字资料、图纸和数据等形式提交。</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500" w:lineRule="exact"/>
        <w:rPr>
          <w:rFonts w:ascii="宋体" w:hAnsi="宋体"/>
          <w:bCs/>
          <w:sz w:val="24"/>
        </w:rPr>
      </w:pPr>
      <w:r/>
      <w:bookmarkStart w:id="101" w:name="_Hlt26954848"/>
      <w:r/>
      <w:bookmarkEnd w:id="101"/>
      <w:r/>
      <w:bookmarkStart w:id="102" w:name="_Hlt26670486"/>
      <w:r/>
      <w:bookmarkEnd w:id="102"/>
      <w:r/>
      <w:bookmarkStart w:id="103" w:name="_Hlt26954731"/>
      <w:r/>
      <w:bookmarkEnd w:id="103"/>
      <w:r/>
      <w:bookmarkStart w:id="104" w:name="_Hlt26670482"/>
      <w:r/>
      <w:bookmarkEnd w:id="104"/>
      <w:r/>
      <w:bookmarkStart w:id="105" w:name="_Hlt26954846"/>
      <w:r/>
      <w:bookmarkEnd w:id="105"/>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49"/>
        <w:ind w:firstLine="420"/>
        <w:keepLines w:val="0"/>
        <w:keepNext w:val="0"/>
        <w:spacing w:before="0" w:after="0" w:line="240" w:lineRule="auto"/>
        <w:rPr>
          <w:b w:val="0"/>
          <w:bCs w:val="0"/>
        </w:rPr>
      </w:pPr>
      <w:r/>
      <w:bookmarkStart w:id="106" w:name="_Toc14577359"/>
      <w:r/>
      <w:bookmarkStart w:id="107" w:name="_Toc49090510"/>
      <w:r>
        <w:rPr>
          <w:rFonts w:hint="eastAsia"/>
          <w:b w:val="0"/>
          <w:bCs w:val="0"/>
        </w:rPr>
        <w:t xml:space="preserve">14、服务承诺、培训计划、人员安排及其他（如有）</w:t>
      </w:r>
      <w:r/>
    </w:p>
    <w:p>
      <w:pPr>
        <w:ind w:firstLine="480"/>
        <w:spacing w:line="480" w:lineRule="exact"/>
        <w:rPr>
          <w:rFonts w:ascii="宋体" w:hAnsi="宋体"/>
          <w:sz w:val="24"/>
        </w:rPr>
      </w:pPr>
      <w:r>
        <w:rPr>
          <w:rFonts w:hint="eastAsia" w:ascii="宋体" w:hAnsi="宋体"/>
          <w:bCs/>
          <w:sz w:val="24"/>
        </w:rPr>
        <w:t xml:space="preserve">14.1 </w:t>
      </w:r>
      <w:r>
        <w:rPr>
          <w:rFonts w:hint="eastAsia" w:ascii="宋体" w:hAnsi="Arial" w:cs="宋体"/>
          <w:sz w:val="24"/>
          <w:lang w:val="zh-CN"/>
        </w:rPr>
        <w:t xml:space="preserve">供应商</w:t>
      </w:r>
      <w:r>
        <w:rPr>
          <w:rFonts w:hint="eastAsia" w:ascii="宋体" w:hAnsi="宋体"/>
          <w:sz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rPr>
      </w:pPr>
      <w:r>
        <w:rPr>
          <w:rFonts w:hint="eastAsia" w:ascii="宋体" w:hAnsi="宋体"/>
          <w:sz w:val="24"/>
        </w:rPr>
        <w:t xml:space="preserve">14.2 </w:t>
      </w:r>
      <w:r>
        <w:rPr>
          <w:rFonts w:hint="eastAsia" w:ascii="宋体" w:hAnsi="Arial" w:cs="宋体"/>
          <w:sz w:val="24"/>
          <w:lang w:val="zh-CN"/>
        </w:rPr>
        <w:t xml:space="preserve">供应商</w:t>
      </w:r>
      <w:r>
        <w:rPr>
          <w:rFonts w:hint="eastAsia" w:ascii="宋体" w:hAnsi="宋体"/>
          <w:sz w:val="24"/>
        </w:rPr>
        <w:t xml:space="preserve">需根据采购文件要求提供培训计划。</w:t>
      </w:r>
      <w:r/>
    </w:p>
    <w:p>
      <w:pPr>
        <w:ind w:firstLine="480"/>
        <w:spacing w:line="480" w:lineRule="exact"/>
        <w:rPr>
          <w:rFonts w:ascii="宋体" w:hAnsi="宋体"/>
          <w:sz w:val="24"/>
        </w:rPr>
      </w:pPr>
      <w:r>
        <w:rPr>
          <w:rFonts w:hint="eastAsia" w:ascii="宋体" w:hAnsi="宋体"/>
          <w:sz w:val="24"/>
        </w:rPr>
        <w:t xml:space="preserve">14.3 </w:t>
      </w:r>
      <w:r>
        <w:rPr>
          <w:rFonts w:hint="eastAsia" w:ascii="宋体" w:hAnsi="Arial" w:cs="宋体"/>
          <w:sz w:val="24"/>
          <w:lang w:val="zh-CN"/>
        </w:rPr>
        <w:t xml:space="preserve">供应商</w:t>
      </w:r>
      <w:r>
        <w:rPr>
          <w:rFonts w:hint="eastAsia" w:ascii="宋体" w:hAnsi="宋体"/>
          <w:sz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6"/>
      <w:bookmarkEnd w:id="107"/>
      <w:r/>
    </w:p>
    <w:p>
      <w:pPr>
        <w:pStyle w:val="649"/>
        <w:ind w:firstLine="420"/>
        <w:keepLines w:val="0"/>
        <w:keepNext w:val="0"/>
        <w:spacing w:before="0" w:after="0" w:line="240" w:lineRule="auto"/>
        <w:rPr>
          <w:b w:val="0"/>
          <w:bCs w:val="0"/>
        </w:rPr>
      </w:pPr>
      <w:r/>
      <w:bookmarkStart w:id="108" w:name="_Toc14577360"/>
      <w:r/>
      <w:bookmarkStart w:id="109" w:name="_Toc49090511"/>
      <w:r>
        <w:rPr>
          <w:rFonts w:hint="eastAsia"/>
          <w:b w:val="0"/>
          <w:bCs w:val="0"/>
        </w:rPr>
        <w:t xml:space="preserve">15、单一来源响应函</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8"/>
      <w:r/>
      <w:bookmarkEnd w:id="109"/>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w:t>
      </w:r>
      <w:r>
        <w:rPr>
          <w:rFonts w:hint="eastAsia" w:ascii="宋体" w:hAnsi="宋体"/>
          <w:sz w:val="24"/>
          <w:szCs w:val="21"/>
        </w:rPr>
        <w:t xml:space="preserve">招标代理单位</w:t>
      </w:r>
      <w:r>
        <w:rPr>
          <w:rFonts w:hint="eastAsia" w:ascii="宋体" w:hAnsi="宋体"/>
          <w:bCs/>
          <w:sz w:val="24"/>
        </w:rPr>
        <w:t xml:space="preserve">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招标代理单位</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宋体" w:hAnsi="宋体"/>
          <w:sz w:val="24"/>
          <w:szCs w:val="21"/>
        </w:rPr>
        <w:t xml:space="preserve">招标代理单位</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rPr>
        <w:t xml:space="preserve">受有效期约束的所有权利与义务均延长至新的有效期</w:t>
      </w:r>
      <w:r>
        <w:rPr>
          <w:rFonts w:hint="eastAsia" w:ascii="宋体" w:hAnsi="宋体"/>
          <w:bCs/>
          <w:sz w:val="24"/>
          <w:szCs w:val="21"/>
        </w:rPr>
        <w:t xml:space="preserve">。</w:t>
      </w:r>
      <w:r/>
    </w:p>
    <w:p>
      <w:pPr>
        <w:ind w:firstLine="482"/>
        <w:spacing w:before="145" w:after="145" w:line="360" w:lineRule="auto"/>
        <w:rPr>
          <w:rFonts w:ascii="Times New Roman" w:hAnsi="Times New Roman"/>
          <w:b/>
          <w:bCs/>
          <w:sz w:val="32"/>
          <w:szCs w:val="32"/>
        </w:rPr>
        <w:outlineLvl w:val="2"/>
      </w:pPr>
      <w:r/>
      <w:bookmarkStart w:id="110" w:name="_Hlt26954739"/>
      <w:r/>
      <w:bookmarkEnd w:id="110"/>
      <w:r/>
      <w:bookmarkStart w:id="111" w:name="_Hlt26954852"/>
      <w:r/>
      <w:bookmarkEnd w:id="111"/>
      <w:r/>
      <w:bookmarkStart w:id="112" w:name="_Toc513029224"/>
      <w:r/>
      <w:bookmarkStart w:id="113" w:name="_Toc120614217"/>
      <w:r/>
      <w:bookmarkStart w:id="114" w:name="_Toc16938540"/>
      <w:r/>
      <w:bookmarkStart w:id="115" w:name="_Toc20823296"/>
      <w:r>
        <w:rPr>
          <w:rFonts w:hint="eastAsia" w:ascii="Times New Roman" w:hAnsi="Times New Roman"/>
          <w:b/>
          <w:bCs/>
          <w:sz w:val="32"/>
          <w:szCs w:val="32"/>
        </w:rPr>
        <w:t xml:space="preserve">四、响应文件的递交</w:t>
      </w:r>
      <w:bookmarkEnd w:id="112"/>
      <w:r/>
      <w:bookmarkEnd w:id="113"/>
      <w:r/>
      <w:bookmarkEnd w:id="114"/>
      <w:r/>
      <w:bookmarkEnd w:id="115"/>
      <w:r/>
      <w:r/>
    </w:p>
    <w:p>
      <w:pPr>
        <w:ind w:firstLine="560"/>
        <w:rPr>
          <w:rFonts w:ascii="黑体" w:hAnsi="Arial" w:eastAsia="黑体" w:cs="Arial"/>
          <w:sz w:val="28"/>
          <w:szCs w:val="28"/>
        </w:rPr>
        <w:outlineLvl w:val="3"/>
      </w:pPr>
      <w:r/>
      <w:bookmarkStart w:id="116" w:name="_Toc513029225"/>
      <w:r/>
      <w:bookmarkStart w:id="117" w:name="_Toc20823297"/>
      <w:r/>
      <w:bookmarkStart w:id="118" w:name="_Toc16938541"/>
      <w:r/>
      <w:bookmarkStart w:id="11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6"/>
      <w:r/>
      <w:bookmarkEnd w:id="117"/>
      <w:r/>
      <w:bookmarkEnd w:id="118"/>
      <w:r/>
      <w:bookmarkEnd w:id="119"/>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
    </w:p>
    <w:p>
      <w:pPr>
        <w:ind w:firstLine="560"/>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500" w:lineRule="exact"/>
        <w:rPr>
          <w:rFonts w:ascii="宋体" w:hAnsi="宋体"/>
          <w:bCs/>
          <w:sz w:val="24"/>
          <w:szCs w:val="21"/>
        </w:rPr>
      </w:pPr>
      <w:r/>
      <w:bookmarkStart w:id="123" w:name="_Toc513029227"/>
      <w:r/>
      <w:bookmarkStart w:id="124" w:name="_Toc20823299"/>
      <w:r/>
      <w:bookmarkStart w:id="125"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招标代理单位</w:t>
      </w:r>
      <w:r>
        <w:rPr>
          <w:rFonts w:hint="eastAsia" w:ascii="宋体" w:hAnsi="宋体"/>
          <w:bCs/>
          <w:sz w:val="24"/>
          <w:szCs w:val="21"/>
        </w:rPr>
        <w:t xml:space="preserve">可以按照规定，通过修改采购文件酌情延长截止时间，在此情况下，供应商的所有权利和义务以及供应商受制的截止时间以延长后新的截止时间为准。</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招标代理单位</w:t>
      </w:r>
      <w:r>
        <w:rPr>
          <w:rFonts w:hint="eastAsia" w:ascii="宋体" w:hAnsi="宋体"/>
          <w:bCs/>
          <w:sz w:val="24"/>
          <w:szCs w:val="21"/>
        </w:rPr>
        <w:t xml:space="preserve">拒绝接收在其规定的截止时间后上传的任何电子响应文件。</w:t>
      </w:r>
      <w:r/>
    </w:p>
    <w:p>
      <w:pPr>
        <w:ind w:firstLine="420"/>
        <w:rPr>
          <w:rFonts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供应商撤回电子响应文件，则认为其不再参与本项目采购活动。</w:t>
      </w:r>
      <w:r/>
    </w:p>
    <w:p>
      <w:pPr>
        <w:ind w:firstLine="480"/>
        <w:spacing w:line="48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482"/>
        <w:spacing w:before="145" w:after="145" w:line="360" w:lineRule="auto"/>
        <w:rPr>
          <w:rFonts w:ascii="Times New Roman" w:hAnsi="Times New Roman"/>
          <w:b/>
          <w:bCs/>
          <w:sz w:val="32"/>
          <w:szCs w:val="32"/>
        </w:rPr>
        <w:outlineLvl w:val="2"/>
      </w:pPr>
      <w:r/>
      <w:bookmarkStart w:id="129" w:name="_Toc513029229"/>
      <w:r/>
      <w:bookmarkStart w:id="130" w:name="_Toc16938545"/>
      <w:r/>
      <w:bookmarkStart w:id="131" w:name="_Toc20823301"/>
      <w:r/>
      <w:bookmarkStart w:id="132" w:name="_Toc120614218"/>
      <w:r>
        <w:rPr>
          <w:rFonts w:hint="eastAsia" w:ascii="Times New Roman" w:hAnsi="Times New Roman"/>
          <w:b/>
          <w:bCs/>
          <w:sz w:val="32"/>
          <w:szCs w:val="32"/>
        </w:rPr>
        <w:t xml:space="preserve">五、响应文件的解密与评审</w:t>
      </w:r>
      <w:bookmarkEnd w:id="129"/>
      <w:r/>
      <w:bookmarkEnd w:id="130"/>
      <w:r/>
      <w:bookmarkEnd w:id="131"/>
      <w:r/>
      <w:bookmarkEnd w:id="132"/>
      <w:r/>
      <w:r/>
    </w:p>
    <w:p>
      <w:pPr>
        <w:ind w:firstLine="420"/>
        <w:rPr>
          <w:rFonts w:ascii="Arial" w:hAnsi="Arial" w:eastAsia="黑体" w:cs="Arial"/>
          <w:sz w:val="28"/>
          <w:szCs w:val="28"/>
        </w:rPr>
        <w:outlineLvl w:val="3"/>
      </w:pPr>
      <w:r/>
      <w:bookmarkStart w:id="133" w:name="_Toc513029230"/>
      <w:r/>
      <w:bookmarkStart w:id="134" w:name="_Toc16938546"/>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供应商应当按照《操作手册》规定，在苏采云系统规定的时间内对响应文件进行解密。</w:t>
      </w:r>
      <w:r/>
    </w:p>
    <w:p>
      <w:pPr>
        <w:ind w:firstLine="420"/>
        <w:rPr>
          <w:rFonts w:ascii="Arial" w:hAnsi="Arial" w:eastAsia="黑体" w:cs="Arial"/>
          <w:sz w:val="28"/>
          <w:szCs w:val="28"/>
        </w:rPr>
        <w:outlineLvl w:val="3"/>
      </w:pPr>
      <w:r/>
      <w:bookmarkStart w:id="136" w:name="_Toc16938547"/>
      <w:r/>
      <w:bookmarkStart w:id="137" w:name="_Toc20823303"/>
      <w:r/>
      <w:bookmarkStart w:id="13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 23.1单一来源谈判小组（以下简称“谈判小组”）由政府采购评审专家、采购人代表组成，且人员构成符合政府采购有关规定。</w:t>
      </w:r>
      <w:r/>
    </w:p>
    <w:p>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rPr>
        <w:t xml:space="preserve">。</w:t>
      </w:r>
      <w:r/>
    </w:p>
    <w:p>
      <w:pPr>
        <w:ind w:firstLine="28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bookmarkEnd w:id="136"/>
      <w:bookmarkEnd w:id="137"/>
      <w:bookmarkEnd w:id="138"/>
      <w:r/>
    </w:p>
    <w:p>
      <w:pPr>
        <w:ind w:firstLine="480"/>
        <w:spacing w:line="500" w:lineRule="exact"/>
        <w:rPr>
          <w:rFonts w:ascii="宋体" w:hAnsi="宋体"/>
          <w:bCs/>
          <w:sz w:val="24"/>
          <w:szCs w:val="21"/>
        </w:rPr>
      </w:pPr>
      <w:r/>
      <w:bookmarkStart w:id="139" w:name="_Toc16938548"/>
      <w:r/>
      <w:bookmarkStart w:id="140" w:name="_Toc20823304"/>
      <w:r/>
      <w:bookmarkStart w:id="141" w:name="_Toc513029232"/>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sz w:val="24"/>
          <w:szCs w:val="21"/>
        </w:rPr>
        <w:t xml:space="preserve">招标代理单位</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p>
    <w:p>
      <w:pPr>
        <w:ind w:firstLine="480"/>
        <w:spacing w:line="48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rPr>
        <w:t xml:space="preserve">谈判过程中，供应商不得以任何行为影响评审及谈判过程，否则将会导致其响应文件被拒绝。</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9"/>
      <w:r/>
      <w:bookmarkEnd w:id="140"/>
      <w:r/>
      <w:bookmarkEnd w:id="141"/>
      <w:r/>
      <w:r/>
    </w:p>
    <w:p>
      <w:pPr>
        <w:ind w:firstLine="480"/>
        <w:spacing w:line="460" w:lineRule="exact"/>
        <w:rPr>
          <w:rFonts w:ascii="宋体" w:hAnsi="宋体" w:cs="宋体"/>
          <w:sz w:val="24"/>
        </w:rPr>
      </w:pPr>
      <w:r>
        <w:rPr>
          <w:rFonts w:hint="eastAsia" w:ascii="宋体" w:hAnsi="宋体" w:cs="宋体"/>
          <w:sz w:val="24"/>
        </w:rPr>
        <w:t xml:space="preserve">25.1项目评审及谈判过程中，谈判小组有权要求供应商对响应文件中含义不明确、同类问题表述不一致或者有明显文字和计算错误的内容等作出必要的澄清、说明或者更正。</w:t>
      </w:r>
      <w:r/>
    </w:p>
    <w:p>
      <w:pPr>
        <w:spacing w:line="480" w:lineRule="exact"/>
        <w:rPr>
          <w:rFonts w:ascii="宋体" w:hAnsi="宋体" w:cs="宋体"/>
          <w:sz w:val="24"/>
        </w:rPr>
      </w:pPr>
      <w:r>
        <w:rPr>
          <w:rFonts w:hint="eastAsia" w:ascii="宋体" w:hAnsi="宋体" w:cs="宋体"/>
          <w:sz w:val="24"/>
        </w:rPr>
        <w:t xml:space="preserve">    2</w:t>
      </w:r>
      <w:r>
        <w:rPr>
          <w:rFonts w:ascii="宋体" w:hAnsi="宋体" w:cs="宋体"/>
          <w:sz w:val="24"/>
        </w:rPr>
        <w:t xml:space="preserve">5</w:t>
      </w:r>
      <w:r>
        <w:rPr>
          <w:rFonts w:hint="eastAsia" w:ascii="宋体" w:hAnsi="宋体" w:cs="宋体"/>
          <w:sz w:val="24"/>
        </w:rPr>
        <w:t xml:space="preserve">.2需要供应商进行澄清、说明和更正的，谈判小组将通过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480" w:lineRule="exact"/>
        <w:rPr>
          <w:rFonts w:ascii="宋体" w:hAnsi="宋体"/>
          <w:sz w:val="24"/>
        </w:rPr>
      </w:pPr>
      <w:r>
        <w:rPr>
          <w:rFonts w:hint="eastAsia" w:ascii="宋体" w:hAnsi="宋体"/>
          <w:sz w:val="24"/>
        </w:rPr>
        <w:t xml:space="preserve">    2</w:t>
      </w:r>
      <w:r>
        <w:rPr>
          <w:rFonts w:ascii="宋体" w:hAnsi="宋体"/>
          <w:sz w:val="24"/>
        </w:rPr>
        <w:t xml:space="preserve">5</w:t>
      </w:r>
      <w:r>
        <w:rPr>
          <w:rFonts w:hint="eastAsia" w:ascii="宋体" w:hAnsi="宋体"/>
          <w:sz w:val="24"/>
        </w:rPr>
        <w:t xml:space="preserve">.3 接到谈判小组澄清、说明和更正要求的供应商如未按规定作出澄清、说明和 更正，其风险由供应商自行承担。</w:t>
      </w:r>
      <w:r/>
    </w:p>
    <w:p>
      <w:pPr>
        <w:ind w:firstLine="420"/>
        <w:rPr>
          <w:rFonts w:ascii="Arial" w:hAnsi="Arial" w:eastAsia="黑体" w:cs="Arial"/>
          <w:sz w:val="28"/>
          <w:szCs w:val="28"/>
        </w:rPr>
        <w:outlineLvl w:val="3"/>
      </w:pPr>
      <w:r/>
      <w:bookmarkStart w:id="142" w:name="_Toc20823305"/>
      <w:r/>
      <w:bookmarkStart w:id="143" w:name="_Toc16938549"/>
      <w:r/>
      <w:bookmarkStart w:id="14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ind w:firstLine="480"/>
        <w:spacing w:line="460" w:lineRule="exact"/>
        <w:rPr>
          <w:rFonts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市交易中心的权利或供应商的义务。重大偏离由谈判小组按照少数服从多数的原则认定。谈判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26.3未实质性响应采购文件的情形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ind w:firstLine="480"/>
        <w:spacing w:line="460" w:lineRule="exact"/>
        <w:rPr>
          <w:rFonts w:ascii="宋体" w:hAnsi="宋体"/>
          <w:sz w:val="24"/>
          <w:szCs w:val="21"/>
        </w:rPr>
      </w:pPr>
      <w:r/>
      <w:bookmarkStart w:id="145" w:name="_Toc20823306"/>
      <w:r/>
      <w:bookmarkStart w:id="146" w:name="_Toc16938550"/>
      <w:r/>
      <w:bookmarkStart w:id="147"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.6供应商在项目评审及谈判全过程中应保持通讯畅通，并安排专人与招标代理单位及谈判小组联系。</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单一来源谈判及成交原则</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rPr>
        <w:t xml:space="preserve">苏采云系统</w:t>
      </w:r>
      <w:r>
        <w:rPr>
          <w:rFonts w:hint="eastAsia" w:ascii="宋体" w:hAnsi="宋体"/>
          <w:bCs/>
          <w:sz w:val="24"/>
          <w:szCs w:val="21"/>
        </w:rPr>
        <w:t xml:space="preserve">与其就采购标的的价格、服务等内容进行单一来源谈判。</w:t>
      </w:r>
      <w:r/>
    </w:p>
    <w:p>
      <w:pPr>
        <w:ind w:firstLine="478"/>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p>
    <w:p>
      <w:pPr>
        <w:ind w:firstLine="360"/>
        <w:spacing w:line="440" w:lineRule="exact"/>
        <w:rPr>
          <w:rFonts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40" w:lineRule="exact"/>
        <w:rPr>
          <w:rFonts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ind w:firstLine="480"/>
        <w:spacing w:line="440" w:lineRule="exact"/>
        <w:rPr>
          <w:rFonts w:ascii="宋体" w:hAnsi="宋体"/>
          <w:bCs/>
          <w:sz w:val="24"/>
          <w:szCs w:val="21"/>
        </w:rPr>
      </w:pPr>
      <w:r>
        <w:rPr>
          <w:rFonts w:hint="eastAsia" w:ascii="宋体" w:hAnsi="宋体"/>
          <w:bCs/>
          <w:sz w:val="24"/>
          <w:szCs w:val="21"/>
        </w:rPr>
        <w:t xml:space="preserve">出现下列情形之一的，招标代理单位将终止采购活动，发布项目终止公告并说明原因，重新开展采购活动：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供应商最后报价超过采购预算（最高限价）的；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rPr>
        <w:t xml:space="preserve">法律、法规、规章规定的其他应当终止的情形。</w:t>
      </w:r>
      <w:r/>
    </w:p>
    <w:p>
      <w:pPr>
        <w:ind w:firstLine="482"/>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p>
    <w:p>
      <w:pPr>
        <w:ind w:firstLine="480"/>
        <w:spacing w:line="440" w:lineRule="exact"/>
        <w:rPr>
          <w:rFonts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w:t>
      </w:r>
      <w:r>
        <w:rPr>
          <w:rFonts w:hint="eastAsia" w:ascii="宋体" w:hAnsi="宋体"/>
          <w:sz w:val="24"/>
          <w:szCs w:val="21"/>
        </w:rPr>
        <w:t xml:space="preserve">招标代理单位</w:t>
      </w:r>
      <w:r>
        <w:rPr>
          <w:rFonts w:hint="eastAsia" w:ascii="宋体" w:hAnsi="宋体"/>
          <w:bCs/>
          <w:sz w:val="24"/>
          <w:szCs w:val="21"/>
        </w:rPr>
        <w:t xml:space="preserve">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w:t>
      </w:r>
      <w:r>
        <w:rPr>
          <w:rFonts w:hint="eastAsia" w:ascii="宋体" w:hAnsi="宋体"/>
          <w:sz w:val="24"/>
          <w:szCs w:val="21"/>
        </w:rPr>
        <w:t xml:space="preserve">招标代理单位</w:t>
      </w:r>
      <w:r>
        <w:rPr>
          <w:rFonts w:hint="eastAsia" w:ascii="宋体" w:hAnsi="宋体"/>
          <w:bCs/>
          <w:sz w:val="24"/>
          <w:szCs w:val="21"/>
        </w:rPr>
        <w:t xml:space="preserve">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40" w:lineRule="exact"/>
        <w:rPr>
          <w:rFonts w:ascii="宋体" w:hAnsi="宋体"/>
          <w:bCs/>
          <w:sz w:val="24"/>
          <w:szCs w:val="21"/>
        </w:rPr>
      </w:pPr>
      <w:r>
        <w:rPr>
          <w:rFonts w:hint="eastAsia" w:ascii="宋体" w:hAnsi="宋体"/>
          <w:bCs/>
          <w:sz w:val="24"/>
          <w:szCs w:val="21"/>
        </w:rPr>
        <w:t xml:space="preserve">成交供应商被取消成交资格后，</w:t>
      </w:r>
      <w:r>
        <w:rPr>
          <w:rFonts w:hint="eastAsia" w:ascii="宋体" w:hAnsi="宋体"/>
          <w:sz w:val="24"/>
          <w:szCs w:val="21"/>
        </w:rPr>
        <w:t xml:space="preserve">招标代理单位</w:t>
      </w:r>
      <w:r>
        <w:rPr>
          <w:rFonts w:hint="eastAsia" w:ascii="宋体" w:hAnsi="宋体"/>
          <w:bCs/>
          <w:sz w:val="24"/>
          <w:szCs w:val="21"/>
        </w:rPr>
        <w:t xml:space="preserve">有权重新组织采购。</w:t>
      </w:r>
      <w:r/>
    </w:p>
    <w:p>
      <w:pPr>
        <w:ind w:firstLine="600"/>
        <w:rPr>
          <w:rFonts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
    </w:p>
    <w:p>
      <w:pPr>
        <w:ind w:firstLine="480"/>
        <w:spacing w:line="480" w:lineRule="exact"/>
        <w:rPr>
          <w:rFonts w:ascii="宋体" w:hAnsi="宋体"/>
          <w:sz w:val="24"/>
        </w:rPr>
      </w:pPr>
      <w:r>
        <w:rPr>
          <w:rFonts w:hint="eastAsia" w:ascii="宋体" w:hAnsi="宋体"/>
          <w:sz w:val="24"/>
        </w:rPr>
        <w:t xml:space="preserve">29.1供应商认为采购过程和采购结果使自己的权益受到损害的，可以从采购结果公布之日起七个工作日内，以书面形式向</w:t>
      </w:r>
      <w:r>
        <w:rPr>
          <w:rFonts w:hint="eastAsia" w:ascii="宋体" w:hAnsi="宋体"/>
          <w:sz w:val="24"/>
          <w:szCs w:val="21"/>
        </w:rPr>
        <w:t xml:space="preserve">招标代理单位</w:t>
      </w:r>
      <w:r>
        <w:rPr>
          <w:rFonts w:hint="eastAsia" w:ascii="宋体" w:hAnsi="宋体"/>
          <w:sz w:val="24"/>
        </w:rPr>
        <w:t xml:space="preserve">提出质疑。</w:t>
      </w:r>
      <w:r/>
    </w:p>
    <w:p>
      <w:pPr>
        <w:ind w:firstLine="480"/>
        <w:spacing w:line="480" w:lineRule="exact"/>
        <w:rPr>
          <w:rFonts w:ascii="Times New Roman" w:hAnsi="宋体" w:cs="宋体"/>
          <w:sz w:val="24"/>
        </w:rPr>
      </w:pPr>
      <w:r>
        <w:rPr>
          <w:rFonts w:ascii="宋体" w:hAnsi="宋体"/>
          <w:sz w:val="24"/>
        </w:rPr>
        <w:t xml:space="preserve">29</w:t>
      </w:r>
      <w:r>
        <w:rPr>
          <w:rFonts w:hint="eastAsia" w:ascii="宋体" w:hAnsi="宋体"/>
          <w:sz w:val="24"/>
        </w:rPr>
        <w:t xml:space="preserve">.2</w:t>
      </w:r>
      <w:r>
        <w:rPr>
          <w:rFonts w:hint="eastAsia" w:ascii="Times New Roman" w:hAnsi="宋体" w:cs="宋体"/>
          <w:sz w:val="24"/>
        </w:rPr>
        <w:t xml:space="preserve"> 供应商应当在法定质疑期内一次性提出针对同一采购程序环节的质疑。供应商如在法定期限内对同一采购程序环节提出多次质疑的，</w:t>
      </w:r>
      <w:r>
        <w:rPr>
          <w:rFonts w:hint="eastAsia" w:ascii="宋体" w:hAnsi="宋体"/>
          <w:sz w:val="24"/>
          <w:szCs w:val="21"/>
        </w:rPr>
        <w:t xml:space="preserve">招标代理单位</w:t>
      </w:r>
      <w:r>
        <w:rPr>
          <w:rFonts w:hint="eastAsia" w:ascii="Times New Roman" w:hAnsi="宋体" w:cs="宋体"/>
          <w:sz w:val="24"/>
        </w:rPr>
        <w:t xml:space="preserve">、</w:t>
      </w:r>
      <w:r>
        <w:rPr>
          <w:rFonts w:ascii="Times New Roman" w:hAnsi="宋体" w:cs="宋体"/>
          <w:sz w:val="24"/>
        </w:rPr>
        <w:t xml:space="preserve">采购人</w:t>
      </w:r>
      <w:r>
        <w:rPr>
          <w:rFonts w:hint="eastAsia" w:ascii="Times New Roman" w:hAnsi="宋体" w:cs="宋体"/>
          <w:sz w:val="24"/>
        </w:rPr>
        <w:t xml:space="preserve">将只对供应商第一次质疑作出答复。</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.4 </w:t>
      </w:r>
      <w:r>
        <w:rPr>
          <w:rFonts w:hint="eastAsia" w:ascii="宋体" w:hAnsi="宋体"/>
          <w:sz w:val="24"/>
          <w:szCs w:val="21"/>
        </w:rPr>
        <w:t xml:space="preserve">招标代理单位</w:t>
      </w:r>
      <w:r>
        <w:rPr>
          <w:rFonts w:hint="eastAsia" w:ascii="宋体" w:hAnsi="宋体"/>
          <w:sz w:val="24"/>
        </w:rPr>
        <w:t xml:space="preserve">只接收以纸质原件形式送达的质疑,建议供应商尽量通过邮寄方式提交质疑.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.5.4未参加单一来源采购活动的供应商所提出的质疑。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.5.5供应商组成联合体参加谈判，联合体中任何一方或多方未按要求签字、盖章、加盖公章的质疑。</w:t>
      </w:r>
      <w:r/>
    </w:p>
    <w:p>
      <w:pPr>
        <w:ind w:firstLine="468"/>
        <w:spacing w:line="48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招标代理单位</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szCs w:val="21"/>
        </w:rPr>
        <w:t xml:space="preserve">招标代理单位</w:t>
      </w:r>
      <w:r>
        <w:rPr>
          <w:rFonts w:hint="eastAsia" w:ascii="宋体" w:hAnsi="宋体"/>
          <w:sz w:val="24"/>
        </w:rPr>
        <w:t xml:space="preserve">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ind w:firstLine="600"/>
        <w:spacing w:line="48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before="145" w:after="145" w:line="360" w:lineRule="auto"/>
        <w:rPr>
          <w:rFonts w:ascii="Times New Roman" w:hAnsi="Times New Roman"/>
          <w:b/>
          <w:bCs/>
          <w:sz w:val="32"/>
          <w:szCs w:val="32"/>
        </w:rPr>
        <w:outlineLvl w:val="2"/>
      </w:pPr>
      <w:r/>
      <w:bookmarkStart w:id="149" w:name="_Toc120614220"/>
      <w:r/>
      <w:bookmarkStart w:id="150" w:name="_Toc20823308"/>
      <w:r/>
      <w:bookmarkStart w:id="151" w:name="_Toc513029236"/>
      <w:r/>
      <w:bookmarkStart w:id="152" w:name="_Toc16938552"/>
      <w:r>
        <w:rPr>
          <w:rFonts w:hint="eastAsia" w:ascii="Times New Roman" w:hAnsi="Times New Roman"/>
          <w:b/>
          <w:bCs/>
          <w:sz w:val="32"/>
          <w:szCs w:val="32"/>
        </w:rPr>
        <w:t xml:space="preserve">七、授予合同</w:t>
      </w:r>
      <w:bookmarkEnd w:id="149"/>
      <w:r/>
      <w:bookmarkEnd w:id="150"/>
      <w:bookmarkEnd w:id="151"/>
      <w:bookmarkEnd w:id="152"/>
      <w:r/>
    </w:p>
    <w:p>
      <w:pPr>
        <w:ind w:firstLine="600"/>
        <w:rPr>
          <w:rFonts w:ascii="黑体" w:hAnsi="宋体" w:eastAsia="黑体"/>
          <w:bCs/>
          <w:sz w:val="30"/>
          <w:szCs w:val="30"/>
        </w:rPr>
        <w:outlineLvl w:val="3"/>
      </w:pPr>
      <w:r/>
      <w:bookmarkStart w:id="153" w:name="_Toc513029237"/>
      <w:r/>
      <w:bookmarkStart w:id="154" w:name="_Toc20823309"/>
      <w:r/>
      <w:bookmarkStart w:id="15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.l成交供应商应当在成交通知书发出之日起三十日内，按照采购文件确定的事项与采购人签订政府采购合同。</w:t>
      </w:r>
      <w:r/>
    </w:p>
    <w:p>
      <w:pPr>
        <w:ind w:firstLine="600"/>
        <w:spacing w:line="48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.2采购文件、成交供应商的响应文件及谈判过程中有关澄清、承诺文件均应作为合同附件。</w:t>
      </w:r>
      <w:r/>
    </w:p>
    <w:p>
      <w:pPr>
        <w:ind w:firstLine="600"/>
        <w:spacing w:line="48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ind w:firstLine="600"/>
        <w:spacing w:line="480" w:lineRule="exact"/>
        <w:rPr>
          <w:rFonts w:ascii="黑体" w:hAnsi="宋体" w:eastAsia="黑体"/>
          <w:bCs/>
          <w:sz w:val="30"/>
          <w:szCs w:val="30"/>
        </w:rPr>
      </w:pPr>
      <w:r>
        <w:rPr>
          <w:rFonts w:hint="eastAsia" w:ascii="黑体" w:hAnsi="宋体" w:eastAsia="黑体"/>
          <w:bCs/>
          <w:sz w:val="30"/>
          <w:szCs w:val="30"/>
        </w:rPr>
        <w:t xml:space="preserve">32、履约保证金</w:t>
      </w:r>
      <w:r/>
    </w:p>
    <w:p>
      <w:pPr>
        <w:ind w:firstLine="600"/>
        <w:spacing w:line="480" w:lineRule="exact"/>
        <w:rPr>
          <w:rFonts w:ascii="宋体" w:hAnsi="宋体"/>
          <w:sz w:val="24"/>
        </w:rPr>
      </w:pPr>
      <w:r>
        <w:rPr>
          <w:rFonts w:hint="eastAsia" w:ascii="宋体" w:hAnsi="宋体"/>
          <w:sz w:val="24"/>
        </w:rPr>
        <w:t xml:space="preserve">本项目不收取履约保证金。</w:t>
      </w:r>
      <w:r/>
    </w:p>
    <w:p>
      <w:pPr>
        <w:ind w:firstLine="600"/>
        <w:rPr>
          <w:rFonts w:ascii="黑体" w:hAnsi="宋体" w:eastAsia="黑体"/>
          <w:bCs/>
          <w:sz w:val="30"/>
          <w:szCs w:val="30"/>
        </w:rPr>
        <w:outlineLvl w:val="3"/>
      </w:pPr>
      <w:r>
        <w:rPr>
          <w:rFonts w:hint="eastAsia" w:ascii="黑体" w:hAnsi="宋体" w:eastAsia="黑体"/>
          <w:bCs/>
          <w:sz w:val="30"/>
          <w:szCs w:val="30"/>
        </w:rPr>
        <w:t xml:space="preserve">33、标的物的追加</w:t>
      </w:r>
      <w:r/>
    </w:p>
    <w:p>
      <w:pPr>
        <w:ind w:firstLine="480"/>
        <w:spacing w:line="480" w:lineRule="exact"/>
        <w:rPr>
          <w:rFonts w:ascii="宋体" w:hAnsi="宋体"/>
          <w:sz w:val="24"/>
        </w:rPr>
      </w:pPr>
      <w:r>
        <w:rPr>
          <w:rFonts w:hint="eastAsia" w:ascii="宋体" w:hAnsi="宋体"/>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53"/>
      <w:bookmarkEnd w:id="154"/>
      <w:bookmarkEnd w:id="155"/>
      <w:r/>
    </w:p>
    <w:p>
      <w:pPr>
        <w:ind w:firstLine="600"/>
        <w:rPr>
          <w:rFonts w:ascii="黑体" w:hAnsi="宋体" w:eastAsia="黑体"/>
          <w:bCs/>
          <w:sz w:val="30"/>
          <w:szCs w:val="30"/>
        </w:rPr>
        <w:outlineLvl w:val="3"/>
      </w:pPr>
      <w:r/>
      <w:bookmarkStart w:id="156" w:name="_Toc513029242"/>
      <w:r/>
      <w:bookmarkStart w:id="157" w:name="_Toc20823314"/>
      <w:r/>
      <w:bookmarkStart w:id="158" w:name="_Toc479757207"/>
      <w:r/>
      <w:bookmarkStart w:id="159" w:name="_Toc16938558"/>
      <w:r/>
      <w:bookmarkStart w:id="160" w:name="_Toc120614221"/>
      <w:r>
        <w:rPr>
          <w:rFonts w:hint="eastAsia" w:ascii="黑体" w:hAnsi="宋体" w:eastAsia="黑体"/>
          <w:bCs/>
          <w:sz w:val="30"/>
          <w:szCs w:val="30"/>
        </w:rPr>
        <w:t xml:space="preserve">34、政府采购履约资金扶持政策</w:t>
      </w:r>
      <w:r/>
    </w:p>
    <w:p>
      <w:pPr>
        <w:ind w:firstLine="556"/>
        <w:spacing w:line="480" w:lineRule="exact"/>
        <w:rPr>
          <w:rFonts w:ascii="宋体" w:hAnsi="宋体"/>
          <w:sz w:val="24"/>
        </w:rPr>
      </w:pPr>
      <w:r>
        <w:rPr>
          <w:rFonts w:hint="eastAsia" w:ascii="宋体" w:hAnsi="宋体"/>
          <w:sz w:val="24"/>
        </w:rPr>
        <w:t xml:space="preserve">34.1成交供应商可凭政府采购合同办理融资贷款，详情请见江苏政府采购网“政采贷”专栏。</w:t>
      </w:r>
      <w:r/>
    </w:p>
    <w:p>
      <w:pPr>
        <w:ind w:firstLine="556"/>
        <w:spacing w:line="480" w:lineRule="exact"/>
        <w:rPr>
          <w:rFonts w:ascii="宋体" w:hAnsi="宋体"/>
          <w:sz w:val="24"/>
        </w:rPr>
      </w:pPr>
      <w:r>
        <w:rPr>
          <w:rFonts w:ascii="宋体" w:hAnsi="宋体"/>
          <w:sz w:val="24"/>
        </w:rPr>
        <w:t xml:space="preserve">3</w:t>
      </w:r>
      <w:r>
        <w:rPr>
          <w:rFonts w:hint="eastAsia" w:ascii="宋体" w:hAnsi="宋体"/>
          <w:sz w:val="24"/>
        </w:rPr>
        <w:t xml:space="preserve">4</w:t>
      </w:r>
      <w:r>
        <w:rPr>
          <w:rFonts w:ascii="宋体" w:hAnsi="宋体"/>
          <w:sz w:val="24"/>
        </w:rPr>
        <w:t xml:space="preserve">.2</w:t>
      </w:r>
      <w:r>
        <w:rPr>
          <w:rFonts w:hint="eastAsia" w:ascii="宋体" w:hAnsi="宋体"/>
          <w:sz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600"/>
        <w:spacing w:line="480" w:lineRule="exact"/>
        <w:rPr>
          <w:rFonts w:ascii="黑体" w:hAnsi="宋体" w:eastAsia="黑体"/>
          <w:bCs/>
          <w:sz w:val="30"/>
          <w:szCs w:val="30"/>
        </w:rPr>
      </w:pPr>
      <w:r>
        <w:rPr>
          <w:rFonts w:hint="eastAsia" w:ascii="黑体" w:hAnsi="宋体" w:eastAsia="黑体"/>
          <w:bCs/>
          <w:sz w:val="30"/>
          <w:szCs w:val="30"/>
        </w:rPr>
        <w:t xml:space="preserve">35、其他事项说明：</w:t>
      </w:r>
      <w:r/>
    </w:p>
    <w:p>
      <w:pPr>
        <w:ind w:firstLine="480"/>
        <w:spacing w:line="480" w:lineRule="exact"/>
        <w:rPr>
          <w:rFonts w:ascii="宋体" w:hAnsi="宋体"/>
          <w:sz w:val="24"/>
        </w:rPr>
      </w:pPr>
      <w:r>
        <w:rPr>
          <w:rFonts w:hint="eastAsia" w:ascii="宋体" w:hAnsi="宋体"/>
          <w:sz w:val="24"/>
        </w:rPr>
        <w:t xml:space="preserve">采购项目需要落实的政府采购相关法律法规及政策：</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.1《中华人民共和国政府采购法》</w:t>
      </w:r>
      <w:r/>
    </w:p>
    <w:p>
      <w:pPr>
        <w:ind w:firstLine="480"/>
        <w:spacing w:line="480" w:lineRule="exact"/>
        <w:rPr>
          <w:rFonts w:ascii="宋体" w:hAnsi="宋体"/>
          <w:sz w:val="24"/>
        </w:rPr>
      </w:pPr>
      <w:r/>
      <w:bookmarkStart w:id="161" w:name="OLE_LINK1"/>
      <w:r/>
      <w:bookmarkStart w:id="162" w:name="OLE_LINK2"/>
      <w:r>
        <w:rPr>
          <w:rFonts w:ascii="宋体" w:hAnsi="宋体"/>
          <w:sz w:val="24"/>
        </w:rPr>
        <w:t xml:space="preserve">35</w:t>
      </w:r>
      <w:bookmarkEnd w:id="161"/>
      <w:r/>
      <w:bookmarkEnd w:id="162"/>
      <w:r>
        <w:rPr>
          <w:rFonts w:hint="eastAsia" w:ascii="宋体" w:hAnsi="宋体"/>
          <w:sz w:val="24"/>
        </w:rPr>
        <w:t xml:space="preserve">.2《中华人民共和国政府采购法实施条例》</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.3《政府采购竞争性磋商采购方式管理办法》</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.4政府采购促进中小企业发展办法的通知——财库〔2020〕46号 </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.5财政部司法部关于政府采购支持监狱企业发展有关问题的通知——财库〔2014〕68号 </w:t>
      </w:r>
      <w:r/>
    </w:p>
    <w:p>
      <w:pPr>
        <w:spacing w:line="480" w:lineRule="exact"/>
        <w:rPr>
          <w:rFonts w:ascii="宋体" w:hAnsi="宋体"/>
          <w:sz w:val="24"/>
        </w:rPr>
      </w:pPr>
      <w:r>
        <w:rPr>
          <w:rFonts w:hint="eastAsia" w:ascii="宋体" w:hAnsi="宋体"/>
          <w:sz w:val="24"/>
        </w:rPr>
        <w:t xml:space="preserve">监狱、戒毒企业视同小微企业，享受政府采购相关政策；监狱和戒毒企业须提供由省级以上监狱管理局、戒毒管理局（含新疆生产建设兵团）出具的属于监狱企业的证明文件。</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.6《关于促进残疾人就业政府采购政策的通知》（财库〔2017〕141号） </w:t>
      </w:r>
      <w:r/>
    </w:p>
    <w:p>
      <w:pPr>
        <w:spacing w:line="480" w:lineRule="exact"/>
        <w:rPr>
          <w:rFonts w:ascii="宋体" w:hAnsi="宋体"/>
          <w:sz w:val="24"/>
        </w:rPr>
      </w:pPr>
      <w:r>
        <w:rPr>
          <w:rFonts w:hint="eastAsia" w:ascii="宋体" w:hAnsi="宋体"/>
          <w:sz w:val="24"/>
        </w:rPr>
        <w:t xml:space="preserve">根据《财政部 民政部 中国残疾人联合会关于促进残疾人就业政府采购政策的通知》，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.7《江苏省财政厅关于进一步加大政府采购支持中小企业力度的通知》苏财购〔2022〕45号</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.8根据《江苏省财政厅关于加强政府绿色采购有关事项的通知》（苏财购〔2023〕65号）文件精神，严格落实政府绿色采购的各项要求。</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9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480" w:lineRule="exact"/>
        <w:rPr>
          <w:rFonts w:ascii="宋体" w:hAnsi="宋体"/>
          <w:sz w:val="24"/>
        </w:rPr>
      </w:pPr>
      <w:r>
        <w:rPr>
          <w:rFonts w:hint="eastAsia" w:ascii="宋体" w:hAnsi="宋体"/>
          <w:sz w:val="24"/>
        </w:rPr>
        <w:t xml:space="preserve">（1）提供的产品属于信息安全产品的，供应商应当选择经国家认证的信息安全产品投标，并提供由中国信息安全认证中心按国家标准认证颁发的有效认证证书复印件。</w:t>
      </w:r>
      <w:r/>
    </w:p>
    <w:p>
      <w:pPr>
        <w:ind w:firstLine="480"/>
        <w:spacing w:line="480" w:lineRule="exact"/>
        <w:rPr>
          <w:rFonts w:ascii="宋体" w:hAnsi="宋体"/>
          <w:sz w:val="24"/>
        </w:rPr>
      </w:pPr>
      <w:r>
        <w:rPr>
          <w:rFonts w:hint="eastAsia" w:ascii="宋体" w:hAnsi="宋体"/>
          <w:sz w:val="24"/>
        </w:rPr>
        <w:t xml:space="preserve">（2）提供的产品属于政府强制采购节能产品的，供应商应当选择依据国家标准中二级能效指标认证的节能产品投标，并提供有效的节能产品认证证书复印件。</w:t>
      </w:r>
      <w:r/>
    </w:p>
    <w:p>
      <w:pPr>
        <w:ind w:firstLine="480"/>
        <w:spacing w:line="480" w:lineRule="exact"/>
        <w:rPr>
          <w:rFonts w:ascii="宋体" w:hAnsi="宋体"/>
          <w:sz w:val="24"/>
        </w:rPr>
      </w:pPr>
      <w:r>
        <w:rPr>
          <w:rFonts w:hint="eastAsia" w:ascii="宋体" w:hAnsi="宋体"/>
          <w:sz w:val="24"/>
        </w:rPr>
        <w:t xml:space="preserve">（3）提供的产品属于环境标志产品的，供应商应当选择依据相关标准的最新版本认证的环境标志产品投标，并提供有效的环境标志产品认证证书复印件。</w:t>
      </w:r>
      <w:r/>
    </w:p>
    <w:p>
      <w:pPr>
        <w:ind w:firstLine="480"/>
        <w:spacing w:line="480" w:lineRule="exact"/>
        <w:rPr>
          <w:rFonts w:ascii="宋体" w:hAnsi="宋体"/>
          <w:sz w:val="24"/>
        </w:rPr>
      </w:pPr>
      <w:r>
        <w:rPr>
          <w:rFonts w:ascii="宋体" w:hAnsi="宋体"/>
          <w:sz w:val="24"/>
        </w:rPr>
        <w:t xml:space="preserve">35</w:t>
      </w:r>
      <w:r>
        <w:rPr>
          <w:rFonts w:hint="eastAsia" w:ascii="宋体" w:hAnsi="宋体"/>
          <w:sz w:val="24"/>
        </w:rPr>
        <w:t xml:space="preserve">.10绿色包装规定 </w:t>
      </w:r>
      <w:r/>
    </w:p>
    <w:p>
      <w:pPr>
        <w:ind w:firstLine="480"/>
        <w:spacing w:line="480" w:lineRule="exact"/>
        <w:rPr>
          <w:rFonts w:ascii="宋体" w:hAnsi="宋体"/>
          <w:sz w:val="24"/>
        </w:rPr>
      </w:pPr>
      <w:r>
        <w:rPr>
          <w:rFonts w:hint="eastAsia" w:ascii="宋体" w:hAnsi="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62"/>
      </w:pPr>
      <w:r/>
      <w:r/>
    </w:p>
    <w:p>
      <w:pPr>
        <w:pStyle w:val="662"/>
      </w:pPr>
      <w:r/>
      <w:r/>
    </w:p>
    <w:p>
      <w:pPr>
        <w:pStyle w:val="662"/>
      </w:pPr>
      <w:r/>
      <w:r/>
    </w:p>
    <w:p>
      <w:pPr>
        <w:pStyle w:val="662"/>
      </w:pPr>
      <w:r/>
      <w:r/>
    </w:p>
    <w:p>
      <w:pPr>
        <w:pStyle w:val="662"/>
      </w:pPr>
      <w:r/>
      <w:r/>
    </w:p>
    <w:p>
      <w:pPr>
        <w:ind w:right="105"/>
        <w:jc w:val="center"/>
        <w:spacing w:line="360" w:lineRule="auto"/>
        <w:rPr>
          <w:rFonts w:ascii="黑体" w:hAnsi="黑体" w:eastAsia="黑体" w:cs="黑体"/>
          <w:color w:val="000000"/>
          <w:sz w:val="44"/>
          <w:szCs w:val="44"/>
        </w:rPr>
      </w:pPr>
      <w:r>
        <w:rPr>
          <w:rFonts w:hint="eastAsia" w:ascii="黑体" w:hAnsi="黑体" w:eastAsia="黑体" w:cs="黑体"/>
          <w:bCs/>
          <w:sz w:val="44"/>
          <w:szCs w:val="44"/>
        </w:rPr>
        <w:t xml:space="preserve">第三章  </w:t>
      </w:r>
      <w:bookmarkEnd w:id="156"/>
      <w:r/>
      <w:bookmarkEnd w:id="157"/>
      <w:r/>
      <w:bookmarkEnd w:id="158"/>
      <w:r/>
      <w:bookmarkEnd w:id="159"/>
      <w:r/>
      <w:bookmarkEnd w:id="160"/>
      <w:r/>
      <w:bookmarkStart w:id="163" w:name="_Toc16938590"/>
      <w:r/>
      <w:bookmarkStart w:id="164" w:name="_Hlt16619350"/>
      <w:r/>
      <w:bookmarkStart w:id="165" w:name="_Toc120614244"/>
      <w:r/>
      <w:bookmarkStart w:id="166" w:name="_Toc20823346"/>
      <w:r>
        <w:rPr>
          <w:rFonts w:hint="eastAsia" w:ascii="黑体" w:hAnsi="黑体" w:eastAsia="黑体" w:cs="黑体"/>
          <w:color w:val="000000"/>
          <w:sz w:val="44"/>
          <w:szCs w:val="44"/>
        </w:rPr>
        <w:t xml:space="preserve"> 合  同（仅供参考）</w:t>
      </w:r>
      <w:r/>
    </w:p>
    <w:p>
      <w:pPr>
        <w:ind w:firstLine="480"/>
        <w:spacing w:line="360" w:lineRule="auto"/>
        <w:rPr>
          <w:rFonts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项目名称：                         </w:t>
      </w:r>
      <w:r/>
    </w:p>
    <w:p>
      <w:pPr>
        <w:ind w:firstLine="480"/>
        <w:spacing w:line="360" w:lineRule="auto"/>
        <w:rPr>
          <w:rFonts w:ascii="宋体" w:hAnsi="宋体" w:cs="宋体"/>
          <w:sz w:val="24"/>
        </w:rPr>
      </w:pPr>
      <w:r>
        <w:rPr>
          <w:rFonts w:hint="eastAsia" w:ascii="宋体" w:hAnsi="宋体" w:cs="宋体"/>
          <w:sz w:val="24"/>
        </w:rPr>
        <w:t xml:space="preserve">采购人：                     （以下简称甲方）</w:t>
      </w:r>
      <w:r/>
    </w:p>
    <w:p>
      <w:pPr>
        <w:ind w:firstLine="480"/>
        <w:spacing w:line="360" w:lineRule="auto"/>
        <w:rPr>
          <w:rFonts w:ascii="宋体" w:hAnsi="宋体" w:cs="宋体"/>
          <w:sz w:val="24"/>
        </w:rPr>
      </w:pPr>
      <w:r>
        <w:rPr>
          <w:rFonts w:hint="eastAsia" w:ascii="宋体" w:hAnsi="宋体" w:cs="宋体"/>
          <w:sz w:val="24"/>
        </w:rPr>
        <w:t xml:space="preserve">供应商：                     （以下简称乙方）</w:t>
      </w:r>
      <w:r/>
    </w:p>
    <w:p>
      <w:pPr>
        <w:ind w:firstLine="480"/>
        <w:spacing w:line="360" w:lineRule="auto"/>
        <w:rPr>
          <w:rFonts w:ascii="宋体" w:hAnsi="宋体" w:cs="宋体"/>
          <w:sz w:val="24"/>
        </w:rPr>
      </w:pPr>
      <w:r>
        <w:rPr>
          <w:rFonts w:hint="eastAsia" w:ascii="宋体" w:hAnsi="宋体" w:cs="宋体"/>
          <w:sz w:val="24"/>
        </w:rPr>
        <w:t xml:space="preserve">根据《中华人民共和国政府采购法》、《中华人民共和国民法典》等法律法规的规定，甲乙双方按照</w:t>
      </w:r>
      <w:r>
        <w:rPr>
          <w:rFonts w:hint="eastAsia" w:ascii="宋体" w:hAnsi="宋体" w:cs="宋体"/>
          <w:sz w:val="24"/>
          <w:lang w:eastAsia="zh-CN"/>
        </w:rPr>
        <w:t xml:space="preserve">泰州市兴和造价工程师事务所有限公司</w:t>
      </w:r>
      <w:r>
        <w:rPr>
          <w:rFonts w:hint="eastAsia" w:ascii="宋体" w:hAnsi="宋体" w:cs="宋体"/>
          <w:sz w:val="24"/>
        </w:rPr>
        <w:t xml:space="preserve">的招标结果签订本合同。</w:t>
      </w:r>
      <w:r/>
    </w:p>
    <w:p>
      <w:pPr>
        <w:ind w:firstLine="480"/>
        <w:spacing w:line="360" w:lineRule="auto"/>
        <w:rPr>
          <w:rFonts w:ascii="宋体" w:hAnsi="宋体" w:cs="宋体"/>
          <w:sz w:val="24"/>
        </w:rPr>
      </w:pPr>
      <w:r>
        <w:rPr>
          <w:rFonts w:hint="eastAsia" w:ascii="宋体" w:hAnsi="宋体" w:cs="宋体"/>
          <w:sz w:val="24"/>
        </w:rPr>
        <w:t xml:space="preserve">第一条 采购内容</w:t>
      </w:r>
      <w:r/>
    </w:p>
    <w:p>
      <w:pPr>
        <w:ind w:firstLine="480"/>
        <w:spacing w:line="360" w:lineRule="auto"/>
        <w:rPr>
          <w:rFonts w:ascii="宋体" w:hAnsi="宋体" w:cs="宋体"/>
          <w:sz w:val="24"/>
        </w:rPr>
      </w:pPr>
      <w:r>
        <w:rPr>
          <w:rFonts w:hint="eastAsia" w:ascii="宋体" w:hAnsi="宋体" w:cs="宋体"/>
          <w:sz w:val="24"/>
        </w:rPr>
        <w:t xml:space="preserve">1．服务名称：</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rPr>
        <w:t xml:space="preserve">2．服务内容及要求：</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第二条 合同金额</w:t>
      </w:r>
      <w:r/>
    </w:p>
    <w:p>
      <w:pPr>
        <w:ind w:firstLine="480"/>
        <w:spacing w:line="360" w:lineRule="auto"/>
        <w:rPr>
          <w:rFonts w:ascii="宋体" w:hAnsi="宋体" w:cs="宋体"/>
          <w:strike/>
          <w:sz w:val="24"/>
          <w:highlight w:val="none"/>
        </w:rPr>
      </w:pPr>
      <w:r>
        <w:rPr>
          <w:rFonts w:hint="eastAsia" w:ascii="宋体" w:hAnsi="宋体" w:cs="宋体"/>
          <w:sz w:val="24"/>
          <w:highlight w:val="none"/>
        </w:rPr>
        <w:t xml:space="preserve">本合同项下服务总价款为（大写）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     　 　 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总价款为完成本服务项目发生的所有含税费用，包括但不限于车旅费、投资控制及后续配合、实施、材料、设备、安装、调试、维修、对使用单位的培训、竣工资料整理、有关部门的检测、检验、整改、验收、保险、利润、税金及政策性文件规定的各项应有费用以及办理其他相关手续所产生的费用；投标人对上述费用有漏报、漏算或不报的，采购人将视为有关费用已包括在本项目的其他报价中而不予支付。</w:t>
      </w:r>
      <w:r/>
    </w:p>
    <w:p>
      <w:pPr>
        <w:ind w:firstLine="480"/>
        <w:spacing w:line="360" w:lineRule="auto"/>
        <w:rPr>
          <w:rFonts w:ascii="宋体" w:hAnsi="宋体" w:cs="宋体"/>
          <w:sz w:val="24"/>
        </w:rPr>
      </w:pPr>
      <w:r>
        <w:rPr>
          <w:rFonts w:hint="eastAsia" w:ascii="宋体" w:hAnsi="宋体" w:cs="宋体"/>
          <w:sz w:val="24"/>
        </w:rPr>
        <w:t xml:space="preserve">2.本合同执行期间总价款不变。</w:t>
      </w:r>
      <w:r/>
    </w:p>
    <w:p>
      <w:pPr>
        <w:ind w:firstLine="480"/>
        <w:spacing w:line="360" w:lineRule="auto"/>
        <w:rPr>
          <w:rFonts w:ascii="宋体" w:hAnsi="宋体" w:cs="宋体"/>
          <w:sz w:val="24"/>
        </w:rPr>
      </w:pPr>
      <w:r>
        <w:rPr>
          <w:rFonts w:hint="eastAsia" w:ascii="宋体" w:hAnsi="宋体" w:cs="宋体"/>
          <w:sz w:val="24"/>
        </w:rPr>
        <w:t xml:space="preserve">第三条 提交服务成果时间和地点</w:t>
      </w:r>
      <w:r/>
    </w:p>
    <w:p>
      <w:pPr>
        <w:ind w:firstLine="480"/>
        <w:spacing w:line="360" w:lineRule="auto"/>
        <w:rPr>
          <w:rFonts w:ascii="宋体" w:hAnsi="宋体" w:cs="宋体"/>
          <w:sz w:val="24"/>
        </w:rPr>
      </w:pPr>
      <w:r>
        <w:rPr>
          <w:rFonts w:hint="eastAsia" w:ascii="宋体" w:hAnsi="宋体" w:cs="宋体"/>
          <w:sz w:val="24"/>
        </w:rPr>
        <w:t xml:space="preserve">1. 提交服务成果时间：                        </w:t>
      </w:r>
      <w:r/>
    </w:p>
    <w:p>
      <w:pPr>
        <w:ind w:firstLine="480"/>
        <w:spacing w:line="360" w:lineRule="auto"/>
        <w:rPr>
          <w:rFonts w:ascii="宋体" w:hAnsi="宋体" w:cs="宋体"/>
          <w:sz w:val="24"/>
        </w:rPr>
      </w:pPr>
      <w:r>
        <w:rPr>
          <w:rFonts w:hint="eastAsia" w:ascii="宋体" w:hAnsi="宋体" w:cs="宋体"/>
          <w:sz w:val="24"/>
        </w:rPr>
        <w:t xml:space="preserve">2．提交服务成果地点：                        </w:t>
      </w:r>
      <w:r/>
    </w:p>
    <w:p>
      <w:pPr>
        <w:ind w:firstLine="480"/>
        <w:spacing w:line="360" w:lineRule="auto"/>
        <w:rPr>
          <w:rFonts w:ascii="宋体" w:hAnsi="宋体" w:cs="宋体"/>
          <w:sz w:val="24"/>
        </w:rPr>
      </w:pPr>
      <w:r>
        <w:rPr>
          <w:rFonts w:hint="eastAsia" w:ascii="宋体" w:hAnsi="宋体" w:cs="宋体"/>
          <w:sz w:val="24"/>
        </w:rPr>
        <w:t xml:space="preserve">3． 乙方必须按谈判响应文件承诺的服务响应条款向甲方提供服务。</w:t>
      </w:r>
      <w:r/>
    </w:p>
    <w:p>
      <w:pPr>
        <w:ind w:firstLine="480"/>
        <w:spacing w:line="360" w:lineRule="auto"/>
        <w:rPr>
          <w:rFonts w:ascii="宋体" w:hAnsi="宋体" w:cs="宋体"/>
          <w:sz w:val="24"/>
        </w:rPr>
      </w:pPr>
      <w:r>
        <w:rPr>
          <w:rFonts w:hint="eastAsia" w:ascii="宋体" w:hAnsi="宋体" w:cs="宋体"/>
          <w:sz w:val="24"/>
        </w:rPr>
        <w:t xml:space="preserve">第四条 履行合同期限、地点</w:t>
      </w:r>
      <w:r/>
    </w:p>
    <w:p>
      <w:pPr>
        <w:ind w:firstLine="480"/>
        <w:spacing w:line="360" w:lineRule="auto"/>
        <w:rPr>
          <w:rFonts w:ascii="宋体" w:hAnsi="宋体" w:cs="宋体"/>
          <w:sz w:val="24"/>
          <w:u w:val="single"/>
        </w:rPr>
      </w:pPr>
      <w:r>
        <w:rPr>
          <w:rFonts w:hint="eastAsia" w:ascii="宋体" w:hAnsi="宋体" w:cs="宋体"/>
          <w:sz w:val="24"/>
        </w:rPr>
        <w:t xml:space="preserve">1.履行合同期限：</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rPr>
        <w:t xml:space="preserve">2.履行合同地点：</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第五条 权利保证</w:t>
      </w:r>
      <w:r/>
    </w:p>
    <w:p>
      <w:pPr>
        <w:ind w:firstLine="480"/>
        <w:spacing w:line="360" w:lineRule="auto"/>
        <w:rPr>
          <w:rFonts w:ascii="宋体" w:hAnsi="宋体" w:cs="宋体"/>
          <w:sz w:val="24"/>
        </w:rPr>
      </w:pPr>
      <w:r>
        <w:rPr>
          <w:rFonts w:hint="eastAsia" w:ascii="宋体" w:hAnsi="宋体" w:cs="宋体"/>
          <w:sz w:val="24"/>
        </w:rPr>
        <w:t xml:space="preserve">1．乙方应保证向甲方提供的服务或其任何一部分均不会受第三方提出侵犯其专利权、版权、商标权或其他权利的起诉。一旦出现侵权，乙方应承担全部责任。</w:t>
      </w:r>
      <w:r/>
    </w:p>
    <w:p>
      <w:pPr>
        <w:ind w:firstLine="480"/>
        <w:spacing w:line="360" w:lineRule="auto"/>
        <w:rPr>
          <w:rFonts w:ascii="宋体" w:hAnsi="宋体" w:cs="宋体"/>
          <w:sz w:val="24"/>
        </w:rPr>
      </w:pPr>
      <w:r>
        <w:rPr>
          <w:rFonts w:hint="eastAsia" w:ascii="宋体" w:hAnsi="宋体" w:cs="宋体"/>
          <w:sz w:val="24"/>
        </w:rPr>
        <w:t xml:space="preserve">2．乙方保证所交付服务的所有权完全属于乙方且无任何抵押、查封等产权瑕疵。如乙方所交付服务有产权瑕疵的，视为乙方违约，按照本合同第十项的约定处理。但在已经全部支付完合同款后才发现有产权瑕疵的，乙方除了支付违约金还应负担甲方由此产生的一切损失。</w:t>
      </w:r>
      <w:r/>
    </w:p>
    <w:p>
      <w:pPr>
        <w:ind w:firstLine="480"/>
        <w:spacing w:line="360" w:lineRule="auto"/>
        <w:rPr>
          <w:rFonts w:ascii="宋体" w:hAnsi="宋体" w:cs="宋体"/>
          <w:sz w:val="24"/>
        </w:rPr>
      </w:pPr>
      <w:r>
        <w:rPr>
          <w:rFonts w:hint="eastAsia" w:ascii="宋体" w:hAnsi="宋体" w:cs="宋体"/>
          <w:sz w:val="24"/>
        </w:rPr>
        <w:t xml:space="preserve">第六条  技术资料</w:t>
      </w:r>
      <w:r/>
    </w:p>
    <w:p>
      <w:pPr>
        <w:ind w:firstLine="480"/>
        <w:spacing w:line="360" w:lineRule="auto"/>
        <w:rPr>
          <w:rFonts w:ascii="宋体" w:hAnsi="宋体" w:cs="宋体"/>
          <w:sz w:val="24"/>
        </w:rPr>
      </w:pPr>
      <w:r>
        <w:rPr>
          <w:rFonts w:hint="eastAsia" w:ascii="宋体" w:hAnsi="宋体" w:cs="宋体"/>
          <w:sz w:val="24"/>
        </w:rPr>
        <w:t xml:space="preserve">1．甲方应向乙方提供提交服务成果所必需的有关数据、资料等。</w:t>
      </w:r>
      <w:r/>
    </w:p>
    <w:p>
      <w:pPr>
        <w:ind w:firstLine="480"/>
        <w:spacing w:line="360" w:lineRule="auto"/>
        <w:rPr>
          <w:rFonts w:ascii="宋体" w:hAnsi="宋体" w:cs="宋体"/>
          <w:sz w:val="24"/>
        </w:rPr>
      </w:pPr>
      <w:r>
        <w:rPr>
          <w:rFonts w:hint="eastAsia" w:ascii="宋体" w:hAnsi="宋体" w:cs="宋体"/>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210" w:firstLine="240"/>
        <w:spacing w:line="360" w:lineRule="auto"/>
        <w:rPr>
          <w:rFonts w:ascii="宋体" w:hAnsi="宋体" w:cs="宋体"/>
          <w:sz w:val="24"/>
        </w:rPr>
      </w:pPr>
      <w:r>
        <w:rPr>
          <w:rFonts w:hint="eastAsia" w:ascii="宋体" w:hAnsi="宋体" w:cs="宋体"/>
          <w:sz w:val="24"/>
        </w:rPr>
        <w:t xml:space="preserve">第七条 验收</w:t>
      </w:r>
      <w:r/>
    </w:p>
    <w:p>
      <w:pPr>
        <w:ind w:left="210" w:firstLine="240"/>
        <w:spacing w:line="360" w:lineRule="auto"/>
        <w:rPr>
          <w:rFonts w:ascii="宋体" w:hAnsi="宋体" w:cs="宋体"/>
          <w:sz w:val="24"/>
        </w:rPr>
      </w:pPr>
      <w:r>
        <w:rPr>
          <w:rFonts w:hint="eastAsia" w:ascii="宋体" w:hAnsi="宋体" w:cs="宋体"/>
          <w:sz w:val="24"/>
        </w:rPr>
        <w:t xml:space="preserve">1. 乙方应对提交的服务成果作出全面检查和整理，并列出清单，作为甲方验收和使用的技术条件依据，清单应随提交的服务成果交给甲方。</w:t>
      </w:r>
      <w:r/>
    </w:p>
    <w:p>
      <w:pPr>
        <w:ind w:left="210" w:firstLine="240"/>
        <w:spacing w:line="360" w:lineRule="auto"/>
        <w:rPr>
          <w:rFonts w:ascii="宋体" w:hAnsi="宋体" w:cs="宋体"/>
          <w:sz w:val="24"/>
        </w:rPr>
      </w:pPr>
      <w:r>
        <w:rPr>
          <w:rFonts w:hint="eastAsia" w:ascii="宋体" w:hAnsi="宋体" w:cs="宋体"/>
          <w:sz w:val="24"/>
        </w:rPr>
        <w:t xml:space="preserve">2.乙方在指定地点提交服务成果后，甲方应在5个工作日内依据招标文件、乙方的投标文件等组织验收，验收完毕后作出书面验收报告。验收时乙方必须在现场。</w:t>
      </w:r>
      <w:r/>
    </w:p>
    <w:p>
      <w:pPr>
        <w:ind w:firstLine="480"/>
        <w:spacing w:line="360" w:lineRule="auto"/>
        <w:rPr>
          <w:rFonts w:ascii="宋体" w:hAnsi="宋体" w:cs="宋体"/>
          <w:sz w:val="24"/>
        </w:rPr>
      </w:pPr>
      <w:r>
        <w:rPr>
          <w:rFonts w:hint="eastAsia" w:ascii="宋体" w:hAnsi="宋体" w:cs="宋体"/>
          <w:sz w:val="24"/>
        </w:rPr>
        <w:t xml:space="preserve">第八条 合同款支付</w:t>
      </w:r>
      <w:r/>
    </w:p>
    <w:p>
      <w:pPr>
        <w:ind w:left="210" w:firstLine="480"/>
        <w:spacing w:line="360" w:lineRule="auto"/>
        <w:rPr>
          <w:rFonts w:ascii="宋体" w:hAnsi="宋体" w:cs="宋体"/>
          <w:sz w:val="24"/>
        </w:rPr>
      </w:pPr>
      <w:r>
        <w:rPr>
          <w:rFonts w:hint="eastAsia" w:ascii="宋体" w:hAnsi="宋体" w:cs="宋体"/>
          <w:sz w:val="24"/>
          <w:highlight w:val="yellow"/>
          <w:lang w:val="en-US" w:eastAsia="zh-CN"/>
        </w:rPr>
        <w:t xml:space="preserve">合作期限内，甲方以转账形式支付到乙方</w:t>
      </w:r>
      <w:bookmarkStart w:id="204" w:name="_GoBack"/>
      <w:r/>
      <w:bookmarkEnd w:id="204"/>
      <w:r>
        <w:rPr>
          <w:rFonts w:hint="eastAsia" w:ascii="宋体" w:hAnsi="宋体" w:cs="宋体"/>
          <w:sz w:val="24"/>
          <w:highlight w:val="yellow"/>
          <w:lang w:val="en-US" w:eastAsia="zh-CN"/>
        </w:rPr>
        <w:t xml:space="preserve">指定账户，全年合作费用在当年底结清。</w:t>
      </w:r>
      <w:r/>
    </w:p>
    <w:p>
      <w:pPr>
        <w:ind w:firstLine="480"/>
        <w:spacing w:line="360" w:lineRule="auto"/>
        <w:rPr>
          <w:rFonts w:ascii="宋体" w:hAnsi="宋体" w:cs="宋体"/>
          <w:sz w:val="24"/>
        </w:rPr>
      </w:pPr>
      <w:r>
        <w:rPr>
          <w:rFonts w:hint="eastAsia" w:ascii="宋体" w:hAnsi="宋体" w:cs="宋体"/>
          <w:sz w:val="24"/>
        </w:rPr>
        <w:t xml:space="preserve">第九条 违约责任</w:t>
      </w:r>
      <w:r/>
    </w:p>
    <w:p>
      <w:pPr>
        <w:ind w:firstLine="480"/>
        <w:spacing w:line="360" w:lineRule="auto"/>
        <w:rPr>
          <w:rFonts w:ascii="宋体" w:hAnsi="宋体" w:cs="宋体"/>
          <w:sz w:val="24"/>
        </w:rPr>
      </w:pPr>
      <w:r>
        <w:rPr>
          <w:rFonts w:hint="eastAsia" w:ascii="宋体" w:hAnsi="宋体" w:cs="宋体"/>
          <w:sz w:val="24"/>
        </w:rPr>
        <w:t xml:space="preserve">1.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360" w:lineRule="auto"/>
        <w:rPr>
          <w:rFonts w:ascii="宋体" w:hAnsi="宋体" w:cs="宋体"/>
          <w:sz w:val="24"/>
        </w:rPr>
      </w:pPr>
      <w:r>
        <w:rPr>
          <w:rFonts w:hint="eastAsia" w:ascii="宋体" w:hAnsi="宋体" w:cs="宋体"/>
          <w:sz w:val="24"/>
        </w:rPr>
        <w:t xml:space="preserve">2. 乙方未按合同约定的时间和质量标准提供服务，给甲方造成损失的，甲方可要求乙方按实赔偿；因乙方服务质量问题导致甲方无法实现合同目的的，甲方有权解除合同。                                         </w:t>
      </w:r>
      <w:r/>
    </w:p>
    <w:p>
      <w:pPr>
        <w:ind w:firstLine="480"/>
        <w:spacing w:line="360" w:lineRule="auto"/>
        <w:rPr>
          <w:rFonts w:ascii="宋体" w:hAnsi="宋体" w:cs="宋体"/>
          <w:sz w:val="24"/>
        </w:rPr>
      </w:pPr>
      <w:r>
        <w:rPr>
          <w:rFonts w:hint="eastAsia" w:ascii="宋体" w:hAnsi="宋体" w:cs="宋体"/>
          <w:sz w:val="24"/>
        </w:rPr>
        <w:t xml:space="preserve">第十条 合同的变更和终止</w:t>
      </w:r>
      <w:r/>
    </w:p>
    <w:p>
      <w:pPr>
        <w:ind w:firstLine="480"/>
        <w:spacing w:line="360" w:lineRule="auto"/>
        <w:rPr>
          <w:rFonts w:ascii="宋体" w:hAnsi="宋体" w:cs="宋体"/>
          <w:sz w:val="24"/>
        </w:rPr>
      </w:pPr>
      <w:r>
        <w:rPr>
          <w:rFonts w:hint="eastAsia" w:ascii="宋体" w:hAnsi="宋体" w:cs="宋体"/>
          <w:sz w:val="24"/>
        </w:rPr>
        <w:t xml:space="preserve">1. 除《政府采购法》第50条第二款规定的情形外，本合同一经签订，甲乙双方不得擅自变更、中止或终止合同。</w:t>
      </w:r>
      <w:r/>
    </w:p>
    <w:p>
      <w:pPr>
        <w:ind w:firstLine="480"/>
        <w:spacing w:line="360" w:lineRule="auto"/>
        <w:rPr>
          <w:rFonts w:ascii="宋体" w:hAnsi="宋体" w:cs="宋体"/>
          <w:sz w:val="24"/>
        </w:rPr>
      </w:pPr>
      <w:r>
        <w:rPr>
          <w:rFonts w:hint="eastAsia" w:ascii="宋体" w:hAnsi="宋体" w:cs="宋体"/>
          <w:sz w:val="24"/>
        </w:rPr>
        <w:t xml:space="preserve">2. 除发生法律规定的不能预见、不能避免并不能克服的客观情况外，甲乙双方不得放弃或拒绝履行合同。</w:t>
      </w:r>
      <w:r/>
    </w:p>
    <w:p>
      <w:pPr>
        <w:ind w:firstLine="480"/>
        <w:spacing w:line="360" w:lineRule="auto"/>
        <w:rPr>
          <w:rFonts w:ascii="宋体" w:hAnsi="宋体" w:cs="宋体"/>
          <w:sz w:val="24"/>
        </w:rPr>
      </w:pPr>
      <w:r>
        <w:rPr>
          <w:rFonts w:hint="eastAsia" w:ascii="宋体" w:hAnsi="宋体" w:cs="宋体"/>
          <w:sz w:val="24"/>
        </w:rPr>
        <w:t xml:space="preserve">3.情势变更:</w:t>
      </w:r>
      <w:r/>
    </w:p>
    <w:p>
      <w:pPr>
        <w:ind w:firstLine="480"/>
        <w:spacing w:line="360" w:lineRule="auto"/>
        <w:rPr>
          <w:rFonts w:ascii="宋体" w:hAnsi="宋体" w:cs="宋体"/>
          <w:sz w:val="24"/>
        </w:rPr>
      </w:pPr>
      <w:r>
        <w:rPr>
          <w:rFonts w:hint="eastAsia" w:ascii="宋体" w:hAnsi="宋体" w:cs="宋体"/>
          <w:sz w:val="24"/>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p>
    <w:p>
      <w:pPr>
        <w:ind w:firstLine="480"/>
        <w:spacing w:line="360" w:lineRule="auto"/>
        <w:rPr>
          <w:rFonts w:ascii="宋体" w:hAnsi="宋体" w:cs="宋体"/>
          <w:sz w:val="24"/>
        </w:rPr>
      </w:pPr>
      <w:r>
        <w:rPr>
          <w:rFonts w:hint="eastAsia" w:ascii="宋体" w:hAnsi="宋体" w:cs="宋体"/>
          <w:sz w:val="24"/>
        </w:rPr>
        <w:t xml:space="preserve">2)若因上述原因导致甲方无法支付合同款项，致使履行本合同确实存在障碍，任一方有权终止履行合同，且不承担由此产生的违约责任。乙方应理解并接受因财政原因导致的延迟支付或不能支付。</w:t>
      </w:r>
      <w:r/>
    </w:p>
    <w:p>
      <w:pPr>
        <w:ind w:firstLine="480"/>
        <w:spacing w:line="360" w:lineRule="auto"/>
        <w:rPr>
          <w:rFonts w:ascii="宋体" w:hAnsi="宋体" w:cs="宋体"/>
          <w:sz w:val="24"/>
        </w:rPr>
      </w:pPr>
      <w:r>
        <w:rPr>
          <w:rFonts w:hint="eastAsia" w:ascii="宋体" w:hAnsi="宋体" w:cs="宋体"/>
          <w:sz w:val="24"/>
        </w:rPr>
        <w:t xml:space="preserve">3)本条款的适用不影响双方根据合同其他条款享有的权利和承担的义务。</w:t>
      </w:r>
      <w:r/>
    </w:p>
    <w:p>
      <w:pPr>
        <w:ind w:firstLine="480"/>
        <w:spacing w:line="360" w:lineRule="auto"/>
        <w:rPr>
          <w:rFonts w:ascii="宋体" w:hAnsi="宋体" w:cs="宋体"/>
          <w:sz w:val="24"/>
        </w:rPr>
      </w:pPr>
      <w:r>
        <w:rPr>
          <w:rFonts w:hint="eastAsia" w:ascii="宋体" w:hAnsi="宋体" w:cs="宋体"/>
          <w:sz w:val="24"/>
        </w:rPr>
        <w:t xml:space="preserve">第十一条 合同的转让</w:t>
      </w:r>
      <w:r/>
    </w:p>
    <w:p>
      <w:pPr>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0"/>
        <w:spacing w:line="360" w:lineRule="auto"/>
        <w:rPr>
          <w:rFonts w:ascii="宋体" w:hAnsi="宋体" w:cs="宋体"/>
          <w:sz w:val="24"/>
        </w:rPr>
      </w:pPr>
      <w:r>
        <w:rPr>
          <w:rFonts w:hint="eastAsia" w:ascii="宋体" w:hAnsi="宋体" w:cs="宋体"/>
          <w:sz w:val="24"/>
        </w:rPr>
        <w:t xml:space="preserve">第十二条 争议的解决</w:t>
      </w:r>
      <w:r/>
    </w:p>
    <w:p>
      <w:pPr>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1.因履行本合同引起的或与本合同有关的争议，甲、乙双方应首先通过友好协商解决，如果协商不能解决争议，向泰州仲裁委员会按其仲裁规则申请仲裁。</w:t>
      </w:r>
      <w:r/>
    </w:p>
    <w:p>
      <w:pPr>
        <w:ind w:firstLine="480"/>
        <w:spacing w:line="360" w:lineRule="auto"/>
        <w:rPr>
          <w:rFonts w:ascii="宋体" w:hAnsi="宋体" w:cs="宋体"/>
          <w:sz w:val="24"/>
        </w:rPr>
      </w:pPr>
      <w:r>
        <w:rPr>
          <w:rFonts w:hint="eastAsia" w:ascii="宋体" w:hAnsi="宋体" w:cs="宋体"/>
          <w:sz w:val="24"/>
        </w:rPr>
        <w:t xml:space="preserve">2. 在仲裁期间，本合同应继续履行</w:t>
      </w:r>
      <w:r/>
    </w:p>
    <w:p>
      <w:pPr>
        <w:ind w:firstLine="480"/>
        <w:spacing w:line="440" w:lineRule="exact"/>
        <w:rPr>
          <w:rFonts w:ascii="宋体" w:hAnsi="宋体" w:cs="宋体"/>
          <w:sz w:val="24"/>
        </w:rPr>
      </w:pPr>
      <w:r>
        <w:rPr>
          <w:rFonts w:hint="eastAsia" w:ascii="宋体" w:hAnsi="宋体" w:cs="宋体"/>
          <w:sz w:val="24"/>
        </w:rPr>
        <w:t xml:space="preserve">第十三条  组成本合同的有关文件</w:t>
      </w:r>
      <w:r/>
    </w:p>
    <w:p>
      <w:pPr>
        <w:ind w:firstLine="480"/>
        <w:spacing w:line="440" w:lineRule="exact"/>
        <w:rPr>
          <w:rFonts w:ascii="宋体" w:hAnsi="宋体" w:cs="宋体"/>
          <w:sz w:val="24"/>
        </w:rPr>
      </w:pPr>
      <w:r>
        <w:rPr>
          <w:rFonts w:hint="eastAsia" w:ascii="宋体" w:hAnsi="宋体" w:cs="宋体"/>
          <w:sz w:val="24"/>
        </w:rPr>
        <w:t xml:space="preserve">下列关于泰州市政府采购文件、响应文件或与本次采购活动方式相适应的文件及有关附件是本合同不可分割的组成部分，与本合同具有同等法律效力，这些文件包括但不限于：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sz w:val="24"/>
        </w:rPr>
      </w:pPr>
      <w:r>
        <w:rPr>
          <w:rFonts w:hint="eastAsia" w:ascii="宋体" w:hAnsi="宋体" w:cs="宋体"/>
          <w:sz w:val="24"/>
        </w:rPr>
        <w:t xml:space="preserve">（1）乙方提供的投标文件和投标报价表；</w:t>
      </w:r>
      <w:r/>
    </w:p>
    <w:p>
      <w:pPr>
        <w:ind w:firstLine="480"/>
        <w:spacing w:line="360" w:lineRule="auto"/>
        <w:rPr>
          <w:rFonts w:ascii="宋体" w:hAnsi="宋体" w:cs="宋体"/>
          <w:sz w:val="24"/>
        </w:rPr>
      </w:pPr>
      <w:r>
        <w:rPr>
          <w:rFonts w:hint="eastAsia" w:ascii="宋体" w:hAnsi="宋体" w:cs="宋体"/>
          <w:sz w:val="24"/>
        </w:rPr>
        <w:t xml:space="preserve">（2）技术规格响应表；</w:t>
      </w:r>
      <w:r/>
    </w:p>
    <w:p>
      <w:pPr>
        <w:ind w:firstLine="480"/>
        <w:spacing w:line="360" w:lineRule="auto"/>
        <w:rPr>
          <w:rFonts w:ascii="宋体" w:hAnsi="宋体" w:cs="宋体"/>
          <w:sz w:val="24"/>
        </w:rPr>
      </w:pPr>
      <w:r>
        <w:rPr>
          <w:rFonts w:hint="eastAsia" w:ascii="宋体" w:hAnsi="宋体" w:cs="宋体"/>
          <w:sz w:val="24"/>
        </w:rPr>
        <w:t xml:space="preserve">（3）投标承诺/服务承诺；</w:t>
      </w:r>
      <w:r/>
    </w:p>
    <w:p>
      <w:pPr>
        <w:ind w:firstLine="480"/>
        <w:spacing w:line="360" w:lineRule="auto"/>
        <w:rPr>
          <w:rFonts w:ascii="宋体" w:hAnsi="宋体" w:cs="宋体"/>
          <w:sz w:val="24"/>
        </w:rPr>
      </w:pPr>
      <w:r>
        <w:rPr>
          <w:rFonts w:hint="eastAsia" w:ascii="宋体" w:hAnsi="宋体" w:cs="宋体"/>
          <w:sz w:val="24"/>
        </w:rPr>
        <w:t xml:space="preserve">（4）中标通知书；</w:t>
      </w:r>
      <w:r/>
    </w:p>
    <w:p>
      <w:pPr>
        <w:ind w:firstLine="480"/>
        <w:spacing w:line="360" w:lineRule="auto"/>
        <w:rPr>
          <w:rFonts w:ascii="宋体" w:hAnsi="宋体" w:cs="宋体"/>
          <w:sz w:val="24"/>
        </w:rPr>
      </w:pPr>
      <w:r>
        <w:rPr>
          <w:rFonts w:hint="eastAsia" w:ascii="宋体" w:hAnsi="宋体" w:cs="宋体"/>
          <w:sz w:val="24"/>
        </w:rPr>
        <w:t xml:space="preserve">（5）甲乙双方商定的其他文件等。</w:t>
      </w:r>
      <w:r/>
    </w:p>
    <w:p>
      <w:pPr>
        <w:ind w:firstLine="480"/>
        <w:spacing w:line="360" w:lineRule="auto"/>
        <w:rPr>
          <w:rFonts w:ascii="宋体" w:hAnsi="宋体" w:cs="宋体"/>
          <w:sz w:val="24"/>
        </w:rPr>
      </w:pPr>
      <w:r>
        <w:rPr>
          <w:rFonts w:hint="eastAsia" w:ascii="宋体" w:hAnsi="宋体" w:cs="宋体"/>
          <w:sz w:val="24"/>
        </w:rPr>
        <w:t xml:space="preserve">第十四条 合同生效及其他</w:t>
      </w:r>
      <w:r/>
    </w:p>
    <w:p>
      <w:pPr>
        <w:ind w:firstLine="480"/>
        <w:spacing w:line="360" w:lineRule="auto"/>
        <w:rPr>
          <w:rFonts w:ascii="宋体" w:hAnsi="宋体" w:cs="宋体"/>
          <w:sz w:val="24"/>
        </w:rPr>
      </w:pPr>
      <w:r>
        <w:rPr>
          <w:rFonts w:hint="eastAsia" w:ascii="宋体" w:hAnsi="宋体" w:cs="宋体"/>
          <w:sz w:val="24"/>
        </w:rPr>
        <w:t xml:space="preserve">1. 本合同自签订之日起生效。</w:t>
      </w:r>
      <w:r/>
    </w:p>
    <w:p>
      <w:pPr>
        <w:ind w:firstLine="504"/>
        <w:rPr>
          <w:rFonts w:ascii="宋体" w:hAnsi="宋体" w:cs="宋体"/>
          <w:sz w:val="24"/>
        </w:rPr>
      </w:pPr>
      <w:r>
        <w:rPr>
          <w:rFonts w:hint="eastAsia" w:ascii="宋体" w:hAnsi="宋体" w:cs="宋体"/>
          <w:sz w:val="24"/>
        </w:rPr>
        <w:t xml:space="preserve">2. 本合同一式肆份，甲乙双方各执两份。</w:t>
      </w:r>
      <w:r/>
    </w:p>
    <w:p>
      <w:pPr>
        <w:ind w:firstLine="480"/>
        <w:spacing w:line="360" w:lineRule="auto"/>
        <w:rPr>
          <w:rFonts w:ascii="宋体" w:hAnsi="宋体" w:cs="宋体"/>
          <w:sz w:val="24"/>
        </w:rPr>
      </w:pPr>
      <w:r>
        <w:rPr>
          <w:rFonts w:hint="eastAsia" w:ascii="宋体" w:hAnsi="宋体" w:cs="宋体"/>
          <w:sz w:val="24"/>
        </w:rPr>
        <w:t xml:space="preserve">3. 本合同应按照中华人民共和国的现行法律进行解释。</w:t>
      </w:r>
      <w:r/>
    </w:p>
    <w:tbl>
      <w:tblPr>
        <w:tblStyle w:val="656"/>
        <w:tblW w:w="8622" w:type="dxa"/>
        <w:tblInd w:w="-287" w:type="dxa"/>
        <w:tblLayout w:type="autofit"/>
        <w:tblCellMar>
          <w:left w:w="108" w:type="dxa"/>
          <w:top w:w="0" w:type="dxa"/>
          <w:right w:w="108" w:type="dxa"/>
          <w:bottom w:w="0" w:type="dxa"/>
        </w:tblCellMar>
        <w:tblLook w:val="04A0" w:firstRow="1" w:lastRow="0" w:firstColumn="1" w:lastColumn="0" w:noHBand="0" w:noVBand="1"/>
      </w:tblPr>
      <w:tblGrid>
        <w:gridCol w:w="3771"/>
        <w:gridCol w:w="4851"/>
      </w:tblGrid>
      <w:tr>
        <w:trPr>
          <w:trHeight w:val="652" w:hRule="exact"/>
        </w:trPr>
        <w:tc>
          <w:tcPr>
            <w:tcBorders>
              <w:top w:val="none" w:color="000000" w:sz="4" w:space="0"/>
              <w:left w:val="none" w:color="000000" w:sz="4" w:space="0"/>
              <w:bottom w:val="none" w:color="000000" w:sz="4" w:space="0"/>
              <w:right w:val="none" w:color="000000" w:sz="4" w:space="0"/>
            </w:tcBorders>
            <w:tcW w:w="377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甲方（采购人）：</w:t>
            </w:r>
            <w:r/>
          </w:p>
        </w:tc>
        <w:tc>
          <w:tcPr>
            <w:tcBorders>
              <w:top w:val="none" w:color="000000" w:sz="4" w:space="0"/>
              <w:left w:val="none" w:color="000000" w:sz="4" w:space="0"/>
              <w:bottom w:val="none" w:color="000000" w:sz="4" w:space="0"/>
              <w:right w:val="none" w:color="000000" w:sz="4" w:space="0"/>
            </w:tcBorders>
            <w:tcW w:w="485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乙方（供应商）：</w:t>
            </w:r>
            <w:r/>
          </w:p>
        </w:tc>
      </w:tr>
      <w:tr>
        <w:trPr>
          <w:trHeight w:val="652" w:hRule="exact"/>
        </w:trPr>
        <w:tc>
          <w:tcPr>
            <w:tcBorders>
              <w:top w:val="none" w:color="000000" w:sz="4" w:space="0"/>
              <w:left w:val="none" w:color="000000" w:sz="4" w:space="0"/>
              <w:bottom w:val="none" w:color="000000" w:sz="4" w:space="0"/>
              <w:right w:val="none" w:color="000000" w:sz="4" w:space="0"/>
            </w:tcBorders>
            <w:tcW w:w="377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（盖章）</w:t>
            </w:r>
            <w:r/>
          </w:p>
        </w:tc>
        <w:tc>
          <w:tcPr>
            <w:tcBorders>
              <w:top w:val="none" w:color="000000" w:sz="4" w:space="0"/>
              <w:left w:val="none" w:color="000000" w:sz="4" w:space="0"/>
              <w:bottom w:val="none" w:color="000000" w:sz="4" w:space="0"/>
              <w:right w:val="none" w:color="000000" w:sz="4" w:space="0"/>
            </w:tcBorders>
            <w:tcW w:w="485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（盖章）</w:t>
            </w:r>
            <w:r/>
          </w:p>
        </w:tc>
      </w:tr>
      <w:tr>
        <w:trPr>
          <w:trHeight w:val="652" w:hRule="exact"/>
        </w:trPr>
        <w:tc>
          <w:tcPr>
            <w:tcBorders>
              <w:top w:val="none" w:color="000000" w:sz="4" w:space="0"/>
              <w:left w:val="none" w:color="000000" w:sz="4" w:space="0"/>
              <w:bottom w:val="none" w:color="000000" w:sz="4" w:space="0"/>
              <w:right w:val="none" w:color="000000" w:sz="4" w:space="0"/>
            </w:tcBorders>
            <w:tcW w:w="377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代表人：</w:t>
            </w:r>
            <w:r/>
          </w:p>
        </w:tc>
        <w:tc>
          <w:tcPr>
            <w:tcBorders>
              <w:top w:val="none" w:color="000000" w:sz="4" w:space="0"/>
              <w:left w:val="none" w:color="000000" w:sz="4" w:space="0"/>
              <w:bottom w:val="none" w:color="000000" w:sz="4" w:space="0"/>
              <w:right w:val="none" w:color="000000" w:sz="4" w:space="0"/>
            </w:tcBorders>
            <w:tcW w:w="485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代表人：</w:t>
            </w:r>
            <w:r/>
          </w:p>
        </w:tc>
      </w:tr>
      <w:tr>
        <w:trPr>
          <w:trHeight w:val="652" w:hRule="exact"/>
        </w:trPr>
        <w:tc>
          <w:tcPr>
            <w:tcBorders>
              <w:top w:val="none" w:color="000000" w:sz="4" w:space="0"/>
              <w:left w:val="none" w:color="000000" w:sz="4" w:space="0"/>
              <w:bottom w:val="none" w:color="000000" w:sz="4" w:space="0"/>
              <w:right w:val="none" w:color="000000" w:sz="4" w:space="0"/>
            </w:tcBorders>
            <w:tcW w:w="377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日期：</w:t>
            </w:r>
            <w:r/>
          </w:p>
        </w:tc>
        <w:tc>
          <w:tcPr>
            <w:tcBorders>
              <w:top w:val="none" w:color="000000" w:sz="4" w:space="0"/>
              <w:left w:val="none" w:color="000000" w:sz="4" w:space="0"/>
              <w:bottom w:val="none" w:color="000000" w:sz="4" w:space="0"/>
              <w:right w:val="none" w:color="000000" w:sz="4" w:space="0"/>
            </w:tcBorders>
            <w:tcW w:w="485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日期：</w:t>
            </w:r>
            <w:bookmarkEnd w:id="163"/>
            <w:bookmarkEnd w:id="164"/>
            <w:bookmarkEnd w:id="165"/>
            <w:bookmarkEnd w:id="166"/>
            <w:r/>
          </w:p>
        </w:tc>
      </w:tr>
    </w:tbl>
    <w:p>
      <w:pPr>
        <w:rPr>
          <w:rFonts w:hint="eastAsia" w:ascii="黑体" w:hAnsi="Courier New" w:eastAsia="黑体" w:cs="Courier New"/>
          <w:bCs/>
          <w:sz w:val="44"/>
          <w:szCs w:val="21"/>
        </w:rPr>
      </w:pPr>
      <w:r/>
      <w:bookmarkStart w:id="167" w:name="_Toc26554093"/>
      <w:r/>
      <w:bookmarkStart w:id="168" w:name="_Toc49090575"/>
      <w:r>
        <w:rPr>
          <w:rFonts w:hint="eastAsia" w:ascii="黑体" w:hAnsi="Courier New" w:eastAsia="黑体" w:cs="Courier New"/>
          <w:bCs/>
          <w:sz w:val="44"/>
          <w:szCs w:val="21"/>
        </w:rPr>
        <w:br w:type="page" w:clear="all"/>
      </w:r>
      <w:r/>
    </w:p>
    <w:p>
      <w:pPr>
        <w:jc w:val="center"/>
        <w:rPr>
          <w:rFonts w:ascii="黑体" w:hAnsi="Courier New" w:eastAsia="黑体" w:cs="Courier New"/>
          <w:bCs/>
          <w:sz w:val="44"/>
          <w:szCs w:val="21"/>
        </w:rPr>
        <w:outlineLvl w:val="0"/>
      </w:pPr>
      <w:r>
        <w:rPr>
          <w:rFonts w:hint="eastAsia" w:ascii="黑体" w:hAnsi="Courier New" w:eastAsia="黑体" w:cs="Courier New"/>
          <w:bCs/>
          <w:sz w:val="44"/>
          <w:szCs w:val="21"/>
        </w:rPr>
        <w:t xml:space="preserve">第四章 采购需求</w:t>
      </w:r>
      <w:r/>
    </w:p>
    <w:p>
      <w:pPr>
        <w:spacing w:line="594" w:lineRule="exact"/>
        <w:rPr>
          <w:rFonts w:cs="方正黑体_GBK" w:asciiTheme="minorEastAsia" w:hAnsiTheme="minorEastAsia"/>
          <w:b/>
          <w:sz w:val="28"/>
          <w:szCs w:val="28"/>
        </w:rPr>
      </w:pPr>
      <w:r>
        <w:rPr>
          <w:rFonts w:hint="eastAsia" w:cs="方正黑体_GBK" w:asciiTheme="minorEastAsia" w:hAnsiTheme="minorEastAsia"/>
          <w:b/>
          <w:sz w:val="28"/>
          <w:szCs w:val="28"/>
        </w:rPr>
        <w:t xml:space="preserve">一、项目名称</w:t>
      </w:r>
      <w:r/>
    </w:p>
    <w:p>
      <w:pPr>
        <w:ind w:firstLine="560"/>
        <w:spacing w:line="594" w:lineRule="exact"/>
        <w:rPr>
          <w:rFonts w:hint="eastAsia" w:cs="方正黑体_GBK" w:asciiTheme="minorEastAsia" w:hAnsiTheme="minorEastAsia" w:eastAsiaTheme="minorEastAsia"/>
          <w:sz w:val="28"/>
          <w:szCs w:val="28"/>
          <w:lang w:eastAsia="zh-CN"/>
        </w:rPr>
      </w:pPr>
      <w:r>
        <w:rPr>
          <w:rFonts w:hint="eastAsia" w:asciiTheme="minorEastAsia" w:hAnsiTheme="minorEastAsia"/>
          <w:sz w:val="28"/>
          <w:szCs w:val="28"/>
          <w:lang w:eastAsia="zh-CN"/>
        </w:rPr>
        <w:t xml:space="preserve">平面新闻宣传服务合作项目</w:t>
      </w:r>
      <w:r/>
    </w:p>
    <w:p>
      <w:pPr>
        <w:spacing w:line="594" w:lineRule="exact"/>
        <w:rPr>
          <w:rFonts w:cs="方正黑体_GBK" w:asciiTheme="minorEastAsia" w:hAnsiTheme="minorEastAsia"/>
          <w:b/>
          <w:sz w:val="28"/>
          <w:szCs w:val="28"/>
        </w:rPr>
      </w:pPr>
      <w:r>
        <w:rPr>
          <w:rFonts w:hint="eastAsia" w:cs="方正黑体_GBK" w:asciiTheme="minorEastAsia" w:hAnsiTheme="minorEastAsia"/>
          <w:b/>
          <w:sz w:val="28"/>
          <w:szCs w:val="28"/>
        </w:rPr>
        <w:t xml:space="preserve">二、总体要求</w:t>
      </w:r>
      <w:r/>
    </w:p>
    <w:p>
      <w:pPr>
        <w:ind w:firstLine="560"/>
        <w:spacing w:line="594" w:lineRule="exact"/>
        <w:rPr>
          <w:rFonts w:asciiTheme="minorEastAsia" w:hAnsiTheme="minorEastAsia"/>
          <w:sz w:val="28"/>
          <w:szCs w:val="28"/>
        </w:rPr>
      </w:pPr>
      <w:r>
        <w:rPr>
          <w:rFonts w:hint="eastAsia" w:asciiTheme="minorEastAsia" w:hAnsiTheme="minorEastAsia"/>
          <w:sz w:val="28"/>
          <w:szCs w:val="28"/>
        </w:rPr>
        <w:t xml:space="preserve">2026年是“十五五”开局之年，亦是海陵建区三十周年。为抢抓发展机遇，进一步彰显“到海陵、肯定行、一定赢”的担当作为，全面报道海陵区经济社会发展的新成效与新经验，在市级报社开展平面新闻宣传合作。</w:t>
      </w:r>
      <w:r/>
    </w:p>
    <w:p>
      <w:pPr>
        <w:spacing w:line="594" w:lineRule="exact"/>
        <w:rPr>
          <w:rFonts w:cs="黑体" w:asciiTheme="minorEastAsia" w:hAnsiTheme="minorEastAsia"/>
          <w:b/>
          <w:sz w:val="28"/>
          <w:szCs w:val="28"/>
        </w:rPr>
      </w:pPr>
      <w:r>
        <w:rPr>
          <w:rFonts w:hint="eastAsia" w:cs="黑体" w:asciiTheme="minorEastAsia" w:hAnsiTheme="minorEastAsia"/>
          <w:b/>
          <w:sz w:val="28"/>
          <w:szCs w:val="28"/>
          <w:lang w:val="en-US" w:eastAsia="zh-CN"/>
        </w:rPr>
        <w:t xml:space="preserve">三</w:t>
      </w:r>
      <w:r>
        <w:rPr>
          <w:rFonts w:hint="eastAsia" w:cs="黑体" w:asciiTheme="minorEastAsia" w:hAnsiTheme="minorEastAsia"/>
          <w:b/>
          <w:sz w:val="28"/>
          <w:szCs w:val="28"/>
        </w:rPr>
        <w:t xml:space="preserve">、</w:t>
      </w:r>
      <w:r>
        <w:rPr>
          <w:rFonts w:hint="eastAsia" w:cs="黑体" w:asciiTheme="minorEastAsia" w:hAnsiTheme="minorEastAsia"/>
          <w:b/>
          <w:sz w:val="28"/>
          <w:szCs w:val="28"/>
          <w:lang w:val="en-US" w:eastAsia="zh-CN"/>
        </w:rPr>
        <w:t xml:space="preserve">项目</w:t>
      </w:r>
      <w:r>
        <w:rPr>
          <w:rFonts w:hint="eastAsia" w:cs="黑体" w:asciiTheme="minorEastAsia" w:hAnsiTheme="minorEastAsia"/>
          <w:b/>
          <w:sz w:val="28"/>
          <w:szCs w:val="28"/>
        </w:rPr>
        <w:t xml:space="preserve">需求</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1.重点稿件和《海陵专版》宣传</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（1）聚焦海陵区“首位优势大提升，主城能级大突破”等重点工作，在《泰州日报》头版刊发重点稿件不少于24篇，其中头版头条不少于12篇，全年稿件总数与其他市区持平。</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（2）办好《泰州日报·海陵专版》，每周二定期出版，合作期内出版不少于48个版面。</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2.重要活动全媒体宣传</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（1）根据海陵区重大活动要求，在《泰州日报》同期推出专版主题特刊，合作期内开设主题特刊不少于1期。</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（2）在“泰州发布”微信公众号适时报道海陵区重要新闻信息，合作期内发布图文信息不少于24条。</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（3）在“微泰州”微信公众号适时报道海陵区重要新闻信息，合作期内发布图文信息不少于4条。</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（4）根据海陵区重大活动要求，策划制作短视频，合作期内在“泰州发布”或“微泰州”视频号推出活动短视频不少于10条。</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3.对外宣传</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（1）供应商积极策划的各类外宣活动，优先落地海陵区，优先宣传海陵区内容。</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（2）在泰州市赴北京、上海等城市推介活动或海陵区对外推介活动中发布宣传海陵区的信息。</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（3）供应商协助采购人完成《人民日报》《经济日报》《光明日报》等中央媒体供稿任务。</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4.媒体融合</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（1）采购人、供应商共建“两中心一平台”深度融合实践基地“泰州日报社海陵工作站”，创新新闻策划、采写、发布联动机制，实现市区一体、无缝衔接。 </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（2）采购人推选新闻骨干记者，担任供应商特约记者或特约通讯员，并由供应商提供跟班实习平台。 </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（3）供应商安排记者下沉海陵区采访，共同策划共享新闻信息，为采购人在新闻媒体提供重点稿件宣传支持。</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（4）采购人聘请供应商专家担任策划顾问，每个季度对供应商宣传稿件开展一次集中讲评，共同提升新闻宣传水平。</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（5）对涉及采购人的舆情或负面信息，供应商应利用自身优势，积极协助解决，如因供应商宣传平台发布涉及采购人的信息产生不良影响，供应商应主动删除处置。</w:t>
      </w:r>
      <w:r/>
    </w:p>
    <w:p>
      <w:pPr>
        <w:spacing w:line="594" w:lineRule="exact"/>
        <w:rPr>
          <w:rFonts w:hint="eastAsia" w:asciiTheme="minorEastAsia" w:hAnsiTheme="minorEastAsia"/>
          <w:sz w:val="28"/>
          <w:szCs w:val="28"/>
          <w:lang w:val="en-US" w:eastAsia="zh-CN"/>
        </w:rPr>
      </w:pPr>
      <w:r>
        <w:rPr>
          <w:rFonts w:hint="eastAsia" w:cs="黑体" w:asciiTheme="minorEastAsia" w:hAnsiTheme="minorEastAsia"/>
          <w:b/>
          <w:sz w:val="28"/>
          <w:szCs w:val="28"/>
          <w:lang w:val="en-US" w:eastAsia="zh-CN"/>
        </w:rPr>
        <w:t xml:space="preserve">四、预算（即最高限价）：</w:t>
      </w:r>
      <w:r>
        <w:rPr>
          <w:rFonts w:hint="eastAsia" w:cs="黑体" w:asciiTheme="minorEastAsia" w:hAnsiTheme="minorEastAsia"/>
          <w:b w:val="0"/>
          <w:bCs/>
          <w:sz w:val="28"/>
          <w:szCs w:val="28"/>
          <w:lang w:val="en-US" w:eastAsia="zh-CN"/>
        </w:rPr>
        <w:t xml:space="preserve">160万元。</w:t>
      </w:r>
      <w:r/>
    </w:p>
    <w:p>
      <w:pPr>
        <w:spacing w:line="594" w:lineRule="exact"/>
        <w:rPr>
          <w:rFonts w:hint="eastAsia" w:asciiTheme="minorEastAsia" w:hAnsiTheme="minorEastAsia"/>
          <w:sz w:val="28"/>
          <w:szCs w:val="28"/>
          <w:lang w:val="en-US" w:eastAsia="zh-CN"/>
        </w:rPr>
      </w:pPr>
      <w:r>
        <w:rPr>
          <w:rFonts w:hint="eastAsia" w:cs="黑体" w:asciiTheme="minorEastAsia" w:hAnsiTheme="minorEastAsia"/>
          <w:b/>
          <w:sz w:val="28"/>
          <w:szCs w:val="28"/>
          <w:lang w:val="en-US" w:eastAsia="zh-CN"/>
        </w:rPr>
        <w:t xml:space="preserve">五、付款方式：</w:t>
      </w:r>
      <w:r/>
    </w:p>
    <w:p>
      <w:pPr>
        <w:ind w:firstLine="560"/>
        <w:spacing w:line="594" w:lineRule="exact"/>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合作期限内，甲方以转账形式支付到乙方指定账户，全年合作费用在当年底结清。</w:t>
      </w:r>
      <w:r/>
    </w:p>
    <w:p>
      <w:pPr>
        <w:jc w:val="left"/>
        <w:spacing w:line="360" w:lineRule="auto"/>
        <w:rPr>
          <w:rFonts w:ascii="宋体" w:hAnsi="宋体" w:cs="宋体"/>
          <w:b/>
          <w:sz w:val="28"/>
        </w:rPr>
      </w:pPr>
      <w:r>
        <w:rPr>
          <w:rFonts w:ascii="宋体" w:hAnsi="宋体" w:cs="宋体"/>
          <w:b/>
          <w:sz w:val="28"/>
        </w:rPr>
      </w:r>
      <w:r/>
    </w:p>
    <w:p>
      <w:pPr>
        <w:pStyle w:val="943"/>
        <w:rPr>
          <w:rFonts w:ascii="等线 Light" w:hAnsi="等线 Light" w:eastAsia="等线 Light" w:cs="宋体"/>
          <w:color w:val="000000"/>
          <w:szCs w:val="24"/>
        </w:rPr>
      </w:pPr>
      <w:r/>
      <w:bookmarkStart w:id="169" w:name="_Toc120614281"/>
      <w:r>
        <w:rPr>
          <w:rFonts w:hint="eastAsia" w:ascii="宋体" w:hAnsi="宋体" w:cs="宋体"/>
          <w:color w:val="000000"/>
          <w:szCs w:val="24"/>
        </w:rPr>
        <w:t xml:space="preserve">             </w:t>
      </w:r>
      <w:r>
        <w:rPr>
          <w:rFonts w:hint="eastAsia" w:ascii="黑体" w:hAnsi="Times New Roman" w:eastAsia="黑体"/>
          <w:bCs/>
          <w:sz w:val="44"/>
          <w:szCs w:val="28"/>
        </w:rPr>
        <w:t xml:space="preserve">第五章  </w:t>
      </w:r>
      <w:bookmarkEnd w:id="167"/>
      <w:r/>
      <w:bookmarkEnd w:id="168"/>
      <w:r/>
      <w:bookmarkEnd w:id="169"/>
      <w:r>
        <w:rPr>
          <w:rFonts w:hint="eastAsia" w:ascii="黑体" w:hAnsi="Times New Roman" w:eastAsia="黑体"/>
          <w:bCs/>
          <w:sz w:val="44"/>
          <w:szCs w:val="28"/>
        </w:rPr>
        <w:t xml:space="preserve">响应文件格式 </w:t>
      </w:r>
      <w:r/>
    </w:p>
    <w:p>
      <w:pPr>
        <w:jc w:val="center"/>
        <w:rPr>
          <w:rFonts w:ascii="宋体" w:hAnsi="宋体"/>
          <w:b/>
          <w:sz w:val="72"/>
          <w:szCs w:val="21"/>
        </w:rPr>
      </w:pPr>
      <w:r/>
      <w:bookmarkStart w:id="170" w:name="_Hlt26955039"/>
      <w:r/>
      <w:bookmarkEnd w:id="170"/>
      <w:r/>
      <w:bookmarkStart w:id="171" w:name="_Hlt26671244"/>
      <w:r/>
      <w:bookmarkEnd w:id="171"/>
      <w:r/>
      <w:bookmarkStart w:id="172" w:name="OLE_LINK26"/>
      <w:r/>
      <w:bookmarkStart w:id="173" w:name="OLE_LINK16"/>
      <w:r/>
      <w:bookmarkStart w:id="174" w:name="_Toc49090576"/>
      <w:r/>
      <w:bookmarkStart w:id="175" w:name="_Toc120614282"/>
      <w:r/>
      <w:bookmarkStart w:id="176" w:name="_Toc26554094"/>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pStyle w:val="662"/>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bookmarkEnd w:id="172"/>
      <w:bookmarkEnd w:id="173"/>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rPr>
          <w:rFonts w:ascii="黑体" w:hAnsi="黑体" w:eastAsia="黑体"/>
          <w:i/>
          <w:sz w:val="32"/>
          <w:szCs w:val="32"/>
          <w:u w:val="single"/>
        </w:rPr>
      </w:pPr>
      <w:r>
        <w:rPr>
          <w:rFonts w:hint="eastAsia" w:ascii="黑体" w:hAnsi="黑体" w:eastAsia="黑体"/>
          <w:i/>
          <w:sz w:val="32"/>
          <w:szCs w:val="32"/>
          <w:u w:val="single"/>
        </w:rPr>
        <w:t xml:space="preserve">一、</w:t>
      </w:r>
      <w:r>
        <w:rPr>
          <w:rFonts w:ascii="SimHei" w:hAnsi="SimHei" w:eastAsia="SimHei" w:cs="SimHei"/>
          <w:i/>
          <w:color w:val="000000"/>
          <w:sz w:val="32"/>
          <w:u w:val="single"/>
        </w:rPr>
        <w:t xml:space="preserve">具有独立承担民事责任的能力</w:t>
      </w:r>
      <w:r>
        <w:rPr>
          <w:rFonts w:hint="eastAsia" w:ascii="黑体" w:hAnsi="黑体" w:eastAsia="黑体"/>
          <w:i/>
          <w:sz w:val="32"/>
          <w:szCs w:val="32"/>
          <w:u w:val="single"/>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pStyle w:val="647"/>
        <w:pageBreakBefore w:val="0"/>
        <w:spacing w:line="360" w:lineRule="auto"/>
        <w:rPr>
          <w:rFonts w:hint="eastAsia" w:ascii="宋体" w:hAnsi="宋体" w:eastAsia="宋体" w:cs="Times New Roman"/>
          <w:bCs w:val="0"/>
          <w:sz w:val="21"/>
          <w:szCs w:val="21"/>
          <w:highlight w:val="none"/>
        </w:rPr>
      </w:pPr>
      <w:r>
        <w:rPr>
          <w:rFonts w:hint="eastAsia" w:ascii="黑体" w:hAnsi="黑体" w:eastAsia="黑体"/>
          <w:i/>
          <w:sz w:val="32"/>
          <w:szCs w:val="32"/>
          <w:u w:val="single"/>
        </w:rPr>
        <w:t xml:space="preserve">二、</w:t>
      </w:r>
      <w:bookmarkStart w:id="177" w:name="OLE_LINK19"/>
      <w:r/>
      <w:bookmarkStart w:id="178" w:name="OLE_LINK27"/>
      <w:r>
        <w:rPr>
          <w:rFonts w:hint="eastAsia" w:ascii="黑体" w:hAnsi="黑体" w:eastAsia="黑体"/>
          <w:i/>
          <w:sz w:val="32"/>
          <w:szCs w:val="32"/>
          <w:u w:val="single"/>
        </w:rPr>
        <w:t xml:space="preserve">供应商资格声明书</w:t>
      </w:r>
      <w:r>
        <w:rPr>
          <w:rFonts w:hint="eastAsia" w:ascii="宋体" w:hAnsi="宋体" w:eastAsia="宋体" w:cs="Times New Roman"/>
          <w:bCs w:val="0"/>
          <w:sz w:val="21"/>
          <w:szCs w:val="21"/>
          <w:highlight w:val="none"/>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在参与本次项目响应中，我单位承诺：</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具有依法缴纳税收和社会保障资金的良好记录；</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上述声明真实有效，否则我方负全部责任。</w:t>
      </w:r>
      <w:r/>
    </w:p>
    <w:p>
      <w:pPr>
        <w:ind w:firstLine="420"/>
        <w:pageBreakBefore w:val="0"/>
        <w:spacing w:line="360" w:lineRule="auto"/>
        <w:rPr>
          <w:rFonts w:hint="default" w:ascii="Calibri" w:hAnsi="Calibri" w:eastAsia="宋体" w:cs="Times New Roman"/>
          <w:szCs w:val="21"/>
          <w:highlight w:val="none"/>
        </w:rPr>
      </w:pPr>
      <w:r>
        <w:rPr>
          <w:rFonts w:hint="eastAsia" w:ascii="Calibri" w:hAnsi="Calibri" w:eastAsia="宋体" w:cs="Times New Roman"/>
          <w:szCs w:val="21"/>
          <w:highlight w:val="none"/>
        </w:rPr>
      </w:r>
      <w:r/>
    </w:p>
    <w:p>
      <w:pPr>
        <w:pageBreakBefore w:val="0"/>
        <w:spacing w:line="360" w:lineRule="auto"/>
        <w:rPr>
          <w:rFonts w:hint="default" w:ascii="Calibri" w:hAnsi="Calibri" w:eastAsia="宋体" w:cs="Times New Roman"/>
          <w:szCs w:val="21"/>
          <w:highlight w:val="none"/>
        </w:rPr>
      </w:pPr>
      <w:r>
        <w:rPr>
          <w:rFonts w:hint="default" w:ascii="Calibri" w:hAnsi="Calibri" w:eastAsia="宋体" w:cs="Times New Roman"/>
          <w:szCs w:val="21"/>
          <w:highlight w:val="none"/>
        </w:rPr>
      </w:r>
      <w:r/>
    </w:p>
    <w:p>
      <w:pPr>
        <w:jc w:val="right"/>
        <w:pageBreakBefore w:val="0"/>
        <w:spacing w:before="25" w:after="25" w:line="360" w:lineRule="auto"/>
        <w:rPr>
          <w:rFonts w:hint="default" w:ascii="Calibri" w:hAnsi="Calibri" w:eastAsia="宋体" w:cs="Times New Roman"/>
          <w:szCs w:val="21"/>
          <w:highlight w:val="none"/>
        </w:rPr>
      </w:pPr>
      <w:r>
        <w:rPr>
          <w:rFonts w:hint="eastAsia" w:ascii="Calibri" w:hAnsi="Calibri" w:eastAsia="宋体" w:cs="Times New Roman"/>
          <w:szCs w:val="21"/>
          <w:highlight w:val="none"/>
        </w:rPr>
        <w:t xml:space="preserve">供应商名称（加盖公章）：</w:t>
      </w:r>
      <w:r>
        <w:rPr>
          <w:rFonts w:hint="eastAsia" w:ascii="Calibri" w:hAnsi="Calibri" w:eastAsia="宋体" w:cs="Times New Roman"/>
          <w:szCs w:val="21"/>
          <w:highlight w:val="none"/>
          <w:u w:val="single"/>
        </w:rPr>
        <w:t xml:space="preserve">            </w:t>
      </w:r>
      <w:r>
        <w:rPr>
          <w:rFonts w:hint="eastAsia" w:ascii="Calibri" w:hAnsi="Calibri" w:eastAsia="宋体" w:cs="Times New Roman"/>
          <w:szCs w:val="21"/>
          <w:highlight w:val="none"/>
        </w:rPr>
        <w:t xml:space="preserve"> </w:t>
      </w:r>
      <w:r/>
    </w:p>
    <w:p>
      <w:pPr>
        <w:ind w:right="360" w:firstLine="480"/>
        <w:jc w:val="right"/>
        <w:pageBreakBefore w:val="0"/>
        <w:spacing w:line="360" w:lineRule="auto"/>
        <w:rPr>
          <w:rFonts w:hint="default" w:ascii="Calibri" w:hAnsi="Calibri" w:eastAsia="宋体" w:cs="Times New Roman"/>
          <w:szCs w:val="21"/>
          <w:highlight w:val="none"/>
        </w:rPr>
      </w:pPr>
      <w:r>
        <w:rPr>
          <w:rFonts w:hint="eastAsia" w:ascii="Calibri" w:hAnsi="Calibri" w:eastAsia="宋体" w:cs="Times New Roman"/>
          <w:szCs w:val="21"/>
          <w:highlight w:val="none"/>
        </w:rPr>
        <w:t xml:space="preserve">日期：</w:t>
      </w:r>
      <w:r>
        <w:rPr>
          <w:rFonts w:hint="eastAsia" w:ascii="Calibri" w:hAnsi="Calibri" w:eastAsia="宋体" w:cs="Times New Roman"/>
          <w:szCs w:val="21"/>
          <w:highlight w:val="none"/>
          <w:u w:val="single"/>
        </w:rPr>
        <w:t xml:space="preserve"> </w:t>
      </w:r>
      <w:r>
        <w:rPr>
          <w:rFonts w:hint="default" w:ascii="Calibri" w:hAnsi="Calibri" w:eastAsia="宋体" w:cs="Times New Roman"/>
          <w:szCs w:val="21"/>
          <w:highlight w:val="none"/>
          <w:u w:val="single"/>
        </w:rPr>
        <w:t xml:space="preserve">  </w:t>
      </w:r>
      <w:r>
        <w:rPr>
          <w:rFonts w:hint="eastAsia" w:ascii="Calibri" w:hAnsi="Calibri" w:eastAsia="宋体" w:cs="Times New Roman"/>
          <w:szCs w:val="21"/>
          <w:highlight w:val="none"/>
          <w:u w:val="single"/>
        </w:rPr>
        <w:t xml:space="preserve">  </w:t>
      </w:r>
      <w:r>
        <w:rPr>
          <w:rFonts w:hint="eastAsia" w:ascii="Calibri" w:hAnsi="Calibri" w:eastAsia="宋体" w:cs="Times New Roman"/>
          <w:szCs w:val="21"/>
          <w:highlight w:val="none"/>
        </w:rPr>
        <w:t xml:space="preserve">年</w:t>
      </w:r>
      <w:r>
        <w:rPr>
          <w:rFonts w:hint="eastAsia" w:ascii="Calibri" w:hAnsi="Calibri" w:eastAsia="宋体" w:cs="Times New Roman"/>
          <w:szCs w:val="21"/>
          <w:highlight w:val="none"/>
          <w:u w:val="single"/>
        </w:rPr>
        <w:t xml:space="preserve">    </w:t>
      </w:r>
      <w:r>
        <w:rPr>
          <w:rFonts w:hint="eastAsia" w:ascii="Calibri" w:hAnsi="Calibri" w:eastAsia="宋体" w:cs="Times New Roman"/>
          <w:szCs w:val="21"/>
          <w:highlight w:val="none"/>
        </w:rPr>
        <w:t xml:space="preserve">月</w:t>
      </w:r>
      <w:r>
        <w:rPr>
          <w:rFonts w:hint="eastAsia" w:ascii="Calibri" w:hAnsi="Calibri" w:eastAsia="宋体" w:cs="Times New Roman"/>
          <w:szCs w:val="21"/>
          <w:highlight w:val="none"/>
          <w:u w:val="single"/>
        </w:rPr>
        <w:t xml:space="preserve">    </w:t>
      </w:r>
      <w:r>
        <w:rPr>
          <w:rFonts w:hint="eastAsia" w:ascii="Calibri" w:hAnsi="Calibri" w:eastAsia="宋体" w:cs="Times New Roman"/>
          <w:szCs w:val="21"/>
          <w:highlight w:val="none"/>
        </w:rPr>
        <w:t xml:space="preserve">日</w:t>
      </w:r>
      <w:r/>
    </w:p>
    <w:p>
      <w:pPr>
        <w:jc w:val="right"/>
        <w:pageBreakBefore w:val="0"/>
        <w:spacing w:before="25" w:after="25" w:line="360" w:lineRule="auto"/>
        <w:rPr>
          <w:rFonts w:hint="default" w:ascii="Calibri" w:hAnsi="Calibri" w:eastAsia="宋体" w:cs="Times New Roman"/>
          <w:szCs w:val="21"/>
          <w:highlight w:val="none"/>
        </w:rPr>
      </w:pPr>
      <w:r>
        <w:rPr>
          <w:rFonts w:hint="default" w:ascii="Calibri" w:hAnsi="Calibri" w:eastAsia="宋体" w:cs="Times New Roman"/>
          <w:szCs w:val="21"/>
          <w:highlight w:val="none"/>
        </w:rPr>
      </w:r>
      <w:r/>
    </w:p>
    <w:p>
      <w:pPr>
        <w:pageBreakBefore w:val="0"/>
        <w:spacing w:line="360" w:lineRule="auto"/>
        <w:rPr>
          <w:rFonts w:hint="default" w:ascii="Calibri" w:hAnsi="Calibri" w:eastAsia="宋体" w:cs="Times New Roman"/>
          <w:szCs w:val="21"/>
          <w:highlight w:val="none"/>
        </w:rPr>
      </w:pPr>
      <w:r>
        <w:rPr>
          <w:rFonts w:hint="default" w:ascii="Calibri" w:hAnsi="Calibri" w:eastAsia="宋体" w:cs="Times New Roman"/>
          <w:szCs w:val="21"/>
          <w:highlight w:val="none"/>
        </w:rPr>
      </w:r>
      <w:r/>
    </w:p>
    <w:p>
      <w:pPr>
        <w:ind w:firstLine="480"/>
        <w:jc w:val="left"/>
        <w:spacing w:line="420" w:lineRule="exact"/>
        <w:rPr>
          <w:rFonts w:ascii="宋体" w:hAnsi="宋体"/>
          <w:sz w:val="24"/>
          <w:szCs w:val="21"/>
        </w:rPr>
      </w:pPr>
      <w:r>
        <w:rPr>
          <w:rFonts w:hint="eastAsia" w:ascii="Calibri" w:hAnsi="Calibri" w:eastAsia="宋体" w:cs="Times New Roman"/>
          <w:szCs w:val="21"/>
          <w:highlight w:val="none"/>
        </w:rPr>
        <w:t xml:space="preserve">说明：供应商承诺不实的，依据《</w:t>
      </w:r>
      <w:r>
        <w:rPr>
          <w:rFonts w:hint="eastAsia" w:ascii="宋体" w:hAnsi="宋体" w:eastAsia="宋体" w:cs="宋体"/>
          <w:szCs w:val="21"/>
          <w:highlight w:val="none"/>
        </w:rPr>
        <w:t xml:space="preserve">中华人民共和国政府采购法</w:t>
      </w:r>
      <w:r>
        <w:rPr>
          <w:rFonts w:hint="eastAsia" w:ascii="Calibri" w:hAnsi="Calibri" w:eastAsia="宋体" w:cs="Times New Roman"/>
          <w:szCs w:val="21"/>
          <w:highlight w:val="none"/>
        </w:rPr>
        <w:t xml:space="preserve">》第七十七条“提供虚假材料谋取中标、成交的”有关规定予以处理。</w:t>
      </w:r>
      <w:bookmarkEnd w:id="177"/>
      <w:bookmarkEnd w:id="178"/>
      <w:r/>
    </w:p>
    <w:p>
      <w:pPr>
        <w:jc w:val="cente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bookmarkEnd w:id="174"/>
      <w:bookmarkEnd w:id="175"/>
      <w:bookmarkEnd w:id="176"/>
      <w:r/>
    </w:p>
    <w:p>
      <w:pPr>
        <w:spacing w:line="460" w:lineRule="exact"/>
        <w:rPr>
          <w:rFonts w:ascii="宋体" w:hAnsi="宋体"/>
          <w:bCs/>
          <w:sz w:val="24"/>
          <w:szCs w:val="21"/>
        </w:rPr>
      </w:pPr>
      <w:r/>
      <w:bookmarkStart w:id="179" w:name="_Toc120614284"/>
      <w:r/>
      <w:r/>
    </w:p>
    <w:p>
      <w:pPr>
        <w:jc w:val="cente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、法人授权书</w:t>
      </w:r>
      <w:r/>
    </w:p>
    <w:p>
      <w:pPr>
        <w:ind w:firstLine="480"/>
        <w:tabs>
          <w:tab w:val="left" w:pos="360" w:leader="none"/>
        </w:tabs>
        <w:rPr>
          <w:rFonts w:ascii="Times New Roman" w:hAnsi="Times New Roman"/>
          <w:sz w:val="24"/>
        </w:rPr>
      </w:pPr>
      <w:r>
        <w:rPr>
          <w:rFonts w:hint="eastAsia" w:ascii="Times New Roman" w:hAnsi="Times New Roman"/>
          <w:sz w:val="24"/>
        </w:rPr>
        <w:t xml:space="preserve">本授权书声明：____________（供应商名称）授权________________（被授权人的姓名）为我方就 </w:t>
      </w:r>
      <w:r>
        <w:rPr>
          <w:rFonts w:hint="eastAsia" w:ascii="Times New Roman" w:hAnsi="Times New Roman"/>
          <w:sz w:val="24"/>
          <w:u w:val="single"/>
        </w:rPr>
        <w:t xml:space="preserve">             </w:t>
      </w:r>
      <w:r>
        <w:rPr>
          <w:rFonts w:hint="eastAsia" w:ascii="Times New Roman" w:hAnsi="Times New Roman"/>
          <w:sz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sz w:val="24"/>
        </w:rPr>
      </w:pPr>
      <w:r>
        <w:rPr>
          <w:rFonts w:hint="eastAsia" w:ascii="Times New Roman" w:hAnsi="Times New Roman"/>
          <w:sz w:val="24"/>
        </w:rPr>
        <w:t xml:space="preserve">本授权书于______年____月____日起生效，特此声明。</w:t>
      </w:r>
      <w:r/>
    </w:p>
    <w:p>
      <w:pPr>
        <w:ind w:firstLine="480"/>
        <w:tabs>
          <w:tab w:val="left" w:pos="360" w:leader="none"/>
        </w:tabs>
        <w:rPr>
          <w:rFonts w:ascii="Times New Roman" w:hAnsi="Times New Roman"/>
          <w:sz w:val="24"/>
        </w:rPr>
      </w:pPr>
      <w:r>
        <w:rPr>
          <w:rFonts w:hint="eastAsia" w:ascii="Times New Roman" w:hAnsi="Times New Roman"/>
          <w:sz w:val="24"/>
        </w:rPr>
        <w:t xml:space="preserve">被授权人身份证号码：</w:t>
      </w:r>
      <w:r>
        <w:rPr>
          <w:rFonts w:hint="eastAsia" w:ascii="Times New Roman" w:hAnsi="Times New Roman"/>
          <w:sz w:val="24"/>
          <w:u w:val="single"/>
        </w:rPr>
        <w:t xml:space="preserve">                              </w:t>
      </w:r>
      <w:r/>
    </w:p>
    <w:p>
      <w:pPr>
        <w:ind w:firstLine="480"/>
        <w:tabs>
          <w:tab w:val="left" w:pos="360" w:leader="none"/>
        </w:tabs>
        <w:rPr>
          <w:rFonts w:ascii="Times New Roman" w:hAnsi="Times New Roman"/>
          <w:sz w:val="24"/>
        </w:rPr>
      </w:pPr>
      <w:r>
        <w:rPr>
          <w:rFonts w:hint="eastAsia" w:ascii="Times New Roman" w:hAnsi="Times New Roman"/>
          <w:sz w:val="24"/>
        </w:rPr>
        <w:t xml:space="preserve">被授权人联系电话：（手机）</w:t>
      </w:r>
      <w:r>
        <w:rPr>
          <w:rFonts w:hint="eastAsia" w:ascii="Times New Roman" w:hAnsi="Times New Roman"/>
          <w:sz w:val="24"/>
          <w:u w:val="single"/>
        </w:rPr>
        <w:t xml:space="preserve">                          </w:t>
      </w:r>
      <w:r/>
    </w:p>
    <w:p>
      <w:pPr>
        <w:ind w:firstLine="480"/>
        <w:tabs>
          <w:tab w:val="left" w:pos="360" w:leader="none"/>
        </w:tabs>
        <w:rPr>
          <w:rFonts w:ascii="Times New Roman" w:hAnsi="Times New Roman"/>
          <w:sz w:val="24"/>
        </w:rPr>
      </w:pPr>
      <w:r>
        <w:rPr>
          <w:rFonts w:hint="eastAsia" w:ascii="Times New Roman" w:hAnsi="Times New Roman"/>
          <w:sz w:val="24"/>
        </w:rPr>
        <w:t xml:space="preserve">授权单位名称：</w:t>
      </w:r>
      <w:r>
        <w:rPr>
          <w:rFonts w:hint="eastAsia" w:ascii="Times New Roman" w:hAnsi="Times New Roman"/>
          <w:sz w:val="24"/>
          <w:u w:val="single"/>
        </w:rPr>
        <w:t xml:space="preserve">（加盖CA电子公章）</w:t>
      </w:r>
      <w:r/>
    </w:p>
    <w:p>
      <w:pPr>
        <w:ind w:firstLine="480"/>
        <w:tabs>
          <w:tab w:val="left" w:pos="360" w:leader="none"/>
        </w:tabs>
        <w:rPr>
          <w:rFonts w:ascii="Times New Roman" w:hAnsi="Times New Roman"/>
          <w:sz w:val="24"/>
        </w:rPr>
      </w:pPr>
      <w:r>
        <w:rPr>
          <w:rFonts w:hint="eastAsia" w:ascii="Times New Roman" w:hAnsi="Times New Roman"/>
          <w:sz w:val="24"/>
        </w:rPr>
        <w:t xml:space="preserve">单位地址：</w:t>
      </w:r>
      <w:r>
        <w:rPr>
          <w:rFonts w:hint="eastAsia" w:ascii="Times New Roman" w:hAnsi="Times New Roman"/>
          <w:sz w:val="24"/>
          <w:u w:val="single"/>
        </w:rPr>
        <w:t xml:space="preserve">                                         </w:t>
      </w:r>
      <w:r/>
    </w:p>
    <w:p>
      <w:pPr>
        <w:ind w:firstLine="480"/>
        <w:tabs>
          <w:tab w:val="left" w:pos="360" w:leader="none"/>
        </w:tabs>
        <w:rPr>
          <w:rFonts w:ascii="Times New Roman" w:hAnsi="Times New Roman"/>
          <w:sz w:val="24"/>
        </w:rPr>
      </w:pPr>
      <w:r>
        <w:rPr>
          <w:rFonts w:hint="eastAsia" w:ascii="Times New Roman" w:hAnsi="Times New Roman"/>
          <w:sz w:val="24"/>
        </w:rPr>
        <w:t xml:space="preserve">日期：</w:t>
      </w:r>
      <w:bookmarkStart w:id="180" w:name="_Hlt26671380"/>
      <w:r/>
      <w:bookmarkEnd w:id="180"/>
      <w:r/>
      <w:bookmarkStart w:id="181" w:name="_Hlt26955070"/>
      <w:r/>
      <w:bookmarkEnd w:id="181"/>
      <w:r/>
      <w:bookmarkStart w:id="182" w:name="_格式3__银行出具的资信证明"/>
      <w:r/>
      <w:bookmarkEnd w:id="182"/>
      <w:r>
        <w:rPr>
          <w:rFonts w:hint="eastAsia" w:ascii="Times New Roman" w:hAnsi="Times New Roman"/>
          <w:sz w:val="24"/>
          <w:u w:val="single"/>
        </w:rPr>
        <w:t xml:space="preserve">                                         </w:t>
      </w:r>
      <w:r/>
    </w:p>
    <w:p>
      <w:pPr>
        <w:ind w:firstLine="480"/>
        <w:tabs>
          <w:tab w:val="left" w:pos="360" w:leader="none"/>
        </w:tabs>
        <w:rPr>
          <w:rFonts w:ascii="Times New Roman" w:hAnsi="Times New Roman"/>
          <w:sz w:val="24"/>
          <w:u w:val="single"/>
        </w:rPr>
      </w:pPr>
      <w:r>
        <w:rPr>
          <w:rFonts w:ascii="Times New Roman" w:hAnsi="Times New Roman"/>
          <w:sz w:val="24"/>
          <w:u w:val="single"/>
        </w:rPr>
      </w:r>
      <w:r/>
    </w:p>
    <w:p>
      <w:pPr>
        <w:ind w:firstLine="480"/>
        <w:tabs>
          <w:tab w:val="left" w:pos="360" w:leader="none"/>
        </w:tabs>
        <w:rPr>
          <w:rFonts w:ascii="Times New Roman" w:hAnsi="Times New Roman"/>
          <w:sz w:val="24"/>
        </w:rPr>
      </w:pPr>
      <w:r>
        <w:rPr>
          <w:rFonts w:ascii="Times New Roman" w:hAnsi="Times New Roman"/>
          <w:sz w:val="24"/>
        </w:rPr>
      </w:r>
      <w:r/>
    </w:p>
    <w:p>
      <w:pPr>
        <w:ind w:firstLine="420"/>
        <w:rPr>
          <w:rFonts w:ascii="Times New Roman" w:hAnsi="Times New Roman"/>
          <w:i/>
          <w:sz w:val="24"/>
          <w:u w:val="single"/>
        </w:rPr>
      </w:pPr>
      <w:r>
        <w:rPr>
          <w:rFonts w:ascii="Times New Roman" w:hAnsi="Times New Roman"/>
          <w:i/>
          <w:sz w:val="24"/>
          <w:u w:val="single"/>
        </w:rPr>
      </w:r>
      <w:r/>
    </w:p>
    <w:p>
      <w:pPr>
        <w:rPr>
          <w:rFonts w:ascii="Times New Roman" w:hAnsi="Times New Roman"/>
          <w:szCs w:val="21"/>
        </w:rPr>
      </w:pPr>
      <w:r>
        <w:rPr>
          <w:rFonts w:ascii="Times New Roman" w:hAnsi="Times New Roman"/>
          <w:szCs w:val="21"/>
        </w:rPr>
      </w:r>
      <w:r/>
    </w:p>
    <w:p>
      <w:pPr>
        <w:ind w:firstLine="3390"/>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lang w:val="en-US" w:eastAsia="zh-CN"/>
        </w:rPr>
        <w:t xml:space="preserve">五</w:t>
      </w:r>
      <w:r>
        <w:rPr>
          <w:rFonts w:hint="eastAsia" w:ascii="黑体" w:hAnsi="黑体" w:eastAsia="黑体" w:cs="Arial"/>
          <w:b/>
          <w:i/>
          <w:sz w:val="32"/>
          <w:szCs w:val="32"/>
          <w:u w:val="single"/>
        </w:rPr>
        <w:t xml:space="preserve">、</w:t>
      </w:r>
      <w:r>
        <w:rPr>
          <w:rFonts w:hint="eastAsia" w:ascii="黑体" w:hAnsi="黑体" w:eastAsia="黑体"/>
          <w:b/>
          <w:i/>
          <w:sz w:val="32"/>
          <w:szCs w:val="32"/>
          <w:u w:val="single"/>
        </w:rPr>
        <w:t xml:space="preserve">单一来源响应函</w:t>
      </w:r>
      <w:r/>
    </w:p>
    <w:p>
      <w:pPr>
        <w:jc w:val="left"/>
        <w:spacing w:line="420" w:lineRule="exact"/>
        <w:rPr>
          <w:rFonts w:hint="eastAsia" w:ascii="宋体" w:hAnsi="宋体" w:eastAsiaTheme="minorEastAsia"/>
          <w:sz w:val="24"/>
          <w:szCs w:val="21"/>
          <w:lang w:eastAsia="zh-CN"/>
        </w:rPr>
      </w:pPr>
      <w:r/>
      <w:bookmarkStart w:id="183" w:name="OLE_LINK23"/>
      <w:r>
        <w:rPr>
          <w:rFonts w:hint="eastAsia" w:ascii="宋体" w:hAnsi="宋体"/>
          <w:sz w:val="24"/>
          <w:szCs w:val="21"/>
        </w:rPr>
        <w:t xml:space="preserve">致：</w:t>
      </w:r>
      <w:r>
        <w:rPr>
          <w:rFonts w:hint="eastAsia" w:ascii="宋体" w:hAnsi="宋体"/>
          <w:sz w:val="24"/>
          <w:szCs w:val="21"/>
          <w:lang w:eastAsia="zh-CN"/>
        </w:rPr>
        <w:t xml:space="preserve">泰州市兴和造价工程师事务所有限公司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 </w:t>
      </w:r>
      <w:r>
        <w:rPr>
          <w:rFonts w:hint="eastAsia" w:ascii="宋体" w:hAnsi="宋体"/>
          <w:b/>
          <w:sz w:val="36"/>
          <w:u w:val="single"/>
        </w:rPr>
        <w:t xml:space="preserve">    </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ind w:firstLine="480"/>
        <w:jc w:val="left"/>
        <w:spacing w:line="42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ind w:firstLine="480"/>
        <w:spacing w:line="400" w:lineRule="exact"/>
        <w:rPr>
          <w:rFonts w:ascii="宋体" w:hAnsi="宋体" w:cs="宋体"/>
          <w:bCs/>
          <w:sz w:val="24"/>
          <w:lang w:bidi="ar"/>
        </w:rPr>
      </w:pPr>
      <w:r>
        <w:rPr>
          <w:rFonts w:ascii="宋体" w:hAnsi="宋体" w:cs="宋体"/>
          <w:bCs/>
          <w:sz w:val="24"/>
          <w:lang w:bidi="ar"/>
        </w:rPr>
      </w:r>
      <w:r/>
    </w:p>
    <w:p>
      <w:pPr>
        <w:ind w:firstLine="480"/>
        <w:spacing w:line="400" w:lineRule="exact"/>
        <w:rPr>
          <w:rFonts w:ascii="宋体" w:hAnsi="宋体" w:cs="宋体"/>
          <w:bCs/>
          <w:sz w:val="24"/>
          <w:lang w:bidi="ar"/>
        </w:rPr>
      </w:pPr>
      <w:r>
        <w:rPr>
          <w:rFonts w:ascii="宋体" w:hAnsi="宋体" w:cs="宋体"/>
          <w:bCs/>
          <w:sz w:val="24"/>
          <w:lang w:bidi="ar"/>
        </w:rPr>
      </w:r>
      <w:r/>
    </w:p>
    <w:p>
      <w:pPr>
        <w:ind w:firstLine="480"/>
        <w:spacing w:line="400" w:lineRule="exact"/>
        <w:rPr>
          <w:rFonts w:ascii="宋体" w:hAnsi="宋体" w:cs="宋体"/>
          <w:bCs/>
          <w:sz w:val="24"/>
        </w:rPr>
      </w:pPr>
      <w:r>
        <w:rPr>
          <w:rFonts w:hint="eastAsia" w:ascii="宋体" w:hAnsi="宋体" w:cs="宋体"/>
          <w:bCs/>
          <w:sz w:val="24"/>
          <w:lang w:bidi="ar"/>
        </w:rPr>
        <w:t xml:space="preserve">报价人（盖章）：     </w:t>
      </w:r>
      <w:r/>
    </w:p>
    <w:p>
      <w:pPr>
        <w:ind w:firstLine="480"/>
        <w:spacing w:line="400" w:lineRule="exact"/>
        <w:rPr>
          <w:rFonts w:ascii="宋体" w:hAnsi="宋体" w:cs="宋体"/>
          <w:bCs/>
          <w:sz w:val="24"/>
        </w:rPr>
      </w:pPr>
      <w:r>
        <w:rPr>
          <w:rFonts w:hint="eastAsia" w:ascii="宋体" w:hAnsi="宋体" w:cs="宋体"/>
          <w:bCs/>
          <w:sz w:val="24"/>
          <w:lang w:bidi="ar"/>
        </w:rPr>
        <w:t xml:space="preserve">法定代表人或法定代表人授权代表签字或盖章：</w:t>
      </w:r>
      <w:r/>
    </w:p>
    <w:p>
      <w:pPr>
        <w:ind w:firstLine="480"/>
        <w:spacing w:line="400" w:lineRule="exact"/>
        <w:rPr>
          <w:rFonts w:ascii="宋体" w:hAnsi="宋体" w:cs="宋体"/>
          <w:bCs/>
          <w:sz w:val="24"/>
        </w:rPr>
      </w:pPr>
      <w:r>
        <w:rPr>
          <w:rFonts w:hint="eastAsia" w:ascii="宋体" w:hAnsi="宋体" w:cs="宋体"/>
          <w:bCs/>
          <w:sz w:val="24"/>
          <w:lang w:bidi="ar"/>
        </w:rPr>
        <w:t xml:space="preserve">电话：                              传真：</w:t>
      </w:r>
      <w:r/>
    </w:p>
    <w:p>
      <w:pPr>
        <w:ind w:firstLine="480"/>
        <w:spacing w:line="400" w:lineRule="exact"/>
        <w:rPr>
          <w:rFonts w:ascii="宋体" w:hAnsi="宋体" w:cs="宋体"/>
          <w:bCs/>
          <w:sz w:val="24"/>
        </w:rPr>
      </w:pPr>
      <w:r>
        <w:rPr>
          <w:rFonts w:hint="eastAsia" w:ascii="宋体" w:hAnsi="宋体" w:cs="宋体"/>
          <w:bCs/>
          <w:sz w:val="24"/>
          <w:lang w:bidi="ar"/>
        </w:rPr>
        <w:t xml:space="preserve">通讯地址：                          邮编：    </w:t>
      </w:r>
      <w:r/>
    </w:p>
    <w:p>
      <w:pPr>
        <w:ind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bookmarkEnd w:id="183"/>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Times New Roman" w:eastAsia="黑体" w:cs="黑体"/>
          <w:bCs/>
          <w:sz w:val="28"/>
          <w:szCs w:val="28"/>
        </w:rPr>
        <w:outlineLvl w:val="0"/>
      </w:pPr>
      <w:r>
        <w:rPr>
          <w:rFonts w:hint="eastAsia" w:ascii="宋体" w:hAnsi="宋体"/>
          <w:b/>
          <w:sz w:val="32"/>
          <w:szCs w:val="32"/>
        </w:rPr>
        <w:br w:type="page" w:clear="all"/>
      </w:r>
      <w:r>
        <w:rPr>
          <w:rFonts w:hint="eastAsia" w:ascii="宋体" w:hAnsi="宋体"/>
          <w:b/>
          <w:sz w:val="32"/>
          <w:szCs w:val="32"/>
          <w:lang w:val="en-US" w:eastAsia="zh-CN"/>
        </w:rPr>
        <w:t xml:space="preserve">六</w:t>
      </w:r>
      <w:r>
        <w:rPr>
          <w:rFonts w:hint="eastAsia" w:ascii="宋体" w:hAnsi="宋体"/>
          <w:b/>
          <w:sz w:val="32"/>
          <w:szCs w:val="32"/>
        </w:rPr>
        <w:t xml:space="preserve">、</w:t>
      </w:r>
      <w:bookmarkStart w:id="184" w:name="_Toc534561581"/>
      <w:r/>
      <w:bookmarkStart w:id="185" w:name="_Toc534561685"/>
      <w:r/>
      <w:bookmarkStart w:id="186" w:name="OLE_LINK15"/>
      <w:r>
        <w:rPr>
          <w:rFonts w:hint="eastAsia" w:ascii="黑体" w:hAnsi="Times New Roman" w:eastAsia="黑体" w:cs="黑体"/>
          <w:bCs/>
          <w:sz w:val="28"/>
          <w:szCs w:val="28"/>
          <w:lang w:bidi="ar"/>
        </w:rPr>
        <w:t xml:space="preserve">报价一览表</w:t>
      </w:r>
      <w:bookmarkEnd w:id="184"/>
      <w:r/>
      <w:bookmarkEnd w:id="185"/>
      <w:r/>
      <w:bookmarkEnd w:id="186"/>
      <w:r>
        <w:rPr>
          <w:rFonts w:hint="eastAsia" w:ascii="黑体" w:hAnsi="Times New Roman" w:eastAsia="黑体" w:cs="黑体"/>
          <w:bCs/>
          <w:sz w:val="28"/>
          <w:szCs w:val="28"/>
          <w:lang w:bidi="ar"/>
        </w:rPr>
        <w:t xml:space="preserve"> </w:t>
      </w:r>
      <w:r/>
    </w:p>
    <w:p>
      <w:r/>
      <w:r/>
    </w:p>
    <w:p>
      <w:pPr>
        <w:spacing w:line="360" w:lineRule="auto"/>
        <w:rPr>
          <w:rFonts w:ascii="黑体" w:hAnsi="Times New Roman" w:eastAsia="黑体" w:cs="黑体"/>
          <w:bCs/>
          <w:sz w:val="24"/>
          <w:lang w:bidi="ar"/>
        </w:rPr>
      </w:pPr>
      <w:r/>
      <w:bookmarkStart w:id="187" w:name="OLE_LINK20"/>
      <w:r/>
      <w:r/>
    </w:p>
    <w:p>
      <w:pPr>
        <w:spacing w:line="360" w:lineRule="auto"/>
        <w:rPr>
          <w:rFonts w:ascii="黑体" w:hAnsi="Times New Roman" w:eastAsia="黑体" w:cs="黑体"/>
          <w:bCs/>
          <w:sz w:val="24"/>
        </w:rPr>
      </w:pPr>
      <w:r>
        <w:rPr>
          <w:rFonts w:hint="eastAsia" w:ascii="黑体" w:hAnsi="Times New Roman" w:eastAsia="黑体" w:cs="黑体"/>
          <w:bCs/>
          <w:sz w:val="24"/>
          <w:lang w:bidi="ar"/>
        </w:rPr>
        <w:t xml:space="preserve">报价人名称（盖章）                         采购项目编号：</w:t>
      </w:r>
      <w:r>
        <w:rPr>
          <w:rFonts w:hint="eastAsia" w:ascii="宋体" w:hAnsi="宋体" w:cs="宋体"/>
          <w:sz w:val="24"/>
          <w:lang w:bidi="ar"/>
        </w:rPr>
        <w:t xml:space="preserve"> </w:t>
      </w:r>
      <w:r/>
    </w:p>
    <w:tbl>
      <w:tblPr>
        <w:tblStyle w:val="656"/>
        <w:tblpPr w:horzAnchor="page" w:tblpX="1885" w:vertAnchor="text" w:tblpY="598" w:leftFromText="180" w:topFromText="0" w:rightFromText="180" w:bottomFromText="0"/>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4"/>
        <w:gridCol w:w="3689"/>
      </w:tblGrid>
      <w:tr>
        <w:trPr>
          <w:cantSplit/>
          <w:trHeight w:val="567"/>
        </w:trPr>
        <w:tc>
          <w:tcPr>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689" w:type="dxa"/>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总报价  (小写)</w:t>
            </w:r>
            <w:r/>
          </w:p>
        </w:tc>
      </w:tr>
      <w:tr>
        <w:trPr>
          <w:cantSplit/>
          <w:trHeight w:val="1630"/>
        </w:trPr>
        <w:tc>
          <w:tcPr>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rPr>
                <w:rFonts w:hAnsi="宋体"/>
                <w:bCs/>
              </w:rPr>
            </w:pPr>
            <w:r>
              <w:rPr>
                <w:rFonts w:hAnsi="宋体"/>
                <w:bCs/>
              </w:rPr>
            </w:r>
            <w:r/>
          </w:p>
        </w:tc>
        <w:tc>
          <w:tcPr>
            <w:tcBorders>
              <w:top w:val="single" w:color="000000" w:sz="4" w:space="0"/>
              <w:left w:val="single" w:color="000000" w:sz="4" w:space="0"/>
              <w:bottom w:val="single" w:color="000000" w:sz="4" w:space="0"/>
              <w:right w:val="single" w:color="000000" w:sz="4" w:space="0"/>
            </w:tcBorders>
            <w:tcW w:w="3689" w:type="dxa"/>
            <w:vAlign w:val="center"/>
            <w:textDirection w:val="lrTb"/>
            <w:noWrap w:val="false"/>
          </w:tcPr>
          <w:p>
            <w:pPr>
              <w:pStyle w:val="937"/>
              <w:rPr>
                <w:rFonts w:hint="default" w:hAnsi="宋体"/>
                <w:b/>
                <w:szCs w:val="24"/>
              </w:rPr>
            </w:pPr>
            <w:r>
              <w:rPr>
                <w:rFonts w:hint="default" w:hAnsi="宋体"/>
                <w:b/>
                <w:szCs w:val="24"/>
              </w:rPr>
            </w:r>
            <w:r/>
          </w:p>
        </w:tc>
      </w:tr>
      <w:tr>
        <w:trPr>
          <w:cantSplit/>
          <w:trHeight w:val="780"/>
        </w:trPr>
        <w:tc>
          <w:tcPr>
            <w:gridSpan w:val="2"/>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rPr>
                <w:rFonts w:ascii="宋体" w:hAnsi="宋体" w:cs="宋体"/>
                <w:bCs/>
                <w:sz w:val="24"/>
              </w:rPr>
            </w:pPr>
            <w:r>
              <w:rPr>
                <w:rFonts w:hint="eastAsia" w:ascii="黑体" w:hAnsi="Times New Roman" w:eastAsia="黑体" w:cs="黑体"/>
                <w:sz w:val="24"/>
                <w:lang w:bidi="ar"/>
              </w:rPr>
              <w:t xml:space="preserve">总报价（大写）</w:t>
            </w:r>
            <w:r>
              <w:rPr>
                <w:rFonts w:hint="eastAsia" w:ascii="宋体" w:hAnsi="宋体" w:cs="宋体"/>
                <w:bCs/>
                <w:sz w:val="24"/>
                <w:lang w:bidi="ar"/>
              </w:rPr>
              <w:t xml:space="preserve">：　　　</w:t>
            </w:r>
            <w:bookmarkEnd w:id="187"/>
            <w:r/>
          </w:p>
        </w:tc>
      </w:tr>
    </w:tbl>
    <w:p>
      <w:pPr>
        <w:spacing w:before="5" w:line="560" w:lineRule="atLeast"/>
        <w:rPr>
          <w:rFonts w:ascii="宋体" w:hAnsi="宋体"/>
          <w:sz w:val="24"/>
        </w:rPr>
      </w:pPr>
      <w:r/>
      <w:bookmarkStart w:id="188" w:name="OLE_LINK21"/>
      <w:r/>
      <w:bookmarkStart w:id="189" w:name="OLE_LINK22"/>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bookmarkEnd w:id="188"/>
      <w:bookmarkEnd w:id="189"/>
      <w:r/>
    </w:p>
    <w:p>
      <w:pPr>
        <w:jc w:val="center"/>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b/>
          <w:sz w:val="32"/>
          <w:szCs w:val="32"/>
        </w:rPr>
        <w:t xml:space="preserve">、技术要求响应及偏离表</w:t>
      </w:r>
      <w:r/>
    </w:p>
    <w:tbl>
      <w:tblPr>
        <w:tblStyle w:val="656"/>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77"/>
        <w:gridCol w:w="3076"/>
        <w:gridCol w:w="1701"/>
      </w:tblGrid>
      <w:tr>
        <w:trPr>
          <w:cantSplit/>
        </w:trPr>
        <w:tc>
          <w:tcPr>
            <w:tcW w:w="95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877" w:type="dxa"/>
            <w:vAlign w:val="center"/>
            <w:textDirection w:val="lrTb"/>
            <w:noWrap w:val="false"/>
          </w:tcPr>
          <w:p>
            <w:pPr>
              <w:jc w:val="center"/>
              <w:rPr>
                <w:rFonts w:ascii="宋体" w:hAnsi="宋体"/>
                <w:sz w:val="24"/>
              </w:rPr>
            </w:pPr>
            <w:r>
              <w:rPr>
                <w:rFonts w:hint="eastAsia" w:ascii="宋体" w:hAnsi="宋体"/>
                <w:sz w:val="24"/>
              </w:rPr>
              <w:t xml:space="preserve">谈判文件要求</w:t>
            </w:r>
            <w:r/>
          </w:p>
        </w:tc>
        <w:tc>
          <w:tcPr>
            <w:tcW w:w="3076"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W w:w="1701"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r>
        <w:trPr>
          <w:cantSplit/>
          <w:trHeight w:val="640"/>
        </w:trPr>
        <w:tc>
          <w:tcPr>
            <w:tcW w:w="959" w:type="dxa"/>
            <w:textDirection w:val="lrTb"/>
            <w:noWrap w:val="false"/>
          </w:tcPr>
          <w:p>
            <w:pPr>
              <w:jc w:val="center"/>
              <w:rPr>
                <w:rFonts w:ascii="宋体" w:hAnsi="宋体"/>
                <w:sz w:val="24"/>
              </w:rPr>
            </w:pPr>
            <w:r>
              <w:rPr>
                <w:rFonts w:ascii="宋体" w:hAnsi="宋体"/>
                <w:sz w:val="24"/>
              </w:rPr>
            </w:r>
            <w:r/>
          </w:p>
        </w:tc>
        <w:tc>
          <w:tcPr>
            <w:tcW w:w="2877" w:type="dxa"/>
            <w:textDirection w:val="lrTb"/>
            <w:noWrap w:val="false"/>
          </w:tcPr>
          <w:p>
            <w:pPr>
              <w:jc w:val="center"/>
              <w:rPr>
                <w:rFonts w:ascii="宋体" w:hAnsi="宋体"/>
                <w:sz w:val="24"/>
              </w:rPr>
            </w:pPr>
            <w:r>
              <w:rPr>
                <w:rFonts w:ascii="宋体" w:hAnsi="宋体"/>
                <w:sz w:val="24"/>
              </w:rPr>
              <w:t xml:space="preserve">……</w:t>
            </w:r>
            <w:r/>
          </w:p>
        </w:tc>
        <w:tc>
          <w:tcPr>
            <w:tcW w:w="3076" w:type="dxa"/>
            <w:textDirection w:val="lrTb"/>
            <w:noWrap w:val="false"/>
          </w:tcPr>
          <w:p>
            <w:pPr>
              <w:jc w:val="center"/>
              <w:rPr>
                <w:rFonts w:ascii="宋体" w:hAnsi="宋体"/>
                <w:sz w:val="24"/>
              </w:rPr>
            </w:pPr>
            <w:r>
              <w:rPr>
                <w:rFonts w:ascii="宋体" w:hAnsi="宋体"/>
                <w:sz w:val="24"/>
              </w:rPr>
            </w:r>
            <w:r/>
          </w:p>
        </w:tc>
        <w:tc>
          <w:tcPr>
            <w:tcW w:w="1701"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注：行数不够，可自行添加。</w:t>
      </w:r>
      <w:r/>
    </w:p>
    <w:p>
      <w:pPr>
        <w:ind w:firstLine="480"/>
        <w:spacing w:line="360" w:lineRule="auto"/>
        <w:rPr>
          <w:rFonts w:ascii="宋体" w:hAnsi="宋体"/>
          <w:bCs/>
          <w:sz w:val="24"/>
        </w:rPr>
        <w:outlineLvl w:val="0"/>
      </w:pPr>
      <w:r>
        <w:rPr>
          <w:rFonts w:hint="eastAsia" w:ascii="宋体" w:hAnsi="宋体"/>
          <w:bCs/>
          <w:sz w:val="24"/>
        </w:rPr>
        <w:t xml:space="preserve">如无任何偏离，请于本表 中注明“无偏离”；</w:t>
      </w:r>
      <w:r/>
    </w:p>
    <w:p>
      <w:pPr>
        <w:ind w:firstLine="480"/>
        <w:spacing w:line="360" w:lineRule="auto"/>
        <w:rPr>
          <w:sz w:val="24"/>
        </w:rPr>
      </w:pPr>
      <w:r>
        <w:rPr>
          <w:rFonts w:hint="eastAsia" w:ascii="宋体" w:hAnsi="宋体"/>
          <w:bCs/>
          <w:sz w:val="24"/>
        </w:rPr>
        <w:t xml:space="preserve">如有偏离项，请于本表中列明偏离内容，如需要可自行延长，其余无偏离内容不须赘述。</w:t>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hint="eastAsia" w:ascii="宋体" w:hAnsi="宋体"/>
          <w:bCs/>
          <w:sz w:val="24"/>
        </w:rPr>
        <w:t xml:space="preserve">供应商名称 ：         （加盖CA电子公章）</w:t>
      </w:r>
      <w:r/>
    </w:p>
    <w:p>
      <w:pPr>
        <w:ind w:firstLine="480"/>
        <w:spacing w:line="360" w:lineRule="auto"/>
        <w:rPr>
          <w:rFonts w:ascii="宋体" w:hAnsi="宋体"/>
          <w:bCs/>
          <w:sz w:val="24"/>
        </w:rPr>
      </w:pPr>
      <w:r>
        <w:rPr>
          <w:rFonts w:hint="eastAsia" w:ascii="宋体" w:hAnsi="宋体"/>
          <w:bCs/>
          <w:sz w:val="24"/>
        </w:rPr>
        <w:t xml:space="preserve">法定代表人或法定代表人授权代表签字或盖章：</w:t>
      </w:r>
      <w:r/>
    </w:p>
    <w:p>
      <w:pPr>
        <w:ind w:firstLine="480"/>
        <w:spacing w:line="360" w:lineRule="auto"/>
        <w:rPr>
          <w:rFonts w:ascii="宋体" w:hAnsi="宋体"/>
          <w:bCs/>
          <w:sz w:val="24"/>
        </w:rPr>
      </w:pPr>
      <w:r>
        <w:rPr>
          <w:rFonts w:hint="eastAsia" w:ascii="宋体" w:hAnsi="宋体"/>
          <w:bCs/>
          <w:sz w:val="24"/>
        </w:rPr>
        <w:t xml:space="preserve">日      期 ：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79"/>
      <w:r/>
    </w:p>
    <w:p>
      <w:pPr>
        <w:jc w:val="center"/>
        <w:rPr>
          <w:rFonts w:ascii="黑体" w:hAnsi="黑体" w:eastAsia="黑体"/>
          <w:b/>
          <w:sz w:val="32"/>
          <w:szCs w:val="32"/>
        </w:rPr>
      </w:pPr>
      <w:r/>
      <w:bookmarkStart w:id="190" w:name="_Hlt26955054"/>
      <w:r/>
      <w:bookmarkEnd w:id="190"/>
      <w:r>
        <w:rPr>
          <w:rFonts w:hint="eastAsia" w:ascii="黑体" w:hAnsi="黑体" w:eastAsia="黑体"/>
          <w:b/>
          <w:sz w:val="32"/>
          <w:szCs w:val="32"/>
          <w:lang w:val="en-US" w:eastAsia="zh-CN"/>
        </w:rPr>
        <w:t xml:space="preserve">八</w:t>
      </w:r>
      <w:r>
        <w:rPr>
          <w:rFonts w:hint="eastAsia" w:ascii="黑体" w:hAnsi="黑体" w:eastAsia="黑体"/>
          <w:b/>
          <w:sz w:val="32"/>
          <w:szCs w:val="32"/>
        </w:rPr>
        <w:t xml:space="preserve">、商务要求响应及偏离表</w:t>
      </w:r>
      <w:r/>
    </w:p>
    <w:tbl>
      <w:tblPr>
        <w:tblStyle w:val="65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735"/>
        <w:gridCol w:w="3218"/>
        <w:gridCol w:w="1559"/>
      </w:tblGrid>
      <w:tr>
        <w:trPr>
          <w:cantSplit/>
          <w:trHeight w:val="641"/>
        </w:trPr>
        <w:tc>
          <w:tcPr>
            <w:tcW w:w="993" w:type="dxa"/>
            <w:vAlign w:val="center"/>
            <w:textDirection w:val="lrTb"/>
            <w:noWrap w:val="false"/>
          </w:tcPr>
          <w:p>
            <w:pPr>
              <w:jc w:val="center"/>
              <w:rPr>
                <w:rFonts w:ascii="宋体" w:hAnsi="宋体"/>
                <w:sz w:val="24"/>
              </w:rPr>
            </w:pPr>
            <w:r/>
            <w:bookmarkStart w:id="191" w:name="_Hlt26955056"/>
            <w:r/>
            <w:bookmarkEnd w:id="191"/>
            <w:r/>
            <w:bookmarkStart w:id="192" w:name="_Hlt26609391"/>
            <w:r/>
            <w:bookmarkEnd w:id="192"/>
            <w:r/>
            <w:bookmarkStart w:id="193" w:name="_Hlt26671343"/>
            <w:r/>
            <w:bookmarkEnd w:id="193"/>
            <w:r/>
            <w:bookmarkStart w:id="194" w:name="_Hlt26671372"/>
            <w:r/>
            <w:bookmarkEnd w:id="194"/>
            <w:r/>
            <w:bookmarkStart w:id="195" w:name="_Hlt26782999"/>
            <w:r/>
            <w:bookmarkEnd w:id="195"/>
            <w:r/>
            <w:bookmarkStart w:id="196" w:name="_Hlt26580838"/>
            <w:r/>
            <w:bookmarkEnd w:id="196"/>
            <w:r/>
            <w:bookmarkStart w:id="197" w:name="_Hlt26955064"/>
            <w:r/>
            <w:bookmarkEnd w:id="197"/>
            <w:r/>
            <w:bookmarkStart w:id="198" w:name="_Hlt24879081"/>
            <w:r/>
            <w:bookmarkEnd w:id="198"/>
            <w:r/>
            <w:bookmarkStart w:id="199" w:name="OLE_LINK24"/>
            <w:r/>
            <w:bookmarkStart w:id="200" w:name="OLE_LINK25"/>
            <w:r>
              <w:rPr>
                <w:rFonts w:hint="eastAsia" w:ascii="宋体" w:hAnsi="宋体"/>
                <w:sz w:val="24"/>
              </w:rPr>
              <w:t xml:space="preserve">序号</w:t>
            </w:r>
            <w:r/>
          </w:p>
        </w:tc>
        <w:tc>
          <w:tcPr>
            <w:tcW w:w="2735" w:type="dxa"/>
            <w:vAlign w:val="center"/>
            <w:textDirection w:val="lrTb"/>
            <w:noWrap w:val="false"/>
          </w:tcPr>
          <w:p>
            <w:pPr>
              <w:jc w:val="center"/>
              <w:rPr>
                <w:rFonts w:ascii="宋体" w:hAnsi="宋体"/>
                <w:sz w:val="24"/>
              </w:rPr>
            </w:pPr>
            <w:r>
              <w:rPr>
                <w:rFonts w:hint="eastAsia" w:ascii="宋体" w:hAnsi="宋体"/>
                <w:sz w:val="24"/>
              </w:rPr>
              <w:t xml:space="preserve">谈判文件要求</w:t>
            </w:r>
            <w:r/>
          </w:p>
        </w:tc>
        <w:tc>
          <w:tcPr>
            <w:tcW w:w="3218"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W w:w="1559"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r>
        <w:trPr>
          <w:cantSplit/>
          <w:trHeight w:val="640"/>
        </w:trPr>
        <w:tc>
          <w:tcPr>
            <w:tcW w:w="993" w:type="dxa"/>
            <w:textDirection w:val="lrTb"/>
            <w:noWrap w:val="false"/>
          </w:tcPr>
          <w:p>
            <w:pPr>
              <w:jc w:val="center"/>
              <w:rPr>
                <w:rFonts w:ascii="宋体" w:hAnsi="宋体"/>
                <w:sz w:val="24"/>
              </w:rPr>
            </w:pPr>
            <w:r>
              <w:rPr>
                <w:rFonts w:ascii="宋体" w:hAnsi="宋体"/>
                <w:sz w:val="24"/>
              </w:rPr>
            </w:r>
            <w:r/>
          </w:p>
        </w:tc>
        <w:tc>
          <w:tcPr>
            <w:tcW w:w="2735" w:type="dxa"/>
            <w:textDirection w:val="lrTb"/>
            <w:noWrap w:val="false"/>
          </w:tcPr>
          <w:p>
            <w:pPr>
              <w:jc w:val="center"/>
              <w:rPr>
                <w:rFonts w:ascii="宋体" w:hAnsi="宋体"/>
                <w:sz w:val="24"/>
              </w:rPr>
            </w:pPr>
            <w:r>
              <w:rPr>
                <w:rFonts w:ascii="宋体" w:hAnsi="宋体"/>
                <w:sz w:val="24"/>
              </w:rPr>
              <w:t xml:space="preserve">……</w:t>
            </w:r>
            <w:r/>
          </w:p>
        </w:tc>
        <w:tc>
          <w:tcPr>
            <w:tcW w:w="3218" w:type="dxa"/>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注：行数不够，可自行添加。</w:t>
      </w:r>
      <w:r/>
    </w:p>
    <w:p>
      <w:pPr>
        <w:ind w:firstLine="480"/>
        <w:spacing w:line="360" w:lineRule="auto"/>
        <w:rPr>
          <w:rFonts w:ascii="宋体" w:hAnsi="宋体"/>
          <w:bCs/>
          <w:sz w:val="24"/>
        </w:rPr>
        <w:outlineLvl w:val="0"/>
      </w:pPr>
      <w:r>
        <w:rPr>
          <w:rFonts w:hint="eastAsia" w:ascii="宋体" w:hAnsi="宋体"/>
          <w:bCs/>
          <w:sz w:val="24"/>
        </w:rPr>
        <w:t xml:space="preserve">如无任何偏离，请于本表 中注明“无偏离”；</w:t>
      </w:r>
      <w:r/>
    </w:p>
    <w:p>
      <w:pPr>
        <w:ind w:firstLine="480"/>
        <w:spacing w:line="360" w:lineRule="auto"/>
        <w:rPr>
          <w:sz w:val="24"/>
        </w:rPr>
      </w:pPr>
      <w:r>
        <w:rPr>
          <w:rFonts w:hint="eastAsia" w:ascii="宋体" w:hAnsi="宋体"/>
          <w:bCs/>
          <w:sz w:val="24"/>
        </w:rPr>
        <w:t xml:space="preserve">如有偏离项，请于本表中列明偏离内容，如需要可自行延长，其余无偏离内容不须赘述。</w:t>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hint="eastAsia" w:ascii="宋体" w:hAnsi="宋体"/>
          <w:bCs/>
          <w:sz w:val="24"/>
        </w:rPr>
        <w:t xml:space="preserve">供应商名称 ：         （加盖CA电子公章）</w:t>
      </w:r>
      <w:r/>
    </w:p>
    <w:p>
      <w:pPr>
        <w:ind w:firstLine="480"/>
        <w:spacing w:line="360" w:lineRule="auto"/>
        <w:rPr>
          <w:rFonts w:ascii="宋体" w:hAnsi="宋体"/>
          <w:bCs/>
          <w:sz w:val="24"/>
        </w:rPr>
      </w:pPr>
      <w:r>
        <w:rPr>
          <w:rFonts w:hint="eastAsia" w:ascii="宋体" w:hAnsi="宋体"/>
          <w:bCs/>
          <w:sz w:val="24"/>
        </w:rPr>
        <w:t xml:space="preserve">法定代表人或法定代表人授权代表签字或盖章：</w:t>
      </w:r>
      <w:r/>
    </w:p>
    <w:p>
      <w:pPr>
        <w:ind w:firstLine="480"/>
        <w:spacing w:line="360" w:lineRule="auto"/>
        <w:rPr>
          <w:rFonts w:ascii="宋体" w:hAnsi="宋体"/>
          <w:bCs/>
          <w:sz w:val="24"/>
        </w:rPr>
      </w:pPr>
      <w:r>
        <w:rPr>
          <w:rFonts w:hint="eastAsia" w:ascii="宋体" w:hAnsi="宋体"/>
          <w:bCs/>
          <w:sz w:val="24"/>
        </w:rPr>
        <w:t xml:space="preserve">日      期 ：               </w:t>
      </w:r>
      <w:bookmarkEnd w:id="199"/>
      <w:bookmarkEnd w:id="200"/>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r/>
      <w:bookmarkStart w:id="201" w:name="_Hlt26671374"/>
      <w:r/>
      <w:bookmarkEnd w:id="201"/>
      <w:r/>
      <w:bookmarkStart w:id="202" w:name="_Hlt26609389"/>
      <w:r/>
      <w:bookmarkEnd w:id="202"/>
      <w:r/>
      <w:bookmarkStart w:id="203" w:name="_Hlt26955066"/>
      <w:r/>
      <w:bookmarkEnd w:id="203"/>
      <w:r/>
      <w:r/>
    </w:p>
    <w:sectPr>
      <w:footerReference w:type="default" r:id="rId9"/>
      <w:footnotePr/>
      <w:endnotePr/>
      <w:type w:val="nextPage"/>
      <w:pgSz w:w="11906" w:h="16838" w:orient="portrait"/>
      <w:pgMar w:top="1240" w:right="1486" w:bottom="898"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等线 Light">
    <w:panose1 w:val="0201060003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4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6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6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1"/>
      <w:numFmt w:val="upperLetter"/>
      <w:pStyle w:val="9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51"/>
      <w:isLgl w:val="false"/>
      <w:suff w:val="nothing"/>
      <w:lvlText w:val=""/>
      <w:lvlJc w:val="left"/>
      <w:pPr>
        <w:ind w:left="0" w:firstLine="0"/>
      </w:pPr>
      <w:rPr>
        <w:rFonts w:hint="eastAsia"/>
      </w:rPr>
    </w:lvl>
    <w:lvl w:ilvl="6">
      <w:start w:val="1"/>
      <w:numFmt w:val="decimal"/>
      <w:pStyle w:val="652"/>
      <w:isLgl w:val="false"/>
      <w:suff w:val="nothing"/>
      <w:lvlText w:val=""/>
      <w:lvlJc w:val="left"/>
      <w:pPr>
        <w:ind w:left="0" w:firstLine="0"/>
      </w:pPr>
      <w:rPr>
        <w:rFonts w:hint="eastAsia"/>
      </w:rPr>
    </w:lvl>
    <w:lvl w:ilvl="7">
      <w:start w:val="1"/>
      <w:numFmt w:val="decimal"/>
      <w:pStyle w:val="653"/>
      <w:isLgl w:val="false"/>
      <w:suff w:val="nothing"/>
      <w:lvlText w:val=""/>
      <w:lvlJc w:val="left"/>
      <w:pPr>
        <w:ind w:left="0" w:firstLine="0"/>
      </w:pPr>
      <w:rPr>
        <w:rFonts w:hint="eastAsia"/>
      </w:rPr>
    </w:lvl>
    <w:lvl w:ilvl="8">
      <w:start w:val="1"/>
      <w:numFmt w:val="decimal"/>
      <w:pStyle w:val="654"/>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num w:numId="1">
    <w:abstractNumId w:val="2"/>
  </w:num>
  <w:num w:numId="2">
    <w:abstractNumId w:val="1"/>
  </w:num>
  <w:num w:numId="3">
    <w:abstractNumId w:val="4"/>
  </w:num>
  <w:num w:numId="4">
    <w:abstractNumId w:val="3"/>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55"/>
    <w:link w:val="693"/>
    <w:uiPriority w:val="10"/>
    <w:rPr>
      <w:sz w:val="48"/>
      <w:szCs w:val="48"/>
    </w:rPr>
  </w:style>
  <w:style w:type="character" w:styleId="36">
    <w:name w:val="Subtitle Char"/>
    <w:basedOn w:val="655"/>
    <w:link w:val="682"/>
    <w:uiPriority w:val="11"/>
    <w:rPr>
      <w:sz w:val="24"/>
      <w:szCs w:val="24"/>
    </w:rPr>
  </w:style>
  <w:style w:type="character" w:styleId="38">
    <w:name w:val="Quote Char"/>
    <w:link w:val="758"/>
    <w:uiPriority w:val="29"/>
    <w:rPr>
      <w:i/>
    </w:rPr>
  </w:style>
  <w:style w:type="character" w:styleId="40">
    <w:name w:val="Intense Quote Char"/>
    <w:link w:val="760"/>
    <w:uiPriority w:val="30"/>
    <w:rPr>
      <w:i/>
    </w:rPr>
  </w:style>
  <w:style w:type="character" w:styleId="175">
    <w:name w:val="Footnote Text Char"/>
    <w:link w:val="684"/>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6">
    <w:name w:val="Heading 1"/>
    <w:basedOn w:val="645"/>
    <w:next w:val="649"/>
    <w:link w:val="705"/>
    <w:uiPriority w:val="0"/>
    <w:qFormat/>
    <w:pPr>
      <w:jc w:val="center"/>
      <w:keepNext/>
      <w:outlineLvl w:val="0"/>
    </w:pPr>
    <w:rPr>
      <w:rFonts w:ascii="楷体_GB2312" w:eastAsia="楷体_GB2312"/>
      <w:sz w:val="28"/>
      <w:szCs w:val="28"/>
    </w:rPr>
  </w:style>
  <w:style w:type="paragraph" w:styleId="647">
    <w:name w:val="Heading 2"/>
    <w:basedOn w:val="645"/>
    <w:next w:val="657"/>
    <w:link w:val="706"/>
    <w:uiPriority w:val="0"/>
    <w:qFormat/>
    <w:pPr>
      <w:jc w:val="center"/>
      <w:keepLines/>
      <w:keepNext/>
      <w:spacing w:before="260" w:after="260" w:line="412" w:lineRule="auto"/>
      <w:outlineLvl w:val="1"/>
    </w:pPr>
    <w:rPr>
      <w:rFonts w:ascii="Arial" w:hAnsi="Arial" w:eastAsia="楷体_GB2312" w:cs="Arial"/>
      <w:b/>
      <w:bCs/>
      <w:sz w:val="28"/>
      <w:szCs w:val="44"/>
    </w:rPr>
  </w:style>
  <w:style w:type="paragraph" w:styleId="648">
    <w:name w:val="Heading 3"/>
    <w:basedOn w:val="645"/>
    <w:next w:val="657"/>
    <w:link w:val="739"/>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649">
    <w:name w:val="Heading 4"/>
    <w:basedOn w:val="645"/>
    <w:next w:val="645"/>
    <w:link w:val="707"/>
    <w:uiPriority w:val="0"/>
    <w:qFormat/>
    <w:pPr>
      <w:keepLines/>
      <w:keepNext/>
      <w:spacing w:before="280" w:after="290" w:line="372" w:lineRule="auto"/>
      <w:outlineLvl w:val="3"/>
    </w:pPr>
    <w:rPr>
      <w:rFonts w:ascii="Arial" w:hAnsi="Arial" w:eastAsia="黑体"/>
      <w:b/>
      <w:bCs/>
      <w:sz w:val="28"/>
      <w:szCs w:val="28"/>
    </w:rPr>
  </w:style>
  <w:style w:type="paragraph" w:styleId="650">
    <w:name w:val="Heading 5"/>
    <w:basedOn w:val="645"/>
    <w:next w:val="657"/>
    <w:link w:val="740"/>
    <w:uiPriority w:val="0"/>
    <w:qFormat/>
    <w:pPr>
      <w:keepNext/>
      <w:outlineLvl w:val="4"/>
    </w:pPr>
    <w:rPr>
      <w:rFonts w:ascii="宋体" w:hAnsi="Times New Roman" w:eastAsia="宋体" w:cs="Times New Roman"/>
      <w:color w:val="000000"/>
      <w:sz w:val="28"/>
      <w:szCs w:val="28"/>
      <w:lang w:eastAsia="en-US"/>
    </w:rPr>
  </w:style>
  <w:style w:type="paragraph" w:styleId="651">
    <w:name w:val="Heading 6"/>
    <w:basedOn w:val="645"/>
    <w:next w:val="645"/>
    <w:link w:val="741"/>
    <w:uiPriority w:val="0"/>
    <w:qFormat/>
    <w:pPr>
      <w:numPr>
        <w:ilvl w:val="5"/>
        <w:numId w:val="1"/>
      </w:numPr>
      <w:keepLines/>
      <w:keepNext/>
      <w:spacing w:before="240" w:after="64" w:line="320" w:lineRule="auto"/>
      <w:outlineLvl w:val="5"/>
    </w:pPr>
    <w:rPr>
      <w:rFonts w:ascii="Arial" w:hAnsi="Arial" w:eastAsia="黑体" w:cs="Times New Roman"/>
      <w:b/>
      <w:bCs/>
      <w:sz w:val="24"/>
      <w:lang w:eastAsia="en-US"/>
    </w:rPr>
  </w:style>
  <w:style w:type="paragraph" w:styleId="652">
    <w:name w:val="Heading 7"/>
    <w:basedOn w:val="645"/>
    <w:next w:val="645"/>
    <w:link w:val="74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lang w:eastAsia="en-US"/>
    </w:rPr>
  </w:style>
  <w:style w:type="paragraph" w:styleId="653">
    <w:name w:val="Heading 8"/>
    <w:basedOn w:val="645"/>
    <w:next w:val="645"/>
    <w:link w:val="743"/>
    <w:uiPriority w:val="0"/>
    <w:qFormat/>
    <w:pPr>
      <w:numPr>
        <w:ilvl w:val="7"/>
        <w:numId w:val="1"/>
      </w:numPr>
      <w:keepLines/>
      <w:keepNext/>
      <w:spacing w:before="240" w:after="64" w:line="320" w:lineRule="auto"/>
      <w:outlineLvl w:val="7"/>
    </w:pPr>
    <w:rPr>
      <w:rFonts w:ascii="Arial" w:hAnsi="Arial" w:eastAsia="黑体" w:cs="Times New Roman"/>
      <w:sz w:val="24"/>
      <w:lang w:eastAsia="en-US"/>
    </w:rPr>
  </w:style>
  <w:style w:type="paragraph" w:styleId="654">
    <w:name w:val="Heading 9"/>
    <w:basedOn w:val="645"/>
    <w:next w:val="645"/>
    <w:link w:val="744"/>
    <w:uiPriority w:val="0"/>
    <w:qFormat/>
    <w:pPr>
      <w:numPr>
        <w:ilvl w:val="8"/>
        <w:numId w:val="1"/>
      </w:numPr>
      <w:keepLines/>
      <w:keepNext/>
      <w:spacing w:before="240" w:after="64" w:line="320" w:lineRule="auto"/>
      <w:outlineLvl w:val="8"/>
    </w:pPr>
    <w:rPr>
      <w:rFonts w:ascii="Arial" w:hAnsi="Arial" w:eastAsia="黑体" w:cs="Times New Roman"/>
      <w:sz w:val="20"/>
      <w:szCs w:val="21"/>
      <w:lang w:eastAsia="en-US"/>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Normal Indent"/>
    <w:basedOn w:val="645"/>
    <w:next w:val="645"/>
    <w:link w:val="892"/>
    <w:uiPriority w:val="0"/>
    <w:qFormat/>
    <w:pPr>
      <w:ind w:firstLine="420"/>
      <w:jc w:val="left"/>
      <w:spacing w:line="360" w:lineRule="auto"/>
      <w:widowControl/>
    </w:pPr>
    <w:rPr>
      <w:rFonts w:ascii="宋体" w:hAnsi="宋体" w:eastAsia="仿宋" w:cs="Times New Roman"/>
      <w:sz w:val="24"/>
      <w:lang w:val="zh-CN"/>
    </w:rPr>
  </w:style>
  <w:style w:type="paragraph" w:styleId="658">
    <w:name w:val="List 3"/>
    <w:basedOn w:val="645"/>
    <w:uiPriority w:val="0"/>
    <w:qFormat/>
    <w:pPr>
      <w:ind w:left="100" w:hanging="200"/>
    </w:pPr>
    <w:rPr>
      <w:rFonts w:ascii="Times New Roman" w:hAnsi="Times New Roman" w:eastAsia="宋体" w:cs="Times New Roman"/>
      <w:szCs w:val="21"/>
    </w:rPr>
  </w:style>
  <w:style w:type="paragraph" w:styleId="659">
    <w:name w:val="toc 7"/>
    <w:basedOn w:val="645"/>
    <w:next w:val="645"/>
    <w:uiPriority w:val="0"/>
    <w:semiHidden/>
    <w:qFormat/>
    <w:pPr>
      <w:ind w:left="1260"/>
      <w:jc w:val="left"/>
    </w:pPr>
    <w:rPr>
      <w:rFonts w:ascii="Times New Roman" w:hAnsi="Times New Roman" w:eastAsia="宋体" w:cs="Times New Roman"/>
      <w:szCs w:val="21"/>
    </w:rPr>
  </w:style>
  <w:style w:type="paragraph" w:styleId="660">
    <w:name w:val="Caption"/>
    <w:basedOn w:val="645"/>
    <w:next w:val="645"/>
    <w:uiPriority w:val="35"/>
    <w:semiHidden/>
    <w:unhideWhenUsed/>
    <w:qFormat/>
    <w:pPr>
      <w:spacing w:line="276" w:lineRule="auto"/>
    </w:pPr>
    <w:rPr>
      <w:rFonts w:ascii="Calibri" w:hAnsi="Calibri" w:eastAsia="宋体" w:cs="Times New Roman"/>
      <w:b/>
      <w:bCs/>
      <w:color w:val="4f81bd" w:themeColor="accent1"/>
      <w:sz w:val="18"/>
      <w:szCs w:val="18"/>
      <w14:textFill>
        <w14:solidFill>
          <w14:schemeClr w14:val="accent1"/>
        </w14:solidFill>
      </w14:textFill>
    </w:rPr>
  </w:style>
  <w:style w:type="paragraph" w:styleId="661">
    <w:name w:val="Document Map"/>
    <w:basedOn w:val="645"/>
    <w:next w:val="662"/>
    <w:link w:val="893"/>
    <w:uiPriority w:val="0"/>
    <w:semiHidden/>
    <w:qFormat/>
    <w:pPr>
      <w:shd w:val="clear" w:color="auto" w:fill="000080"/>
    </w:pPr>
    <w:rPr>
      <w:rFonts w:ascii="Times New Roman" w:hAnsi="Times New Roman" w:eastAsia="宋体" w:cs="Times New Roman"/>
      <w:sz w:val="20"/>
      <w:szCs w:val="21"/>
      <w:lang w:eastAsia="en-US"/>
    </w:rPr>
  </w:style>
  <w:style w:type="paragraph" w:styleId="662">
    <w:name w:val="Body Text"/>
    <w:basedOn w:val="645"/>
    <w:link w:val="708"/>
    <w:uiPriority w:val="0"/>
    <w:qFormat/>
    <w:rPr>
      <w:rFonts w:ascii="楷体_GB2312" w:hAnsi="Arial" w:eastAsia="楷体_GB2312"/>
      <w:sz w:val="28"/>
      <w:szCs w:val="20"/>
    </w:rPr>
  </w:style>
  <w:style w:type="paragraph" w:styleId="663">
    <w:name w:val="annotation text"/>
    <w:basedOn w:val="645"/>
    <w:link w:val="735"/>
    <w:uiPriority w:val="99"/>
    <w:qFormat/>
    <w:pPr>
      <w:jc w:val="left"/>
    </w:pPr>
  </w:style>
  <w:style w:type="paragraph" w:styleId="664">
    <w:name w:val="Body Text 3"/>
    <w:basedOn w:val="645"/>
    <w:link w:val="894"/>
    <w:uiPriority w:val="0"/>
    <w:qFormat/>
    <w:rPr>
      <w:rFonts w:ascii="仿宋_GB2312" w:hAnsi="Arial" w:eastAsia="仿宋_GB2312" w:cs="Times New Roman"/>
      <w:sz w:val="32"/>
      <w:szCs w:val="32"/>
      <w:lang w:eastAsia="en-US"/>
    </w:rPr>
  </w:style>
  <w:style w:type="paragraph" w:styleId="665">
    <w:name w:val="Body Text Indent"/>
    <w:basedOn w:val="645"/>
    <w:link w:val="709"/>
    <w:uiPriority w:val="99"/>
    <w:qFormat/>
    <w:pPr>
      <w:ind w:firstLine="600"/>
    </w:pPr>
    <w:rPr>
      <w:rFonts w:eastAsia="仿宋_GB2312"/>
      <w:sz w:val="28"/>
    </w:rPr>
  </w:style>
  <w:style w:type="paragraph" w:styleId="666">
    <w:name w:val="List 2"/>
    <w:basedOn w:val="645"/>
    <w:uiPriority w:val="0"/>
    <w:qFormat/>
    <w:pPr>
      <w:ind w:left="100" w:hanging="200"/>
    </w:pPr>
    <w:rPr>
      <w:rFonts w:ascii="Times New Roman" w:hAnsi="Times New Roman" w:eastAsia="宋体" w:cs="Times New Roman"/>
      <w:szCs w:val="21"/>
    </w:rPr>
  </w:style>
  <w:style w:type="paragraph" w:styleId="667">
    <w:name w:val="Block Text"/>
    <w:basedOn w:val="645"/>
    <w:uiPriority w:val="0"/>
    <w:unhideWhenUsed/>
    <w:qFormat/>
    <w:rPr>
      <w:rFonts w:eastAsia="微软雅黑"/>
    </w:rPr>
  </w:style>
  <w:style w:type="paragraph" w:styleId="668">
    <w:name w:val="index 4"/>
    <w:basedOn w:val="645"/>
    <w:next w:val="645"/>
    <w:uiPriority w:val="99"/>
    <w:unhideWhenUsed/>
    <w:qFormat/>
    <w:pPr>
      <w:ind w:left="600"/>
    </w:pPr>
    <w:rPr>
      <w:rFonts w:ascii="Calibri" w:hAnsi="Calibri" w:eastAsia="宋体" w:cs="Times New Roman"/>
      <w:szCs w:val="22"/>
    </w:rPr>
  </w:style>
  <w:style w:type="paragraph" w:styleId="669">
    <w:name w:val="toc 5"/>
    <w:basedOn w:val="645"/>
    <w:next w:val="645"/>
    <w:uiPriority w:val="0"/>
    <w:semiHidden/>
    <w:qFormat/>
    <w:pPr>
      <w:ind w:left="840"/>
      <w:jc w:val="left"/>
    </w:pPr>
    <w:rPr>
      <w:rFonts w:ascii="Times New Roman" w:hAnsi="Times New Roman" w:eastAsia="宋体" w:cs="Times New Roman"/>
      <w:szCs w:val="21"/>
    </w:rPr>
  </w:style>
  <w:style w:type="paragraph" w:styleId="670">
    <w:name w:val="toc 3"/>
    <w:basedOn w:val="645"/>
    <w:next w:val="645"/>
    <w:uiPriority w:val="0"/>
    <w:semiHidden/>
    <w:qFormat/>
    <w:pPr>
      <w:ind w:left="420"/>
      <w:jc w:val="left"/>
    </w:pPr>
    <w:rPr>
      <w:rFonts w:ascii="Times New Roman" w:hAnsi="Times New Roman" w:eastAsia="宋体" w:cs="Times New Roman"/>
      <w:i/>
      <w:iCs/>
    </w:rPr>
  </w:style>
  <w:style w:type="paragraph" w:styleId="671">
    <w:name w:val="Plain Text"/>
    <w:basedOn w:val="645"/>
    <w:link w:val="710"/>
    <w:uiPriority w:val="0"/>
    <w:qFormat/>
    <w:rPr>
      <w:rFonts w:ascii="宋体" w:hAnsi="Courier New"/>
    </w:rPr>
  </w:style>
  <w:style w:type="paragraph" w:styleId="672">
    <w:name w:val="toc 8"/>
    <w:basedOn w:val="645"/>
    <w:next w:val="645"/>
    <w:uiPriority w:val="0"/>
    <w:semiHidden/>
    <w:qFormat/>
    <w:pPr>
      <w:ind w:left="1470"/>
      <w:jc w:val="left"/>
    </w:pPr>
    <w:rPr>
      <w:rFonts w:ascii="Times New Roman" w:hAnsi="Times New Roman" w:eastAsia="宋体" w:cs="Times New Roman"/>
      <w:szCs w:val="21"/>
    </w:rPr>
  </w:style>
  <w:style w:type="paragraph" w:styleId="673">
    <w:name w:val="Date"/>
    <w:basedOn w:val="645"/>
    <w:next w:val="645"/>
    <w:link w:val="896"/>
    <w:uiPriority w:val="0"/>
    <w:qFormat/>
    <w:rPr>
      <w:rFonts w:ascii="Times New Roman" w:hAnsi="Times New Roman" w:eastAsia="宋体" w:cs="Times New Roman"/>
      <w:sz w:val="24"/>
      <w:lang w:eastAsia="en-US"/>
    </w:rPr>
  </w:style>
  <w:style w:type="paragraph" w:styleId="674">
    <w:name w:val="Body Text Indent 2"/>
    <w:basedOn w:val="645"/>
    <w:link w:val="738"/>
    <w:uiPriority w:val="0"/>
    <w:unhideWhenUsed/>
    <w:qFormat/>
    <w:pPr>
      <w:ind w:left="420"/>
      <w:spacing w:after="120" w:line="480" w:lineRule="auto"/>
    </w:pPr>
  </w:style>
  <w:style w:type="paragraph" w:styleId="675">
    <w:name w:val="endnote text"/>
    <w:basedOn w:val="645"/>
    <w:link w:val="891"/>
    <w:uiPriority w:val="99"/>
    <w:semiHidden/>
    <w:unhideWhenUsed/>
    <w:qFormat/>
    <w:rPr>
      <w:rFonts w:ascii="Calibri" w:hAnsi="Calibri" w:eastAsia="宋体" w:cs="Times New Roman"/>
      <w:sz w:val="20"/>
      <w:szCs w:val="22"/>
    </w:rPr>
  </w:style>
  <w:style w:type="paragraph" w:styleId="676">
    <w:name w:val="Balloon Text"/>
    <w:basedOn w:val="645"/>
    <w:link w:val="736"/>
    <w:uiPriority w:val="0"/>
    <w:qFormat/>
    <w:rPr>
      <w:sz w:val="18"/>
      <w:szCs w:val="18"/>
    </w:rPr>
  </w:style>
  <w:style w:type="paragraph" w:styleId="677">
    <w:name w:val="Footer"/>
    <w:basedOn w:val="645"/>
    <w:link w:val="711"/>
    <w:uiPriority w:val="0"/>
    <w:qFormat/>
    <w:pPr>
      <w:jc w:val="left"/>
      <w:tabs>
        <w:tab w:val="center" w:pos="4153" w:leader="none"/>
        <w:tab w:val="right" w:pos="8306" w:leader="none"/>
      </w:tabs>
    </w:pPr>
    <w:rPr>
      <w:sz w:val="18"/>
    </w:rPr>
  </w:style>
  <w:style w:type="paragraph" w:styleId="678">
    <w:name w:val="envelope return"/>
    <w:basedOn w:val="645"/>
    <w:uiPriority w:val="99"/>
    <w:unhideWhenUsed/>
    <w:qFormat/>
    <w:rPr>
      <w:rFonts w:ascii="Arial" w:hAnsi="Arial" w:eastAsia="宋体" w:cs="Times New Roman"/>
      <w:szCs w:val="22"/>
    </w:rPr>
  </w:style>
  <w:style w:type="paragraph" w:styleId="679">
    <w:name w:val="Header"/>
    <w:basedOn w:val="645"/>
    <w:link w:val="71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80">
    <w:name w:val="toc 1"/>
    <w:basedOn w:val="645"/>
    <w:next w:val="645"/>
    <w:uiPriority w:val="0"/>
    <w:unhideWhenUsed/>
    <w:qFormat/>
  </w:style>
  <w:style w:type="paragraph" w:styleId="681">
    <w:name w:val="toc 4"/>
    <w:basedOn w:val="645"/>
    <w:next w:val="645"/>
    <w:uiPriority w:val="0"/>
    <w:semiHidden/>
    <w:qFormat/>
    <w:pPr>
      <w:ind w:left="630"/>
      <w:jc w:val="left"/>
    </w:pPr>
    <w:rPr>
      <w:rFonts w:ascii="Times New Roman" w:hAnsi="Times New Roman" w:eastAsia="宋体" w:cs="Times New Roman"/>
      <w:szCs w:val="21"/>
    </w:rPr>
  </w:style>
  <w:style w:type="paragraph" w:styleId="682">
    <w:name w:val="Subtitle"/>
    <w:basedOn w:val="645"/>
    <w:next w:val="645"/>
    <w:link w:val="757"/>
    <w:uiPriority w:val="11"/>
    <w:qFormat/>
    <w:pPr>
      <w:spacing w:before="200" w:after="200"/>
    </w:pPr>
    <w:rPr>
      <w:rFonts w:ascii="Calibri" w:hAnsi="Calibri" w:eastAsia="宋体" w:cs="Times New Roman"/>
      <w:sz w:val="24"/>
    </w:rPr>
  </w:style>
  <w:style w:type="paragraph" w:styleId="683">
    <w:name w:val="List"/>
    <w:basedOn w:val="645"/>
    <w:uiPriority w:val="0"/>
    <w:qFormat/>
    <w:pPr>
      <w:ind w:left="200" w:hanging="200"/>
    </w:pPr>
    <w:rPr>
      <w:rFonts w:ascii="Times New Roman" w:hAnsi="Times New Roman" w:eastAsia="宋体" w:cs="Times New Roman"/>
      <w:szCs w:val="21"/>
    </w:rPr>
  </w:style>
  <w:style w:type="paragraph" w:styleId="684">
    <w:name w:val="footnote text"/>
    <w:basedOn w:val="645"/>
    <w:link w:val="890"/>
    <w:uiPriority w:val="99"/>
    <w:semiHidden/>
    <w:unhideWhenUsed/>
    <w:qFormat/>
    <w:pPr>
      <w:spacing w:after="40"/>
    </w:pPr>
    <w:rPr>
      <w:rFonts w:ascii="Calibri" w:hAnsi="Calibri" w:eastAsia="宋体" w:cs="Times New Roman"/>
      <w:sz w:val="18"/>
      <w:szCs w:val="22"/>
    </w:rPr>
  </w:style>
  <w:style w:type="paragraph" w:styleId="685">
    <w:name w:val="toc 6"/>
    <w:basedOn w:val="645"/>
    <w:next w:val="645"/>
    <w:uiPriority w:val="0"/>
    <w:semiHidden/>
    <w:qFormat/>
    <w:pPr>
      <w:ind w:left="1050"/>
      <w:jc w:val="left"/>
    </w:pPr>
    <w:rPr>
      <w:rFonts w:ascii="Times New Roman" w:hAnsi="Times New Roman" w:eastAsia="宋体" w:cs="Times New Roman"/>
      <w:szCs w:val="21"/>
    </w:rPr>
  </w:style>
  <w:style w:type="paragraph" w:styleId="686">
    <w:name w:val="Body Text Indent 3"/>
    <w:basedOn w:val="645"/>
    <w:link w:val="897"/>
    <w:uiPriority w:val="0"/>
    <w:qFormat/>
    <w:pPr>
      <w:ind w:left="645" w:firstLine="645"/>
    </w:pPr>
    <w:rPr>
      <w:rFonts w:ascii="Arial" w:hAnsi="Arial" w:eastAsia="仿宋_GB2312" w:cs="Times New Roman"/>
      <w:color w:val="ffff00"/>
      <w:sz w:val="32"/>
      <w:szCs w:val="32"/>
      <w:lang w:eastAsia="en-US"/>
    </w:rPr>
  </w:style>
  <w:style w:type="paragraph" w:styleId="687">
    <w:name w:val="table of figures"/>
    <w:basedOn w:val="645"/>
    <w:next w:val="645"/>
    <w:uiPriority w:val="0"/>
    <w:semiHidden/>
    <w:qFormat/>
    <w:pPr>
      <w:ind w:left="840" w:hanging="420"/>
    </w:pPr>
    <w:rPr>
      <w:rFonts w:ascii="Times New Roman" w:hAnsi="Times New Roman" w:eastAsia="宋体" w:cs="Times New Roman"/>
      <w:szCs w:val="21"/>
    </w:rPr>
  </w:style>
  <w:style w:type="paragraph" w:styleId="688">
    <w:name w:val="toc 2"/>
    <w:basedOn w:val="645"/>
    <w:next w:val="645"/>
    <w:uiPriority w:val="0"/>
    <w:semiHidden/>
    <w:qFormat/>
    <w:pPr>
      <w:ind w:left="210"/>
      <w:jc w:val="left"/>
    </w:pPr>
    <w:rPr>
      <w:rFonts w:ascii="Times New Roman" w:hAnsi="Times New Roman" w:eastAsia="宋体" w:cs="Times New Roman"/>
      <w:smallCaps/>
    </w:rPr>
  </w:style>
  <w:style w:type="paragraph" w:styleId="689">
    <w:name w:val="toc 9"/>
    <w:basedOn w:val="645"/>
    <w:next w:val="645"/>
    <w:uiPriority w:val="0"/>
    <w:semiHidden/>
    <w:qFormat/>
    <w:pPr>
      <w:ind w:left="1680"/>
      <w:jc w:val="left"/>
    </w:pPr>
    <w:rPr>
      <w:rFonts w:ascii="Times New Roman" w:hAnsi="Times New Roman" w:eastAsia="宋体" w:cs="Times New Roman"/>
      <w:szCs w:val="21"/>
    </w:rPr>
  </w:style>
  <w:style w:type="paragraph" w:styleId="690">
    <w:name w:val="Body Text 2"/>
    <w:basedOn w:val="645"/>
    <w:link w:val="713"/>
    <w:uiPriority w:val="0"/>
    <w:qFormat/>
    <w:pPr>
      <w:jc w:val="center"/>
      <w:widowControl/>
    </w:pPr>
    <w:rPr>
      <w:rFonts w:ascii="楷体_GB2312" w:eastAsia="楷体_GB2312"/>
      <w:sz w:val="28"/>
      <w:szCs w:val="28"/>
    </w:rPr>
  </w:style>
  <w:style w:type="paragraph" w:styleId="691">
    <w:name w:val="Normal (Web)"/>
    <w:basedOn w:val="645"/>
    <w:uiPriority w:val="99"/>
    <w:unhideWhenUsed/>
    <w:qFormat/>
    <w:rPr>
      <w:sz w:val="24"/>
    </w:rPr>
  </w:style>
  <w:style w:type="paragraph" w:styleId="692">
    <w:name w:val="index 1"/>
    <w:basedOn w:val="645"/>
    <w:next w:val="645"/>
    <w:uiPriority w:val="0"/>
    <w:semiHidden/>
    <w:qFormat/>
    <w:pPr>
      <w:spacing w:line="240" w:lineRule="atLeast"/>
    </w:pPr>
    <w:rPr>
      <w:rFonts w:ascii="Times New Roman" w:hAnsi="Times New Roman" w:eastAsia="宋体" w:cs="Times New Roman"/>
      <w:b/>
      <w:bCs/>
      <w:szCs w:val="21"/>
    </w:rPr>
  </w:style>
  <w:style w:type="paragraph" w:styleId="693">
    <w:name w:val="Title"/>
    <w:basedOn w:val="645"/>
    <w:next w:val="645"/>
    <w:link w:val="756"/>
    <w:uiPriority w:val="10"/>
    <w:qFormat/>
    <w:pPr>
      <w:contextualSpacing/>
      <w:spacing w:before="300" w:after="200"/>
    </w:pPr>
    <w:rPr>
      <w:rFonts w:ascii="Calibri" w:hAnsi="Calibri" w:eastAsia="宋体" w:cs="Times New Roman"/>
      <w:sz w:val="48"/>
      <w:szCs w:val="48"/>
    </w:rPr>
  </w:style>
  <w:style w:type="paragraph" w:styleId="694">
    <w:name w:val="annotation subject"/>
    <w:basedOn w:val="663"/>
    <w:next w:val="663"/>
    <w:link w:val="898"/>
    <w:uiPriority w:val="0"/>
    <w:semiHidden/>
    <w:qFormat/>
    <w:rPr>
      <w:rFonts w:ascii="Times New Roman" w:hAnsi="Times New Roman" w:eastAsia="宋体" w:cs="Times New Roman"/>
      <w:b/>
      <w:bCs/>
      <w:sz w:val="20"/>
      <w:szCs w:val="21"/>
      <w:lang w:eastAsia="en-US"/>
    </w:rPr>
  </w:style>
  <w:style w:type="paragraph" w:styleId="695">
    <w:name w:val="Body Text First Indent"/>
    <w:basedOn w:val="662"/>
    <w:link w:val="714"/>
    <w:uiPriority w:val="99"/>
    <w:unhideWhenUsed/>
    <w:qFormat/>
    <w:pPr>
      <w:ind w:firstLine="420"/>
    </w:pPr>
  </w:style>
  <w:style w:type="paragraph" w:styleId="696">
    <w:name w:val="Body Text First Indent 2"/>
    <w:basedOn w:val="665"/>
    <w:next w:val="645"/>
    <w:link w:val="715"/>
    <w:uiPriority w:val="0"/>
    <w:qFormat/>
    <w:pPr>
      <w:ind w:firstLine="420"/>
      <w:spacing w:line="360" w:lineRule="auto"/>
    </w:pPr>
    <w:rPr>
      <w:rFonts w:ascii="宋体" w:hAnsi="宋体"/>
      <w:sz w:val="20"/>
      <w:szCs w:val="20"/>
    </w:rPr>
  </w:style>
  <w:style w:type="table" w:styleId="697">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uiPriority w:val="0"/>
    <w:qFormat/>
    <w:rPr>
      <w:b/>
      <w:bCs/>
    </w:rPr>
  </w:style>
  <w:style w:type="character" w:styleId="699">
    <w:name w:val="endnote reference"/>
    <w:uiPriority w:val="99"/>
    <w:semiHidden/>
    <w:unhideWhenUsed/>
    <w:qFormat/>
    <w:rPr>
      <w:vertAlign w:val="superscript"/>
    </w:rPr>
  </w:style>
  <w:style w:type="character" w:styleId="700">
    <w:name w:val="page number"/>
    <w:uiPriority w:val="0"/>
    <w:qFormat/>
  </w:style>
  <w:style w:type="character" w:styleId="701">
    <w:name w:val="FollowedHyperlink"/>
    <w:uiPriority w:val="0"/>
    <w:qFormat/>
    <w:rPr>
      <w:color w:val="800080"/>
      <w:u w:val="single"/>
    </w:rPr>
  </w:style>
  <w:style w:type="character" w:styleId="702">
    <w:name w:val="Hyperlink"/>
    <w:basedOn w:val="655"/>
    <w:uiPriority w:val="0"/>
    <w:unhideWhenUsed/>
    <w:qFormat/>
    <w:rPr>
      <w:color w:val="0000ff" w:themeColor="hyperlink"/>
      <w:u w:val="single"/>
      <w14:textFill>
        <w14:solidFill>
          <w14:schemeClr w14:val="hlink"/>
        </w14:solidFill>
      </w14:textFill>
    </w:rPr>
  </w:style>
  <w:style w:type="character" w:styleId="703">
    <w:name w:val="annotation reference"/>
    <w:basedOn w:val="655"/>
    <w:uiPriority w:val="0"/>
    <w:qFormat/>
    <w:rPr>
      <w:sz w:val="21"/>
      <w:szCs w:val="21"/>
    </w:rPr>
  </w:style>
  <w:style w:type="character" w:styleId="704">
    <w:name w:val="footnote reference"/>
    <w:uiPriority w:val="99"/>
    <w:unhideWhenUsed/>
    <w:qFormat/>
    <w:rPr>
      <w:vertAlign w:val="superscript"/>
    </w:rPr>
  </w:style>
  <w:style w:type="character" w:styleId="705" w:customStyle="1">
    <w:name w:val="标题 1 Char"/>
    <w:basedOn w:val="655"/>
    <w:link w:val="646"/>
    <w:uiPriority w:val="0"/>
    <w:qFormat/>
    <w:rPr>
      <w:rFonts w:ascii="楷体_GB2312" w:eastAsia="楷体_GB2312"/>
      <w:sz w:val="28"/>
      <w:szCs w:val="28"/>
    </w:rPr>
  </w:style>
  <w:style w:type="character" w:styleId="706" w:customStyle="1">
    <w:name w:val="标题 2 Char"/>
    <w:basedOn w:val="655"/>
    <w:link w:val="647"/>
    <w:uiPriority w:val="0"/>
    <w:qFormat/>
    <w:rPr>
      <w:rFonts w:ascii="Arial" w:hAnsi="Arial" w:eastAsia="楷体_GB2312" w:cs="Arial"/>
      <w:b/>
      <w:bCs/>
      <w:sz w:val="28"/>
      <w:szCs w:val="44"/>
    </w:rPr>
  </w:style>
  <w:style w:type="character" w:styleId="707" w:customStyle="1">
    <w:name w:val="标题 4 Char"/>
    <w:basedOn w:val="655"/>
    <w:link w:val="649"/>
    <w:uiPriority w:val="0"/>
    <w:qFormat/>
    <w:rPr>
      <w:rFonts w:ascii="Arial" w:hAnsi="Arial" w:eastAsia="黑体"/>
      <w:b/>
      <w:bCs/>
      <w:sz w:val="28"/>
      <w:szCs w:val="28"/>
    </w:rPr>
  </w:style>
  <w:style w:type="character" w:styleId="708" w:customStyle="1">
    <w:name w:val="正文文本 Char"/>
    <w:basedOn w:val="655"/>
    <w:link w:val="662"/>
    <w:uiPriority w:val="0"/>
    <w:qFormat/>
    <w:rPr>
      <w:rFonts w:ascii="楷体_GB2312" w:hAnsi="Arial" w:eastAsia="楷体_GB2312"/>
      <w:sz w:val="28"/>
      <w:szCs w:val="20"/>
    </w:rPr>
  </w:style>
  <w:style w:type="character" w:styleId="709" w:customStyle="1">
    <w:name w:val="正文文本缩进 Char"/>
    <w:basedOn w:val="655"/>
    <w:link w:val="665"/>
    <w:uiPriority w:val="99"/>
    <w:qFormat/>
    <w:rPr>
      <w:rFonts w:eastAsia="仿宋_GB2312"/>
      <w:sz w:val="28"/>
      <w:szCs w:val="24"/>
    </w:rPr>
  </w:style>
  <w:style w:type="character" w:styleId="710" w:customStyle="1">
    <w:name w:val="纯文本 Char"/>
    <w:basedOn w:val="655"/>
    <w:link w:val="671"/>
    <w:uiPriority w:val="0"/>
    <w:qFormat/>
    <w:rPr>
      <w:rFonts w:ascii="宋体" w:hAnsi="Courier New"/>
      <w:szCs w:val="24"/>
    </w:rPr>
  </w:style>
  <w:style w:type="character" w:styleId="711" w:customStyle="1">
    <w:name w:val="页脚 Char"/>
    <w:basedOn w:val="655"/>
    <w:link w:val="677"/>
    <w:uiPriority w:val="0"/>
    <w:qFormat/>
    <w:rPr>
      <w:sz w:val="18"/>
      <w:szCs w:val="24"/>
    </w:rPr>
  </w:style>
  <w:style w:type="character" w:styleId="712" w:customStyle="1">
    <w:name w:val="页眉 Char"/>
    <w:basedOn w:val="655"/>
    <w:link w:val="679"/>
    <w:uiPriority w:val="0"/>
    <w:qFormat/>
    <w:rPr>
      <w:sz w:val="18"/>
      <w:szCs w:val="24"/>
    </w:rPr>
  </w:style>
  <w:style w:type="character" w:styleId="713" w:customStyle="1">
    <w:name w:val="正文文本 2 Char"/>
    <w:basedOn w:val="655"/>
    <w:link w:val="690"/>
    <w:uiPriority w:val="0"/>
    <w:qFormat/>
    <w:rPr>
      <w:rFonts w:ascii="楷体_GB2312" w:eastAsia="楷体_GB2312"/>
      <w:sz w:val="28"/>
      <w:szCs w:val="28"/>
    </w:rPr>
  </w:style>
  <w:style w:type="character" w:styleId="714" w:customStyle="1">
    <w:name w:val="正文首行缩进 Char"/>
    <w:basedOn w:val="708"/>
    <w:link w:val="695"/>
    <w:uiPriority w:val="99"/>
    <w:qFormat/>
    <w:rPr>
      <w:rFonts w:ascii="楷体_GB2312" w:hAnsi="Arial" w:eastAsia="楷体_GB2312"/>
      <w:sz w:val="28"/>
      <w:szCs w:val="20"/>
    </w:rPr>
  </w:style>
  <w:style w:type="character" w:styleId="715" w:customStyle="1">
    <w:name w:val="正文首行缩进 2 Char"/>
    <w:basedOn w:val="709"/>
    <w:link w:val="696"/>
    <w:uiPriority w:val="0"/>
    <w:qFormat/>
    <w:rPr>
      <w:rFonts w:ascii="宋体" w:hAnsi="宋体" w:eastAsia="仿宋_GB2312"/>
      <w:sz w:val="20"/>
      <w:szCs w:val="20"/>
    </w:rPr>
  </w:style>
  <w:style w:type="paragraph" w:styleId="716" w:customStyle="1">
    <w:name w:val="正文112"/>
    <w:uiPriority w:val="0"/>
    <w:qFormat/>
    <w:rPr>
      <w:rFonts w:ascii="宋体" w:hAnsi="宋体" w:eastAsia="宋体" w:cs="Times New Roman"/>
      <w:sz w:val="24"/>
      <w:szCs w:val="24"/>
      <w:lang w:val="en-US" w:eastAsia="zh-CN" w:bidi="ar-SA"/>
    </w:rPr>
  </w:style>
  <w:style w:type="paragraph" w:styleId="717" w:customStyle="1">
    <w:name w:val="无间隔1"/>
    <w:uiPriority w:val="0"/>
    <w:qFormat/>
    <w:rPr>
      <w:rFonts w:ascii="Times New Roman" w:hAnsi="Times New Roman" w:eastAsia="宋体" w:cs="Times New Roman"/>
      <w:sz w:val="22"/>
      <w:szCs w:val="22"/>
      <w:lang w:val="en-US" w:eastAsia="en-US" w:bidi="ar-SA"/>
    </w:rPr>
  </w:style>
  <w:style w:type="paragraph" w:styleId="718" w:customStyle="1">
    <w:name w:val="正文11"/>
    <w:uiPriority w:val="0"/>
    <w:qFormat/>
    <w:pPr>
      <w:jc w:val="both"/>
      <w:widowControl w:val="off"/>
    </w:pPr>
    <w:rPr>
      <w:rFonts w:ascii="Calibri" w:hAnsi="Calibri" w:eastAsia="宋体" w:cs="Times New Roman"/>
      <w:sz w:val="21"/>
      <w:szCs w:val="24"/>
      <w:lang w:val="en-US" w:eastAsia="zh-CN" w:bidi="ar-SA"/>
    </w:rPr>
  </w:style>
  <w:style w:type="paragraph" w:styleId="719" w:customStyle="1">
    <w:name w:val="文本块1"/>
    <w:basedOn w:val="718"/>
    <w:uiPriority w:val="0"/>
    <w:qFormat/>
    <w:pPr>
      <w:ind w:left="256" w:right="6" w:firstLine="624"/>
    </w:pPr>
    <w:rPr>
      <w:rFonts w:eastAsia="仿宋_GB2312"/>
      <w:sz w:val="28"/>
    </w:rPr>
  </w:style>
  <w:style w:type="paragraph" w:styleId="720" w:customStyle="1">
    <w:name w:val="正文文本缩进11"/>
    <w:uiPriority w:val="0"/>
    <w:qFormat/>
    <w:pPr>
      <w:ind w:left="420"/>
      <w:spacing w:after="120"/>
    </w:pPr>
    <w:rPr>
      <w:rFonts w:ascii="宋体" w:hAnsi="宋体" w:eastAsia="宋体" w:cs="Times New Roman"/>
      <w:sz w:val="24"/>
      <w:szCs w:val="24"/>
      <w:lang w:val="en-US" w:eastAsia="zh-CN" w:bidi="ar-SA"/>
    </w:rPr>
  </w:style>
  <w:style w:type="paragraph" w:styleId="721" w:customStyle="1">
    <w:name w:val="寄信人地址11"/>
    <w:uiPriority w:val="0"/>
    <w:qFormat/>
    <w:rPr>
      <w:rFonts w:ascii="Arial" w:hAnsi="Arial" w:eastAsia="宋体" w:cs="Times New Roman"/>
      <w:sz w:val="24"/>
      <w:szCs w:val="24"/>
      <w:lang w:val="en-US" w:eastAsia="zh-CN" w:bidi="ar-SA"/>
    </w:rPr>
  </w:style>
  <w:style w:type="paragraph" w:styleId="722" w:customStyle="1">
    <w:name w:val="正文1"/>
    <w:basedOn w:val="716"/>
    <w:uiPriority w:val="0"/>
    <w:qFormat/>
    <w:pPr>
      <w:ind w:left="369" w:firstLine="369"/>
      <w:spacing w:line="318" w:lineRule="atLeast"/>
    </w:pPr>
  </w:style>
  <w:style w:type="paragraph" w:styleId="723" w:customStyle="1">
    <w:name w:val="脚注文本1"/>
    <w:basedOn w:val="716"/>
    <w:uiPriority w:val="0"/>
    <w:qFormat/>
    <w:pPr>
      <w:spacing w:after="40"/>
    </w:pPr>
    <w:rPr>
      <w:sz w:val="18"/>
    </w:rPr>
  </w:style>
  <w:style w:type="paragraph" w:styleId="724" w:customStyle="1">
    <w:name w:val="索引 51"/>
    <w:basedOn w:val="716"/>
    <w:uiPriority w:val="0"/>
    <w:qFormat/>
    <w:pPr>
      <w:ind w:left="798"/>
    </w:pPr>
    <w:rPr>
      <w:rFonts w:ascii="Calibri" w:hAnsi="Calibri"/>
    </w:rPr>
  </w:style>
  <w:style w:type="paragraph" w:styleId="725" w:customStyle="1">
    <w:name w:val="标题 11"/>
    <w:basedOn w:val="718"/>
    <w:uiPriority w:val="0"/>
    <w:qFormat/>
    <w:pPr>
      <w:keepLines/>
      <w:keepNext/>
      <w:spacing w:before="340" w:after="330" w:line="578" w:lineRule="auto"/>
      <w:outlineLvl w:val="0"/>
    </w:pPr>
    <w:rPr>
      <w:b/>
      <w:bCs/>
      <w:sz w:val="44"/>
      <w:szCs w:val="44"/>
    </w:rPr>
  </w:style>
  <w:style w:type="character" w:styleId="726" w:customStyle="1">
    <w:name w:val="NormalCharacter"/>
    <w:uiPriority w:val="0"/>
    <w:qFormat/>
    <w:rPr>
      <w:rFonts w:ascii="宋体"/>
    </w:rPr>
  </w:style>
  <w:style w:type="paragraph" w:styleId="727" w:customStyle="1">
    <w:name w:val="页脚1"/>
    <w:basedOn w:val="722"/>
    <w:uiPriority w:val="0"/>
    <w:qFormat/>
    <w:pPr>
      <w:spacing w:line="240" w:lineRule="auto"/>
      <w:tabs>
        <w:tab w:val="center" w:pos="4153" w:leader="none"/>
        <w:tab w:val="right" w:pos="8306" w:leader="none"/>
      </w:tabs>
    </w:pPr>
    <w:rPr>
      <w:sz w:val="18"/>
      <w:szCs w:val="18"/>
    </w:rPr>
  </w:style>
  <w:style w:type="paragraph" w:styleId="728" w:customStyle="1">
    <w:name w:val="Default"/>
    <w:uiPriority w:val="0"/>
    <w:qFormat/>
    <w:pPr>
      <w:widowControl w:val="off"/>
    </w:pPr>
    <w:rPr>
      <w:rFonts w:ascii="宋体" w:hAnsi="宋体" w:eastAsia="宋体" w:cs="Times New Roman"/>
      <w:color w:val="000000"/>
      <w:sz w:val="24"/>
      <w:szCs w:val="24"/>
      <w:lang w:val="en-US" w:eastAsia="zh-CN" w:bidi="ar-SA"/>
    </w:rPr>
  </w:style>
  <w:style w:type="paragraph" w:styleId="729"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730" w:customStyle="1">
    <w:name w:val="目录 111"/>
    <w:basedOn w:val="729"/>
    <w:uiPriority w:val="0"/>
    <w:qFormat/>
    <w:pPr>
      <w:spacing w:after="57"/>
    </w:pPr>
  </w:style>
  <w:style w:type="paragraph" w:styleId="731" w:customStyle="1">
    <w:name w:val="目录 11"/>
    <w:basedOn w:val="718"/>
    <w:uiPriority w:val="0"/>
    <w:qFormat/>
  </w:style>
  <w:style w:type="paragraph" w:styleId="732" w:customStyle="1">
    <w:name w:val="普通正文"/>
    <w:basedOn w:val="645"/>
    <w:uiPriority w:val="0"/>
    <w:qFormat/>
    <w:pPr>
      <w:ind w:firstLine="480"/>
      <w:jc w:val="left"/>
      <w:spacing w:before="120" w:after="120" w:line="360" w:lineRule="auto"/>
    </w:pPr>
    <w:rPr>
      <w:rFonts w:ascii="Arial" w:hAnsi="Arial"/>
      <w:sz w:val="24"/>
    </w:rPr>
  </w:style>
  <w:style w:type="paragraph" w:styleId="733" w:customStyle="1">
    <w:name w:val="首行缩进"/>
    <w:basedOn w:val="645"/>
    <w:uiPriority w:val="0"/>
    <w:qFormat/>
    <w:pPr>
      <w:ind w:firstLine="480"/>
    </w:pPr>
    <w:rPr>
      <w:rFonts w:ascii="Times New Roman" w:hAnsi="Times New Roman"/>
      <w:szCs w:val="20"/>
      <w:lang w:val="zh-CN"/>
    </w:rPr>
  </w:style>
  <w:style w:type="paragraph" w:styleId="734" w:customStyle="1">
    <w:name w:val="标题 21"/>
    <w:basedOn w:val="645"/>
    <w:next w:val="645"/>
    <w:uiPriority w:val="0"/>
    <w:qFormat/>
    <w:pPr>
      <w:keepLines/>
      <w:keepNext/>
      <w:spacing w:before="260" w:after="260" w:line="416" w:lineRule="auto"/>
      <w:outlineLvl w:val="1"/>
    </w:pPr>
    <w:rPr>
      <w:rFonts w:ascii="Cambria" w:hAnsi="Cambria" w:eastAsia="宋体"/>
      <w:b/>
      <w:bCs/>
      <w:sz w:val="32"/>
      <w:szCs w:val="32"/>
    </w:rPr>
  </w:style>
  <w:style w:type="character" w:styleId="735" w:customStyle="1">
    <w:name w:val="批注文字 Char"/>
    <w:basedOn w:val="655"/>
    <w:link w:val="663"/>
    <w:uiPriority w:val="99"/>
    <w:qFormat/>
    <w:rPr>
      <w:szCs w:val="24"/>
    </w:rPr>
  </w:style>
  <w:style w:type="character" w:styleId="736" w:customStyle="1">
    <w:name w:val="批注框文本 Char"/>
    <w:basedOn w:val="655"/>
    <w:link w:val="676"/>
    <w:uiPriority w:val="0"/>
    <w:qFormat/>
    <w:rPr>
      <w:sz w:val="18"/>
      <w:szCs w:val="18"/>
    </w:rPr>
  </w:style>
  <w:style w:type="paragraph" w:styleId="737" w:customStyle="1">
    <w:name w:val="TOC 标题1"/>
    <w:basedOn w:val="646"/>
    <w:next w:val="645"/>
    <w:uiPriority w:val="39"/>
    <w:unhideWhenUsed/>
    <w:qFormat/>
    <w:pPr>
      <w:jc w:val="left"/>
      <w:keepLines/>
      <w:spacing w:before="480" w:line="276" w:lineRule="auto"/>
      <w:widowControl/>
      <w:outlineLvl w:val="9"/>
    </w:pPr>
    <w:rPr>
      <w:rFonts w:asciiTheme="majorHAnsi" w:hAnsiTheme="majorHAnsi" w:eastAsiaTheme="majorEastAsia" w:cstheme="majorBidi"/>
      <w:b/>
      <w:bCs/>
      <w:color w:val="376092" w:themeColor="accent1" w:themeShade="BF"/>
    </w:rPr>
  </w:style>
  <w:style w:type="character" w:styleId="738" w:customStyle="1">
    <w:name w:val="正文文本缩进 2 Char"/>
    <w:basedOn w:val="655"/>
    <w:link w:val="674"/>
    <w:uiPriority w:val="0"/>
    <w:qFormat/>
    <w:rPr>
      <w:szCs w:val="24"/>
    </w:rPr>
  </w:style>
  <w:style w:type="character" w:styleId="739" w:customStyle="1">
    <w:name w:val="标题 3 Char"/>
    <w:basedOn w:val="655"/>
    <w:link w:val="648"/>
    <w:uiPriority w:val="0"/>
    <w:qFormat/>
    <w:rPr>
      <w:rFonts w:ascii="Times New Roman" w:hAnsi="Times New Roman" w:eastAsia="宋体" w:cs="Times New Roman"/>
      <w:b/>
      <w:bCs/>
      <w:sz w:val="32"/>
      <w:szCs w:val="32"/>
      <w:lang w:eastAsia="en-US"/>
    </w:rPr>
  </w:style>
  <w:style w:type="character" w:styleId="740" w:customStyle="1">
    <w:name w:val="标题 5 Char"/>
    <w:basedOn w:val="655"/>
    <w:link w:val="650"/>
    <w:uiPriority w:val="0"/>
    <w:qFormat/>
    <w:rPr>
      <w:rFonts w:ascii="宋体" w:hAnsi="Times New Roman" w:eastAsia="宋体" w:cs="Times New Roman"/>
      <w:color w:val="000000"/>
      <w:sz w:val="28"/>
      <w:szCs w:val="28"/>
      <w:lang w:eastAsia="en-US"/>
    </w:rPr>
  </w:style>
  <w:style w:type="character" w:styleId="741" w:customStyle="1">
    <w:name w:val="标题 6 Char"/>
    <w:basedOn w:val="655"/>
    <w:link w:val="651"/>
    <w:uiPriority w:val="0"/>
    <w:qFormat/>
    <w:rPr>
      <w:rFonts w:ascii="Arial" w:hAnsi="Arial" w:eastAsia="黑体" w:cs="Times New Roman"/>
      <w:b/>
      <w:bCs/>
      <w:sz w:val="24"/>
      <w:szCs w:val="24"/>
      <w:lang w:eastAsia="en-US"/>
    </w:rPr>
  </w:style>
  <w:style w:type="character" w:styleId="742" w:customStyle="1">
    <w:name w:val="标题 7 Char"/>
    <w:basedOn w:val="655"/>
    <w:link w:val="652"/>
    <w:uiPriority w:val="0"/>
    <w:qFormat/>
    <w:rPr>
      <w:rFonts w:ascii="Times New Roman" w:hAnsi="Times New Roman" w:eastAsia="宋体" w:cs="Times New Roman"/>
      <w:b/>
      <w:bCs/>
      <w:sz w:val="24"/>
      <w:szCs w:val="24"/>
      <w:lang w:eastAsia="en-US"/>
    </w:rPr>
  </w:style>
  <w:style w:type="character" w:styleId="743" w:customStyle="1">
    <w:name w:val="标题 8 Char"/>
    <w:basedOn w:val="655"/>
    <w:link w:val="653"/>
    <w:uiPriority w:val="0"/>
    <w:qFormat/>
    <w:rPr>
      <w:rFonts w:ascii="Arial" w:hAnsi="Arial" w:eastAsia="黑体" w:cs="Times New Roman"/>
      <w:sz w:val="24"/>
      <w:szCs w:val="24"/>
      <w:lang w:eastAsia="en-US"/>
    </w:rPr>
  </w:style>
  <w:style w:type="character" w:styleId="744" w:customStyle="1">
    <w:name w:val="标题 9 Char"/>
    <w:basedOn w:val="655"/>
    <w:link w:val="654"/>
    <w:uiPriority w:val="0"/>
    <w:qFormat/>
    <w:rPr>
      <w:rFonts w:ascii="Arial" w:hAnsi="Arial" w:eastAsia="黑体" w:cs="Times New Roman"/>
      <w:sz w:val="20"/>
      <w:szCs w:val="21"/>
      <w:lang w:eastAsia="en-US"/>
    </w:rPr>
  </w:style>
  <w:style w:type="character" w:styleId="745" w:customStyle="1">
    <w:name w:val="Heading 1 Char"/>
    <w:uiPriority w:val="9"/>
    <w:qFormat/>
    <w:rPr>
      <w:rFonts w:ascii="Arial" w:hAnsi="Arial" w:eastAsia="Arial" w:cs="Arial"/>
      <w:sz w:val="40"/>
      <w:szCs w:val="40"/>
    </w:rPr>
  </w:style>
  <w:style w:type="character" w:styleId="746" w:customStyle="1">
    <w:name w:val="Heading 2 Char"/>
    <w:uiPriority w:val="9"/>
    <w:qFormat/>
    <w:rPr>
      <w:rFonts w:ascii="Arial" w:hAnsi="Arial" w:eastAsia="Arial" w:cs="Arial"/>
      <w:sz w:val="34"/>
    </w:rPr>
  </w:style>
  <w:style w:type="character" w:styleId="747" w:customStyle="1">
    <w:name w:val="Heading 3 Char"/>
    <w:uiPriority w:val="9"/>
    <w:qFormat/>
    <w:rPr>
      <w:rFonts w:ascii="Arial" w:hAnsi="Arial" w:eastAsia="Arial" w:cs="Arial"/>
      <w:sz w:val="30"/>
      <w:szCs w:val="30"/>
    </w:rPr>
  </w:style>
  <w:style w:type="character" w:styleId="748" w:customStyle="1">
    <w:name w:val="Heading 4 Char"/>
    <w:uiPriority w:val="9"/>
    <w:qFormat/>
    <w:rPr>
      <w:rFonts w:ascii="Arial" w:hAnsi="Arial" w:eastAsia="Arial" w:cs="Arial"/>
      <w:b/>
      <w:bCs/>
      <w:sz w:val="26"/>
      <w:szCs w:val="26"/>
    </w:rPr>
  </w:style>
  <w:style w:type="character" w:styleId="749" w:customStyle="1">
    <w:name w:val="Heading 5 Char"/>
    <w:uiPriority w:val="9"/>
    <w:qFormat/>
    <w:rPr>
      <w:rFonts w:ascii="Arial" w:hAnsi="Arial" w:eastAsia="Arial" w:cs="Arial"/>
      <w:b/>
      <w:bCs/>
      <w:sz w:val="24"/>
      <w:szCs w:val="24"/>
    </w:rPr>
  </w:style>
  <w:style w:type="character" w:styleId="750" w:customStyle="1">
    <w:name w:val="Heading 6 Char"/>
    <w:uiPriority w:val="9"/>
    <w:qFormat/>
    <w:rPr>
      <w:rFonts w:ascii="Arial" w:hAnsi="Arial" w:eastAsia="Arial" w:cs="Arial"/>
      <w:b/>
      <w:bCs/>
      <w:sz w:val="22"/>
      <w:szCs w:val="22"/>
    </w:rPr>
  </w:style>
  <w:style w:type="character" w:styleId="751" w:customStyle="1">
    <w:name w:val="Heading 7 Char"/>
    <w:uiPriority w:val="9"/>
    <w:qFormat/>
    <w:rPr>
      <w:rFonts w:ascii="Arial" w:hAnsi="Arial" w:eastAsia="Arial" w:cs="Arial"/>
      <w:b/>
      <w:bCs/>
      <w:i/>
      <w:iCs/>
      <w:sz w:val="22"/>
      <w:szCs w:val="22"/>
    </w:rPr>
  </w:style>
  <w:style w:type="character" w:styleId="752" w:customStyle="1">
    <w:name w:val="Heading 8 Char"/>
    <w:uiPriority w:val="9"/>
    <w:qFormat/>
    <w:rPr>
      <w:rFonts w:ascii="Arial" w:hAnsi="Arial" w:eastAsia="Arial" w:cs="Arial"/>
      <w:i/>
      <w:iCs/>
      <w:sz w:val="22"/>
      <w:szCs w:val="22"/>
    </w:rPr>
  </w:style>
  <w:style w:type="character" w:styleId="753" w:customStyle="1">
    <w:name w:val="Heading 9 Char"/>
    <w:uiPriority w:val="9"/>
    <w:qFormat/>
    <w:rPr>
      <w:rFonts w:ascii="Arial" w:hAnsi="Arial" w:eastAsia="Arial" w:cs="Arial"/>
      <w:i/>
      <w:iCs/>
      <w:sz w:val="21"/>
      <w:szCs w:val="21"/>
    </w:rPr>
  </w:style>
  <w:style w:type="paragraph" w:styleId="754">
    <w:name w:val="List Paragraph"/>
    <w:basedOn w:val="645"/>
    <w:uiPriority w:val="34"/>
    <w:qFormat/>
    <w:pPr>
      <w:contextualSpacing/>
      <w:ind w:left="720"/>
    </w:pPr>
    <w:rPr>
      <w:rFonts w:ascii="Calibri" w:hAnsi="Calibri" w:eastAsia="宋体" w:cs="Times New Roman"/>
      <w:szCs w:val="22"/>
    </w:rPr>
  </w:style>
  <w:style w:type="paragraph" w:styleId="75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56" w:customStyle="1">
    <w:name w:val="标题 Char"/>
    <w:basedOn w:val="655"/>
    <w:link w:val="693"/>
    <w:uiPriority w:val="10"/>
    <w:qFormat/>
    <w:rPr>
      <w:rFonts w:ascii="Calibri" w:hAnsi="Calibri" w:eastAsia="宋体" w:cs="Times New Roman"/>
      <w:sz w:val="48"/>
      <w:szCs w:val="48"/>
    </w:rPr>
  </w:style>
  <w:style w:type="character" w:styleId="757" w:customStyle="1">
    <w:name w:val="副标题 Char"/>
    <w:basedOn w:val="655"/>
    <w:link w:val="682"/>
    <w:uiPriority w:val="11"/>
    <w:qFormat/>
    <w:rPr>
      <w:rFonts w:ascii="Calibri" w:hAnsi="Calibri" w:eastAsia="宋体" w:cs="Times New Roman"/>
      <w:sz w:val="24"/>
      <w:szCs w:val="24"/>
    </w:rPr>
  </w:style>
  <w:style w:type="paragraph" w:styleId="758">
    <w:name w:val="Quote"/>
    <w:basedOn w:val="645"/>
    <w:next w:val="645"/>
    <w:link w:val="759"/>
    <w:uiPriority w:val="29"/>
    <w:qFormat/>
    <w:pPr>
      <w:ind w:left="720" w:right="720"/>
    </w:pPr>
    <w:rPr>
      <w:rFonts w:ascii="Calibri" w:hAnsi="Calibri" w:eastAsia="宋体" w:cs="Times New Roman"/>
      <w:i/>
      <w:szCs w:val="22"/>
    </w:rPr>
  </w:style>
  <w:style w:type="character" w:styleId="759" w:customStyle="1">
    <w:name w:val="引用 Char"/>
    <w:basedOn w:val="655"/>
    <w:link w:val="758"/>
    <w:uiPriority w:val="29"/>
    <w:qFormat/>
    <w:rPr>
      <w:rFonts w:ascii="Calibri" w:hAnsi="Calibri" w:eastAsia="宋体" w:cs="Times New Roman"/>
      <w:i/>
    </w:rPr>
  </w:style>
  <w:style w:type="paragraph" w:styleId="760">
    <w:name w:val="Intense Quote"/>
    <w:basedOn w:val="645"/>
    <w:next w:val="645"/>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szCs w:val="22"/>
    </w:rPr>
  </w:style>
  <w:style w:type="character" w:styleId="761" w:customStyle="1">
    <w:name w:val="明显引用 Char"/>
    <w:basedOn w:val="655"/>
    <w:link w:val="760"/>
    <w:uiPriority w:val="30"/>
    <w:qFormat/>
    <w:rPr>
      <w:rFonts w:ascii="Calibri" w:hAnsi="Calibri" w:eastAsia="宋体" w:cs="Times New Roman"/>
      <w:i/>
      <w:shd w:val="clear" w:color="auto" w:fill="f2f2f2"/>
    </w:rPr>
  </w:style>
  <w:style w:type="character" w:styleId="762" w:customStyle="1">
    <w:name w:val="Header Char"/>
    <w:uiPriority w:val="99"/>
    <w:qFormat/>
  </w:style>
  <w:style w:type="character" w:styleId="763" w:customStyle="1">
    <w:name w:val="Footer Char"/>
    <w:uiPriority w:val="99"/>
    <w:qFormat/>
  </w:style>
  <w:style w:type="character" w:styleId="764" w:customStyle="1">
    <w:name w:val="Caption Char"/>
    <w:uiPriority w:val="99"/>
    <w:qFormat/>
  </w:style>
  <w:style w:type="table" w:styleId="765" w:customStyle="1">
    <w:name w:val="Table Grid Light"/>
    <w:uiPriority w:val="59"/>
    <w:qFormat/>
    <w:rPr>
      <w:rFonts w:ascii="Calibri" w:hAnsi="Calibri"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rPr>
      <w:rFonts w:ascii="Calibri" w:hAnsi="Calibri"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rPr>
      <w:rFonts w:ascii="Calibri" w:hAnsi="Calibri"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rPr>
      <w:rFonts w:ascii="Calibri" w:hAnsi="Calibri"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rPr>
      <w:rFonts w:ascii="Calibri" w:hAnsi="Calibri"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rPr>
      <w:rFonts w:ascii="Calibri" w:hAnsi="Calibri"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rPr>
      <w:rFonts w:ascii="Calibri" w:hAnsi="Calibri"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rPr>
      <w:rFonts w:ascii="Calibri" w:hAnsi="Calibri"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rPr>
      <w:rFonts w:ascii="Calibri" w:hAnsi="Calibri"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rPr>
      <w:rFonts w:ascii="Calibri" w:hAnsi="Calibri"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rPr>
      <w:rFonts w:ascii="Calibri" w:hAnsi="Calibri"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rPr>
      <w:rFonts w:ascii="Calibri" w:hAnsi="Calibri"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rPr>
      <w:rFonts w:ascii="Calibri" w:hAnsi="Calibri"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rPr>
      <w:rFonts w:ascii="Calibri" w:hAnsi="Calibri"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rPr>
      <w:rFonts w:ascii="Calibri" w:hAnsi="Calibri"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rPr>
      <w:rFonts w:ascii="Calibri" w:hAnsi="Calibri" w:eastAsia="宋体" w:cs="Times New Roman"/>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rPr>
      <w:rFonts w:ascii="Calibri" w:hAnsi="Calibri" w:eastAsia="宋体" w:cs="Times New Roman"/>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rPr>
      <w:rFonts w:ascii="Calibri" w:hAnsi="Calibri"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rPr>
      <w:rFonts w:ascii="Calibri" w:hAnsi="Calibri"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rPr>
      <w:rFonts w:ascii="Calibri" w:hAnsi="Calibri"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rPr>
      <w:rFonts w:ascii="Calibri" w:hAnsi="Calibri"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rPr>
      <w:rFonts w:ascii="Calibri" w:hAnsi="Calibri"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rPr>
      <w:rFonts w:ascii="Calibri" w:hAnsi="Calibri" w:eastAsia="宋体" w:cs="Times New Roman"/>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rPr>
      <w:rFonts w:ascii="Calibri" w:hAnsi="Calibri" w:eastAsia="宋体" w:cs="Times New Roman"/>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rPr>
      <w:rFonts w:ascii="Calibri" w:hAnsi="Calibri"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rPr>
      <w:rFonts w:ascii="Calibri" w:hAnsi="Calibri"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rPr>
      <w:rFonts w:ascii="Calibri" w:hAnsi="Calibri"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rPr>
      <w:rFonts w:ascii="Calibri" w:hAnsi="Calibri"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rPr>
      <w:rFonts w:ascii="Calibri" w:hAnsi="Calibri"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rPr>
      <w:rFonts w:ascii="Calibri" w:hAnsi="Calibri"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rPr>
      <w:rFonts w:ascii="Calibri" w:hAnsi="Calibri"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rPr>
      <w:rFonts w:ascii="Calibri" w:hAnsi="Calibri"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rPr>
      <w:rFonts w:ascii="Calibri" w:hAnsi="Calibri" w:eastAsia="宋体" w:cs="Times New Roman"/>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rPr>
      <w:rFonts w:ascii="Calibri" w:hAnsi="Calibri"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rPr>
      <w:rFonts w:ascii="Calibri" w:hAnsi="Calibri" w:eastAsia="宋体" w:cs="Times New Roman"/>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uiPriority w:val="99"/>
    <w:qFormat/>
    <w:rPr>
      <w:rFonts w:ascii="Calibri" w:hAnsi="Calibri"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rPr>
      <w:rFonts w:ascii="Calibri" w:hAnsi="Calibri" w:eastAsia="宋体" w:cs="Times New Roman"/>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rPr>
      <w:rFonts w:ascii="Calibri" w:hAnsi="Calibri" w:eastAsia="宋体" w:cs="Times New Roman"/>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rPr>
      <w:rFonts w:ascii="Calibri" w:hAnsi="Calibri"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rPr>
      <w:rFonts w:ascii="Calibri" w:hAnsi="Calibri" w:eastAsia="宋体" w:cs="Times New Roman"/>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rPr>
      <w:rFonts w:ascii="Calibri" w:hAnsi="Calibri" w:eastAsia="宋体" w:cs="Times New Roman"/>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rPr>
      <w:rFonts w:ascii="Calibri" w:hAnsi="Calibri" w:eastAsia="宋体" w:cs="Times New Roman"/>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rPr>
      <w:rFonts w:ascii="Calibri" w:hAnsi="Calibri" w:eastAsia="宋体" w:cs="Times New Roman"/>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rPr>
      <w:rFonts w:ascii="Calibri" w:hAnsi="Calibri" w:eastAsia="宋体" w:cs="Times New Roman"/>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rPr>
      <w:rFonts w:ascii="Calibri" w:hAnsi="Calibri" w:eastAsia="宋体" w:cs="Times New Roman"/>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rPr>
      <w:rFonts w:ascii="Calibri" w:hAnsi="Calibri"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rPr>
      <w:rFonts w:ascii="Calibri" w:hAnsi="Calibri" w:eastAsia="宋体" w:cs="Times New Roman"/>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rPr>
      <w:rFonts w:ascii="Calibri" w:hAnsi="Calibri" w:eastAsia="宋体" w:cs="Times New Roman"/>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rPr>
      <w:rFonts w:ascii="Calibri" w:hAnsi="Calibri" w:eastAsia="宋体" w:cs="Times New Roman"/>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rPr>
      <w:rFonts w:ascii="Calibri" w:hAnsi="Calibri" w:eastAsia="宋体" w:cs="Times New Roman"/>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rPr>
      <w:rFonts w:ascii="Calibri" w:hAnsi="Calibri" w:eastAsia="宋体" w:cs="Times New Roman"/>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rPr>
      <w:rFonts w:ascii="Calibri" w:hAnsi="Calibri" w:eastAsia="宋体" w:cs="Times New Roman"/>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rPr>
      <w:rFonts w:ascii="Calibri" w:hAnsi="Calibri"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rPr>
      <w:rFonts w:ascii="Calibri" w:hAnsi="Calibri" w:eastAsia="宋体" w:cs="Times New Roman"/>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rPr>
      <w:rFonts w:ascii="Calibri" w:hAnsi="Calibri"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rPr>
      <w:rFonts w:ascii="Calibri" w:hAnsi="Calibri" w:eastAsia="宋体" w:cs="Times New Roman"/>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rPr>
      <w:rFonts w:ascii="Calibri" w:hAnsi="Calibri"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rPr>
      <w:rFonts w:ascii="Calibri" w:hAnsi="Calibri" w:eastAsia="宋体" w:cs="Times New Roman"/>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rPr>
      <w:rFonts w:ascii="Calibri" w:hAnsi="Calibri" w:eastAsia="宋体" w:cs="Times New Roman"/>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rPr>
      <w:rFonts w:ascii="Calibri" w:hAnsi="Calibri"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rPr>
      <w:rFonts w:ascii="Calibri" w:hAnsi="Calibri"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rPr>
      <w:rFonts w:ascii="Calibri" w:hAnsi="Calibri"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rPr>
      <w:rFonts w:ascii="Calibri" w:hAnsi="Calibri"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rPr>
      <w:rFonts w:ascii="Calibri" w:hAnsi="Calibri"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rPr>
      <w:rFonts w:ascii="Calibri" w:hAnsi="Calibri"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rPr>
      <w:rFonts w:ascii="Calibri" w:hAnsi="Calibri"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rPr>
      <w:rFonts w:ascii="Calibri" w:hAnsi="Calibri"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rPr>
      <w:rFonts w:ascii="Calibri" w:hAnsi="Calibri" w:eastAsia="宋体" w:cs="Times New Roman"/>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rPr>
      <w:rFonts w:ascii="Calibri" w:hAnsi="Calibri" w:eastAsia="宋体" w:cs="Times New Roman"/>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rPr>
      <w:rFonts w:ascii="Calibri" w:hAnsi="Calibri" w:eastAsia="宋体" w:cs="Times New Roman"/>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rPr>
      <w:rFonts w:ascii="Calibri" w:hAnsi="Calibri" w:eastAsia="宋体" w:cs="Times New Roman"/>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rPr>
      <w:rFonts w:ascii="Calibri" w:hAnsi="Calibri" w:eastAsia="宋体" w:cs="Times New Roman"/>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rPr>
      <w:rFonts w:ascii="Calibri" w:hAnsi="Calibri" w:eastAsia="宋体" w:cs="Times New Roman"/>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rPr>
      <w:rFonts w:ascii="Calibri" w:hAnsi="Calibri" w:eastAsia="宋体" w:cs="Times New Roman"/>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rPr>
      <w:rFonts w:ascii="Calibri" w:hAnsi="Calibri" w:eastAsia="宋体" w:cs="Times New Roman"/>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rPr>
      <w:rFonts w:ascii="Calibri" w:hAnsi="Calibri" w:eastAsia="宋体" w:cs="Times New Roman"/>
    </w:r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rPr>
      <w:rFonts w:ascii="Calibri" w:hAnsi="Calibri" w:eastAsia="宋体" w:cs="Times New Roman"/>
    </w:r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rPr>
      <w:rFonts w:ascii="Calibri" w:hAnsi="Calibri" w:eastAsia="宋体" w:cs="Times New Roman"/>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rPr>
      <w:rFonts w:ascii="Calibri" w:hAnsi="Calibri" w:eastAsia="宋体" w:cs="Times New Roman"/>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rPr>
      <w:rFonts w:ascii="Calibri" w:hAnsi="Calibri" w:eastAsia="宋体" w:cs="Times New Roman"/>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rPr>
      <w:rFonts w:ascii="Calibri" w:hAnsi="Calibri" w:eastAsia="宋体" w:cs="Times New Roman"/>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rPr>
      <w:rFonts w:ascii="Calibri" w:hAnsi="Calibri" w:eastAsia="宋体" w:cs="Times New Roman"/>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rPr>
      <w:rFonts w:ascii="Calibri" w:hAnsi="Calibri" w:eastAsia="宋体" w:cs="Times New Roman"/>
    </w:r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rPr>
      <w:rFonts w:ascii="Calibri" w:hAnsi="Calibri" w:eastAsia="宋体" w:cs="Times New Roman"/>
    </w:r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rPr>
      <w:rFonts w:ascii="Calibri" w:hAnsi="Calibri" w:eastAsia="宋体" w:cs="Times New Roman"/>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rPr>
      <w:rFonts w:ascii="Calibri" w:hAnsi="Calibri" w:eastAsia="宋体" w:cs="Times New Roman"/>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rPr>
      <w:rFonts w:ascii="Calibri" w:hAnsi="Calibri" w:eastAsia="宋体" w:cs="Times New Roman"/>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rFonts w:ascii="Calibri" w:hAnsi="Calibri"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rFonts w:ascii="Calibri" w:hAnsi="Calibri" w:eastAsia="宋体" w:cs="Times New Roman"/>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rFonts w:ascii="Calibri" w:hAnsi="Calibri" w:eastAsia="宋体" w:cs="Times New Roman"/>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rFonts w:ascii="Calibri" w:hAnsi="Calibri" w:eastAsia="宋体" w:cs="Times New Roman"/>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rFonts w:ascii="Calibri" w:hAnsi="Calibri" w:eastAsia="宋体" w:cs="Times New Roman"/>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rFonts w:ascii="Calibri" w:hAnsi="Calibri" w:eastAsia="宋体" w:cs="Times New Roman"/>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rFonts w:ascii="Calibri" w:hAnsi="Calibri" w:eastAsia="宋体" w:cs="Times New Roman"/>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rPr>
      <w:rFonts w:ascii="Calibri" w:hAnsi="Calibri"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rPr>
      <w:rFonts w:ascii="Calibri" w:hAnsi="Calibri"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rPr>
      <w:rFonts w:ascii="Calibri" w:hAnsi="Calibri"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rPr>
      <w:rFonts w:ascii="Calibri" w:hAnsi="Calibri"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rPr>
      <w:rFonts w:ascii="Calibri" w:hAnsi="Calibri"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rPr>
      <w:rFonts w:ascii="Calibri" w:hAnsi="Calibri"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rPr>
      <w:rFonts w:ascii="Calibri" w:hAnsi="Calibri"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basedOn w:val="655"/>
    <w:link w:val="684"/>
    <w:uiPriority w:val="99"/>
    <w:semiHidden/>
    <w:qFormat/>
    <w:rPr>
      <w:rFonts w:ascii="Calibri" w:hAnsi="Calibri" w:eastAsia="宋体" w:cs="Times New Roman"/>
      <w:sz w:val="18"/>
    </w:rPr>
  </w:style>
  <w:style w:type="character" w:styleId="891" w:customStyle="1">
    <w:name w:val="尾注文本 Char"/>
    <w:basedOn w:val="655"/>
    <w:link w:val="675"/>
    <w:uiPriority w:val="99"/>
    <w:semiHidden/>
    <w:qFormat/>
    <w:rPr>
      <w:rFonts w:ascii="Calibri" w:hAnsi="Calibri" w:eastAsia="宋体" w:cs="Times New Roman"/>
      <w:sz w:val="20"/>
    </w:rPr>
  </w:style>
  <w:style w:type="character" w:styleId="892" w:customStyle="1">
    <w:name w:val="正文缩进 Char"/>
    <w:link w:val="657"/>
    <w:uiPriority w:val="0"/>
    <w:qFormat/>
    <w:rPr>
      <w:rFonts w:ascii="宋体" w:hAnsi="宋体" w:eastAsia="仿宋" w:cs="Times New Roman"/>
      <w:sz w:val="24"/>
      <w:szCs w:val="24"/>
      <w:lang w:val="zh-CN"/>
    </w:rPr>
  </w:style>
  <w:style w:type="character" w:styleId="893" w:customStyle="1">
    <w:name w:val="文档结构图 Char"/>
    <w:basedOn w:val="655"/>
    <w:link w:val="661"/>
    <w:uiPriority w:val="0"/>
    <w:semiHidden/>
    <w:qFormat/>
    <w:rPr>
      <w:rFonts w:ascii="Times New Roman" w:hAnsi="Times New Roman" w:eastAsia="宋体" w:cs="Times New Roman"/>
      <w:sz w:val="20"/>
      <w:szCs w:val="21"/>
      <w:shd w:val="clear" w:color="auto" w:fill="000080"/>
      <w:lang w:eastAsia="en-US"/>
    </w:rPr>
  </w:style>
  <w:style w:type="character" w:styleId="894" w:customStyle="1">
    <w:name w:val="正文文本 3 Char"/>
    <w:basedOn w:val="655"/>
    <w:link w:val="664"/>
    <w:uiPriority w:val="0"/>
    <w:qFormat/>
    <w:rPr>
      <w:rFonts w:ascii="仿宋_GB2312" w:hAnsi="Arial" w:eastAsia="仿宋_GB2312" w:cs="Times New Roman"/>
      <w:sz w:val="32"/>
      <w:szCs w:val="32"/>
      <w:lang w:eastAsia="en-US"/>
    </w:rPr>
  </w:style>
  <w:style w:type="character" w:styleId="895" w:customStyle="1">
    <w:name w:val="正文文本缩进 Char1"/>
    <w:uiPriority w:val="99"/>
    <w:semiHidden/>
    <w:qFormat/>
  </w:style>
  <w:style w:type="character" w:styleId="896" w:customStyle="1">
    <w:name w:val="日期 Char"/>
    <w:basedOn w:val="655"/>
    <w:link w:val="673"/>
    <w:uiPriority w:val="0"/>
    <w:qFormat/>
    <w:rPr>
      <w:rFonts w:ascii="Times New Roman" w:hAnsi="Times New Roman" w:eastAsia="宋体" w:cs="Times New Roman"/>
      <w:sz w:val="24"/>
      <w:szCs w:val="24"/>
      <w:lang w:eastAsia="en-US"/>
    </w:rPr>
  </w:style>
  <w:style w:type="character" w:styleId="897" w:customStyle="1">
    <w:name w:val="正文文本缩进 3 Char"/>
    <w:basedOn w:val="655"/>
    <w:link w:val="686"/>
    <w:uiPriority w:val="0"/>
    <w:qFormat/>
    <w:rPr>
      <w:rFonts w:ascii="Arial" w:hAnsi="Arial" w:eastAsia="仿宋_GB2312" w:cs="Times New Roman"/>
      <w:color w:val="ffff00"/>
      <w:sz w:val="32"/>
      <w:szCs w:val="32"/>
      <w:lang w:eastAsia="en-US"/>
    </w:rPr>
  </w:style>
  <w:style w:type="character" w:styleId="898" w:customStyle="1">
    <w:name w:val="批注主题 Char"/>
    <w:basedOn w:val="735"/>
    <w:link w:val="694"/>
    <w:uiPriority w:val="0"/>
    <w:semiHidden/>
    <w:qFormat/>
    <w:rPr>
      <w:rFonts w:ascii="Times New Roman" w:hAnsi="Times New Roman" w:eastAsia="宋体" w:cs="Times New Roman"/>
      <w:b/>
      <w:bCs/>
      <w:sz w:val="20"/>
      <w:szCs w:val="21"/>
      <w:lang w:eastAsia="en-US"/>
    </w:rPr>
  </w:style>
  <w:style w:type="paragraph" w:styleId="899" w:customStyle="1">
    <w:name w:val="正文文本首行缩进"/>
    <w:basedOn w:val="645"/>
    <w:link w:val="900"/>
    <w:uiPriority w:val="0"/>
    <w:qFormat/>
    <w:pPr>
      <w:ind w:firstLine="200"/>
      <w:spacing w:line="360" w:lineRule="auto"/>
    </w:pPr>
    <w:rPr>
      <w:rFonts w:ascii="仿宋_GB2312" w:hAnsi="Times New Roman" w:eastAsia="仿宋_GB2312" w:cs="Times New Roman"/>
      <w:sz w:val="30"/>
      <w:szCs w:val="30"/>
      <w:lang w:eastAsia="en-US"/>
    </w:rPr>
  </w:style>
  <w:style w:type="character" w:styleId="900" w:customStyle="1">
    <w:name w:val="正文文本首行缩进 字符"/>
    <w:link w:val="899"/>
    <w:uiPriority w:val="0"/>
    <w:qFormat/>
    <w:rPr>
      <w:rFonts w:ascii="仿宋_GB2312" w:hAnsi="Times New Roman" w:eastAsia="仿宋_GB2312" w:cs="Times New Roman"/>
      <w:sz w:val="30"/>
      <w:szCs w:val="30"/>
      <w:lang w:eastAsia="en-US"/>
    </w:rPr>
  </w:style>
  <w:style w:type="paragraph" w:styleId="901" w:customStyle="1">
    <w:name w:val="正文文本首行缩进 2"/>
    <w:basedOn w:val="665"/>
    <w:link w:val="902"/>
    <w:uiPriority w:val="0"/>
    <w:qFormat/>
    <w:pPr>
      <w:ind w:firstLine="420"/>
      <w:spacing w:line="360" w:lineRule="auto"/>
    </w:pPr>
    <w:rPr>
      <w:rFonts w:ascii="宋体" w:hAnsi="宋体" w:eastAsia="宋体" w:cs="Times New Roman"/>
      <w:sz w:val="20"/>
      <w:szCs w:val="20"/>
      <w:lang w:eastAsia="en-US"/>
    </w:rPr>
  </w:style>
  <w:style w:type="character" w:styleId="902" w:customStyle="1">
    <w:name w:val="正文文本首行缩进 2 字符"/>
    <w:link w:val="901"/>
    <w:uiPriority w:val="0"/>
    <w:qFormat/>
    <w:rPr>
      <w:rFonts w:ascii="宋体" w:hAnsi="宋体" w:eastAsia="宋体" w:cs="Times New Roman"/>
      <w:sz w:val="20"/>
      <w:szCs w:val="20"/>
      <w:lang w:eastAsia="en-US"/>
    </w:rPr>
  </w:style>
  <w:style w:type="paragraph" w:styleId="903" w:customStyle="1">
    <w:name w:val="段"/>
    <w:next w:val="645"/>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645"/>
    <w:link w:val="905"/>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645"/>
    <w:link w:val="907"/>
    <w:uiPriority w:val="0"/>
    <w:qFormat/>
    <w:pPr>
      <w:contextualSpacing/>
      <w:ind w:left="720"/>
      <w:jc w:val="left"/>
      <w:widowControl/>
    </w:pPr>
    <w:rPr>
      <w:rFonts w:ascii="Calibri" w:hAnsi="Calibri"/>
      <w:sz w:val="24"/>
      <w:lang w:eastAsia="en-US" w:bidi="en-US"/>
    </w:rPr>
  </w:style>
  <w:style w:type="paragraph" w:styleId="909" w:customStyle="1">
    <w:name w:val="Body Text(ch)"/>
    <w:basedOn w:val="645"/>
    <w:next w:val="662"/>
    <w:uiPriority w:val="0"/>
    <w:qFormat/>
    <w:pPr>
      <w:spacing w:after="120"/>
    </w:pPr>
    <w:rPr>
      <w:rFonts w:ascii="宋体" w:hAnsi="Arial" w:eastAsia="宋体" w:cs="Times New Roman"/>
      <w:bCs/>
      <w:iCs/>
    </w:rPr>
  </w:style>
  <w:style w:type="paragraph" w:styleId="910" w:customStyle="1">
    <w:name w:val="xl27"/>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911" w:customStyle="1">
    <w:name w:val="xl26"/>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912" w:customStyle="1">
    <w:name w:val="Char"/>
    <w:basedOn w:val="645"/>
    <w:uiPriority w:val="0"/>
    <w:qFormat/>
    <w:pPr>
      <w:ind w:firstLine="200"/>
      <w:tabs>
        <w:tab w:val="left" w:pos="360" w:leader="none"/>
      </w:tabs>
    </w:pPr>
    <w:rPr>
      <w:rFonts w:ascii="Times New Roman" w:hAnsi="Times New Roman" w:eastAsia="宋体" w:cs="Times New Roman"/>
      <w:sz w:val="28"/>
      <w:szCs w:val="30"/>
    </w:rPr>
  </w:style>
  <w:style w:type="paragraph" w:styleId="913" w:customStyle="1">
    <w:name w:val="table_lines"/>
    <w:basedOn w:val="645"/>
    <w:uiPriority w:val="0"/>
    <w:qFormat/>
    <w:pPr>
      <w:jc w:val="left"/>
      <w:widowControl/>
    </w:pPr>
    <w:rPr>
      <w:rFonts w:ascii="Times New Roman" w:hAnsi="Times New Roman" w:eastAsia="宋体" w:cs="Times New Roman"/>
      <w:sz w:val="20"/>
      <w:szCs w:val="20"/>
      <w:lang w:val="de-DE" w:eastAsia="de-DE"/>
    </w:rPr>
  </w:style>
  <w:style w:type="paragraph" w:styleId="91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5" w:customStyle="1">
    <w:name w:val="font7"/>
    <w:basedOn w:val="64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16" w:customStyle="1">
    <w:name w:val="Char Char Char Char"/>
    <w:basedOn w:val="661"/>
    <w:uiPriority w:val="0"/>
    <w:qFormat/>
    <w:pPr>
      <w:spacing w:line="360" w:lineRule="auto"/>
    </w:pPr>
    <w:rPr>
      <w:rFonts w:ascii="Tahoma" w:hAnsi="Tahoma"/>
      <w:sz w:val="24"/>
      <w:szCs w:val="24"/>
    </w:rPr>
  </w:style>
  <w:style w:type="paragraph" w:styleId="917" w:customStyle="1">
    <w:name w:val="列表段落"/>
    <w:basedOn w:val="645"/>
    <w:uiPriority w:val="0"/>
    <w:qFormat/>
    <w:pPr>
      <w:contextualSpacing/>
      <w:ind w:left="720"/>
      <w:jc w:val="left"/>
      <w:widowControl/>
    </w:pPr>
    <w:rPr>
      <w:rFonts w:ascii="Calibri" w:hAnsi="Calibri" w:eastAsia="宋体" w:cs="Times New Roman"/>
      <w:sz w:val="24"/>
      <w:lang w:eastAsia="en-US" w:bidi="en-US"/>
    </w:rPr>
  </w:style>
  <w:style w:type="paragraph" w:styleId="918" w:customStyle="1">
    <w:name w:val="4"/>
    <w:basedOn w:val="645"/>
    <w:next w:val="686"/>
    <w:uiPriority w:val="0"/>
    <w:qFormat/>
    <w:pPr>
      <w:ind w:firstLine="420"/>
      <w:spacing w:line="360" w:lineRule="auto"/>
    </w:pPr>
    <w:rPr>
      <w:rFonts w:ascii="Times New Roman" w:hAnsi="Times New Roman" w:eastAsia="宋体" w:cs="Times New Roman"/>
      <w:color w:val="ff0000"/>
      <w:sz w:val="24"/>
    </w:rPr>
  </w:style>
  <w:style w:type="paragraph" w:styleId="919" w:customStyle="1">
    <w:name w:val="普通 (Web)"/>
    <w:basedOn w:val="645"/>
    <w:uiPriority w:val="0"/>
    <w:qFormat/>
    <w:pPr>
      <w:jc w:val="left"/>
      <w:spacing w:before="100" w:beforeAutospacing="1" w:after="100" w:afterAutospacing="1"/>
      <w:widowControl/>
    </w:pPr>
    <w:rPr>
      <w:rFonts w:ascii="宋体" w:hAnsi="宋体" w:eastAsia="宋体" w:cs="Times New Roman"/>
      <w:sz w:val="24"/>
    </w:rPr>
  </w:style>
  <w:style w:type="paragraph" w:styleId="920" w:customStyle="1">
    <w:name w:val="Char Char Char Char Char Char Char Char Char Char"/>
    <w:basedOn w:val="645"/>
    <w:uiPriority w:val="0"/>
    <w:qFormat/>
    <w:pPr>
      <w:spacing w:line="360" w:lineRule="auto"/>
    </w:pPr>
    <w:rPr>
      <w:rFonts w:ascii="Times New Roman" w:hAnsi="Times New Roman" w:eastAsia="宋体" w:cs="Times New Roman"/>
      <w:sz w:val="24"/>
      <w:szCs w:val="20"/>
    </w:rPr>
  </w:style>
  <w:style w:type="paragraph" w:styleId="921" w:customStyle="1">
    <w:name w:val="样式1"/>
    <w:basedOn w:val="645"/>
    <w:uiPriority w:val="0"/>
    <w:qFormat/>
    <w:pPr>
      <w:numPr>
        <w:ilvl w:val="0"/>
        <w:numId w:val="3"/>
      </w:numPr>
    </w:pPr>
    <w:rPr>
      <w:rFonts w:ascii="宋体" w:hAnsi="宋体" w:eastAsia="宋体" w:cs="Times New Roman"/>
      <w:szCs w:val="21"/>
    </w:rPr>
  </w:style>
  <w:style w:type="paragraph" w:styleId="922" w:customStyle="1">
    <w:name w:val="font6"/>
    <w:basedOn w:val="64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23" w:customStyle="1">
    <w:name w:val="xl25"/>
    <w:basedOn w:val="64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924" w:customStyle="1">
    <w:name w:val="图标"/>
    <w:basedOn w:val="645"/>
    <w:next w:val="6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25" w:customStyle="1">
    <w:name w:val="标题3"/>
    <w:basedOn w:val="645"/>
    <w:next w:val="645"/>
    <w:uiPriority w:val="0"/>
    <w:qFormat/>
    <w:pPr>
      <w:ind w:firstLine="624"/>
      <w:spacing w:line="590" w:lineRule="atLeast"/>
    </w:pPr>
    <w:rPr>
      <w:rFonts w:ascii="方正黑体_GBK" w:hAnsi="Times New Roman" w:eastAsia="方正黑体_GBK" w:cs="Times New Roman"/>
      <w:sz w:val="32"/>
      <w:szCs w:val="32"/>
    </w:rPr>
  </w:style>
  <w:style w:type="paragraph" w:styleId="926" w:customStyle="1">
    <w:name w:val="xl24"/>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927" w:customStyle="1">
    <w:name w:val="xl29"/>
    <w:basedOn w:val="64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928" w:customStyle="1">
    <w:name w:val="Char Char Char Char Char Char Char Char"/>
    <w:basedOn w:val="645"/>
    <w:uiPriority w:val="0"/>
    <w:qFormat/>
    <w:pPr>
      <w:jc w:val="left"/>
      <w:spacing w:after="160" w:line="240" w:lineRule="exact"/>
      <w:widowControl/>
    </w:pPr>
    <w:rPr>
      <w:rFonts w:ascii="Verdana" w:hAnsi="Verdana" w:eastAsia="宋体" w:cs="Times New Roman"/>
      <w:sz w:val="20"/>
      <w:szCs w:val="20"/>
      <w:lang w:eastAsia="en-US"/>
    </w:rPr>
  </w:style>
  <w:style w:type="paragraph" w:styleId="929" w:customStyle="1">
    <w:name w:val="xl28"/>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930" w:customStyle="1">
    <w:name w:val="xl30"/>
    <w:basedOn w:val="64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31" w:customStyle="1">
    <w:name w:val="table_1stline"/>
    <w:basedOn w:val="645"/>
    <w:uiPriority w:val="0"/>
    <w:qFormat/>
    <w:pPr>
      <w:jc w:val="left"/>
      <w:spacing w:before="120"/>
      <w:widowControl/>
    </w:pPr>
    <w:rPr>
      <w:rFonts w:ascii="Times New Roman" w:hAnsi="Times New Roman" w:eastAsia="宋体" w:cs="Times New Roman"/>
      <w:bCs/>
      <w:sz w:val="20"/>
      <w:szCs w:val="20"/>
      <w:lang w:val="de-DE" w:eastAsia="de-DE"/>
    </w:rPr>
  </w:style>
  <w:style w:type="paragraph" w:styleId="932" w:customStyle="1">
    <w:name w:val="font5"/>
    <w:basedOn w:val="64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33" w:customStyle="1">
    <w:name w:val="标题1"/>
    <w:basedOn w:val="645"/>
    <w:next w:val="64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34" w:customStyle="1">
    <w:name w:val="修订1"/>
    <w:uiPriority w:val="99"/>
    <w:semiHidden/>
    <w:qFormat/>
    <w:rPr>
      <w:rFonts w:ascii="Times New Roman" w:hAnsi="Times New Roman" w:eastAsia="宋体" w:cs="Times New Roman"/>
      <w:sz w:val="21"/>
      <w:szCs w:val="21"/>
      <w:lang w:val="en-US" w:eastAsia="zh-CN" w:bidi="ar-SA"/>
    </w:rPr>
  </w:style>
  <w:style w:type="paragraph" w:styleId="935" w:customStyle="1">
    <w:name w:val="协议正文"/>
    <w:basedOn w:val="645"/>
    <w:uiPriority w:val="0"/>
    <w:qFormat/>
    <w:pPr>
      <w:ind w:firstLine="200"/>
      <w:spacing w:line="360" w:lineRule="auto"/>
    </w:pPr>
    <w:rPr>
      <w:rFonts w:ascii="仿宋" w:hAnsi="仿宋" w:eastAsia="宋体" w:cs="Arial"/>
      <w:sz w:val="24"/>
      <w:szCs w:val="21"/>
    </w:rPr>
  </w:style>
  <w:style w:type="paragraph" w:styleId="936" w:customStyle="1">
    <w:name w:val="合同正文"/>
    <w:basedOn w:val="645"/>
    <w:uiPriority w:val="0"/>
    <w:qFormat/>
    <w:pPr>
      <w:ind w:firstLine="200"/>
      <w:spacing w:line="360" w:lineRule="auto"/>
    </w:pPr>
    <w:rPr>
      <w:rFonts w:ascii="Calibri" w:hAnsi="Calibri" w:eastAsia="宋体" w:cs="Times New Roman"/>
      <w:sz w:val="24"/>
      <w:szCs w:val="22"/>
    </w:rPr>
  </w:style>
  <w:style w:type="paragraph" w:styleId="937" w:customStyle="1">
    <w:name w:val="普通文字"/>
    <w:basedOn w:val="645"/>
    <w:next w:val="645"/>
    <w:uiPriority w:val="0"/>
    <w:qFormat/>
    <w:rPr>
      <w:rFonts w:hint="eastAsia" w:ascii="宋体" w:hAnsi="Times New Roman" w:eastAsia="宋体" w:cs="Times New Roman"/>
      <w:sz w:val="24"/>
      <w:szCs w:val="20"/>
    </w:rPr>
  </w:style>
  <w:style w:type="paragraph" w:styleId="938" w:customStyle="1">
    <w:name w:val="表格样式小5"/>
    <w:basedOn w:val="755"/>
    <w:uiPriority w:val="0"/>
    <w:qFormat/>
    <w:pPr>
      <w:ind w:firstLine="480"/>
      <w:jc w:val="center"/>
      <w:spacing w:line="276" w:lineRule="auto"/>
    </w:pPr>
    <w:rPr>
      <w:rFonts w:ascii="宋体" w:hAnsi="Calibri"/>
    </w:rPr>
  </w:style>
  <w:style w:type="paragraph" w:styleId="939" w:customStyle="1">
    <w:name w:val="Char Char Char Char Char Char Char Char Char"/>
    <w:basedOn w:val="645"/>
    <w:next w:val="940"/>
    <w:uiPriority w:val="99"/>
    <w:qFormat/>
    <w:pPr>
      <w:ind w:left="360" w:firstLine="5784"/>
    </w:pPr>
    <w:rPr>
      <w:rFonts w:ascii="Calibri" w:hAnsi="Calibri" w:eastAsia="宋体" w:cs="Times New Roman"/>
      <w:szCs w:val="22"/>
    </w:rPr>
  </w:style>
  <w:style w:type="paragraph" w:styleId="940" w:customStyle="1">
    <w:name w:val="正文文本 21"/>
    <w:basedOn w:val="645"/>
    <w:next w:val="645"/>
    <w:uiPriority w:val="99"/>
    <w:qFormat/>
    <w:pPr>
      <w:ind w:left="720" w:firstLine="5680"/>
      <w:widowControl/>
    </w:pPr>
    <w:rPr>
      <w:rFonts w:ascii="Calibri" w:hAnsi="Calibri" w:eastAsia="宋体" w:cs="Times New Roman"/>
      <w:szCs w:val="22"/>
    </w:rPr>
  </w:style>
  <w:style w:type="paragraph" w:styleId="941" w:customStyle="1">
    <w:name w:val="正文（缩进）"/>
    <w:basedOn w:val="645"/>
    <w:next w:val="939"/>
    <w:uiPriority w:val="0"/>
    <w:qFormat/>
    <w:pPr>
      <w:ind w:firstLine="200"/>
      <w:spacing w:line="360" w:lineRule="auto"/>
    </w:pPr>
    <w:rPr>
      <w:rFonts w:ascii="宋体" w:hAnsi="宋体" w:eastAsia="宋体" w:cs="Times New Roman"/>
      <w:szCs w:val="28"/>
    </w:rPr>
  </w:style>
  <w:style w:type="table" w:styleId="942" w:customStyle="1">
    <w:name w:val="网格型1"/>
    <w:basedOn w:val="656"/>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943" w:customStyle="1">
    <w:name w:val="PlainText1"/>
    <w:basedOn w:val="645"/>
    <w:uiPriority w:val="0"/>
    <w:qFormat/>
    <w:pPr>
      <w:ind w:firstLine="480"/>
      <w:spacing w:line="360" w:lineRule="auto"/>
    </w:pPr>
    <w:rPr>
      <w:rFonts w:ascii="Times New Roman" w:hAnsi="Courier New" w:eastAsia="宋体" w:cs="Times New Roman"/>
      <w:sz w:val="24"/>
      <w:szCs w:val="20"/>
    </w:rPr>
  </w:style>
  <w:style w:type="numbering" w:styleId="4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嬀ፃ먄᜺</dc:creator>
  <cp:lastModifiedBy>许晅</cp:lastModifiedBy>
  <cp:revision>39</cp:revision>
  <dcterms:created xsi:type="dcterms:W3CDTF">2025-02-21T06:49:00Z</dcterms:created>
  <dcterms:modified xsi:type="dcterms:W3CDTF">2026-05-20T06:36:32Z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eyJoZGlkIjoiYTg3NzMyMjdlNTcwMDI3NDdmNDczNTFhNWQwZDE0NjgiLCJ1c2VySWQiOiI2MzU5Mzk0MjUifQ==</vt:lpwstr>
  </property>
  <property fmtid="{D5CDD505-2E9C-101B-9397-08002B2CF9AE}" pid="3" name="KSOProductBuildVer">
    <vt:lpwstr>2052-12.1.0.25865</vt:lpwstr>
  </property>
  <property fmtid="{D5CDD505-2E9C-101B-9397-08002B2CF9AE}" pid="4" name="ICV">
    <vt:lpwstr>743A6EC212F042F385A438E171C56F38_13</vt:lpwstr>
  </property>
</Properties>
</file>