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themeColor="text1"/>
          <w:sz w:val="56"/>
          <w:szCs w:val="56"/>
          <w:highlight w:val="none"/>
          <w:lang w:eastAsia="zh-CN"/>
          <w14:textFill>
            <w14:solidFill>
              <w14:schemeClr w14:val="tx1"/>
            </w14:solidFill>
          </w14:textFill>
        </w:rPr>
      </w:pPr>
      <w:r>
        <w:rPr>
          <w:rFonts w:hint="eastAsia" w:ascii="宋体" w:hAnsi="宋体" w:cs="宋体"/>
          <w:b/>
          <w:bCs/>
          <w:color w:val="000000" w:themeColor="text1"/>
          <w:sz w:val="56"/>
          <w:szCs w:val="56"/>
          <w:highlight w:val="none"/>
          <w:lang w:eastAsia="zh-CN"/>
          <w14:textFill>
            <w14:solidFill>
              <w14:schemeClr w14:val="tx1"/>
            </w14:solidFill>
          </w14:textFill>
        </w:rPr>
      </w:r>
      <w:r/>
    </w:p>
    <w:p>
      <w:pPr>
        <w:jc w:val="center"/>
        <w:rPr>
          <w:rFonts w:hint="eastAsia" w:ascii="黑体" w:hAnsi="黑体" w:eastAsia="宋体" w:cs="黑体"/>
          <w:b/>
          <w:bCs/>
          <w:color w:val="000000" w:themeColor="text1"/>
          <w:sz w:val="44"/>
          <w:szCs w:val="44"/>
          <w:highlight w:val="none"/>
          <w:lang w:eastAsia="zh-CN"/>
          <w14:textFill>
            <w14:solidFill>
              <w14:schemeClr w14:val="tx1"/>
            </w14:solidFill>
          </w14:textFill>
        </w:rPr>
      </w:pPr>
      <w:r>
        <w:rPr>
          <w:rFonts w:hint="eastAsia" w:ascii="宋体" w:hAnsi="宋体" w:cs="宋体"/>
          <w:b/>
          <w:bCs/>
          <w:color w:val="000000" w:themeColor="text1"/>
          <w:sz w:val="56"/>
          <w:szCs w:val="56"/>
          <w:highlight w:val="none"/>
          <w:lang w:eastAsia="zh-CN"/>
          <w14:textFill>
            <w14:solidFill>
              <w14:schemeClr w14:val="tx1"/>
            </w14:solidFill>
          </w14:textFill>
        </w:rPr>
        <w:t xml:space="preserve">2026-2028年研创园三期四期综合管养服务项目</w:t>
      </w:r>
      <w:r/>
    </w:p>
    <w:p>
      <w:pPr>
        <w:jc w:val="center"/>
        <w:rPr>
          <w:rFonts w:ascii="黑体" w:hAnsi="黑体" w:eastAsia="黑体" w:cs="黑体"/>
          <w:b/>
          <w:bCs/>
          <w:sz w:val="48"/>
          <w:szCs w:val="48"/>
          <w:highlight w:val="none"/>
          <w14:textFill>
            <w14:solidFill>
              <w14:schemeClr w14:val="tx1"/>
            </w14:solidFill>
          </w14:textFill>
        </w:rPr>
      </w:pPr>
      <w:r>
        <w:rPr>
          <w:rFonts w:ascii="黑体" w:hAnsi="黑体" w:eastAsia="黑体" w:cs="黑体"/>
          <w:b/>
          <w:bCs/>
          <w:color w:val="000000" w:themeColor="text1"/>
          <w:sz w:val="48"/>
          <w:szCs w:val="48"/>
          <w:highlight w:val="none"/>
          <w14:textFill>
            <w14:solidFill>
              <w14:schemeClr w14:val="tx1"/>
            </w14:solidFill>
          </w14:textFill>
        </w:rPr>
      </w:r>
      <w:r>
        <w:rPr>
          <w:rFonts w:ascii="黑体" w:hAnsi="黑体" w:eastAsia="黑体" w:cs="黑体"/>
          <w:b/>
          <w:bCs/>
          <w:color w:val="000000" w:themeColor="text1"/>
          <w:sz w:val="48"/>
          <w:szCs w:val="48"/>
          <w:highlight w:val="none"/>
          <w14:textFill>
            <w14:solidFill>
              <w14:schemeClr w14:val="tx1"/>
            </w14:solidFill>
          </w14:textFill>
        </w:rPr>
      </w:r>
      <w:r/>
    </w:p>
    <w:p>
      <w:pPr>
        <w:jc w:val="center"/>
        <w:rPr>
          <w:rFonts w:ascii="黑体" w:hAnsi="黑体" w:eastAsia="黑体" w:cs="黑体"/>
          <w:b/>
          <w:bCs/>
          <w:sz w:val="48"/>
          <w:szCs w:val="48"/>
          <w:highlight w:val="none"/>
          <w14:textFill>
            <w14:solidFill>
              <w14:schemeClr w14:val="tx1"/>
            </w14:solidFill>
          </w14:textFill>
        </w:rPr>
      </w:pPr>
      <w:r>
        <w:rPr>
          <w:rFonts w:ascii="黑体" w:hAnsi="黑体" w:eastAsia="黑体" w:cs="黑体"/>
          <w:b/>
          <w:bCs/>
          <w:color w:val="000000" w:themeColor="text1"/>
          <w:sz w:val="48"/>
          <w:szCs w:val="48"/>
          <w:highlight w:val="none"/>
          <w14:textFill>
            <w14:solidFill>
              <w14:schemeClr w14:val="tx1"/>
            </w14:solidFill>
          </w14:textFill>
        </w:rPr>
      </w:r>
      <w:r/>
    </w:p>
    <w:p>
      <w:pPr>
        <w:jc w:val="center"/>
        <w:rPr>
          <w:rFonts w:hint="eastAsia" w:ascii="黑体" w:hAnsi="黑体" w:eastAsia="黑体"/>
          <w:color w:val="000000" w:themeColor="text1"/>
          <w:sz w:val="32"/>
          <w:szCs w:val="32"/>
          <w:highlight w:val="none"/>
          <w:lang w:eastAsia="zh-CN"/>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项目编号：JSZC-320192-JCZJ-G2026-0002</w:t>
      </w:r>
      <w:r/>
    </w:p>
    <w:p>
      <w:pPr>
        <w:rPr>
          <w:rFonts w:hint="eastAsia" w:ascii="华文琥珀" w:eastAsia="华文琥珀"/>
          <w:color w:val="000000" w:themeColor="text1"/>
          <w:sz w:val="36"/>
          <w:szCs w:val="36"/>
          <w:highlight w:val="none"/>
          <w14:textFill>
            <w14:solidFill>
              <w14:schemeClr w14:val="tx1"/>
            </w14:solidFill>
          </w14:textFill>
        </w:rPr>
      </w:pPr>
      <w:r>
        <w:rPr>
          <w:rFonts w:hint="eastAsia" w:ascii="华文琥珀" w:eastAsia="华文琥珀"/>
          <w:color w:val="000000" w:themeColor="text1"/>
          <w:sz w:val="36"/>
          <w:szCs w:val="36"/>
          <w:highlight w:val="none"/>
          <w14:textFill>
            <w14:solidFill>
              <w14:schemeClr w14:val="tx1"/>
            </w14:solidFill>
          </w14:textFill>
        </w:rPr>
      </w:r>
      <w:r/>
    </w:p>
    <w:p>
      <w:pPr>
        <w:jc w:val="center"/>
        <w:rPr>
          <w:rFonts w:hint="eastAsia" w:ascii="方正大标宋简体" w:eastAsia="方正大标宋简体"/>
          <w:b/>
          <w:bCs/>
          <w:sz w:val="18"/>
          <w:szCs w:val="18"/>
          <w:highlight w:val="none"/>
          <w14:textFill>
            <w14:solidFill>
              <w14:schemeClr w14:val="tx1"/>
            </w14:solidFill>
          </w14:textFill>
        </w:rPr>
      </w:pPr>
      <w:r>
        <w:rPr>
          <w:rFonts w:hint="eastAsia" w:ascii="方正大标宋简体" w:eastAsia="方正大标宋简体"/>
          <w:b/>
          <w:color w:val="000000" w:themeColor="text1"/>
          <w:sz w:val="18"/>
          <w:szCs w:val="18"/>
          <w:highlight w:val="none"/>
          <w14:textFill>
            <w14:solidFill>
              <w14:schemeClr w14:val="tx1"/>
            </w14:solidFill>
          </w14:textFill>
        </w:rPr>
      </w:r>
      <w:r>
        <w:rPr>
          <w:rFonts w:hint="eastAsia" w:ascii="方正大标宋简体" w:eastAsia="方正大标宋简体"/>
          <w:b/>
          <w:color w:val="000000" w:themeColor="text1"/>
          <w:sz w:val="18"/>
          <w:szCs w:val="18"/>
          <w:highlight w:val="none"/>
          <w14:textFill>
            <w14:solidFill>
              <w14:schemeClr w14:val="tx1"/>
            </w14:solidFill>
          </w14:textFill>
        </w:rPr>
      </w:r>
      <w:r/>
    </w:p>
    <w:p>
      <w:pPr>
        <w:jc w:val="center"/>
        <w:rPr>
          <w:rFonts w:hint="eastAsia" w:ascii="方正大标宋简体" w:eastAsia="方正大标宋简体"/>
          <w:b/>
          <w:bCs/>
          <w:sz w:val="18"/>
          <w:szCs w:val="18"/>
          <w:highlight w:val="none"/>
          <w14:textFill>
            <w14:solidFill>
              <w14:schemeClr w14:val="tx1"/>
            </w14:solidFill>
          </w14:textFill>
        </w:rPr>
      </w:pPr>
      <w:r>
        <w:rPr>
          <w:rFonts w:hint="eastAsia" w:ascii="方正大标宋简体" w:eastAsia="方正大标宋简体"/>
          <w:b/>
          <w:bCs/>
          <w:sz w:val="18"/>
          <w:szCs w:val="18"/>
          <w:highlight w:val="none"/>
          <w14:textFill>
            <w14:solidFill>
              <w14:schemeClr w14:val="tx1"/>
            </w14:solidFill>
          </w14:textFill>
        </w:rPr>
      </w:r>
      <w:r>
        <w:rPr>
          <w:rFonts w:hint="eastAsia" w:ascii="方正大标宋简体" w:eastAsia="方正大标宋简体"/>
          <w:b/>
          <w:bCs/>
          <w:sz w:val="18"/>
          <w:szCs w:val="18"/>
          <w:highlight w:val="none"/>
          <w14:textFill>
            <w14:solidFill>
              <w14:schemeClr w14:val="tx1"/>
            </w14:solidFill>
          </w14:textFill>
        </w:rPr>
      </w:r>
      <w:r/>
    </w:p>
    <w:p>
      <w:pPr>
        <w:jc w:val="center"/>
        <w:rPr>
          <w:rFonts w:hint="eastAsia" w:ascii="方正大标宋简体" w:eastAsia="方正大标宋简体"/>
          <w:b/>
          <w:bCs/>
          <w:sz w:val="18"/>
          <w:szCs w:val="18"/>
          <w:highlight w:val="none"/>
          <w14:textFill>
            <w14:solidFill>
              <w14:schemeClr w14:val="tx1"/>
            </w14:solidFill>
          </w14:textFill>
        </w:rPr>
      </w:pPr>
      <w:r>
        <w:rPr>
          <w:rFonts w:hint="eastAsia" w:ascii="方正大标宋简体" w:eastAsia="方正大标宋简体"/>
          <w:b/>
          <w:color w:val="000000" w:themeColor="text1"/>
          <w:sz w:val="18"/>
          <w:szCs w:val="18"/>
          <w:highlight w:val="none"/>
          <w14:textFill>
            <w14:solidFill>
              <w14:schemeClr w14:val="tx1"/>
            </w14:solidFill>
          </w14:textFill>
        </w:rPr>
      </w:r>
      <w:r/>
    </w:p>
    <w:p>
      <w:pPr>
        <w:jc w:val="center"/>
        <w:rPr>
          <w:rFonts w:hint="eastAsia" w:ascii="方正大标宋简体" w:eastAsia="方正大标宋简体"/>
          <w:b/>
          <w:color w:val="000000" w:themeColor="text1"/>
          <w:sz w:val="18"/>
          <w:szCs w:val="18"/>
          <w:highlight w:val="none"/>
          <w14:textFill>
            <w14:solidFill>
              <w14:schemeClr w14:val="tx1"/>
            </w14:solidFill>
          </w14:textFill>
        </w:rPr>
      </w:pPr>
      <w:r>
        <w:rPr>
          <w:rFonts w:hint="eastAsia" w:ascii="方正大标宋简体" w:eastAsia="方正大标宋简体"/>
          <w:b/>
          <w:color w:val="000000" w:themeColor="text1"/>
          <w:sz w:val="18"/>
          <w:szCs w:val="18"/>
          <w:highlight w:val="none"/>
          <w14:textFill>
            <w14:solidFill>
              <w14:schemeClr w14:val="tx1"/>
            </w14:solidFill>
          </w14:textFill>
        </w:rPr>
      </w:r>
      <w:r/>
    </w:p>
    <w:p>
      <w:pPr>
        <w:jc w:val="center"/>
        <w:rPr>
          <w:rFonts w:hint="eastAsia" w:ascii="方正大标宋简体" w:eastAsia="方正大标宋简体"/>
          <w:b/>
          <w:bCs/>
          <w:sz w:val="18"/>
          <w:szCs w:val="18"/>
          <w:highlight w:val="none"/>
          <w14:textFill>
            <w14:solidFill>
              <w14:schemeClr w14:val="tx1"/>
            </w14:solidFill>
          </w14:textFill>
        </w:rPr>
      </w:pPr>
      <w:r>
        <w:rPr>
          <w:rFonts w:hint="eastAsia" w:ascii="方正大标宋简体" w:eastAsia="方正大标宋简体"/>
          <w:b/>
          <w:color w:val="000000" w:themeColor="text1"/>
          <w:sz w:val="18"/>
          <w:szCs w:val="18"/>
          <w:highlight w:val="none"/>
          <w14:textFill>
            <w14:solidFill>
              <w14:schemeClr w14:val="tx1"/>
            </w14:solidFill>
          </w14:textFill>
        </w:rPr>
      </w:r>
      <w:r>
        <w:rPr>
          <w:rFonts w:hint="eastAsia" w:ascii="方正大标宋简体" w:eastAsia="方正大标宋简体"/>
          <w:b/>
          <w:color w:val="000000" w:themeColor="text1"/>
          <w:sz w:val="18"/>
          <w:szCs w:val="18"/>
          <w:highlight w:val="none"/>
          <w14:textFill>
            <w14:solidFill>
              <w14:schemeClr w14:val="tx1"/>
            </w14:solidFill>
          </w14:textFill>
        </w:rPr>
      </w:r>
      <w:r/>
    </w:p>
    <w:p>
      <w:pPr>
        <w:jc w:val="center"/>
        <w:rPr>
          <w:rFonts w:hint="eastAsia" w:ascii="方正大标宋简体" w:eastAsia="方正大标宋简体"/>
          <w:b/>
          <w:bCs/>
          <w:sz w:val="18"/>
          <w:szCs w:val="18"/>
          <w:highlight w:val="none"/>
          <w14:textFill>
            <w14:solidFill>
              <w14:schemeClr w14:val="tx1"/>
            </w14:solidFill>
          </w14:textFill>
        </w:rPr>
      </w:pPr>
      <w:r>
        <w:rPr>
          <w:rFonts w:hint="eastAsia" w:ascii="方正大标宋简体" w:eastAsia="方正大标宋简体"/>
          <w:b/>
          <w:bCs/>
          <w:sz w:val="18"/>
          <w:szCs w:val="18"/>
          <w:highlight w:val="none"/>
          <w14:textFill>
            <w14:solidFill>
              <w14:schemeClr w14:val="tx1"/>
            </w14:solidFill>
          </w14:textFill>
        </w:rPr>
      </w:r>
      <w:r>
        <w:rPr>
          <w:rFonts w:hint="eastAsia" w:ascii="方正大标宋简体" w:eastAsia="方正大标宋简体"/>
          <w:b/>
          <w:bCs/>
          <w:sz w:val="18"/>
          <w:szCs w:val="18"/>
          <w:highlight w:val="none"/>
          <w14:textFill>
            <w14:solidFill>
              <w14:schemeClr w14:val="tx1"/>
            </w14:solidFill>
          </w14:textFill>
        </w:rPr>
      </w:r>
      <w:r/>
    </w:p>
    <w:p>
      <w:pPr>
        <w:jc w:val="center"/>
        <w:rPr>
          <w:rFonts w:hint="eastAsia" w:ascii="方正大标宋简体" w:eastAsia="方正大标宋简体"/>
          <w:b/>
          <w:bCs/>
          <w:sz w:val="18"/>
          <w:szCs w:val="18"/>
          <w:highlight w:val="none"/>
          <w14:textFill>
            <w14:solidFill>
              <w14:schemeClr w14:val="tx1"/>
            </w14:solidFill>
          </w14:textFill>
        </w:rPr>
      </w:pPr>
      <w:r>
        <w:rPr>
          <w:rFonts w:hint="eastAsia" w:ascii="方正大标宋简体" w:eastAsia="方正大标宋简体"/>
          <w:b/>
          <w:color w:val="000000" w:themeColor="text1"/>
          <w:sz w:val="18"/>
          <w:szCs w:val="18"/>
          <w:highlight w:val="none"/>
          <w14:textFill>
            <w14:solidFill>
              <w14:schemeClr w14:val="tx1"/>
            </w14:solidFill>
          </w14:textFill>
        </w:rPr>
      </w:r>
      <w:r/>
    </w:p>
    <w:p>
      <w:pPr>
        <w:jc w:val="center"/>
        <w:rPr>
          <w:rFonts w:hint="eastAsia" w:ascii="方正大标宋简体" w:eastAsia="方正大标宋简体"/>
          <w:b/>
          <w:color w:val="000000" w:themeColor="text1"/>
          <w:sz w:val="18"/>
          <w:szCs w:val="18"/>
          <w:highlight w:val="none"/>
          <w14:textFill>
            <w14:solidFill>
              <w14:schemeClr w14:val="tx1"/>
            </w14:solidFill>
          </w14:textFill>
        </w:rPr>
      </w:pPr>
      <w:r>
        <w:rPr>
          <w:rFonts w:hint="eastAsia" w:ascii="方正大标宋简体" w:eastAsia="方正大标宋简体"/>
          <w:b/>
          <w:color w:val="000000" w:themeColor="text1"/>
          <w:sz w:val="18"/>
          <w:szCs w:val="18"/>
          <w:highlight w:val="none"/>
          <w14:textFill>
            <w14:solidFill>
              <w14:schemeClr w14:val="tx1"/>
            </w14:solidFill>
          </w14:textFill>
        </w:rPr>
      </w:r>
      <w:r/>
    </w:p>
    <w:p>
      <w:pPr>
        <w:jc w:val="center"/>
        <w:rPr>
          <w:rFonts w:hint="eastAsia" w:ascii="黑体" w:eastAsia="黑体"/>
          <w:color w:val="000000" w:themeColor="text1"/>
          <w:sz w:val="82"/>
          <w:szCs w:val="72"/>
          <w:highlight w:val="none"/>
          <w14:textFill>
            <w14:solidFill>
              <w14:schemeClr w14:val="tx1"/>
            </w14:solidFill>
          </w14:textFill>
        </w:rPr>
      </w:pPr>
      <w:r>
        <w:rPr>
          <w:rFonts w:hint="eastAsia" w:ascii="黑体" w:eastAsia="黑体"/>
          <w:color w:val="000000" w:themeColor="text1"/>
          <w:sz w:val="82"/>
          <w:szCs w:val="72"/>
          <w:highlight w:val="none"/>
          <w14:textFill>
            <w14:solidFill>
              <w14:schemeClr w14:val="tx1"/>
            </w14:solidFill>
          </w14:textFill>
        </w:rPr>
        <w:t xml:space="preserve">招  标  文  件</w:t>
      </w:r>
      <w:r/>
    </w:p>
    <w:p>
      <w:pPr>
        <w:ind w:firstLine="1980"/>
        <w:jc w:val="left"/>
        <w:spacing w:line="500" w:lineRule="exact"/>
        <w:rPr>
          <w:rFonts w:hint="eastAsia" w:ascii="华文楷体" w:eastAsia="华文楷体"/>
          <w:color w:val="000000" w:themeColor="text1"/>
          <w:sz w:val="36"/>
          <w:szCs w:val="36"/>
          <w:highlight w:val="none"/>
          <w14:textFill>
            <w14:solidFill>
              <w14:schemeClr w14:val="tx1"/>
            </w14:solidFill>
          </w14:textFill>
        </w:rPr>
      </w:pPr>
      <w:r>
        <w:rPr>
          <w:rFonts w:hint="eastAsia" w:ascii="华文楷体" w:eastAsia="华文楷体"/>
          <w:color w:val="000000" w:themeColor="text1"/>
          <w:sz w:val="36"/>
          <w:szCs w:val="36"/>
          <w:highlight w:val="none"/>
          <w14:textFill>
            <w14:solidFill>
              <w14:schemeClr w14:val="tx1"/>
            </w14:solidFill>
          </w14:textFill>
        </w:rPr>
      </w:r>
      <w:r/>
    </w:p>
    <w:p>
      <w:pPr>
        <w:ind w:firstLine="1980"/>
        <w:jc w:val="left"/>
        <w:spacing w:line="500" w:lineRule="exact"/>
        <w:rPr>
          <w:rFonts w:hint="eastAsia" w:ascii="华文楷体" w:eastAsia="华文楷体"/>
          <w:sz w:val="36"/>
          <w:szCs w:val="36"/>
          <w:highlight w:val="none"/>
          <w14:textFill>
            <w14:solidFill>
              <w14:schemeClr w14:val="tx1"/>
            </w14:solidFill>
          </w14:textFill>
        </w:rPr>
      </w:pPr>
      <w:r>
        <w:rPr>
          <w:rFonts w:hint="eastAsia" w:ascii="华文楷体" w:eastAsia="华文楷体"/>
          <w:color w:val="000000" w:themeColor="text1"/>
          <w:sz w:val="36"/>
          <w:szCs w:val="36"/>
          <w:highlight w:val="none"/>
          <w14:textFill>
            <w14:solidFill>
              <w14:schemeClr w14:val="tx1"/>
            </w14:solidFill>
          </w14:textFill>
        </w:rPr>
      </w:r>
      <w:r>
        <w:rPr>
          <w:rFonts w:hint="eastAsia" w:ascii="华文楷体" w:eastAsia="华文楷体"/>
          <w:color w:val="000000" w:themeColor="text1"/>
          <w:sz w:val="36"/>
          <w:szCs w:val="36"/>
          <w:highlight w:val="none"/>
          <w14:textFill>
            <w14:solidFill>
              <w14:schemeClr w14:val="tx1"/>
            </w14:solidFill>
          </w14:textFill>
        </w:rPr>
      </w:r>
      <w:r/>
    </w:p>
    <w:p>
      <w:pPr>
        <w:ind w:firstLine="1980"/>
        <w:jc w:val="left"/>
        <w:spacing w:line="500" w:lineRule="exact"/>
        <w:rPr>
          <w:rFonts w:hint="eastAsia" w:ascii="华文楷体" w:eastAsia="华文楷体"/>
          <w:sz w:val="36"/>
          <w:szCs w:val="36"/>
          <w:highlight w:val="none"/>
          <w14:textFill>
            <w14:solidFill>
              <w14:schemeClr w14:val="tx1"/>
            </w14:solidFill>
          </w14:textFill>
        </w:rPr>
      </w:pPr>
      <w:r>
        <w:rPr>
          <w:rFonts w:hint="eastAsia" w:ascii="华文楷体" w:eastAsia="华文楷体"/>
          <w:sz w:val="36"/>
          <w:szCs w:val="36"/>
          <w:highlight w:val="none"/>
          <w14:textFill>
            <w14:solidFill>
              <w14:schemeClr w14:val="tx1"/>
            </w14:solidFill>
          </w14:textFill>
        </w:rPr>
      </w:r>
      <w:r>
        <w:rPr>
          <w:rFonts w:hint="eastAsia" w:ascii="华文楷体" w:eastAsia="华文楷体"/>
          <w:sz w:val="36"/>
          <w:szCs w:val="36"/>
          <w:highlight w:val="none"/>
          <w14:textFill>
            <w14:solidFill>
              <w14:schemeClr w14:val="tx1"/>
            </w14:solidFill>
          </w14:textFill>
        </w:rPr>
      </w:r>
      <w:r/>
    </w:p>
    <w:p>
      <w:pPr>
        <w:ind w:firstLine="1980"/>
        <w:jc w:val="left"/>
        <w:spacing w:line="500" w:lineRule="exact"/>
        <w:rPr>
          <w:rFonts w:hint="eastAsia" w:ascii="华文楷体" w:eastAsia="华文楷体"/>
          <w:sz w:val="36"/>
          <w:szCs w:val="36"/>
          <w:highlight w:val="none"/>
          <w14:textFill>
            <w14:solidFill>
              <w14:schemeClr w14:val="tx1"/>
            </w14:solidFill>
          </w14:textFill>
        </w:rPr>
      </w:pPr>
      <w:r>
        <w:rPr>
          <w:rFonts w:hint="eastAsia" w:ascii="华文楷体" w:eastAsia="华文楷体"/>
          <w:sz w:val="36"/>
          <w:szCs w:val="36"/>
          <w:highlight w:val="none"/>
          <w14:textFill>
            <w14:solidFill>
              <w14:schemeClr w14:val="tx1"/>
            </w14:solidFill>
          </w14:textFill>
        </w:rPr>
      </w:r>
      <w:r>
        <w:rPr>
          <w:rFonts w:hint="eastAsia" w:ascii="华文楷体" w:eastAsia="华文楷体"/>
          <w:sz w:val="36"/>
          <w:szCs w:val="36"/>
          <w:highlight w:val="none"/>
          <w14:textFill>
            <w14:solidFill>
              <w14:schemeClr w14:val="tx1"/>
            </w14:solidFill>
          </w14:textFill>
        </w:rPr>
      </w:r>
      <w:r/>
    </w:p>
    <w:p>
      <w:pPr>
        <w:jc w:val="left"/>
        <w:spacing w:line="500" w:lineRule="exact"/>
        <w:rPr>
          <w:rFonts w:hint="eastAsia" w:ascii="华文楷体" w:eastAsia="华文楷体"/>
          <w:color w:val="000000" w:themeColor="text1"/>
          <w:sz w:val="36"/>
          <w:szCs w:val="36"/>
          <w:highlight w:val="none"/>
          <w14:textFill>
            <w14:solidFill>
              <w14:schemeClr w14:val="tx1"/>
            </w14:solidFill>
          </w14:textFill>
        </w:rPr>
      </w:pPr>
      <w:r>
        <w:rPr>
          <w:rFonts w:hint="eastAsia" w:ascii="华文楷体" w:eastAsia="华文楷体"/>
          <w:color w:val="000000" w:themeColor="text1"/>
          <w:sz w:val="36"/>
          <w:szCs w:val="36"/>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8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855"/>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3"/>
        <w:gridCol w:w="5606"/>
      </w:tblGrid>
      <w:tr>
        <w:trPr>
          <w:jc w:val="center"/>
          <w:trHeight w:val="761"/>
        </w:trPr>
        <w:tc>
          <w:tcPr>
            <w:tcW w:w="2413" w:type="dxa"/>
            <w:textDirection w:val="lrTb"/>
            <w:noWrap w:val="false"/>
          </w:tcPr>
          <w:p>
            <w:pPr>
              <w:rPr>
                <w:rFonts w:hint="eastAsia" w:ascii="黑体" w:hAnsi="黑体" w:eastAsia="黑体" w:cs="黑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t xml:space="preserve">采购人：</w:t>
            </w:r>
            <w:r/>
          </w:p>
        </w:tc>
        <w:tc>
          <w:tcPr>
            <w:tcW w:w="5606" w:type="dxa"/>
            <w:textDirection w:val="lrTb"/>
            <w:noWrap w:val="false"/>
          </w:tcPr>
          <w:p>
            <w:pPr>
              <w:rPr>
                <w:rFonts w:hint="eastAsia" w:ascii="黑体" w:hAnsi="黑体" w:eastAsia="黑体" w:cs="黑体"/>
                <w:b/>
                <w:bCs/>
                <w:color w:val="000000" w:themeColor="text1"/>
                <w:sz w:val="32"/>
                <w:szCs w:val="32"/>
                <w:highlight w:val="none"/>
                <w:lang w:eastAsia="zh-CN"/>
                <w14:textFill>
                  <w14:solidFill>
                    <w14:schemeClr w14:val="tx1"/>
                  </w14:solidFill>
                </w14:textFill>
              </w:rPr>
            </w:pPr>
            <w:r>
              <w:rPr>
                <w:rFonts w:hint="eastAsia" w:ascii="黑体" w:hAnsi="黑体" w:eastAsia="黑体" w:cs="黑体"/>
                <w:b/>
                <w:bCs/>
                <w:color w:val="000000" w:themeColor="text1"/>
                <w:sz w:val="32"/>
                <w:szCs w:val="32"/>
                <w:highlight w:val="none"/>
                <w:lang w:eastAsia="zh-CN"/>
                <w14:textFill>
                  <w14:solidFill>
                    <w14:schemeClr w14:val="tx1"/>
                  </w14:solidFill>
                </w14:textFill>
              </w:rPr>
              <w:t xml:space="preserve">南京江北新区产业技术研创园管理办公室</w:t>
            </w:r>
            <w:r/>
          </w:p>
        </w:tc>
      </w:tr>
      <w:tr>
        <w:trPr>
          <w:jc w:val="center"/>
          <w:trHeight w:val="761"/>
        </w:trPr>
        <w:tc>
          <w:tcPr>
            <w:tcW w:w="2413" w:type="dxa"/>
            <w:textDirection w:val="lrTb"/>
            <w:noWrap w:val="false"/>
          </w:tcPr>
          <w:p>
            <w:pPr>
              <w:rPr>
                <w:rFonts w:hint="eastAsia" w:ascii="黑体" w:hAnsi="黑体" w:eastAsia="黑体" w:cs="黑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t xml:space="preserve">采购代理机构：</w:t>
            </w:r>
            <w:r/>
          </w:p>
        </w:tc>
        <w:tc>
          <w:tcPr>
            <w:tcW w:w="5606" w:type="dxa"/>
            <w:textDirection w:val="lrTb"/>
            <w:noWrap w:val="false"/>
          </w:tcPr>
          <w:p>
            <w:pPr>
              <w:rPr>
                <w:rFonts w:hint="eastAsia" w:ascii="黑体" w:hAnsi="黑体" w:eastAsia="黑体" w:cs="黑体"/>
                <w:b/>
                <w:bCs/>
                <w:color w:val="000000" w:themeColor="text1"/>
                <w:sz w:val="32"/>
                <w:szCs w:val="32"/>
                <w:highlight w:val="none"/>
                <w:lang w:eastAsia="zh-CN"/>
                <w14:textFill>
                  <w14:solidFill>
                    <w14:schemeClr w14:val="tx1"/>
                  </w14:solidFill>
                </w14:textFill>
              </w:rPr>
            </w:pPr>
            <w:r>
              <w:rPr>
                <w:rFonts w:hint="eastAsia" w:ascii="黑体" w:hAnsi="黑体" w:eastAsia="黑体" w:cs="黑体"/>
                <w:b/>
                <w:bCs/>
                <w:color w:val="000000" w:themeColor="text1"/>
                <w:sz w:val="32"/>
                <w:szCs w:val="32"/>
                <w:highlight w:val="none"/>
                <w:lang w:eastAsia="zh-CN"/>
                <w14:textFill>
                  <w14:solidFill>
                    <w14:schemeClr w14:val="tx1"/>
                  </w14:solidFill>
                </w14:textFill>
              </w:rPr>
              <w:t xml:space="preserve">南京建淳造价师事务所有限公司</w:t>
            </w:r>
            <w:r/>
          </w:p>
        </w:tc>
      </w:tr>
      <w:tr>
        <w:trPr>
          <w:jc w:val="center"/>
          <w:trHeight w:val="761"/>
        </w:trPr>
        <w:tc>
          <w:tcPr>
            <w:tcW w:w="2413" w:type="dxa"/>
            <w:textDirection w:val="lrTb"/>
            <w:noWrap w:val="false"/>
          </w:tcPr>
          <w:p>
            <w:pPr>
              <w:rPr>
                <w:rFonts w:hint="eastAsia" w:ascii="黑体" w:hAnsi="黑体" w:eastAsia="黑体" w:cs="黑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t xml:space="preserve">日  期：</w:t>
            </w:r>
            <w:r/>
          </w:p>
        </w:tc>
        <w:tc>
          <w:tcPr>
            <w:tcW w:w="5606" w:type="dxa"/>
            <w:textDirection w:val="lrTb"/>
            <w:noWrap w:val="false"/>
          </w:tcPr>
          <w:p>
            <w:pPr>
              <w:rPr>
                <w:rFonts w:hint="default" w:ascii="黑体" w:hAnsi="黑体" w:eastAsia="黑体" w:cs="黑体"/>
                <w:b/>
                <w:bCs/>
                <w:color w:val="000000" w:themeColor="text1"/>
                <w:sz w:val="32"/>
                <w:szCs w:val="32"/>
                <w:highlight w:val="none"/>
                <w:lang w:val="en-US" w:eastAsia="zh-CN"/>
                <w14:textFill>
                  <w14:solidFill>
                    <w14:schemeClr w14:val="tx1"/>
                  </w14:solidFill>
                </w14:textFill>
              </w:rPr>
            </w:pPr>
            <w:r/>
            <w:bookmarkStart w:id="0" w:name="EB011e21966a4746ceac4488705cfdd813"/>
            <w:r>
              <w:rPr>
                <w:rFonts w:hint="eastAsia" w:ascii="黑体" w:hAnsi="黑体" w:eastAsia="黑体" w:cs="黑体"/>
                <w:b/>
                <w:bCs/>
                <w:color w:val="000000" w:themeColor="text1"/>
                <w:sz w:val="32"/>
                <w:szCs w:val="32"/>
                <w:highlight w:val="none"/>
                <w14:textFill>
                  <w14:solidFill>
                    <w14:schemeClr w14:val="tx1"/>
                  </w14:solidFill>
                </w14:textFill>
              </w:rPr>
              <w:t xml:space="preserve">202</w:t>
            </w:r>
            <w:r>
              <w:rPr>
                <w:rFonts w:hint="eastAsia" w:ascii="黑体" w:hAnsi="黑体" w:eastAsia="黑体" w:cs="黑体"/>
                <w:b/>
                <w:bCs/>
                <w:color w:val="000000" w:themeColor="text1"/>
                <w:sz w:val="32"/>
                <w:szCs w:val="32"/>
                <w:highlight w:val="none"/>
                <w:lang w:val="en-US" w:eastAsia="zh-CN"/>
                <w14:textFill>
                  <w14:solidFill>
                    <w14:schemeClr w14:val="tx1"/>
                  </w14:solidFill>
                </w14:textFill>
              </w:rPr>
              <w:t xml:space="preserve">6</w:t>
            </w:r>
            <w:r>
              <w:rPr>
                <w:rFonts w:hint="eastAsia" w:ascii="黑体" w:hAnsi="黑体" w:eastAsia="黑体" w:cs="黑体"/>
                <w:b/>
                <w:bCs/>
                <w:color w:val="000000" w:themeColor="text1"/>
                <w:sz w:val="32"/>
                <w:szCs w:val="32"/>
                <w:highlight w:val="none"/>
                <w14:textFill>
                  <w14:solidFill>
                    <w14:schemeClr w14:val="tx1"/>
                  </w14:solidFill>
                </w14:textFill>
              </w:rPr>
              <w:t xml:space="preserve">年</w:t>
            </w:r>
            <w:r>
              <w:rPr>
                <w:rFonts w:hint="eastAsia" w:ascii="黑体" w:hAnsi="黑体" w:eastAsia="黑体" w:cs="黑体"/>
                <w:b/>
                <w:bCs/>
                <w:color w:val="000000" w:themeColor="text1"/>
                <w:sz w:val="32"/>
                <w:szCs w:val="32"/>
                <w:highlight w:val="none"/>
                <w:lang w:val="en-US" w:eastAsia="zh-CN"/>
                <w14:textFill>
                  <w14:solidFill>
                    <w14:schemeClr w14:val="tx1"/>
                  </w14:solidFill>
                </w14:textFill>
              </w:rPr>
              <w:t xml:space="preserve">4</w:t>
            </w:r>
            <w:r>
              <w:rPr>
                <w:rFonts w:hint="eastAsia" w:ascii="黑体" w:hAnsi="黑体" w:eastAsia="黑体" w:cs="黑体"/>
                <w:b/>
                <w:bCs/>
                <w:color w:val="000000" w:themeColor="text1"/>
                <w:sz w:val="32"/>
                <w:szCs w:val="32"/>
                <w:highlight w:val="none"/>
                <w14:textFill>
                  <w14:solidFill>
                    <w14:schemeClr w14:val="tx1"/>
                  </w14:solidFill>
                </w14:textFill>
              </w:rPr>
              <w:t xml:space="preserve">月</w:t>
            </w:r>
            <w:bookmarkEnd w:id="0"/>
            <w:r>
              <w:rPr>
                <w:rFonts w:hint="eastAsia" w:ascii="黑体" w:hAnsi="黑体" w:eastAsia="黑体" w:cs="黑体"/>
                <w:b/>
                <w:bCs/>
                <w:color w:val="000000" w:themeColor="text1"/>
                <w:sz w:val="32"/>
                <w:szCs w:val="32"/>
                <w:highlight w:val="none"/>
                <w:lang w:val="en-US" w:eastAsia="zh-CN"/>
                <w14:textFill>
                  <w14:solidFill>
                    <w14:schemeClr w14:val="tx1"/>
                  </w14:solidFill>
                </w14:textFill>
              </w:rPr>
              <w:t xml:space="preserve">20日</w:t>
            </w:r>
            <w:r/>
          </w:p>
        </w:tc>
      </w:tr>
    </w:tbl>
    <w:p>
      <w:pPr>
        <w:jc w:val="center"/>
        <w:rPr>
          <w:rFonts w:hint="eastAsia" w:eastAsia="仿宋_GB2312"/>
          <w:highlight w:val="none"/>
          <w14:textFill>
            <w14:solidFill>
              <w14:schemeClr w14:val="tx1"/>
            </w14:solidFill>
          </w14:textFill>
        </w:rPr>
      </w:pPr>
      <w:r>
        <w:rPr>
          <w:rFonts w:ascii="宋体" w:hAnsi="宋体"/>
          <w:b/>
          <w:bCs/>
          <w:color w:val="000000" w:themeColor="text1"/>
          <w:sz w:val="24"/>
          <w:szCs w:val="28"/>
          <w:highlight w:val="none"/>
          <w14:textFill>
            <w14:solidFill>
              <w14:schemeClr w14:val="tx1"/>
            </w14:solidFill>
          </w14:textFill>
        </w:rPr>
      </w:r>
      <w:r>
        <w:rPr>
          <w:rFonts w:ascii="宋体" w:hAnsi="宋体"/>
          <w:b/>
          <w:bCs/>
          <w:color w:val="000000" w:themeColor="text1"/>
          <w:sz w:val="24"/>
          <w:szCs w:val="28"/>
          <w:highlight w:val="none"/>
          <w14:textFill>
            <w14:solidFill>
              <w14:schemeClr w14:val="tx1"/>
            </w14:solidFill>
          </w14:textFill>
        </w:rPr>
      </w:r>
    </w:p>
    <w:p>
      <w:pPr>
        <w:jc w:val="center"/>
        <w:rPr>
          <w:rFonts w:ascii="宋体" w:hAnsi="宋体"/>
          <w:b/>
          <w:bCs/>
          <w:sz w:val="24"/>
          <w:szCs w:val="24"/>
          <w:highlight w:val="none"/>
          <w14:textFill>
            <w14:solidFill>
              <w14:schemeClr w14:val="tx1"/>
            </w14:solidFill>
          </w14:textFill>
        </w:rPr>
      </w:pPr>
      <w:r>
        <w:rPr>
          <w:rFonts w:ascii="宋体" w:hAnsi="宋体"/>
          <w:b/>
          <w:bCs/>
          <w:color w:val="000000" w:themeColor="text1"/>
          <w:sz w:val="24"/>
          <w:szCs w:val="28"/>
          <w:highlight w:val="none"/>
          <w14:textFill>
            <w14:solidFill>
              <w14:schemeClr w14:val="tx1"/>
            </w14:solidFill>
          </w14:textFill>
        </w:rPr>
        <w:t xml:space="preserve">目</w:t>
      </w:r>
      <w:r>
        <w:rPr>
          <w:rFonts w:hint="eastAsia" w:ascii="宋体" w:hAnsi="宋体"/>
          <w:b/>
          <w:bCs/>
          <w:color w:val="000000" w:themeColor="text1"/>
          <w:sz w:val="24"/>
          <w:szCs w:val="28"/>
          <w:highlight w:val="none"/>
          <w14:textFill>
            <w14:solidFill>
              <w14:schemeClr w14:val="tx1"/>
            </w14:solidFill>
          </w14:textFill>
        </w:rPr>
        <w:t xml:space="preserve">  </w:t>
      </w:r>
      <w:r>
        <w:rPr>
          <w:rFonts w:ascii="宋体" w:hAnsi="宋体"/>
          <w:b/>
          <w:bCs/>
          <w:color w:val="000000" w:themeColor="text1"/>
          <w:sz w:val="24"/>
          <w:szCs w:val="28"/>
          <w:highlight w:val="none"/>
          <w14:textFill>
            <w14:solidFill>
              <w14:schemeClr w14:val="tx1"/>
            </w14:solidFill>
          </w14:textFill>
        </w:rPr>
        <w:t xml:space="preserve">录</w:t>
      </w:r>
      <w:r/>
    </w:p>
    <w:p>
      <w:pPr>
        <w:pStyle w:val="888"/>
        <w:tabs>
          <w:tab w:val="right" w:pos="9740" w:leader="dot"/>
        </w:tabs>
        <w:rPr>
          <w:color w:val="000000" w:themeColor="text1"/>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fldChar w:fldCharType="begin"/>
      </w:r>
      <w:r>
        <w:rPr>
          <w:rFonts w:hint="eastAsia" w:ascii="宋体" w:hAnsi="宋体" w:cs="宋体"/>
          <w:b/>
          <w:color w:val="000000" w:themeColor="text1"/>
          <w:sz w:val="24"/>
          <w:szCs w:val="24"/>
          <w:highlight w:val="none"/>
          <w14:textFill>
            <w14:solidFill>
              <w14:schemeClr w14:val="tx1"/>
            </w14:solidFill>
          </w14:textFill>
        </w:rPr>
        <w:instrText xml:space="preserve">TOC \o "1-2" \h \u </w:instrText>
      </w:r>
      <w:r>
        <w:rPr>
          <w:rFonts w:hint="eastAsia" w:ascii="宋体" w:hAnsi="宋体" w:cs="宋体"/>
          <w:b/>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_Toc12452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szCs w:val="44"/>
          <w:highlight w:val="none"/>
          <w14:textFill>
            <w14:solidFill>
              <w14:schemeClr w14:val="tx1"/>
            </w14:solidFill>
          </w14:textFill>
        </w:rPr>
        <w:t xml:space="preserve">第一部分  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_Toc12452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_Toc20555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4"/>
          <w:highlight w:val="none"/>
          <w14:textFill>
            <w14:solidFill>
              <w14:schemeClr w14:val="tx1"/>
            </w14:solidFill>
          </w14:textFill>
        </w:rPr>
        <w:t xml:space="preserve">一、项目基本情况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_Toc20555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_Toc29741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4"/>
          <w:highlight w:val="none"/>
          <w14:textFill>
            <w14:solidFill>
              <w14:schemeClr w14:val="tx1"/>
            </w14:solidFill>
          </w14:textFill>
        </w:rPr>
        <w:t xml:space="preserve">二、申请人的资格要求：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_Toc29741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_Toc30579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4"/>
          <w:highlight w:val="none"/>
          <w14:textFill>
            <w14:solidFill>
              <w14:schemeClr w14:val="tx1"/>
            </w14:solidFill>
          </w14:textFill>
        </w:rPr>
        <w:t xml:space="preserve">三、获取招标文件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_Toc30579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_Toc31377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4"/>
          <w:highlight w:val="none"/>
          <w14:textFill>
            <w14:solidFill>
              <w14:schemeClr w14:val="tx1"/>
            </w14:solidFill>
          </w14:textFill>
        </w:rPr>
        <w:t xml:space="preserve">四、提交投标文件截止时间、开标时间和地点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_Toc31377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_Toc32088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4"/>
          <w:highlight w:val="none"/>
          <w14:textFill>
            <w14:solidFill>
              <w14:schemeClr w14:val="tx1"/>
            </w14:solidFill>
          </w14:textFill>
        </w:rPr>
        <w:t xml:space="preserve">五、公告期限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_Toc32088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_Toc30674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4"/>
          <w:highlight w:val="none"/>
          <w14:textFill>
            <w14:solidFill>
              <w14:schemeClr w14:val="tx1"/>
            </w14:solidFill>
          </w14:textFill>
        </w:rPr>
        <w:t xml:space="preserve">六、其他补充事宜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_Toc30674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_Toc19045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4"/>
          <w:highlight w:val="none"/>
          <w14:textFill>
            <w14:solidFill>
              <w14:schemeClr w14:val="tx1"/>
            </w14:solidFill>
          </w14:textFill>
        </w:rPr>
        <w:t xml:space="preserve">七、对本次招标提出询问，请按以下方式联系。</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_Toc19045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8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_Toc27994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szCs w:val="44"/>
          <w:highlight w:val="none"/>
          <w14:textFill>
            <w14:solidFill>
              <w14:schemeClr w14:val="tx1"/>
            </w14:solidFill>
          </w14:textFill>
        </w:rPr>
        <w:t xml:space="preserve">第二部分  </w:t>
      </w:r>
      <w:r>
        <w:rPr>
          <w:rFonts w:hint="eastAsia"/>
          <w:color w:val="000000" w:themeColor="text1"/>
          <w:szCs w:val="44"/>
          <w:highlight w:val="none"/>
          <w:lang w:eastAsia="zh-CN"/>
          <w14:textFill>
            <w14:solidFill>
              <w14:schemeClr w14:val="tx1"/>
            </w14:solidFill>
          </w14:textFill>
        </w:rPr>
        <w:t xml:space="preserve">供应商</w:t>
      </w:r>
      <w:r>
        <w:rPr>
          <w:rFonts w:hint="eastAsia"/>
          <w:color w:val="000000" w:themeColor="text1"/>
          <w:szCs w:val="44"/>
          <w:highlight w:val="none"/>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_Toc27994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_Toc21085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_Toc21085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_Toc8154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一、总 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_Toc8154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9</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_Toc20295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一、总则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_Toc20295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9</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_Toc4361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二、招标文件构成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_Toc4361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9</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_Toc21654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三、投标文件的编制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_Toc21654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10</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_Toc17572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五、开标、评标与定标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_Toc17572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_Toc1226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六、签订合同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_Toc4633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七、质疑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_Toc4633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8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_Toc17626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szCs w:val="44"/>
          <w:highlight w:val="none"/>
          <w14:textFill>
            <w14:solidFill>
              <w14:schemeClr w14:val="tx1"/>
            </w14:solidFill>
          </w14:textFill>
        </w:rPr>
        <w:t xml:space="preserve">第三部分  评标方法和标准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_Toc17626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18</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_Toc4281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_Toc4281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18</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_Toc25638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14:textFill>
            <w14:solidFill>
              <w14:schemeClr w14:val="tx1"/>
            </w14:solidFill>
          </w14:textFill>
        </w:rPr>
        <w:t xml:space="preserve">二、 </w:t>
      </w:r>
      <w:r>
        <w:rPr>
          <w:rFonts w:hint="eastAsia"/>
          <w:color w:val="000000" w:themeColor="text1"/>
          <w:highlight w:val="none"/>
          <w14:textFill>
            <w14:solidFill>
              <w14:schemeClr w14:val="tx1"/>
            </w14:solidFill>
          </w14:textFill>
        </w:rPr>
        <w:t xml:space="preserve">符合性审查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_Toc23155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14:textFill>
            <w14:solidFill>
              <w14:schemeClr w14:val="tx1"/>
            </w14:solidFill>
          </w14:textFill>
        </w:rPr>
        <w:t xml:space="preserve">三、 </w:t>
      </w:r>
      <w:r>
        <w:rPr>
          <w:color w:val="000000" w:themeColor="text1"/>
          <w:highlight w:val="none"/>
          <w14:textFill>
            <w14:solidFill>
              <w14:schemeClr w14:val="tx1"/>
            </w14:solidFill>
          </w14:textFill>
        </w:rPr>
        <w:t xml:space="preserve">评分办法—综合评分法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_Toc23155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8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_Toc9411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szCs w:val="44"/>
          <w:highlight w:val="none"/>
          <w14:textFill>
            <w14:solidFill>
              <w14:schemeClr w14:val="tx1"/>
            </w14:solidFill>
          </w14:textFill>
        </w:rPr>
        <w:t xml:space="preserve">第四部分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_Toc9411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23</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8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_Toc349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Calibri"/>
          <w:color w:val="000000" w:themeColor="text1"/>
          <w:szCs w:val="44"/>
          <w14:textFill>
            <w14:solidFill>
              <w14:schemeClr w14:val="tx1"/>
            </w14:solidFill>
          </w14:textFill>
        </w:rPr>
        <w:t xml:space="preserve">第五部分 </w:t>
      </w:r>
      <w:r>
        <w:rPr>
          <w:rFonts w:hint="eastAsia" w:ascii="Calibri"/>
          <w:color w:val="000000" w:themeColor="text1"/>
          <w:szCs w:val="44"/>
          <w:highlight w:val="none"/>
          <w14:textFill>
            <w14:solidFill>
              <w14:schemeClr w14:val="tx1"/>
            </w14:solidFill>
          </w14:textFill>
        </w:rPr>
        <w:t xml:space="preserve">合同格式及条款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8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_Toc12127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szCs w:val="44"/>
          <w:highlight w:val="none"/>
          <w14:textFill>
            <w14:solidFill>
              <w14:schemeClr w14:val="tx1"/>
            </w14:solidFill>
          </w14:textFill>
        </w:rPr>
        <w:t xml:space="preserve">第六部分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_Toc12127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54</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_Toc13980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封面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_Toc13980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54</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_Toc5903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目录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_Toc5903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_Toc21860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基本情况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_Toc21860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56</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_Toc29894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二、</w:t>
      </w:r>
      <w:r>
        <w:rPr>
          <w:rFonts w:hint="eastAsia"/>
          <w:color w:val="000000" w:themeColor="text1"/>
          <w:highlight w:val="none"/>
          <w:lang w:val="en-US"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资质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按资格要求提供</w:t>
      </w:r>
      <w:r>
        <w:rPr>
          <w:rFonts w:hint="eastAsia"/>
          <w:color w:val="000000" w:themeColor="text1"/>
          <w:highlight w:val="none"/>
          <w:lang w:eastAsia="zh-CN"/>
          <w14:textFill>
            <w14:solidFill>
              <w14:schemeClr w14:val="tx1"/>
            </w14:solidFill>
          </w14:textFill>
        </w:rPr>
        <w:t xml:space="preserve">）</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_Toc29894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57</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_Toc23340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供应商</w:t>
      </w:r>
      <w:r>
        <w:rPr>
          <w:rFonts w:hint="eastAsia" w:ascii="宋体" w:hAnsi="宋体" w:cs="Arial"/>
          <w:bCs/>
          <w:color w:val="000000" w:themeColor="text1"/>
          <w:highlight w:val="none"/>
          <w14:textFill>
            <w14:solidFill>
              <w14:schemeClr w14:val="tx1"/>
            </w14:solidFill>
          </w14:textFill>
        </w:rPr>
        <w:t xml:space="preserve">具有良好的商业信誉和健全的财务会计制度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_Toc23340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58</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_Toc8006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四、</w:t>
      </w:r>
      <w:r>
        <w:rPr>
          <w:rFonts w:hint="eastAsia" w:ascii="宋体" w:hAnsi="宋体" w:cs="Arial"/>
          <w:bCs/>
          <w:color w:val="000000" w:themeColor="text1"/>
          <w:highlight w:val="none"/>
          <w14:textFill>
            <w14:solidFill>
              <w14:schemeClr w14:val="tx1"/>
            </w14:solidFill>
          </w14:textFill>
        </w:rPr>
        <w:t xml:space="preserve">具有履行合同所必需的设备和专业技术能力</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_Toc8006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59</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_Toc24135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六、无重大违法行为声明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_Toc24135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61</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_Toc27588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七、投标函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_Toc27588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62</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_Toc24194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八、法定代表人身份证明或授权委托书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_Toc24194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63</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_Toc1181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九、</w:t>
      </w:r>
      <w:r>
        <w:rPr>
          <w:color w:val="000000" w:themeColor="text1"/>
          <w:highlight w:val="none"/>
          <w14:textFill>
            <w14:solidFill>
              <w14:schemeClr w14:val="tx1"/>
            </w14:solidFill>
          </w14:textFill>
        </w:rPr>
        <w:t xml:space="preserve">开标一览表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_Toc26487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供应商名称（加盖公章）：</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_Toc3795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项目编号：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_Toc3795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_Toc31414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项目名称：</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_Toc31414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_Toc23579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十、明细报价表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_Toc23579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66</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8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_Toc10225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 xml:space="preserve">投标报价明细表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_Toc10225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66</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_Toc5837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十一、中小企业声明函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_Toc5837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66</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8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_Toc11215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ascii="宋体" w:hAnsi="宋体"/>
          <w:bCs/>
          <w:color w:val="000000" w:themeColor="text1"/>
          <w:szCs w:val="28"/>
          <w:highlight w:val="none"/>
          <w14:textFill>
            <w14:solidFill>
              <w14:schemeClr w14:val="tx1"/>
            </w14:solidFill>
          </w14:textFill>
        </w:rPr>
        <w:t xml:space="preserve">属于监狱企业的证明文件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_Toc11215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68</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_Toc32250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十二、响应偏差表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_Toc32250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69</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_Toc29203 </w:instrText>
      </w:r>
      <w:r>
        <w:rPr>
          <w:rFonts w:hint="eastAsia"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lang w:eastAsia="zh-CN"/>
          <w14:textFill>
            <w14:solidFill>
              <w14:schemeClr w14:val="tx1"/>
            </w14:solidFill>
          </w14:textFill>
        </w:rPr>
        <w:t xml:space="preserve">（二）投标商务偏离表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_Toc29203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70</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_Toc15209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三</w:t>
      </w:r>
      <w:r>
        <w:rPr>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服务</w:t>
      </w:r>
      <w:r>
        <w:rPr>
          <w:color w:val="000000" w:themeColor="text1"/>
          <w:highlight w:val="none"/>
          <w14:textFill>
            <w14:solidFill>
              <w14:schemeClr w14:val="tx1"/>
            </w14:solidFill>
          </w14:textFill>
        </w:rPr>
        <w:t xml:space="preserve">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72</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_Toc32310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四</w:t>
      </w:r>
      <w:r>
        <w:rPr>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项目业绩一览表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_Toc32310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73</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_Toc27216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五</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Cs w:val="32"/>
          <w:highlight w:val="none"/>
          <w:lang w:val="en-US" w:eastAsia="zh-CN"/>
          <w14:textFill>
            <w14:solidFill>
              <w14:schemeClr w14:val="tx1"/>
            </w14:solidFill>
          </w14:textFill>
        </w:rPr>
        <w:t xml:space="preserve">服务承诺1</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_Toc27216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74</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_Toc5550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六</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Cs w:val="32"/>
          <w:highlight w:val="none"/>
          <w:lang w:val="en-US" w:eastAsia="zh-CN"/>
          <w14:textFill>
            <w14:solidFill>
              <w14:schemeClr w14:val="tx1"/>
            </w14:solidFill>
          </w14:textFill>
        </w:rPr>
        <w:t xml:space="preserve">服务承诺2</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_Toc5550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74</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pStyle w:val="898"/>
        <w:tabs>
          <w:tab w:val="right" w:pos="9740" w:leader="dot"/>
        </w:tabs>
        <w:rPr>
          <w:color w:val="000000" w:themeColor="text1"/>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fldChar w:fldCharType="begin"/>
      </w:r>
      <w:r>
        <w:rPr>
          <w:rFonts w:hint="eastAsia" w:ascii="宋体" w:hAnsi="宋体" w:cs="宋体"/>
          <w:color w:val="000000" w:themeColor="text1"/>
          <w:szCs w:val="24"/>
          <w:highlight w:val="none"/>
          <w14:textFill>
            <w14:solidFill>
              <w14:schemeClr w14:val="tx1"/>
            </w14:solidFill>
          </w14:textFill>
        </w:rPr>
        <w:instrText xml:space="preserve"> HYPERLINK \l _Toc23810 </w:instrText>
      </w:r>
      <w:r>
        <w:rPr>
          <w:rFonts w:hint="eastAsia" w:ascii="宋体" w:hAnsi="宋体" w:cs="宋体"/>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七</w:t>
      </w:r>
      <w:r>
        <w:rPr>
          <w:color w:val="000000" w:themeColor="text1"/>
          <w:highlight w:val="none"/>
          <w14:textFill>
            <w14:solidFill>
              <w14:schemeClr w14:val="tx1"/>
            </w14:solidFill>
          </w14:textFill>
        </w:rPr>
        <w:t xml:space="preserve">、投标所需其他材料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_Toc23810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75</w:t>
      </w:r>
      <w:r>
        <w:rPr>
          <w:color w:val="000000" w:themeColor="text1"/>
          <w14:textFill>
            <w14:solidFill>
              <w14:schemeClr w14:val="tx1"/>
            </w14:solidFill>
          </w14:textFill>
        </w:rPr>
        <w:fldChar w:fldCharType="end"/>
      </w:r>
      <w:r>
        <w:rPr>
          <w:rFonts w:hint="eastAsia" w:ascii="宋体" w:hAnsi="宋体" w:cs="宋体"/>
          <w:color w:val="000000" w:themeColor="text1"/>
          <w:szCs w:val="24"/>
          <w:highlight w:val="none"/>
          <w14:textFill>
            <w14:solidFill>
              <w14:schemeClr w14:val="tx1"/>
            </w14:solidFill>
          </w14:textFill>
        </w:rPr>
        <w:fldChar w:fldCharType="end"/>
      </w:r>
      <w:r/>
    </w:p>
    <w:p>
      <w:pPr>
        <w:jc w:val="center"/>
        <w:keepLines/>
        <w:keepNext/>
        <w:pageBreakBefore/>
        <w:rPr>
          <w:b/>
          <w:color w:val="000000" w:themeColor="text1"/>
          <w:sz w:val="32"/>
          <w:highlight w:val="none"/>
          <w14:textFill>
            <w14:solidFill>
              <w14:schemeClr w14:val="tx1"/>
            </w14:solidFill>
          </w14:textFill>
        </w:rPr>
        <w:outlineLvl w:val="0"/>
      </w:pPr>
      <w:r>
        <w:rPr>
          <w:rFonts w:hint="eastAsia" w:ascii="宋体" w:hAnsi="宋体" w:cs="宋体"/>
          <w:color w:val="000000" w:themeColor="text1"/>
          <w:szCs w:val="24"/>
          <w:highlight w:val="none"/>
          <w14:textFill>
            <w14:solidFill>
              <w14:schemeClr w14:val="tx1"/>
            </w14:solidFill>
          </w14:textFill>
        </w:rPr>
        <w:fldChar w:fldCharType="end"/>
      </w:r>
      <w:bookmarkStart w:id="1" w:name="_Toc12452"/>
      <w:r/>
      <w:bookmarkStart w:id="2" w:name="_Toc514054470"/>
      <w:r>
        <w:rPr>
          <w:rFonts w:hint="eastAsia"/>
          <w:b/>
          <w:color w:val="000000" w:themeColor="text1"/>
          <w:sz w:val="44"/>
          <w:szCs w:val="44"/>
          <w:highlight w:val="none"/>
          <w14:textFill>
            <w14:solidFill>
              <w14:schemeClr w14:val="tx1"/>
            </w14:solidFill>
          </w14:textFill>
        </w:rPr>
        <w:t xml:space="preserve">第一部分  招标公告</w:t>
      </w:r>
      <w:bookmarkEnd w:id="1"/>
      <w:r/>
      <w:bookmarkEnd w:id="2"/>
      <w:r/>
      <w:r/>
    </w:p>
    <w:tbl>
      <w:tblPr>
        <w:tblStyle w:val="855"/>
        <w:tblW w:w="9746"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6"/>
      </w:tblGrid>
      <w:tr>
        <w:trPr>
          <w:trHeight w:val="1137"/>
        </w:trPr>
        <w:tc>
          <w:tcPr>
            <w:tcW w:w="9746" w:type="dxa"/>
            <w:textDirection w:val="lrTb"/>
            <w:noWrap w:val="false"/>
          </w:tcPr>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项目概况</w:t>
            </w:r>
            <w:r/>
          </w:p>
          <w:p>
            <w:pPr>
              <w:ind w:firstLine="24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3" w:name="OLE_LINK2"/>
            <w:r>
              <w:rPr>
                <w:rFonts w:hint="eastAsia" w:ascii="宋体" w:hAnsi="宋体" w:cs="宋体"/>
                <w:color w:val="000000" w:themeColor="text1"/>
                <w:sz w:val="24"/>
                <w:szCs w:val="24"/>
                <w:highlight w:val="none"/>
                <w:u w:val="none"/>
                <w:lang w:eastAsia="zh-CN"/>
                <w14:textFill>
                  <w14:solidFill>
                    <w14:schemeClr w14:val="tx1"/>
                  </w14:solidFill>
                </w14:textFill>
              </w:rPr>
              <w:t xml:space="preserve">2026-2028年研创园三期四期综合管养服务项目</w:t>
            </w:r>
            <w:r>
              <w:rPr>
                <w:rFonts w:hint="eastAsia" w:ascii="宋体" w:hAnsi="宋体" w:cs="宋体"/>
                <w:color w:val="000000" w:themeColor="text1"/>
                <w:sz w:val="24"/>
                <w:szCs w:val="24"/>
                <w:highlight w:val="none"/>
                <w:u w:val="none"/>
                <w14:textFill>
                  <w14:solidFill>
                    <w14:schemeClr w14:val="tx1"/>
                  </w14:solidFill>
                </w14:textFill>
              </w:rPr>
              <w:t xml:space="preserve">的潜在</w:t>
            </w:r>
            <w:r>
              <w:rPr>
                <w:rFonts w:hint="eastAsia" w:ascii="宋体" w:hAnsi="宋体" w:cs="宋体"/>
                <w:color w:val="000000" w:themeColor="text1"/>
                <w:sz w:val="24"/>
                <w:szCs w:val="24"/>
                <w:highlight w:val="none"/>
                <w:u w:val="none"/>
                <w:lang w:eastAsia="zh-CN"/>
                <w14:textFill>
                  <w14:solidFill>
                    <w14:schemeClr w14:val="tx1"/>
                  </w14:solidFill>
                </w14:textFill>
              </w:rPr>
              <w:t xml:space="preserve">供应商</w:t>
            </w:r>
            <w:r>
              <w:rPr>
                <w:rFonts w:hint="eastAsia" w:ascii="宋体" w:hAnsi="宋体" w:cs="宋体"/>
                <w:color w:val="000000" w:themeColor="text1"/>
                <w:sz w:val="24"/>
                <w:szCs w:val="24"/>
                <w:highlight w:val="none"/>
                <w:u w:val="none"/>
                <w14:textFill>
                  <w14:solidFill>
                    <w14:schemeClr w14:val="tx1"/>
                  </w14:solidFill>
                </w14:textFill>
              </w:rPr>
              <w:t xml:space="preserve">应在</w:t>
            </w:r>
            <w:r>
              <w:rPr>
                <w:rFonts w:hint="eastAsia" w:ascii="宋体" w:hAnsi="宋体"/>
                <w:color w:val="000000" w:themeColor="text1"/>
                <w:sz w:val="24"/>
                <w:highlight w:val="none"/>
                <w:u w:val="none"/>
                <w14:textFill>
                  <w14:solidFill>
                    <w14:schemeClr w14:val="tx1"/>
                  </w14:solidFill>
                </w14:textFill>
              </w:rPr>
              <w:t xml:space="preserve">“江苏政府采购网”</w:t>
            </w:r>
            <w:r>
              <w:rPr>
                <w:rFonts w:hint="eastAsia" w:ascii="宋体" w:hAnsi="宋体"/>
                <w:color w:val="000000" w:themeColor="text1"/>
                <w:sz w:val="24"/>
                <w:highlight w:val="none"/>
                <w:u w:val="none"/>
                <w:lang w:val="en-US" w:eastAsia="zh-CN"/>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获取招标文件，并于202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00</w:t>
            </w:r>
            <w:r>
              <w:rPr>
                <w:rFonts w:hint="eastAsia" w:ascii="宋体" w:hAnsi="宋体" w:cs="宋体"/>
                <w:color w:val="000000" w:themeColor="text1"/>
                <w:sz w:val="24"/>
                <w:szCs w:val="24"/>
                <w:highlight w:val="none"/>
                <w14:textFill>
                  <w14:solidFill>
                    <w14:schemeClr w14:val="tx1"/>
                  </w14:solidFill>
                </w14:textFill>
              </w:rPr>
              <w:t xml:space="preserve">分（北京时间）前递交投标文件。</w:t>
            </w:r>
            <w:bookmarkEnd w:id="3"/>
            <w:r/>
            <w:r/>
          </w:p>
        </w:tc>
      </w:tr>
    </w:tbl>
    <w:p>
      <w:pPr>
        <w:pStyle w:val="1282"/>
        <w:ind w:firstLine="0"/>
        <w:spacing w:line="312" w:lineRule="auto"/>
        <w:tabs>
          <w:tab w:val="left" w:pos="1134" w:leader="none"/>
          <w:tab w:val="left" w:pos="5612" w:leader="none"/>
        </w:tabs>
        <w:rPr>
          <w:rFonts w:hint="eastAsia" w:ascii="宋体" w:hAnsi="宋体" w:cs="宋体"/>
          <w:color w:val="000000" w:themeColor="text1"/>
          <w:sz w:val="24"/>
          <w:szCs w:val="24"/>
          <w:highlight w:val="none"/>
          <w14:textFill>
            <w14:solidFill>
              <w14:schemeClr w14:val="tx1"/>
            </w14:solidFill>
          </w14:textFill>
        </w:rPr>
        <w:outlineLvl w:val="1"/>
      </w:pPr>
      <w:r/>
      <w:bookmarkStart w:id="4" w:name="_Toc20555"/>
      <w:r/>
      <w:bookmarkStart w:id="5" w:name="_Toc2298"/>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4"/>
      <w:r/>
      <w:bookmarkEnd w:id="5"/>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ab/>
      </w:r>
      <w:r/>
    </w:p>
    <w:p>
      <w:pPr>
        <w:pStyle w:val="1282"/>
        <w:ind w:firstLine="480"/>
        <w:spacing w:line="312" w:lineRule="auto"/>
        <w:tabs>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项目编号：JSZC-320192-JCZJ-G2026-0002</w:t>
      </w:r>
      <w:r/>
    </w:p>
    <w:p>
      <w:pPr>
        <w:pStyle w:val="1282"/>
        <w:ind w:firstLine="480"/>
        <w:spacing w:line="312" w:lineRule="auto"/>
        <w:tabs>
          <w:tab w:val="left" w:pos="1134"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2026-2028年研创园三期四期综合管养服务项目</w:t>
      </w:r>
      <w:r/>
    </w:p>
    <w:p>
      <w:pPr>
        <w:pStyle w:val="1282"/>
        <w:ind w:firstLine="480"/>
        <w:spacing w:line="312" w:lineRule="auto"/>
        <w:tabs>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预算金额：850</w:t>
      </w:r>
      <w:r>
        <w:rPr>
          <w:rFonts w:hint="eastAsia" w:ascii="宋体" w:hAnsi="宋体" w:cs="宋体"/>
          <w:color w:val="000000" w:themeColor="text1"/>
          <w:sz w:val="24"/>
          <w:szCs w:val="24"/>
          <w:highlight w:val="none"/>
          <w14:textFill>
            <w14:solidFill>
              <w14:schemeClr w14:val="tx1"/>
            </w14:solidFill>
          </w14:textFill>
        </w:rPr>
        <w:t xml:space="preserve">万</w:t>
      </w:r>
      <w:r>
        <w:rPr>
          <w:rFonts w:hint="eastAsia" w:ascii="宋体" w:hAnsi="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其中2026年预算202万元、2027年预算324万元、2028年预算324万元。</w:t>
      </w:r>
      <w:r/>
    </w:p>
    <w:p>
      <w:pPr>
        <w:pStyle w:val="1282"/>
        <w:ind w:firstLine="480"/>
        <w:spacing w:line="312" w:lineRule="auto"/>
        <w:tabs>
          <w:tab w:val="left" w:pos="1134"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最高限价：753.337988</w:t>
      </w:r>
      <w:r>
        <w:rPr>
          <w:rFonts w:hint="eastAsia" w:ascii="宋体" w:hAnsi="宋体" w:cs="宋体"/>
          <w:color w:val="000000" w:themeColor="text1"/>
          <w:sz w:val="24"/>
          <w:szCs w:val="24"/>
          <w:highlight w:val="none"/>
          <w14:textFill>
            <w14:solidFill>
              <w14:schemeClr w14:val="tx1"/>
            </w14:solidFill>
          </w14:textFill>
        </w:rPr>
        <w:t xml:space="preserve">万</w:t>
      </w:r>
      <w:r>
        <w:rPr>
          <w:rFonts w:hint="eastAsia" w:ascii="宋体" w:hAnsi="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。本项目设置单价最高限价，报价</w:t>
      </w:r>
      <w:r>
        <w:rPr>
          <w:rFonts w:hint="eastAsia" w:ascii="宋体" w:hAnsi="宋体" w:cs="宋体"/>
          <w:color w:val="000000" w:themeColor="text1"/>
          <w:sz w:val="24"/>
          <w:szCs w:val="24"/>
          <w:lang w:val="en-US" w:eastAsia="zh-CN"/>
          <w14:textFill>
            <w14:solidFill>
              <w14:schemeClr w14:val="tx1"/>
            </w14:solidFill>
          </w14:textFill>
        </w:rPr>
        <w:t xml:space="preserve">超过招标文件规定的单价最高限价和总价最高限价及改变不可竞争费的按无效标处理。</w:t>
      </w:r>
      <w:r/>
    </w:p>
    <w:p>
      <w:pPr>
        <w:pStyle w:val="1282"/>
        <w:ind w:firstLine="480"/>
        <w:spacing w:line="312" w:lineRule="auto"/>
        <w:tabs>
          <w:tab w:val="left" w:pos="1134"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采购需求：</w:t>
      </w:r>
      <w:bookmarkStart w:id="6" w:name="OLE_LINK10"/>
      <w:r/>
      <w:bookmarkStart w:id="7" w:name="OLE_LINK3"/>
      <w:r>
        <w:rPr>
          <w:rFonts w:hint="eastAsia" w:ascii="宋体" w:hAnsi="宋体" w:cs="宋体"/>
          <w:color w:val="000000" w:themeColor="text1"/>
          <w:sz w:val="24"/>
          <w:szCs w:val="24"/>
          <w:highlight w:val="none"/>
          <w14:textFill>
            <w14:solidFill>
              <w14:schemeClr w14:val="tx1"/>
            </w14:solidFill>
          </w14:textFill>
        </w:rPr>
        <w:t xml:space="preserve">研创园三期四期片区，江新大道、横江大道（含和平河）、虎桥路、浦乌北路合围区域及园区部分待开发地块</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要求养护单位对做好道路环卫保洁、绿化养护、河道养护、秩序维护、设施看护、防台防汛、扫雪防冻抢险等工作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详见采购文件</w:t>
      </w:r>
      <w:bookmarkEnd w:id="6"/>
      <w:r>
        <w:rPr>
          <w:rFonts w:hint="eastAsia" w:ascii="宋体" w:hAnsi="宋体" w:cs="宋体"/>
          <w:color w:val="000000" w:themeColor="text1"/>
          <w:sz w:val="24"/>
          <w:szCs w:val="24"/>
          <w:highlight w:val="none"/>
          <w14:textFill>
            <w14:solidFill>
              <w14:schemeClr w14:val="tx1"/>
            </w14:solidFill>
          </w14:textFill>
        </w:rPr>
        <w:t xml:space="preserve">。</w:t>
      </w:r>
      <w:bookmarkEnd w:id="7"/>
      <w:r/>
      <w:r/>
    </w:p>
    <w:p>
      <w:pPr>
        <w:pStyle w:val="1282"/>
        <w:spacing w:line="312" w:lineRule="auto"/>
        <w:tabs>
          <w:tab w:val="left" w:pos="1134" w:leader="none"/>
        </w:tabs>
        <w:rPr>
          <w:rFonts w:hint="eastAsia" w:ascii="宋体" w:hAnsi="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合同履行期限：合同服务期限（约31.5个月）自以甲方通知进场之日起至2028年12月31日（如因政策调整或其他不可抗力等因素影响合同履行，甲方有权中止合同，且不承担任何违约责任）。</w:t>
      </w:r>
      <w:bookmarkStart w:id="8" w:name="_Toc3038"/>
      <w:r/>
      <w:r/>
    </w:p>
    <w:p>
      <w:pPr>
        <w:pStyle w:val="1282"/>
        <w:ind w:left="479" w:firstLine="0"/>
        <w:spacing w:line="312" w:lineRule="auto"/>
        <w:tabs>
          <w:tab w:val="left" w:pos="1134"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本项目（是/否）接受联合体投标：否。</w:t>
      </w:r>
      <w:r/>
    </w:p>
    <w:p>
      <w:pPr>
        <w:pStyle w:val="1282"/>
        <w:ind w:firstLine="0"/>
        <w:spacing w:line="312" w:lineRule="auto"/>
        <w:tabs>
          <w:tab w:val="left" w:pos="1134" w:leader="none"/>
        </w:tabs>
        <w:rPr>
          <w:rFonts w:hint="eastAsia" w:ascii="宋体" w:hAnsi="宋体" w:cs="宋体"/>
          <w:b/>
          <w:bCs/>
          <w:color w:val="000000" w:themeColor="text1"/>
          <w:sz w:val="24"/>
          <w:szCs w:val="24"/>
          <w:highlight w:val="none"/>
          <w14:textFill>
            <w14:solidFill>
              <w14:schemeClr w14:val="tx1"/>
            </w14:solidFill>
          </w14:textFill>
        </w:rPr>
        <w:outlineLvl w:val="1"/>
      </w:pPr>
      <w:r/>
      <w:bookmarkStart w:id="9" w:name="_Toc29741"/>
      <w:r>
        <w:rPr>
          <w:rFonts w:hint="eastAsia" w:ascii="宋体" w:hAnsi="宋体" w:cs="宋体"/>
          <w:b/>
          <w:bCs/>
          <w:color w:val="000000" w:themeColor="text1"/>
          <w:sz w:val="24"/>
          <w:szCs w:val="24"/>
          <w:highlight w:val="none"/>
          <w14:textFill>
            <w14:solidFill>
              <w14:schemeClr w14:val="tx1"/>
            </w14:solidFill>
          </w14:textFill>
        </w:rPr>
        <w:t xml:space="preserve">二、申请人的资格要求：</w:t>
      </w:r>
      <w:bookmarkEnd w:id="8"/>
      <w:r/>
      <w:bookmarkEnd w:id="9"/>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w:t>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（1）</w:t>
      </w:r>
      <w:bookmarkStart w:id="10" w:name="OLE_LINK6"/>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具有独立承担民事责任的能力（提供法人或者其他组织的营业执照；供应商为自然人的，提供其身份证）；</w:t>
      </w:r>
      <w:bookmarkEnd w:id="10"/>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（2）</w:t>
      </w:r>
      <w:bookmarkStart w:id="11" w:name="OLE_LINK7"/>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具有良好的商业信誉和健全的财务会计制度（提供2023年度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或2024年度</w:t>
      </w:r>
      <w:r>
        <w:rPr>
          <w:rFonts w:hint="eastAsia" w:ascii="宋体" w:hAnsi="宋体" w:cs="宋体"/>
          <w:color w:val="000000" w:themeColor="text1"/>
          <w:sz w:val="24"/>
          <w:szCs w:val="24"/>
          <w:highlight w:val="none"/>
          <w14:textFill>
            <w14:solidFill>
              <w14:schemeClr w14:val="tx1"/>
            </w14:solidFill>
          </w14:textFill>
        </w:rPr>
        <w:t xml:space="preserve">财务报告，至少包含资产负债表、利润表，或投标截止时间前六个月内银行出具的资信证明；成立不满一年的无须提供）；</w:t>
      </w:r>
      <w:bookmarkEnd w:id="11"/>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（3）具有履行合同所必需的设备和专业技术能力（供应商根据履行采购项目合同需要，提供履行合同所必需的设备和专业技术能力的声明函或证明材料）；</w:t>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（4）有依法缴纳税收和社会保障资金的良好记录（提供202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月至今）中任一月份的依法缴纳税收和社会保险费的相关材料（提供相关主管部门证明或银行代扣证明的复印件，根据国家相关政策免缴或迟缴的需提供相关证明材料）；</w:t>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（5）参加政府采购活动前三年内，在经营活动中没有重大违法记录（提供承诺书）；</w:t>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（6）</w:t>
      </w:r>
      <w:bookmarkStart w:id="12" w:name="OLE_LINK8"/>
      <w:r>
        <w:rPr>
          <w:rFonts w:hint="eastAsia" w:ascii="宋体" w:hAnsi="宋体" w:cs="宋体"/>
          <w:color w:val="000000" w:themeColor="text1"/>
          <w:sz w:val="24"/>
          <w:szCs w:val="24"/>
          <w:highlight w:val="none"/>
          <w14:textFill>
            <w14:solidFill>
              <w14:schemeClr w14:val="tx1"/>
            </w14:solidFill>
          </w14:textFill>
        </w:rPr>
        <w:t xml:space="preserve">法律、行政法规规定的其他条件。</w:t>
      </w:r>
      <w:bookmarkEnd w:id="12"/>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（7）</w:t>
      </w:r>
      <w:bookmarkStart w:id="13" w:name="OLE_LINK9"/>
      <w:r>
        <w:rPr>
          <w:rFonts w:hint="eastAsia" w:ascii="宋体" w:hAnsi="宋体" w:cs="宋体"/>
          <w:color w:val="000000" w:themeColor="text1"/>
          <w:sz w:val="24"/>
          <w:szCs w:val="24"/>
          <w:highlight w:val="none"/>
          <w14:textFill>
            <w14:solidFill>
              <w14:schemeClr w14:val="tx1"/>
            </w14:solidFill>
          </w14:textFill>
        </w:rPr>
        <w:t xml:space="preserve">《南京市政府采购供应商信用记录表暨信用承诺书》</w:t>
      </w:r>
      <w:bookmarkEnd w:id="13"/>
      <w:r/>
      <w:r/>
    </w:p>
    <w:p>
      <w:pPr>
        <w:pStyle w:val="869"/>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2.落实政府采购政策满足的资格要求：</w:t>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bookmarkStart w:id="14" w:name="OLE_LINK15"/>
      <w:r>
        <w:rPr>
          <w:rFonts w:hint="eastAsia" w:ascii="宋体" w:hAnsi="宋体" w:cs="宋体"/>
          <w:color w:val="000000" w:themeColor="text1"/>
          <w:sz w:val="24"/>
          <w:szCs w:val="24"/>
          <w:highlight w:val="none"/>
          <w14:textFill>
            <w14:solidFill>
              <w14:schemeClr w14:val="tx1"/>
            </w14:solidFill>
          </w14:textFill>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bookmarkEnd w:id="14"/>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bookmarkStart w:id="15" w:name="OLE_LINK11"/>
      <w:r/>
      <w:bookmarkStart w:id="16" w:name="_Toc26697"/>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bookmarkEnd w:id="15"/>
      <w:r/>
      <w:r/>
    </w:p>
    <w:p>
      <w:pPr>
        <w:pStyle w:val="924"/>
        <w:ind w:firstLine="0"/>
        <w:spacing w:line="329" w:lineRule="auto"/>
        <w:rPr>
          <w:rFonts w:hint="eastAsia" w:ascii="宋体" w:hAnsi="宋体" w:cs="宋体"/>
          <w:b/>
          <w:bCs/>
          <w:color w:val="000000" w:themeColor="text1"/>
          <w:sz w:val="24"/>
          <w:szCs w:val="24"/>
          <w:highlight w:val="none"/>
          <w14:textFill>
            <w14:solidFill>
              <w14:schemeClr w14:val="tx1"/>
            </w14:solidFill>
          </w14:textFill>
        </w:rPr>
        <w:outlineLvl w:val="1"/>
      </w:pPr>
      <w:r/>
      <w:bookmarkStart w:id="17" w:name="_Toc30579"/>
      <w:r>
        <w:rPr>
          <w:rFonts w:hint="eastAsia" w:ascii="宋体" w:hAnsi="宋体" w:cs="宋体"/>
          <w:b/>
          <w:bCs/>
          <w:color w:val="000000" w:themeColor="text1"/>
          <w:sz w:val="24"/>
          <w:szCs w:val="24"/>
          <w:highlight w:val="none"/>
          <w14:textFill>
            <w14:solidFill>
              <w14:schemeClr w14:val="tx1"/>
            </w14:solidFill>
          </w14:textFill>
        </w:rPr>
        <w:t xml:space="preserve">三、获取招标文件</w:t>
      </w:r>
      <w:bookmarkEnd w:id="16"/>
      <w:r/>
      <w:bookmarkEnd w:id="17"/>
      <w:r/>
      <w:r/>
    </w:p>
    <w:p>
      <w:pPr>
        <w:pStyle w:val="924"/>
        <w:ind w:firstLine="480"/>
        <w:jc w:val="left"/>
        <w:spacing w:line="329"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bookmarkStart w:id="18" w:name="OLE_LINK33"/>
      <w:r>
        <w:rPr>
          <w:rFonts w:hint="eastAsia" w:ascii="宋体" w:hAnsi="宋体" w:cs="宋体"/>
          <w:color w:val="000000" w:themeColor="text1"/>
          <w:sz w:val="24"/>
          <w:szCs w:val="24"/>
          <w:highlight w:val="none"/>
          <w14:textFill>
            <w14:solidFill>
              <w14:schemeClr w14:val="tx1"/>
            </w14:solidFill>
          </w14:textFill>
        </w:rPr>
        <w:t xml:space="preserve">自公告发布之日起</w:t>
      </w:r>
      <w:bookmarkEnd w:id="18"/>
      <w:r>
        <w:rPr>
          <w:rFonts w:hint="eastAsia" w:ascii="宋体" w:hAnsi="宋体" w:cs="宋体"/>
          <w:color w:val="000000" w:themeColor="text1"/>
          <w:sz w:val="24"/>
          <w:szCs w:val="24"/>
          <w:highlight w:val="none"/>
          <w:lang w:val="en-US" w:eastAsia="zh-CN"/>
          <w14:textFill>
            <w14:solidFill>
              <w14:schemeClr w14:val="tx1"/>
            </w14:solidFill>
          </w14:textFill>
        </w:rPr>
        <w:t xml:space="preserve">五个工作日</w:t>
      </w:r>
      <w:r/>
    </w:p>
    <w:p>
      <w:pPr>
        <w:pStyle w:val="924"/>
        <w:ind w:firstLine="480"/>
        <w:jc w:val="left"/>
        <w:spacing w:line="329"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w:t>
      </w:r>
      <w:bookmarkStart w:id="19" w:name="OLE_LINK27"/>
      <w:r>
        <w:rPr>
          <w:rFonts w:hint="eastAsia" w:ascii="宋体" w:hAnsi="宋体"/>
          <w:color w:val="000000" w:themeColor="text1"/>
          <w:sz w:val="24"/>
          <w:highlight w:val="none"/>
          <w14:textFill>
            <w14:solidFill>
              <w14:schemeClr w14:val="tx1"/>
            </w14:solidFill>
          </w14:textFill>
        </w:rPr>
        <w:t xml:space="preserve">“江苏政府采购网”</w:t>
      </w:r>
      <w:bookmarkEnd w:id="19"/>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3、方式：</w:t>
      </w:r>
      <w:bookmarkStart w:id="20" w:name="OLE_LINK20"/>
      <w:r>
        <w:rPr>
          <w:rFonts w:hint="eastAsia" w:ascii="宋体" w:hAnsi="宋体" w:cs="宋体"/>
          <w:color w:val="000000" w:themeColor="text1"/>
          <w:sz w:val="24"/>
          <w:szCs w:val="24"/>
          <w:highlight w:val="none"/>
          <w14:textFill>
            <w14:solidFill>
              <w14:schemeClr w14:val="tx1"/>
            </w14:solidFill>
          </w14:textFill>
        </w:rPr>
        <w:t xml:space="preserve">本项目采用网上注册登记方式免费获取。</w:t>
      </w:r>
      <w:bookmarkEnd w:id="20"/>
      <w:r/>
      <w:r/>
    </w:p>
    <w:p>
      <w:pPr>
        <w:pStyle w:val="1282"/>
        <w:ind w:firstLine="0"/>
        <w:spacing w:line="360" w:lineRule="exact"/>
        <w:tabs>
          <w:tab w:val="left" w:pos="1134" w:leader="none"/>
        </w:tabs>
        <w:rPr>
          <w:rFonts w:hint="eastAsia" w:ascii="宋体" w:hAnsi="宋体" w:cs="宋体"/>
          <w:b/>
          <w:bCs/>
          <w:color w:val="000000" w:themeColor="text1"/>
          <w:sz w:val="24"/>
          <w:szCs w:val="24"/>
          <w:highlight w:val="none"/>
          <w14:textFill>
            <w14:solidFill>
              <w14:schemeClr w14:val="tx1"/>
            </w14:solidFill>
          </w14:textFill>
        </w:rPr>
        <w:outlineLvl w:val="1"/>
      </w:pPr>
      <w:r/>
      <w:bookmarkStart w:id="21" w:name="_Toc2291"/>
      <w:r/>
      <w:bookmarkStart w:id="22" w:name="_Toc31377"/>
      <w:r>
        <w:rPr>
          <w:rFonts w:hint="eastAsia" w:ascii="宋体" w:hAnsi="宋体" w:cs="宋体"/>
          <w:b/>
          <w:bCs/>
          <w:color w:val="000000" w:themeColor="text1"/>
          <w:sz w:val="24"/>
          <w:szCs w:val="24"/>
          <w:highlight w:val="none"/>
          <w14:textFill>
            <w14:solidFill>
              <w14:schemeClr w14:val="tx1"/>
            </w14:solidFill>
          </w14:textFill>
        </w:rPr>
        <w:t xml:space="preserve">四、提交投标文件截止时间、开标时间和地点</w:t>
      </w:r>
      <w:bookmarkEnd w:id="21"/>
      <w:r/>
      <w:bookmarkEnd w:id="22"/>
      <w:r/>
      <w:r/>
    </w:p>
    <w:p>
      <w:pPr>
        <w:pStyle w:val="1282"/>
        <w:ind w:firstLine="480"/>
        <w:spacing w:line="312" w:lineRule="auto"/>
        <w:tabs>
          <w:tab w:val="left" w:pos="1134"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投标文件截止时间及开标时间：</w:t>
      </w:r>
      <w:r>
        <w:rPr>
          <w:rFonts w:hint="eastAsia" w:ascii="宋体" w:hAnsi="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00</w:t>
      </w:r>
      <w:r>
        <w:rPr>
          <w:rFonts w:hint="eastAsia" w:ascii="宋体" w:hAnsi="宋体" w:cs="宋体"/>
          <w:color w:val="000000" w:themeColor="text1"/>
          <w:sz w:val="24"/>
          <w:szCs w:val="24"/>
          <w:highlight w:val="none"/>
          <w14:textFill>
            <w14:solidFill>
              <w14:schemeClr w14:val="tx1"/>
            </w14:solidFill>
          </w14:textFill>
        </w:rPr>
        <w:t xml:space="preserve">分（北京时间）</w:t>
      </w:r>
      <w:r/>
    </w:p>
    <w:p>
      <w:pPr>
        <w:pStyle w:val="1282"/>
        <w:ind w:firstLine="480"/>
        <w:spacing w:line="312" w:lineRule="auto"/>
        <w:tabs>
          <w:tab w:val="left" w:pos="1134"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地点：</w:t>
      </w:r>
      <w:bookmarkStart w:id="23" w:name="OLE_LINK28"/>
      <w:r>
        <w:rPr>
          <w:rFonts w:hint="eastAsia" w:ascii="宋体" w:hAnsi="宋体"/>
          <w:color w:val="000000" w:themeColor="text1"/>
          <w:sz w:val="24"/>
          <w:highlight w:val="none"/>
          <w14:textFill>
            <w14:solidFill>
              <w14:schemeClr w14:val="tx1"/>
            </w14:solidFill>
          </w14:textFill>
        </w:rPr>
        <w:t xml:space="preserve">“苏采云”政府采购交易系统网上开标大厅</w:t>
      </w:r>
      <w:bookmarkEnd w:id="23"/>
      <w:r>
        <w:rPr>
          <w:rFonts w:hint="eastAsia" w:ascii="宋体" w:hAnsi="宋体"/>
          <w:color w:val="000000" w:themeColor="text1"/>
          <w:sz w:val="24"/>
          <w:highlight w:val="none"/>
          <w14:textFill>
            <w14:solidFill>
              <w14:schemeClr w14:val="tx1"/>
            </w14:solidFill>
          </w14:textFill>
        </w:rPr>
        <w:t xml:space="preserve">。</w:t>
      </w:r>
      <w:r/>
    </w:p>
    <w:p>
      <w:pPr>
        <w:pStyle w:val="1282"/>
        <w:ind w:firstLine="0"/>
        <w:spacing w:line="312" w:lineRule="auto"/>
        <w:tabs>
          <w:tab w:val="left" w:pos="1134" w:leader="none"/>
        </w:tabs>
        <w:rPr>
          <w:rFonts w:hint="eastAsia" w:ascii="宋体" w:hAnsi="宋体" w:cs="宋体"/>
          <w:b/>
          <w:bCs/>
          <w:color w:val="000000" w:themeColor="text1"/>
          <w:sz w:val="24"/>
          <w:szCs w:val="24"/>
          <w:highlight w:val="none"/>
          <w14:textFill>
            <w14:solidFill>
              <w14:schemeClr w14:val="tx1"/>
            </w14:solidFill>
          </w14:textFill>
        </w:rPr>
        <w:outlineLvl w:val="1"/>
      </w:pPr>
      <w:r/>
      <w:bookmarkStart w:id="24" w:name="_Toc32088"/>
      <w:r/>
      <w:bookmarkStart w:id="25" w:name="_Toc5544"/>
      <w:r>
        <w:rPr>
          <w:rFonts w:hint="eastAsia" w:ascii="宋体" w:hAnsi="宋体" w:cs="宋体"/>
          <w:b/>
          <w:bCs/>
          <w:color w:val="000000" w:themeColor="text1"/>
          <w:sz w:val="24"/>
          <w:szCs w:val="24"/>
          <w:highlight w:val="none"/>
          <w14:textFill>
            <w14:solidFill>
              <w14:schemeClr w14:val="tx1"/>
            </w14:solidFill>
          </w14:textFill>
        </w:rPr>
        <w:t xml:space="preserve">五、公告期限</w:t>
      </w:r>
      <w:bookmarkEnd w:id="24"/>
      <w:r/>
      <w:bookmarkEnd w:id="25"/>
      <w:r/>
      <w:r/>
    </w:p>
    <w:p>
      <w:pPr>
        <w:pStyle w:val="1282"/>
        <w:ind w:firstLine="480"/>
        <w:spacing w:line="312" w:lineRule="auto"/>
        <w:tabs>
          <w:tab w:val="left" w:pos="1276"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r/>
    </w:p>
    <w:p>
      <w:pPr>
        <w:pStyle w:val="1282"/>
        <w:ind w:firstLine="0"/>
        <w:spacing w:line="360" w:lineRule="exact"/>
        <w:tabs>
          <w:tab w:val="left" w:pos="1134" w:leader="none"/>
        </w:tabs>
        <w:rPr>
          <w:rFonts w:hint="eastAsia" w:ascii="宋体" w:hAnsi="宋体" w:cs="宋体"/>
          <w:b/>
          <w:bCs/>
          <w:color w:val="000000" w:themeColor="text1"/>
          <w:sz w:val="24"/>
          <w:szCs w:val="24"/>
          <w:highlight w:val="none"/>
          <w14:textFill>
            <w14:solidFill>
              <w14:schemeClr w14:val="tx1"/>
            </w14:solidFill>
          </w14:textFill>
        </w:rPr>
        <w:outlineLvl w:val="1"/>
      </w:pPr>
      <w:r/>
      <w:bookmarkStart w:id="26" w:name="_Toc12830"/>
      <w:r/>
      <w:bookmarkStart w:id="27" w:name="_Toc30674"/>
      <w:r>
        <w:rPr>
          <w:rFonts w:hint="eastAsia" w:ascii="宋体" w:hAnsi="宋体" w:cs="宋体"/>
          <w:b/>
          <w:bCs/>
          <w:color w:val="000000" w:themeColor="text1"/>
          <w:sz w:val="24"/>
          <w:szCs w:val="24"/>
          <w:highlight w:val="none"/>
          <w14:textFill>
            <w14:solidFill>
              <w14:schemeClr w14:val="tx1"/>
            </w14:solidFill>
          </w14:textFill>
        </w:rPr>
        <w:t xml:space="preserve">六、其他补充事宜</w:t>
      </w:r>
      <w:bookmarkEnd w:id="26"/>
      <w:r/>
      <w:bookmarkEnd w:id="27"/>
      <w:r/>
      <w:r/>
    </w:p>
    <w:p>
      <w:pPr>
        <w:ind w:firstLine="482"/>
        <w:spacing w:line="360" w:lineRule="auto"/>
        <w:rPr>
          <w:rFonts w:ascii="宋体" w:hAnsi="宋体" w:cs="宋体"/>
          <w:b/>
          <w:color w:val="000000" w:themeColor="text1"/>
          <w:sz w:val="24"/>
          <w:szCs w:val="24"/>
          <w:highlight w:val="none"/>
          <w14:textFill>
            <w14:solidFill>
              <w14:schemeClr w14:val="tx1"/>
            </w14:solidFill>
          </w14:textFill>
        </w:rPr>
      </w:pPr>
      <w:r/>
      <w:bookmarkStart w:id="28" w:name="OLE_LINK30"/>
      <w:r/>
      <w:bookmarkStart w:id="29" w:name="_Toc10479"/>
      <w:r>
        <w:rPr>
          <w:rFonts w:hint="eastAsia" w:ascii="宋体" w:hAnsi="宋体"/>
          <w:b/>
          <w:color w:val="000000" w:themeColor="text1"/>
          <w:sz w:val="24"/>
          <w:szCs w:val="24"/>
          <w:highlight w:val="none"/>
          <w14:textFill>
            <w14:solidFill>
              <w14:schemeClr w14:val="tx1"/>
            </w14:solidFill>
          </w14:textFill>
        </w:rPr>
        <w:t xml:space="preserve">1、</w:t>
      </w:r>
      <w:r>
        <w:rPr>
          <w:rFonts w:hint="eastAsia" w:ascii="宋体" w:hAnsi="宋体" w:cs="宋体"/>
          <w:b/>
          <w:color w:val="000000" w:themeColor="text1"/>
          <w:sz w:val="24"/>
          <w:szCs w:val="24"/>
          <w:highlight w:val="none"/>
          <w14:textFill>
            <w14:solidFill>
              <w14:schemeClr w14:val="tx1"/>
            </w14:solidFill>
          </w14:textFill>
        </w:rPr>
        <w:t xml:space="preserve">潜在供应商访问政府采购管理交易系统（苏采云）的网络地址和方法：</w:t>
      </w:r>
      <w:r/>
    </w:p>
    <w:p>
      <w:pPr>
        <w:ind w:left="218" w:firstLine="379"/>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（3）“CA数字证书”的办理材料以及供应商操作手册详见：http://jsxcmm.com/help/gys.html。</w:t>
      </w:r>
      <w:r/>
    </w:p>
    <w:p>
      <w:pPr>
        <w:ind w:left="218" w:firstLine="379"/>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2.信用承诺</w:t>
      </w:r>
      <w:r>
        <w:rPr>
          <w:rFonts w:hint="eastAsia" w:ascii="宋体" w:hAnsi="宋体" w:cs="宋体"/>
          <w:bCs/>
          <w:color w:val="000000" w:themeColor="text1"/>
          <w:sz w:val="24"/>
          <w:szCs w:val="24"/>
          <w:highlight w:val="none"/>
          <w14:textFill>
            <w14:solidFill>
              <w14:schemeClr w14:val="tx1"/>
            </w14:solidFill>
          </w14:textFill>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 要求完成注册），然后在“信用记录”模块页面点击“信用记录打印”下载本单位《南京市政府采购供应商信用记录表暨信用承诺书》，由法人签字并盖单位公章，装订在响应文件中。</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在政府采购资格审查环节，供应商只需提供书面《南京市政府采购供应商信用记录表暨信用承诺书》，即可替代以下证明材料：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（1）符合国家相关规定的财务状况报告；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（2）依法缴纳税收的证明材料；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（3）依法缴纳社会保障资金的证明材料；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（4）具备履行政府采购合同所必需的设备和专业技术能力的证明材料；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（5）参加政府采购活动前三年内在经营活动中没有重大违法记录的证明材料；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供应商涉及以下情形的，不适用信用承诺：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（1）供应商被列入严重失信主体名单；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（2）被相关监管部门作出行政处罚且尚在处罚有效期内；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（3）其他法律、行政法规规定的不适用信用承诺的情形。 </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3.有关本次采购的事项若存在变动或修改，敬请及时关注“江苏省政府采购网”发布的信息。</w:t>
      </w:r>
      <w:r/>
    </w:p>
    <w:p>
      <w:pPr>
        <w:pStyle w:val="924"/>
        <w:ind w:left="0" w:right="0" w:firstLine="482"/>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拒绝下述供应商参加本次采购活动</w:t>
      </w:r>
      <w:r/>
    </w:p>
    <w:p>
      <w:pPr>
        <w:pStyle w:val="924"/>
        <w:ind w:left="0" w:righ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4.1拒绝被“信用中国”（www.creditchina.gov.cn）、“中国政府采购网”(www.ccgp.gov.cn）、“信用江苏”（http://credit.jiangsu.gov.cn/）列入失信被执行人、重大税收违法案件当事人、政府采购严重失信行为的供应商参加投标</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24"/>
        <w:ind w:left="0" w:right="0" w:firstLine="480"/>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4.2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bookmarkEnd w:id="28"/>
      <w:r/>
      <w:r/>
    </w:p>
    <w:p>
      <w:pPr>
        <w:pStyle w:val="1282"/>
        <w:ind w:firstLine="0"/>
        <w:tabs>
          <w:tab w:val="left" w:pos="1276" w:leader="none"/>
        </w:tabs>
        <w:rPr>
          <w:rFonts w:hint="eastAsia" w:ascii="宋体" w:hAnsi="宋体" w:cs="宋体"/>
          <w:b/>
          <w:bCs/>
          <w:color w:val="000000" w:themeColor="text1"/>
          <w:sz w:val="24"/>
          <w:szCs w:val="24"/>
          <w:highlight w:val="none"/>
          <w14:textFill>
            <w14:solidFill>
              <w14:schemeClr w14:val="tx1"/>
            </w14:solidFill>
          </w14:textFill>
        </w:rPr>
        <w:outlineLvl w:val="1"/>
      </w:pPr>
      <w:r/>
      <w:bookmarkStart w:id="30" w:name="_Toc19045"/>
      <w:r>
        <w:rPr>
          <w:rFonts w:hint="eastAsia" w:ascii="宋体" w:hAnsi="宋体" w:cs="宋体"/>
          <w:b/>
          <w:bCs/>
          <w:color w:val="000000" w:themeColor="text1"/>
          <w:sz w:val="24"/>
          <w:szCs w:val="24"/>
          <w:highlight w:val="none"/>
          <w14:textFill>
            <w14:solidFill>
              <w14:schemeClr w14:val="tx1"/>
            </w14:solidFill>
          </w14:textFill>
        </w:rPr>
        <w:t xml:space="preserve">七、对本次招标提出询问，请按以下方式联系。</w:t>
      </w:r>
      <w:bookmarkEnd w:id="29"/>
      <w:r/>
      <w:bookmarkEnd w:id="30"/>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1.采购人信息</w:t>
      </w:r>
      <w:r/>
    </w:p>
    <w:p>
      <w:pPr>
        <w:ind w:firstLine="42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南京江北新区产业技术研创园管理办公室</w:t>
      </w:r>
      <w:r/>
    </w:p>
    <w:p>
      <w:pPr>
        <w:ind w:firstLine="420"/>
        <w:spacing w:line="360" w:lineRule="auto"/>
        <w:rPr>
          <w:rFonts w:hint="default"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地址：</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南京市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江北新区</w:t>
      </w:r>
      <w:r/>
    </w:p>
    <w:p>
      <w:pPr>
        <w:ind w:firstLine="42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联系方式：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2"/>
      </w:pPr>
      <w:r>
        <w:rPr>
          <w:rFonts w:hint="eastAsia" w:ascii="宋体" w:hAnsi="宋体" w:eastAsia="宋体" w:cs="宋体"/>
          <w:bCs/>
          <w:color w:val="000000" w:themeColor="text1"/>
          <w:sz w:val="24"/>
          <w:szCs w:val="24"/>
          <w:highlight w:val="none"/>
          <w14:textFill>
            <w14:solidFill>
              <w14:schemeClr w14:val="tx1"/>
            </w14:solidFill>
          </w14:textFill>
        </w:rPr>
        <w:t xml:space="preserve">2.采购代理机构信息</w:t>
      </w:r>
      <w:r/>
    </w:p>
    <w:p>
      <w:pPr>
        <w:ind w:firstLine="42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名称：</w:t>
      </w:r>
      <w:r>
        <w:rPr>
          <w:rFonts w:hint="eastAsia" w:ascii="宋体" w:hAnsi="宋体" w:cs="宋体"/>
          <w:bCs/>
          <w:color w:val="000000" w:themeColor="text1"/>
          <w:sz w:val="24"/>
          <w:szCs w:val="24"/>
          <w:highlight w:val="none"/>
          <w:lang w:eastAsia="zh-CN"/>
          <w14:textFill>
            <w14:solidFill>
              <w14:schemeClr w14:val="tx1"/>
            </w14:solidFill>
          </w14:textFill>
        </w:rPr>
        <w:t xml:space="preserve">南京建淳造价师事务所有限公司</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地址：南京市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江东中路186-1号宏普捷座703室</w:t>
      </w:r>
      <w:r>
        <w:rPr>
          <w:rFonts w:hint="eastAsia" w:ascii="宋体" w:hAnsi="宋体" w:cs="宋体"/>
          <w:bCs/>
          <w:color w:val="000000" w:themeColor="text1"/>
          <w:sz w:val="24"/>
          <w:szCs w:val="24"/>
          <w:highlight w:val="none"/>
          <w14:textFill>
            <w14:solidFill>
              <w14:schemeClr w14:val="tx1"/>
            </w14:solidFill>
          </w14:textFill>
        </w:rPr>
        <w:t xml:space="preserve"> </w:t>
      </w:r>
      <w:r/>
    </w:p>
    <w:p>
      <w:pPr>
        <w:ind w:firstLine="42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联系方式：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13851975061</w:t>
      </w:r>
      <w:r/>
    </w:p>
    <w:p>
      <w:pPr>
        <w:ind w:firstLine="42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传  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3.项目联系方式</w:t>
      </w:r>
      <w:r/>
    </w:p>
    <w:p>
      <w:pPr>
        <w:ind w:firstLine="42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项目联系人：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张工</w:t>
      </w:r>
      <w:r/>
    </w:p>
    <w:p>
      <w:pPr>
        <w:ind w:firstLine="42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13851975061</w:t>
      </w:r>
      <w:r/>
    </w:p>
    <w:p>
      <w:pPr>
        <w:jc w:val="center"/>
        <w:rPr>
          <w:rFonts w:hint="eastAsia"/>
          <w:b/>
          <w:color w:val="000000" w:themeColor="text1"/>
          <w:sz w:val="44"/>
          <w:szCs w:val="44"/>
          <w:highlight w:val="none"/>
          <w14:textFill>
            <w14:solidFill>
              <w14:schemeClr w14:val="tx1"/>
            </w14:solidFill>
          </w14:textFill>
        </w:rPr>
        <w:outlineLvl w:val="0"/>
      </w:pPr>
      <w:r>
        <w:rPr>
          <w:rFonts w:hint="eastAsia"/>
          <w:b/>
          <w:color w:val="000000" w:themeColor="text1"/>
          <w:sz w:val="44"/>
          <w:szCs w:val="44"/>
          <w:highlight w:val="none"/>
          <w14:textFill>
            <w14:solidFill>
              <w14:schemeClr w14:val="tx1"/>
            </w14:solidFill>
          </w14:textFill>
        </w:rPr>
        <w:br w:type="page" w:clear="all"/>
      </w:r>
      <w:bookmarkStart w:id="31" w:name="_Toc27994"/>
      <w:r>
        <w:rPr>
          <w:rFonts w:hint="eastAsia"/>
          <w:b/>
          <w:color w:val="000000" w:themeColor="text1"/>
          <w:sz w:val="44"/>
          <w:szCs w:val="44"/>
          <w:highlight w:val="none"/>
          <w14:textFill>
            <w14:solidFill>
              <w14:schemeClr w14:val="tx1"/>
            </w14:solidFill>
          </w14:textFill>
        </w:rPr>
        <w:t xml:space="preserve">第二部分  </w:t>
      </w:r>
      <w:r>
        <w:rPr>
          <w:rFonts w:hint="eastAsia"/>
          <w:b/>
          <w:color w:val="000000" w:themeColor="text1"/>
          <w:sz w:val="44"/>
          <w:szCs w:val="44"/>
          <w:highlight w:val="none"/>
          <w:lang w:eastAsia="zh-CN"/>
          <w14:textFill>
            <w14:solidFill>
              <w14:schemeClr w14:val="tx1"/>
            </w14:solidFill>
          </w14:textFill>
        </w:rPr>
        <w:t xml:space="preserve">供应商</w:t>
      </w:r>
      <w:r>
        <w:rPr>
          <w:rFonts w:hint="eastAsia"/>
          <w:b/>
          <w:color w:val="000000" w:themeColor="text1"/>
          <w:sz w:val="44"/>
          <w:szCs w:val="44"/>
          <w:highlight w:val="none"/>
          <w14:textFill>
            <w14:solidFill>
              <w14:schemeClr w14:val="tx1"/>
            </w14:solidFill>
          </w14:textFill>
        </w:rPr>
        <w:t xml:space="preserve">须知</w:t>
      </w:r>
      <w:bookmarkEnd w:id="31"/>
      <w:r/>
      <w:r/>
    </w:p>
    <w:p>
      <w:pPr>
        <w:pStyle w:val="846"/>
        <w:jc w:val="center"/>
        <w:keepLines w:val="0"/>
        <w:keepNext w:val="0"/>
        <w:spacing w:before="0" w:after="0" w:line="240" w:lineRule="auto"/>
        <w:rPr>
          <w:rFonts w:hint="eastAsia"/>
          <w:color w:val="000000" w:themeColor="text1"/>
          <w:highlight w:val="none"/>
          <w14:textFill>
            <w14:solidFill>
              <w14:schemeClr w14:val="tx1"/>
            </w14:solidFill>
          </w14:textFill>
        </w:rPr>
      </w:pPr>
      <w:r/>
      <w:bookmarkStart w:id="32" w:name="_Toc21085"/>
      <w:r/>
      <w:bookmarkStart w:id="33" w:name="_Toc514054471"/>
      <w:r/>
      <w:bookmarkStart w:id="34" w:name="_Toc17705"/>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须知前附表</w:t>
      </w:r>
      <w:bookmarkEnd w:id="32"/>
      <w:r/>
      <w:bookmarkEnd w:id="33"/>
      <w:r/>
      <w:bookmarkEnd w:id="34"/>
      <w:r/>
      <w:r/>
    </w:p>
    <w:tbl>
      <w:tblPr>
        <w:tblStyle w:val="855"/>
        <w:tblW w:w="9734"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519"/>
        <w:gridCol w:w="6288"/>
      </w:tblGrid>
      <w:tr>
        <w:trPr>
          <w:trHeight w:val="90"/>
        </w:trPr>
        <w:tc>
          <w:tcPr>
            <w:tcW w:w="927" w:type="dxa"/>
            <w:vAlign w:val="center"/>
            <w:textDirection w:val="lrTb"/>
            <w:noWrap w:val="false"/>
          </w:tcPr>
          <w:p>
            <w:pPr>
              <w:jc w:val="center"/>
              <w:rPr>
                <w:rFonts w:hint="eastAsia" w:ascii="仿宋_GB2312" w:hAnsi="仿宋" w:eastAsia="仿宋_GB2312"/>
                <w:b/>
                <w:bCs/>
                <w:color w:val="000000" w:themeColor="text1"/>
                <w:sz w:val="24"/>
                <w:szCs w:val="24"/>
                <w:highlight w:val="none"/>
                <w14:textFill>
                  <w14:solidFill>
                    <w14:schemeClr w14:val="tx1"/>
                  </w14:solidFill>
                </w14:textFill>
              </w:rPr>
            </w:pPr>
            <w:r>
              <w:rPr>
                <w:rFonts w:hint="eastAsia" w:ascii="仿宋_GB2312" w:hAnsi="仿宋" w:eastAsia="仿宋_GB2312"/>
                <w:b/>
                <w:bCs/>
                <w:color w:val="000000" w:themeColor="text1"/>
                <w:sz w:val="24"/>
                <w:szCs w:val="24"/>
                <w:highlight w:val="none"/>
                <w14:textFill>
                  <w14:solidFill>
                    <w14:schemeClr w14:val="tx1"/>
                  </w14:solidFill>
                </w14:textFill>
              </w:rPr>
              <w:t xml:space="preserve">序号</w:t>
            </w:r>
            <w:r/>
          </w:p>
        </w:tc>
        <w:tc>
          <w:tcPr>
            <w:tcW w:w="2519" w:type="dxa"/>
            <w:vAlign w:val="center"/>
            <w:textDirection w:val="lrTb"/>
            <w:noWrap w:val="false"/>
          </w:tcPr>
          <w:p>
            <w:pPr>
              <w:jc w:val="center"/>
              <w:rPr>
                <w:rFonts w:hint="eastAsia" w:ascii="仿宋_GB2312" w:hAnsi="仿宋" w:eastAsia="仿宋_GB2312"/>
                <w:b/>
                <w:color w:val="000000" w:themeColor="text1"/>
                <w:sz w:val="24"/>
                <w:szCs w:val="24"/>
                <w:highlight w:val="none"/>
                <w14:textFill>
                  <w14:solidFill>
                    <w14:schemeClr w14:val="tx1"/>
                  </w14:solidFill>
                </w14:textFill>
              </w:rPr>
            </w:pPr>
            <w:r>
              <w:rPr>
                <w:rFonts w:hint="eastAsia" w:ascii="仿宋_GB2312" w:hAnsi="仿宋" w:eastAsia="仿宋_GB2312"/>
                <w:b/>
                <w:color w:val="000000" w:themeColor="text1"/>
                <w:sz w:val="24"/>
                <w:szCs w:val="24"/>
                <w:highlight w:val="none"/>
                <w14:textFill>
                  <w14:solidFill>
                    <w14:schemeClr w14:val="tx1"/>
                  </w14:solidFill>
                </w14:textFill>
              </w:rPr>
              <w:t xml:space="preserve">内容</w:t>
            </w:r>
            <w:r/>
          </w:p>
        </w:tc>
        <w:tc>
          <w:tcPr>
            <w:tcW w:w="6288" w:type="dxa"/>
            <w:vAlign w:val="center"/>
            <w:textDirection w:val="lrTb"/>
            <w:noWrap w:val="false"/>
          </w:tcPr>
          <w:p>
            <w:pPr>
              <w:jc w:val="center"/>
              <w:rPr>
                <w:rFonts w:hint="eastAsia" w:ascii="仿宋_GB2312" w:hAnsi="仿宋" w:eastAsia="仿宋_GB2312"/>
                <w:b/>
                <w:bCs/>
                <w:color w:val="000000" w:themeColor="text1"/>
                <w:sz w:val="24"/>
                <w:szCs w:val="24"/>
                <w:highlight w:val="none"/>
                <w14:textFill>
                  <w14:solidFill>
                    <w14:schemeClr w14:val="tx1"/>
                  </w14:solidFill>
                </w14:textFill>
              </w:rPr>
            </w:pPr>
            <w:r>
              <w:rPr>
                <w:rFonts w:hint="eastAsia" w:ascii="仿宋_GB2312" w:hAnsi="仿宋" w:eastAsia="仿宋_GB2312"/>
                <w:b/>
                <w:bCs/>
                <w:color w:val="000000" w:themeColor="text1"/>
                <w:sz w:val="24"/>
                <w:szCs w:val="24"/>
                <w:highlight w:val="none"/>
                <w14:textFill>
                  <w14:solidFill>
                    <w14:schemeClr w14:val="tx1"/>
                  </w14:solidFill>
                </w14:textFill>
              </w:rPr>
              <w:t xml:space="preserve">说明及要求</w:t>
            </w:r>
            <w:r/>
          </w:p>
        </w:tc>
      </w:tr>
      <w:tr>
        <w:trPr>
          <w:trHeight w:val="1004"/>
        </w:trPr>
        <w:tc>
          <w:tcPr>
            <w:tcW w:w="92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251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特别说明</w:t>
            </w:r>
            <w:r/>
          </w:p>
        </w:tc>
        <w:tc>
          <w:tcPr>
            <w:tcW w:w="6288" w:type="dxa"/>
            <w:vAlign w:val="center"/>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若有内容与</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cs="宋体"/>
                <w:b/>
                <w:bCs/>
                <w:color w:val="000000" w:themeColor="text1"/>
                <w:sz w:val="24"/>
                <w:szCs w:val="24"/>
                <w:highlight w:val="none"/>
                <w14:textFill>
                  <w14:solidFill>
                    <w14:schemeClr w14:val="tx1"/>
                  </w14:solidFill>
                </w14:textFill>
              </w:rPr>
              <w:t xml:space="preserve">须知前附表内容不一致时，以</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cs="宋体"/>
                <w:b/>
                <w:bCs/>
                <w:color w:val="000000" w:themeColor="text1"/>
                <w:sz w:val="24"/>
                <w:szCs w:val="24"/>
                <w:highlight w:val="none"/>
                <w14:textFill>
                  <w14:solidFill>
                    <w14:schemeClr w14:val="tx1"/>
                  </w14:solidFill>
                </w14:textFill>
              </w:rPr>
              <w:t xml:space="preserve">须知前附表为准。</w:t>
            </w:r>
            <w:r/>
          </w:p>
        </w:tc>
      </w:tr>
      <w:tr>
        <w:trPr>
          <w:trHeight w:val="782"/>
        </w:trPr>
        <w:tc>
          <w:tcPr>
            <w:tcW w:w="92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251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投标保证金</w:t>
            </w:r>
            <w:r/>
          </w:p>
        </w:tc>
        <w:tc>
          <w:tcPr>
            <w:tcW w:w="6288"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本项目不收取投标保证金</w:t>
            </w:r>
            <w:r/>
          </w:p>
        </w:tc>
      </w:tr>
      <w:tr>
        <w:trPr>
          <w:trHeight w:val="802"/>
        </w:trPr>
        <w:tc>
          <w:tcPr>
            <w:tcW w:w="92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251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投标有效期</w:t>
            </w:r>
            <w:r/>
          </w:p>
        </w:tc>
        <w:tc>
          <w:tcPr>
            <w:tcW w:w="6288"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bookmarkStart w:id="35" w:name="EBd40b5fb42f2944a3b45e579ce3941f02"/>
            <w:r>
              <w:rPr>
                <w:rFonts w:hint="eastAsia" w:ascii="宋体" w:hAnsi="宋体" w:cs="宋体"/>
                <w:color w:val="000000" w:themeColor="text1"/>
                <w:sz w:val="24"/>
                <w:szCs w:val="24"/>
                <w:highlight w:val="none"/>
                <w14:textFill>
                  <w14:solidFill>
                    <w14:schemeClr w14:val="tx1"/>
                  </w14:solidFill>
                </w14:textFill>
              </w:rPr>
              <w:t xml:space="preserve">90</w:t>
            </w:r>
            <w:bookmarkEnd w:id="35"/>
            <w:r>
              <w:rPr>
                <w:rFonts w:hint="eastAsia" w:ascii="宋体" w:hAnsi="宋体" w:cs="宋体"/>
                <w:color w:val="000000" w:themeColor="text1"/>
                <w:sz w:val="24"/>
                <w:szCs w:val="24"/>
                <w:highlight w:val="none"/>
                <w14:textFill>
                  <w14:solidFill>
                    <w14:schemeClr w14:val="tx1"/>
                  </w14:solidFill>
                </w14:textFill>
              </w:rPr>
              <w:t xml:space="preserve">日（从提交投标文件截止之日起算）</w:t>
            </w:r>
            <w:r/>
          </w:p>
        </w:tc>
      </w:tr>
      <w:tr>
        <w:trPr>
          <w:trHeight w:val="1778"/>
        </w:trPr>
        <w:tc>
          <w:tcPr>
            <w:tcBorders>
              <w:bottom w:val="single" w:color="auto" w:sz="4" w:space="0"/>
            </w:tcBorders>
            <w:tcW w:w="92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251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评标办法</w:t>
            </w:r>
            <w:r/>
          </w:p>
        </w:tc>
        <w:tc>
          <w:tcPr>
            <w:tcW w:w="6288"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综合评分法</w:t>
            </w:r>
            <w:r/>
          </w:p>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具体评标办法详见招标文件第三部分。</w:t>
            </w:r>
            <w:r/>
          </w:p>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评标委员会按照招标文件规定的评标办法和标准，确定各</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经评审后的得分，并按得分由高到低进行排序。</w:t>
            </w:r>
            <w:r/>
          </w:p>
        </w:tc>
      </w:tr>
      <w:tr>
        <w:trPr>
          <w:trHeight w:val="1324"/>
        </w:trPr>
        <w:tc>
          <w:tcPr>
            <w:tcW w:w="92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251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中标通知书领取</w:t>
            </w:r>
            <w:r/>
          </w:p>
        </w:tc>
        <w:tc>
          <w:tcPr>
            <w:tcW w:w="6288" w:type="dxa"/>
            <w:vAlign w:val="center"/>
            <w:textDirection w:val="lrTb"/>
            <w:noWrap w:val="false"/>
          </w:tcPr>
          <w:p>
            <w:pP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领取地址：</w:t>
            </w:r>
            <w:r>
              <w:rPr>
                <w:rFonts w:hint="eastAsia" w:ascii="宋体" w:hAnsi="宋体" w:cs="宋体"/>
                <w:bCs/>
                <w:color w:val="000000" w:themeColor="text1"/>
                <w:sz w:val="24"/>
                <w:szCs w:val="24"/>
                <w:highlight w:val="none"/>
                <w14:textFill>
                  <w14:solidFill>
                    <w14:schemeClr w14:val="tx1"/>
                  </w14:solidFill>
                </w14:textFill>
              </w:rPr>
              <w:t xml:space="preserve">南京市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江东中路186-1号宏普捷座703室</w:t>
            </w:r>
            <w:r/>
          </w:p>
        </w:tc>
      </w:tr>
      <w:tr>
        <w:trPr>
          <w:trHeight w:val="2582"/>
        </w:trPr>
        <w:tc>
          <w:tcPr>
            <w:tcW w:w="92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251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中标服务费的收取</w:t>
            </w:r>
            <w:r/>
          </w:p>
        </w:tc>
        <w:tc>
          <w:tcPr>
            <w:tcW w:w="6288"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本项目中标服务费</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按“中标单位根据计价格 2002〔1980〕号文件规定标准的37.8%收取</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由采购人支付</w:t>
            </w:r>
            <w:r>
              <w:rPr>
                <w:rFonts w:hint="eastAsia" w:ascii="宋体" w:hAnsi="宋体" w:cs="宋体"/>
                <w:color w:val="000000" w:themeColor="text1"/>
                <w:sz w:val="24"/>
                <w:szCs w:val="24"/>
                <w:highlight w:val="none"/>
                <w14:textFill>
                  <w14:solidFill>
                    <w14:schemeClr w14:val="tx1"/>
                  </w14:solidFill>
                </w14:textFill>
              </w:rPr>
              <w:t xml:space="preserve">。</w:t>
            </w:r>
            <w:r/>
          </w:p>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账户信息：</w:t>
            </w:r>
            <w:r/>
          </w:p>
          <w:p>
            <w:pP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户    名：</w:t>
            </w:r>
            <w:r>
              <w:rPr>
                <w:rFonts w:hint="eastAsia" w:ascii="宋体" w:hAnsi="宋体" w:cs="宋体"/>
                <w:color w:val="000000" w:themeColor="text1"/>
                <w:sz w:val="24"/>
                <w:szCs w:val="24"/>
                <w:highlight w:val="none"/>
                <w:lang w:eastAsia="zh-CN"/>
                <w14:textFill>
                  <w14:solidFill>
                    <w14:schemeClr w14:val="tx1"/>
                  </w14:solidFill>
                </w14:textFill>
              </w:rPr>
              <w:t xml:space="preserve">南京建淳造价师事务所有限公司</w:t>
            </w:r>
            <w:r/>
          </w:p>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开户银行：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招商银行解放路</w:t>
            </w:r>
            <w:r>
              <w:rPr>
                <w:rFonts w:hint="eastAsia" w:ascii="宋体" w:hAnsi="宋体" w:cs="宋体"/>
                <w:color w:val="000000" w:themeColor="text1"/>
                <w:sz w:val="24"/>
                <w:szCs w:val="24"/>
                <w:highlight w:val="none"/>
                <w14:textFill>
                  <w14:solidFill>
                    <w14:schemeClr w14:val="tx1"/>
                  </w14:solidFill>
                </w14:textFill>
              </w:rPr>
              <w:t xml:space="preserve">支行   </w:t>
            </w:r>
            <w:r/>
          </w:p>
          <w:p>
            <w:pPr>
              <w:widowControl/>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账    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253880060810001</w:t>
            </w:r>
            <w:r/>
          </w:p>
        </w:tc>
      </w:tr>
      <w:tr>
        <w:trPr>
          <w:trHeight w:val="865"/>
        </w:trPr>
        <w:tc>
          <w:tcPr>
            <w:tcW w:w="92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251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履约保证金</w:t>
            </w:r>
            <w:r/>
          </w:p>
        </w:tc>
        <w:tc>
          <w:tcPr>
            <w:tcW w:w="6288"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本项目无需缴纳履约保证金</w:t>
            </w:r>
            <w:r/>
          </w:p>
        </w:tc>
      </w:tr>
    </w:tbl>
    <w:p>
      <w:pPr>
        <w:pStyle w:val="1181"/>
        <w:jc w:val="center"/>
        <w:rPr>
          <w:rFonts w:hint="eastAsia" w:ascii="宋体" w:hAnsi="宋体" w:eastAsia="宋体" w:cs="宋体"/>
          <w:color w:val="000000" w:themeColor="text1"/>
          <w:highlight w:val="none"/>
          <w14:textFill>
            <w14:solidFill>
              <w14:schemeClr w14:val="tx1"/>
            </w14:solidFill>
          </w14:textFill>
        </w:rPr>
        <w:outlineLvl w:val="1"/>
      </w:pPr>
      <w:r/>
      <w:bookmarkStart w:id="36" w:name="_Toc514054472"/>
      <w:r/>
      <w:bookmarkStart w:id="37" w:name="_Toc25522"/>
      <w:r/>
      <w:r/>
    </w:p>
    <w:p>
      <w:pPr>
        <w:pStyle w:val="1181"/>
        <w:jc w:val="center"/>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r>
      <w:r/>
    </w:p>
    <w:p>
      <w:pPr>
        <w:pStyle w:val="1181"/>
        <w:jc w:val="center"/>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r>
      <w:r/>
    </w:p>
    <w:p>
      <w:pPr>
        <w:pStyle w:val="1181"/>
        <w:jc w:val="center"/>
        <w:rPr>
          <w:rFonts w:hint="eastAsia" w:ascii="宋体" w:hAnsi="宋体" w:eastAsia="宋体" w:cs="宋体"/>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r>
      <w:r>
        <w:rPr>
          <w:rFonts w:hint="eastAsia" w:ascii="宋体" w:hAnsi="宋体" w:eastAsia="宋体" w:cs="宋体"/>
          <w:color w:val="000000" w:themeColor="text1"/>
          <w:highlight w:val="none"/>
          <w14:textFill>
            <w14:solidFill>
              <w14:schemeClr w14:val="tx1"/>
            </w14:solidFill>
          </w14:textFill>
        </w:rPr>
      </w:r>
      <w:r/>
    </w:p>
    <w:p>
      <w:pPr>
        <w:pStyle w:val="1181"/>
        <w:jc w:val="center"/>
        <w:rPr>
          <w:rFonts w:hint="eastAsia" w:ascii="宋体" w:hAnsi="宋体" w:eastAsia="宋体" w:cs="宋体"/>
          <w:highlight w:val="none"/>
          <w14:textFill>
            <w14:solidFill>
              <w14:schemeClr w14:val="tx1"/>
            </w14:solidFill>
          </w14:textFill>
        </w:rPr>
        <w:outlineLvl w:val="1"/>
      </w:pPr>
      <w:r>
        <w:rPr>
          <w:rFonts w:hint="eastAsia" w:ascii="宋体" w:hAnsi="宋体" w:eastAsia="宋体" w:cs="宋体"/>
          <w:highlight w:val="none"/>
          <w14:textFill>
            <w14:solidFill>
              <w14:schemeClr w14:val="tx1"/>
            </w14:solidFill>
          </w14:textFill>
        </w:rPr>
      </w:r>
      <w:r>
        <w:rPr>
          <w:rFonts w:hint="eastAsia" w:ascii="宋体" w:hAnsi="宋体" w:eastAsia="宋体" w:cs="宋体"/>
          <w:highlight w:val="none"/>
          <w14:textFill>
            <w14:solidFill>
              <w14:schemeClr w14:val="tx1"/>
            </w14:solidFill>
          </w14:textFill>
        </w:rPr>
      </w:r>
      <w:r/>
    </w:p>
    <w:p>
      <w:pPr>
        <w:pStyle w:val="1181"/>
        <w:jc w:val="center"/>
        <w:rPr>
          <w:rFonts w:hint="eastAsia" w:ascii="宋体" w:hAnsi="宋体" w:eastAsia="宋体" w:cs="宋体"/>
          <w:highlight w:val="none"/>
          <w14:textFill>
            <w14:solidFill>
              <w14:schemeClr w14:val="tx1"/>
            </w14:solidFill>
          </w14:textFill>
        </w:rPr>
        <w:outlineLvl w:val="1"/>
      </w:pPr>
      <w:r>
        <w:rPr>
          <w:rFonts w:hint="eastAsia" w:ascii="宋体" w:hAnsi="宋体" w:eastAsia="宋体" w:cs="宋体"/>
          <w:highlight w:val="none"/>
          <w14:textFill>
            <w14:solidFill>
              <w14:schemeClr w14:val="tx1"/>
            </w14:solidFill>
          </w14:textFill>
        </w:rPr>
      </w:r>
      <w:r>
        <w:rPr>
          <w:rFonts w:hint="eastAsia" w:ascii="宋体" w:hAnsi="宋体" w:eastAsia="宋体" w:cs="宋体"/>
          <w:highlight w:val="none"/>
          <w14:textFill>
            <w14:solidFill>
              <w14:schemeClr w14:val="tx1"/>
            </w14:solidFill>
          </w14:textFill>
        </w:rPr>
      </w:r>
      <w:r/>
    </w:p>
    <w:p>
      <w:pPr>
        <w:pStyle w:val="1181"/>
        <w:jc w:val="center"/>
        <w:rPr>
          <w:rFonts w:hint="eastAsia" w:ascii="宋体" w:hAnsi="宋体" w:eastAsia="宋体" w:cs="宋体"/>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r>
      <w:r/>
    </w:p>
    <w:p>
      <w:pPr>
        <w:pStyle w:val="1181"/>
        <w:jc w:val="center"/>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r>
      <w:r/>
    </w:p>
    <w:p>
      <w:pPr>
        <w:pStyle w:val="1181"/>
        <w:jc w:val="center"/>
        <w:rPr>
          <w:rFonts w:hint="eastAsia" w:ascii="宋体" w:hAnsi="宋体" w:eastAsia="宋体" w:cs="宋体"/>
          <w:color w:val="000000" w:themeColor="text1"/>
          <w:highlight w:val="none"/>
          <w14:textFill>
            <w14:solidFill>
              <w14:schemeClr w14:val="tx1"/>
            </w14:solidFill>
          </w14:textFill>
        </w:rPr>
        <w:outlineLvl w:val="1"/>
      </w:pPr>
      <w:r/>
      <w:bookmarkStart w:id="38" w:name="_Toc8154"/>
      <w:r>
        <w:rPr>
          <w:rFonts w:hint="eastAsia" w:ascii="宋体" w:hAnsi="宋体" w:eastAsia="宋体" w:cs="宋体"/>
          <w:color w:val="000000" w:themeColor="text1"/>
          <w:highlight w:val="none"/>
          <w14:textFill>
            <w14:solidFill>
              <w14:schemeClr w14:val="tx1"/>
            </w14:solidFill>
          </w14:textFill>
        </w:rPr>
        <w:t xml:space="preserve">一、总 则</w:t>
      </w:r>
      <w:bookmarkEnd w:id="36"/>
      <w:r/>
      <w:bookmarkEnd w:id="37"/>
      <w:r/>
      <w:bookmarkEnd w:id="38"/>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1"/>
      </w:pPr>
      <w:r/>
      <w:bookmarkStart w:id="39" w:name="_Toc20295"/>
      <w:r>
        <w:rPr>
          <w:rFonts w:hint="eastAsia" w:ascii="宋体" w:hAnsi="宋体" w:eastAsia="宋体" w:cs="宋体"/>
          <w:b/>
          <w:color w:val="000000" w:themeColor="text1"/>
          <w:sz w:val="24"/>
          <w:szCs w:val="24"/>
          <w14:textFill>
            <w14:solidFill>
              <w14:schemeClr w14:val="tx1"/>
            </w14:solidFill>
          </w14:textFill>
        </w:rPr>
        <w:t xml:space="preserve">一、总则</w:t>
      </w:r>
      <w:bookmarkEnd w:id="39"/>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1、适用法律</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2、定义</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2.1、“采购人”是指依法进行政府采购的国家机关、事业单位、团体组织。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2.2、“供应商”是指参加投标竞争，并符合招标文件规定资格条件的法人、其他组织或者自然人。</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2.4、“货物和服务”指本招标文件中所述产品及相关服务。</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2.5、“用户或使用单位”是指使用货物，接受服务的单位。</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3、政策功能</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3.1、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3.3提供的产品属于信息安全产品的，供应商应当选择经国家认证的信息安全产品，并提供由中国信息安全认证中心按国家标准认证颁发的有效认证证书复印件。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3.4 提供的产品属于政府强制采购节能产品的，供应商应当选择《节能产品政府采购清单》中的产品，并提供有效的节能产品认证证书复印件。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3.5 提供的产品属于环境标志产品的,供应商应当选择《环境标志产品政府采购清单》中的,且经过认证的环境标志产品投标,并提供有效的环境标志产品认证证书复印件。</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1"/>
      </w:pPr>
      <w:r/>
      <w:bookmarkStart w:id="40" w:name="_Toc4361"/>
      <w:r>
        <w:rPr>
          <w:rFonts w:hint="eastAsia" w:ascii="宋体" w:hAnsi="宋体" w:eastAsia="宋体" w:cs="宋体"/>
          <w:b/>
          <w:color w:val="000000" w:themeColor="text1"/>
          <w:sz w:val="24"/>
          <w:szCs w:val="24"/>
          <w14:textFill>
            <w14:solidFill>
              <w14:schemeClr w14:val="tx1"/>
            </w14:solidFill>
          </w14:textFill>
        </w:rPr>
        <w:t xml:space="preserve">二、招标文件构成</w:t>
      </w:r>
      <w:bookmarkEnd w:id="40"/>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4、招标文件组成</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4.1、招标文件包括以下主要内容：</w:t>
      </w:r>
      <w:r>
        <w:rPr>
          <w:rFonts w:hint="eastAsia" w:ascii="宋体" w:hAnsi="宋体" w:eastAsia="宋体" w:cs="宋体"/>
          <w:color w:val="000000" w:themeColor="text1"/>
          <w:sz w:val="24"/>
          <w:szCs w:val="24"/>
          <w:lang w:val="en-US"/>
          <w14:textFill>
            <w14:solidFill>
              <w14:schemeClr w14:val="tx1"/>
            </w14:solidFill>
          </w14:textFill>
        </w:rPr>
        <w:t xml:space="preserve">（1）投标邀请（2）供应商须知（3）合同文本（4）采购需求（5）评标方法与评标标准（6）投标文件格式。</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4.2、招标的最小单位是包。招标货物数量及技术要求中未分包的，供应商对要求提供的货物和服务不得部分投标；招标货物数量及技术要求中已经分包的，应当以包为单位投标。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4.3、采购代理机构如果要求供应商按照招标文件规定提交备选投标方案的，供应商可以提交备选方案；否则，备选方案将被拒绝。</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5、招标文件的澄清或者修改</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5.2、采购人或者采购代理机构在招标文件要求提交投标文件截止时间三日前，有权决定延长投标截止时间和开标时间，并在原采购信息发布媒体上发布变更公告。</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1"/>
      </w:pPr>
      <w:r/>
      <w:bookmarkStart w:id="41" w:name="_Toc21654"/>
      <w:r>
        <w:rPr>
          <w:rFonts w:hint="eastAsia" w:ascii="宋体" w:hAnsi="宋体" w:eastAsia="宋体" w:cs="宋体"/>
          <w:b/>
          <w:color w:val="000000" w:themeColor="text1"/>
          <w:sz w:val="24"/>
          <w:szCs w:val="24"/>
          <w14:textFill>
            <w14:solidFill>
              <w14:schemeClr w14:val="tx1"/>
            </w14:solidFill>
          </w14:textFill>
        </w:rPr>
        <w:t xml:space="preserve">三、投标文件的编制</w:t>
      </w:r>
      <w:bookmarkEnd w:id="41"/>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6、投标文件的语言、计量单位、货币和编制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6.2、供应商所使用的计量单位应为国家法定计量单位。</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6.3、供应商应用人民币报价。投标产品如果是进口产品的，应提供人民币与外币之间的汇率；报价单位为“元”。</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6.4、投标文件应字迹清楚、内容齐全、不得涂改。如有修改，修改处须有供应商公章或投标专用章和法定代表人或其授权的供应商代表签字。</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6.5、供应商应在投标文件中写清相应的项目编号、项目名称、分包号、供应商全称、地址、电话、传真等。</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6.6、供应商根据招标文件载明的标的采购项目实际情况，拟在中标后将中标项目的非主体、非关键性工作交由他人完成的，应当在投标文件中载明。</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7、投标文件的组成</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7.1、供应商应当根据招标文件要求编制投标文件，投标文件应对招标文件提出的要求和条件作出实质性响应，并在偏离表等处逐条标明满足与否。</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7.2、投标文件由商务部分、技术部分、价格部分以及其他部分组成。</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8、投标文件的商务部分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8.1、商务部分是证明供应商有资格参加投标和中标后有能力履行合同的文件，这些文件应能满足招标的要求，包括但不限于下列文件（加</w:t>
      </w:r>
      <w:r>
        <w:rPr>
          <w:rFonts w:hint="eastAsia" w:ascii="宋体" w:hAnsi="宋体" w:eastAsia="宋体" w:cs="宋体"/>
          <w:color w:val="000000" w:themeColor="text1"/>
          <w:sz w:val="24"/>
          <w:szCs w:val="24"/>
          <w:lang w:val="en-US"/>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材料如提供不全或不满足招标文件的实质性要求，评标委员会有权否决供应商的投标）：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投标函（格式见附件）；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法定代表人授权委托书及委托代理人的身份证明文件的电子件（格式见附件）；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14:textFill>
            <w14:solidFill>
              <w14:schemeClr w14:val="tx1"/>
            </w14:solidFill>
          </w14:textFill>
        </w:rPr>
        <w:t xml:space="preserve">★第一章投标邀请中2.1《中华人民共和国政府采购法》规定的资格条件证明文件；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（4）★第一章投标邀请中2.4采购人根据采购项目的特殊要求规定的特定条件证明文件；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开标一览表（格式见附件）；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分项报价表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14:textFill>
            <w14:solidFill>
              <w14:schemeClr w14:val="tx1"/>
            </w14:solidFill>
          </w14:textFill>
        </w:rPr>
        <w:t xml:space="preserve">南京市政府采购供应商信用记录表暨信用承诺书</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（8）商务条款偏离表；</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（9）要求采购人提供的配合（如有自拟并自行添加）；</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（10）其它（供应商认为有必要提供的声明和文件，如有，自行拟定并添加）。</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9、投标文件的技术部分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（1）技术说明或服务方案；</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（2）技术条款偏离表</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（3）供应商认为需要提供的其他技术资料。</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10、投标文件的价格部分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10.1、价格部分是对采购标的价格构成的说明，招标文件如无特别说明，每一项货物及服务仅接受一个价格。</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10.2、报价应包含本次招标标的有关的所有费用，以及技术资料、支付给员工的工资和国家强制缴纳的各种社会保障资金，以及供应商认为需要的其他费用等。</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10.3、供应商的任何错漏、优惠、竞争性报价不得作为减轻责任、减少服务、增加收费、降低质量的理由。</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10.5、供应商应在《开标一览表》、《分项报价》等标明投标货物和服务的单价、总价以及分项报价。对于采用货币报价的项目，开标一览表中的投标总报价应与投标分项报价表中的投标总报价一致，如不一致评标时</w:t>
      </w:r>
      <w:r>
        <w:rPr>
          <w:rFonts w:hint="eastAsia" w:ascii="宋体" w:hAnsi="宋体" w:eastAsia="宋体" w:cs="宋体"/>
          <w:color w:val="000000" w:themeColor="text1"/>
          <w:sz w:val="24"/>
          <w:szCs w:val="24"/>
          <w:lang w:val="en-US"/>
          <w14:textFill>
            <w14:solidFill>
              <w14:schemeClr w14:val="tx1"/>
            </w14:solidFill>
          </w14:textFill>
        </w:rPr>
        <w:t xml:space="preserve">以</w:t>
      </w:r>
      <w:r>
        <w:rPr>
          <w:rFonts w:hint="eastAsia" w:ascii="宋体" w:hAnsi="宋体" w:eastAsia="宋体" w:cs="宋体"/>
          <w:color w:val="000000" w:themeColor="text1"/>
          <w:sz w:val="24"/>
          <w:szCs w:val="24"/>
          <w14:textFill>
            <w14:solidFill>
              <w14:schemeClr w14:val="tx1"/>
            </w14:solidFill>
          </w14:textFill>
        </w:rPr>
        <w:t xml:space="preserve">开标一览表中价格为准。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10.6、本项目预算为：详见第一章。</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11、投标文件的其他部分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11.1、其他部分由供应商根据编制投标文件需要提供的其他相关文件组成。</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12、投标保证金</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本项目不缴纳投标保证金。</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13、投标有效期</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13.1、自开标之日起90天内投标有效，投标有效期从提交投标文件的截止之日起算。</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14、投标文件签署</w:t>
      </w:r>
      <w:r/>
    </w:p>
    <w:p>
      <w:pPr>
        <w:ind w:firstLine="440"/>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14.1、投标文件应按招标文件要求加盖电子章。</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15、投标费用</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15.1、供应商应承担所有与准备和参加投标有关的费用，无论采购结果如何，采购代理机构和采购人在任何情况下均无义务和责任承担这些费用。</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四、投标文件的递交</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16、投标文件的递交</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16.1、供应商应当按照《操作手册》规定，在招标公告规定的投标截止时间前制作并上传电子投标文件。</w:t>
      </w:r>
      <w:bookmarkStart w:id="42" w:name="_Toc20823298"/>
      <w:r/>
      <w:bookmarkEnd w:id="42"/>
      <w:r/>
      <w:bookmarkStart w:id="43" w:name="_Toc16938542"/>
      <w:r/>
      <w:bookmarkEnd w:id="43"/>
      <w:r/>
      <w:bookmarkStart w:id="44" w:name="_Toc513029226"/>
      <w:r/>
      <w:bookmarkEnd w:id="44"/>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、供应商应充分考虑网络环境、网络带宽等因素</w:t>
      </w:r>
      <w:r>
        <w:rPr>
          <w:rFonts w:hint="eastAsia" w:ascii="宋体" w:hAnsi="宋体" w:eastAsia="宋体" w:cs="宋体"/>
          <w:color w:val="000000" w:themeColor="text1"/>
          <w:sz w:val="24"/>
          <w:szCs w:val="24"/>
          <w:lang w:val="en-US"/>
          <w14:textFill>
            <w14:solidFill>
              <w14:schemeClr w14:val="tx1"/>
            </w14:solidFill>
          </w14:textFill>
        </w:rPr>
        <w:t xml:space="preserve">可能对投标产生的影响</w:t>
      </w:r>
      <w:r>
        <w:rPr>
          <w:rFonts w:hint="eastAsia" w:ascii="宋体" w:hAnsi="宋体" w:eastAsia="宋体" w:cs="宋体"/>
          <w:color w:val="000000" w:themeColor="text1"/>
          <w:sz w:val="24"/>
          <w:szCs w:val="24"/>
          <w14:textFill>
            <w14:solidFill>
              <w14:schemeClr w14:val="tx1"/>
            </w14:solidFill>
          </w14:textFill>
        </w:rPr>
        <w:t xml:space="preserve">，如因供应商自身原因造成的电子投标文件上传不成功的，按照本招标文件第二章第2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.1条规定做无效投标处理。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、代理机构可以按照规定，通过修改招标文件酌情延长投标截止时间，在此情况下，供应商的所有权利和义务均以延长后新的截止时间为准。</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17、有下列情形的投标文件将被拒收</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17.1、投标截止时间后上传的任何投标文件将被拒绝。</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18、投标文件的修改和撤回</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lang w:val="en-US"/>
          <w14:textFill>
            <w14:solidFill>
              <w14:schemeClr w14:val="tx1"/>
            </w14:solidFill>
          </w14:textFill>
        </w:rPr>
        <w:t xml:space="preserve">18.1、</w:t>
      </w:r>
      <w:r>
        <w:rPr>
          <w:rFonts w:hint="eastAsia" w:ascii="宋体" w:hAnsi="宋体" w:eastAsia="宋体" w:cs="宋体"/>
          <w:color w:val="000000" w:themeColor="text1"/>
          <w:sz w:val="24"/>
          <w:szCs w:val="24"/>
          <w14:textFill>
            <w14:solidFill>
              <w14:schemeClr w14:val="tx1"/>
            </w14:solidFill>
          </w14:textFill>
        </w:rPr>
        <w:t xml:space="preserve">投标文件的撤回</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.1.1</w:t>
      </w:r>
      <w:r>
        <w:rPr>
          <w:rFonts w:hint="eastAsia" w:ascii="宋体" w:hAnsi="宋体" w:eastAsia="宋体" w:cs="宋体"/>
          <w:color w:val="000000" w:themeColor="text1"/>
          <w:sz w:val="24"/>
          <w:szCs w:val="24"/>
          <w:lang w:val="en-US"/>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供应商可在投标截止时间前撤回其电子投标文件，具体操作方法见《操作手册》。</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.1.2</w:t>
      </w:r>
      <w:r>
        <w:rPr>
          <w:rFonts w:hint="eastAsia" w:ascii="宋体" w:hAnsi="宋体" w:eastAsia="宋体" w:cs="宋体"/>
          <w:color w:val="000000" w:themeColor="text1"/>
          <w:sz w:val="24"/>
          <w:szCs w:val="24"/>
          <w:lang w:val="en-US"/>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供应商撤回电子投标文件，则认为其不再参与本项目投标活动。</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lang w:val="en-US"/>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.2 投标文件的修改</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.2.1</w:t>
      </w:r>
      <w:r>
        <w:rPr>
          <w:rFonts w:hint="eastAsia" w:ascii="宋体" w:hAnsi="宋体" w:eastAsia="宋体" w:cs="宋体"/>
          <w:color w:val="000000" w:themeColor="text1"/>
          <w:sz w:val="24"/>
          <w:szCs w:val="24"/>
          <w:lang w:val="en-US"/>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供应商可在投标截止时间前对其电子投标文件进行修改，具体操作方法见《操作手册》。</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.2.2</w:t>
      </w:r>
      <w:r>
        <w:rPr>
          <w:rFonts w:hint="eastAsia" w:ascii="宋体" w:hAnsi="宋体" w:eastAsia="宋体" w:cs="宋体"/>
          <w:color w:val="000000" w:themeColor="text1"/>
          <w:sz w:val="24"/>
          <w:szCs w:val="24"/>
          <w:lang w:val="en-US"/>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投标截止时间之后，供应商不得对其电子投标文件作任何修改。</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.3 在投标截止时间至招标文件中规定的投标有效期满之间的这段时间内，供应商不得撤回其投标。</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19、诚实信用</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19.1、供应商应当遵循公平竞争的原则，不得恶意串通，不得妨碍其他供应商的竞争行为，不得损害采购人或者其他供应商的合法权益。</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19.2、在评标过程中发现供应商有上述情形的，评标委员会应当认定其投标无效，并书面报告本级财政部门。</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1"/>
      </w:pPr>
      <w:r/>
      <w:bookmarkStart w:id="45" w:name="_Toc17572"/>
      <w:r>
        <w:rPr>
          <w:rFonts w:hint="eastAsia" w:ascii="宋体" w:hAnsi="宋体" w:eastAsia="宋体" w:cs="宋体"/>
          <w:b/>
          <w:color w:val="000000" w:themeColor="text1"/>
          <w:sz w:val="24"/>
          <w:szCs w:val="24"/>
          <w14:textFill>
            <w14:solidFill>
              <w14:schemeClr w14:val="tx1"/>
            </w14:solidFill>
          </w14:textFill>
        </w:rPr>
        <w:t xml:space="preserve">五、开标、评标与定标</w:t>
      </w:r>
      <w:bookmarkEnd w:id="45"/>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20、开标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20.1、采购代理机构将在招标文件确定的时间和地点进行公开开标。供应商按照《操作手册》规定参加开标活动，并在苏采云系统规定的时间内对投标文件进行解密。苏采云系统公布各供应商名称和投标价格。</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供应商在开标过程中涉及到的投标文件解密、开标结果确认等工作，应按照《操作手册》规定执行。</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供应商如果对开标过程和开标</w:t>
      </w:r>
      <w:r>
        <w:rPr>
          <w:rFonts w:hint="eastAsia" w:ascii="宋体" w:hAnsi="宋体" w:eastAsia="宋体" w:cs="宋体"/>
          <w:color w:val="000000" w:themeColor="text1"/>
          <w:sz w:val="24"/>
          <w:szCs w:val="24"/>
          <w:lang w:val="en-US"/>
          <w14:textFill>
            <w14:solidFill>
              <w14:schemeClr w14:val="tx1"/>
            </w14:solidFill>
          </w14:textFill>
        </w:rPr>
        <w:t xml:space="preserve">结果</w:t>
      </w:r>
      <w:r>
        <w:rPr>
          <w:rFonts w:hint="eastAsia" w:ascii="宋体" w:hAnsi="宋体" w:eastAsia="宋体" w:cs="宋体"/>
          <w:color w:val="000000" w:themeColor="text1"/>
          <w:sz w:val="24"/>
          <w:szCs w:val="24"/>
          <w14:textFill>
            <w14:solidFill>
              <w14:schemeClr w14:val="tx1"/>
            </w14:solidFill>
          </w14:textFill>
        </w:rPr>
        <w:t xml:space="preserve">有疑义，应当根据《操作手册》规定提出，苏采云系统中《开标记录表》公布后5分钟内未提出的，视同认可开标结果。</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21、评标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评标由依法组建的</w:t>
      </w:r>
      <w:r>
        <w:rPr>
          <w:rFonts w:hint="eastAsia" w:ascii="宋体" w:hAnsi="宋体" w:eastAsia="宋体" w:cs="宋体"/>
          <w:color w:val="000000" w:themeColor="text1"/>
          <w:sz w:val="24"/>
          <w:szCs w:val="24"/>
          <w14:textFill>
            <w14:solidFill>
              <w14:schemeClr w14:val="tx1"/>
            </w14:solidFill>
          </w14:textFill>
        </w:rPr>
        <w:t xml:space="preserve">评标委员会（以下简称“评委会”）进行。</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.2、评委会由采购人代表和有关技术、经济或法律等方面的专家组成，且人员构成符合政府采购有关规定。</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评委会独立工作，负责评审所有投标文件并</w:t>
      </w:r>
      <w:r>
        <w:rPr>
          <w:rFonts w:hint="eastAsia" w:ascii="宋体" w:hAnsi="宋体" w:eastAsia="宋体" w:cs="宋体"/>
          <w:color w:val="000000" w:themeColor="text1"/>
          <w:sz w:val="24"/>
          <w:szCs w:val="24"/>
          <w:lang w:val="en-US"/>
          <w14:textFill>
            <w14:solidFill>
              <w14:schemeClr w14:val="tx1"/>
            </w14:solidFill>
          </w14:textFill>
        </w:rPr>
        <w:t xml:space="preserve">推荐</w:t>
      </w:r>
      <w:r>
        <w:rPr>
          <w:rFonts w:hint="eastAsia" w:ascii="宋体" w:hAnsi="宋体" w:eastAsia="宋体" w:cs="宋体"/>
          <w:color w:val="000000" w:themeColor="text1"/>
          <w:sz w:val="24"/>
          <w:szCs w:val="24"/>
          <w14:textFill>
            <w14:solidFill>
              <w14:schemeClr w14:val="tx1"/>
            </w14:solidFill>
          </w14:textFill>
        </w:rPr>
        <w:t xml:space="preserve">中标候选人，</w:t>
      </w:r>
      <w:r>
        <w:rPr>
          <w:rFonts w:hint="eastAsia" w:ascii="宋体" w:hAnsi="宋体" w:eastAsia="宋体" w:cs="宋体"/>
          <w:color w:val="000000" w:themeColor="text1"/>
          <w:sz w:val="24"/>
          <w:szCs w:val="24"/>
          <w:lang w:val="en-US"/>
          <w14:textFill>
            <w14:solidFill>
              <w14:schemeClr w14:val="tx1"/>
            </w14:solidFill>
          </w14:textFill>
        </w:rPr>
        <w:t xml:space="preserve">或根据采购人授权直接确定中标人</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42"/>
        <w:keepLines w:val="0"/>
        <w:keepNext w:val="0"/>
        <w:pageBreakBefore w:val="0"/>
        <w:spacing w:line="400" w:lineRule="exact"/>
        <w:widowControl w:val="off"/>
        <w:rPr>
          <w:rFonts w:hint="eastAsia" w:ascii="宋体" w:hAnsi="宋体" w:eastAsia="宋体" w:cs="宋体"/>
          <w:b/>
          <w:bCs/>
          <w:color w:val="000000" w:themeColor="text1"/>
          <w:sz w:val="24"/>
          <w:szCs w:val="24"/>
          <w:lang w:val="en-US"/>
          <w14:textFill>
            <w14:solidFill>
              <w14:schemeClr w14:val="tx1"/>
            </w14:solidFill>
          </w14:textFill>
        </w:rPr>
        <w:outlineLvl w:val="2"/>
      </w:pPr>
      <w:r>
        <w:rPr>
          <w:rFonts w:hint="eastAsia" w:ascii="宋体" w:hAnsi="宋体" w:eastAsia="宋体" w:cs="宋体"/>
          <w:b/>
          <w:bCs/>
          <w:color w:val="000000" w:themeColor="text1"/>
          <w:sz w:val="24"/>
          <w:szCs w:val="24"/>
          <w:lang w:val="en-US"/>
          <w14:textFill>
            <w14:solidFill>
              <w14:schemeClr w14:val="tx1"/>
            </w14:solidFill>
          </w14:textFill>
        </w:rPr>
        <w:t xml:space="preserve">22、评标过程的保密与公正</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凡是与审查、澄清、评价和比较投标的有关资料以及授标建议等，采购人、评委、代理机构不得向供应商或与评标无关的其他人员透露。</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供应商不得以任何</w:t>
      </w:r>
      <w:r>
        <w:rPr>
          <w:rFonts w:hint="eastAsia" w:ascii="宋体" w:hAnsi="宋体" w:eastAsia="宋体" w:cs="宋体"/>
          <w:color w:val="000000" w:themeColor="text1"/>
          <w:sz w:val="24"/>
          <w:szCs w:val="24"/>
          <w:lang w:val="en-US"/>
          <w14:textFill>
            <w14:solidFill>
              <w14:schemeClr w14:val="tx1"/>
            </w14:solidFill>
          </w14:textFill>
        </w:rPr>
        <w:t xml:space="preserve">方式</w:t>
      </w:r>
      <w:r>
        <w:rPr>
          <w:rFonts w:hint="eastAsia" w:ascii="宋体" w:hAnsi="宋体" w:eastAsia="宋体" w:cs="宋体"/>
          <w:color w:val="000000" w:themeColor="text1"/>
          <w:sz w:val="24"/>
          <w:szCs w:val="24"/>
          <w14:textFill>
            <w14:solidFill>
              <w14:schemeClr w14:val="tx1"/>
            </w14:solidFill>
          </w14:textFill>
        </w:rPr>
        <w:t xml:space="preserve">影响评标，否则其投标文件将被作为无效投标文件。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.3、代理机构和评委会不向未中标的供应商解释未中标原因，也不公布评标过程中的相关细节。</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.4、采用综合评分法的项目，未中标的供应商可于中标结果公告期限届满之日起通过苏采云系统查看</w:t>
      </w:r>
      <w:r>
        <w:rPr>
          <w:rFonts w:hint="eastAsia" w:ascii="宋体" w:hAnsi="宋体" w:eastAsia="宋体" w:cs="宋体"/>
          <w:color w:val="000000" w:themeColor="text1"/>
          <w:sz w:val="24"/>
          <w:szCs w:val="24"/>
          <w:lang w:val="en-US"/>
          <w14:textFill>
            <w14:solidFill>
              <w14:schemeClr w14:val="tx1"/>
            </w14:solidFill>
          </w14:textFill>
        </w:rPr>
        <w:t xml:space="preserve">本单位</w:t>
      </w:r>
      <w:r>
        <w:rPr>
          <w:rFonts w:hint="eastAsia" w:ascii="宋体" w:hAnsi="宋体" w:eastAsia="宋体" w:cs="宋体"/>
          <w:color w:val="000000" w:themeColor="text1"/>
          <w:sz w:val="24"/>
          <w:szCs w:val="24"/>
          <w14:textFill>
            <w14:solidFill>
              <w14:schemeClr w14:val="tx1"/>
            </w14:solidFill>
          </w14:textFill>
        </w:rPr>
        <w:t xml:space="preserve">的评审得分及排</w:t>
      </w:r>
      <w:r>
        <w:rPr>
          <w:rFonts w:hint="eastAsia" w:ascii="宋体" w:hAnsi="宋体" w:eastAsia="宋体" w:cs="宋体"/>
          <w:color w:val="000000" w:themeColor="text1"/>
          <w:sz w:val="24"/>
          <w:szCs w:val="24"/>
          <w:lang w:val="en-US"/>
          <w14:textFill>
            <w14:solidFill>
              <w14:schemeClr w14:val="tx1"/>
            </w14:solidFill>
          </w14:textFill>
        </w:rPr>
        <w:t xml:space="preserve">名</w:t>
      </w:r>
      <w:r>
        <w:rPr>
          <w:rFonts w:hint="eastAsia" w:ascii="宋体" w:hAnsi="宋体" w:eastAsia="宋体" w:cs="宋体"/>
          <w:color w:val="000000" w:themeColor="text1"/>
          <w:sz w:val="24"/>
          <w:szCs w:val="24"/>
          <w14:textFill>
            <w14:solidFill>
              <w14:schemeClr w14:val="tx1"/>
            </w14:solidFill>
          </w14:textFill>
        </w:rPr>
        <w:t xml:space="preserve">情况。</w:t>
      </w:r>
      <w:r/>
    </w:p>
    <w:p>
      <w:pPr>
        <w:ind w:firstLine="442"/>
        <w:keepLines w:val="0"/>
        <w:keepNext w:val="0"/>
        <w:pageBreakBefore w:val="0"/>
        <w:spacing w:line="400" w:lineRule="exact"/>
        <w:widowControl w:val="off"/>
        <w:rPr>
          <w:rFonts w:hint="eastAsia" w:ascii="宋体" w:hAnsi="宋体" w:eastAsia="宋体" w:cs="宋体"/>
          <w:b/>
          <w:bCs/>
          <w:color w:val="000000" w:themeColor="text1"/>
          <w:sz w:val="24"/>
          <w:szCs w:val="24"/>
          <w:lang w:val="en-US"/>
          <w14:textFill>
            <w14:solidFill>
              <w14:schemeClr w14:val="tx1"/>
            </w14:solidFill>
          </w14:textFill>
        </w:rPr>
        <w:outlineLvl w:val="2"/>
      </w:pPr>
      <w:r/>
      <w:bookmarkStart w:id="46" w:name="_Toc20823304"/>
      <w:r/>
      <w:bookmarkStart w:id="47" w:name="_Toc513029232"/>
      <w:r/>
      <w:bookmarkStart w:id="48" w:name="_Toc16938548"/>
      <w:r>
        <w:rPr>
          <w:rFonts w:hint="eastAsia" w:ascii="宋体" w:hAnsi="宋体" w:eastAsia="宋体" w:cs="宋体"/>
          <w:b/>
          <w:bCs/>
          <w:color w:val="000000" w:themeColor="text1"/>
          <w:sz w:val="24"/>
          <w:szCs w:val="24"/>
          <w:lang w:val="en-US"/>
          <w14:textFill>
            <w14:solidFill>
              <w14:schemeClr w14:val="tx1"/>
            </w14:solidFill>
          </w14:textFill>
        </w:rPr>
        <w:t xml:space="preserve">23.投标文件的澄清</w:t>
      </w:r>
      <w:bookmarkEnd w:id="46"/>
      <w:r/>
      <w:bookmarkEnd w:id="47"/>
      <w:r/>
      <w:bookmarkEnd w:id="48"/>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评标期间，评委会对投标文件中含义不明确、同类问题表述不一致或者有明显文字和计算错误的内容，有权要求供应商作出必要的澄清、说明或者补正。</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供应商的澄清、说明或者补正不得超出投标文件的范围或者改变投标文件的实质性内容。</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评委会并非对每个供应商都做澄清要求。</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需要供应商进行澄清、说明和补正的，评委会将通过苏采云系统向</w:t>
      </w:r>
      <w:r>
        <w:rPr>
          <w:rFonts w:hint="eastAsia" w:ascii="宋体" w:hAnsi="宋体" w:eastAsia="宋体" w:cs="宋体"/>
          <w:color w:val="000000" w:themeColor="text1"/>
          <w:sz w:val="24"/>
          <w:szCs w:val="24"/>
          <w:lang w:val="en-US"/>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发出《澄清要求函》，接到《澄清要求函》的</w:t>
      </w:r>
      <w:r>
        <w:rPr>
          <w:rFonts w:hint="eastAsia" w:ascii="宋体" w:hAnsi="宋体" w:eastAsia="宋体" w:cs="宋体"/>
          <w:color w:val="000000" w:themeColor="text1"/>
          <w:sz w:val="24"/>
          <w:szCs w:val="24"/>
          <w:lang w:val="en-US"/>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.3、接到评委会澄清、说明和补正要求的，供应商如未按规定</w:t>
      </w:r>
      <w:r>
        <w:rPr>
          <w:rFonts w:hint="eastAsia" w:ascii="宋体" w:hAnsi="宋体" w:eastAsia="宋体" w:cs="宋体"/>
          <w:color w:val="000000" w:themeColor="text1"/>
          <w:sz w:val="24"/>
          <w:szCs w:val="24"/>
          <w:lang w:val="en-US"/>
          <w14:textFill>
            <w14:solidFill>
              <w14:schemeClr w14:val="tx1"/>
            </w14:solidFill>
          </w14:textFill>
        </w:rPr>
        <w:t xml:space="preserve">作</w:t>
      </w:r>
      <w:r>
        <w:rPr>
          <w:rFonts w:hint="eastAsia" w:ascii="宋体" w:hAnsi="宋体" w:eastAsia="宋体" w:cs="宋体"/>
          <w:color w:val="000000" w:themeColor="text1"/>
          <w:sz w:val="24"/>
          <w:szCs w:val="24"/>
          <w14:textFill>
            <w14:solidFill>
              <w14:schemeClr w14:val="tx1"/>
            </w14:solidFill>
          </w14:textFill>
        </w:rPr>
        <w:t xml:space="preserve">出澄清、说明和补正，其风险由供应商自行承担。</w:t>
      </w:r>
      <w:r/>
    </w:p>
    <w:p>
      <w:pPr>
        <w:ind w:firstLine="442"/>
        <w:keepLines w:val="0"/>
        <w:keepNext w:val="0"/>
        <w:pageBreakBefore w:val="0"/>
        <w:spacing w:line="400" w:lineRule="exact"/>
        <w:widowControl w:val="off"/>
        <w:rPr>
          <w:rFonts w:hint="eastAsia" w:ascii="宋体" w:hAnsi="宋体" w:eastAsia="宋体" w:cs="宋体"/>
          <w:b/>
          <w:bCs/>
          <w:color w:val="000000" w:themeColor="text1"/>
          <w:sz w:val="24"/>
          <w:szCs w:val="24"/>
          <w:lang w:val="en-US"/>
          <w14:textFill>
            <w14:solidFill>
              <w14:schemeClr w14:val="tx1"/>
            </w14:solidFill>
          </w14:textFill>
        </w:rPr>
        <w:outlineLvl w:val="2"/>
      </w:pPr>
      <w:r/>
      <w:bookmarkStart w:id="49" w:name="_Toc16938549"/>
      <w:r/>
      <w:bookmarkStart w:id="50" w:name="_Toc513029233"/>
      <w:r/>
      <w:bookmarkStart w:id="51" w:name="_Toc20823305"/>
      <w:r>
        <w:rPr>
          <w:rFonts w:hint="eastAsia" w:ascii="宋体" w:hAnsi="宋体" w:eastAsia="宋体" w:cs="宋体"/>
          <w:b/>
          <w:bCs/>
          <w:color w:val="000000" w:themeColor="text1"/>
          <w:sz w:val="24"/>
          <w:szCs w:val="24"/>
          <w:lang w:val="en-US"/>
          <w14:textFill>
            <w14:solidFill>
              <w14:schemeClr w14:val="tx1"/>
            </w14:solidFill>
          </w14:textFill>
        </w:rPr>
        <w:t xml:space="preserve">24、投标文件的</w:t>
      </w:r>
      <w:bookmarkEnd w:id="49"/>
      <w:r/>
      <w:bookmarkEnd w:id="50"/>
      <w:r/>
      <w:bookmarkEnd w:id="51"/>
      <w:r>
        <w:rPr>
          <w:rFonts w:hint="eastAsia" w:ascii="宋体" w:hAnsi="宋体" w:eastAsia="宋体" w:cs="宋体"/>
          <w:b/>
          <w:bCs/>
          <w:color w:val="000000" w:themeColor="text1"/>
          <w:sz w:val="24"/>
          <w:szCs w:val="24"/>
          <w:lang w:val="en-US"/>
          <w14:textFill>
            <w14:solidFill>
              <w14:schemeClr w14:val="tx1"/>
            </w14:solidFill>
          </w14:textFill>
        </w:rPr>
        <w:t xml:space="preserve">审查</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投标文件审查分为资格审查和符合性审查。</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.1.1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资格审查。依据法律法规和招标文件规定，由采购人对投标文件中的资格证明文件进行审查，</w:t>
      </w:r>
      <w:r>
        <w:rPr>
          <w:rFonts w:hint="eastAsia" w:ascii="宋体" w:hAnsi="宋体" w:eastAsia="宋体" w:cs="宋体"/>
          <w:color w:val="000000" w:themeColor="text1"/>
          <w:sz w:val="24"/>
          <w:szCs w:val="24"/>
          <w:lang w:val="en-US"/>
          <w14:textFill>
            <w14:solidFill>
              <w14:schemeClr w14:val="tx1"/>
            </w14:solidFill>
          </w14:textFill>
        </w:rPr>
        <w:t xml:space="preserve">并</w:t>
      </w:r>
      <w:r>
        <w:rPr>
          <w:rFonts w:hint="eastAsia" w:ascii="宋体" w:hAnsi="宋体" w:eastAsia="宋体" w:cs="宋体"/>
          <w:color w:val="000000" w:themeColor="text1"/>
          <w:sz w:val="24"/>
          <w:szCs w:val="24"/>
          <w14:textFill>
            <w14:solidFill>
              <w14:schemeClr w14:val="tx1"/>
            </w14:solidFill>
          </w14:textFill>
        </w:rPr>
        <w:t xml:space="preserve">向评委会反馈</w:t>
      </w:r>
      <w:r>
        <w:rPr>
          <w:rFonts w:hint="eastAsia" w:ascii="宋体" w:hAnsi="宋体" w:eastAsia="宋体" w:cs="宋体"/>
          <w:color w:val="000000" w:themeColor="text1"/>
          <w:sz w:val="24"/>
          <w:szCs w:val="24"/>
          <w:lang w:val="en-US"/>
          <w14:textFill>
            <w14:solidFill>
              <w14:schemeClr w14:val="tx1"/>
            </w14:solidFill>
          </w14:textFill>
        </w:rPr>
        <w:t xml:space="preserve">审查结论</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采购人进行资格审查时，将在“信用中国”网站（www.creditchina.gov.cn）查询供应商的信用记录，以确定供应商是否具备投标资格，查询结果留存并归档。</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接受联合体的项目，联合体成员存在不良信用记录的，视同联合体存在不良</w:t>
      </w:r>
      <w:r>
        <w:rPr>
          <w:rFonts w:hint="eastAsia" w:ascii="宋体" w:hAnsi="宋体" w:eastAsia="宋体" w:cs="宋体"/>
          <w:color w:val="000000" w:themeColor="text1"/>
          <w:sz w:val="24"/>
          <w:szCs w:val="24"/>
          <w:lang w:val="en-US"/>
          <w14:textFill>
            <w14:solidFill>
              <w14:schemeClr w14:val="tx1"/>
            </w14:solidFill>
          </w14:textFill>
        </w:rPr>
        <w:t xml:space="preserve">信</w:t>
      </w:r>
      <w:r>
        <w:rPr>
          <w:rFonts w:hint="eastAsia" w:ascii="宋体" w:hAnsi="宋体" w:eastAsia="宋体" w:cs="宋体"/>
          <w:color w:val="000000" w:themeColor="text1"/>
          <w:sz w:val="24"/>
          <w:szCs w:val="24"/>
          <w14:textFill>
            <w14:solidFill>
              <w14:schemeClr w14:val="tx1"/>
            </w14:solidFill>
          </w14:textFill>
        </w:rPr>
        <w:t xml:space="preserve">用记录。</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.1.2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符合性审查。依据招标文件的规定，由评委会从有效性、完整性和对招标文件的响应程度</w:t>
      </w:r>
      <w:r>
        <w:rPr>
          <w:rFonts w:hint="eastAsia" w:ascii="宋体" w:hAnsi="宋体" w:eastAsia="宋体" w:cs="宋体"/>
          <w:color w:val="000000" w:themeColor="text1"/>
          <w:sz w:val="24"/>
          <w:szCs w:val="24"/>
          <w:lang w:val="en-US"/>
          <w14:textFill>
            <w14:solidFill>
              <w14:schemeClr w14:val="tx1"/>
            </w14:solidFill>
          </w14:textFill>
        </w:rPr>
        <w:t xml:space="preserve">等方面对投标文件</w:t>
      </w:r>
      <w:r>
        <w:rPr>
          <w:rFonts w:hint="eastAsia" w:ascii="宋体" w:hAnsi="宋体" w:eastAsia="宋体" w:cs="宋体"/>
          <w:color w:val="000000" w:themeColor="text1"/>
          <w:sz w:val="24"/>
          <w:szCs w:val="24"/>
          <w14:textFill>
            <w14:solidFill>
              <w14:schemeClr w14:val="tx1"/>
            </w14:solidFill>
          </w14:textFill>
        </w:rPr>
        <w:t xml:space="preserve">进行审查，以确定是否对招标文件的实质性要求作出响应。</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.1.3</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未通过资格审查或符合性审查的供应商，交易中心将</w:t>
      </w:r>
      <w:r>
        <w:rPr>
          <w:rFonts w:hint="eastAsia" w:ascii="宋体" w:hAnsi="宋体" w:eastAsia="宋体" w:cs="宋体"/>
          <w:color w:val="000000" w:themeColor="text1"/>
          <w:sz w:val="24"/>
          <w:szCs w:val="24"/>
          <w:lang w:val="en-US"/>
          <w14:textFill>
            <w14:solidFill>
              <w14:schemeClr w14:val="tx1"/>
            </w14:solidFill>
          </w14:textFill>
        </w:rPr>
        <w:t xml:space="preserve">通过</w:t>
      </w:r>
      <w:r>
        <w:rPr>
          <w:rFonts w:hint="eastAsia" w:ascii="宋体" w:hAnsi="宋体" w:eastAsia="宋体" w:cs="宋体"/>
          <w:color w:val="000000" w:themeColor="text1"/>
          <w:sz w:val="24"/>
          <w:szCs w:val="24"/>
          <w14:textFill>
            <w14:solidFill>
              <w14:schemeClr w14:val="tx1"/>
            </w14:solidFill>
          </w14:textFill>
        </w:rPr>
        <w:t xml:space="preserve">苏采云系统告知</w:t>
      </w:r>
      <w:r>
        <w:rPr>
          <w:rFonts w:hint="eastAsia" w:ascii="宋体" w:hAnsi="宋体" w:eastAsia="宋体" w:cs="宋体"/>
          <w:color w:val="000000" w:themeColor="text1"/>
          <w:sz w:val="24"/>
          <w:szCs w:val="24"/>
          <w:lang w:val="en-US"/>
          <w14:textFill>
            <w14:solidFill>
              <w14:schemeClr w14:val="tx1"/>
            </w14:solidFill>
          </w14:textFill>
        </w:rPr>
        <w:t xml:space="preserve">其具体</w:t>
      </w:r>
      <w:r>
        <w:rPr>
          <w:rFonts w:hint="eastAsia" w:ascii="宋体" w:hAnsi="宋体" w:eastAsia="宋体" w:cs="宋体"/>
          <w:color w:val="000000" w:themeColor="text1"/>
          <w:sz w:val="24"/>
          <w:szCs w:val="24"/>
          <w14:textFill>
            <w14:solidFill>
              <w14:schemeClr w14:val="tx1"/>
            </w14:solidFill>
          </w14:textFill>
        </w:rPr>
        <w:t xml:space="preserve">原因，评标结束后</w:t>
      </w:r>
      <w:r>
        <w:rPr>
          <w:rFonts w:hint="eastAsia" w:ascii="宋体" w:hAnsi="宋体" w:eastAsia="宋体" w:cs="宋体"/>
          <w:color w:val="000000" w:themeColor="text1"/>
          <w:sz w:val="24"/>
          <w:szCs w:val="24"/>
          <w:lang w:val="en-US"/>
          <w14:textFill>
            <w14:solidFill>
              <w14:schemeClr w14:val="tx1"/>
            </w14:solidFill>
          </w14:textFill>
        </w:rPr>
        <w:t xml:space="preserve">不再接受有关询问</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评委会</w:t>
      </w:r>
      <w:r>
        <w:rPr>
          <w:rFonts w:hint="eastAsia" w:ascii="宋体" w:hAnsi="宋体" w:eastAsia="宋体" w:cs="宋体"/>
          <w:color w:val="000000" w:themeColor="text1"/>
          <w:sz w:val="24"/>
          <w:szCs w:val="24"/>
          <w:lang w:val="en-US"/>
          <w14:textFill>
            <w14:solidFill>
              <w14:schemeClr w14:val="tx1"/>
            </w14:solidFill>
          </w14:textFill>
        </w:rPr>
        <w:t xml:space="preserve">仅对</w:t>
      </w:r>
      <w:r>
        <w:rPr>
          <w:rFonts w:hint="eastAsia" w:ascii="宋体" w:hAnsi="宋体" w:eastAsia="宋体" w:cs="宋体"/>
          <w:color w:val="000000" w:themeColor="text1"/>
          <w:sz w:val="24"/>
          <w:szCs w:val="24"/>
          <w14:textFill>
            <w14:solidFill>
              <w14:schemeClr w14:val="tx1"/>
            </w14:solidFill>
          </w14:textFill>
        </w:rPr>
        <w:t xml:space="preserve">实质性响应招标文件要求</w:t>
      </w:r>
      <w:r>
        <w:rPr>
          <w:rFonts w:hint="eastAsia" w:ascii="宋体" w:hAnsi="宋体" w:eastAsia="宋体" w:cs="宋体"/>
          <w:color w:val="000000" w:themeColor="text1"/>
          <w:sz w:val="24"/>
          <w:szCs w:val="24"/>
          <w:lang w:val="en-US"/>
          <w14:textFill>
            <w14:solidFill>
              <w14:schemeClr w14:val="tx1"/>
            </w14:solidFill>
          </w14:textFill>
        </w:rPr>
        <w:t xml:space="preserve">的投标文件进行详细评审</w:t>
      </w:r>
      <w:r>
        <w:rPr>
          <w:rFonts w:hint="eastAsia" w:ascii="宋体" w:hAnsi="宋体" w:eastAsia="宋体" w:cs="宋体"/>
          <w:color w:val="000000" w:themeColor="text1"/>
          <w:sz w:val="24"/>
          <w:szCs w:val="24"/>
          <w14:textFill>
            <w14:solidFill>
              <w14:schemeClr w14:val="tx1"/>
            </w14:solidFill>
          </w14:textFill>
        </w:rPr>
        <w:t xml:space="preserve">。实质性响应的投标文件应该是与招标文件要求的全部条款、条件和规格相符，没有重大偏离或保留的文件。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themeColor="text1"/>
          <w:sz w:val="24"/>
          <w:szCs w:val="24"/>
          <w:lang w:val="en-US"/>
          <w14:textFill>
            <w14:solidFill>
              <w14:schemeClr w14:val="tx1"/>
            </w14:solidFill>
          </w14:textFill>
        </w:rPr>
        <w:t xml:space="preserve">采购人</w:t>
      </w:r>
      <w:r>
        <w:rPr>
          <w:rFonts w:hint="eastAsia" w:ascii="宋体" w:hAnsi="宋体" w:eastAsia="宋体" w:cs="宋体"/>
          <w:color w:val="000000" w:themeColor="text1"/>
          <w:sz w:val="24"/>
          <w:szCs w:val="24"/>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宋体" w:hAnsi="宋体" w:eastAsia="宋体" w:cs="宋体"/>
          <w:color w:val="000000" w:themeColor="text1"/>
          <w:sz w:val="24"/>
          <w:szCs w:val="24"/>
          <w:lang w:val="en-US"/>
          <w14:textFill>
            <w14:solidFill>
              <w14:schemeClr w14:val="tx1"/>
            </w14:solidFill>
          </w14:textFill>
        </w:rPr>
        <w:t xml:space="preserve">由</w:t>
      </w:r>
      <w:r>
        <w:rPr>
          <w:rFonts w:hint="eastAsia" w:ascii="宋体" w:hAnsi="宋体" w:eastAsia="宋体" w:cs="宋体"/>
          <w:color w:val="000000" w:themeColor="text1"/>
          <w:sz w:val="24"/>
          <w:szCs w:val="24"/>
          <w14:textFill>
            <w14:solidFill>
              <w14:schemeClr w14:val="tx1"/>
            </w14:solidFill>
          </w14:textFill>
        </w:rPr>
        <w:t xml:space="preserve">评委会</w:t>
      </w:r>
      <w:r>
        <w:rPr>
          <w:rFonts w:hint="eastAsia" w:ascii="宋体" w:hAnsi="宋体" w:eastAsia="宋体" w:cs="宋体"/>
          <w:color w:val="000000" w:themeColor="text1"/>
          <w:sz w:val="24"/>
          <w:szCs w:val="24"/>
          <w:lang w:val="en-US"/>
          <w14:textFill>
            <w14:solidFill>
              <w14:schemeClr w14:val="tx1"/>
            </w14:solidFill>
          </w14:textFill>
        </w:rPr>
        <w:t xml:space="preserve">按照</w:t>
      </w:r>
      <w:r>
        <w:rPr>
          <w:rFonts w:hint="eastAsia" w:ascii="宋体" w:hAnsi="宋体" w:eastAsia="宋体" w:cs="宋体"/>
          <w:color w:val="000000" w:themeColor="text1"/>
          <w:sz w:val="24"/>
          <w:szCs w:val="24"/>
          <w14:textFill>
            <w14:solidFill>
              <w14:schemeClr w14:val="tx1"/>
            </w14:solidFill>
          </w14:textFill>
        </w:rPr>
        <w:t xml:space="preserve">少数服从多数的原则作出结论。评委</w:t>
      </w:r>
      <w:r>
        <w:rPr>
          <w:rFonts w:hint="eastAsia" w:ascii="宋体" w:hAnsi="宋体" w:eastAsia="宋体" w:cs="宋体"/>
          <w:color w:val="000000" w:themeColor="text1"/>
          <w:sz w:val="24"/>
          <w:szCs w:val="24"/>
          <w:lang w:val="en-US"/>
          <w14:textFill>
            <w14:solidFill>
              <w14:schemeClr w14:val="tx1"/>
            </w14:solidFill>
          </w14:textFill>
        </w:rPr>
        <w:t xml:space="preserve">会认</w:t>
      </w:r>
      <w:r>
        <w:rPr>
          <w:rFonts w:hint="eastAsia" w:ascii="宋体" w:hAnsi="宋体" w:eastAsia="宋体" w:cs="宋体"/>
          <w:color w:val="000000" w:themeColor="text1"/>
          <w:sz w:val="24"/>
          <w:szCs w:val="24"/>
          <w14:textFill>
            <w14:solidFill>
              <w14:schemeClr w14:val="tx1"/>
            </w14:solidFill>
          </w14:textFill>
        </w:rPr>
        <w:t xml:space="preserve">定投标文件的响应性只根据投标文件本身的内容，而不寻求外部的证据。</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如果投标文件实质上没有响应招标文件的要求，评委会将予以拒绝，供应商不得通过修改或撤销不合要求的偏离或保留而使其投标成为实质性响应的投标。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4"/>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（4）总价金额与按单价汇总金额不一致的，以单价金额计算结果为准。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同时出现两种以上错误的，按照前款规定的顺序修正。</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.5、评委会将按上述修正错误的方法调整投标文件中的投标报价，并通过苏采云系统告知供应商，调整后的价格对供应商具有约束力。如果供应商不接受修正后的价格，则其投标将被拒绝。</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bookmarkStart w:id="52" w:name="_Toc16938550"/>
      <w:r/>
      <w:bookmarkStart w:id="53" w:name="_Toc513029234"/>
      <w:r/>
      <w:bookmarkStart w:id="54" w:name="_Toc20823306"/>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供应商在开、评标全过程中应保持通讯畅通，及时登录苏采云系统查阅、答复相关信息，并安排专人与代理机构及评委会联系。</w:t>
      </w:r>
      <w:r/>
    </w:p>
    <w:p>
      <w:pPr>
        <w:ind w:firstLine="442"/>
        <w:keepLines w:val="0"/>
        <w:keepNext w:val="0"/>
        <w:pageBreakBefore w:val="0"/>
        <w:spacing w:line="400" w:lineRule="exact"/>
        <w:widowControl w:val="off"/>
        <w:rPr>
          <w:rFonts w:hint="eastAsia" w:ascii="宋体" w:hAnsi="宋体" w:eastAsia="宋体" w:cs="宋体"/>
          <w:b/>
          <w:bCs/>
          <w:color w:val="000000" w:themeColor="text1"/>
          <w:sz w:val="24"/>
          <w:szCs w:val="24"/>
          <w:lang w:val="en-US"/>
          <w14:textFill>
            <w14:solidFill>
              <w14:schemeClr w14:val="tx1"/>
            </w14:solidFill>
          </w14:textFill>
        </w:rPr>
        <w:outlineLvl w:val="2"/>
      </w:pPr>
      <w:r>
        <w:rPr>
          <w:rFonts w:hint="eastAsia" w:ascii="宋体" w:hAnsi="宋体" w:eastAsia="宋体" w:cs="宋体"/>
          <w:b/>
          <w:bCs/>
          <w:color w:val="000000" w:themeColor="text1"/>
          <w:sz w:val="24"/>
          <w:szCs w:val="24"/>
          <w:lang w:val="en-US"/>
          <w14:textFill>
            <w14:solidFill>
              <w14:schemeClr w14:val="tx1"/>
            </w14:solidFill>
          </w14:textFill>
        </w:rPr>
        <w:t xml:space="preserve">2</w:t>
      </w:r>
      <w:bookmarkEnd w:id="52"/>
      <w:r/>
      <w:bookmarkEnd w:id="53"/>
      <w:r/>
      <w:bookmarkEnd w:id="54"/>
      <w:r>
        <w:rPr>
          <w:rFonts w:hint="eastAsia" w:ascii="宋体" w:hAnsi="宋体" w:eastAsia="宋体" w:cs="宋体"/>
          <w:b/>
          <w:bCs/>
          <w:color w:val="000000" w:themeColor="text1"/>
          <w:sz w:val="24"/>
          <w:szCs w:val="24"/>
          <w:lang w:val="en-US"/>
          <w14:textFill>
            <w14:solidFill>
              <w14:schemeClr w14:val="tx1"/>
            </w14:solidFill>
          </w14:textFill>
        </w:rPr>
        <w:t xml:space="preserve">5、无效投标和废标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无效投标</w:t>
      </w:r>
      <w:r>
        <w:rPr>
          <w:rFonts w:hint="eastAsia" w:ascii="宋体" w:hAnsi="宋体" w:eastAsia="宋体" w:cs="宋体"/>
          <w:color w:val="000000" w:themeColor="text1"/>
          <w:sz w:val="24"/>
          <w:szCs w:val="24"/>
          <w:lang w:val="en-US"/>
          <w14:textFill>
            <w14:solidFill>
              <w14:schemeClr w14:val="tx1"/>
            </w14:solidFill>
          </w14:textFill>
        </w:rPr>
        <w:t xml:space="preserve">情形</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供应商在苏采云系统规定的时间内未成功解密电子投标文件。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4"/>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供应商未按照招标文件要求上传电子投标文件。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.1.3</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同一供应商提交两个（含两个）以上不同的投标报价。</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.1.4</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供应商不具备招标文件中规定资格要求。</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.1.5</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供应商的报价超过了采购预算或最高限价。</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.1.6</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未通过符合性审查。</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.1.7</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不符合招标文件中实质性要求和条件（</w:t>
      </w:r>
      <w:r>
        <w:rPr>
          <w:rFonts w:hint="eastAsia" w:ascii="宋体" w:hAnsi="宋体" w:eastAsia="宋体" w:cs="宋体"/>
          <w:b/>
          <w:bCs/>
          <w:color w:val="000000" w:themeColor="text1"/>
          <w:sz w:val="24"/>
          <w:szCs w:val="24"/>
          <w14:textFill>
            <w14:solidFill>
              <w14:schemeClr w14:val="tx1"/>
            </w14:solidFill>
          </w14:textFill>
        </w:rPr>
        <w:t xml:space="preserve">本文件中斜体且有下划线部分，或者打“</w:t>
      </w:r>
      <w:r>
        <w:rPr>
          <w:rFonts w:hint="eastAsia" w:ascii="宋体" w:hAnsi="宋体" w:eastAsia="宋体" w:cs="宋体"/>
          <w:b/>
          <w:bCs/>
          <w:color w:val="000000" w:themeColor="text1"/>
          <w:sz w:val="24"/>
          <w:szCs w:val="24"/>
          <w:lang w:val="en-US"/>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”内容为实质性要求和条件</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.1.8</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4"/>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.1.9</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投标文件含有采购人不能接受的附加条件。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.1.10</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评委会认为供应商的报价明显低于其他通过符合性审查供应商的报价，有可能影响</w:t>
      </w:r>
      <w:r>
        <w:rPr>
          <w:rFonts w:hint="eastAsia" w:ascii="宋体" w:hAnsi="宋体" w:eastAsia="宋体" w:cs="宋体"/>
          <w:color w:val="000000" w:themeColor="text1"/>
          <w:sz w:val="24"/>
          <w:szCs w:val="24"/>
          <w:lang w:val="en-US"/>
          <w14:textFill>
            <w14:solidFill>
              <w14:schemeClr w14:val="tx1"/>
            </w14:solidFill>
          </w14:textFill>
        </w:rPr>
        <w:t xml:space="preserve">服务</w:t>
      </w:r>
      <w:r>
        <w:rPr>
          <w:rFonts w:hint="eastAsia" w:ascii="宋体" w:hAnsi="宋体" w:eastAsia="宋体" w:cs="宋体"/>
          <w:color w:val="000000" w:themeColor="text1"/>
          <w:sz w:val="24"/>
          <w:szCs w:val="24"/>
          <w14:textFill>
            <w14:solidFill>
              <w14:schemeClr w14:val="tx1"/>
            </w14:solidFill>
          </w14:textFill>
        </w:rPr>
        <w:t xml:space="preserve">质量或者不能诚信履约的，将通过苏采云系统要求其在合理的时间内提供说明，必要时提交相关证明材料。供应商不能证明其报价合理性的，评委会应当将其作为无效投标处理。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25.1.11、采购产品被财政部、国家发改委、生态环境部等列入“节能产品品目清单”强制采购范围，而供应商提供的产品不在强制采购范围内。</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.1.1</w:t>
      </w:r>
      <w:r>
        <w:rPr>
          <w:rFonts w:hint="eastAsia" w:ascii="宋体" w:hAnsi="宋体" w:eastAsia="宋体" w:cs="宋体"/>
          <w:color w:val="000000" w:themeColor="text1"/>
          <w:sz w:val="24"/>
          <w:szCs w:val="24"/>
          <w:lang w:val="en-U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投标文件未按照招标文件要求加盖电子公章。</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.1.1</w:t>
      </w:r>
      <w:r>
        <w:rPr>
          <w:rFonts w:hint="eastAsia" w:ascii="宋体" w:hAnsi="宋体" w:eastAsia="宋体" w:cs="宋体"/>
          <w:color w:val="000000" w:themeColor="text1"/>
          <w:sz w:val="24"/>
          <w:szCs w:val="24"/>
          <w:lang w:val="en-US"/>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法律法规及本招标文件规定的</w:t>
      </w:r>
      <w:r>
        <w:rPr>
          <w:rFonts w:hint="eastAsia" w:ascii="宋体" w:hAnsi="宋体" w:eastAsia="宋体" w:cs="宋体"/>
          <w:color w:val="000000" w:themeColor="text1"/>
          <w:sz w:val="24"/>
          <w:szCs w:val="24"/>
          <w:lang w:val="en-US"/>
          <w14:textFill>
            <w14:solidFill>
              <w14:schemeClr w14:val="tx1"/>
            </w14:solidFill>
          </w14:textFill>
        </w:rPr>
        <w:t xml:space="preserve">其他</w:t>
      </w:r>
      <w:r>
        <w:rPr>
          <w:rFonts w:hint="eastAsia" w:ascii="宋体" w:hAnsi="宋体" w:eastAsia="宋体" w:cs="宋体"/>
          <w:color w:val="000000" w:themeColor="text1"/>
          <w:sz w:val="24"/>
          <w:szCs w:val="24"/>
          <w14:textFill>
            <w14:solidFill>
              <w14:schemeClr w14:val="tx1"/>
            </w14:solidFill>
          </w14:textFill>
        </w:rPr>
        <w:t xml:space="preserve">无效投标情形。</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废标</w:t>
      </w:r>
      <w:r>
        <w:rPr>
          <w:rFonts w:hint="eastAsia" w:ascii="宋体" w:hAnsi="宋体" w:eastAsia="宋体" w:cs="宋体"/>
          <w:color w:val="000000" w:themeColor="text1"/>
          <w:sz w:val="24"/>
          <w:szCs w:val="24"/>
          <w:lang w:val="en-US"/>
          <w14:textFill>
            <w14:solidFill>
              <w14:schemeClr w14:val="tx1"/>
            </w14:solidFill>
          </w14:textFill>
        </w:rPr>
        <w:t xml:space="preserve">情形</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.2.1</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符合资格条件的供应商或者对招标文件作实质响应的供应商不足三家。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.2.2</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出现影响采购公正的违法、违规行为。</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.2.3</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因重大变故采购任务取消。</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.2.4</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评委会认定招标文件存在歧义、重大缺陷导致评审工作无法进行。</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4"/>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.2.5</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因苏采云系统故障造成开标不成功。</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.3、如出现投标截止时间后参加投标的供应商或者对招标文件作出实质</w:t>
      </w:r>
      <w:r>
        <w:rPr>
          <w:rFonts w:hint="eastAsia" w:ascii="宋体" w:hAnsi="宋体" w:eastAsia="宋体" w:cs="宋体"/>
          <w:color w:val="000000" w:themeColor="text1"/>
          <w:sz w:val="24"/>
          <w:szCs w:val="24"/>
          <w:lang w:val="en-US"/>
          <w14:textFill>
            <w14:solidFill>
              <w14:schemeClr w14:val="tx1"/>
            </w14:solidFill>
          </w14:textFill>
        </w:rPr>
        <w:t xml:space="preserve">性</w:t>
      </w:r>
      <w:r>
        <w:rPr>
          <w:rFonts w:hint="eastAsia" w:ascii="宋体" w:hAnsi="宋体" w:eastAsia="宋体" w:cs="宋体"/>
          <w:color w:val="000000" w:themeColor="text1"/>
          <w:sz w:val="24"/>
          <w:szCs w:val="24"/>
          <w14:textFill>
            <w14:solidFill>
              <w14:schemeClr w14:val="tx1"/>
            </w14:solidFill>
          </w14:textFill>
        </w:rPr>
        <w:t xml:space="preserve">响应的供应商不足三家</w:t>
      </w:r>
      <w:r>
        <w:rPr>
          <w:rFonts w:hint="eastAsia" w:ascii="宋体" w:hAnsi="宋体" w:eastAsia="宋体" w:cs="宋体"/>
          <w:color w:val="000000" w:themeColor="text1"/>
          <w:sz w:val="24"/>
          <w:szCs w:val="24"/>
          <w:lang w:val="en-US"/>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情况，按政府采购相关规定执行。</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26、评标方法和标准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26.3.1、采用综合评分法。综合评分法是指投标文件满足招标文件全部实质性要求，且各分包按照招标文件中规定评审因素量化指标评审得分最高的供应商为中标候选人的评标方法。具体评分标准详见第三章。</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26.3.2、同一个包中核心产品，提供相同品牌产品且通过资格审查、符合性审查的不同供应商参加同一合同项下投标的，按一家供应商计算，评审后得分最高的同品牌供应商获得中标人推荐资格；得分相同的，投标报价最低的获得中标人推荐资格；得分且投标报价相同的，技术指标最优的获得中标人推荐资格；其他同品牌供应商不作为中标候选人。</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27、确定中标供应商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27.1、各分包在综合比较与评价后按照得分高低顺序对供应商进行排列。得分相同的，按投标报价由低到高顺序排列。得分且投标报价相同的，按第三章“评标办法”说明中确定的评分因素优劣顺序排列。评标委员会根据排名确定3名中标候选人。</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27.2、按以下第(1)种方式确定中标供应商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（1）评标委员会直接确定各分包排名第一的中标候选人为中标供应商；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（2）采购人在评标委员会推荐的中标候选人中按顺序确定中标供应商。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27.3、中标人确定后，在省级以上财政部门指定的媒体上公告中标结果，中标公告期为1个工作日。</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27.4、中标结果确定后，代理机构将向中标人发出《中标通知书》。中标人</w:t>
      </w:r>
      <w:r>
        <w:rPr>
          <w:rFonts w:hint="eastAsia" w:ascii="宋体" w:hAnsi="宋体" w:eastAsia="宋体" w:cs="宋体"/>
          <w:color w:val="000000" w:themeColor="text1"/>
          <w:sz w:val="24"/>
          <w:szCs w:val="24"/>
          <w:lang w:val="en-US"/>
          <w14:textFill>
            <w14:solidFill>
              <w14:schemeClr w14:val="tx1"/>
            </w14:solidFill>
          </w14:textFill>
        </w:rPr>
        <w:t xml:space="preserve">可</w:t>
      </w:r>
      <w:r>
        <w:rPr>
          <w:rFonts w:hint="eastAsia" w:ascii="宋体" w:hAnsi="宋体" w:eastAsia="宋体" w:cs="宋体"/>
          <w:color w:val="000000" w:themeColor="text1"/>
          <w:sz w:val="24"/>
          <w:szCs w:val="24"/>
          <w14:textFill>
            <w14:solidFill>
              <w14:schemeClr w14:val="tx1"/>
            </w14:solidFill>
          </w14:textFill>
        </w:rPr>
        <w:t xml:space="preserve">在中标结果公告届满之日起三十日内，登录苏采云系统下载。</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中标通知书</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1"/>
      </w:pPr>
      <w:r/>
      <w:bookmarkStart w:id="55" w:name="_Toc1226"/>
      <w:r>
        <w:rPr>
          <w:rFonts w:hint="eastAsia" w:ascii="宋体" w:hAnsi="宋体" w:eastAsia="宋体" w:cs="宋体"/>
          <w:b/>
          <w:color w:val="000000" w:themeColor="text1"/>
          <w:sz w:val="24"/>
          <w:szCs w:val="24"/>
          <w14:textFill>
            <w14:solidFill>
              <w14:schemeClr w14:val="tx1"/>
            </w14:solidFill>
          </w14:textFill>
        </w:rPr>
        <w:t xml:space="preserve">六、签订合同</w:t>
      </w:r>
      <w:bookmarkEnd w:id="55"/>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b/>
          <w:color w:val="000000" w:themeColor="text1"/>
          <w:sz w:val="24"/>
          <w:szCs w:val="24"/>
          <w14:textFill>
            <w14:solidFill>
              <w14:schemeClr w14:val="tx1"/>
            </w14:solidFill>
          </w14:textFill>
        </w:rPr>
        <w:t xml:space="preserve">28、签订合同</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28</w:t>
      </w:r>
      <w:r>
        <w:rPr>
          <w:rFonts w:hint="eastAsia" w:ascii="宋体" w:hAnsi="宋体" w:eastAsia="宋体" w:cs="宋体"/>
          <w:color w:val="000000" w:themeColor="text1"/>
          <w:sz w:val="24"/>
          <w:szCs w:val="24"/>
          <w14:textFill>
            <w14:solidFill>
              <w14:schemeClr w14:val="tx1"/>
            </w14:solidFill>
          </w14:textFill>
        </w:rPr>
        <w:t xml:space="preserve">.l</w:t>
      </w:r>
      <w:r>
        <w:rPr>
          <w:rFonts w:hint="eastAsia" w:ascii="宋体" w:hAnsi="宋体" w:eastAsia="宋体" w:cs="宋体"/>
          <w:color w:val="000000" w:themeColor="text1"/>
          <w:sz w:val="24"/>
          <w:szCs w:val="24"/>
          <w:lang w:val="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中标人应当在《中标通知书》发出之日起三十日内，按照招标文件确定的事项与采购人签订政府采购合同。采购人于合同签订后2个工作日内通过苏采云系统进行公示。</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28</w:t>
      </w:r>
      <w:r>
        <w:rPr>
          <w:rFonts w:hint="eastAsia" w:ascii="宋体" w:hAnsi="宋体" w:eastAsia="宋体" w:cs="宋体"/>
          <w:color w:val="000000" w:themeColor="text1"/>
          <w:sz w:val="24"/>
          <w:szCs w:val="24"/>
          <w14:textFill>
            <w14:solidFill>
              <w14:schemeClr w14:val="tx1"/>
            </w14:solidFill>
          </w14:textFill>
        </w:rPr>
        <w:t xml:space="preserve">.2、招标文件、中标人的投标文件及招标过程中有关澄清、承诺文件均作为合同附件。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28</w:t>
      </w:r>
      <w:r>
        <w:rPr>
          <w:rFonts w:hint="eastAsia" w:ascii="宋体" w:hAnsi="宋体" w:eastAsia="宋体" w:cs="宋体"/>
          <w:color w:val="000000" w:themeColor="text1"/>
          <w:sz w:val="24"/>
          <w:szCs w:val="24"/>
          <w14:textFill>
            <w14:solidFill>
              <w14:schemeClr w14:val="tx1"/>
            </w14:solidFill>
          </w14:textFill>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28</w:t>
      </w:r>
      <w:r>
        <w:rPr>
          <w:rFonts w:hint="eastAsia" w:ascii="宋体" w:hAnsi="宋体" w:eastAsia="宋体" w:cs="宋体"/>
          <w:color w:val="000000" w:themeColor="text1"/>
          <w:sz w:val="24"/>
          <w:szCs w:val="24"/>
          <w14:textFill>
            <w14:solidFill>
              <w14:schemeClr w14:val="tx1"/>
            </w14:solidFill>
          </w14:textFill>
        </w:rPr>
        <w:t xml:space="preserve">.4、中标人因自身原因拒绝与采购人签订合同的，不得参加采购人</w:t>
      </w:r>
      <w:r>
        <w:rPr>
          <w:rFonts w:hint="eastAsia" w:ascii="宋体" w:hAnsi="宋体" w:eastAsia="宋体" w:cs="宋体"/>
          <w:color w:val="000000" w:themeColor="text1"/>
          <w:sz w:val="24"/>
          <w:szCs w:val="24"/>
          <w:lang w:val="en-US"/>
          <w14:textFill>
            <w14:solidFill>
              <w14:schemeClr w14:val="tx1"/>
            </w14:solidFill>
          </w14:textFill>
        </w:rPr>
        <w:t xml:space="preserve">重新组织的</w:t>
      </w:r>
      <w:r>
        <w:rPr>
          <w:rFonts w:hint="eastAsia" w:ascii="宋体" w:hAnsi="宋体" w:eastAsia="宋体" w:cs="宋体"/>
          <w:color w:val="000000" w:themeColor="text1"/>
          <w:sz w:val="24"/>
          <w:szCs w:val="24"/>
          <w14:textFill>
            <w14:solidFill>
              <w14:schemeClr w14:val="tx1"/>
            </w14:solidFill>
          </w14:textFill>
        </w:rPr>
        <w:t xml:space="preserve">采购活动</w:t>
      </w:r>
      <w:r>
        <w:rPr>
          <w:rFonts w:hint="eastAsia" w:ascii="宋体" w:hAnsi="宋体" w:eastAsia="宋体" w:cs="宋体"/>
          <w:color w:val="000000" w:themeColor="text1"/>
          <w:sz w:val="24"/>
          <w:szCs w:val="24"/>
          <w:lang w:val="en-US"/>
          <w14:textFill>
            <w14:solidFill>
              <w14:schemeClr w14:val="tx1"/>
            </w14:solidFill>
          </w14:textFill>
        </w:rPr>
        <w:t xml:space="preserve">，且将可能被拒绝参加该采购人</w:t>
      </w:r>
      <w:r>
        <w:rPr>
          <w:rFonts w:hint="eastAsia" w:ascii="宋体" w:hAnsi="宋体" w:eastAsia="宋体" w:cs="宋体"/>
          <w:color w:val="000000" w:themeColor="text1"/>
          <w:sz w:val="24"/>
          <w:szCs w:val="24"/>
          <w14:textFill>
            <w14:solidFill>
              <w14:schemeClr w14:val="tx1"/>
            </w14:solidFill>
          </w14:textFill>
        </w:rPr>
        <w:t xml:space="preserve">一年内</w:t>
      </w:r>
      <w:r>
        <w:rPr>
          <w:rFonts w:hint="eastAsia" w:ascii="宋体" w:hAnsi="宋体" w:eastAsia="宋体" w:cs="宋体"/>
          <w:color w:val="000000" w:themeColor="text1"/>
          <w:sz w:val="24"/>
          <w:szCs w:val="24"/>
          <w:lang w:val="en-US"/>
          <w14:textFill>
            <w14:solidFill>
              <w14:schemeClr w14:val="tx1"/>
            </w14:solidFill>
          </w14:textFill>
        </w:rPr>
        <w:t xml:space="preserve">的其他</w:t>
      </w:r>
      <w:r>
        <w:rPr>
          <w:rFonts w:hint="eastAsia" w:ascii="宋体" w:hAnsi="宋体" w:eastAsia="宋体" w:cs="宋体"/>
          <w:color w:val="000000" w:themeColor="text1"/>
          <w:sz w:val="24"/>
          <w:szCs w:val="24"/>
          <w14:textFill>
            <w14:solidFill>
              <w14:schemeClr w14:val="tx1"/>
            </w14:solidFill>
          </w14:textFill>
        </w:rPr>
        <w:t xml:space="preserve">政府采购活动。</w:t>
      </w:r>
      <w:r/>
    </w:p>
    <w:p>
      <w:pPr>
        <w:ind w:firstLine="442"/>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outlineLvl w:val="1"/>
      </w:pPr>
      <w:r/>
      <w:bookmarkStart w:id="56" w:name="_Toc4633"/>
      <w:r>
        <w:rPr>
          <w:rFonts w:hint="eastAsia" w:ascii="宋体" w:hAnsi="宋体" w:eastAsia="宋体" w:cs="宋体"/>
          <w:b/>
          <w:color w:val="000000" w:themeColor="text1"/>
          <w:sz w:val="24"/>
          <w:szCs w:val="24"/>
          <w14:textFill>
            <w14:solidFill>
              <w14:schemeClr w14:val="tx1"/>
            </w14:solidFill>
          </w14:textFill>
        </w:rPr>
        <w:t xml:space="preserve">七、质疑</w:t>
      </w:r>
      <w:bookmarkEnd w:id="56"/>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29、提出质疑的供应商应当是参与所质疑项目采购活动的供应商，潜在供应商依法获取其可质疑的采购文件的，可以对采购文件提出质疑。</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30、供应商认为采购文件、采购过程和采购结果使自己的权益受到损害的，可以在知道或应知其权益受到损害之日起七个工作日内，以书面形式向采购人或代理机构提出质疑。上述应知其权益受到损害之日是指：</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30.1、对采购文件提出质疑的，为收到采购文件之日或者采购文件公告期限届满之日。</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color w:val="000000" w:themeColor="text1"/>
          <w:sz w:val="24"/>
          <w:szCs w:val="24"/>
          <w14:textFill>
            <w14:solidFill>
              <w14:schemeClr w14:val="tx1"/>
            </w14:solidFill>
          </w14:textFill>
        </w:rPr>
        <w:t xml:space="preserve">30.2、对采购过程提出质疑的，为各采购程序环节结束之日。</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30.3、对中标或者成交结果提出质疑的，为中标或者成交结果公告期限届满之日。</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31、供应商应当在法定质疑期内一次性提出针对同一采购程序环节的质疑。供应商如在法定期限内对同一采购程序环节提出多次质疑的，代理机构或采购人将只对供应商第一次质疑作出答复。</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32、供应商提出质疑应提交《质疑函》原件。</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供应商如组成联合体参加采购活动，《质疑函范本》中要求加盖公章之处，联合体各方均须按要求加盖公章。</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33、供应商（含潜在供应商）对采购方式、采购需求、供应商资格条件及审查结果、评标方法和评标标准、合同文本的询问、质疑向代理机构提出，由代理机构负责答复。</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3"/>
      </w:pPr>
      <w:r>
        <w:rPr>
          <w:rFonts w:hint="eastAsia" w:ascii="宋体" w:hAnsi="宋体" w:eastAsia="宋体" w:cs="宋体"/>
          <w:color w:val="000000" w:themeColor="text1"/>
          <w:sz w:val="24"/>
          <w:szCs w:val="24"/>
          <w14:textFill>
            <w14:solidFill>
              <w14:schemeClr w14:val="tx1"/>
            </w14:solidFill>
          </w14:textFill>
        </w:rPr>
        <w:t xml:space="preserve">34、以下情形的质疑不予受理：</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34.1、内容不符合《政府采购质疑和投诉办法》第十二条规定的质疑。</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34.2、超出政府采购法定期限的质疑。</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36.3、以传真、电子邮件等方式递交的非原件形式的质疑。</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34.4、未参加采购活动或在采购活动中自身权益未受到损害的供应商所提出的质疑。</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34.5、供应商组成联合体参加采购活动，联合体中任何一方或多方未按要求签字或签章、加盖公章的质疑。</w:t>
      </w:r>
      <w:r/>
    </w:p>
    <w:p>
      <w:pPr>
        <w:ind w:firstLine="44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2"/>
      </w:pPr>
      <w:r>
        <w:rPr>
          <w:rFonts w:hint="eastAsia" w:ascii="宋体" w:hAnsi="宋体" w:eastAsia="宋体" w:cs="宋体"/>
          <w:color w:val="000000" w:themeColor="text1"/>
          <w:sz w:val="24"/>
          <w:szCs w:val="24"/>
          <w14:textFill>
            <w14:solidFill>
              <w14:schemeClr w14:val="tx1"/>
            </w14:solidFill>
          </w14:textFill>
        </w:rPr>
        <w:t xml:space="preserve">34.6、法律法规规定的其他不予受理情形。</w:t>
      </w:r>
      <w:r/>
    </w:p>
    <w:p>
      <w:pPr>
        <w:ind w:firstLine="440"/>
        <w:keepLines w:val="0"/>
        <w:keepNext w:val="0"/>
        <w:pageBreakBefore w:val="0"/>
        <w:spacing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jc w:val="center"/>
        <w:rPr>
          <w:rFonts w:hint="eastAsia"/>
          <w:b/>
          <w:color w:val="000000" w:themeColor="text1"/>
          <w:sz w:val="44"/>
          <w:szCs w:val="44"/>
          <w:highlight w:val="none"/>
          <w14:textFill>
            <w14:solidFill>
              <w14:schemeClr w14:val="tx1"/>
            </w14:solidFill>
          </w14:textFill>
        </w:rPr>
        <w:outlineLvl w:val="0"/>
      </w:pPr>
      <w:r>
        <w:rPr>
          <w:rFonts w:hint="eastAsia"/>
          <w:b/>
          <w:color w:val="000000" w:themeColor="text1"/>
          <w:sz w:val="44"/>
          <w:szCs w:val="44"/>
          <w:highlight w:val="none"/>
          <w14:textFill>
            <w14:solidFill>
              <w14:schemeClr w14:val="tx1"/>
            </w14:solidFill>
          </w14:textFill>
        </w:rPr>
        <w:br w:type="page" w:clear="all"/>
      </w:r>
      <w:bookmarkStart w:id="57" w:name="_Toc17626"/>
      <w:r>
        <w:rPr>
          <w:rFonts w:hint="eastAsia"/>
          <w:b/>
          <w:color w:val="000000" w:themeColor="text1"/>
          <w:sz w:val="44"/>
          <w:szCs w:val="44"/>
          <w:highlight w:val="none"/>
          <w14:textFill>
            <w14:solidFill>
              <w14:schemeClr w14:val="tx1"/>
            </w14:solidFill>
          </w14:textFill>
        </w:rPr>
        <w:t xml:space="preserve">第三部分  评标方法和标准</w:t>
      </w:r>
      <w:bookmarkEnd w:id="57"/>
      <w:r/>
      <w:r/>
    </w:p>
    <w:p>
      <w:pPr>
        <w:pStyle w:val="846"/>
        <w:rPr>
          <w:color w:val="000000" w:themeColor="text1"/>
          <w:highlight w:val="none"/>
          <w14:textFill>
            <w14:solidFill>
              <w14:schemeClr w14:val="tx1"/>
            </w14:solidFill>
          </w14:textFill>
        </w:rPr>
      </w:pPr>
      <w:r/>
      <w:bookmarkStart w:id="58" w:name="_Toc4281"/>
      <w:r/>
      <w:bookmarkStart w:id="59" w:name="_Toc171510803"/>
      <w:r/>
      <w:bookmarkStart w:id="60" w:name="_Toc4647"/>
      <w:r/>
      <w:bookmarkStart w:id="61" w:name="_Toc24217_WPSOffice_Level2"/>
      <w:r>
        <w:rPr>
          <w:rFonts w:hint="eastAsia"/>
          <w:color w:val="000000" w:themeColor="text1"/>
          <w:highlight w:val="none"/>
          <w14:textFill>
            <w14:solidFill>
              <w14:schemeClr w14:val="tx1"/>
            </w14:solidFill>
          </w14:textFill>
        </w:rPr>
        <w:t xml:space="preserve">一、资格审查</w:t>
      </w:r>
      <w:bookmarkEnd w:id="58"/>
      <w:r/>
      <w:bookmarkEnd w:id="59"/>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采购人按照下列指标对各</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的资格进行审查，未通过审查的为无效标，不参与评标。</w:t>
      </w:r>
      <w:r/>
    </w:p>
    <w:tbl>
      <w:tblPr>
        <w:tblStyle w:val="855"/>
        <w:tblW w:w="9706" w:type="dxa"/>
        <w:tblInd w:w="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277"/>
        <w:gridCol w:w="4665"/>
        <w:gridCol w:w="1764"/>
      </w:tblGrid>
      <w:tr>
        <w:trPr>
          <w:trHeight w:val="381"/>
        </w:trPr>
        <w:tc>
          <w:tcPr>
            <w:gridSpan w:val="2"/>
            <w:tcBorders>
              <w:top w:val="single" w:color="auto" w:sz="6" w:space="0"/>
              <w:left w:val="single" w:color="auto" w:sz="6" w:space="0"/>
              <w:bottom w:val="single" w:color="auto" w:sz="6" w:space="0"/>
              <w:right w:val="single" w:color="auto" w:sz="6" w:space="0"/>
            </w:tcBorders>
            <w:tcW w:w="794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资格审查因素</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审查标准</w:t>
            </w:r>
            <w:r/>
          </w:p>
        </w:tc>
      </w:tr>
      <w:tr>
        <w:trPr>
          <w:trHeight w:val="1522"/>
        </w:trPr>
        <w:tc>
          <w:tcPr>
            <w:tcBorders>
              <w:top w:val="single" w:color="auto" w:sz="6" w:space="0"/>
              <w:left w:val="single" w:color="auto" w:sz="6" w:space="0"/>
              <w:bottom w:val="single" w:color="auto" w:sz="6" w:space="0"/>
              <w:right w:val="single" w:color="auto" w:sz="6" w:space="0"/>
            </w:tcBorders>
            <w:tcW w:w="3277"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具有独立承担民事责任的能力（提供法人或者其他组织的营业执照；供应商为自然人的，提供其身份证）</w:t>
            </w:r>
            <w:r/>
          </w:p>
        </w:tc>
        <w:tc>
          <w:tcPr>
            <w:tcBorders>
              <w:top w:val="single" w:color="auto" w:sz="6" w:space="0"/>
              <w:left w:val="single" w:color="auto" w:sz="6" w:space="0"/>
              <w:right w:val="single" w:color="auto" w:sz="6" w:space="0"/>
            </w:tcBorders>
            <w:tcW w:w="4665" w:type="dxa"/>
            <w:vAlign w:val="center"/>
            <w:vMerge w:val="restart"/>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cs="宋体"/>
                <w:color w:val="000000" w:themeColor="text1"/>
                <w:sz w:val="21"/>
                <w:szCs w:val="21"/>
                <w:highlight w:val="none"/>
                <w14:textFill>
                  <w14:solidFill>
                    <w14:schemeClr w14:val="tx1"/>
                  </w14:solidFill>
                </w14:textFill>
              </w:rPr>
              <w:fldChar w:fldCharType="begin"/>
            </w:r>
            <w:r>
              <w:rPr>
                <w:rFonts w:hint="eastAsia" w:ascii="宋体" w:hAnsi="宋体" w:cs="宋体"/>
                <w:color w:val="000000" w:themeColor="text1"/>
                <w:sz w:val="21"/>
                <w:szCs w:val="21"/>
                <w:highlight w:val="none"/>
                <w14:textFill>
                  <w14:solidFill>
                    <w14:schemeClr w14:val="tx1"/>
                  </w14:solidFill>
                </w14:textFill>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rFonts w:hint="eastAsia" w:ascii="宋体" w:hAnsi="宋体" w:cs="宋体"/>
                <w:color w:val="000000" w:themeColor="text1"/>
                <w:sz w:val="21"/>
                <w:szCs w:val="21"/>
                <w:highlight w:val="none"/>
                <w14:textFill>
                  <w14:solidFill>
                    <w14:schemeClr w14:val="tx1"/>
                  </w14:solidFill>
                </w14:textFill>
              </w:rPr>
              <w:fldChar w:fldCharType="separate"/>
            </w:r>
            <w:r>
              <w:rPr>
                <w:rFonts w:hint="eastAsia" w:ascii="宋体" w:hAnsi="宋体" w:cs="宋体"/>
                <w:color w:val="000000" w:themeColor="text1"/>
                <w:sz w:val="21"/>
                <w:szCs w:val="21"/>
                <w:highlight w:val="none"/>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color w:val="000000" w:themeColor="text1"/>
                <w:sz w:val="21"/>
                <w:szCs w:val="21"/>
                <w:highlight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 xml:space="preserve"> 要求完成注册），然后在“信用记录”模块页面点击“信用记录打印”下载本单位《南京市政府采购供应商信用记录表暨信用承诺书》，由法人签字并盖单位公章，装订在响应文件中。</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 </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（1）符合国家相关规定的财务状况报告； </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（2）依法缴纳税收的证明材料； </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（3）依法缴纳社会保障资金的证明材料； </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（4）具备履行政府采购合同所必需的设备和专业技术能力的证明材料； </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（5）参加政府采购活动前三年内在经营活动中没有重大违法记录的证明材料； </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（6）未被列入失信被执行人、重大税收违法失信主体、政府采购严重违法失信行为记录名单的证明材料。 </w:t>
            </w:r>
            <w:r/>
          </w:p>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tc>
        <w:tc>
          <w:tcPr>
            <w:tcBorders>
              <w:top w:val="single" w:color="auto" w:sz="6" w:space="0"/>
              <w:left w:val="single" w:color="auto" w:sz="6" w:space="0"/>
              <w:bottom w:val="single" w:color="auto" w:sz="6" w:space="0"/>
              <w:right w:val="single" w:color="auto" w:sz="6" w:space="0"/>
            </w:tcBorders>
            <w:tcW w:w="1764" w:type="dxa"/>
            <w:vAlign w:val="center"/>
            <w:vMerge w:val="restart"/>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符合招标文件第11条“投标文件构成”的要求</w:t>
            </w:r>
            <w:r/>
          </w:p>
        </w:tc>
      </w:tr>
      <w:tr>
        <w:trPr>
          <w:trHeight w:val="1982"/>
        </w:trPr>
        <w:tc>
          <w:tcPr>
            <w:tcBorders>
              <w:top w:val="single" w:color="auto" w:sz="6" w:space="0"/>
              <w:left w:val="single" w:color="auto" w:sz="6" w:space="0"/>
              <w:bottom w:val="single" w:color="auto" w:sz="6" w:space="0"/>
              <w:right w:val="single" w:color="auto" w:sz="6" w:space="0"/>
            </w:tcBorders>
            <w:tcW w:w="3277"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具有良好的商业信誉和健全的财务会计制度（提供 2023年度</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或2024年度</w:t>
            </w:r>
            <w:r>
              <w:rPr>
                <w:rFonts w:hint="eastAsia" w:ascii="宋体" w:hAnsi="宋体" w:cs="宋体"/>
                <w:color w:val="000000" w:themeColor="text1"/>
                <w:sz w:val="21"/>
                <w:szCs w:val="21"/>
                <w:highlight w:val="none"/>
                <w14:textFill>
                  <w14:solidFill>
                    <w14:schemeClr w14:val="tx1"/>
                  </w14:solidFill>
                </w14:textFill>
              </w:rPr>
              <w:t xml:space="preserve">财务报告，至少包含资产负债表、利润表，或投标截止时间前六个月内银行出具的资信证明；成立不满一年的无须提供）</w:t>
            </w:r>
            <w:r/>
          </w:p>
        </w:tc>
        <w:tc>
          <w:tcPr>
            <w:tcBorders>
              <w:left w:val="single" w:color="auto" w:sz="6" w:space="0"/>
              <w:right w:val="single" w:color="auto" w:sz="6" w:space="0"/>
            </w:tcBorders>
            <w:tcW w:w="4665"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4"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804"/>
        </w:trPr>
        <w:tc>
          <w:tcPr>
            <w:tcBorders>
              <w:top w:val="single" w:color="auto" w:sz="6" w:space="0"/>
              <w:left w:val="single" w:color="auto" w:sz="6" w:space="0"/>
              <w:bottom w:val="single" w:color="auto" w:sz="6" w:space="0"/>
              <w:right w:val="single" w:color="auto" w:sz="6" w:space="0"/>
            </w:tcBorders>
            <w:tcW w:w="3277"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具有履行合同所必需的设备和专业技术能力（供应商根据履行采购项目合同需要，提供履行合同所必需的设备和专业技术能力的声明函或证明材料）</w:t>
            </w:r>
            <w:r/>
          </w:p>
        </w:tc>
        <w:tc>
          <w:tcPr>
            <w:tcBorders>
              <w:left w:val="single" w:color="auto" w:sz="6" w:space="0"/>
              <w:right w:val="single" w:color="auto" w:sz="6" w:space="0"/>
            </w:tcBorders>
            <w:tcW w:w="4665"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4"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2178"/>
        </w:trPr>
        <w:tc>
          <w:tcPr>
            <w:tcBorders>
              <w:top w:val="single" w:color="auto" w:sz="6" w:space="0"/>
              <w:left w:val="single" w:color="auto" w:sz="6" w:space="0"/>
              <w:bottom w:val="single" w:color="auto" w:sz="6" w:space="0"/>
              <w:right w:val="single" w:color="auto" w:sz="6" w:space="0"/>
            </w:tcBorders>
            <w:tcW w:w="3277"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有依法缴纳税收和社会保障资金的良好记录（提供202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月至今）中任一月份的依法缴纳税收和社会保险费的相关材料（提供相关主管部门证明或银行代扣证明的复印件，根据国家相关政策免缴或迟缴的需提供相关证明材料）</w:t>
            </w:r>
            <w:r/>
          </w:p>
        </w:tc>
        <w:tc>
          <w:tcPr>
            <w:tcBorders>
              <w:left w:val="single" w:color="auto" w:sz="6" w:space="0"/>
              <w:right w:val="single" w:color="auto" w:sz="6" w:space="0"/>
            </w:tcBorders>
            <w:tcW w:w="4665"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4"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338"/>
        </w:trPr>
        <w:tc>
          <w:tcPr>
            <w:tcBorders>
              <w:top w:val="single" w:color="auto" w:sz="6" w:space="0"/>
              <w:left w:val="single" w:color="auto" w:sz="6" w:space="0"/>
              <w:bottom w:val="single" w:color="auto" w:sz="6" w:space="0"/>
              <w:right w:val="single" w:color="auto" w:sz="6" w:space="0"/>
            </w:tcBorders>
            <w:tcW w:w="3277"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参加政府采购活动前三年内，在经营活动中没有重大违法记录（提供承诺书）；</w:t>
            </w:r>
            <w:r/>
          </w:p>
        </w:tc>
        <w:tc>
          <w:tcPr>
            <w:tcBorders>
              <w:left w:val="single" w:color="auto" w:sz="6" w:space="0"/>
              <w:right w:val="single" w:color="auto" w:sz="6" w:space="0"/>
            </w:tcBorders>
            <w:tcW w:w="4665"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4"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456"/>
        </w:trPr>
        <w:tc>
          <w:tcPr>
            <w:tcBorders>
              <w:top w:val="single" w:color="auto" w:sz="6" w:space="0"/>
              <w:left w:val="single" w:color="auto" w:sz="6" w:space="0"/>
              <w:bottom w:val="single" w:color="auto" w:sz="6" w:space="0"/>
              <w:right w:val="single" w:color="auto" w:sz="6" w:space="0"/>
            </w:tcBorders>
            <w:tcW w:w="3277"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法律、行政法规规定的其他条件</w:t>
            </w:r>
            <w:r/>
          </w:p>
        </w:tc>
        <w:tc>
          <w:tcPr>
            <w:tcBorders>
              <w:left w:val="single" w:color="auto" w:sz="6" w:space="0"/>
              <w:right w:val="single" w:color="auto" w:sz="6" w:space="0"/>
            </w:tcBorders>
            <w:tcW w:w="4665"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4"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678"/>
        </w:trPr>
        <w:tc>
          <w:tcPr>
            <w:tcBorders>
              <w:top w:val="single" w:color="auto" w:sz="6" w:space="0"/>
              <w:left w:val="single" w:color="auto" w:sz="6" w:space="0"/>
              <w:bottom w:val="single" w:color="auto" w:sz="6" w:space="0"/>
              <w:right w:val="single" w:color="auto" w:sz="6" w:space="0"/>
            </w:tcBorders>
            <w:tcW w:w="3277"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《南京市政府采购供应商信用记录表暨信用承诺书》</w:t>
            </w:r>
            <w:r/>
          </w:p>
        </w:tc>
        <w:tc>
          <w:tcPr>
            <w:tcBorders>
              <w:left w:val="single" w:color="auto" w:sz="6" w:space="0"/>
              <w:bottom w:val="single" w:color="auto" w:sz="6" w:space="0"/>
              <w:right w:val="single" w:color="auto" w:sz="6" w:space="0"/>
            </w:tcBorders>
            <w:tcW w:w="4665"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4" w:type="dxa"/>
            <w:vAlign w:val="center"/>
            <w:vMerge w:val="continue"/>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308"/>
        </w:trPr>
        <w:tc>
          <w:tcPr>
            <w:gridSpan w:val="2"/>
            <w:tcBorders>
              <w:top w:val="single" w:color="auto" w:sz="6" w:space="0"/>
              <w:left w:val="single" w:color="auto" w:sz="6" w:space="0"/>
              <w:bottom w:val="single" w:color="auto" w:sz="6" w:space="0"/>
              <w:right w:val="single" w:color="auto" w:sz="6" w:space="0"/>
            </w:tcBorders>
            <w:tcW w:w="7942"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信用信息</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符合招标文件规定</w:t>
            </w:r>
            <w:r/>
          </w:p>
        </w:tc>
      </w:tr>
      <w:tr>
        <w:trPr>
          <w:trHeight w:val="308"/>
        </w:trPr>
        <w:tc>
          <w:tcPr>
            <w:gridSpan w:val="2"/>
            <w:tcBorders>
              <w:top w:val="single" w:color="auto" w:sz="6" w:space="0"/>
              <w:left w:val="single" w:color="auto" w:sz="6" w:space="0"/>
              <w:bottom w:val="single" w:color="auto" w:sz="6" w:space="0"/>
              <w:right w:val="single" w:color="auto" w:sz="6" w:space="0"/>
            </w:tcBorders>
            <w:tcW w:w="7942"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的关联性要求</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符合招标文件规定</w:t>
            </w:r>
            <w:r/>
          </w:p>
        </w:tc>
      </w:tr>
      <w:tr>
        <w:trPr>
          <w:trHeight w:val="90"/>
        </w:trPr>
        <w:tc>
          <w:tcPr>
            <w:gridSpan w:val="2"/>
            <w:tcBorders>
              <w:top w:val="single" w:color="auto" w:sz="6" w:space="0"/>
              <w:left w:val="single" w:color="auto" w:sz="6" w:space="0"/>
              <w:bottom w:val="single" w:color="auto" w:sz="6" w:space="0"/>
              <w:right w:val="single" w:color="auto" w:sz="6" w:space="0"/>
            </w:tcBorders>
            <w:tcW w:w="7942"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符合联合体规定</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符合招标文件规定</w:t>
            </w:r>
            <w:r/>
          </w:p>
        </w:tc>
      </w:tr>
      <w:tr>
        <w:trPr>
          <w:trHeight w:val="322"/>
        </w:trPr>
        <w:tc>
          <w:tcPr>
            <w:gridSpan w:val="2"/>
            <w:tcBorders>
              <w:top w:val="single" w:color="auto" w:sz="6" w:space="0"/>
              <w:left w:val="single" w:color="auto" w:sz="6" w:space="0"/>
              <w:bottom w:val="single" w:color="auto" w:sz="6" w:space="0"/>
              <w:right w:val="single" w:color="auto" w:sz="6" w:space="0"/>
            </w:tcBorders>
            <w:tcW w:w="7942"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特定资格要求（如有）</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符合招标文件规定</w:t>
            </w:r>
            <w:r/>
          </w:p>
        </w:tc>
      </w:tr>
    </w:tbl>
    <w:p>
      <w:pPr>
        <w:pStyle w:val="846"/>
        <w:numPr>
          <w:ilvl w:val="0"/>
          <w:numId w:val="5"/>
        </w:numPr>
        <w:spacing w:before="0" w:after="0" w:line="240" w:lineRule="auto"/>
        <w:rPr>
          <w:rFonts w:hint="eastAsia"/>
          <w:color w:val="000000" w:themeColor="text1"/>
          <w:highlight w:val="none"/>
          <w14:textFill>
            <w14:solidFill>
              <w14:schemeClr w14:val="tx1"/>
            </w14:solidFill>
          </w14:textFill>
        </w:rPr>
      </w:pPr>
      <w:r/>
      <w:bookmarkStart w:id="62" w:name="_Toc25638"/>
      <w:r/>
      <w:bookmarkStart w:id="63" w:name="_Toc171510804"/>
      <w:r>
        <w:rPr>
          <w:rFonts w:hint="eastAsia"/>
          <w:color w:val="000000" w:themeColor="text1"/>
          <w:highlight w:val="none"/>
          <w14:textFill>
            <w14:solidFill>
              <w14:schemeClr w14:val="tx1"/>
            </w14:solidFill>
          </w14:textFill>
        </w:rPr>
        <w:t xml:space="preserve">符合性审查</w:t>
      </w:r>
      <w:bookmarkEnd w:id="62"/>
      <w:r/>
      <w:bookmarkEnd w:id="63"/>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符合性审查是指依据招标文件的规定，从商务和技术角度对投标文件的有效性和完整性进行审查，以确定是否对招标文件的实质性要求做出响应。</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未通过审查的为无效标，不再参与评审。</w:t>
      </w:r>
      <w:r/>
    </w:p>
    <w:tbl>
      <w:tblPr>
        <w:tblStyle w:val="855"/>
        <w:tblW w:w="9691" w:type="dxa"/>
        <w:tblInd w:w="1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91"/>
        <w:gridCol w:w="4300"/>
      </w:tblGrid>
      <w:tr>
        <w:trPr/>
        <w:tc>
          <w:tcPr>
            <w:tcBorders>
              <w:top w:val="single" w:color="auto" w:sz="6" w:space="0"/>
              <w:left w:val="single" w:color="auto" w:sz="6" w:space="0"/>
              <w:bottom w:val="single" w:color="auto" w:sz="6" w:space="0"/>
              <w:right w:val="single" w:color="auto" w:sz="6" w:space="0"/>
            </w:tcBorders>
            <w:tcW w:w="5391" w:type="dxa"/>
            <w:vAlign w:val="center"/>
            <w:textDirection w:val="lrTb"/>
            <w:noWrap w:val="false"/>
          </w:tcPr>
          <w:p>
            <w:pPr>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4300" w:type="dxa"/>
            <w:vAlign w:val="center"/>
            <w:textDirection w:val="lrTb"/>
            <w:noWrap w:val="false"/>
          </w:tcPr>
          <w:p>
            <w:pPr>
              <w:jc w:val="center"/>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审查标准</w:t>
            </w:r>
            <w:r/>
          </w:p>
        </w:tc>
      </w:tr>
      <w:tr>
        <w:trPr>
          <w:trHeight w:val="90"/>
        </w:trPr>
        <w:tc>
          <w:tcPr>
            <w:tcBorders>
              <w:top w:val="single" w:color="auto" w:sz="6" w:space="0"/>
              <w:left w:val="single" w:color="auto" w:sz="6" w:space="0"/>
              <w:bottom w:val="single" w:color="auto" w:sz="6" w:space="0"/>
              <w:right w:val="single" w:color="auto" w:sz="6" w:space="0"/>
            </w:tcBorders>
            <w:tcW w:w="5391"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投标函</w:t>
            </w:r>
            <w:r/>
          </w:p>
        </w:tc>
        <w:tc>
          <w:tcPr>
            <w:tcBorders>
              <w:top w:val="single" w:color="auto" w:sz="6" w:space="0"/>
              <w:left w:val="single" w:color="auto" w:sz="6" w:space="0"/>
              <w:bottom w:val="single" w:color="auto" w:sz="6" w:space="0"/>
              <w:right w:val="single" w:color="auto" w:sz="6" w:space="0"/>
            </w:tcBorders>
            <w:tcW w:w="4300"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符合招标文件的要求</w:t>
            </w:r>
            <w:r/>
          </w:p>
        </w:tc>
      </w:tr>
      <w:tr>
        <w:trPr>
          <w:trHeight w:val="287"/>
        </w:trPr>
        <w:tc>
          <w:tcPr>
            <w:tcBorders>
              <w:top w:val="single" w:color="auto" w:sz="6" w:space="0"/>
              <w:left w:val="single" w:color="auto" w:sz="6" w:space="0"/>
              <w:bottom w:val="single" w:color="auto" w:sz="6" w:space="0"/>
              <w:right w:val="single" w:color="auto" w:sz="6" w:space="0"/>
            </w:tcBorders>
            <w:tcW w:w="5391"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0"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符合招标文件的要求</w:t>
            </w:r>
            <w:r/>
          </w:p>
        </w:tc>
      </w:tr>
      <w:tr>
        <w:trPr>
          <w:trHeight w:val="287"/>
        </w:trPr>
        <w:tc>
          <w:tcPr>
            <w:tcBorders>
              <w:top w:val="single" w:color="auto" w:sz="6" w:space="0"/>
              <w:left w:val="single" w:color="auto" w:sz="6" w:space="0"/>
              <w:bottom w:val="single" w:color="auto" w:sz="6" w:space="0"/>
              <w:right w:val="single" w:color="auto" w:sz="6" w:space="0"/>
            </w:tcBorders>
            <w:tcW w:w="5391"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签署和盖章符合要求</w:t>
            </w:r>
            <w:r/>
          </w:p>
        </w:tc>
        <w:tc>
          <w:tcPr>
            <w:tcBorders>
              <w:top w:val="single" w:color="auto" w:sz="6" w:space="0"/>
              <w:left w:val="single" w:color="auto" w:sz="6" w:space="0"/>
              <w:bottom w:val="single" w:color="auto" w:sz="6" w:space="0"/>
              <w:right w:val="single" w:color="auto" w:sz="6" w:space="0"/>
            </w:tcBorders>
            <w:tcW w:w="4300"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符合招标文件规定</w:t>
            </w:r>
            <w:r/>
          </w:p>
        </w:tc>
      </w:tr>
      <w:tr>
        <w:trPr/>
        <w:tc>
          <w:tcPr>
            <w:tcBorders>
              <w:top w:val="single" w:color="auto" w:sz="6" w:space="0"/>
              <w:left w:val="single" w:color="auto" w:sz="6" w:space="0"/>
              <w:bottom w:val="single" w:color="auto" w:sz="6" w:space="0"/>
              <w:right w:val="single" w:color="auto" w:sz="6" w:space="0"/>
            </w:tcBorders>
            <w:tcW w:w="5391"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开标一览表及投标报价 </w:t>
            </w:r>
            <w:r/>
          </w:p>
        </w:tc>
        <w:tc>
          <w:tcPr>
            <w:tcBorders>
              <w:top w:val="single" w:color="auto" w:sz="6" w:space="0"/>
              <w:left w:val="single" w:color="auto" w:sz="6" w:space="0"/>
              <w:bottom w:val="single" w:color="auto" w:sz="6" w:space="0"/>
              <w:right w:val="single" w:color="auto" w:sz="6" w:space="0"/>
            </w:tcBorders>
            <w:tcW w:w="4300"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格式、填写要求符合招标文件规定（报价未超过预算或最高限价）</w:t>
            </w:r>
            <w:r/>
          </w:p>
        </w:tc>
      </w:tr>
      <w:tr>
        <w:trPr/>
        <w:tc>
          <w:tcPr>
            <w:tcBorders>
              <w:top w:val="single" w:color="auto" w:sz="6" w:space="0"/>
              <w:left w:val="single" w:color="auto" w:sz="6" w:space="0"/>
              <w:bottom w:val="single" w:color="auto" w:sz="6" w:space="0"/>
              <w:right w:val="single" w:color="auto" w:sz="6" w:space="0"/>
            </w:tcBorders>
            <w:tcW w:w="5391"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投标文件对招标文件的实质性条款的响应性</w:t>
            </w:r>
            <w:r/>
          </w:p>
        </w:tc>
        <w:tc>
          <w:tcPr>
            <w:tcBorders>
              <w:top w:val="single" w:color="auto" w:sz="6" w:space="0"/>
              <w:left w:val="single" w:color="auto" w:sz="6" w:space="0"/>
              <w:bottom w:val="single" w:color="auto" w:sz="6" w:space="0"/>
              <w:right w:val="single" w:color="auto" w:sz="6" w:space="0"/>
            </w:tcBorders>
            <w:tcW w:w="4300"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符合招标文件规定</w:t>
            </w:r>
            <w:r/>
          </w:p>
        </w:tc>
      </w:tr>
    </w:tbl>
    <w:p>
      <w:pPr>
        <w:pStyle w:val="846"/>
        <w:numPr>
          <w:ilvl w:val="0"/>
          <w:numId w:val="6"/>
        </w:numPr>
        <w:rPr>
          <w:color w:val="000000" w:themeColor="text1"/>
          <w:highlight w:val="none"/>
          <w14:textFill>
            <w14:solidFill>
              <w14:schemeClr w14:val="tx1"/>
            </w14:solidFill>
          </w14:textFill>
        </w:rPr>
      </w:pPr>
      <w:r/>
      <w:bookmarkStart w:id="64" w:name="_Toc171510805"/>
      <w:r/>
      <w:bookmarkStart w:id="65" w:name="_Toc23155"/>
      <w:r>
        <w:rPr>
          <w:color w:val="000000" w:themeColor="text1"/>
          <w:highlight w:val="none"/>
          <w14:textFill>
            <w14:solidFill>
              <w14:schemeClr w14:val="tx1"/>
            </w14:solidFill>
          </w14:textFill>
        </w:rPr>
        <w:t xml:space="preserve">评分办法—综合评分法</w:t>
      </w:r>
      <w:bookmarkEnd w:id="64"/>
      <w:r/>
      <w:bookmarkEnd w:id="65"/>
      <w:r/>
      <w:r/>
    </w:p>
    <w:p>
      <w:pPr>
        <w:ind w:firstLine="482"/>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1、评审办法：</w:t>
      </w:r>
      <w:r>
        <w:rPr>
          <w:rFonts w:hint="eastAsia" w:ascii="宋体" w:hAnsi="宋体" w:cs="宋体"/>
          <w:color w:val="000000" w:themeColor="text1"/>
          <w:sz w:val="24"/>
          <w:szCs w:val="24"/>
          <w:highlight w:val="none"/>
          <w14:textFill>
            <w14:solidFill>
              <w14:schemeClr w14:val="tx1"/>
            </w14:solidFill>
          </w14:textFill>
        </w:rPr>
        <w:t xml:space="preserve">本项目采用综合评分法，评标委员会严格按照招标文件规定的评分标准和要求，对各响应文件进行综合评审，按得分高低顺序推荐中标候选人。得分相同的，按报价从低到高顺序排列；得分且报价相同的，按</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服务方案</w:t>
      </w:r>
      <w:r>
        <w:rPr>
          <w:rFonts w:hint="eastAsia" w:ascii="宋体" w:hAnsi="宋体" w:cs="宋体"/>
          <w:color w:val="000000" w:themeColor="text1"/>
          <w:sz w:val="24"/>
          <w:szCs w:val="24"/>
          <w:highlight w:val="none"/>
          <w14:textFill>
            <w14:solidFill>
              <w14:schemeClr w14:val="tx1"/>
            </w14:solidFill>
          </w14:textFill>
        </w:rPr>
        <w:t xml:space="preserve">优劣顺序排列。</w:t>
      </w:r>
      <w:r/>
    </w:p>
    <w:p>
      <w:pPr>
        <w:ind w:firstLine="480"/>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评标委员会根据评审后供应商排序推荐中标候选人。投标文件满足招标文件全部实质性要求，且评审后排序第一的供应商为第一中标候选人，依次类推。</w:t>
      </w:r>
      <w:r/>
    </w:p>
    <w:p>
      <w:pPr>
        <w:ind w:firstLine="482"/>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综合评分保留至小数点后两位。</w:t>
      </w:r>
      <w:r>
        <w:rPr>
          <w:rFonts w:hint="eastAsia" w:ascii="宋体" w:hAnsi="宋体" w:cs="宋体"/>
          <w:color w:val="000000" w:themeColor="text1"/>
          <w:sz w:val="24"/>
          <w:szCs w:val="24"/>
          <w:highlight w:val="none"/>
          <w14:textFill>
            <w14:solidFill>
              <w14:schemeClr w14:val="tx1"/>
            </w14:solidFill>
          </w14:textFill>
        </w:rPr>
        <w:t xml:space="preserve"> </w:t>
      </w:r>
      <w:r/>
    </w:p>
    <w:p>
      <w:pPr>
        <w:numPr>
          <w:ilvl w:val="0"/>
          <w:numId w:val="0"/>
        </w:numPr>
        <w:ind w:firstLine="480"/>
        <w:jc w:val="left"/>
        <w:spacing w:line="500" w:lineRule="exact"/>
        <w:rPr>
          <w:rFonts w:hint="default" w:eastAsia="仿宋_GB2312"/>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详细评审</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bookmarkEnd w:id="60"/>
      <w:r/>
      <w:bookmarkEnd w:id="61"/>
      <w:r/>
      <w:r/>
    </w:p>
    <w:tbl>
      <w:tblPr>
        <w:tblStyle w:val="855"/>
        <w:tblW w:w="4867"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404"/>
        <w:gridCol w:w="6958"/>
        <w:gridCol w:w="607"/>
      </w:tblGrid>
      <w:tr>
        <w:trPr>
          <w:trHeight w:val="53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66" w:name="_Toc514054481"/>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trHeight w:val="1333"/>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价格部分</w:t>
            </w:r>
            <w:r/>
          </w:p>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价格分采用低价优先法计算，即满足招标文件要求且报价最低的供应商报价为评标基准价，其价格分为满分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分，其它供应商的价格分统一按照以下公式计算（小数点保留二位）：投标报价得分=(评标基准价/该供应商的投标报价)×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trHeight w:val="693"/>
        </w:trPr>
        <w:tc>
          <w:tcPr>
            <w:tcBorders>
              <w:left w:val="single" w:color="auto" w:sz="4" w:space="0"/>
              <w:right w:val="single" w:color="auto" w:sz="4" w:space="0"/>
            </w:tcBorders>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left w:val="single" w:color="auto" w:sz="4" w:space="0"/>
              <w:right w:val="single" w:color="auto" w:sz="4" w:space="0"/>
            </w:tcBorders>
            <w:tcW w:w="72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养护</w:t>
            </w:r>
            <w:r>
              <w:rPr>
                <w:rFonts w:hint="eastAsia" w:ascii="宋体" w:hAnsi="宋体" w:eastAsia="宋体" w:cs="宋体"/>
                <w:color w:val="000000" w:themeColor="text1"/>
                <w:sz w:val="24"/>
                <w:szCs w:val="24"/>
                <w:highlight w:val="none"/>
                <w14:textFill>
                  <w14:solidFill>
                    <w14:schemeClr w14:val="tx1"/>
                  </w14:solidFill>
                </w14:textFill>
              </w:rPr>
              <w:t xml:space="preserve">服务方案</w:t>
            </w:r>
            <w:r/>
          </w:p>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line="360" w:lineRule="auto"/>
              <w:widowControl/>
              <w:rPr>
                <w:rStyle w:val="1309"/>
                <w:rFonts w:hint="eastAsia" w:ascii="宋体" w:hAnsi="宋体" w:cs="宋体"/>
                <w:color w:val="000000" w:themeColor="text1"/>
                <w:sz w:val="24"/>
                <w:szCs w:val="24"/>
                <w:highlight w:val="none"/>
                <w:lang w:val="en-US" w:eastAsia="zh-CN"/>
                <w14:textFill>
                  <w14:solidFill>
                    <w14:schemeClr w14:val="tx1"/>
                  </w14:solidFill>
                </w14:textFill>
              </w:rPr>
            </w:pP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根据供应商提供的</w:t>
            </w:r>
            <w:r>
              <w:rPr>
                <w:rStyle w:val="1309"/>
                <w:rFonts w:hint="eastAsia" w:ascii="宋体" w:hAnsi="宋体" w:cs="宋体"/>
                <w:color w:val="000000" w:themeColor="text1"/>
                <w:sz w:val="24"/>
                <w:szCs w:val="24"/>
                <w:highlight w:val="none"/>
                <w:lang w:val="en-US" w:eastAsia="zh-CN"/>
                <w14:textFill>
                  <w14:solidFill>
                    <w14:schemeClr w14:val="tx1"/>
                  </w14:solidFill>
                </w14:textFill>
              </w:rPr>
              <w:t xml:space="preserve">养护方案（含绿化、行道树养护）</w:t>
            </w: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进行评分</w:t>
            </w:r>
            <w:r>
              <w:rPr>
                <w:rStyle w:val="1309"/>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方案需求内容详细完整、可行性强、有针对性的，得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方案需求内容较为完整、可行性较强、较有针对性的，得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方案需求内容完整性一般、可行性一般、针对性一般的，得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方案需求内容不完整、可行性差、针对性差的，得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不符合项目需求或未提供的，不得分。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trHeight w:val="693"/>
        </w:trPr>
        <w:tc>
          <w:tcPr>
            <w:tcBorders>
              <w:left w:val="single" w:color="auto" w:sz="4" w:space="0"/>
              <w:right w:val="single" w:color="auto" w:sz="4" w:space="0"/>
            </w:tcBorders>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line="360" w:lineRule="auto"/>
              <w:widowControl/>
              <w:rPr>
                <w:rStyle w:val="1309"/>
                <w:rFonts w:hint="eastAsia" w:ascii="宋体" w:hAnsi="宋体" w:cs="宋体"/>
                <w:color w:val="000000" w:themeColor="text1"/>
                <w:sz w:val="24"/>
                <w:szCs w:val="24"/>
                <w:highlight w:val="none"/>
                <w:lang w:val="en-US" w:eastAsia="zh-CN"/>
                <w14:textFill>
                  <w14:solidFill>
                    <w14:schemeClr w14:val="tx1"/>
                  </w14:solidFill>
                </w14:textFill>
              </w:rPr>
            </w:pP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根据供应商</w:t>
            </w:r>
            <w:r>
              <w:rPr>
                <w:rStyle w:val="1309"/>
                <w:rFonts w:hint="eastAsia" w:ascii="宋体" w:hAnsi="宋体" w:cs="宋体"/>
                <w:color w:val="000000" w:themeColor="text1"/>
                <w:sz w:val="24"/>
                <w:szCs w:val="24"/>
                <w:highlight w:val="none"/>
                <w:lang w:val="en-US" w:eastAsia="zh-CN"/>
                <w14:textFill>
                  <w14:solidFill>
                    <w14:schemeClr w14:val="tx1"/>
                  </w14:solidFill>
                </w14:textFill>
              </w:rPr>
              <w:t xml:space="preserve">提供的环卫保洁方案</w:t>
            </w: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进行评分</w:t>
            </w:r>
            <w:r>
              <w:rPr>
                <w:rStyle w:val="1309"/>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方案需求内容详细完整、可行性强、有针对性的，得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方案需求内容较为完整、可行性较强、较有针对性的，得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方案需求内容完整性一般、可行性一般、针对性一般的，得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方案需求内容不完整、可行性差、针对性差的，得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widowControl/>
              <w:rPr>
                <w:rStyle w:val="1309"/>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不符合项目需求或未提供的，不得分。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trHeight w:val="693"/>
        </w:trPr>
        <w:tc>
          <w:tcPr>
            <w:tcBorders>
              <w:left w:val="single" w:color="auto" w:sz="4" w:space="0"/>
              <w:right w:val="single" w:color="auto" w:sz="4" w:space="0"/>
            </w:tcBorders>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line="360" w:lineRule="auto"/>
              <w:widowControl/>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根据供应商提供的本项目巡查管理工作方案（含</w:t>
            </w:r>
            <w:r>
              <w:rPr>
                <w:rStyle w:val="1309"/>
                <w:rFonts w:hint="eastAsia" w:ascii="宋体" w:hAnsi="宋体" w:cs="宋体"/>
                <w:color w:val="000000" w:themeColor="text1"/>
                <w:sz w:val="24"/>
                <w:szCs w:val="24"/>
                <w:highlight w:val="none"/>
                <w:lang w:val="en-US" w:eastAsia="zh-CN"/>
                <w14:textFill>
                  <w14:solidFill>
                    <w14:schemeClr w14:val="tx1"/>
                  </w14:solidFill>
                </w14:textFill>
              </w:rPr>
              <w:t xml:space="preserve">河道保洁</w:t>
            </w: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1309"/>
                <w:rFonts w:hint="eastAsia" w:ascii="宋体" w:hAnsi="宋体" w:cs="宋体"/>
                <w:color w:val="000000" w:themeColor="text1"/>
                <w:sz w:val="24"/>
                <w:szCs w:val="24"/>
                <w:highlight w:val="none"/>
                <w:lang w:val="en-US" w:eastAsia="zh-CN"/>
                <w14:textFill>
                  <w14:solidFill>
                    <w14:schemeClr w14:val="tx1"/>
                  </w14:solidFill>
                </w14:textFill>
              </w:rPr>
              <w:t xml:space="preserve">河道日常巡查</w:t>
            </w: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等）进行评分。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方案需求内容详细完整、可行性强、有针对性的，得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方案需求内容较为完整、可行性较强、较有针对性的，得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方案需求内容完整性一般、可行性一般、针对性一般的，得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方案需求内容不完整、可行性差、针对性差的，得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widowControl/>
              <w:rPr>
                <w:rStyle w:val="1309"/>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不符合项目需求或未提供的，不得分。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trHeight w:val="693"/>
        </w:trPr>
        <w:tc>
          <w:tcPr>
            <w:tcBorders>
              <w:left w:val="single" w:color="auto" w:sz="4" w:space="0"/>
              <w:right w:val="single" w:color="auto" w:sz="4" w:space="0"/>
            </w:tcBorders>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在巡查、养护</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保洁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工作中新技术</w:t>
            </w:r>
            <w:r>
              <w:rPr>
                <w:rFonts w:hint="eastAsia" w:ascii="宋体" w:hAnsi="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智能化、精细化、精准化管养水平</w:t>
            </w:r>
            <w:r>
              <w:rPr>
                <w:rFonts w:hint="eastAsia" w:ascii="宋体" w:hAnsi="宋体" w:cs="宋体"/>
                <w:color w:val="000000" w:themeColor="text1"/>
                <w:sz w:val="24"/>
                <w:szCs w:val="24"/>
                <w:highlight w:val="none"/>
                <w:lang w:eastAsia="zh-CN"/>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展现等进行评分。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方案需求内容详细完整、可行性强、有针对性的，得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方案需求内容较为完整、可行性较强、较有针对性的，得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方案需求内容完整性一般、可行性一般、针对性一般的，得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方案需求内容不完整、可行性差、针对性差的，得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不符合项目需求或未提供的，不得分。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trHeight w:val="693"/>
        </w:trPr>
        <w:tc>
          <w:tcPr>
            <w:tcBorders>
              <w:left w:val="single" w:color="auto" w:sz="4" w:space="0"/>
              <w:right w:val="single" w:color="auto" w:sz="4" w:space="0"/>
            </w:tcBorders>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line="360" w:lineRule="auto"/>
              <w:widowControl/>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309"/>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根据供应商提供的突发事件应急处理方案（含扫雪、防冻、抢险等）进行评分。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方案需求内容详细完整、可行性强、有针对性的，得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方案需求内容较为完整、可行性较强、较有针对性的，得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方案需求内容完整性一般、可行性一般、针对性一般的，得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方案需求内容不完整、可行性差、针对性差的，得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keepLines w:val="0"/>
              <w:keepNext w:val="0"/>
              <w:pageBreakBefore w:val="0"/>
              <w:spacing w:line="360" w:lineRule="auto"/>
              <w:widowControl/>
              <w:rPr>
                <w:rStyle w:val="1309"/>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不符合项目需求或未提供的，不得分。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trHeight w:val="274"/>
        </w:trPr>
        <w:tc>
          <w:tcPr>
            <w:tcBorders>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Borders>
              <w:left w:val="single" w:color="auto" w:sz="4" w:space="0"/>
              <w:right w:val="single" w:color="auto" w:sz="4" w:space="0"/>
            </w:tcBorders>
            <w:tcW w:w="723"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业绩</w:t>
            </w:r>
            <w:r/>
          </w:p>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月1日以来，承担过类似</w:t>
            </w:r>
            <w:r>
              <w:rPr>
                <w:rFonts w:hint="eastAsia" w:ascii="宋体" w:hAnsi="宋体" w:cs="宋体"/>
                <w:color w:val="000000" w:themeColor="text1"/>
                <w:sz w:val="24"/>
                <w:szCs w:val="24"/>
                <w:highlight w:val="none"/>
                <w:lang w:val="en-US" w:eastAsia="zh-CN"/>
                <w14:textFill>
                  <w14:solidFill>
                    <w14:schemeClr w14:val="tx1"/>
                  </w14:solidFill>
                </w14:textFill>
              </w:rPr>
              <w:t xml:space="preserve">绿化养护</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业绩</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分。（提供合同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扫描上传至投标系统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，时间以合同签订时间为准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pStyle w:val="923"/>
              <w:ind w:left="0" w:firstLine="0"/>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月1日以来，承担过类似</w:t>
            </w:r>
            <w:r>
              <w:rPr>
                <w:rFonts w:hint="eastAsia" w:ascii="宋体" w:hAnsi="宋体" w:cs="宋体"/>
                <w:color w:val="000000" w:themeColor="text1"/>
                <w:sz w:val="24"/>
                <w:szCs w:val="24"/>
                <w:highlight w:val="none"/>
                <w:lang w:val="en-US" w:eastAsia="zh-CN"/>
                <w14:textFill>
                  <w14:solidFill>
                    <w14:schemeClr w14:val="tx1"/>
                  </w14:solidFill>
                </w14:textFill>
              </w:rPr>
              <w:t xml:space="preserve">保洁管养</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业绩</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分。（提供合同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扫描上传至投标系统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，时间以合同签订时间为准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pStyle w:val="923"/>
              <w:ind w:left="0"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月1日以来，承担过类似</w:t>
            </w:r>
            <w:r>
              <w:rPr>
                <w:rFonts w:hint="eastAsia" w:ascii="宋体" w:hAnsi="宋体" w:cs="宋体"/>
                <w:color w:val="000000" w:themeColor="text1"/>
                <w:sz w:val="24"/>
                <w:szCs w:val="24"/>
                <w:highlight w:val="none"/>
                <w:lang w:val="en-US" w:eastAsia="zh-CN"/>
                <w14:textFill>
                  <w14:solidFill>
                    <w14:schemeClr w14:val="tx1"/>
                  </w14:solidFill>
                </w14:textFill>
              </w:rPr>
              <w:t xml:space="preserve">扫雪防冻抢险业绩</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分。（提供合同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扫描上传至投标系统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，时间以合同签订时间为准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pStyle w:val="923"/>
              <w:ind w:left="0" w:firstLine="0"/>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注：以上业绩不兼得。</w:t>
            </w:r>
            <w:r/>
          </w:p>
        </w:tc>
        <w:tc>
          <w:tcPr>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trHeight w:val="780"/>
        </w:trPr>
        <w:tc>
          <w:tcPr>
            <w:tcBorders>
              <w:top w:val="single" w:color="auto" w:sz="4" w:space="0"/>
              <w:left w:val="single" w:color="auto" w:sz="4" w:space="0"/>
              <w:right w:val="single" w:color="auto" w:sz="4" w:space="0"/>
            </w:tcBorders>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Borders>
              <w:top w:val="single" w:color="auto" w:sz="4" w:space="0"/>
              <w:left w:val="single" w:color="auto" w:sz="4" w:space="0"/>
              <w:right w:val="single" w:color="auto" w:sz="4" w:space="0"/>
            </w:tcBorders>
            <w:tcW w:w="72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履约能力</w:t>
            </w:r>
            <w:r/>
          </w:p>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numPr>
                <w:ilvl w:val="-1"/>
                <w:numId w:val="0"/>
              </w:numPr>
              <w:ind w:firstLine="0"/>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1、配备的</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项目负责人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为供应商的在职员工，</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具有园林或园艺等相关专业</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级及以上职称的得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分；</w:t>
            </w:r>
            <w:r/>
          </w:p>
          <w:p>
            <w:pPr>
              <w:numPr>
                <w:ilvl w:val="-1"/>
                <w:numId w:val="0"/>
              </w:numPr>
              <w:ind w:firstLine="0"/>
              <w:keepLines w:val="0"/>
              <w:keepNext w:val="0"/>
              <w:pageBreakBefore w:val="0"/>
              <w:spacing w:line="360" w:lineRule="auto"/>
              <w:widowControl/>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zh-CN" w:eastAsia="zh-CN"/>
                <w14:textFill>
                  <w14:solidFill>
                    <w14:schemeClr w14:val="tx1"/>
                  </w14:solidFill>
                </w14:textFill>
              </w:rPr>
              <w:t xml:space="preserve">专业</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职称证书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专业为准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如职称证书反映不出专业</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的，专业以毕业证书为准，同时</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提供供应商为其缴纳的202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月以来任意一个月的</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社保缴费证明材料</w:t>
            </w:r>
            <w:r>
              <w:rPr>
                <w:rFonts w:hint="eastAsia" w:ascii="宋体" w:hAnsi="宋体" w:cs="宋体"/>
                <w:b w:val="0"/>
                <w:bCs w:val="0"/>
                <w:color w:val="000000" w:themeColor="text1"/>
                <w:sz w:val="24"/>
                <w:szCs w:val="24"/>
                <w:highlight w:val="none"/>
                <w:lang w:val="zh-CN"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以上材料加盖公章扫描上传至投标系统</w:t>
            </w:r>
            <w:r>
              <w:rPr>
                <w:rFonts w:hint="eastAsia" w:ascii="宋体" w:hAnsi="宋体" w:cs="宋体"/>
                <w:b w:val="0"/>
                <w:bCs w:val="0"/>
                <w:color w:val="000000" w:themeColor="text1"/>
                <w:sz w:val="24"/>
                <w:szCs w:val="24"/>
                <w:highlight w:val="none"/>
                <w:lang w:val="zh-CN"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trHeight w:val="1879"/>
        </w:trPr>
        <w:tc>
          <w:tcPr>
            <w:tcBorders>
              <w:left w:val="single" w:color="auto" w:sz="4" w:space="0"/>
              <w:right w:val="single" w:color="auto" w:sz="4" w:space="0"/>
            </w:tcBorders>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numPr>
                <w:ilvl w:val="-1"/>
                <w:numId w:val="0"/>
              </w:numPr>
              <w:ind w:firstLine="0"/>
              <w:keepLines w:val="0"/>
              <w:keepNext w:val="0"/>
              <w:pageBreakBefore w:val="0"/>
              <w:spacing w:line="360" w:lineRule="auto"/>
              <w:widowControl/>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车辆及设备需求：</w:t>
            </w:r>
            <w:r/>
          </w:p>
          <w:p>
            <w:pPr>
              <w:numPr>
                <w:ilvl w:val="-1"/>
                <w:numId w:val="0"/>
              </w:numPr>
              <w:ind w:firstLine="0"/>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洗车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2辆，车辆是供应商自有的得4分/辆；车辆是供应商租赁的得2分/辆，本项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满分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p>
            <w:pPr>
              <w:numPr>
                <w:ilvl w:val="-1"/>
                <w:numId w:val="0"/>
              </w:numPr>
              <w:ind w:firstLine="0"/>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（2）大型</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机扫车提供1辆，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车辆是供应商自有的得4分；车辆是供应商租赁的得2分，本项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满分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p>
            <w:pPr>
              <w:numPr>
                <w:ilvl w:val="-1"/>
                <w:numId w:val="0"/>
              </w:numPr>
              <w:ind w:firstLine="0"/>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车提供1辆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，车辆是供应商自有的得4分；车辆是供应商租赁的得2分，本项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满分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p>
            <w:pPr>
              <w:pStyle w:val="923"/>
              <w:ind w:left="0" w:firstLine="0"/>
              <w:keepLines w:val="0"/>
              <w:keepNext w:val="0"/>
              <w:pageBreakBefore w:val="0"/>
              <w:spacing w:line="360" w:lineRule="auto"/>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电动冲洗车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，车辆是供应商自有的得4分；车辆是供应商租赁的得2分，本项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满分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numPr>
                <w:ilvl w:val="-1"/>
                <w:numId w:val="0"/>
              </w:numPr>
              <w:ind w:firstLine="0"/>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以上车辆及设备自有的需提供自有购置发票，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车辆及设备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租赁的需提供租赁合同</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；其中清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洗车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、大型</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机扫车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、货车除提供上述资料外，还需提供车辆行驶证。以上材料加盖公章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扫描上传至投标系统</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须清晰可辨，能够反映相关信息，否则不得分。</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p>
        </w:tc>
      </w:tr>
      <w:tr>
        <w:trPr>
          <w:trHeight w:val="1091"/>
        </w:trPr>
        <w:tc>
          <w:tcPr>
            <w:tcBorders>
              <w:left w:val="single" w:color="auto" w:sz="4" w:space="0"/>
              <w:right w:val="single" w:color="auto" w:sz="4" w:space="0"/>
            </w:tcBorders>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numPr>
                <w:ilvl w:val="-1"/>
                <w:numId w:val="0"/>
              </w:numPr>
              <w:ind w:firstLine="0"/>
              <w:keepLines w:val="0"/>
              <w:keepNext w:val="0"/>
              <w:pageBreakBefore w:val="0"/>
              <w:spacing w:line="360" w:lineRule="auto"/>
              <w:widowControl/>
              <w:rPr>
                <w:rFonts w:hint="default"/>
                <w:color w:val="000000" w:themeColor="text1"/>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供应商承诺在履约中保证和采购人的配合度，保证高度配合采购人的要求，确保提供专业服务的及时性和准确性，承担因工作失误给</w:t>
            </w:r>
            <w:r>
              <w:rPr>
                <w:rFonts w:hint="eastAsia" w:ascii="宋体" w:hAnsi="宋体" w:cs="宋体"/>
                <w:color w:val="000000" w:themeColor="text1"/>
                <w:sz w:val="24"/>
                <w:szCs w:val="24"/>
                <w:highlight w:val="none"/>
                <w:lang w:val="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造成的损失</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，提供承诺书得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（承诺书加盖公章扫描上传至投标系统，未提供或者提供内容有误或者内容不全的不得分）</w:t>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r>
      <w:tr>
        <w:trPr>
          <w:trHeight w:val="1424"/>
        </w:trPr>
        <w:tc>
          <w:tcPr>
            <w:tcBorders>
              <w:left w:val="single" w:color="auto" w:sz="4" w:space="0"/>
              <w:right w:val="single" w:color="auto" w:sz="4" w:space="0"/>
            </w:tcBorders>
            <w:tcW w:w="373" w:type="pct"/>
            <w:vAlign w:val="center"/>
            <w:vMerge w:val="continue"/>
            <w:textDirection w:val="lrTb"/>
            <w:noWrap w:val="false"/>
          </w:tcPr>
          <w:p>
            <w:pPr>
              <w:jc w:val="center"/>
              <w:keepLines w:val="0"/>
              <w:keepNext w:val="0"/>
              <w:pageBreakBefore w:val="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auto" w:sz="4" w:space="0"/>
              <w:right w:val="single" w:color="auto" w:sz="4" w:space="0"/>
            </w:tcBorders>
            <w:tcW w:w="723" w:type="pct"/>
            <w:vAlign w:val="center"/>
            <w:vMerge w:val="continue"/>
            <w:textDirection w:val="lrTb"/>
            <w:noWrap w:val="false"/>
          </w:tcPr>
          <w:p>
            <w:pPr>
              <w:jc w:val="center"/>
              <w:keepLines w:val="0"/>
              <w:keepNext w:val="0"/>
              <w:pageBreakBefore w:val="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numPr>
                <w:ilvl w:val="-1"/>
                <w:numId w:val="0"/>
              </w:numPr>
              <w:ind w:firstLine="0"/>
              <w:keepLines w:val="0"/>
              <w:keepNext w:val="0"/>
              <w:pageBreakBefore w:val="0"/>
              <w:spacing w:line="360" w:lineRule="auto"/>
              <w:widowControl/>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bookmarkStart w:id="154" w:name="_GoBack"/>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、供应商承诺，如需扫雪防冻，冬季扫雪防冻抢险作业期间，供应商额外组织30名抢险人员及除雪机械（轮式挖机（型号155）、轮式装载机(型号50)）</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积极配合</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完成相关</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除雪抢险</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工作，提供承诺书得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（承诺书加盖公章扫描上传至投标系统，未提供或者提供内容有误或者内容不全的不得分）</w:t>
            </w:r>
            <w:bookmarkEnd w:id="154"/>
            <w:r/>
            <w:r/>
          </w:p>
        </w:tc>
        <w:tc>
          <w:tcPr>
            <w:shd w:val="clear" w:color="auto" w:fill="auto"/>
            <w:tcBorders>
              <w:top w:val="single" w:color="auto" w:sz="4" w:space="0"/>
              <w:left w:val="single" w:color="auto" w:sz="4" w:space="0"/>
              <w:bottom w:val="single" w:color="auto" w:sz="4" w:space="0"/>
              <w:right w:val="single" w:color="auto" w:sz="4" w:space="0"/>
            </w:tcBorders>
            <w:tcW w:w="313" w:type="pct"/>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p>
        </w:tc>
      </w:tr>
      <w:tr>
        <w:trPr>
          <w:trHeight w:val="540"/>
        </w:trPr>
        <w:tc>
          <w:tcPr>
            <w:gridSpan w:val="2"/>
            <w:tcBorders>
              <w:left w:val="single" w:color="auto" w:sz="4" w:space="0"/>
              <w:bottom w:val="single" w:color="auto" w:sz="4" w:space="0"/>
              <w:right w:val="single" w:color="auto" w:sz="4" w:space="0"/>
            </w:tcBorders>
            <w:tcW w:w="1097"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合计</w:t>
            </w:r>
            <w:r/>
          </w:p>
        </w:tc>
        <w:tc>
          <w:tcPr>
            <w:gridSpan w:val="2"/>
            <w:tcBorders>
              <w:top w:val="single" w:color="auto" w:sz="4" w:space="0"/>
              <w:left w:val="single" w:color="auto" w:sz="4" w:space="0"/>
              <w:bottom w:val="single" w:color="auto" w:sz="4" w:space="0"/>
              <w:right w:val="single" w:color="auto" w:sz="4" w:space="0"/>
            </w:tcBorders>
            <w:tcW w:w="3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说明：</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（1）小微企业的价格扣除</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（1.2）价格扣除比例或者价格分加分比例对小型企业和微型企业同等对待，不作区分。</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（2）监狱和戒毒企业的价格扣除</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（2.1）本项目对监狱和戒毒企业（简称监狱企业），给予10%的价格扣除，用扣除后的价格参与评审。</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（2.2）监狱企业需提供由省级以上监狱管理局、戒毒管理局（含新疆生产建设兵团）出具的属于监狱企业的证明文件。</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（2.3）监狱企业标准请参照《关于政府采购支持监狱企业发展有关问题的通知》（财库[2014]68号）。</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（3）残疾人福利性单位的价格扣除</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（3.1）本项目对残疾人福利性单位，给予10%的价格扣除，用扣除后的价格参与评审。</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（3.2）残疾人福利单位需按照招标文件的要求提供《残疾人福利性单位声明函》。</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（3.3）残疾人福利单位标准请参照《关于促进残疾人就业政府采购政策的通知》（财库〔2017〕141号）。</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（4）监狱企业、残疾人福利单位属于小型、微型企业的，不重复享受政策。</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（5）专门面向中小企业采购的项目，不再执行价格评审优惠的扶持政策。</w:t>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（6）对国家认定的节能产品和环保产品分别给予投标价的5%价格扣除，用扣除后的价格参与评审（特别说明：节能、环保产品必须纳入“中国政府采购网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917"/>
          <w:rFonts w:hint="eastAsia" w:ascii="宋体" w:hAnsi="宋体" w:cs="宋体"/>
          <w:color w:val="000000" w:themeColor="text1"/>
          <w:sz w:val="24"/>
          <w:szCs w:val="24"/>
          <w:highlight w:val="none"/>
          <w14:textFill>
            <w14:solidFill>
              <w14:schemeClr w14:val="tx1"/>
            </w14:solidFill>
          </w14:textFill>
        </w:rPr>
        <w:t xml:space="preserve">http://www.ccgp.gov.cn”等官方网站“节能、环保产品查询系统”</w:t>
      </w:r>
      <w:r>
        <w:rPr>
          <w:rStyle w:val="917"/>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，且以提供的证书复印件为准）。”</w:t>
      </w:r>
      <w:r/>
    </w:p>
    <w:p>
      <w:pPr>
        <w:ind w:left="42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（7）所有认证、证明和业绩均以复印件加盖公章作为依据（文件中明确要求原件的除外），</w:t>
      </w:r>
      <w:r>
        <w:rPr>
          <w:rFonts w:hint="eastAsia" w:ascii="宋体" w:hAnsi="宋体" w:cs="宋体"/>
          <w:b/>
          <w:bCs/>
          <w:color w:val="000000" w:themeColor="text1"/>
          <w:sz w:val="24"/>
          <w:szCs w:val="24"/>
          <w:highlight w:val="none"/>
          <w14:textFill>
            <w14:solidFill>
              <w14:schemeClr w14:val="tx1"/>
            </w14:solidFill>
          </w14:textFill>
        </w:rPr>
        <w:t xml:space="preserve">原件标后备查。</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3、评标结果</w:t>
      </w:r>
      <w:r>
        <w:rPr>
          <w:rFonts w:hint="eastAsia" w:ascii="宋体" w:hAnsi="宋体" w:cs="宋体"/>
          <w:color w:val="000000" w:themeColor="text1"/>
          <w:sz w:val="24"/>
          <w:szCs w:val="24"/>
          <w:highlight w:val="none"/>
          <w14:textFill>
            <w14:solidFill>
              <w14:schemeClr w14:val="tx1"/>
            </w14:solidFill>
          </w14:textFill>
        </w:rPr>
        <w:t xml:space="preserve">。评标委员会按照本办法规定推荐中标候选人，并形成评标报告。</w:t>
      </w:r>
      <w:r/>
    </w:p>
    <w:p>
      <w:pPr>
        <w:jc w:val="center"/>
        <w:rPr>
          <w:rFonts w:hint="eastAsia" w:ascii="宋体" w:hAnsi="宋体" w:cs="宋体"/>
          <w:color w:val="000000" w:themeColor="text1"/>
          <w:sz w:val="24"/>
          <w:szCs w:val="24"/>
          <w:highlight w:val="none"/>
          <w14:textFill>
            <w14:solidFill>
              <w14:schemeClr w14:val="tx1"/>
            </w14:solidFill>
          </w14:textFill>
        </w:rPr>
        <w:outlineLvl w:val="0"/>
      </w:pPr>
      <w:r>
        <w:rPr>
          <w:rFonts w:hint="eastAsia"/>
          <w:b/>
          <w:color w:val="000000" w:themeColor="text1"/>
          <w:sz w:val="44"/>
          <w:szCs w:val="44"/>
          <w:highlight w:val="none"/>
          <w14:textFill>
            <w14:solidFill>
              <w14:schemeClr w14:val="tx1"/>
            </w14:solidFill>
          </w14:textFill>
        </w:rPr>
        <w:t xml:space="preserve"> </w:t>
      </w:r>
      <w:bookmarkStart w:id="67" w:name="_Toc9411"/>
      <w:r>
        <w:rPr>
          <w:rFonts w:hint="eastAsia"/>
          <w:b/>
          <w:color w:val="000000" w:themeColor="text1"/>
          <w:sz w:val="44"/>
          <w:szCs w:val="44"/>
          <w:highlight w:val="none"/>
          <w14:textFill>
            <w14:solidFill>
              <w14:schemeClr w14:val="tx1"/>
            </w14:solidFill>
          </w14:textFill>
        </w:rPr>
        <w:t xml:space="preserve">第四部分 采购需求</w:t>
      </w:r>
      <w:bookmarkEnd w:id="66"/>
      <w:r/>
      <w:bookmarkEnd w:id="67"/>
      <w:r/>
      <w:bookmarkStart w:id="68" w:name="_Toc514054482"/>
      <w:r/>
      <w:r/>
    </w:p>
    <w:p>
      <w:pPr>
        <w:numPr>
          <w:ilvl w:val="0"/>
          <w:numId w:val="0"/>
        </w:numPr>
        <w:ind w:firstLine="482"/>
        <w:jc w:val="both"/>
        <w:spacing w:line="240" w:lineRule="auto"/>
        <w:rPr>
          <w:rFonts w:hint="default"/>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一、项目概况：</w:t>
      </w:r>
      <w:r/>
    </w:p>
    <w:tbl>
      <w:tblPr>
        <w:tblStyle w:val="855"/>
        <w:tblW w:w="9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5"/>
        <w:gridCol w:w="4864"/>
        <w:gridCol w:w="1733"/>
        <w:gridCol w:w="2121"/>
      </w:tblGrid>
      <w:tr>
        <w:trPr>
          <w:jc w:val="center"/>
          <w:trHeight w:val="285"/>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数量</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绿化（绿化养护）</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232668.5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行道树（绿化养护）</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二级道路（环卫保洁）</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78476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硬质铺装（环卫保洁）</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8184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河道（环卫保洁）</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7203</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扫雪抢险人员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轮挖（型号155）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装载机(型号50)</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default"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扫雪抢险人员（待岗）</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轮挖（型号155）（待岗）</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default"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default"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装载机(型号50)（待岗）</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default"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default"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地块绿地（绿化养护、保洁、看护）</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地块保洁、看护</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20000</w:t>
            </w:r>
            <w:r/>
          </w:p>
        </w:tc>
      </w:tr>
    </w:tbl>
    <w:p>
      <w:pPr>
        <w:numPr>
          <w:ilvl w:val="0"/>
          <w:numId w:val="0"/>
        </w:numPr>
        <w:ind w:firstLine="482"/>
        <w:jc w:val="both"/>
        <w:spacing w:line="240" w:lineRule="auto"/>
        <w:rPr>
          <w:rFonts w:hint="default"/>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二、项目主要工作内容：</w:t>
      </w:r>
      <w:r/>
    </w:p>
    <w:p>
      <w:pPr>
        <w:numPr>
          <w:ilvl w:val="0"/>
          <w:numId w:val="0"/>
        </w:numPr>
        <w:ind w:firstLine="480"/>
        <w:jc w:val="both"/>
        <w:spacing w:line="240" w:lineRule="auto"/>
        <w:rPr>
          <w:rFonts w:hint="eastAsia"/>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要求养护单位对做好道路环卫保洁、绿化养护、河道养护、秩序维护、设施看护、防台防汛、扫雪防冻抢险等工作</w:t>
      </w:r>
      <w:r>
        <w:rPr>
          <w:rFonts w:hint="default"/>
          <w:color w:val="000000" w:themeColor="text1"/>
          <w:sz w:val="24"/>
          <w:szCs w:val="24"/>
          <w:lang w:val="en-US"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  </w:t>
      </w:r>
      <w:r/>
    </w:p>
    <w:p>
      <w:pPr>
        <w:numPr>
          <w:ilvl w:val="0"/>
          <w:numId w:val="0"/>
        </w:numPr>
        <w:ind w:firstLine="480"/>
        <w:jc w:val="both"/>
        <w:spacing w:line="240" w:lineRule="auto"/>
        <w:rPr>
          <w:rFonts w:hint="default"/>
          <w:b/>
          <w:bCs/>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三、</w:t>
      </w:r>
      <w:r>
        <w:rPr>
          <w:rFonts w:hint="eastAsia"/>
          <w:b/>
          <w:bCs/>
          <w:color w:val="000000" w:themeColor="text1"/>
          <w:sz w:val="24"/>
          <w:szCs w:val="24"/>
          <w:lang w:val="en-US" w:eastAsia="zh-CN"/>
          <w14:textFill>
            <w14:solidFill>
              <w14:schemeClr w14:val="tx1"/>
            </w14:solidFill>
          </w14:textFill>
        </w:rPr>
        <w:t xml:space="preserve">人员配置、机械设备要求：</w:t>
      </w:r>
      <w:r/>
    </w:p>
    <w:p>
      <w:pPr>
        <w:pStyle w:val="923"/>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1、总体要求：环卫保洁、园林养护人员根据江北新区环境卫生管理标准要求合理安排人数。道路保洁、绿化养护采用机械作业为主，人工为辅作业模式，提高机械化水平。</w:t>
      </w:r>
      <w:r/>
    </w:p>
    <w:p>
      <w:pPr>
        <w:pStyle w:val="923"/>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2、环卫作业车辆机械配置：要求养护单位自行配备大型高压冲洗车1辆、小型高压冲洗车1辆、大型机扫车1辆、大型雾炮车1辆（雾炮车可利用现有车辆改装）。各类环卫设施设备管理规范，运转正常，所有作业车辆安装GPS定位系统，并对发包方开放查询权限。</w:t>
      </w:r>
      <w:r/>
    </w:p>
    <w:p>
      <w:pPr>
        <w:pStyle w:val="923"/>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3、绿化作业机械配置：草坪剪草机、绿篱机、油锯、割灌机、鼓风机若干。</w:t>
      </w:r>
      <w:r/>
    </w:p>
    <w:p>
      <w:pPr>
        <w:pStyle w:val="923"/>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4、扫雪防冻抢险车辆配置（如需扫雪防冻）：大型雪铲车、大型雪滚车、大型撒布机（撒布机参数：干盐料容积为11m³、水箱容积为2.6m³，撒布剂量区间为5-40g/㎡，撒布宽度可在2m至12m之间调整，设备满载装盐重量约为13吨）各1辆（雪滚车、雪铲车可利用现有车辆改装）。</w:t>
      </w:r>
      <w:r/>
    </w:p>
    <w:p>
      <w:pPr>
        <w:pStyle w:val="923"/>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5、如需扫雪防冻，冬季扫雪防冻抢险作业期间，养护单位需额外组织30名抢险人员及除雪机械（轮式挖机、轮式装载机），经采购人核实后，相关费用由采购人承担。</w:t>
      </w:r>
      <w:r/>
    </w:p>
    <w:p>
      <w:pPr>
        <w:pStyle w:val="923"/>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6、项目负责人具有园林或园艺等相关专业中级及以上职称。</w:t>
      </w:r>
      <w:r/>
    </w:p>
    <w:p>
      <w:pPr>
        <w:pStyle w:val="923"/>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7、其他要求：结合目前环卫、绿化、河道等养护项目新技术，在巡查、养护工作中落实新技术应用，展现智能化、精细化、精准化管养水平。发包方不提供场地。</w:t>
      </w:r>
      <w:r/>
    </w:p>
    <w:p>
      <w:pPr>
        <w:numPr>
          <w:ilvl w:val="0"/>
          <w:numId w:val="0"/>
        </w:numPr>
        <w:ind w:firstLine="482"/>
        <w:jc w:val="both"/>
        <w:spacing w:line="240" w:lineRule="auto"/>
        <w:rPr>
          <w:rFonts w:hint="default"/>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四、服务期限：</w:t>
      </w:r>
      <w:r/>
    </w:p>
    <w:p>
      <w:pPr>
        <w:numPr>
          <w:ilvl w:val="0"/>
          <w:numId w:val="0"/>
        </w:numPr>
        <w:ind w:firstLine="480"/>
        <w:jc w:val="both"/>
        <w:spacing w:line="240" w:lineRule="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合同服务期限自以甲方通知进场之日起至2028年12月31日（如因政策调整等因素影响合同履行，甲方有权中止合同，乙方不得以此向甲方索赔）。研创园三期四期片区，江新大道、横江大道（含和平河）、虎桥路、浦乌北路合围区域及园区部分待开发地块。 </w:t>
      </w:r>
      <w:r/>
    </w:p>
    <w:p>
      <w:pPr>
        <w:numPr>
          <w:ilvl w:val="0"/>
          <w:numId w:val="6"/>
        </w:numPr>
        <w:ind w:left="0" w:firstLine="0"/>
        <w:jc w:val="both"/>
        <w:spacing w:line="240" w:lineRule="auto"/>
        <w:rPr>
          <w:rFonts w:hint="eastAsia"/>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控制价及明细</w:t>
      </w:r>
      <w:r>
        <w:rPr>
          <w:rFonts w:hint="eastAsia"/>
          <w:color w:val="000000" w:themeColor="text1"/>
          <w:sz w:val="24"/>
          <w:szCs w:val="24"/>
          <w:lang w:val="en-US" w:eastAsia="zh-CN"/>
          <w14:textFill>
            <w14:solidFill>
              <w14:schemeClr w14:val="tx1"/>
            </w14:solidFill>
          </w14:textFill>
        </w:rPr>
        <w:t xml:space="preserve"> </w:t>
      </w:r>
      <w:r/>
    </w:p>
    <w:p>
      <w:pPr>
        <w:numPr>
          <w:ilvl w:val="0"/>
          <w:numId w:val="6"/>
        </w:numPr>
        <w:ind w:left="0" w:firstLine="0"/>
        <w:jc w:val="both"/>
        <w:spacing w:line="240" w:lineRule="auto"/>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r>
      <w:r/>
    </w:p>
    <w:tbl>
      <w:tblPr>
        <w:tblStyle w:val="855"/>
        <w:tblW w:w="88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3"/>
        <w:gridCol w:w="2149"/>
        <w:gridCol w:w="1016"/>
        <w:gridCol w:w="1080"/>
        <w:gridCol w:w="1785"/>
        <w:gridCol w:w="2124"/>
      </w:tblGrid>
      <w:tr>
        <w:trPr>
          <w:trHeight w:val="62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全费用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单项合计（元）</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绿化（绿化养护）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232668.5</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行道树（绿化养护）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6"/>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二级道路（环卫保洁）</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78476</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硬质铺装（环卫保洁）</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8184</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河道（环卫保洁）</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7203</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扫雪抢险人员</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轮挖（型号155）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装载机(型号50)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扫雪抢险人员（待岗）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轮挖（型号155）（待岗）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装载机(型号50)（待岗）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地块绿地（绿化养护、保洁、看护）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100000</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地块保洁、看护</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329"/>
        </w:trPr>
        <w:tc>
          <w:tcPr>
            <w:gridSpan w:val="5"/>
            <w:tcBorders>
              <w:top w:val="single" w:color="000000" w:sz="4" w:space="0"/>
              <w:left w:val="single" w:color="000000" w:sz="4" w:space="0"/>
              <w:bottom w:val="single" w:color="000000" w:sz="4" w:space="0"/>
              <w:right w:val="single" w:color="000000" w:sz="4" w:space="0"/>
            </w:tcBorders>
            <w:tcW w:w="6733" w:type="dxa"/>
            <w:vAlign w:val="center"/>
            <w:textDirection w:val="lrTb"/>
            <w:noWrap/>
          </w:tcPr>
          <w:p>
            <w:pPr>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合计（元）</w:t>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suppressLineNumbers w:val="0"/>
            </w:pPr>
            <w:r>
              <w:rPr>
                <w:rFonts w:hint="eastAsia" w:ascii="方正仿宋简体" w:hAnsi="方正仿宋简体" w:eastAsia="方正仿宋简体" w:cs="方正仿宋简体"/>
                <w:i w:val="0"/>
                <w:iCs w:val="0"/>
                <w:color w:val="000000" w:themeColor="text1"/>
                <w:sz w:val="21"/>
                <w:szCs w:val="21"/>
                <w:u w:val="none"/>
                <w:lang w:val="en-US" w:eastAsia="zh-CN" w:bidi="ar"/>
                <w14:textFill>
                  <w14:solidFill>
                    <w14:schemeClr w14:val="tx1"/>
                  </w14:solidFill>
                </w14:textFill>
              </w:rPr>
            </w:r>
            <w:r/>
          </w:p>
        </w:tc>
      </w:tr>
    </w:tbl>
    <w:p>
      <w:pPr>
        <w:numPr>
          <w:ilvl w:val="0"/>
          <w:numId w:val="0"/>
        </w:numPr>
        <w:jc w:val="both"/>
        <w:spacing w:line="240" w:lineRule="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r>
      <w:r/>
    </w:p>
    <w:p>
      <w:pPr>
        <w:numPr>
          <w:ilvl w:val="0"/>
          <w:numId w:val="0"/>
        </w:numPr>
        <w:ind w:firstLine="482"/>
        <w:jc w:val="both"/>
        <w:spacing w:line="240" w:lineRule="auto"/>
        <w:rPr>
          <w:rFonts w:hint="default"/>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六、付款条件：</w:t>
      </w:r>
      <w:r/>
    </w:p>
    <w:p>
      <w:pPr>
        <w:numPr>
          <w:ilvl w:val="0"/>
          <w:numId w:val="0"/>
        </w:numPr>
        <w:ind w:firstLine="480"/>
        <w:jc w:val="both"/>
        <w:spacing w:line="240" w:lineRule="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1、养护工作量按月度结算，由采购人按中标单位投标时所报单价结合当月实际完成工作量核算出当月实际费用，养护款按季度（三个月）结算，当季费用中70%于次季度首月10日（遇节假日顺延）前支付，剩余30%的费用做为考核经费，每三个月为一个考核季，待考核结果公布后，扣除因考核扣分对应扣除款项后于次季度首月10日（ 遇节假日顺延）前支付。 </w:t>
      </w:r>
      <w:r/>
    </w:p>
    <w:p>
      <w:pPr>
        <w:numPr>
          <w:ilvl w:val="0"/>
          <w:numId w:val="0"/>
        </w:numPr>
        <w:ind w:firstLine="480"/>
        <w:jc w:val="both"/>
        <w:spacing w:line="240" w:lineRule="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2、台风、雨雪等恶劣天气、重大活动、临时污染情况下增加的保洁作业量产生的清理费用、养护费用均由中标单位承担。 </w:t>
      </w:r>
      <w:r/>
    </w:p>
    <w:p>
      <w:pPr>
        <w:numPr>
          <w:ilvl w:val="0"/>
          <w:numId w:val="0"/>
        </w:numPr>
        <w:ind w:firstLine="480"/>
        <w:jc w:val="both"/>
        <w:spacing w:line="240" w:lineRule="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 xml:space="preserve">3、养护工程量会因管养移交或者道路交付等原因有所增减，每月养护的工程量以甲方当月派发的任务单为准，乙方应充分考虑工程量增减的风险。</w:t>
      </w:r>
      <w:r/>
    </w:p>
    <w:p>
      <w:pPr>
        <w:numPr>
          <w:ilvl w:val="0"/>
          <w:numId w:val="0"/>
        </w:numPr>
        <w:ind w:firstLine="482"/>
        <w:jc w:val="both"/>
        <w:spacing w:line="240" w:lineRule="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r>
      <w:r/>
    </w:p>
    <w:p>
      <w:pPr>
        <w:numPr>
          <w:ilvl w:val="0"/>
          <w:numId w:val="0"/>
        </w:numPr>
        <w:ind w:firstLine="482"/>
        <w:jc w:val="both"/>
        <w:spacing w:line="240" w:lineRule="auto"/>
        <w:rPr>
          <w:rFonts w:hint="default"/>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七、考核标准：</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中标方应严格按照采购人提出的管养要求和标准展开工作，如不能按标准完成，采购人则依据研创园各项养护标准、考核要求中相应条款对中标方进行经济处罚。</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1、考核方式 </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（1）考核采取随机抽签现场实地检查和专项检查相结合的方法，采购人每月随机检查，不通知被查单位，随机进行检查，次数不限。 </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（2）检查不限定区域、时间，以整改通知单的形式，及时向中标单位通报，以发单时间计算，作业单位 48小时内需整改完成，并将整改结果报送检查组人员。群众举报、媒体曝光及各级领导指出的问题及时督查，并纳入考核范畴，限期整改。 </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2、考核经费拨付与奖罚方法</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（1）考核经费：中标单位服务期内每月实际养护经费的 30%（含增量部分）。</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（2）计算方式 </w:t>
      </w:r>
      <w:r/>
    </w:p>
    <w:p>
      <w:pPr>
        <w:numPr>
          <w:ilvl w:val="0"/>
          <w:numId w:val="0"/>
        </w:numPr>
        <w:ind w:firstLine="480"/>
        <w:jc w:val="both"/>
        <w:spacing w:line="240" w:lineRule="auto"/>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 xml:space="preserve">业绩考核以月为单位，实行每月累计扣分制度，设定中标单位每月业绩考核满分为 100 分。考核中发现的问题，按照本办法扣除相应分数。考核结果达到 90 分以上（含 90 分），不扣款；考核结果在 80-90 分（含 80 分），即从 90 分以下起每少一分（含一分以内）将扣除每月考核经费的3%；考核结果在 80 分以下（不含 80 分），即从 90 分以下起每少一分（含一分以内）将扣除每月考核经费5%；连续3个月绿化养护单位月得分在80分以下的，采购人有权终止合同。剩余费用在中标服务期结束后半年内一次性付清。</w:t>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numPr>
          <w:ilvl w:val="0"/>
          <w:numId w:val="7"/>
        </w:numPr>
        <w:ind w:firstLine="883"/>
        <w:jc w:val="center"/>
        <w:spacing w:line="360" w:lineRule="auto"/>
        <w:rPr>
          <w:rFonts w:hint="eastAsia" w:ascii="Calibri"/>
          <w:b/>
          <w:color w:val="000000" w:themeColor="text1"/>
          <w:sz w:val="44"/>
          <w:szCs w:val="44"/>
          <w:highlight w:val="none"/>
          <w14:textFill>
            <w14:solidFill>
              <w14:schemeClr w14:val="tx1"/>
            </w14:solidFill>
          </w14:textFill>
        </w:rPr>
        <w:outlineLvl w:val="0"/>
      </w:pPr>
      <w:r>
        <w:rPr>
          <w:rFonts w:hint="eastAsia" w:ascii="Calibri"/>
          <w:b/>
          <w:color w:val="000000" w:themeColor="text1"/>
          <w:sz w:val="44"/>
          <w:szCs w:val="44"/>
          <w:highlight w:val="none"/>
          <w14:textFill>
            <w14:solidFill>
              <w14:schemeClr w14:val="tx1"/>
            </w14:solidFill>
          </w14:textFill>
        </w:rPr>
        <w:t xml:space="preserve"> </w:t>
      </w:r>
      <w:bookmarkStart w:id="69" w:name="_Toc349"/>
      <w:r>
        <w:rPr>
          <w:rFonts w:hint="eastAsia" w:ascii="Calibri"/>
          <w:b/>
          <w:color w:val="000000" w:themeColor="text1"/>
          <w:sz w:val="44"/>
          <w:szCs w:val="44"/>
          <w:highlight w:val="none"/>
          <w14:textFill>
            <w14:solidFill>
              <w14:schemeClr w14:val="tx1"/>
            </w14:solidFill>
          </w14:textFill>
        </w:rPr>
        <w:t xml:space="preserve">合同格式及条款</w:t>
      </w:r>
      <w:bookmarkEnd w:id="68"/>
      <w:r/>
      <w:bookmarkEnd w:id="69"/>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合同编号：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政府采购计划号：</w:t>
      </w:r>
      <w:r/>
    </w:p>
    <w:tbl>
      <w:tblPr>
        <w:tblStyle w:val="855"/>
        <w:tblW w:w="8120" w:type="dxa"/>
        <w:jc w:val="center"/>
        <w:tblLayout w:type="fixed"/>
        <w:tblCellMar>
          <w:left w:w="0" w:type="dxa"/>
          <w:top w:w="0" w:type="dxa"/>
          <w:right w:w="0" w:type="dxa"/>
          <w:bottom w:w="0" w:type="dxa"/>
        </w:tblCellMar>
        <w:tblLook w:val="04A0" w:firstRow="1" w:lastRow="0" w:firstColumn="1" w:lastColumn="0" w:noHBand="0" w:noVBand="1"/>
      </w:tblPr>
      <w:tblGrid>
        <w:gridCol w:w="4060"/>
        <w:gridCol w:w="4060"/>
      </w:tblGrid>
      <w:tr>
        <w:trPr>
          <w:jc w:val="center"/>
          <w:trHeight w:val="267"/>
        </w:trPr>
        <w:tc>
          <w:tcPr>
            <w:tcW w:w="4060" w:type="dxa"/>
            <w:vAlign w:val="top"/>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采购人：（以下称甲方）</w:t>
            </w:r>
            <w:r/>
          </w:p>
        </w:tc>
        <w:tc>
          <w:tcPr>
            <w:tcW w:w="4060" w:type="dxa"/>
            <w:vAlign w:val="top"/>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供应商：（以下称乙方）</w:t>
            </w:r>
            <w:r/>
          </w:p>
        </w:tc>
      </w:tr>
      <w:tr>
        <w:trPr>
          <w:jc w:val="center"/>
          <w:trHeight w:val="267"/>
        </w:trPr>
        <w:tc>
          <w:tcPr>
            <w:tcW w:w="4060" w:type="dxa"/>
            <w:vAlign w:val="top"/>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住所地：</w:t>
            </w:r>
            <w:r/>
          </w:p>
        </w:tc>
        <w:tc>
          <w:tcPr>
            <w:tcW w:w="4060" w:type="dxa"/>
            <w:vAlign w:val="top"/>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住所地：</w:t>
            </w:r>
            <w:r/>
          </w:p>
        </w:tc>
      </w:tr>
    </w:tbl>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根据《中华人民共和国政府采购法》《中华人民共和国民法典》等法律法规规定，甲乙双方经协商签订本合同。</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第一条 合同标的</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乙方提供下列服务：道路环卫保洁、绿化养护、河道养护、秩序维护、设施看护、防台防汛、扫雪防冻抢险，服务内容详见乙方投标（响应）文件。</w:t>
      </w:r>
      <w:r/>
    </w:p>
    <w:tbl>
      <w:tblPr>
        <w:tblStyle w:val="855"/>
        <w:tblW w:w="89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0"/>
        <w:gridCol w:w="1808"/>
        <w:gridCol w:w="1867"/>
        <w:gridCol w:w="695"/>
        <w:gridCol w:w="1328"/>
        <w:gridCol w:w="1267"/>
        <w:gridCol w:w="1240"/>
      </w:tblGrid>
      <w:tr>
        <w:trPr>
          <w:trHeight w:val="637"/>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Borders>
              <w:top w:val="single" w:color="000000" w:sz="4" w:space="0"/>
              <w:left w:val="single" w:color="000000" w:sz="4" w:space="0"/>
              <w:bottom w:val="none" w:color="000000" w:sz="4" w:space="0"/>
              <w:right w:val="single" w:color="000000" w:sz="4" w:space="0"/>
            </w:tcBorders>
            <w:tcW w:w="18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主要内容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投标单价（元/年）</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单项合计（元）</w:t>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绿化（绿化养护）</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道路、河道绿化浇水、修剪、施肥、病虫害防治等日常养护工作</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232668.5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行道树（绿化养护）</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行道树修剪、浇水、施肥、刷白等</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二级道路（环卫保洁）</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道路清扫、洒水、冲洗等</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78476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硬质铺装（环卫保洁）</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园路、广场清扫、洒水、冲洗等</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8184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河道（环卫保洁）</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河道及河岸垃圾、水草、漂浮物打捞清理</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扫雪抢险人员</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撒布融雪剂、清理乔灌木积雪、清理道路积雪等</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轮挖（型号155）</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清理、装运道路积雪</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装载机(型号50)</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清理、装运道路积雪</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64"/>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扫雪抢险人员（待岗）</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应急扫雪抢险待岗人员，根据结冰、降雪等情况随时准备投入扫雪抢险工作</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64"/>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轮挖（型号155）（待岗）</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应急扫雪抢险待岗机械，根据结冰、降雪等情况随时准备投入扫雪抢险工作</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64"/>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装载机(型号50)（待岗）</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应急扫雪抢险待岗机械，根据结冰、降雪等情况随时准备投入扫雪抢险工作</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64"/>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地块绿地（绿化养护、保洁、看护）</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地块绿地修剪、浇水、病虫害防治、浇水、清理垃圾、看护（防止偷盗垃圾、违法种菜等）等</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地块保洁、看护</w:t>
            </w:r>
            <w:r/>
          </w:p>
        </w:tc>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未开发地块清理垃圾、看护（防止偷盗垃圾、违法种菜等）等</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6"/>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82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人民币</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元</w:t>
            </w:r>
            <w:r/>
          </w:p>
        </w:tc>
      </w:tr>
    </w:tbl>
    <w:p>
      <w:pPr>
        <w:numPr>
          <w:ilvl w:val="0"/>
          <w:numId w:val="0"/>
        </w:numPr>
        <w:ind w:firstLine="0"/>
        <w:jc w:val="both"/>
        <w:keepLines w:val="0"/>
        <w:keepNext w:val="0"/>
        <w:pageBreakBefore w:val="0"/>
        <w:spacing w:line="5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第二条 合同总价款</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本合同项下服务总价款为___________（大写）人民币，分项价款详见乙方投标（响应）文件。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本合同总价款包含以下内容：</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（1）完成本服务项目发生的所有含税费用；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（2）支付给员工的工资和国家强制缴纳的各种社会保障资金；</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（3）乙方应当提供的伴随服务/售后服务费用；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（4）供应商认为需要的其他费用。</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第三条 </w:t>
      </w:r>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lang w:val="zh-CN" w:eastAsia="zh-CN"/>
        </w:rPr>
        <w:t xml:space="preserve">期限</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合</w:t>
      </w:r>
      <w:r>
        <w:rPr>
          <w:rFonts w:hint="eastAsia" w:ascii="宋体" w:hAnsi="宋体" w:eastAsia="宋体" w:cs="宋体"/>
          <w:b w:val="0"/>
          <w:bCs w:val="0"/>
          <w:sz w:val="24"/>
          <w:szCs w:val="24"/>
          <w:lang w:val="zh-CN" w:eastAsia="zh-CN"/>
        </w:rPr>
        <w:t xml:space="preserve">同服务期限（</w:t>
      </w:r>
      <w:r>
        <w:rPr>
          <w:rFonts w:hint="eastAsia" w:ascii="宋体" w:hAnsi="宋体" w:eastAsia="宋体" w:cs="宋体"/>
          <w:b w:val="0"/>
          <w:bCs w:val="0"/>
          <w:sz w:val="24"/>
          <w:szCs w:val="24"/>
          <w:lang w:val="en-US" w:eastAsia="zh-CN"/>
        </w:rPr>
        <w:t xml:space="preserve">约31.5个月</w:t>
      </w:r>
      <w:r>
        <w:rPr>
          <w:rFonts w:hint="eastAsia" w:ascii="宋体" w:hAnsi="宋体" w:eastAsia="宋体" w:cs="宋体"/>
          <w:b w:val="0"/>
          <w:bCs w:val="0"/>
          <w:sz w:val="24"/>
          <w:szCs w:val="24"/>
          <w:lang w:val="zh-CN" w:eastAsia="zh-CN"/>
        </w:rPr>
        <w:t xml:space="preserve">）</w:t>
      </w:r>
      <w:r>
        <w:rPr>
          <w:rFonts w:hint="eastAsia" w:ascii="宋体" w:hAnsi="宋体" w:eastAsia="宋体" w:cs="宋体"/>
          <w:b w:val="0"/>
          <w:bCs w:val="0"/>
          <w:sz w:val="24"/>
          <w:szCs w:val="24"/>
          <w:lang w:val="en-US" w:eastAsia="zh-CN"/>
        </w:rPr>
        <w:t xml:space="preserve">自以甲方通知进场之日</w:t>
      </w:r>
      <w:r>
        <w:rPr>
          <w:rFonts w:hint="eastAsia" w:ascii="宋体" w:hAnsi="宋体" w:eastAsia="宋体" w:cs="宋体"/>
          <w:b w:val="0"/>
          <w:bCs w:val="0"/>
          <w:sz w:val="24"/>
          <w:szCs w:val="24"/>
          <w:lang w:val="zh-CN" w:eastAsia="zh-CN"/>
        </w:rPr>
        <w:t xml:space="preserve">起</w:t>
      </w:r>
      <w:r>
        <w:rPr>
          <w:rFonts w:hint="eastAsia" w:ascii="宋体" w:hAnsi="宋体" w:eastAsia="宋体" w:cs="宋体"/>
          <w:b w:val="0"/>
          <w:bCs w:val="0"/>
          <w:sz w:val="24"/>
          <w:szCs w:val="24"/>
          <w:lang w:val="en-US" w:eastAsia="zh-CN"/>
        </w:rPr>
        <w:t xml:space="preserve">至2028年12月31日</w:t>
      </w:r>
      <w:r>
        <w:rPr>
          <w:rFonts w:hint="eastAsia" w:ascii="宋体" w:hAnsi="宋体" w:eastAsia="宋体" w:cs="宋体"/>
          <w:sz w:val="24"/>
          <w:szCs w:val="24"/>
          <w:lang w:val="en-US" w:eastAsia="zh-CN"/>
        </w:rPr>
        <w:t xml:space="preserve">（如因政策调整或其他不可抗力等因素影响合同履行，甲方有权中止合同，且不承担任何违约责任）</w:t>
      </w:r>
      <w:r>
        <w:rPr>
          <w:rFonts w:hint="eastAsia" w:ascii="宋体" w:hAnsi="宋体" w:eastAsia="宋体" w:cs="宋体"/>
          <w:b w:val="0"/>
          <w:bCs w:val="0"/>
          <w:sz w:val="24"/>
          <w:szCs w:val="24"/>
          <w:lang w:val="zh-CN" w:eastAsia="zh-CN"/>
        </w:rPr>
        <w:t xml:space="preserve">。 </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第四条 组成本合同的有关文件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下列关于          号的招标（采购）文件、投标（响应）文件，以及与本次采购活动相关的文件及有关附件是本合同不可分割的组成部分，与本合同具有同等法律效力，这些文件包括但不限于：</w:t>
      </w:r>
      <w:r/>
    </w:p>
    <w:p>
      <w:pPr>
        <w:numPr>
          <w:ilvl w:val="0"/>
          <w:numId w:val="0"/>
        </w:numPr>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（1）投标（响应）文件和报价表； （2）服务一览表；</w:t>
      </w:r>
      <w:r/>
    </w:p>
    <w:p>
      <w:pPr>
        <w:numPr>
          <w:ilvl w:val="0"/>
          <w:numId w:val="0"/>
        </w:numPr>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（3）交付一览表；               （4）技术规格响应表；</w:t>
      </w:r>
      <w:r/>
    </w:p>
    <w:p>
      <w:pPr>
        <w:numPr>
          <w:ilvl w:val="0"/>
          <w:numId w:val="0"/>
        </w:numPr>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（5）投标（响应）承诺；         （6）服务承诺；</w:t>
      </w:r>
      <w:r/>
    </w:p>
    <w:p>
      <w:pPr>
        <w:numPr>
          <w:ilvl w:val="0"/>
          <w:numId w:val="0"/>
        </w:numPr>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（7）中标（成交）通知书；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zh-CN" w:eastAsia="zh-CN"/>
        </w:rPr>
        <w:t xml:space="preserve">（8）甲乙双方商定的其它文件。</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第五条 权利保证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乙方应保证甲方在使用该服务或其任何一部分时不受第三方提出侵犯其专利权、版权、商标权或其他权利的起诉。一旦出现侵权，乙方应承担全部责任，若因此给甲方造成损失的，乙方予以赔偿。</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第六条 质量保证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乙方所提供的服务的技术规格应与招标（采购）文件规定的技术规格及所附的“技术规格响应表”相一致；若技术性能无特殊说明，则按国家有关部门最新颁布的标准及规范为准。</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第七条 交付和验收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1.乙方应当在合同签订后    天内完成服务事项。</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2.验收标准：按行业通行标准和乙方投标（响应）文件的承诺（详见合同附件载明的标准，并不低于国家相关标准）。</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第八条  合同款支付</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1.本合同项下所有款项均以人民币支付。</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2.本合同项下的采购资金由乙方开具发票，甲方按照本条第3款的约定支付。</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3.付款条件：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CN" w:eastAsia="zh-CN"/>
        </w:rPr>
        <w:t xml:space="preserve">）养护工作量按月度结算，由甲方按乙方投标时所报单价结合当月实际完成工作量核算出当月实际费用，养护款按季度（三个月）结算，当季费用中70%于次季度首月10日（遇节假日顺延）前支付，剩余30%的费用做为考核经费，每三个月为一个考核季，待考核结果公布后，扣除因考核扣分对应扣除款项后于次季度首月10日（遇节假日顺延）前支付。</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CN" w:eastAsia="zh-CN"/>
        </w:rPr>
        <w:t xml:space="preserve">）台风、雨雪等恶劣天气、重大活动、临时污染情况下增加的保洁作业量产生的清理费用、养护费用均由乙方承担。</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（3）养护工程量会因管养移交或者道路交付等原因有所增减，每月养护的工程量以甲方当月派发的任务单为准，乙方应充分考虑工程量增减的风险。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4.考核经费拨付与奖罚方法</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（1）考核经费：中标单位服务期内每月实际养护经费的30%（含增量部分）。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（2）计算方式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业绩考核以月为单位，实行每月累计扣分制度，设定中标单位每月业绩考核满分为100分。考核中发现的问题，按照本办法扣除相应分数。考核结果达到90分以上（含90分），不扣款；考核结果在80-90分（含80分），即从90分以下起每少一分（含一分以内）将扣除每月考核经费的3%；考核结果在80分以下（不含80分），即从90分以下起每少一分（含一分以内）将扣除每月考核经费5%；连续3个月绿化养护单位月得分在80分以下的，采购人有权终止合同且不承担任何违约责任。剩余费用在中标服务期结束后半年内一次性付清。 </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eastAsia="zh-CN"/>
        </w:rPr>
        <w:t xml:space="preserve">条 违约责任</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zh-CN" w:eastAsia="zh-CN"/>
        </w:rPr>
        <w:t xml:space="preserve">  1. 乙方未</w:t>
      </w:r>
      <w:r>
        <w:rPr>
          <w:rFonts w:hint="eastAsia" w:ascii="宋体" w:hAnsi="宋体" w:eastAsia="宋体" w:cs="宋体"/>
          <w:b w:val="0"/>
          <w:bCs w:val="0"/>
          <w:sz w:val="24"/>
          <w:szCs w:val="24"/>
          <w:lang w:val="zh-CN" w:eastAsia="zh-CN"/>
        </w:rPr>
        <w:t xml:space="preserve">按合同约定的时间、频次、范围提供绿化养护、保洁服务，或服务质量不达标的应承担相应的违约责任。其中每逾期一日，应按当期服务费金额的千分之一向甲方支付违约金。逾期超过10日的，甲方有权单方解除合同。若乙方未按甲方通知要求的时间、人员数量、机械规格及数量足额到位的，每少1人扣款1000元，每少1台合规机械扣款10000元；若在重大活动、政务接待、专项检查等保障任务中，因乙方服务不到位造成甲方负面影响的（包括但不限于被通报批评、处罚、引发舆情影响等），甲方有权单次扣款20000元；造成甲方实际损失的，乙方全额赔偿。</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  </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CN" w:eastAsia="zh-CN"/>
        </w:rPr>
        <w:t xml:space="preserve">. 乙方发生下列情形之一的，视为根本违约，甲方有权单方解除合同且</w:t>
      </w:r>
      <w:r>
        <w:rPr>
          <w:rFonts w:hint="eastAsia" w:ascii="宋体" w:hAnsi="宋体" w:eastAsia="宋体" w:cs="宋体"/>
          <w:b w:val="0"/>
          <w:bCs w:val="0"/>
          <w:sz w:val="24"/>
          <w:szCs w:val="24"/>
          <w:lang w:val="en-US" w:eastAsia="zh-CN"/>
        </w:rPr>
        <w:t xml:space="preserve">不承担任何违约责任</w:t>
      </w:r>
      <w:r>
        <w:rPr>
          <w:rFonts w:hint="eastAsia" w:ascii="宋体" w:hAnsi="宋体" w:eastAsia="宋体" w:cs="宋体"/>
          <w:b w:val="0"/>
          <w:bCs w:val="0"/>
          <w:sz w:val="24"/>
          <w:szCs w:val="24"/>
          <w:lang w:val="zh-CN" w:eastAsia="zh-CN"/>
        </w:rPr>
        <w:t xml:space="preserve">，乙方应退回全部合同价款，并支付合同总价款20% 的违约金，若违约金不足以弥补甲方损失的，甲方有权进一步追偿：</w:t>
      </w:r>
      <w:r/>
    </w:p>
    <w:p>
      <w:pPr>
        <w:numPr>
          <w:ilvl w:val="0"/>
          <w:numId w:val="0"/>
        </w:numPr>
        <w:ind w:firstLine="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（1）未经甲方同意，将本合同义务全部或部分转包、分包的；</w:t>
      </w:r>
      <w:r/>
    </w:p>
    <w:p>
      <w:pPr>
        <w:numPr>
          <w:ilvl w:val="0"/>
          <w:numId w:val="0"/>
        </w:numPr>
        <w:ind w:firstLine="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（2）因乙方原因导致发生重大安全生产、环境污染责任事故的；</w:t>
      </w:r>
      <w:r/>
    </w:p>
    <w:p>
      <w:pPr>
        <w:numPr>
          <w:ilvl w:val="0"/>
          <w:numId w:val="0"/>
        </w:numPr>
        <w:ind w:firstLine="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（3）擅自停止服务累计超过48小时的；</w:t>
      </w:r>
      <w:r/>
    </w:p>
    <w:p>
      <w:pPr>
        <w:numPr>
          <w:ilvl w:val="0"/>
          <w:numId w:val="0"/>
        </w:numPr>
        <w:ind w:firstLine="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（4）在考核中弄虚作假，情节严重的。</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zh-CN" w:eastAsia="zh-CN"/>
        </w:rPr>
        <w:t xml:space="preserve">.在乙方承诺的或国家规定的质量保证期内（取两者中最长的期限），如经乙方3次整改仍不能达到合同约定的质量标准，视为根本违约，乙方应退回全部合同价款，并按本条第3款处理。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zh-CN" w:eastAsia="zh-CN"/>
        </w:rPr>
        <w:t xml:space="preserve">.乙方未按本合同的规定和服务承诺提供伴随服务/售后服务的，应按合同总价款的5%向甲方承担违约责任。</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zh-CN" w:eastAsia="zh-CN"/>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第十条 合同的变更和终止</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1.除《政府采购法》第50条规定的情形外，本合同一经签订，甲乙双方不得擅自变更、中止或终止。</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2.除发生法律规定的不能预见、不能避免并不能克服的客观情况外，甲乙双方不得放弃或拒绝履行合同。</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val="zh-CN" w:eastAsia="zh-CN"/>
        </w:rPr>
        <w:t xml:space="preserve">条 合同的转让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乙方不得擅自部分或全部转让其应履行的合同义务，否则甲方有权解除合同，并按本合同第十条第3款处理。</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val="zh-CN" w:eastAsia="zh-CN"/>
        </w:rPr>
        <w:t xml:space="preserve">条 争议的解决</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1.因服务的质量问题发生争议的，应当邀请国家认可的质量检测机构对服务质量进行鉴定。符合标准的，鉴定费由甲方承担；不符合标准的，鉴定费由乙方承担。</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2.因履行本合同引起的或与本合同有关的争议，甲、乙双方应首先通过友好协商解决，如果协商不能解决争议，则采取以下第（</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zh-CN" w:eastAsia="zh-CN"/>
        </w:rPr>
        <w:t xml:space="preserve">）种方式解决争议：</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（1）向甲方所在地有管辖权的人民法院提起诉讼；</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（2）向南京仲裁委员会按其仲裁规则申请仲裁。</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zh-CN" w:eastAsia="zh-CN"/>
        </w:rPr>
        <w:t xml:space="preserve">条 诚实信用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乙方应诚实信用，严格按照招标（采购）文件要求和投标（响应）承诺履行合同，不向甲方进行商业贿赂或者提供不正当利益。</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val="zh-CN" w:eastAsia="zh-CN"/>
        </w:rPr>
        <w:t xml:space="preserve">条 合同生效及其他</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1.本合同自签订之日起生效。</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2.本合同一式</w:t>
      </w:r>
      <w:r>
        <w:rPr>
          <w:rFonts w:hint="eastAsia" w:ascii="宋体" w:hAnsi="宋体" w:eastAsia="宋体" w:cs="宋体"/>
          <w:b w:val="0"/>
          <w:bCs w:val="0"/>
          <w:sz w:val="24"/>
          <w:szCs w:val="24"/>
          <w:lang w:val="en-US" w:eastAsia="zh-CN"/>
        </w:rPr>
        <w:t xml:space="preserve">陆</w:t>
      </w:r>
      <w:r>
        <w:rPr>
          <w:rFonts w:hint="eastAsia" w:ascii="宋体" w:hAnsi="宋体" w:eastAsia="宋体" w:cs="宋体"/>
          <w:b w:val="0"/>
          <w:bCs w:val="0"/>
          <w:sz w:val="24"/>
          <w:szCs w:val="24"/>
          <w:lang w:val="zh-CN" w:eastAsia="zh-CN"/>
        </w:rPr>
        <w:t xml:space="preserve">份，甲乙双方各执</w:t>
      </w:r>
      <w:r>
        <w:rPr>
          <w:rFonts w:hint="eastAsia" w:ascii="宋体" w:hAnsi="宋体" w:eastAsia="宋体" w:cs="宋体"/>
          <w:b w:val="0"/>
          <w:bCs w:val="0"/>
          <w:sz w:val="24"/>
          <w:szCs w:val="24"/>
          <w:lang w:val="en-US" w:eastAsia="zh-CN"/>
        </w:rPr>
        <w:t xml:space="preserve">叁</w:t>
      </w:r>
      <w:r>
        <w:rPr>
          <w:rFonts w:hint="eastAsia" w:ascii="宋体" w:hAnsi="宋体" w:eastAsia="宋体" w:cs="宋体"/>
          <w:b w:val="0"/>
          <w:bCs w:val="0"/>
          <w:sz w:val="24"/>
          <w:szCs w:val="24"/>
          <w:lang w:val="zh-CN" w:eastAsia="zh-CN"/>
        </w:rPr>
        <w:t xml:space="preserve">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3.本合同按照中华人民共和国的现行法律进行解释。</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4.其他：</w:t>
      </w:r>
      <w:r>
        <w:rPr>
          <w:rFonts w:hint="eastAsia" w:ascii="宋体" w:hAnsi="宋体" w:eastAsia="宋体" w:cs="宋体"/>
          <w:b w:val="0"/>
          <w:bCs w:val="0"/>
          <w:sz w:val="24"/>
          <w:szCs w:val="24"/>
          <w:lang w:val="en-US" w:eastAsia="zh-CN"/>
        </w:rPr>
        <w:t xml:space="preserve">相关作业要求、标准按照附件执行，附件要求具有同等法律效力</w:t>
      </w:r>
      <w:r>
        <w:rPr>
          <w:rFonts w:hint="eastAsia" w:ascii="宋体" w:hAnsi="宋体" w:eastAsia="宋体" w:cs="宋体"/>
          <w:b w:val="0"/>
          <w:bCs w:val="0"/>
          <w:sz w:val="24"/>
          <w:szCs w:val="24"/>
          <w:lang w:val="zh-CN" w:eastAsia="zh-CN"/>
        </w:rPr>
        <w:t xml:space="preserve">。</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r>
      <w:r/>
    </w:p>
    <w:tbl>
      <w:tblPr>
        <w:tblStyle w:val="855"/>
        <w:tblW w:w="0" w:type="auto"/>
        <w:jc w:val="center"/>
        <w:tblLayout w:type="fixed"/>
        <w:tblCellMar>
          <w:left w:w="0" w:type="dxa"/>
          <w:top w:w="0" w:type="dxa"/>
          <w:right w:w="0" w:type="dxa"/>
          <w:bottom w:w="0" w:type="dxa"/>
        </w:tblCellMar>
        <w:tblLook w:val="04A0" w:firstRow="1" w:lastRow="0" w:firstColumn="1" w:lastColumn="0" w:noHBand="0" w:noVBand="1"/>
      </w:tblPr>
      <w:tblGrid>
        <w:gridCol w:w="4424"/>
        <w:gridCol w:w="4424"/>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甲  方（采购人）：（盖章）</w:t>
            </w:r>
            <w:r/>
          </w:p>
        </w:tc>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乙  方（供应商）：（盖章）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代表人：</w:t>
            </w:r>
            <w:r/>
          </w:p>
        </w:tc>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代表人：</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电  话：</w:t>
            </w:r>
            <w:r/>
          </w:p>
        </w:tc>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电  话：</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开户银行：</w:t>
            </w:r>
            <w:r/>
          </w:p>
        </w:tc>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开户银行：</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帐  号：     </w:t>
            </w:r>
            <w:r/>
          </w:p>
        </w:tc>
        <w:tc>
          <w:tcPr>
            <w:shd w:val="clear" w:color="auto" w:fill="ffffff"/>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帐  号：</w:t>
            </w:r>
            <w:r/>
          </w:p>
        </w:tc>
      </w:tr>
    </w:tbl>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附件1.</w:t>
      </w:r>
      <w:r>
        <w:rPr>
          <w:rFonts w:hint="eastAsia" w:ascii="宋体" w:hAnsi="宋体" w:eastAsia="宋体" w:cs="宋体"/>
          <w:b w:val="0"/>
          <w:bCs w:val="0"/>
          <w:sz w:val="24"/>
          <w:szCs w:val="24"/>
          <w:lang w:val="en-US" w:eastAsia="zh-CN"/>
        </w:rPr>
        <w:t xml:space="preserve">江北新区市容景观管理及环卫市政绿化管理养护标准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en-US" w:eastAsia="zh-CN"/>
        </w:rPr>
        <w:t xml:space="preserve">附件2.</w:t>
      </w:r>
      <w:r>
        <w:rPr>
          <w:rFonts w:hint="eastAsia" w:ascii="宋体" w:hAnsi="宋体" w:eastAsia="宋体" w:cs="宋体"/>
          <w:b w:val="0"/>
          <w:bCs w:val="0"/>
          <w:sz w:val="24"/>
          <w:szCs w:val="24"/>
          <w:lang w:val="zh-TW" w:eastAsia="zh-TW"/>
        </w:rPr>
        <w:t xml:space="preserve">江北新区河道管养技术标准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zh-CN" w:eastAsia="zh-CN"/>
        </w:rPr>
        <w:t xml:space="preserve">附件</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zh-CN" w:eastAsia="zh-CN"/>
        </w:rPr>
        <w:t xml:space="preserve">.</w:t>
      </w:r>
      <w:r>
        <w:rPr>
          <w:rFonts w:hint="eastAsia" w:ascii="宋体" w:hAnsi="宋体" w:eastAsia="宋体" w:cs="宋体"/>
          <w:b w:val="0"/>
          <w:bCs w:val="0"/>
          <w:sz w:val="24"/>
          <w:szCs w:val="24"/>
          <w:lang w:val="en-US" w:eastAsia="zh-CN"/>
        </w:rPr>
        <w:t xml:space="preserve">扫雪防冻工作要求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附件4.考核评分细则</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附件5.考核表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附件6.廉政协议</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附件1.</w:t>
      </w:r>
      <w:r>
        <w:rPr>
          <w:rFonts w:hint="eastAsia" w:ascii="宋体" w:hAnsi="宋体" w:eastAsia="宋体" w:cs="宋体"/>
          <w:b w:val="0"/>
          <w:bCs w:val="0"/>
          <w:sz w:val="24"/>
          <w:szCs w:val="24"/>
          <w:lang w:val="en-US" w:eastAsia="zh-CN"/>
        </w:rPr>
        <w:t xml:space="preserve">江北新区市容景观管理及环卫市政绿化管理养护标准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一、</w:t>
      </w:r>
      <w:r>
        <w:rPr>
          <w:rFonts w:hint="eastAsia" w:ascii="宋体" w:hAnsi="宋体" w:eastAsia="宋体" w:cs="宋体"/>
          <w:b w:val="0"/>
          <w:bCs w:val="0"/>
          <w:sz w:val="24"/>
          <w:szCs w:val="24"/>
          <w:lang w:val="zh-CN" w:eastAsia="zh-CN"/>
        </w:rPr>
        <w:t xml:space="preserve">环境卫生管理标准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（一）道路清扫保洁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  基本要求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道路清扫保洁应满足“十无十净、一降低、本色化”。</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注：“十无”指无果皮烟头纸屑、 白色垃圾；无杂物堆（散）放；无枯枝落叶；无砖石瓦片；无沙泥土积尘；无痰 迹污渍；无人畜粪便；雨后无积水；无杂草青苔；无污水污 染。</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十净”指路面干净、路牙侧石干净、挡（池）墙隔离桩干净、排水口窨井盖沟槽干净、人行道外侧场地干净、台阶踏步干净、墙角干净、绿地树穴干净、非机动车停放场地干净、垃圾桶、果壳箱、坐凳底及周边干净。</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 一降低”指降低道路扬尘。</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“本色化”指快车道、慢车道、人行道及外侧硬铺装场 地保持本色无污染。</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  管理要求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⑴洗扫（含清扫）：一、二级道路2次/日，三、四级道路1次/日；洒水：夏秋季一、二级道路3次/日，三、四级道路2次/日；冬春季一、二级道路2次/日，三、四级道路1次/日（结冰天气除外）。</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⑵提高城区主干道机扫率， 国控点附件主干道机扫率≥ 95%，其他区域主次干道机扫率≥90%。</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⑶慢车道、人行道和街巷路面实行人工普扫，一、二、 三级、繁华街巷每日至少普扫2次。清扫保洁人员配备标准：一级道路4200㎡/人，二级道路5000  ㎡/人、三级道路6000㎡/人，四级道路7000㎡/人，繁华街巷4000㎡/人，普通街巷6000㎡/人，商业圈3000㎡/人，饮食一条街、农贸市场、 创业市场周边2000㎡/人。</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⑷治理单元内部清扫保洁人员配备标准：室内≤6000㎡/人，室外≤4000  ㎡/人。</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⑸重要街区及人流量高的道路要有吸尘降尘设备，每天吸尘一次。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⑹道路路面污染物控制应达到表1的标准，街巷路面污染物控制应达到表2的标准。其中，对落叶的考核限于大面积落叶季节。</w:t>
      </w:r>
      <w:r/>
    </w:p>
    <w:p>
      <w:pPr>
        <w:pStyle w:val="869"/>
        <w:ind w:left="2837"/>
        <w:spacing w:before="1" w:line="223" w:lineRule="auto"/>
        <w:rPr>
          <w:rFonts w:hint="eastAsia" w:ascii="宋体" w:hAnsi="宋体" w:eastAsia="宋体" w:cs="宋体"/>
          <w:sz w:val="24"/>
          <w:szCs w:val="24"/>
        </w:rPr>
        <w:outlineLvl w:val="0"/>
      </w:pPr>
      <w:r>
        <w:rPr>
          <w:rFonts w:hint="eastAsia" w:ascii="宋体" w:hAnsi="宋体" w:eastAsia="宋体" w:cs="宋体"/>
          <w:spacing w:val="4"/>
          <w:sz w:val="24"/>
          <w:szCs w:val="24"/>
        </w:rPr>
        <w:t xml:space="preserve">表1    道路路面污染物控制标准</w:t>
      </w:r>
      <w:r/>
    </w:p>
    <w:tbl>
      <w:tblPr>
        <w:tblStyle w:val="1299"/>
        <w:tblW w:w="936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1"/>
        <w:gridCol w:w="1132"/>
        <w:gridCol w:w="1132"/>
        <w:gridCol w:w="1132"/>
        <w:gridCol w:w="1250"/>
        <w:gridCol w:w="1155"/>
        <w:gridCol w:w="1274"/>
        <w:gridCol w:w="1298"/>
      </w:tblGrid>
      <w:tr>
        <w:trPr>
          <w:trHeight w:val="634"/>
        </w:trPr>
        <w:tc>
          <w:tcPr>
            <w:tcBorders>
              <w:top w:val="single" w:color="000000" w:sz="6" w:space="0"/>
              <w:left w:val="single" w:color="000000" w:sz="6" w:space="0"/>
              <w:bottom w:val="single" w:color="000000" w:sz="6" w:space="0"/>
            </w:tcBorders>
            <w:tcW w:w="991" w:type="dxa"/>
            <w:vAlign w:val="top"/>
            <w:textDirection w:val="lrTb"/>
            <w:noWrap w:val="false"/>
          </w:tcPr>
          <w:p>
            <w:pPr>
              <w:pStyle w:val="1034"/>
              <w:ind w:left="134"/>
              <w:spacing w:before="216" w:line="233" w:lineRule="auto"/>
              <w:rPr>
                <w:rFonts w:hint="eastAsia" w:ascii="宋体" w:hAnsi="宋体" w:eastAsia="宋体" w:cs="宋体"/>
                <w:sz w:val="24"/>
                <w:szCs w:val="24"/>
              </w:rPr>
            </w:pPr>
            <w:r>
              <w:rPr>
                <w:rFonts w:hint="eastAsia" w:ascii="宋体" w:hAnsi="宋体" w:eastAsia="宋体" w:cs="宋体"/>
                <w:spacing w:val="-2"/>
                <w:sz w:val="24"/>
                <w:szCs w:val="24"/>
              </w:rPr>
              <w:t xml:space="preserve">保洁等级</w:t>
            </w:r>
            <w:r/>
          </w:p>
        </w:tc>
        <w:tc>
          <w:tcPr>
            <w:tcBorders>
              <w:top w:val="single" w:color="000000" w:sz="6" w:space="0"/>
              <w:bottom w:val="single" w:color="000000" w:sz="6" w:space="0"/>
            </w:tcBorders>
            <w:tcW w:w="1132" w:type="dxa"/>
            <w:vAlign w:val="top"/>
            <w:textDirection w:val="lrTb"/>
            <w:noWrap w:val="false"/>
          </w:tcPr>
          <w:p>
            <w:pPr>
              <w:pStyle w:val="1034"/>
              <w:ind w:left="220"/>
              <w:spacing w:before="60" w:line="231" w:lineRule="auto"/>
              <w:rPr>
                <w:rFonts w:hint="eastAsia" w:ascii="宋体" w:hAnsi="宋体" w:eastAsia="宋体" w:cs="宋体"/>
                <w:sz w:val="24"/>
                <w:szCs w:val="24"/>
              </w:rPr>
            </w:pPr>
            <w:r>
              <w:rPr>
                <w:rFonts w:hint="eastAsia" w:ascii="宋体" w:hAnsi="宋体" w:eastAsia="宋体" w:cs="宋体"/>
                <w:spacing w:val="-6"/>
                <w:sz w:val="24"/>
                <w:szCs w:val="24"/>
              </w:rPr>
              <w:t xml:space="preserve">点状污染</w:t>
            </w:r>
            <w:r/>
          </w:p>
          <w:p>
            <w:pPr>
              <w:pStyle w:val="1034"/>
              <w:ind w:left="158"/>
              <w:spacing w:before="57"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(处/500m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132" w:type="dxa"/>
            <w:vAlign w:val="top"/>
            <w:textDirection w:val="lrTb"/>
            <w:noWrap w:val="false"/>
          </w:tcPr>
          <w:p>
            <w:pPr>
              <w:pStyle w:val="1034"/>
              <w:ind w:left="208"/>
              <w:spacing w:before="60" w:line="231" w:lineRule="auto"/>
              <w:rPr>
                <w:rFonts w:hint="eastAsia" w:ascii="宋体" w:hAnsi="宋体" w:eastAsia="宋体" w:cs="宋体"/>
                <w:sz w:val="24"/>
                <w:szCs w:val="24"/>
              </w:rPr>
            </w:pPr>
            <w:r>
              <w:rPr>
                <w:rFonts w:hint="eastAsia" w:ascii="宋体" w:hAnsi="宋体" w:eastAsia="宋体" w:cs="宋体"/>
                <w:spacing w:val="-3"/>
                <w:sz w:val="24"/>
                <w:szCs w:val="24"/>
              </w:rPr>
              <w:t xml:space="preserve">块状污染</w:t>
            </w:r>
            <w:r/>
          </w:p>
          <w:p>
            <w:pPr>
              <w:pStyle w:val="1034"/>
              <w:ind w:left="159"/>
              <w:spacing w:before="57"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(处/500m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132" w:type="dxa"/>
            <w:vAlign w:val="top"/>
            <w:textDirection w:val="lrTb"/>
            <w:noWrap w:val="false"/>
          </w:tcPr>
          <w:p>
            <w:pPr>
              <w:pStyle w:val="1034"/>
              <w:ind w:left="213"/>
              <w:spacing w:before="60" w:line="231" w:lineRule="auto"/>
              <w:rPr>
                <w:rFonts w:hint="eastAsia" w:ascii="宋体" w:hAnsi="宋体" w:eastAsia="宋体" w:cs="宋体"/>
                <w:sz w:val="24"/>
                <w:szCs w:val="24"/>
              </w:rPr>
            </w:pPr>
            <w:r>
              <w:rPr>
                <w:rFonts w:hint="eastAsia" w:ascii="宋体" w:hAnsi="宋体" w:eastAsia="宋体" w:cs="宋体"/>
                <w:spacing w:val="-3"/>
                <w:sz w:val="24"/>
                <w:szCs w:val="24"/>
              </w:rPr>
              <w:t xml:space="preserve">条状污染</w:t>
            </w:r>
            <w:r/>
          </w:p>
          <w:p>
            <w:pPr>
              <w:pStyle w:val="1034"/>
              <w:ind w:left="162"/>
              <w:spacing w:before="57"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(处/500m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250" w:type="dxa"/>
            <w:vAlign w:val="top"/>
            <w:textDirection w:val="lrTb"/>
            <w:noWrap w:val="false"/>
          </w:tcPr>
          <w:p>
            <w:pPr>
              <w:pStyle w:val="1034"/>
              <w:ind w:left="465"/>
              <w:spacing w:before="60" w:line="233" w:lineRule="auto"/>
              <w:rPr>
                <w:rFonts w:hint="eastAsia" w:ascii="宋体" w:hAnsi="宋体" w:eastAsia="宋体" w:cs="宋体"/>
                <w:sz w:val="24"/>
                <w:szCs w:val="24"/>
              </w:rPr>
            </w:pPr>
            <w:r>
              <w:rPr>
                <w:rFonts w:hint="eastAsia" w:ascii="宋体" w:hAnsi="宋体" w:eastAsia="宋体" w:cs="宋体"/>
                <w:spacing w:val="-11"/>
                <w:sz w:val="24"/>
                <w:szCs w:val="24"/>
              </w:rPr>
              <w:t xml:space="preserve">落叶</w:t>
            </w:r>
            <w:r/>
          </w:p>
          <w:p>
            <w:pPr>
              <w:pStyle w:val="1034"/>
              <w:ind w:left="179"/>
              <w:spacing w:before="55"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(堆/500m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155" w:type="dxa"/>
            <w:vAlign w:val="top"/>
            <w:textDirection w:val="lrTb"/>
            <w:noWrap w:val="false"/>
          </w:tcPr>
          <w:p>
            <w:pPr>
              <w:pStyle w:val="1034"/>
              <w:ind w:left="413"/>
              <w:spacing w:before="60" w:line="235" w:lineRule="auto"/>
              <w:rPr>
                <w:rFonts w:hint="eastAsia" w:ascii="宋体" w:hAnsi="宋体" w:eastAsia="宋体" w:cs="宋体"/>
                <w:sz w:val="24"/>
                <w:szCs w:val="24"/>
              </w:rPr>
            </w:pPr>
            <w:r>
              <w:rPr>
                <w:rFonts w:hint="eastAsia" w:ascii="宋体" w:hAnsi="宋体" w:eastAsia="宋体" w:cs="宋体"/>
                <w:spacing w:val="-8"/>
                <w:sz w:val="24"/>
                <w:szCs w:val="24"/>
              </w:rPr>
              <w:t xml:space="preserve">污水</w:t>
            </w:r>
            <w:r/>
          </w:p>
          <w:p>
            <w:pPr>
              <w:ind w:left="168"/>
              <w:spacing w:before="81" w:line="206" w:lineRule="auto"/>
              <w:rPr>
                <w:rFonts w:hint="eastAsia" w:ascii="宋体" w:hAnsi="宋体" w:eastAsia="宋体" w:cs="宋体"/>
                <w:sz w:val="24"/>
                <w:szCs w:val="24"/>
              </w:rPr>
            </w:pPr>
            <w:r>
              <w:rPr>
                <w:rFonts w:hint="eastAsia" w:ascii="宋体" w:hAnsi="宋体" w:eastAsia="宋体" w:cs="宋体"/>
                <w:spacing w:val="-1"/>
                <w:sz w:val="24"/>
                <w:szCs w:val="24"/>
              </w:rPr>
              <w:t xml:space="preserve">(m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274" w:type="dxa"/>
            <w:vAlign w:val="top"/>
            <w:textDirection w:val="lrTb"/>
            <w:noWrap w:val="false"/>
          </w:tcPr>
          <w:p>
            <w:pPr>
              <w:pStyle w:val="1034"/>
              <w:ind w:left="130" w:right="103" w:firstLine="75"/>
              <w:spacing w:before="60" w:line="257" w:lineRule="auto"/>
              <w:rPr>
                <w:rFonts w:hint="eastAsia" w:ascii="宋体" w:hAnsi="宋体" w:eastAsia="宋体" w:cs="宋体"/>
                <w:sz w:val="24"/>
                <w:szCs w:val="24"/>
              </w:rPr>
            </w:pPr>
            <w:r>
              <w:rPr>
                <w:rFonts w:hint="eastAsia" w:ascii="宋体" w:hAnsi="宋体" w:eastAsia="宋体" w:cs="宋体"/>
                <w:spacing w:val="-4"/>
                <w:sz w:val="24"/>
                <w:szCs w:val="24"/>
              </w:rPr>
              <w:t xml:space="preserve">车行道本色</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呈现率（%）</w:t>
            </w:r>
            <w:r/>
          </w:p>
        </w:tc>
        <w:tc>
          <w:tcPr>
            <w:tcBorders>
              <w:top w:val="single" w:color="000000" w:sz="6" w:space="0"/>
              <w:bottom w:val="single" w:color="000000" w:sz="6" w:space="0"/>
              <w:right w:val="single" w:color="000000" w:sz="6" w:space="0"/>
            </w:tcBorders>
            <w:tcW w:w="1298" w:type="dxa"/>
            <w:vAlign w:val="top"/>
            <w:textDirection w:val="lrTb"/>
            <w:noWrap w:val="false"/>
          </w:tcPr>
          <w:p>
            <w:pPr>
              <w:pStyle w:val="1034"/>
              <w:ind w:left="138" w:right="112" w:firstLine="72"/>
              <w:spacing w:before="60" w:line="257" w:lineRule="auto"/>
              <w:rPr>
                <w:rFonts w:hint="eastAsia" w:ascii="宋体" w:hAnsi="宋体" w:eastAsia="宋体" w:cs="宋体"/>
                <w:sz w:val="24"/>
                <w:szCs w:val="24"/>
              </w:rPr>
            </w:pPr>
            <w:r>
              <w:rPr>
                <w:rFonts w:hint="eastAsia" w:ascii="宋体" w:hAnsi="宋体" w:eastAsia="宋体" w:cs="宋体"/>
                <w:spacing w:val="-3"/>
                <w:sz w:val="24"/>
                <w:szCs w:val="24"/>
              </w:rPr>
              <w:t xml:space="preserve">人行道本色</w:t>
            </w:r>
            <w:r>
              <w:rPr>
                <w:rFonts w:hint="eastAsia" w:ascii="宋体" w:hAnsi="宋体" w:eastAsia="宋体" w:cs="宋体"/>
                <w:spacing w:val="1"/>
                <w:sz w:val="24"/>
                <w:szCs w:val="24"/>
              </w:rPr>
              <w:t xml:space="preserve">  </w:t>
            </w:r>
            <w:r>
              <w:rPr>
                <w:rFonts w:hint="eastAsia" w:ascii="宋体" w:hAnsi="宋体" w:eastAsia="宋体" w:cs="宋体"/>
                <w:spacing w:val="-3"/>
                <w:sz w:val="24"/>
                <w:szCs w:val="24"/>
              </w:rPr>
              <w:t xml:space="preserve">呈现率（%）</w:t>
            </w:r>
            <w:r/>
          </w:p>
        </w:tc>
      </w:tr>
      <w:tr>
        <w:trPr>
          <w:trHeight w:val="310"/>
        </w:trPr>
        <w:tc>
          <w:tcPr>
            <w:tcBorders>
              <w:top w:val="single" w:color="000000" w:sz="6" w:space="0"/>
              <w:left w:val="single" w:color="000000" w:sz="6" w:space="0"/>
            </w:tcBorders>
            <w:tcW w:w="991" w:type="dxa"/>
            <w:vAlign w:val="top"/>
            <w:textDirection w:val="lrTb"/>
            <w:noWrap w:val="false"/>
          </w:tcPr>
          <w:p>
            <w:pPr>
              <w:pStyle w:val="1034"/>
              <w:ind w:left="326"/>
              <w:spacing w:before="54" w:line="224" w:lineRule="auto"/>
              <w:rPr>
                <w:rFonts w:hint="eastAsia" w:ascii="宋体" w:hAnsi="宋体" w:eastAsia="宋体" w:cs="宋体"/>
                <w:sz w:val="24"/>
                <w:szCs w:val="24"/>
              </w:rPr>
            </w:pPr>
            <w:r>
              <w:rPr>
                <w:rFonts w:hint="eastAsia" w:ascii="宋体" w:hAnsi="宋体" w:eastAsia="宋体" w:cs="宋体"/>
                <w:spacing w:val="-11"/>
                <w:sz w:val="24"/>
                <w:szCs w:val="24"/>
              </w:rPr>
              <w:t xml:space="preserve">一级</w:t>
            </w:r>
            <w:r/>
          </w:p>
        </w:tc>
        <w:tc>
          <w:tcPr>
            <w:tcBorders>
              <w:top w:val="single" w:color="000000" w:sz="6" w:space="0"/>
            </w:tcBorders>
            <w:tcW w:w="1132" w:type="dxa"/>
            <w:vAlign w:val="top"/>
            <w:textDirection w:val="lrTb"/>
            <w:noWrap w:val="false"/>
          </w:tcPr>
          <w:p>
            <w:pPr>
              <w:pStyle w:val="1034"/>
              <w:ind w:left="453"/>
              <w:spacing w:before="54" w:line="224" w:lineRule="auto"/>
              <w:rPr>
                <w:rFonts w:hint="eastAsia" w:ascii="宋体" w:hAnsi="宋体" w:eastAsia="宋体" w:cs="宋体"/>
                <w:sz w:val="24"/>
                <w:szCs w:val="24"/>
              </w:rPr>
            </w:pPr>
            <w:r>
              <w:rPr>
                <w:rFonts w:hint="eastAsia" w:ascii="宋体" w:hAnsi="宋体" w:eastAsia="宋体" w:cs="宋体"/>
                <w:spacing w:val="-15"/>
                <w:sz w:val="24"/>
                <w:szCs w:val="24"/>
              </w:rPr>
              <w:t xml:space="preserve">≤4</w:t>
            </w:r>
            <w:r/>
          </w:p>
        </w:tc>
        <w:tc>
          <w:tcPr>
            <w:tcBorders>
              <w:top w:val="single" w:color="000000" w:sz="6" w:space="0"/>
            </w:tcBorders>
            <w:tcW w:w="1132" w:type="dxa"/>
            <w:vAlign w:val="top"/>
            <w:textDirection w:val="lrTb"/>
            <w:noWrap w:val="false"/>
          </w:tcPr>
          <w:p>
            <w:pPr>
              <w:pStyle w:val="1034"/>
              <w:ind w:left="487"/>
              <w:spacing w:before="77"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Borders>
              <w:top w:val="single" w:color="000000" w:sz="6" w:space="0"/>
            </w:tcBorders>
            <w:tcW w:w="1132" w:type="dxa"/>
            <w:vAlign w:val="top"/>
            <w:textDirection w:val="lrTb"/>
            <w:noWrap w:val="false"/>
          </w:tcPr>
          <w:p>
            <w:pPr>
              <w:pStyle w:val="1034"/>
              <w:ind w:left="487"/>
              <w:spacing w:before="77"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Borders>
              <w:top w:val="single" w:color="000000" w:sz="6" w:space="0"/>
            </w:tcBorders>
            <w:tcW w:w="1250" w:type="dxa"/>
            <w:vAlign w:val="top"/>
            <w:textDirection w:val="lrTb"/>
            <w:noWrap w:val="false"/>
          </w:tcPr>
          <w:p>
            <w:pPr>
              <w:pStyle w:val="1034"/>
              <w:ind w:left="518"/>
              <w:spacing w:before="54" w:line="224" w:lineRule="auto"/>
              <w:rPr>
                <w:rFonts w:hint="eastAsia" w:ascii="宋体" w:hAnsi="宋体" w:eastAsia="宋体" w:cs="宋体"/>
                <w:sz w:val="24"/>
                <w:szCs w:val="24"/>
              </w:rPr>
            </w:pPr>
            <w:r>
              <w:rPr>
                <w:rFonts w:hint="eastAsia" w:ascii="宋体" w:hAnsi="宋体" w:eastAsia="宋体" w:cs="宋体"/>
                <w:spacing w:val="-15"/>
                <w:sz w:val="24"/>
                <w:szCs w:val="24"/>
              </w:rPr>
              <w:t xml:space="preserve">≤4</w:t>
            </w:r>
            <w:r/>
          </w:p>
        </w:tc>
        <w:tc>
          <w:tcPr>
            <w:tcBorders>
              <w:top w:val="single" w:color="000000" w:sz="6" w:space="0"/>
            </w:tcBorders>
            <w:tcW w:w="1155" w:type="dxa"/>
            <w:vAlign w:val="top"/>
            <w:textDirection w:val="lrTb"/>
            <w:noWrap w:val="false"/>
          </w:tcPr>
          <w:p>
            <w:pPr>
              <w:pStyle w:val="1034"/>
              <w:ind w:left="503"/>
              <w:spacing w:before="77"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Borders>
              <w:top w:val="single" w:color="000000" w:sz="6" w:space="0"/>
            </w:tcBorders>
            <w:tcW w:w="1274" w:type="dxa"/>
            <w:vAlign w:val="top"/>
            <w:textDirection w:val="lrTb"/>
            <w:noWrap w:val="false"/>
          </w:tcPr>
          <w:p>
            <w:pPr>
              <w:pStyle w:val="1034"/>
              <w:ind w:left="489"/>
              <w:spacing w:before="54" w:line="224" w:lineRule="auto"/>
              <w:rPr>
                <w:rFonts w:hint="eastAsia" w:ascii="宋体" w:hAnsi="宋体" w:eastAsia="宋体" w:cs="宋体"/>
                <w:sz w:val="24"/>
                <w:szCs w:val="24"/>
              </w:rPr>
            </w:pPr>
            <w:r>
              <w:rPr>
                <w:rFonts w:hint="eastAsia" w:ascii="宋体" w:hAnsi="宋体" w:eastAsia="宋体" w:cs="宋体"/>
                <w:spacing w:val="-10"/>
                <w:sz w:val="24"/>
                <w:szCs w:val="24"/>
              </w:rPr>
              <w:t xml:space="preserve">≥98</w:t>
            </w:r>
            <w:r/>
          </w:p>
        </w:tc>
        <w:tc>
          <w:tcPr>
            <w:tcBorders>
              <w:top w:val="single" w:color="000000" w:sz="6" w:space="0"/>
              <w:right w:val="single" w:color="000000" w:sz="6" w:space="0"/>
            </w:tcBorders>
            <w:tcW w:w="1298" w:type="dxa"/>
            <w:vAlign w:val="top"/>
            <w:textDirection w:val="lrTb"/>
            <w:noWrap w:val="false"/>
          </w:tcPr>
          <w:p>
            <w:pPr>
              <w:pStyle w:val="1034"/>
              <w:ind w:left="496"/>
              <w:spacing w:before="54" w:line="224" w:lineRule="auto"/>
              <w:rPr>
                <w:rFonts w:hint="eastAsia" w:ascii="宋体" w:hAnsi="宋体" w:eastAsia="宋体" w:cs="宋体"/>
                <w:sz w:val="24"/>
                <w:szCs w:val="24"/>
              </w:rPr>
            </w:pPr>
            <w:r>
              <w:rPr>
                <w:rFonts w:hint="eastAsia" w:ascii="宋体" w:hAnsi="宋体" w:eastAsia="宋体" w:cs="宋体"/>
                <w:spacing w:val="-10"/>
                <w:sz w:val="24"/>
                <w:szCs w:val="24"/>
              </w:rPr>
              <w:t xml:space="preserve">≥90</w:t>
            </w:r>
            <w:r/>
          </w:p>
        </w:tc>
      </w:tr>
      <w:tr>
        <w:trPr>
          <w:trHeight w:val="315"/>
        </w:trPr>
        <w:tc>
          <w:tcPr>
            <w:tcBorders>
              <w:left w:val="single" w:color="000000" w:sz="6" w:space="0"/>
            </w:tcBorders>
            <w:tcW w:w="991" w:type="dxa"/>
            <w:vAlign w:val="top"/>
            <w:textDirection w:val="lrTb"/>
            <w:noWrap w:val="false"/>
          </w:tcPr>
          <w:p>
            <w:pPr>
              <w:pStyle w:val="1034"/>
              <w:ind w:left="324"/>
              <w:spacing w:before="60" w:line="223" w:lineRule="auto"/>
              <w:rPr>
                <w:rFonts w:hint="eastAsia" w:ascii="宋体" w:hAnsi="宋体" w:eastAsia="宋体" w:cs="宋体"/>
                <w:sz w:val="24"/>
                <w:szCs w:val="24"/>
              </w:rPr>
            </w:pPr>
            <w:r>
              <w:rPr>
                <w:rFonts w:hint="eastAsia" w:ascii="宋体" w:hAnsi="宋体" w:eastAsia="宋体" w:cs="宋体"/>
                <w:spacing w:val="-9"/>
                <w:sz w:val="24"/>
                <w:szCs w:val="24"/>
              </w:rPr>
              <w:t xml:space="preserve">二级</w:t>
            </w:r>
            <w:r/>
          </w:p>
        </w:tc>
        <w:tc>
          <w:tcPr>
            <w:tcW w:w="1132" w:type="dxa"/>
            <w:vAlign w:val="top"/>
            <w:textDirection w:val="lrTb"/>
            <w:noWrap w:val="false"/>
          </w:tcPr>
          <w:p>
            <w:pPr>
              <w:pStyle w:val="1034"/>
              <w:ind w:left="453"/>
              <w:spacing w:before="60" w:line="223" w:lineRule="auto"/>
              <w:rPr>
                <w:rFonts w:hint="eastAsia" w:ascii="宋体" w:hAnsi="宋体" w:eastAsia="宋体" w:cs="宋体"/>
                <w:sz w:val="24"/>
                <w:szCs w:val="24"/>
              </w:rPr>
            </w:pPr>
            <w:r>
              <w:rPr>
                <w:rFonts w:hint="eastAsia" w:ascii="宋体" w:hAnsi="宋体" w:eastAsia="宋体" w:cs="宋体"/>
                <w:spacing w:val="-15"/>
                <w:sz w:val="24"/>
                <w:szCs w:val="24"/>
              </w:rPr>
              <w:t xml:space="preserve">≤6</w:t>
            </w:r>
            <w:r/>
          </w:p>
        </w:tc>
        <w:tc>
          <w:tcPr>
            <w:tcW w:w="1132" w:type="dxa"/>
            <w:vAlign w:val="top"/>
            <w:textDirection w:val="lrTb"/>
            <w:noWrap w:val="false"/>
          </w:tcPr>
          <w:p>
            <w:pPr>
              <w:pStyle w:val="1034"/>
              <w:ind w:left="487"/>
              <w:spacing w:before="83"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W w:w="1132" w:type="dxa"/>
            <w:vAlign w:val="top"/>
            <w:textDirection w:val="lrTb"/>
            <w:noWrap w:val="false"/>
          </w:tcPr>
          <w:p>
            <w:pPr>
              <w:pStyle w:val="1034"/>
              <w:ind w:left="487"/>
              <w:spacing w:before="83"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W w:w="1250" w:type="dxa"/>
            <w:vAlign w:val="top"/>
            <w:textDirection w:val="lrTb"/>
            <w:noWrap w:val="false"/>
          </w:tcPr>
          <w:p>
            <w:pPr>
              <w:pStyle w:val="1034"/>
              <w:ind w:left="518"/>
              <w:spacing w:before="60" w:line="223" w:lineRule="auto"/>
              <w:rPr>
                <w:rFonts w:hint="eastAsia" w:ascii="宋体" w:hAnsi="宋体" w:eastAsia="宋体" w:cs="宋体"/>
                <w:sz w:val="24"/>
                <w:szCs w:val="24"/>
              </w:rPr>
            </w:pPr>
            <w:r>
              <w:rPr>
                <w:rFonts w:hint="eastAsia" w:ascii="宋体" w:hAnsi="宋体" w:eastAsia="宋体" w:cs="宋体"/>
                <w:spacing w:val="-15"/>
                <w:sz w:val="24"/>
                <w:szCs w:val="24"/>
              </w:rPr>
              <w:t xml:space="preserve">≤6</w:t>
            </w:r>
            <w:r/>
          </w:p>
        </w:tc>
        <w:tc>
          <w:tcPr>
            <w:tcW w:w="1155" w:type="dxa"/>
            <w:vAlign w:val="top"/>
            <w:textDirection w:val="lrTb"/>
            <w:noWrap w:val="false"/>
          </w:tcPr>
          <w:p>
            <w:pPr>
              <w:pStyle w:val="1034"/>
              <w:ind w:left="503"/>
              <w:spacing w:before="83"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W w:w="1274" w:type="dxa"/>
            <w:vAlign w:val="top"/>
            <w:textDirection w:val="lrTb"/>
            <w:noWrap w:val="false"/>
          </w:tcPr>
          <w:p>
            <w:pPr>
              <w:pStyle w:val="1034"/>
              <w:ind w:left="489"/>
              <w:spacing w:before="60" w:line="223" w:lineRule="auto"/>
              <w:rPr>
                <w:rFonts w:hint="eastAsia" w:ascii="宋体" w:hAnsi="宋体" w:eastAsia="宋体" w:cs="宋体"/>
                <w:sz w:val="24"/>
                <w:szCs w:val="24"/>
              </w:rPr>
            </w:pPr>
            <w:r>
              <w:rPr>
                <w:rFonts w:hint="eastAsia" w:ascii="宋体" w:hAnsi="宋体" w:eastAsia="宋体" w:cs="宋体"/>
                <w:spacing w:val="-10"/>
                <w:sz w:val="24"/>
                <w:szCs w:val="24"/>
              </w:rPr>
              <w:t xml:space="preserve">≥95</w:t>
            </w:r>
            <w:r/>
          </w:p>
        </w:tc>
        <w:tc>
          <w:tcPr>
            <w:tcBorders>
              <w:right w:val="single" w:color="000000" w:sz="6" w:space="0"/>
            </w:tcBorders>
            <w:tcW w:w="1298" w:type="dxa"/>
            <w:vAlign w:val="top"/>
            <w:textDirection w:val="lrTb"/>
            <w:noWrap w:val="false"/>
          </w:tcPr>
          <w:p>
            <w:pPr>
              <w:pStyle w:val="1034"/>
              <w:ind w:left="496"/>
              <w:spacing w:before="60" w:line="223" w:lineRule="auto"/>
              <w:rPr>
                <w:rFonts w:hint="eastAsia" w:ascii="宋体" w:hAnsi="宋体" w:eastAsia="宋体" w:cs="宋体"/>
                <w:sz w:val="24"/>
                <w:szCs w:val="24"/>
              </w:rPr>
            </w:pPr>
            <w:r>
              <w:rPr>
                <w:rFonts w:hint="eastAsia" w:ascii="宋体" w:hAnsi="宋体" w:eastAsia="宋体" w:cs="宋体"/>
                <w:spacing w:val="-10"/>
                <w:sz w:val="24"/>
                <w:szCs w:val="24"/>
              </w:rPr>
              <w:t xml:space="preserve">≥85</w:t>
            </w:r>
            <w:r/>
          </w:p>
        </w:tc>
      </w:tr>
      <w:tr>
        <w:trPr>
          <w:trHeight w:val="315"/>
        </w:trPr>
        <w:tc>
          <w:tcPr>
            <w:tcBorders>
              <w:left w:val="single" w:color="000000" w:sz="6" w:space="0"/>
            </w:tcBorders>
            <w:tcW w:w="991" w:type="dxa"/>
            <w:vAlign w:val="top"/>
            <w:textDirection w:val="lrTb"/>
            <w:noWrap w:val="false"/>
          </w:tcPr>
          <w:p>
            <w:pPr>
              <w:pStyle w:val="1034"/>
              <w:ind w:left="326"/>
              <w:spacing w:before="62" w:line="221" w:lineRule="auto"/>
              <w:rPr>
                <w:rFonts w:hint="eastAsia" w:ascii="宋体" w:hAnsi="宋体" w:eastAsia="宋体" w:cs="宋体"/>
                <w:sz w:val="24"/>
                <w:szCs w:val="24"/>
              </w:rPr>
            </w:pPr>
            <w:r>
              <w:rPr>
                <w:rFonts w:hint="eastAsia" w:ascii="宋体" w:hAnsi="宋体" w:eastAsia="宋体" w:cs="宋体"/>
                <w:spacing w:val="-11"/>
                <w:sz w:val="24"/>
                <w:szCs w:val="24"/>
              </w:rPr>
              <w:t xml:space="preserve">三级</w:t>
            </w:r>
            <w:r/>
          </w:p>
        </w:tc>
        <w:tc>
          <w:tcPr>
            <w:tcW w:w="1132" w:type="dxa"/>
            <w:vAlign w:val="top"/>
            <w:textDirection w:val="lrTb"/>
            <w:noWrap w:val="false"/>
          </w:tcPr>
          <w:p>
            <w:pPr>
              <w:pStyle w:val="1034"/>
              <w:ind w:left="453"/>
              <w:spacing w:before="62" w:line="221" w:lineRule="auto"/>
              <w:rPr>
                <w:rFonts w:hint="eastAsia" w:ascii="宋体" w:hAnsi="宋体" w:eastAsia="宋体" w:cs="宋体"/>
                <w:sz w:val="24"/>
                <w:szCs w:val="24"/>
              </w:rPr>
            </w:pPr>
            <w:r>
              <w:rPr>
                <w:rFonts w:hint="eastAsia" w:ascii="宋体" w:hAnsi="宋体" w:eastAsia="宋体" w:cs="宋体"/>
                <w:spacing w:val="-15"/>
                <w:sz w:val="24"/>
                <w:szCs w:val="24"/>
              </w:rPr>
              <w:t xml:space="preserve">≤8</w:t>
            </w:r>
            <w:r/>
          </w:p>
        </w:tc>
        <w:tc>
          <w:tcPr>
            <w:tcW w:w="1132" w:type="dxa"/>
            <w:vAlign w:val="top"/>
            <w:textDirection w:val="lrTb"/>
            <w:noWrap w:val="false"/>
          </w:tcPr>
          <w:p>
            <w:pPr>
              <w:pStyle w:val="1034"/>
              <w:ind w:left="454"/>
              <w:spacing w:before="62" w:line="221" w:lineRule="auto"/>
              <w:rPr>
                <w:rFonts w:hint="eastAsia" w:ascii="宋体" w:hAnsi="宋体" w:eastAsia="宋体" w:cs="宋体"/>
                <w:sz w:val="24"/>
                <w:szCs w:val="24"/>
              </w:rPr>
            </w:pPr>
            <w:r>
              <w:rPr>
                <w:rFonts w:hint="eastAsia" w:ascii="宋体" w:hAnsi="宋体" w:eastAsia="宋体" w:cs="宋体"/>
                <w:spacing w:val="-15"/>
                <w:sz w:val="24"/>
                <w:szCs w:val="24"/>
              </w:rPr>
              <w:t xml:space="preserve">≤</w:t>
            </w:r>
            <w:r>
              <w:rPr>
                <w:rFonts w:hint="eastAsia" w:ascii="宋体" w:hAnsi="宋体" w:eastAsia="宋体" w:cs="宋体"/>
                <w:spacing w:val="-59"/>
                <w:sz w:val="24"/>
                <w:szCs w:val="24"/>
              </w:rPr>
              <w:t xml:space="preserve"> </w:t>
            </w:r>
            <w:r>
              <w:rPr>
                <w:rFonts w:hint="eastAsia" w:ascii="宋体" w:hAnsi="宋体" w:eastAsia="宋体" w:cs="宋体"/>
                <w:spacing w:val="-15"/>
                <w:sz w:val="24"/>
                <w:szCs w:val="24"/>
              </w:rPr>
              <w:t xml:space="preserve">1</w:t>
            </w:r>
            <w:r/>
          </w:p>
        </w:tc>
        <w:tc>
          <w:tcPr>
            <w:tcW w:w="1132" w:type="dxa"/>
            <w:vAlign w:val="top"/>
            <w:textDirection w:val="lrTb"/>
            <w:noWrap w:val="false"/>
          </w:tcPr>
          <w:p>
            <w:pPr>
              <w:pStyle w:val="1034"/>
              <w:ind w:left="487"/>
              <w:spacing w:before="85"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W w:w="1250" w:type="dxa"/>
            <w:vAlign w:val="top"/>
            <w:textDirection w:val="lrTb"/>
            <w:noWrap w:val="false"/>
          </w:tcPr>
          <w:p>
            <w:pPr>
              <w:pStyle w:val="1034"/>
              <w:ind w:left="518"/>
              <w:spacing w:before="62" w:line="221" w:lineRule="auto"/>
              <w:rPr>
                <w:rFonts w:hint="eastAsia" w:ascii="宋体" w:hAnsi="宋体" w:eastAsia="宋体" w:cs="宋体"/>
                <w:sz w:val="24"/>
                <w:szCs w:val="24"/>
              </w:rPr>
            </w:pPr>
            <w:r>
              <w:rPr>
                <w:rFonts w:hint="eastAsia" w:ascii="宋体" w:hAnsi="宋体" w:eastAsia="宋体" w:cs="宋体"/>
                <w:spacing w:val="-15"/>
                <w:sz w:val="24"/>
                <w:szCs w:val="24"/>
              </w:rPr>
              <w:t xml:space="preserve">≤8</w:t>
            </w:r>
            <w:r/>
          </w:p>
        </w:tc>
        <w:tc>
          <w:tcPr>
            <w:tcW w:w="1155" w:type="dxa"/>
            <w:vAlign w:val="top"/>
            <w:textDirection w:val="lrTb"/>
            <w:noWrap w:val="false"/>
          </w:tcPr>
          <w:p>
            <w:pPr>
              <w:pStyle w:val="1034"/>
              <w:ind w:left="403"/>
              <w:spacing w:before="62" w:line="221" w:lineRule="auto"/>
              <w:rPr>
                <w:rFonts w:hint="eastAsia" w:ascii="宋体" w:hAnsi="宋体" w:eastAsia="宋体" w:cs="宋体"/>
                <w:sz w:val="24"/>
                <w:szCs w:val="24"/>
              </w:rPr>
            </w:pPr>
            <w:r>
              <w:rPr>
                <w:rFonts w:hint="eastAsia" w:ascii="宋体" w:hAnsi="宋体" w:eastAsia="宋体" w:cs="宋体"/>
                <w:spacing w:val="-7"/>
                <w:sz w:val="24"/>
                <w:szCs w:val="24"/>
              </w:rPr>
              <w:t xml:space="preserve">≤0.5</w:t>
            </w:r>
            <w:r/>
          </w:p>
        </w:tc>
        <w:tc>
          <w:tcPr>
            <w:tcW w:w="1274" w:type="dxa"/>
            <w:vAlign w:val="top"/>
            <w:textDirection w:val="lrTb"/>
            <w:noWrap w:val="false"/>
          </w:tcPr>
          <w:p>
            <w:pPr>
              <w:pStyle w:val="1034"/>
              <w:ind w:left="489"/>
              <w:spacing w:before="62" w:line="221" w:lineRule="auto"/>
              <w:rPr>
                <w:rFonts w:hint="eastAsia" w:ascii="宋体" w:hAnsi="宋体" w:eastAsia="宋体" w:cs="宋体"/>
                <w:sz w:val="24"/>
                <w:szCs w:val="24"/>
              </w:rPr>
            </w:pPr>
            <w:r>
              <w:rPr>
                <w:rFonts w:hint="eastAsia" w:ascii="宋体" w:hAnsi="宋体" w:eastAsia="宋体" w:cs="宋体"/>
                <w:spacing w:val="-10"/>
                <w:sz w:val="24"/>
                <w:szCs w:val="24"/>
              </w:rPr>
              <w:t xml:space="preserve">≥90</w:t>
            </w:r>
            <w:r/>
          </w:p>
        </w:tc>
        <w:tc>
          <w:tcPr>
            <w:tcBorders>
              <w:right w:val="single" w:color="000000" w:sz="6" w:space="0"/>
            </w:tcBorders>
            <w:tcW w:w="1298" w:type="dxa"/>
            <w:vAlign w:val="top"/>
            <w:textDirection w:val="lrTb"/>
            <w:noWrap w:val="false"/>
          </w:tcPr>
          <w:p>
            <w:pPr>
              <w:pStyle w:val="1034"/>
              <w:ind w:left="496"/>
              <w:spacing w:before="62" w:line="221" w:lineRule="auto"/>
              <w:rPr>
                <w:rFonts w:hint="eastAsia" w:ascii="宋体" w:hAnsi="宋体" w:eastAsia="宋体" w:cs="宋体"/>
                <w:sz w:val="24"/>
                <w:szCs w:val="24"/>
              </w:rPr>
            </w:pPr>
            <w:r>
              <w:rPr>
                <w:rFonts w:hint="eastAsia" w:ascii="宋体" w:hAnsi="宋体" w:eastAsia="宋体" w:cs="宋体"/>
                <w:spacing w:val="-10"/>
                <w:sz w:val="24"/>
                <w:szCs w:val="24"/>
              </w:rPr>
              <w:t xml:space="preserve">≥80</w:t>
            </w:r>
            <w:r/>
          </w:p>
        </w:tc>
      </w:tr>
      <w:tr>
        <w:trPr>
          <w:trHeight w:val="315"/>
        </w:trPr>
        <w:tc>
          <w:tcPr>
            <w:tcBorders>
              <w:left w:val="single" w:color="000000" w:sz="6" w:space="0"/>
            </w:tcBorders>
            <w:tcW w:w="991" w:type="dxa"/>
            <w:vAlign w:val="top"/>
            <w:textDirection w:val="lrTb"/>
            <w:noWrap w:val="false"/>
          </w:tcPr>
          <w:p>
            <w:pPr>
              <w:pStyle w:val="1034"/>
              <w:ind w:left="340"/>
              <w:spacing w:before="63" w:line="220" w:lineRule="auto"/>
              <w:rPr>
                <w:rFonts w:hint="eastAsia" w:ascii="宋体" w:hAnsi="宋体" w:eastAsia="宋体" w:cs="宋体"/>
                <w:sz w:val="24"/>
                <w:szCs w:val="24"/>
              </w:rPr>
            </w:pPr>
            <w:r>
              <w:rPr>
                <w:rFonts w:hint="eastAsia" w:ascii="宋体" w:hAnsi="宋体" w:eastAsia="宋体" w:cs="宋体"/>
                <w:spacing w:val="-17"/>
                <w:sz w:val="24"/>
                <w:szCs w:val="24"/>
              </w:rPr>
              <w:t xml:space="preserve">四级</w:t>
            </w:r>
            <w:r/>
          </w:p>
        </w:tc>
        <w:tc>
          <w:tcPr>
            <w:tcW w:w="1132" w:type="dxa"/>
            <w:vAlign w:val="top"/>
            <w:textDirection w:val="lrTb"/>
            <w:noWrap w:val="false"/>
          </w:tcPr>
          <w:p>
            <w:pPr>
              <w:pStyle w:val="1034"/>
              <w:ind w:left="407"/>
              <w:spacing w:before="63" w:line="220" w:lineRule="auto"/>
              <w:rPr>
                <w:rFonts w:hint="eastAsia" w:ascii="宋体" w:hAnsi="宋体" w:eastAsia="宋体" w:cs="宋体"/>
                <w:sz w:val="24"/>
                <w:szCs w:val="24"/>
              </w:rPr>
            </w:pPr>
            <w:r>
              <w:rPr>
                <w:rFonts w:hint="eastAsia" w:ascii="宋体" w:hAnsi="宋体" w:eastAsia="宋体" w:cs="宋体"/>
                <w:spacing w:val="-17"/>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7"/>
                <w:sz w:val="24"/>
                <w:szCs w:val="24"/>
              </w:rPr>
              <w:t xml:space="preserve">10</w:t>
            </w:r>
            <w:r/>
          </w:p>
        </w:tc>
        <w:tc>
          <w:tcPr>
            <w:tcW w:w="1132" w:type="dxa"/>
            <w:vAlign w:val="top"/>
            <w:textDirection w:val="lrTb"/>
            <w:noWrap w:val="false"/>
          </w:tcPr>
          <w:p>
            <w:pPr>
              <w:pStyle w:val="1034"/>
              <w:ind w:left="454"/>
              <w:spacing w:before="63" w:line="220" w:lineRule="auto"/>
              <w:rPr>
                <w:rFonts w:hint="eastAsia" w:ascii="宋体" w:hAnsi="宋体" w:eastAsia="宋体" w:cs="宋体"/>
                <w:sz w:val="24"/>
                <w:szCs w:val="24"/>
              </w:rPr>
            </w:pPr>
            <w:r>
              <w:rPr>
                <w:rFonts w:hint="eastAsia" w:ascii="宋体" w:hAnsi="宋体" w:eastAsia="宋体" w:cs="宋体"/>
                <w:spacing w:val="-15"/>
                <w:sz w:val="24"/>
                <w:szCs w:val="24"/>
              </w:rPr>
              <w:t xml:space="preserve">≤2</w:t>
            </w:r>
            <w:r/>
          </w:p>
        </w:tc>
        <w:tc>
          <w:tcPr>
            <w:tcW w:w="1132" w:type="dxa"/>
            <w:vAlign w:val="top"/>
            <w:textDirection w:val="lrTb"/>
            <w:noWrap w:val="false"/>
          </w:tcPr>
          <w:p>
            <w:pPr>
              <w:pStyle w:val="1034"/>
              <w:ind w:left="487"/>
              <w:spacing w:before="87"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W w:w="1250" w:type="dxa"/>
            <w:vAlign w:val="top"/>
            <w:textDirection w:val="lrTb"/>
            <w:noWrap w:val="false"/>
          </w:tcPr>
          <w:p>
            <w:pPr>
              <w:pStyle w:val="1034"/>
              <w:ind w:left="472"/>
              <w:spacing w:before="63" w:line="220" w:lineRule="auto"/>
              <w:rPr>
                <w:rFonts w:hint="eastAsia" w:ascii="宋体" w:hAnsi="宋体" w:eastAsia="宋体" w:cs="宋体"/>
                <w:sz w:val="24"/>
                <w:szCs w:val="24"/>
              </w:rPr>
            </w:pPr>
            <w:r>
              <w:rPr>
                <w:rFonts w:hint="eastAsia" w:ascii="宋体" w:hAnsi="宋体" w:eastAsia="宋体" w:cs="宋体"/>
                <w:spacing w:val="-17"/>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7"/>
                <w:sz w:val="24"/>
                <w:szCs w:val="24"/>
              </w:rPr>
              <w:t xml:space="preserve">10</w:t>
            </w:r>
            <w:r/>
          </w:p>
        </w:tc>
        <w:tc>
          <w:tcPr>
            <w:tcW w:w="1155" w:type="dxa"/>
            <w:vAlign w:val="top"/>
            <w:textDirection w:val="lrTb"/>
            <w:noWrap w:val="false"/>
          </w:tcPr>
          <w:p>
            <w:pPr>
              <w:pStyle w:val="1034"/>
              <w:ind w:left="470"/>
              <w:spacing w:before="63" w:line="220" w:lineRule="auto"/>
              <w:rPr>
                <w:rFonts w:hint="eastAsia" w:ascii="宋体" w:hAnsi="宋体" w:eastAsia="宋体" w:cs="宋体"/>
                <w:sz w:val="24"/>
                <w:szCs w:val="24"/>
              </w:rPr>
            </w:pPr>
            <w:r>
              <w:rPr>
                <w:rFonts w:hint="eastAsia" w:ascii="宋体" w:hAnsi="宋体" w:eastAsia="宋体" w:cs="宋体"/>
                <w:spacing w:val="-15"/>
                <w:sz w:val="24"/>
                <w:szCs w:val="24"/>
              </w:rPr>
              <w:t xml:space="preserve">≤</w:t>
            </w:r>
            <w:r>
              <w:rPr>
                <w:rFonts w:hint="eastAsia" w:ascii="宋体" w:hAnsi="宋体" w:eastAsia="宋体" w:cs="宋体"/>
                <w:spacing w:val="-59"/>
                <w:sz w:val="24"/>
                <w:szCs w:val="24"/>
              </w:rPr>
              <w:t xml:space="preserve"> </w:t>
            </w:r>
            <w:r>
              <w:rPr>
                <w:rFonts w:hint="eastAsia" w:ascii="宋体" w:hAnsi="宋体" w:eastAsia="宋体" w:cs="宋体"/>
                <w:spacing w:val="-15"/>
                <w:sz w:val="24"/>
                <w:szCs w:val="24"/>
              </w:rPr>
              <w:t xml:space="preserve">1</w:t>
            </w:r>
            <w:r/>
          </w:p>
        </w:tc>
        <w:tc>
          <w:tcPr>
            <w:tcW w:w="1274" w:type="dxa"/>
            <w:vAlign w:val="top"/>
            <w:textDirection w:val="lrTb"/>
            <w:noWrap w:val="false"/>
          </w:tcPr>
          <w:p>
            <w:pPr>
              <w:pStyle w:val="1034"/>
              <w:ind w:left="489"/>
              <w:spacing w:before="63" w:line="220" w:lineRule="auto"/>
              <w:rPr>
                <w:rFonts w:hint="eastAsia" w:ascii="宋体" w:hAnsi="宋体" w:eastAsia="宋体" w:cs="宋体"/>
                <w:sz w:val="24"/>
                <w:szCs w:val="24"/>
              </w:rPr>
            </w:pPr>
            <w:r>
              <w:rPr>
                <w:rFonts w:hint="eastAsia" w:ascii="宋体" w:hAnsi="宋体" w:eastAsia="宋体" w:cs="宋体"/>
                <w:spacing w:val="-10"/>
                <w:sz w:val="24"/>
                <w:szCs w:val="24"/>
              </w:rPr>
              <w:t xml:space="preserve">≥85</w:t>
            </w:r>
            <w:r/>
          </w:p>
        </w:tc>
        <w:tc>
          <w:tcPr>
            <w:tcBorders>
              <w:right w:val="single" w:color="000000" w:sz="6" w:space="0"/>
            </w:tcBorders>
            <w:tcW w:w="1298" w:type="dxa"/>
            <w:vAlign w:val="top"/>
            <w:textDirection w:val="lrTb"/>
            <w:noWrap w:val="false"/>
          </w:tcPr>
          <w:p>
            <w:pPr>
              <w:pStyle w:val="1034"/>
              <w:ind w:left="496"/>
              <w:spacing w:before="63" w:line="220" w:lineRule="auto"/>
              <w:rPr>
                <w:rFonts w:hint="eastAsia" w:ascii="宋体" w:hAnsi="宋体" w:eastAsia="宋体" w:cs="宋体"/>
                <w:sz w:val="24"/>
                <w:szCs w:val="24"/>
              </w:rPr>
            </w:pPr>
            <w:r>
              <w:rPr>
                <w:rFonts w:hint="eastAsia" w:ascii="宋体" w:hAnsi="宋体" w:eastAsia="宋体" w:cs="宋体"/>
                <w:spacing w:val="-10"/>
                <w:sz w:val="24"/>
                <w:szCs w:val="24"/>
              </w:rPr>
              <w:t xml:space="preserve">≥75</w:t>
            </w:r>
            <w:r/>
          </w:p>
        </w:tc>
      </w:tr>
      <w:tr>
        <w:trPr>
          <w:trHeight w:val="329"/>
        </w:trPr>
        <w:tc>
          <w:tcPr>
            <w:gridSpan w:val="8"/>
            <w:tcBorders>
              <w:left w:val="single" w:color="000000" w:sz="6" w:space="0"/>
              <w:bottom w:val="single" w:color="000000" w:sz="6" w:space="0"/>
              <w:right w:val="single" w:color="000000" w:sz="6" w:space="0"/>
            </w:tcBorders>
            <w:tcW w:w="9364" w:type="dxa"/>
            <w:vAlign w:val="top"/>
            <w:textDirection w:val="lrTb"/>
            <w:noWrap w:val="false"/>
          </w:tcPr>
          <w:p>
            <w:pPr>
              <w:pStyle w:val="1034"/>
              <w:ind w:left="295"/>
              <w:spacing w:before="67" w:line="229" w:lineRule="auto"/>
              <w:rPr>
                <w:rFonts w:hint="eastAsia" w:ascii="宋体" w:hAnsi="宋体" w:eastAsia="宋体" w:cs="宋体"/>
                <w:sz w:val="24"/>
                <w:szCs w:val="24"/>
              </w:rPr>
            </w:pPr>
            <w:r>
              <w:rPr>
                <w:rFonts w:hint="eastAsia" w:ascii="宋体" w:hAnsi="宋体" w:eastAsia="宋体" w:cs="宋体"/>
                <w:spacing w:val="-3"/>
                <w:sz w:val="24"/>
                <w:szCs w:val="24"/>
              </w:rPr>
              <w:t xml:space="preserve">注</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 xml:space="preserve">：人行道以</w:t>
            </w:r>
            <w:r>
              <w:rPr>
                <w:rFonts w:hint="eastAsia" w:ascii="宋体" w:hAnsi="宋体" w:eastAsia="宋体" w:cs="宋体"/>
                <w:spacing w:val="-26"/>
                <w:sz w:val="24"/>
                <w:szCs w:val="24"/>
              </w:rPr>
              <w:t xml:space="preserve"> </w:t>
            </w:r>
            <w:r>
              <w:rPr>
                <w:rFonts w:hint="eastAsia" w:ascii="宋体" w:hAnsi="宋体" w:eastAsia="宋体" w:cs="宋体"/>
                <w:spacing w:val="-3"/>
                <w:sz w:val="24"/>
                <w:szCs w:val="24"/>
              </w:rPr>
              <w:t xml:space="preserve">50 m</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长度为单元，污染物参照路面污染物标准。</w:t>
            </w:r>
            <w:r/>
          </w:p>
        </w:tc>
      </w:tr>
    </w:tbl>
    <w:p>
      <w:pPr>
        <w:rPr>
          <w:rFonts w:hint="eastAsia" w:ascii="宋体" w:hAnsi="宋体" w:eastAsia="宋体" w:cs="宋体"/>
          <w:sz w:val="24"/>
          <w:szCs w:val="24"/>
        </w:rPr>
      </w:pPr>
      <w:r>
        <w:rPr>
          <w:rFonts w:hint="eastAsia" w:ascii="宋体" w:hAnsi="宋体" w:eastAsia="宋体" w:cs="宋体"/>
          <w:sz w:val="24"/>
          <w:szCs w:val="24"/>
        </w:rPr>
      </w:r>
      <w:r/>
    </w:p>
    <w:p>
      <w:pPr>
        <w:pStyle w:val="869"/>
        <w:ind w:left="2837"/>
        <w:spacing w:before="48" w:line="223" w:lineRule="auto"/>
        <w:rPr>
          <w:rFonts w:hint="eastAsia" w:ascii="宋体" w:hAnsi="宋体" w:eastAsia="宋体" w:cs="宋体"/>
          <w:sz w:val="24"/>
          <w:szCs w:val="24"/>
        </w:rPr>
        <w:outlineLvl w:val="0"/>
      </w:pPr>
      <w:r>
        <w:rPr>
          <w:rFonts w:hint="eastAsia" w:ascii="宋体" w:hAnsi="宋体" w:eastAsia="宋体" w:cs="宋体"/>
          <w:spacing w:val="6"/>
          <w:sz w:val="24"/>
          <w:szCs w:val="24"/>
        </w:rPr>
        <w:t xml:space="preserve">表2    街巷路面污染物控制标准</w:t>
      </w:r>
      <w:r/>
    </w:p>
    <w:tbl>
      <w:tblPr>
        <w:tblStyle w:val="1299"/>
        <w:tblW w:w="935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3"/>
        <w:gridCol w:w="1334"/>
        <w:gridCol w:w="1334"/>
        <w:gridCol w:w="1334"/>
        <w:gridCol w:w="1335"/>
        <w:gridCol w:w="1335"/>
        <w:gridCol w:w="1344"/>
      </w:tblGrid>
      <w:tr>
        <w:trPr>
          <w:trHeight w:val="631"/>
        </w:trPr>
        <w:tc>
          <w:tcPr>
            <w:tcBorders>
              <w:top w:val="single" w:color="000000" w:sz="6" w:space="0"/>
              <w:left w:val="single" w:color="000000" w:sz="6" w:space="0"/>
              <w:bottom w:val="single" w:color="000000" w:sz="6" w:space="0"/>
            </w:tcBorders>
            <w:tcW w:w="1343" w:type="dxa"/>
            <w:vAlign w:val="top"/>
            <w:textDirection w:val="lrTb"/>
            <w:noWrap w:val="false"/>
          </w:tcPr>
          <w:p>
            <w:pPr>
              <w:pStyle w:val="1034"/>
              <w:ind w:left="309"/>
              <w:spacing w:before="216" w:line="233" w:lineRule="auto"/>
              <w:rPr>
                <w:rFonts w:hint="eastAsia" w:ascii="宋体" w:hAnsi="宋体" w:eastAsia="宋体" w:cs="宋体"/>
                <w:sz w:val="24"/>
                <w:szCs w:val="24"/>
              </w:rPr>
            </w:pPr>
            <w:r>
              <w:rPr>
                <w:rFonts w:hint="eastAsia" w:ascii="宋体" w:hAnsi="宋体" w:eastAsia="宋体" w:cs="宋体"/>
                <w:spacing w:val="-2"/>
                <w:sz w:val="24"/>
                <w:szCs w:val="24"/>
              </w:rPr>
              <w:t xml:space="preserve">保洁等级</w:t>
            </w:r>
            <w:r/>
          </w:p>
        </w:tc>
        <w:tc>
          <w:tcPr>
            <w:tcBorders>
              <w:top w:val="single" w:color="000000" w:sz="6" w:space="0"/>
              <w:bottom w:val="single" w:color="000000" w:sz="6" w:space="0"/>
            </w:tcBorders>
            <w:tcW w:w="1334" w:type="dxa"/>
            <w:vAlign w:val="top"/>
            <w:textDirection w:val="lrTb"/>
            <w:noWrap w:val="false"/>
          </w:tcPr>
          <w:p>
            <w:pPr>
              <w:pStyle w:val="1034"/>
              <w:ind w:left="322"/>
              <w:spacing w:before="60" w:line="231" w:lineRule="auto"/>
              <w:rPr>
                <w:rFonts w:hint="eastAsia" w:ascii="宋体" w:hAnsi="宋体" w:eastAsia="宋体" w:cs="宋体"/>
                <w:sz w:val="24"/>
                <w:szCs w:val="24"/>
              </w:rPr>
            </w:pPr>
            <w:r>
              <w:rPr>
                <w:rFonts w:hint="eastAsia" w:ascii="宋体" w:hAnsi="宋体" w:eastAsia="宋体" w:cs="宋体"/>
                <w:spacing w:val="-6"/>
                <w:sz w:val="24"/>
                <w:szCs w:val="24"/>
              </w:rPr>
              <w:t xml:space="preserve">点状污染</w:t>
            </w:r>
            <w:r/>
          </w:p>
          <w:p>
            <w:pPr>
              <w:pStyle w:val="1034"/>
              <w:ind w:left="259"/>
              <w:spacing w:before="57"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(处/500m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334" w:type="dxa"/>
            <w:vAlign w:val="top"/>
            <w:textDirection w:val="lrTb"/>
            <w:noWrap w:val="false"/>
          </w:tcPr>
          <w:p>
            <w:pPr>
              <w:pStyle w:val="1034"/>
              <w:ind w:left="311"/>
              <w:spacing w:before="60" w:line="231" w:lineRule="auto"/>
              <w:rPr>
                <w:rFonts w:hint="eastAsia" w:ascii="宋体" w:hAnsi="宋体" w:eastAsia="宋体" w:cs="宋体"/>
                <w:sz w:val="24"/>
                <w:szCs w:val="24"/>
              </w:rPr>
            </w:pPr>
            <w:r>
              <w:rPr>
                <w:rFonts w:hint="eastAsia" w:ascii="宋体" w:hAnsi="宋体" w:eastAsia="宋体" w:cs="宋体"/>
                <w:spacing w:val="-3"/>
                <w:sz w:val="24"/>
                <w:szCs w:val="24"/>
              </w:rPr>
              <w:t xml:space="preserve">块状污染</w:t>
            </w:r>
            <w:r/>
          </w:p>
          <w:p>
            <w:pPr>
              <w:pStyle w:val="1034"/>
              <w:ind w:left="262"/>
              <w:spacing w:before="57"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(处/500m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334" w:type="dxa"/>
            <w:vAlign w:val="top"/>
            <w:textDirection w:val="lrTb"/>
            <w:noWrap w:val="false"/>
          </w:tcPr>
          <w:p>
            <w:pPr>
              <w:pStyle w:val="1034"/>
              <w:ind w:left="314"/>
              <w:spacing w:before="60" w:line="231" w:lineRule="auto"/>
              <w:rPr>
                <w:rFonts w:hint="eastAsia" w:ascii="宋体" w:hAnsi="宋体" w:eastAsia="宋体" w:cs="宋体"/>
                <w:sz w:val="24"/>
                <w:szCs w:val="24"/>
              </w:rPr>
            </w:pPr>
            <w:r>
              <w:rPr>
                <w:rFonts w:hint="eastAsia" w:ascii="宋体" w:hAnsi="宋体" w:eastAsia="宋体" w:cs="宋体"/>
                <w:spacing w:val="-3"/>
                <w:sz w:val="24"/>
                <w:szCs w:val="24"/>
              </w:rPr>
              <w:t xml:space="preserve">条状污染</w:t>
            </w:r>
            <w:r/>
          </w:p>
          <w:p>
            <w:pPr>
              <w:pStyle w:val="1034"/>
              <w:ind w:left="263"/>
              <w:spacing w:before="57"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(处/500m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335" w:type="dxa"/>
            <w:vAlign w:val="top"/>
            <w:textDirection w:val="lrTb"/>
            <w:noWrap w:val="false"/>
          </w:tcPr>
          <w:p>
            <w:pPr>
              <w:pStyle w:val="1034"/>
              <w:ind w:left="508"/>
              <w:spacing w:before="60" w:line="233" w:lineRule="auto"/>
              <w:rPr>
                <w:rFonts w:hint="eastAsia" w:ascii="宋体" w:hAnsi="宋体" w:eastAsia="宋体" w:cs="宋体"/>
                <w:sz w:val="24"/>
                <w:szCs w:val="24"/>
              </w:rPr>
            </w:pPr>
            <w:r>
              <w:rPr>
                <w:rFonts w:hint="eastAsia" w:ascii="宋体" w:hAnsi="宋体" w:eastAsia="宋体" w:cs="宋体"/>
                <w:spacing w:val="-11"/>
                <w:sz w:val="24"/>
                <w:szCs w:val="24"/>
              </w:rPr>
              <w:t xml:space="preserve">落叶</w:t>
            </w:r>
            <w:r/>
          </w:p>
          <w:p>
            <w:pPr>
              <w:pStyle w:val="1034"/>
              <w:ind w:left="222"/>
              <w:spacing w:before="55" w:line="217" w:lineRule="auto"/>
              <w:rPr>
                <w:rFonts w:hint="eastAsia" w:ascii="宋体" w:hAnsi="宋体" w:eastAsia="宋体" w:cs="宋体"/>
                <w:sz w:val="24"/>
                <w:szCs w:val="24"/>
              </w:rPr>
            </w:pPr>
            <w:r>
              <w:rPr>
                <w:rFonts w:hint="eastAsia" w:ascii="宋体" w:hAnsi="宋体" w:eastAsia="宋体" w:cs="宋体"/>
                <w:spacing w:val="-1"/>
                <w:sz w:val="24"/>
                <w:szCs w:val="24"/>
              </w:rPr>
              <w:t xml:space="preserve">(堆/500m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tcBorders>
            <w:tcW w:w="1335" w:type="dxa"/>
            <w:vAlign w:val="top"/>
            <w:textDirection w:val="lrTb"/>
            <w:noWrap w:val="false"/>
          </w:tcPr>
          <w:p>
            <w:pPr>
              <w:pStyle w:val="1034"/>
              <w:ind w:left="503"/>
              <w:spacing w:before="60" w:line="235" w:lineRule="auto"/>
              <w:rPr>
                <w:rFonts w:hint="eastAsia" w:ascii="宋体" w:hAnsi="宋体" w:eastAsia="宋体" w:cs="宋体"/>
                <w:sz w:val="24"/>
                <w:szCs w:val="24"/>
              </w:rPr>
            </w:pPr>
            <w:r>
              <w:rPr>
                <w:rFonts w:hint="eastAsia" w:ascii="宋体" w:hAnsi="宋体" w:eastAsia="宋体" w:cs="宋体"/>
                <w:spacing w:val="-8"/>
                <w:sz w:val="24"/>
                <w:szCs w:val="24"/>
              </w:rPr>
              <w:t xml:space="preserve">污水</w:t>
            </w:r>
            <w:r/>
          </w:p>
          <w:p>
            <w:pPr>
              <w:ind w:left="258"/>
              <w:spacing w:before="81" w:line="206" w:lineRule="auto"/>
              <w:rPr>
                <w:rFonts w:hint="eastAsia" w:ascii="宋体" w:hAnsi="宋体" w:eastAsia="宋体" w:cs="宋体"/>
                <w:sz w:val="24"/>
                <w:szCs w:val="24"/>
              </w:rPr>
            </w:pPr>
            <w:r>
              <w:rPr>
                <w:rFonts w:hint="eastAsia" w:ascii="宋体" w:hAnsi="宋体" w:eastAsia="宋体" w:cs="宋体"/>
                <w:spacing w:val="-1"/>
                <w:sz w:val="24"/>
                <w:szCs w:val="24"/>
              </w:rPr>
              <w:t xml:space="preserve">(m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/500m</w:t>
            </w:r>
            <w:r>
              <w:rPr>
                <w:rFonts w:hint="eastAsia" w:ascii="宋体" w:hAnsi="宋体" w:eastAsia="宋体" w:cs="宋体"/>
                <w:spacing w:val="-1"/>
                <w:position w:val="5"/>
                <w:sz w:val="24"/>
                <w:szCs w:val="24"/>
              </w:rPr>
              <w:t xml:space="preserve">2</w:t>
            </w:r>
            <w:r>
              <w:rPr>
                <w:rFonts w:hint="eastAsia" w:ascii="宋体" w:hAnsi="宋体" w:eastAsia="宋体" w:cs="宋体"/>
                <w:spacing w:val="-1"/>
                <w:sz w:val="24"/>
                <w:szCs w:val="24"/>
              </w:rPr>
              <w:t xml:space="preserve">)</w:t>
            </w:r>
            <w:r/>
          </w:p>
        </w:tc>
        <w:tc>
          <w:tcPr>
            <w:tcBorders>
              <w:top w:val="single" w:color="000000" w:sz="6" w:space="0"/>
              <w:bottom w:val="single" w:color="000000" w:sz="6" w:space="0"/>
              <w:right w:val="single" w:color="000000" w:sz="6" w:space="0"/>
            </w:tcBorders>
            <w:tcW w:w="1344" w:type="dxa"/>
            <w:vAlign w:val="top"/>
            <w:textDirection w:val="lrTb"/>
            <w:noWrap w:val="false"/>
          </w:tcPr>
          <w:p>
            <w:pPr>
              <w:pStyle w:val="1034"/>
              <w:ind w:left="163" w:right="136" w:firstLine="70"/>
              <w:spacing w:before="59" w:line="256" w:lineRule="auto"/>
              <w:rPr>
                <w:rFonts w:hint="eastAsia" w:ascii="宋体" w:hAnsi="宋体" w:eastAsia="宋体" w:cs="宋体"/>
                <w:sz w:val="24"/>
                <w:szCs w:val="24"/>
              </w:rPr>
            </w:pPr>
            <w:r>
              <w:rPr>
                <w:rFonts w:hint="eastAsia" w:ascii="宋体" w:hAnsi="宋体" w:eastAsia="宋体" w:cs="宋体"/>
                <w:spacing w:val="-3"/>
                <w:sz w:val="24"/>
                <w:szCs w:val="24"/>
              </w:rPr>
              <w:t xml:space="preserve">人行道本色</w:t>
            </w:r>
            <w:r>
              <w:rPr>
                <w:rFonts w:hint="eastAsia" w:ascii="宋体" w:hAnsi="宋体" w:eastAsia="宋体" w:cs="宋体"/>
                <w:spacing w:val="1"/>
                <w:sz w:val="24"/>
                <w:szCs w:val="24"/>
              </w:rPr>
              <w:t xml:space="preserve">  </w:t>
            </w:r>
            <w:r>
              <w:rPr>
                <w:rFonts w:hint="eastAsia" w:ascii="宋体" w:hAnsi="宋体" w:eastAsia="宋体" w:cs="宋体"/>
                <w:spacing w:val="-3"/>
                <w:sz w:val="24"/>
                <w:szCs w:val="24"/>
              </w:rPr>
              <w:t xml:space="preserve">呈现率（%）</w:t>
            </w:r>
            <w:r/>
          </w:p>
        </w:tc>
      </w:tr>
      <w:tr>
        <w:trPr>
          <w:trHeight w:val="308"/>
        </w:trPr>
        <w:tc>
          <w:tcPr>
            <w:tcBorders>
              <w:top w:val="single" w:color="000000" w:sz="6" w:space="0"/>
              <w:left w:val="single" w:color="000000" w:sz="6" w:space="0"/>
            </w:tcBorders>
            <w:tcW w:w="1343" w:type="dxa"/>
            <w:vAlign w:val="top"/>
            <w:textDirection w:val="lrTb"/>
            <w:noWrap w:val="false"/>
          </w:tcPr>
          <w:p>
            <w:pPr>
              <w:pStyle w:val="1034"/>
              <w:ind w:left="315"/>
              <w:spacing w:before="57"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繁华街巷</w:t>
            </w:r>
            <w:r/>
          </w:p>
        </w:tc>
        <w:tc>
          <w:tcPr>
            <w:tcBorders>
              <w:top w:val="single" w:color="000000" w:sz="6" w:space="0"/>
            </w:tcBorders>
            <w:tcW w:w="1334" w:type="dxa"/>
            <w:vAlign w:val="top"/>
            <w:textDirection w:val="lrTb"/>
            <w:noWrap w:val="false"/>
          </w:tcPr>
          <w:p>
            <w:pPr>
              <w:pStyle w:val="1034"/>
              <w:ind w:left="555"/>
              <w:spacing w:before="57" w:line="219" w:lineRule="auto"/>
              <w:rPr>
                <w:rFonts w:hint="eastAsia" w:ascii="宋体" w:hAnsi="宋体" w:eastAsia="宋体" w:cs="宋体"/>
                <w:sz w:val="24"/>
                <w:szCs w:val="24"/>
              </w:rPr>
            </w:pPr>
            <w:r>
              <w:rPr>
                <w:rFonts w:hint="eastAsia" w:ascii="宋体" w:hAnsi="宋体" w:eastAsia="宋体" w:cs="宋体"/>
                <w:spacing w:val="-15"/>
                <w:sz w:val="24"/>
                <w:szCs w:val="24"/>
              </w:rPr>
              <w:t xml:space="preserve">≤6</w:t>
            </w:r>
            <w:r/>
          </w:p>
        </w:tc>
        <w:tc>
          <w:tcPr>
            <w:tcBorders>
              <w:top w:val="single" w:color="000000" w:sz="6" w:space="0"/>
            </w:tcBorders>
            <w:tcW w:w="1334" w:type="dxa"/>
            <w:vAlign w:val="top"/>
            <w:textDirection w:val="lrTb"/>
            <w:noWrap w:val="false"/>
          </w:tcPr>
          <w:p>
            <w:pPr>
              <w:pStyle w:val="1034"/>
              <w:ind w:left="588"/>
              <w:spacing w:before="80"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Borders>
              <w:top w:val="single" w:color="000000" w:sz="6" w:space="0"/>
            </w:tcBorders>
            <w:tcW w:w="1334" w:type="dxa"/>
            <w:vAlign w:val="top"/>
            <w:textDirection w:val="lrTb"/>
            <w:noWrap w:val="false"/>
          </w:tcPr>
          <w:p>
            <w:pPr>
              <w:pStyle w:val="1034"/>
              <w:ind w:left="591"/>
              <w:spacing w:before="80"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Borders>
              <w:top w:val="single" w:color="000000" w:sz="6" w:space="0"/>
            </w:tcBorders>
            <w:tcW w:w="1335" w:type="dxa"/>
            <w:vAlign w:val="top"/>
            <w:textDirection w:val="lrTb"/>
            <w:noWrap w:val="false"/>
          </w:tcPr>
          <w:p>
            <w:pPr>
              <w:pStyle w:val="1034"/>
              <w:ind w:left="560"/>
              <w:spacing w:before="57" w:line="219" w:lineRule="auto"/>
              <w:rPr>
                <w:rFonts w:hint="eastAsia" w:ascii="宋体" w:hAnsi="宋体" w:eastAsia="宋体" w:cs="宋体"/>
                <w:sz w:val="24"/>
                <w:szCs w:val="24"/>
              </w:rPr>
            </w:pPr>
            <w:r>
              <w:rPr>
                <w:rFonts w:hint="eastAsia" w:ascii="宋体" w:hAnsi="宋体" w:eastAsia="宋体" w:cs="宋体"/>
                <w:spacing w:val="-15"/>
                <w:sz w:val="24"/>
                <w:szCs w:val="24"/>
              </w:rPr>
              <w:t xml:space="preserve">≤6</w:t>
            </w:r>
            <w:r/>
          </w:p>
        </w:tc>
        <w:tc>
          <w:tcPr>
            <w:tcBorders>
              <w:top w:val="single" w:color="000000" w:sz="6" w:space="0"/>
            </w:tcBorders>
            <w:tcW w:w="1335" w:type="dxa"/>
            <w:vAlign w:val="top"/>
            <w:textDirection w:val="lrTb"/>
            <w:noWrap w:val="false"/>
          </w:tcPr>
          <w:p>
            <w:pPr>
              <w:pStyle w:val="1034"/>
              <w:ind w:left="595"/>
              <w:spacing w:before="80"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Borders>
              <w:top w:val="single" w:color="000000" w:sz="6" w:space="0"/>
              <w:right w:val="single" w:color="000000" w:sz="6" w:space="0"/>
            </w:tcBorders>
            <w:tcW w:w="1344" w:type="dxa"/>
            <w:vAlign w:val="top"/>
            <w:textDirection w:val="lrTb"/>
            <w:noWrap w:val="false"/>
          </w:tcPr>
          <w:p>
            <w:pPr>
              <w:pStyle w:val="1034"/>
              <w:ind w:left="518"/>
              <w:spacing w:before="57" w:line="219" w:lineRule="auto"/>
              <w:rPr>
                <w:rFonts w:hint="eastAsia" w:ascii="宋体" w:hAnsi="宋体" w:eastAsia="宋体" w:cs="宋体"/>
                <w:sz w:val="24"/>
                <w:szCs w:val="24"/>
              </w:rPr>
            </w:pPr>
            <w:r>
              <w:rPr>
                <w:rFonts w:hint="eastAsia" w:ascii="宋体" w:hAnsi="宋体" w:eastAsia="宋体" w:cs="宋体"/>
                <w:spacing w:val="-10"/>
                <w:sz w:val="24"/>
                <w:szCs w:val="24"/>
              </w:rPr>
              <w:t xml:space="preserve">≥85</w:t>
            </w:r>
            <w:r/>
          </w:p>
        </w:tc>
      </w:tr>
      <w:tr>
        <w:trPr>
          <w:trHeight w:val="328"/>
        </w:trPr>
        <w:tc>
          <w:tcPr>
            <w:tcBorders>
              <w:left w:val="single" w:color="000000" w:sz="6" w:space="0"/>
              <w:bottom w:val="single" w:color="000000" w:sz="6" w:space="0"/>
            </w:tcBorders>
            <w:tcW w:w="1343" w:type="dxa"/>
            <w:vAlign w:val="top"/>
            <w:textDirection w:val="lrTb"/>
            <w:noWrap w:val="false"/>
          </w:tcPr>
          <w:p>
            <w:pPr>
              <w:pStyle w:val="1034"/>
              <w:ind w:left="315"/>
              <w:spacing w:before="65" w:line="230" w:lineRule="auto"/>
              <w:rPr>
                <w:rFonts w:hint="eastAsia" w:ascii="宋体" w:hAnsi="宋体" w:eastAsia="宋体" w:cs="宋体"/>
                <w:sz w:val="24"/>
                <w:szCs w:val="24"/>
              </w:rPr>
            </w:pPr>
            <w:r>
              <w:rPr>
                <w:rFonts w:hint="eastAsia" w:ascii="宋体" w:hAnsi="宋体" w:eastAsia="宋体" w:cs="宋体"/>
                <w:spacing w:val="-4"/>
                <w:sz w:val="24"/>
                <w:szCs w:val="24"/>
              </w:rPr>
              <w:t xml:space="preserve">普通街巷</w:t>
            </w:r>
            <w:r/>
          </w:p>
        </w:tc>
        <w:tc>
          <w:tcPr>
            <w:tcBorders>
              <w:bottom w:val="single" w:color="000000" w:sz="6" w:space="0"/>
            </w:tcBorders>
            <w:tcW w:w="1334" w:type="dxa"/>
            <w:vAlign w:val="top"/>
            <w:textDirection w:val="lrTb"/>
            <w:noWrap w:val="false"/>
          </w:tcPr>
          <w:p>
            <w:pPr>
              <w:pStyle w:val="1034"/>
              <w:ind w:left="509"/>
              <w:spacing w:before="65" w:line="230" w:lineRule="auto"/>
              <w:rPr>
                <w:rFonts w:hint="eastAsia" w:ascii="宋体" w:hAnsi="宋体" w:eastAsia="宋体" w:cs="宋体"/>
                <w:sz w:val="24"/>
                <w:szCs w:val="24"/>
              </w:rPr>
            </w:pPr>
            <w:r>
              <w:rPr>
                <w:rFonts w:hint="eastAsia" w:ascii="宋体" w:hAnsi="宋体" w:eastAsia="宋体" w:cs="宋体"/>
                <w:spacing w:val="-17"/>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7"/>
                <w:sz w:val="24"/>
                <w:szCs w:val="24"/>
              </w:rPr>
              <w:t xml:space="preserve">10</w:t>
            </w:r>
            <w:r/>
          </w:p>
        </w:tc>
        <w:tc>
          <w:tcPr>
            <w:tcBorders>
              <w:bottom w:val="single" w:color="000000" w:sz="6" w:space="0"/>
            </w:tcBorders>
            <w:tcW w:w="1334" w:type="dxa"/>
            <w:vAlign w:val="top"/>
            <w:textDirection w:val="lrTb"/>
            <w:noWrap w:val="false"/>
          </w:tcPr>
          <w:p>
            <w:pPr>
              <w:pStyle w:val="1034"/>
              <w:ind w:left="555"/>
              <w:spacing w:before="65" w:line="230" w:lineRule="auto"/>
              <w:rPr>
                <w:rFonts w:hint="eastAsia" w:ascii="宋体" w:hAnsi="宋体" w:eastAsia="宋体" w:cs="宋体"/>
                <w:sz w:val="24"/>
                <w:szCs w:val="24"/>
              </w:rPr>
            </w:pPr>
            <w:r>
              <w:rPr>
                <w:rFonts w:hint="eastAsia" w:ascii="宋体" w:hAnsi="宋体" w:eastAsia="宋体" w:cs="宋体"/>
                <w:spacing w:val="-15"/>
                <w:sz w:val="24"/>
                <w:szCs w:val="24"/>
              </w:rPr>
              <w:t xml:space="preserve">≤2</w:t>
            </w:r>
            <w:r/>
          </w:p>
        </w:tc>
        <w:tc>
          <w:tcPr>
            <w:tcBorders>
              <w:bottom w:val="single" w:color="000000" w:sz="6" w:space="0"/>
            </w:tcBorders>
            <w:tcW w:w="1334" w:type="dxa"/>
            <w:vAlign w:val="top"/>
            <w:textDirection w:val="lrTb"/>
            <w:noWrap w:val="false"/>
          </w:tcPr>
          <w:p>
            <w:pPr>
              <w:pStyle w:val="1034"/>
              <w:ind w:left="591"/>
              <w:spacing w:before="88" w:line="191" w:lineRule="auto"/>
              <w:rPr>
                <w:rFonts w:hint="eastAsia" w:ascii="宋体" w:hAnsi="宋体" w:eastAsia="宋体" w:cs="宋体"/>
                <w:sz w:val="24"/>
                <w:szCs w:val="24"/>
              </w:rPr>
            </w:pPr>
            <w:r>
              <w:rPr>
                <w:rFonts w:hint="eastAsia" w:ascii="宋体" w:hAnsi="宋体" w:eastAsia="宋体" w:cs="宋体"/>
                <w:sz w:val="24"/>
                <w:szCs w:val="24"/>
              </w:rPr>
              <w:t xml:space="preserve">无</w:t>
            </w:r>
            <w:r/>
          </w:p>
        </w:tc>
        <w:tc>
          <w:tcPr>
            <w:tcBorders>
              <w:bottom w:val="single" w:color="000000" w:sz="6" w:space="0"/>
            </w:tcBorders>
            <w:tcW w:w="1335" w:type="dxa"/>
            <w:vAlign w:val="top"/>
            <w:textDirection w:val="lrTb"/>
            <w:noWrap w:val="false"/>
          </w:tcPr>
          <w:p>
            <w:pPr>
              <w:pStyle w:val="1034"/>
              <w:ind w:left="515"/>
              <w:spacing w:before="65" w:line="230" w:lineRule="auto"/>
              <w:rPr>
                <w:rFonts w:hint="eastAsia" w:ascii="宋体" w:hAnsi="宋体" w:eastAsia="宋体" w:cs="宋体"/>
                <w:sz w:val="24"/>
                <w:szCs w:val="24"/>
              </w:rPr>
            </w:pPr>
            <w:r>
              <w:rPr>
                <w:rFonts w:hint="eastAsia" w:ascii="宋体" w:hAnsi="宋体" w:eastAsia="宋体" w:cs="宋体"/>
                <w:spacing w:val="-17"/>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7"/>
                <w:sz w:val="24"/>
                <w:szCs w:val="24"/>
              </w:rPr>
              <w:t xml:space="preserve">10</w:t>
            </w:r>
            <w:r/>
          </w:p>
        </w:tc>
        <w:tc>
          <w:tcPr>
            <w:tcBorders>
              <w:bottom w:val="single" w:color="000000" w:sz="6" w:space="0"/>
            </w:tcBorders>
            <w:tcW w:w="1335" w:type="dxa"/>
            <w:vAlign w:val="top"/>
            <w:textDirection w:val="lrTb"/>
            <w:noWrap w:val="false"/>
          </w:tcPr>
          <w:p>
            <w:pPr>
              <w:pStyle w:val="1034"/>
              <w:ind w:left="562"/>
              <w:spacing w:before="65" w:line="230" w:lineRule="auto"/>
              <w:rPr>
                <w:rFonts w:hint="eastAsia" w:ascii="宋体" w:hAnsi="宋体" w:eastAsia="宋体" w:cs="宋体"/>
                <w:sz w:val="24"/>
                <w:szCs w:val="24"/>
              </w:rPr>
            </w:pPr>
            <w:r>
              <w:rPr>
                <w:rFonts w:hint="eastAsia" w:ascii="宋体" w:hAnsi="宋体" w:eastAsia="宋体" w:cs="宋体"/>
                <w:spacing w:val="-15"/>
                <w:sz w:val="24"/>
                <w:szCs w:val="24"/>
              </w:rPr>
              <w:t xml:space="preserve">≤</w:t>
            </w:r>
            <w:r>
              <w:rPr>
                <w:rFonts w:hint="eastAsia" w:ascii="宋体" w:hAnsi="宋体" w:eastAsia="宋体" w:cs="宋体"/>
                <w:spacing w:val="-59"/>
                <w:sz w:val="24"/>
                <w:szCs w:val="24"/>
              </w:rPr>
              <w:t xml:space="preserve"> </w:t>
            </w:r>
            <w:r>
              <w:rPr>
                <w:rFonts w:hint="eastAsia" w:ascii="宋体" w:hAnsi="宋体" w:eastAsia="宋体" w:cs="宋体"/>
                <w:spacing w:val="-15"/>
                <w:sz w:val="24"/>
                <w:szCs w:val="24"/>
              </w:rPr>
              <w:t xml:space="preserve">1</w:t>
            </w:r>
            <w:r/>
          </w:p>
        </w:tc>
        <w:tc>
          <w:tcPr>
            <w:tcBorders>
              <w:bottom w:val="single" w:color="000000" w:sz="6" w:space="0"/>
              <w:right w:val="single" w:color="000000" w:sz="6" w:space="0"/>
            </w:tcBorders>
            <w:tcW w:w="1344" w:type="dxa"/>
            <w:vAlign w:val="top"/>
            <w:textDirection w:val="lrTb"/>
            <w:noWrap w:val="false"/>
          </w:tcPr>
          <w:p>
            <w:pPr>
              <w:pStyle w:val="1034"/>
              <w:ind w:left="518"/>
              <w:spacing w:before="65" w:line="230" w:lineRule="auto"/>
              <w:rPr>
                <w:rFonts w:hint="eastAsia" w:ascii="宋体" w:hAnsi="宋体" w:eastAsia="宋体" w:cs="宋体"/>
                <w:sz w:val="24"/>
                <w:szCs w:val="24"/>
              </w:rPr>
            </w:pPr>
            <w:r>
              <w:rPr>
                <w:rFonts w:hint="eastAsia" w:ascii="宋体" w:hAnsi="宋体" w:eastAsia="宋体" w:cs="宋体"/>
                <w:spacing w:val="-10"/>
                <w:sz w:val="24"/>
                <w:szCs w:val="24"/>
              </w:rPr>
              <w:t xml:space="preserve">≥75</w:t>
            </w:r>
            <w:r/>
          </w:p>
        </w:tc>
      </w:tr>
    </w:tbl>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zh-CN" w:eastAsia="zh-CN"/>
        </w:rPr>
        <w:t xml:space="preserve">（二）</w:t>
      </w:r>
      <w:r>
        <w:rPr>
          <w:rFonts w:hint="eastAsia" w:ascii="宋体" w:hAnsi="宋体" w:eastAsia="宋体" w:cs="宋体"/>
          <w:b w:val="0"/>
          <w:bCs w:val="0"/>
          <w:sz w:val="24"/>
          <w:szCs w:val="24"/>
          <w:lang w:val="en-US" w:eastAsia="zh-CN"/>
        </w:rPr>
        <w:t xml:space="preserve">地块管养</w:t>
      </w:r>
      <w:r/>
    </w:p>
    <w:p>
      <w:pPr>
        <w:numPr>
          <w:ilvl w:val="0"/>
          <w:numId w:val="8"/>
        </w:numPr>
        <w:ind w:left="640" w:firstLine="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地块绿地：整体生长良好，覆盖率95%以上，无明显裸土。绿地杂物、垃圾等及时清理，确保绿地干净整洁。日常绿化养护，修剪、浇水、病虫害防治等，绿地无明显病虫害，整洁美观。地块巡查、看护防止偷盗垃圾、违规开垦等，如有偷倒垃圾，管养单位需自行清理，费用自行承担。</w:t>
      </w:r>
      <w:r/>
    </w:p>
    <w:p>
      <w:pPr>
        <w:numPr>
          <w:ilvl w:val="0"/>
          <w:numId w:val="8"/>
        </w:numPr>
        <w:ind w:left="640" w:firstLine="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地块保洁、看护：地块内杂物、垃圾及时清理，地块巡查、看护防止偷盗垃圾、违规开垦等，如有偷倒垃圾，管养单位需自行清理，费用自行承担。</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w:t>
      </w:r>
      <w:r>
        <w:rPr>
          <w:rFonts w:hint="eastAsia" w:ascii="宋体" w:hAnsi="宋体" w:eastAsia="宋体" w:cs="宋体"/>
          <w:b w:val="0"/>
          <w:bCs w:val="0"/>
          <w:sz w:val="24"/>
          <w:szCs w:val="24"/>
          <w:lang w:val="en-US" w:eastAsia="zh-CN"/>
        </w:rPr>
        <w:t xml:space="preserve">二、</w:t>
      </w:r>
      <w:r>
        <w:rPr>
          <w:rFonts w:hint="eastAsia" w:ascii="宋体" w:hAnsi="宋体" w:eastAsia="宋体" w:cs="宋体"/>
          <w:b w:val="0"/>
          <w:bCs w:val="0"/>
          <w:sz w:val="24"/>
          <w:szCs w:val="24"/>
          <w:lang w:val="zh-TW" w:eastAsia="zh-TW"/>
        </w:rPr>
        <w:t xml:space="preserve">绿化设施养护标准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（一）行道树养护标准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1．树木长势茂盛，规格整齐，树干挺直，定干高度一致，树冠丰满。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2．无枯枝、交叉枝、过密枝、并生枝、病虫枝，主干上无萌蘖枝；无影响交通、架空线路、路灯、建筑、行人安全的树枝。</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3．枝条修剪截面要平整，不留短桩。截面直径≥6cm的伤口要涂防腐剂。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4．无明显病虫危害迹象，树干无未处理的腐洞。</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5．树体无钉挂物、悬挂物。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6．树穴设施完好，无黄土裸露，无杂草、杂物。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7. 树穴种植土高度应低于边缘 5cm。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8．无死株、缺株、严重倾斜株。无法修整复壮的树木及时申报更换。</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9．新栽、补栽的树木和易受害倒伏的树木应设立扶木支撑，扎缚规范有效。符合拆除条件的应及时拆除。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10．每年11月，树干要刷白一次，高度1.2m。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（二）绿地广场养护标准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1.乔木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⑴树木长势茂盛，树冠完整丰满，主侧枝分布匀称。</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⑵无枯枝、伤残枝、交叉枝、过密枝、徒长枝、并生枝，主干上无萌蘖枝。</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⑶无影响交通、架空线路、路灯、建筑、行人安全的树枝。</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⑷枝条修剪截面应平整，不留短桩。截面直径≥6cm的伤口要涂防腐剂。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⑸观花树木按时茂盛开花，观果树木正常结果。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⑹无明显病虫危害迹象，树干无未处理的腐洞。</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⑺树体无钉挂物、悬挂物。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⑻树穴内无杂草、杂物，黄土不裸露。</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⑼落叶乔木每年11月，树干要刷白一次，高度1.2m。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2.花灌木（含观花观果小乔木）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⑴植株生长旺盛，枝叶健壮，分布均匀，造型美观。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⑵无枯枝残叶，树枝分布均匀，疏密度合宜，整形修剪与环境要求协调。</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⑶无明显病虫危害迹象。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⑷观花植物按时茂盛开花，观果植物正常结果。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⑸植株下无杂草、杂物。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⑹枝叶上无钉挂物和晾晒物。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⑺每年在休眠期施有机肥（基肥）一次；花前花后各施追肥一次。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3.绿篱、球类、色块</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⑴绿篱高度不应影响交通安全。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⑵枝条茂密，生长健壮。</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⑶修剪成型，层次分明，面平边齐，线条流畅，曲线处弧度圆润丰满。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⑷观花植物按时茂盛开花，观果植物正常结果。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⑸无死株、缺株、断档现象。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⑹无枯枝、断枝、枯叶，无脱脚现象。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⑺无明显病虫危害迹象。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⑻基部无杂草、杂物等。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⑼枝叶表面及球面、篱面无悬挂物、晾晒物、无积尘。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⑽种植土外沿低于砌块5cm。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⑾与草坪交界处切边整齐，宽度≤15cm。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4.草坪</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⑴草坪生长健壮，覆盖率达≥98%，生长期无枯黄现象。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⑵草坪内无低洼积水处，无明显裸露地。</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⑶推剪平整，冷季型草高≤7cm，暖季型草高≤5cm；修剪后剪口无撕裂现象。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⑷草坪外边缘及树坛、花坛、花境、片植篱边缘切边清晰整齐，宽度≤15cm。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⑸草坪基本无病虫危害状，病虫受害率控制在≤5%。</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⑹草坪上无修剪残留草屑、杂物，基本无杂草，无乱停乱放现象。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⑺草坪杂草率≤5%。</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⑻秋冬季草坪交播宜安排在9月中下旬至10月下旬，以地温22℃</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zh-TW" w:eastAsia="zh-TW"/>
        </w:rPr>
        <w:t xml:space="preserve">25℃左右为宜。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5.地被植物养护标准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⑴植物生长茂盛，观花植物按时茂盛开花，观果植物正常结果。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⑵片植地被密度适宜，分布均匀，规格整齐，覆盖率≥ 95%。</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⑶无残花、枯叶、死株、缺株，基本无病虫危害现象。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⑷无杂草、杂物。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⑸和草坪交界处切边清晰整齐，宽度≤15cm。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6.花坛和自然式花群（草本）</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⑴按设计要求有全年用花计划，保持全年四季有花，无黄土裸露现象。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⑵同一品种花卉，规格一致，花期整齐，图案美观，整体景观效果好。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⑶植株生长健壮，蓬径饱满。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⑷无病虫危害迹象。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⑸花坛内土壤肥沃疏松无外溢，无杂草，杂物。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⑹无死株、缺株、残花败叶。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⑺部分品种或全部品种植株衰败时，应及时换花。</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7.花镜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⑴植株生长健壮，组团结构和群体效果好，高低错落有序。</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⑵观花植物适时开花，保持春、夏、秋三季有花，开花 不断，季相变化明显。</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⑶花卉色彩鲜艳，观赏期长。</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⑷无病虫危害迹象。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⑸无死株、缺株。</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⑹土壤肥沃疏松，无杂草，杂物、残花败叶。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⑺与草坪交界处切边清晰整齐，宽度≤15 cm。</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 一、二年生草花及时换花。</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⑼及时整形修剪、更新、换植。</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8.垂直绿化植物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⑴根据不同植物的攀援特点,采取牵引措施或设置网架等辅助设施, 以助植物均匀覆盖攀爬物面；设施安全,完好无 损。</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⑵植物生长健壮,藤蔓枝叶茂盛。</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⑶植物枝叶分布均匀，无枯枝残叶。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⑷无病虫危害迹象。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⑸无影响景观和妨碍交通的枝条。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⑹攀援覆盖面无缠挂物。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⑺植株栽植池内无杂草、杂物。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9.水生植物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⑴配置合理，景观优美。</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⑵植株完整生长健壮,形态特征明显。</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⑶观花观叶期长,观花观果植株花繁果茂。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⑷植株无病虫危害。</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10.竹类植物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⑴竹丛通风透光，植株生长健壮，竹竿挺拔，枝叶青翠。</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⑵新、老竹生长比例恰当，竹鞭无裸露。</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⑶无病虫危害迹象。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⑷无死竹和枯竹。</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⑸无杂草、杂物。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⑹竹林排水良好，无积水。</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11.盆、钵、箱体植物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⑴植株生长旺盛，枝叶健壮，分布均匀，造型美观。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⑵无枯枝残叶、交叉枝、徒长枝、并生枝、萌蘖枝。</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⑶无病虫危害迹象。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⑷观花植物按时茂盛开花，观果植物正常结果。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⑸植株下和容器内无杂草、杂物，叶面清洁。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⑹容器完好无破损，干净整洁，容器外形、规格、色彩与植物要协调。</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⑺排水要通畅。</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⑻花钵中换花及时，全年四季有花，花开不断。</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12.设施维护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⑴园林建筑（构）筑物、雕塑、喷泉、厕所、 围栏（含花坛和自然式花群的围栏设施和花镜的围栏砌体）、护网、驳岸、建筑小品以及路灯等基础设施完好无缺损，美观清洁， 安全稳固无隐患。</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⑵园路、铺装地面平整，无破损、无积水；金属构件设施无锈斑、油漆剥落现象。无障碍设施完好通畅。</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⑶供水、排水、喷灌等管网设施维护良好，使用便捷。 窨井、进水口、给水口等设施完整无损，无完全隐患，清洁、 通畅。 防汛、消防等设备完好充足，保证应急使用要求。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⑷供电、照明设施完好无损，各类管线保持完整、安全无隐患。</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⑸假山置石完整美观、安全稳固；不适于攀爬的叠石必须有醒目标志和防护设施。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⑹栏杆、桌椅、垃圾桶、井盖和指示牌、告示牌、宣传牌整洁美观，设置合理、醒 目、完善、规范。</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⑺游艺和体育健身器械等设施完整、清洁、安全，满足使用要求，随时进行安全检测，确保无故障运行。</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⑻停车场地平整清洁，设施完好，车位标志明显清晰规范。</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⑼文物的保护和管理应符合《中华人民共和国文物保护法》的规定。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13.卫生保洁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⑴环境整洁，实行全天候保洁；水面有专人管理，定期清理，无漂浮物和杂物、无异味，水质清澈，PH值保持在6.5</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zh-TW" w:eastAsia="zh-TW"/>
        </w:rPr>
        <w:t xml:space="preserve">8.5范围内、透明度M≥ 1.0。</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⑵垃圾箱及垃圾堆场外观清洁，无陈积垃圾，无卫生死角，垃圾日产日清，严禁焚烧垃圾和枯枝落叶。</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⑶作业废弃物（如树枝、树叶、草屑等）、水面清理的杂物，随产随清。</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⑷园林建筑小品保持整洁美观，定期清洗。</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⑸厕所内外清洁卫生，全天保洁，无尿垢，无臭味，无蚊蝇，无污水外溢。</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⑹园林机具摆放隐蔽，位置合理。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⑺及时清除或覆盖非法小广告。</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⑻工作人员统一着装，挂牌上岗。</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14.绿地保护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⑴绿地范围内无违章建筑，无废弃的设施，无违规设置的广告、标牌，绿地保护完好。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⑵绿地内无堆物、堆料、搭棚，无摆摊设点，车辆摆放有序，无乱停乱放现象。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⑶园林建筑、雕塑、栏杆、桌椅、指示牌等园林设施上无刻画；植物上无贴挂标语、晾晒衣物，无影响植物生长的亮化设施。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⑷绿地中无种菜、放养家禽宠物等。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⑸绿地占用必须持有审批手续，无非法侵占绿地行为；经审批同意占用的，要全过程跟踪，严格控制施工作业面； 经批准临时占用的绿地，做到按时收回，并监督恢复。养护单位担负保护绿化设施的责任，应及时发现各类违章违法破坏绿化设施行为。发现违章占用、挖掘等违章行为时，应及时制止，了解违章单位或个人信息，拍照收集相关证据，立即报管理部门。由于未及时发现人为破坏而导致的绿化设施破坏由养护单位承担修复。</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⑹绿地应每天巡查。广场实施全天候24小时安保。</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15 古树名木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⑴保持植株的自然形态和面貌,具有较好的景观效果。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⑵植株的保护性支撑物和棚架支撑应与植株协调。</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⑶植株无病枝、枯枝、腐烂枝和多余的萌蘖枝。无未处理的树洞和创伤。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⑷基本无病虫害现象,植株上无影响生长的寄生植物。</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⑸保护范围内无影响植株生长的建(构)筑物等。地面覆盖物应有利植株生长。</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⑹保护范围内应排水通畅,无积水。</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⑺植株应有保护标牌,标牌位置明显、字迹清晰。</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⑻保护范围内的设施(如围栏、驳岸、避雷针)应完整美观、安全有效。</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⑼保护范围内无垃圾、杂草。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⑽古树名木应建立一树一档,有动态养护记录,历史资料齐全。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（三）其他养护工作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1．应急处置</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养护单位必须制定应急抢险预案，报管理单位备案，并定期组织内部演练；建立应急抢险队伍，准备相应的应急抢险物资和机械设备。保障应急联络网络畅通。发生突发事件如行道树倒伏等，养护单位组织人员、材料和机械立即赶赴现场，进行先期处置，设置警示标志，进行交通疏导，查看现场，提出相应恢复处置方案。恢复处置方案确定后 ，养护单位立即进行处置，尽快恢复，不影响交通和设施正常使用。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2．投诉处理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养护单位应建立投诉处理值班制度，保障通讯网络畅通。接到市民投诉、媒体、网络等曝光等信息后应按照管理单位对外公布承诺制度要求及管理单位要求赶赴至现场并在规定期限内进行处置 ，做好反馈和回复工作。对于不属于养护 责任范围内的做好解释和回复工作。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3．养护内业资料</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养护单位应加强档案资料管理工作，按照规定规范、管理单位要求收集规范的</w:t>
      </w:r>
      <w:r>
        <w:rPr>
          <w:rFonts w:hint="eastAsia" w:ascii="宋体" w:hAnsi="宋体" w:eastAsia="宋体" w:cs="宋体"/>
          <w:b w:val="0"/>
          <w:bCs w:val="0"/>
          <w:sz w:val="24"/>
          <w:szCs w:val="24"/>
          <w:lang w:val="en-US" w:eastAsia="zh-CN"/>
        </w:rPr>
        <w:t xml:space="preserve">每日</w:t>
      </w:r>
      <w:r>
        <w:rPr>
          <w:rFonts w:hint="eastAsia" w:ascii="宋体" w:hAnsi="宋体" w:eastAsia="宋体" w:cs="宋体"/>
          <w:b w:val="0"/>
          <w:bCs w:val="0"/>
          <w:sz w:val="24"/>
          <w:szCs w:val="24"/>
          <w:lang w:val="zh-TW" w:eastAsia="zh-TW"/>
        </w:rPr>
        <w:t xml:space="preserve">绿化养护台账，按时上报真实的月度工作量和工作小结。</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4．安全养护工作要求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养护单位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养护单位应配备安全员，专职负责养护安全工作。养护前进行必要的环境不安全因素检测。在进行高空作业等危险作业时，应设置警示标志，养护作业现场应有专职安全人员进行安全监督和交通疏导。</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5． 防汛防台工作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当发生台风天气、强降雨时，应服从防汛及行业管理部门的调度和指挥，上路巡查，遇险按应急处置的相关规定进行处理。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6．指令性任务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养护单位在接到上级或管理单位的指令性任务时，应立即制定相关措施和方案，保质保量按要求完成。</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en-US" w:eastAsia="zh-CN"/>
        </w:rPr>
        <w:t xml:space="preserve">附件2.</w:t>
      </w:r>
      <w:r>
        <w:rPr>
          <w:rFonts w:hint="eastAsia" w:ascii="宋体" w:hAnsi="宋体" w:eastAsia="宋体" w:cs="宋体"/>
          <w:b w:val="0"/>
          <w:bCs w:val="0"/>
          <w:sz w:val="24"/>
          <w:szCs w:val="24"/>
          <w:lang w:val="zh-TW" w:eastAsia="zh-TW"/>
        </w:rPr>
        <w:t xml:space="preserve">江北新区河道管养技术标准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为进一步加强新区河道堤防养护管理，保障防洪安全，规范河道养护资金使用，保证河道堤防养护效果，根据《江苏省堤防工程技术管理办法》、《南京市防洪堤保护管理条例》、《南京市水利工程管理与保护办法》等法律法规和相关政策规定，结合河长制工作内容及新区实际，制定本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一、总则</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河道管养，河道管理与养护的简称。是指通过计划、组织、协调、控制等手段，结合人、物、信息等资源，对河道管理范围内的河床、堤防护岸、绿化及附属设施进行的保养、维护，包指预防和修复灾害性损坏以及提高使用质量和服务水平而进行的加固、改善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2.河道管理单位应遵循养护服务市场化的原则，选择有相应资质的单位对河道进行管养。</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3.河道管养应在满足河边行洪安全要求的前提下，尽可能维持河流原状，保障沿线居民生命财产的安全，保障河道生态与周边自然人文环境相协调，实现人水和谐兴处，提升河边的人文内涵。</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养护标准按照河道等级分为四个等级，一类管养为城市建成区整治段，二类管养为城市建成区自然段，三类为城市非建成区整治段，四类管养城市非建成区自然段。具体河段的管养级别可由河道管理单位根据河段的重要程度在河道管养级别的基础上进行适当调整。</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二、养护范围</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养护范围为</w:t>
      </w:r>
      <w:r>
        <w:rPr>
          <w:rFonts w:hint="eastAsia" w:ascii="宋体" w:hAnsi="宋体" w:eastAsia="宋体" w:cs="宋体"/>
          <w:b w:val="0"/>
          <w:bCs w:val="0"/>
          <w:sz w:val="24"/>
          <w:szCs w:val="24"/>
          <w:lang w:val="en-US" w:eastAsia="zh-CN"/>
        </w:rPr>
        <w:t xml:space="preserve">园区巩固民主河、园杰河、园达河、绿水湾河、和平河等。</w:t>
      </w:r>
      <w:r>
        <w:rPr>
          <w:rFonts w:hint="eastAsia" w:ascii="宋体" w:hAnsi="宋体" w:eastAsia="宋体" w:cs="宋体"/>
          <w:b w:val="0"/>
          <w:bCs w:val="0"/>
          <w:sz w:val="24"/>
          <w:szCs w:val="24"/>
          <w:lang w:val="zh-TW" w:eastAsia="zh-TW"/>
        </w:rPr>
        <w:t xml:space="preserve">养护内容主要包括绿化设施养护，以及河水域保洁、</w:t>
      </w:r>
      <w:r>
        <w:rPr>
          <w:rFonts w:hint="eastAsia" w:ascii="宋体" w:hAnsi="宋体" w:eastAsia="宋体" w:cs="宋体"/>
          <w:b w:val="0"/>
          <w:bCs w:val="0"/>
          <w:sz w:val="24"/>
          <w:szCs w:val="24"/>
          <w:lang w:val="en-US" w:eastAsia="zh-CN"/>
        </w:rPr>
        <w:t xml:space="preserve">蓝藻、水藻防控</w:t>
      </w:r>
      <w:r>
        <w:rPr>
          <w:rFonts w:hint="eastAsia" w:ascii="宋体" w:hAnsi="宋体" w:eastAsia="宋体" w:cs="宋体"/>
          <w:b w:val="0"/>
          <w:bCs w:val="0"/>
          <w:sz w:val="24"/>
          <w:szCs w:val="24"/>
          <w:lang w:val="zh-TW" w:eastAsia="zh-TW"/>
        </w:rPr>
        <w:t xml:space="preserve">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三、河道巡查</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（一）河道巡查</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巡查人员主要职责是承担管理范围内各设施的巡视、检查工作，做好记录，发现问题及时报告处理；基本要求如下：</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1.每条河必须安排专人</w:t>
      </w:r>
      <w:r>
        <w:rPr>
          <w:rFonts w:hint="eastAsia" w:ascii="宋体" w:hAnsi="宋体" w:eastAsia="宋体" w:cs="宋体"/>
          <w:b w:val="0"/>
          <w:bCs w:val="0"/>
          <w:sz w:val="24"/>
          <w:szCs w:val="24"/>
          <w:lang w:val="en-US" w:eastAsia="zh-CN"/>
        </w:rPr>
        <w:t xml:space="preserve">巡查清理</w:t>
      </w:r>
      <w:r>
        <w:rPr>
          <w:rFonts w:hint="eastAsia" w:ascii="宋体" w:hAnsi="宋体" w:eastAsia="宋体" w:cs="宋体"/>
          <w:b w:val="0"/>
          <w:bCs w:val="0"/>
          <w:sz w:val="24"/>
          <w:szCs w:val="24"/>
          <w:lang w:val="zh-TW" w:eastAsia="zh-TW"/>
        </w:rPr>
        <w:t xml:space="preserve">。</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2.巡查频次：管理单位人员每</w:t>
      </w:r>
      <w:r>
        <w:rPr>
          <w:rFonts w:hint="eastAsia" w:ascii="宋体" w:hAnsi="宋体" w:eastAsia="宋体" w:cs="宋体"/>
          <w:b w:val="0"/>
          <w:bCs w:val="0"/>
          <w:sz w:val="24"/>
          <w:szCs w:val="24"/>
          <w:lang w:val="en-US" w:eastAsia="zh-CN"/>
        </w:rPr>
        <w:t xml:space="preserve">周</w:t>
      </w:r>
      <w:r>
        <w:rPr>
          <w:rFonts w:hint="eastAsia" w:ascii="宋体" w:hAnsi="宋体" w:eastAsia="宋体" w:cs="宋体"/>
          <w:b w:val="0"/>
          <w:bCs w:val="0"/>
          <w:sz w:val="24"/>
          <w:szCs w:val="24"/>
          <w:lang w:val="zh-TW" w:eastAsia="zh-TW"/>
        </w:rPr>
        <w:t xml:space="preserve">进行全覆盖巡查至少</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zh-TW" w:eastAsia="zh-TW"/>
        </w:rPr>
        <w:t xml:space="preserve">次，养护单位人员对河道一般巡查为每天全线巡查至少2次，暴雨、洪水、台风等自然灾害前后及某些人为破坏情况后应进行特别巡查。</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3.每天至少巡查一次河道附属设施</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如有破坏及时报告</w:t>
      </w:r>
      <w:r>
        <w:rPr>
          <w:rFonts w:hint="eastAsia" w:ascii="宋体" w:hAnsi="宋体" w:eastAsia="宋体" w:cs="宋体"/>
          <w:b w:val="0"/>
          <w:bCs w:val="0"/>
          <w:sz w:val="24"/>
          <w:szCs w:val="24"/>
          <w:lang w:val="zh-TW" w:eastAsia="zh-TW"/>
        </w:rPr>
        <w:t xml:space="preserve">。</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zh-TW" w:eastAsia="zh-TW"/>
        </w:rPr>
        <w:t xml:space="preserve">.巡查人员对违法、违章行为有劝阻的义务，情节严重的应在第一时间上报。</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四、河道保洁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（一）保洁范围</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河道管理范围内的水域、陆域、绿化及与河道功能相关的附属设施。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（二）水域保洁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1）河道水域垃圾、水草等漂浮物应控制在一定的范围内，超过则需限时清理（见表2）。</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表2  每1000㎡水域漂浮物控制指标</w:t>
      </w:r>
      <w:r/>
    </w:p>
    <w:tbl>
      <w:tblPr>
        <w:tblStyle w:val="855"/>
        <w:tblpPr w:horzAnchor="page" w:tblpX="1721" w:vertAnchor="text" w:tblpY="168" w:leftFromText="180" w:topFromText="0" w:rightFromText="180" w:bottomFromText="0"/>
        <w:tblW w:w="8661" w:type="dxa"/>
        <w:jc w:val="center"/>
        <w:tblLayout w:type="fixed"/>
        <w:tblCellMar>
          <w:left w:w="0" w:type="dxa"/>
          <w:top w:w="0" w:type="dxa"/>
          <w:right w:w="0" w:type="dxa"/>
          <w:bottom w:w="0" w:type="dxa"/>
        </w:tblCellMar>
        <w:tblLook w:val="04A0" w:firstRow="1" w:lastRow="0" w:firstColumn="1" w:lastColumn="0" w:noHBand="0" w:noVBand="1"/>
      </w:tblPr>
      <w:tblGrid>
        <w:gridCol w:w="555"/>
        <w:gridCol w:w="1221"/>
        <w:gridCol w:w="1665"/>
        <w:gridCol w:w="1785"/>
        <w:gridCol w:w="1650"/>
        <w:gridCol w:w="1785"/>
      </w:tblGrid>
      <w:tr>
        <w:trPr>
          <w:jc w:val="center"/>
          <w:trHeight w:val="487"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65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四类管养</w:t>
            </w:r>
            <w:r/>
          </w:p>
        </w:tc>
      </w:tr>
      <w:tr>
        <w:trPr>
          <w:jc w:val="center"/>
          <w:trHeight w:val="673"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312"/>
              <w:ind w:right="0"/>
              <w:jc w:val="center"/>
              <w:keepLines w:val="0"/>
              <w:keepNext w:val="0"/>
              <w:pageBreakBefore w:val="0"/>
              <w:spacing w:line="2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水面垃圾（处）</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c>
          <w:tcPr>
            <w:tcBorders>
              <w:top w:val="single" w:color="000000" w:sz="12" w:space="0"/>
              <w:left w:val="single" w:color="000000" w:sz="12" w:space="0"/>
              <w:bottom w:val="single" w:color="000000" w:sz="12" w:space="0"/>
              <w:right w:val="single" w:color="000000" w:sz="12" w:space="0"/>
            </w:tcBorders>
            <w:tcW w:w="165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w:t>
            </w:r>
            <w:r/>
          </w:p>
        </w:tc>
      </w:tr>
      <w:tr>
        <w:trPr>
          <w:jc w:val="center"/>
          <w:trHeight w:val="685"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水生植物面积（㎡）</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单处面积≤10且累计面积≤50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单处面积≤10且累计面积≤75</w:t>
            </w:r>
            <w:r/>
          </w:p>
        </w:tc>
        <w:tc>
          <w:tcPr>
            <w:tcBorders>
              <w:top w:val="single" w:color="000000" w:sz="12" w:space="0"/>
              <w:left w:val="single" w:color="000000" w:sz="12" w:space="0"/>
              <w:bottom w:val="single" w:color="000000" w:sz="12" w:space="0"/>
              <w:right w:val="single" w:color="000000" w:sz="12" w:space="0"/>
            </w:tcBorders>
            <w:tcW w:w="165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单处面积≤10且累计面积≤100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单处面积≤10且累计面积≤125</w:t>
            </w:r>
            <w:r/>
          </w:p>
        </w:tc>
      </w:tr>
      <w:tr>
        <w:trPr>
          <w:jc w:val="center"/>
          <w:trHeight w:val="550"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312"/>
              <w:ind w:right="0"/>
              <w:jc w:val="center"/>
              <w:keepLines w:val="0"/>
              <w:keepNext w:val="0"/>
              <w:pageBreakBefore w:val="0"/>
              <w:spacing w:line="2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漂浮物存留时间</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 小时</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4小时</w:t>
            </w:r>
            <w:r/>
          </w:p>
        </w:tc>
        <w:tc>
          <w:tcPr>
            <w:tcBorders>
              <w:top w:val="single" w:color="000000" w:sz="12" w:space="0"/>
              <w:left w:val="single" w:color="000000" w:sz="12" w:space="0"/>
              <w:bottom w:val="single" w:color="000000" w:sz="12" w:space="0"/>
              <w:right w:val="single" w:color="000000" w:sz="12" w:space="0"/>
            </w:tcBorders>
            <w:tcW w:w="165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24小时</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48小时</w:t>
            </w:r>
            <w:r/>
          </w:p>
        </w:tc>
      </w:tr>
      <w:tr>
        <w:trPr>
          <w:jc w:val="center"/>
          <w:trHeight w:val="550"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保洁频次</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不少于每天6次</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不少于每天3次</w:t>
            </w:r>
            <w:r/>
          </w:p>
        </w:tc>
        <w:tc>
          <w:tcPr>
            <w:tcBorders>
              <w:top w:val="single" w:color="000000" w:sz="12" w:space="0"/>
              <w:left w:val="single" w:color="000000" w:sz="12" w:space="0"/>
              <w:bottom w:val="single" w:color="000000" w:sz="12" w:space="0"/>
              <w:right w:val="single" w:color="000000" w:sz="12" w:space="0"/>
            </w:tcBorders>
            <w:tcW w:w="165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不少于每天1次</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不少于2天1次</w:t>
            </w:r>
            <w:r/>
          </w:p>
        </w:tc>
      </w:tr>
    </w:tbl>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河道上视实际情况在交流汇入口设拦漂设施（不影响河道行洪排涝）以拦截漂浮物，桥角、桥墩边、闸前亦宜采取措施拦阻漂浮物；拦阻的漂浮物应及时打捞，做到日产日清并运至其他垃圾场或其它指定场所进行处理；拦漂设施上的漂浮物应及时清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3）汛期河道重点河段清理须在河道所属流域雨停并允许下河作业后一定时间内达到相应等级的保洁标准（见表3）。</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表3  汛期重点河段水域垃圾清理时间表</w:t>
      </w:r>
      <w:r/>
    </w:p>
    <w:tbl>
      <w:tblPr>
        <w:tblStyle w:val="855"/>
        <w:tblpPr w:horzAnchor="page" w:tblpX="1736" w:vertAnchor="text" w:tblpY="33" w:leftFromText="180" w:topFromText="0" w:rightFromText="180" w:bottomFromText="0"/>
        <w:tblW w:w="8586" w:type="dxa"/>
        <w:tblInd w:w="0" w:type="dxa"/>
        <w:tblLayout w:type="fixed"/>
        <w:tblCellMar>
          <w:left w:w="0" w:type="dxa"/>
          <w:top w:w="0" w:type="dxa"/>
          <w:right w:w="0" w:type="dxa"/>
          <w:bottom w:w="0" w:type="dxa"/>
        </w:tblCellMar>
        <w:tblLook w:val="04A0" w:firstRow="1" w:lastRow="0" w:firstColumn="1" w:lastColumn="0" w:noHBand="0" w:noVBand="1"/>
      </w:tblPr>
      <w:tblGrid>
        <w:gridCol w:w="690"/>
        <w:gridCol w:w="2271"/>
        <w:gridCol w:w="1350"/>
        <w:gridCol w:w="1440"/>
        <w:gridCol w:w="1440"/>
        <w:gridCol w:w="1395"/>
      </w:tblGrid>
      <w:tr>
        <w:trPr>
          <w:trHeight w:val="450" w:hRule="exact"/>
        </w:trPr>
        <w:tc>
          <w:tcPr>
            <w:tcBorders>
              <w:top w:val="single" w:color="000000" w:sz="12" w:space="0"/>
              <w:left w:val="single" w:color="000000" w:sz="12" w:space="0"/>
              <w:bottom w:val="single" w:color="000000" w:sz="12" w:space="0"/>
              <w:right w:val="single" w:color="000000" w:sz="12" w:space="0"/>
            </w:tcBorders>
            <w:tcW w:w="69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2271"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35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39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四类管养</w:t>
            </w:r>
            <w:r/>
          </w:p>
        </w:tc>
      </w:tr>
      <w:tr>
        <w:trPr>
          <w:trHeight w:val="960" w:hRule="exact"/>
        </w:trPr>
        <w:tc>
          <w:tcPr>
            <w:tcBorders>
              <w:top w:val="single" w:color="000000" w:sz="12" w:space="0"/>
              <w:left w:val="single" w:color="000000" w:sz="12" w:space="0"/>
              <w:bottom w:val="single" w:color="000000" w:sz="12" w:space="0"/>
              <w:right w:val="single" w:color="000000" w:sz="12" w:space="0"/>
            </w:tcBorders>
            <w:tcW w:w="69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2271"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暴雨（未达到黄色预警等级）雨停允许下河作业后</w:t>
            </w:r>
            <w:r/>
          </w:p>
        </w:tc>
        <w:tc>
          <w:tcPr>
            <w:tcBorders>
              <w:top w:val="single" w:color="000000" w:sz="12" w:space="0"/>
              <w:left w:val="single" w:color="000000" w:sz="12" w:space="0"/>
              <w:bottom w:val="single" w:color="000000" w:sz="12" w:space="0"/>
              <w:right w:val="single" w:color="000000" w:sz="12" w:space="0"/>
            </w:tcBorders>
            <w:tcW w:w="135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60 小时</w:t>
            </w:r>
            <w:r/>
          </w:p>
        </w:tc>
        <w:tc>
          <w:tcPr>
            <w:tcBorders>
              <w:top w:val="single" w:color="000000" w:sz="12" w:space="0"/>
              <w:left w:val="single" w:color="000000" w:sz="12" w:space="0"/>
              <w:bottom w:val="single" w:color="000000" w:sz="12" w:space="0"/>
              <w:right w:val="single" w:color="000000" w:sz="12" w:space="0"/>
            </w:tcBorders>
            <w:tcW w:w="13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 小时</w:t>
            </w:r>
            <w:r/>
          </w:p>
        </w:tc>
      </w:tr>
      <w:tr>
        <w:trPr>
          <w:trHeight w:val="960" w:hRule="exact"/>
        </w:trPr>
        <w:tc>
          <w:tcPr>
            <w:tcBorders>
              <w:top w:val="single" w:color="000000" w:sz="12" w:space="0"/>
              <w:left w:val="single" w:color="000000" w:sz="12" w:space="0"/>
              <w:bottom w:val="single" w:color="000000" w:sz="12" w:space="0"/>
              <w:right w:val="single" w:color="000000" w:sz="12" w:space="0"/>
            </w:tcBorders>
            <w:tcW w:w="69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2271"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黄色及黄色以上暴雨预警信号取消，允许下河作业后</w:t>
            </w:r>
            <w:r/>
          </w:p>
        </w:tc>
        <w:tc>
          <w:tcPr>
            <w:tcBorders>
              <w:top w:val="single" w:color="000000" w:sz="12" w:space="0"/>
              <w:left w:val="single" w:color="000000" w:sz="12" w:space="0"/>
              <w:bottom w:val="single" w:color="000000" w:sz="12" w:space="0"/>
              <w:right w:val="single" w:color="000000" w:sz="12" w:space="0"/>
            </w:tcBorders>
            <w:tcW w:w="135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84 小时</w:t>
            </w:r>
            <w:r/>
          </w:p>
        </w:tc>
        <w:tc>
          <w:tcPr>
            <w:tcBorders>
              <w:top w:val="single" w:color="000000" w:sz="12" w:space="0"/>
              <w:left w:val="single" w:color="000000" w:sz="12" w:space="0"/>
              <w:bottom w:val="single" w:color="000000" w:sz="12" w:space="0"/>
              <w:right w:val="single" w:color="000000" w:sz="12" w:space="0"/>
            </w:tcBorders>
            <w:tcW w:w="13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96 小时</w:t>
            </w:r>
            <w:r/>
          </w:p>
        </w:tc>
      </w:tr>
    </w:tbl>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4）当气象台发布黄色及黄色以上暴雨、台风信号时，停止河道保洁作业。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5）汛期的保洁应服从河道防汛调度要求。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6）保洁可采用机械作业或者船舶作业，保洁船宜选用电动或气动低噪音环保型船舶，船上污水杂物不得直接排向河道。</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7）水域在7:00~18:00采用巡回保洁。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（三）陆域保洁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1）河道陆域范围应无废弃物、吊挂物和杂草等垃圾，河道重点河段无瓜皮、果壳、纸屑、烟蒂等散落物，垃圾应限时清理（见表4）。</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表4  陆域保洁时间表</w:t>
      </w:r>
      <w:r/>
    </w:p>
    <w:tbl>
      <w:tblPr>
        <w:tblStyle w:val="855"/>
        <w:tblpPr w:horzAnchor="page" w:tblpX="1637" w:vertAnchor="text" w:tblpY="189" w:leftFromText="180" w:topFromText="0" w:rightFromText="180" w:bottomFromText="0"/>
        <w:tblW w:w="8730" w:type="dxa"/>
        <w:tblInd w:w="0" w:type="dxa"/>
        <w:tblLayout w:type="fixed"/>
        <w:tblCellMar>
          <w:left w:w="0" w:type="dxa"/>
          <w:top w:w="0" w:type="dxa"/>
          <w:right w:w="0" w:type="dxa"/>
          <w:bottom w:w="0" w:type="dxa"/>
        </w:tblCellMar>
        <w:tblLook w:val="04A0" w:firstRow="1" w:lastRow="0" w:firstColumn="1" w:lastColumn="0" w:noHBand="0" w:noVBand="1"/>
      </w:tblPr>
      <w:tblGrid>
        <w:gridCol w:w="540"/>
        <w:gridCol w:w="1485"/>
        <w:gridCol w:w="1695"/>
        <w:gridCol w:w="1695"/>
        <w:gridCol w:w="1695"/>
        <w:gridCol w:w="1620"/>
      </w:tblGrid>
      <w:tr>
        <w:trPr>
          <w:trHeight w:val="464"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四类管养</w:t>
            </w:r>
            <w:r/>
          </w:p>
        </w:tc>
      </w:tr>
      <w:tr>
        <w:trPr>
          <w:trHeight w:val="612"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陆域垃圾  （处/公里）</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≤10</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≤15</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≤20</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≤25</w:t>
            </w:r>
            <w:r/>
          </w:p>
        </w:tc>
      </w:tr>
      <w:tr>
        <w:trPr>
          <w:trHeight w:val="539"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垃圾存留时间</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 小时</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4小时</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24小时</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312"/>
              <w:ind w:right="0"/>
              <w:jc w:val="center"/>
              <w:spacing w:line="229"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48小时</w:t>
            </w:r>
            <w:r/>
          </w:p>
        </w:tc>
      </w:tr>
      <w:tr>
        <w:trPr>
          <w:trHeight w:val="569"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保洁频次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不少于每天6次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不少于每天3次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不少于每天1次</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不少于2天1次</w:t>
            </w:r>
            <w:r/>
          </w:p>
        </w:tc>
      </w:tr>
    </w:tbl>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保洁作业人员应统一着装，穿着必要的安全警示服装，并应配备适合保洁各种设施的工具；环卫车应有醒目的保洁单位名称及监督电话，垃圾箱垃圾日产日清，清理的垃圾应及时运至垃圾中转站或处理场。垃圾在外运途中应采取密闭措施，防止抛洒、泄漏。</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汛期后应根据水位状况及时组织力量做好突击保洁，最快时间清除大型漂浮物、倾入河内的树木树枝等各类障碍物。汛期河道重点地段清理须在河道所属流域雨停后一定时向内达到相应等级的保洁标准（见表5）。</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表5  汛期重点河段陆域垃圾清理时间表</w:t>
      </w:r>
      <w:r/>
    </w:p>
    <w:tbl>
      <w:tblPr>
        <w:tblStyle w:val="855"/>
        <w:tblpPr w:horzAnchor="page" w:tblpX="1637" w:vertAnchor="text" w:tblpY="189" w:leftFromText="180" w:topFromText="0" w:rightFromText="180" w:bottomFromText="0"/>
        <w:tblW w:w="8655" w:type="dxa"/>
        <w:tblInd w:w="0" w:type="dxa"/>
        <w:tblLayout w:type="fixed"/>
        <w:tblCellMar>
          <w:left w:w="0" w:type="dxa"/>
          <w:top w:w="0" w:type="dxa"/>
          <w:right w:w="0" w:type="dxa"/>
          <w:bottom w:w="0" w:type="dxa"/>
        </w:tblCellMar>
        <w:tblLook w:val="04A0" w:firstRow="1" w:lastRow="0" w:firstColumn="1" w:lastColumn="0" w:noHBand="0" w:noVBand="1"/>
      </w:tblPr>
      <w:tblGrid>
        <w:gridCol w:w="694"/>
        <w:gridCol w:w="2083"/>
        <w:gridCol w:w="1453"/>
        <w:gridCol w:w="1545"/>
        <w:gridCol w:w="1470"/>
        <w:gridCol w:w="1410"/>
      </w:tblGrid>
      <w:tr>
        <w:trPr>
          <w:trHeight w:val="464"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四类管养</w:t>
            </w:r>
            <w:r/>
          </w:p>
        </w:tc>
      </w:tr>
      <w:tr>
        <w:trPr>
          <w:trHeight w:val="612"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暴雨（未达到黄色预警等级）停后</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84 小时</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96 小时</w:t>
            </w:r>
            <w:r/>
          </w:p>
        </w:tc>
      </w:tr>
      <w:tr>
        <w:trPr>
          <w:trHeight w:val="719"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黄色及黄色以上暴雨预警信号取消后</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96 小时</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108 小时</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312"/>
              <w:ind w:right="0"/>
              <w:jc w:val="center"/>
              <w:keepLines w:val="0"/>
              <w:keepNext w:val="0"/>
              <w:pageBreakBefore w:val="0"/>
              <w:spacing w:line="3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120 小时</w:t>
            </w:r>
            <w:r/>
          </w:p>
        </w:tc>
      </w:tr>
    </w:tbl>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pacing w:val="0"/>
          <w:position w:val="0"/>
          <w:sz w:val="24"/>
          <w:szCs w:val="24"/>
          <w:highlight w:val="none"/>
          <w:u w:val="none"/>
          <w:shd w:val="clear" w:color="auto" w:fill="auto"/>
          <w:lang w:val="zh-TW" w:eastAsia="zh-TW" w:bidi="zh-TW"/>
        </w:rPr>
      </w:pPr>
      <w:r>
        <w:rPr>
          <w:rFonts w:hint="eastAsia" w:ascii="宋体" w:hAnsi="宋体" w:eastAsia="宋体" w:cs="宋体"/>
          <w:color w:val="auto"/>
          <w:spacing w:val="0"/>
          <w:position w:val="0"/>
          <w:sz w:val="24"/>
          <w:szCs w:val="24"/>
          <w:highlight w:val="none"/>
          <w:u w:val="none"/>
          <w:shd w:val="clear" w:color="auto" w:fill="auto"/>
          <w:lang w:val="zh-TW" w:eastAsia="zh-TW" w:bidi="zh-TW"/>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4）河道管理范围内的建（构）筑物立面无明显污迹、无乱贴、乱挂和过时破损标语。广告牌、指示牌、宣传画廊、废物箱、围栏、平台、栈道等设施应保持完好清洁，无明显污迹、积尘。</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5）应制定保障预案，遇各项重大活动及节假日，按上级有关要求落实各项措施。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6）陆域在7:00~18:00采用巡回保洁。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五、河道养护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（一）绿化养护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1.主要内容：主要是岸坡草皮及堤顶道路树木等管理范围内的一切绿化养护。</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绿化养护单位要求：应符合相应的业绩要求，配备足够的具备相应职业技能的养护人员，对新员工进行岗前培训，并配备相应的机械设备；建立健全相关制度，具体有岗位职责制度、工作质量制度、巡查考核制度、日常管理制度、各类台账制度、从业人员培训制度、投诉反馈制度及安全管理制度等各项详细制度。</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3.绿化总体要求：应符合季节特点科学合理进行，季相分明，养护应重视和体现植物造景，层次丰富，生长茂盛，并与周边环境的管养标准相协调。</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4.绿化标准：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一类、三类整治及景观河道，草坪应生长茂盛，且草根不裸露，无空秃，无明显杂草、无明显枯黄现象，及时修剪，高度控制在10CM以下（江苏省城市园林绿化植物养护技术规定）；绿化植物完好率达到95%以上，无占绿、毁绿现象；草坪、灌木等植物应无枯枝烂头、病枝等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二类、四类天然河道及未进行景观和生态化改造的河道，杂草应及时修剪，二类高度控制在30CM以内、四类高度控制在60CM以内，要求做到环境整洁优美，无垃圾、无乱丢、乱弃、乱张贴现象。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其他养护质量可参考《南京市园林绿化养护质量等级标准》中的基本养护标准。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（二）应急抢险措施</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应急抢险工作不属于日常维修养护和年修工作范围，如发现堤防护岸的突发性险情，养护单位应立即采取临时应急抢险措施，并设置安全警示标志，同时向河道管理单位报告。</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zh-TW" w:eastAsia="zh-CN"/>
        </w:rPr>
      </w:pPr>
      <w:r>
        <w:rPr>
          <w:rFonts w:hint="eastAsia" w:ascii="宋体" w:hAnsi="宋体" w:eastAsia="宋体" w:cs="宋体"/>
          <w:b w:val="0"/>
          <w:bCs w:val="0"/>
          <w:sz w:val="24"/>
          <w:szCs w:val="24"/>
          <w:lang w:val="zh-TW"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附件3.扫雪防冻工作要求</w:t>
      </w:r>
      <w:r/>
    </w:p>
    <w:p>
      <w:pPr>
        <w:ind w:left="0" w:right="0" w:firstLine="0"/>
        <w:jc w:val="both"/>
        <w:keepLines w:val="0"/>
        <w:keepNext w:val="0"/>
        <w:pageBreakBefore w:val="0"/>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left="0" w:right="0" w:firstLine="0"/>
        <w:jc w:val="center"/>
        <w:keepLines w:val="0"/>
        <w:keepNext w:val="0"/>
        <w:pageBreakBefore w:val="0"/>
        <w:spacing w:line="360" w:lineRule="auto"/>
        <w:shd w:val="clear" w:color="auto" w:fill="auto"/>
        <w:widowControl w:val="off"/>
        <w:rPr>
          <w:rFonts w:hint="eastAsia" w:ascii="宋体" w:hAnsi="宋体" w:eastAsia="宋体" w:cs="宋体"/>
          <w:b w:val="0"/>
          <w:bCs/>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rPr>
        <w:t xml:space="preserve">扫雪防冻工作要求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一、基本思想</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牢固树立防大雪、抗大灾的指导思想，坚持“预防为主，防治结合”的工作思想，按照“条块联动、属地管理，条抓块保、以块为主”的原则，扫雪作业单位要结合冬季气候特点，认真把扫雪防冻工作作为一项重要任务安排，制定预案，规范、完善各项预防、应急措施和有效责任机制，切实把扫雪防冻中的各项保障工作做深、做细、做实。</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二、抢险期限</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扫雪防冻时间：每年11月-次年2月（具体时间以扫雪防冻指挥部通知为准）。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三、应急响应</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1、按照市、新区预警信息要求，迅速启动应急预案，有效预防，做好扫雪防冻的各项准备工作。</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接到降雪或异常气象通报时，扫雪作业单位听从园区统一安排，到达各自工作岗位，检查、备齐专业除雪作业所需车辆、工具和物资，特别是遇有夜间、节假日降雪预报时，作业单位要留有充足人员和后备力量，随时准备实施应急响应。</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四、除雪作业要求</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1、安排专人收听天气预报，随时了解天气变化，遇有降雪预报时，及时通知抢险人员，提前将作业车辆进入各待命作业位置，确保在短时间内迅速开展作业。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2、扫雪作业单位进行扫雪作业时要按照“先重点、后一般”和“先打开一条路，再向两边扩展”要求顺序作业。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中雪降雪过程中，高架、桥梁、坡道、匝道、进出城通道等易结冰地段，每2小时实施一次撒融雪剂作业，大雪以上每1小时实施一次撒融雪剂作业，防止积雪成冰。同时采取机械化清雪、人工扫雪等措施，确保园区主干道、进出园区道路单向至少1股道路的畅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4、大雪以上降雪结束24小时内，确保园区主干道、进出园区道路单向至少保持2股道路的畅通。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5、大雪以上降雪结束48小时内，园区内积雪清除完毕，交通恢复正常。</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五、考核方式</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作业质量考核采取随机抽签现场实地检查和专项检查相结合的方法，不通知被查单位，随机进行检查人数、设备，次数不限。</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检查不限定区域、时间，所有设施、任何时间均可以检查，以整改通知单的形式，及时向中标单位通报，以发单时间计算，作业单位8小时内需整改完毕，并将整改结果报送检查组人员。群众举报、媒体曝光及各级领导指出问题及时督查，纳入区主管部门随机考核范畴，限期整改。</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附件4.考核评分细则</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tbl>
      <w:tblPr>
        <w:tblStyle w:val="855"/>
        <w:tblW w:w="97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827"/>
        <w:gridCol w:w="1134"/>
        <w:gridCol w:w="6360"/>
        <w:gridCol w:w="866"/>
      </w:tblGrid>
      <w:tr>
        <w:trPr>
          <w:trHeight w:val="688"/>
        </w:trPr>
        <w:tc>
          <w:tcPr>
            <w:gridSpan w:val="5"/>
            <w:tcBorders>
              <w:top w:val="none" w:color="000000" w:sz="4" w:space="0"/>
              <w:left w:val="none" w:color="000000" w:sz="4" w:space="0"/>
              <w:bottom w:val="none" w:color="000000" w:sz="4" w:space="0"/>
              <w:right w:val="none" w:color="000000" w:sz="4" w:space="0"/>
            </w:tcBorders>
            <w:tcW w:w="971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考核评分细则</w:t>
            </w:r>
            <w:r/>
          </w:p>
        </w:tc>
      </w:tr>
      <w:tr>
        <w:trPr>
          <w:trHeight w:val="710"/>
        </w:trPr>
        <w:tc>
          <w:tcPr>
            <w:tcBorders>
              <w:top w:val="single" w:color="000000" w:sz="8" w:space="0"/>
              <w:left w:val="single" w:color="000000" w:sz="8" w:space="0"/>
              <w:bottom w:val="single" w:color="000000" w:sz="8" w:space="0"/>
              <w:right w:val="single" w:color="000000" w:sz="8" w:space="0"/>
            </w:tcBorders>
            <w:tcW w:w="5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8" w:space="0"/>
              <w:left w:val="none" w:color="000000" w:sz="4" w:space="0"/>
              <w:bottom w:val="single" w:color="000000" w:sz="8" w:space="0"/>
              <w:right w:val="single" w:color="000000" w:sz="8" w:space="0"/>
            </w:tcBorders>
            <w:tcW w:w="8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考核项目</w:t>
            </w:r>
            <w:r/>
          </w:p>
        </w:tc>
        <w:tc>
          <w:tcPr>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考核方式</w:t>
            </w:r>
            <w:r/>
          </w:p>
        </w:tc>
        <w:tc>
          <w:tcPr>
            <w:tcBorders>
              <w:top w:val="single" w:color="000000" w:sz="8" w:space="0"/>
              <w:left w:val="none" w:color="000000" w:sz="4" w:space="0"/>
              <w:bottom w:val="single" w:color="000000" w:sz="8" w:space="0"/>
              <w:right w:val="single" w:color="000000" w:sz="8" w:space="0"/>
            </w:tcBorders>
            <w:tcW w:w="63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   核   内   容</w:t>
            </w:r>
            <w:r/>
          </w:p>
        </w:tc>
        <w:tc>
          <w:tcPr>
            <w:tcBorders>
              <w:top w:val="single" w:color="000000" w:sz="8" w:space="0"/>
              <w:left w:val="none" w:color="000000" w:sz="4" w:space="0"/>
              <w:bottom w:val="single" w:color="000000" w:sz="8" w:space="0"/>
              <w:right w:val="single" w:color="000000" w:sz="8" w:space="0"/>
            </w:tcBorders>
            <w:tcW w:w="8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满分</w:t>
            </w:r>
            <w:r/>
          </w:p>
        </w:tc>
      </w:tr>
      <w:tr>
        <w:trPr>
          <w:trHeight w:val="312"/>
        </w:trPr>
        <w:tc>
          <w:tcPr>
            <w:tcBorders>
              <w:top w:val="single" w:color="000000" w:sz="8" w:space="0"/>
              <w:left w:val="single" w:color="000000" w:sz="8" w:space="0"/>
              <w:bottom w:val="single" w:color="000000" w:sz="8" w:space="0"/>
              <w:right w:val="single" w:color="000000" w:sz="8" w:space="0"/>
            </w:tcBorders>
            <w:tcW w:w="5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tcBorders>
              <w:top w:val="single" w:color="000000" w:sz="8" w:space="0"/>
              <w:left w:val="none" w:color="000000" w:sz="4" w:space="0"/>
              <w:bottom w:val="single" w:color="000000" w:sz="8" w:space="0"/>
              <w:right w:val="single" w:color="000000" w:sz="8" w:space="0"/>
            </w:tcBorders>
            <w:tcW w:w="8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工作计划</w:t>
            </w:r>
            <w:r/>
          </w:p>
        </w:tc>
        <w:tc>
          <w:tcPr>
            <w:tcBorders>
              <w:top w:val="single" w:color="000000" w:sz="8" w:space="0"/>
              <w:left w:val="none" w:color="000000" w:sz="4" w:space="0"/>
              <w:bottom w:val="single" w:color="000000" w:sz="8" w:space="0"/>
              <w:right w:val="single" w:color="000000" w:sz="8"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查看资料、台帐</w:t>
            </w:r>
            <w:r/>
          </w:p>
        </w:tc>
        <w:tc>
          <w:tcPr>
            <w:tcBorders>
              <w:top w:val="single" w:color="000000" w:sz="8" w:space="0"/>
              <w:left w:val="none" w:color="000000" w:sz="4" w:space="0"/>
              <w:bottom w:val="single" w:color="000000" w:sz="8" w:space="0"/>
              <w:right w:val="single" w:color="000000" w:sz="8" w:space="0"/>
            </w:tcBorders>
            <w:tcW w:w="636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有按时报送的工作日报（2分）</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无，则全部扣除；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2.每月有管养完成情况的及下个月度重点计划（2分），无，则全部扣除；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3.园区整改单要及时按要求整改回复（2分），有一次未按要求整改回复的，扣1分。</w:t>
            </w:r>
            <w:r/>
          </w:p>
        </w:tc>
        <w:tc>
          <w:tcPr>
            <w:tcBorders>
              <w:top w:val="single" w:color="000000" w:sz="8" w:space="0"/>
              <w:left w:val="none" w:color="000000" w:sz="4" w:space="0"/>
              <w:bottom w:val="single" w:color="000000" w:sz="8" w:space="0"/>
              <w:right w:val="single" w:color="000000" w:sz="8" w:space="0"/>
            </w:tcBorders>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312"/>
        </w:trPr>
        <w:tc>
          <w:tcPr>
            <w:tcBorders>
              <w:top w:val="single" w:color="000000" w:sz="8" w:space="0"/>
              <w:left w:val="single" w:color="000000" w:sz="8" w:space="0"/>
              <w:bottom w:val="single" w:color="000000" w:sz="8" w:space="0"/>
              <w:right w:val="single" w:color="000000" w:sz="8" w:space="0"/>
            </w:tcBorders>
            <w:tcW w:w="53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82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11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6360" w:type="dxa"/>
            <w:vAlign w:val="center"/>
            <w:vMerge w:val="continue"/>
            <w:textDirection w:val="lrTb"/>
            <w:noWrap w:val="false"/>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8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9"/>
        </w:trPr>
        <w:tc>
          <w:tcPr>
            <w:tcBorders>
              <w:top w:val="none" w:color="000000" w:sz="4" w:space="0"/>
              <w:left w:val="single" w:color="000000" w:sz="8" w:space="0"/>
              <w:bottom w:val="single" w:color="000000" w:sz="8" w:space="0"/>
              <w:right w:val="single" w:color="000000" w:sz="8" w:space="0"/>
            </w:tcBorders>
            <w:tcW w:w="5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8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绿化养护</w:t>
            </w:r>
            <w:r/>
          </w:p>
        </w:tc>
        <w:tc>
          <w:tcPr>
            <w:tcBorders>
              <w:top w:val="none" w:color="000000" w:sz="4" w:space="0"/>
              <w:left w:val="none" w:color="000000" w:sz="4" w:space="0"/>
              <w:bottom w:val="single" w:color="000000" w:sz="8" w:space="0"/>
              <w:right w:val="single" w:color="000000" w:sz="8"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河道、道路绿化</w:t>
            </w:r>
            <w:r/>
          </w:p>
        </w:tc>
        <w:tc>
          <w:tcPr>
            <w:tcBorders>
              <w:top w:val="none" w:color="000000" w:sz="4" w:space="0"/>
              <w:left w:val="none" w:color="000000" w:sz="4" w:space="0"/>
              <w:bottom w:val="single" w:color="000000" w:sz="8" w:space="0"/>
              <w:right w:val="single" w:color="000000" w:sz="8" w:space="0"/>
            </w:tcBorders>
            <w:tcW w:w="636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行道树、乔木无死树险树有一处扣1分；（满分3分）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2．新栽、补植乔木养护措施到位，做好扶木、卷干、浇水等栽后养护工作，成活率不低于95%有一处扣1分；成活率每降低5个百分点扣1分；（满分5分）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3．树冠均衡匀称，生长正常，树上无钉挂招贴，有一处扣0.5分；（满分2分）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4．按养护规范及时修剪剥芽，无病枯枝；未及时修剪，有一处扣1分；（满分3分）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5．补植的花灌木成活率不低于98%），98%以下，每降5个百分点扣1分，有较大数量死亡，一处扣1分；（满分3分）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6．花灌木按设计及养护要求及时整形修剪，无缺损、无缺档、不脱脚、长势茂盛，有一处未达要求扣1分；（满分5分）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7．绿地绿岛内基本无明显黄土裸露现象，无坑洼积水，有一处扣1分；（满分4分）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8．草坪地被及时修剪整齐无明显杂草、生长旺盛，未及时修剪，有一处扣0.5分；（满分5分）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9．行道树乔灌木及绿地基本无明显病虫害，有一处扣0.5分；（满分3分）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10.草坪、绿地落叶杂物及时清理，未及时清理一次扣1分；（满分3分）</w:t>
            </w:r>
            <w:r/>
          </w:p>
        </w:tc>
        <w:tc>
          <w:tcPr>
            <w:tcBorders>
              <w:top w:val="none" w:color="000000" w:sz="4" w:space="0"/>
              <w:left w:val="none" w:color="000000" w:sz="4" w:space="0"/>
              <w:bottom w:val="single" w:color="000000" w:sz="8" w:space="0"/>
              <w:right w:val="single" w:color="000000" w:sz="8" w:space="0"/>
            </w:tcBorders>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r>
        <w:trPr>
          <w:trHeight w:val="409"/>
        </w:trPr>
        <w:tc>
          <w:tcPr>
            <w:tcBorders>
              <w:top w:val="none" w:color="000000" w:sz="4" w:space="0"/>
              <w:left w:val="single" w:color="000000" w:sz="8" w:space="0"/>
              <w:bottom w:val="single" w:color="000000" w:sz="8" w:space="0"/>
              <w:right w:val="single" w:color="000000" w:sz="8" w:space="0"/>
            </w:tcBorders>
            <w:tcW w:w="53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2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11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center"/>
            <w:vMerge w:val="continue"/>
            <w:textDirection w:val="lrTb"/>
            <w:noWrap w:val="false"/>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9"/>
        </w:trPr>
        <w:tc>
          <w:tcPr>
            <w:tcBorders>
              <w:top w:val="none" w:color="000000" w:sz="4" w:space="0"/>
              <w:left w:val="single" w:color="000000" w:sz="8" w:space="0"/>
              <w:bottom w:val="single" w:color="000000" w:sz="8" w:space="0"/>
              <w:right w:val="single" w:color="000000" w:sz="8" w:space="0"/>
            </w:tcBorders>
            <w:tcW w:w="53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2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11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center"/>
            <w:vMerge w:val="continue"/>
            <w:textDirection w:val="lrTb"/>
            <w:noWrap w:val="false"/>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7"/>
        </w:trPr>
        <w:tc>
          <w:tcPr>
            <w:tcBorders>
              <w:top w:val="none" w:color="000000" w:sz="4" w:space="0"/>
              <w:left w:val="single" w:color="000000" w:sz="8" w:space="0"/>
              <w:bottom w:val="single" w:color="000000" w:sz="8" w:space="0"/>
              <w:right w:val="single" w:color="000000" w:sz="8" w:space="0"/>
            </w:tcBorders>
            <w:tcW w:w="5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8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道路保洁</w:t>
            </w:r>
            <w:r/>
          </w:p>
        </w:tc>
        <w:tc>
          <w:tcPr>
            <w:tcBorders>
              <w:top w:val="none" w:color="000000" w:sz="4" w:space="0"/>
              <w:left w:val="none" w:color="000000" w:sz="4" w:space="0"/>
              <w:bottom w:val="single" w:color="000000" w:sz="8" w:space="0"/>
              <w:right w:val="single" w:color="000000" w:sz="8"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道路保洁</w:t>
            </w:r>
            <w:r/>
          </w:p>
        </w:tc>
        <w:tc>
          <w:tcPr>
            <w:tcBorders>
              <w:top w:val="none" w:color="000000" w:sz="4" w:space="0"/>
              <w:left w:val="none" w:color="000000" w:sz="4" w:space="0"/>
              <w:bottom w:val="single" w:color="000000" w:sz="8" w:space="0"/>
              <w:right w:val="single" w:color="000000" w:sz="8" w:space="0"/>
            </w:tcBorders>
            <w:tcW w:w="636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1.作业车辆未正常使用GPS监管系统的，每台车扣1分；(满分3分)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洒水时未按规定使用提示音乐的，每例扣1分:作业时超速(冲洗:10km/b、洒水:20km/b)的，每例扣1分:洒水时未避让行人发生有责投诉的，每次扣1分:冬季洒水使路面结冰的，每例扣1分，导致有责交通事故的，每次扣2分;作业车辆外观不整洁的，每台车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3.机扫车、洗扫车、洒水车、高压冲洗车、机械保洁车(皮卡车)出现故障必须上报并及时调整车辆，未报告擅自停止作业每例扣1分，致使作业中断超过1日，扣2分，2日以上，扣4分;(满分4分)；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4.道路主次干道机扫率达到90%，不达标每例扣0.5分，情节严重扣1分，；(满分3分)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环卫扫雪、防汛、突发事件、重大保障等应急预案完备健全，具有实际可操作性。重大活动或重要保障时，职责范围内出现重大失误，影响城市形象，扣2分;应急系统运转不迅速，出现失误的，每例扣1分;下雪、冰冻等特殊时期，应急方案启动迟缓，每例扣1分;管理人员未履行职责，每例扣1分;区域内出现保洁人员大面积停扫、垃圾滞运12小时以上，扣1分，24小时以上，扣2分，2日以上，扣4分;环保部门道路扬尘污染检查发现问题，每例扣1分；(满分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严格按照标准配备保洁人员、作业车辆、保洁机具及劳动防护用品，劳动防护用品配备符合《环卫工人劳动防护用品发放标准(试行)》(宁城管字[20101222号)要求.各类设施设备管理规范。出现严重的质量问题或安全事故，在采取措施补教的同时，4小时内必须上报。发生事故(质量、安全、伤亡事故)4小时内未上报扣1分，24小时内未上报扣2分。(满分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7.各类岗位、人员配置齐全、科学，人员经过培训上岗，严格遵守环卫作业和安全操作规程，持证上岗，上岗仪表、行为等标准统一、规范，符合优质服务需要。一项不符合扣1分；（满分3分）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8.扫雪防冻按通知时间、数量配备相应的人员、机械，按要求完成扫雪任务，未完成一次扣0.5分；（满分2分）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9.9点前（下雪、落叶季节特殊情况适当延后）完成首次保洁，未完成一次扣1分；（满分5分）</w:t>
            </w:r>
            <w:r/>
          </w:p>
        </w:tc>
        <w:tc>
          <w:tcPr>
            <w:tcBorders>
              <w:top w:val="none" w:color="000000" w:sz="4" w:space="0"/>
              <w:left w:val="none" w:color="000000" w:sz="4" w:space="0"/>
              <w:bottom w:val="single" w:color="000000" w:sz="8" w:space="0"/>
              <w:right w:val="single" w:color="000000" w:sz="8" w:space="0"/>
            </w:tcBorders>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r>
      <w:tr>
        <w:trPr>
          <w:trHeight w:val="667"/>
        </w:trPr>
        <w:tc>
          <w:tcPr>
            <w:tcBorders>
              <w:top w:val="none" w:color="000000" w:sz="4" w:space="0"/>
              <w:left w:val="single" w:color="000000" w:sz="8" w:space="0"/>
              <w:bottom w:val="single" w:color="000000" w:sz="8" w:space="0"/>
              <w:right w:val="single" w:color="000000" w:sz="8" w:space="0"/>
            </w:tcBorders>
            <w:tcW w:w="53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2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11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7"/>
        </w:trPr>
        <w:tc>
          <w:tcPr>
            <w:tcBorders>
              <w:top w:val="none" w:color="000000" w:sz="4" w:space="0"/>
              <w:left w:val="single" w:color="000000" w:sz="8" w:space="0"/>
              <w:bottom w:val="single" w:color="000000" w:sz="8" w:space="0"/>
              <w:right w:val="single" w:color="000000" w:sz="8" w:space="0"/>
            </w:tcBorders>
            <w:tcW w:w="53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2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11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9"/>
        </w:trPr>
        <w:tc>
          <w:tcPr>
            <w:tcBorders>
              <w:top w:val="none" w:color="000000" w:sz="4" w:space="0"/>
              <w:left w:val="single" w:color="000000" w:sz="8" w:space="0"/>
              <w:bottom w:val="single" w:color="000000" w:sz="8" w:space="0"/>
              <w:right w:val="single" w:color="000000" w:sz="8" w:space="0"/>
            </w:tcBorders>
            <w:tcW w:w="531" w:type="dxa"/>
            <w:vAlign w:val="center"/>
            <w:vMerge w:val="restart"/>
            <w:textDirection w:val="lrTb"/>
            <w:noWrap w:val="false"/>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8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河道保洁</w:t>
            </w:r>
            <w:r/>
          </w:p>
        </w:tc>
        <w:tc>
          <w:tcPr>
            <w:tcBorders>
              <w:top w:val="none" w:color="000000" w:sz="4" w:space="0"/>
              <w:left w:val="none" w:color="000000" w:sz="4" w:space="0"/>
              <w:bottom w:val="single" w:color="000000" w:sz="8" w:space="0"/>
              <w:right w:val="single" w:color="000000" w:sz="8" w:space="0"/>
            </w:tcBorders>
            <w:tcW w:w="1134"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1.河道漂浮物、水草及时清理，未及时清理一处扣除1分；（满分10）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2.蓝藻、水藻等及时防治，未及时清理防治，一处扣除0.5分，情节严重影响恶劣的扣1分；（满分3分）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3.秋冬季节水生植物及时清理，一处未清理扣除0.5分；（满分3分）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4.打捞杂物及时清理，未及时清理1次扣0.5分，通知后仍未及时整改的扣1分；（满分5分）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5.作业人员按要求佩戴救生衣，未佩戴1人次扣0.5分；（满分3分）</w:t>
            </w:r>
            <w:r/>
          </w:p>
        </w:tc>
        <w:tc>
          <w:tcPr>
            <w:tcBorders>
              <w:top w:val="none" w:color="000000" w:sz="4" w:space="0"/>
              <w:left w:val="none" w:color="000000" w:sz="4" w:space="0"/>
              <w:bottom w:val="single" w:color="000000" w:sz="8" w:space="0"/>
              <w:right w:val="single" w:color="000000" w:sz="8" w:space="0"/>
            </w:tcBorders>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r>
      <w:tr>
        <w:trPr>
          <w:trHeight w:val="409"/>
        </w:trPr>
        <w:tc>
          <w:tcPr>
            <w:tcBorders>
              <w:top w:val="none" w:color="000000" w:sz="4" w:space="0"/>
              <w:left w:val="single" w:color="000000" w:sz="8" w:space="0"/>
              <w:bottom w:val="single" w:color="000000" w:sz="8" w:space="0"/>
              <w:right w:val="single" w:color="000000" w:sz="8" w:space="0"/>
            </w:tcBorders>
            <w:tcW w:w="53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2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11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6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98"/>
        </w:trPr>
        <w:tc>
          <w:tcPr>
            <w:tcBorders>
              <w:top w:val="none" w:color="000000" w:sz="4" w:space="0"/>
              <w:left w:val="single" w:color="000000" w:sz="8" w:space="0"/>
              <w:bottom w:val="single" w:color="000000" w:sz="8" w:space="0"/>
              <w:right w:val="single" w:color="000000" w:sz="8" w:space="0"/>
            </w:tcBorders>
            <w:tcW w:w="5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8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指令性任务</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按期完成市政府、区政府、研创园下达的创建、突发事件处理等专项任务。未达要求的，一次扣1分</w:t>
            </w:r>
            <w:r/>
          </w:p>
        </w:tc>
        <w:tc>
          <w:tcPr>
            <w:tcBorders>
              <w:top w:val="none" w:color="000000" w:sz="4" w:space="0"/>
              <w:left w:val="none" w:color="000000" w:sz="4" w:space="0"/>
              <w:bottom w:val="single" w:color="000000" w:sz="8" w:space="0"/>
              <w:right w:val="single" w:color="000000" w:sz="8"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1033"/>
        </w:trPr>
        <w:tc>
          <w:tcPr>
            <w:tcBorders>
              <w:top w:val="none" w:color="000000" w:sz="4" w:space="0"/>
              <w:left w:val="single" w:color="000000" w:sz="8" w:space="0"/>
              <w:bottom w:val="single" w:color="000000" w:sz="8" w:space="0"/>
              <w:right w:val="single" w:color="000000" w:sz="8" w:space="0"/>
            </w:tcBorders>
            <w:tcW w:w="53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636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bl>
    <w:p>
      <w:pPr>
        <w:numPr>
          <w:ilvl w:val="0"/>
          <w:numId w:val="0"/>
        </w:numPr>
        <w:ind w:firstLine="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64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附件5.考核表</w:t>
      </w:r>
      <w:r/>
    </w:p>
    <w:tbl>
      <w:tblPr>
        <w:tblStyle w:val="855"/>
        <w:tblW w:w="97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56"/>
        <w:gridCol w:w="2103"/>
        <w:gridCol w:w="906"/>
        <w:gridCol w:w="2173"/>
        <w:gridCol w:w="2934"/>
      </w:tblGrid>
      <w:tr>
        <w:trPr>
          <w:trHeight w:val="1020"/>
        </w:trPr>
        <w:tc>
          <w:tcPr>
            <w:gridSpan w:val="5"/>
            <w:tcBorders>
              <w:top w:val="single" w:color="000000" w:sz="4" w:space="0"/>
              <w:left w:val="single" w:color="000000" w:sz="4" w:space="0"/>
              <w:bottom w:val="single" w:color="000000" w:sz="4" w:space="0"/>
              <w:right w:val="single" w:color="000000" w:sz="4" w:space="0"/>
            </w:tcBorders>
            <w:tcW w:w="9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研创园道路保洁及绿化养护考核表</w:t>
            </w:r>
            <w:r/>
          </w:p>
        </w:tc>
      </w:tr>
      <w:tr>
        <w:trPr>
          <w:trHeight w:val="660"/>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问题</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扣分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问题照片</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整改照片</w:t>
            </w:r>
            <w:r/>
          </w:p>
        </w:tc>
      </w:tr>
      <w:tr>
        <w:trPr>
          <w:trHeight w:val="486"/>
        </w:trPr>
        <w:tc>
          <w:tcPr>
            <w:tcBorders>
              <w:top w:val="single" w:color="000000" w:sz="4" w:space="0"/>
              <w:left w:val="single" w:color="000000" w:sz="4" w:space="0"/>
              <w:bottom w:val="single" w:color="000000" w:sz="4" w:space="0"/>
              <w:right w:val="single" w:color="000000" w:sz="4" w:space="0"/>
            </w:tcBorders>
            <w:tcW w:w="1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道路清扫保洁考核                                                                                                </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6"/>
        </w:trPr>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3"/>
        </w:trPr>
        <w:tc>
          <w:tcPr>
            <w:tcBorders>
              <w:top w:val="single" w:color="000000" w:sz="4" w:space="0"/>
              <w:left w:val="single" w:color="000000" w:sz="4" w:space="0"/>
              <w:bottom w:val="single" w:color="000000" w:sz="4" w:space="0"/>
              <w:right w:val="single" w:color="000000" w:sz="4" w:space="0"/>
            </w:tcBorders>
            <w:tcW w:w="1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河道及雨篦子保洁考核</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36"/>
        </w:trPr>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4"/>
        </w:trPr>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90"/>
        </w:trPr>
        <w:tc>
          <w:tcPr>
            <w:tcBorders>
              <w:top w:val="single" w:color="000000" w:sz="4" w:space="0"/>
              <w:left w:val="single" w:color="000000" w:sz="4" w:space="0"/>
              <w:bottom w:val="single" w:color="000000" w:sz="4" w:space="0"/>
              <w:right w:val="single" w:color="000000" w:sz="4" w:space="0"/>
            </w:tcBorders>
            <w:tcW w:w="1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道路、河道绿化考核</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0"/>
        </w:trPr>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24"/>
        </w:trPr>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97"/>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查看资料、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台账</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研创园下达的创建、突发事件处理等专项任务</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其他考核</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投诉</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gridSpan w:val="2"/>
            <w:tcBorders>
              <w:top w:val="none" w:color="000000" w:sz="4" w:space="0"/>
              <w:left w:val="none" w:color="000000" w:sz="4" w:space="0"/>
              <w:bottom w:val="none" w:color="000000" w:sz="4" w:space="0"/>
              <w:right w:val="none" w:color="000000" w:sz="4" w:space="0"/>
            </w:tcBorders>
            <w:tcW w:w="375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被考核人:</w:t>
            </w:r>
            <w:r/>
          </w:p>
        </w:tc>
        <w:tc>
          <w:tcPr>
            <w:tcBorders>
              <w:top w:val="none" w:color="000000" w:sz="4" w:space="0"/>
              <w:left w:val="none" w:color="000000" w:sz="4" w:space="0"/>
              <w:bottom w:val="none" w:color="000000" w:sz="4" w:space="0"/>
              <w:right w:val="non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tcBorders>
              <w:top w:val="none" w:color="000000" w:sz="4" w:space="0"/>
              <w:left w:val="none" w:color="000000" w:sz="4" w:space="0"/>
              <w:bottom w:val="none" w:color="000000" w:sz="4" w:space="0"/>
              <w:right w:val="none" w:color="000000" w:sz="4" w:space="0"/>
            </w:tcBorders>
            <w:tcW w:w="165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考核人：</w:t>
            </w:r>
            <w:r/>
          </w:p>
        </w:tc>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90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Borders>
              <w:top w:val="none" w:color="000000" w:sz="4" w:space="0"/>
              <w:left w:val="none" w:color="000000" w:sz="4" w:space="0"/>
              <w:bottom w:val="none" w:color="000000" w:sz="4" w:space="0"/>
              <w:right w:val="none" w:color="000000" w:sz="4" w:space="0"/>
            </w:tcBorders>
            <w:tcW w:w="165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考核负责人：</w:t>
            </w:r>
            <w:r/>
          </w:p>
        </w:tc>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90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tcBorders>
              <w:top w:val="none" w:color="000000" w:sz="4" w:space="0"/>
              <w:left w:val="none" w:color="000000" w:sz="4" w:space="0"/>
              <w:bottom w:val="none" w:color="000000" w:sz="4" w:space="0"/>
              <w:right w:val="none" w:color="000000" w:sz="4" w:space="0"/>
            </w:tcBorders>
            <w:tcW w:w="165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月考核得分：</w:t>
            </w:r>
            <w:r/>
          </w:p>
        </w:tc>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90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173"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9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附件6.廉政协议</w:t>
      </w:r>
      <w:r/>
    </w:p>
    <w:p>
      <w:pPr>
        <w:numPr>
          <w:ilvl w:val="0"/>
          <w:numId w:val="0"/>
        </w:numPr>
        <w:ind w:firstLine="480"/>
        <w:jc w:val="center"/>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廉政协议</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甲方：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乙方：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为切实加强财政资金、国有资金投资项目的廉政建设，强化对相关领域突出问题的治理，从源头上预防腐败，确保项目的开展能够做到优质、高效、廉洁，依据相关法律法规和廉政建设有关规定，特订立本协议。</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一、甲乙双方责任</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（一）严格遵守国家、省市、江北新区所制定的与项目有关的各项法律规章和廉政建设的各项规定。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（二）业务活动应坚持公开、公平、公正和诚实守信原则，不得为获取不正当利益而损害国家、集体利益。</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（三）加强对本方人员的廉政监督，建立健全廉政工作制度，认真查处本方人员的违纪违法行为。</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（四）双方均有对本方人员开展廉政告知、廉政教育以及诚实守信教育的责任和义务。</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（五）发现对方在业务活动中有违法违规行为的，应及时提醒，自觉抵制，或及时向上级主管部门、纪检监察和司法机关举报。</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二、甲方责任</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（一）甲方人员不得接受或索要乙方的回扣、礼金、有价证券、贵重物品和好处费、感谢费等。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（二）甲方人员不得到乙方报销应由甲方或个人支付的费用。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（三）甲方人员不得参加可能对公正执行公务有影响的宴请和娱乐活动。</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（四）甲方人员不得要求或接受乙方为其住房装修、婚丧嫁娶、家属和子女就业、旅游以及出国（境）等提供方便。</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（五）甲方人员不得向乙方介绍家属或亲友从事与甲方项目有关的经济活动（包括但不限于材料设备供应、工作分包或转包、提供劳务或劳动、谋取相关就业机会等）。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六）甲方人员不得以任何理由对乙方有权自主决定的业务事项进行干预（包括但不限于向乙方强行推荐分包单位，强行要求乙方购买合同规定以外的材料和设备，强行要求乙方完成约定范围以外的工作事项或不按约定的工作方式开展工作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（七）自觉接受乙方的监督，不得以任何形式和理由对乙方及其人员的投诉举报行为进行打击报复。</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三、乙方责任</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（一）不得以任何形式和理由向甲方人员赠送礼金、有价证券、贵重物品和回扣、好处费、感谢费等。</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（二）不得以洽谈业务等为借口，邀请甲方人员外出考察旅游或进入高档消费娱乐场所。</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（三）不得为甲方及其人员报销应由对方支付的费用，或为甲方及其人员提供通讯工具、交通工具、高档办公用品等物品。</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（四）不得擅自与甲方人员就项目的开展和履行相关事宜（包括但不限于业务承包、服务费用、材料设备供应、业务量变更、工作验收以及工作成果质量问题处理等）进行私下商谈或达成默契。</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（五）不得弄虚作假、虚假冒算，损害国家和集体利益。</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（六）自觉接受甲方监督。</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四、违约责任</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甲方及其人员有违反本协议第一、二条责任行为的，按照管理权限，依据有关法律法规和规定给予当事人党纪、政纪处分或组织处理，涉嫌犯罪的，移送司法机关追究刑事责任；给乙方造成经济损失的，依法予以赔偿。</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乙方及其人员有违反本协议第一、三条责任行为的，按照管理权限，在依法对乙方企业给予相应处罚的同时，依据有关法律法规和规定给予当事人党纪、政纪处分或组织处理，涉嫌犯罪的，移送司法机关追究刑事责任；给甲方造成经济损失的，依法予以赔偿。</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五、其他</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（一）本责任书自双方签字盖章之日起生效。</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（二）甲乙双方签订合同的，本责任书作为合同附件，与合同具有同等法律效力；未签订交易合同的，本责任书独立有效。</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（三）本责任书长期有效，甲乙双方及其人员在交易活动完成后，发生或发现违反本责任书规定的行为，按本责任书约定处理。</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（以下无正文）</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甲方：（盖章）                    乙方：（盖章）</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法定代表人：                     法定代表人：                                      </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电话：                           电话：</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年    月    日                   年    月    日</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0" w:right="0" w:firstLine="0"/>
        <w:jc w:val="both"/>
        <w:keepLines w:val="0"/>
        <w:keepNext w:val="0"/>
        <w:pageBreakBefore w:val="0"/>
        <w:spacing w:line="360" w:lineRule="auto"/>
        <w:shd w:val="clear" w:color="auto" w:fill="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jc w:val="center"/>
        <w:keepLines/>
        <w:keepNext/>
        <w:pageBreakBefore/>
        <w:rPr>
          <w:rFonts w:hint="eastAsia"/>
          <w:b/>
          <w:color w:val="000000" w:themeColor="text1"/>
          <w:sz w:val="44"/>
          <w:szCs w:val="44"/>
          <w:highlight w:val="none"/>
          <w14:textFill>
            <w14:solidFill>
              <w14:schemeClr w14:val="tx1"/>
            </w14:solidFill>
          </w14:textFill>
        </w:rPr>
        <w:outlineLvl w:val="0"/>
      </w:pPr>
      <w:r/>
      <w:bookmarkStart w:id="70" w:name="_Toc514054483"/>
      <w:r/>
      <w:bookmarkStart w:id="71" w:name="_Toc12127"/>
      <w:r>
        <w:rPr>
          <w:rFonts w:hint="eastAsia"/>
          <w:b/>
          <w:color w:val="000000" w:themeColor="text1"/>
          <w:sz w:val="44"/>
          <w:szCs w:val="44"/>
          <w:highlight w:val="none"/>
          <w14:textFill>
            <w14:solidFill>
              <w14:schemeClr w14:val="tx1"/>
            </w14:solidFill>
          </w14:textFill>
        </w:rPr>
        <w:t xml:space="preserve">第六部分  投标文件格式</w:t>
      </w:r>
      <w:bookmarkEnd w:id="70"/>
      <w:r/>
      <w:bookmarkEnd w:id="71"/>
      <w:r/>
      <w:r/>
    </w:p>
    <w:p>
      <w:pPr>
        <w:rPr>
          <w:color w:val="000000" w:themeColor="text1"/>
          <w:highlight w:val="none"/>
          <w14:textFill>
            <w14:solidFill>
              <w14:schemeClr w14:val="tx1"/>
            </w14:solidFill>
          </w14:textFill>
        </w:rPr>
      </w:pPr>
      <w:r/>
      <w:bookmarkStart w:id="72" w:name="EB819316f773b24a75aef829f9b72900c0"/>
      <w:r/>
      <w:r/>
    </w:p>
    <w:p>
      <w:pPr>
        <w:pStyle w:val="1108"/>
        <w:ind w:firstLine="321"/>
        <w:jc w:val="center"/>
        <w:rPr>
          <w:color w:val="000000" w:themeColor="text1"/>
          <w:highlight w:val="none"/>
          <w14:textFill>
            <w14:solidFill>
              <w14:schemeClr w14:val="tx1"/>
            </w14:solidFill>
          </w14:textFill>
        </w:rPr>
        <w:outlineLvl w:val="1"/>
      </w:pPr>
      <w:r/>
      <w:bookmarkStart w:id="73" w:name="_Toc514054484"/>
      <w:r/>
      <w:bookmarkStart w:id="74" w:name="_Toc26779"/>
      <w:r/>
      <w:bookmarkStart w:id="75" w:name="_Toc13980"/>
      <w:r>
        <w:rPr>
          <w:color w:val="000000" w:themeColor="text1"/>
          <w:highlight w:val="none"/>
          <w14:textFill>
            <w14:solidFill>
              <w14:schemeClr w14:val="tx1"/>
            </w14:solidFill>
          </w14:textFill>
        </w:rPr>
        <w:t xml:space="preserve">封面</w:t>
      </w:r>
      <w:bookmarkEnd w:id="73"/>
      <w:r/>
      <w:bookmarkEnd w:id="74"/>
      <w:r/>
      <w:bookmarkEnd w:id="75"/>
      <w:r/>
      <w:r/>
    </w:p>
    <w:p>
      <w:pPr>
        <w:pStyle w:val="1164"/>
        <w:jc w:val="left"/>
        <w:rPr>
          <w:rFonts w:hint="eastAsia" w:ascii="黑体" w:eastAsia="黑体" w:cs="黑体"/>
          <w:color w:val="000000" w:themeColor="text1"/>
          <w:sz w:val="32"/>
          <w:szCs w:val="32"/>
          <w:highlight w:val="none"/>
          <w14:textFill>
            <w14:solidFill>
              <w14:schemeClr w14:val="tx1"/>
            </w14:solidFill>
          </w14:textFill>
        </w:rPr>
      </w:pPr>
      <w:r>
        <w:rPr>
          <w:rFonts w:hint="eastAsia" w:ascii="黑体" w:eastAsia="黑体" w:cs="黑体"/>
          <w:color w:val="000000" w:themeColor="text1"/>
          <w:sz w:val="32"/>
          <w:szCs w:val="32"/>
          <w:highlight w:val="none"/>
          <w14:textFill>
            <w14:solidFill>
              <w14:schemeClr w14:val="tx1"/>
            </w14:solidFill>
          </w14:textFill>
        </w:rPr>
      </w:r>
      <w:r/>
    </w:p>
    <w:p>
      <w:pPr>
        <w:pStyle w:val="1164"/>
        <w:jc w:val="left"/>
        <w:rPr>
          <w:rFonts w:hint="eastAsia" w:ascii="黑体" w:eastAsia="黑体" w:cs="黑体"/>
          <w:color w:val="000000" w:themeColor="text1"/>
          <w:sz w:val="32"/>
          <w:szCs w:val="32"/>
          <w:highlight w:val="none"/>
          <w14:textFill>
            <w14:solidFill>
              <w14:schemeClr w14:val="tx1"/>
            </w14:solidFill>
          </w14:textFill>
        </w:rPr>
      </w:pPr>
      <w:r>
        <w:rPr>
          <w:rFonts w:hint="eastAsia" w:ascii="黑体" w:eastAsia="黑体" w:cs="黑体"/>
          <w:color w:val="000000" w:themeColor="text1"/>
          <w:sz w:val="32"/>
          <w:szCs w:val="32"/>
          <w:highlight w:val="none"/>
          <w14:textFill>
            <w14:solidFill>
              <w14:schemeClr w14:val="tx1"/>
            </w14:solidFill>
          </w14:textFill>
        </w:rPr>
      </w:r>
      <w:r/>
    </w:p>
    <w:p>
      <w:pPr>
        <w:pStyle w:val="1164"/>
        <w:jc w:val="left"/>
        <w:rPr>
          <w:rFonts w:hint="eastAsia" w:ascii="黑体" w:eastAsia="黑体" w:cs="黑体"/>
          <w:color w:val="000000" w:themeColor="text1"/>
          <w:sz w:val="32"/>
          <w:szCs w:val="32"/>
          <w:highlight w:val="none"/>
          <w14:textFill>
            <w14:solidFill>
              <w14:schemeClr w14:val="tx1"/>
            </w14:solidFill>
          </w14:textFill>
        </w:rPr>
      </w:pPr>
      <w:r>
        <w:rPr>
          <w:rFonts w:hint="eastAsia" w:ascii="黑体" w:eastAsia="黑体" w:cs="黑体"/>
          <w:color w:val="000000" w:themeColor="text1"/>
          <w:sz w:val="32"/>
          <w:szCs w:val="32"/>
          <w:highlight w:val="none"/>
          <w14:textFill>
            <w14:solidFill>
              <w14:schemeClr w14:val="tx1"/>
            </w14:solidFill>
          </w14:textFill>
        </w:rPr>
      </w:r>
      <w:r/>
    </w:p>
    <w:p>
      <w:pPr>
        <w:pStyle w:val="1164"/>
        <w:jc w:val="center"/>
        <w:rPr>
          <w:rFonts w:hint="eastAsia" w:ascii="黑体" w:eastAsia="黑体" w:cs="黑体"/>
          <w:color w:val="000000" w:themeColor="text1"/>
          <w:sz w:val="52"/>
          <w:szCs w:val="52"/>
          <w:highlight w:val="none"/>
          <w14:textFill>
            <w14:solidFill>
              <w14:schemeClr w14:val="tx1"/>
            </w14:solidFill>
          </w14:textFill>
        </w:rPr>
      </w:pPr>
      <w:r>
        <w:rPr>
          <w:rFonts w:hint="eastAsia" w:ascii="黑体" w:eastAsia="黑体" w:cs="黑体"/>
          <w:color w:val="000000" w:themeColor="text1"/>
          <w:sz w:val="52"/>
          <w:szCs w:val="52"/>
          <w:highlight w:val="none"/>
          <w14:textFill>
            <w14:solidFill>
              <w14:schemeClr w14:val="tx1"/>
            </w14:solidFill>
          </w14:textFill>
        </w:rPr>
      </w:r>
      <w:r/>
    </w:p>
    <w:p>
      <w:pPr>
        <w:pStyle w:val="1164"/>
        <w:jc w:val="center"/>
        <w:rPr>
          <w:rFonts w:hint="eastAsia" w:ascii="黑体" w:eastAsia="黑体" w:cs="黑体"/>
          <w:color w:val="000000" w:themeColor="text1"/>
          <w:sz w:val="28"/>
          <w:szCs w:val="28"/>
          <w:highlight w:val="none"/>
          <w14:textFill>
            <w14:solidFill>
              <w14:schemeClr w14:val="tx1"/>
            </w14:solidFill>
          </w14:textFill>
        </w:rPr>
      </w:pPr>
      <w:r>
        <w:rPr>
          <w:rFonts w:hint="eastAsia" w:ascii="黑体" w:eastAsia="黑体" w:cs="黑体"/>
          <w:color w:val="000000" w:themeColor="text1"/>
          <w:sz w:val="72"/>
          <w:szCs w:val="72"/>
          <w:highlight w:val="none"/>
          <w14:textFill>
            <w14:solidFill>
              <w14:schemeClr w14:val="tx1"/>
            </w14:solidFill>
          </w14:textFill>
        </w:rPr>
        <w:t xml:space="preserve">投</w:t>
      </w:r>
      <w:r>
        <w:rPr>
          <w:rFonts w:ascii="黑体" w:eastAsia="黑体" w:cs="黑体"/>
          <w:color w:val="000000" w:themeColor="text1"/>
          <w:sz w:val="72"/>
          <w:szCs w:val="72"/>
          <w:highlight w:val="none"/>
          <w14:textFill>
            <w14:solidFill>
              <w14:schemeClr w14:val="tx1"/>
            </w14:solidFill>
          </w14:textFill>
        </w:rPr>
        <w:t xml:space="preserve"> </w:t>
      </w:r>
      <w:r>
        <w:rPr>
          <w:rFonts w:hint="eastAsia" w:ascii="黑体" w:eastAsia="黑体" w:cs="黑体"/>
          <w:color w:val="000000" w:themeColor="text1"/>
          <w:sz w:val="72"/>
          <w:szCs w:val="72"/>
          <w:highlight w:val="none"/>
          <w14:textFill>
            <w14:solidFill>
              <w14:schemeClr w14:val="tx1"/>
            </w14:solidFill>
          </w14:textFill>
        </w:rPr>
        <w:t xml:space="preserve">标</w:t>
      </w:r>
      <w:r>
        <w:rPr>
          <w:rFonts w:ascii="黑体" w:eastAsia="黑体" w:cs="黑体"/>
          <w:color w:val="000000" w:themeColor="text1"/>
          <w:sz w:val="72"/>
          <w:szCs w:val="72"/>
          <w:highlight w:val="none"/>
          <w14:textFill>
            <w14:solidFill>
              <w14:schemeClr w14:val="tx1"/>
            </w14:solidFill>
          </w14:textFill>
        </w:rPr>
        <w:t xml:space="preserve"> </w:t>
      </w:r>
      <w:r>
        <w:rPr>
          <w:rFonts w:hint="eastAsia" w:ascii="黑体" w:eastAsia="黑体" w:cs="黑体"/>
          <w:color w:val="000000" w:themeColor="text1"/>
          <w:sz w:val="72"/>
          <w:szCs w:val="72"/>
          <w:highlight w:val="none"/>
          <w14:textFill>
            <w14:solidFill>
              <w14:schemeClr w14:val="tx1"/>
            </w14:solidFill>
          </w14:textFill>
        </w:rPr>
        <w:t xml:space="preserve">文</w:t>
      </w:r>
      <w:r>
        <w:rPr>
          <w:rFonts w:ascii="黑体" w:eastAsia="黑体" w:cs="黑体"/>
          <w:color w:val="000000" w:themeColor="text1"/>
          <w:sz w:val="72"/>
          <w:szCs w:val="72"/>
          <w:highlight w:val="none"/>
          <w14:textFill>
            <w14:solidFill>
              <w14:schemeClr w14:val="tx1"/>
            </w14:solidFill>
          </w14:textFill>
        </w:rPr>
        <w:t xml:space="preserve"> </w:t>
      </w:r>
      <w:r>
        <w:rPr>
          <w:rFonts w:hint="eastAsia" w:ascii="黑体" w:eastAsia="黑体" w:cs="黑体"/>
          <w:color w:val="000000" w:themeColor="text1"/>
          <w:sz w:val="72"/>
          <w:szCs w:val="72"/>
          <w:highlight w:val="none"/>
          <w14:textFill>
            <w14:solidFill>
              <w14:schemeClr w14:val="tx1"/>
            </w14:solidFill>
          </w14:textFill>
        </w:rPr>
        <w:t xml:space="preserve">件</w:t>
      </w:r>
      <w:r/>
    </w:p>
    <w:p>
      <w:pPr>
        <w:pStyle w:val="1164"/>
        <w:jc w:val="left"/>
        <w:rPr>
          <w:rFonts w:hint="eastAsia" w:ascii="黑体" w:eastAsia="黑体" w:cs="黑体"/>
          <w:color w:val="000000" w:themeColor="text1"/>
          <w:sz w:val="28"/>
          <w:szCs w:val="28"/>
          <w:highlight w:val="none"/>
          <w14:textFill>
            <w14:solidFill>
              <w14:schemeClr w14:val="tx1"/>
            </w14:solidFill>
          </w14:textFill>
        </w:rPr>
      </w:pPr>
      <w:r>
        <w:rPr>
          <w:rFonts w:hint="eastAsia" w:ascii="黑体" w:eastAsia="黑体" w:cs="黑体"/>
          <w:color w:val="000000" w:themeColor="text1"/>
          <w:sz w:val="28"/>
          <w:szCs w:val="28"/>
          <w:highlight w:val="none"/>
          <w14:textFill>
            <w14:solidFill>
              <w14:schemeClr w14:val="tx1"/>
            </w14:solidFill>
          </w14:textFill>
        </w:rPr>
      </w:r>
      <w:r/>
    </w:p>
    <w:p>
      <w:pPr>
        <w:pStyle w:val="1164"/>
        <w:jc w:val="left"/>
        <w:rPr>
          <w:rFonts w:hint="eastAsia" w:ascii="黑体" w:eastAsia="黑体" w:cs="黑体"/>
          <w:color w:val="000000" w:themeColor="text1"/>
          <w:sz w:val="28"/>
          <w:szCs w:val="28"/>
          <w:highlight w:val="none"/>
          <w14:textFill>
            <w14:solidFill>
              <w14:schemeClr w14:val="tx1"/>
            </w14:solidFill>
          </w14:textFill>
        </w:rPr>
      </w:pPr>
      <w:r>
        <w:rPr>
          <w:rFonts w:hint="eastAsia" w:ascii="黑体" w:eastAsia="黑体" w:cs="黑体"/>
          <w:color w:val="000000" w:themeColor="text1"/>
          <w:sz w:val="28"/>
          <w:szCs w:val="28"/>
          <w:highlight w:val="none"/>
          <w14:textFill>
            <w14:solidFill>
              <w14:schemeClr w14:val="tx1"/>
            </w14:solidFill>
          </w14:textFill>
        </w:rPr>
      </w:r>
      <w:r/>
    </w:p>
    <w:p>
      <w:pPr>
        <w:pStyle w:val="1164"/>
        <w:jc w:val="left"/>
        <w:rPr>
          <w:rFonts w:hint="eastAsia" w:ascii="黑体" w:eastAsia="黑体" w:cs="黑体"/>
          <w:color w:val="000000" w:themeColor="text1"/>
          <w:sz w:val="28"/>
          <w:szCs w:val="28"/>
          <w:highlight w:val="none"/>
          <w14:textFill>
            <w14:solidFill>
              <w14:schemeClr w14:val="tx1"/>
            </w14:solidFill>
          </w14:textFill>
        </w:rPr>
      </w:pPr>
      <w:r>
        <w:rPr>
          <w:rFonts w:hint="eastAsia" w:ascii="黑体" w:eastAsia="黑体" w:cs="黑体"/>
          <w:color w:val="000000" w:themeColor="text1"/>
          <w:sz w:val="28"/>
          <w:szCs w:val="28"/>
          <w:highlight w:val="none"/>
          <w14:textFill>
            <w14:solidFill>
              <w14:schemeClr w14:val="tx1"/>
            </w14:solidFill>
          </w14:textFill>
        </w:rPr>
      </w:r>
      <w:r/>
    </w:p>
    <w:p>
      <w:pPr>
        <w:pStyle w:val="1164"/>
        <w:jc w:val="left"/>
        <w:rPr>
          <w:rFonts w:hint="eastAsia" w:ascii="黑体" w:eastAsia="黑体" w:cs="黑体"/>
          <w:color w:val="000000" w:themeColor="text1"/>
          <w:sz w:val="28"/>
          <w:szCs w:val="28"/>
          <w:highlight w:val="none"/>
          <w14:textFill>
            <w14:solidFill>
              <w14:schemeClr w14:val="tx1"/>
            </w14:solidFill>
          </w14:textFill>
        </w:rPr>
      </w:pPr>
      <w:r>
        <w:rPr>
          <w:rFonts w:hint="eastAsia" w:ascii="黑体" w:eastAsia="黑体" w:cs="黑体"/>
          <w:color w:val="000000" w:themeColor="text1"/>
          <w:sz w:val="28"/>
          <w:szCs w:val="28"/>
          <w:highlight w:val="none"/>
          <w14:textFill>
            <w14:solidFill>
              <w14:schemeClr w14:val="tx1"/>
            </w14:solidFill>
          </w14:textFill>
        </w:rPr>
      </w:r>
      <w:r/>
    </w:p>
    <w:p>
      <w:pPr>
        <w:pStyle w:val="1164"/>
        <w:jc w:val="left"/>
        <w:rPr>
          <w:rFonts w:hint="eastAsia" w:ascii="黑体" w:eastAsia="黑体" w:cs="黑体"/>
          <w:color w:val="000000" w:themeColor="text1"/>
          <w:sz w:val="28"/>
          <w:szCs w:val="28"/>
          <w:highlight w:val="none"/>
          <w14:textFill>
            <w14:solidFill>
              <w14:schemeClr w14:val="tx1"/>
            </w14:solidFill>
          </w14:textFill>
        </w:rPr>
      </w:pPr>
      <w:r>
        <w:rPr>
          <w:rFonts w:hint="eastAsia" w:ascii="黑体" w:eastAsia="黑体" w:cs="黑体"/>
          <w:color w:val="000000" w:themeColor="text1"/>
          <w:sz w:val="28"/>
          <w:szCs w:val="28"/>
          <w:highlight w:val="none"/>
          <w14:textFill>
            <w14:solidFill>
              <w14:schemeClr w14:val="tx1"/>
            </w14:solidFill>
          </w14:textFill>
        </w:rPr>
      </w:r>
      <w:r/>
    </w:p>
    <w:p>
      <w:pPr>
        <w:pStyle w:val="903"/>
        <w:ind w:firstLine="723"/>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名 称：</w:t>
      </w:r>
      <w:r>
        <w:rPr>
          <w:rFonts w:hint="eastAsia"/>
          <w:b/>
          <w:color w:val="000000" w:themeColor="text1"/>
          <w:sz w:val="36"/>
          <w:szCs w:val="36"/>
          <w:highlight w:val="none"/>
          <w:u w:val="single"/>
          <w14:textFill>
            <w14:solidFill>
              <w14:schemeClr w14:val="tx1"/>
            </w14:solidFill>
          </w14:textFill>
        </w:rPr>
        <w:t xml:space="preserve">               </w:t>
      </w:r>
      <w:r/>
    </w:p>
    <w:p>
      <w:pPr>
        <w:pStyle w:val="903"/>
        <w:ind w:firstLine="723"/>
        <w:jc w:val="both"/>
        <w:rPr>
          <w:rFonts w:hint="eastAsia" w:eastAsia="宋体"/>
          <w:color w:val="000000" w:themeColor="text1"/>
          <w:highlight w:val="none"/>
          <w:lang w:eastAsia="zh-CN"/>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编 号：</w:t>
      </w:r>
      <w:r>
        <w:rPr>
          <w:rFonts w:hint="eastAsia"/>
          <w:b/>
          <w:color w:val="000000" w:themeColor="text1"/>
          <w:sz w:val="36"/>
          <w:szCs w:val="36"/>
          <w:highlight w:val="none"/>
          <w:u w:val="single"/>
          <w14:textFill>
            <w14:solidFill>
              <w14:schemeClr w14:val="tx1"/>
            </w14:solidFill>
          </w14:textFill>
        </w:rPr>
        <w:t xml:space="preserve"> </w:t>
      </w:r>
      <w:r>
        <w:rPr>
          <w:rFonts w:hint="eastAsia"/>
          <w:b/>
          <w:color w:val="000000" w:themeColor="text1"/>
          <w:sz w:val="36"/>
          <w:szCs w:val="36"/>
          <w:highlight w:val="none"/>
          <w:u w:val="single"/>
          <w:lang w:eastAsia="zh-CN"/>
          <w14:textFill>
            <w14:solidFill>
              <w14:schemeClr w14:val="tx1"/>
            </w14:solidFill>
          </w14:textFill>
        </w:rPr>
        <w:t xml:space="preserve">***</w:t>
      </w:r>
      <w:r/>
    </w:p>
    <w:p>
      <w:pPr>
        <w:pStyle w:val="903"/>
        <w:ind w:firstLine="723"/>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lang w:eastAsia="zh-CN"/>
          <w14:textFill>
            <w14:solidFill>
              <w14:schemeClr w14:val="tx1"/>
            </w14:solidFill>
          </w14:textFill>
        </w:rPr>
        <w:t xml:space="preserve">供应商</w:t>
      </w:r>
      <w:r>
        <w:rPr>
          <w:rFonts w:hint="eastAsia"/>
          <w:b/>
          <w:color w:val="000000" w:themeColor="text1"/>
          <w:sz w:val="36"/>
          <w:szCs w:val="36"/>
          <w:highlight w:val="none"/>
          <w14:textFill>
            <w14:solidFill>
              <w14:schemeClr w14:val="tx1"/>
            </w14:solidFill>
          </w14:textFill>
        </w:rPr>
        <w:t xml:space="preserve">名称 ：</w:t>
      </w:r>
      <w:r>
        <w:rPr>
          <w:rFonts w:hint="eastAsia"/>
          <w:b/>
          <w:color w:val="000000" w:themeColor="text1"/>
          <w:sz w:val="36"/>
          <w:szCs w:val="36"/>
          <w:highlight w:val="none"/>
          <w:u w:val="single"/>
          <w14:textFill>
            <w14:solidFill>
              <w14:schemeClr w14:val="tx1"/>
            </w14:solidFill>
          </w14:textFill>
        </w:rPr>
        <w:t xml:space="preserve">（加盖CA电子公章）        </w:t>
      </w:r>
      <w:r/>
    </w:p>
    <w:p>
      <w:pPr>
        <w:pStyle w:val="903"/>
        <w:ind w:firstLine="723"/>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r/>
    </w:p>
    <w:p>
      <w:pPr>
        <w:pStyle w:val="903"/>
        <w:spacing w:line="0" w:lineRule="atLeas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03"/>
        <w:jc w:val="both"/>
        <w:spacing w:line="0" w:lineRule="atLeas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68"/>
        <w:jc w:val="center"/>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76" w:name="_Toc11482"/>
      <w:r/>
      <w:bookmarkStart w:id="77" w:name="_Toc514054485"/>
      <w:r/>
      <w:bookmarkStart w:id="78" w:name="_Toc5903"/>
      <w:r>
        <w:rPr>
          <w:color w:val="000000" w:themeColor="text1"/>
          <w:highlight w:val="none"/>
          <w14:textFill>
            <w14:solidFill>
              <w14:schemeClr w14:val="tx1"/>
            </w14:solidFill>
          </w14:textFill>
        </w:rPr>
        <w:t xml:space="preserve">目录</w:t>
      </w:r>
      <w:bookmarkEnd w:id="76"/>
      <w:r/>
      <w:bookmarkEnd w:id="77"/>
      <w:r/>
      <w:bookmarkEnd w:id="78"/>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一、</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ascii="宋体" w:hAnsi="宋体" w:eastAsia="宋体" w:cs="宋体"/>
          <w:color w:val="000000" w:themeColor="text1"/>
          <w:highlight w:val="none"/>
          <w14:textFill>
            <w14:solidFill>
              <w14:schemeClr w14:val="tx1"/>
            </w14:solidFill>
          </w14:textFill>
        </w:rPr>
        <w:t xml:space="preserve">基本情况</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二、</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ascii="宋体" w:hAnsi="宋体" w:eastAsia="宋体" w:cs="宋体"/>
          <w:color w:val="000000" w:themeColor="text1"/>
          <w:highlight w:val="none"/>
          <w14:textFill>
            <w14:solidFill>
              <w14:schemeClr w14:val="tx1"/>
            </w14:solidFill>
          </w14:textFill>
        </w:rPr>
        <w:t xml:space="preserve">资质</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三、</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具有良好的商业信誉和健全的财务会计制度</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四、</w:t>
      </w:r>
      <w:r>
        <w:rPr>
          <w:rFonts w:hint="eastAsia" w:ascii="宋体" w:hAnsi="宋体" w:cs="Arial"/>
          <w:bCs/>
          <w:color w:val="000000" w:themeColor="text1"/>
          <w:highlight w:val="none"/>
          <w14:textFill>
            <w14:solidFill>
              <w14:schemeClr w14:val="tx1"/>
            </w14:solidFill>
          </w14:textFill>
        </w:rPr>
        <w:t xml:space="preserve">具有履行合同所必需的设备和专业技术能力</w:t>
      </w:r>
      <w:r/>
    </w:p>
    <w:p>
      <w:pPr>
        <w:pStyle w:val="1250"/>
        <w:spacing w:after="100" w:afterAutospacing="1"/>
        <w:rPr>
          <w:rFonts w:hint="eastAsia" w:ascii="宋体" w:hAnsi="宋体" w:cs="Arial"/>
          <w:bCs/>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五、</w:t>
      </w:r>
      <w:r>
        <w:rPr>
          <w:rFonts w:hint="eastAsia" w:ascii="宋体" w:hAnsi="宋体" w:cs="Arial"/>
          <w:bCs/>
          <w:color w:val="000000" w:themeColor="text1"/>
          <w:highlight w:val="none"/>
          <w14:textFill>
            <w14:solidFill>
              <w14:schemeClr w14:val="tx1"/>
            </w14:solidFill>
          </w14:textFill>
        </w:rPr>
        <w:t xml:space="preserve">有依法缴纳税收和社会保障资金的良好记录</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六、无重大违法行为声明</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七、投标函</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八、法定代表人身份证明或授权委托书</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九、开标一览表</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十、明细报价表</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十一、中小企业声明函</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十二、响应偏差表</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十</w:t>
      </w:r>
      <w:r>
        <w:rPr>
          <w:rFonts w:hint="eastAsia" w:ascii="宋体" w:hAnsi="宋体" w:eastAsia="宋体" w:cs="宋体"/>
          <w:color w:val="000000" w:themeColor="text1"/>
          <w:highlight w:val="none"/>
          <w:lang w:val="en-US" w:eastAsia="zh-CN"/>
          <w14:textFill>
            <w14:solidFill>
              <w14:schemeClr w14:val="tx1"/>
            </w14:solidFill>
          </w14:textFill>
        </w:rPr>
        <w:t xml:space="preserve">三</w:t>
      </w:r>
      <w:r>
        <w:rPr>
          <w:rFonts w:ascii="宋体" w:hAnsi="宋体" w:eastAsia="宋体" w:cs="宋体"/>
          <w:color w:val="000000" w:themeColor="text1"/>
          <w:highlight w:val="none"/>
          <w14:textFill>
            <w14:solidFill>
              <w14:schemeClr w14:val="tx1"/>
            </w14:solidFill>
          </w14:textFill>
        </w:rPr>
        <w:t xml:space="preserve">、</w:t>
      </w:r>
      <w:bookmarkStart w:id="79" w:name="_Toc21060_WPSOffice_Level2"/>
      <w:r>
        <w:rPr>
          <w:rFonts w:hint="eastAsia" w:ascii="宋体" w:hAnsi="宋体" w:eastAsia="宋体" w:cs="宋体"/>
          <w:color w:val="000000" w:themeColor="text1"/>
          <w:highlight w:val="none"/>
          <w:lang w:val="en-US" w:eastAsia="zh-CN"/>
          <w14:textFill>
            <w14:solidFill>
              <w14:schemeClr w14:val="tx1"/>
            </w14:solidFill>
          </w14:textFill>
        </w:rPr>
        <w:t xml:space="preserve">服务</w:t>
      </w:r>
      <w:r>
        <w:rPr>
          <w:rFonts w:ascii="宋体" w:hAnsi="宋体" w:eastAsia="宋体" w:cs="宋体"/>
          <w:color w:val="000000" w:themeColor="text1"/>
          <w:highlight w:val="none"/>
          <w14:textFill>
            <w14:solidFill>
              <w14:schemeClr w14:val="tx1"/>
            </w14:solidFill>
          </w14:textFill>
        </w:rPr>
        <w:t xml:space="preserve">方案</w:t>
      </w:r>
      <w:bookmarkEnd w:id="79"/>
      <w:r/>
      <w:r/>
    </w:p>
    <w:p>
      <w:pPr>
        <w:pStyle w:val="1250"/>
        <w:spacing w:after="100" w:afterAutospacing="1"/>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十</w:t>
      </w: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ascii="宋体" w:hAnsi="宋体" w:eastAsia="宋体" w:cs="宋体"/>
          <w:color w:val="000000" w:themeColor="text1"/>
          <w:highlight w:val="none"/>
          <w14:textFill>
            <w14:solidFill>
              <w14:schemeClr w14:val="tx1"/>
            </w14:solidFill>
          </w14:textFill>
        </w:rPr>
        <w:t xml:space="preserve">项目业绩一览表</w:t>
      </w:r>
      <w:r/>
    </w:p>
    <w:p>
      <w:pPr>
        <w:pStyle w:val="1250"/>
        <w:spacing w:after="100" w:afterAutospacing="1"/>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十五、服务承诺</w:t>
      </w:r>
      <w:r/>
    </w:p>
    <w:p>
      <w:pPr>
        <w:pStyle w:val="1250"/>
        <w:spacing w:after="100" w:afterAutospacing="1"/>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十六、专家清单</w:t>
      </w:r>
      <w:r/>
    </w:p>
    <w:p>
      <w:pPr>
        <w:pStyle w:val="1250"/>
        <w:spacing w:after="100" w:afterAutospacing="1"/>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十</w:t>
      </w:r>
      <w:r>
        <w:rPr>
          <w:rFonts w:hint="eastAsia" w:ascii="宋体" w:hAnsi="宋体" w:eastAsia="宋体" w:cs="宋体"/>
          <w:color w:val="000000" w:themeColor="text1"/>
          <w:highlight w:val="none"/>
          <w:lang w:val="en-US" w:eastAsia="zh-CN"/>
          <w14:textFill>
            <w14:solidFill>
              <w14:schemeClr w14:val="tx1"/>
            </w14:solidFill>
          </w14:textFill>
        </w:rPr>
        <w:t xml:space="preserve">七</w:t>
      </w:r>
      <w:r>
        <w:rPr>
          <w:rFonts w:ascii="宋体" w:hAnsi="宋体" w:eastAsia="宋体" w:cs="宋体"/>
          <w:color w:val="000000" w:themeColor="text1"/>
          <w:highlight w:val="none"/>
          <w14:textFill>
            <w14:solidFill>
              <w14:schemeClr w14:val="tx1"/>
            </w14:solidFill>
          </w14:textFill>
        </w:rPr>
        <w:t xml:space="preserve">、投标所需其他材料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4"/>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80" w:name="_Toc21292"/>
      <w:r/>
      <w:bookmarkStart w:id="81" w:name="_Toc514054486"/>
      <w:r/>
      <w:bookmarkStart w:id="82" w:name="_Toc21860"/>
      <w:r/>
      <w:bookmarkStart w:id="83" w:name="_Toc23205_WPSOffice_Level2"/>
      <w:r>
        <w:rPr>
          <w:color w:val="000000" w:themeColor="text1"/>
          <w:highlight w:val="none"/>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基本情况</w:t>
      </w:r>
      <w:bookmarkEnd w:id="80"/>
      <w:r/>
      <w:bookmarkEnd w:id="81"/>
      <w:r/>
      <w:bookmarkEnd w:id="82"/>
      <w:r/>
      <w:bookmarkEnd w:id="83"/>
      <w:r/>
      <w:r/>
    </w:p>
    <w:p>
      <w:pPr>
        <w:pStyle w:val="1044"/>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lang w:eastAsia="zh-CN"/>
          <w14:textFill>
            <w14:solidFill>
              <w14:schemeClr w14:val="tx1"/>
            </w14:solidFill>
          </w14:textFill>
        </w:rPr>
        <w:t xml:space="preserve">供应商</w:t>
      </w:r>
      <w:r>
        <w:rPr>
          <w:rFonts w:hint="eastAsia"/>
          <w:color w:val="000000" w:themeColor="text1"/>
          <w:sz w:val="44"/>
          <w:szCs w:val="44"/>
          <w:highlight w:val="none"/>
          <w14:textFill>
            <w14:solidFill>
              <w14:schemeClr w14:val="tx1"/>
            </w14:solidFill>
          </w14:textFill>
        </w:rPr>
        <w:t xml:space="preserve">基本情况表</w:t>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gridSpan w:val="3"/>
            <w:tcW w:w="6998"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44"/>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376"/>
        </w:trPr>
        <w:tc>
          <w:tcPr>
            <w:tcW w:w="1526" w:type="dxa"/>
            <w:vAlign w:val="center"/>
            <w:textDirection w:val="lrTb"/>
            <w:noWrap w:val="false"/>
          </w:tcPr>
          <w:p>
            <w:pPr>
              <w:pStyle w:val="1044"/>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1044"/>
              <w:ind w:firstLine="1432"/>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134"/>
        </w:trPr>
        <w:tc>
          <w:tcPr>
            <w:tcW w:w="1526" w:type="dxa"/>
            <w:vAlign w:val="center"/>
            <w:textDirection w:val="lrTb"/>
            <w:noWrap w:val="false"/>
          </w:tcPr>
          <w:p>
            <w:pPr>
              <w:pStyle w:val="1044"/>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44"/>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044"/>
        <w:jc w:val="center"/>
        <w:spacing w:line="560" w:lineRule="exact"/>
        <w:rPr>
          <w:rFonts w:hint="eastAsia" w:ascii="方正大标宋简体" w:eastAsia="方正大标宋简体"/>
          <w:bCs/>
          <w:color w:val="000000" w:themeColor="text1"/>
          <w:sz w:val="32"/>
          <w:szCs w:val="32"/>
          <w:highlight w:val="none"/>
          <w14:textFill>
            <w14:solidFill>
              <w14:schemeClr w14:val="tx1"/>
            </w14:solidFill>
          </w14:textFill>
        </w:rPr>
      </w:pPr>
      <w:r>
        <w:rPr>
          <w:rFonts w:hint="eastAsia" w:ascii="方正大标宋简体" w:eastAsia="方正大标宋简体"/>
          <w:bCs/>
          <w:color w:val="000000" w:themeColor="text1"/>
          <w:sz w:val="32"/>
          <w:szCs w:val="32"/>
          <w:highlight w:val="none"/>
          <w14:textFill>
            <w14:solidFill>
              <w14:schemeClr w14:val="tx1"/>
            </w14:solidFill>
          </w14:textFill>
        </w:rPr>
      </w:r>
      <w:r/>
    </w:p>
    <w:p>
      <w:pPr>
        <w:pStyle w:val="1021"/>
        <w:rPr>
          <w:rFonts w:hint="eastAsia"/>
          <w:color w:val="000000" w:themeColor="text1"/>
          <w:highlight w:val="none"/>
          <w:lang w:eastAsia="zh-CN"/>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84" w:name="_Toc30260_WPSOffice_Level2"/>
      <w:r/>
      <w:bookmarkStart w:id="85" w:name="_Toc514054487"/>
      <w:r/>
      <w:bookmarkStart w:id="86" w:name="_Toc15353"/>
      <w:r/>
      <w:bookmarkStart w:id="87" w:name="_Toc29894"/>
      <w:r>
        <w:rPr>
          <w:color w:val="000000" w:themeColor="text1"/>
          <w:highlight w:val="none"/>
          <w14:textFill>
            <w14:solidFill>
              <w14:schemeClr w14:val="tx1"/>
            </w14:solidFill>
          </w14:textFill>
        </w:rPr>
        <w:t xml:space="preserve">二、</w:t>
      </w:r>
      <w:r>
        <w:rPr>
          <w:rFonts w:hint="eastAsia"/>
          <w:color w:val="000000" w:themeColor="text1"/>
          <w:highlight w:val="none"/>
          <w:lang w:val="en-US"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资质</w:t>
      </w:r>
      <w:bookmarkEnd w:id="84"/>
      <w:r/>
      <w:bookmarkEnd w:id="85"/>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按资格要求提供</w:t>
      </w:r>
      <w:r>
        <w:rPr>
          <w:rFonts w:hint="eastAsia"/>
          <w:color w:val="000000" w:themeColor="text1"/>
          <w:highlight w:val="none"/>
          <w:lang w:eastAsia="zh-CN"/>
          <w14:textFill>
            <w14:solidFill>
              <w14:schemeClr w14:val="tx1"/>
            </w14:solidFill>
          </w14:textFill>
        </w:rPr>
        <w:t xml:space="preserve">）</w:t>
      </w:r>
      <w:bookmarkEnd w:id="86"/>
      <w:r/>
      <w:bookmarkEnd w:id="87"/>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bookmarkStart w:id="88" w:name="_Toc514054488"/>
      <w:r/>
      <w:bookmarkStart w:id="89" w:name="_Toc21452_WPSOffice_Level2"/>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28"/>
        <w:rPr>
          <w:color w:val="000000" w:themeColor="text1"/>
          <w:highlight w:val="none"/>
          <w14:textFill>
            <w14:solidFill>
              <w14:schemeClr w14:val="tx1"/>
            </w14:solidFill>
          </w14:textFill>
        </w:rPr>
        <w:outlineLvl w:val="1"/>
      </w:pPr>
      <w:r/>
      <w:bookmarkStart w:id="90" w:name="_Toc18935"/>
      <w:r/>
      <w:bookmarkStart w:id="91" w:name="_Toc23340"/>
      <w:r>
        <w:rPr>
          <w:color w:val="000000" w:themeColor="text1"/>
          <w:highlight w:val="none"/>
          <w14:textFill>
            <w14:solidFill>
              <w14:schemeClr w14:val="tx1"/>
            </w14:solidFill>
          </w14:textFill>
        </w:rPr>
        <w:t xml:space="preserve">三、</w:t>
      </w:r>
      <w:bookmarkEnd w:id="88"/>
      <w:r/>
      <w:bookmarkEnd w:id="89"/>
      <w:r/>
      <w:bookmarkEnd w:id="90"/>
      <w:r>
        <w:rPr>
          <w:rFonts w:hint="eastAsia"/>
          <w:color w:val="000000" w:themeColor="text1"/>
          <w:highlight w:val="none"/>
          <w:lang w:eastAsia="zh-CN"/>
          <w14:textFill>
            <w14:solidFill>
              <w14:schemeClr w14:val="tx1"/>
            </w14:solidFill>
          </w14:textFill>
        </w:rPr>
        <w:t xml:space="preserve">供应商</w:t>
      </w:r>
      <w:r>
        <w:rPr>
          <w:rFonts w:hint="eastAsia" w:ascii="宋体" w:hAnsi="宋体" w:cs="Arial"/>
          <w:bCs/>
          <w:color w:val="000000" w:themeColor="text1"/>
          <w:highlight w:val="none"/>
          <w14:textFill>
            <w14:solidFill>
              <w14:schemeClr w14:val="tx1"/>
            </w14:solidFill>
          </w14:textFill>
        </w:rPr>
        <w:t xml:space="preserve">具有良好的商业信誉和健全的财务会计制度</w:t>
      </w:r>
      <w:bookmarkEnd w:id="91"/>
      <w:r/>
      <w:r/>
    </w:p>
    <w:p>
      <w:pPr>
        <w:pStyle w:val="1247"/>
        <w:rPr>
          <w:color w:val="000000" w:themeColor="text1"/>
          <w:highlight w:val="none"/>
          <w14:textFill>
            <w14:solidFill>
              <w14:schemeClr w14:val="tx1"/>
            </w14:solidFill>
          </w14:textFill>
        </w:rPr>
      </w:pPr>
      <w:r>
        <w:rPr>
          <w:rFonts w:hint="eastAsia" w:ascii="宋体"/>
          <w:bCs/>
          <w:color w:val="000000" w:themeColor="text1"/>
          <w:szCs w:val="32"/>
          <w:highlight w:val="none"/>
          <w14:textFill>
            <w14:solidFill>
              <w14:schemeClr w14:val="tx1"/>
            </w14:solidFill>
          </w14:textFill>
        </w:rPr>
        <w:t xml:space="preserve">提供符合招标文件要求的资料</w:t>
      </w:r>
      <w:r/>
    </w:p>
    <w:p>
      <w:pPr>
        <w:pStyle w:val="1219"/>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92" w:name="_Toc514054489"/>
      <w:r/>
      <w:bookmarkStart w:id="93" w:name="_Toc11562_WPSOffice_Level2"/>
      <w:r/>
      <w:bookmarkStart w:id="94" w:name="_Toc29626"/>
      <w:r/>
      <w:bookmarkStart w:id="95" w:name="_Toc8006"/>
      <w:r>
        <w:rPr>
          <w:color w:val="000000" w:themeColor="text1"/>
          <w:highlight w:val="none"/>
          <w14:textFill>
            <w14:solidFill>
              <w14:schemeClr w14:val="tx1"/>
            </w14:solidFill>
          </w14:textFill>
        </w:rPr>
        <w:t xml:space="preserve">四、</w:t>
      </w:r>
      <w:bookmarkEnd w:id="92"/>
      <w:r/>
      <w:bookmarkEnd w:id="93"/>
      <w:r/>
      <w:bookmarkEnd w:id="94"/>
      <w:r>
        <w:rPr>
          <w:rFonts w:hint="eastAsia" w:ascii="宋体" w:hAnsi="宋体" w:cs="Arial"/>
          <w:bCs/>
          <w:color w:val="000000" w:themeColor="text1"/>
          <w:highlight w:val="none"/>
          <w14:textFill>
            <w14:solidFill>
              <w14:schemeClr w14:val="tx1"/>
            </w14:solidFill>
          </w14:textFill>
        </w:rPr>
        <w:t xml:space="preserve">具有履行合同所必需的设备和专业技术能力</w:t>
      </w:r>
      <w:bookmarkEnd w:id="95"/>
      <w:r/>
      <w:r/>
    </w:p>
    <w:p>
      <w:pPr>
        <w:pStyle w:val="1135"/>
        <w:jc w:val="center"/>
        <w:spacing w:line="600" w:lineRule="exact"/>
        <w:rPr>
          <w:rFonts w:hint="eastAsia" w:ascii="宋体" w:hAnsi="宋体"/>
          <w:b/>
          <w:color w:val="000000" w:themeColor="text1"/>
          <w:sz w:val="32"/>
          <w:szCs w:val="24"/>
          <w:highlight w:val="none"/>
          <w14:textFill>
            <w14:solidFill>
              <w14:schemeClr w14:val="tx1"/>
            </w14:solidFill>
          </w14:textFill>
        </w:rPr>
      </w:pPr>
      <w:r/>
      <w:bookmarkStart w:id="96" w:name="_Toc31740_WPSOffice_Level2"/>
      <w:r/>
      <w:r/>
    </w:p>
    <w:p>
      <w:pPr>
        <w:pStyle w:val="1135"/>
        <w:jc w:val="center"/>
        <w:spacing w:line="600" w:lineRule="exact"/>
        <w:rPr>
          <w:rFonts w:hint="eastAsia" w:ascii="宋体" w:hAnsi="宋体"/>
          <w:b/>
          <w:color w:val="000000" w:themeColor="text1"/>
          <w:sz w:val="32"/>
          <w:szCs w:val="24"/>
          <w:highlight w:val="none"/>
          <w14:textFill>
            <w14:solidFill>
              <w14:schemeClr w14:val="tx1"/>
            </w14:solidFill>
          </w14:textFill>
        </w:rPr>
      </w:pPr>
      <w:r>
        <w:rPr>
          <w:rFonts w:hint="eastAsia" w:ascii="宋体" w:hAnsi="宋体"/>
          <w:b/>
          <w:color w:val="000000" w:themeColor="text1"/>
          <w:sz w:val="32"/>
          <w:szCs w:val="24"/>
          <w:highlight w:val="none"/>
          <w14:textFill>
            <w14:solidFill>
              <w14:schemeClr w14:val="tx1"/>
            </w14:solidFill>
          </w14:textFill>
        </w:rPr>
        <w:t xml:space="preserve">具备履行合同所必需的设备和专业技术能力的声明</w:t>
      </w:r>
      <w:bookmarkEnd w:id="96"/>
      <w:r/>
      <w:r/>
    </w:p>
    <w:p>
      <w:pPr>
        <w:pStyle w:val="1135"/>
        <w:spacing w:line="600" w:lineRule="exact"/>
        <w:rPr>
          <w:rFonts w:hint="eastAsia" w:ascii="仿宋_GB2312" w:eastAsia="仿宋_GB2312"/>
          <w:color w:val="000000" w:themeColor="text1"/>
          <w:sz w:val="24"/>
          <w:highlight w:val="none"/>
          <w:u w:val="single"/>
          <w14:textFill>
            <w14:solidFill>
              <w14:schemeClr w14:val="tx1"/>
            </w14:solidFill>
          </w14:textFill>
        </w:rPr>
      </w:pPr>
      <w:r>
        <w:rPr>
          <w:rFonts w:hint="eastAsia" w:ascii="仿宋_GB2312" w:eastAsia="仿宋_GB2312"/>
          <w:color w:val="000000" w:themeColor="text1"/>
          <w:sz w:val="24"/>
          <w:highlight w:val="none"/>
          <w:u w:val="single"/>
          <w14:textFill>
            <w14:solidFill>
              <w14:schemeClr w14:val="tx1"/>
            </w14:solidFill>
          </w14:textFill>
        </w:rPr>
      </w:r>
      <w:r/>
    </w:p>
    <w:p>
      <w:pPr>
        <w:pStyle w:val="1135"/>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（采购</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人名称</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135"/>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我公司具备履行编号为</w:t>
      </w:r>
      <w:r>
        <w:rPr>
          <w:rFonts w:hint="eastAsia" w:ascii="宋体" w:hAnsi="宋体" w:eastAsia="宋体" w:cs="宋体"/>
          <w:color w:val="000000" w:themeColor="text1"/>
          <w:sz w:val="24"/>
          <w:highlight w:val="none"/>
          <w:u w:val="single"/>
          <w14:textFill>
            <w14:solidFill>
              <w14:schemeClr w14:val="tx1"/>
            </w14:solidFill>
          </w14:textFill>
        </w:rPr>
        <w:t xml:space="preserve">       号           项目</w:t>
      </w:r>
      <w:r>
        <w:rPr>
          <w:rFonts w:hint="eastAsia" w:ascii="宋体" w:hAnsi="宋体" w:eastAsia="宋体" w:cs="宋体"/>
          <w:color w:val="000000" w:themeColor="text1"/>
          <w:sz w:val="24"/>
          <w:highlight w:val="none"/>
          <w14:textFill>
            <w14:solidFill>
              <w14:schemeClr w14:val="tx1"/>
            </w14:solidFill>
          </w14:textFill>
        </w:rPr>
        <w:t xml:space="preserve">合同的设备和专业技术能力。</w:t>
      </w:r>
      <w:r/>
    </w:p>
    <w:p>
      <w:pPr>
        <w:pStyle w:val="1135"/>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pStyle w:val="1135"/>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35"/>
        <w:jc w:val="center"/>
        <w:spacing w:line="6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081"/>
        <w:ind w:firstLine="629"/>
        <w:spacing w:line="7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（加盖公章）</w:t>
      </w:r>
      <w:r/>
    </w:p>
    <w:p>
      <w:pPr>
        <w:pStyle w:val="1081"/>
        <w:ind w:firstLine="629"/>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079"/>
        <w:ind w:firstLine="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250"/>
        <w:spacing w:after="100" w:afterAutospacing="1"/>
        <w:rPr>
          <w:rFonts w:hint="eastAsia" w:ascii="宋体" w:hAnsi="宋体" w:cs="Arial"/>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97" w:name="_Toc467_WPSOffice_Level2"/>
      <w:r/>
      <w:bookmarkStart w:id="98" w:name="_Toc514054490"/>
      <w:r/>
      <w:bookmarkStart w:id="99" w:name="_Toc13419"/>
      <w:r>
        <w:rPr>
          <w:rFonts w:hint="eastAsia" w:ascii="宋体" w:hAnsi="宋体" w:eastAsia="黑体" w:cs="Arial"/>
          <w:b/>
          <w:bCs/>
          <w:color w:val="000000" w:themeColor="text1"/>
          <w:sz w:val="32"/>
          <w:highlight w:val="none"/>
          <w14:textFill>
            <w14:solidFill>
              <w14:schemeClr w14:val="tx1"/>
            </w14:solidFill>
          </w14:textFill>
        </w:rPr>
        <w:t xml:space="preserve">五、</w:t>
      </w:r>
      <w:bookmarkEnd w:id="97"/>
      <w:r/>
      <w:bookmarkEnd w:id="98"/>
      <w:r/>
      <w:bookmarkEnd w:id="99"/>
      <w:r>
        <w:rPr>
          <w:rFonts w:hint="eastAsia" w:ascii="宋体" w:hAnsi="宋体" w:eastAsia="黑体" w:cs="Arial"/>
          <w:b/>
          <w:bCs/>
          <w:color w:val="000000" w:themeColor="text1"/>
          <w:sz w:val="32"/>
          <w:highlight w:val="none"/>
          <w14:textFill>
            <w14:solidFill>
              <w14:schemeClr w14:val="tx1"/>
            </w14:solidFill>
          </w14:textFill>
        </w:rPr>
        <w:t xml:space="preserve">有依法缴纳税收和社会保障资金的良好记录</w:t>
      </w:r>
      <w:r/>
    </w:p>
    <w:p>
      <w:pPr>
        <w:pStyle w:val="1247"/>
        <w:rPr>
          <w:color w:val="000000" w:themeColor="text1"/>
          <w:highlight w:val="none"/>
          <w14:textFill>
            <w14:solidFill>
              <w14:schemeClr w14:val="tx1"/>
            </w14:solidFill>
          </w14:textFill>
        </w:rPr>
      </w:pPr>
      <w:r>
        <w:rPr>
          <w:rFonts w:hint="eastAsia" w:ascii="宋体"/>
          <w:bCs/>
          <w:color w:val="000000" w:themeColor="text1"/>
          <w:szCs w:val="32"/>
          <w:highlight w:val="none"/>
          <w14:textFill>
            <w14:solidFill>
              <w14:schemeClr w14:val="tx1"/>
            </w14:solidFill>
          </w14:textFill>
        </w:rPr>
        <w:t xml:space="preserve">提供符合招标文件要求的资料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25"/>
        <w:rPr>
          <w:color w:val="000000" w:themeColor="text1"/>
          <w:highlight w:val="none"/>
          <w14:textFill>
            <w14:solidFill>
              <w14:schemeClr w14:val="tx1"/>
            </w14:solidFill>
          </w14:textFill>
        </w:rPr>
        <w:outlineLvl w:val="1"/>
      </w:pPr>
      <w:r/>
      <w:bookmarkStart w:id="100" w:name="_Toc24135"/>
      <w:r/>
      <w:bookmarkStart w:id="101" w:name="_Toc5571_WPSOffice_Level2"/>
      <w:r/>
      <w:bookmarkStart w:id="102" w:name="_Toc19673"/>
      <w:r/>
      <w:bookmarkStart w:id="103" w:name="_Toc514054491"/>
      <w:r>
        <w:rPr>
          <w:color w:val="000000" w:themeColor="text1"/>
          <w:highlight w:val="none"/>
          <w14:textFill>
            <w14:solidFill>
              <w14:schemeClr w14:val="tx1"/>
            </w14:solidFill>
          </w14:textFill>
        </w:rPr>
        <w:t xml:space="preserve">六、无重大违法行为声明</w:t>
      </w:r>
      <w:bookmarkEnd w:id="100"/>
      <w:r/>
      <w:bookmarkEnd w:id="101"/>
      <w:r/>
      <w:bookmarkEnd w:id="102"/>
      <w:r/>
      <w:bookmarkEnd w:id="103"/>
      <w:r/>
      <w:r/>
    </w:p>
    <w:p>
      <w:pPr>
        <w:pStyle w:val="1258"/>
        <w:jc w:val="center"/>
        <w:spacing w:line="580" w:lineRule="exact"/>
        <w:tabs>
          <w:tab w:val="left" w:pos="1498" w:leader="none"/>
        </w:tabs>
        <w:rPr>
          <w:rFonts w:hint="eastAsia"/>
          <w:b/>
          <w:color w:val="000000" w:themeColor="text1"/>
          <w:sz w:val="32"/>
          <w:szCs w:val="32"/>
          <w:highlight w:val="none"/>
          <w14:textFill>
            <w14:solidFill>
              <w14:schemeClr w14:val="tx1"/>
            </w14:solidFill>
          </w14:textFill>
        </w:rPr>
      </w:pPr>
      <w:r/>
      <w:bookmarkStart w:id="104" w:name="_Toc7575_WPSOffice_Level2"/>
      <w:r>
        <w:rPr>
          <w:rFonts w:hint="eastAsia"/>
          <w:b/>
          <w:color w:val="000000" w:themeColor="text1"/>
          <w:sz w:val="32"/>
          <w:szCs w:val="32"/>
          <w:highlight w:val="none"/>
          <w14:textFill>
            <w14:solidFill>
              <w14:schemeClr w14:val="tx1"/>
            </w14:solidFill>
          </w14:textFill>
        </w:rPr>
        <w:t xml:space="preserve">无重大违法行为声明</w:t>
      </w:r>
      <w:bookmarkEnd w:id="104"/>
      <w:r/>
      <w:r/>
    </w:p>
    <w:p>
      <w:pPr>
        <w:pStyle w:val="1258"/>
        <w:spacing w:line="58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（采购人名称）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258"/>
        <w:ind w:firstLine="60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我公司在参加编号为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项目的投标活动前3年内，在经营活动中没有重大违法记录。</w:t>
      </w:r>
      <w:r/>
    </w:p>
    <w:p>
      <w:pPr>
        <w:pStyle w:val="1258"/>
        <w:ind w:firstLine="60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pStyle w:val="1258"/>
        <w:ind w:firstLine="60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58"/>
        <w:ind w:firstLine="60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注：重大违法记录，是指供应商因违法经营受到刑事处罚或者责令停产停业、吊销许可证或者执照、较大数额罚款等行政处罚。</w:t>
      </w:r>
      <w:r/>
    </w:p>
    <w:p>
      <w:pPr>
        <w:pStyle w:val="1258"/>
        <w:ind w:firstLine="60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58"/>
        <w:ind w:firstLine="60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81"/>
        <w:ind w:firstLine="629"/>
        <w:spacing w:line="7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（加盖公章）</w:t>
      </w:r>
      <w:r/>
    </w:p>
    <w:p>
      <w:pPr>
        <w:pStyle w:val="1081"/>
        <w:ind w:firstLine="629"/>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231"/>
        <w:ind w:firstLine="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112"/>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105" w:name="_Toc31956_WPSOffice_Level2"/>
      <w:r/>
      <w:bookmarkStart w:id="106" w:name="_Toc30396"/>
      <w:r/>
      <w:bookmarkStart w:id="107" w:name="_Toc27588"/>
      <w:r/>
      <w:bookmarkStart w:id="108" w:name="_Toc514054492"/>
      <w:r>
        <w:rPr>
          <w:color w:val="000000" w:themeColor="text1"/>
          <w:highlight w:val="none"/>
          <w14:textFill>
            <w14:solidFill>
              <w14:schemeClr w14:val="tx1"/>
            </w14:solidFill>
          </w14:textFill>
        </w:rPr>
        <w:t xml:space="preserve">七、投标函</w:t>
      </w:r>
      <w:bookmarkEnd w:id="105"/>
      <w:r/>
      <w:bookmarkEnd w:id="106"/>
      <w:r/>
      <w:bookmarkEnd w:id="107"/>
      <w:r/>
      <w:bookmarkEnd w:id="108"/>
      <w:r/>
      <w:r/>
    </w:p>
    <w:p>
      <w:pPr>
        <w:pStyle w:val="1168"/>
        <w:spacing w:line="400" w:lineRule="exact"/>
        <w:tabs>
          <w:tab w:val="left" w:pos="1498" w:leader="none"/>
        </w:tabs>
        <w:rPr>
          <w:rFonts w:hint="eastAsia" w:ascii="宋体" w:hAnsi="宋体" w:eastAsia="宋体" w:cs="宋体"/>
          <w:color w:val="000000" w:themeColor="text1"/>
          <w:sz w:val="24"/>
          <w:szCs w:val="22"/>
          <w:highlight w:val="none"/>
          <w14:textFill>
            <w14:solidFill>
              <w14:schemeClr w14:val="tx1"/>
            </w14:solidFill>
          </w14:textFill>
        </w:rPr>
      </w:pPr>
      <w:r/>
      <w:bookmarkStart w:id="109" w:name="_Toc514054493"/>
      <w:r/>
      <w:bookmarkStart w:id="110" w:name="_Toc22395"/>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168"/>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经研究，我们决定参加编号为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的招标活动并投标，为此，我方郑重声明以下诸点，并负法律责任。</w:t>
      </w:r>
      <w:r/>
    </w:p>
    <w:p>
      <w:pPr>
        <w:pStyle w:val="1168"/>
        <w:numPr>
          <w:ilvl w:val="0"/>
          <w:numId w:val="9"/>
        </w:numPr>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经研究招标文件的全部内容后，我方愿按招标文件的规定要求提供所有货物和服务；</w:t>
      </w:r>
      <w:r/>
    </w:p>
    <w:p>
      <w:pPr>
        <w:pStyle w:val="1168"/>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我方没有为本采购项目提供整体设计、规范编制，以及项目管理、监理、检测等服务。 </w:t>
      </w:r>
      <w:r/>
    </w:p>
    <w:p>
      <w:pPr>
        <w:pStyle w:val="1168"/>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三、我方与参与本次采购活动的其他</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的法定代表人或委托代理人</w:t>
      </w:r>
      <w:r>
        <w:rPr>
          <w:rFonts w:hint="eastAsia" w:ascii="宋体" w:hAnsi="宋体" w:eastAsia="宋体" w:cs="宋体"/>
          <w:b/>
          <w:bCs/>
          <w:color w:val="000000" w:themeColor="text1"/>
          <w:sz w:val="24"/>
          <w:highlight w:val="none"/>
          <w14:textFill>
            <w14:solidFill>
              <w14:schemeClr w14:val="tx1"/>
            </w14:solidFill>
          </w14:textFill>
        </w:rPr>
        <w:t xml:space="preserve">无夫妻、直系血亲关系； </w:t>
      </w:r>
      <w:r/>
    </w:p>
    <w:p>
      <w:pPr>
        <w:pStyle w:val="1168"/>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四、我方与参与本次采购活动的其他</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的负责人</w:t>
      </w:r>
      <w:r>
        <w:rPr>
          <w:rFonts w:hint="eastAsia" w:ascii="宋体" w:hAnsi="宋体" w:eastAsia="宋体" w:cs="宋体"/>
          <w:b/>
          <w:bCs/>
          <w:color w:val="000000" w:themeColor="text1"/>
          <w:sz w:val="24"/>
          <w:highlight w:val="none"/>
          <w14:textFill>
            <w14:solidFill>
              <w14:schemeClr w14:val="tx1"/>
            </w14:solidFill>
          </w14:textFill>
        </w:rPr>
        <w:t xml:space="preserve">不是同一人，也不存在直接控股、管理关系。 </w:t>
      </w:r>
      <w:r/>
    </w:p>
    <w:p>
      <w:pPr>
        <w:pStyle w:val="1168"/>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五、我们理解，最低报价不是中标的唯一条件，你们有选择中标人的权利；</w:t>
      </w:r>
      <w:r/>
    </w:p>
    <w:p>
      <w:pPr>
        <w:pStyle w:val="1168"/>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68"/>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七、一旦我方中标，我方将根据招标文件的规定，严格按照《中华人民共和国民法典》履行自己的责任和义务，并保证于我方承诺的期限内完成项目规定的所有内容。</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八、我方同意遵守贵方有关招标投标的各项规定；</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九、我方响应招标文件规定的投标有效期。</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十、我方决不提供虚假材料谋取中标、决不采取不正当手段诋毁、排挤其他</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、决不与采购人、 其它</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十一、与本投标有关的正式联系方式为：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十二、我方正式开户银行和帐号为：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银行账号：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加盖</w:t>
      </w:r>
      <w:r>
        <w:rPr>
          <w:rFonts w:hint="eastAsia" w:ascii="宋体" w:hAnsi="宋体" w:eastAsia="宋体" w:cs="宋体"/>
          <w:color w:val="000000" w:themeColor="text1"/>
          <w:sz w:val="24"/>
          <w:highlight w:val="none"/>
          <w:u w:val="single"/>
          <w14:textFill>
            <w14:solidFill>
              <w14:schemeClr w14:val="tx1"/>
            </w14:solidFill>
          </w14:textFill>
        </w:rPr>
        <w:t xml:space="preserve">公章）</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152"/>
        <w:ind w:firstLine="480"/>
        <w:spacing w:line="400" w:lineRule="exact"/>
        <w:tabs>
          <w:tab w:val="left" w:pos="1498"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 期： 年 月 日</w:t>
      </w:r>
      <w:r/>
    </w:p>
    <w:p>
      <w:pPr>
        <w:pStyle w:val="1141"/>
        <w:spacing w:line="400" w:lineRule="exact"/>
        <w:rPr>
          <w:color w:val="000000" w:themeColor="text1"/>
          <w:highlight w:val="none"/>
          <w14:textFill>
            <w14:solidFill>
              <w14:schemeClr w14:val="tx1"/>
            </w14:solidFill>
          </w14:textFill>
        </w:rPr>
        <w:outlineLvl w:val="1"/>
      </w:pPr>
      <w:r>
        <w:rPr>
          <w:rFonts w:hint="eastAsia" w:ascii="仿宋_GB2312" w:hAnsi="Times New Roman" w:eastAsia="仿宋_GB2312"/>
          <w:color w:val="000000" w:themeColor="text1"/>
          <w:sz w:val="24"/>
          <w:highlight w:val="none"/>
          <w:lang w:val="en-US" w:eastAsia="zh-CN"/>
          <w14:textFill>
            <w14:solidFill>
              <w14:schemeClr w14:val="tx1"/>
            </w14:solidFill>
          </w14:textFill>
        </w:rPr>
        <w:br w:type="page" w:clear="all"/>
      </w:r>
      <w:bookmarkStart w:id="111" w:name="_Toc24194"/>
      <w:r>
        <w:rPr>
          <w:color w:val="000000" w:themeColor="text1"/>
          <w:highlight w:val="none"/>
          <w14:textFill>
            <w14:solidFill>
              <w14:schemeClr w14:val="tx1"/>
            </w14:solidFill>
          </w14:textFill>
        </w:rPr>
        <w:t xml:space="preserve">八、法定代表人身份证明或授权委托书</w:t>
      </w:r>
      <w:bookmarkEnd w:id="109"/>
      <w:r/>
      <w:bookmarkEnd w:id="110"/>
      <w:r/>
      <w:bookmarkEnd w:id="111"/>
      <w:r/>
      <w:r/>
    </w:p>
    <w:p>
      <w:pPr>
        <w:pStyle w:val="1123"/>
        <w:jc w:val="center"/>
        <w:spacing w:line="560" w:lineRule="exact"/>
        <w:rPr>
          <w:rFonts w:ascii="宋体"/>
          <w:b/>
          <w:bCs/>
          <w:color w:val="000000" w:themeColor="text1"/>
          <w:sz w:val="32"/>
          <w:szCs w:val="32"/>
          <w:highlight w:val="none"/>
          <w14:textFill>
            <w14:solidFill>
              <w14:schemeClr w14:val="tx1"/>
            </w14:solidFill>
          </w14:textFill>
        </w:rPr>
      </w:pPr>
      <w:r/>
      <w:bookmarkStart w:id="112" w:name="_Toc22626_WPSOffice_Level2"/>
      <w:r>
        <w:rPr>
          <w:rFonts w:ascii="宋体"/>
          <w:b/>
          <w:bCs/>
          <w:color w:val="000000" w:themeColor="text1"/>
          <w:sz w:val="32"/>
          <w:szCs w:val="32"/>
          <w:highlight w:val="none"/>
          <w14:textFill>
            <w14:solidFill>
              <w14:schemeClr w14:val="tx1"/>
            </w14:solidFill>
          </w14:textFill>
        </w:rPr>
        <w:t xml:space="preserve">法定代表人身份证明</w:t>
      </w:r>
      <w:bookmarkEnd w:id="112"/>
      <w:r/>
      <w:r/>
    </w:p>
    <w:p>
      <w:pPr>
        <w:pStyle w:val="1209"/>
        <w:spacing w:line="480" w:lineRule="exact"/>
        <w:rPr>
          <w:rFonts w:eastAsia="仿宋_GB2312"/>
          <w:color w:val="000000" w:themeColor="text1"/>
          <w:sz w:val="24"/>
          <w:highlight w:val="none"/>
          <w14:textFill>
            <w14:solidFill>
              <w14:schemeClr w14:val="tx1"/>
            </w14:solidFill>
          </w14:textFill>
        </w:rPr>
      </w:pPr>
      <w:r>
        <w:rPr>
          <w:rFonts w:eastAsia="仿宋_GB2312"/>
          <w:color w:val="000000" w:themeColor="text1"/>
          <w:sz w:val="24"/>
          <w:highlight w:val="none"/>
          <w14:textFill>
            <w14:solidFill>
              <w14:schemeClr w14:val="tx1"/>
            </w14:solidFill>
          </w14:textFill>
        </w:rPr>
      </w:r>
      <w:r/>
    </w:p>
    <w:p>
      <w:pPr>
        <w:pStyle w:val="1209"/>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209"/>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单位性质：</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209"/>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209"/>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成立时间：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1209"/>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经营期限：</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209"/>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性别：</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年龄：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职务：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系</w:t>
      </w:r>
      <w:r/>
    </w:p>
    <w:p>
      <w:pPr>
        <w:pStyle w:val="1209"/>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名称）的法定代表人。</w:t>
      </w:r>
      <w:r/>
    </w:p>
    <w:p>
      <w:pPr>
        <w:pStyle w:val="1209"/>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特此证明。</w:t>
      </w:r>
      <w:r/>
    </w:p>
    <w:p>
      <w:pPr>
        <w:pStyle w:val="1012"/>
        <w:spacing w:line="6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（法定代表人出席开标会议的提供，未出席的可不提供。附法定代表人身份证、扫描件。）</w:t>
      </w:r>
      <w:r/>
    </w:p>
    <w:p>
      <w:pPr>
        <w:pStyle w:val="1209"/>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09"/>
        <w:jc w:val="right"/>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209"/>
        <w:jc w:val="right"/>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09"/>
        <w:jc w:val="right"/>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12"/>
        <w:ind w:firstLine="445"/>
        <w:jc w:val="center"/>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单位名称：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加盖</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公章）</w:t>
      </w:r>
      <w:r/>
    </w:p>
    <w:p>
      <w:pPr>
        <w:pStyle w:val="1123"/>
        <w:ind w:firstLine="424"/>
        <w:jc w:val="righ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（签字或签章）</w:t>
      </w:r>
      <w:r/>
    </w:p>
    <w:p>
      <w:pPr>
        <w:pStyle w:val="1097"/>
        <w:ind w:firstLine="988"/>
        <w:jc w:val="right"/>
        <w:spacing w:line="7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123"/>
        <w:jc w:val="center"/>
        <w:spacing w:line="560" w:lineRule="exact"/>
        <w:rPr>
          <w:rFonts w:hint="eastAsia" w:ascii="宋体"/>
          <w:b/>
          <w:bCs/>
          <w:color w:val="000000" w:themeColor="text1"/>
          <w:sz w:val="32"/>
          <w:szCs w:val="32"/>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br w:type="page" w:clear="all"/>
      </w:r>
      <w:bookmarkStart w:id="113" w:name="_Toc406_WPSOffice_Level2"/>
      <w:r>
        <w:rPr>
          <w:rFonts w:hint="eastAsia" w:ascii="宋体"/>
          <w:b/>
          <w:bCs/>
          <w:color w:val="000000" w:themeColor="text1"/>
          <w:sz w:val="32"/>
          <w:szCs w:val="32"/>
          <w:highlight w:val="none"/>
          <w14:textFill>
            <w14:solidFill>
              <w14:schemeClr w14:val="tx1"/>
            </w14:solidFill>
          </w14:textFill>
        </w:rPr>
        <w:t xml:space="preserve">法定代表人授权委托书</w:t>
      </w:r>
      <w:bookmarkEnd w:id="113"/>
      <w:r/>
      <w:r/>
    </w:p>
    <w:p>
      <w:pPr>
        <w:pStyle w:val="1123"/>
        <w:spacing w:line="600" w:lineRule="exact"/>
        <w:rPr>
          <w:rFonts w:hint="eastAsia" w:ascii="方正大标宋简体" w:eastAsia="方正大标宋简体"/>
          <w:color w:val="000000" w:themeColor="text1"/>
          <w:sz w:val="32"/>
          <w:highlight w:val="none"/>
          <w14:textFill>
            <w14:solidFill>
              <w14:schemeClr w14:val="tx1"/>
            </w14:solidFill>
          </w14:textFill>
        </w:rPr>
      </w:pPr>
      <w:r>
        <w:rPr>
          <w:rFonts w:hint="eastAsia" w:ascii="方正大标宋简体" w:eastAsia="方正大标宋简体"/>
          <w:color w:val="000000" w:themeColor="text1"/>
          <w:sz w:val="32"/>
          <w:highlight w:val="none"/>
          <w14:textFill>
            <w14:solidFill>
              <w14:schemeClr w14:val="tx1"/>
            </w14:solidFill>
          </w14:textFill>
        </w:rPr>
      </w:r>
      <w:r/>
    </w:p>
    <w:p>
      <w:pPr>
        <w:pStyle w:val="1209"/>
        <w:rPr>
          <w:rFonts w:hint="eastAsia" w:ascii="宋体" w:hAnsi="宋体" w:eastAsia="宋体" w:cs="宋体"/>
          <w:color w:val="000000" w:themeColor="text1"/>
          <w:sz w:val="32"/>
          <w:szCs w:val="32"/>
          <w:highlight w:val="none"/>
          <w:u w:val="single"/>
          <w14:textFill>
            <w14:solidFill>
              <w14:schemeClr w14:val="tx1"/>
            </w14:solidFill>
          </w14:textFill>
        </w:rPr>
      </w:pPr>
      <w:r>
        <w:rPr>
          <w:rFonts w:hint="eastAsia" w:ascii="宋体" w:hAnsi="宋体" w:eastAsia="宋体" w:cs="宋体"/>
          <w:color w:val="000000" w:themeColor="text1"/>
          <w:sz w:val="32"/>
          <w:szCs w:val="32"/>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（采购人名称）</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123"/>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（单位名称）</w:t>
      </w:r>
      <w:r>
        <w:rPr>
          <w:rFonts w:hint="eastAsia" w:ascii="宋体" w:hAnsi="宋体" w:eastAsia="宋体" w:cs="宋体"/>
          <w:color w:val="000000" w:themeColor="text1"/>
          <w:sz w:val="24"/>
          <w:highlight w:val="none"/>
          <w14:textFill>
            <w14:solidFill>
              <w14:schemeClr w14:val="tx1"/>
            </w14:solidFill>
          </w14:textFill>
        </w:rPr>
        <w:t xml:space="preserve">法定代表人授权我单位</w:t>
      </w:r>
      <w:r>
        <w:rPr>
          <w:rFonts w:hint="eastAsia" w:ascii="宋体" w:hAnsi="宋体" w:eastAsia="宋体" w:cs="宋体"/>
          <w:color w:val="000000" w:themeColor="text1"/>
          <w:sz w:val="24"/>
          <w:highlight w:val="none"/>
          <w:u w:val="single"/>
          <w14:textFill>
            <w14:solidFill>
              <w14:schemeClr w14:val="tx1"/>
            </w14:solidFill>
          </w14:textFill>
        </w:rPr>
        <w:t xml:space="preserve">    （职务或职称）   （姓名）</w:t>
      </w:r>
      <w:r>
        <w:rPr>
          <w:rFonts w:hint="eastAsia" w:ascii="宋体" w:hAnsi="宋体" w:eastAsia="宋体" w:cs="宋体"/>
          <w:color w:val="000000" w:themeColor="text1"/>
          <w:sz w:val="24"/>
          <w:highlight w:val="none"/>
          <w14:textFill>
            <w14:solidFill>
              <w14:schemeClr w14:val="tx1"/>
            </w14:solidFill>
          </w14:textFill>
        </w:rPr>
        <w:t xml:space="preserve">为我单位本次授权代理人，全权处理此次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公开招标</w:t>
      </w:r>
      <w:r>
        <w:rPr>
          <w:rFonts w:hint="eastAsia" w:ascii="宋体" w:hAnsi="宋体" w:eastAsia="宋体" w:cs="宋体"/>
          <w:color w:val="000000" w:themeColor="text1"/>
          <w:sz w:val="24"/>
          <w:highlight w:val="none"/>
          <w14:textFill>
            <w14:solidFill>
              <w14:schemeClr w14:val="tx1"/>
            </w14:solidFill>
          </w14:textFill>
        </w:rPr>
        <w:t xml:space="preserve">活动的一切事宜。</w:t>
      </w:r>
      <w:r/>
    </w:p>
    <w:p>
      <w:pPr>
        <w:pStyle w:val="1123"/>
        <w:ind w:firstLine="63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特此授权</w:t>
      </w:r>
      <w:r/>
    </w:p>
    <w:p>
      <w:pPr>
        <w:pStyle w:val="1123"/>
        <w:ind w:firstLine="480"/>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71"/>
        <w:ind w:firstLine="482"/>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（授权委托人出席开标会议的提供法定代表人、授权委托人身份证扫描件。如为授权委托人参加投标的，须提供202</w:t>
      </w:r>
      <w:r>
        <w:rPr>
          <w:rFonts w:hint="eastAsia" w:ascii="宋体" w:hAnsi="宋体" w:cs="宋体"/>
          <w:b/>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highlight w:val="none"/>
          <w14:textFill>
            <w14:solidFill>
              <w14:schemeClr w14:val="tx1"/>
            </w14:solidFill>
          </w14:textFill>
        </w:rPr>
        <w:t xml:space="preserve">年</w:t>
      </w:r>
      <w:r>
        <w:rPr>
          <w:rFonts w:hint="eastAsia" w:ascii="宋体" w:hAnsi="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月以来任意一个月</w:t>
      </w:r>
      <w:r>
        <w:rPr>
          <w:rFonts w:hint="eastAsia" w:ascii="宋体" w:hAnsi="宋体" w:cs="宋体"/>
          <w:b/>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4"/>
          <w:highlight w:val="none"/>
          <w14:textFill>
            <w14:solidFill>
              <w14:schemeClr w14:val="tx1"/>
            </w14:solidFill>
          </w14:textFill>
        </w:rPr>
        <w:t xml:space="preserve">单位为授权委托人缴纳的社保证明材料）</w:t>
      </w:r>
      <w:r/>
    </w:p>
    <w:p>
      <w:pPr>
        <w:pStyle w:val="1071"/>
        <w:ind w:firstLine="630"/>
        <w:spacing w:line="6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123"/>
        <w:ind w:firstLine="629"/>
        <w:jc w:val="center"/>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（加盖公章）</w:t>
      </w:r>
      <w:r/>
    </w:p>
    <w:p>
      <w:pPr>
        <w:pStyle w:val="1123"/>
        <w:ind w:firstLine="629"/>
        <w:jc w:val="right"/>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（签字或签章）</w:t>
      </w:r>
      <w:r/>
    </w:p>
    <w:p>
      <w:pPr>
        <w:pStyle w:val="1123"/>
        <w:ind w:firstLine="629"/>
        <w:jc w:val="center"/>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法人授权代表：</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（签字）</w:t>
      </w:r>
      <w:r/>
    </w:p>
    <w:p>
      <w:pPr>
        <w:pStyle w:val="1208"/>
        <w:ind w:firstLine="720"/>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222"/>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114" w:name="_Toc514054494"/>
      <w:r/>
      <w:bookmarkStart w:id="115" w:name="_Toc1181"/>
      <w:r/>
      <w:bookmarkStart w:id="116" w:name="_Toc12853"/>
      <w:r>
        <w:rPr>
          <w:rFonts w:hint="eastAsia"/>
          <w:color w:val="000000" w:themeColor="text1"/>
          <w:highlight w:val="none"/>
          <w:lang w:val="en-US" w:eastAsia="zh-CN"/>
          <w14:textFill>
            <w14:solidFill>
              <w14:schemeClr w14:val="tx1"/>
            </w14:solidFill>
          </w14:textFill>
        </w:rPr>
        <w:t xml:space="preserve">九、</w:t>
      </w:r>
      <w:r>
        <w:rPr>
          <w:color w:val="000000" w:themeColor="text1"/>
          <w:highlight w:val="none"/>
          <w14:textFill>
            <w14:solidFill>
              <w14:schemeClr w14:val="tx1"/>
            </w14:solidFill>
          </w14:textFill>
        </w:rPr>
        <w:t xml:space="preserve">开标一览表</w:t>
      </w:r>
      <w:bookmarkEnd w:id="114"/>
      <w:r/>
      <w:bookmarkEnd w:id="115"/>
      <w:r/>
      <w:bookmarkEnd w:id="116"/>
      <w:r/>
      <w:r/>
    </w:p>
    <w:p>
      <w:pPr>
        <w:pStyle w:val="1222"/>
        <w:spacing w:line="360" w:lineRule="auto"/>
        <w:rPr>
          <w:rFonts w:hint="eastAsia" w:ascii="宋体" w:hAnsi="宋体" w:eastAsia="宋体" w:cs="宋体"/>
          <w:color w:val="000000" w:themeColor="text1"/>
          <w:sz w:val="24"/>
          <w:szCs w:val="20"/>
          <w:highlight w:val="none"/>
          <w:lang w:val="en-US" w:eastAsia="zh-CN"/>
          <w14:textFill>
            <w14:solidFill>
              <w14:schemeClr w14:val="tx1"/>
            </w14:solidFill>
          </w14:textFill>
        </w:rPr>
        <w:outlineLvl w:val="1"/>
      </w:pPr>
      <w:r/>
      <w:bookmarkStart w:id="117" w:name="_Toc26487"/>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供应商名称（加盖公章）：</w:t>
      </w:r>
      <w:bookmarkEnd w:id="117"/>
      <w:r/>
      <w:r/>
    </w:p>
    <w:p>
      <w:pPr>
        <w:pStyle w:val="1222"/>
        <w:spacing w:line="360" w:lineRule="auto"/>
        <w:rPr>
          <w:rFonts w:hint="eastAsia" w:ascii="宋体" w:hAnsi="宋体" w:eastAsia="宋体" w:cs="宋体"/>
          <w:color w:val="000000" w:themeColor="text1"/>
          <w:sz w:val="24"/>
          <w:szCs w:val="20"/>
          <w:highlight w:val="none"/>
          <w:lang w:val="en-US" w:eastAsia="zh-CN"/>
          <w14:textFill>
            <w14:solidFill>
              <w14:schemeClr w14:val="tx1"/>
            </w14:solidFill>
          </w14:textFill>
        </w:rPr>
        <w:outlineLvl w:val="1"/>
      </w:pPr>
      <w:r/>
      <w:bookmarkStart w:id="118" w:name="_Toc3795"/>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项目编号：</w:t>
      </w:r>
      <w:bookmarkEnd w:id="118"/>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 </w:t>
      </w:r>
      <w:r/>
    </w:p>
    <w:p>
      <w:pPr>
        <w:pStyle w:val="1222"/>
        <w:spacing w:line="360" w:lineRule="auto"/>
        <w:rPr>
          <w:rFonts w:hint="eastAsia" w:ascii="宋体" w:hAnsi="宋体" w:eastAsia="宋体" w:cs="宋体"/>
          <w:color w:val="000000" w:themeColor="text1"/>
          <w:sz w:val="24"/>
          <w:szCs w:val="20"/>
          <w:highlight w:val="none"/>
          <w:lang w:val="en-US" w:eastAsia="zh-CN"/>
          <w14:textFill>
            <w14:solidFill>
              <w14:schemeClr w14:val="tx1"/>
            </w14:solidFill>
          </w14:textFill>
        </w:rPr>
        <w:outlineLvl w:val="1"/>
      </w:pPr>
      <w:r/>
      <w:bookmarkStart w:id="119" w:name="_Toc31414"/>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项目名称：</w:t>
      </w:r>
      <w:bookmarkEnd w:id="119"/>
      <w:r/>
      <w:r/>
    </w:p>
    <w:tbl>
      <w:tblPr>
        <w:tblStyle w:val="85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3"/>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3"/>
              <w:jc w:val="both"/>
              <w:spacing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小写：                 （人民币：元）</w:t>
            </w:r>
            <w:r/>
          </w:p>
        </w:tc>
      </w:tr>
    </w:tbl>
    <w:p>
      <w:pPr>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r>
      <w:r/>
    </w:p>
    <w:p>
      <w:pPr>
        <w:pStyle w:val="903"/>
        <w:jc w:val="both"/>
        <w:rPr>
          <w:rFonts w:hint="eastAsia" w:ascii="宋体" w:hAnsi="宋体" w:eastAsia="宋体" w:cs="宋体"/>
          <w:color w:val="000000" w:themeColor="text1"/>
          <w:highlight w:val="none"/>
          <w14:textFill>
            <w14:solidFill>
              <w14:schemeClr w14:val="tx1"/>
            </w14:solidFill>
          </w14:textFill>
        </w:rPr>
      </w:pPr>
      <w:r/>
      <w:bookmarkStart w:id="120" w:name="_Toc8851"/>
      <w:r/>
      <w:bookmarkStart w:id="121" w:name="_Toc514054495"/>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71"/>
        <w:rPr>
          <w:color w:val="000000" w:themeColor="text1"/>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083" w:bottom="1440" w:left="1083" w:header="851" w:footer="992" w:gutter="0"/>
          <w:cols w:num="1" w:sep="0" w:space="0" w:equalWidth="1"/>
          <w:docGrid w:linePitch="360"/>
        </w:sectPr>
        <w:outlineLvl w:val="1"/>
      </w:pPr>
      <w:r/>
      <w:bookmarkStart w:id="122" w:name="_Toc23579"/>
      <w:r/>
      <w:r/>
    </w:p>
    <w:p>
      <w:pPr>
        <w:pStyle w:val="1171"/>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t xml:space="preserve">十、明细报价表</w:t>
      </w:r>
      <w:bookmarkEnd w:id="120"/>
      <w:r/>
      <w:bookmarkEnd w:id="121"/>
      <w:r/>
      <w:bookmarkEnd w:id="122"/>
      <w:r/>
      <w:r/>
    </w:p>
    <w:p>
      <w:pPr>
        <w:jc w:val="center"/>
        <w:spacing w:line="480" w:lineRule="auto"/>
        <w:rPr>
          <w:rFonts w:hint="eastAsia" w:ascii="宋体" w:hAnsi="宋体" w:eastAsia="宋体" w:cs="宋体"/>
          <w:color w:val="000000" w:themeColor="text1"/>
          <w:sz w:val="24"/>
          <w:szCs w:val="24"/>
          <w:highlight w:val="none"/>
          <w14:textFill>
            <w14:solidFill>
              <w14:schemeClr w14:val="tx1"/>
            </w14:solidFill>
          </w14:textFill>
        </w:rPr>
        <w:outlineLvl w:val="0"/>
      </w:pPr>
      <w:r/>
      <w:bookmarkStart w:id="123" w:name="_Toc10225"/>
      <w:r/>
      <w:bookmarkStart w:id="124" w:name="_Toc514054496"/>
      <w:r>
        <w:rPr>
          <w:rFonts w:hint="eastAsia" w:ascii="宋体" w:hAnsi="宋体" w:eastAsia="宋体" w:cs="宋体"/>
          <w:color w:val="000000" w:themeColor="text1"/>
          <w:sz w:val="24"/>
          <w:szCs w:val="24"/>
          <w:highlight w:val="none"/>
          <w14:textFill>
            <w14:solidFill>
              <w14:schemeClr w14:val="tx1"/>
            </w14:solidFill>
          </w14:textFill>
        </w:rPr>
        <w:t xml:space="preserve">投标报价明细表</w:t>
      </w:r>
      <w:bookmarkEnd w:id="123"/>
      <w:r/>
      <w:r/>
    </w:p>
    <w:p>
      <w:pPr>
        <w:rPr>
          <w:rFonts w:hint="eastAsia" w:ascii="宋体" w:hAnsi="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名称：（加盖公章）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tbl>
      <w:tblPr>
        <w:tblStyle w:val="855"/>
        <w:tblW w:w="4895" w:type="pct"/>
        <w:tblInd w:w="-5" w:type="dxa"/>
        <w:tblLayout w:type="fixed"/>
        <w:tblCellMar>
          <w:left w:w="108" w:type="dxa"/>
          <w:top w:w="0" w:type="dxa"/>
          <w:right w:w="108" w:type="dxa"/>
          <w:bottom w:w="0" w:type="dxa"/>
        </w:tblCellMar>
        <w:tblLook w:val="04A0" w:firstRow="1" w:lastRow="0" w:firstColumn="1" w:lastColumn="0" w:noHBand="0" w:noVBand="1"/>
      </w:tblPr>
      <w:tblGrid>
        <w:gridCol w:w="1313"/>
        <w:gridCol w:w="2158"/>
        <w:gridCol w:w="1414"/>
        <w:gridCol w:w="1146"/>
        <w:gridCol w:w="1160"/>
        <w:gridCol w:w="1227"/>
        <w:gridCol w:w="1600"/>
        <w:gridCol w:w="1587"/>
        <w:gridCol w:w="1334"/>
        <w:gridCol w:w="939"/>
      </w:tblGrid>
      <w:tr>
        <w:trPr>
          <w:trHeight w:val="636"/>
        </w:trPr>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单价</w:t>
            </w:r>
            <w:r>
              <w:rPr>
                <w:rFonts w:hint="eastAsia" w:ascii="宋体" w:hAnsi="宋体" w:cs="宋体"/>
                <w:b/>
                <w:bCs/>
                <w:i w:val="0"/>
                <w:color w:val="000000" w:themeColor="text1"/>
                <w:spacing w:val="0"/>
                <w:sz w:val="24"/>
                <w:szCs w:val="24"/>
                <w:highlight w:val="none"/>
                <w:u w:val="none"/>
                <w:lang w:val="en-US" w:eastAsia="zh-CN" w:bidi="ar"/>
                <w14:textFill>
                  <w14:solidFill>
                    <w14:schemeClr w14:val="tx1"/>
                  </w14:solidFill>
                </w14:textFill>
              </w:rPr>
              <w:t xml:space="preserve">控制价</w:t>
            </w: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单价（元/年）</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单项合计（元/年）</w:t>
            </w:r>
            <w:r/>
          </w:p>
        </w:tc>
        <w:tc>
          <w:tcPr>
            <w:shd w:val="clear" w:color="auto" w:fill="auto"/>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suppressLineNumbers w:val="0"/>
            </w:pPr>
            <w:r>
              <w:rPr>
                <w:rFonts w:hint="eastAsia" w:ascii="宋体" w:hAnsi="宋体" w:cs="宋体"/>
                <w:b/>
                <w:bCs/>
                <w:i w:val="0"/>
                <w:color w:val="000000" w:themeColor="text1"/>
                <w:spacing w:val="0"/>
                <w:sz w:val="24"/>
                <w:szCs w:val="24"/>
                <w:highlight w:val="none"/>
                <w:u w:val="none"/>
                <w:lang w:val="en-US" w:eastAsia="zh-CN" w:bidi="ar"/>
                <w14:textFill>
                  <w14:solidFill>
                    <w14:schemeClr w14:val="tx1"/>
                  </w14:solidFill>
                </w14:textFill>
              </w:rPr>
              <w:t xml:space="preserve">服务期（月）</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suppressLineNumbers w:val="0"/>
            </w:pPr>
            <w:r>
              <w:rPr>
                <w:rFonts w:hint="eastAsia" w:ascii="宋体" w:hAnsi="宋体" w:cs="宋体"/>
                <w:b/>
                <w:bCs/>
                <w:i w:val="0"/>
                <w:color w:val="000000" w:themeColor="text1"/>
                <w:spacing w:val="0"/>
                <w:sz w:val="24"/>
                <w:szCs w:val="24"/>
                <w:highlight w:val="none"/>
                <w:u w:val="none"/>
                <w:lang w:val="en-US" w:eastAsia="zh-CN" w:bidi="ar"/>
                <w14:textFill>
                  <w14:solidFill>
                    <w14:schemeClr w14:val="tx1"/>
                  </w14:solidFill>
                </w14:textFill>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color w:val="000000" w:themeColor="text1"/>
                <w:spacing w:val="0"/>
                <w:sz w:val="24"/>
                <w:szCs w:val="24"/>
                <w:highlight w:val="none"/>
                <w:u w:val="none"/>
                <w:lang w:val="en-US" w:eastAsia="zh-CN" w:bidi="ar"/>
                <w14:textFill>
                  <w14:solidFill>
                    <w14:schemeClr w14:val="tx1"/>
                  </w14:solidFill>
                </w14:textFill>
              </w:rPr>
              <w:t xml:space="preserve">备注</w:t>
            </w:r>
            <w:r/>
          </w:p>
        </w:tc>
      </w:tr>
      <w:tr>
        <w:trPr>
          <w:trHeight w:val="703"/>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绿化（绿化养护）</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232668.5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w:t>
            </w:r>
            <w:r/>
          </w:p>
        </w:tc>
        <w:tc>
          <w:tcPr>
            <w:tcBorders>
              <w:top w:val="single" w:color="000000" w:sz="4" w:space="0"/>
              <w:left w:val="single" w:color="000000" w:sz="4" w:space="0"/>
              <w:bottom w:val="non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行道树（绿化养护）</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r>
      <w:tr>
        <w:trPr>
          <w:trHeight w:val="707"/>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二级道路（环卫保洁）</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78476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硬质铺装（环卫保洁）</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8184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河道（环卫保洁）</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7203</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扫雪抢险人员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120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轮挖（型号155）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1400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装载机(型号50)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1200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扫雪抢险人员（待岗）</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轮挖（型号155）（待岗）</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750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装载机(型号50)（待岗）</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600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地块绿地（绿化养护、保洁、看护）</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地块保洁、看护</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r>
            <w:r/>
          </w:p>
        </w:tc>
      </w:tr>
      <w:tr>
        <w:trPr>
          <w:trHeight w:val="733"/>
        </w:trPr>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color w:val="000000" w:themeColor="text1"/>
                <w:spacing w:val="0"/>
                <w:sz w:val="24"/>
                <w:szCs w:val="24"/>
                <w:highlight w:val="none"/>
                <w:u w:val="none"/>
                <w:lang w:val="en-US" w:eastAsia="zh-CN" w:bidi="ar"/>
                <w14:textFill>
                  <w14:solidFill>
                    <w14:schemeClr w14:val="tx1"/>
                  </w14:solidFill>
                </w14:textFill>
              </w:rPr>
              <w:t xml:space="preserve">合计：</w:t>
            </w:r>
            <w:r/>
          </w:p>
        </w:tc>
        <w:tc>
          <w:tcPr>
            <w:gridSpan w:val="9"/>
            <w:tcBorders>
              <w:top w:val="single" w:color="000000" w:sz="4" w:space="0"/>
              <w:left w:val="single" w:color="000000" w:sz="4" w:space="0"/>
              <w:bottom w:val="single" w:color="000000" w:sz="4" w:space="0"/>
              <w:right w:val="single" w:color="000000" w:sz="4" w:space="0"/>
            </w:tcBorders>
            <w:tcW w:w="1256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i w:val="0"/>
                <w:color w:val="000000" w:themeColor="text1"/>
                <w:spacing w:val="0"/>
                <w:sz w:val="24"/>
                <w:szCs w:val="24"/>
                <w:highlight w:val="none"/>
                <w:u w:val="none"/>
                <w:lang w:val="en-US" w:eastAsia="zh-CN" w:bidi="ar"/>
                <w14:textFill>
                  <w14:solidFill>
                    <w14:schemeClr w14:val="tx1"/>
                  </w14:solidFill>
                </w14:textFill>
              </w:rPr>
              <w:t xml:space="preserve">人民币</w:t>
            </w:r>
            <w:r>
              <w:rPr>
                <w:rFonts w:hint="eastAsia" w:ascii="宋体" w:hAnsi="宋体" w:eastAsia="宋体" w:cs="宋体"/>
                <w:i w:val="0"/>
                <w:color w:val="000000" w:themeColor="text1"/>
                <w:spacing w:val="0"/>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color w:val="000000" w:themeColor="text1"/>
                <w:spacing w:val="0"/>
                <w:sz w:val="24"/>
                <w:szCs w:val="24"/>
                <w:highlight w:val="none"/>
                <w:u w:val="none"/>
                <w:lang w:val="en-US" w:eastAsia="zh-CN" w:bidi="ar"/>
                <w14:textFill>
                  <w14:solidFill>
                    <w14:schemeClr w14:val="tx1"/>
                  </w14:solidFill>
                </w14:textFill>
              </w:rPr>
              <w:t xml:space="preserve">元</w:t>
            </w:r>
            <w:r/>
          </w:p>
        </w:tc>
      </w:tr>
    </w:tbl>
    <w:p>
      <w:pPr>
        <w:pStyle w:val="1207"/>
        <w:rPr>
          <w:color w:val="000000" w:themeColor="text1"/>
          <w:highlight w:val="none"/>
          <w14:textFill>
            <w14:solidFill>
              <w14:schemeClr w14:val="tx1"/>
            </w14:solidFill>
          </w14:textFill>
        </w:rPr>
        <w:sectPr>
          <w:footnotePr/>
          <w:endnotePr/>
          <w:type w:val="nextPage"/>
          <w:pgSz w:w="16838" w:h="11906" w:orient="landscape"/>
          <w:pgMar w:top="1083" w:right="1440" w:bottom="1083" w:left="1440" w:header="851" w:footer="992" w:gutter="0"/>
          <w:cols w:num="1" w:sep="0" w:space="0" w:equalWidth="1"/>
          <w:docGrid w:linePitch="360"/>
        </w:sectPr>
        <w:outlineLvl w:val="1"/>
      </w:pPr>
      <w:r/>
      <w:bookmarkStart w:id="125" w:name="_Toc5837"/>
      <w:r/>
      <w:bookmarkStart w:id="126" w:name="_Toc10632"/>
      <w:r/>
      <w:r/>
    </w:p>
    <w:p>
      <w:pPr>
        <w:pStyle w:val="1207"/>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r>
      <w:r/>
    </w:p>
    <w:p>
      <w:pPr>
        <w:pStyle w:val="1207"/>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t xml:space="preserve">十一、中小企业声明函</w:t>
      </w:r>
      <w:bookmarkEnd w:id="124"/>
      <w:r/>
      <w:bookmarkEnd w:id="125"/>
      <w:r/>
      <w:bookmarkEnd w:id="126"/>
      <w:r/>
      <w:r/>
    </w:p>
    <w:p>
      <w:pPr>
        <w:jc w:val="center"/>
        <w:rPr>
          <w:rFonts w:hint="eastAsia" w:ascii="楷体" w:hAnsi="楷体" w:eastAsia="楷体" w:cs="楷体"/>
          <w:color w:val="000000" w:themeColor="text1"/>
          <w:sz w:val="32"/>
          <w:szCs w:val="32"/>
          <w14:textFill>
            <w14:solidFill>
              <w14:schemeClr w14:val="tx1"/>
            </w14:solidFill>
          </w14:textFill>
        </w:rPr>
      </w:pPr>
      <w:r>
        <w:rPr>
          <w:rStyle w:val="910"/>
          <w:rFonts w:hint="eastAsia" w:ascii="楷体" w:hAnsi="楷体" w:eastAsia="楷体" w:cs="楷体"/>
          <w:color w:val="000000" w:themeColor="text1"/>
          <w:sz w:val="32"/>
          <w:szCs w:val="32"/>
          <w:lang w:bidi="ar"/>
          <w14:textFill>
            <w14:solidFill>
              <w14:schemeClr w14:val="tx1"/>
            </w14:solidFill>
          </w14:textFill>
        </w:rPr>
        <w:t xml:space="preserve">中小企业声明函（服务）</w:t>
      </w:r>
      <w:r/>
    </w:p>
    <w:p>
      <w:pPr>
        <w:ind w:firstLine="420"/>
        <w:jc w:val="left"/>
        <w:spacing w:before="100" w:beforeAutospacing="1" w:after="100" w:afterAutospacing="1" w:line="435" w:lineRule="exact"/>
        <w:widowControl/>
        <w:rPr>
          <w:rFonts w:hint="eastAsia"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Cs w:val="20"/>
          <w:u w:val="single"/>
          <w14:textFill>
            <w14:solidFill>
              <w14:schemeClr w14:val="tx1"/>
            </w14:solidFill>
          </w14:textFill>
        </w:rPr>
        <w:t xml:space="preserve">    （单位名称）</w:t>
      </w:r>
      <w:r>
        <w:rPr>
          <w:rFonts w:hint="eastAsia" w:ascii="宋体" w:hAnsi="宋体" w:eastAsia="宋体" w:cs="宋体"/>
          <w:color w:val="000000" w:themeColor="text1"/>
          <w:lang w:bidi="ar"/>
          <w14:textFill>
            <w14:solidFill>
              <w14:schemeClr w14:val="tx1"/>
            </w14:solidFill>
          </w14:textFill>
        </w:rPr>
        <w:t xml:space="preserve">的</w:t>
      </w: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color w:val="000000" w:themeColor="text1"/>
          <w:szCs w:val="20"/>
          <w:u w:val="single"/>
          <w14:textFill>
            <w14:solidFill>
              <w14:schemeClr w14:val="tx1"/>
            </w14:solidFill>
          </w14:textFill>
        </w:rPr>
        <w:t xml:space="preserve">   （项目名称）采</w:t>
      </w:r>
      <w:r>
        <w:rPr>
          <w:rFonts w:hint="eastAsia" w:ascii="宋体" w:hAnsi="宋体" w:eastAsia="宋体" w:cs="宋体"/>
          <w:color w:val="000000" w:themeColor="text1"/>
          <w:szCs w:val="20"/>
          <w14:textFill>
            <w14:solidFill>
              <w14:schemeClr w14:val="tx1"/>
            </w14:solidFill>
          </w14:textFill>
        </w:rPr>
        <w:t xml:space="preserve">购活动，提供的货物全部由符合政策要求的中小企业制造。相关企业（含联合体中的中小企业、签订分包意向协议的中小企业）的具体情况如下：</w:t>
      </w:r>
      <w:r/>
    </w:p>
    <w:p>
      <w:pPr>
        <w:ind w:firstLine="420"/>
        <w:jc w:val="left"/>
        <w:spacing w:before="100" w:beforeAutospacing="1" w:after="100" w:afterAutospacing="1" w:line="435"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1</w:t>
      </w:r>
      <w:r>
        <w:rPr>
          <w:rFonts w:hint="eastAsia" w:ascii="宋体" w:hAnsi="宋体" w:eastAsia="宋体" w:cs="宋体"/>
          <w:color w:val="000000" w:themeColor="text1"/>
          <w:szCs w:val="20"/>
          <w:u w:val="single"/>
          <w14:textFill>
            <w14:solidFill>
              <w14:schemeClr w14:val="tx1"/>
            </w14:solidFill>
          </w14:textFill>
        </w:rPr>
        <w:t xml:space="preserve">.     </w:t>
      </w:r>
      <w:r>
        <w:rPr>
          <w:rFonts w:hint="eastAsia" w:ascii="宋体" w:hAnsi="宋体" w:eastAsia="宋体" w:cs="宋体"/>
          <w:color w:val="000000" w:themeColor="text1"/>
          <w:u w:val="single"/>
          <w:lang w:bidi="ar"/>
          <w14:textFill>
            <w14:solidFill>
              <w14:schemeClr w14:val="tx1"/>
            </w14:solidFill>
          </w14:textFill>
        </w:rPr>
        <w:t xml:space="preserve">（</w:t>
      </w:r>
      <w:r>
        <w:rPr>
          <w:rFonts w:hint="eastAsia" w:ascii="宋体" w:hAnsi="宋体" w:eastAsia="宋体" w:cs="宋体"/>
          <w:color w:val="000000" w:themeColor="text1"/>
          <w:szCs w:val="20"/>
          <w:u w:val="single"/>
          <w14:textFill>
            <w14:solidFill>
              <w14:schemeClr w14:val="tx1"/>
            </w14:solidFill>
          </w14:textFill>
        </w:rPr>
        <w:t xml:space="preserve">标的名称）</w:t>
      </w:r>
      <w:r>
        <w:rPr>
          <w:rFonts w:hint="eastAsia" w:ascii="宋体" w:hAnsi="宋体" w:eastAsia="宋体" w:cs="宋体"/>
          <w:color w:val="000000" w:themeColor="text1"/>
          <w:lang w:bidi="ar"/>
          <w14:textFill>
            <w14:solidFill>
              <w14:schemeClr w14:val="tx1"/>
            </w14:solidFill>
          </w14:textFill>
        </w:rPr>
        <w:t xml:space="preserve">，属于</w:t>
      </w:r>
      <w:r>
        <w:rPr>
          <w:rFonts w:hint="eastAsia" w:ascii="宋体" w:hAnsi="宋体" w:eastAsia="宋体" w:cs="宋体"/>
          <w:color w:val="000000" w:themeColor="text1"/>
          <w:szCs w:val="20"/>
          <w:u w:val="single"/>
          <w:lang w:val="en-US" w:eastAsia="zh-CN"/>
          <w14:textFill>
            <w14:solidFill>
              <w14:schemeClr w14:val="tx1"/>
            </w14:solidFill>
          </w14:textFill>
        </w:rPr>
        <w:t xml:space="preserve">其他未列明</w:t>
      </w:r>
      <w:r>
        <w:rPr>
          <w:rFonts w:hint="eastAsia" w:ascii="宋体" w:hAnsi="宋体" w:eastAsia="宋体" w:cs="宋体"/>
          <w:color w:val="000000" w:themeColor="text1"/>
          <w:lang w:bidi="ar"/>
          <w14:textFill>
            <w14:solidFill>
              <w14:schemeClr w14:val="tx1"/>
            </w14:solidFill>
          </w14:textFill>
        </w:rPr>
        <w:t xml:space="preserve">行业；</w:t>
      </w:r>
      <w:r>
        <w:rPr>
          <w:rFonts w:hint="eastAsia" w:ascii="宋体" w:hAnsi="宋体" w:eastAsia="宋体" w:cs="宋体"/>
          <w:color w:val="000000" w:themeColor="text1"/>
          <w:szCs w:val="20"/>
          <w14:textFill>
            <w14:solidFill>
              <w14:schemeClr w14:val="tx1"/>
            </w14:solidFill>
          </w14:textFill>
        </w:rPr>
        <w:t xml:space="preserve">制造商为 </w:t>
      </w:r>
      <w:r>
        <w:rPr>
          <w:rFonts w:hint="eastAsia" w:ascii="宋体" w:hAnsi="宋体" w:eastAsia="宋体" w:cs="宋体"/>
          <w:color w:val="000000" w:themeColor="text1"/>
          <w:szCs w:val="20"/>
          <w:u w:val="single"/>
          <w14:textFill>
            <w14:solidFill>
              <w14:schemeClr w14:val="tx1"/>
            </w14:solidFill>
          </w14:textFill>
        </w:rPr>
        <w:t xml:space="preserve">         （企业名称）</w:t>
      </w:r>
      <w:r>
        <w:rPr>
          <w:rFonts w:hint="eastAsia" w:ascii="宋体" w:hAnsi="宋体" w:eastAsia="宋体" w:cs="宋体"/>
          <w:color w:val="000000" w:themeColor="text1"/>
          <w:lang w:bidi="ar"/>
          <w14:textFill>
            <w14:solidFill>
              <w14:schemeClr w14:val="tx1"/>
            </w14:solidFill>
          </w14:textFill>
        </w:rPr>
        <w:t xml:space="preserve">，</w:t>
      </w:r>
      <w:r>
        <w:rPr>
          <w:rFonts w:hint="eastAsia" w:ascii="宋体" w:hAnsi="宋体" w:eastAsia="宋体" w:cs="宋体"/>
          <w:color w:val="000000" w:themeColor="text1"/>
          <w:szCs w:val="20"/>
          <w14:textFill>
            <w14:solidFill>
              <w14:schemeClr w14:val="tx1"/>
            </w14:solidFill>
          </w14:textFill>
        </w:rPr>
        <w:t xml:space="preserve">从业人员</w:t>
      </w: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color w:val="000000" w:themeColor="text1"/>
          <w:lang w:bidi="ar"/>
          <w14:textFill>
            <w14:solidFill>
              <w14:schemeClr w14:val="tx1"/>
            </w14:solidFill>
          </w14:textFill>
        </w:rPr>
        <w:t xml:space="preserve">人，</w:t>
      </w:r>
      <w:r>
        <w:rPr>
          <w:rFonts w:hint="eastAsia" w:ascii="宋体" w:hAnsi="宋体" w:eastAsia="宋体" w:cs="宋体"/>
          <w:color w:val="000000" w:themeColor="text1"/>
          <w:szCs w:val="20"/>
          <w14:textFill>
            <w14:solidFill>
              <w14:schemeClr w14:val="tx1"/>
            </w14:solidFill>
          </w14:textFill>
        </w:rPr>
        <w:t xml:space="preserve">营业收入为</w:t>
      </w: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color w:val="000000" w:themeColor="text1"/>
          <w:lang w:bidi="ar"/>
          <w14:textFill>
            <w14:solidFill>
              <w14:schemeClr w14:val="tx1"/>
            </w14:solidFill>
          </w14:textFill>
        </w:rPr>
        <w:t xml:space="preserve">万元，</w:t>
      </w:r>
      <w:r>
        <w:rPr>
          <w:rFonts w:hint="eastAsia" w:ascii="宋体" w:hAnsi="宋体" w:eastAsia="宋体" w:cs="宋体"/>
          <w:color w:val="000000" w:themeColor="text1"/>
          <w:szCs w:val="20"/>
          <w14:textFill>
            <w14:solidFill>
              <w14:schemeClr w14:val="tx1"/>
            </w14:solidFill>
          </w14:textFill>
        </w:rPr>
        <w:t xml:space="preserve">资产总额为</w:t>
      </w: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color w:val="000000" w:themeColor="text1"/>
          <w:lang w:bidi="ar"/>
          <w14:textFill>
            <w14:solidFill>
              <w14:schemeClr w14:val="tx1"/>
            </w14:solidFill>
          </w14:textFill>
        </w:rPr>
        <w:t xml:space="preserve">万</w:t>
      </w:r>
      <w:r>
        <w:rPr>
          <w:rFonts w:hint="eastAsia" w:ascii="宋体" w:hAnsi="宋体" w:eastAsia="宋体" w:cs="宋体"/>
          <w:color w:val="000000" w:themeColor="text1"/>
          <w:szCs w:val="20"/>
          <w14:textFill>
            <w14:solidFill>
              <w14:schemeClr w14:val="tx1"/>
            </w14:solidFill>
          </w14:textFill>
        </w:rPr>
        <w:t xml:space="preserve">元，属于</w:t>
      </w:r>
      <w:r>
        <w:rPr>
          <w:rFonts w:hint="eastAsia" w:ascii="宋体" w:hAnsi="宋体" w:eastAsia="宋体" w:cs="宋体"/>
          <w:color w:val="000000" w:themeColor="text1"/>
          <w:szCs w:val="20"/>
          <w:u w:val="single"/>
          <w14:textFill>
            <w14:solidFill>
              <w14:schemeClr w14:val="tx1"/>
            </w14:solidFill>
          </w14:textFill>
        </w:rPr>
        <w:t xml:space="preserve">     （中型企业、小型企业、微型企业）</w:t>
      </w:r>
      <w:r>
        <w:rPr>
          <w:rFonts w:hint="eastAsia" w:ascii="宋体" w:hAnsi="宋体" w:eastAsia="宋体" w:cs="宋体"/>
          <w:color w:val="000000" w:themeColor="text1"/>
          <w:lang w:bidi="ar"/>
          <w14:textFill>
            <w14:solidFill>
              <w14:schemeClr w14:val="tx1"/>
            </w14:solidFill>
          </w14:textFill>
        </w:rPr>
        <w:t xml:space="preserve">；</w:t>
      </w:r>
      <w:r/>
    </w:p>
    <w:p>
      <w:pPr>
        <w:ind w:firstLine="420"/>
        <w:jc w:val="left"/>
        <w:spacing w:before="100" w:beforeAutospacing="1" w:after="100" w:afterAutospacing="1" w:line="435"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2</w:t>
      </w:r>
      <w:r>
        <w:rPr>
          <w:rFonts w:hint="eastAsia" w:ascii="宋体" w:hAnsi="宋体" w:eastAsia="宋体" w:cs="宋体"/>
          <w:color w:val="000000" w:themeColor="text1"/>
          <w:szCs w:val="20"/>
          <w:u w:val="single"/>
          <w14:textFill>
            <w14:solidFill>
              <w14:schemeClr w14:val="tx1"/>
            </w14:solidFill>
          </w14:textFill>
        </w:rPr>
        <w:t xml:space="preserve">.     </w:t>
      </w:r>
      <w:r>
        <w:rPr>
          <w:rFonts w:hint="eastAsia" w:ascii="宋体" w:hAnsi="宋体" w:eastAsia="宋体" w:cs="宋体"/>
          <w:color w:val="000000" w:themeColor="text1"/>
          <w:u w:val="single"/>
          <w:lang w:bidi="ar"/>
          <w14:textFill>
            <w14:solidFill>
              <w14:schemeClr w14:val="tx1"/>
            </w14:solidFill>
          </w14:textFill>
        </w:rPr>
        <w:t xml:space="preserve">（</w:t>
      </w:r>
      <w:r>
        <w:rPr>
          <w:rFonts w:hint="eastAsia" w:ascii="宋体" w:hAnsi="宋体" w:eastAsia="宋体" w:cs="宋体"/>
          <w:color w:val="000000" w:themeColor="text1"/>
          <w:szCs w:val="20"/>
          <w:u w:val="single"/>
          <w14:textFill>
            <w14:solidFill>
              <w14:schemeClr w14:val="tx1"/>
            </w14:solidFill>
          </w14:textFill>
        </w:rPr>
        <w:t xml:space="preserve">标的名称）</w:t>
      </w:r>
      <w:r>
        <w:rPr>
          <w:rFonts w:hint="eastAsia" w:ascii="宋体" w:hAnsi="宋体" w:eastAsia="宋体" w:cs="宋体"/>
          <w:color w:val="000000" w:themeColor="text1"/>
          <w:lang w:bidi="ar"/>
          <w14:textFill>
            <w14:solidFill>
              <w14:schemeClr w14:val="tx1"/>
            </w14:solidFill>
          </w14:textFill>
        </w:rPr>
        <w:t xml:space="preserve">，属于</w:t>
      </w:r>
      <w:r>
        <w:rPr>
          <w:rFonts w:hint="eastAsia" w:ascii="宋体" w:hAnsi="宋体" w:eastAsia="宋体" w:cs="宋体"/>
          <w:color w:val="000000" w:themeColor="text1"/>
          <w:szCs w:val="20"/>
          <w:u w:val="single"/>
          <w14:textFill>
            <w14:solidFill>
              <w14:schemeClr w14:val="tx1"/>
            </w14:solidFill>
          </w14:textFill>
        </w:rPr>
        <w:t xml:space="preserve">     （采购文件中明确的所属行业）</w:t>
      </w:r>
      <w:r>
        <w:rPr>
          <w:rFonts w:hint="eastAsia" w:ascii="宋体" w:hAnsi="宋体" w:eastAsia="宋体" w:cs="宋体"/>
          <w:color w:val="000000" w:themeColor="text1"/>
          <w:lang w:bidi="ar"/>
          <w14:textFill>
            <w14:solidFill>
              <w14:schemeClr w14:val="tx1"/>
            </w14:solidFill>
          </w14:textFill>
        </w:rPr>
        <w:t xml:space="preserve">行业；</w:t>
      </w:r>
      <w:r>
        <w:rPr>
          <w:rFonts w:hint="eastAsia" w:ascii="宋体" w:hAnsi="宋体" w:eastAsia="宋体" w:cs="宋体"/>
          <w:color w:val="000000" w:themeColor="text1"/>
          <w:szCs w:val="20"/>
          <w14:textFill>
            <w14:solidFill>
              <w14:schemeClr w14:val="tx1"/>
            </w14:solidFill>
          </w14:textFill>
        </w:rPr>
        <w:t xml:space="preserve">制造商为 </w:t>
      </w:r>
      <w:r>
        <w:rPr>
          <w:rFonts w:hint="eastAsia" w:ascii="宋体" w:hAnsi="宋体" w:eastAsia="宋体" w:cs="宋体"/>
          <w:color w:val="000000" w:themeColor="text1"/>
          <w:szCs w:val="20"/>
          <w:u w:val="single"/>
          <w14:textFill>
            <w14:solidFill>
              <w14:schemeClr w14:val="tx1"/>
            </w14:solidFill>
          </w14:textFill>
        </w:rPr>
        <w:t xml:space="preserve">         （企业名称）</w:t>
      </w:r>
      <w:r>
        <w:rPr>
          <w:rFonts w:hint="eastAsia" w:ascii="宋体" w:hAnsi="宋体" w:eastAsia="宋体" w:cs="宋体"/>
          <w:color w:val="000000" w:themeColor="text1"/>
          <w:lang w:bidi="ar"/>
          <w14:textFill>
            <w14:solidFill>
              <w14:schemeClr w14:val="tx1"/>
            </w14:solidFill>
          </w14:textFill>
        </w:rPr>
        <w:t xml:space="preserve">，</w:t>
      </w:r>
      <w:r>
        <w:rPr>
          <w:rFonts w:hint="eastAsia" w:ascii="宋体" w:hAnsi="宋体" w:eastAsia="宋体" w:cs="宋体"/>
          <w:color w:val="000000" w:themeColor="text1"/>
          <w:szCs w:val="20"/>
          <w14:textFill>
            <w14:solidFill>
              <w14:schemeClr w14:val="tx1"/>
            </w14:solidFill>
          </w14:textFill>
        </w:rPr>
        <w:t xml:space="preserve">从业人员</w:t>
      </w: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color w:val="000000" w:themeColor="text1"/>
          <w:lang w:bidi="ar"/>
          <w14:textFill>
            <w14:solidFill>
              <w14:schemeClr w14:val="tx1"/>
            </w14:solidFill>
          </w14:textFill>
        </w:rPr>
        <w:t xml:space="preserve">人，</w:t>
      </w:r>
      <w:r>
        <w:rPr>
          <w:rFonts w:hint="eastAsia" w:ascii="宋体" w:hAnsi="宋体" w:eastAsia="宋体" w:cs="宋体"/>
          <w:color w:val="000000" w:themeColor="text1"/>
          <w:szCs w:val="20"/>
          <w14:textFill>
            <w14:solidFill>
              <w14:schemeClr w14:val="tx1"/>
            </w14:solidFill>
          </w14:textFill>
        </w:rPr>
        <w:t xml:space="preserve">营业收入为</w:t>
      </w: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color w:val="000000" w:themeColor="text1"/>
          <w:lang w:bidi="ar"/>
          <w14:textFill>
            <w14:solidFill>
              <w14:schemeClr w14:val="tx1"/>
            </w14:solidFill>
          </w14:textFill>
        </w:rPr>
        <w:t xml:space="preserve">万元，</w:t>
      </w:r>
      <w:r>
        <w:rPr>
          <w:rFonts w:hint="eastAsia" w:ascii="宋体" w:hAnsi="宋体" w:eastAsia="宋体" w:cs="宋体"/>
          <w:color w:val="000000" w:themeColor="text1"/>
          <w:szCs w:val="20"/>
          <w14:textFill>
            <w14:solidFill>
              <w14:schemeClr w14:val="tx1"/>
            </w14:solidFill>
          </w14:textFill>
        </w:rPr>
        <w:t xml:space="preserve">资产总额为</w:t>
      </w:r>
      <w:r>
        <w:rPr>
          <w:rFonts w:hint="eastAsia" w:ascii="宋体" w:hAnsi="宋体" w:eastAsia="宋体" w:cs="宋体"/>
          <w:color w:val="000000" w:themeColor="text1"/>
          <w:u w:val="single"/>
          <w:lang w:bidi="ar"/>
          <w14:textFill>
            <w14:solidFill>
              <w14:schemeClr w14:val="tx1"/>
            </w14:solidFill>
          </w14:textFill>
        </w:rPr>
        <w:t xml:space="preserve">   </w:t>
      </w:r>
      <w:r>
        <w:rPr>
          <w:rFonts w:hint="eastAsia" w:ascii="宋体" w:hAnsi="宋体" w:eastAsia="宋体" w:cs="宋体"/>
          <w:color w:val="000000" w:themeColor="text1"/>
          <w:lang w:bidi="ar"/>
          <w14:textFill>
            <w14:solidFill>
              <w14:schemeClr w14:val="tx1"/>
            </w14:solidFill>
          </w14:textFill>
        </w:rPr>
        <w:t xml:space="preserve">万</w:t>
      </w:r>
      <w:r>
        <w:rPr>
          <w:rFonts w:hint="eastAsia" w:ascii="宋体" w:hAnsi="宋体" w:eastAsia="宋体" w:cs="宋体"/>
          <w:color w:val="000000" w:themeColor="text1"/>
          <w:szCs w:val="20"/>
          <w14:textFill>
            <w14:solidFill>
              <w14:schemeClr w14:val="tx1"/>
            </w14:solidFill>
          </w14:textFill>
        </w:rPr>
        <w:t xml:space="preserve">元，属于</w:t>
      </w:r>
      <w:r>
        <w:rPr>
          <w:rFonts w:hint="eastAsia" w:ascii="宋体" w:hAnsi="宋体" w:eastAsia="宋体" w:cs="宋体"/>
          <w:color w:val="000000" w:themeColor="text1"/>
          <w:szCs w:val="20"/>
          <w:u w:val="single"/>
          <w14:textFill>
            <w14:solidFill>
              <w14:schemeClr w14:val="tx1"/>
            </w14:solidFill>
          </w14:textFill>
        </w:rPr>
        <w:t xml:space="preserve">     （中型企业、小型企业、微型企业）</w:t>
      </w:r>
      <w:r>
        <w:rPr>
          <w:rFonts w:hint="eastAsia" w:ascii="宋体" w:hAnsi="宋体" w:eastAsia="宋体" w:cs="宋体"/>
          <w:color w:val="000000" w:themeColor="text1"/>
          <w:lang w:bidi="ar"/>
          <w14:textFill>
            <w14:solidFill>
              <w14:schemeClr w14:val="tx1"/>
            </w14:solidFill>
          </w14:textFill>
        </w:rPr>
        <w:t xml:space="preserve">；</w:t>
      </w:r>
      <w:r/>
    </w:p>
    <w:p>
      <w:pPr>
        <w:ind w:firstLine="420"/>
        <w:jc w:val="left"/>
        <w:spacing w:before="100" w:beforeAutospacing="1" w:after="100" w:afterAutospacing="1" w:line="435"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w:t>
      </w:r>
      <w:r/>
    </w:p>
    <w:p>
      <w:pPr>
        <w:ind w:firstLine="420"/>
        <w:jc w:val="left"/>
        <w:spacing w:before="100" w:beforeAutospacing="1" w:after="100" w:afterAutospacing="1" w:line="435" w:lineRule="exact"/>
        <w:widowControl/>
        <w:rPr>
          <w:rFonts w:hint="eastAsia"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before="100" w:beforeAutospacing="1" w:after="100" w:afterAutospacing="1" w:line="435" w:lineRule="exact"/>
        <w:widowControl/>
        <w:rPr>
          <w:rFonts w:hint="eastAsia"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本企业对上述声明内容的真实性负责。如有虚假，将依法承担相应责任。</w:t>
      </w:r>
      <w:r/>
    </w:p>
    <w:p>
      <w:pPr>
        <w:ind w:firstLine="420"/>
        <w:jc w:val="center"/>
        <w:spacing w:before="100" w:beforeAutospacing="1" w:after="100" w:afterAutospacing="1" w:line="435" w:lineRule="exact"/>
        <w:widowControl/>
        <w:rPr>
          <w:rFonts w:hint="eastAsia" w:ascii="宋体" w:hAnsi="宋体" w:eastAsia="宋体" w:cs="宋体"/>
          <w:color w:val="000000" w:themeColor="text1"/>
          <w:szCs w:val="20"/>
          <w:lang w:val="en-US" w:eastAsia="zh-CN"/>
          <w14:textFill>
            <w14:solidFill>
              <w14:schemeClr w14:val="tx1"/>
            </w14:solidFill>
          </w14:textFill>
        </w:rPr>
      </w:pPr>
      <w:r>
        <w:rPr>
          <w:rFonts w:hint="eastAsia" w:ascii="宋体" w:hAnsi="宋体" w:eastAsia="宋体" w:cs="宋体"/>
          <w:color w:val="000000" w:themeColor="text1"/>
          <w:szCs w:val="20"/>
          <w:lang w:val="en-US" w:eastAsia="zh-CN"/>
          <w14:textFill>
            <w14:solidFill>
              <w14:schemeClr w14:val="tx1"/>
            </w14:solidFill>
          </w14:textFill>
        </w:rPr>
        <w:t xml:space="preserve">                          </w:t>
      </w:r>
      <w:r>
        <w:rPr>
          <w:rFonts w:hint="eastAsia" w:ascii="宋体" w:hAnsi="宋体" w:eastAsia="宋体" w:cs="宋体"/>
          <w:color w:val="000000" w:themeColor="text1"/>
          <w:szCs w:val="20"/>
          <w14:textFill>
            <w14:solidFill>
              <w14:schemeClr w14:val="tx1"/>
            </w14:solidFill>
          </w14:textFill>
        </w:rPr>
        <w:t xml:space="preserve">企业名称（</w:t>
      </w:r>
      <w:r>
        <w:rPr>
          <w:rFonts w:hint="eastAsia" w:ascii="宋体" w:hAnsi="宋体" w:eastAsia="宋体" w:cs="宋体"/>
          <w:color w:val="000000" w:themeColor="text1"/>
          <w:szCs w:val="20"/>
          <w:lang w:val="en-US" w:eastAsia="zh-CN"/>
          <w14:textFill>
            <w14:solidFill>
              <w14:schemeClr w14:val="tx1"/>
            </w14:solidFill>
          </w14:textFill>
        </w:rPr>
        <w:t xml:space="preserve">加盖公章</w:t>
      </w:r>
      <w:r>
        <w:rPr>
          <w:rFonts w:hint="eastAsia" w:ascii="宋体" w:hAnsi="宋体" w:eastAsia="宋体" w:cs="宋体"/>
          <w:color w:val="000000" w:themeColor="text1"/>
          <w:szCs w:val="20"/>
          <w14:textFill>
            <w14:solidFill>
              <w14:schemeClr w14:val="tx1"/>
            </w14:solidFill>
          </w14:textFill>
        </w:rPr>
        <w:t xml:space="preserve">）：</w:t>
      </w:r>
      <w:r>
        <w:rPr>
          <w:rFonts w:hint="eastAsia" w:ascii="宋体" w:hAnsi="宋体" w:eastAsia="宋体" w:cs="宋体"/>
          <w:color w:val="000000" w:themeColor="text1"/>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zCs w:val="20"/>
          <w:lang w:val="en-US" w:eastAsia="zh-CN"/>
          <w14:textFill>
            <w14:solidFill>
              <w14:schemeClr w14:val="tx1"/>
            </w14:solidFill>
          </w14:textFill>
        </w:rPr>
        <w:t xml:space="preserve">          </w:t>
      </w:r>
      <w:r/>
    </w:p>
    <w:p>
      <w:pPr>
        <w:ind w:firstLine="420"/>
        <w:jc w:val="center"/>
        <w:spacing w:before="100" w:beforeAutospacing="1" w:after="100" w:afterAutospacing="1" w:line="435" w:lineRule="exact"/>
        <w:widowControl/>
        <w:rPr>
          <w:rFonts w:hint="eastAsia"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0"/>
          <w:lang w:val="en-US" w:eastAsia="zh-CN"/>
          <w14:textFill>
            <w14:solidFill>
              <w14:schemeClr w14:val="tx1"/>
            </w14:solidFill>
          </w14:textFill>
        </w:rPr>
        <w:t xml:space="preserve">           </w:t>
      </w:r>
      <w:r>
        <w:rPr>
          <w:rFonts w:hint="eastAsia" w:ascii="宋体" w:hAnsi="宋体" w:eastAsia="宋体" w:cs="宋体"/>
          <w:color w:val="000000" w:themeColor="text1"/>
          <w:szCs w:val="20"/>
          <w14:textFill>
            <w14:solidFill>
              <w14:schemeClr w14:val="tx1"/>
            </w14:solidFill>
          </w14:textFill>
        </w:rPr>
        <w:t xml:space="preserve">日 期：</w:t>
      </w:r>
      <w:r/>
    </w:p>
    <w:p>
      <w:pPr>
        <w:ind w:firstLine="422"/>
        <w:jc w:val="left"/>
        <w:spacing w:line="42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vertAlign w:val="superscript"/>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从业人员、营业收入、资产总额填报上一年度数据，无上一年度数据的新成立企业可不填报。</w:t>
      </w:r>
      <w:r/>
    </w:p>
    <w:p>
      <w:pPr>
        <w:ind w:firstLine="422"/>
        <w:jc w:val="lef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备注：</w:t>
      </w:r>
      <w:r/>
    </w:p>
    <w:p>
      <w:pPr>
        <w:numPr>
          <w:ilvl w:val="0"/>
          <w:numId w:val="10"/>
        </w:numPr>
        <w:ind w:firstLine="422"/>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如供应商所投货物的制造商均为中小企业的，须由供应商在响应文件中提供加盖本单位公章的</w:t>
      </w:r>
      <w:r>
        <w:rPr>
          <w:rFonts w:hint="eastAsia" w:ascii="宋体" w:hAnsi="宋体" w:eastAsia="宋体" w:cs="宋体"/>
          <w:b/>
          <w:color w:val="000000" w:themeColor="text1"/>
          <w:sz w:val="21"/>
          <w:szCs w:val="21"/>
          <w14:textFill>
            <w14:solidFill>
              <w14:schemeClr w14:val="tx1"/>
            </w14:solidFill>
          </w14:textFill>
        </w:rPr>
        <w:t xml:space="preserve">声明</w:t>
      </w:r>
      <w:r>
        <w:rPr>
          <w:rFonts w:hint="eastAsia" w:ascii="宋体" w:hAnsi="宋体" w:eastAsia="宋体" w:cs="宋体"/>
          <w:b/>
          <w:bCs/>
          <w:color w:val="000000" w:themeColor="text1"/>
          <w:sz w:val="21"/>
          <w:szCs w:val="21"/>
          <w14:textFill>
            <w14:solidFill>
              <w14:schemeClr w14:val="tx1"/>
            </w14:solidFill>
          </w14:textFill>
        </w:rPr>
        <w:t xml:space="preserve">函，供应商应从制造商处获得充分、准确的信息，并对其出具的《中小企业声明函》真实性负责。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3"/>
        <w:jc w:val="center"/>
        <w:spacing w:before="151" w:after="151" w:line="600" w:lineRule="exact"/>
        <w:rPr>
          <w:rFonts w:hint="eastAsia" w:ascii="宋体"/>
          <w:b/>
          <w:bCs/>
          <w:color w:val="000000" w:themeColor="text1"/>
          <w:sz w:val="32"/>
          <w:szCs w:val="32"/>
          <w:highlight w:val="none"/>
          <w14:textFill>
            <w14:solidFill>
              <w14:schemeClr w14:val="tx1"/>
            </w14:solidFill>
          </w14:textFill>
        </w:rPr>
      </w:pPr>
      <w:r>
        <w:rPr>
          <w:rFonts w:hint="eastAsia" w:ascii="宋体"/>
          <w:b/>
          <w:bCs/>
          <w:color w:val="000000" w:themeColor="text1"/>
          <w:sz w:val="32"/>
          <w:szCs w:val="32"/>
          <w:highlight w:val="none"/>
          <w14:textFill>
            <w14:solidFill>
              <w14:schemeClr w14:val="tx1"/>
            </w14:solidFill>
          </w14:textFill>
        </w:rPr>
      </w:r>
      <w:r/>
    </w:p>
    <w:p>
      <w:pPr>
        <w:pStyle w:val="1133"/>
        <w:jc w:val="center"/>
        <w:spacing w:before="151" w:after="151" w:line="600" w:lineRule="exact"/>
        <w:rPr>
          <w:rFonts w:hint="eastAsia" w:ascii="宋体"/>
          <w:b/>
          <w:bCs/>
          <w:color w:val="000000" w:themeColor="text1"/>
          <w:sz w:val="32"/>
          <w:szCs w:val="32"/>
          <w:highlight w:val="none"/>
          <w14:textFill>
            <w14:solidFill>
              <w14:schemeClr w14:val="tx1"/>
            </w14:solidFill>
          </w14:textFill>
        </w:rPr>
      </w:pPr>
      <w:r>
        <w:rPr>
          <w:rFonts w:hint="eastAsia" w:ascii="宋体"/>
          <w:b/>
          <w:bCs/>
          <w:color w:val="000000" w:themeColor="text1"/>
          <w:sz w:val="32"/>
          <w:szCs w:val="32"/>
          <w:highlight w:val="none"/>
          <w14:textFill>
            <w14:solidFill>
              <w14:schemeClr w14:val="tx1"/>
            </w14:solidFill>
          </w14:textFill>
        </w:rPr>
      </w:r>
      <w:r/>
    </w:p>
    <w:p>
      <w:pPr>
        <w:pStyle w:val="1133"/>
        <w:jc w:val="center"/>
        <w:spacing w:before="151" w:after="151" w:line="600" w:lineRule="exact"/>
        <w:rPr>
          <w:rFonts w:hint="eastAsia" w:ascii="宋体"/>
          <w:b/>
          <w:bCs/>
          <w:color w:val="000000" w:themeColor="text1"/>
          <w:sz w:val="32"/>
          <w:szCs w:val="32"/>
          <w:highlight w:val="none"/>
          <w14:textFill>
            <w14:solidFill>
              <w14:schemeClr w14:val="tx1"/>
            </w14:solidFill>
          </w14:textFill>
        </w:rPr>
      </w:pPr>
      <w:r>
        <w:rPr>
          <w:rFonts w:hint="eastAsia" w:ascii="宋体"/>
          <w:b/>
          <w:bCs/>
          <w:color w:val="000000" w:themeColor="text1"/>
          <w:sz w:val="32"/>
          <w:szCs w:val="32"/>
          <w:highlight w:val="none"/>
          <w14:textFill>
            <w14:solidFill>
              <w14:schemeClr w14:val="tx1"/>
            </w14:solidFill>
          </w14:textFill>
        </w:rPr>
        <w:t xml:space="preserve">残疾人福利性单位声明函</w:t>
      </w:r>
      <w:r/>
    </w:p>
    <w:p>
      <w:pPr>
        <w:pStyle w:val="1105"/>
        <w:spacing w:line="588" w:lineRule="exact"/>
        <w:rPr>
          <w:rFonts w:hint="eastAsia" w:ascii="仿宋_GB2312" w:eastAsia="仿宋_GB2312"/>
          <w:b/>
          <w:color w:val="000000" w:themeColor="text1"/>
          <w:spacing w:val="6"/>
          <w:sz w:val="30"/>
          <w:szCs w:val="30"/>
          <w:highlight w:val="none"/>
          <w14:textFill>
            <w14:solidFill>
              <w14:schemeClr w14:val="tx1"/>
            </w14:solidFill>
          </w14:textFill>
        </w:rPr>
      </w:pPr>
      <w:r>
        <w:rPr>
          <w:rFonts w:hint="eastAsia" w:ascii="仿宋_GB2312" w:eastAsia="仿宋_GB2312"/>
          <w:b/>
          <w:color w:val="000000" w:themeColor="text1"/>
          <w:spacing w:val="6"/>
          <w:sz w:val="30"/>
          <w:szCs w:val="30"/>
          <w:highlight w:val="none"/>
          <w14:textFill>
            <w14:solidFill>
              <w14:schemeClr w14:val="tx1"/>
            </w14:solidFill>
          </w14:textFill>
        </w:rPr>
      </w:r>
      <w:r/>
    </w:p>
    <w:p>
      <w:pPr>
        <w:pStyle w:val="1133"/>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33"/>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1105"/>
        <w:ind w:firstLine="50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1105"/>
        <w:ind w:firstLine="50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903"/>
        <w:ind w:firstLine="480"/>
        <w:jc w:val="both"/>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单位名称：（</w:t>
      </w:r>
      <w:r>
        <w:rPr>
          <w:rFonts w:hint="eastAsia" w:ascii="宋体" w:hAnsi="宋体" w:eastAsia="宋体" w:cs="宋体"/>
          <w:color w:val="000000" w:themeColor="text1"/>
          <w:highlight w:val="none"/>
          <w:lang w:val="en-US" w:eastAsia="zh-CN"/>
          <w14:textFill>
            <w14:solidFill>
              <w14:schemeClr w14:val="tx1"/>
            </w14:solidFill>
          </w14:textFill>
        </w:rPr>
        <w:t xml:space="preserve">加盖</w:t>
      </w:r>
      <w:r>
        <w:rPr>
          <w:rFonts w:hint="eastAsia" w:ascii="宋体" w:hAnsi="宋体" w:eastAsia="宋体" w:cs="宋体"/>
          <w:color w:val="000000" w:themeColor="text1"/>
          <w:highlight w:val="none"/>
          <w14:textFill>
            <w14:solidFill>
              <w14:schemeClr w14:val="tx1"/>
            </w14:solidFill>
          </w14:textFill>
        </w:rPr>
        <w:t xml:space="preserve">公章）</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p>
    <w:p>
      <w:pPr>
        <w:pStyle w:val="1081"/>
        <w:ind w:firstLine="480"/>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115"/>
        <w:ind w:firstLine="72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pStyle w:val="1115"/>
        <w:ind w:firstLine="43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2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3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注：1、残疾人福利性单位应完整填写此函并提供相关证明材料；</w:t>
      </w:r>
      <w:r/>
    </w:p>
    <w:p>
      <w:pPr>
        <w:pStyle w:val="1133"/>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2、非残疾人福利性单位不需提供此声明函</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outlineLvl w:val="0"/>
      </w:pPr>
      <w:r/>
      <w:bookmarkStart w:id="127" w:name="_Toc11215"/>
      <w:r>
        <w:rPr>
          <w:rFonts w:hint="eastAsia" w:ascii="宋体" w:hAnsi="宋体"/>
          <w:b/>
          <w:bCs/>
          <w:color w:val="000000" w:themeColor="text1"/>
          <w:sz w:val="28"/>
          <w:szCs w:val="28"/>
          <w:highlight w:val="none"/>
          <w14:textFill>
            <w14:solidFill>
              <w14:schemeClr w14:val="tx1"/>
            </w14:solidFill>
          </w14:textFill>
        </w:rPr>
        <w:t xml:space="preserve">属于监狱企业的证明文件</w:t>
      </w:r>
      <w:bookmarkEnd w:id="127"/>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pStyle w:val="924"/>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128" w:name="_Toc514054497"/>
      <w:r/>
      <w:bookmarkStart w:id="129" w:name="_Toc1623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rPr>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97"/>
        <w:rPr>
          <w:color w:val="000000" w:themeColor="text1"/>
          <w:highlight w:val="none"/>
          <w14:textFill>
            <w14:solidFill>
              <w14:schemeClr w14:val="tx1"/>
            </w14:solidFill>
          </w14:textFill>
        </w:rPr>
        <w:outlineLvl w:val="1"/>
      </w:pPr>
      <w:r/>
      <w:bookmarkStart w:id="130" w:name="_Toc32250"/>
      <w:r>
        <w:rPr>
          <w:color w:val="000000" w:themeColor="text1"/>
          <w:highlight w:val="none"/>
          <w14:textFill>
            <w14:solidFill>
              <w14:schemeClr w14:val="tx1"/>
            </w14:solidFill>
          </w14:textFill>
        </w:rPr>
        <w:t xml:space="preserve">十二、响应偏差表</w:t>
      </w:r>
      <w:bookmarkEnd w:id="128"/>
      <w:r/>
      <w:bookmarkEnd w:id="129"/>
      <w:r/>
      <w:bookmarkEnd w:id="130"/>
      <w:r/>
      <w:r/>
    </w:p>
    <w:p>
      <w:pPr>
        <w:pStyle w:val="956"/>
        <w:jc w:val="center"/>
        <w:rPr>
          <w:rFonts w:hint="eastAsia"/>
          <w:color w:val="000000" w:themeColor="text1"/>
          <w:sz w:val="32"/>
          <w:szCs w:val="32"/>
          <w:highlight w:val="none"/>
          <w14:textFill>
            <w14:solidFill>
              <w14:schemeClr w14:val="tx1"/>
            </w14:solidFill>
          </w14:textFill>
        </w:rPr>
      </w:pPr>
      <w:r/>
      <w:bookmarkStart w:id="131" w:name="_Toc29509_WPSOffice_Level2"/>
      <w:r>
        <w:rPr>
          <w:rFonts w:hint="eastAsia"/>
          <w:color w:val="000000" w:themeColor="text1"/>
          <w:sz w:val="32"/>
          <w:szCs w:val="32"/>
          <w:highlight w:val="none"/>
          <w14:textFill>
            <w14:solidFill>
              <w14:schemeClr w14:val="tx1"/>
            </w14:solidFill>
          </w14:textFill>
        </w:rPr>
        <w:t xml:space="preserve">（一）投标技术响应偏差表</w:t>
      </w:r>
      <w:bookmarkEnd w:id="131"/>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招标文件内容</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投标文件内容</w:t>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偏差内容及说明</w:t>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84"/>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65"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bl>
    <w:p>
      <w:pPr>
        <w:pStyle w:val="956"/>
        <w:jc w:val="center"/>
        <w:rPr>
          <w:rFonts w:hint="eastAsia"/>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r>
      <w:r/>
    </w:p>
    <w:p>
      <w:pPr>
        <w:pStyle w:val="1081"/>
        <w:ind w:firstLine="629"/>
        <w:spacing w:line="7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081"/>
        <w:ind w:firstLine="629"/>
        <w:spacing w:line="7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55"/>
        <w:ind w:firstLine="482"/>
        <w:rPr>
          <w:rFonts w:hint="eastAsia" w:hAnsi="宋体"/>
          <w:b/>
          <w:bCs/>
          <w:color w:val="000000" w:themeColor="text1"/>
          <w:sz w:val="24"/>
          <w:szCs w:val="28"/>
          <w:highlight w:val="none"/>
          <w14:textFill>
            <w14:solidFill>
              <w14:schemeClr w14:val="tx1"/>
            </w14:solidFill>
          </w14:textFill>
        </w:rPr>
      </w:pPr>
      <w:r>
        <w:rPr>
          <w:rFonts w:hint="eastAsia" w:hAnsi="宋体"/>
          <w:b/>
          <w:bCs/>
          <w:color w:val="000000" w:themeColor="text1"/>
          <w:sz w:val="24"/>
          <w:szCs w:val="28"/>
          <w:highlight w:val="none"/>
          <w14:textFill>
            <w14:solidFill>
              <w14:schemeClr w14:val="tx1"/>
            </w14:solidFill>
          </w14:textFill>
        </w:rPr>
      </w:r>
      <w:r/>
    </w:p>
    <w:p>
      <w:pPr>
        <w:pStyle w:val="955"/>
        <w:rPr>
          <w:rFonts w:hint="eastAsia" w:hAnsi="宋体"/>
          <w:b/>
          <w:bCs/>
          <w:color w:val="000000" w:themeColor="text1"/>
          <w:sz w:val="24"/>
          <w:szCs w:val="28"/>
          <w:highlight w:val="none"/>
          <w14:textFill>
            <w14:solidFill>
              <w14:schemeClr w14:val="tx1"/>
            </w14:solidFill>
          </w14:textFill>
        </w:rPr>
      </w:pPr>
      <w:r>
        <w:rPr>
          <w:rFonts w:hint="eastAsia" w:hAnsi="宋体"/>
          <w:b/>
          <w:bCs/>
          <w:color w:val="000000" w:themeColor="text1"/>
          <w:sz w:val="24"/>
          <w:szCs w:val="28"/>
          <w:highlight w:val="none"/>
          <w14:textFill>
            <w14:solidFill>
              <w14:schemeClr w14:val="tx1"/>
            </w14:solidFill>
          </w14:textFill>
        </w:rPr>
        <w:t xml:space="preserve">1、凡投标文件中所投货物或服务与招标文件有偏差的（包括正偏差，负偏差），均应在此表中详细列出并说明理由。第四部分技术要求须逐条应答。</w:t>
      </w:r>
      <w:r/>
    </w:p>
    <w:p>
      <w:pPr>
        <w:pStyle w:val="956"/>
        <w:spacing w:line="360" w:lineRule="auto"/>
        <w:rPr>
          <w:rFonts w:hint="eastAsia" w:ascii="宋体" w:hAnsi="宋体"/>
          <w:b/>
          <w:bCs/>
          <w:color w:val="000000" w:themeColor="text1"/>
          <w:sz w:val="24"/>
          <w:szCs w:val="28"/>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2、</w:t>
      </w:r>
      <w:r>
        <w:rPr>
          <w:rFonts w:hint="eastAsia" w:ascii="宋体" w:hAnsi="宋体"/>
          <w:b/>
          <w:bCs/>
          <w:color w:val="000000" w:themeColor="text1"/>
          <w:sz w:val="24"/>
          <w:szCs w:val="28"/>
          <w:highlight w:val="none"/>
          <w:lang w:eastAsia="zh-CN"/>
          <w14:textFill>
            <w14:solidFill>
              <w14:schemeClr w14:val="tx1"/>
            </w14:solidFill>
          </w14:textFill>
        </w:rPr>
        <w:t xml:space="preserve">供应商</w:t>
      </w:r>
      <w:r>
        <w:rPr>
          <w:rFonts w:hint="eastAsia" w:ascii="宋体" w:hAnsi="宋体"/>
          <w:b/>
          <w:bCs/>
          <w:color w:val="000000" w:themeColor="text1"/>
          <w:sz w:val="24"/>
          <w:szCs w:val="28"/>
          <w:highlight w:val="none"/>
          <w14:textFill>
            <w14:solidFill>
              <w14:schemeClr w14:val="tx1"/>
            </w14:solidFill>
          </w14:textFill>
        </w:rPr>
        <w:t xml:space="preserve">所投产品如与招标文件要求的规格及配置不一致，则须在上表偏离说明中详细注明。</w:t>
      </w:r>
      <w:r/>
    </w:p>
    <w:p>
      <w:pPr>
        <w:pStyle w:val="1093"/>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1093"/>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1093"/>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1093"/>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1093"/>
        <w:jc w:val="center"/>
        <w:rPr>
          <w:rFonts w:hint="eastAsia"/>
          <w:color w:val="000000" w:themeColor="text1"/>
          <w:highlight w:val="none"/>
          <w:lang w:eastAsia="zh-CN"/>
          <w14:textFill>
            <w14:solidFill>
              <w14:schemeClr w14:val="tx1"/>
            </w14:solidFill>
          </w14:textFill>
        </w:rPr>
        <w:outlineLvl w:val="1"/>
      </w:pPr>
      <w:r/>
      <w:bookmarkStart w:id="132" w:name="_Toc514054498"/>
      <w:r/>
      <w:bookmarkStart w:id="133" w:name="_Toc29203"/>
      <w:r/>
      <w:bookmarkStart w:id="134" w:name="_Toc9396"/>
      <w:r/>
      <w:bookmarkStart w:id="135" w:name="_Toc3171_WPSOffice_Level2"/>
      <w:r>
        <w:rPr>
          <w:rFonts w:hint="eastAsia"/>
          <w:color w:val="000000" w:themeColor="text1"/>
          <w:highlight w:val="none"/>
          <w:lang w:eastAsia="zh-CN"/>
          <w14:textFill>
            <w14:solidFill>
              <w14:schemeClr w14:val="tx1"/>
            </w14:solidFill>
          </w14:textFill>
        </w:rPr>
        <w:t xml:space="preserve">（二）投标商务偏离表</w:t>
      </w:r>
      <w:bookmarkEnd w:id="132"/>
      <w:r/>
      <w:bookmarkEnd w:id="133"/>
      <w:r/>
      <w:bookmarkEnd w:id="134"/>
      <w:r/>
      <w:bookmarkEnd w:id="135"/>
      <w:r/>
      <w:r/>
    </w:p>
    <w:tbl>
      <w:tblPr>
        <w:tblStyle w:val="855"/>
        <w:tblW w:w="10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偏差内容及说明</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before="100"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页码</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956"/>
              <w:jc w:val="center"/>
              <w:spacing w:line="560" w:lineRule="exac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r>
            <w:r/>
          </w:p>
        </w:tc>
      </w:tr>
    </w:tbl>
    <w:p>
      <w:pPr>
        <w:pStyle w:val="903"/>
        <w:ind w:firstLine="720"/>
        <w:jc w:val="both"/>
        <w:rPr>
          <w:rFonts w:hint="eastAsia" w:ascii="宋体" w:hAnsi="宋体" w:eastAsia="宋体" w:cs="宋体"/>
          <w:color w:val="000000" w:themeColor="text1"/>
          <w:highlight w:val="none"/>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名称：（</w:t>
      </w:r>
      <w:r>
        <w:rPr>
          <w:rFonts w:hint="eastAsia" w:ascii="宋体" w:hAnsi="宋体" w:eastAsia="宋体" w:cs="宋体"/>
          <w:color w:val="000000" w:themeColor="text1"/>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81"/>
        <w:ind w:firstLine="629"/>
        <w:spacing w:line="7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081"/>
        <w:ind w:firstLine="629"/>
        <w:spacing w:line="7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pStyle w:val="956"/>
        <w:spacing w:line="360" w:lineRule="auto"/>
        <w:rPr>
          <w:rFonts w:hint="eastAsia" w:ascii="宋体" w:hAnsi="宋体" w:eastAsia="宋体" w:cs="宋体"/>
          <w:b/>
          <w:bCs/>
          <w:color w:val="000000" w:themeColor="text1"/>
          <w:sz w:val="24"/>
          <w:szCs w:val="28"/>
          <w:highlight w:val="none"/>
          <w14:textFill>
            <w14:solidFill>
              <w14:schemeClr w14:val="tx1"/>
            </w14:solidFill>
          </w14:textFill>
        </w:rPr>
      </w:pPr>
      <w:r>
        <w:rPr>
          <w:rFonts w:hint="eastAsia" w:ascii="宋体" w:hAnsi="宋体" w:eastAsia="宋体" w:cs="宋体"/>
          <w:b/>
          <w:bCs/>
          <w:color w:val="000000" w:themeColor="text1"/>
          <w:sz w:val="24"/>
          <w:szCs w:val="28"/>
          <w:highlight w:val="none"/>
          <w14:textFill>
            <w14:solidFill>
              <w14:schemeClr w14:val="tx1"/>
            </w14:solidFill>
          </w14:textFill>
        </w:rPr>
        <w:t xml:space="preserve">1、</w:t>
      </w:r>
      <w:r>
        <w:rPr>
          <w:rFonts w:hint="eastAsia" w:ascii="宋体" w:hAnsi="宋体" w:cs="宋体"/>
          <w:b/>
          <w:bCs/>
          <w:color w:val="000000" w:themeColor="text1"/>
          <w:sz w:val="24"/>
          <w:szCs w:val="28"/>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8"/>
          <w:highlight w:val="none"/>
          <w14:textFill>
            <w14:solidFill>
              <w14:schemeClr w14:val="tx1"/>
            </w14:solidFill>
          </w14:textFill>
        </w:rPr>
        <w:t xml:space="preserve">商务条件如与招标文件要求的不一致，则须在上表偏离说明中详细注明。</w:t>
      </w:r>
      <w:r/>
    </w:p>
    <w:p>
      <w:pPr>
        <w:pStyle w:val="1118"/>
        <w:rPr>
          <w:color w:val="000000" w:themeColor="text1"/>
          <w:highlight w:val="none"/>
          <w14:textFill>
            <w14:solidFill>
              <w14:schemeClr w14:val="tx1"/>
            </w14:solidFill>
          </w14:textFill>
        </w:rPr>
        <w:outlineLvl w:val="1"/>
      </w:pPr>
      <w:r/>
      <w:bookmarkStart w:id="136" w:name="_Toc514054500"/>
      <w:r>
        <w:rPr>
          <w:color w:val="000000" w:themeColor="text1"/>
          <w:highlight w:val="none"/>
          <w14:textFill>
            <w14:solidFill>
              <w14:schemeClr w14:val="tx1"/>
            </w14:solidFill>
          </w14:textFill>
        </w:rPr>
        <w:br w:type="page" w:clear="all"/>
      </w:r>
      <w:bookmarkEnd w:id="136"/>
      <w:r/>
      <w:bookmarkStart w:id="137" w:name="_Toc15209"/>
      <w:r/>
      <w:bookmarkStart w:id="138" w:name="_Toc514054502"/>
      <w:r/>
      <w:bookmarkStart w:id="139" w:name="_Toc25001_WPSOffice_Level2"/>
      <w:r/>
      <w:bookmarkStart w:id="140" w:name="_Toc15828"/>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三</w:t>
      </w:r>
      <w:r>
        <w:rPr>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服务</w:t>
      </w:r>
      <w:r>
        <w:rPr>
          <w:color w:val="000000" w:themeColor="text1"/>
          <w:highlight w:val="none"/>
          <w14:textFill>
            <w14:solidFill>
              <w14:schemeClr w14:val="tx1"/>
            </w14:solidFill>
          </w14:textFill>
        </w:rPr>
        <w:t xml:space="preserve">方案</w:t>
      </w:r>
      <w:bookmarkEnd w:id="137"/>
      <w:r/>
      <w:bookmarkEnd w:id="138"/>
      <w:r/>
      <w:bookmarkEnd w:id="139"/>
      <w:r/>
      <w:bookmarkEnd w:id="140"/>
      <w:r/>
      <w:r/>
    </w:p>
    <w:p>
      <w:pPr>
        <w:pStyle w:val="1165"/>
        <w:jc w:val="center"/>
        <w:spacing w:line="560" w:lineRule="exact"/>
        <w:rPr>
          <w:rFonts w:hint="eastAsia" w:ascii="宋体"/>
          <w:b/>
          <w:bCs/>
          <w:color w:val="000000" w:themeColor="text1"/>
          <w:sz w:val="32"/>
          <w:szCs w:val="32"/>
          <w:highlight w:val="none"/>
          <w14:textFill>
            <w14:solidFill>
              <w14:schemeClr w14:val="tx1"/>
            </w14:solidFill>
          </w14:textFill>
        </w:rPr>
      </w:pPr>
      <w:r/>
      <w:bookmarkStart w:id="141" w:name="_Toc2882_WPSOffice_Level2"/>
      <w:r>
        <w:rPr>
          <w:rFonts w:hint="eastAsia" w:ascii="宋体"/>
          <w:b/>
          <w:bCs/>
          <w:color w:val="000000" w:themeColor="text1"/>
          <w:sz w:val="32"/>
          <w:szCs w:val="32"/>
          <w:highlight w:val="none"/>
          <w14:textFill>
            <w14:solidFill>
              <w14:schemeClr w14:val="tx1"/>
            </w14:solidFill>
          </w14:textFill>
        </w:rPr>
        <w:t xml:space="preserve">按照招标文件要求，格式自拟</w:t>
      </w:r>
      <w:bookmarkEnd w:id="141"/>
      <w:r/>
      <w:r/>
    </w:p>
    <w:p>
      <w:pPr>
        <w:pStyle w:val="1015"/>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142" w:name="_Toc32310"/>
      <w:r/>
      <w:bookmarkStart w:id="143" w:name="_Toc5519"/>
      <w:r/>
      <w:bookmarkStart w:id="144" w:name="_Toc514054504"/>
      <w:r/>
      <w:bookmarkStart w:id="145" w:name="_Toc30208_WPSOffice_Level2"/>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四</w:t>
      </w:r>
      <w:r>
        <w:rPr>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项目业绩一览表</w:t>
      </w:r>
      <w:bookmarkEnd w:id="142"/>
      <w:r/>
      <w:bookmarkEnd w:id="143"/>
      <w:r/>
      <w:bookmarkEnd w:id="144"/>
      <w:r/>
      <w:bookmarkEnd w:id="145"/>
      <w:r/>
      <w:r/>
    </w:p>
    <w:p>
      <w:pPr>
        <w:pStyle w:val="1198"/>
        <w:jc w:val="center"/>
        <w:rPr>
          <w:b/>
          <w:color w:val="000000" w:themeColor="text1"/>
          <w:sz w:val="32"/>
          <w:szCs w:val="32"/>
          <w:highlight w:val="none"/>
          <w14:textFill>
            <w14:solidFill>
              <w14:schemeClr w14:val="tx1"/>
            </w14:solidFill>
          </w14:textFill>
        </w:rPr>
      </w:pPr>
      <w:r/>
      <w:bookmarkStart w:id="146" w:name="_Toc10294_WPSOffice_Level2"/>
      <w:r>
        <w:rPr>
          <w:rFonts w:hint="eastAsia"/>
          <w:b/>
          <w:color w:val="000000" w:themeColor="text1"/>
          <w:sz w:val="32"/>
          <w:szCs w:val="32"/>
          <w:highlight w:val="none"/>
          <w:lang w:eastAsia="zh-CN"/>
          <w14:textFill>
            <w14:solidFill>
              <w14:schemeClr w14:val="tx1"/>
            </w14:solidFill>
          </w14:textFill>
        </w:rPr>
        <w:t xml:space="preserve">供应商</w:t>
      </w:r>
      <w:r>
        <w:rPr>
          <w:rFonts w:hint="eastAsia"/>
          <w:b/>
          <w:color w:val="000000" w:themeColor="text1"/>
          <w:sz w:val="32"/>
          <w:szCs w:val="32"/>
          <w:highlight w:val="none"/>
          <w14:textFill>
            <w14:solidFill>
              <w14:schemeClr w14:val="tx1"/>
            </w14:solidFill>
          </w14:textFill>
        </w:rPr>
        <w:t xml:space="preserve">项目业绩一览表</w:t>
      </w:r>
      <w:bookmarkEnd w:id="146"/>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4"/>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254"/>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254"/>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254"/>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r>
      <w:tr>
        <w:trPr>
          <w:jc w:val="center"/>
          <w:trHeight w:val="1525"/>
        </w:trPr>
        <w:tc>
          <w:tcPr>
            <w:tcW w:w="1229" w:type="dxa"/>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254"/>
              <w:jc w:val="center"/>
              <w:spacing w:line="560" w:lineRule="exact"/>
              <w:rPr>
                <w:rFonts w:ascii="仿宋_GB2312" w:eastAsia="仿宋_GB2312"/>
                <w:color w:val="000000" w:themeColor="text1"/>
                <w:sz w:val="28"/>
                <w:highlight w:val="none"/>
                <w14:textFill>
                  <w14:solidFill>
                    <w14:schemeClr w14:val="tx1"/>
                  </w14:solidFill>
                </w14:textFill>
              </w:rPr>
            </w:pPr>
            <w:r>
              <w:rPr>
                <w:rFonts w:ascii="仿宋_GB2312" w:eastAsia="仿宋_GB2312"/>
                <w:color w:val="000000" w:themeColor="text1"/>
                <w:sz w:val="28"/>
                <w:highlight w:val="none"/>
                <w14:textFill>
                  <w14:solidFill>
                    <w14:schemeClr w14:val="tx1"/>
                  </w14:solidFill>
                </w14:textFill>
              </w:rPr>
            </w:r>
            <w:r/>
          </w:p>
        </w:tc>
      </w:tr>
    </w:tbl>
    <w:p>
      <w:pPr>
        <w:pStyle w:val="846"/>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47" w:name="_Toc30836_WPSOffice_Level2"/>
      <w:r/>
      <w:bookmarkStart w:id="148" w:name="_Toc514054505"/>
      <w:r/>
      <w:bookmarkStart w:id="149" w:name="_Toc15753"/>
      <w:r/>
      <w:bookmarkStart w:id="150" w:name="_Toc502821163"/>
      <w:r/>
      <w:r/>
    </w:p>
    <w:p>
      <w:pPr>
        <w:pStyle w:val="846"/>
        <w:ind w:firstLine="482"/>
        <w:rPr>
          <w:rFonts w:hint="default" w:ascii="宋体" w:hAnsi="宋体" w:eastAsia="宋体" w:cs="宋体"/>
          <w:color w:val="000000" w:themeColor="text1"/>
          <w:sz w:val="24"/>
          <w:szCs w:val="24"/>
          <w:lang w:val="en-US" w:eastAsia="zh-CN"/>
          <w14:textFill>
            <w14:solidFill>
              <w14:schemeClr w14:val="tx1"/>
            </w14:solidFill>
          </w14:textFill>
        </w:rPr>
      </w:pPr>
      <w:r/>
      <w:bookmarkStart w:id="151" w:name="_Toc27216"/>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五</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t xml:space="preserve">服务承诺1</w:t>
      </w:r>
      <w:bookmarkEnd w:id="151"/>
      <w:r/>
      <w:r/>
    </w:p>
    <w:p>
      <w:pPr>
        <w:jc w:val="left"/>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采 购</w:t>
      </w:r>
      <w:r>
        <w:rPr>
          <w:rFonts w:hint="eastAsia" w:ascii="宋体" w:hAnsi="宋体" w:eastAsia="宋体" w:cs="宋体"/>
          <w:color w:val="000000" w:themeColor="text1"/>
          <w:sz w:val="24"/>
          <w:szCs w:val="24"/>
          <w14:textFill>
            <w14:solidFill>
              <w14:schemeClr w14:val="tx1"/>
            </w14:solidFill>
          </w14:textFill>
        </w:rPr>
        <w:t xml:space="preserve"> 人 ) :</w:t>
      </w:r>
      <w:r/>
    </w:p>
    <w:p>
      <w:pPr>
        <w:jc w:val="left"/>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我公司现郑重承诺如下：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承诺在在履约中保证和采购人的配合度，保证高度配合采购人的要求，确保提供专业服务的及时性和准确性，承担因工作失误给</w:t>
      </w:r>
      <w:r>
        <w:rPr>
          <w:rFonts w:hint="eastAsia" w:ascii="宋体" w:hAnsi="宋体" w:cs="宋体"/>
          <w:color w:val="000000" w:themeColor="text1"/>
          <w:sz w:val="24"/>
          <w:szCs w:val="24"/>
          <w:highlight w:val="none"/>
          <w:lang w:val="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造成的损失。</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(签章)</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法定代表人(签字或签章)</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ind w:firstLine="480"/>
        <w:jc w:val="left"/>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二 O 二 </w:t>
      </w:r>
      <w:r>
        <w:rPr>
          <w:rFonts w:hint="eastAsia" w:ascii="宋体" w:hAnsi="宋体" w:cs="宋体"/>
          <w:color w:val="000000" w:themeColor="text1"/>
          <w:sz w:val="24"/>
          <w:szCs w:val="24"/>
          <w:lang w:val="en-US" w:eastAsia="zh-CN"/>
          <w14:textFill>
            <w14:solidFill>
              <w14:schemeClr w14:val="tx1"/>
            </w14:solidFill>
          </w14:textFill>
        </w:rPr>
        <w:t xml:space="preserve">六</w:t>
      </w:r>
      <w:r>
        <w:rPr>
          <w:rFonts w:hint="eastAsia" w:ascii="宋体" w:hAnsi="宋体" w:eastAsia="宋体" w:cs="宋体"/>
          <w:color w:val="000000" w:themeColor="text1"/>
          <w:sz w:val="24"/>
          <w:szCs w:val="24"/>
          <w14:textFill>
            <w14:solidFill>
              <w14:schemeClr w14:val="tx1"/>
            </w14:solidFill>
          </w14:textFill>
        </w:rPr>
        <w:t xml:space="preserve"> 年     月        </w:t>
      </w:r>
      <w:r>
        <w:rPr>
          <w:rFonts w:hint="eastAsia" w:ascii="宋体" w:hAnsi="宋体" w:eastAsia="宋体" w:cs="宋体"/>
          <w:color w:val="000000" w:themeColor="text1"/>
          <w:sz w:val="24"/>
          <w:szCs w:val="24"/>
          <w:lang w:val="en-US" w:eastAsia="zh-CN"/>
          <w14:textFill>
            <w14:solidFill>
              <w14:schemeClr w14:val="tx1"/>
            </w14:solidFill>
          </w14:textFill>
        </w:rPr>
        <w:t xml:space="preserve">日</w:t>
      </w:r>
      <w:r/>
    </w:p>
    <w:p>
      <w:pPr>
        <w:pStyle w:val="846"/>
        <w:ind w:firstLine="4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6"/>
        <w:ind w:firstLine="482"/>
        <w:rPr>
          <w:rFonts w:hint="default" w:ascii="宋体" w:hAnsi="宋体" w:eastAsia="宋体" w:cs="宋体"/>
          <w:color w:val="000000" w:themeColor="text1"/>
          <w:sz w:val="24"/>
          <w:szCs w:val="24"/>
          <w:lang w:val="en-US" w:eastAsia="zh-CN"/>
          <w14:textFill>
            <w14:solidFill>
              <w14:schemeClr w14:val="tx1"/>
            </w14:solidFill>
          </w14:textFill>
        </w:rPr>
      </w:pPr>
      <w:r/>
      <w:bookmarkStart w:id="152" w:name="_Toc5550"/>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六</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t xml:space="preserve">服务承诺2</w:t>
      </w:r>
      <w:bookmarkEnd w:id="152"/>
      <w:r/>
      <w:r/>
    </w:p>
    <w:p>
      <w:pPr>
        <w:jc w:val="left"/>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采 购</w:t>
      </w:r>
      <w:r>
        <w:rPr>
          <w:rFonts w:hint="eastAsia" w:ascii="宋体" w:hAnsi="宋体" w:eastAsia="宋体" w:cs="宋体"/>
          <w:color w:val="000000" w:themeColor="text1"/>
          <w:sz w:val="24"/>
          <w:szCs w:val="24"/>
          <w14:textFill>
            <w14:solidFill>
              <w14:schemeClr w14:val="tx1"/>
            </w14:solidFill>
          </w14:textFill>
        </w:rPr>
        <w:t xml:space="preserve"> 人 ) :</w:t>
      </w:r>
      <w:r/>
    </w:p>
    <w:p>
      <w:pPr>
        <w:jc w:val="left"/>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我公司现郑重承诺如下：  </w:t>
      </w:r>
      <w:r/>
    </w:p>
    <w:p>
      <w:pPr>
        <w:pStyle w:val="923"/>
        <w:rPr>
          <w:rFonts w:hint="eastAsia" w:eastAsia="宋体"/>
          <w:color w:val="000000" w:themeColor="text1"/>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承诺如需扫雪防冻，冬季扫雪防冻抢险作业期间，供应商额外组织30名抢险人员及除雪机械（轮式挖机（型号155）、轮式装载机(型号50)）</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积极配合</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完成相关</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除雪抢险</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工作。</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(签章)</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法定代表人(签字或签章)</w:t>
      </w:r>
      <w:r/>
    </w:p>
    <w:p>
      <w:pPr>
        <w:ind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ind w:firstLine="480"/>
        <w:jc w:val="left"/>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二 O 二 </w:t>
      </w:r>
      <w:r>
        <w:rPr>
          <w:rFonts w:hint="eastAsia" w:ascii="宋体" w:hAnsi="宋体" w:cs="宋体"/>
          <w:color w:val="000000" w:themeColor="text1"/>
          <w:sz w:val="24"/>
          <w:szCs w:val="24"/>
          <w:lang w:val="en-US" w:eastAsia="zh-CN"/>
          <w14:textFill>
            <w14:solidFill>
              <w14:schemeClr w14:val="tx1"/>
            </w14:solidFill>
          </w14:textFill>
        </w:rPr>
        <w:t xml:space="preserve">六</w:t>
      </w:r>
      <w:r>
        <w:rPr>
          <w:rFonts w:hint="eastAsia" w:ascii="宋体" w:hAnsi="宋体" w:eastAsia="宋体" w:cs="宋体"/>
          <w:color w:val="000000" w:themeColor="text1"/>
          <w:sz w:val="24"/>
          <w:szCs w:val="24"/>
          <w14:textFill>
            <w14:solidFill>
              <w14:schemeClr w14:val="tx1"/>
            </w14:solidFill>
          </w14:textFill>
        </w:rPr>
        <w:t xml:space="preserve"> 年     月        </w:t>
      </w:r>
      <w:r>
        <w:rPr>
          <w:rFonts w:hint="eastAsia" w:ascii="宋体" w:hAnsi="宋体" w:eastAsia="宋体" w:cs="宋体"/>
          <w:color w:val="000000" w:themeColor="text1"/>
          <w:sz w:val="24"/>
          <w:szCs w:val="24"/>
          <w:lang w:val="en-US" w:eastAsia="zh-CN"/>
          <w14:textFill>
            <w14:solidFill>
              <w14:schemeClr w14:val="tx1"/>
            </w14:solidFill>
          </w14:textFill>
        </w:rPr>
        <w:t xml:space="preserve">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1154"/>
        <w:rPr>
          <w:color w:val="000000" w:themeColor="text1"/>
          <w:highlight w:val="none"/>
          <w14:textFill>
            <w14:solidFill>
              <w14:schemeClr w14:val="tx1"/>
            </w14:solidFill>
          </w14:textFill>
        </w:rPr>
        <w:outlineLvl w:val="1"/>
      </w:pPr>
      <w:r/>
      <w:bookmarkStart w:id="153" w:name="_Toc23810"/>
      <w:r>
        <w:rPr>
          <w:color w:val="000000" w:themeColor="text1"/>
          <w:highlight w:val="none"/>
          <w14:textFill>
            <w14:solidFill>
              <w14:schemeClr w14:val="tx1"/>
            </w14:solidFill>
          </w14:textFill>
        </w:rPr>
        <w:t xml:space="preserve">十</w:t>
      </w:r>
      <w:r>
        <w:rPr>
          <w:rFonts w:hint="eastAsia"/>
          <w:color w:val="000000" w:themeColor="text1"/>
          <w:highlight w:val="none"/>
          <w:lang w:val="en-US" w:eastAsia="zh-CN"/>
          <w14:textFill>
            <w14:solidFill>
              <w14:schemeClr w14:val="tx1"/>
            </w14:solidFill>
          </w14:textFill>
        </w:rPr>
        <w:t xml:space="preserve">七</w:t>
      </w:r>
      <w:r>
        <w:rPr>
          <w:color w:val="000000" w:themeColor="text1"/>
          <w:highlight w:val="none"/>
          <w14:textFill>
            <w14:solidFill>
              <w14:schemeClr w14:val="tx1"/>
            </w14:solidFill>
          </w14:textFill>
        </w:rPr>
        <w:t xml:space="preserve">、投标所需其他材料</w:t>
      </w:r>
      <w:bookmarkEnd w:id="147"/>
      <w:r/>
      <w:bookmarkEnd w:id="148"/>
      <w:r/>
      <w:bookmarkEnd w:id="149"/>
      <w:r/>
      <w:bookmarkEnd w:id="150"/>
      <w:r/>
      <w:bookmarkEnd w:id="153"/>
      <w:r/>
      <w:r/>
    </w:p>
    <w:p>
      <w:pPr>
        <w:pStyle w:val="1260"/>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请在此文档中增加投标所需其他相关内容（包括资格要求、评分办法、采购需求中涉及的证件证明及其它</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认为有必要提供的资料），如没有请空置。</w:t>
      </w:r>
      <w:r/>
    </w:p>
    <w:p>
      <w:pPr>
        <w:rPr>
          <w:rFonts w:hint="eastAsia"/>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bookmarkEnd w:id="72"/>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华文琥珀">
    <w:panose1 w:val="02010800040101010101"/>
  </w:font>
  <w:font w:name="Symbol">
    <w:panose1 w:val="05050102010706020507"/>
  </w:font>
  <w:font w:name="仿宋">
    <w:panose1 w:val="02010609060101010101"/>
  </w:font>
  <w:font w:name="方正仿宋简体">
    <w:panose1 w:val="020B0503020202020204"/>
  </w:font>
  <w:font w:name="Book Antiqua">
    <w:panose1 w:val="02040602050305030304"/>
  </w:font>
  <w:font w:name="Tahoma">
    <w:panose1 w:val="020B0604030504040204"/>
  </w:font>
  <w:font w:name="楷体_GB2312">
    <w:panose1 w:val="02010609060101010101"/>
  </w:font>
  <w:font w:name="方正大标宋简体">
    <w:panose1 w:val="020B0503020202020204"/>
  </w:font>
  <w:font w:name="Times">
    <w:panose1 w:val="02020603050405020304"/>
  </w:font>
  <w:font w:name="Courier New">
    <w:panose1 w:val="020703090202050204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monospace">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0" w:leader="none"/>
        </w:tabs>
      </w:pPr>
      <w:rPr>
        <w:rFonts w:hint="default" w:ascii="Wingdings" w:hAnsi="Wingdings"/>
      </w:rPr>
    </w:lvl>
    <w:lvl w:ilvl="2">
      <w:start w:val="1"/>
      <w:numFmt w:val="bullet"/>
      <w:pStyle w:val="1008"/>
      <w:isLgl w:val="false"/>
      <w:suff w:val="tab"/>
      <w:lvlText w:val=""/>
      <w:lvlJc w:val="left"/>
      <w:pPr>
        <w:ind w:left="1740" w:hanging="420"/>
        <w:tabs>
          <w:tab w:val="left" w:pos="0" w:leader="none"/>
        </w:tabs>
      </w:pPr>
      <w:rPr>
        <w:rFonts w:hint="default" w:ascii="Wingdings" w:hAnsi="Wingdings"/>
      </w:rPr>
    </w:lvl>
    <w:lvl w:ilvl="3">
      <w:start w:val="1"/>
      <w:numFmt w:val="bullet"/>
      <w:isLgl w:val="false"/>
      <w:suff w:val="tab"/>
      <w:lvlText w:val=""/>
      <w:lvlJc w:val="left"/>
      <w:pPr>
        <w:ind w:left="2160" w:hanging="420"/>
        <w:tabs>
          <w:tab w:val="left" w:pos="0" w:leader="none"/>
        </w:tabs>
      </w:pPr>
      <w:rPr>
        <w:rFonts w:hint="default" w:ascii="Wingdings" w:hAnsi="Wingdings"/>
      </w:rPr>
    </w:lvl>
    <w:lvl w:ilvl="4">
      <w:start w:val="1"/>
      <w:numFmt w:val="bullet"/>
      <w:isLgl w:val="false"/>
      <w:suff w:val="tab"/>
      <w:lvlText w:val=""/>
      <w:lvlJc w:val="left"/>
      <w:pPr>
        <w:ind w:left="2580" w:hanging="420"/>
        <w:tabs>
          <w:tab w:val="left" w:pos="0" w:leader="none"/>
        </w:tabs>
      </w:pPr>
      <w:rPr>
        <w:rFonts w:hint="default" w:ascii="Wingdings" w:hAnsi="Wingdings"/>
      </w:rPr>
    </w:lvl>
    <w:lvl w:ilvl="5">
      <w:start w:val="1"/>
      <w:numFmt w:val="bullet"/>
      <w:isLgl w:val="false"/>
      <w:suff w:val="tab"/>
      <w:lvlText w:val=""/>
      <w:lvlJc w:val="left"/>
      <w:pPr>
        <w:ind w:left="3000" w:hanging="420"/>
        <w:tabs>
          <w:tab w:val="left" w:pos="0" w:leader="none"/>
        </w:tabs>
      </w:pPr>
      <w:rPr>
        <w:rFonts w:hint="default" w:ascii="Wingdings" w:hAnsi="Wingdings"/>
      </w:rPr>
    </w:lvl>
    <w:lvl w:ilvl="6">
      <w:start w:val="1"/>
      <w:numFmt w:val="bullet"/>
      <w:isLgl w:val="false"/>
      <w:suff w:val="tab"/>
      <w:lvlText w:val=""/>
      <w:lvlJc w:val="left"/>
      <w:pPr>
        <w:ind w:left="3420" w:hanging="420"/>
        <w:tabs>
          <w:tab w:val="left" w:pos="0" w:leader="none"/>
        </w:tabs>
      </w:pPr>
      <w:rPr>
        <w:rFonts w:hint="default" w:ascii="Wingdings" w:hAnsi="Wingdings"/>
      </w:rPr>
    </w:lvl>
    <w:lvl w:ilvl="7">
      <w:start w:val="1"/>
      <w:numFmt w:val="bullet"/>
      <w:isLgl w:val="false"/>
      <w:suff w:val="tab"/>
      <w:lvlText w:val=""/>
      <w:lvlJc w:val="left"/>
      <w:pPr>
        <w:ind w:left="3840" w:hanging="420"/>
        <w:tabs>
          <w:tab w:val="left" w:pos="0" w:leader="none"/>
        </w:tabs>
      </w:pPr>
      <w:rPr>
        <w:rFonts w:hint="default" w:ascii="Wingdings" w:hAnsi="Wingdings"/>
      </w:rPr>
    </w:lvl>
    <w:lvl w:ilvl="8">
      <w:start w:val="1"/>
      <w:numFmt w:val="bullet"/>
      <w:isLgl w:val="false"/>
      <w:suff w:val="tab"/>
      <w:lvlText w:val=""/>
      <w:lvlJc w:val="left"/>
      <w:pPr>
        <w:ind w:left="4260" w:hanging="420"/>
        <w:tabs>
          <w:tab w:val="left" w:pos="0" w:leader="none"/>
        </w:tabs>
      </w:pPr>
      <w:rPr>
        <w:rFonts w:hint="default" w:ascii="Wingdings" w:hAnsi="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4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00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39"/>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229"/>
      <w:isLgl w:val="false"/>
      <w:suff w:val="tab"/>
      <w:lvlText w:val="%1.%2."/>
      <w:lvlJc w:val="left"/>
      <w:pPr>
        <w:ind w:left="1441" w:hanging="1021"/>
      </w:pPr>
      <w:rPr>
        <w:rFonts w:hint="default"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hint="default"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rPr>
        <w:rFonts w:hint="default"/>
      </w:rPr>
    </w:lvl>
    <w:lvl w:ilvl="6">
      <w:start w:val="1"/>
      <w:numFmt w:val="decimal"/>
      <w:isLgl w:val="false"/>
      <w:suff w:val="tab"/>
      <w:lvlText w:val="%1.%2.%3.%4.%5.%6.%7."/>
      <w:lvlJc w:val="left"/>
      <w:pPr>
        <w:ind w:left="1418" w:hanging="1021"/>
      </w:pPr>
      <w:rPr>
        <w:rFonts w:hint="default"/>
      </w:rPr>
    </w:lvl>
    <w:lvl w:ilvl="7">
      <w:start w:val="1"/>
      <w:numFmt w:val="decimal"/>
      <w:isLgl w:val="false"/>
      <w:suff w:val="tab"/>
      <w:lvlText w:val="%1.%2.%3.%4.%5.%6.%7.%8."/>
      <w:lvlJc w:val="left"/>
      <w:pPr>
        <w:ind w:left="1418" w:hanging="1021"/>
      </w:pPr>
      <w:rPr>
        <w:rFonts w:hint="default"/>
      </w:rPr>
    </w:lvl>
    <w:lvl w:ilvl="8">
      <w:start w:val="1"/>
      <w:numFmt w:val="decimal"/>
      <w:isLgl w:val="false"/>
      <w:suff w:val="tab"/>
      <w:lvlText w:val="%1.%2.%3.%4.%5.%6.%7.%8.%9."/>
      <w:lvlJc w:val="left"/>
      <w:pPr>
        <w:ind w:left="1418" w:hanging="1021"/>
      </w:pPr>
      <w:rPr>
        <w:rFonts w:hint="default"/>
      </w:rPr>
    </w:lvl>
  </w:abstractNum>
  <w:num w:numId="1">
    <w:abstractNumId w:val="5"/>
  </w:num>
  <w:num w:numId="2">
    <w:abstractNumId w:val="0"/>
  </w:num>
  <w:num w:numId="3">
    <w:abstractNumId w:val="9"/>
  </w:num>
  <w:num w:numId="4">
    <w:abstractNumId w:val="2"/>
  </w:num>
  <w:num w:numId="5">
    <w:abstractNumId w:val="1"/>
  </w:num>
  <w:num w:numId="6">
    <w:abstractNumId w:val="7"/>
  </w:num>
  <w:num w:numId="7">
    <w:abstractNumId w:val="6"/>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54"/>
    <w:link w:val="845"/>
    <w:uiPriority w:val="9"/>
    <w:rPr>
      <w:rFonts w:ascii="Arial" w:hAnsi="Arial" w:eastAsia="Arial" w:cs="Arial"/>
      <w:sz w:val="40"/>
      <w:szCs w:val="40"/>
    </w:rPr>
  </w:style>
  <w:style w:type="character" w:styleId="704">
    <w:name w:val="Heading 5 Char"/>
    <w:basedOn w:val="854"/>
    <w:link w:val="849"/>
    <w:uiPriority w:val="9"/>
    <w:rPr>
      <w:rFonts w:ascii="Arial" w:hAnsi="Arial" w:eastAsia="Arial" w:cs="Arial"/>
      <w:b/>
      <w:bCs/>
      <w:sz w:val="24"/>
      <w:szCs w:val="24"/>
    </w:rPr>
  </w:style>
  <w:style w:type="character" w:styleId="705">
    <w:name w:val="Heading 6 Char"/>
    <w:basedOn w:val="854"/>
    <w:link w:val="850"/>
    <w:uiPriority w:val="9"/>
    <w:rPr>
      <w:rFonts w:ascii="Arial" w:hAnsi="Arial" w:eastAsia="Arial" w:cs="Arial"/>
      <w:b/>
      <w:bCs/>
      <w:sz w:val="22"/>
      <w:szCs w:val="22"/>
    </w:rPr>
  </w:style>
  <w:style w:type="character" w:styleId="706">
    <w:name w:val="Heading 7 Char"/>
    <w:basedOn w:val="854"/>
    <w:link w:val="851"/>
    <w:uiPriority w:val="9"/>
    <w:rPr>
      <w:rFonts w:ascii="Arial" w:hAnsi="Arial" w:eastAsia="Arial" w:cs="Arial"/>
      <w:b/>
      <w:bCs/>
      <w:i/>
      <w:iCs/>
      <w:sz w:val="22"/>
      <w:szCs w:val="22"/>
    </w:rPr>
  </w:style>
  <w:style w:type="character" w:styleId="707">
    <w:name w:val="Heading 8 Char"/>
    <w:basedOn w:val="854"/>
    <w:link w:val="852"/>
    <w:uiPriority w:val="9"/>
    <w:rPr>
      <w:rFonts w:ascii="Arial" w:hAnsi="Arial" w:eastAsia="Arial" w:cs="Arial"/>
      <w:i/>
      <w:iCs/>
      <w:sz w:val="22"/>
      <w:szCs w:val="22"/>
    </w:rPr>
  </w:style>
  <w:style w:type="character" w:styleId="708">
    <w:name w:val="Heading 9 Char"/>
    <w:basedOn w:val="854"/>
    <w:link w:val="853"/>
    <w:uiPriority w:val="9"/>
    <w:rPr>
      <w:rFonts w:ascii="Arial" w:hAnsi="Arial" w:eastAsia="Arial" w:cs="Arial"/>
      <w:i/>
      <w:iCs/>
      <w:sz w:val="21"/>
      <w:szCs w:val="21"/>
    </w:rPr>
  </w:style>
  <w:style w:type="character" w:styleId="709">
    <w:name w:val="Title Char"/>
    <w:basedOn w:val="854"/>
    <w:link w:val="905"/>
    <w:uiPriority w:val="10"/>
    <w:rPr>
      <w:sz w:val="48"/>
      <w:szCs w:val="48"/>
    </w:rPr>
  </w:style>
  <w:style w:type="paragraph" w:styleId="710">
    <w:name w:val="Subtitle"/>
    <w:basedOn w:val="1091"/>
    <w:next w:val="1091"/>
    <w:link w:val="711"/>
    <w:uiPriority w:val="11"/>
    <w:qFormat/>
    <w:pPr>
      <w:spacing w:before="200" w:after="200"/>
    </w:pPr>
    <w:rPr>
      <w:sz w:val="24"/>
      <w:szCs w:val="24"/>
    </w:rPr>
  </w:style>
  <w:style w:type="character" w:styleId="711">
    <w:name w:val="Subtitle Char"/>
    <w:basedOn w:val="854"/>
    <w:link w:val="710"/>
    <w:uiPriority w:val="11"/>
    <w:rPr>
      <w:sz w:val="24"/>
      <w:szCs w:val="24"/>
    </w:rPr>
  </w:style>
  <w:style w:type="paragraph" w:styleId="712">
    <w:name w:val="Quote"/>
    <w:basedOn w:val="1091"/>
    <w:next w:val="1091"/>
    <w:link w:val="713"/>
    <w:uiPriority w:val="29"/>
    <w:qFormat/>
    <w:pPr>
      <w:ind w:left="720" w:right="720"/>
    </w:pPr>
    <w:rPr>
      <w:i/>
    </w:rPr>
  </w:style>
  <w:style w:type="character" w:styleId="713">
    <w:name w:val="Quote Char"/>
    <w:link w:val="712"/>
    <w:uiPriority w:val="29"/>
    <w:rPr>
      <w:i/>
    </w:rPr>
  </w:style>
  <w:style w:type="paragraph" w:styleId="714">
    <w:name w:val="Intense Quote"/>
    <w:basedOn w:val="1091"/>
    <w:next w:val="1091"/>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Caption Char"/>
    <w:basedOn w:val="861"/>
    <w:link w:val="885"/>
    <w:uiPriority w:val="99"/>
  </w:style>
  <w:style w:type="table" w:styleId="717">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3">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7">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2">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9">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9">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3">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6">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0">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Footnote Text Char"/>
    <w:link w:val="892"/>
    <w:uiPriority w:val="99"/>
    <w:rPr>
      <w:sz w:val="18"/>
    </w:rPr>
  </w:style>
  <w:style w:type="character" w:styleId="843">
    <w:name w:val="Endnote Text Char"/>
    <w:link w:val="883"/>
    <w:uiPriority w:val="99"/>
    <w:rPr>
      <w:sz w:val="20"/>
    </w:rPr>
  </w:style>
  <w:style w:type="paragraph" w:styleId="844">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5">
    <w:name w:val="Heading 1"/>
    <w:basedOn w:val="844"/>
    <w:next w:val="844"/>
    <w:link w:val="1300"/>
    <w:uiPriority w:val="0"/>
    <w:qFormat/>
    <w:pPr>
      <w:keepLines/>
      <w:keepNext/>
      <w:spacing w:before="340" w:after="330" w:line="576" w:lineRule="auto"/>
      <w:outlineLvl w:val="0"/>
    </w:pPr>
    <w:rPr>
      <w:b/>
      <w:sz w:val="44"/>
      <w:szCs w:val="20"/>
    </w:rPr>
  </w:style>
  <w:style w:type="paragraph" w:styleId="846">
    <w:name w:val="Heading 2"/>
    <w:basedOn w:val="844"/>
    <w:next w:val="844"/>
    <w:link w:val="928"/>
    <w:uiPriority w:val="0"/>
    <w:qFormat/>
    <w:pPr>
      <w:keepLines/>
      <w:keepNext/>
      <w:spacing w:before="260" w:after="260" w:line="413" w:lineRule="auto"/>
      <w:outlineLvl w:val="1"/>
    </w:pPr>
    <w:rPr>
      <w:rFonts w:ascii="Arial" w:hAnsi="Arial" w:eastAsia="黑体"/>
      <w:b/>
      <w:sz w:val="32"/>
      <w:szCs w:val="20"/>
    </w:rPr>
  </w:style>
  <w:style w:type="paragraph" w:styleId="847">
    <w:name w:val="Heading 3"/>
    <w:basedOn w:val="844"/>
    <w:next w:val="844"/>
    <w:link w:val="929"/>
    <w:uiPriority w:val="0"/>
    <w:qFormat/>
    <w:pPr>
      <w:keepLines/>
      <w:keepNext/>
      <w:spacing w:before="260" w:after="260" w:line="413" w:lineRule="auto"/>
      <w:outlineLvl w:val="2"/>
    </w:pPr>
    <w:rPr>
      <w:b/>
      <w:sz w:val="32"/>
      <w:szCs w:val="20"/>
    </w:rPr>
  </w:style>
  <w:style w:type="paragraph" w:styleId="848">
    <w:name w:val="Heading 4"/>
    <w:basedOn w:val="844"/>
    <w:next w:val="844"/>
    <w:link w:val="93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49">
    <w:name w:val="Heading 5"/>
    <w:basedOn w:val="844"/>
    <w:next w:val="84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50">
    <w:name w:val="Heading 6"/>
    <w:basedOn w:val="844"/>
    <w:next w:val="84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51">
    <w:name w:val="Heading 7"/>
    <w:basedOn w:val="844"/>
    <w:next w:val="84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52">
    <w:name w:val="Heading 8"/>
    <w:basedOn w:val="844"/>
    <w:next w:val="84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53">
    <w:name w:val="Heading 9"/>
    <w:basedOn w:val="844"/>
    <w:next w:val="844"/>
    <w:uiPriority w:val="0"/>
    <w:qFormat/>
    <w:pPr>
      <w:jc w:val="center"/>
      <w:keepNext/>
      <w:spacing w:line="600" w:lineRule="exact"/>
      <w:outlineLvl w:val="8"/>
    </w:pPr>
    <w:rPr>
      <w:rFonts w:ascii="仿宋_GB2312" w:eastAsia="仿宋_GB2312"/>
      <w:sz w:val="32"/>
    </w:rPr>
  </w:style>
  <w:style w:type="character" w:styleId="854" w:default="1">
    <w:name w:val="Default Paragraph Font"/>
    <w:uiPriority w:val="1"/>
    <w:unhideWhenUsed/>
    <w:qFormat/>
  </w:style>
  <w:style w:type="table" w:styleId="855" w:default="1">
    <w:name w:val="Normal Table"/>
    <w:uiPriority w:val="0"/>
    <w:semiHidden/>
    <w:qFormat/>
    <w:tblPr>
      <w:tblCellMar>
        <w:left w:w="108" w:type="dxa"/>
        <w:top w:w="0" w:type="dxa"/>
        <w:right w:w="108" w:type="dxa"/>
        <w:bottom w:w="0" w:type="dxa"/>
      </w:tblCellMar>
    </w:tblPr>
  </w:style>
  <w:style w:type="paragraph" w:styleId="856">
    <w:name w:val="toc 7"/>
    <w:basedOn w:val="844"/>
    <w:next w:val="844"/>
    <w:uiPriority w:val="0"/>
    <w:qFormat/>
    <w:pPr>
      <w:ind w:left="1260"/>
      <w:jc w:val="left"/>
    </w:pPr>
    <w:rPr>
      <w:rFonts w:ascii="Calibri" w:hAnsi="Calibri" w:cs="Calibri"/>
      <w:sz w:val="18"/>
      <w:szCs w:val="18"/>
    </w:rPr>
  </w:style>
  <w:style w:type="paragraph" w:styleId="857">
    <w:name w:val="List Bullet 4"/>
    <w:basedOn w:val="844"/>
    <w:uiPriority w:val="0"/>
    <w:qFormat/>
    <w:pPr>
      <w:ind w:left="360" w:hanging="360"/>
      <w:spacing w:line="380" w:lineRule="exact"/>
      <w:tabs>
        <w:tab w:val="left" w:pos="360" w:leader="none"/>
      </w:tabs>
    </w:pPr>
    <w:rPr>
      <w:rFonts w:ascii="Calibri" w:hAnsi="Calibri"/>
      <w:sz w:val="28"/>
    </w:rPr>
  </w:style>
  <w:style w:type="paragraph" w:styleId="858">
    <w:name w:val="index 8"/>
    <w:basedOn w:val="844"/>
    <w:next w:val="844"/>
    <w:uiPriority w:val="0"/>
    <w:qFormat/>
    <w:pPr>
      <w:ind w:left="1400"/>
    </w:pPr>
    <w:rPr>
      <w:rFonts w:ascii="Calibri" w:hAnsi="Calibri"/>
    </w:rPr>
  </w:style>
  <w:style w:type="paragraph" w:styleId="859">
    <w:name w:val="List Number"/>
    <w:basedOn w:val="844"/>
    <w:uiPriority w:val="0"/>
    <w:qFormat/>
    <w:pPr>
      <w:spacing w:line="360" w:lineRule="auto"/>
      <w:tabs>
        <w:tab w:val="left" w:pos="0" w:leader="none"/>
        <w:tab w:val="left" w:pos="840" w:leader="none"/>
      </w:tabs>
    </w:pPr>
  </w:style>
  <w:style w:type="paragraph" w:styleId="860">
    <w:name w:val="Normal Indent"/>
    <w:basedOn w:val="844"/>
    <w:uiPriority w:val="0"/>
    <w:qFormat/>
    <w:pPr>
      <w:ind w:firstLine="420"/>
    </w:pPr>
    <w:rPr>
      <w:rFonts w:ascii="宋体"/>
      <w:color w:val="000000"/>
      <w:sz w:val="24"/>
      <w:szCs w:val="20"/>
    </w:rPr>
  </w:style>
  <w:style w:type="paragraph" w:styleId="861">
    <w:name w:val="Caption"/>
    <w:basedOn w:val="844"/>
    <w:next w:val="844"/>
    <w:link w:val="931"/>
    <w:uiPriority w:val="0"/>
    <w:qFormat/>
    <w:pPr>
      <w:spacing w:line="360" w:lineRule="auto"/>
      <w:tabs>
        <w:tab w:val="left" w:pos="0" w:leader="none"/>
      </w:tabs>
    </w:pPr>
    <w:rPr>
      <w:rFonts w:ascii="Arial" w:hAnsi="Arial" w:eastAsia="黑体"/>
      <w:sz w:val="20"/>
      <w:szCs w:val="20"/>
    </w:rPr>
  </w:style>
  <w:style w:type="paragraph" w:styleId="862">
    <w:name w:val="index 5"/>
    <w:basedOn w:val="844"/>
    <w:next w:val="844"/>
    <w:uiPriority w:val="0"/>
    <w:qFormat/>
    <w:pPr>
      <w:ind w:left="800"/>
    </w:pPr>
    <w:rPr>
      <w:rFonts w:ascii="Calibri" w:hAnsi="Calibri"/>
    </w:rPr>
  </w:style>
  <w:style w:type="paragraph" w:styleId="863">
    <w:name w:val="List Bullet"/>
    <w:basedOn w:val="844"/>
    <w:uiPriority w:val="0"/>
    <w:qFormat/>
    <w:pPr>
      <w:ind w:left="962" w:hanging="480"/>
      <w:spacing w:line="360" w:lineRule="auto"/>
      <w:tabs>
        <w:tab w:val="left" w:pos="840" w:leader="none"/>
      </w:tabs>
    </w:pPr>
    <w:rPr>
      <w:sz w:val="24"/>
    </w:rPr>
  </w:style>
  <w:style w:type="paragraph" w:styleId="864">
    <w:name w:val="Document Map"/>
    <w:basedOn w:val="844"/>
    <w:uiPriority w:val="0"/>
    <w:qFormat/>
    <w:pPr>
      <w:shd w:val="clear" w:color="auto" w:fill="000080"/>
    </w:pPr>
  </w:style>
  <w:style w:type="paragraph" w:styleId="865">
    <w:name w:val="annotation text"/>
    <w:basedOn w:val="844"/>
    <w:link w:val="932"/>
    <w:uiPriority w:val="99"/>
    <w:qFormat/>
    <w:pPr>
      <w:jc w:val="left"/>
    </w:pPr>
    <w:rPr>
      <w:rFonts w:ascii="Calibri" w:hAnsi="Calibri"/>
      <w:szCs w:val="20"/>
    </w:rPr>
  </w:style>
  <w:style w:type="paragraph" w:styleId="866">
    <w:name w:val="index 6"/>
    <w:basedOn w:val="844"/>
    <w:next w:val="844"/>
    <w:uiPriority w:val="0"/>
    <w:qFormat/>
    <w:pPr>
      <w:ind w:left="1000"/>
    </w:pPr>
    <w:rPr>
      <w:rFonts w:ascii="Calibri" w:hAnsi="Calibri"/>
    </w:rPr>
  </w:style>
  <w:style w:type="paragraph" w:styleId="867">
    <w:name w:val="Body Text 3"/>
    <w:basedOn w:val="844"/>
    <w:uiPriority w:val="0"/>
    <w:qFormat/>
    <w:rPr>
      <w:color w:val="000000"/>
    </w:rPr>
  </w:style>
  <w:style w:type="paragraph" w:styleId="868">
    <w:name w:val="List Bullet 3"/>
    <w:basedOn w:val="844"/>
    <w:uiPriority w:val="0"/>
    <w:qFormat/>
    <w:pPr>
      <w:ind w:left="1200" w:hanging="360"/>
      <w:spacing w:line="380" w:lineRule="exact"/>
      <w:tabs>
        <w:tab w:val="left" w:pos="1200" w:leader="none"/>
      </w:tabs>
    </w:pPr>
    <w:rPr>
      <w:rFonts w:ascii="Calibri" w:hAnsi="Calibri"/>
      <w:sz w:val="28"/>
    </w:rPr>
  </w:style>
  <w:style w:type="paragraph" w:styleId="869">
    <w:name w:val="Body Text"/>
    <w:basedOn w:val="844"/>
    <w:link w:val="933"/>
    <w:uiPriority w:val="0"/>
    <w:qFormat/>
    <w:pPr>
      <w:spacing w:line="60" w:lineRule="auto"/>
    </w:pPr>
    <w:rPr>
      <w:rFonts w:ascii="仿宋_GB2312" w:eastAsia="仿宋_GB2312"/>
      <w:sz w:val="32"/>
    </w:rPr>
  </w:style>
  <w:style w:type="paragraph" w:styleId="870">
    <w:name w:val="Body Text Indent"/>
    <w:basedOn w:val="844"/>
    <w:uiPriority w:val="0"/>
    <w:qFormat/>
    <w:pPr>
      <w:ind w:firstLine="225"/>
    </w:pPr>
    <w:rPr>
      <w:rFonts w:ascii="仿宋_GB2312" w:eastAsia="仿宋_GB2312"/>
      <w:sz w:val="32"/>
    </w:rPr>
  </w:style>
  <w:style w:type="paragraph" w:styleId="871">
    <w:name w:val="Block Text"/>
    <w:basedOn w:val="844"/>
    <w:uiPriority w:val="0"/>
    <w:qFormat/>
    <w:pPr>
      <w:ind w:left="1548" w:right="12" w:hanging="2405"/>
      <w:spacing w:line="360" w:lineRule="exact"/>
    </w:pPr>
    <w:rPr>
      <w:rFonts w:ascii="宋体"/>
      <w:bCs/>
      <w:sz w:val="28"/>
    </w:rPr>
  </w:style>
  <w:style w:type="paragraph" w:styleId="872">
    <w:name w:val="List Bullet 2"/>
    <w:basedOn w:val="844"/>
    <w:uiPriority w:val="0"/>
    <w:qFormat/>
    <w:pPr>
      <w:ind w:left="720" w:hanging="360"/>
      <w:spacing w:line="360" w:lineRule="auto"/>
      <w:tabs>
        <w:tab w:val="left" w:pos="720" w:leader="none"/>
      </w:tabs>
    </w:pPr>
    <w:rPr>
      <w:sz w:val="24"/>
    </w:rPr>
  </w:style>
  <w:style w:type="paragraph" w:styleId="873">
    <w:name w:val="HTML Address"/>
    <w:basedOn w:val="844"/>
    <w:uiPriority w:val="0"/>
    <w:qFormat/>
    <w:rPr>
      <w:i/>
      <w:iCs/>
    </w:rPr>
  </w:style>
  <w:style w:type="paragraph" w:styleId="874">
    <w:name w:val="index 4"/>
    <w:basedOn w:val="844"/>
    <w:next w:val="844"/>
    <w:uiPriority w:val="0"/>
    <w:qFormat/>
    <w:pPr>
      <w:ind w:left="600"/>
    </w:pPr>
    <w:rPr>
      <w:rFonts w:ascii="Calibri" w:hAnsi="Calibri"/>
    </w:rPr>
  </w:style>
  <w:style w:type="paragraph" w:styleId="875">
    <w:name w:val="toc 5"/>
    <w:basedOn w:val="844"/>
    <w:next w:val="844"/>
    <w:uiPriority w:val="0"/>
    <w:qFormat/>
    <w:pPr>
      <w:ind w:left="840"/>
      <w:jc w:val="left"/>
    </w:pPr>
    <w:rPr>
      <w:rFonts w:ascii="Calibri" w:hAnsi="Calibri" w:cs="Calibri"/>
      <w:sz w:val="18"/>
      <w:szCs w:val="18"/>
    </w:rPr>
  </w:style>
  <w:style w:type="paragraph" w:styleId="876">
    <w:name w:val="toc 3"/>
    <w:basedOn w:val="844"/>
    <w:next w:val="844"/>
    <w:uiPriority w:val="39"/>
    <w:qFormat/>
    <w:pPr>
      <w:ind w:left="420"/>
      <w:jc w:val="left"/>
    </w:pPr>
    <w:rPr>
      <w:rFonts w:ascii="Calibri" w:hAnsi="Calibri" w:cs="Calibri"/>
      <w:i/>
      <w:iCs/>
      <w:sz w:val="20"/>
      <w:szCs w:val="20"/>
    </w:rPr>
  </w:style>
  <w:style w:type="paragraph" w:styleId="877">
    <w:name w:val="Plain Text"/>
    <w:basedOn w:val="844"/>
    <w:uiPriority w:val="0"/>
    <w:qFormat/>
    <w:rPr>
      <w:rFonts w:ascii="宋体"/>
      <w:szCs w:val="21"/>
    </w:rPr>
  </w:style>
  <w:style w:type="paragraph" w:styleId="878">
    <w:name w:val="List Bullet 5"/>
    <w:basedOn w:val="844"/>
    <w:uiPriority w:val="0"/>
    <w:qFormat/>
    <w:pPr>
      <w:ind w:left="720" w:hanging="360"/>
      <w:spacing w:line="380" w:lineRule="exact"/>
      <w:tabs>
        <w:tab w:val="left" w:pos="720" w:leader="none"/>
      </w:tabs>
    </w:pPr>
    <w:rPr>
      <w:rFonts w:ascii="Calibri" w:hAnsi="Calibri"/>
      <w:sz w:val="28"/>
    </w:rPr>
  </w:style>
  <w:style w:type="paragraph" w:styleId="879">
    <w:name w:val="toc 8"/>
    <w:basedOn w:val="844"/>
    <w:next w:val="844"/>
    <w:uiPriority w:val="0"/>
    <w:qFormat/>
    <w:pPr>
      <w:ind w:left="1470"/>
      <w:jc w:val="left"/>
    </w:pPr>
    <w:rPr>
      <w:rFonts w:ascii="Calibri" w:hAnsi="Calibri" w:cs="Calibri"/>
      <w:sz w:val="18"/>
      <w:szCs w:val="18"/>
    </w:rPr>
  </w:style>
  <w:style w:type="paragraph" w:styleId="880">
    <w:name w:val="index 3"/>
    <w:basedOn w:val="844"/>
    <w:next w:val="844"/>
    <w:uiPriority w:val="0"/>
    <w:qFormat/>
    <w:pPr>
      <w:ind w:left="400"/>
    </w:pPr>
    <w:rPr>
      <w:rFonts w:ascii="Calibri" w:hAnsi="Calibri"/>
    </w:rPr>
  </w:style>
  <w:style w:type="paragraph" w:styleId="881">
    <w:name w:val="Date"/>
    <w:basedOn w:val="844"/>
    <w:next w:val="844"/>
    <w:uiPriority w:val="0"/>
    <w:qFormat/>
    <w:pPr>
      <w:ind w:left="2500"/>
    </w:pPr>
  </w:style>
  <w:style w:type="paragraph" w:styleId="882">
    <w:name w:val="Body Text Indent 2"/>
    <w:basedOn w:val="844"/>
    <w:uiPriority w:val="0"/>
    <w:qFormat/>
    <w:pPr>
      <w:ind w:firstLine="225"/>
      <w:jc w:val="left"/>
      <w:spacing w:line="540" w:lineRule="exact"/>
    </w:pPr>
    <w:rPr>
      <w:rFonts w:ascii="仿宋_GB2312" w:eastAsia="仿宋_GB2312"/>
      <w:sz w:val="32"/>
    </w:rPr>
  </w:style>
  <w:style w:type="paragraph" w:styleId="883">
    <w:name w:val="endnote text"/>
    <w:basedOn w:val="844"/>
    <w:uiPriority w:val="0"/>
    <w:qFormat/>
    <w:pPr>
      <w:jc w:val="left"/>
      <w:widowControl/>
    </w:pPr>
    <w:rPr>
      <w:rFonts w:ascii="宋体"/>
      <w:bCs/>
      <w:szCs w:val="21"/>
    </w:rPr>
  </w:style>
  <w:style w:type="paragraph" w:styleId="884">
    <w:name w:val="Balloon Text"/>
    <w:basedOn w:val="844"/>
    <w:uiPriority w:val="0"/>
    <w:qFormat/>
    <w:rPr>
      <w:sz w:val="18"/>
      <w:szCs w:val="20"/>
    </w:rPr>
  </w:style>
  <w:style w:type="paragraph" w:styleId="885">
    <w:name w:val="Footer"/>
    <w:basedOn w:val="844"/>
    <w:link w:val="934"/>
    <w:uiPriority w:val="99"/>
    <w:qFormat/>
    <w:pPr>
      <w:jc w:val="left"/>
      <w:tabs>
        <w:tab w:val="center" w:pos="4153" w:leader="none"/>
        <w:tab w:val="right" w:pos="8306" w:leader="none"/>
      </w:tabs>
    </w:pPr>
    <w:rPr>
      <w:rFonts w:ascii="Calibri" w:hAnsi="Calibri"/>
      <w:sz w:val="18"/>
      <w:szCs w:val="18"/>
    </w:rPr>
  </w:style>
  <w:style w:type="paragraph" w:styleId="886">
    <w:name w:val="envelope return"/>
    <w:basedOn w:val="844"/>
    <w:uiPriority w:val="0"/>
    <w:qFormat/>
    <w:rPr>
      <w:rFonts w:ascii="Arial" w:hAnsi="Arial"/>
    </w:rPr>
  </w:style>
  <w:style w:type="paragraph" w:styleId="887">
    <w:name w:val="Header"/>
    <w:basedOn w:val="844"/>
    <w:link w:val="935"/>
    <w:uiPriority w:val="99"/>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44"/>
    <w:next w:val="844"/>
    <w:uiPriority w:val="39"/>
    <w:qFormat/>
    <w:pPr>
      <w:jc w:val="left"/>
      <w:spacing w:before="120" w:after="120"/>
    </w:pPr>
    <w:rPr>
      <w:rFonts w:ascii="Calibri" w:hAnsi="Calibri" w:cs="Calibri"/>
      <w:b/>
      <w:bCs/>
      <w:caps/>
      <w:sz w:val="20"/>
      <w:szCs w:val="20"/>
    </w:rPr>
  </w:style>
  <w:style w:type="paragraph" w:styleId="889">
    <w:name w:val="toc 4"/>
    <w:basedOn w:val="844"/>
    <w:next w:val="844"/>
    <w:uiPriority w:val="0"/>
    <w:qFormat/>
    <w:pPr>
      <w:ind w:left="630"/>
      <w:jc w:val="left"/>
    </w:pPr>
    <w:rPr>
      <w:rFonts w:ascii="Calibri" w:hAnsi="Calibri" w:cs="Calibri"/>
      <w:sz w:val="18"/>
      <w:szCs w:val="18"/>
    </w:rPr>
  </w:style>
  <w:style w:type="paragraph" w:styleId="890">
    <w:name w:val="index heading"/>
    <w:basedOn w:val="844"/>
    <w:next w:val="891"/>
    <w:uiPriority w:val="0"/>
    <w:qFormat/>
    <w:rPr>
      <w:rFonts w:ascii="Calibri" w:hAnsi="Calibri"/>
    </w:rPr>
  </w:style>
  <w:style w:type="paragraph" w:styleId="891">
    <w:name w:val="index 1"/>
    <w:basedOn w:val="844"/>
    <w:next w:val="844"/>
    <w:uiPriority w:val="0"/>
    <w:qFormat/>
    <w:rPr>
      <w:rFonts w:ascii="Calibri" w:hAnsi="Calibri"/>
    </w:rPr>
  </w:style>
  <w:style w:type="paragraph" w:styleId="892">
    <w:name w:val="footnote text"/>
    <w:basedOn w:val="844"/>
    <w:uiPriority w:val="0"/>
    <w:qFormat/>
    <w:pPr>
      <w:jc w:val="left"/>
    </w:pPr>
    <w:rPr>
      <w:rFonts w:ascii="宋体"/>
      <w:bCs/>
      <w:sz w:val="18"/>
      <w:szCs w:val="18"/>
    </w:rPr>
  </w:style>
  <w:style w:type="paragraph" w:styleId="893">
    <w:name w:val="toc 6"/>
    <w:basedOn w:val="844"/>
    <w:next w:val="844"/>
    <w:uiPriority w:val="0"/>
    <w:qFormat/>
    <w:pPr>
      <w:ind w:left="1050"/>
      <w:jc w:val="left"/>
    </w:pPr>
    <w:rPr>
      <w:rFonts w:ascii="Calibri" w:hAnsi="Calibri" w:cs="Calibri"/>
      <w:sz w:val="18"/>
      <w:szCs w:val="18"/>
    </w:rPr>
  </w:style>
  <w:style w:type="paragraph" w:styleId="894">
    <w:name w:val="Body Text Indent 3"/>
    <w:basedOn w:val="844"/>
    <w:uiPriority w:val="0"/>
    <w:qFormat/>
    <w:pPr>
      <w:ind w:firstLine="213"/>
    </w:pPr>
    <w:rPr>
      <w:rFonts w:ascii="仿宋_GB2312" w:eastAsia="仿宋_GB2312"/>
      <w:sz w:val="30"/>
    </w:rPr>
  </w:style>
  <w:style w:type="paragraph" w:styleId="895">
    <w:name w:val="index 7"/>
    <w:basedOn w:val="844"/>
    <w:next w:val="844"/>
    <w:uiPriority w:val="0"/>
    <w:qFormat/>
    <w:pPr>
      <w:ind w:left="1200"/>
    </w:pPr>
    <w:rPr>
      <w:rFonts w:ascii="Calibri" w:hAnsi="Calibri"/>
    </w:rPr>
  </w:style>
  <w:style w:type="paragraph" w:styleId="896">
    <w:name w:val="index 9"/>
    <w:basedOn w:val="844"/>
    <w:next w:val="844"/>
    <w:uiPriority w:val="0"/>
    <w:qFormat/>
    <w:pPr>
      <w:ind w:left="1600"/>
    </w:pPr>
    <w:rPr>
      <w:rFonts w:ascii="Calibri" w:hAnsi="Calibri"/>
    </w:rPr>
  </w:style>
  <w:style w:type="paragraph" w:styleId="897">
    <w:name w:val="table of figures"/>
    <w:basedOn w:val="844"/>
    <w:next w:val="844"/>
    <w:uiPriority w:val="0"/>
    <w:qFormat/>
    <w:pPr>
      <w:ind w:left="400" w:hanging="200"/>
      <w:jc w:val="left"/>
      <w:widowControl/>
    </w:pPr>
    <w:rPr>
      <w:rFonts w:ascii="宋体"/>
      <w:bCs/>
      <w:szCs w:val="21"/>
    </w:rPr>
  </w:style>
  <w:style w:type="paragraph" w:styleId="898">
    <w:name w:val="toc 2"/>
    <w:basedOn w:val="844"/>
    <w:next w:val="844"/>
    <w:uiPriority w:val="39"/>
    <w:qFormat/>
    <w:pPr>
      <w:ind w:left="210"/>
      <w:jc w:val="left"/>
    </w:pPr>
    <w:rPr>
      <w:rFonts w:ascii="Calibri" w:hAnsi="Calibri" w:cs="Calibri"/>
      <w:smallCaps/>
      <w:sz w:val="20"/>
      <w:szCs w:val="20"/>
    </w:rPr>
  </w:style>
  <w:style w:type="paragraph" w:styleId="899">
    <w:name w:val="toc 9"/>
    <w:basedOn w:val="844"/>
    <w:next w:val="844"/>
    <w:uiPriority w:val="0"/>
    <w:qFormat/>
    <w:pPr>
      <w:ind w:left="1680"/>
      <w:jc w:val="left"/>
    </w:pPr>
    <w:rPr>
      <w:rFonts w:ascii="Calibri" w:hAnsi="Calibri" w:cs="Calibri"/>
      <w:sz w:val="18"/>
      <w:szCs w:val="18"/>
    </w:rPr>
  </w:style>
  <w:style w:type="paragraph" w:styleId="900">
    <w:name w:val="Body Text 2"/>
    <w:basedOn w:val="844"/>
    <w:uiPriority w:val="0"/>
    <w:qFormat/>
    <w:pPr>
      <w:spacing w:line="560" w:lineRule="exact"/>
    </w:pPr>
    <w:rPr>
      <w:rFonts w:ascii="仿宋_GB2312" w:eastAsia="仿宋_GB2312"/>
      <w:sz w:val="28"/>
      <w:szCs w:val="30"/>
    </w:rPr>
  </w:style>
  <w:style w:type="paragraph" w:styleId="901">
    <w:name w:val="List Continue 2"/>
    <w:basedOn w:val="844"/>
    <w:uiPriority w:val="0"/>
    <w:qFormat/>
    <w:pPr>
      <w:ind w:left="840"/>
      <w:spacing w:after="120"/>
    </w:pPr>
  </w:style>
  <w:style w:type="paragraph" w:styleId="902">
    <w:name w:val="HTML Preformatted"/>
    <w:basedOn w:val="8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03">
    <w:name w:val="Normal (Web)"/>
    <w:basedOn w:val="844"/>
    <w:uiPriority w:val="0"/>
    <w:qFormat/>
    <w:pPr>
      <w:jc w:val="left"/>
      <w:spacing w:before="100" w:beforeAutospacing="1" w:after="100" w:afterAutospacing="1"/>
      <w:widowControl/>
    </w:pPr>
    <w:rPr>
      <w:rFonts w:ascii="宋体"/>
      <w:sz w:val="24"/>
      <w:szCs w:val="20"/>
    </w:rPr>
  </w:style>
  <w:style w:type="paragraph" w:styleId="904">
    <w:name w:val="index 2"/>
    <w:basedOn w:val="844"/>
    <w:next w:val="844"/>
    <w:uiPriority w:val="0"/>
    <w:qFormat/>
    <w:pPr>
      <w:ind w:left="200"/>
    </w:pPr>
    <w:rPr>
      <w:rFonts w:ascii="Calibri" w:hAnsi="Calibri"/>
    </w:rPr>
  </w:style>
  <w:style w:type="paragraph" w:styleId="905">
    <w:name w:val="Title"/>
    <w:basedOn w:val="844"/>
    <w:next w:val="844"/>
    <w:uiPriority w:val="0"/>
    <w:qFormat/>
    <w:pPr>
      <w:jc w:val="center"/>
      <w:spacing w:before="240" w:after="60"/>
      <w:outlineLvl w:val="0"/>
    </w:pPr>
    <w:rPr>
      <w:rFonts w:ascii="Cambria" w:hAnsi="Cambria"/>
      <w:b/>
      <w:bCs/>
      <w:sz w:val="32"/>
      <w:szCs w:val="32"/>
    </w:rPr>
  </w:style>
  <w:style w:type="paragraph" w:styleId="906">
    <w:name w:val="annotation subject"/>
    <w:basedOn w:val="865"/>
    <w:next w:val="865"/>
    <w:uiPriority w:val="0"/>
    <w:qFormat/>
    <w:rPr>
      <w:b/>
    </w:rPr>
  </w:style>
  <w:style w:type="paragraph" w:styleId="907">
    <w:name w:val="Body Text First Indent"/>
    <w:basedOn w:val="844"/>
    <w:next w:val="844"/>
    <w:uiPriority w:val="0"/>
    <w:qFormat/>
    <w:pPr>
      <w:ind w:firstLine="100"/>
      <w:spacing w:after="120"/>
    </w:pPr>
  </w:style>
  <w:style w:type="paragraph" w:styleId="908">
    <w:name w:val="Body Text First Indent 2"/>
    <w:basedOn w:val="870"/>
    <w:link w:val="936"/>
    <w:uiPriority w:val="0"/>
    <w:qFormat/>
    <w:pPr>
      <w:ind w:left="200" w:firstLine="200"/>
      <w:spacing w:after="120"/>
    </w:pPr>
    <w:rPr>
      <w:rFonts w:ascii="Times New Roman"/>
      <w:sz w:val="24"/>
      <w:szCs w:val="24"/>
    </w:rPr>
  </w:style>
  <w:style w:type="table" w:styleId="909">
    <w:name w:val="Table Grid"/>
    <w:basedOn w:val="8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0">
    <w:name w:val="Strong"/>
    <w:uiPriority w:val="0"/>
    <w:qFormat/>
    <w:rPr>
      <w:b/>
    </w:rPr>
  </w:style>
  <w:style w:type="character" w:styleId="911">
    <w:name w:val="endnote reference"/>
    <w:uiPriority w:val="0"/>
    <w:qFormat/>
    <w:rPr>
      <w:vertAlign w:val="superscript"/>
    </w:rPr>
  </w:style>
  <w:style w:type="character" w:styleId="912">
    <w:name w:val="page number"/>
    <w:uiPriority w:val="0"/>
    <w:qFormat/>
  </w:style>
  <w:style w:type="character" w:styleId="913">
    <w:name w:val="FollowedHyperlink"/>
    <w:uiPriority w:val="0"/>
    <w:qFormat/>
    <w:rPr>
      <w:color w:val="800080"/>
      <w:u w:val="single"/>
    </w:rPr>
  </w:style>
  <w:style w:type="character" w:styleId="914">
    <w:name w:val="Emphasis"/>
    <w:uiPriority w:val="0"/>
    <w:qFormat/>
    <w:rPr>
      <w:color w:val="cc0033"/>
    </w:rPr>
  </w:style>
  <w:style w:type="character" w:styleId="915">
    <w:name w:val="HTML Typewriter"/>
    <w:uiPriority w:val="0"/>
    <w:qFormat/>
    <w:rPr>
      <w:rFonts w:ascii="宋体" w:eastAsia="宋体" w:cs="宋体"/>
      <w:sz w:val="24"/>
      <w:szCs w:val="24"/>
      <w:lang w:bidi="ar-SA"/>
    </w:rPr>
  </w:style>
  <w:style w:type="character" w:styleId="916">
    <w:name w:val="HTML Acronym"/>
    <w:basedOn w:val="854"/>
    <w:uiPriority w:val="0"/>
    <w:qFormat/>
  </w:style>
  <w:style w:type="character" w:styleId="917">
    <w:name w:val="Hyperlink"/>
    <w:uiPriority w:val="99"/>
    <w:qFormat/>
    <w:rPr>
      <w:color w:val="0000ff"/>
      <w:u w:val="single"/>
    </w:rPr>
  </w:style>
  <w:style w:type="character" w:styleId="918">
    <w:name w:val="HTML Code"/>
    <w:basedOn w:val="854"/>
    <w:uiPriority w:val="0"/>
    <w:qFormat/>
    <w:rPr>
      <w:rFonts w:hint="default" w:ascii="monospace" w:hAnsi="monospace" w:eastAsia="monospace" w:cs="monospace"/>
      <w:sz w:val="20"/>
    </w:rPr>
  </w:style>
  <w:style w:type="character" w:styleId="919">
    <w:name w:val="annotation reference"/>
    <w:uiPriority w:val="0"/>
    <w:qFormat/>
    <w:rPr>
      <w:sz w:val="21"/>
    </w:rPr>
  </w:style>
  <w:style w:type="character" w:styleId="920">
    <w:name w:val="footnote reference"/>
    <w:uiPriority w:val="0"/>
    <w:qFormat/>
    <w:rPr>
      <w:vertAlign w:val="superscript"/>
    </w:rPr>
  </w:style>
  <w:style w:type="character" w:styleId="921">
    <w:name w:val="HTML Keyboard"/>
    <w:basedOn w:val="854"/>
    <w:uiPriority w:val="0"/>
    <w:qFormat/>
    <w:rPr>
      <w:rFonts w:hint="default" w:ascii="monospace" w:hAnsi="monospace" w:eastAsia="monospace" w:cs="monospace"/>
      <w:sz w:val="20"/>
    </w:rPr>
  </w:style>
  <w:style w:type="character" w:styleId="922">
    <w:name w:val="HTML Sample"/>
    <w:basedOn w:val="854"/>
    <w:uiPriority w:val="0"/>
    <w:qFormat/>
    <w:rPr>
      <w:rFonts w:ascii="monospace" w:hAnsi="monospace" w:eastAsia="monospace" w:cs="monospace"/>
    </w:rPr>
  </w:style>
  <w:style w:type="paragraph" w:styleId="923" w:customStyle="1">
    <w:name w:val="彩色列表1"/>
    <w:basedOn w:val="844"/>
    <w:uiPriority w:val="34"/>
    <w:qFormat/>
    <w:pPr>
      <w:ind w:firstLine="420"/>
    </w:pPr>
    <w:rPr>
      <w:szCs w:val="24"/>
    </w:rPr>
  </w:style>
  <w:style w:type="paragraph" w:styleId="924">
    <w:name w:val="List Paragraph"/>
    <w:basedOn w:val="844"/>
    <w:next w:val="844"/>
    <w:uiPriority w:val="34"/>
    <w:qFormat/>
    <w:pPr>
      <w:ind w:firstLine="420"/>
    </w:pPr>
  </w:style>
  <w:style w:type="paragraph" w:styleId="925" w:customStyle="1">
    <w:name w:val="样式1"/>
    <w:basedOn w:val="859"/>
    <w:next w:val="844"/>
    <w:uiPriority w:val="0"/>
    <w:qFormat/>
    <w:rPr>
      <w:rFonts w:ascii="Arial" w:hAnsi="Arial" w:eastAsia="幼圆" w:cs="Arial"/>
      <w:sz w:val="24"/>
      <w:szCs w:val="20"/>
    </w:rPr>
  </w:style>
  <w:style w:type="paragraph" w:styleId="92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7" w:customStyle="1">
    <w:name w:val="标题 1 Char"/>
    <w:link w:val="845"/>
    <w:uiPriority w:val="0"/>
    <w:qFormat/>
    <w:rPr>
      <w:b/>
      <w:sz w:val="44"/>
    </w:rPr>
  </w:style>
  <w:style w:type="character" w:styleId="928" w:customStyle="1">
    <w:name w:val="标题 2 Char"/>
    <w:link w:val="846"/>
    <w:uiPriority w:val="0"/>
    <w:qFormat/>
    <w:rPr>
      <w:rFonts w:ascii="Arial" w:hAnsi="Arial" w:eastAsia="黑体"/>
      <w:b/>
      <w:sz w:val="32"/>
    </w:rPr>
  </w:style>
  <w:style w:type="character" w:styleId="929" w:customStyle="1">
    <w:name w:val="标题 3 Char"/>
    <w:link w:val="847"/>
    <w:uiPriority w:val="0"/>
    <w:qFormat/>
    <w:rPr>
      <w:b/>
      <w:sz w:val="32"/>
    </w:rPr>
  </w:style>
  <w:style w:type="character" w:styleId="930" w:customStyle="1">
    <w:name w:val="标题 4 Char"/>
    <w:link w:val="848"/>
    <w:uiPriority w:val="0"/>
    <w:qFormat/>
    <w:rPr>
      <w:rFonts w:ascii="宋体" w:eastAsia="宋体"/>
      <w:color w:val="800000"/>
      <w:sz w:val="28"/>
      <w:lang w:val="en-US" w:eastAsia="zh-CN" w:bidi="ar-SA"/>
    </w:rPr>
  </w:style>
  <w:style w:type="character" w:styleId="931" w:customStyle="1">
    <w:name w:val="题注 Char"/>
    <w:link w:val="861"/>
    <w:uiPriority w:val="0"/>
    <w:qFormat/>
    <w:rPr>
      <w:rFonts w:ascii="Arial" w:hAnsi="Arial" w:eastAsia="黑体" w:cs="Arial"/>
    </w:rPr>
  </w:style>
  <w:style w:type="character" w:styleId="932" w:customStyle="1">
    <w:name w:val="批注文字 Char"/>
    <w:link w:val="865"/>
    <w:uiPriority w:val="99"/>
    <w:qFormat/>
    <w:rPr>
      <w:rFonts w:ascii="Calibri" w:hAnsi="Calibri" w:eastAsia="宋体" w:cs="Times New Roman"/>
      <w:sz w:val="21"/>
    </w:rPr>
  </w:style>
  <w:style w:type="character" w:styleId="933" w:customStyle="1">
    <w:name w:val="正文文本 Char"/>
    <w:link w:val="869"/>
    <w:uiPriority w:val="0"/>
    <w:qFormat/>
    <w:rPr>
      <w:rFonts w:ascii="仿宋_GB2312" w:eastAsia="仿宋_GB2312"/>
      <w:sz w:val="32"/>
      <w:szCs w:val="22"/>
    </w:rPr>
  </w:style>
  <w:style w:type="character" w:styleId="934" w:customStyle="1">
    <w:name w:val="页脚 Char"/>
    <w:link w:val="885"/>
    <w:uiPriority w:val="99"/>
    <w:qFormat/>
    <w:rPr>
      <w:rFonts w:ascii="Calibri" w:hAnsi="Calibri" w:eastAsia="宋体" w:cs="Times New Roman"/>
      <w:sz w:val="18"/>
      <w:szCs w:val="18"/>
    </w:rPr>
  </w:style>
  <w:style w:type="character" w:styleId="935" w:customStyle="1">
    <w:name w:val="页眉 Char"/>
    <w:link w:val="887"/>
    <w:uiPriority w:val="99"/>
    <w:qFormat/>
    <w:rPr>
      <w:sz w:val="18"/>
      <w:szCs w:val="18"/>
    </w:rPr>
  </w:style>
  <w:style w:type="character" w:styleId="936" w:customStyle="1">
    <w:name w:val="正文首行缩进 2 Char"/>
    <w:link w:val="908"/>
    <w:uiPriority w:val="0"/>
    <w:qFormat/>
    <w:rPr>
      <w:rFonts w:eastAsia="仿宋_GB2312"/>
      <w:sz w:val="24"/>
      <w:szCs w:val="24"/>
      <w:lang w:bidi="ar-SA"/>
    </w:rPr>
  </w:style>
  <w:style w:type="character" w:styleId="937" w:customStyle="1">
    <w:name w:val="maywed421"/>
    <w:uiPriority w:val="0"/>
    <w:qFormat/>
    <w:rPr>
      <w:color w:val="366fb6"/>
      <w:u w:val="none"/>
    </w:rPr>
  </w:style>
  <w:style w:type="character" w:styleId="938" w:customStyle="1">
    <w:name w:val="Comment Text Char"/>
    <w:uiPriority w:val="0"/>
    <w:qFormat/>
    <w:rPr>
      <w:rFonts w:cs="Times New Roman"/>
      <w:sz w:val="21"/>
      <w:szCs w:val="21"/>
      <w:lang w:bidi="ar-SA"/>
    </w:rPr>
  </w:style>
  <w:style w:type="character" w:styleId="939" w:customStyle="1">
    <w:name w:val="Char Char3"/>
    <w:uiPriority w:val="0"/>
    <w:qFormat/>
    <w:rPr>
      <w:rFonts w:ascii="Arial" w:hAnsi="Arial" w:eastAsia="黑体" w:cs="Times New Roman"/>
      <w:b/>
      <w:bCs/>
      <w:sz w:val="32"/>
      <w:szCs w:val="32"/>
      <w:lang w:val="en-US" w:eastAsia="zh-CN" w:bidi="ar-SA"/>
    </w:rPr>
  </w:style>
  <w:style w:type="character" w:styleId="940" w:customStyle="1">
    <w:name w:val="Heading 3 Char"/>
    <w:uiPriority w:val="0"/>
    <w:qFormat/>
    <w:rPr>
      <w:rFonts w:cs="Times New Roman"/>
      <w:b/>
      <w:bCs/>
      <w:sz w:val="32"/>
      <w:szCs w:val="32"/>
      <w:lang w:bidi="ar-SA"/>
    </w:rPr>
  </w:style>
  <w:style w:type="character" w:styleId="941" w:customStyle="1">
    <w:name w:val="A0"/>
    <w:uiPriority w:val="0"/>
    <w:qFormat/>
    <w:rPr>
      <w:rFonts w:ascii=".....?." w:hAnsi="宋体" w:eastAsia=".....?."/>
      <w:color w:val="000000"/>
      <w:sz w:val="22"/>
    </w:rPr>
  </w:style>
  <w:style w:type="character" w:styleId="942" w:customStyle="1">
    <w:name w:val="style91"/>
    <w:uiPriority w:val="0"/>
    <w:qFormat/>
    <w:rPr>
      <w:color w:val="2060c0"/>
      <w:sz w:val="24"/>
      <w:szCs w:val="24"/>
    </w:rPr>
  </w:style>
  <w:style w:type="character" w:styleId="943" w:customStyle="1">
    <w:name w:val="marklong"/>
    <w:uiPriority w:val="0"/>
    <w:qFormat/>
  </w:style>
  <w:style w:type="character" w:styleId="944" w:customStyle="1">
    <w:name w:val="font01"/>
    <w:uiPriority w:val="0"/>
    <w:qFormat/>
    <w:rPr>
      <w:rFonts w:hint="eastAsia" w:ascii="宋体" w:hAnsi="宋体" w:eastAsia="宋体" w:cs="宋体"/>
      <w:color w:val="000000"/>
      <w:sz w:val="24"/>
      <w:szCs w:val="24"/>
      <w:u w:val="none"/>
    </w:rPr>
  </w:style>
  <w:style w:type="character" w:styleId="945" w:customStyle="1">
    <w:name w:val="mark"/>
    <w:uiPriority w:val="0"/>
    <w:qFormat/>
    <w:rPr>
      <w:rFonts w:ascii="Times New Roman" w:hAnsi="Times New Roman" w:eastAsia="宋体" w:cs="Times New Roman"/>
    </w:rPr>
  </w:style>
  <w:style w:type="character" w:styleId="946" w:customStyle="1">
    <w:name w:val="font51"/>
    <w:uiPriority w:val="99"/>
    <w:qFormat/>
    <w:rPr>
      <w:rFonts w:ascii="宋体" w:hAnsi="宋体" w:eastAsia="宋体" w:cs="宋体"/>
      <w:color w:val="000000"/>
      <w:sz w:val="22"/>
      <w:szCs w:val="22"/>
    </w:rPr>
  </w:style>
  <w:style w:type="character" w:styleId="947" w:customStyle="1">
    <w:name w:val=" Char Char23"/>
    <w:uiPriority w:val="0"/>
    <w:qFormat/>
    <w:rPr>
      <w:sz w:val="24"/>
      <w:szCs w:val="21"/>
      <w:lang w:bidi="ar-SA"/>
    </w:rPr>
  </w:style>
  <w:style w:type="character" w:styleId="948" w:customStyle="1">
    <w:name w:val="A1"/>
    <w:uiPriority w:val="0"/>
    <w:qFormat/>
    <w:rPr>
      <w:rFonts w:ascii="Univers LT Std 45 Light" w:hAnsi="宋体" w:eastAsia="Univers LT Std 45 Light" w:cs="Univers LT Std 45 Light"/>
      <w:color w:val="221e1f"/>
      <w:sz w:val="10"/>
      <w:szCs w:val="10"/>
    </w:rPr>
  </w:style>
  <w:style w:type="character" w:styleId="949" w:customStyle="1">
    <w:name w:val="无间隔 Char"/>
    <w:link w:val="950"/>
    <w:uiPriority w:val="0"/>
    <w:qFormat/>
    <w:rPr>
      <w:sz w:val="22"/>
      <w:lang w:val="en-US" w:eastAsia="zh-CN" w:bidi="ar-SA"/>
    </w:rPr>
  </w:style>
  <w:style w:type="paragraph" w:styleId="950">
    <w:name w:val="No Spacing"/>
    <w:link w:val="949"/>
    <w:uiPriority w:val="0"/>
    <w:qFormat/>
    <w:rPr>
      <w:rFonts w:ascii="Times New Roman" w:hAnsi="Times New Roman" w:eastAsia="宋体" w:cs="Times New Roman"/>
      <w:sz w:val="22"/>
      <w:lang w:val="en-US" w:eastAsia="zh-CN" w:bidi="ar-SA"/>
    </w:rPr>
  </w:style>
  <w:style w:type="character" w:styleId="951" w:customStyle="1">
    <w:name w:val="apple-style-span"/>
    <w:uiPriority w:val="0"/>
    <w:qFormat/>
    <w:rPr>
      <w:rFonts w:ascii="宋体" w:hAnsi="宋体" w:cs="Times New Roman"/>
    </w:rPr>
  </w:style>
  <w:style w:type="character" w:styleId="952" w:customStyle="1">
    <w:name w:val="标题 2 Char Char Char"/>
    <w:uiPriority w:val="0"/>
    <w:qFormat/>
    <w:rPr>
      <w:rFonts w:ascii="Arial" w:hAnsi="Arial" w:eastAsia="宋体" w:cs="Arial"/>
      <w:b/>
      <w:bCs/>
      <w:i/>
      <w:iCs/>
      <w:sz w:val="28"/>
      <w:szCs w:val="28"/>
      <w:lang w:val="en-US" w:eastAsia="zh-CN" w:bidi="ar-SA"/>
    </w:rPr>
  </w:style>
  <w:style w:type="character" w:styleId="953" w:customStyle="1">
    <w:name w:val="Header Char1"/>
    <w:uiPriority w:val="0"/>
    <w:qFormat/>
    <w:rPr>
      <w:rFonts w:cs="Times New Roman"/>
      <w:sz w:val="18"/>
      <w:szCs w:val="18"/>
      <w:lang w:bidi="ar-SA"/>
    </w:rPr>
  </w:style>
  <w:style w:type="character" w:styleId="954" w:customStyle="1">
    <w:name w:val="纯文本 Char_0_0"/>
    <w:link w:val="955"/>
    <w:uiPriority w:val="0"/>
    <w:qFormat/>
    <w:rPr>
      <w:rFonts w:ascii="宋体" w:hAnsi="Courier New"/>
      <w:sz w:val="21"/>
      <w:szCs w:val="21"/>
    </w:rPr>
  </w:style>
  <w:style w:type="paragraph" w:styleId="955" w:customStyle="1">
    <w:name w:val="纯文本_0_0"/>
    <w:basedOn w:val="956"/>
    <w:link w:val="954"/>
    <w:uiPriority w:val="0"/>
    <w:unhideWhenUsed/>
    <w:qFormat/>
    <w:rPr>
      <w:rFonts w:ascii="宋体" w:hAnsi="Courier New"/>
      <w:szCs w:val="21"/>
    </w:rPr>
  </w:style>
  <w:style w:type="paragraph" w:styleId="95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957" w:customStyle="1">
    <w:name w:val="纯文本 Char_0"/>
    <w:link w:val="958"/>
    <w:uiPriority w:val="0"/>
    <w:qFormat/>
    <w:rPr>
      <w:rFonts w:ascii="宋体" w:hAnsi="Courier New" w:cs="Courier New"/>
      <w:sz w:val="21"/>
      <w:szCs w:val="21"/>
    </w:rPr>
  </w:style>
  <w:style w:type="paragraph" w:styleId="958" w:customStyle="1">
    <w:name w:val="纯文本_0"/>
    <w:basedOn w:val="959"/>
    <w:link w:val="957"/>
    <w:uiPriority w:val="0"/>
    <w:unhideWhenUsed/>
    <w:qFormat/>
    <w:rPr>
      <w:rFonts w:ascii="宋体" w:hAnsi="Courier New"/>
      <w:szCs w:val="21"/>
    </w:rPr>
  </w:style>
  <w:style w:type="paragraph" w:styleId="95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60" w:customStyle="1">
    <w:name w:val="font21"/>
    <w:uiPriority w:val="0"/>
    <w:qFormat/>
    <w:rPr>
      <w:rFonts w:ascii="Times New Roman" w:hAnsi="Times New Roman"/>
      <w:color w:val="000000"/>
      <w:sz w:val="20"/>
      <w:u w:val="none"/>
    </w:rPr>
  </w:style>
  <w:style w:type="character" w:styleId="961" w:customStyle="1">
    <w:name w:val="普通文字1 Char"/>
    <w:uiPriority w:val="0"/>
    <w:qFormat/>
    <w:rPr>
      <w:rFonts w:ascii="宋体" w:eastAsia="宋体" w:cs="Courier New"/>
      <w:sz w:val="21"/>
      <w:szCs w:val="21"/>
      <w:lang w:val="en-US" w:eastAsia="zh-CN" w:bidi="ar-SA"/>
    </w:rPr>
  </w:style>
  <w:style w:type="character" w:styleId="962" w:customStyle="1">
    <w:name w:val="ca-1"/>
    <w:uiPriority w:val="0"/>
    <w:qFormat/>
  </w:style>
  <w:style w:type="character" w:styleId="963" w:customStyle="1">
    <w:name w:val="正文缩进 Char1_0"/>
    <w:link w:val="964"/>
    <w:uiPriority w:val="0"/>
    <w:qFormat/>
    <w:rPr>
      <w:sz w:val="21"/>
      <w:szCs w:val="22"/>
    </w:rPr>
  </w:style>
  <w:style w:type="paragraph" w:styleId="964" w:customStyle="1">
    <w:name w:val="正文缩进_0"/>
    <w:basedOn w:val="959"/>
    <w:link w:val="963"/>
    <w:uiPriority w:val="0"/>
    <w:unhideWhenUsed/>
    <w:qFormat/>
    <w:pPr>
      <w:ind w:firstLine="420"/>
    </w:pPr>
    <w:rPr>
      <w:szCs w:val="22"/>
    </w:rPr>
  </w:style>
  <w:style w:type="character" w:styleId="965" w:customStyle="1">
    <w:name w:val="font41"/>
    <w:uiPriority w:val="0"/>
    <w:qFormat/>
    <w:rPr>
      <w:rFonts w:hint="eastAsia" w:ascii="宋体" w:hAnsi="宋体" w:eastAsia="宋体" w:cs="宋体"/>
      <w:color w:val="000000"/>
      <w:sz w:val="24"/>
      <w:szCs w:val="24"/>
      <w:u w:val="none"/>
    </w:rPr>
  </w:style>
  <w:style w:type="character" w:styleId="966" w:customStyle="1">
    <w:name w:val="font11"/>
    <w:uiPriority w:val="0"/>
    <w:qFormat/>
    <w:rPr>
      <w:rFonts w:hint="default" w:ascii="Times" w:hAnsi="Times" w:eastAsia="Times" w:cs="Times"/>
      <w:color w:val="000000"/>
      <w:sz w:val="24"/>
      <w:szCs w:val="24"/>
      <w:u w:val="none"/>
    </w:rPr>
  </w:style>
  <w:style w:type="character" w:styleId="967" w:customStyle="1">
    <w:name w:val="style161"/>
    <w:uiPriority w:val="0"/>
    <w:qFormat/>
    <w:rPr>
      <w:rFonts w:ascii="Verdana" w:hAnsi="Verdana" w:eastAsia="宋体"/>
      <w:b/>
      <w:color w:val="0a246a"/>
      <w:sz w:val="24"/>
      <w:szCs w:val="24"/>
      <w:lang w:val="en-US" w:eastAsia="zh-CN" w:bidi="ar-SA"/>
    </w:rPr>
  </w:style>
  <w:style w:type="character" w:styleId="968" w:customStyle="1">
    <w:name w:val="style15"/>
    <w:uiPriority w:val="0"/>
    <w:qFormat/>
  </w:style>
  <w:style w:type="character" w:styleId="969" w:customStyle="1">
    <w:name w:val="ca-11"/>
    <w:uiPriority w:val="0"/>
    <w:qFormat/>
    <w:rPr>
      <w:rFonts w:ascii="宋体" w:eastAsia="宋体"/>
      <w:b/>
      <w:bCs/>
      <w:color w:val="000000"/>
      <w:spacing w:val="-20"/>
      <w:sz w:val="28"/>
      <w:szCs w:val="28"/>
    </w:rPr>
  </w:style>
  <w:style w:type="character" w:styleId="970" w:customStyle="1">
    <w:name w:val="Plain Text Char1"/>
    <w:uiPriority w:val="0"/>
    <w:qFormat/>
    <w:rPr>
      <w:rFonts w:ascii="宋体" w:eastAsia="宋体"/>
      <w:sz w:val="21"/>
      <w:szCs w:val="21"/>
      <w:lang w:val="en-US" w:eastAsia="zh-CN" w:bidi="ar-SA"/>
    </w:rPr>
  </w:style>
  <w:style w:type="character" w:styleId="971" w:customStyle="1">
    <w:name w:val="ca-41"/>
    <w:uiPriority w:val="0"/>
    <w:qFormat/>
    <w:rPr>
      <w:rFonts w:ascii="宋体" w:eastAsia="宋体"/>
      <w:b/>
      <w:bCs/>
      <w:color w:val="000000"/>
      <w:spacing w:val="-20"/>
      <w:sz w:val="21"/>
      <w:szCs w:val="21"/>
    </w:rPr>
  </w:style>
  <w:style w:type="character" w:styleId="972" w:customStyle="1">
    <w:name w:val="Heading 2 Char"/>
    <w:uiPriority w:val="0"/>
    <w:qFormat/>
    <w:rPr>
      <w:rFonts w:ascii="Arial" w:hAnsi="Arial" w:eastAsia="黑体"/>
      <w:b/>
      <w:bCs/>
      <w:sz w:val="32"/>
      <w:szCs w:val="32"/>
      <w:lang w:val="en-US" w:eastAsia="zh-CN" w:bidi="ar-SA"/>
    </w:rPr>
  </w:style>
  <w:style w:type="character" w:styleId="973" w:customStyle="1">
    <w:name w:val="正文文本缩进 Char"/>
    <w:link w:val="974"/>
    <w:uiPriority w:val="0"/>
    <w:qFormat/>
    <w:rPr>
      <w:rFonts w:hAnsi="Times New Roman"/>
      <w:szCs w:val="20"/>
    </w:rPr>
  </w:style>
  <w:style w:type="paragraph" w:styleId="974" w:customStyle="1">
    <w:name w:val="正文文本缩进_0"/>
    <w:basedOn w:val="975"/>
    <w:link w:val="973"/>
    <w:uiPriority w:val="0"/>
    <w:qFormat/>
    <w:pPr>
      <w:ind w:firstLine="420"/>
      <w:spacing w:line="360" w:lineRule="auto"/>
    </w:pPr>
    <w:rPr>
      <w:sz w:val="20"/>
    </w:rPr>
  </w:style>
  <w:style w:type="paragraph" w:styleId="97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976" w:customStyle="1">
    <w:name w:val="Heading 4 Char"/>
    <w:uiPriority w:val="0"/>
    <w:qFormat/>
    <w:rPr>
      <w:rFonts w:ascii="Cambria" w:hAnsi="Cambria" w:eastAsia="宋体" w:cs="Cambria"/>
      <w:b/>
      <w:bCs/>
      <w:sz w:val="28"/>
      <w:szCs w:val="28"/>
      <w:lang w:bidi="ar-SA"/>
    </w:rPr>
  </w:style>
  <w:style w:type="character" w:styleId="977" w:customStyle="1">
    <w:name w:val="Footer Char1"/>
    <w:uiPriority w:val="0"/>
    <w:qFormat/>
    <w:rPr>
      <w:rFonts w:cs="Times New Roman"/>
      <w:sz w:val="18"/>
      <w:szCs w:val="18"/>
      <w:lang w:bidi="ar-SA"/>
    </w:rPr>
  </w:style>
  <w:style w:type="character" w:styleId="978" w:customStyle="1">
    <w:name w:val="正文（编号） Char Char"/>
    <w:link w:val="979"/>
    <w:uiPriority w:val="0"/>
    <w:qFormat/>
    <w:rPr>
      <w:sz w:val="24"/>
      <w:szCs w:val="24"/>
    </w:rPr>
  </w:style>
  <w:style w:type="paragraph" w:styleId="979" w:customStyle="1">
    <w:name w:val="正文（编号）"/>
    <w:basedOn w:val="980"/>
    <w:link w:val="978"/>
    <w:uiPriority w:val="0"/>
    <w:qFormat/>
    <w:pPr>
      <w:ind w:left="720" w:firstLine="0"/>
      <w:tabs>
        <w:tab w:val="left" w:pos="720" w:leader="none"/>
        <w:tab w:val="left" w:pos="780" w:leader="none"/>
      </w:tabs>
    </w:pPr>
    <w:rPr>
      <w:szCs w:val="24"/>
    </w:rPr>
  </w:style>
  <w:style w:type="paragraph" w:styleId="980" w:customStyle="1">
    <w:name w:val="正文（缩进）"/>
    <w:basedOn w:val="844"/>
    <w:uiPriority w:val="0"/>
    <w:qFormat/>
    <w:pPr>
      <w:ind w:firstLine="200"/>
      <w:spacing w:before="50" w:after="50" w:line="360" w:lineRule="auto"/>
    </w:pPr>
    <w:rPr>
      <w:sz w:val="24"/>
    </w:rPr>
  </w:style>
  <w:style w:type="character" w:styleId="981" w:customStyle="1">
    <w:name w:val="ca-51"/>
    <w:uiPriority w:val="0"/>
    <w:qFormat/>
    <w:rPr>
      <w:rFonts w:ascii="楷体_GB2312" w:eastAsia="楷体_GB2312"/>
      <w:b/>
      <w:bCs/>
      <w:spacing w:val="-20"/>
      <w:sz w:val="24"/>
      <w:szCs w:val="24"/>
    </w:rPr>
  </w:style>
  <w:style w:type="character" w:styleId="982" w:customStyle="1">
    <w:name w:val="z1"/>
    <w:uiPriority w:val="0"/>
    <w:qFormat/>
  </w:style>
  <w:style w:type="character" w:styleId="983" w:customStyle="1">
    <w:name w:val="Char Char1"/>
    <w:uiPriority w:val="0"/>
    <w:qFormat/>
    <w:rPr>
      <w:rFonts w:ascii="宋体" w:eastAsia="宋体"/>
      <w:sz w:val="21"/>
      <w:lang w:val="en-US" w:eastAsia="zh-CN"/>
    </w:rPr>
  </w:style>
  <w:style w:type="character" w:styleId="984" w:customStyle="1">
    <w:name w:val="正文（标记） Char2"/>
    <w:link w:val="985"/>
    <w:uiPriority w:val="0"/>
    <w:qFormat/>
    <w:rPr>
      <w:sz w:val="24"/>
      <w:szCs w:val="24"/>
    </w:rPr>
  </w:style>
  <w:style w:type="paragraph" w:styleId="985" w:customStyle="1">
    <w:name w:val="正文（标记）"/>
    <w:basedOn w:val="844"/>
    <w:link w:val="984"/>
    <w:uiPriority w:val="0"/>
    <w:qFormat/>
    <w:pPr>
      <w:spacing w:before="50" w:after="50"/>
      <w:tabs>
        <w:tab w:val="left" w:pos="0" w:leader="none"/>
        <w:tab w:val="left" w:pos="840" w:leader="none"/>
      </w:tabs>
    </w:pPr>
    <w:rPr>
      <w:sz w:val="24"/>
      <w:szCs w:val="24"/>
    </w:rPr>
  </w:style>
  <w:style w:type="character" w:styleId="986" w:customStyle="1">
    <w:name w:val="ca-31"/>
    <w:uiPriority w:val="0"/>
    <w:qFormat/>
    <w:rPr>
      <w:rFonts w:ascii="宋体" w:eastAsia="宋体"/>
      <w:color w:val="000000"/>
      <w:sz w:val="21"/>
      <w:szCs w:val="21"/>
    </w:rPr>
  </w:style>
  <w:style w:type="character" w:styleId="987" w:customStyle="1">
    <w:name w:val="Char Char"/>
    <w:uiPriority w:val="0"/>
    <w:qFormat/>
    <w:rPr>
      <w:rFonts w:eastAsia="宋体"/>
      <w:sz w:val="18"/>
      <w:lang w:val="en-US" w:eastAsia="zh-CN"/>
    </w:rPr>
  </w:style>
  <w:style w:type="character" w:styleId="988" w:customStyle="1">
    <w:name w:val="Plain Text Char"/>
    <w:uiPriority w:val="0"/>
    <w:qFormat/>
    <w:rPr>
      <w:rFonts w:ascii="宋体" w:eastAsia="宋体"/>
      <w:sz w:val="21"/>
      <w:lang w:val="en-US" w:eastAsia="zh-CN"/>
    </w:rPr>
  </w:style>
  <w:style w:type="character" w:styleId="989" w:customStyle="1">
    <w:name w:val=" Char Char3"/>
    <w:uiPriority w:val="0"/>
    <w:qFormat/>
    <w:rPr>
      <w:rFonts w:ascii="宋体" w:eastAsia="宋体"/>
      <w:sz w:val="18"/>
      <w:szCs w:val="18"/>
      <w:lang w:val="en-US" w:eastAsia="zh-CN" w:bidi="ar-SA"/>
    </w:rPr>
  </w:style>
  <w:style w:type="character" w:styleId="990" w:customStyle="1">
    <w:name w:val=" Char Char2"/>
    <w:uiPriority w:val="0"/>
    <w:qFormat/>
    <w:rPr>
      <w:sz w:val="18"/>
      <w:szCs w:val="18"/>
    </w:rPr>
  </w:style>
  <w:style w:type="character" w:styleId="991" w:customStyle="1">
    <w:name w:val="wj1"/>
    <w:uiPriority w:val="0"/>
    <w:qFormat/>
    <w:rPr>
      <w:color w:val="000000"/>
      <w:sz w:val="18"/>
      <w:szCs w:val="18"/>
      <w:u w:val="none"/>
    </w:rPr>
  </w:style>
  <w:style w:type="character" w:styleId="992" w:customStyle="1">
    <w:name w:val="z12 style23"/>
    <w:uiPriority w:val="0"/>
    <w:qFormat/>
  </w:style>
  <w:style w:type="character" w:styleId="993" w:customStyle="1">
    <w:name w:val="Footer Char"/>
    <w:uiPriority w:val="0"/>
    <w:qFormat/>
    <w:rPr>
      <w:rFonts w:eastAsia="宋体"/>
      <w:sz w:val="18"/>
      <w:lang w:val="en-US" w:eastAsia="zh-CN"/>
    </w:rPr>
  </w:style>
  <w:style w:type="character" w:styleId="994" w:customStyle="1">
    <w:name w:val="question-title"/>
    <w:uiPriority w:val="0"/>
    <w:qFormat/>
  </w:style>
  <w:style w:type="character" w:styleId="995" w:customStyle="1">
    <w:name w:val="font71"/>
    <w:uiPriority w:val="0"/>
    <w:qFormat/>
    <w:rPr>
      <w:rFonts w:hint="eastAsia" w:ascii="宋体" w:hAnsi="宋体" w:eastAsia="宋体" w:cs="宋体"/>
      <w:color w:val="ff0000"/>
      <w:sz w:val="24"/>
      <w:szCs w:val="24"/>
      <w:u w:val="none"/>
    </w:rPr>
  </w:style>
  <w:style w:type="character" w:styleId="996" w:customStyle="1">
    <w:name w:val="ca-21"/>
    <w:uiPriority w:val="0"/>
    <w:qFormat/>
    <w:rPr>
      <w:rFonts w:ascii="宋体" w:eastAsia="宋体"/>
      <w:sz w:val="21"/>
    </w:rPr>
  </w:style>
  <w:style w:type="character" w:styleId="997" w:customStyle="1">
    <w:name w:val="正文（缩进） Char Char"/>
    <w:uiPriority w:val="0"/>
    <w:qFormat/>
    <w:rPr>
      <w:rFonts w:eastAsia="宋体"/>
      <w:sz w:val="24"/>
      <w:szCs w:val="24"/>
      <w:lang w:val="en-US" w:eastAsia="zh-CN" w:bidi="ar-SA"/>
    </w:rPr>
  </w:style>
  <w:style w:type="character" w:styleId="998" w:customStyle="1">
    <w:name w:val="ca-01"/>
    <w:uiPriority w:val="0"/>
    <w:qFormat/>
    <w:rPr>
      <w:rFonts w:ascii="宋体" w:eastAsia="宋体"/>
      <w:b/>
      <w:bCs/>
      <w:spacing w:val="-20"/>
      <w:sz w:val="24"/>
      <w:szCs w:val="24"/>
    </w:rPr>
  </w:style>
  <w:style w:type="character" w:styleId="999" w:customStyle="1">
    <w:name w:val="正文文本缩进 2 Char"/>
    <w:link w:val="1000"/>
    <w:uiPriority w:val="0"/>
    <w:qFormat/>
    <w:rPr>
      <w:rFonts w:hAnsi="Times New Roman"/>
      <w:sz w:val="21"/>
      <w:szCs w:val="20"/>
    </w:rPr>
  </w:style>
  <w:style w:type="paragraph" w:styleId="1000" w:customStyle="1">
    <w:name w:val="正文文本缩进 2_0"/>
    <w:basedOn w:val="975"/>
    <w:link w:val="999"/>
    <w:uiPriority w:val="0"/>
    <w:qFormat/>
    <w:pPr>
      <w:ind w:firstLine="525"/>
      <w:spacing w:line="420" w:lineRule="exact"/>
    </w:pPr>
  </w:style>
  <w:style w:type="character" w:styleId="1001" w:customStyle="1">
    <w:name w:val="Header Char"/>
    <w:uiPriority w:val="0"/>
    <w:qFormat/>
    <w:rPr>
      <w:rFonts w:eastAsia="宋体"/>
      <w:sz w:val="18"/>
      <w:lang w:val="en-US" w:eastAsia="zh-CN"/>
    </w:rPr>
  </w:style>
  <w:style w:type="character" w:styleId="1002" w:customStyle="1">
    <w:name w:val="font31"/>
    <w:uiPriority w:val="0"/>
    <w:qFormat/>
    <w:rPr>
      <w:rFonts w:hint="default" w:ascii="Arial" w:hAnsi="Arial" w:cs="Arial"/>
      <w:color w:val="000000"/>
      <w:sz w:val="22"/>
      <w:szCs w:val="22"/>
      <w:u w:val="none"/>
    </w:rPr>
  </w:style>
  <w:style w:type="character" w:styleId="1003" w:customStyle="1">
    <w:name w:val="Char Char2"/>
    <w:uiPriority w:val="0"/>
    <w:qFormat/>
    <w:rPr>
      <w:sz w:val="18"/>
      <w:szCs w:val="18"/>
    </w:rPr>
  </w:style>
  <w:style w:type="character" w:styleId="1004">
    <w:name w:val="Placeholder Text"/>
    <w:uiPriority w:val="99"/>
    <w:qFormat/>
    <w:rPr>
      <w:color w:val="808080"/>
    </w:rPr>
  </w:style>
  <w:style w:type="character" w:styleId="1005" w:customStyle="1">
    <w:name w:val="段落 Char"/>
    <w:uiPriority w:val="0"/>
    <w:qFormat/>
    <w:rPr>
      <w:rFonts w:ascii="仿宋_GB2312" w:eastAsia="仿宋_GB2312"/>
      <w:sz w:val="24"/>
      <w:szCs w:val="24"/>
      <w:lang w:val="en-US" w:eastAsia="zh-CN" w:bidi="ar-SA"/>
    </w:rPr>
  </w:style>
  <w:style w:type="character" w:styleId="1006" w:customStyle="1">
    <w:name w:val="apple-converted-space"/>
    <w:uiPriority w:val="0"/>
    <w:qFormat/>
  </w:style>
  <w:style w:type="paragraph" w:styleId="1007" w:customStyle="1">
    <w:name w:val="说明书2级标题"/>
    <w:basedOn w:val="844"/>
    <w:next w:val="1008"/>
    <w:uiPriority w:val="0"/>
    <w:qFormat/>
    <w:pPr>
      <w:numPr>
        <w:ilvl w:val="2"/>
        <w:numId w:val="1"/>
      </w:numPr>
      <w:spacing w:before="100"/>
    </w:pPr>
    <w:rPr>
      <w:rFonts w:ascii="Calibri" w:hAnsi="Calibri" w:eastAsia="黑体"/>
      <w:sz w:val="28"/>
      <w:szCs w:val="28"/>
    </w:rPr>
  </w:style>
  <w:style w:type="paragraph" w:styleId="1008" w:customStyle="1">
    <w:name w:val="说明书3级标题"/>
    <w:basedOn w:val="844"/>
    <w:next w:val="844"/>
    <w:uiPriority w:val="0"/>
    <w:qFormat/>
    <w:pPr>
      <w:numPr>
        <w:ilvl w:val="2"/>
        <w:numId w:val="2"/>
      </w:numPr>
      <w:spacing w:line="360" w:lineRule="auto"/>
    </w:pPr>
    <w:rPr>
      <w:rFonts w:ascii="Calibri" w:hAnsi="Calibri" w:eastAsia="黑体"/>
      <w:sz w:val="24"/>
    </w:rPr>
  </w:style>
  <w:style w:type="paragraph" w:styleId="100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正文小四"/>
    <w:basedOn w:val="844"/>
    <w:uiPriority w:val="0"/>
    <w:qFormat/>
    <w:pPr>
      <w:spacing w:line="312" w:lineRule="auto"/>
    </w:pPr>
    <w:rPr>
      <w:rFonts w:ascii="Calibri" w:hAnsi="Calibri"/>
      <w:sz w:val="24"/>
    </w:rPr>
  </w:style>
  <w:style w:type="paragraph" w:styleId="1011" w:customStyle="1">
    <w:name w:val="CM17"/>
    <w:basedOn w:val="844"/>
    <w:next w:val="844"/>
    <w:uiPriority w:val="0"/>
    <w:qFormat/>
    <w:pPr>
      <w:jc w:val="left"/>
      <w:spacing w:after="273" w:line="360" w:lineRule="auto"/>
    </w:pPr>
    <w:rPr>
      <w:rFonts w:ascii="宋体"/>
      <w:sz w:val="24"/>
    </w:rPr>
  </w:style>
  <w:style w:type="paragraph" w:styleId="101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13" w:customStyle="1">
    <w:name w:val="Normal_6"/>
    <w:uiPriority w:val="0"/>
    <w:qFormat/>
    <w:rPr>
      <w:rFonts w:ascii="黑体" w:hAnsi="黑体" w:eastAsia="黑体" w:cs="Times New Roman"/>
      <w:b/>
      <w:sz w:val="32"/>
      <w:szCs w:val="24"/>
      <w:lang w:val="en-US" w:eastAsia="zh-CN" w:bidi="ar-SA"/>
    </w:rPr>
  </w:style>
  <w:style w:type="paragraph" w:styleId="1014" w:customStyle="1">
    <w:name w:val="xl3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15" w:customStyle="1">
    <w:name w:val="Normal_17_0"/>
    <w:uiPriority w:val="0"/>
    <w:qFormat/>
    <w:rPr>
      <w:rFonts w:ascii="黑体" w:hAnsi="黑体" w:eastAsia="黑体" w:cs="Times New Roman"/>
      <w:b/>
      <w:sz w:val="32"/>
      <w:szCs w:val="24"/>
      <w:lang w:val="en-US" w:eastAsia="zh-CN" w:bidi="ar-SA"/>
    </w:rPr>
  </w:style>
  <w:style w:type="paragraph" w:styleId="101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17" w:customStyle="1">
    <w:name w:val="规范正文"/>
    <w:basedOn w:val="844"/>
    <w:uiPriority w:val="0"/>
    <w:qFormat/>
    <w:pPr>
      <w:ind w:left="480"/>
      <w:spacing w:line="360" w:lineRule="auto"/>
    </w:pPr>
    <w:rPr>
      <w:sz w:val="24"/>
      <w:szCs w:val="20"/>
    </w:rPr>
  </w:style>
  <w:style w:type="paragraph" w:styleId="1018" w:customStyle="1">
    <w:name w:val="txt"/>
    <w:basedOn w:val="844"/>
    <w:uiPriority w:val="0"/>
    <w:qFormat/>
    <w:pPr>
      <w:jc w:val="left"/>
      <w:spacing w:before="100" w:beforeAutospacing="1" w:after="100" w:afterAutospacing="1"/>
      <w:widowControl/>
    </w:pPr>
    <w:rPr>
      <w:rFonts w:ascii="宋体" w:cs="宋体"/>
      <w:sz w:val="24"/>
    </w:rPr>
  </w:style>
  <w:style w:type="paragraph" w:styleId="1019" w:customStyle="1">
    <w:name w:val="Normal_9"/>
    <w:uiPriority w:val="0"/>
    <w:qFormat/>
    <w:rPr>
      <w:rFonts w:ascii="黑体" w:hAnsi="黑体" w:eastAsia="黑体" w:cs="Times New Roman"/>
      <w:b/>
      <w:sz w:val="32"/>
      <w:szCs w:val="24"/>
      <w:lang w:val="en-US" w:eastAsia="zh-CN" w:bidi="ar-SA"/>
    </w:rPr>
  </w:style>
  <w:style w:type="paragraph" w:styleId="102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21" w:customStyle="1">
    <w:name w:val="Normal_1_1"/>
    <w:uiPriority w:val="0"/>
    <w:qFormat/>
    <w:rPr>
      <w:rFonts w:ascii="黑体" w:hAnsi="黑体" w:eastAsia="黑体" w:cs="Times New Roman"/>
      <w:b/>
      <w:sz w:val="32"/>
      <w:szCs w:val="24"/>
      <w:lang w:val="en-US" w:eastAsia="zh-CN" w:bidi="ar-SA"/>
    </w:rPr>
  </w:style>
  <w:style w:type="paragraph" w:styleId="1022" w:customStyle="1">
    <w:name w:val="表格正文"/>
    <w:basedOn w:val="844"/>
    <w:uiPriority w:val="0"/>
    <w:qFormat/>
    <w:pPr>
      <w:spacing w:line="300" w:lineRule="auto"/>
      <w:tabs>
        <w:tab w:val="left" w:pos="420" w:leader="none"/>
      </w:tabs>
    </w:pPr>
  </w:style>
  <w:style w:type="paragraph" w:styleId="1023" w:customStyle="1">
    <w:name w:val="加点正文缩进"/>
    <w:basedOn w:val="844"/>
    <w:uiPriority w:val="0"/>
    <w:qFormat/>
    <w:pPr>
      <w:ind w:left="962" w:hanging="480"/>
      <w:spacing w:line="300" w:lineRule="auto"/>
      <w:tabs>
        <w:tab w:val="left" w:pos="840" w:leader="none"/>
      </w:tabs>
    </w:pPr>
    <w:rPr>
      <w:sz w:val="24"/>
    </w:rPr>
  </w:style>
  <w:style w:type="paragraph" w:styleId="1024" w:customStyle="1">
    <w:name w:val="Normal_1_0"/>
    <w:uiPriority w:val="0"/>
    <w:qFormat/>
    <w:rPr>
      <w:rFonts w:ascii="Times New Roman" w:hAnsi="Times New Roman" w:eastAsia="Times New Roman" w:cs="Times New Roman"/>
      <w:sz w:val="24"/>
      <w:szCs w:val="24"/>
      <w:lang w:val="en-US" w:eastAsia="zh-CN" w:bidi="ar-SA"/>
    </w:rPr>
  </w:style>
  <w:style w:type="paragraph" w:styleId="1025" w:customStyle="1">
    <w:name w:val="Char Char1 Char Char Char Char Char Char Char Char"/>
    <w:basedOn w:val="844"/>
    <w:uiPriority w:val="0"/>
    <w:qFormat/>
    <w:pPr>
      <w:jc w:val="left"/>
      <w:spacing w:after="160" w:line="240" w:lineRule="exact"/>
      <w:widowControl/>
    </w:pPr>
  </w:style>
  <w:style w:type="paragraph" w:styleId="1026" w:customStyle="1">
    <w:name w:val="Char1"/>
    <w:basedOn w:val="844"/>
    <w:uiPriority w:val="0"/>
    <w:qFormat/>
  </w:style>
  <w:style w:type="paragraph" w:styleId="1027" w:customStyle="1">
    <w:name w:val="style42"/>
    <w:basedOn w:val="844"/>
    <w:uiPriority w:val="0"/>
    <w:qFormat/>
    <w:pPr>
      <w:jc w:val="left"/>
      <w:spacing w:before="100" w:beforeAutospacing="1" w:after="100" w:afterAutospacing="1"/>
      <w:widowControl/>
    </w:pPr>
    <w:rPr>
      <w:rFonts w:ascii="宋体" w:cs="宋体"/>
      <w:color w:val="000000"/>
      <w:sz w:val="15"/>
      <w:szCs w:val="15"/>
    </w:rPr>
  </w:style>
  <w:style w:type="paragraph" w:styleId="1028" w:customStyle="1">
    <w:name w:val="表中文字"/>
    <w:basedOn w:val="844"/>
    <w:uiPriority w:val="0"/>
    <w:qFormat/>
    <w:pPr>
      <w:widowControl/>
    </w:pPr>
    <w:rPr>
      <w:rFonts w:ascii="Calibri" w:hAnsi="Calibri"/>
      <w:szCs w:val="20"/>
    </w:rPr>
  </w:style>
  <w:style w:type="paragraph" w:styleId="1029"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30" w:customStyle="1">
    <w:name w:val="无标题正文 Char Char Char Char Char Char Char Char Char Char Char Char Char Char Char Char Char Char Char Char Char Char Char Char Char Char Char1 Char"/>
    <w:basedOn w:val="844"/>
    <w:uiPriority w:val="0"/>
    <w:qFormat/>
    <w:pPr>
      <w:jc w:val="center"/>
      <w:spacing w:after="160" w:line="240" w:lineRule="exact"/>
      <w:widowControl/>
    </w:pPr>
    <w:rPr>
      <w:rFonts w:ascii="Arial" w:hAnsi="Arial"/>
      <w:sz w:val="20"/>
      <w:szCs w:val="20"/>
      <w:lang w:eastAsia="en-US"/>
    </w:rPr>
  </w:style>
  <w:style w:type="paragraph" w:styleId="1031" w:customStyle="1">
    <w:name w:val=" Char1"/>
    <w:basedOn w:val="844"/>
    <w:uiPriority w:val="0"/>
    <w:qFormat/>
    <w:pPr>
      <w:ind w:left="360" w:right="202" w:firstLine="360"/>
      <w:spacing w:line="480" w:lineRule="auto"/>
      <w:tabs>
        <w:tab w:val="left" w:pos="360" w:leader="none"/>
      </w:tabs>
    </w:pPr>
    <w:rPr>
      <w:sz w:val="24"/>
    </w:rPr>
  </w:style>
  <w:style w:type="paragraph" w:styleId="1032"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默认段落字体 Para Char"/>
    <w:basedOn w:val="844"/>
    <w:uiPriority w:val="0"/>
    <w:qFormat/>
    <w:rPr>
      <w:rFonts w:ascii="宋体"/>
      <w:b/>
      <w:sz w:val="28"/>
      <w:szCs w:val="28"/>
    </w:rPr>
  </w:style>
  <w:style w:type="paragraph" w:styleId="1034" w:customStyle="1">
    <w:name w:val="Table Text"/>
    <w:basedOn w:val="844"/>
    <w:uiPriority w:val="0"/>
    <w:semiHidden/>
    <w:qFormat/>
    <w:rPr>
      <w:rFonts w:ascii="宋体" w:hAnsi="宋体" w:cs="宋体"/>
      <w:sz w:val="17"/>
      <w:szCs w:val="17"/>
      <w:lang w:eastAsia="en-US"/>
    </w:rPr>
  </w:style>
  <w:style w:type="paragraph" w:styleId="1035" w:customStyle="1">
    <w:name w:val="Char Char Char Char Char 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036" w:customStyle="1">
    <w:name w:val="Normal_17"/>
    <w:uiPriority w:val="0"/>
    <w:qFormat/>
    <w:rPr>
      <w:rFonts w:ascii="黑体" w:hAnsi="黑体" w:eastAsia="黑体" w:cs="Times New Roman"/>
      <w:b/>
      <w:sz w:val="32"/>
      <w:szCs w:val="24"/>
      <w:lang w:val="en-US" w:eastAsia="zh-CN" w:bidi="ar-SA"/>
    </w:rPr>
  </w:style>
  <w:style w:type="paragraph" w:styleId="1037" w:customStyle="1">
    <w:name w:val="Char Char Char Char Char Char Char Char Char Char2"/>
    <w:basedOn w:val="844"/>
    <w:uiPriority w:val="0"/>
    <w:qFormat/>
    <w:rPr>
      <w:rFonts w:ascii="Tahoma" w:hAnsi="Tahoma"/>
      <w:sz w:val="24"/>
      <w:szCs w:val="20"/>
    </w:rPr>
  </w:style>
  <w:style w:type="paragraph" w:styleId="1038" w:customStyle="1">
    <w:name w:val="Revision"/>
    <w:uiPriority w:val="0"/>
    <w:qFormat/>
    <w:rPr>
      <w:rFonts w:ascii="Times New Roman" w:hAnsi="Times New Roman" w:eastAsia="宋体" w:cs="Times New Roman"/>
      <w:sz w:val="21"/>
      <w:szCs w:val="24"/>
      <w:lang w:val="en-US" w:eastAsia="zh-CN" w:bidi="ar-SA"/>
    </w:rPr>
  </w:style>
  <w:style w:type="paragraph" w:styleId="103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40" w:customStyle="1">
    <w:name w:val="xl41"/>
    <w:basedOn w:val="844"/>
    <w:uiPriority w:val="0"/>
    <w:qFormat/>
    <w:pPr>
      <w:jc w:val="left"/>
      <w:spacing w:before="100" w:beforeAutospacing="1" w:after="100" w:afterAutospacing="1"/>
      <w:widowControl/>
      <w:pBdr>
        <w:bottom w:val="single" w:color="auto" w:sz="4" w:space="0"/>
        <w:right w:val="single" w:color="auto" w:sz="4" w:space="0"/>
      </w:pBdr>
    </w:pPr>
    <w:rPr>
      <w:rFonts w:ascii="Arial Unicode MS" w:hAnsi="Arial Unicode MS"/>
      <w:sz w:val="24"/>
    </w:rPr>
  </w:style>
  <w:style w:type="paragraph" w:styleId="1041" w:customStyle="1">
    <w:name w:val="Normal Paragraph Char"/>
    <w:basedOn w:val="844"/>
    <w:uiPriority w:val="0"/>
    <w:qFormat/>
    <w:pPr>
      <w:ind w:firstLine="425"/>
      <w:spacing w:before="120" w:line="360" w:lineRule="auto"/>
      <w:widowControl/>
    </w:pPr>
    <w:rPr>
      <w:rFonts w:ascii="Calibri" w:hAnsi="Calibri"/>
      <w:sz w:val="24"/>
    </w:rPr>
  </w:style>
  <w:style w:type="paragraph" w:styleId="1042" w:customStyle="1">
    <w:name w:val="xl40"/>
    <w:basedOn w:val="844"/>
    <w:uiPriority w:val="0"/>
    <w:qFormat/>
    <w:pPr>
      <w:jc w:val="left"/>
      <w:spacing w:before="100" w:beforeAutospacing="1" w:after="100" w:afterAutospacing="1"/>
      <w:widowControl/>
      <w:pBdr>
        <w:right w:val="single" w:color="auto" w:sz="4" w:space="0"/>
      </w:pBdr>
    </w:pPr>
    <w:rPr>
      <w:rFonts w:ascii="Arial Unicode MS" w:hAnsi="Arial Unicode MS"/>
      <w:sz w:val="24"/>
    </w:rPr>
  </w:style>
  <w:style w:type="paragraph" w:styleId="1043" w:customStyle="1">
    <w:name w:val=" Char Char Char"/>
    <w:basedOn w:val="844"/>
    <w:uiPriority w:val="0"/>
    <w:qFormat/>
    <w:rPr>
      <w:rFonts w:ascii="Calibri" w:hAnsi="Calibri"/>
      <w:szCs w:val="21"/>
    </w:rPr>
  </w:style>
  <w:style w:type="paragraph" w:styleId="104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标题2"/>
    <w:basedOn w:val="844"/>
    <w:uiPriority w:val="0"/>
    <w:qFormat/>
    <w:pPr>
      <w:tabs>
        <w:tab w:val="left" w:pos="0" w:leader="none"/>
      </w:tabs>
    </w:pPr>
    <w:rPr>
      <w:rFonts w:ascii="黑体" w:eastAsia="黑体"/>
      <w:sz w:val="24"/>
    </w:rPr>
  </w:style>
  <w:style w:type="paragraph" w:styleId="104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047" w:customStyle="1">
    <w:name w:val="段"/>
    <w:uiPriority w:val="0"/>
    <w:qFormat/>
    <w:pPr>
      <w:ind w:firstLine="200"/>
      <w:jc w:val="both"/>
    </w:pPr>
    <w:rPr>
      <w:rFonts w:ascii="宋体" w:hAnsi="Times New Roman" w:eastAsia="宋体" w:cs="Times New Roman"/>
      <w:sz w:val="21"/>
      <w:lang w:val="en-US" w:eastAsia="zh-CN" w:bidi="ar-SA"/>
    </w:rPr>
  </w:style>
  <w:style w:type="paragraph" w:styleId="1048" w:customStyle="1">
    <w:name w:val="样式 正文缩进 + (中文) 仿宋_GB2312 小四 Char"/>
    <w:basedOn w:val="860"/>
    <w:uiPriority w:val="0"/>
    <w:qFormat/>
    <w:pPr>
      <w:ind w:firstLine="200"/>
      <w:spacing w:line="360" w:lineRule="auto"/>
    </w:pPr>
    <w:rPr>
      <w:color w:val="auto"/>
      <w:szCs w:val="24"/>
    </w:rPr>
  </w:style>
  <w:style w:type="paragraph" w:styleId="1049" w:customStyle="1">
    <w:name w:val="五级条标题"/>
    <w:basedOn w:val="1050"/>
    <w:next w:val="1047"/>
    <w:uiPriority w:val="0"/>
    <w:qFormat/>
    <w:pPr>
      <w:outlineLvl w:val="6"/>
    </w:pPr>
  </w:style>
  <w:style w:type="paragraph" w:styleId="1050" w:customStyle="1">
    <w:name w:val="四级条标题"/>
    <w:basedOn w:val="1051"/>
    <w:next w:val="1047"/>
    <w:uiPriority w:val="0"/>
    <w:qFormat/>
    <w:pPr>
      <w:ind w:left="0"/>
      <w:outlineLvl w:val="5"/>
    </w:pPr>
  </w:style>
  <w:style w:type="paragraph" w:styleId="1051" w:customStyle="1">
    <w:name w:val="三级条标题"/>
    <w:basedOn w:val="1052"/>
    <w:next w:val="1047"/>
    <w:uiPriority w:val="0"/>
    <w:qFormat/>
    <w:pPr>
      <w:ind w:left="1050"/>
      <w:outlineLvl w:val="4"/>
    </w:pPr>
  </w:style>
  <w:style w:type="paragraph" w:styleId="1052" w:customStyle="1">
    <w:name w:val="二级条标题"/>
    <w:basedOn w:val="1053"/>
    <w:next w:val="1047"/>
    <w:uiPriority w:val="0"/>
    <w:qFormat/>
    <w:pPr>
      <w:ind w:left="360"/>
      <w:outlineLvl w:val="3"/>
    </w:pPr>
  </w:style>
  <w:style w:type="paragraph" w:styleId="1053" w:customStyle="1">
    <w:name w:val="一级条标题"/>
    <w:next w:val="1047"/>
    <w:uiPriority w:val="0"/>
    <w:qFormat/>
    <w:pPr>
      <w:outlineLvl w:val="2"/>
    </w:pPr>
    <w:rPr>
      <w:rFonts w:ascii="Times New Roman" w:hAnsi="Times New Roman" w:eastAsia="黑体" w:cs="Times New Roman"/>
      <w:sz w:val="21"/>
      <w:lang w:val="en-US" w:eastAsia="zh-CN" w:bidi="ar-SA"/>
    </w:rPr>
  </w:style>
  <w:style w:type="paragraph" w:styleId="1054" w:customStyle="1">
    <w:name w:val="font6"/>
    <w:basedOn w:val="844"/>
    <w:uiPriority w:val="0"/>
    <w:qFormat/>
    <w:pPr>
      <w:jc w:val="left"/>
      <w:spacing w:before="100" w:beforeAutospacing="1" w:after="100" w:afterAutospacing="1"/>
      <w:widowControl/>
    </w:pPr>
    <w:rPr>
      <w:sz w:val="20"/>
      <w:szCs w:val="20"/>
    </w:rPr>
  </w:style>
  <w:style w:type="paragraph" w:styleId="105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056" w:customStyle="1">
    <w:name w:val="Char Char Char Char Char Char Char1 Char"/>
    <w:basedOn w:val="844"/>
    <w:uiPriority w:val="0"/>
    <w:qFormat/>
    <w:rPr>
      <w:rFonts w:ascii="Tahoma" w:hAnsi="Tahoma"/>
      <w:sz w:val="24"/>
      <w:szCs w:val="20"/>
    </w:rPr>
  </w:style>
  <w:style w:type="paragraph" w:styleId="1057"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05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059" w:customStyle="1">
    <w:name w:val="WPSOffice手动目录 2"/>
    <w:uiPriority w:val="0"/>
    <w:qFormat/>
    <w:rPr>
      <w:rFonts w:ascii="Times New Roman" w:hAnsi="Times New Roman" w:eastAsia="宋体" w:cs="Times New Roman"/>
      <w:lang w:val="en-US" w:eastAsia="zh-CN" w:bidi="ar-SA"/>
    </w:rPr>
  </w:style>
  <w:style w:type="paragraph" w:styleId="106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表内容"/>
    <w:basedOn w:val="1062"/>
    <w:uiPriority w:val="0"/>
    <w:qFormat/>
    <w:pPr>
      <w:ind w:left="0" w:firstLine="0"/>
      <w:spacing w:line="320" w:lineRule="exact"/>
    </w:pPr>
    <w:rPr>
      <w:sz w:val="20"/>
    </w:rPr>
  </w:style>
  <w:style w:type="paragraph" w:styleId="1062" w:customStyle="1">
    <w:name w:val="正文1"/>
    <w:basedOn w:val="844"/>
    <w:uiPriority w:val="0"/>
    <w:qFormat/>
    <w:pPr>
      <w:ind w:left="357" w:firstLine="420"/>
      <w:jc w:val="left"/>
      <w:spacing w:line="360" w:lineRule="auto"/>
      <w:widowControl/>
    </w:pPr>
    <w:rPr>
      <w:rFonts w:cs="Arial"/>
      <w:szCs w:val="20"/>
    </w:rPr>
  </w:style>
  <w:style w:type="paragraph" w:styleId="1063"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64" w:customStyle="1">
    <w:name w:val="标题二、"/>
    <w:basedOn w:val="844"/>
    <w:uiPriority w:val="99"/>
    <w:qFormat/>
    <w:pPr>
      <w:ind w:firstLine="200"/>
      <w:spacing w:line="360" w:lineRule="auto"/>
      <w:outlineLvl w:val="2"/>
    </w:pPr>
    <w:rPr>
      <w:rFonts w:ascii="宋体" w:hAnsi="宋体"/>
      <w:b/>
      <w:szCs w:val="21"/>
    </w:rPr>
  </w:style>
  <w:style w:type="paragraph" w:styleId="1065" w:customStyle="1">
    <w:name w:val="前言、引言标题"/>
    <w:next w:val="84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66" w:customStyle="1">
    <w:name w:val="列出段落[858D7CFB-ED40-4347-BF05-701D383B685F][858D7CFB-ED40-4347-BF05-701D383B685F]"/>
    <w:basedOn w:val="844"/>
    <w:uiPriority w:val="0"/>
    <w:qFormat/>
    <w:pPr>
      <w:ind w:firstLine="200"/>
    </w:pPr>
    <w:rPr>
      <w:rFonts w:ascii="Calibri" w:hAnsi="Calibri"/>
    </w:rPr>
  </w:style>
  <w:style w:type="paragraph" w:styleId="1067" w:customStyle="1">
    <w:name w:val="TOC Heading"/>
    <w:basedOn w:val="845"/>
    <w:next w:val="844"/>
    <w:uiPriority w:val="0"/>
    <w:qFormat/>
    <w:pPr>
      <w:spacing w:before="480" w:after="0" w:line="276" w:lineRule="auto"/>
      <w:widowControl/>
      <w:outlineLvl w:val="9"/>
    </w:pPr>
    <w:rPr>
      <w:rFonts w:ascii="Cambria" w:hAnsi="Cambria"/>
      <w:color w:val="365f91"/>
      <w:sz w:val="28"/>
    </w:rPr>
  </w:style>
  <w:style w:type="paragraph" w:styleId="1068" w:customStyle="1">
    <w:name w:val="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069" w:customStyle="1">
    <w:name w:val="xl34"/>
    <w:basedOn w:val="844"/>
    <w:uiPriority w:val="0"/>
    <w:qFormat/>
    <w:pPr>
      <w:jc w:val="center"/>
      <w:spacing w:before="100" w:beforeAutospacing="1" w:after="100" w:afterAutospacing="1"/>
      <w:widowControl/>
    </w:pPr>
    <w:rPr>
      <w:rFonts w:ascii="Arial Unicode MS" w:hAnsi="Arial Unicode MS" w:eastAsia="Arial Unicode MS"/>
      <w:sz w:val="24"/>
    </w:rPr>
  </w:style>
  <w:style w:type="paragraph" w:styleId="1070" w:customStyle="1">
    <w:name w:val="xl38"/>
    <w:basedOn w:val="8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sz w:val="20"/>
      <w:szCs w:val="20"/>
    </w:rPr>
  </w:style>
  <w:style w:type="paragraph" w:styleId="1071"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72"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73"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7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075" w:customStyle="1">
    <w:name w:val="标准小四"/>
    <w:basedOn w:val="844"/>
    <w:uiPriority w:val="0"/>
    <w:qFormat/>
    <w:pPr>
      <w:ind w:firstLine="200"/>
      <w:spacing w:line="360" w:lineRule="auto"/>
    </w:pPr>
    <w:rPr>
      <w:rFonts w:ascii="Arial" w:hAnsi="Arial"/>
      <w:sz w:val="24"/>
      <w:szCs w:val="21"/>
    </w:rPr>
  </w:style>
  <w:style w:type="paragraph" w:styleId="1076" w:customStyle="1">
    <w:name w:val="ibm-list-next"/>
    <w:basedOn w:val="844"/>
    <w:uiPriority w:val="0"/>
    <w:qFormat/>
    <w:pPr>
      <w:jc w:val="left"/>
      <w:spacing w:before="100" w:beforeAutospacing="1" w:after="100" w:afterAutospacing="1"/>
      <w:widowControl/>
    </w:pPr>
    <w:rPr>
      <w:rFonts w:ascii="宋体" w:cs="宋体"/>
      <w:sz w:val="24"/>
    </w:rPr>
  </w:style>
  <w:style w:type="paragraph" w:styleId="107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07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7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080" w:customStyle="1">
    <w:name w:val="正文文本缩进1"/>
    <w:basedOn w:val="1078"/>
    <w:uiPriority w:val="99"/>
    <w:qFormat/>
    <w:pPr>
      <w:ind w:left="420"/>
      <w:spacing w:after="120"/>
    </w:pPr>
    <w:rPr>
      <w:rFonts w:ascii="Calibri" w:hAnsi="Calibri" w:cs="Calibri"/>
    </w:rPr>
  </w:style>
  <w:style w:type="paragraph" w:styleId="108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82" w:customStyle="1">
    <w:name w:val="首页标题 一号"/>
    <w:basedOn w:val="1083"/>
    <w:uiPriority w:val="0"/>
    <w:qFormat/>
    <w:rPr>
      <w:sz w:val="52"/>
    </w:rPr>
  </w:style>
  <w:style w:type="paragraph" w:styleId="1083" w:customStyle="1">
    <w:name w:val="首页标题小初"/>
    <w:uiPriority w:val="0"/>
    <w:qFormat/>
    <w:pPr>
      <w:jc w:val="center"/>
    </w:pPr>
    <w:rPr>
      <w:rFonts w:ascii="黑体" w:hAnsi="Times New Roman" w:eastAsia="黑体" w:cs="宋体"/>
      <w:sz w:val="72"/>
      <w:lang w:val="en-US" w:eastAsia="zh-CN" w:bidi="ar-SA"/>
    </w:rPr>
  </w:style>
  <w:style w:type="paragraph" w:styleId="1084" w:customStyle="1">
    <w:name w:val="Normal_14_0"/>
    <w:uiPriority w:val="0"/>
    <w:qFormat/>
    <w:rPr>
      <w:rFonts w:ascii="黑体" w:hAnsi="黑体" w:eastAsia="黑体" w:cs="Times New Roman"/>
      <w:b/>
      <w:sz w:val="32"/>
      <w:szCs w:val="24"/>
      <w:lang w:val="en-US" w:eastAsia="zh-CN" w:bidi="ar-SA"/>
    </w:rPr>
  </w:style>
  <w:style w:type="paragraph" w:styleId="1085" w:customStyle="1">
    <w:name w:val="pa-10"/>
    <w:basedOn w:val="844"/>
    <w:uiPriority w:val="0"/>
    <w:qFormat/>
    <w:pPr>
      <w:spacing w:line="240" w:lineRule="atLeast"/>
      <w:widowControl/>
    </w:pPr>
    <w:rPr>
      <w:rFonts w:ascii="宋体" w:cs="宋体"/>
      <w:sz w:val="24"/>
    </w:rPr>
  </w:style>
  <w:style w:type="paragraph" w:styleId="1086" w:customStyle="1">
    <w:name w:val="xl37"/>
    <w:basedOn w:val="844"/>
    <w:uiPriority w:val="0"/>
    <w:qFormat/>
    <w:pPr>
      <w:jc w:val="left"/>
      <w:spacing w:before="100" w:beforeAutospacing="1" w:after="100" w:afterAutospacing="1"/>
      <w:widowControl/>
      <w:pBdr>
        <w:top w:val="single" w:color="auto" w:sz="4" w:space="0"/>
        <w:bottom w:val="single" w:color="auto" w:sz="4" w:space="0"/>
        <w:right w:val="single" w:color="auto" w:sz="4" w:space="0"/>
      </w:pBdr>
    </w:pPr>
    <w:rPr>
      <w:sz w:val="20"/>
      <w:szCs w:val="20"/>
    </w:rPr>
  </w:style>
  <w:style w:type="paragraph" w:styleId="108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pa-9"/>
    <w:basedOn w:val="844"/>
    <w:uiPriority w:val="0"/>
    <w:qFormat/>
    <w:pPr>
      <w:jc w:val="center"/>
      <w:spacing w:line="360" w:lineRule="atLeast"/>
      <w:widowControl/>
    </w:pPr>
    <w:rPr>
      <w:rFonts w:ascii="宋体" w:cs="宋体"/>
      <w:sz w:val="24"/>
    </w:rPr>
  </w:style>
  <w:style w:type="paragraph" w:styleId="1089" w:customStyle="1">
    <w:name w:val="Char Char Char"/>
    <w:basedOn w:val="844"/>
    <w:uiPriority w:val="0"/>
    <w:qFormat/>
    <w:rPr>
      <w:rFonts w:ascii="Tahoma" w:hAnsi="Tahoma"/>
      <w:sz w:val="24"/>
      <w:szCs w:val="20"/>
    </w:rPr>
  </w:style>
  <w:style w:type="paragraph" w:styleId="1090" w:customStyle="1">
    <w:name w:val="技术方案正文"/>
    <w:basedOn w:val="844"/>
    <w:uiPriority w:val="0"/>
    <w:qFormat/>
    <w:pPr>
      <w:ind w:firstLine="480"/>
      <w:spacing w:line="360" w:lineRule="auto"/>
    </w:pPr>
    <w:rPr>
      <w:rFonts w:ascii="宋体"/>
      <w:sz w:val="24"/>
    </w:rPr>
  </w:style>
  <w:style w:type="paragraph" w:styleId="1091" w:customStyle="1">
    <w:name w:val="Normal"/>
    <w:uiPriority w:val="0"/>
    <w:qFormat/>
    <w:rPr>
      <w:rFonts w:ascii="Times New Roman" w:hAnsi="Times New Roman" w:eastAsia="Times New Roman" w:cs="Times New Roman"/>
      <w:sz w:val="24"/>
      <w:szCs w:val="24"/>
      <w:lang w:val="en-US" w:eastAsia="zh-CN" w:bidi="ar-SA"/>
    </w:rPr>
  </w:style>
  <w:style w:type="paragraph" w:styleId="1092" w:customStyle="1">
    <w:name w:val="默认段落字体 Para Char Char Char Char Char Char Char Char Char1"/>
    <w:basedOn w:val="844"/>
    <w:uiPriority w:val="0"/>
    <w:qFormat/>
    <w:rPr>
      <w:rFonts w:ascii="Tahoma" w:hAnsi="Tahoma"/>
      <w:sz w:val="24"/>
      <w:szCs w:val="20"/>
    </w:rPr>
  </w:style>
  <w:style w:type="paragraph" w:styleId="1093" w:customStyle="1">
    <w:name w:val="Normal_13_0"/>
    <w:uiPriority w:val="0"/>
    <w:qFormat/>
    <w:rPr>
      <w:rFonts w:ascii="黑体" w:hAnsi="黑体" w:eastAsia="黑体" w:cs="Times New Roman"/>
      <w:b/>
      <w:sz w:val="32"/>
      <w:szCs w:val="24"/>
      <w:lang w:val="en-US" w:eastAsia="zh-CN" w:bidi="ar-SA"/>
    </w:rPr>
  </w:style>
  <w:style w:type="paragraph" w:styleId="1094" w:customStyle="1">
    <w:name w:val="List Paragraph1"/>
    <w:basedOn w:val="844"/>
    <w:uiPriority w:val="0"/>
    <w:qFormat/>
    <w:pPr>
      <w:ind w:firstLine="200"/>
    </w:pPr>
    <w:rPr>
      <w:rFonts w:ascii="Calibri" w:hAnsi="Calibri"/>
    </w:rPr>
  </w:style>
  <w:style w:type="paragraph" w:styleId="1095" w:customStyle="1">
    <w:name w:val="Figure and Table Title"/>
    <w:basedOn w:val="844"/>
    <w:uiPriority w:val="0"/>
    <w:qFormat/>
    <w:pPr>
      <w:ind w:left="2160"/>
      <w:jc w:val="left"/>
      <w:widowControl/>
    </w:pPr>
    <w:rPr>
      <w:rFonts w:ascii="Helvetica-Light" w:hAnsi="Helvetica-Light"/>
      <w:b/>
      <w:bCs/>
      <w:sz w:val="20"/>
      <w:lang w:eastAsia="en-US"/>
    </w:rPr>
  </w:style>
  <w:style w:type="paragraph" w:styleId="1096" w:customStyle="1">
    <w:name w:val="正文文字缩进 3"/>
    <w:basedOn w:val="844"/>
    <w:uiPriority w:val="0"/>
    <w:qFormat/>
    <w:pPr>
      <w:ind w:left="420" w:firstLine="420"/>
      <w:spacing w:line="312" w:lineRule="auto"/>
    </w:pPr>
    <w:rPr>
      <w:rFonts w:ascii="黑体" w:hAnsi="黑体" w:cs="宋体"/>
      <w:bCs/>
      <w:color w:val="000000"/>
      <w:sz w:val="24"/>
    </w:rPr>
  </w:style>
  <w:style w:type="paragraph" w:styleId="109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项目"/>
    <w:basedOn w:val="844"/>
    <w:uiPriority w:val="0"/>
    <w:qFormat/>
    <w:pPr>
      <w:ind w:left="840" w:hanging="420"/>
      <w:spacing w:before="60" w:after="60" w:line="360" w:lineRule="auto"/>
      <w:tabs>
        <w:tab w:val="left" w:pos="840" w:leader="none"/>
      </w:tabs>
    </w:pPr>
    <w:rPr>
      <w:rFonts w:ascii="宋体"/>
      <w:szCs w:val="20"/>
    </w:rPr>
  </w:style>
  <w:style w:type="paragraph" w:styleId="1099" w:customStyle="1">
    <w:name w:val="表格"/>
    <w:basedOn w:val="844"/>
    <w:uiPriority w:val="0"/>
    <w:qFormat/>
    <w:pPr>
      <w:ind w:firstLine="21"/>
    </w:pPr>
    <w:rPr>
      <w:rFonts w:ascii="宋体"/>
      <w:szCs w:val="20"/>
    </w:rPr>
  </w:style>
  <w:style w:type="paragraph" w:styleId="1100" w:customStyle="1">
    <w:name w:val="Normal_16_0"/>
    <w:uiPriority w:val="0"/>
    <w:qFormat/>
    <w:rPr>
      <w:rFonts w:ascii="黑体" w:hAnsi="黑体" w:eastAsia="黑体" w:cs="Times New Roman"/>
      <w:b/>
      <w:sz w:val="32"/>
      <w:szCs w:val="24"/>
      <w:lang w:val="en-US" w:eastAsia="zh-CN" w:bidi="ar-SA"/>
    </w:rPr>
  </w:style>
  <w:style w:type="paragraph" w:styleId="1101" w:customStyle="1">
    <w:name w:val="font9"/>
    <w:basedOn w:val="844"/>
    <w:uiPriority w:val="0"/>
    <w:qFormat/>
    <w:pPr>
      <w:jc w:val="left"/>
      <w:spacing w:before="100" w:beforeAutospacing="1" w:after="100" w:afterAutospacing="1"/>
      <w:widowControl/>
    </w:pPr>
    <w:rPr>
      <w:rFonts w:ascii="宋体"/>
      <w:color w:val="000000"/>
      <w:sz w:val="18"/>
      <w:szCs w:val="18"/>
    </w:rPr>
  </w:style>
  <w:style w:type="paragraph" w:styleId="1102" w:customStyle="1">
    <w:name w:val="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103" w:customStyle="1">
    <w:name w:val="保密事宜内容"/>
    <w:basedOn w:val="844"/>
    <w:uiPriority w:val="0"/>
    <w:qFormat/>
    <w:pPr>
      <w:ind w:firstLine="200"/>
      <w:spacing w:line="360" w:lineRule="auto"/>
      <w:pBdr>
        <w:top w:val="single" w:color="auto" w:sz="4" w:space="1"/>
        <w:left w:val="single" w:color="auto" w:sz="4" w:space="4"/>
        <w:bottom w:val="single" w:color="auto" w:sz="4" w:space="1"/>
        <w:right w:val="single" w:color="auto" w:sz="4" w:space="4"/>
      </w:pBdr>
    </w:pPr>
    <w:rPr>
      <w:rFonts w:ascii="Tahoma" w:hAnsi="Tahoma" w:eastAsia="楷体_GB2312" w:cs="宋体"/>
      <w:bCs/>
      <w:sz w:val="24"/>
      <w:szCs w:val="20"/>
    </w:rPr>
  </w:style>
  <w:style w:type="paragraph" w:styleId="1104" w:customStyle="1">
    <w:name w:val="图号"/>
    <w:basedOn w:val="84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0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表格标题"/>
    <w:basedOn w:val="844"/>
    <w:uiPriority w:val="0"/>
    <w:qFormat/>
    <w:pPr>
      <w:jc w:val="center"/>
    </w:pPr>
    <w:rPr>
      <w:b/>
    </w:rPr>
  </w:style>
  <w:style w:type="paragraph" w:styleId="1107" w:customStyle="1">
    <w:name w:val="标题 311"/>
    <w:basedOn w:val="844"/>
    <w:next w:val="844"/>
    <w:uiPriority w:val="0"/>
    <w:qFormat/>
    <w:pPr>
      <w:keepLines/>
      <w:keepNext/>
      <w:spacing w:before="260" w:after="260" w:line="416" w:lineRule="auto"/>
      <w:outlineLvl w:val="2"/>
    </w:pPr>
    <w:rPr>
      <w:b/>
      <w:sz w:val="32"/>
      <w:szCs w:val="20"/>
    </w:rPr>
  </w:style>
  <w:style w:type="paragraph" w:styleId="1108" w:customStyle="1">
    <w:name w:val="Normal_0_3"/>
    <w:uiPriority w:val="0"/>
    <w:qFormat/>
    <w:rPr>
      <w:rFonts w:ascii="黑体" w:hAnsi="黑体" w:eastAsia="黑体" w:cs="Times New Roman"/>
      <w:b/>
      <w:sz w:val="32"/>
      <w:szCs w:val="24"/>
      <w:lang w:val="en-US" w:eastAsia="zh-CN" w:bidi="ar-SA"/>
    </w:rPr>
  </w:style>
  <w:style w:type="paragraph" w:styleId="1109" w:customStyle="1">
    <w:name w:val="Char Char Char Char1"/>
    <w:basedOn w:val="844"/>
    <w:uiPriority w:val="0"/>
    <w:qFormat/>
    <w:pPr>
      <w:ind w:firstLine="200"/>
      <w:spacing w:line="360" w:lineRule="auto"/>
    </w:pPr>
    <w:rPr>
      <w:sz w:val="24"/>
      <w:szCs w:val="20"/>
    </w:rPr>
  </w:style>
  <w:style w:type="paragraph" w:styleId="1110" w:customStyle="1">
    <w:name w:val="È±Ê¡ÎÄ±¾"/>
    <w:basedOn w:val="844"/>
    <w:uiPriority w:val="0"/>
    <w:qFormat/>
    <w:pPr>
      <w:jc w:val="left"/>
      <w:spacing w:line="360" w:lineRule="auto"/>
      <w:widowControl/>
    </w:pPr>
    <w:rPr>
      <w:sz w:val="24"/>
      <w:szCs w:val="20"/>
    </w:rPr>
  </w:style>
  <w:style w:type="paragraph" w:styleId="1111" w:customStyle="1">
    <w:name w:val="D&amp;L"/>
    <w:basedOn w:val="887"/>
    <w:uiPriority w:val="0"/>
    <w:qFormat/>
    <w:pPr>
      <w:spacing w:line="240" w:lineRule="atLeast"/>
      <w:pBdr>
        <w:bottom w:val="single" w:color="auto" w:sz="18" w:space="1"/>
      </w:pBdr>
    </w:pPr>
    <w:rPr>
      <w:sz w:val="24"/>
      <w:szCs w:val="20"/>
    </w:rPr>
  </w:style>
  <w:style w:type="paragraph" w:styleId="1112" w:customStyle="1">
    <w:name w:val="Normal_6_0"/>
    <w:uiPriority w:val="0"/>
    <w:qFormat/>
    <w:rPr>
      <w:rFonts w:ascii="黑体" w:hAnsi="黑体" w:eastAsia="黑体" w:cs="Times New Roman"/>
      <w:b/>
      <w:sz w:val="32"/>
      <w:szCs w:val="24"/>
      <w:lang w:val="en-US" w:eastAsia="zh-CN" w:bidi="ar-SA"/>
    </w:rPr>
  </w:style>
  <w:style w:type="paragraph" w:styleId="1113" w:customStyle="1">
    <w:name w:val="Bullet"/>
    <w:basedOn w:val="84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14"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11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样式4"/>
    <w:basedOn w:val="847"/>
    <w:uiPriority w:val="0"/>
    <w:qFormat/>
    <w:pPr>
      <w:spacing w:line="415" w:lineRule="auto"/>
    </w:pPr>
    <w:rPr>
      <w:rFonts w:ascii="Calibri" w:hAnsi="Calibri"/>
      <w:bCs/>
      <w:sz w:val="28"/>
      <w:szCs w:val="28"/>
    </w:rPr>
  </w:style>
  <w:style w:type="paragraph" w:styleId="111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Normal_15_0"/>
    <w:uiPriority w:val="0"/>
    <w:qFormat/>
    <w:rPr>
      <w:rFonts w:ascii="黑体" w:hAnsi="黑体" w:eastAsia="黑体" w:cs="Times New Roman"/>
      <w:b/>
      <w:sz w:val="32"/>
      <w:szCs w:val="24"/>
      <w:lang w:val="en-US" w:eastAsia="zh-CN" w:bidi="ar-SA"/>
    </w:rPr>
  </w:style>
  <w:style w:type="paragraph" w:styleId="1119" w:customStyle="1">
    <w:name w:val="篇名"/>
    <w:next w:val="84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20" w:customStyle="1">
    <w:name w:val="正文文本11"/>
    <w:basedOn w:val="844"/>
    <w:next w:val="844"/>
    <w:uiPriority w:val="0"/>
    <w:qFormat/>
    <w:rPr>
      <w:rFonts w:ascii="楷体_GB2312" w:hAnsi="Arial" w:eastAsia="楷体_GB2312"/>
      <w:sz w:val="28"/>
      <w:szCs w:val="28"/>
    </w:rPr>
  </w:style>
  <w:style w:type="paragraph" w:styleId="112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Normal_14"/>
    <w:uiPriority w:val="0"/>
    <w:qFormat/>
    <w:rPr>
      <w:rFonts w:ascii="黑体" w:hAnsi="黑体" w:eastAsia="黑体" w:cs="Times New Roman"/>
      <w:b/>
      <w:sz w:val="32"/>
      <w:szCs w:val="24"/>
      <w:lang w:val="en-US" w:eastAsia="zh-CN" w:bidi="ar-SA"/>
    </w:rPr>
  </w:style>
  <w:style w:type="paragraph" w:styleId="112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24" w:customStyle="1">
    <w:name w:val="Normal_5"/>
    <w:uiPriority w:val="0"/>
    <w:qFormat/>
    <w:rPr>
      <w:rFonts w:ascii="黑体" w:hAnsi="黑体" w:eastAsia="黑体" w:cs="Times New Roman"/>
      <w:b/>
      <w:sz w:val="32"/>
      <w:szCs w:val="24"/>
      <w:lang w:val="en-US" w:eastAsia="zh-CN" w:bidi="ar-SA"/>
    </w:rPr>
  </w:style>
  <w:style w:type="paragraph" w:styleId="1125" w:customStyle="1">
    <w:name w:val="正文（首行缩进）"/>
    <w:basedOn w:val="844"/>
    <w:uiPriority w:val="0"/>
    <w:qFormat/>
    <w:pPr>
      <w:ind w:firstLine="482"/>
      <w:spacing w:before="120" w:line="360" w:lineRule="auto"/>
      <w:widowControl/>
    </w:pPr>
    <w:rPr>
      <w:rFonts w:ascii="Calibri" w:hAnsi="Calibri"/>
      <w:sz w:val="24"/>
      <w:szCs w:val="20"/>
    </w:rPr>
  </w:style>
  <w:style w:type="paragraph" w:styleId="1126" w:customStyle="1">
    <w:name w:val="pa-6"/>
    <w:basedOn w:val="844"/>
    <w:uiPriority w:val="0"/>
    <w:qFormat/>
    <w:pPr>
      <w:spacing w:line="360" w:lineRule="atLeast"/>
      <w:widowControl/>
    </w:pPr>
    <w:rPr>
      <w:rFonts w:ascii="宋体"/>
      <w:sz w:val="24"/>
      <w:szCs w:val="20"/>
    </w:rPr>
  </w:style>
  <w:style w:type="paragraph" w:styleId="1127" w:customStyle="1">
    <w:name w:val=" Char Char Char Char Char Char Char Char Char Char"/>
    <w:basedOn w:val="844"/>
    <w:uiPriority w:val="0"/>
    <w:qFormat/>
    <w:rPr>
      <w:rFonts w:ascii="Tahoma" w:hAnsi="Tahoma"/>
      <w:sz w:val="24"/>
      <w:szCs w:val="20"/>
    </w:rPr>
  </w:style>
  <w:style w:type="paragraph" w:styleId="1128" w:customStyle="1">
    <w:name w:val="Normal_2_0"/>
    <w:uiPriority w:val="0"/>
    <w:qFormat/>
    <w:rPr>
      <w:rFonts w:ascii="黑体" w:hAnsi="黑体" w:eastAsia="黑体" w:cs="Times New Roman"/>
      <w:b/>
      <w:sz w:val="32"/>
      <w:szCs w:val="24"/>
      <w:lang w:val="en-US" w:eastAsia="zh-CN" w:bidi="ar-SA"/>
    </w:rPr>
  </w:style>
  <w:style w:type="paragraph" w:styleId="1129" w:customStyle="1">
    <w:name w:val="a1"/>
    <w:basedOn w:val="844"/>
    <w:uiPriority w:val="0"/>
    <w:qFormat/>
    <w:pPr>
      <w:jc w:val="left"/>
      <w:spacing w:before="100" w:beforeAutospacing="1" w:after="100" w:afterAutospacing="1"/>
      <w:widowControl/>
    </w:pPr>
    <w:rPr>
      <w:rFonts w:ascii="宋体"/>
      <w:sz w:val="24"/>
    </w:rPr>
  </w:style>
  <w:style w:type="paragraph" w:styleId="1130" w:customStyle="1">
    <w:name w:val="样式 正文首行缩进 2 + Arial"/>
    <w:basedOn w:val="844"/>
    <w:next w:val="844"/>
    <w:uiPriority w:val="0"/>
    <w:qFormat/>
    <w:pPr>
      <w:ind w:firstLine="200"/>
      <w:spacing w:after="120" w:line="320" w:lineRule="atLeast"/>
    </w:pPr>
    <w:rPr>
      <w:rFonts w:ascii="Arial" w:hAnsi="Arial"/>
    </w:rPr>
  </w:style>
  <w:style w:type="paragraph" w:styleId="1131" w:customStyle="1">
    <w:name w:val="表文1"/>
    <w:basedOn w:val="844"/>
    <w:uiPriority w:val="0"/>
    <w:qFormat/>
    <w:pPr>
      <w:ind w:firstLine="196"/>
      <w:spacing w:line="360" w:lineRule="auto"/>
      <w:widowControl/>
    </w:pPr>
    <w:rPr>
      <w:rFonts w:ascii="宋体"/>
      <w:sz w:val="24"/>
    </w:rPr>
  </w:style>
  <w:style w:type="paragraph" w:styleId="1132" w:customStyle="1">
    <w:name w:val="表格序号"/>
    <w:uiPriority w:val="0"/>
    <w:qFormat/>
    <w:rPr>
      <w:rFonts w:ascii="Times New Roman" w:hAnsi="Times New Roman" w:eastAsia="仿宋_GB2312" w:cs="宋体"/>
      <w:sz w:val="21"/>
      <w:lang w:val="en-US" w:eastAsia="zh-CN" w:bidi="ar-SA"/>
    </w:rPr>
  </w:style>
  <w:style w:type="paragraph" w:styleId="1133"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Normal_0_1"/>
    <w:uiPriority w:val="0"/>
    <w:qFormat/>
    <w:rPr>
      <w:rFonts w:ascii="黑体" w:hAnsi="黑体" w:eastAsia="黑体" w:cs="Times New Roman"/>
      <w:b/>
      <w:sz w:val="32"/>
      <w:szCs w:val="24"/>
      <w:lang w:val="en-US" w:eastAsia="zh-CN" w:bidi="ar-SA"/>
    </w:rPr>
  </w:style>
  <w:style w:type="paragraph" w:styleId="1135"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技术方案2"/>
    <w:basedOn w:val="844"/>
    <w:uiPriority w:val="0"/>
    <w:qFormat/>
    <w:pPr>
      <w:spacing w:line="480" w:lineRule="auto"/>
    </w:pPr>
    <w:rPr>
      <w:rFonts w:ascii="宋体"/>
      <w:b/>
      <w:bCs/>
      <w:sz w:val="36"/>
    </w:rPr>
  </w:style>
  <w:style w:type="paragraph" w:styleId="1137" w:customStyle="1">
    <w:name w:val="Normal_3"/>
    <w:uiPriority w:val="0"/>
    <w:qFormat/>
    <w:rPr>
      <w:rFonts w:ascii="黑体" w:hAnsi="黑体" w:eastAsia="黑体" w:cs="Times New Roman"/>
      <w:b/>
      <w:sz w:val="32"/>
      <w:szCs w:val="24"/>
      <w:lang w:val="en-US" w:eastAsia="zh-CN" w:bidi="ar-SA"/>
    </w:rPr>
  </w:style>
  <w:style w:type="paragraph" w:styleId="1138" w:customStyle="1">
    <w:name w:val="编号"/>
    <w:basedOn w:val="844"/>
    <w:next w:val="1077"/>
    <w:uiPriority w:val="0"/>
    <w:qFormat/>
    <w:pPr>
      <w:ind w:left="420" w:right="-136" w:hanging="420"/>
      <w:widowControl/>
      <w:tabs>
        <w:tab w:val="left" w:pos="420" w:leader="none"/>
      </w:tabs>
    </w:pPr>
    <w:rPr>
      <w:rFonts w:ascii="仿宋_GB2312" w:eastAsia="仿宋_GB2312"/>
      <w:b/>
      <w:bCs/>
      <w:sz w:val="24"/>
      <w:szCs w:val="21"/>
    </w:rPr>
  </w:style>
  <w:style w:type="paragraph" w:styleId="1139" w:customStyle="1">
    <w:name w:val="B1"/>
    <w:basedOn w:val="844"/>
    <w:uiPriority w:val="0"/>
    <w:qFormat/>
    <w:pPr>
      <w:numPr>
        <w:ilvl w:val="0"/>
        <w:numId w:val="3"/>
      </w:numPr>
      <w:jc w:val="left"/>
      <w:tabs>
        <w:tab w:val="left" w:pos="1418" w:leader="none"/>
      </w:tabs>
      <w:outlineLvl w:val="0"/>
    </w:pPr>
    <w:rPr>
      <w:rFonts w:ascii="Arial Narrow" w:hAnsi="Arial Narrow" w:eastAsia="仿宋"/>
      <w:b/>
      <w:sz w:val="28"/>
      <w:szCs w:val="24"/>
    </w:rPr>
  </w:style>
  <w:style w:type="paragraph" w:styleId="1140" w:customStyle="1">
    <w:name w:val="默认段落字体 Para Char Char Char Char Char Char Char Char Char Char Char Char Char Char"/>
    <w:basedOn w:val="864"/>
    <w:uiPriority w:val="0"/>
    <w:qFormat/>
    <w:rPr>
      <w:rFonts w:ascii="Tahoma" w:hAnsi="Tahoma"/>
      <w:sz w:val="24"/>
    </w:rPr>
  </w:style>
  <w:style w:type="paragraph" w:styleId="1141" w:customStyle="1">
    <w:name w:val="Normal_7_0"/>
    <w:uiPriority w:val="0"/>
    <w:qFormat/>
    <w:rPr>
      <w:rFonts w:ascii="黑体" w:hAnsi="黑体" w:eastAsia="黑体" w:cs="Times New Roman"/>
      <w:b/>
      <w:sz w:val="32"/>
      <w:szCs w:val="24"/>
      <w:lang w:val="en-US" w:eastAsia="zh-CN" w:bidi="ar-SA"/>
    </w:rPr>
  </w:style>
  <w:style w:type="paragraph" w:styleId="1142" w:customStyle="1">
    <w:name w:val="xl39"/>
    <w:basedOn w:val="844"/>
    <w:uiPriority w:val="0"/>
    <w:qFormat/>
    <w:pPr>
      <w:jc w:val="left"/>
      <w:spacing w:before="100" w:beforeAutospacing="1" w:after="100" w:afterAutospacing="1"/>
      <w:widowControl/>
      <w:pBdr>
        <w:top w:val="single" w:color="auto" w:sz="4" w:space="0"/>
        <w:right w:val="single" w:color="auto" w:sz="4" w:space="0"/>
      </w:pBdr>
    </w:pPr>
    <w:rPr>
      <w:rFonts w:ascii="Arial Unicode MS" w:hAnsi="Arial Unicode MS"/>
      <w:sz w:val="20"/>
      <w:szCs w:val="20"/>
    </w:rPr>
  </w:style>
  <w:style w:type="paragraph" w:styleId="1143" w:customStyle="1">
    <w:name w:val="ul"/>
    <w:basedOn w:val="844"/>
    <w:uiPriority w:val="0"/>
    <w:qFormat/>
    <w:pPr>
      <w:numPr>
        <w:ilvl w:val="0"/>
        <w:numId w:val="4"/>
      </w:numPr>
      <w:ind w:left="567" w:hanging="85"/>
      <w:jc w:val="left"/>
      <w:spacing w:line="360" w:lineRule="auto"/>
      <w:widowControl/>
      <w:tabs>
        <w:tab w:val="left" w:pos="842" w:leader="none"/>
        <w:tab w:val="clear" w:pos="930" w:leader="none"/>
      </w:tabs>
    </w:pPr>
    <w:rPr>
      <w:rFonts w:ascii="Calibri" w:hAnsi="Calibri"/>
      <w:sz w:val="24"/>
    </w:rPr>
  </w:style>
  <w:style w:type="paragraph" w:styleId="1144" w:customStyle="1">
    <w:name w:val="参考资料清单+倾斜+蓝色"/>
    <w:basedOn w:val="844"/>
    <w:uiPriority w:val="0"/>
    <w:qFormat/>
    <w:pPr>
      <w:spacing w:line="360" w:lineRule="auto"/>
    </w:pPr>
    <w:rPr>
      <w:rFonts w:ascii="Arial" w:hAnsi="Arial"/>
      <w:i/>
      <w:iCs/>
      <w:color w:val="0000ff"/>
      <w:szCs w:val="21"/>
      <w:lang w:val="en-US" w:eastAsia="zh-CN"/>
    </w:rPr>
  </w:style>
  <w:style w:type="paragraph" w:styleId="114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6" w:customStyle="1">
    <w:name w:val="样式 标题 2 + Times New Roman 四号 非加粗 段前: 5 磅 段后: 0 磅 行距: 固定值 20..."/>
    <w:basedOn w:val="846"/>
    <w:uiPriority w:val="0"/>
    <w:qFormat/>
    <w:pPr>
      <w:spacing w:before="100" w:after="0" w:line="400" w:lineRule="exact"/>
    </w:pPr>
    <w:rPr>
      <w:rFonts w:ascii="Times New Roman" w:hAnsi="Times New Roman" w:cs="宋体"/>
      <w:b w:val="0"/>
      <w:sz w:val="28"/>
    </w:rPr>
  </w:style>
  <w:style w:type="paragraph" w:styleId="1147"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Normal Paragraph"/>
    <w:basedOn w:val="844"/>
    <w:uiPriority w:val="0"/>
    <w:qFormat/>
    <w:pPr>
      <w:ind w:firstLine="425"/>
      <w:spacing w:before="120" w:line="360" w:lineRule="auto"/>
      <w:widowControl/>
    </w:pPr>
    <w:rPr>
      <w:rFonts w:ascii="Calibri" w:hAnsi="Calibri"/>
      <w:sz w:val="24"/>
      <w:szCs w:val="20"/>
    </w:rPr>
  </w:style>
  <w:style w:type="paragraph" w:styleId="114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150" w:customStyle="1">
    <w:name w:val="Sourcetext bullet"/>
    <w:basedOn w:val="84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51" w:customStyle="1">
    <w:name w:val="Table Text/Title"/>
    <w:basedOn w:val="844"/>
    <w:uiPriority w:val="0"/>
    <w:qFormat/>
    <w:pPr>
      <w:jc w:val="left"/>
      <w:widowControl/>
    </w:pPr>
    <w:rPr>
      <w:rFonts w:ascii="宋体"/>
      <w:b/>
      <w:bCs/>
      <w:sz w:val="20"/>
      <w:szCs w:val="20"/>
      <w:lang w:eastAsia="en-US"/>
    </w:rPr>
  </w:style>
  <w:style w:type="paragraph" w:styleId="1152"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Normal_18_0"/>
    <w:uiPriority w:val="0"/>
    <w:qFormat/>
    <w:rPr>
      <w:rFonts w:ascii="黑体" w:hAnsi="黑体" w:eastAsia="黑体" w:cs="Times New Roman"/>
      <w:b/>
      <w:sz w:val="32"/>
      <w:szCs w:val="24"/>
      <w:lang w:val="en-US" w:eastAsia="zh-CN" w:bidi="ar-SA"/>
    </w:rPr>
  </w:style>
  <w:style w:type="paragraph" w:styleId="1155" w:customStyle="1">
    <w:name w:val="样式3"/>
    <w:basedOn w:val="847"/>
    <w:uiPriority w:val="0"/>
    <w:qFormat/>
    <w:pPr>
      <w:spacing w:line="415" w:lineRule="auto"/>
    </w:pPr>
    <w:rPr>
      <w:rFonts w:ascii="Calibri" w:hAnsi="Calibri"/>
      <w:bCs/>
      <w:sz w:val="28"/>
      <w:szCs w:val="28"/>
    </w:rPr>
  </w:style>
  <w:style w:type="paragraph" w:styleId="1156" w:customStyle="1">
    <w:name w:val="font5"/>
    <w:basedOn w:val="844"/>
    <w:uiPriority w:val="0"/>
    <w:qFormat/>
    <w:pPr>
      <w:jc w:val="left"/>
      <w:spacing w:before="100" w:beforeAutospacing="1" w:after="100" w:afterAutospacing="1"/>
      <w:widowControl/>
    </w:pPr>
    <w:rPr>
      <w:rFonts w:ascii="宋体"/>
      <w:sz w:val="18"/>
      <w:szCs w:val="18"/>
    </w:rPr>
  </w:style>
  <w:style w:type="paragraph" w:styleId="1157" w:customStyle="1">
    <w:name w:val="默认段落字体 Para Char Char Char Char Char Char Char Char Char1 Char Char Char Char Char Char Char Char"/>
    <w:basedOn w:val="864"/>
    <w:uiPriority w:val="0"/>
    <w:qFormat/>
    <w:rPr>
      <w:rFonts w:ascii="Calibri" w:hAnsi="Calibri"/>
    </w:rPr>
  </w:style>
  <w:style w:type="paragraph" w:styleId="1158" w:customStyle="1">
    <w:name w:val="新段落缩进"/>
    <w:basedOn w:val="844"/>
    <w:uiPriority w:val="0"/>
    <w:qFormat/>
    <w:pPr>
      <w:ind w:firstLine="200"/>
      <w:spacing w:line="400" w:lineRule="exact"/>
    </w:pPr>
    <w:rPr>
      <w:rFonts w:ascii="仿宋_GB2312" w:eastAsia="仿宋_GB2312"/>
      <w:sz w:val="24"/>
    </w:rPr>
  </w:style>
  <w:style w:type="paragraph" w:styleId="1159" w:customStyle="1">
    <w:name w:val="Char Char Char Char Char Char Char Char Char Char1"/>
    <w:basedOn w:val="844"/>
    <w:uiPriority w:val="0"/>
    <w:qFormat/>
    <w:rPr>
      <w:rFonts w:ascii="Tahoma" w:hAnsi="Tahoma" w:cs="Tahoma"/>
      <w:sz w:val="24"/>
    </w:rPr>
  </w:style>
  <w:style w:type="paragraph" w:styleId="1160" w:customStyle="1">
    <w:name w:val="Char1 Char Char Char"/>
    <w:basedOn w:val="844"/>
    <w:uiPriority w:val="0"/>
    <w:qFormat/>
    <w:rPr>
      <w:szCs w:val="20"/>
    </w:rPr>
  </w:style>
  <w:style w:type="paragraph" w:styleId="1161" w:customStyle="1">
    <w:name w:val="Normal_18"/>
    <w:uiPriority w:val="0"/>
    <w:qFormat/>
    <w:rPr>
      <w:rFonts w:ascii="黑体" w:hAnsi="黑体" w:eastAsia="黑体" w:cs="Times New Roman"/>
      <w:b/>
      <w:sz w:val="32"/>
      <w:szCs w:val="24"/>
      <w:lang w:val="en-US" w:eastAsia="zh-CN" w:bidi="ar-SA"/>
    </w:rPr>
  </w:style>
  <w:style w:type="paragraph" w:styleId="1162" w:customStyle="1">
    <w:name w:val="Normal_15"/>
    <w:uiPriority w:val="0"/>
    <w:qFormat/>
    <w:rPr>
      <w:rFonts w:ascii="黑体" w:hAnsi="黑体" w:eastAsia="黑体" w:cs="Times New Roman"/>
      <w:b/>
      <w:sz w:val="32"/>
      <w:szCs w:val="24"/>
      <w:lang w:val="en-US" w:eastAsia="zh-CN" w:bidi="ar-SA"/>
    </w:rPr>
  </w:style>
  <w:style w:type="paragraph" w:styleId="116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64"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65"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xl42"/>
    <w:basedOn w:val="844"/>
    <w:uiPriority w:val="0"/>
    <w:qFormat/>
    <w:pPr>
      <w:jc w:val="left"/>
      <w:spacing w:before="100" w:beforeAutospacing="1" w:after="100" w:afterAutospacing="1"/>
      <w:widowControl/>
      <w:pBdr>
        <w:top w:val="single" w:color="auto" w:sz="4" w:space="0"/>
        <w:right w:val="single" w:color="auto" w:sz="4" w:space="0"/>
      </w:pBdr>
    </w:pPr>
    <w:rPr>
      <w:rFonts w:ascii="Arial Unicode MS" w:hAnsi="Arial Unicode MS"/>
      <w:sz w:val="24"/>
    </w:rPr>
  </w:style>
  <w:style w:type="paragraph" w:styleId="1167"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16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保密事宜格式"/>
    <w:basedOn w:val="861"/>
    <w:uiPriority w:val="0"/>
    <w:qFormat/>
    <w:pPr>
      <w:spacing w:before="152" w:after="160"/>
      <w:shd w:val="clear" w:color="auto" w:fill="e6e6e6"/>
      <w:pBdr>
        <w:top w:val="single" w:color="auto" w:sz="4" w:space="1"/>
        <w:left w:val="single" w:color="auto" w:sz="4" w:space="4"/>
        <w:bottom w:val="single" w:color="auto" w:sz="4" w:space="1"/>
        <w:right w:val="single" w:color="auto" w:sz="4" w:space="4"/>
      </w:pBdr>
    </w:pPr>
    <w:rPr>
      <w:rFonts w:ascii="Tahoma" w:hAnsi="Tahoma" w:eastAsia="楷体_GB2312" w:cs="宋体"/>
      <w:b/>
      <w:sz w:val="32"/>
    </w:rPr>
  </w:style>
  <w:style w:type="paragraph" w:styleId="117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1" w:customStyle="1">
    <w:name w:val="Normal_10_0"/>
    <w:uiPriority w:val="0"/>
    <w:qFormat/>
    <w:rPr>
      <w:rFonts w:ascii="黑体" w:hAnsi="黑体" w:eastAsia="黑体" w:cs="Times New Roman"/>
      <w:b/>
      <w:sz w:val="32"/>
      <w:szCs w:val="24"/>
      <w:lang w:val="en-US" w:eastAsia="zh-CN" w:bidi="ar-SA"/>
    </w:rPr>
  </w:style>
  <w:style w:type="paragraph" w:styleId="1172" w:customStyle="1">
    <w:name w:val="xl33"/>
    <w:basedOn w:val="8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173" w:customStyle="1">
    <w:name w:val="pa-5"/>
    <w:basedOn w:val="844"/>
    <w:uiPriority w:val="0"/>
    <w:qFormat/>
    <w:pPr>
      <w:spacing w:line="280" w:lineRule="atLeast"/>
      <w:widowControl/>
    </w:pPr>
    <w:rPr>
      <w:rFonts w:ascii="宋体" w:cs="宋体"/>
      <w:sz w:val="24"/>
    </w:rPr>
  </w:style>
  <w:style w:type="paragraph" w:styleId="1174" w:customStyle="1">
    <w:name w:val="Indent Normal"/>
    <w:basedOn w:val="844"/>
    <w:uiPriority w:val="0"/>
    <w:qFormat/>
    <w:pPr>
      <w:ind w:firstLine="150"/>
    </w:pPr>
    <w:rPr>
      <w:sz w:val="24"/>
      <w:szCs w:val="20"/>
    </w:rPr>
  </w:style>
  <w:style w:type="paragraph" w:styleId="117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a0"/>
    <w:basedOn w:val="844"/>
    <w:uiPriority w:val="0"/>
    <w:qFormat/>
    <w:pPr>
      <w:jc w:val="left"/>
      <w:spacing w:before="100" w:beforeAutospacing="1" w:after="100" w:afterAutospacing="1"/>
      <w:widowControl/>
    </w:pPr>
    <w:rPr>
      <w:rFonts w:ascii="宋体"/>
      <w:sz w:val="24"/>
    </w:rPr>
  </w:style>
  <w:style w:type="paragraph" w:styleId="1177" w:customStyle="1">
    <w:name w:val="Body Text First Indent 21"/>
    <w:basedOn w:val="870"/>
    <w:uiPriority w:val="99"/>
    <w:qFormat/>
    <w:pPr>
      <w:ind w:firstLine="420"/>
    </w:pPr>
  </w:style>
  <w:style w:type="paragraph" w:styleId="1178" w:customStyle="1">
    <w:name w:val="Normal_9_0"/>
    <w:uiPriority w:val="0"/>
    <w:qFormat/>
    <w:rPr>
      <w:rFonts w:ascii="Times New Roman" w:hAnsi="Times New Roman" w:eastAsia="Times New Roman" w:cs="Times New Roman"/>
      <w:sz w:val="24"/>
      <w:szCs w:val="24"/>
      <w:lang w:val="en-US" w:eastAsia="zh-CN" w:bidi="ar-SA"/>
    </w:rPr>
  </w:style>
  <w:style w:type="paragraph" w:styleId="1179"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80" w:customStyle="1">
    <w:name w:val="样式2"/>
    <w:basedOn w:val="847"/>
    <w:uiPriority w:val="0"/>
    <w:qFormat/>
    <w:pPr>
      <w:spacing w:line="415" w:lineRule="auto"/>
    </w:pPr>
    <w:rPr>
      <w:rFonts w:ascii="Calibri" w:hAnsi="Calibri"/>
      <w:bCs/>
      <w:sz w:val="28"/>
      <w:szCs w:val="28"/>
    </w:rPr>
  </w:style>
  <w:style w:type="paragraph" w:styleId="1181" w:customStyle="1">
    <w:name w:val="Normal_0"/>
    <w:uiPriority w:val="0"/>
    <w:qFormat/>
    <w:rPr>
      <w:rFonts w:ascii="黑体" w:hAnsi="黑体" w:eastAsia="黑体" w:cs="Times New Roman"/>
      <w:b/>
      <w:sz w:val="32"/>
      <w:szCs w:val="24"/>
      <w:lang w:val="en-US" w:eastAsia="zh-CN" w:bidi="ar-SA"/>
    </w:rPr>
  </w:style>
  <w:style w:type="paragraph" w:styleId="1182" w:customStyle="1">
    <w:name w:val="标书3"/>
    <w:next w:val="1077"/>
    <w:uiPriority w:val="0"/>
    <w:qFormat/>
    <w:pPr>
      <w:jc w:val="center"/>
      <w:widowControl w:val="off"/>
    </w:pPr>
    <w:rPr>
      <w:rFonts w:ascii="Times New Roman" w:hAnsi="Times New Roman" w:eastAsia="黑体" w:cs="Times New Roman"/>
      <w:b/>
      <w:sz w:val="44"/>
      <w:szCs w:val="24"/>
      <w:lang w:val="en-US" w:eastAsia="zh-CN" w:bidi="ar-SA"/>
    </w:rPr>
  </w:style>
  <w:style w:type="paragraph" w:styleId="118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Normal_1"/>
    <w:uiPriority w:val="0"/>
    <w:qFormat/>
    <w:rPr>
      <w:rFonts w:ascii="黑体" w:hAnsi="黑体" w:eastAsia="黑体" w:cs="Times New Roman"/>
      <w:b/>
      <w:sz w:val="32"/>
      <w:szCs w:val="24"/>
      <w:lang w:val="en-US" w:eastAsia="zh-CN" w:bidi="ar-SA"/>
    </w:rPr>
  </w:style>
  <w:style w:type="paragraph" w:styleId="1186" w:customStyle="1">
    <w:name w:val="样式6"/>
    <w:basedOn w:val="925"/>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187" w:customStyle="1">
    <w:name w:val="我的样式"/>
    <w:basedOn w:val="844"/>
    <w:uiPriority w:val="0"/>
    <w:qFormat/>
    <w:pPr>
      <w:ind w:firstLine="420"/>
      <w:jc w:val="left"/>
      <w:spacing w:after="120"/>
      <w:widowControl/>
    </w:pPr>
    <w:rPr>
      <w:rFonts w:ascii="宋体"/>
      <w:color w:val="000000"/>
      <w:sz w:val="24"/>
      <w:szCs w:val="16"/>
    </w:rPr>
  </w:style>
  <w:style w:type="paragraph" w:styleId="1188"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189" w:customStyle="1">
    <w:name w:val="正文缩进1"/>
    <w:basedOn w:val="844"/>
    <w:uiPriority w:val="0"/>
    <w:qFormat/>
    <w:pPr>
      <w:ind w:firstLine="420"/>
    </w:pPr>
    <w:rPr>
      <w:szCs w:val="20"/>
    </w:rPr>
  </w:style>
  <w:style w:type="paragraph" w:styleId="1190" w:customStyle="1">
    <w:name w:val="font8"/>
    <w:basedOn w:val="844"/>
    <w:uiPriority w:val="0"/>
    <w:qFormat/>
    <w:pPr>
      <w:jc w:val="left"/>
      <w:spacing w:before="100" w:beforeAutospacing="1" w:after="100" w:afterAutospacing="1"/>
      <w:widowControl/>
    </w:pPr>
    <w:rPr>
      <w:rFonts w:ascii="Arial" w:hAnsi="Arial" w:cs="Arial"/>
      <w:color w:val="000000"/>
      <w:sz w:val="18"/>
      <w:szCs w:val="18"/>
    </w:rPr>
  </w:style>
  <w:style w:type="paragraph" w:styleId="1191" w:customStyle="1">
    <w:name w:val="默认段落字体 Para Char Char Char Char Char"/>
    <w:basedOn w:val="844"/>
    <w:uiPriority w:val="0"/>
    <w:qFormat/>
    <w:pPr>
      <w:ind w:firstLine="200"/>
      <w:jc w:val="left"/>
      <w:spacing w:before="100" w:beforeAutospacing="1" w:after="100" w:afterAutospacing="1" w:line="360" w:lineRule="auto"/>
    </w:pPr>
    <w:rPr>
      <w:rFonts w:ascii="Arial" w:hAnsi="Arial"/>
      <w:sz w:val="24"/>
      <w:lang w:eastAsia="en-US"/>
    </w:rPr>
  </w:style>
  <w:style w:type="paragraph" w:styleId="1192" w:customStyle="1">
    <w:name w:val="Char Char1 Char Char Char Char Char Char"/>
    <w:basedOn w:val="844"/>
    <w:uiPriority w:val="0"/>
    <w:qFormat/>
    <w:pPr>
      <w:jc w:val="center"/>
      <w:widowControl/>
    </w:pPr>
    <w:rPr>
      <w:szCs w:val="20"/>
    </w:rPr>
  </w:style>
  <w:style w:type="paragraph" w:styleId="1193" w:customStyle="1">
    <w:name w:val="xl36"/>
    <w:basedOn w:val="8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sz w:val="20"/>
      <w:szCs w:val="20"/>
    </w:rPr>
  </w:style>
  <w:style w:type="paragraph" w:styleId="119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95" w:customStyle="1">
    <w:name w:val="样式 序号----------- + 仿宋_GB2312"/>
    <w:basedOn w:val="1196"/>
    <w:uiPriority w:val="0"/>
    <w:qFormat/>
    <w:pPr>
      <w:ind w:firstLine="200"/>
      <w:spacing w:line="360" w:lineRule="auto"/>
    </w:pPr>
    <w:rPr>
      <w:rFonts w:ascii="仿宋_GB2312" w:eastAsia="仿宋_GB2312"/>
      <w:bCs w:val="0"/>
    </w:rPr>
  </w:style>
  <w:style w:type="paragraph" w:styleId="1196" w:customStyle="1">
    <w:name w:val="序号-----------"/>
    <w:basedOn w:val="844"/>
    <w:uiPriority w:val="0"/>
    <w:qFormat/>
    <w:pPr>
      <w:jc w:val="left"/>
      <w:widowControl/>
    </w:pPr>
    <w:rPr>
      <w:rFonts w:ascii="宋体"/>
      <w:bCs/>
      <w:szCs w:val="21"/>
    </w:rPr>
  </w:style>
  <w:style w:type="paragraph" w:styleId="1197" w:customStyle="1">
    <w:name w:val="附图标题"/>
    <w:basedOn w:val="861"/>
    <w:next w:val="860"/>
    <w:uiPriority w:val="0"/>
    <w:qFormat/>
    <w:pPr>
      <w:ind w:left="780" w:hanging="480"/>
      <w:jc w:val="center"/>
      <w:spacing w:after="100"/>
      <w:tabs>
        <w:tab w:val="clear" w:pos="0" w:leader="none"/>
        <w:tab w:val="left" w:pos="780" w:leader="none"/>
      </w:tabs>
    </w:pPr>
    <w:rPr>
      <w:b/>
      <w:sz w:val="21"/>
    </w:rPr>
  </w:style>
  <w:style w:type="paragraph" w:styleId="1198"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文档正文"/>
    <w:basedOn w:val="844"/>
    <w:uiPriority w:val="0"/>
    <w:qFormat/>
    <w:rPr>
      <w:rFonts w:ascii="宋体"/>
      <w:szCs w:val="20"/>
    </w:rPr>
  </w:style>
  <w:style w:type="paragraph" w:styleId="1200" w:customStyle="1">
    <w:name w:val="Normal_4_0"/>
    <w:uiPriority w:val="0"/>
    <w:qFormat/>
    <w:rPr>
      <w:rFonts w:ascii="黑体" w:hAnsi="黑体" w:eastAsia="黑体" w:cs="Times New Roman"/>
      <w:b/>
      <w:sz w:val="32"/>
      <w:szCs w:val="24"/>
      <w:lang w:val="en-US" w:eastAsia="zh-CN" w:bidi="ar-SA"/>
    </w:rPr>
  </w:style>
  <w:style w:type="paragraph" w:styleId="1201" w:customStyle="1">
    <w:name w:val="技术方案3"/>
    <w:basedOn w:val="844"/>
    <w:uiPriority w:val="0"/>
    <w:qFormat/>
    <w:pPr>
      <w:spacing w:line="360" w:lineRule="auto"/>
    </w:pPr>
    <w:rPr>
      <w:rFonts w:ascii="宋体"/>
      <w:b/>
      <w:bCs/>
      <w:sz w:val="32"/>
    </w:rPr>
  </w:style>
  <w:style w:type="paragraph" w:styleId="1202" w:customStyle="1">
    <w:name w:val="xl2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03" w:customStyle="1">
    <w:name w:val="pa-3"/>
    <w:basedOn w:val="844"/>
    <w:uiPriority w:val="0"/>
    <w:qFormat/>
    <w:pPr>
      <w:jc w:val="left"/>
      <w:spacing w:before="150" w:after="150"/>
      <w:widowControl/>
    </w:pPr>
    <w:rPr>
      <w:rFonts w:ascii="宋体" w:cs="宋体"/>
      <w:sz w:val="24"/>
    </w:rPr>
  </w:style>
  <w:style w:type="paragraph" w:styleId="1204" w:customStyle="1">
    <w:name w:val="pbody"/>
    <w:basedOn w:val="844"/>
    <w:uiPriority w:val="0"/>
    <w:qFormat/>
    <w:pPr>
      <w:jc w:val="left"/>
      <w:spacing w:before="100" w:beforeAutospacing="1" w:after="100" w:afterAutospacing="1" w:line="360" w:lineRule="auto"/>
      <w:widowControl/>
    </w:pPr>
    <w:rPr>
      <w:rFonts w:ascii="宋体" w:cs="宋体"/>
      <w:sz w:val="24"/>
    </w:rPr>
  </w:style>
  <w:style w:type="paragraph" w:styleId="1205" w:customStyle="1">
    <w:name w:val="xl31"/>
    <w:basedOn w:val="84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6" w:customStyle="1">
    <w:name w:val="首页单位日期"/>
    <w:basedOn w:val="844"/>
    <w:uiPriority w:val="0"/>
    <w:qFormat/>
    <w:pPr>
      <w:jc w:val="center"/>
      <w:widowControl/>
    </w:pPr>
    <w:rPr>
      <w:rFonts w:ascii="宋体" w:cs="宋体"/>
      <w:bCs/>
      <w:sz w:val="28"/>
      <w:szCs w:val="20"/>
    </w:rPr>
  </w:style>
  <w:style w:type="paragraph" w:styleId="1207" w:customStyle="1">
    <w:name w:val="Normal_11_0"/>
    <w:uiPriority w:val="0"/>
    <w:qFormat/>
    <w:rPr>
      <w:rFonts w:ascii="黑体" w:hAnsi="黑体" w:eastAsia="黑体" w:cs="Times New Roman"/>
      <w:b/>
      <w:sz w:val="32"/>
      <w:szCs w:val="24"/>
      <w:lang w:val="en-US" w:eastAsia="zh-CN" w:bidi="ar-SA"/>
    </w:rPr>
  </w:style>
  <w:style w:type="paragraph" w:styleId="1208"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技术方案正文样式"/>
    <w:basedOn w:val="844"/>
    <w:uiPriority w:val="0"/>
    <w:qFormat/>
    <w:pPr>
      <w:ind w:firstLine="200"/>
      <w:spacing w:line="400" w:lineRule="exact"/>
    </w:pPr>
    <w:rPr>
      <w:rFonts w:ascii="宋体" w:cs="宋体"/>
      <w:sz w:val="24"/>
      <w:szCs w:val="21"/>
    </w:rPr>
  </w:style>
  <w:style w:type="paragraph" w:styleId="1212" w:customStyle="1">
    <w:name w:val="首页标题"/>
    <w:uiPriority w:val="0"/>
    <w:qFormat/>
    <w:pPr>
      <w:jc w:val="center"/>
    </w:pPr>
    <w:rPr>
      <w:rFonts w:ascii="宋体" w:hAnsi="Times New Roman" w:eastAsia="宋体" w:cs="宋体"/>
      <w:sz w:val="72"/>
      <w:szCs w:val="72"/>
      <w:lang w:val="en-US" w:eastAsia="zh-CN" w:bidi="ar-SA"/>
    </w:rPr>
  </w:style>
  <w:style w:type="paragraph" w:styleId="1213" w:customStyle="1">
    <w:name w:val="Normal_16"/>
    <w:uiPriority w:val="0"/>
    <w:qFormat/>
    <w:rPr>
      <w:rFonts w:ascii="黑体" w:hAnsi="黑体" w:eastAsia="黑体" w:cs="Times New Roman"/>
      <w:b/>
      <w:sz w:val="32"/>
      <w:szCs w:val="24"/>
      <w:lang w:val="en-US" w:eastAsia="zh-CN" w:bidi="ar-SA"/>
    </w:rPr>
  </w:style>
  <w:style w:type="paragraph" w:styleId="121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21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16" w:customStyle="1">
    <w:name w:val="纯文本2"/>
    <w:basedOn w:val="844"/>
    <w:uiPriority w:val="0"/>
    <w:qFormat/>
    <w:rPr>
      <w:rFonts w:ascii="宋体" w:hAnsi="Courier New" w:eastAsia="楷体_GB2312"/>
      <w:sz w:val="26"/>
      <w:szCs w:val="20"/>
    </w:rPr>
  </w:style>
  <w:style w:type="paragraph" w:styleId="1217" w:customStyle="1">
    <w:name w:val="pa-4"/>
    <w:basedOn w:val="844"/>
    <w:uiPriority w:val="0"/>
    <w:qFormat/>
    <w:pPr>
      <w:jc w:val="center"/>
      <w:spacing w:line="280" w:lineRule="atLeast"/>
      <w:widowControl/>
    </w:pPr>
    <w:rPr>
      <w:rFonts w:ascii="宋体" w:cs="宋体"/>
      <w:sz w:val="24"/>
    </w:rPr>
  </w:style>
  <w:style w:type="paragraph" w:styleId="1218" w:customStyle="1">
    <w:name w:val="大汉方案正文 Char"/>
    <w:basedOn w:val="844"/>
    <w:uiPriority w:val="0"/>
    <w:qFormat/>
    <w:pPr>
      <w:ind w:firstLine="200"/>
      <w:spacing w:line="360" w:lineRule="auto"/>
    </w:pPr>
    <w:rPr>
      <w:rFonts w:ascii="Arial" w:hAnsi="Arial"/>
      <w:sz w:val="24"/>
    </w:rPr>
  </w:style>
  <w:style w:type="paragraph" w:styleId="1219" w:customStyle="1">
    <w:name w:val="Normal_3_0"/>
    <w:uiPriority w:val="0"/>
    <w:qFormat/>
    <w:rPr>
      <w:rFonts w:ascii="黑体" w:hAnsi="黑体" w:eastAsia="黑体" w:cs="Times New Roman"/>
      <w:b/>
      <w:sz w:val="32"/>
      <w:szCs w:val="24"/>
      <w:lang w:val="en-US" w:eastAsia="zh-CN" w:bidi="ar-SA"/>
    </w:rPr>
  </w:style>
  <w:style w:type="paragraph" w:styleId="122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标书2"/>
    <w:next w:val="1077"/>
    <w:uiPriority w:val="0"/>
    <w:qFormat/>
    <w:rPr>
      <w:rFonts w:ascii="Times New Roman" w:hAnsi="Times New Roman" w:eastAsia="黑体" w:cs="宋体"/>
      <w:b/>
      <w:sz w:val="44"/>
      <w:lang w:val="en-US" w:eastAsia="zh-CN" w:bidi="ar-SA"/>
    </w:rPr>
  </w:style>
  <w:style w:type="paragraph" w:styleId="1222" w:customStyle="1">
    <w:name w:val="Normal_8_0"/>
    <w:uiPriority w:val="0"/>
    <w:qFormat/>
    <w:rPr>
      <w:rFonts w:ascii="黑体" w:hAnsi="黑体" w:eastAsia="黑体" w:cs="Times New Roman"/>
      <w:b/>
      <w:sz w:val="32"/>
      <w:szCs w:val="24"/>
      <w:lang w:val="en-US" w:eastAsia="zh-CN" w:bidi="ar-SA"/>
    </w:rPr>
  </w:style>
  <w:style w:type="paragraph" w:styleId="1223" w:customStyle="1">
    <w:name w:val="样式 序号----------- + 仿宋_GB23121"/>
    <w:basedOn w:val="1196"/>
    <w:uiPriority w:val="0"/>
    <w:qFormat/>
    <w:pPr>
      <w:spacing w:line="360" w:lineRule="auto"/>
    </w:pPr>
    <w:rPr>
      <w:rFonts w:ascii="仿宋_GB2312" w:eastAsia="仿宋_GB2312"/>
      <w:bCs w:val="0"/>
    </w:rPr>
  </w:style>
  <w:style w:type="paragraph" w:styleId="1224" w:customStyle="1">
    <w:name w:val="序号"/>
    <w:next w:val="844"/>
    <w:uiPriority w:val="0"/>
    <w:qFormat/>
    <w:pPr>
      <w:jc w:val="center"/>
    </w:pPr>
    <w:rPr>
      <w:rFonts w:ascii="Times New Roman" w:hAnsi="Times New Roman" w:eastAsia="仿宋_GB2312" w:cs="Times New Roman"/>
      <w:bCs/>
      <w:sz w:val="21"/>
      <w:szCs w:val="44"/>
      <w:lang w:val="en-US" w:eastAsia="zh-CN" w:bidi="ar-SA"/>
    </w:rPr>
  </w:style>
  <w:style w:type="paragraph" w:styleId="1225" w:customStyle="1">
    <w:name w:val="Normal_5_0"/>
    <w:uiPriority w:val="0"/>
    <w:qFormat/>
    <w:rPr>
      <w:rFonts w:ascii="黑体" w:hAnsi="黑体" w:eastAsia="黑体" w:cs="Times New Roman"/>
      <w:b/>
      <w:sz w:val="32"/>
      <w:szCs w:val="24"/>
      <w:lang w:val="en-US" w:eastAsia="zh-CN" w:bidi="ar-SA"/>
    </w:rPr>
  </w:style>
  <w:style w:type="paragraph" w:styleId="1226" w:customStyle="1">
    <w:name w:val="缩进正文"/>
    <w:basedOn w:val="844"/>
    <w:uiPriority w:val="0"/>
    <w:qFormat/>
    <w:pPr>
      <w:ind w:left="1418" w:firstLine="425"/>
      <w:jc w:val="left"/>
      <w:spacing w:after="200" w:line="400" w:lineRule="exact"/>
      <w:widowControl/>
    </w:pPr>
    <w:rPr>
      <w:rFonts w:ascii="宋体"/>
      <w:sz w:val="24"/>
      <w:szCs w:val="20"/>
      <w:lang w:val="en-US" w:eastAsia="zh-CN"/>
    </w:rPr>
  </w:style>
  <w:style w:type="paragraph" w:styleId="1227"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8" w:customStyle="1">
    <w:name w:val="缺省文本"/>
    <w:basedOn w:val="844"/>
    <w:uiPriority w:val="0"/>
    <w:qFormat/>
    <w:pPr>
      <w:jc w:val="left"/>
    </w:pPr>
    <w:rPr>
      <w:sz w:val="24"/>
      <w:szCs w:val="20"/>
    </w:rPr>
  </w:style>
  <w:style w:type="paragraph" w:styleId="1229" w:customStyle="1">
    <w:name w:val="B2"/>
    <w:basedOn w:val="844"/>
    <w:uiPriority w:val="0"/>
    <w:qFormat/>
    <w:pPr>
      <w:numPr>
        <w:ilvl w:val="1"/>
        <w:numId w:val="3"/>
      </w:numPr>
      <w:tabs>
        <w:tab w:val="left" w:pos="1418" w:leader="none"/>
      </w:tabs>
      <w:outlineLvl w:val="1"/>
    </w:pPr>
    <w:rPr>
      <w:rFonts w:ascii="Arial Narrow" w:hAnsi="Arial Narrow" w:eastAsia="仿宋"/>
      <w:sz w:val="24"/>
      <w:szCs w:val="24"/>
    </w:rPr>
  </w:style>
  <w:style w:type="paragraph" w:styleId="1230" w:customStyle="1">
    <w:name w:val="pa-2"/>
    <w:basedOn w:val="844"/>
    <w:uiPriority w:val="0"/>
    <w:qFormat/>
    <w:pPr>
      <w:spacing w:line="360" w:lineRule="atLeast"/>
      <w:widowControl/>
    </w:pPr>
    <w:rPr>
      <w:rFonts w:ascii="宋体" w:cs="宋体"/>
      <w:sz w:val="24"/>
    </w:rPr>
  </w:style>
  <w:style w:type="paragraph" w:styleId="123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32" w:customStyle="1">
    <w:name w:val="Normal_10"/>
    <w:uiPriority w:val="0"/>
    <w:qFormat/>
    <w:rPr>
      <w:rFonts w:ascii="黑体" w:hAnsi="黑体" w:eastAsia="黑体" w:cs="Times New Roman"/>
      <w:b/>
      <w:sz w:val="32"/>
      <w:szCs w:val="24"/>
      <w:lang w:val="en-US" w:eastAsia="zh-CN" w:bidi="ar-SA"/>
    </w:rPr>
  </w:style>
  <w:style w:type="paragraph" w:styleId="1233" w:customStyle="1">
    <w:name w:val="Char"/>
    <w:basedOn w:val="844"/>
    <w:uiPriority w:val="0"/>
    <w:qFormat/>
    <w:pPr>
      <w:tabs>
        <w:tab w:val="left" w:pos="360" w:leader="none"/>
      </w:tabs>
    </w:pPr>
    <w:rPr>
      <w:rFonts w:ascii="仿宋_GB2312" w:eastAsia="仿宋_GB2312"/>
      <w:b/>
      <w:sz w:val="24"/>
    </w:rPr>
  </w:style>
  <w:style w:type="paragraph" w:styleId="1234" w:customStyle="1">
    <w:name w:val="正文段"/>
    <w:basedOn w:val="844"/>
    <w:uiPriority w:val="0"/>
    <w:qFormat/>
    <w:pPr>
      <w:ind w:firstLine="425"/>
      <w:spacing w:after="240" w:line="240" w:lineRule="atLeast"/>
      <w:widowControl/>
    </w:pPr>
    <w:rPr>
      <w:sz w:val="24"/>
      <w:szCs w:val="20"/>
    </w:rPr>
  </w:style>
  <w:style w:type="paragraph" w:styleId="1235" w:customStyle="1">
    <w:name w:val="编号1"/>
    <w:next w:val="107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36" w:customStyle="1">
    <w:name w:val="表格文字"/>
    <w:basedOn w:val="844"/>
    <w:uiPriority w:val="0"/>
    <w:qFormat/>
    <w:pPr>
      <w:jc w:val="left"/>
    </w:pPr>
    <w:rPr>
      <w:sz w:val="18"/>
    </w:rPr>
  </w:style>
  <w:style w:type="paragraph" w:styleId="1237"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章标题"/>
    <w:next w:val="104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39" w:customStyle="1">
    <w:name w:val="普通正文"/>
    <w:basedOn w:val="844"/>
    <w:uiPriority w:val="0"/>
    <w:qFormat/>
    <w:pPr>
      <w:ind w:firstLine="425"/>
      <w:jc w:val="left"/>
    </w:pPr>
    <w:rPr>
      <w:rFonts w:ascii="宋体"/>
      <w:sz w:val="20"/>
      <w:szCs w:val="20"/>
    </w:rPr>
  </w:style>
  <w:style w:type="paragraph" w:styleId="1240" w:customStyle="1">
    <w:name w:val="Normal_12"/>
    <w:uiPriority w:val="0"/>
    <w:qFormat/>
    <w:rPr>
      <w:rFonts w:ascii="黑体" w:hAnsi="黑体" w:eastAsia="黑体" w:cs="Times New Roman"/>
      <w:b/>
      <w:sz w:val="32"/>
      <w:szCs w:val="24"/>
      <w:lang w:val="en-US" w:eastAsia="zh-CN" w:bidi="ar-SA"/>
    </w:rPr>
  </w:style>
  <w:style w:type="paragraph" w:styleId="1241"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4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43" w:customStyle="1">
    <w:name w:val="Normal_11"/>
    <w:uiPriority w:val="0"/>
    <w:qFormat/>
    <w:rPr>
      <w:rFonts w:ascii="黑体" w:hAnsi="黑体" w:eastAsia="黑体" w:cs="Times New Roman"/>
      <w:b/>
      <w:sz w:val="32"/>
      <w:szCs w:val="24"/>
      <w:lang w:val="en-US" w:eastAsia="zh-CN" w:bidi="ar-SA"/>
    </w:rPr>
  </w:style>
  <w:style w:type="paragraph" w:styleId="1244"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5" w:customStyle="1">
    <w:name w:val="Normal_7"/>
    <w:uiPriority w:val="0"/>
    <w:qFormat/>
    <w:rPr>
      <w:rFonts w:ascii="黑体" w:hAnsi="黑体" w:eastAsia="黑体" w:cs="Times New Roman"/>
      <w:b/>
      <w:sz w:val="32"/>
      <w:szCs w:val="24"/>
      <w:lang w:val="en-US" w:eastAsia="zh-CN" w:bidi="ar-SA"/>
    </w:rPr>
  </w:style>
  <w:style w:type="paragraph" w:styleId="124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24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50" w:customStyle="1">
    <w:name w:val="Normal_1_2"/>
    <w:uiPriority w:val="0"/>
    <w:qFormat/>
    <w:rPr>
      <w:rFonts w:ascii="Times New Roman" w:hAnsi="Times New Roman" w:eastAsia="Times New Roman" w:cs="Times New Roman"/>
      <w:sz w:val="24"/>
      <w:szCs w:val="24"/>
      <w:lang w:val="en-US" w:eastAsia="zh-CN" w:bidi="ar-SA"/>
    </w:rPr>
  </w:style>
  <w:style w:type="paragraph" w:styleId="1251" w:customStyle="1">
    <w:name w:val="纯文本1"/>
    <w:basedOn w:val="844"/>
    <w:uiPriority w:val="0"/>
    <w:qFormat/>
    <w:rPr>
      <w:rFonts w:ascii="宋体" w:hAnsi="Courier New" w:eastAsia="楷体_GB2312"/>
      <w:sz w:val="26"/>
      <w:szCs w:val="20"/>
    </w:rPr>
  </w:style>
  <w:style w:type="paragraph" w:styleId="1252"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53" w:customStyle="1">
    <w:name w:val="Char11"/>
    <w:basedOn w:val="844"/>
    <w:uiPriority w:val="0"/>
    <w:qFormat/>
    <w:rPr>
      <w:szCs w:val="21"/>
    </w:rPr>
  </w:style>
  <w:style w:type="paragraph" w:styleId="125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5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6" w:customStyle="1">
    <w:name w:val="Normal_8"/>
    <w:uiPriority w:val="0"/>
    <w:qFormat/>
    <w:rPr>
      <w:rFonts w:ascii="Times New Roman" w:hAnsi="Times New Roman" w:eastAsia="Times New Roman" w:cs="Times New Roman"/>
      <w:sz w:val="24"/>
      <w:szCs w:val="24"/>
      <w:lang w:val="en-US" w:eastAsia="zh-CN" w:bidi="ar-SA"/>
    </w:rPr>
  </w:style>
  <w:style w:type="paragraph" w:styleId="1257" w:customStyle="1">
    <w:name w:val="pa-0"/>
    <w:basedOn w:val="844"/>
    <w:uiPriority w:val="0"/>
    <w:qFormat/>
    <w:pPr>
      <w:ind w:firstLine="480"/>
      <w:spacing w:line="360" w:lineRule="atLeast"/>
      <w:widowControl/>
    </w:pPr>
    <w:rPr>
      <w:rFonts w:ascii="宋体" w:cs="宋体"/>
      <w:sz w:val="24"/>
    </w:rPr>
  </w:style>
  <w:style w:type="paragraph" w:styleId="1258"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59" w:customStyle="1">
    <w:name w:val="tabletext"/>
    <w:basedOn w:val="844"/>
    <w:uiPriority w:val="0"/>
    <w:qFormat/>
    <w:pPr>
      <w:jc w:val="left"/>
      <w:spacing w:before="100" w:beforeAutospacing="1" w:after="100" w:afterAutospacing="1"/>
      <w:widowControl/>
    </w:pPr>
    <w:rPr>
      <w:rFonts w:ascii="宋体"/>
      <w:sz w:val="24"/>
    </w:rPr>
  </w:style>
  <w:style w:type="paragraph" w:styleId="1260"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附图居中"/>
    <w:basedOn w:val="844"/>
    <w:next w:val="1197"/>
    <w:uiPriority w:val="0"/>
    <w:qFormat/>
    <w:pPr>
      <w:ind w:left="1271" w:hanging="420"/>
      <w:jc w:val="center"/>
      <w:keepNext/>
      <w:spacing w:line="360" w:lineRule="auto"/>
      <w:tabs>
        <w:tab w:val="left" w:pos="0" w:leader="none"/>
      </w:tabs>
    </w:pPr>
    <w:rPr>
      <w:caps/>
      <w:sz w:val="24"/>
    </w:rPr>
  </w:style>
  <w:style w:type="paragraph" w:styleId="1262" w:customStyle="1">
    <w:name w:val="样式 正文2 + 首行缩进:  0 厘米 段后: 1.5 行"/>
    <w:basedOn w:val="844"/>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6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正文 + 宋体"/>
    <w:basedOn w:val="844"/>
    <w:uiPriority w:val="0"/>
    <w:qFormat/>
    <w:pPr>
      <w:ind w:firstLine="250"/>
    </w:pPr>
    <w:rPr>
      <w:rFonts w:ascii="宋体"/>
      <w:szCs w:val="21"/>
    </w:rPr>
  </w:style>
  <w:style w:type="paragraph" w:styleId="1267" w:customStyle="1">
    <w:name w:val="FA正文+标号"/>
    <w:basedOn w:val="84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68" w:customStyle="1">
    <w:name w:val="Normal_0_2"/>
    <w:uiPriority w:val="0"/>
    <w:qFormat/>
    <w:rPr>
      <w:rFonts w:ascii="黑体" w:hAnsi="黑体" w:eastAsia="黑体" w:cs="Times New Roman"/>
      <w:b/>
      <w:sz w:val="32"/>
      <w:szCs w:val="24"/>
      <w:lang w:val="en-US" w:eastAsia="zh-CN" w:bidi="ar-SA"/>
    </w:rPr>
  </w:style>
  <w:style w:type="paragraph" w:styleId="1269" w:customStyle="1">
    <w:name w:val="Normal_13"/>
    <w:uiPriority w:val="0"/>
    <w:qFormat/>
    <w:rPr>
      <w:rFonts w:ascii="黑体" w:hAnsi="黑体" w:eastAsia="黑体" w:cs="Times New Roman"/>
      <w:b/>
      <w:sz w:val="32"/>
      <w:szCs w:val="24"/>
      <w:lang w:val="en-US" w:eastAsia="zh-CN" w:bidi="ar-SA"/>
    </w:rPr>
  </w:style>
  <w:style w:type="paragraph" w:styleId="127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71" w:customStyle="1">
    <w:name w:val=" Char Char Char Char Char Char Char Char Char Char Char Char Char"/>
    <w:basedOn w:val="844"/>
    <w:uiPriority w:val="0"/>
    <w:qFormat/>
    <w:pPr>
      <w:jc w:val="left"/>
      <w:spacing w:after="160" w:line="240" w:lineRule="exact"/>
      <w:widowControl/>
    </w:pPr>
    <w:rPr>
      <w:rFonts w:ascii="Arial" w:hAnsi="Arial" w:eastAsia="Times New Roman" w:cs="Verdana"/>
      <w:b/>
      <w:sz w:val="24"/>
      <w:szCs w:val="32"/>
      <w:lang w:eastAsia="en-US"/>
    </w:rPr>
  </w:style>
  <w:style w:type="paragraph" w:styleId="1272" w:customStyle="1">
    <w:name w:val="正文（首行缩进两字）"/>
    <w:basedOn w:val="844"/>
    <w:uiPriority w:val="0"/>
    <w:qFormat/>
    <w:pPr>
      <w:spacing w:line="312" w:lineRule="auto"/>
    </w:pPr>
    <w:rPr>
      <w:rFonts w:ascii="宋体" w:cs="宋体"/>
      <w:sz w:val="24"/>
    </w:rPr>
  </w:style>
  <w:style w:type="paragraph" w:styleId="12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样式5"/>
    <w:basedOn w:val="847"/>
    <w:uiPriority w:val="0"/>
    <w:qFormat/>
    <w:pPr>
      <w:spacing w:line="415" w:lineRule="auto"/>
    </w:pPr>
    <w:rPr>
      <w:rFonts w:ascii="Calibri" w:hAnsi="Calibri"/>
      <w:bCs/>
      <w:sz w:val="28"/>
      <w:szCs w:val="28"/>
    </w:rPr>
  </w:style>
  <w:style w:type="paragraph" w:styleId="1275" w:customStyle="1">
    <w:name w:val=" Char Char Char Char"/>
    <w:basedOn w:val="844"/>
    <w:uiPriority w:val="0"/>
    <w:qFormat/>
    <w:pPr>
      <w:ind w:left="560" w:firstLine="200"/>
      <w:jc w:val="left"/>
      <w:spacing w:after="120" w:line="360" w:lineRule="auto"/>
      <w:widowControl/>
    </w:pPr>
    <w:rPr>
      <w:rFonts w:ascii="Verdana" w:hAnsi="Verdana"/>
      <w:sz w:val="24"/>
    </w:rPr>
  </w:style>
  <w:style w:type="paragraph" w:styleId="1276" w:customStyle="1">
    <w:name w:val="WPSOffice手动目录 1"/>
    <w:uiPriority w:val="0"/>
    <w:qFormat/>
    <w:rPr>
      <w:rFonts w:ascii="Times New Roman" w:hAnsi="Times New Roman" w:eastAsia="宋体" w:cs="Times New Roman"/>
      <w:lang w:val="en-US" w:eastAsia="zh-CN" w:bidi="ar-SA"/>
    </w:rPr>
  </w:style>
  <w:style w:type="paragraph" w:styleId="1277" w:customStyle="1">
    <w:name w:val="表头"/>
    <w:basedOn w:val="1062"/>
    <w:uiPriority w:val="0"/>
    <w:qFormat/>
    <w:pPr>
      <w:ind w:left="0" w:firstLine="0"/>
      <w:spacing w:line="240" w:lineRule="auto"/>
    </w:pPr>
    <w:rPr>
      <w:sz w:val="20"/>
    </w:rPr>
  </w:style>
  <w:style w:type="paragraph" w:styleId="1278" w:customStyle="1">
    <w:name w:val="Char12"/>
    <w:basedOn w:val="844"/>
    <w:uiPriority w:val="0"/>
    <w:qFormat/>
    <w:pPr>
      <w:ind w:left="360" w:right="202" w:firstLine="360"/>
      <w:spacing w:line="480" w:lineRule="auto"/>
      <w:tabs>
        <w:tab w:val="left" w:pos="360" w:leader="none"/>
      </w:tabs>
    </w:pPr>
    <w:rPr>
      <w:sz w:val="24"/>
    </w:rPr>
  </w:style>
  <w:style w:type="paragraph" w:styleId="1279" w:customStyle="1">
    <w:name w:val="寄信人地址1"/>
    <w:basedOn w:val="1078"/>
    <w:uiPriority w:val="99"/>
    <w:qFormat/>
    <w:rPr>
      <w:rFonts w:ascii="Arial" w:hAnsi="Arial" w:cs="Arial"/>
    </w:rPr>
  </w:style>
  <w:style w:type="paragraph" w:styleId="1280" w:customStyle="1">
    <w:name w:val="Normal_0_0"/>
    <w:uiPriority w:val="0"/>
    <w:qFormat/>
    <w:rPr>
      <w:rFonts w:ascii="黑体" w:hAnsi="黑体" w:eastAsia="黑体" w:cs="Times New Roman"/>
      <w:b/>
      <w:sz w:val="40"/>
      <w:szCs w:val="24"/>
      <w:lang w:val="en-US" w:eastAsia="zh-CN" w:bidi="ar-SA"/>
    </w:rPr>
  </w:style>
  <w:style w:type="paragraph" w:styleId="1281" w:customStyle="1">
    <w:name w:val="样式 正文首行缩进 + 宋体 首行缩进:  0.74 厘米"/>
    <w:basedOn w:val="907"/>
    <w:uiPriority w:val="0"/>
    <w:qFormat/>
    <w:pPr>
      <w:ind w:firstLine="210"/>
      <w:spacing w:before="120" w:after="0" w:line="380" w:lineRule="exact"/>
    </w:pPr>
    <w:rPr>
      <w:rFonts w:ascii="宋体" w:cs="宋体"/>
      <w:sz w:val="24"/>
      <w:szCs w:val="20"/>
    </w:rPr>
  </w:style>
  <w:style w:type="paragraph" w:styleId="1282" w:customStyle="1">
    <w:name w:val="列出段落1"/>
    <w:basedOn w:val="844"/>
    <w:uiPriority w:val="99"/>
    <w:qFormat/>
    <w:pPr>
      <w:ind w:firstLine="200"/>
    </w:pPr>
    <w:rPr>
      <w:rFonts w:ascii="Calibri" w:hAnsi="Calibri"/>
    </w:rPr>
  </w:style>
  <w:style w:type="paragraph" w:styleId="128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Char Char Char Char Char Char Char Char Char Char"/>
    <w:basedOn w:val="844"/>
    <w:uiPriority w:val="0"/>
    <w:qFormat/>
    <w:rPr>
      <w:rFonts w:ascii="Tahoma" w:hAnsi="Tahoma"/>
      <w:sz w:val="24"/>
      <w:szCs w:val="20"/>
    </w:rPr>
  </w:style>
  <w:style w:type="paragraph" w:styleId="1285" w:customStyle="1">
    <w:name w:val="首页空格"/>
    <w:uiPriority w:val="0"/>
    <w:qFormat/>
    <w:pPr>
      <w:jc w:val="center"/>
    </w:pPr>
    <w:rPr>
      <w:rFonts w:ascii="Times New Roman" w:hAnsi="Times New Roman" w:eastAsia="宋体" w:cs="宋体"/>
      <w:sz w:val="72"/>
      <w:lang w:val="en-US" w:eastAsia="zh-CN" w:bidi="ar-SA"/>
    </w:rPr>
  </w:style>
  <w:style w:type="paragraph" w:styleId="1286" w:customStyle="1">
    <w:name w:val="目录 1_0"/>
    <w:basedOn w:val="975"/>
    <w:next w:val="975"/>
    <w:uiPriority w:val="0"/>
    <w:semiHidden/>
    <w:qFormat/>
    <w:pPr>
      <w:jc w:val="left"/>
    </w:pPr>
    <w:rPr>
      <w:rFonts w:hint="eastAsia" w:ascii="宋体" w:hAnsi="宋体"/>
      <w:b/>
      <w:sz w:val="24"/>
    </w:rPr>
  </w:style>
  <w:style w:type="paragraph" w:styleId="1287" w:customStyle="1">
    <w:name w:val="Normal_2"/>
    <w:uiPriority w:val="0"/>
    <w:qFormat/>
    <w:rPr>
      <w:rFonts w:ascii="黑体" w:hAnsi="黑体" w:eastAsia="黑体" w:cs="Times New Roman"/>
      <w:b/>
      <w:sz w:val="32"/>
      <w:szCs w:val="24"/>
      <w:lang w:val="en-US" w:eastAsia="zh-CN" w:bidi="ar-SA"/>
    </w:rPr>
  </w:style>
  <w:style w:type="paragraph" w:styleId="1288" w:customStyle="1">
    <w:name w:val="p0"/>
    <w:basedOn w:val="844"/>
    <w:uiPriority w:val="0"/>
    <w:qFormat/>
    <w:pPr>
      <w:widowControl/>
    </w:pPr>
    <w:rPr>
      <w:szCs w:val="21"/>
    </w:rPr>
  </w:style>
  <w:style w:type="paragraph" w:styleId="1289" w:customStyle="1">
    <w:name w:val="Normal_4"/>
    <w:uiPriority w:val="0"/>
    <w:qFormat/>
    <w:rPr>
      <w:rFonts w:ascii="黑体" w:hAnsi="黑体" w:eastAsia="黑体" w:cs="Times New Roman"/>
      <w:b/>
      <w:sz w:val="32"/>
      <w:szCs w:val="24"/>
      <w:lang w:val="en-US" w:eastAsia="zh-CN" w:bidi="ar-SA"/>
    </w:rPr>
  </w:style>
  <w:style w:type="paragraph" w:styleId="1290" w:customStyle="1">
    <w:name w:val="font7"/>
    <w:basedOn w:val="844"/>
    <w:uiPriority w:val="0"/>
    <w:qFormat/>
    <w:pPr>
      <w:jc w:val="left"/>
      <w:spacing w:before="100" w:beforeAutospacing="1" w:after="100" w:afterAutospacing="1"/>
      <w:widowControl/>
    </w:pPr>
    <w:rPr>
      <w:rFonts w:ascii="宋体"/>
      <w:sz w:val="20"/>
      <w:szCs w:val="20"/>
    </w:rPr>
  </w:style>
  <w:style w:type="paragraph" w:styleId="1291" w:customStyle="1">
    <w:name w:val="特点"/>
    <w:basedOn w:val="844"/>
    <w:next w:val="844"/>
    <w:uiPriority w:val="0"/>
    <w:qFormat/>
    <w:pPr>
      <w:jc w:val="center"/>
      <w:spacing w:line="360" w:lineRule="auto"/>
    </w:pPr>
    <w:rPr>
      <w:rFonts w:ascii="Arial" w:hAnsi="Arial"/>
      <w:sz w:val="24"/>
      <w:szCs w:val="20"/>
    </w:rPr>
  </w:style>
  <w:style w:type="paragraph" w:styleId="129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正文（黑体）"/>
    <w:basedOn w:val="844"/>
    <w:next w:val="844"/>
    <w:uiPriority w:val="0"/>
    <w:qFormat/>
    <w:pPr>
      <w:ind w:firstLine="200"/>
      <w:spacing w:before="50" w:after="50" w:line="360" w:lineRule="auto"/>
    </w:pPr>
    <w:rPr>
      <w:rFonts w:ascii="黑体" w:eastAsia="黑体"/>
      <w:color w:val="000080"/>
      <w:sz w:val="24"/>
    </w:rPr>
  </w:style>
  <w:style w:type="paragraph" w:styleId="1294" w:customStyle="1">
    <w:name w:val="首页小标题"/>
    <w:next w:val="1285"/>
    <w:uiPriority w:val="0"/>
    <w:qFormat/>
    <w:pPr>
      <w:jc w:val="center"/>
    </w:pPr>
    <w:rPr>
      <w:rFonts w:ascii="Times New Roman" w:hAnsi="Times New Roman" w:eastAsia="宋体" w:cs="宋体"/>
      <w:sz w:val="44"/>
      <w:lang w:val="en-US" w:eastAsia="zh-CN" w:bidi="ar-SA"/>
    </w:rPr>
  </w:style>
  <w:style w:type="paragraph" w:styleId="1295" w:customStyle="1">
    <w:name w:val=" Char"/>
    <w:basedOn w:val="844"/>
    <w:uiPriority w:val="0"/>
    <w:qFormat/>
    <w:pPr>
      <w:jc w:val="left"/>
      <w:spacing w:after="160" w:line="240" w:lineRule="exact"/>
      <w:widowControl/>
    </w:pPr>
    <w:rPr>
      <w:rFonts w:ascii="Verdana" w:hAnsi="Verdana"/>
      <w:sz w:val="20"/>
      <w:szCs w:val="20"/>
      <w:lang w:eastAsia="en-US"/>
    </w:rPr>
  </w:style>
  <w:style w:type="paragraph" w:styleId="1296" w:customStyle="1">
    <w:name w:val="pa-8"/>
    <w:basedOn w:val="844"/>
    <w:uiPriority w:val="0"/>
    <w:qFormat/>
    <w:pPr>
      <w:ind w:firstLine="480"/>
      <w:spacing w:line="280" w:lineRule="atLeast"/>
      <w:widowControl/>
    </w:pPr>
    <w:rPr>
      <w:rFonts w:ascii="宋体" w:cs="宋体"/>
      <w:sz w:val="24"/>
    </w:rPr>
  </w:style>
  <w:style w:type="paragraph" w:styleId="1297" w:customStyle="1">
    <w:name w:val="Normal_12_0"/>
    <w:uiPriority w:val="0"/>
    <w:qFormat/>
    <w:rPr>
      <w:rFonts w:ascii="黑体" w:hAnsi="黑体" w:eastAsia="黑体" w:cs="Times New Roman"/>
      <w:b/>
      <w:sz w:val="32"/>
      <w:szCs w:val="24"/>
      <w:lang w:val="en-US" w:eastAsia="zh-CN" w:bidi="ar-SA"/>
    </w:rPr>
  </w:style>
  <w:style w:type="table" w:styleId="1298" w:customStyle="1">
    <w:name w:val="网格型1"/>
    <w:basedOn w:val="85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9" w:customStyle="1">
    <w:name w:val="Table Normal"/>
    <w:uiPriority w:val="0"/>
    <w:unhideWhenUsed/>
    <w:qFormat/>
    <w:tblPr>
      <w:tblCellMar>
        <w:left w:w="0" w:type="dxa"/>
        <w:top w:w="0" w:type="dxa"/>
        <w:right w:w="0" w:type="dxa"/>
        <w:bottom w:w="0" w:type="dxa"/>
      </w:tblCellMar>
    </w:tblPr>
  </w:style>
  <w:style w:type="character" w:styleId="1300" w:customStyle="1">
    <w:name w:val="标题 1 字符"/>
    <w:link w:val="845"/>
    <w:uiPriority w:val="0"/>
    <w:qFormat/>
    <w:rPr>
      <w:b/>
      <w:sz w:val="44"/>
    </w:rPr>
  </w:style>
  <w:style w:type="paragraph" w:styleId="1301" w:customStyle="1">
    <w:name w:val="列表段落1"/>
    <w:basedOn w:val="844"/>
    <w:next w:val="865"/>
    <w:uiPriority w:val="0"/>
    <w:qFormat/>
    <w:pPr>
      <w:ind w:firstLine="420"/>
    </w:pPr>
  </w:style>
  <w:style w:type="paragraph" w:styleId="1302" w:customStyle="1">
    <w:name w:val="报告正文"/>
    <w:basedOn w:val="844"/>
    <w:uiPriority w:val="0"/>
    <w:qFormat/>
    <w:pPr>
      <w:ind w:firstLine="480"/>
      <w:spacing w:line="360" w:lineRule="auto"/>
    </w:pPr>
    <w:rPr>
      <w:rFonts w:eastAsia="仿宋_GB2312"/>
      <w:sz w:val="24"/>
      <w:szCs w:val="24"/>
    </w:rPr>
  </w:style>
  <w:style w:type="paragraph" w:styleId="1303" w:customStyle="1">
    <w:name w:val="列出段落"/>
    <w:basedOn w:val="844"/>
    <w:uiPriority w:val="34"/>
    <w:qFormat/>
    <w:pPr>
      <w:contextualSpacing/>
      <w:ind w:left="720"/>
    </w:pPr>
  </w:style>
  <w:style w:type="paragraph" w:styleId="1304" w:customStyle="1">
    <w:name w:val="正文文本缩进11"/>
    <w:basedOn w:val="844"/>
    <w:next w:val="1279"/>
    <w:uiPriority w:val="0"/>
    <w:unhideWhenUsed/>
    <w:qFormat/>
    <w:pPr>
      <w:ind w:left="420"/>
      <w:spacing w:after="120"/>
    </w:pPr>
  </w:style>
  <w:style w:type="paragraph" w:styleId="1305" w:customStyle="1">
    <w:name w:val="索引 41"/>
    <w:basedOn w:val="844"/>
    <w:next w:val="844"/>
    <w:uiPriority w:val="0"/>
    <w:semiHidden/>
    <w:qFormat/>
    <w:pPr>
      <w:ind w:left="1260"/>
    </w:pPr>
    <w:rPr>
      <w:rFonts w:ascii="Calibri" w:hAnsi="Calibri" w:eastAsia="Calibri" w:cs="宋体"/>
      <w:sz w:val="20"/>
      <w:lang w:val="zh-CN"/>
    </w:rPr>
  </w:style>
  <w:style w:type="paragraph" w:styleId="1306" w:customStyle="1">
    <w:name w:val="标题 41"/>
    <w:basedOn w:val="844"/>
    <w:next w:val="844"/>
    <w:uiPriority w:val="0"/>
    <w:qFormat/>
    <w:pPr>
      <w:keepLines/>
      <w:keepNext/>
      <w:spacing w:before="280" w:after="290" w:line="376" w:lineRule="auto"/>
      <w:outlineLvl w:val="3"/>
    </w:pPr>
    <w:rPr>
      <w:rFonts w:ascii="Arial" w:hAnsi="Arial" w:eastAsia="黑体" w:cs="Arial"/>
      <w:b/>
      <w:bCs/>
      <w:sz w:val="28"/>
      <w:szCs w:val="28"/>
    </w:rPr>
  </w:style>
  <w:style w:type="character" w:styleId="1307" w:customStyle="1">
    <w:name w:val="not([class*=suffix])"/>
    <w:basedOn w:val="854"/>
    <w:uiPriority w:val="0"/>
    <w:qFormat/>
    <w:rPr>
      <w:sz w:val="13"/>
      <w:szCs w:val="13"/>
    </w:rPr>
  </w:style>
  <w:style w:type="character" w:styleId="1308" w:customStyle="1">
    <w:name w:val="not([class*=suffix])1"/>
    <w:basedOn w:val="854"/>
    <w:uiPriority w:val="0"/>
    <w:qFormat/>
  </w:style>
  <w:style w:type="character" w:styleId="1309" w:customStyle="1">
    <w:name w:val="UserStyle_2"/>
    <w:uiPriority w:val="0"/>
    <w:qFormat/>
  </w:style>
  <w:style w:type="paragraph" w:styleId="1310" w:customStyle="1">
    <w:name w:val="Heading #1"/>
    <w:basedOn w:val="844"/>
    <w:uiPriority w:val="0"/>
    <w:qFormat/>
    <w:pPr>
      <w:jc w:val="center"/>
      <w:spacing w:before="360" w:after="380"/>
      <w:outlineLvl w:val="0"/>
    </w:pPr>
    <w:rPr>
      <w:rFonts w:ascii="宋体" w:hAnsi="宋体" w:eastAsia="宋体" w:cs="宋体"/>
      <w:sz w:val="40"/>
      <w:szCs w:val="40"/>
      <w:lang w:val="zh-CN" w:eastAsia="zh-CN" w:bidi="zh-CN"/>
    </w:rPr>
  </w:style>
  <w:style w:type="character" w:styleId="1311" w:customStyle="1">
    <w:name w:val="NormalCharacter"/>
    <w:uiPriority w:val="0"/>
    <w:semiHidden/>
    <w:qFormat/>
  </w:style>
  <w:style w:type="paragraph" w:styleId="1312" w:customStyle="1">
    <w:name w:val="Table Paragraph"/>
    <w:basedOn w:val="844"/>
    <w:uiPriority w:val="1"/>
    <w:qFormat/>
  </w:style>
  <w:style w:type="numbering" w:styleId="1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金芸</cp:lastModifiedBy>
  <cp:revision>5</cp:revision>
  <dcterms:created xsi:type="dcterms:W3CDTF">2024-10-30T10:42:00Z</dcterms:created>
  <dcterms:modified xsi:type="dcterms:W3CDTF">2026-04-20T05:51:38Z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27725C3E40C84B89BDBD2472CD2F7A71_13</vt:lpwstr>
  </property>
  <property fmtid="{D5CDD505-2E9C-101B-9397-08002B2CF9AE}" pid="4" name="KSOTemplateDocerSaveRecord">
    <vt:lpwstr>eyJoZGlkIjoiMzEwNTM5NzYwMDRjMzkwZTVkZjY2ODkwMGIxNGU0OTUiLCJ1c2VySWQiOiIyMDE0ODYwMTEifQ==</vt:lpwstr>
  </property>
</Properties>
</file>