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jc w:val="center"/>
        <w:rPr>
          <w:rFonts w:hint="eastAsia"/>
          <w:b/>
          <w:bCs/>
          <w:sz w:val="52"/>
          <w:highlight w:val="none"/>
        </w:rPr>
      </w:pPr>
      <w:r>
        <w:rPr>
          <w:rFonts w:hint="eastAsia"/>
          <w:b/>
          <w:bCs/>
          <w:sz w:val="52"/>
          <w:highlight w:val="none"/>
        </w:rPr>
      </w:r>
      <w:r>
        <w:rPr>
          <w:highlight w:val="none"/>
        </w:rPr>
      </w:r>
    </w:p>
    <w:p>
      <w:pPr>
        <w:pStyle w:val="760"/>
        <w:jc w:val="center"/>
        <w:rPr>
          <w:rFonts w:hint="eastAsia" w:ascii="宋体" w:hAnsi="宋体"/>
          <w:b/>
          <w:bCs/>
          <w:color w:val="000000"/>
          <w:sz w:val="52"/>
          <w:highlight w:val="none"/>
        </w:rPr>
      </w:pPr>
      <w:r>
        <w:rPr>
          <w:rFonts w:hint="eastAsia" w:ascii="宋体" w:hAnsi="宋体"/>
          <w:b/>
          <w:bCs/>
          <w:color w:val="000000"/>
          <w:sz w:val="52"/>
          <w:highlight w:val="none"/>
        </w:rPr>
        <w:t xml:space="preserve">宜 兴 市 政 府 采 购</w:t>
      </w:r>
      <w:r>
        <w:rPr>
          <w:rFonts w:hint="eastAsia" w:ascii="宋体" w:hAnsi="宋体"/>
          <w:b/>
          <w:bCs/>
          <w:color w:val="000000"/>
          <w:sz w:val="52"/>
          <w:highlight w:val="none"/>
        </w:rPr>
      </w:r>
      <w:r>
        <w:rPr>
          <w:highlight w:val="none"/>
        </w:rPr>
      </w:r>
    </w:p>
    <w:p>
      <w:pPr>
        <w:pStyle w:val="760"/>
        <w:jc w:val="center"/>
        <w:rPr>
          <w:rFonts w:hint="eastAsia" w:ascii="宋体" w:hAnsi="宋体"/>
          <w:b/>
          <w:bCs/>
          <w:color w:val="000000"/>
          <w:sz w:val="52"/>
          <w:highlight w:val="none"/>
        </w:rPr>
      </w:pPr>
      <w:r>
        <w:rPr>
          <w:rFonts w:hint="eastAsia" w:ascii="宋体" w:hAnsi="宋体"/>
          <w:b/>
          <w:bCs/>
          <w:color w:val="000000"/>
          <w:sz w:val="52"/>
          <w:highlight w:val="none"/>
        </w:rPr>
      </w:r>
      <w:r>
        <w:rPr>
          <w:highlight w:val="none"/>
        </w:rPr>
      </w:r>
    </w:p>
    <w:p>
      <w:pPr>
        <w:pStyle w:val="760"/>
        <w:jc w:val="center"/>
        <w:rPr>
          <w:rFonts w:hint="eastAsia" w:ascii="宋体" w:hAnsi="宋体"/>
          <w:b/>
          <w:bCs/>
          <w:color w:val="000000"/>
          <w:sz w:val="52"/>
          <w:highlight w:val="none"/>
        </w:rPr>
      </w:pPr>
      <w:r>
        <w:rPr>
          <w:rFonts w:hint="eastAsia" w:ascii="宋体" w:hAnsi="宋体"/>
          <w:b/>
          <w:bCs/>
          <w:color w:val="000000"/>
          <w:sz w:val="52"/>
          <w:highlight w:val="none"/>
        </w:rPr>
      </w:r>
      <w:r>
        <w:rPr>
          <w:highlight w:val="none"/>
        </w:rPr>
      </w:r>
    </w:p>
    <w:p>
      <w:pPr>
        <w:pStyle w:val="760"/>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招</w:t>
      </w:r>
      <w:r>
        <w:rPr>
          <w:rFonts w:hint="eastAsia" w:ascii="黑体" w:hAnsi="黑体" w:eastAsia="黑体"/>
          <w:b/>
          <w:bCs/>
          <w:color w:val="000000"/>
          <w:sz w:val="96"/>
          <w:szCs w:val="96"/>
          <w:highlight w:val="none"/>
        </w:rPr>
      </w:r>
      <w:r>
        <w:rPr>
          <w:highlight w:val="none"/>
        </w:rPr>
      </w:r>
    </w:p>
    <w:p>
      <w:pPr>
        <w:pStyle w:val="760"/>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标</w:t>
      </w:r>
      <w:r>
        <w:rPr>
          <w:rFonts w:hint="eastAsia" w:ascii="黑体" w:hAnsi="黑体" w:eastAsia="黑体"/>
          <w:b/>
          <w:bCs/>
          <w:color w:val="000000"/>
          <w:sz w:val="96"/>
          <w:szCs w:val="96"/>
          <w:highlight w:val="none"/>
        </w:rPr>
      </w:r>
      <w:r>
        <w:rPr>
          <w:highlight w:val="none"/>
        </w:rPr>
      </w:r>
    </w:p>
    <w:p>
      <w:pPr>
        <w:pStyle w:val="760"/>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文</w:t>
      </w:r>
      <w:r>
        <w:rPr>
          <w:rFonts w:hint="eastAsia" w:ascii="黑体" w:hAnsi="黑体" w:eastAsia="黑体"/>
          <w:b/>
          <w:bCs/>
          <w:color w:val="000000"/>
          <w:sz w:val="96"/>
          <w:szCs w:val="96"/>
          <w:highlight w:val="none"/>
        </w:rPr>
      </w:r>
      <w:r>
        <w:rPr>
          <w:highlight w:val="none"/>
        </w:rPr>
      </w:r>
    </w:p>
    <w:p>
      <w:pPr>
        <w:pStyle w:val="760"/>
        <w:jc w:val="center"/>
        <w:rPr>
          <w:rFonts w:hint="eastAsia" w:ascii="黑体" w:hAnsi="黑体" w:eastAsia="黑体"/>
          <w:b/>
          <w:bCs/>
          <w:color w:val="000000"/>
          <w:sz w:val="96"/>
          <w:szCs w:val="96"/>
          <w:highlight w:val="none"/>
        </w:rPr>
      </w:pPr>
      <w:r>
        <w:rPr>
          <w:rFonts w:hint="eastAsia" w:ascii="黑体" w:hAnsi="黑体" w:eastAsia="黑体"/>
          <w:b/>
          <w:bCs/>
          <w:color w:val="000000"/>
          <w:sz w:val="96"/>
          <w:szCs w:val="96"/>
          <w:highlight w:val="none"/>
        </w:rPr>
        <w:t xml:space="preserve">件</w:t>
      </w:r>
      <w:r>
        <w:rPr>
          <w:rFonts w:hint="eastAsia" w:ascii="黑体" w:hAnsi="黑体" w:eastAsia="黑体"/>
          <w:b/>
          <w:bCs/>
          <w:color w:val="000000"/>
          <w:sz w:val="96"/>
          <w:szCs w:val="96"/>
          <w:highlight w:val="none"/>
        </w:rPr>
      </w:r>
      <w:r>
        <w:rPr>
          <w:highlight w:val="none"/>
        </w:rPr>
      </w:r>
    </w:p>
    <w:p>
      <w:pPr>
        <w:pStyle w:val="760"/>
        <w:jc w:val="center"/>
        <w:rPr>
          <w:rFonts w:hint="eastAsia" w:ascii="宋体" w:hAnsi="宋体"/>
          <w:b/>
          <w:bCs/>
          <w:color w:val="000000"/>
          <w:sz w:val="52"/>
          <w:highlight w:val="none"/>
        </w:rPr>
      </w:pPr>
      <w:r>
        <w:rPr>
          <w:rFonts w:hint="eastAsia" w:ascii="宋体" w:hAnsi="宋体"/>
          <w:b/>
          <w:bCs/>
          <w:color w:val="000000"/>
          <w:sz w:val="52"/>
          <w:highlight w:val="none"/>
        </w:rPr>
      </w:r>
      <w:r>
        <w:rPr>
          <w:highlight w:val="none"/>
        </w:rPr>
      </w:r>
    </w:p>
    <w:p>
      <w:pPr>
        <w:pStyle w:val="760"/>
        <w:jc w:val="center"/>
        <w:rPr>
          <w:rFonts w:hint="eastAsia" w:ascii="宋体" w:hAnsi="宋体"/>
          <w:b/>
          <w:bCs/>
          <w:color w:val="000000"/>
          <w:sz w:val="52"/>
          <w:highlight w:val="none"/>
        </w:rPr>
      </w:pPr>
      <w:r>
        <w:rPr>
          <w:rFonts w:hint="eastAsia" w:ascii="宋体" w:hAnsi="宋体"/>
          <w:b/>
          <w:bCs/>
          <w:color w:val="000000"/>
          <w:sz w:val="52"/>
          <w:highlight w:val="none"/>
        </w:rPr>
        <w:t xml:space="preserve">（电子标）</w:t>
      </w:r>
      <w:r>
        <w:rPr>
          <w:rFonts w:hint="eastAsia" w:ascii="宋体" w:hAnsi="宋体"/>
          <w:b/>
          <w:bCs/>
          <w:color w:val="000000"/>
          <w:sz w:val="52"/>
          <w:highlight w:val="none"/>
        </w:rPr>
      </w:r>
      <w:r>
        <w:rPr>
          <w:highlight w:val="none"/>
        </w:rPr>
      </w:r>
    </w:p>
    <w:p>
      <w:pPr>
        <w:pStyle w:val="760"/>
        <w:jc w:val="center"/>
        <w:rPr>
          <w:rFonts w:hint="eastAsia" w:ascii="宋体" w:hAnsi="宋体" w:eastAsia="宋体"/>
          <w:color w:val="000000"/>
          <w:sz w:val="32"/>
          <w:highlight w:val="none"/>
        </w:rPr>
      </w:pPr>
      <w:r>
        <w:rPr>
          <w:rFonts w:hint="eastAsia" w:ascii="宋体" w:hAnsi="宋体"/>
          <w:color w:val="000000"/>
          <w:sz w:val="32"/>
          <w:highlight w:val="none"/>
        </w:rPr>
        <w:t xml:space="preserve">项目编号</w:t>
      </w:r>
      <w:r>
        <w:rPr>
          <w:rFonts w:hint="eastAsia" w:ascii="宋体" w:hAnsi="宋体"/>
          <w:color w:val="000000"/>
          <w:sz w:val="32"/>
          <w:highlight w:val="none"/>
          <w:lang w:val="en-US" w:eastAsia="zh-CN"/>
        </w:rPr>
        <w:t xml:space="preserve">:</w:t>
      </w:r>
      <w:r>
        <w:rPr>
          <w:rFonts w:hint="eastAsia" w:ascii="宋体" w:hAnsi="宋体"/>
          <w:b/>
          <w:color w:val="000000"/>
          <w:sz w:val="28"/>
          <w:highlight w:val="none"/>
          <w:lang w:eastAsia="zh-CN"/>
        </w:rPr>
        <w:t xml:space="preserve">JSZC-320282-YXJX-G2026-0003</w:t>
      </w:r>
      <w:r>
        <w:rPr>
          <w:rFonts w:hint="eastAsia" w:ascii="宋体" w:hAnsi="宋体" w:eastAsia="宋体"/>
          <w:color w:val="000000"/>
          <w:sz w:val="32"/>
          <w:highlight w:val="none"/>
          <w:lang w:eastAsia="zh-CN"/>
        </w:rPr>
      </w:r>
      <w:r>
        <w:rPr>
          <w:highlight w:val="none"/>
        </w:rPr>
      </w:r>
    </w:p>
    <w:p>
      <w:pPr>
        <w:pStyle w:val="760"/>
        <w:jc w:val="center"/>
        <w:rPr>
          <w:rFonts w:hint="eastAsia" w:ascii="宋体" w:hAnsi="宋体" w:eastAsia="宋体"/>
          <w:color w:val="000000"/>
          <w:sz w:val="32"/>
          <w:highlight w:val="none"/>
        </w:rPr>
      </w:pPr>
      <w:r>
        <w:rPr>
          <w:rFonts w:hint="eastAsia" w:ascii="宋体" w:hAnsi="宋体"/>
          <w:color w:val="000000"/>
          <w:sz w:val="32"/>
          <w:highlight w:val="none"/>
        </w:rPr>
        <w:t xml:space="preserve">采购人：</w:t>
      </w:r>
      <w:r>
        <w:rPr>
          <w:rFonts w:hint="eastAsia" w:ascii="宋体" w:hAnsi="宋体"/>
          <w:color w:val="000000"/>
          <w:sz w:val="32"/>
          <w:highlight w:val="none"/>
          <w:lang w:eastAsia="zh-CN"/>
        </w:rPr>
        <w:t xml:space="preserve">宜兴市丁蜀镇人民政府</w:t>
      </w:r>
      <w:r>
        <w:rPr>
          <w:rFonts w:hint="eastAsia" w:ascii="宋体" w:hAnsi="宋体" w:eastAsia="宋体"/>
          <w:color w:val="000000"/>
          <w:sz w:val="32"/>
          <w:highlight w:val="none"/>
          <w:lang w:eastAsia="zh-CN"/>
        </w:rPr>
      </w:r>
      <w:r>
        <w:rPr>
          <w:highlight w:val="none"/>
        </w:rPr>
      </w:r>
    </w:p>
    <w:p>
      <w:pPr>
        <w:pStyle w:val="760"/>
        <w:jc w:val="center"/>
        <w:rPr>
          <w:rFonts w:hint="eastAsia" w:ascii="宋体" w:hAnsi="宋体" w:eastAsia="宋体"/>
          <w:color w:val="000000"/>
          <w:sz w:val="32"/>
          <w:highlight w:val="none"/>
        </w:rPr>
      </w:pPr>
      <w:r>
        <w:rPr>
          <w:rFonts w:hint="eastAsia" w:ascii="宋体" w:hAnsi="宋体"/>
          <w:color w:val="000000"/>
          <w:sz w:val="32"/>
          <w:highlight w:val="none"/>
        </w:rPr>
        <w:t xml:space="preserve">项目名称：</w:t>
      </w:r>
      <w:r>
        <w:rPr>
          <w:rFonts w:hint="eastAsia" w:ascii="宋体" w:hAnsi="宋体"/>
          <w:color w:val="000000"/>
          <w:sz w:val="32"/>
          <w:highlight w:val="none"/>
          <w:lang w:eastAsia="zh-CN"/>
        </w:rPr>
        <w:t xml:space="preserve">丁蜀镇石龙空气标准站和VOCs标准站设备采购项目</w:t>
      </w:r>
      <w:r>
        <w:rPr>
          <w:rFonts w:hint="eastAsia" w:ascii="宋体" w:hAnsi="宋体" w:eastAsia="宋体"/>
          <w:color w:val="000000"/>
          <w:sz w:val="32"/>
          <w:highlight w:val="none"/>
          <w:lang w:eastAsia="zh-CN"/>
        </w:rPr>
      </w:r>
      <w:r>
        <w:rPr>
          <w:highlight w:val="none"/>
        </w:rPr>
      </w:r>
    </w:p>
    <w:p>
      <w:pPr>
        <w:pStyle w:val="760"/>
        <w:jc w:val="center"/>
        <w:rPr>
          <w:rFonts w:hint="eastAsia" w:ascii="宋体" w:hAnsi="宋体" w:eastAsia="宋体"/>
          <w:color w:val="000000"/>
          <w:sz w:val="32"/>
          <w:highlight w:val="none"/>
        </w:rPr>
      </w:pPr>
      <w:r>
        <w:rPr>
          <w:rFonts w:hint="eastAsia" w:ascii="宋体" w:hAnsi="宋体"/>
          <w:color w:val="000000"/>
          <w:sz w:val="32"/>
          <w:highlight w:val="none"/>
        </w:rPr>
        <w:t xml:space="preserve">采购代理机构：</w:t>
      </w:r>
      <w:r>
        <w:rPr>
          <w:rFonts w:hint="eastAsia" w:ascii="宋体" w:hAnsi="宋体"/>
          <w:color w:val="000000"/>
          <w:sz w:val="32"/>
          <w:highlight w:val="none"/>
          <w:lang w:eastAsia="zh-CN"/>
        </w:rPr>
        <w:t xml:space="preserve">宜兴市嘉行工程管理有限公司</w:t>
      </w:r>
      <w:r>
        <w:rPr>
          <w:rFonts w:hint="eastAsia" w:ascii="宋体" w:hAnsi="宋体" w:eastAsia="宋体"/>
          <w:color w:val="000000"/>
          <w:sz w:val="32"/>
          <w:highlight w:val="none"/>
          <w:lang w:eastAsia="zh-CN"/>
        </w:rPr>
      </w:r>
      <w:r>
        <w:rPr>
          <w:highlight w:val="none"/>
        </w:rPr>
      </w:r>
    </w:p>
    <w:p>
      <w:pPr>
        <w:pStyle w:val="760"/>
        <w:jc w:val="center"/>
        <w:rPr>
          <w:rFonts w:hint="eastAsia" w:ascii="宋体" w:hAnsi="宋体"/>
          <w:color w:val="000000"/>
          <w:sz w:val="32"/>
          <w:highlight w:val="none"/>
        </w:rPr>
      </w:pPr>
      <w:r>
        <w:rPr>
          <w:rFonts w:hint="eastAsia" w:ascii="宋体" w:hAnsi="宋体"/>
          <w:color w:val="000000"/>
          <w:sz w:val="32"/>
          <w:highlight w:val="none"/>
        </w:rPr>
        <w:t xml:space="preserve">二〇二</w:t>
      </w:r>
      <w:r>
        <w:rPr>
          <w:rFonts w:hint="eastAsia" w:ascii="宋体" w:hAnsi="宋体"/>
          <w:color w:val="000000"/>
          <w:sz w:val="32"/>
          <w:highlight w:val="none"/>
          <w:lang w:eastAsia="zh-CN"/>
        </w:rPr>
        <w:t xml:space="preserve">六</w:t>
      </w:r>
      <w:r>
        <w:rPr>
          <w:rFonts w:hint="eastAsia" w:ascii="宋体" w:hAnsi="宋体"/>
          <w:color w:val="000000"/>
          <w:sz w:val="32"/>
          <w:highlight w:val="none"/>
        </w:rPr>
        <w:t xml:space="preserve">年</w:t>
      </w:r>
      <w:r>
        <w:rPr>
          <w:rFonts w:hint="eastAsia" w:ascii="宋体" w:hAnsi="宋体"/>
          <w:color w:val="000000"/>
          <w:sz w:val="32"/>
          <w:highlight w:val="none"/>
          <w:lang w:val="en-US" w:eastAsia="zh-CN"/>
        </w:rPr>
        <w:t xml:space="preserve">四</w:t>
      </w:r>
      <w:r>
        <w:rPr>
          <w:rFonts w:hint="eastAsia" w:ascii="宋体" w:hAnsi="宋体"/>
          <w:color w:val="000000"/>
          <w:sz w:val="32"/>
          <w:highlight w:val="none"/>
        </w:rPr>
        <w:t xml:space="preserve">月</w:t>
      </w:r>
      <w:r>
        <w:rPr>
          <w:rFonts w:hint="eastAsia" w:ascii="宋体" w:hAnsi="宋体"/>
          <w:color w:val="000000"/>
          <w:sz w:val="32"/>
          <w:highlight w:val="none"/>
        </w:rPr>
      </w:r>
      <w:r>
        <w:rPr>
          <w:highlight w:val="none"/>
        </w:rPr>
      </w:r>
    </w:p>
    <w:p>
      <w:pPr>
        <w:pStyle w:val="760"/>
        <w:rPr>
          <w:rFonts w:hint="eastAsia"/>
          <w:color w:val="000000"/>
          <w:highlight w:val="none"/>
        </w:rPr>
      </w:pPr>
      <w:r>
        <w:rPr>
          <w:rFonts w:hint="eastAsia"/>
          <w:color w:val="000000"/>
          <w:highlight w:val="none"/>
        </w:rPr>
        <w:t xml:space="preserve">                                                                                              </w:t>
      </w:r>
      <w:r>
        <w:rPr>
          <w:rFonts w:hint="eastAsia"/>
          <w:color w:val="000000"/>
          <w:highlight w:val="none"/>
        </w:rPr>
      </w:r>
      <w:r>
        <w:rPr>
          <w:highlight w:val="none"/>
        </w:rPr>
      </w:r>
    </w:p>
    <w:p>
      <w:pPr>
        <w:pStyle w:val="760"/>
        <w:jc w:val="center"/>
        <w:rPr>
          <w:rStyle w:val="799"/>
          <w:rFonts w:eastAsia="黑体"/>
          <w:bCs/>
          <w:color w:val="000000"/>
          <w:sz w:val="48"/>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sectPr>
      </w:pPr>
      <w:r>
        <w:rPr>
          <w:rStyle w:val="799"/>
          <w:rFonts w:eastAsia="黑体"/>
          <w:bCs/>
          <w:color w:val="000000"/>
          <w:sz w:val="48"/>
          <w:highlight w:val="none"/>
        </w:rPr>
      </w:r>
      <w:r>
        <w:rPr>
          <w:highlight w:val="none"/>
        </w:rPr>
      </w:r>
    </w:p>
    <w:p>
      <w:pPr>
        <w:pStyle w:val="760"/>
        <w:jc w:val="center"/>
        <w:rPr>
          <w:rStyle w:val="799"/>
          <w:rFonts w:hint="eastAsia" w:eastAsia="黑体"/>
          <w:bCs/>
          <w:color w:val="000000"/>
          <w:sz w:val="48"/>
          <w:highlight w:val="none"/>
        </w:rPr>
      </w:pPr>
      <w:r>
        <w:rPr>
          <w:rStyle w:val="799"/>
          <w:rFonts w:hint="eastAsia" w:eastAsia="黑体"/>
          <w:bCs/>
          <w:color w:val="000000"/>
          <w:sz w:val="48"/>
          <w:highlight w:val="none"/>
        </w:rPr>
      </w:r>
      <w:r>
        <w:rPr>
          <w:highlight w:val="none"/>
        </w:rPr>
      </w:r>
    </w:p>
    <w:p>
      <w:pPr>
        <w:pStyle w:val="760"/>
        <w:jc w:val="center"/>
        <w:rPr>
          <w:rStyle w:val="799"/>
          <w:rFonts w:eastAsia="黑体"/>
          <w:bCs/>
          <w:color w:val="000000"/>
          <w:sz w:val="48"/>
          <w:highlight w:val="none"/>
        </w:rPr>
      </w:pPr>
      <w:r>
        <w:rPr>
          <w:rStyle w:val="799"/>
          <w:rFonts w:hint="eastAsia" w:eastAsia="黑体"/>
          <w:bCs/>
          <w:color w:val="000000"/>
          <w:sz w:val="48"/>
          <w:highlight w:val="none"/>
        </w:rPr>
        <w:t xml:space="preserve">目     录</w:t>
      </w:r>
      <w:r>
        <w:rPr>
          <w:rStyle w:val="799"/>
          <w:rFonts w:eastAsia="黑体"/>
          <w:bCs/>
          <w:color w:val="000000"/>
          <w:sz w:val="48"/>
          <w:highlight w:val="none"/>
        </w:rPr>
      </w:r>
      <w:r>
        <w:rPr>
          <w:highlight w:val="none"/>
        </w:rPr>
      </w:r>
    </w:p>
    <w:p>
      <w:pPr>
        <w:pStyle w:val="760"/>
        <w:jc w:val="center"/>
        <w:rPr>
          <w:rFonts w:ascii="黑体" w:eastAsia="黑体"/>
          <w:bCs/>
          <w:color w:val="000000"/>
          <w:sz w:val="30"/>
          <w:highlight w:val="none"/>
        </w:rPr>
      </w:pPr>
      <w:r>
        <w:rPr>
          <w:rFonts w:ascii="黑体" w:eastAsia="黑体"/>
          <w:bCs/>
          <w:color w:val="000000"/>
          <w:sz w:val="30"/>
          <w:highlight w:val="none"/>
        </w:rPr>
      </w:r>
      <w:r>
        <w:rPr>
          <w:highlight w:val="none"/>
        </w:rPr>
      </w:r>
    </w:p>
    <w:p>
      <w:pPr>
        <w:pStyle w:val="760"/>
        <w:jc w:val="center"/>
        <w:rPr>
          <w:rFonts w:ascii="黑体" w:eastAsia="黑体"/>
          <w:bCs/>
          <w:color w:val="000000"/>
          <w:sz w:val="30"/>
          <w:highlight w:val="none"/>
        </w:rPr>
      </w:pPr>
      <w:r>
        <w:rPr>
          <w:rFonts w:ascii="黑体" w:eastAsia="黑体"/>
          <w:bCs/>
          <w:color w:val="000000"/>
          <w:sz w:val="30"/>
          <w:highlight w:val="none"/>
        </w:rPr>
      </w:r>
      <w:r>
        <w:rPr>
          <w:highlight w:val="none"/>
        </w:rPr>
      </w:r>
    </w:p>
    <w:p>
      <w:pPr>
        <w:pStyle w:val="786"/>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_Toc5087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_Toc5087 </w:instrText>
      </w:r>
      <w:r>
        <w:rPr>
          <w:color w:val="000000"/>
          <w:sz w:val="32"/>
          <w:szCs w:val="32"/>
          <w:highlight w:val="none"/>
        </w:rPr>
        <w:fldChar w:fldCharType="separate"/>
      </w:r>
      <w:r>
        <w:rPr>
          <w:color w:val="000000"/>
          <w:sz w:val="32"/>
          <w:szCs w:val="32"/>
          <w:highlight w:val="none"/>
        </w:rPr>
        <w:t xml:space="preserve">- 3 -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color w:val="000000"/>
          <w:sz w:val="32"/>
          <w:szCs w:val="32"/>
          <w:highlight w:val="none"/>
        </w:rPr>
      </w:r>
      <w:r>
        <w:rPr>
          <w:highlight w:val="none"/>
        </w:rPr>
      </w:r>
    </w:p>
    <w:p>
      <w:pPr>
        <w:pStyle w:val="786"/>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_Toc30886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_Toc30886 </w:instrText>
      </w:r>
      <w:r>
        <w:rPr>
          <w:color w:val="000000"/>
          <w:sz w:val="32"/>
          <w:szCs w:val="32"/>
          <w:highlight w:val="none"/>
        </w:rPr>
        <w:fldChar w:fldCharType="separate"/>
      </w:r>
      <w:r>
        <w:rPr>
          <w:color w:val="000000"/>
          <w:sz w:val="32"/>
          <w:szCs w:val="32"/>
          <w:highlight w:val="none"/>
        </w:rPr>
        <w:t xml:space="preserve">- 7 -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color w:val="000000"/>
          <w:sz w:val="32"/>
          <w:szCs w:val="32"/>
          <w:highlight w:val="none"/>
        </w:rPr>
      </w:r>
      <w:r>
        <w:rPr>
          <w:highlight w:val="none"/>
        </w:rPr>
      </w:r>
    </w:p>
    <w:p>
      <w:pPr>
        <w:pStyle w:val="786"/>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_Toc19590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_Toc19590 </w:instrText>
      </w:r>
      <w:r>
        <w:rPr>
          <w:color w:val="000000"/>
          <w:sz w:val="32"/>
          <w:szCs w:val="32"/>
          <w:highlight w:val="none"/>
        </w:rPr>
        <w:fldChar w:fldCharType="separate"/>
      </w:r>
      <w:r>
        <w:rPr>
          <w:color w:val="000000"/>
          <w:sz w:val="32"/>
          <w:szCs w:val="32"/>
          <w:highlight w:val="none"/>
        </w:rPr>
        <w:t xml:space="preserve">- 20 -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color w:val="000000"/>
          <w:sz w:val="32"/>
          <w:szCs w:val="32"/>
          <w:highlight w:val="none"/>
        </w:rPr>
      </w:r>
      <w:r>
        <w:rPr>
          <w:highlight w:val="none"/>
        </w:rPr>
      </w:r>
    </w:p>
    <w:p>
      <w:pPr>
        <w:pStyle w:val="786"/>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_Toc25466 </w:instrText>
      </w:r>
      <w:r>
        <w:rPr>
          <w:rFonts w:hint="eastAsia" w:ascii="黑体" w:hAnsi="黑体" w:eastAsia="黑体" w:cs="黑体"/>
          <w:color w:val="000000"/>
          <w:sz w:val="32"/>
          <w:szCs w:val="32"/>
          <w:highlight w:val="none"/>
        </w:rPr>
        <w:fldChar w:fldCharType="separate"/>
      </w:r>
      <w:r>
        <w:rPr>
          <w:rFonts w:hint="eastAsia" w:ascii="黑体" w:hAnsi="黑体" w:eastAsia="黑体"/>
          <w:bCs/>
          <w:color w:val="000000"/>
          <w:sz w:val="32"/>
          <w:szCs w:val="32"/>
          <w:highlight w:val="none"/>
        </w:rPr>
        <w:t xml:space="preserve">第四章 评标方法和标准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_Toc25466 </w:instrText>
      </w:r>
      <w:r>
        <w:rPr>
          <w:color w:val="000000"/>
          <w:sz w:val="32"/>
          <w:szCs w:val="32"/>
          <w:highlight w:val="none"/>
        </w:rPr>
        <w:fldChar w:fldCharType="separate"/>
      </w:r>
      <w:r>
        <w:rPr>
          <w:color w:val="000000"/>
          <w:sz w:val="32"/>
          <w:szCs w:val="32"/>
          <w:highlight w:val="none"/>
        </w:rPr>
        <w:t xml:space="preserve">- 20 -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color w:val="000000"/>
          <w:sz w:val="32"/>
          <w:szCs w:val="32"/>
          <w:highlight w:val="none"/>
        </w:rPr>
      </w:r>
      <w:r>
        <w:rPr>
          <w:highlight w:val="none"/>
        </w:rPr>
      </w:r>
    </w:p>
    <w:p>
      <w:pPr>
        <w:pStyle w:val="786"/>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_Toc23383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_Toc23383 </w:instrText>
      </w:r>
      <w:r>
        <w:rPr>
          <w:color w:val="000000"/>
          <w:sz w:val="32"/>
          <w:szCs w:val="32"/>
          <w:highlight w:val="none"/>
        </w:rPr>
        <w:fldChar w:fldCharType="separate"/>
      </w:r>
      <w:r>
        <w:rPr>
          <w:color w:val="000000"/>
          <w:sz w:val="32"/>
          <w:szCs w:val="32"/>
          <w:highlight w:val="none"/>
        </w:rPr>
        <w:t xml:space="preserve">- 22 -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color w:val="000000"/>
          <w:sz w:val="32"/>
          <w:szCs w:val="32"/>
          <w:highlight w:val="none"/>
        </w:rPr>
      </w:r>
      <w:r>
        <w:rPr>
          <w:highlight w:val="none"/>
        </w:rPr>
      </w:r>
    </w:p>
    <w:p>
      <w:pPr>
        <w:pStyle w:val="786"/>
        <w:spacing w:line="360" w:lineRule="auto"/>
        <w:tabs>
          <w:tab w:val="right" w:pos="9638"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_Toc8262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_Toc8262 </w:instrText>
      </w:r>
      <w:r>
        <w:rPr>
          <w:color w:val="000000"/>
          <w:sz w:val="32"/>
          <w:szCs w:val="32"/>
          <w:highlight w:val="none"/>
        </w:rPr>
        <w:fldChar w:fldCharType="separate"/>
      </w:r>
      <w:r>
        <w:rPr>
          <w:color w:val="000000"/>
          <w:sz w:val="32"/>
          <w:szCs w:val="32"/>
          <w:highlight w:val="none"/>
        </w:rPr>
        <w:t xml:space="preserve">- 40 -</w:t>
      </w:r>
      <w:r>
        <w:rPr>
          <w:color w:val="000000"/>
          <w:sz w:val="32"/>
          <w:szCs w:val="32"/>
          <w:highlight w:val="none"/>
        </w:rPr>
        <w:fldChar w:fldCharType="end"/>
      </w:r>
      <w:r>
        <w:rPr>
          <w:rFonts w:hint="eastAsia" w:ascii="黑体" w:hAnsi="黑体" w:eastAsia="黑体" w:cs="黑体"/>
          <w:color w:val="000000"/>
          <w:sz w:val="32"/>
          <w:szCs w:val="32"/>
          <w:highlight w:val="none"/>
        </w:rPr>
        <w:fldChar w:fldCharType="end"/>
      </w:r>
      <w:r>
        <w:rPr>
          <w:color w:val="000000"/>
          <w:sz w:val="32"/>
          <w:szCs w:val="32"/>
          <w:highlight w:val="none"/>
        </w:rPr>
      </w:r>
      <w:r>
        <w:rPr>
          <w:highlight w:val="none"/>
        </w:rPr>
      </w:r>
    </w:p>
    <w:p>
      <w:pPr>
        <w:pStyle w:val="760"/>
        <w:spacing w:line="360" w:lineRule="auto"/>
        <w:rPr>
          <w:rFonts w:hint="eastAsia" w:ascii="楷体_GB2312" w:hAnsi="楷体_GB2312" w:eastAsia="楷体_GB2312"/>
          <w:color w:val="000000"/>
          <w:sz w:val="30"/>
          <w:highlight w:val="none"/>
        </w:rPr>
      </w:pPr>
      <w:r>
        <w:rPr>
          <w:rFonts w:hint="eastAsia" w:ascii="黑体" w:hAnsi="黑体" w:eastAsia="黑体" w:cs="黑体"/>
          <w:color w:val="000000"/>
          <w:sz w:val="32"/>
          <w:szCs w:val="32"/>
          <w:highlight w:val="none"/>
        </w:rPr>
        <w:fldChar w:fldCharType="end"/>
      </w:r>
      <w:r>
        <w:rPr>
          <w:rFonts w:hint="eastAsia" w:ascii="楷体_GB2312" w:hAnsi="楷体_GB2312" w:eastAsia="楷体_GB2312"/>
          <w:color w:val="000000"/>
          <w:sz w:val="30"/>
          <w:highlight w:val="none"/>
        </w:rPr>
      </w:r>
      <w:r>
        <w:rPr>
          <w:highlight w:val="none"/>
        </w:rPr>
      </w:r>
    </w:p>
    <w:p>
      <w:pPr>
        <w:pStyle w:val="760"/>
        <w:jc w:val="center"/>
        <w:rPr>
          <w:rFonts w:hint="eastAsia" w:ascii="黑体" w:hAnsi="黑体" w:eastAsia="黑体"/>
          <w:color w:val="000000"/>
          <w:sz w:val="28"/>
          <w:highlight w:val="none"/>
        </w:rPr>
        <w:outlineLvl w:val="0"/>
      </w:pPr>
      <w:r>
        <w:rPr>
          <w:highlight w:val="none"/>
        </w:rPr>
      </w:r>
      <w:bookmarkStart w:id="0" w:name="_Toc30211"/>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rPr>
          <w:highlight w:val="none"/>
        </w:rPr>
      </w:r>
    </w:p>
    <w:p>
      <w:pPr>
        <w:pStyle w:val="760"/>
        <w:jc w:val="center"/>
        <w:rPr>
          <w:rFonts w:hint="eastAsia" w:ascii="黑体" w:hAnsi="黑体" w:eastAsia="黑体"/>
          <w:color w:val="000000"/>
          <w:sz w:val="28"/>
          <w:highlight w:val="none"/>
        </w:rPr>
        <w:outlineLvl w:val="0"/>
      </w:pPr>
      <w:r>
        <w:rPr>
          <w:highlight w:val="none"/>
        </w:rPr>
      </w:r>
      <w:bookmarkStart w:id="1" w:name="_Toc5087"/>
      <w:r>
        <w:rPr>
          <w:rFonts w:ascii="黑体" w:hAnsi="黑体" w:eastAsia="黑体"/>
          <w:color w:val="000000"/>
          <w:sz w:val="28"/>
          <w:highlight w:val="none"/>
        </w:rPr>
        <w:br w:type="page" w:clear="all"/>
      </w:r>
      <w:r>
        <w:rPr>
          <w:rFonts w:hint="eastAsia" w:ascii="黑体" w:hAnsi="黑体" w:eastAsia="黑体"/>
          <w:color w:val="000000"/>
          <w:sz w:val="28"/>
          <w:highlight w:val="none"/>
        </w:rPr>
        <w:t xml:space="preserve">第一章 投标邀请函</w:t>
      </w:r>
      <w:bookmarkEnd w:id="0"/>
      <w:r>
        <w:rPr>
          <w:highlight w:val="none"/>
        </w:rPr>
      </w:r>
      <w:bookmarkEnd w:id="1"/>
      <w:r>
        <w:rPr>
          <w:rFonts w:hint="eastAsia" w:ascii="黑体" w:hAnsi="黑体" w:eastAsia="黑体"/>
          <w:color w:val="000000"/>
          <w:sz w:val="28"/>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宜兴市丁蜀镇人民政府</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丁蜀镇石龙空气标准站和VOCs标准站设备采购项目</w:t>
      </w:r>
      <w:r>
        <w:rPr>
          <w:rFonts w:hint="eastAsia" w:ascii="宋体" w:hAnsi="宋体"/>
          <w:color w:val="000000"/>
          <w:sz w:val="24"/>
          <w:szCs w:val="24"/>
          <w:highlight w:val="none"/>
        </w:rPr>
        <w:t xml:space="preserve">进行公开招标，</w:t>
      </w:r>
      <w:r>
        <w:rPr>
          <w:rFonts w:hint="eastAsia" w:ascii="宋体" w:hAnsi="宋体"/>
          <w:bCs/>
          <w:color w:val="000000"/>
          <w:sz w:val="24"/>
          <w:szCs w:val="24"/>
          <w:highlight w:val="none"/>
        </w:rPr>
        <w:t xml:space="preserve">欢迎你单位参加投标并提请注意下列附表中的相关事项。</w:t>
      </w:r>
      <w:r>
        <w:rPr>
          <w:rFonts w:hint="eastAsia" w:ascii="宋体" w:hAnsi="宋体"/>
          <w:bCs/>
          <w:color w:val="000000"/>
          <w:sz w:val="24"/>
          <w:szCs w:val="24"/>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856"/>
        <w:gridCol w:w="1703"/>
        <w:gridCol w:w="6407"/>
      </w:tblGrid>
      <w:tr>
        <w:trPr>
          <w:trHeight w:val="567"/>
        </w:trPr>
        <w:tc>
          <w:tcPr>
            <w:tcW w:w="733" w:type="dxa"/>
            <w:vAlign w:val="top"/>
            <w:textDirection w:val="lrTb"/>
            <w:noWrap w:val="false"/>
          </w:tcPr>
          <w:p>
            <w:pPr>
              <w:pStyle w:val="76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序号</w:t>
            </w:r>
            <w:r>
              <w:rPr>
                <w:rFonts w:ascii="宋体" w:hAnsi="宋体"/>
                <w:bCs/>
                <w:color w:val="000000"/>
                <w:sz w:val="24"/>
                <w:szCs w:val="24"/>
                <w:highlight w:val="none"/>
              </w:rPr>
            </w:r>
            <w:r>
              <w:rPr>
                <w:highlight w:val="none"/>
              </w:rPr>
            </w:r>
          </w:p>
        </w:tc>
        <w:tc>
          <w:tcPr>
            <w:tcW w:w="856" w:type="dxa"/>
            <w:vAlign w:val="top"/>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rPr>
                <w:rFonts w:hint="eastAsia" w:ascii="宋体" w:hAnsi="宋体"/>
                <w:bCs/>
                <w:color w:val="000000"/>
                <w:sz w:val="24"/>
                <w:szCs w:val="24"/>
                <w:highlight w:val="none"/>
              </w:rPr>
            </w:r>
            <w:r>
              <w:rPr>
                <w:highlight w:val="none"/>
              </w:rPr>
            </w:r>
          </w:p>
        </w:tc>
        <w:tc>
          <w:tcPr>
            <w:gridSpan w:val="2"/>
            <w:tcW w:w="8110" w:type="dxa"/>
            <w:vAlign w:val="top"/>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rPr>
                <w:rFonts w:hint="eastAsia" w:ascii="宋体" w:hAnsi="宋体"/>
                <w:bCs/>
                <w:color w:val="000000"/>
                <w:sz w:val="24"/>
                <w:szCs w:val="24"/>
                <w:highlight w:val="none"/>
              </w:rPr>
            </w:r>
            <w:r>
              <w:rPr>
                <w:highlight w:val="none"/>
              </w:rPr>
            </w:r>
          </w:p>
        </w:tc>
      </w:tr>
      <w:tr>
        <w:trPr>
          <w:trHeight w:val="567"/>
        </w:trPr>
        <w:tc>
          <w:tcPr>
            <w:tcW w:w="733" w:type="dxa"/>
            <w:vAlign w:val="center"/>
            <w:textDirection w:val="lrTb"/>
            <w:noWrap w:val="false"/>
          </w:tcPr>
          <w:p>
            <w:pPr>
              <w:pStyle w:val="76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rPr>
            </w:r>
            <w:r>
              <w:rPr>
                <w:highlight w:val="none"/>
              </w:rPr>
            </w:r>
          </w:p>
        </w:tc>
        <w:tc>
          <w:tcPr>
            <w:tcW w:w="856" w:type="dxa"/>
            <w:vAlign w:val="center"/>
            <w:textDirection w:val="lrTb"/>
            <w:noWrap w:val="false"/>
          </w:tcPr>
          <w:p>
            <w:pPr>
              <w:pStyle w:val="760"/>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项</w:t>
            </w:r>
            <w:r>
              <w:rPr>
                <w:rFonts w:hint="eastAsia" w:ascii="宋体" w:hAnsi="宋体"/>
                <w:b/>
                <w:color w:val="000000"/>
                <w:sz w:val="24"/>
                <w:szCs w:val="24"/>
                <w:highlight w:val="none"/>
                <w:lang w:val="zh-CN"/>
              </w:rPr>
            </w:r>
            <w:r>
              <w:rPr>
                <w:highlight w:val="none"/>
              </w:rPr>
            </w:r>
          </w:p>
          <w:p>
            <w:pPr>
              <w:pStyle w:val="760"/>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目</w:t>
            </w:r>
            <w:r>
              <w:rPr>
                <w:rFonts w:hint="eastAsia" w:ascii="宋体" w:hAnsi="宋体"/>
                <w:b/>
                <w:color w:val="000000"/>
                <w:sz w:val="24"/>
                <w:szCs w:val="24"/>
                <w:highlight w:val="none"/>
                <w:lang w:val="zh-CN"/>
              </w:rPr>
            </w:r>
            <w:r>
              <w:rPr>
                <w:highlight w:val="none"/>
              </w:rPr>
            </w:r>
          </w:p>
          <w:p>
            <w:pPr>
              <w:pStyle w:val="760"/>
              <w:jc w:val="center"/>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信</w:t>
            </w:r>
            <w:r>
              <w:rPr>
                <w:rFonts w:hint="eastAsia" w:ascii="宋体" w:hAnsi="宋体"/>
                <w:b/>
                <w:color w:val="000000"/>
                <w:sz w:val="24"/>
                <w:szCs w:val="24"/>
                <w:highlight w:val="none"/>
                <w:lang w:val="zh-CN"/>
              </w:rPr>
            </w:r>
            <w:r>
              <w:rPr>
                <w:highlight w:val="none"/>
              </w:rPr>
            </w:r>
          </w:p>
          <w:p>
            <w:pPr>
              <w:pStyle w:val="760"/>
              <w:jc w:val="center"/>
              <w:spacing w:line="360" w:lineRule="auto"/>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r>
              <w:rPr>
                <w:rFonts w:ascii="宋体" w:hAnsi="宋体"/>
                <w:bCs/>
                <w:color w:val="000000"/>
                <w:sz w:val="24"/>
                <w:szCs w:val="24"/>
                <w:highlight w:val="none"/>
              </w:rPr>
            </w:r>
            <w:r>
              <w:rPr>
                <w:highlight w:val="none"/>
              </w:rPr>
            </w:r>
          </w:p>
        </w:tc>
        <w:tc>
          <w:tcPr>
            <w:gridSpan w:val="2"/>
            <w:tcW w:w="8110" w:type="dxa"/>
            <w:vAlign w:val="top"/>
            <w:textDirection w:val="lrTb"/>
            <w:noWrap w:val="false"/>
          </w:tcPr>
          <w:p>
            <w:pPr>
              <w:pStyle w:val="76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丁蜀镇石龙空气标准站和VOCs标准站设备采购项目</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rPr>
                <w:highlight w:val="none"/>
              </w:rPr>
            </w:r>
          </w:p>
          <w:p>
            <w:pPr>
              <w:pStyle w:val="760"/>
              <w:jc w:val="left"/>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eastAsia="zh-CN"/>
              </w:rPr>
              <w:t xml:space="preserve">JSZC-320282-YXJX-G2026-0003</w:t>
            </w:r>
            <w:r>
              <w:rPr>
                <w:rFonts w:hint="eastAsia" w:ascii="宋体" w:hAnsi="宋体" w:eastAsia="宋体"/>
                <w:bCs/>
                <w:color w:val="000000"/>
                <w:sz w:val="24"/>
                <w:szCs w:val="24"/>
                <w:highlight w:val="none"/>
                <w:lang w:eastAsia="zh-CN"/>
              </w:rPr>
            </w:r>
            <w:r>
              <w:rPr>
                <w:highlight w:val="none"/>
              </w:rPr>
            </w:r>
          </w:p>
          <w:p>
            <w:pPr>
              <w:pStyle w:val="760"/>
              <w:jc w:val="left"/>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品    目：</w:t>
            </w:r>
            <w:r>
              <w:rPr>
                <w:rFonts w:hint="eastAsia" w:ascii="宋体" w:hAnsi="宋体"/>
                <w:bCs/>
                <w:color w:val="000000"/>
                <w:sz w:val="24"/>
                <w:szCs w:val="24"/>
                <w:highlight w:val="none"/>
                <w:lang w:val="en-US" w:eastAsia="zh-CN"/>
              </w:rPr>
              <w:t xml:space="preserve">货物</w:t>
            </w:r>
            <w:r>
              <w:rPr>
                <w:rFonts w:hint="eastAsia" w:ascii="宋体" w:hAnsi="宋体" w:eastAsia="宋体"/>
                <w:bCs/>
                <w:color w:val="000000"/>
                <w:sz w:val="24"/>
                <w:szCs w:val="24"/>
                <w:highlight w:val="none"/>
                <w:lang w:eastAsia="zh-CN"/>
              </w:rPr>
            </w:r>
            <w:r>
              <w:rPr>
                <w:highlight w:val="none"/>
              </w:rPr>
            </w:r>
          </w:p>
          <w:p>
            <w:pPr>
              <w:pStyle w:val="760"/>
              <w:jc w:val="left"/>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本项目是否专门面向中小企业：</w:t>
            </w:r>
            <w:r>
              <w:rPr>
                <w:rFonts w:hint="eastAsia" w:ascii="宋体" w:hAnsi="宋体"/>
                <w:bCs/>
                <w:color w:val="000000"/>
                <w:sz w:val="24"/>
                <w:szCs w:val="24"/>
                <w:highlight w:val="none"/>
                <w:lang w:val="en-US" w:eastAsia="zh-CN"/>
              </w:rPr>
              <w:t xml:space="preserve">否</w:t>
            </w:r>
            <w:r>
              <w:rPr>
                <w:rFonts w:hint="eastAsia" w:ascii="宋体" w:hAnsi="宋体" w:eastAsia="宋体"/>
                <w:bCs/>
                <w:color w:val="000000"/>
                <w:sz w:val="24"/>
                <w:szCs w:val="24"/>
                <w:highlight w:val="none"/>
                <w:lang w:eastAsia="zh-CN"/>
              </w:rPr>
            </w:r>
            <w:r>
              <w:rPr>
                <w:highlight w:val="none"/>
              </w:rPr>
            </w:r>
          </w:p>
          <w:p>
            <w:pPr>
              <w:pStyle w:val="760"/>
              <w:jc w:val="left"/>
              <w:spacing w:line="360" w:lineRule="auto"/>
              <w:rPr>
                <w:rFonts w:hint="eastAsia" w:ascii="宋体" w:hAnsi="宋体" w:eastAsia="宋体" w:cs="Times New Roman"/>
                <w:bCs/>
                <w:color w:val="000000"/>
                <w:sz w:val="24"/>
                <w:szCs w:val="24"/>
                <w:highlight w:val="none"/>
              </w:rPr>
            </w:pPr>
            <w:r>
              <w:rPr>
                <w:rFonts w:hint="eastAsia" w:ascii="宋体" w:hAnsi="宋体"/>
                <w:bCs/>
                <w:color w:val="000000"/>
                <w:sz w:val="24"/>
                <w:szCs w:val="24"/>
                <w:highlight w:val="none"/>
              </w:rPr>
              <w:t xml:space="preserve">本项目标的所属行业：</w:t>
            </w:r>
            <w:r>
              <w:rPr>
                <w:rFonts w:hint="eastAsia" w:ascii="宋体" w:hAnsi="宋体" w:eastAsia="宋体" w:cs="Times New Roman"/>
                <w:bCs/>
                <w:color w:val="000000"/>
                <w:sz w:val="24"/>
                <w:szCs w:val="24"/>
                <w:highlight w:val="none"/>
                <w:lang w:val="en-US" w:eastAsia="zh-CN"/>
              </w:rPr>
              <w:t xml:space="preserve">工业</w:t>
            </w:r>
            <w:r>
              <w:rPr>
                <w:rFonts w:hint="eastAsia" w:ascii="宋体" w:hAnsi="宋体" w:eastAsia="宋体" w:cs="Times New Roman"/>
                <w:bCs/>
                <w:color w:val="000000"/>
                <w:sz w:val="24"/>
                <w:szCs w:val="24"/>
                <w:highlight w:val="none"/>
                <w:lang w:eastAsia="zh-CN"/>
              </w:rPr>
            </w:r>
            <w:r>
              <w:rPr>
                <w:highlight w:val="none"/>
              </w:rPr>
            </w:r>
          </w:p>
          <w:p>
            <w:pPr>
              <w:pStyle w:val="760"/>
              <w:jc w:val="left"/>
              <w:spacing w:line="360" w:lineRule="auto"/>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rPr>
              <w:t xml:space="preserve">核心产品：</w:t>
            </w:r>
            <w:r>
              <w:rPr>
                <w:rFonts w:hint="eastAsia" w:ascii="宋体" w:hAnsi="宋体" w:eastAsia="宋体" w:cs="Times New Roman"/>
                <w:bCs/>
                <w:color w:val="000000"/>
                <w:sz w:val="24"/>
                <w:szCs w:val="24"/>
                <w:highlight w:val="none"/>
                <w:lang w:val="en-US" w:eastAsia="zh-CN"/>
              </w:rPr>
              <w:t xml:space="preserve">标准空气站、VOCs标准站设备</w:t>
            </w:r>
            <w:r>
              <w:rPr>
                <w:rFonts w:hint="eastAsia" w:ascii="宋体" w:hAnsi="宋体" w:eastAsia="宋体" w:cs="Times New Roman"/>
                <w:bCs/>
                <w:color w:val="000000"/>
                <w:sz w:val="24"/>
                <w:szCs w:val="24"/>
                <w:highlight w:val="none"/>
              </w:rPr>
              <w:t xml:space="preserve">  </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rPr>
            </w:r>
            <w:r>
              <w:rPr>
                <w:highlight w:val="none"/>
              </w:rPr>
            </w:r>
          </w:p>
          <w:p>
            <w:pPr>
              <w:pStyle w:val="76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rPr>
                <w:rFonts w:hint="eastAsia" w:ascii="宋体" w:hAnsi="宋体"/>
                <w:bCs/>
                <w:color w:val="000000"/>
                <w:sz w:val="24"/>
                <w:szCs w:val="24"/>
                <w:highlight w:val="none"/>
              </w:rPr>
            </w:r>
            <w:r>
              <w:rPr>
                <w:highlight w:val="none"/>
              </w:rPr>
            </w:r>
          </w:p>
          <w:p>
            <w:pPr>
              <w:pStyle w:val="760"/>
              <w:jc w:val="left"/>
              <w:spacing w:line="360" w:lineRule="auto"/>
              <w:tabs>
                <w:tab w:val="left" w:pos="5536" w:leader="none"/>
              </w:tabs>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评标方法：参照综合评分法</w:t>
            </w:r>
            <w:r>
              <w:rPr>
                <w:rFonts w:hint="eastAsia" w:ascii="宋体" w:hAnsi="宋体"/>
                <w:bCs/>
                <w:color w:val="000000"/>
                <w:sz w:val="24"/>
                <w:szCs w:val="24"/>
                <w:highlight w:val="none"/>
                <w:lang w:eastAsia="zh-CN"/>
              </w:rPr>
              <w:tab/>
            </w:r>
            <w:r>
              <w:rPr>
                <w:rFonts w:hint="eastAsia" w:ascii="宋体" w:hAnsi="宋体" w:eastAsia="宋体"/>
                <w:bCs/>
                <w:color w:val="000000"/>
                <w:sz w:val="24"/>
                <w:szCs w:val="24"/>
                <w:highlight w:val="none"/>
                <w:lang w:eastAsia="zh-CN"/>
              </w:rPr>
            </w:r>
            <w:r>
              <w:rPr>
                <w:highlight w:val="none"/>
              </w:rPr>
            </w:r>
          </w:p>
          <w:p>
            <w:pPr>
              <w:pStyle w:val="760"/>
              <w:jc w:val="left"/>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预算金额：</w:t>
            </w:r>
            <w:r>
              <w:rPr>
                <w:rFonts w:hint="eastAsia" w:ascii="宋体" w:hAnsi="宋体" w:eastAsia="宋体" w:cs="Times New Roman"/>
                <w:bCs/>
                <w:color w:val="000000"/>
                <w:sz w:val="24"/>
                <w:szCs w:val="24"/>
                <w:highlight w:val="none"/>
                <w:lang w:val="en-US" w:eastAsia="zh-CN"/>
              </w:rPr>
              <w:t xml:space="preserve">187.5</w:t>
            </w:r>
            <w:r>
              <w:rPr>
                <w:rFonts w:hint="eastAsia" w:ascii="宋体" w:hAnsi="宋体"/>
                <w:bCs/>
                <w:color w:val="000000"/>
                <w:sz w:val="24"/>
                <w:szCs w:val="24"/>
                <w:highlight w:val="none"/>
                <w:lang w:val="en-US" w:eastAsia="zh-CN"/>
              </w:rPr>
              <w:t xml:space="preserve">万元</w:t>
            </w:r>
            <w:r>
              <w:rPr>
                <w:rFonts w:ascii="宋体" w:hAnsi="宋体" w:eastAsia="宋体"/>
                <w:bCs/>
                <w:color w:val="000000"/>
                <w:sz w:val="24"/>
                <w:szCs w:val="24"/>
                <w:highlight w:val="none"/>
                <w:lang w:val="en-US" w:eastAsia="zh-CN"/>
              </w:rPr>
            </w:r>
            <w:r>
              <w:rPr>
                <w:highlight w:val="none"/>
              </w:rPr>
            </w:r>
          </w:p>
          <w:p>
            <w:pPr>
              <w:pStyle w:val="760"/>
              <w:jc w:val="left"/>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最高限价：</w:t>
            </w:r>
            <w:r>
              <w:rPr>
                <w:rFonts w:hint="eastAsia" w:ascii="宋体" w:hAnsi="宋体"/>
                <w:bCs/>
                <w:color w:val="000000"/>
                <w:sz w:val="24"/>
                <w:szCs w:val="24"/>
                <w:highlight w:val="none"/>
                <w:lang w:val="en-US" w:eastAsia="zh-CN"/>
              </w:rPr>
              <w:t xml:space="preserve">187.5万元，其中</w:t>
            </w:r>
            <w:r>
              <w:rPr>
                <w:rFonts w:hint="eastAsia" w:ascii="宋体" w:hAnsi="宋体" w:eastAsia="宋体" w:cs="Times New Roman"/>
                <w:bCs/>
                <w:color w:val="000000"/>
                <w:sz w:val="24"/>
                <w:szCs w:val="24"/>
                <w:highlight w:val="none"/>
                <w:lang w:val="en-US" w:eastAsia="zh-CN"/>
              </w:rPr>
              <w:t xml:space="preserve">设备部分最高限价125万元，</w:t>
            </w:r>
            <w:r>
              <w:rPr>
                <w:rFonts w:hint="eastAsia" w:ascii="宋体" w:hAnsi="宋体" w:eastAsia="宋体" w:cs="Times New Roman"/>
                <w:bCs/>
                <w:color w:val="000000"/>
                <w:sz w:val="24"/>
                <w:szCs w:val="24"/>
                <w:highlight w:val="none"/>
                <w:lang w:val="en-US" w:eastAsia="zh-CN"/>
              </w:rPr>
              <w:t xml:space="preserve">运维部分最高限价62.5万元</w:t>
            </w:r>
            <w:r>
              <w:rPr>
                <w:rFonts w:ascii="宋体" w:hAnsi="宋体" w:eastAsia="宋体"/>
                <w:bCs/>
                <w:color w:val="000000"/>
                <w:sz w:val="24"/>
                <w:szCs w:val="24"/>
                <w:highlight w:val="none"/>
                <w:lang w:val="en-US" w:eastAsia="zh-CN"/>
              </w:rPr>
            </w:r>
            <w:r>
              <w:rPr>
                <w:highlight w:val="none"/>
              </w:rPr>
            </w:r>
          </w:p>
          <w:p>
            <w:pPr>
              <w:pStyle w:val="76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集中考察或答疑：无</w:t>
            </w:r>
            <w:r>
              <w:rPr>
                <w:rFonts w:hint="eastAsia" w:ascii="宋体" w:hAnsi="宋体"/>
                <w:bCs/>
                <w:color w:val="000000"/>
                <w:sz w:val="24"/>
                <w:szCs w:val="24"/>
                <w:highlight w:val="none"/>
              </w:rPr>
            </w:r>
            <w:r>
              <w:rPr>
                <w:highlight w:val="none"/>
              </w:rPr>
            </w:r>
          </w:p>
        </w:tc>
      </w:tr>
      <w:tr>
        <w:trPr>
          <w:trHeight w:val="567"/>
        </w:trPr>
        <w:tc>
          <w:tcPr>
            <w:tcW w:w="733" w:type="dxa"/>
            <w:vAlign w:val="center"/>
            <w:vMerge w:val="restart"/>
            <w:textDirection w:val="lrTb"/>
            <w:noWrap w:val="false"/>
          </w:tcPr>
          <w:p>
            <w:pPr>
              <w:pStyle w:val="760"/>
              <w:jc w:val="center"/>
              <w:spacing w:line="360" w:lineRule="auto"/>
              <w:rPr>
                <w:rFonts w:ascii="宋体" w:hAnsi="宋体"/>
                <w:bCs/>
                <w:color w:val="000000"/>
                <w:sz w:val="24"/>
                <w:szCs w:val="24"/>
                <w:highlight w:val="none"/>
              </w:rPr>
            </w:pPr>
            <w:r>
              <w:rPr>
                <w:highlight w:val="none"/>
              </w:rPr>
            </w:r>
            <w:bookmarkStart w:id="2" w:name="_Toc29543"/>
            <w:r>
              <w:rPr>
                <w:rFonts w:ascii="宋体" w:hAnsi="宋体"/>
                <w:bCs/>
                <w:color w:val="000000"/>
                <w:sz w:val="24"/>
                <w:szCs w:val="24"/>
                <w:highlight w:val="none"/>
              </w:rPr>
              <w:t xml:space="preserve">2</w:t>
            </w:r>
            <w:r>
              <w:rPr>
                <w:rFonts w:ascii="宋体" w:hAnsi="宋体"/>
                <w:bCs/>
                <w:color w:val="000000"/>
                <w:sz w:val="24"/>
                <w:szCs w:val="24"/>
                <w:highlight w:val="none"/>
              </w:rPr>
            </w:r>
            <w:r>
              <w:rPr>
                <w:highlight w:val="none"/>
              </w:rPr>
            </w:r>
          </w:p>
        </w:tc>
        <w:tc>
          <w:tcPr>
            <w:tcW w:w="856" w:type="dxa"/>
            <w:vAlign w:val="center"/>
            <w:vMerge w:val="restart"/>
            <w:textDirection w:val="lrTb"/>
            <w:noWrap w:val="false"/>
          </w:tcPr>
          <w:p>
            <w:pPr>
              <w:pStyle w:val="809"/>
              <w:jc w:val="center"/>
              <w:spacing w:line="360" w:lineRule="auto"/>
              <w:rPr>
                <w:rFonts w:hint="eastAsia"/>
                <w:b/>
                <w:bCs/>
                <w:color w:val="000000"/>
                <w:sz w:val="24"/>
                <w:szCs w:val="24"/>
                <w:highlight w:val="none"/>
              </w:rPr>
            </w:pPr>
            <w:r>
              <w:rPr>
                <w:highlight w:val="none"/>
              </w:rPr>
            </w:r>
            <w:bookmarkStart w:id="3" w:name="OLE_LINK208"/>
            <w:r>
              <w:rPr>
                <w:rFonts w:hint="eastAsia"/>
                <w:b/>
                <w:bCs/>
                <w:color w:val="000000"/>
                <w:sz w:val="24"/>
                <w:szCs w:val="24"/>
                <w:highlight w:val="none"/>
                <w:lang w:val="zh-CN"/>
              </w:rPr>
              <w:t xml:space="preserve">资</w:t>
            </w:r>
            <w:r>
              <w:rPr>
                <w:rFonts w:hint="eastAsia"/>
                <w:b/>
                <w:bCs/>
                <w:color w:val="000000"/>
                <w:sz w:val="24"/>
                <w:szCs w:val="24"/>
                <w:highlight w:val="none"/>
                <w:lang w:val="zh-CN"/>
              </w:rPr>
            </w:r>
            <w:r>
              <w:rPr>
                <w:highlight w:val="none"/>
              </w:rPr>
            </w:r>
          </w:p>
          <w:p>
            <w:pPr>
              <w:pStyle w:val="809"/>
              <w:jc w:val="center"/>
              <w:spacing w:line="360" w:lineRule="auto"/>
              <w:rPr>
                <w:rFonts w:hint="eastAsia"/>
                <w:b/>
                <w:bCs/>
                <w:color w:val="000000"/>
                <w:sz w:val="24"/>
                <w:szCs w:val="24"/>
                <w:highlight w:val="none"/>
              </w:rPr>
            </w:pPr>
            <w:r>
              <w:rPr>
                <w:rFonts w:hint="eastAsia"/>
                <w:b/>
                <w:bCs/>
                <w:color w:val="000000"/>
                <w:sz w:val="24"/>
                <w:szCs w:val="24"/>
                <w:highlight w:val="none"/>
                <w:lang w:val="zh-CN"/>
              </w:rPr>
              <w:t xml:space="preserve">格</w:t>
            </w:r>
            <w:r>
              <w:rPr>
                <w:rFonts w:hint="eastAsia"/>
                <w:b/>
                <w:bCs/>
                <w:color w:val="000000"/>
                <w:sz w:val="24"/>
                <w:szCs w:val="24"/>
                <w:highlight w:val="none"/>
                <w:lang w:val="zh-CN"/>
              </w:rPr>
            </w:r>
            <w:r>
              <w:rPr>
                <w:highlight w:val="none"/>
              </w:rPr>
            </w:r>
          </w:p>
          <w:p>
            <w:pPr>
              <w:pStyle w:val="809"/>
              <w:jc w:val="center"/>
              <w:spacing w:line="360" w:lineRule="auto"/>
              <w:rPr>
                <w:rFonts w:hint="eastAsia"/>
                <w:b/>
                <w:bCs/>
                <w:color w:val="000000"/>
                <w:sz w:val="24"/>
                <w:szCs w:val="24"/>
                <w:highlight w:val="none"/>
              </w:rPr>
            </w:pPr>
            <w:r>
              <w:rPr>
                <w:rFonts w:hint="eastAsia"/>
                <w:b/>
                <w:bCs/>
                <w:color w:val="000000"/>
                <w:sz w:val="24"/>
                <w:szCs w:val="24"/>
                <w:highlight w:val="none"/>
                <w:lang w:val="zh-CN"/>
              </w:rPr>
              <w:t xml:space="preserve">审</w:t>
            </w:r>
            <w:r>
              <w:rPr>
                <w:rFonts w:hint="eastAsia"/>
                <w:b/>
                <w:bCs/>
                <w:color w:val="000000"/>
                <w:sz w:val="24"/>
                <w:szCs w:val="24"/>
                <w:highlight w:val="none"/>
                <w:lang w:val="zh-CN"/>
              </w:rPr>
            </w:r>
            <w:r>
              <w:rPr>
                <w:highlight w:val="none"/>
              </w:rPr>
            </w:r>
          </w:p>
          <w:p>
            <w:pPr>
              <w:pStyle w:val="809"/>
              <w:jc w:val="center"/>
              <w:spacing w:line="360" w:lineRule="auto"/>
              <w:rPr>
                <w:color w:val="000000"/>
                <w:sz w:val="24"/>
                <w:szCs w:val="24"/>
                <w:highlight w:val="none"/>
              </w:rPr>
            </w:pPr>
            <w:r>
              <w:rPr>
                <w:rFonts w:hint="eastAsia"/>
                <w:b/>
                <w:bCs/>
                <w:color w:val="000000"/>
                <w:sz w:val="24"/>
                <w:szCs w:val="24"/>
                <w:highlight w:val="none"/>
                <w:lang w:val="zh-CN"/>
              </w:rPr>
              <w:t xml:space="preserve">查</w:t>
            </w:r>
            <w:bookmarkEnd w:id="3"/>
            <w:r>
              <w:rPr>
                <w:color w:val="000000"/>
                <w:sz w:val="24"/>
                <w:szCs w:val="24"/>
                <w:highlight w:val="none"/>
              </w:rPr>
            </w:r>
            <w:r>
              <w:rPr>
                <w:highlight w:val="none"/>
              </w:rPr>
            </w:r>
          </w:p>
        </w:tc>
        <w:tc>
          <w:tcPr>
            <w:gridSpan w:val="2"/>
            <w:tcW w:w="8110" w:type="dxa"/>
            <w:vAlign w:val="top"/>
            <w:textDirection w:val="lrTb"/>
            <w:noWrap w:val="false"/>
          </w:tcPr>
          <w:p>
            <w:pPr>
              <w:pStyle w:val="809"/>
              <w:spacing w:line="360" w:lineRule="auto"/>
              <w:rPr>
                <w:rFonts w:hint="eastAsia"/>
                <w:color w:val="000000"/>
                <w:sz w:val="24"/>
                <w:szCs w:val="24"/>
                <w:highlight w:val="none"/>
              </w:rPr>
            </w:pPr>
            <w:r>
              <w:rPr>
                <w:rFonts w:hint="eastAsia"/>
                <w:color w:val="000000"/>
                <w:sz w:val="24"/>
                <w:szCs w:val="24"/>
                <w:highlight w:val="none"/>
              </w:rPr>
              <w:t xml:space="preserve">2.1投标人参加本次政府采购活动</w:t>
            </w:r>
            <w:r>
              <w:rPr>
                <w:rFonts w:hint="eastAsia"/>
                <w:color w:val="000000"/>
                <w:sz w:val="24"/>
                <w:szCs w:val="24"/>
                <w:highlight w:val="none"/>
                <w:lang w:val="zh-CN"/>
              </w:rPr>
              <w:t xml:space="preserve">应具备下列</w:t>
            </w:r>
            <w:r>
              <w:rPr>
                <w:rFonts w:hint="eastAsia"/>
                <w:b/>
                <w:bCs/>
                <w:color w:val="000000"/>
                <w:sz w:val="24"/>
                <w:szCs w:val="24"/>
                <w:highlight w:val="none"/>
                <w:lang w:val="zh-CN"/>
              </w:rPr>
              <w:t xml:space="preserve">资格条件</w:t>
            </w:r>
            <w:r>
              <w:rPr>
                <w:rFonts w:hint="eastAsia"/>
                <w:color w:val="000000"/>
                <w:sz w:val="24"/>
                <w:szCs w:val="24"/>
                <w:highlight w:val="none"/>
              </w:rPr>
              <w:t xml:space="preserve">：</w:t>
            </w:r>
            <w:r>
              <w:rPr>
                <w:rFonts w:hint="eastAsia"/>
                <w:color w:val="000000"/>
                <w:sz w:val="24"/>
                <w:szCs w:val="24"/>
                <w:highlight w:val="none"/>
              </w:rPr>
            </w:r>
            <w:r>
              <w:rPr>
                <w:highlight w:val="none"/>
              </w:rPr>
            </w:r>
          </w:p>
          <w:p>
            <w:pPr>
              <w:pStyle w:val="76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rPr>
                <w:rFonts w:ascii="宋体" w:hAnsi="宋体" w:cs="宋体"/>
                <w:bCs/>
                <w:color w:val="000000"/>
                <w:sz w:val="24"/>
                <w:szCs w:val="24"/>
                <w:highlight w:val="none"/>
              </w:rPr>
            </w:r>
            <w:r>
              <w:rPr>
                <w:highlight w:val="none"/>
              </w:rPr>
            </w:r>
          </w:p>
          <w:p>
            <w:pPr>
              <w:pStyle w:val="760"/>
              <w:spacing w:line="360" w:lineRule="auto"/>
              <w:rPr>
                <w:rFonts w:hint="eastAsia" w:ascii="宋体" w:hAnsi="宋体" w:eastAsia="宋体" w:cs="宋体"/>
                <w:bCs/>
                <w:color w:val="000000"/>
                <w:sz w:val="24"/>
                <w:szCs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bCs/>
                <w:color w:val="000000"/>
                <w:sz w:val="24"/>
                <w:szCs w:val="24"/>
                <w:highlight w:val="none"/>
              </w:rPr>
              <w:t xml:space="preserve">落实政府采购政策需满足的资格要求</w:t>
            </w:r>
            <w:r>
              <w:rPr>
                <w:rFonts w:hint="eastAsia" w:ascii="宋体" w:hAnsi="宋体" w:cs="宋体"/>
                <w:bCs/>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本项目</w:t>
            </w:r>
            <w:r>
              <w:rPr>
                <w:rFonts w:hint="eastAsia" w:ascii="宋体" w:hAnsi="宋体" w:cs="宋体"/>
                <w:b/>
                <w:bCs w:val="0"/>
                <w:color w:val="000000"/>
                <w:sz w:val="24"/>
                <w:szCs w:val="24"/>
                <w:highlight w:val="none"/>
                <w:lang w:val="en-US" w:eastAsia="zh-CN"/>
              </w:rPr>
              <w:t xml:space="preserve">非</w:t>
            </w:r>
            <w:r>
              <w:rPr>
                <w:rFonts w:hint="eastAsia" w:ascii="宋体" w:hAnsi="宋体" w:cs="宋体"/>
                <w:b/>
                <w:bCs w:val="0"/>
                <w:color w:val="000000"/>
                <w:sz w:val="24"/>
                <w:szCs w:val="24"/>
                <w:highlight w:val="none"/>
              </w:rPr>
              <w:t xml:space="preserve">专门面向中小企业采购</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rPr>
                <w:highlight w:val="none"/>
              </w:rPr>
            </w:r>
          </w:p>
          <w:p>
            <w:pPr>
              <w:pStyle w:val="760"/>
              <w:jc w:val="left"/>
              <w:spacing w:line="360" w:lineRule="auto"/>
              <w:tabs>
                <w:tab w:val="left" w:pos="0" w:leader="none"/>
                <w:tab w:val="left" w:pos="255" w:leader="none"/>
              </w:tabs>
              <w:rPr>
                <w:rFonts w:hint="eastAsia" w:hAnsi="宋体" w:eastAsia="宋体" w:cs="宋体"/>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w:t>
            </w:r>
            <w:r>
              <w:rPr>
                <w:rFonts w:hint="eastAsia"/>
                <w:color w:val="000000"/>
                <w:highlight w:val="none"/>
              </w:rPr>
              <w:t xml:space="preserve"> </w:t>
            </w:r>
            <w:r>
              <w:rPr>
                <w:rFonts w:hint="eastAsia" w:ascii="宋体" w:hAnsi="宋体" w:cs="宋体"/>
                <w:bCs/>
                <w:color w:val="000000"/>
                <w:sz w:val="24"/>
                <w:szCs w:val="24"/>
                <w:highlight w:val="none"/>
              </w:rPr>
              <w:t xml:space="preserve">本项目的特定资格要求：</w:t>
            </w:r>
            <w:r>
              <w:rPr>
                <w:rFonts w:hint="eastAsia" w:hAnsi="宋体" w:cs="宋体"/>
                <w:color w:val="000000"/>
                <w:sz w:val="24"/>
                <w:szCs w:val="24"/>
                <w:highlight w:val="none"/>
                <w:lang w:val="en-US" w:eastAsia="zh-CN"/>
              </w:rPr>
              <w:t xml:space="preserve">无；</w:t>
            </w:r>
            <w:r>
              <w:rPr>
                <w:rFonts w:hint="eastAsia" w:hAnsi="宋体" w:eastAsia="宋体" w:cs="宋体"/>
                <w:color w:val="000000"/>
                <w:sz w:val="24"/>
                <w:szCs w:val="24"/>
                <w:highlight w:val="none"/>
                <w:lang w:eastAsia="zh-CN"/>
              </w:rPr>
            </w:r>
            <w:r>
              <w:rPr>
                <w:highlight w:val="none"/>
              </w:rPr>
            </w:r>
          </w:p>
          <w:p>
            <w:pPr>
              <w:pStyle w:val="760"/>
              <w:spacing w:line="360" w:lineRule="auto"/>
              <w:rPr>
                <w:rFonts w:hint="eastAsia"/>
                <w:color w:val="000000"/>
                <w:highlight w:val="none"/>
              </w:rPr>
            </w:pPr>
            <w:r>
              <w:rPr>
                <w:rFonts w:hint="eastAsia" w:hAnsi="宋体" w:cs="宋体"/>
                <w:color w:val="000000"/>
                <w:sz w:val="24"/>
                <w:szCs w:val="24"/>
                <w:highlight w:val="none"/>
                <w:lang w:val="en-US" w:eastAsia="zh-CN"/>
              </w:rPr>
              <w:t xml:space="preserve">4.</w:t>
            </w:r>
            <w:r>
              <w:rPr>
                <w:rFonts w:hint="eastAsia" w:hAnsi="宋体" w:cs="宋体"/>
                <w:color w:val="000000"/>
                <w:sz w:val="24"/>
                <w:szCs w:val="24"/>
                <w:highlight w:val="none"/>
              </w:rPr>
              <w:t xml:space="preserve">其他要求：不接受联合体，不接受中标后分包；</w:t>
            </w:r>
            <w:r>
              <w:rPr>
                <w:rFonts w:hint="eastAsia"/>
                <w:color w:val="000000"/>
                <w:highlight w:val="none"/>
              </w:rPr>
            </w:r>
            <w:r>
              <w:rPr>
                <w:highlight w:val="none"/>
              </w:rPr>
            </w:r>
          </w:p>
        </w:tc>
      </w:tr>
      <w:tr>
        <w:trPr>
          <w:trHeight w:val="567"/>
        </w:trPr>
        <w:tc>
          <w:tcPr>
            <w:tcW w:w="733" w:type="dxa"/>
            <w:vAlign w:val="center"/>
            <w:vMerge w:val="continue"/>
            <w:textDirection w:val="lrTb"/>
            <w:noWrap w:val="false"/>
          </w:tcPr>
          <w:p>
            <w:pPr>
              <w:pStyle w:val="760"/>
              <w:spacing w:line="360" w:lineRule="auto"/>
              <w:rPr>
                <w:color w:val="000000"/>
                <w:sz w:val="24"/>
                <w:szCs w:val="24"/>
                <w:highlight w:val="none"/>
              </w:rPr>
            </w:pPr>
            <w:r>
              <w:rPr>
                <w:color w:val="000000"/>
                <w:sz w:val="24"/>
                <w:szCs w:val="24"/>
                <w:highlight w:val="none"/>
              </w:rPr>
            </w:r>
            <w:r/>
          </w:p>
        </w:tc>
        <w:tc>
          <w:tcPr>
            <w:tcW w:w="856" w:type="dxa"/>
            <w:vAlign w:val="top"/>
            <w:vMerge w:val="continue"/>
            <w:textDirection w:val="lrTb"/>
            <w:noWrap w:val="false"/>
          </w:tcPr>
          <w:p>
            <w:pPr>
              <w:pStyle w:val="760"/>
              <w:spacing w:line="360" w:lineRule="auto"/>
              <w:rPr>
                <w:color w:val="000000"/>
                <w:sz w:val="24"/>
                <w:szCs w:val="24"/>
                <w:highlight w:val="none"/>
              </w:rPr>
            </w:pPr>
            <w:r>
              <w:rPr>
                <w:color w:val="000000"/>
                <w:sz w:val="24"/>
                <w:szCs w:val="24"/>
                <w:highlight w:val="none"/>
              </w:rPr>
            </w:r>
            <w:r/>
          </w:p>
        </w:tc>
        <w:tc>
          <w:tcPr>
            <w:gridSpan w:val="2"/>
            <w:tcW w:w="8110" w:type="dxa"/>
            <w:vAlign w:val="center"/>
            <w:textDirection w:val="lrTb"/>
            <w:noWrap w:val="false"/>
          </w:tcPr>
          <w:p>
            <w:pPr>
              <w:pStyle w:val="7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2.2投标保证金：本项目免收投标保证金。</w:t>
            </w:r>
            <w:r>
              <w:rPr>
                <w:rFonts w:hint="eastAsia" w:ascii="宋体" w:hAnsi="宋体" w:cs="宋体"/>
                <w:bCs/>
                <w:color w:val="000000"/>
                <w:sz w:val="24"/>
                <w:szCs w:val="24"/>
                <w:highlight w:val="none"/>
              </w:rPr>
            </w:r>
            <w:r>
              <w:rPr>
                <w:highlight w:val="none"/>
              </w:rPr>
            </w:r>
          </w:p>
        </w:tc>
      </w:tr>
      <w:tr>
        <w:trPr>
          <w:trHeight w:val="567"/>
        </w:trPr>
        <w:tc>
          <w:tcPr>
            <w:tcW w:w="733" w:type="dxa"/>
            <w:vAlign w:val="center"/>
            <w:vMerge w:val="continue"/>
            <w:textDirection w:val="lrTb"/>
            <w:noWrap w:val="false"/>
          </w:tcPr>
          <w:p>
            <w:pPr>
              <w:pStyle w:val="760"/>
              <w:spacing w:line="360" w:lineRule="auto"/>
              <w:rPr>
                <w:color w:val="000000"/>
                <w:sz w:val="24"/>
                <w:szCs w:val="24"/>
                <w:highlight w:val="none"/>
              </w:rPr>
            </w:pPr>
            <w:r>
              <w:rPr>
                <w:color w:val="000000"/>
                <w:sz w:val="24"/>
                <w:szCs w:val="24"/>
                <w:highlight w:val="none"/>
              </w:rPr>
            </w:r>
            <w:r/>
          </w:p>
        </w:tc>
        <w:tc>
          <w:tcPr>
            <w:tcW w:w="856" w:type="dxa"/>
            <w:vAlign w:val="top"/>
            <w:vMerge w:val="continue"/>
            <w:textDirection w:val="lrTb"/>
            <w:noWrap w:val="false"/>
          </w:tcPr>
          <w:p>
            <w:pPr>
              <w:pStyle w:val="7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gridSpan w:val="2"/>
            <w:tcW w:w="8110" w:type="dxa"/>
            <w:vAlign w:val="top"/>
            <w:textDirection w:val="lrTb"/>
            <w:noWrap w:val="false"/>
          </w:tcPr>
          <w:p>
            <w:pPr>
              <w:pStyle w:val="809"/>
              <w:spacing w:line="360" w:lineRule="auto"/>
              <w:rPr>
                <w:rFonts w:hint="eastAsia"/>
                <w:color w:val="000000"/>
                <w:sz w:val="24"/>
                <w:szCs w:val="24"/>
                <w:highlight w:val="none"/>
              </w:rPr>
            </w:pPr>
            <w:r>
              <w:rPr>
                <w:rFonts w:hint="eastAsia"/>
                <w:color w:val="000000"/>
                <w:sz w:val="24"/>
                <w:szCs w:val="24"/>
                <w:highlight w:val="none"/>
                <w:lang w:val="zh-CN"/>
              </w:rPr>
              <w:t xml:space="preserve">2.</w:t>
            </w:r>
            <w:r>
              <w:rPr>
                <w:rFonts w:hint="eastAsia"/>
                <w:color w:val="000000"/>
                <w:sz w:val="24"/>
                <w:szCs w:val="24"/>
                <w:highlight w:val="none"/>
              </w:rPr>
              <w:t xml:space="preserve">3</w:t>
            </w:r>
            <w:r>
              <w:rPr>
                <w:rFonts w:hint="eastAsia"/>
                <w:color w:val="000000"/>
                <w:sz w:val="24"/>
                <w:szCs w:val="24"/>
                <w:highlight w:val="none"/>
                <w:lang w:val="zh-CN"/>
              </w:rPr>
              <w:t xml:space="preserve"> 拒绝下述供应商参加本次采购活动：</w:t>
            </w:r>
            <w:r>
              <w:rPr>
                <w:rFonts w:hint="eastAsia"/>
                <w:color w:val="000000"/>
                <w:sz w:val="24"/>
                <w:szCs w:val="24"/>
                <w:highlight w:val="none"/>
                <w:lang w:val="zh-CN"/>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①</w:t>
            </w: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bCs/>
                <w:color w:val="000000"/>
                <w:sz w:val="24"/>
                <w:szCs w:val="24"/>
                <w:highlight w:val="none"/>
              </w:rPr>
              <w:t xml:space="preserve">，否则相关投标将被认定为无效投标；</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②</w:t>
            </w:r>
            <w:r>
              <w:rPr>
                <w:rFonts w:hint="eastAsia" w:ascii="宋体" w:hAnsi="宋体"/>
                <w:bCs/>
                <w:color w:val="000000"/>
                <w:sz w:val="24"/>
                <w:szCs w:val="24"/>
                <w:highlight w:val="none"/>
              </w:rPr>
              <w:t xml:space="preserve">凡</w:t>
            </w:r>
            <w:r>
              <w:rPr>
                <w:rFonts w:ascii="宋体" w:hAnsi="宋体"/>
                <w:bCs/>
                <w:color w:val="000000"/>
                <w:sz w:val="24"/>
                <w:szCs w:val="24"/>
                <w:highlight w:val="none"/>
              </w:rPr>
              <w:t xml:space="preserve">为采购项目提供整体设计、规范编制或者项目管理、监理、检测等服务的供应商，不得再参加</w:t>
            </w:r>
            <w:r>
              <w:rPr>
                <w:rFonts w:hint="eastAsia" w:ascii="宋体" w:hAnsi="宋体"/>
                <w:bCs/>
                <w:color w:val="000000"/>
                <w:sz w:val="24"/>
                <w:szCs w:val="24"/>
                <w:highlight w:val="none"/>
              </w:rPr>
              <w:t xml:space="preserve">本</w:t>
            </w:r>
            <w:r>
              <w:rPr>
                <w:rFonts w:ascii="宋体" w:hAnsi="宋体"/>
                <w:bCs/>
                <w:color w:val="000000"/>
                <w:sz w:val="24"/>
                <w:szCs w:val="24"/>
                <w:highlight w:val="none"/>
              </w:rPr>
              <w:t xml:space="preserve">项目的采购活动</w:t>
            </w:r>
            <w:r>
              <w:rPr>
                <w:rFonts w:hint="eastAsia" w:ascii="宋体" w:hAnsi="宋体"/>
                <w:bCs/>
                <w:color w:val="000000"/>
                <w:sz w:val="24"/>
                <w:szCs w:val="24"/>
                <w:highlight w:val="none"/>
              </w:rPr>
              <w:t xml:space="preserve">，否则其投标将被认定为无效投标</w:t>
            </w:r>
            <w:r>
              <w:rPr>
                <w:rFonts w:ascii="宋体" w:hAnsi="宋体"/>
                <w:bCs/>
                <w:color w:val="000000"/>
                <w:sz w:val="24"/>
                <w:szCs w:val="24"/>
                <w:highlight w:val="none"/>
              </w:rPr>
              <w:t xml:space="preserve">。</w:t>
            </w:r>
            <w:r>
              <w:rPr>
                <w:rFonts w:hint="eastAsia" w:ascii="宋体" w:hAnsi="宋体" w:cs="宋体"/>
                <w:bCs/>
                <w:color w:val="000000"/>
                <w:sz w:val="24"/>
                <w:szCs w:val="24"/>
                <w:highlight w:val="none"/>
              </w:rPr>
            </w:r>
            <w:r>
              <w:rPr>
                <w:highlight w:val="none"/>
              </w:rPr>
            </w:r>
          </w:p>
        </w:tc>
      </w:tr>
      <w:tr>
        <w:trPr>
          <w:trHeight w:val="567"/>
        </w:trPr>
        <w:tc>
          <w:tcPr>
            <w:tcW w:w="733" w:type="dxa"/>
            <w:vAlign w:val="center"/>
            <w:textDirection w:val="lrTb"/>
            <w:noWrap w:val="false"/>
          </w:tcPr>
          <w:p>
            <w:pPr>
              <w:pStyle w:val="760"/>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r>
            <w:r>
              <w:rPr>
                <w:highlight w:val="none"/>
              </w:rPr>
            </w:r>
          </w:p>
        </w:tc>
        <w:tc>
          <w:tcPr>
            <w:tcW w:w="856" w:type="dxa"/>
            <w:vAlign w:val="top"/>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
                <w:color w:val="000000"/>
                <w:sz w:val="24"/>
                <w:szCs w:val="24"/>
                <w:highlight w:val="none"/>
              </w:rPr>
              <w:t xml:space="preserve">招标文件</w:t>
            </w:r>
            <w:r>
              <w:rPr>
                <w:rFonts w:hint="eastAsia" w:ascii="宋体" w:hAnsi="宋体"/>
                <w:bCs/>
                <w:color w:val="000000"/>
                <w:sz w:val="24"/>
                <w:szCs w:val="24"/>
                <w:highlight w:val="none"/>
              </w:rPr>
            </w:r>
            <w:r>
              <w:rPr>
                <w:highlight w:val="none"/>
              </w:rPr>
            </w:r>
          </w:p>
        </w:tc>
        <w:tc>
          <w:tcPr>
            <w:gridSpan w:val="2"/>
            <w:tcW w:w="8110" w:type="dxa"/>
            <w:vAlign w:val="top"/>
            <w:textDirection w:val="lrTb"/>
            <w:noWrap w:val="false"/>
          </w:tcPr>
          <w:p>
            <w:pPr>
              <w:pStyle w:val="76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1.招标文件的获取：招标文件提交截止时间前，通过“江苏政府采购网”首页“苏采云”标签进入系统，应在“项目参与”中下载电子招标文件(后缀名为</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kedt”</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；可在“江苏政府采购网”采购公告附件中下载word版招标文件。</w:t>
            </w:r>
            <w:r>
              <w:rPr>
                <w:rFonts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2.“CA锁”的使用：供应商须办理有效的CA锁（即有效的CA数字证书及电子电子签章）才可参与全流程电子政府采购活动，省内各地区办理的“苏采云”系统下的CA锁全省通用。</w:t>
            </w:r>
            <w:r>
              <w:rPr>
                <w:rFonts w:hint="eastAsia" w:ascii="宋体" w:hAnsi="宋体"/>
                <w:bCs/>
                <w:color w:val="000000"/>
                <w:sz w:val="24"/>
                <w:szCs w:val="24"/>
                <w:highlight w:val="none"/>
              </w:rPr>
            </w:r>
            <w:r>
              <w:rPr>
                <w:highlight w:val="none"/>
              </w:rPr>
            </w:r>
          </w:p>
          <w:p>
            <w:pPr>
              <w:pStyle w:val="760"/>
              <w:spacing w:line="360" w:lineRule="auto"/>
              <w:rPr>
                <w:rFonts w:hint="eastAsia" w:hAnsi="宋体"/>
                <w:bCs/>
                <w:color w:val="000000"/>
                <w:sz w:val="24"/>
                <w:szCs w:val="24"/>
                <w:highlight w:val="none"/>
              </w:rPr>
            </w:pPr>
            <w:r>
              <w:rPr>
                <w:rFonts w:hint="eastAsia" w:ascii="宋体" w:hAnsi="宋体"/>
                <w:bCs/>
                <w:color w:val="000000"/>
                <w:sz w:val="24"/>
                <w:szCs w:val="24"/>
                <w:highlight w:val="none"/>
              </w:rPr>
              <w:t xml:space="preserve">3.CA锁办理方式、“苏采云”系统供应商操作手册及政府采购客户端工具详见江苏政府采购网“办事指南”中的资料下载专栏中的《江苏省政府采购管理交易系统（苏采云)供应商操作指南》。</w:t>
            </w:r>
            <w:r>
              <w:rPr>
                <w:rFonts w:hint="eastAsia" w:hAnsi="宋体"/>
                <w:bCs/>
                <w:color w:val="000000"/>
                <w:sz w:val="24"/>
                <w:szCs w:val="24"/>
                <w:highlight w:val="none"/>
              </w:rPr>
            </w:r>
            <w:r>
              <w:rPr>
                <w:highlight w:val="none"/>
              </w:rPr>
            </w:r>
          </w:p>
        </w:tc>
      </w:tr>
      <w:tr>
        <w:trPr>
          <w:trHeight w:val="567"/>
        </w:trPr>
        <w:tc>
          <w:tcPr>
            <w:tcW w:w="733" w:type="dxa"/>
            <w:vAlign w:val="center"/>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rPr>
            </w:r>
            <w:r>
              <w:rPr>
                <w:highlight w:val="none"/>
              </w:rPr>
            </w:r>
          </w:p>
        </w:tc>
        <w:tc>
          <w:tcPr>
            <w:tcW w:w="856" w:type="dxa"/>
            <w:vAlign w:val="center"/>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
                <w:color w:val="000000"/>
                <w:sz w:val="24"/>
                <w:szCs w:val="24"/>
                <w:highlight w:val="none"/>
              </w:rPr>
              <w:t xml:space="preserve">投标文件</w:t>
            </w:r>
            <w:r>
              <w:rPr>
                <w:rFonts w:hint="eastAsia" w:ascii="宋体" w:hAnsi="宋体"/>
                <w:bCs/>
                <w:color w:val="000000"/>
                <w:sz w:val="24"/>
                <w:szCs w:val="24"/>
                <w:highlight w:val="none"/>
              </w:rPr>
            </w:r>
            <w:r>
              <w:rPr>
                <w:highlight w:val="none"/>
              </w:rPr>
            </w:r>
          </w:p>
        </w:tc>
        <w:tc>
          <w:tcPr>
            <w:gridSpan w:val="2"/>
            <w:tcW w:w="8110" w:type="dxa"/>
            <w:vAlign w:val="top"/>
            <w:textDirection w:val="lrTb"/>
            <w:noWrap w:val="false"/>
          </w:tcPr>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1.投标文件制作及提交：将电子投标文件导入政府采购客户端工具制作投标文件，导出加密的投标文件(后缀名为zip)，通过“苏采云”系统上传投标文件。</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2.提交投标文件截止时间后的投标文件，恕不接受。</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本项目采用远程不见面交易模式，通过“苏采云”不见面交易系统及相应的配套硬件设备（摄像头、话筒、麦克风等）完成远程解密、开标现场异议及回复、开标等交互环节。</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不见面开标注意事项：</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1.1不见面开标项目的时间均以国家授时中心发布的时间为准；</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1.2开标当日，供应商不必抵达开标现场，仅需在任意地点通过“苏采云”系统“开标大厅”参与开标过程；</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投标文件提交截止时间后，采购人或采购代理机构将在系统内公布供应商名单，然后通过开标会议区发出投标文件解密的指令，供应商在各自地点按规定时间自行实施远程解密，供应商解密限定在解密时间开始起30分钟内完成。因供应商网络与电源不稳定、未按操作手册要求配置软硬件、解密锁发生故障或用错、故意不在要求时限内完成解密等自身</w:t>
            </w:r>
            <w:r>
              <w:rPr>
                <w:rFonts w:hint="eastAsia" w:ascii="宋体" w:hAnsi="宋体"/>
                <w:bCs/>
                <w:color w:val="000000"/>
                <w:sz w:val="24"/>
                <w:szCs w:val="24"/>
                <w:highlight w:val="none"/>
              </w:rPr>
              <w:t xml:space="preserve">原因，导致投标文件在规定时间内未能解密、解密失败或解密超时，视为供应商撤销其投标文件；因电子交易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在评审结束前，各供应商应当随时关注不见面开标大厅，并按照评审小组澄清、报价等要求在规定时间内进行响应，且承担未及时作出响应的一切后果。参与远程交互的应当为授权委托人或法人代表，中途不得随意更换，作出响应的人员将均被视为是供应商的被授权委托人或法人代表。</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采购活动时间：</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2.1提交投标文件截止时间及投标文件开启时间：详见本项目招标公告，招标公告中的截止时间为提交投标文件截止时间。</w:t>
            </w:r>
            <w:r>
              <w:rPr>
                <w:rFonts w:hint="eastAsia" w:ascii="宋体" w:hAnsi="宋体"/>
                <w:bCs/>
                <w:color w:val="000000"/>
                <w:sz w:val="24"/>
                <w:szCs w:val="24"/>
                <w:highlight w:val="none"/>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2.2确定中标供应商时间：评审结束后，详见中标（成交）结果公告。</w:t>
            </w:r>
            <w:r>
              <w:rPr>
                <w:rFonts w:hint="eastAsia" w:ascii="宋体" w:hAnsi="宋体"/>
                <w:bCs/>
                <w:color w:val="000000"/>
                <w:sz w:val="24"/>
                <w:szCs w:val="24"/>
                <w:highlight w:val="none"/>
              </w:rPr>
            </w:r>
            <w:r>
              <w:rPr>
                <w:highlight w:val="none"/>
              </w:rPr>
            </w:r>
          </w:p>
        </w:tc>
      </w:tr>
      <w:tr>
        <w:trPr>
          <w:trHeight w:val="567"/>
        </w:trPr>
        <w:tc>
          <w:tcPr>
            <w:tcW w:w="733" w:type="dxa"/>
            <w:vAlign w:val="center"/>
            <w:vMerge w:val="restart"/>
            <w:textDirection w:val="lrTb"/>
            <w:noWrap w:val="false"/>
          </w:tcPr>
          <w:p>
            <w:pPr>
              <w:pStyle w:val="760"/>
              <w:jc w:val="center"/>
              <w:spacing w:line="360" w:lineRule="auto"/>
              <w:rPr>
                <w:rFonts w:hint="eastAsia" w:ascii="宋体" w:hAnsi="宋体"/>
                <w:bCs/>
                <w:color w:val="000000"/>
                <w:sz w:val="24"/>
                <w:szCs w:val="24"/>
                <w:highlight w:val="none"/>
              </w:rPr>
            </w:pPr>
            <w:r>
              <w:rPr>
                <w:highlight w:val="none"/>
              </w:rPr>
            </w:r>
            <w:bookmarkStart w:id="4" w:name="OLE_LINK84"/>
            <w:r>
              <w:rPr>
                <w:rFonts w:hint="eastAsia" w:ascii="宋体" w:hAnsi="宋体"/>
                <w:bCs/>
                <w:color w:val="000000"/>
                <w:sz w:val="24"/>
                <w:szCs w:val="24"/>
                <w:highlight w:val="none"/>
              </w:rPr>
              <w:t xml:space="preserve">5</w:t>
            </w:r>
            <w:r>
              <w:rPr>
                <w:rFonts w:hint="eastAsia" w:ascii="宋体" w:hAnsi="宋体"/>
                <w:bCs/>
                <w:color w:val="000000"/>
                <w:sz w:val="24"/>
                <w:szCs w:val="24"/>
                <w:highlight w:val="none"/>
              </w:rPr>
            </w:r>
            <w:r>
              <w:rPr>
                <w:highlight w:val="none"/>
              </w:rPr>
            </w:r>
          </w:p>
        </w:tc>
        <w:tc>
          <w:tcPr>
            <w:tcW w:w="856" w:type="dxa"/>
            <w:vAlign w:val="center"/>
            <w:vMerge w:val="restart"/>
            <w:textDirection w:val="lrTb"/>
            <w:noWrap w:val="false"/>
          </w:tcPr>
          <w:p>
            <w:pPr>
              <w:pStyle w:val="760"/>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联系方式</w:t>
            </w:r>
            <w:r>
              <w:rPr>
                <w:rFonts w:hint="eastAsia" w:ascii="宋体" w:hAnsi="宋体"/>
                <w:b/>
                <w:bCs/>
                <w:color w:val="000000"/>
                <w:sz w:val="24"/>
                <w:szCs w:val="24"/>
                <w:highlight w:val="none"/>
              </w:rPr>
            </w:r>
            <w:r>
              <w:rPr>
                <w:highlight w:val="none"/>
              </w:rPr>
            </w:r>
          </w:p>
        </w:tc>
        <w:tc>
          <w:tcPr>
            <w:tcW w:w="1703" w:type="dxa"/>
            <w:vAlign w:val="center"/>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rPr>
            </w:r>
            <w:r>
              <w:rPr>
                <w:highlight w:val="none"/>
              </w:rPr>
            </w:r>
          </w:p>
        </w:tc>
        <w:tc>
          <w:tcPr>
            <w:tcW w:w="6407" w:type="dxa"/>
            <w:vAlign w:val="center"/>
            <w:textDirection w:val="lrTb"/>
            <w:noWrap w:val="false"/>
          </w:tcPr>
          <w:p>
            <w:pPr>
              <w:pStyle w:val="760"/>
              <w:jc w:val="left"/>
              <w:spacing w:line="360" w:lineRule="auto"/>
              <w:rPr>
                <w:rFonts w:ascii="宋体" w:hAnsi="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bCs/>
                <w:color w:val="000000"/>
                <w:sz w:val="24"/>
                <w:szCs w:val="24"/>
                <w:highlight w:val="none"/>
                <w:lang w:val="en-US" w:eastAsia="zh-CN"/>
              </w:rPr>
              <w:t xml:space="preserve"> 陈女士</w:t>
            </w:r>
            <w:r>
              <w:rPr>
                <w:rFonts w:ascii="宋体" w:hAnsi="宋体"/>
                <w:bCs/>
                <w:color w:val="000000"/>
                <w:sz w:val="24"/>
                <w:szCs w:val="24"/>
                <w:highlight w:val="none"/>
                <w:lang w:val="en-US" w:eastAsia="zh-CN"/>
              </w:rPr>
            </w:r>
            <w:r>
              <w:rPr>
                <w:highlight w:val="none"/>
              </w:rPr>
            </w:r>
          </w:p>
          <w:p>
            <w:pPr>
              <w:pStyle w:val="760"/>
              <w:jc w:val="left"/>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质疑受理人：</w:t>
            </w:r>
            <w:r>
              <w:rPr>
                <w:rFonts w:hint="eastAsia" w:ascii="宋体" w:hAnsi="宋体"/>
                <w:bCs/>
                <w:color w:val="000000"/>
                <w:sz w:val="24"/>
                <w:szCs w:val="24"/>
                <w:highlight w:val="none"/>
                <w:lang w:val="en-US" w:eastAsia="zh-CN"/>
              </w:rPr>
              <w:t xml:space="preserve"> 陈女士</w:t>
            </w:r>
            <w:r>
              <w:rPr>
                <w:rFonts w:ascii="宋体" w:hAnsi="宋体"/>
                <w:bCs/>
                <w:color w:val="000000"/>
                <w:sz w:val="24"/>
                <w:szCs w:val="24"/>
                <w:highlight w:val="none"/>
                <w:lang w:val="en-US" w:eastAsia="zh-CN"/>
              </w:rPr>
            </w:r>
            <w:r>
              <w:rPr>
                <w:highlight w:val="none"/>
              </w:rPr>
            </w:r>
          </w:p>
          <w:p>
            <w:pPr>
              <w:pStyle w:val="760"/>
              <w:jc w:val="left"/>
              <w:spacing w:line="360" w:lineRule="auto"/>
              <w:rPr>
                <w:rFonts w:hint="eastAsia" w:ascii="宋体"/>
                <w:bCs/>
                <w:color w:val="000000"/>
                <w:sz w:val="24"/>
                <w:szCs w:val="24"/>
                <w:highlight w:val="none"/>
              </w:rPr>
            </w:pPr>
            <w:r>
              <w:rPr>
                <w:rFonts w:hint="eastAsia" w:ascii="宋体" w:hAnsi="宋体"/>
                <w:bCs/>
                <w:color w:val="000000"/>
                <w:sz w:val="24"/>
                <w:szCs w:val="24"/>
                <w:highlight w:val="none"/>
              </w:rPr>
              <w:t xml:space="preserve">联系电话：0510-81702055</w:t>
            </w:r>
            <w:r>
              <w:rPr>
                <w:rFonts w:hint="eastAsia" w:ascii="宋体" w:hAnsi="宋体"/>
                <w:bCs/>
                <w:color w:val="000000"/>
                <w:sz w:val="24"/>
                <w:szCs w:val="24"/>
                <w:highlight w:val="none"/>
                <w:lang w:val="en-US" w:eastAsia="zh-CN"/>
              </w:rPr>
              <w:t xml:space="preserve">  </w:t>
            </w:r>
            <w:r>
              <w:rPr>
                <w:rFonts w:hint="eastAsia" w:ascii="宋体"/>
                <w:bCs/>
                <w:color w:val="000000"/>
                <w:sz w:val="24"/>
                <w:szCs w:val="24"/>
                <w:highlight w:val="none"/>
                <w:lang w:val="en-US" w:eastAsia="zh-CN"/>
              </w:rPr>
              <w:t xml:space="preserve"> </w:t>
            </w:r>
            <w:r>
              <w:rPr>
                <w:rFonts w:hint="eastAsia" w:ascii="宋体"/>
                <w:bCs/>
                <w:color w:val="000000"/>
                <w:sz w:val="24"/>
                <w:szCs w:val="24"/>
                <w:highlight w:val="none"/>
                <w:lang w:val="en-US" w:eastAsia="zh-CN"/>
              </w:rPr>
            </w:r>
            <w:r>
              <w:rPr>
                <w:highlight w:val="none"/>
              </w:rPr>
            </w:r>
          </w:p>
          <w:p>
            <w:pPr>
              <w:pStyle w:val="76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联系地址：</w:t>
            </w:r>
            <w:r>
              <w:rPr>
                <w:rFonts w:hint="eastAsia" w:ascii="宋体" w:hAnsi="宋体" w:cs="宋体"/>
                <w:bCs/>
                <w:color w:val="000000"/>
                <w:sz w:val="24"/>
                <w:szCs w:val="24"/>
                <w:highlight w:val="none"/>
                <w:lang w:val="en-US" w:eastAsia="zh-CN"/>
              </w:rPr>
              <w:t xml:space="preserve">宜兴市丁蜀镇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rPr>
                <w:highlight w:val="none"/>
              </w:rPr>
            </w:r>
          </w:p>
          <w:p>
            <w:pPr>
              <w:pStyle w:val="760"/>
              <w:jc w:val="left"/>
              <w:spacing w:line="360" w:lineRule="auto"/>
              <w:rPr>
                <w:rFonts w:hint="eastAsia" w:ascii="宋体" w:hAnsi="宋体"/>
                <w:bCs/>
                <w:color w:val="000000"/>
                <w:sz w:val="24"/>
                <w:szCs w:val="24"/>
                <w:highlight w:val="none"/>
              </w:rPr>
            </w:pPr>
            <w:r>
              <w:rPr>
                <w:rFonts w:hint="eastAsia" w:ascii="宋体" w:hAnsi="宋体" w:eastAsia="宋体" w:cs="宋体"/>
                <w:bCs/>
                <w:color w:val="000000"/>
                <w:sz w:val="24"/>
                <w:szCs w:val="24"/>
                <w:highlight w:val="none"/>
              </w:rPr>
              <w:t xml:space="preserve">邮政编码：214200</w:t>
            </w:r>
            <w:r>
              <w:rPr>
                <w:rFonts w:hint="eastAsia" w:ascii="宋体" w:hAnsi="宋体"/>
                <w:bCs/>
                <w:color w:val="000000"/>
                <w:sz w:val="24"/>
                <w:szCs w:val="24"/>
                <w:highlight w:val="none"/>
              </w:rPr>
            </w:r>
            <w:r>
              <w:rPr>
                <w:highlight w:val="none"/>
              </w:rPr>
            </w:r>
          </w:p>
        </w:tc>
      </w:tr>
      <w:tr>
        <w:trPr>
          <w:trHeight w:val="567"/>
        </w:trPr>
        <w:tc>
          <w:tcPr>
            <w:tcW w:w="733" w:type="dxa"/>
            <w:vAlign w:val="center"/>
            <w:vMerge w:val="continue"/>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56" w:type="dxa"/>
            <w:vAlign w:val="top"/>
            <w:vMerge w:val="continue"/>
            <w:textDirection w:val="lrTb"/>
            <w:noWrap w:val="false"/>
          </w:tcPr>
          <w:p>
            <w:pPr>
              <w:pStyle w:val="76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3" w:type="dxa"/>
            <w:vAlign w:val="center"/>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rPr>
            </w:r>
            <w:r>
              <w:rPr>
                <w:highlight w:val="none"/>
              </w:rPr>
            </w:r>
          </w:p>
        </w:tc>
        <w:tc>
          <w:tcPr>
            <w:tcW w:w="6407" w:type="dxa"/>
            <w:vAlign w:val="top"/>
            <w:textDirection w:val="lrTb"/>
            <w:noWrap w:val="false"/>
          </w:tcPr>
          <w:p>
            <w:pPr>
              <w:pStyle w:val="76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联系人：</w:t>
            </w:r>
            <w:r>
              <w:rPr>
                <w:rFonts w:hint="eastAsia" w:ascii="宋体" w:hAnsi="宋体" w:cs="宋体"/>
                <w:bCs/>
                <w:color w:val="000000"/>
                <w:sz w:val="24"/>
                <w:szCs w:val="24"/>
                <w:highlight w:val="none"/>
                <w:lang w:val="en-US" w:eastAsia="zh-CN"/>
              </w:rPr>
              <w:t xml:space="preserve">于</w:t>
            </w:r>
            <w:r>
              <w:rPr>
                <w:rFonts w:hint="eastAsia" w:ascii="宋体" w:hAnsi="宋体" w:cs="宋体"/>
                <w:bCs/>
                <w:color w:val="000000"/>
                <w:sz w:val="24"/>
                <w:szCs w:val="24"/>
                <w:highlight w:val="none"/>
              </w:rPr>
              <w:t xml:space="preserve">先生　</w:t>
            </w:r>
            <w:r>
              <w:rPr>
                <w:rFonts w:hint="eastAsia" w:ascii="宋体" w:hAnsi="宋体" w:cs="宋体"/>
                <w:bCs/>
                <w:color w:val="000000"/>
                <w:sz w:val="24"/>
                <w:szCs w:val="24"/>
                <w:highlight w:val="none"/>
              </w:rPr>
            </w:r>
            <w:r>
              <w:rPr>
                <w:highlight w:val="none"/>
              </w:rPr>
            </w:r>
          </w:p>
          <w:p>
            <w:pPr>
              <w:pStyle w:val="76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联系电话：18861795035  </w:t>
            </w:r>
            <w:r>
              <w:rPr>
                <w:rFonts w:hint="eastAsia" w:ascii="宋体" w:hAnsi="宋体" w:cs="宋体"/>
                <w:bCs/>
                <w:color w:val="000000"/>
                <w:sz w:val="24"/>
                <w:szCs w:val="24"/>
                <w:highlight w:val="none"/>
              </w:rPr>
            </w:r>
            <w:r>
              <w:rPr>
                <w:highlight w:val="none"/>
              </w:rPr>
            </w:r>
          </w:p>
          <w:p>
            <w:pPr>
              <w:pStyle w:val="760"/>
              <w:jc w:val="left"/>
              <w:spacing w:line="360" w:lineRule="auto"/>
              <w:rPr>
                <w:rFonts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联系地址：宜兴市丁蜀镇东峰路1号 东峰大厦</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楼</w:t>
            </w:r>
            <w:r>
              <w:rPr>
                <w:rFonts w:ascii="宋体" w:hAnsi="宋体" w:eastAsia="宋体" w:cs="宋体"/>
                <w:bCs/>
                <w:color w:val="000000"/>
                <w:sz w:val="24"/>
                <w:szCs w:val="24"/>
                <w:highlight w:val="none"/>
                <w:lang w:val="en-US" w:eastAsia="zh-CN"/>
              </w:rPr>
            </w:r>
            <w:r>
              <w:rPr>
                <w:highlight w:val="none"/>
              </w:rPr>
            </w:r>
          </w:p>
          <w:p>
            <w:pPr>
              <w:pStyle w:val="760"/>
              <w:jc w:val="left"/>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邮政编码：214200</w:t>
            </w:r>
            <w:r>
              <w:rPr>
                <w:rFonts w:hint="eastAsia" w:ascii="宋体" w:hAnsi="宋体"/>
                <w:bCs/>
                <w:color w:val="000000"/>
                <w:sz w:val="24"/>
                <w:szCs w:val="24"/>
                <w:highlight w:val="none"/>
              </w:rPr>
            </w:r>
            <w:r>
              <w:rPr>
                <w:highlight w:val="none"/>
              </w:rPr>
            </w:r>
          </w:p>
        </w:tc>
      </w:tr>
      <w:tr>
        <w:trPr>
          <w:trHeight w:val="567"/>
        </w:trPr>
        <w:tc>
          <w:tcPr>
            <w:tcW w:w="733" w:type="dxa"/>
            <w:vAlign w:val="center"/>
            <w:vMerge w:val="continue"/>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56" w:type="dxa"/>
            <w:vAlign w:val="top"/>
            <w:vMerge w:val="continue"/>
            <w:textDirection w:val="lrTb"/>
            <w:noWrap w:val="false"/>
          </w:tcPr>
          <w:p>
            <w:pPr>
              <w:pStyle w:val="76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3" w:type="dxa"/>
            <w:vAlign w:val="center"/>
            <w:textDirection w:val="lrTb"/>
            <w:noWrap w:val="false"/>
          </w:tcPr>
          <w:p>
            <w:pPr>
              <w:pStyle w:val="760"/>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“苏采云”</w:t>
            </w:r>
            <w:r>
              <w:rPr>
                <w:rFonts w:hint="eastAsia" w:ascii="宋体" w:hAnsi="宋体"/>
                <w:bCs/>
                <w:color w:val="000000"/>
                <w:sz w:val="24"/>
                <w:szCs w:val="24"/>
                <w:highlight w:val="none"/>
              </w:rPr>
            </w:r>
            <w:r>
              <w:rPr>
                <w:highlight w:val="none"/>
              </w:rPr>
            </w:r>
          </w:p>
          <w:p>
            <w:pPr>
              <w:pStyle w:val="760"/>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rPr>
                <w:rFonts w:ascii="宋体" w:hAnsi="宋体"/>
                <w:bCs/>
                <w:color w:val="000000"/>
                <w:sz w:val="24"/>
                <w:szCs w:val="24"/>
                <w:highlight w:val="none"/>
              </w:rPr>
            </w:r>
            <w:r>
              <w:rPr>
                <w:highlight w:val="none"/>
              </w:rPr>
            </w:r>
          </w:p>
        </w:tc>
        <w:tc>
          <w:tcPr>
            <w:tcW w:w="6407" w:type="dxa"/>
            <w:vAlign w:val="center"/>
            <w:textDirection w:val="lrTb"/>
            <w:noWrap w:val="false"/>
          </w:tcPr>
          <w:p>
            <w:pPr>
              <w:pStyle w:val="76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供应商在“苏采云”系统操作过程中如遇问题，请致电“苏采云”客服，联系电话：16651529117、025-83633744、025-83633743；或在“苏采云”系统中发起在线人工客服请求。</w:t>
            </w:r>
            <w:r>
              <w:rPr>
                <w:rFonts w:ascii="宋体" w:hAnsi="宋体"/>
                <w:bCs/>
                <w:color w:val="000000"/>
                <w:sz w:val="24"/>
                <w:szCs w:val="24"/>
                <w:highlight w:val="none"/>
              </w:rPr>
            </w:r>
            <w:r>
              <w:rPr>
                <w:highlight w:val="none"/>
              </w:rPr>
            </w:r>
          </w:p>
        </w:tc>
      </w:tr>
      <w:tr>
        <w:trPr>
          <w:trHeight w:val="567"/>
        </w:trPr>
        <w:tc>
          <w:tcPr>
            <w:tcW w:w="733" w:type="dxa"/>
            <w:vAlign w:val="center"/>
            <w:vMerge w:val="continue"/>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856" w:type="dxa"/>
            <w:vAlign w:val="top"/>
            <w:vMerge w:val="continue"/>
            <w:textDirection w:val="lrTb"/>
            <w:noWrap w:val="false"/>
          </w:tcPr>
          <w:p>
            <w:pPr>
              <w:pStyle w:val="76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703" w:type="dxa"/>
            <w:vAlign w:val="center"/>
            <w:textDirection w:val="lrTb"/>
            <w:noWrap w:val="false"/>
          </w:tcPr>
          <w:p>
            <w:pPr>
              <w:pStyle w:val="76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rPr>
            </w:r>
            <w:r>
              <w:rPr>
                <w:highlight w:val="none"/>
              </w:rPr>
            </w:r>
          </w:p>
        </w:tc>
        <w:tc>
          <w:tcPr>
            <w:tcW w:w="6407" w:type="dxa"/>
            <w:vAlign w:val="top"/>
            <w:textDirection w:val="lrTb"/>
            <w:noWrap w:val="false"/>
          </w:tcPr>
          <w:p>
            <w:pPr>
              <w:pStyle w:val="76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采购监督管理及投诉处理主体：宜兴市丁蜀镇财政和资产管理办公室                   </w:t>
            </w:r>
            <w:r>
              <w:rPr>
                <w:rFonts w:hint="eastAsia" w:ascii="宋体" w:hAnsi="宋体" w:cs="宋体"/>
                <w:bCs/>
                <w:color w:val="000000"/>
                <w:sz w:val="24"/>
                <w:szCs w:val="24"/>
                <w:highlight w:val="none"/>
              </w:rPr>
            </w:r>
            <w:r>
              <w:rPr>
                <w:highlight w:val="none"/>
              </w:rPr>
            </w:r>
          </w:p>
          <w:p>
            <w:pPr>
              <w:pStyle w:val="760"/>
              <w:jc w:val="left"/>
              <w:spacing w:line="360" w:lineRule="auto"/>
              <w:rPr>
                <w:rFonts w:hint="eastAsia" w:ascii="宋体" w:hAnsi="宋体"/>
                <w:bCs/>
                <w:color w:val="000000"/>
                <w:sz w:val="24"/>
                <w:szCs w:val="24"/>
                <w:highlight w:val="none"/>
              </w:rPr>
            </w:pPr>
            <w:r>
              <w:rPr>
                <w:rFonts w:hint="eastAsia" w:ascii="宋体" w:hAnsi="宋体" w:cs="宋体"/>
                <w:bCs/>
                <w:color w:val="000000"/>
                <w:sz w:val="24"/>
                <w:szCs w:val="24"/>
                <w:highlight w:val="none"/>
              </w:rPr>
              <w:t xml:space="preserve">联系地址：宜兴市丁蜀镇</w:t>
            </w:r>
            <w:r>
              <w:rPr>
                <w:rFonts w:hint="eastAsia" w:ascii="宋体" w:hAnsi="宋体"/>
                <w:bCs/>
                <w:color w:val="000000"/>
                <w:sz w:val="24"/>
                <w:szCs w:val="24"/>
                <w:highlight w:val="none"/>
              </w:rPr>
            </w:r>
            <w:r>
              <w:rPr>
                <w:highlight w:val="none"/>
              </w:rPr>
            </w:r>
          </w:p>
        </w:tc>
      </w:tr>
    </w:tbl>
    <w:p>
      <w:pPr>
        <w:pStyle w:val="760"/>
        <w:jc w:val="center"/>
        <w:spacing w:line="360" w:lineRule="auto"/>
        <w:rPr>
          <w:rFonts w:hint="eastAsia" w:ascii="黑体" w:hAnsi="黑体" w:eastAsia="黑体"/>
          <w:color w:val="000000"/>
          <w:sz w:val="28"/>
          <w:highlight w:val="none"/>
        </w:rPr>
        <w:outlineLvl w:val="0"/>
      </w:pPr>
      <w:r>
        <w:rPr>
          <w:highlight w:val="none"/>
        </w:rPr>
      </w:r>
      <w:bookmarkEnd w:id="4"/>
      <w:r>
        <w:rPr>
          <w:rFonts w:ascii="黑体" w:hAnsi="黑体" w:eastAsia="黑体"/>
          <w:color w:val="000000"/>
          <w:sz w:val="24"/>
          <w:szCs w:val="24"/>
          <w:highlight w:val="none"/>
        </w:rPr>
        <w:br w:type="page" w:clear="all"/>
      </w:r>
      <w:bookmarkStart w:id="5" w:name="_Toc30886"/>
      <w:r>
        <w:rPr>
          <w:rFonts w:hint="eastAsia" w:ascii="黑体" w:hAnsi="黑体" w:eastAsia="黑体"/>
          <w:color w:val="000000"/>
          <w:sz w:val="28"/>
          <w:highlight w:val="none"/>
        </w:rPr>
        <w:t xml:space="preserve">第二章 投标人须知</w:t>
      </w:r>
      <w:bookmarkEnd w:id="2"/>
      <w:r>
        <w:rPr>
          <w:highlight w:val="none"/>
        </w:rPr>
      </w:r>
      <w:bookmarkEnd w:id="5"/>
      <w:r>
        <w:rPr>
          <w:rFonts w:hint="eastAsia" w:ascii="黑体" w:hAnsi="黑体" w:eastAsia="黑体"/>
          <w:color w:val="000000"/>
          <w:sz w:val="28"/>
          <w:highlight w:val="none"/>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一、总   则</w:t>
      </w:r>
      <w:r>
        <w:rPr>
          <w:rFonts w:hint="eastAsia" w:ascii="宋体" w:hAnsi="宋体"/>
          <w:b/>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1、适用法律</w:t>
      </w:r>
      <w:r>
        <w:rPr>
          <w:rFonts w:hint="eastAsia" w:ascii="宋体" w:hAnsi="宋体"/>
          <w:b/>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《中华人民共和国政府采购法》、《中华人民共和国政府采购法实施条例》、《政府采购货物和服务招标投标管理办法》等有关法律、法规、规章和规定等。</w:t>
      </w:r>
      <w:r>
        <w:rPr>
          <w:rFonts w:hint="eastAsia" w:ascii="宋体" w:hAnsi="宋体"/>
          <w:bCs/>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2、定义</w:t>
      </w:r>
      <w:r>
        <w:rPr>
          <w:rFonts w:hint="eastAsia" w:ascii="宋体" w:hAnsi="宋体"/>
          <w:b/>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招标文件中的“法定代表人”是指投标人的营业执照中的“法定代表人”、“执行事务合伙人”、“经营者”</w:t>
      </w:r>
      <w:bookmarkStart w:id="6" w:name="OLE_LINK268"/>
      <w:r>
        <w:rPr>
          <w:rFonts w:hint="eastAsia" w:ascii="宋体" w:hAnsi="宋体"/>
          <w:bCs/>
          <w:color w:val="000000"/>
          <w:sz w:val="24"/>
          <w:szCs w:val="24"/>
          <w:highlight w:val="none"/>
          <w:lang w:val="zh-CN"/>
        </w:rPr>
        <w:t xml:space="preserve">，</w:t>
      </w:r>
      <w:bookmarkStart w:id="7" w:name="OLE_LINK254"/>
      <w:r>
        <w:rPr>
          <w:rFonts w:hint="eastAsia" w:ascii="宋体" w:hAnsi="宋体"/>
          <w:bCs/>
          <w:color w:val="000000"/>
          <w:sz w:val="24"/>
          <w:szCs w:val="24"/>
          <w:highlight w:val="none"/>
          <w:lang w:val="zh-CN"/>
        </w:rPr>
        <w:t xml:space="preserve">若自然人投标即指自然人本人。</w:t>
      </w:r>
      <w:bookmarkEnd w:id="6"/>
      <w:r>
        <w:rPr>
          <w:highlight w:val="none"/>
        </w:rPr>
      </w:r>
      <w:bookmarkEnd w:id="7"/>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“投标人（电子电子签章）”</w:t>
      </w:r>
      <w:r>
        <w:rPr>
          <w:rFonts w:hint="eastAsia" w:ascii="宋体" w:hAnsi="宋体"/>
          <w:bCs/>
          <w:color w:val="000000"/>
          <w:sz w:val="24"/>
          <w:szCs w:val="24"/>
          <w:highlight w:val="none"/>
        </w:rPr>
        <w:t xml:space="preserve">是指投标人的</w:t>
      </w:r>
      <w:bookmarkStart w:id="8" w:name="_Hlk152584062"/>
      <w:r>
        <w:rPr>
          <w:rFonts w:hint="eastAsia" w:ascii="宋体" w:hAnsi="宋体"/>
          <w:bCs/>
          <w:color w:val="000000"/>
          <w:sz w:val="24"/>
          <w:szCs w:val="24"/>
          <w:highlight w:val="none"/>
          <w:lang w:val="zh-CN"/>
        </w:rPr>
        <w:t xml:space="preserve">电子公章</w:t>
      </w:r>
      <w:bookmarkEnd w:id="8"/>
      <w:r>
        <w:rPr>
          <w:rFonts w:hint="eastAsia" w:ascii="宋体" w:hAnsi="宋体"/>
          <w:bCs/>
          <w:color w:val="000000"/>
          <w:sz w:val="24"/>
          <w:szCs w:val="24"/>
          <w:highlight w:val="none"/>
          <w:lang w:val="zh-CN"/>
        </w:rPr>
        <w:t xml:space="preserve">，自然人报价即指自然人私章或签名</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2.4</w:t>
      </w:r>
      <w:r>
        <w:rPr>
          <w:rFonts w:hint="eastAsia" w:ascii="宋体" w:hAnsi="宋体"/>
          <w:bCs/>
          <w:color w:val="000000"/>
          <w:sz w:val="24"/>
          <w:szCs w:val="24"/>
          <w:highlight w:val="none"/>
          <w:lang w:val="zh-CN"/>
        </w:rPr>
        <w:t xml:space="preserve"> “服务”指本招标文件中所述服务及相关产品。</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2.5 “响应”指提交报价文件并对招标文件提出的条件和要求进行实质性回应，招标公告及招标文件中的“投标”是指投标报价，本招标文件中的“报价”除单独列明外均指项目总报价。</w:t>
      </w:r>
      <w:r>
        <w:rPr>
          <w:rFonts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2.6 “证明材料”指招标文件中要求提供的相关材料</w:t>
      </w:r>
      <w:bookmarkStart w:id="9" w:name="_Hlk166055298"/>
      <w:r>
        <w:rPr>
          <w:rFonts w:hint="eastAsia" w:ascii="宋体" w:hAnsi="宋体"/>
          <w:bCs/>
          <w:color w:val="000000"/>
          <w:sz w:val="24"/>
          <w:szCs w:val="24"/>
          <w:highlight w:val="none"/>
          <w:lang w:val="zh-CN"/>
        </w:rPr>
        <w:t xml:space="preserve">且必须为有效的，即证明材料的完整性、真实性、出具方、有效期限、技术标准、认证范围等相关要求符合国家相关法律法规及采购文件规定。</w:t>
      </w:r>
      <w:bookmarkEnd w:id="9"/>
      <w:r>
        <w:rPr>
          <w:rFonts w:hint="eastAsia" w:ascii="宋体" w:hAnsi="宋体"/>
          <w:bCs/>
          <w:color w:val="000000"/>
          <w:sz w:val="24"/>
          <w:szCs w:val="24"/>
          <w:highlight w:val="none"/>
          <w:lang w:val="zh-CN"/>
        </w:rPr>
      </w:r>
      <w:r>
        <w:rPr>
          <w:highlight w:val="none"/>
        </w:rPr>
      </w:r>
    </w:p>
    <w:p>
      <w:pPr>
        <w:pStyle w:val="76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2.7“电子交易平台”指本项目政府采购活动所依托的江苏政府采购网(www.ccgp-jiangsu.gov.cn)“苏采云”平台（系统）。</w:t>
      </w:r>
      <w:r>
        <w:rPr>
          <w:rFonts w:ascii="宋体" w:hAnsi="宋体"/>
          <w:bCs/>
          <w:color w:val="000000"/>
          <w:sz w:val="24"/>
          <w:szCs w:val="24"/>
          <w:highlight w:val="none"/>
          <w:lang w:val="zh-CN"/>
        </w:rPr>
      </w:r>
      <w:r>
        <w:rPr>
          <w:highlight w:val="none"/>
        </w:rPr>
      </w:r>
    </w:p>
    <w:p>
      <w:pPr>
        <w:pStyle w:val="76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2.8 “中小企业声明”指符合政府采购政策的供应商提供的《中小企业声明函》或《残疾人福利性单位声明函》或监狱企业的证明文件。</w:t>
      </w:r>
      <w:r>
        <w:rPr>
          <w:rFonts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2.9 “报价无效”指供应商提交的投标文件不符合招标文件或不符合采购人要求的情况，按无效响应处理。</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2.10 “评审因素”是指评审方法和标准中包括的价格因素、技术因素、商务因素等方面。</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2.11 “正偏离”指供应商提供的服务（货物）响应情况优于招标文件要求；“负偏离”指供应商提供的服务（货物）响应情况劣于招标文件要求。</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2.12 本招标文件中的招标与采购、招标文件与采购文件、报价无效与响应无效、产品与货物、优惠政策与扶持政策，分别为同一概念或意思。</w:t>
      </w:r>
      <w:r>
        <w:rPr>
          <w:rFonts w:ascii="宋体" w:hAnsi="宋体"/>
          <w:bCs/>
          <w:color w:val="000000"/>
          <w:sz w:val="24"/>
          <w:szCs w:val="24"/>
          <w:highlight w:val="none"/>
          <w:lang w:val="zh-CN"/>
        </w:rPr>
      </w:r>
      <w:r>
        <w:rPr>
          <w:highlight w:val="none"/>
        </w:rPr>
      </w:r>
    </w:p>
    <w:p>
      <w:pPr>
        <w:pStyle w:val="760"/>
        <w:ind w:firstLine="480"/>
        <w:spacing w:line="360" w:lineRule="auto"/>
        <w:rPr>
          <w:rFonts w:ascii="宋体" w:hAnsi="宋体"/>
          <w:bCs/>
          <w:color w:val="000000"/>
          <w:sz w:val="24"/>
          <w:szCs w:val="24"/>
          <w:highlight w:val="none"/>
        </w:rPr>
      </w:pPr>
      <w:r>
        <w:rPr>
          <w:highlight w:val="none"/>
        </w:rPr>
      </w:r>
      <w:bookmarkStart w:id="10" w:name="_Hlk169618186"/>
      <w:r>
        <w:rPr>
          <w:rFonts w:hint="eastAsia" w:ascii="宋体" w:hAnsi="宋体"/>
          <w:bCs/>
          <w:color w:val="000000"/>
          <w:sz w:val="24"/>
          <w:szCs w:val="24"/>
          <w:highlight w:val="none"/>
          <w:lang w:val="zh-CN"/>
        </w:rPr>
        <w:t xml:space="preserve">2.13 本招标文件中所称的“以上”、“以来”、“以下”、“不少于”、“不超过”，包括本数；所称的“不足”、“低于”、“高于”、“少于”、“超过”，不包括本数。</w:t>
      </w:r>
      <w:bookmarkEnd w:id="10"/>
      <w:r>
        <w:rPr>
          <w:rFonts w:ascii="宋体" w:hAnsi="宋体"/>
          <w:bCs/>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3、政策功能</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3.1 政府采购原则上采购本国生产的产品，不允许采购进口产品。除非采购人采购进口产品，已经在采购活动开始前向财政部门提出申请并获得财政部门审核同意，且在采购需求中明确规定可以采购进口产品。</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3.2政府采购支持中小企业发展</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3.2.1“中小企业”是指在中华人民共和国境内依法设立，依据《关于印发中小企业划</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根据采购项目类型，若为货物类项目，只对货物的制造商是否为中小企业进行认定，不再对投标人提供的配套服务作出要求。</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3.2.3 对于专</w:t>
      </w:r>
      <w:r>
        <w:rPr>
          <w:rFonts w:hint="eastAsia" w:ascii="宋体" w:hAnsi="宋体"/>
          <w:b w:val="0"/>
          <w:bCs/>
          <w:color w:val="000000"/>
          <w:sz w:val="24"/>
          <w:szCs w:val="24"/>
          <w:highlight w:val="none"/>
        </w:rPr>
        <w:t xml:space="preserve">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3.2.4 可享受中小企业扶持政策的投标人应按照招标文件要求提供中小企业声明，投标人提供的中小企业声明与实际情况不符的，不享受中小企业扶持政策。</w:t>
      </w:r>
      <w:r>
        <w:rPr>
          <w:rFonts w:hint="eastAsia" w:ascii="宋体" w:hAnsi="宋体"/>
          <w:b w:val="0"/>
          <w:bCs/>
          <w:color w:val="000000"/>
          <w:sz w:val="24"/>
          <w:szCs w:val="24"/>
          <w:highlight w:val="none"/>
          <w:u w:val="single"/>
        </w:rPr>
        <w:t xml:space="preserve">投标人应按照中小企业声明格式准确完整填写相关内容，其中《中小企业声明函》须按“第三章 项目技术要求和有关说明”中采购标的明细及所属行业等内容逐一进行填报，并明确相关企业类型（中型、小型或微型），否则中小企业声明函无效。</w:t>
      </w:r>
      <w:r>
        <w:rPr>
          <w:rFonts w:hint="eastAsia" w:ascii="宋体" w:hAnsi="宋体"/>
          <w:b w:val="0"/>
          <w:bCs/>
          <w:color w:val="000000"/>
          <w:sz w:val="24"/>
          <w:szCs w:val="24"/>
          <w:highlight w:val="none"/>
        </w:rPr>
        <w:t xml:space="preserve">新成立企业时间认定以相关部门颁发证书的发证、登记日期为准，应提供相关证书，否则不予认可。声明内容不实的，属于提供虚假材料谋取中标、成交的，应依法承担法律责任。</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3.2.5符合《关于促进残疾人就业政府采购政策的通知》（财库〔2017〕141号）规定的条件并提供《残疾人福利性单位声明函》的残疾人福利性单位视同小型、微型企业；</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3.2.7对于专门面向中小企业的项目，投标人未提供有效的中小企业声明，资格审查不</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予通过；对于非专门面向中小企业的项目，投标人未提供有效的中小企业声明，不享受政府采购小微企业优惠政策，即不给予小微企业报价扣除；若投标人提供的货物同时为小微企业产品、残疾人福利性单位产品（或监狱企业产品），只享受一次针对小微企业产品的价格优惠。</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3.2.8中小企业依据《政府采购促进中小企业发展管理办法》（财库〔2020〕46号）规定的扶持政策获得政府采购合同后，小微企业不得将合同分包给大中型企业，中型企业不得将合同分包给大型企业。</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3.3强制采购节能产品、信息安全产品。强制采购节能产品是指列入财政部、发展改革委联合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 w:val="0"/>
          <w:bCs/>
          <w:color w:val="000000"/>
          <w:sz w:val="24"/>
          <w:szCs w:val="24"/>
          <w:highlight w:val="none"/>
          <w:u w:val="single"/>
        </w:rPr>
        <w:t xml:space="preserve">涉及到强制采购产品的，投标人须按照上述要求提供相关产品的证明材料，否则投标无效。</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3.4优先采购节能产品、环境标志产品。优先采购节能产品是指列入财政部、发展改革委联合公布的最新《节能产品政府采购品目清单》（具体品目未以“★”标注），且获得由国家确定的认证机构出具的、处于有效期之内的节能产品认证证书的节能产品；优先采购环境标志产品是指列入财政部、生态环境部联合公布的最新《环境标志产品政府采购品目清单》，且获得由国家确定的认证机构出具的、处于有效期之内的环境标志产品认证证书的环境标志产品。</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3.5推广使用绿色包装，政府采购货物、工程和服务项目中涉及商品包装和快递包装的，投标人提供产品及相关快递服务的具体包装要求要参考《商品包装政府采购需求标准（试行）》、《快递包装政府采购需求标准（试行）》（财办库〔2020〕123号）。</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3.6鼓励投标人在参加政府采购过程中开展绿色设计、选择绿色材料、打造绿色制造工艺、开展绿色运输、做好废弃产品回收处理，实现产品全周期的绿色环保。</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3.7落实挥发性有机化合物（VOCs）治理要求，涉及涂料、胶黏剂、油墨、清洗剂等挥发性有机物产品的，属于强制性标准的，投标人应当执行国家和我省VOCs含量限制标准。</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rPr>
        <w:t xml:space="preserve">3.8采购数据中心相关设备、运维服务，应当有利于节约能源、环境保护和资源循环利用，按照《绿色数据中心政府采购需求标准（试行）》（财库〔2023〕7号）实施相关采购活动，投标人应当根据需求标准提供相关设备和运维服务。</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
          <w:color w:val="000000"/>
          <w:sz w:val="24"/>
          <w:szCs w:val="24"/>
          <w:highlight w:val="none"/>
        </w:rPr>
      </w:pPr>
      <w:r>
        <w:rPr>
          <w:rFonts w:hint="eastAsia" w:ascii="宋体" w:hAnsi="宋体"/>
          <w:b w:val="0"/>
          <w:bCs/>
          <w:color w:val="000000"/>
          <w:sz w:val="24"/>
          <w:szCs w:val="24"/>
          <w:highlight w:val="none"/>
        </w:rPr>
        <w:t xml:space="preserve">注：支持中小企业发展、强制采购、优先采购及其他政府采购政策按相关文件规定执行。</w:t>
      </w:r>
      <w:r>
        <w:rPr>
          <w:rFonts w:hint="eastAsia" w:ascii="宋体" w:hAnsi="宋体"/>
          <w:b/>
          <w:color w:val="000000"/>
          <w:sz w:val="24"/>
          <w:szCs w:val="24"/>
          <w:highlight w:val="none"/>
        </w:rPr>
        <w:t xml:space="preserve">4、投标费用</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采购文件中的货币单位均为人民币元。</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4.2供应商应自行承担所有与准备和参加报价有关的一切费用。</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4.3代理服务收费标准及金额:</w:t>
      </w:r>
      <w:r>
        <w:rPr>
          <w:rFonts w:hint="eastAsia" w:ascii="宋体" w:hAnsi="宋体"/>
          <w:bCs/>
          <w:color w:val="000000"/>
          <w:sz w:val="24"/>
          <w:szCs w:val="24"/>
          <w:highlight w:val="none"/>
        </w:rPr>
      </w:r>
      <w:r>
        <w:rPr>
          <w:highlight w:val="none"/>
        </w:rPr>
      </w:r>
    </w:p>
    <w:p>
      <w:pPr>
        <w:pStyle w:val="760"/>
        <w:ind w:firstLine="480"/>
        <w:jc w:val="left"/>
        <w:spacing w:line="360" w:lineRule="auto"/>
        <w:rPr>
          <w:rFonts w:hint="eastAsia" w:ascii="宋体"/>
          <w:bCs/>
          <w:color w:val="000000"/>
          <w:sz w:val="24"/>
          <w:szCs w:val="24"/>
          <w:highlight w:val="none"/>
        </w:rPr>
      </w:pPr>
      <w:r>
        <w:rPr>
          <w:rFonts w:hint="eastAsia" w:ascii="宋体" w:hAnsi="宋体"/>
          <w:bCs/>
          <w:color w:val="000000"/>
          <w:sz w:val="24"/>
          <w:szCs w:val="24"/>
          <w:highlight w:val="none"/>
        </w:rPr>
        <w:t xml:space="preserve">本项目采购代理费由中标人支付</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请各投标人将此费用考虑在投标报价内</w:t>
      </w:r>
      <w:r>
        <w:rPr>
          <w:rFonts w:hint="eastAsia" w:ascii="宋体" w:hAnsi="宋体"/>
          <w:bCs/>
          <w:color w:val="000000"/>
          <w:sz w:val="24"/>
          <w:szCs w:val="24"/>
          <w:highlight w:val="none"/>
        </w:rPr>
        <w:t xml:space="preserve">，采购代理费收费标准:参照《招标代理服务收费标准》(不满3000元按3000元计取），按差额定率累进法计算。</w:t>
      </w:r>
      <w:r>
        <w:rPr>
          <w:rFonts w:hint="eastAsia" w:ascii="宋体"/>
          <w:bCs/>
          <w:color w:val="000000"/>
          <w:sz w:val="24"/>
          <w:szCs w:val="24"/>
          <w:highlight w:val="none"/>
          <w:lang w:eastAsia="zh-CN"/>
        </w:rPr>
      </w:r>
      <w:r>
        <w:rPr>
          <w:highlight w:val="none"/>
        </w:rPr>
      </w:r>
    </w:p>
    <w:p>
      <w:pPr>
        <w:pStyle w:val="760"/>
        <w:ind w:firstLine="48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招标代理服务收费标准</w:t>
      </w:r>
      <w:r>
        <w:rPr>
          <w:rFonts w:hint="eastAsia" w:ascii="宋体" w:hAnsi="宋体"/>
          <w:bCs/>
          <w:color w:val="000000"/>
          <w:sz w:val="24"/>
          <w:szCs w:val="24"/>
          <w:highlight w:val="none"/>
        </w:rPr>
      </w:r>
      <w:r>
        <w:rPr>
          <w:highlight w:val="none"/>
        </w:rPr>
      </w:r>
    </w:p>
    <w:tbl>
      <w:tblPr>
        <w:tblStyle w:val="79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3"/>
        <w:gridCol w:w="2463"/>
        <w:gridCol w:w="2464"/>
        <w:gridCol w:w="2464"/>
      </w:tblGrid>
      <w:tr>
        <w:trPr>
          <w:trHeight w:val="315"/>
        </w:trPr>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服费务类率型</w:t>
            </w:r>
            <w:r>
              <w:rPr>
                <w:rFonts w:hint="eastAsia"/>
                <w:color w:val="000000"/>
                <w:highlight w:val="none"/>
              </w:rPr>
            </w:r>
            <w:r>
              <w:rPr>
                <w:highlight w:val="none"/>
              </w:rPr>
            </w:r>
          </w:p>
          <w:p>
            <w:pPr>
              <w:pStyle w:val="760"/>
              <w:jc w:val="center"/>
              <w:spacing w:after="0" w:line="240" w:lineRule="auto"/>
              <w:rPr>
                <w:rFonts w:hint="eastAsia"/>
                <w:color w:val="000000"/>
                <w:highlight w:val="none"/>
              </w:rPr>
            </w:pPr>
            <w:r>
              <w:rPr>
                <w:rFonts w:hint="eastAsia"/>
                <w:color w:val="000000"/>
                <w:highlight w:val="none"/>
              </w:rPr>
              <w:t xml:space="preserve">中标金额(万元)</w:t>
            </w:r>
            <w:r>
              <w:rPr>
                <w:rFonts w:hint="eastAsia"/>
                <w:color w:val="000000"/>
                <w:highlight w:val="none"/>
              </w:rPr>
            </w:r>
            <w:r>
              <w:rPr>
                <w:highlight w:val="none"/>
              </w:rPr>
            </w:r>
          </w:p>
        </w:tc>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货物招标</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服务招标</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工程招标</w:t>
            </w:r>
            <w:r>
              <w:rPr>
                <w:rFonts w:hint="eastAsia"/>
                <w:color w:val="000000"/>
                <w:highlight w:val="none"/>
              </w:rPr>
            </w:r>
            <w:r>
              <w:rPr>
                <w:highlight w:val="none"/>
              </w:rPr>
            </w:r>
          </w:p>
        </w:tc>
      </w:tr>
      <w:tr>
        <w:trPr>
          <w:trHeight w:val="567"/>
        </w:trPr>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100以下</w:t>
            </w:r>
            <w:r>
              <w:rPr>
                <w:rFonts w:hint="eastAsia"/>
                <w:color w:val="000000"/>
                <w:highlight w:val="none"/>
              </w:rPr>
            </w:r>
            <w:r>
              <w:rPr>
                <w:highlight w:val="none"/>
              </w:rPr>
            </w:r>
          </w:p>
        </w:tc>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1.5%</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1.5%</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1.0%</w:t>
            </w:r>
            <w:r>
              <w:rPr>
                <w:rFonts w:hint="eastAsia"/>
                <w:color w:val="000000"/>
                <w:highlight w:val="none"/>
              </w:rPr>
            </w:r>
            <w:r>
              <w:rPr>
                <w:highlight w:val="none"/>
              </w:rPr>
            </w:r>
          </w:p>
        </w:tc>
      </w:tr>
      <w:tr>
        <w:trPr>
          <w:trHeight w:val="567"/>
        </w:trPr>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100-500</w:t>
            </w:r>
            <w:r>
              <w:rPr>
                <w:rFonts w:hint="eastAsia"/>
                <w:color w:val="000000"/>
                <w:highlight w:val="none"/>
              </w:rPr>
            </w:r>
            <w:r>
              <w:rPr>
                <w:highlight w:val="none"/>
              </w:rPr>
            </w:r>
          </w:p>
        </w:tc>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1.1%</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0.8%</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0.7%</w:t>
            </w:r>
            <w:r>
              <w:rPr>
                <w:rFonts w:hint="eastAsia"/>
                <w:color w:val="000000"/>
                <w:highlight w:val="none"/>
              </w:rPr>
            </w:r>
            <w:r>
              <w:rPr>
                <w:highlight w:val="none"/>
              </w:rPr>
            </w:r>
          </w:p>
        </w:tc>
      </w:tr>
      <w:tr>
        <w:trPr>
          <w:trHeight w:val="567"/>
        </w:trPr>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500-1000</w:t>
            </w:r>
            <w:r>
              <w:rPr>
                <w:rFonts w:hint="eastAsia"/>
                <w:color w:val="000000"/>
                <w:highlight w:val="none"/>
              </w:rPr>
            </w:r>
            <w:r>
              <w:rPr>
                <w:highlight w:val="none"/>
              </w:rPr>
            </w:r>
          </w:p>
        </w:tc>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0.8%</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0.45%</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0.55%</w:t>
            </w:r>
            <w:r>
              <w:rPr>
                <w:rFonts w:hint="eastAsia"/>
                <w:color w:val="000000"/>
                <w:highlight w:val="none"/>
              </w:rPr>
            </w:r>
            <w:r>
              <w:rPr>
                <w:highlight w:val="none"/>
              </w:rPr>
            </w:r>
          </w:p>
        </w:tc>
      </w:tr>
      <w:tr>
        <w:trPr>
          <w:trHeight w:val="567"/>
        </w:trPr>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1000-5000</w:t>
            </w:r>
            <w:r>
              <w:rPr>
                <w:rFonts w:hint="eastAsia"/>
                <w:color w:val="000000"/>
                <w:highlight w:val="none"/>
              </w:rPr>
            </w:r>
            <w:r>
              <w:rPr>
                <w:highlight w:val="none"/>
              </w:rPr>
            </w:r>
          </w:p>
        </w:tc>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0.5%</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0.25%</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0.35%</w:t>
            </w:r>
            <w:r>
              <w:rPr>
                <w:rFonts w:hint="eastAsia"/>
                <w:color w:val="000000"/>
                <w:highlight w:val="none"/>
              </w:rPr>
            </w:r>
            <w:r>
              <w:rPr>
                <w:highlight w:val="none"/>
              </w:rPr>
            </w:r>
          </w:p>
        </w:tc>
      </w:tr>
      <w:tr>
        <w:trPr>
          <w:trHeight w:val="567"/>
        </w:trPr>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5000-10000</w:t>
            </w:r>
            <w:r>
              <w:rPr>
                <w:rFonts w:hint="eastAsia"/>
                <w:color w:val="000000"/>
                <w:highlight w:val="none"/>
              </w:rPr>
            </w:r>
            <w:r>
              <w:rPr>
                <w:highlight w:val="none"/>
              </w:rPr>
            </w:r>
          </w:p>
        </w:tc>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0.25%</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0.1%</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0.2%</w:t>
            </w:r>
            <w:r>
              <w:rPr>
                <w:rFonts w:hint="eastAsia"/>
                <w:color w:val="000000"/>
                <w:highlight w:val="none"/>
              </w:rPr>
            </w:r>
            <w:r>
              <w:rPr>
                <w:highlight w:val="none"/>
              </w:rPr>
            </w:r>
          </w:p>
        </w:tc>
      </w:tr>
      <w:tr>
        <w:trPr>
          <w:trHeight w:val="567"/>
        </w:trPr>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1亿~5亿</w:t>
            </w:r>
            <w:r>
              <w:rPr>
                <w:rFonts w:hint="eastAsia"/>
                <w:color w:val="000000"/>
                <w:highlight w:val="none"/>
              </w:rPr>
            </w:r>
            <w:r>
              <w:rPr>
                <w:highlight w:val="none"/>
              </w:rPr>
            </w:r>
          </w:p>
        </w:tc>
        <w:tc>
          <w:tcPr>
            <w:tcW w:w="2463"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0.05%</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0.05%</w:t>
            </w:r>
            <w:r>
              <w:rPr>
                <w:rFonts w:hint="eastAsia"/>
                <w:color w:val="000000"/>
                <w:highlight w:val="none"/>
              </w:rPr>
            </w:r>
            <w:r>
              <w:rPr>
                <w:highlight w:val="none"/>
              </w:rPr>
            </w:r>
          </w:p>
        </w:tc>
        <w:tc>
          <w:tcPr>
            <w:tcW w:w="2464" w:type="dxa"/>
            <w:vAlign w:val="center"/>
            <w:textDirection w:val="lrTb"/>
            <w:noWrap w:val="false"/>
          </w:tcPr>
          <w:p>
            <w:pPr>
              <w:pStyle w:val="760"/>
              <w:jc w:val="center"/>
              <w:spacing w:after="0" w:line="240" w:lineRule="auto"/>
              <w:rPr>
                <w:rFonts w:hint="eastAsia"/>
                <w:color w:val="000000"/>
                <w:highlight w:val="none"/>
              </w:rPr>
            </w:pPr>
            <w:r>
              <w:rPr>
                <w:rFonts w:hint="eastAsia"/>
                <w:color w:val="000000"/>
                <w:highlight w:val="none"/>
              </w:rPr>
              <w:t xml:space="preserve">0.05%</w:t>
            </w:r>
            <w:r>
              <w:rPr>
                <w:rFonts w:hint="eastAsia"/>
                <w:color w:val="000000"/>
                <w:highlight w:val="none"/>
              </w:rPr>
            </w:r>
            <w:r>
              <w:rPr>
                <w:highlight w:val="none"/>
              </w:rPr>
            </w:r>
          </w:p>
        </w:tc>
      </w:tr>
    </w:tbl>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5、保密要求</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5.1 采购各方当事人，对采购活动过程中获悉的国家秘密、商业秘密，应当依法予以保密。</w:t>
      </w:r>
      <w:r>
        <w:rPr>
          <w:rFonts w:hint="eastAsia" w:ascii="宋体" w:hAnsi="宋体"/>
          <w:bCs/>
          <w:color w:val="000000"/>
          <w:sz w:val="24"/>
          <w:szCs w:val="24"/>
          <w:highlight w:val="none"/>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二、招标文件</w:t>
      </w:r>
      <w:r>
        <w:rPr>
          <w:rFonts w:hint="eastAsia" w:ascii="宋体" w:hAnsi="宋体"/>
          <w:b/>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w:t>
      </w:r>
      <w:r>
        <w:rPr>
          <w:rFonts w:hint="eastAsia" w:ascii="宋体" w:hAnsi="宋体"/>
          <w:b/>
          <w:color w:val="000000"/>
          <w:sz w:val="24"/>
          <w:szCs w:val="24"/>
          <w:highlight w:val="none"/>
          <w:lang w:val="zh-CN"/>
        </w:rPr>
        <w:t xml:space="preserve">招标文件的组成</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6.1 供应商应登录“苏采云” 系统下载</w:t>
      </w:r>
      <w:r>
        <w:rPr>
          <w:rFonts w:hint="eastAsia" w:ascii="宋体" w:hAnsi="宋体"/>
          <w:bCs/>
          <w:color w:val="000000"/>
          <w:sz w:val="24"/>
          <w:szCs w:val="24"/>
          <w:highlight w:val="none"/>
          <w:lang w:eastAsia="zh-CN"/>
        </w:rPr>
        <w:t xml:space="preserve">采购文件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。供应商须按</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要求提交资料并对</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相关内容作出实质性响应，否则报价无效。</w:t>
      </w:r>
      <w:r>
        <w:rPr>
          <w:rFonts w:hint="eastAsia" w:ascii="宋体" w:hAnsi="宋体"/>
          <w:bCs/>
          <w:color w:val="000000"/>
          <w:sz w:val="24"/>
          <w:szCs w:val="24"/>
          <w:highlight w:val="none"/>
        </w:rPr>
      </w:r>
      <w:r>
        <w:rPr>
          <w:highlight w:val="none"/>
        </w:rPr>
      </w:r>
    </w:p>
    <w:p>
      <w:pPr>
        <w:pStyle w:val="760"/>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电子投标文件格式、说明与投标文件格式、说明不一致的，以招标文件格式、说明为准。</w:t>
      </w:r>
      <w:r>
        <w:rPr>
          <w:rFonts w:ascii="宋体" w:hAnsi="宋体"/>
          <w:bCs/>
          <w:color w:val="000000"/>
          <w:sz w:val="24"/>
          <w:szCs w:val="24"/>
          <w:highlight w:val="none"/>
        </w:rPr>
      </w:r>
      <w:r>
        <w:rPr>
          <w:highlight w:val="none"/>
        </w:rPr>
      </w:r>
    </w:p>
    <w:p>
      <w:pPr>
        <w:pStyle w:val="760"/>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6.4相关网站公告、公示信息如有不一致的，以“江苏政府采购网”发布的信息为准。</w:t>
      </w:r>
      <w:r>
        <w:rPr>
          <w:rFonts w:hint="eastAsia" w:ascii="宋体" w:hAnsi="宋体"/>
          <w:bCs/>
          <w:color w:val="000000"/>
          <w:sz w:val="24"/>
          <w:szCs w:val="24"/>
          <w:highlight w:val="none"/>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7、</w:t>
      </w:r>
      <w:r>
        <w:rPr>
          <w:rFonts w:hint="eastAsia" w:ascii="宋体" w:hAnsi="宋体"/>
          <w:b/>
          <w:color w:val="000000"/>
          <w:sz w:val="24"/>
          <w:szCs w:val="24"/>
          <w:highlight w:val="none"/>
          <w:lang w:val="zh-CN"/>
        </w:rPr>
        <w:t xml:space="preserve">招标文件的解释</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7.1 </w:t>
      </w:r>
      <w:bookmarkStart w:id="11" w:name="OLE_LINK307"/>
      <w:r>
        <w:rPr>
          <w:highlight w:val="none"/>
        </w:rPr>
      </w:r>
      <w:bookmarkStart w:id="12" w:name="OLE_LINK109"/>
      <w:r>
        <w:rPr>
          <w:highlight w:val="none"/>
        </w:rPr>
      </w:r>
      <w:bookmarkStart w:id="13" w:name="OLE_LINK289"/>
      <w:r>
        <w:rPr>
          <w:rFonts w:hint="eastAsia" w:ascii="宋体" w:hAnsi="宋体"/>
          <w:bCs/>
          <w:color w:val="000000"/>
          <w:sz w:val="24"/>
          <w:szCs w:val="24"/>
          <w:highlight w:val="none"/>
        </w:rPr>
        <w:t xml:space="preserve">本文件“第三章 项目技术要求和有关说明”和“第四章 评标方法和标准”由</w:t>
      </w:r>
      <w:bookmarkStart w:id="14" w:name="OLE_LINK13"/>
      <w:r>
        <w:rPr>
          <w:rFonts w:hint="eastAsia" w:ascii="宋体" w:hAnsi="宋体"/>
          <w:bCs/>
          <w:color w:val="000000"/>
          <w:sz w:val="24"/>
          <w:szCs w:val="24"/>
          <w:highlight w:val="none"/>
        </w:rPr>
        <w:t xml:space="preserve">采购人负责解释</w:t>
      </w:r>
      <w:bookmarkEnd w:id="14"/>
      <w:r>
        <w:rPr>
          <w:rFonts w:hint="eastAsia" w:ascii="宋体" w:hAnsi="宋体"/>
          <w:bCs/>
          <w:color w:val="000000"/>
          <w:sz w:val="24"/>
          <w:szCs w:val="24"/>
          <w:highlight w:val="none"/>
        </w:rPr>
        <w:t xml:space="preserve">，其他部分由</w:t>
      </w:r>
      <w:bookmarkStart w:id="15" w:name="OLE_LINK270"/>
      <w:r>
        <w:rPr>
          <w:rFonts w:hint="eastAsia" w:ascii="宋体" w:hAnsi="宋体"/>
          <w:bCs/>
          <w:color w:val="000000"/>
          <w:sz w:val="24"/>
          <w:szCs w:val="24"/>
          <w:highlight w:val="none"/>
        </w:rPr>
        <w:t xml:space="preserve">采购人和</w:t>
      </w:r>
      <w:bookmarkEnd w:id="15"/>
      <w:r>
        <w:rPr>
          <w:rFonts w:hint="eastAsia" w:ascii="宋体" w:hAnsi="宋体"/>
          <w:bCs/>
          <w:color w:val="000000"/>
          <w:sz w:val="24"/>
          <w:szCs w:val="24"/>
          <w:highlight w:val="none"/>
        </w:rPr>
        <w:t xml:space="preserve">采购代理机构负责解释</w:t>
      </w:r>
      <w:bookmarkEnd w:id="11"/>
      <w:r>
        <w:rPr>
          <w:rFonts w:hint="eastAsia" w:ascii="宋体" w:hAnsi="宋体"/>
          <w:bCs/>
          <w:color w:val="000000"/>
          <w:sz w:val="24"/>
          <w:szCs w:val="24"/>
          <w:highlight w:val="none"/>
        </w:rPr>
        <w:t xml:space="preserve">。</w:t>
      </w:r>
      <w:bookmarkEnd w:id="12"/>
      <w:r>
        <w:rPr>
          <w:highlight w:val="none"/>
        </w:rPr>
      </w:r>
      <w:bookmarkEnd w:id="13"/>
      <w:r>
        <w:rPr>
          <w:rFonts w:hint="eastAsia" w:ascii="宋体" w:hAnsi="宋体"/>
          <w:bCs/>
          <w:color w:val="000000"/>
          <w:sz w:val="24"/>
          <w:szCs w:val="24"/>
          <w:highlight w:val="none"/>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8、</w:t>
      </w:r>
      <w:r>
        <w:rPr>
          <w:rFonts w:hint="eastAsia" w:ascii="宋体" w:hAnsi="宋体"/>
          <w:b/>
          <w:color w:val="000000"/>
          <w:sz w:val="24"/>
          <w:szCs w:val="24"/>
          <w:highlight w:val="none"/>
          <w:lang w:val="zh-CN"/>
        </w:rPr>
        <w:t xml:space="preserve">招标文件的澄清、修改</w:t>
      </w:r>
      <w:r>
        <w:rPr>
          <w:rFonts w:hint="eastAsia" w:ascii="宋体" w:hAnsi="宋体"/>
          <w:b/>
          <w:color w:val="000000"/>
          <w:sz w:val="24"/>
          <w:szCs w:val="24"/>
          <w:highlight w:val="none"/>
          <w:lang w:val="zh-CN"/>
        </w:rPr>
      </w:r>
      <w:r>
        <w:rPr>
          <w:highlight w:val="none"/>
        </w:rPr>
      </w:r>
    </w:p>
    <w:p>
      <w:pPr>
        <w:pStyle w:val="760"/>
        <w:ind w:firstLine="480"/>
        <w:spacing w:line="360" w:lineRule="auto"/>
        <w:rPr>
          <w:rFonts w:hint="eastAsia" w:ascii="宋体"/>
          <w:color w:val="000000"/>
          <w:sz w:val="24"/>
          <w:szCs w:val="21"/>
          <w:highlight w:val="none"/>
        </w:rPr>
      </w:pPr>
      <w:r>
        <w:rPr>
          <w:rFonts w:hint="eastAsia" w:ascii="宋体" w:hAnsi="宋体"/>
          <w:bCs/>
          <w:color w:val="000000"/>
          <w:sz w:val="24"/>
          <w:szCs w:val="24"/>
          <w:highlight w:val="none"/>
        </w:rPr>
        <w:t xml:space="preserve">8.1 </w:t>
      </w:r>
      <w:bookmarkStart w:id="16" w:name="OLE_LINK326"/>
      <w:r>
        <w:rPr>
          <w:rFonts w:hint="eastAsia" w:ascii="宋体" w:hAnsi="宋体" w:cs="宋体"/>
          <w:color w:val="000000"/>
          <w:sz w:val="24"/>
          <w:szCs w:val="24"/>
          <w:highlight w:val="none"/>
        </w:rPr>
        <w:t xml:space="preserve">采购人或者采购代理机构</w:t>
      </w:r>
      <w:r>
        <w:rPr>
          <w:rFonts w:hint="eastAsia" w:ascii="宋体"/>
          <w:color w:val="000000"/>
          <w:sz w:val="24"/>
          <w:szCs w:val="21"/>
          <w:highlight w:val="none"/>
          <w:lang w:val="zh-CN"/>
        </w:rPr>
        <w:t xml:space="preserve">对</w:t>
      </w:r>
      <w:r>
        <w:rPr>
          <w:rFonts w:hint="eastAsia" w:ascii="宋体" w:hAnsi="宋体"/>
          <w:bCs/>
          <w:color w:val="000000"/>
          <w:sz w:val="24"/>
          <w:szCs w:val="24"/>
          <w:highlight w:val="none"/>
          <w:lang w:val="zh-CN"/>
        </w:rPr>
        <w:t xml:space="preserve">已</w:t>
      </w:r>
      <w:r>
        <w:rPr>
          <w:rFonts w:hint="eastAsia" w:ascii="宋体"/>
          <w:color w:val="000000"/>
          <w:sz w:val="24"/>
          <w:szCs w:val="21"/>
          <w:highlight w:val="none"/>
          <w:lang w:val="zh-CN"/>
        </w:rPr>
        <w:t xml:space="preserve">发出的招标文件进行必要澄清或者修改的，将在投标截止时间</w:t>
      </w:r>
      <w:r>
        <w:rPr>
          <w:rFonts w:hint="eastAsia" w:ascii="宋体"/>
          <w:iCs/>
          <w:color w:val="000000"/>
          <w:sz w:val="24"/>
          <w:szCs w:val="21"/>
          <w:highlight w:val="none"/>
        </w:rPr>
        <w:t xml:space="preserve">15</w:t>
      </w:r>
      <w:r>
        <w:rPr>
          <w:rFonts w:hint="eastAsia" w:ascii="宋体"/>
          <w:iCs/>
          <w:color w:val="000000"/>
          <w:sz w:val="24"/>
          <w:szCs w:val="21"/>
          <w:highlight w:val="none"/>
          <w:lang w:val="zh-CN"/>
        </w:rPr>
        <w:t xml:space="preserve">日</w:t>
      </w:r>
      <w:r>
        <w:rPr>
          <w:rFonts w:hint="eastAsia" w:ascii="宋体"/>
          <w:color w:val="000000"/>
          <w:sz w:val="24"/>
          <w:szCs w:val="21"/>
          <w:highlight w:val="none"/>
          <w:lang w:val="zh-CN"/>
        </w:rPr>
        <w:t xml:space="preserve">前</w:t>
      </w:r>
      <w:r>
        <w:rPr>
          <w:rFonts w:hint="eastAsia" w:ascii="宋体"/>
          <w:color w:val="000000"/>
          <w:sz w:val="24"/>
          <w:szCs w:val="21"/>
          <w:highlight w:val="none"/>
        </w:rPr>
        <w:t xml:space="preserve">，</w:t>
      </w:r>
      <w:r>
        <w:rPr>
          <w:rFonts w:hint="eastAsia" w:ascii="宋体"/>
          <w:color w:val="000000"/>
          <w:sz w:val="24"/>
          <w:szCs w:val="21"/>
          <w:highlight w:val="none"/>
          <w:lang w:val="zh-CN"/>
        </w:rPr>
        <w:t xml:space="preserve">在原招标公告媒体发布更正公告。不足</w:t>
      </w:r>
      <w:r>
        <w:rPr>
          <w:rFonts w:hint="eastAsia" w:ascii="宋体"/>
          <w:color w:val="000000"/>
          <w:sz w:val="24"/>
          <w:szCs w:val="21"/>
          <w:highlight w:val="none"/>
        </w:rPr>
        <w:t xml:space="preserve">15日的，</w:t>
      </w:r>
      <w:r>
        <w:rPr>
          <w:rFonts w:hint="eastAsia" w:ascii="宋体" w:hAnsi="宋体" w:cs="宋体"/>
          <w:color w:val="000000"/>
          <w:sz w:val="24"/>
          <w:szCs w:val="24"/>
          <w:highlight w:val="none"/>
        </w:rPr>
        <w:t xml:space="preserve">采购人或者采购代理机构有权决定是否顺延投标截止时间和开标时间，</w:t>
      </w:r>
      <w:r>
        <w:rPr>
          <w:rFonts w:hint="eastAsia" w:ascii="宋体"/>
          <w:color w:val="000000"/>
          <w:sz w:val="24"/>
          <w:szCs w:val="21"/>
          <w:highlight w:val="none"/>
          <w:lang w:val="zh-CN"/>
        </w:rPr>
        <w:t xml:space="preserve">该澄清或者修改的内容为招标文件的组成部分。</w:t>
      </w:r>
      <w:bookmarkEnd w:id="16"/>
      <w:r>
        <w:rPr>
          <w:rFonts w:hint="eastAsia" w:ascii="宋体"/>
          <w:color w:val="000000"/>
          <w:sz w:val="24"/>
          <w:szCs w:val="21"/>
          <w:highlight w:val="none"/>
          <w:lang w:val="zh-CN"/>
        </w:rPr>
      </w:r>
      <w:r>
        <w:rPr>
          <w:highlight w:val="none"/>
        </w:rPr>
      </w:r>
    </w:p>
    <w:p>
      <w:pPr>
        <w:pStyle w:val="760"/>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 </w:t>
      </w:r>
      <w:r>
        <w:rPr>
          <w:rFonts w:hint="eastAsia" w:ascii="宋体" w:hAnsi="宋体"/>
          <w:color w:val="000000"/>
          <w:sz w:val="24"/>
          <w:szCs w:val="21"/>
          <w:highlight w:val="none"/>
          <w:lang w:val="zh-CN"/>
        </w:rPr>
        <w:t xml:space="preserve">投标人应在投标截止时间前关注原采购信息发布媒体上有关本招标项目有无变更公告。如投标人未及时关注，由此造成的一切损失由投标人自行承担。</w:t>
      </w:r>
      <w:r>
        <w:rPr>
          <w:rFonts w:hint="eastAsia" w:ascii="宋体" w:hAnsi="宋体"/>
          <w:color w:val="000000"/>
          <w:sz w:val="24"/>
          <w:szCs w:val="21"/>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三、投标文件</w:t>
      </w:r>
      <w:r>
        <w:rPr>
          <w:rFonts w:hint="eastAsia" w:ascii="宋体" w:hAnsi="宋体"/>
          <w:b/>
          <w:color w:val="000000"/>
          <w:sz w:val="24"/>
          <w:szCs w:val="24"/>
          <w:highlight w:val="none"/>
        </w:rPr>
      </w:r>
      <w:r>
        <w:rPr>
          <w:highlight w:val="none"/>
        </w:rPr>
      </w:r>
    </w:p>
    <w:p>
      <w:pPr>
        <w:pStyle w:val="760"/>
        <w:ind w:firstLine="482"/>
        <w:spacing w:line="360" w:lineRule="auto"/>
        <w:rPr>
          <w:rFonts w:hint="eastAsia" w:ascii="宋体" w:hAnsi="宋体"/>
          <w:b/>
          <w:color w:val="000000"/>
          <w:sz w:val="24"/>
          <w:szCs w:val="24"/>
          <w:highlight w:val="none"/>
        </w:rPr>
      </w:pPr>
      <w:r>
        <w:rPr>
          <w:highlight w:val="none"/>
        </w:rPr>
      </w:r>
      <w:bookmarkStart w:id="17" w:name="OLE_LINK16"/>
      <w:r>
        <w:rPr>
          <w:highlight w:val="none"/>
        </w:rPr>
      </w:r>
      <w:bookmarkStart w:id="18" w:name="OLE_LINK21"/>
      <w:r>
        <w:rPr>
          <w:rFonts w:hint="eastAsia" w:ascii="宋体" w:hAnsi="宋体"/>
          <w:b/>
          <w:color w:val="000000"/>
          <w:sz w:val="24"/>
          <w:szCs w:val="24"/>
          <w:highlight w:val="none"/>
        </w:rPr>
        <w:t xml:space="preserve">9、</w:t>
      </w:r>
      <w:bookmarkStart w:id="19" w:name="OLE_LINK62"/>
      <w:r>
        <w:rPr>
          <w:rFonts w:hint="eastAsia" w:ascii="宋体" w:hAnsi="宋体"/>
          <w:b/>
          <w:color w:val="000000"/>
          <w:sz w:val="24"/>
          <w:szCs w:val="24"/>
          <w:highlight w:val="none"/>
        </w:rPr>
        <w:t xml:space="preserve">投标文件的组成</w:t>
      </w:r>
      <w:bookmarkEnd w:id="17"/>
      <w:r>
        <w:rPr>
          <w:rFonts w:hint="eastAsia" w:ascii="宋体" w:hAnsi="宋体"/>
          <w:b/>
          <w:color w:val="000000"/>
          <w:sz w:val="24"/>
          <w:szCs w:val="24"/>
          <w:highlight w:val="none"/>
        </w:rPr>
        <w:t xml:space="preserve">：</w:t>
      </w:r>
      <w:bookmarkStart w:id="20" w:name="OLE_LINK215"/>
      <w:r>
        <w:rPr>
          <w:rFonts w:hint="eastAsia" w:ascii="宋体" w:hAnsi="宋体"/>
          <w:b/>
          <w:color w:val="000000"/>
          <w:sz w:val="24"/>
          <w:szCs w:val="24"/>
          <w:highlight w:val="none"/>
        </w:rPr>
        <w:t xml:space="preserve">对应第六章投标文件（格式）</w:t>
      </w:r>
      <w:bookmarkEnd w:id="20"/>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rPr>
          <w:highlight w:val="none"/>
        </w:rPr>
      </w:r>
    </w:p>
    <w:p>
      <w:pPr>
        <w:pStyle w:val="760"/>
        <w:numPr>
          <w:ilvl w:val="0"/>
          <w:numId w:val="3"/>
        </w:numPr>
        <w:spacing w:line="360" w:lineRule="auto"/>
        <w:tabs>
          <w:tab w:val="left" w:pos="0" w:leader="none"/>
          <w:tab w:val="left" w:pos="255" w:leader="none"/>
        </w:tabs>
        <w:rPr>
          <w:rFonts w:hint="eastAsia" w:ascii="宋体" w:hAnsi="宋体"/>
          <w:b/>
          <w:bCs/>
          <w:color w:val="000000"/>
          <w:sz w:val="24"/>
          <w:szCs w:val="24"/>
          <w:highlight w:val="none"/>
        </w:rPr>
      </w:pPr>
      <w:r>
        <w:rPr>
          <w:highlight w:val="none"/>
        </w:rPr>
      </w:r>
      <w:bookmarkStart w:id="21" w:name="OLE_LINK51"/>
      <w:r>
        <w:rPr>
          <w:highlight w:val="none"/>
        </w:rPr>
      </w:r>
      <w:bookmarkStart w:id="22" w:name="OLE_LINK114"/>
      <w:r>
        <w:rPr>
          <w:highlight w:val="none"/>
        </w:rPr>
      </w:r>
      <w:bookmarkStart w:id="23" w:name="OLE_LINK92"/>
      <w:r>
        <w:rPr>
          <w:rFonts w:hint="eastAsia" w:ascii="宋体" w:hAnsi="宋体"/>
          <w:b/>
          <w:bCs/>
          <w:color w:val="000000"/>
          <w:sz w:val="24"/>
          <w:szCs w:val="24"/>
          <w:highlight w:val="none"/>
          <w:lang w:val="zh-CN"/>
        </w:rPr>
        <w:t xml:space="preserve">开标一览表</w:t>
      </w:r>
      <w:r>
        <w:rPr>
          <w:rFonts w:hint="eastAsia" w:ascii="宋体" w:hAnsi="宋体"/>
          <w:b/>
          <w:bCs/>
          <w:color w:val="000000"/>
          <w:sz w:val="24"/>
          <w:szCs w:val="24"/>
          <w:highlight w:val="none"/>
        </w:rPr>
      </w:r>
      <w:r>
        <w:rPr>
          <w:highlight w:val="none"/>
        </w:rPr>
      </w:r>
    </w:p>
    <w:p>
      <w:pPr>
        <w:pStyle w:val="760"/>
        <w:numPr>
          <w:ilvl w:val="0"/>
          <w:numId w:val="3"/>
        </w:numPr>
        <w:spacing w:line="360" w:lineRule="auto"/>
        <w:tabs>
          <w:tab w:val="left" w:pos="0" w:leader="none"/>
          <w:tab w:val="left" w:pos="255"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zh-CN"/>
        </w:rPr>
        <w:t xml:space="preserve">资格条件</w:t>
      </w:r>
      <w:r>
        <w:rPr>
          <w:rFonts w:hint="eastAsia" w:ascii="宋体" w:hAnsi="宋体" w:eastAsia="宋体" w:cs="Times New Roman"/>
          <w:b/>
          <w:bCs/>
          <w:color w:val="000000"/>
          <w:sz w:val="24"/>
          <w:szCs w:val="24"/>
          <w:highlight w:val="none"/>
          <w:lang w:val="zh-CN"/>
        </w:rPr>
      </w:r>
      <w:r>
        <w:rPr>
          <w:highlight w:val="none"/>
        </w:rPr>
      </w:r>
    </w:p>
    <w:p>
      <w:pPr>
        <w:pStyle w:val="760"/>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关于资格的声明函；</w:t>
      </w:r>
      <w:r>
        <w:rPr>
          <w:rFonts w:hint="eastAsia" w:ascii="宋体" w:hAnsi="宋体"/>
          <w:bCs/>
          <w:color w:val="000000"/>
          <w:sz w:val="24"/>
          <w:szCs w:val="24"/>
          <w:highlight w:val="none"/>
          <w:lang w:val="zh-CN"/>
        </w:rPr>
      </w:r>
      <w:r>
        <w:rPr>
          <w:highlight w:val="none"/>
        </w:rPr>
      </w:r>
    </w:p>
    <w:p>
      <w:pPr>
        <w:pStyle w:val="760"/>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被授权代表身份证明</w:t>
      </w:r>
      <w:r>
        <w:rPr>
          <w:rFonts w:hint="eastAsia" w:ascii="宋体" w:hAnsi="宋体"/>
          <w:b/>
          <w:color w:val="000000"/>
          <w:sz w:val="24"/>
          <w:szCs w:val="24"/>
          <w:highlight w:val="none"/>
        </w:rPr>
        <w:t xml:space="preserve">1：</w:t>
      </w:r>
      <w:r>
        <w:rPr>
          <w:rFonts w:hint="eastAsia" w:ascii="宋体" w:hAnsi="宋体"/>
          <w:bCs/>
          <w:color w:val="000000"/>
          <w:sz w:val="24"/>
          <w:szCs w:val="24"/>
          <w:highlight w:val="none"/>
          <w:lang w:val="zh-CN"/>
        </w:rPr>
        <w:t xml:space="preserve">投标人法定代表人授权委托书（法定代表人亲自参加的除外）；</w:t>
      </w:r>
      <w:r>
        <w:rPr>
          <w:rFonts w:hint="eastAsia" w:ascii="宋体" w:hAnsi="宋体"/>
          <w:bCs/>
          <w:color w:val="000000"/>
          <w:sz w:val="24"/>
          <w:szCs w:val="24"/>
          <w:highlight w:val="none"/>
          <w:lang w:val="zh-CN"/>
        </w:rPr>
      </w:r>
      <w:r>
        <w:rPr>
          <w:highlight w:val="none"/>
        </w:rPr>
      </w:r>
    </w:p>
    <w:p>
      <w:pPr>
        <w:pStyle w:val="760"/>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被授权代表身份证明</w:t>
      </w:r>
      <w:r>
        <w:rPr>
          <w:rFonts w:hint="eastAsia" w:ascii="宋体" w:hAnsi="宋体"/>
          <w:b/>
          <w:color w:val="000000"/>
          <w:sz w:val="24"/>
          <w:szCs w:val="24"/>
          <w:highlight w:val="none"/>
        </w:rPr>
        <w:t xml:space="preserve">2：</w:t>
      </w:r>
      <w:r>
        <w:rPr>
          <w:rFonts w:hint="eastAsia" w:ascii="宋体" w:hAnsi="宋体"/>
          <w:bCs/>
          <w:color w:val="000000"/>
          <w:sz w:val="24"/>
          <w:szCs w:val="24"/>
          <w:highlight w:val="none"/>
          <w:lang w:val="zh-CN"/>
        </w:rPr>
        <w:t xml:space="preserve">投标人为本项目被授权代表在近十二个月内连续六个月缴纳的社保证明复印件（提供相关主管部门证明或银行代扣证明，法定代表人亲自参加的除外）；</w:t>
      </w:r>
      <w:r>
        <w:rPr>
          <w:rFonts w:hint="eastAsia" w:ascii="宋体" w:hAnsi="宋体"/>
          <w:bCs/>
          <w:color w:val="000000"/>
          <w:sz w:val="24"/>
          <w:szCs w:val="24"/>
          <w:highlight w:val="none"/>
          <w:lang w:val="zh-CN"/>
        </w:rPr>
      </w:r>
      <w:r>
        <w:rPr>
          <w:highlight w:val="none"/>
        </w:rPr>
      </w:r>
    </w:p>
    <w:p>
      <w:pPr>
        <w:pStyle w:val="760"/>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投标人为法人或其他组织的提供营业执照或法人（登记）证书复印件，投标人为自然人的提供自然人身份证复印件；</w:t>
      </w:r>
      <w:r>
        <w:rPr>
          <w:rFonts w:hint="eastAsia" w:ascii="宋体" w:hAnsi="宋体"/>
          <w:bCs/>
          <w:color w:val="000000"/>
          <w:sz w:val="24"/>
          <w:szCs w:val="24"/>
          <w:highlight w:val="none"/>
          <w:lang w:val="zh-CN"/>
        </w:rPr>
      </w:r>
      <w:r>
        <w:rPr>
          <w:highlight w:val="none"/>
        </w:rPr>
      </w:r>
    </w:p>
    <w:p>
      <w:pPr>
        <w:pStyle w:val="760"/>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银行出具的资信证明（若投标人为法人的须提供其基本开户银行出具的资信证明）或投标人近十二个月中任意一个月份的财务状况报告（资产负债表和利润表）或由会计师事务所出具的近两年中任意一个年度的审计报告和所附已审财务报告复印件；</w:t>
      </w:r>
      <w:r>
        <w:rPr>
          <w:rFonts w:hint="eastAsia" w:ascii="宋体" w:hAnsi="宋体"/>
          <w:bCs/>
          <w:color w:val="000000"/>
          <w:sz w:val="24"/>
          <w:szCs w:val="24"/>
          <w:highlight w:val="none"/>
          <w:lang w:val="zh-CN"/>
        </w:rPr>
      </w:r>
      <w:r>
        <w:rPr>
          <w:highlight w:val="none"/>
        </w:rPr>
      </w:r>
    </w:p>
    <w:p>
      <w:pPr>
        <w:pStyle w:val="760"/>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投标人依法缴纳近十二个月中任意一个月份税收的相关材料（提供相关主管部门证明或银行代扣证明）复印件；</w:t>
      </w:r>
      <w:r>
        <w:rPr>
          <w:rFonts w:hint="eastAsia" w:ascii="宋体" w:hAnsi="宋体"/>
          <w:bCs/>
          <w:color w:val="000000"/>
          <w:sz w:val="24"/>
          <w:szCs w:val="24"/>
          <w:highlight w:val="none"/>
          <w:lang w:val="zh-CN"/>
        </w:rPr>
      </w:r>
      <w:r>
        <w:rPr>
          <w:highlight w:val="none"/>
        </w:rPr>
      </w:r>
    </w:p>
    <w:p>
      <w:pPr>
        <w:pStyle w:val="760"/>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投标人依法缴纳近十二个月中任意一个月份社会保障资金的相关材料（提供相关主管部门证明或银行代扣证明）复印件；</w:t>
      </w:r>
      <w:r>
        <w:rPr>
          <w:rFonts w:hint="eastAsia" w:ascii="宋体" w:hAnsi="宋体"/>
          <w:bCs/>
          <w:color w:val="000000"/>
          <w:sz w:val="24"/>
          <w:szCs w:val="24"/>
          <w:highlight w:val="none"/>
          <w:lang w:val="zh-CN"/>
        </w:rPr>
      </w:r>
      <w:r>
        <w:rPr>
          <w:highlight w:val="none"/>
        </w:rPr>
      </w:r>
    </w:p>
    <w:p>
      <w:pPr>
        <w:pStyle w:val="760"/>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rPr>
        <w:t xml:space="preserve">无不良信用记录：</w:t>
      </w:r>
      <w:r>
        <w:rPr>
          <w:rFonts w:hint="eastAsia" w:ascii="宋体" w:hAnsi="宋体"/>
          <w:bCs/>
          <w:color w:val="000000"/>
          <w:sz w:val="24"/>
          <w:szCs w:val="24"/>
          <w:highlight w:val="none"/>
        </w:rPr>
        <w:t xml:space="preserve">未被“</w:t>
      </w:r>
      <w:r>
        <w:rPr>
          <w:rFonts w:hint="eastAsia" w:ascii="宋体" w:hAnsi="宋体"/>
          <w:bCs/>
          <w:color w:val="000000"/>
          <w:sz w:val="24"/>
          <w:szCs w:val="24"/>
          <w:highlight w:val="none"/>
          <w:lang w:val="zh-CN"/>
        </w:rPr>
        <w:t xml:space="preserve">信用中国</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（www.creditchina.gov.cn）</w:t>
      </w:r>
      <w:r>
        <w:rPr>
          <w:rFonts w:hint="eastAsia" w:ascii="宋体" w:hAnsi="宋体"/>
          <w:bCs/>
          <w:color w:val="000000"/>
          <w:sz w:val="24"/>
          <w:szCs w:val="24"/>
          <w:highlight w:val="none"/>
          <w:lang w:val="zh-CN"/>
        </w:rPr>
        <w:t xml:space="preserve">列入失信执行人、重大税收违法案件当事人名单、政府采购严重违法失信名单</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或未在</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中国政府采购网</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网站</w:t>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lang w:val="zh-CN"/>
        </w:rPr>
        <w:t xml:space="preserve">被列入政府采购严重违法失信行为记录名单；</w:t>
      </w:r>
      <w:r>
        <w:rPr>
          <w:rFonts w:hint="eastAsia" w:ascii="宋体" w:hAnsi="宋体"/>
          <w:b/>
          <w:color w:val="000000"/>
          <w:sz w:val="24"/>
          <w:szCs w:val="24"/>
          <w:highlight w:val="none"/>
          <w:lang w:val="zh-CN"/>
        </w:rPr>
        <w:t xml:space="preserve">（</w:t>
      </w:r>
      <w:r>
        <w:rPr>
          <w:rFonts w:ascii="宋体" w:hAnsi="宋体"/>
          <w:b/>
          <w:color w:val="000000"/>
          <w:sz w:val="24"/>
          <w:szCs w:val="24"/>
          <w:highlight w:val="none"/>
        </w:rPr>
        <w:t xml:space="preserve">若投标人企业信息已录入以上网站的，</w:t>
      </w:r>
      <w:r>
        <w:rPr>
          <w:rFonts w:hint="eastAsia" w:ascii="宋体" w:hAnsi="宋体"/>
          <w:b/>
          <w:color w:val="000000"/>
          <w:sz w:val="24"/>
          <w:szCs w:val="24"/>
          <w:highlight w:val="none"/>
          <w:lang w:val="zh-CN"/>
        </w:rPr>
        <w:t xml:space="preserve">无需提供相关证明材料</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若投标人企业信息</w:t>
      </w:r>
      <w:r>
        <w:rPr>
          <w:rFonts w:ascii="宋体" w:hAnsi="宋体"/>
          <w:b/>
          <w:color w:val="000000"/>
          <w:sz w:val="24"/>
          <w:szCs w:val="24"/>
          <w:highlight w:val="none"/>
        </w:rPr>
        <w:t xml:space="preserve">未</w:t>
      </w:r>
      <w:r>
        <w:rPr>
          <w:rFonts w:hint="eastAsia" w:ascii="宋体" w:hAnsi="宋体"/>
          <w:b/>
          <w:color w:val="000000"/>
          <w:sz w:val="24"/>
          <w:szCs w:val="24"/>
          <w:highlight w:val="none"/>
        </w:rPr>
        <w:t xml:space="preserve">录入以上网站的，须在投标文件中提供</w:t>
      </w:r>
      <w:r>
        <w:rPr>
          <w:rFonts w:ascii="宋体" w:hAnsi="宋体"/>
          <w:b/>
          <w:color w:val="000000"/>
          <w:sz w:val="24"/>
          <w:szCs w:val="24"/>
          <w:highlight w:val="none"/>
        </w:rPr>
        <w:t xml:space="preserve">无不良信用记录</w:t>
      </w:r>
      <w:r>
        <w:rPr>
          <w:rFonts w:hint="eastAsia" w:ascii="宋体" w:hAnsi="宋体"/>
          <w:b/>
          <w:color w:val="000000"/>
          <w:sz w:val="24"/>
          <w:szCs w:val="24"/>
          <w:highlight w:val="none"/>
        </w:rPr>
        <w:t xml:space="preserve">承诺</w:t>
      </w:r>
      <w:r>
        <w:rPr>
          <w:rFonts w:ascii="宋体" w:hAnsi="宋体"/>
          <w:b/>
          <w:color w:val="000000"/>
          <w:sz w:val="24"/>
          <w:szCs w:val="24"/>
          <w:highlight w:val="none"/>
        </w:rPr>
        <w:t xml:space="preserve">书</w:t>
      </w:r>
      <w:r>
        <w:rPr>
          <w:rFonts w:hint="eastAsia" w:ascii="宋体" w:hAnsi="宋体"/>
          <w:b/>
          <w:color w:val="000000"/>
          <w:sz w:val="24"/>
          <w:szCs w:val="24"/>
          <w:highlight w:val="none"/>
          <w:lang w:val="zh-CN"/>
        </w:rPr>
        <w:t xml:space="preserve">）</w:t>
      </w:r>
      <w:r>
        <w:rPr>
          <w:rFonts w:hint="eastAsia" w:ascii="宋体" w:hAnsi="宋体"/>
          <w:bCs/>
          <w:color w:val="000000"/>
          <w:sz w:val="24"/>
          <w:szCs w:val="24"/>
          <w:highlight w:val="none"/>
          <w:lang w:val="zh-CN"/>
        </w:rPr>
      </w:r>
      <w:r>
        <w:rPr>
          <w:highlight w:val="none"/>
        </w:rPr>
      </w:r>
    </w:p>
    <w:p>
      <w:pPr>
        <w:pStyle w:val="760"/>
        <w:numPr>
          <w:ilvl w:val="0"/>
          <w:numId w:val="4"/>
        </w:numPr>
        <w:ind w:firstLine="482"/>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中小企业声明</w:t>
      </w:r>
      <w:r>
        <w:rPr>
          <w:rFonts w:hint="eastAsia" w:ascii="宋体" w:hAnsi="宋体"/>
          <w:bCs/>
          <w:color w:val="000000"/>
          <w:sz w:val="24"/>
          <w:szCs w:val="24"/>
          <w:highlight w:val="none"/>
          <w:lang w:val="zh-CN"/>
        </w:rPr>
        <w:t xml:space="preserve">：如专门面向中小企业采购的，供应商应提供有效的《中小企业声明函》或《残疾人福利性单位声明函》或监狱企业的证明文件，否则此处无需提供；</w:t>
      </w:r>
      <w:r>
        <w:rPr>
          <w:rFonts w:hint="eastAsia" w:ascii="宋体" w:hAnsi="宋体"/>
          <w:bCs/>
          <w:color w:val="000000"/>
          <w:sz w:val="24"/>
          <w:szCs w:val="24"/>
          <w:highlight w:val="none"/>
          <w:lang w:val="zh-CN"/>
        </w:rPr>
      </w:r>
      <w:r>
        <w:rPr>
          <w:highlight w:val="none"/>
        </w:rPr>
      </w:r>
    </w:p>
    <w:p>
      <w:pPr>
        <w:pStyle w:val="760"/>
        <w:numPr>
          <w:ilvl w:val="0"/>
          <w:numId w:val="4"/>
        </w:numPr>
        <w:ind w:firstLine="482"/>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b/>
          <w:color w:val="000000"/>
          <w:sz w:val="24"/>
          <w:szCs w:val="24"/>
          <w:highlight w:val="none"/>
          <w:lang w:val="zh-CN"/>
        </w:rPr>
        <w:t xml:space="preserve">本项目的特定资格要求：</w:t>
      </w:r>
      <w:r>
        <w:rPr>
          <w:rFonts w:hint="eastAsia" w:ascii="宋体" w:hAnsi="宋体"/>
          <w:b/>
          <w:color w:val="000000"/>
          <w:sz w:val="24"/>
          <w:szCs w:val="24"/>
          <w:highlight w:val="none"/>
          <w:lang w:val="en-US" w:eastAsia="zh-CN"/>
        </w:rPr>
        <w:t xml:space="preserve">无。</w:t>
      </w:r>
      <w:r>
        <w:rPr>
          <w:rFonts w:hint="eastAsia" w:ascii="宋体" w:hAnsi="宋体"/>
          <w:color w:val="000000"/>
          <w:sz w:val="24"/>
          <w:szCs w:val="24"/>
          <w:highlight w:val="none"/>
        </w:rPr>
      </w:r>
      <w:r>
        <w:rPr>
          <w:highlight w:val="none"/>
        </w:rPr>
      </w:r>
    </w:p>
    <w:p>
      <w:pPr>
        <w:pStyle w:val="760"/>
        <w:ind w:firstLine="480"/>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注：以上近六个月、近十二个月是从提交投标文件截止日向前推算（不含投标文件提交截止当月）；</w:t>
      </w:r>
      <w:bookmarkStart w:id="24"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24"/>
      <w:r>
        <w:rPr>
          <w:rFonts w:hint="eastAsia" w:ascii="宋体" w:hAnsi="宋体"/>
          <w:bCs/>
          <w:color w:val="000000"/>
          <w:sz w:val="24"/>
          <w:szCs w:val="24"/>
          <w:highlight w:val="none"/>
        </w:rPr>
        <w:t xml:space="preserve">前三年是从提交投标文件截止日（含）向前推算，一年按365天计</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rPr>
          <w:highlight w:val="none"/>
        </w:rPr>
      </w:r>
    </w:p>
    <w:p>
      <w:pPr>
        <w:pStyle w:val="760"/>
        <w:ind w:firstLine="480"/>
        <w:spacing w:line="360" w:lineRule="auto"/>
        <w:tabs>
          <w:tab w:val="left" w:pos="0" w:leader="none"/>
          <w:tab w:val="left" w:pos="255"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（3）符合条件</w:t>
      </w:r>
      <w:r>
        <w:rPr>
          <w:rFonts w:hint="eastAsia" w:ascii="宋体" w:hAnsi="宋体"/>
          <w:color w:val="000000"/>
          <w:sz w:val="24"/>
          <w:szCs w:val="24"/>
          <w:highlight w:val="none"/>
        </w:rPr>
      </w:r>
      <w:r>
        <w:rPr>
          <w:highlight w:val="none"/>
        </w:rPr>
      </w:r>
    </w:p>
    <w:p>
      <w:pPr>
        <w:pStyle w:val="760"/>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zh-CN"/>
        </w:rPr>
        <w:t xml:space="preserve">①投标函</w:t>
      </w:r>
      <w:r>
        <w:rPr>
          <w:rFonts w:hint="eastAsia" w:ascii="宋体" w:hAnsi="宋体"/>
          <w:color w:val="000000"/>
          <w:sz w:val="24"/>
          <w:szCs w:val="21"/>
          <w:highlight w:val="none"/>
          <w:lang w:val="zh-CN"/>
        </w:rPr>
      </w:r>
      <w:r>
        <w:rPr>
          <w:highlight w:val="none"/>
        </w:rPr>
      </w:r>
    </w:p>
    <w:p>
      <w:pPr>
        <w:pStyle w:val="760"/>
        <w:ind w:firstLine="480"/>
        <w:jc w:val="left"/>
        <w:spacing w:line="360" w:lineRule="auto"/>
        <w:tabs>
          <w:tab w:val="left" w:pos="0" w:leader="none"/>
          <w:tab w:val="left" w:pos="255" w:leader="none"/>
        </w:tabs>
        <w:rPr>
          <w:color w:val="000000"/>
          <w:highlight w:val="none"/>
        </w:rPr>
      </w:pPr>
      <w:r>
        <w:rPr>
          <w:rFonts w:hint="eastAsia" w:ascii="宋体" w:hAnsi="宋体"/>
          <w:bCs/>
          <w:color w:val="000000"/>
          <w:sz w:val="24"/>
          <w:szCs w:val="24"/>
          <w:highlight w:val="none"/>
          <w:lang w:val="zh-CN"/>
        </w:rPr>
        <w:t xml:space="preserve">②明细报价表</w:t>
      </w:r>
      <w:r>
        <w:rPr>
          <w:color w:val="000000"/>
          <w:highlight w:val="none"/>
          <w:lang w:val="zh-CN"/>
        </w:rPr>
      </w:r>
      <w:r>
        <w:rPr>
          <w:highlight w:val="none"/>
        </w:rPr>
      </w:r>
    </w:p>
    <w:p>
      <w:pPr>
        <w:pStyle w:val="760"/>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zh-CN"/>
        </w:rPr>
        <w:t xml:space="preserve">③项目技术要求偏离表</w:t>
      </w:r>
      <w:r>
        <w:rPr>
          <w:rFonts w:hint="eastAsia" w:ascii="宋体" w:hAnsi="宋体"/>
          <w:color w:val="000000"/>
          <w:sz w:val="24"/>
          <w:szCs w:val="21"/>
          <w:highlight w:val="none"/>
          <w:lang w:val="zh-CN"/>
        </w:rPr>
      </w:r>
      <w:r>
        <w:rPr>
          <w:highlight w:val="none"/>
        </w:rPr>
      </w:r>
    </w:p>
    <w:p>
      <w:pPr>
        <w:pStyle w:val="760"/>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④</w:t>
      </w:r>
      <w:r>
        <w:rPr>
          <w:rFonts w:hint="eastAsia" w:ascii="宋体" w:hAnsi="宋体"/>
          <w:color w:val="000000"/>
          <w:sz w:val="24"/>
          <w:szCs w:val="21"/>
          <w:highlight w:val="none"/>
          <w:lang w:val="zh-CN"/>
        </w:rPr>
        <w:t xml:space="preserve">技术商务部分评分导读表</w:t>
      </w:r>
      <w:r>
        <w:rPr>
          <w:rFonts w:hint="eastAsia" w:ascii="宋体" w:hAnsi="宋体"/>
          <w:color w:val="000000"/>
          <w:sz w:val="24"/>
          <w:szCs w:val="21"/>
          <w:highlight w:val="none"/>
          <w:lang w:val="zh-CN"/>
        </w:rPr>
      </w:r>
      <w:r>
        <w:rPr>
          <w:highlight w:val="none"/>
        </w:rPr>
      </w:r>
    </w:p>
    <w:p>
      <w:pPr>
        <w:pStyle w:val="760"/>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⑤</w:t>
      </w:r>
      <w:r>
        <w:rPr>
          <w:rFonts w:hint="eastAsia" w:ascii="宋体" w:hAnsi="宋体"/>
          <w:color w:val="000000"/>
          <w:sz w:val="24"/>
          <w:szCs w:val="21"/>
          <w:highlight w:val="none"/>
          <w:lang w:val="zh-CN"/>
        </w:rPr>
        <w:t xml:space="preserve">项目人员配置清单</w:t>
      </w:r>
      <w:r>
        <w:rPr>
          <w:rFonts w:hint="eastAsia" w:ascii="宋体" w:hAnsi="宋体"/>
          <w:color w:val="000000"/>
          <w:sz w:val="24"/>
          <w:szCs w:val="21"/>
          <w:highlight w:val="none"/>
          <w:lang w:val="zh-CN"/>
        </w:rPr>
      </w:r>
      <w:r>
        <w:rPr>
          <w:highlight w:val="none"/>
        </w:rPr>
      </w:r>
    </w:p>
    <w:p>
      <w:pPr>
        <w:pStyle w:val="760"/>
        <w:ind w:left="420"/>
        <w:jc w:val="left"/>
        <w:spacing w:line="360" w:lineRule="auto"/>
        <w:tabs>
          <w:tab w:val="left" w:pos="0" w:leader="none"/>
          <w:tab w:val="left" w:pos="255" w:leader="none"/>
        </w:tabs>
        <w:rPr>
          <w:rFonts w:ascii="宋体" w:hAnsi="宋体"/>
          <w:b/>
          <w:color w:val="000000"/>
          <w:sz w:val="24"/>
          <w:szCs w:val="24"/>
          <w:highlight w:val="none"/>
        </w:rPr>
      </w:pPr>
      <w:r>
        <w:rPr>
          <w:rFonts w:hint="eastAsia" w:ascii="宋体" w:hAnsi="宋体"/>
          <w:color w:val="000000"/>
          <w:sz w:val="24"/>
          <w:szCs w:val="21"/>
          <w:highlight w:val="none"/>
        </w:rPr>
        <w:t xml:space="preserve">（4）</w:t>
      </w:r>
      <w:r>
        <w:rPr>
          <w:rFonts w:hint="eastAsia" w:ascii="宋体" w:hAnsi="宋体"/>
          <w:b/>
          <w:color w:val="000000"/>
          <w:sz w:val="24"/>
          <w:szCs w:val="24"/>
          <w:highlight w:val="none"/>
        </w:rPr>
        <w:t xml:space="preserve">价格折扣文件</w:t>
      </w:r>
      <w:r>
        <w:rPr>
          <w:rFonts w:ascii="宋体" w:hAnsi="宋体"/>
          <w:b/>
          <w:color w:val="000000"/>
          <w:sz w:val="24"/>
          <w:szCs w:val="24"/>
          <w:highlight w:val="none"/>
        </w:rPr>
      </w:r>
      <w:r>
        <w:rPr>
          <w:highlight w:val="none"/>
        </w:rPr>
      </w:r>
    </w:p>
    <w:p>
      <w:pPr>
        <w:pStyle w:val="760"/>
        <w:ind w:left="482"/>
        <w:jc w:val="left"/>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5）</w:t>
      </w:r>
      <w:r>
        <w:rPr>
          <w:rFonts w:hint="eastAsia" w:ascii="宋体" w:hAnsi="宋体"/>
          <w:color w:val="000000"/>
          <w:sz w:val="24"/>
          <w:szCs w:val="21"/>
          <w:highlight w:val="none"/>
        </w:rPr>
        <w:t xml:space="preserve">其他相关材料</w:t>
      </w:r>
      <w:r>
        <w:rPr>
          <w:rFonts w:hint="eastAsia" w:ascii="宋体" w:hAnsi="宋体"/>
          <w:color w:val="000000"/>
          <w:sz w:val="24"/>
          <w:szCs w:val="21"/>
          <w:highlight w:val="none"/>
          <w:lang w:val="zh-CN"/>
        </w:rPr>
      </w:r>
      <w:r>
        <w:rPr>
          <w:highlight w:val="none"/>
        </w:rPr>
      </w:r>
    </w:p>
    <w:p>
      <w:pPr>
        <w:pStyle w:val="760"/>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上述（2）和（3）内容供应商应按要求提供有效证明材料，否则报价无效，相关材料格式见“第六章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被授权代表授权委托书及社保证明的，视为供应商法定代表人亲自参加。</w:t>
      </w:r>
      <w:r>
        <w:rPr>
          <w:rFonts w:hint="eastAsia" w:ascii="宋体" w:hAnsi="宋体"/>
          <w:bCs/>
          <w:color w:val="000000"/>
          <w:sz w:val="24"/>
          <w:szCs w:val="24"/>
          <w:highlight w:val="none"/>
        </w:rPr>
        <w:t xml:space="preserve">如上述资格证明文件遇年检、换证，则必须提供法定年检、换证单位出具的有效证明。</w:t>
      </w:r>
      <w:r>
        <w:rPr>
          <w:rFonts w:hint="eastAsia" w:ascii="宋体" w:hAnsi="宋体"/>
          <w:bCs/>
          <w:color w:val="000000"/>
          <w:sz w:val="24"/>
          <w:szCs w:val="24"/>
          <w:highlight w:val="none"/>
          <w:lang w:val="zh-CN"/>
        </w:rPr>
        <w:t xml:space="preserve">具有良好的商业信誉和健全的财务会计制度仅针对供应商为非自然人。</w:t>
      </w:r>
      <w:r>
        <w:rPr>
          <w:rFonts w:hint="eastAsia" w:ascii="宋体" w:hAnsi="宋体"/>
          <w:bCs/>
          <w:color w:val="000000"/>
          <w:sz w:val="24"/>
          <w:szCs w:val="24"/>
          <w:highlight w:val="none"/>
        </w:rPr>
        <w:t xml:space="preserve">如上述“（2）资格条件”第③、</w:t>
      </w:r>
      <w:r>
        <w:rPr>
          <w:rFonts w:hint="eastAsia" w:ascii="宋体" w:hAnsi="宋体"/>
          <w:bCs/>
          <w:color w:val="000000"/>
          <w:sz w:val="24"/>
          <w:szCs w:val="24"/>
          <w:highlight w:val="none"/>
        </w:rPr>
        <w:t xml:space="preserve">⑥、⑦项，依法免税或不需要缴纳社会保障资金的供应商，须在投标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投标文件资料，不同采购包的投标文件资料不得混用且不作为评审依据。供应商在投标文件中提交的以人事代理、控股子公司等代收代缴形式缴纳社保的证明，属于无效证明文件。</w:t>
      </w:r>
      <w:r>
        <w:rPr>
          <w:rFonts w:ascii="宋体" w:hAnsi="宋体"/>
          <w:bCs/>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highlight w:val="none"/>
        </w:rPr>
      </w:r>
      <w:bookmarkEnd w:id="18"/>
      <w:r>
        <w:rPr>
          <w:highlight w:val="none"/>
        </w:rPr>
      </w:r>
      <w:bookmarkEnd w:id="19"/>
      <w:r>
        <w:rPr>
          <w:highlight w:val="none"/>
        </w:rPr>
      </w:r>
      <w:bookmarkEnd w:id="21"/>
      <w:r>
        <w:rPr>
          <w:highlight w:val="none"/>
        </w:rPr>
      </w:r>
      <w:bookmarkEnd w:id="22"/>
      <w:r>
        <w:rPr>
          <w:highlight w:val="none"/>
        </w:rPr>
      </w:r>
      <w:bookmarkEnd w:id="23"/>
      <w:r>
        <w:rPr>
          <w:highlight w:val="none"/>
        </w:rPr>
      </w:r>
      <w:bookmarkStart w:id="25" w:name="OLE_LINK219"/>
      <w:r>
        <w:rPr>
          <w:highlight w:val="none"/>
        </w:rPr>
      </w:r>
      <w:bookmarkStart w:id="26" w:name="OLE_LINK93"/>
      <w:r>
        <w:rPr>
          <w:rFonts w:hint="eastAsia" w:ascii="宋体" w:hAnsi="宋体"/>
          <w:b/>
          <w:color w:val="000000"/>
          <w:sz w:val="24"/>
          <w:szCs w:val="24"/>
          <w:highlight w:val="none"/>
        </w:rPr>
        <w:t xml:space="preserve">10、</w:t>
      </w:r>
      <w:bookmarkStart w:id="27" w:name="_Toc2248"/>
      <w:r>
        <w:rPr>
          <w:highlight w:val="none"/>
        </w:rPr>
      </w:r>
      <w:bookmarkStart w:id="28" w:name="_Toc515647770"/>
      <w:r>
        <w:rPr>
          <w:highlight w:val="none"/>
        </w:rPr>
      </w:r>
      <w:bookmarkStart w:id="29" w:name="_Toc520356155"/>
      <w:r>
        <w:rPr>
          <w:highlight w:val="none"/>
        </w:rPr>
      </w:r>
      <w:bookmarkStart w:id="30" w:name="_Toc19624"/>
      <w:r>
        <w:rPr>
          <w:highlight w:val="none"/>
        </w:rPr>
      </w:r>
      <w:bookmarkStart w:id="31" w:name="_Toc23231"/>
      <w:r>
        <w:rPr>
          <w:rFonts w:hint="eastAsia" w:ascii="宋体" w:hAnsi="宋体"/>
          <w:b/>
          <w:color w:val="000000"/>
          <w:sz w:val="24"/>
          <w:szCs w:val="24"/>
          <w:highlight w:val="none"/>
        </w:rPr>
        <w:t xml:space="preserve">投标报价</w:t>
      </w:r>
      <w:bookmarkEnd w:id="27"/>
      <w:r>
        <w:rPr>
          <w:highlight w:val="none"/>
        </w:rPr>
      </w:r>
      <w:bookmarkEnd w:id="28"/>
      <w:r>
        <w:rPr>
          <w:highlight w:val="none"/>
        </w:rPr>
      </w:r>
      <w:bookmarkEnd w:id="29"/>
      <w:r>
        <w:rPr>
          <w:highlight w:val="none"/>
        </w:rPr>
      </w:r>
      <w:bookmarkEnd w:id="30"/>
      <w:r>
        <w:rPr>
          <w:highlight w:val="none"/>
        </w:rPr>
      </w:r>
      <w:bookmarkEnd w:id="31"/>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32" w:name="OLE_LINK204"/>
      <w:r>
        <w:rPr>
          <w:rFonts w:hint="eastAsia" w:ascii="宋体" w:hAnsi="宋体"/>
          <w:bCs/>
          <w:color w:val="000000"/>
          <w:sz w:val="24"/>
          <w:szCs w:val="24"/>
          <w:highlight w:val="none"/>
          <w:lang w:val="zh-CN"/>
        </w:rPr>
        <w:t xml:space="preserve">。</w:t>
      </w:r>
      <w:bookmarkEnd w:id="32"/>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10.2 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bCs/>
          <w:color w:val="000000"/>
          <w:sz w:val="24"/>
          <w:szCs w:val="24"/>
          <w:highlight w:val="none"/>
          <w:lang w:val="zh-CN"/>
        </w:rPr>
        <w:t xml:space="preserve">每种服务及货物只能有一个投标报价。采购人不接受具有附加条件的报价。</w:t>
      </w:r>
      <w:bookmarkEnd w:id="25"/>
      <w:r>
        <w:rPr>
          <w:rFonts w:hint="eastAsia" w:ascii="宋体" w:hAnsi="宋体"/>
          <w:b/>
          <w:color w:val="000000"/>
          <w:sz w:val="24"/>
          <w:szCs w:val="24"/>
          <w:highlight w:val="none"/>
        </w:rPr>
      </w:r>
      <w:r>
        <w:rPr>
          <w:highlight w:val="none"/>
        </w:rPr>
      </w:r>
    </w:p>
    <w:p>
      <w:pPr>
        <w:pStyle w:val="760"/>
        <w:ind w:firstLine="482"/>
        <w:spacing w:line="360" w:lineRule="auto"/>
        <w:rPr>
          <w:rFonts w:hint="eastAsia" w:ascii="宋体" w:hAnsi="宋体"/>
          <w:b/>
          <w:color w:val="000000"/>
          <w:sz w:val="24"/>
          <w:szCs w:val="24"/>
          <w:highlight w:val="none"/>
        </w:rPr>
      </w:pPr>
      <w:r>
        <w:rPr>
          <w:highlight w:val="none"/>
        </w:rPr>
      </w:r>
      <w:bookmarkEnd w:id="26"/>
      <w:r>
        <w:rPr>
          <w:rFonts w:hint="eastAsia" w:ascii="宋体" w:hAnsi="宋体"/>
          <w:b/>
          <w:color w:val="000000"/>
          <w:sz w:val="24"/>
          <w:szCs w:val="24"/>
          <w:highlight w:val="none"/>
        </w:rPr>
        <w:t xml:space="preserve">11、投标文件的制作及密封</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11.1</w:t>
      </w:r>
      <w:bookmarkStart w:id="33" w:name="OLE_LINK203"/>
      <w:r>
        <w:rPr>
          <w:rFonts w:hint="eastAsia" w:ascii="宋体" w:hAnsi="宋体"/>
          <w:bCs/>
          <w:color w:val="000000"/>
          <w:sz w:val="24"/>
          <w:szCs w:val="24"/>
          <w:highlight w:val="none"/>
        </w:rPr>
        <w:t xml:space="preserve"> </w:t>
      </w:r>
      <w:bookmarkEnd w:id="33"/>
      <w:r>
        <w:rPr>
          <w:rFonts w:hint="eastAsia" w:ascii="宋体" w:hAnsi="宋体"/>
          <w:bCs/>
          <w:color w:val="000000"/>
          <w:sz w:val="24"/>
          <w:szCs w:val="24"/>
          <w:highlight w:val="none"/>
          <w:lang w:val="zh-CN"/>
        </w:rPr>
        <w:t xml:space="preserve">所有文件、往来函件均应使用简体中文（规格、型号辅助符号例外）。</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11.2 </w:t>
      </w:r>
      <w:r>
        <w:rPr>
          <w:rFonts w:hint="eastAsia" w:ascii="宋体" w:hAnsi="宋体"/>
          <w:bCs/>
          <w:color w:val="000000"/>
          <w:sz w:val="24"/>
          <w:szCs w:val="24"/>
          <w:highlight w:val="none"/>
          <w:lang w:val="zh-CN"/>
        </w:rPr>
        <w:t xml:space="preserve">投标人所使用的计量单位应为国家法定计量单位。</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highlight w:val="none"/>
        </w:rPr>
      </w:r>
      <w:bookmarkStart w:id="34" w:name="OLE_LINK94"/>
      <w:r>
        <w:rPr>
          <w:rFonts w:hint="eastAsia" w:ascii="宋体" w:hAnsi="宋体"/>
          <w:bCs/>
          <w:color w:val="000000"/>
          <w:sz w:val="24"/>
          <w:szCs w:val="24"/>
          <w:highlight w:val="none"/>
        </w:rPr>
        <w:t xml:space="preserve">11.3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w:t>
      </w:r>
      <w:bookmarkStart w:id="35" w:name="OLE_LINK119"/>
      <w:r>
        <w:rPr>
          <w:rFonts w:hint="eastAsia" w:ascii="宋体" w:hAnsi="宋体"/>
          <w:bCs/>
          <w:color w:val="000000"/>
          <w:sz w:val="24"/>
          <w:szCs w:val="24"/>
          <w:highlight w:val="none"/>
          <w:lang w:val="zh-CN"/>
        </w:rPr>
        <w:t xml:space="preserve">则视同</w:t>
      </w:r>
      <w:r>
        <w:rPr>
          <w:rFonts w:hint="eastAsia" w:ascii="宋体" w:hAnsi="宋体"/>
          <w:bCs/>
          <w:color w:val="000000"/>
          <w:sz w:val="24"/>
          <w:szCs w:val="24"/>
          <w:highlight w:val="none"/>
        </w:rPr>
        <w:t xml:space="preserve">投标人</w:t>
      </w:r>
      <w:bookmarkStart w:id="36" w:name="OLE_LINK225"/>
      <w:r>
        <w:rPr>
          <w:rFonts w:hint="eastAsia" w:ascii="宋体" w:hAnsi="宋体"/>
          <w:bCs/>
          <w:color w:val="000000"/>
          <w:sz w:val="24"/>
          <w:szCs w:val="24"/>
          <w:highlight w:val="none"/>
        </w:rPr>
        <w:t xml:space="preserve">承诺实质性响应</w:t>
      </w:r>
      <w:bookmarkEnd w:id="36"/>
      <w:r>
        <w:rPr>
          <w:rFonts w:hint="eastAsia" w:ascii="宋体" w:hAnsi="宋体"/>
          <w:bCs/>
          <w:color w:val="000000"/>
          <w:sz w:val="24"/>
          <w:szCs w:val="24"/>
          <w:highlight w:val="none"/>
        </w:rPr>
        <w:t xml:space="preserve">招标文件的要求。</w:t>
      </w:r>
      <w:bookmarkEnd w:id="35"/>
      <w:r>
        <w:rPr>
          <w:rFonts w:hint="eastAsia" w:ascii="宋体" w:hAnsi="宋体"/>
          <w:bCs/>
          <w:color w:val="000000"/>
          <w:sz w:val="24"/>
          <w:szCs w:val="24"/>
          <w:highlight w:val="none"/>
          <w:lang w:val="zh-CN"/>
        </w:rPr>
      </w:r>
      <w:r>
        <w:rPr>
          <w:highlight w:val="none"/>
        </w:rPr>
      </w:r>
    </w:p>
    <w:p>
      <w:pPr>
        <w:pStyle w:val="760"/>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11.4 </w:t>
      </w:r>
      <w:r>
        <w:rPr>
          <w:rFonts w:hint="eastAsia" w:ascii="宋体" w:hAnsi="宋体"/>
          <w:bCs/>
          <w:color w:val="000000"/>
          <w:sz w:val="24"/>
          <w:szCs w:val="24"/>
          <w:highlight w:val="none"/>
          <w:lang w:val="zh-CN"/>
        </w:rPr>
        <w:t xml:space="preserve">不因投标文件的装订、纸张、文件排序等非实质性的格式、形式而否决响应。本招标文件中要求提供相关证明材料的，原则上供应商在投标文件中提交相关证明材料原件扫描件,若供应商无法提供原件扫描件的，可以以电子照片、截图等其他方式提供。无论以何种方式提供的证明材料，彩色、黑白均认可，但必须保证证明材料的清晰完整、真实有效，</w:t>
      </w:r>
      <w:bookmarkStart w:id="37" w:name="_Hlk166503004"/>
      <w:r>
        <w:rPr>
          <w:highlight w:val="none"/>
        </w:rPr>
      </w:r>
      <w:bookmarkStart w:id="38" w:name="_Hlk160719877"/>
      <w:r>
        <w:rPr>
          <w:rFonts w:hint="eastAsia" w:ascii="宋体" w:hAnsi="宋体"/>
          <w:bCs/>
          <w:color w:val="000000"/>
          <w:sz w:val="24"/>
          <w:szCs w:val="24"/>
          <w:highlight w:val="none"/>
          <w:lang w:val="zh-CN"/>
        </w:rPr>
        <w:t xml:space="preserve">否则由供应商自行承担证明材料被判定为无效的风险。供应商提供的相关材料中的相关名称、表述等与采购需求、评审标准不一致，评审小组认为其实质相同的视作等同。</w:t>
      </w:r>
      <w:bookmarkEnd w:id="37"/>
      <w:r>
        <w:rPr>
          <w:rFonts w:hint="eastAsia" w:ascii="宋体" w:hAnsi="宋体"/>
          <w:bCs/>
          <w:color w:val="000000"/>
          <w:sz w:val="24"/>
          <w:szCs w:val="24"/>
          <w:highlight w:val="none"/>
          <w:lang w:val="zh-CN"/>
        </w:rPr>
        <w:t xml:space="preserve">若供应商提交的投标文件格式与招标文件中的不一致，但必要的评审所需信息不影响评审判断的，视为符合要求，否则报价无效。</w:t>
      </w:r>
      <w:bookmarkEnd w:id="38"/>
      <w:r>
        <w:rPr>
          <w:rFonts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11.5供应商提交的投标文件中加盖的公章，均视为经供应商法定代表人同意或授权。</w:t>
      </w:r>
      <w:r>
        <w:rPr>
          <w:rFonts w:hint="eastAsia" w:ascii="宋体" w:hAnsi="宋体"/>
          <w:bCs/>
          <w:color w:val="000000"/>
          <w:sz w:val="24"/>
          <w:szCs w:val="24"/>
          <w:highlight w:val="none"/>
          <w:lang w:val="zh-CN"/>
        </w:rPr>
      </w:r>
      <w:r>
        <w:rPr>
          <w:highlight w:val="none"/>
        </w:rPr>
      </w:r>
    </w:p>
    <w:p>
      <w:pPr>
        <w:pStyle w:val="760"/>
        <w:ind w:left="478"/>
        <w:spacing w:line="360" w:lineRule="auto"/>
        <w:rPr>
          <w:rFonts w:hint="eastAsia" w:ascii="宋体" w:hAnsi="宋体" w:eastAsia="宋体"/>
          <w:b/>
          <w:bCs/>
          <w:color w:val="000000"/>
          <w:sz w:val="24"/>
          <w:szCs w:val="24"/>
          <w:highlight w:val="none"/>
        </w:rPr>
      </w:pPr>
      <w:r>
        <w:rPr>
          <w:rFonts w:hint="eastAsia" w:ascii="宋体" w:hAnsi="宋体"/>
          <w:b/>
          <w:color w:val="000000"/>
          <w:sz w:val="24"/>
          <w:szCs w:val="24"/>
          <w:highlight w:val="none"/>
        </w:rPr>
        <w:t xml:space="preserve">12、</w:t>
      </w:r>
      <w:bookmarkStart w:id="39" w:name="_Hlk131926146"/>
      <w:r>
        <w:rPr>
          <w:rFonts w:hint="eastAsia" w:ascii="宋体" w:hAnsi="宋体"/>
          <w:b/>
          <w:color w:val="000000"/>
          <w:sz w:val="24"/>
          <w:szCs w:val="24"/>
          <w:highlight w:val="none"/>
        </w:rPr>
        <w:t xml:space="preserve">电子</w:t>
      </w:r>
      <w:bookmarkEnd w:id="39"/>
      <w:r>
        <w:rPr>
          <w:rFonts w:hint="eastAsia" w:ascii="宋体" w:hAnsi="宋体"/>
          <w:b/>
          <w:color w:val="000000"/>
          <w:sz w:val="24"/>
          <w:szCs w:val="24"/>
          <w:highlight w:val="none"/>
          <w:lang w:eastAsia="zh-CN"/>
        </w:rPr>
        <w:t xml:space="preserve">投标文件</w:t>
      </w:r>
      <w:r>
        <w:rPr>
          <w:rFonts w:hint="eastAsia" w:ascii="宋体" w:hAnsi="宋体" w:eastAsia="宋体"/>
          <w:b/>
          <w:bCs/>
          <w:color w:val="000000"/>
          <w:sz w:val="24"/>
          <w:szCs w:val="24"/>
          <w:highlight w:val="none"/>
          <w:lang w:eastAsia="zh-CN"/>
        </w:rPr>
      </w:r>
      <w:r>
        <w:rPr>
          <w:highlight w:val="none"/>
        </w:rPr>
      </w:r>
    </w:p>
    <w:p>
      <w:pPr>
        <w:pStyle w:val="760"/>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12.1 供应商应通过投标文件制作软件使用数字认证证书对投标文件进行合成、电子电子签章及加密打包，并在招标文件规定的截止时间前，通过招标文件编制软件或登录“苏采云”系统在规定时间内完成提交，时间以电子交易平台时间为准。具体流程如下：将后缀名为“.kedt”的招标文件导入政府采购客户端工具--制作投标文件--导出加密的投标文件(后缀名为zip) --通过“苏采云”系统上传投标文件。（详见《江苏省政府采购交易系统（苏采云）供应商操作手册》）</w:t>
      </w:r>
      <w:r>
        <w:rPr>
          <w:rFonts w:hint="eastAsia" w:ascii="宋体" w:hAnsi="宋体"/>
          <w:bCs/>
          <w:color w:val="000000"/>
          <w:sz w:val="24"/>
          <w:szCs w:val="24"/>
          <w:highlight w:val="none"/>
          <w:lang w:val="zh-CN"/>
        </w:rPr>
      </w:r>
      <w:r>
        <w:rPr>
          <w:highlight w:val="none"/>
        </w:rPr>
      </w:r>
    </w:p>
    <w:p>
      <w:pPr>
        <w:pStyle w:val="760"/>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12.2 截止时间以后传输的投标文件，“苏采云”平台将拒绝接收。供应商应充分考虑网络环境、网络带宽等风险因素。 </w:t>
      </w:r>
      <w:r>
        <w:rPr>
          <w:rFonts w:hint="eastAsia" w:ascii="宋体" w:hAnsi="宋体"/>
          <w:bCs/>
          <w:color w:val="000000"/>
          <w:sz w:val="24"/>
          <w:szCs w:val="24"/>
          <w:highlight w:val="none"/>
          <w:lang w:val="zh-CN"/>
        </w:rPr>
      </w:r>
      <w:r>
        <w:rPr>
          <w:highlight w:val="none"/>
        </w:rPr>
      </w:r>
    </w:p>
    <w:p>
      <w:pPr>
        <w:pStyle w:val="760"/>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12.3 提交完成后至解密前，供应商不能对加密投标文件时所使用的数字认证证书进行更新、续费，否则可能引起的投标文件解密失败等相关后果由供应商自行承担（友情提示：若供应商已领取副锁（含多把副锁）请注意正副锁的使用差别）。 </w:t>
      </w:r>
      <w:r>
        <w:rPr>
          <w:rFonts w:hint="eastAsia" w:ascii="宋体" w:hAnsi="宋体"/>
          <w:bCs/>
          <w:color w:val="000000"/>
          <w:sz w:val="24"/>
          <w:szCs w:val="24"/>
          <w:highlight w:val="none"/>
          <w:lang w:val="zh-CN"/>
        </w:rPr>
      </w:r>
      <w:r>
        <w:rPr>
          <w:highlight w:val="none"/>
        </w:rPr>
      </w:r>
    </w:p>
    <w:p>
      <w:pPr>
        <w:pStyle w:val="760"/>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12.4 因不可抗力事件造成的（线上、线下）投标文件的损坏、丢失的，采购代理不承担责任。 </w:t>
      </w:r>
      <w:r>
        <w:rPr>
          <w:rFonts w:hint="eastAsia" w:ascii="宋体" w:hAnsi="宋体"/>
          <w:bCs/>
          <w:color w:val="000000"/>
          <w:sz w:val="24"/>
          <w:szCs w:val="24"/>
          <w:highlight w:val="none"/>
          <w:lang w:val="zh-CN"/>
        </w:rPr>
      </w:r>
      <w:r>
        <w:rPr>
          <w:highlight w:val="none"/>
        </w:rPr>
      </w:r>
    </w:p>
    <w:p>
      <w:pPr>
        <w:pStyle w:val="760"/>
        <w:ind w:left="1" w:firstLine="480"/>
        <w:jc w:val="left"/>
        <w:spacing w:line="360" w:lineRule="auto"/>
        <w:tabs>
          <w:tab w:val="left" w:pos="945" w:leader="none"/>
        </w:tabs>
        <w:rPr>
          <w:rFonts w:hint="eastAsia" w:ascii="宋体" w:hAnsi="宋体"/>
          <w:bCs/>
          <w:color w:val="000000"/>
          <w:sz w:val="24"/>
          <w:szCs w:val="24"/>
          <w:highlight w:val="none"/>
        </w:rPr>
      </w:pPr>
      <w:r>
        <w:rPr>
          <w:rFonts w:hint="eastAsia" w:ascii="宋体" w:hAnsi="宋体"/>
          <w:b/>
          <w:color w:val="000000"/>
          <w:sz w:val="24"/>
          <w:szCs w:val="24"/>
          <w:highlight w:val="none"/>
          <w:lang w:val="zh-CN"/>
        </w:rPr>
        <w:t xml:space="preserve">13、投标文件的拒收：</w:t>
      </w:r>
      <w:r>
        <w:rPr>
          <w:rFonts w:hint="eastAsia" w:ascii="宋体" w:hAnsi="宋体"/>
          <w:bCs/>
          <w:color w:val="000000"/>
          <w:sz w:val="24"/>
          <w:szCs w:val="24"/>
          <w:highlight w:val="none"/>
          <w:lang w:val="zh-CN"/>
        </w:rPr>
        <w:t xml:space="preserve">在招标文件要求的提交截止时间之后提交的投标文件和招标文件规定拒收情形的将被拒收。</w:t>
      </w:r>
      <w:r>
        <w:rPr>
          <w:rFonts w:hint="eastAsia" w:ascii="宋体" w:hAnsi="宋体"/>
          <w:bCs/>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14、投标文件的真实性</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14.1 投标人（含中标供应商）应对其投标文件中提供的所有材料的真实性负责。</w:t>
      </w:r>
      <w:r>
        <w:rPr>
          <w:rFonts w:hint="eastAsia" w:ascii="宋体" w:hAnsi="宋体"/>
          <w:color w:val="000000"/>
          <w:sz w:val="24"/>
          <w:szCs w:val="28"/>
          <w:highlight w:val="none"/>
        </w:rPr>
      </w:r>
      <w:r>
        <w:rPr>
          <w:highlight w:val="none"/>
        </w:rPr>
      </w:r>
    </w:p>
    <w:p>
      <w:pPr>
        <w:pStyle w:val="760"/>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14.2 如</w:t>
      </w:r>
      <w:bookmarkStart w:id="40" w:name="OLE_LINK45"/>
      <w:r>
        <w:rPr>
          <w:rFonts w:hint="eastAsia" w:ascii="宋体" w:hAnsi="宋体"/>
          <w:color w:val="000000"/>
          <w:sz w:val="24"/>
          <w:szCs w:val="28"/>
          <w:highlight w:val="none"/>
        </w:rPr>
        <w:t xml:space="preserve">采购人、</w:t>
      </w:r>
      <w:bookmarkEnd w:id="40"/>
      <w:r>
        <w:rPr>
          <w:rFonts w:hint="eastAsia" w:ascii="宋体" w:hAnsi="宋体"/>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r>
        <w:rPr>
          <w:rFonts w:hint="eastAsia" w:ascii="宋体" w:hAnsi="宋体"/>
          <w:color w:val="000000"/>
          <w:sz w:val="24"/>
          <w:szCs w:val="28"/>
          <w:highlight w:val="none"/>
        </w:rPr>
      </w:r>
      <w:r>
        <w:rPr>
          <w:highlight w:val="none"/>
        </w:rPr>
      </w:r>
    </w:p>
    <w:p>
      <w:pPr>
        <w:pStyle w:val="760"/>
        <w:ind w:left="1" w:firstLine="480"/>
        <w:jc w:val="left"/>
        <w:spacing w:line="360" w:lineRule="auto"/>
        <w:tabs>
          <w:tab w:val="left" w:pos="945" w:leader="none"/>
        </w:tabs>
        <w:rPr>
          <w:rFonts w:ascii="宋体" w:hAnsi="宋体"/>
          <w:b/>
          <w:color w:val="000000"/>
          <w:sz w:val="24"/>
          <w:szCs w:val="24"/>
          <w:highlight w:val="none"/>
        </w:rPr>
      </w:pPr>
      <w:r>
        <w:rPr>
          <w:rFonts w:hint="eastAsia" w:ascii="宋体" w:hAnsi="宋体"/>
          <w:b/>
          <w:color w:val="000000"/>
          <w:sz w:val="24"/>
          <w:szCs w:val="24"/>
          <w:highlight w:val="none"/>
          <w:lang w:val="zh-CN"/>
        </w:rPr>
        <w:t xml:space="preserve">15、投标文件的有效期</w:t>
      </w:r>
      <w:r>
        <w:rPr>
          <w:rFonts w:ascii="宋体" w:hAnsi="宋体"/>
          <w:b/>
          <w:color w:val="000000"/>
          <w:sz w:val="24"/>
          <w:szCs w:val="24"/>
          <w:highlight w:val="none"/>
          <w:lang w:val="zh-CN"/>
        </w:rPr>
      </w:r>
      <w:r>
        <w:rPr>
          <w:highlight w:val="none"/>
        </w:rPr>
      </w:r>
    </w:p>
    <w:p>
      <w:pPr>
        <w:pStyle w:val="760"/>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投标文件的有效期为提交投标文件截止之日起的60天（含截止当日）。在特殊情况下，采购人、采购招标代理机构可与供应商协商延长投标文件的有效期。</w:t>
      </w:r>
      <w:r>
        <w:rPr>
          <w:rFonts w:hint="eastAsia" w:ascii="宋体" w:hAnsi="宋体"/>
          <w:b/>
          <w:color w:val="000000"/>
          <w:sz w:val="24"/>
          <w:szCs w:val="24"/>
          <w:highlight w:val="none"/>
        </w:rPr>
      </w:r>
      <w:r>
        <w:rPr>
          <w:highlight w:val="none"/>
        </w:rPr>
      </w:r>
    </w:p>
    <w:p>
      <w:pPr>
        <w:pStyle w:val="760"/>
        <w:ind w:left="1" w:firstLine="480"/>
        <w:jc w:val="left"/>
        <w:spacing w:line="360" w:lineRule="auto"/>
        <w:tabs>
          <w:tab w:val="left" w:pos="945" w:leader="none"/>
        </w:tabs>
        <w:rPr>
          <w:rFonts w:ascii="宋体" w:hAnsi="宋体"/>
          <w:b/>
          <w:color w:val="000000"/>
          <w:sz w:val="24"/>
          <w:szCs w:val="24"/>
          <w:highlight w:val="none"/>
        </w:rPr>
      </w:pPr>
      <w:r>
        <w:rPr>
          <w:rFonts w:hint="eastAsia" w:ascii="宋体" w:hAnsi="宋体"/>
          <w:b/>
          <w:color w:val="000000"/>
          <w:sz w:val="24"/>
          <w:szCs w:val="24"/>
          <w:highlight w:val="none"/>
          <w:lang w:val="zh-CN"/>
        </w:rPr>
        <w:t xml:space="preserve">16、投标文件的退还</w:t>
      </w:r>
      <w:r>
        <w:rPr>
          <w:rFonts w:ascii="宋体" w:hAnsi="宋体"/>
          <w:b/>
          <w:color w:val="000000"/>
          <w:sz w:val="24"/>
          <w:szCs w:val="24"/>
          <w:highlight w:val="none"/>
          <w:lang w:val="zh-CN"/>
        </w:rPr>
      </w:r>
      <w:r>
        <w:rPr>
          <w:highlight w:val="none"/>
        </w:rPr>
      </w:r>
    </w:p>
    <w:p>
      <w:pPr>
        <w:pStyle w:val="760"/>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16.1 </w:t>
      </w:r>
      <w:bookmarkStart w:id="41" w:name="OLE_LINK272"/>
      <w:r>
        <w:rPr>
          <w:rFonts w:hint="eastAsia" w:ascii="宋体" w:hAnsi="宋体"/>
          <w:bCs/>
          <w:color w:val="000000"/>
          <w:sz w:val="24"/>
          <w:szCs w:val="24"/>
          <w:highlight w:val="none"/>
          <w:lang w:val="zh-CN"/>
        </w:rPr>
        <w:t xml:space="preserve">提交投标文件截止时间</w:t>
      </w:r>
      <w:r>
        <w:rPr>
          <w:rFonts w:hint="eastAsia" w:ascii="宋体" w:hAnsi="宋体"/>
          <w:bCs/>
          <w:color w:val="000000"/>
          <w:sz w:val="24"/>
          <w:szCs w:val="24"/>
          <w:highlight w:val="none"/>
        </w:rPr>
        <w:t xml:space="preserve">后，采购人和</w:t>
      </w:r>
      <w:bookmarkEnd w:id="41"/>
      <w:r>
        <w:rPr>
          <w:rFonts w:hint="eastAsia" w:ascii="宋体" w:hAnsi="宋体"/>
          <w:bCs/>
          <w:color w:val="000000"/>
          <w:sz w:val="24"/>
          <w:szCs w:val="24"/>
          <w:highlight w:val="none"/>
        </w:rPr>
        <w:t xml:space="preserve">采购招标代理机构对所有供应商的投标文件一律不予退还。</w:t>
      </w:r>
      <w:r>
        <w:rPr>
          <w:rFonts w:hint="eastAsia" w:ascii="宋体" w:hAnsi="宋体"/>
          <w:b/>
          <w:color w:val="000000"/>
          <w:sz w:val="24"/>
          <w:szCs w:val="24"/>
          <w:highlight w:val="none"/>
        </w:rPr>
      </w:r>
      <w:r>
        <w:rPr>
          <w:highlight w:val="none"/>
        </w:rPr>
      </w:r>
    </w:p>
    <w:p>
      <w:pPr>
        <w:pStyle w:val="760"/>
        <w:ind w:firstLine="482"/>
        <w:spacing w:line="360" w:lineRule="auto"/>
        <w:rPr>
          <w:rFonts w:hint="eastAsia" w:ascii="宋体" w:hAnsi="宋体"/>
          <w:b/>
          <w:color w:val="000000"/>
          <w:sz w:val="24"/>
          <w:szCs w:val="24"/>
          <w:highlight w:val="none"/>
        </w:rPr>
      </w:pPr>
      <w:r>
        <w:rPr>
          <w:highlight w:val="none"/>
        </w:rPr>
      </w:r>
      <w:bookmarkEnd w:id="34"/>
      <w:r>
        <w:rPr>
          <w:highlight w:val="none"/>
        </w:rPr>
      </w:r>
      <w:bookmarkStart w:id="42" w:name="OLE_LINK125"/>
      <w:r>
        <w:rPr>
          <w:rFonts w:hint="eastAsia" w:ascii="宋体" w:hAnsi="宋体"/>
          <w:b/>
          <w:color w:val="000000"/>
          <w:sz w:val="24"/>
          <w:szCs w:val="24"/>
          <w:highlight w:val="none"/>
        </w:rPr>
        <w:t xml:space="preserve">17、投标文件的</w:t>
      </w:r>
      <w:bookmarkStart w:id="43" w:name="OLE_LINK260"/>
      <w:r>
        <w:rPr>
          <w:highlight w:val="none"/>
        </w:rPr>
      </w:r>
      <w:bookmarkStart w:id="44" w:name="OLE_LINK273"/>
      <w:r>
        <w:rPr>
          <w:rFonts w:hint="eastAsia" w:ascii="宋体" w:hAnsi="宋体"/>
          <w:b/>
          <w:color w:val="000000"/>
          <w:sz w:val="24"/>
          <w:szCs w:val="24"/>
          <w:highlight w:val="none"/>
        </w:rPr>
        <w:t xml:space="preserve">补充、修改或者撤回</w:t>
      </w:r>
      <w:bookmarkEnd w:id="43"/>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highlight w:val="none"/>
        </w:rPr>
      </w:r>
      <w:bookmarkStart w:id="45" w:name="OLE_LINK221"/>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投标人在投标截止时间前，可以对所递交的投标文件进行补充、修改或撤回。补充、修改的内容应当按照招标文件要求签署、盖章后，并作为投标文件的组成部分。</w:t>
      </w:r>
      <w:bookmarkEnd w:id="42"/>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17.2 </w:t>
      </w:r>
      <w:bookmarkEnd w:id="44"/>
      <w:r>
        <w:rPr>
          <w:highlight w:val="none"/>
        </w:rPr>
      </w:r>
      <w:bookmarkEnd w:id="45"/>
      <w:r>
        <w:rPr>
          <w:rFonts w:hint="eastAsia" w:ascii="宋体" w:hAnsi="宋体"/>
          <w:bCs/>
          <w:color w:val="000000"/>
          <w:sz w:val="24"/>
          <w:szCs w:val="24"/>
          <w:highlight w:val="none"/>
        </w:rPr>
        <w:t xml:space="preserve">在投标截止时间之后，采购人、采购代理机构、评标委员会不接受投标人主动对其投标文件做任何补充、修改。</w:t>
      </w:r>
      <w:r>
        <w:rPr>
          <w:rFonts w:hint="eastAsia" w:ascii="宋体" w:hAnsi="宋体"/>
          <w:bCs/>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18、</w:t>
      </w:r>
      <w:r>
        <w:rPr>
          <w:rFonts w:hint="eastAsia" w:ascii="宋体" w:hAnsi="宋体"/>
          <w:b/>
          <w:color w:val="000000"/>
          <w:sz w:val="24"/>
          <w:szCs w:val="24"/>
          <w:highlight w:val="none"/>
          <w:lang w:val="zh-CN"/>
        </w:rPr>
        <w:t xml:space="preserve">无效投标的确认</w:t>
      </w:r>
      <w:r>
        <w:rPr>
          <w:rFonts w:hint="eastAsia" w:ascii="宋体" w:hAnsi="宋体"/>
          <w:b/>
          <w:color w:val="000000"/>
          <w:sz w:val="24"/>
          <w:szCs w:val="24"/>
          <w:highlight w:val="none"/>
          <w:lang w:val="zh-CN"/>
        </w:rPr>
      </w:r>
      <w:r>
        <w:rPr>
          <w:highlight w:val="none"/>
        </w:rPr>
      </w:r>
    </w:p>
    <w:p>
      <w:pPr>
        <w:pStyle w:val="760"/>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rPr>
          <w:rFonts w:hint="eastAsia" w:ascii="宋体" w:hAnsi="宋体"/>
          <w:b/>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highlight w:val="none"/>
        </w:rPr>
      </w:r>
      <w:bookmarkStart w:id="46" w:name="OLE_LINK126"/>
      <w:r>
        <w:rPr>
          <w:rFonts w:hint="eastAsia" w:ascii="宋体" w:hAnsi="宋体" w:cs="宋体"/>
          <w:color w:val="000000"/>
          <w:sz w:val="24"/>
          <w:szCs w:val="24"/>
          <w:highlight w:val="none"/>
        </w:rPr>
        <w:t xml:space="preserve">投标文件未按招标文件给定格式如实填写（编写）的或未按要求签署、盖章的；</w:t>
      </w:r>
      <w:r>
        <w:rPr>
          <w:rFonts w:hint="eastAsia" w:ascii="宋体" w:hAnsi="宋体"/>
          <w:bCs/>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不具备招标文件投标邀请函中“2.1投标人参加本次政府采购活动</w:t>
      </w:r>
      <w:r>
        <w:rPr>
          <w:rFonts w:hint="eastAsia" w:ascii="宋体" w:hAnsi="宋体" w:cs="宋体"/>
          <w:color w:val="000000"/>
          <w:sz w:val="24"/>
          <w:szCs w:val="24"/>
          <w:highlight w:val="none"/>
          <w:lang w:val="zh-CN"/>
        </w:rPr>
        <w:t xml:space="preserve">应具备的资格条件</w:t>
      </w:r>
      <w:r>
        <w:rPr>
          <w:rFonts w:hint="eastAsia" w:ascii="宋体" w:hAnsi="宋体" w:cs="宋体"/>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rPr>
          <w:rFonts w:hint="eastAsia" w:ascii="宋体" w:hAnsi="宋体"/>
          <w:bCs/>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投标文件中有招标文件未允许提供的选择性内容的</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投标文件含有采购人不能接受的附加条件的；</w:t>
      </w:r>
      <w:r>
        <w:rPr>
          <w:rFonts w:hint="eastAsia" w:ascii="宋体" w:hAnsi="宋体"/>
          <w:bCs/>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报价</w:t>
      </w:r>
      <w:r>
        <w:rPr>
          <w:rFonts w:hint="eastAsia" w:ascii="宋体" w:hAnsi="宋体" w:cs="宋体"/>
          <w:color w:val="000000"/>
          <w:sz w:val="24"/>
          <w:szCs w:val="24"/>
          <w:highlight w:val="none"/>
        </w:rPr>
        <w:t xml:space="preserve">超过招标文件中规定的预算金额或者最高限价的</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投标文件报价</w:t>
      </w:r>
      <w:r>
        <w:rPr>
          <w:rFonts w:hint="eastAsia" w:ascii="宋体" w:hAnsi="宋体" w:cs="宋体"/>
          <w:color w:val="000000"/>
          <w:sz w:val="24"/>
          <w:szCs w:val="24"/>
          <w:highlight w:val="none"/>
        </w:rPr>
        <w:t xml:space="preserve">出现前后不一致，且投标人拒绝修正的；</w:t>
      </w:r>
      <w:r>
        <w:rPr>
          <w:rFonts w:hint="eastAsia" w:ascii="宋体" w:hAnsi="宋体"/>
          <w:bCs/>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rPr>
          <w:rFonts w:hint="eastAsia" w:ascii="宋体" w:hAnsi="宋体"/>
          <w:bCs/>
          <w:color w:val="000000"/>
          <w:sz w:val="24"/>
          <w:szCs w:val="24"/>
          <w:highlight w:val="none"/>
          <w:lang w:val="zh-CN"/>
        </w:rPr>
      </w:r>
      <w:r>
        <w:rPr>
          <w:highlight w:val="none"/>
        </w:rPr>
      </w:r>
    </w:p>
    <w:p>
      <w:pPr>
        <w:pStyle w:val="760"/>
        <w:numPr>
          <w:ilvl w:val="0"/>
          <w:numId w:val="5"/>
        </w:numPr>
        <w:spacing w:line="360" w:lineRule="auto"/>
        <w:tabs>
          <w:tab w:val="left" w:pos="0" w:leader="none"/>
          <w:tab w:val="left" w:pos="425" w:leader="none"/>
        </w:tabs>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属于投标邀请函2.3拒绝参加本次采购活动供应商的；</w:t>
      </w:r>
      <w:r>
        <w:rPr>
          <w:rFonts w:hint="eastAsia" w:ascii="宋体" w:hAnsi="宋体" w:cs="宋体"/>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与其他投标人串通投标的，包括但不限于以下几种情况：</w:t>
      </w:r>
      <w:r>
        <w:rPr>
          <w:rFonts w:hint="eastAsia" w:ascii="宋体" w:hAnsi="宋体"/>
          <w:bCs/>
          <w:color w:val="000000"/>
          <w:sz w:val="24"/>
          <w:szCs w:val="24"/>
          <w:highlight w:val="none"/>
          <w:lang w:val="zh-CN"/>
        </w:rPr>
      </w:r>
      <w:r>
        <w:rPr>
          <w:highlight w:val="none"/>
        </w:rPr>
      </w:r>
    </w:p>
    <w:p>
      <w:pPr>
        <w:pStyle w:val="760"/>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rPr>
          <w:highlight w:val="none"/>
        </w:rPr>
      </w:r>
    </w:p>
    <w:p>
      <w:pPr>
        <w:pStyle w:val="760"/>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不同投标人委托同一单位或者个人办理投标事宜</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rPr>
          <w:highlight w:val="none"/>
        </w:rPr>
      </w:r>
    </w:p>
    <w:p>
      <w:pPr>
        <w:pStyle w:val="760"/>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rPr>
          <w:highlight w:val="none"/>
        </w:rPr>
      </w:r>
    </w:p>
    <w:p>
      <w:pPr>
        <w:pStyle w:val="760"/>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不同投标人的投标文件异常一致或者投标报价呈规律性差异</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rPr>
          <w:highlight w:val="none"/>
        </w:rPr>
      </w:r>
    </w:p>
    <w:p>
      <w:pPr>
        <w:pStyle w:val="760"/>
        <w:numPr>
          <w:ilvl w:val="0"/>
          <w:numId w:val="6"/>
        </w:numPr>
        <w:ind w:firstLine="840"/>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不同投标人的投标文件相互混。</w:t>
      </w:r>
      <w:r>
        <w:rPr>
          <w:rFonts w:hint="eastAsia" w:ascii="宋体" w:hAnsi="宋体"/>
          <w:bCs/>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highlight w:val="none"/>
        </w:rPr>
      </w:r>
      <w:bookmarkStart w:id="47" w:name="OLE_LINK81"/>
      <w:r>
        <w:rPr>
          <w:rFonts w:hint="eastAsia" w:ascii="宋体" w:hAnsi="宋体"/>
          <w:bCs/>
          <w:color w:val="000000"/>
          <w:sz w:val="24"/>
          <w:szCs w:val="24"/>
          <w:highlight w:val="none"/>
          <w:lang w:val="zh-CN"/>
        </w:rPr>
        <w:t xml:space="preserve">提供虚假材料</w:t>
      </w:r>
      <w:bookmarkStart w:id="48" w:name="OLE_LINK137"/>
      <w:r>
        <w:rPr>
          <w:rFonts w:hint="eastAsia" w:ascii="宋体" w:hAnsi="宋体" w:cs="宋体"/>
          <w:color w:val="000000"/>
          <w:sz w:val="24"/>
          <w:szCs w:val="24"/>
          <w:highlight w:val="none"/>
          <w:lang w:val="zh-CN"/>
        </w:rPr>
        <w:t xml:space="preserve">（含虚假承诺）</w:t>
      </w:r>
      <w:bookmarkEnd w:id="48"/>
      <w:r>
        <w:rPr>
          <w:rFonts w:hint="eastAsia" w:ascii="宋体" w:hAnsi="宋体"/>
          <w:bCs/>
          <w:color w:val="000000"/>
          <w:sz w:val="24"/>
          <w:szCs w:val="24"/>
          <w:highlight w:val="none"/>
          <w:lang w:val="zh-CN"/>
        </w:rPr>
        <w:t xml:space="preserve">的</w:t>
      </w:r>
      <w:bookmarkEnd w:id="47"/>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投标文件内容不全、自相矛盾或不符合法律法规和招标文件中规定的其它实质性要求的；</w:t>
      </w:r>
      <w:r>
        <w:rPr>
          <w:rFonts w:hint="eastAsia" w:ascii="宋体" w:hAnsi="宋体"/>
          <w:bCs/>
          <w:color w:val="000000"/>
          <w:sz w:val="24"/>
          <w:szCs w:val="24"/>
          <w:highlight w:val="none"/>
          <w:lang w:val="zh-CN"/>
        </w:rPr>
      </w:r>
      <w:r>
        <w:rPr>
          <w:highlight w:val="none"/>
        </w:rPr>
      </w:r>
    </w:p>
    <w:p>
      <w:pPr>
        <w:pStyle w:val="760"/>
        <w:numPr>
          <w:ilvl w:val="0"/>
          <w:numId w:val="5"/>
        </w:numPr>
        <w:spacing w:line="360" w:lineRule="auto"/>
        <w:tabs>
          <w:tab w:val="left" w:pos="425" w:leader="none"/>
        </w:tabs>
        <w:rPr>
          <w:rFonts w:hint="eastAsia" w:ascii="宋体" w:hAnsi="宋体"/>
          <w:bCs/>
          <w:color w:val="000000"/>
          <w:sz w:val="24"/>
          <w:szCs w:val="24"/>
          <w:highlight w:val="none"/>
        </w:rPr>
      </w:pPr>
      <w:r>
        <w:rPr>
          <w:rFonts w:hint="eastAsia" w:ascii="宋体" w:hAnsi="宋体" w:cs="宋体"/>
          <w:color w:val="000000"/>
          <w:sz w:val="24"/>
          <w:szCs w:val="24"/>
          <w:highlight w:val="none"/>
        </w:rPr>
        <w:t xml:space="preserve">法律、法规和招标文件规定的其他无效情形</w:t>
      </w:r>
      <w:r>
        <w:rPr>
          <w:rFonts w:hint="eastAsia" w:ascii="宋体" w:hAnsi="宋体"/>
          <w:bCs/>
          <w:color w:val="000000"/>
          <w:sz w:val="24"/>
          <w:szCs w:val="24"/>
          <w:highlight w:val="none"/>
          <w:lang w:val="zh-CN"/>
        </w:rPr>
        <w:t xml:space="preserve">。</w:t>
      </w:r>
      <w:bookmarkEnd w:id="46"/>
      <w:r>
        <w:rPr>
          <w:rFonts w:hint="eastAsia" w:ascii="宋体" w:hAnsi="宋体"/>
          <w:bCs/>
          <w:color w:val="000000"/>
          <w:sz w:val="24"/>
          <w:szCs w:val="24"/>
          <w:highlight w:val="none"/>
          <w:lang w:val="zh-CN"/>
        </w:rPr>
      </w:r>
      <w:r>
        <w:rPr>
          <w:highlight w:val="none"/>
        </w:rPr>
      </w:r>
    </w:p>
    <w:p>
      <w:pPr>
        <w:pStyle w:val="760"/>
        <w:ind w:firstLine="354"/>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四、联合体投标、</w:t>
      </w:r>
      <w:r>
        <w:rPr>
          <w:rFonts w:hint="eastAsia" w:ascii="宋体" w:hAnsi="宋体" w:cs="宋体"/>
          <w:b/>
          <w:color w:val="000000"/>
          <w:sz w:val="24"/>
          <w:szCs w:val="24"/>
          <w:highlight w:val="none"/>
        </w:rPr>
        <w:t xml:space="preserve">中标后分包</w:t>
      </w:r>
      <w:r>
        <w:rPr>
          <w:rFonts w:hint="eastAsia" w:ascii="宋体" w:hAnsi="宋体"/>
          <w:b/>
          <w:color w:val="000000"/>
          <w:sz w:val="24"/>
          <w:szCs w:val="24"/>
          <w:highlight w:val="none"/>
        </w:rPr>
      </w:r>
      <w:r>
        <w:rPr>
          <w:highlight w:val="none"/>
        </w:rPr>
      </w:r>
    </w:p>
    <w:p>
      <w:pPr>
        <w:pStyle w:val="76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 本项目不接受联合体，不接受中标后分包。</w:t>
      </w:r>
      <w:r>
        <w:rPr>
          <w:rFonts w:ascii="宋体" w:hAnsi="宋体"/>
          <w:bCs/>
          <w:color w:val="000000"/>
          <w:sz w:val="24"/>
          <w:szCs w:val="24"/>
          <w:highlight w:val="none"/>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w:t>
      </w:r>
      <w:r>
        <w:rPr>
          <w:rFonts w:hint="eastAsia" w:ascii="宋体" w:hAnsi="宋体"/>
          <w:b/>
          <w:color w:val="000000"/>
          <w:sz w:val="24"/>
          <w:szCs w:val="24"/>
          <w:highlight w:val="none"/>
        </w:rPr>
        <w:t xml:space="preserve">资审、</w:t>
      </w:r>
      <w:r>
        <w:rPr>
          <w:rFonts w:hint="eastAsia" w:ascii="宋体" w:hAnsi="宋体"/>
          <w:b/>
          <w:color w:val="000000"/>
          <w:sz w:val="24"/>
          <w:szCs w:val="24"/>
          <w:highlight w:val="none"/>
          <w:lang w:val="zh-CN"/>
        </w:rPr>
        <w:t xml:space="preserve">评标、定标、废标</w:t>
      </w:r>
      <w:r>
        <w:rPr>
          <w:rFonts w:hint="eastAsia" w:ascii="宋体" w:hAnsi="宋体"/>
          <w:b/>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20、开标</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49" w:name="OLE_LINK276"/>
      <w:r>
        <w:rPr>
          <w:rFonts w:hint="eastAsia" w:ascii="宋体" w:hAnsi="宋体"/>
          <w:bCs/>
          <w:color w:val="000000"/>
          <w:sz w:val="24"/>
          <w:szCs w:val="24"/>
          <w:highlight w:val="none"/>
          <w:lang w:val="zh-CN"/>
        </w:rPr>
        <w:t xml:space="preserve">采购人按</w:t>
      </w:r>
      <w:r>
        <w:rPr>
          <w:rFonts w:hint="eastAsia" w:ascii="宋体" w:hAnsi="宋体"/>
          <w:bCs/>
          <w:color w:val="000000"/>
          <w:sz w:val="24"/>
          <w:szCs w:val="24"/>
          <w:highlight w:val="none"/>
          <w:lang w:val="en-US" w:eastAsia="zh-CN"/>
        </w:rPr>
        <w:t xml:space="preserve">招标</w:t>
      </w:r>
      <w:r>
        <w:rPr>
          <w:rFonts w:hint="eastAsia" w:ascii="宋体" w:hAnsi="宋体"/>
          <w:bCs/>
          <w:color w:val="000000"/>
          <w:sz w:val="24"/>
          <w:szCs w:val="24"/>
          <w:highlight w:val="none"/>
          <w:lang w:val="zh-CN"/>
        </w:rPr>
        <w:t xml:space="preserve">文件规定的时间在“苏采云开标大厅”召开开标大会。</w:t>
      </w:r>
      <w:r>
        <w:rPr>
          <w:rFonts w:hint="eastAsia" w:ascii="宋体" w:hAnsi="宋体"/>
          <w:bCs/>
          <w:color w:val="000000"/>
          <w:sz w:val="24"/>
          <w:szCs w:val="24"/>
          <w:highlight w:val="none"/>
        </w:rPr>
        <w:t xml:space="preserve">供应商</w:t>
      </w:r>
      <w:r>
        <w:rPr>
          <w:rFonts w:hint="eastAsia" w:ascii="宋体" w:hAnsi="宋体"/>
          <w:bCs/>
          <w:color w:val="000000"/>
          <w:sz w:val="24"/>
          <w:szCs w:val="24"/>
          <w:highlight w:val="none"/>
          <w:lang w:val="zh-CN"/>
        </w:rPr>
        <w:t xml:space="preserve">应当在</w:t>
      </w:r>
      <w:r>
        <w:rPr>
          <w:rFonts w:hint="eastAsia" w:ascii="宋体" w:hAnsi="宋体"/>
          <w:bCs/>
          <w:color w:val="000000"/>
          <w:sz w:val="24"/>
          <w:szCs w:val="24"/>
          <w:highlight w:val="none"/>
        </w:rPr>
        <w:t xml:space="preserve">报价</w:t>
      </w:r>
      <w:r>
        <w:rPr>
          <w:rFonts w:hint="eastAsia" w:ascii="宋体" w:hAnsi="宋体"/>
          <w:bCs/>
          <w:color w:val="000000"/>
          <w:sz w:val="24"/>
          <w:szCs w:val="24"/>
          <w:highlight w:val="none"/>
          <w:lang w:val="zh-CN"/>
        </w:rPr>
        <w:t xml:space="preserve">前做好充分准备，携带 CA 数字证书准时参加。</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提交投标文件或成功解密投标文件的供应商不足</w:t>
      </w:r>
      <w:r>
        <w:rPr>
          <w:rFonts w:hint="eastAsia" w:ascii="宋体" w:hAnsi="宋体"/>
          <w:bCs/>
          <w:color w:val="000000"/>
          <w:sz w:val="24"/>
          <w:szCs w:val="24"/>
          <w:highlight w:val="none"/>
        </w:rPr>
        <w:t xml:space="preserve">3家的，不得开标。</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
          <w:color w:val="000000"/>
          <w:sz w:val="24"/>
          <w:szCs w:val="24"/>
          <w:highlight w:val="none"/>
        </w:rPr>
      </w:pPr>
      <w:r>
        <w:rPr>
          <w:highlight w:val="none"/>
        </w:rPr>
      </w:r>
      <w:bookmarkEnd w:id="49"/>
      <w:r>
        <w:rPr>
          <w:rFonts w:hint="eastAsia" w:ascii="宋体" w:hAnsi="宋体"/>
          <w:bCs/>
          <w:color w:val="000000"/>
          <w:sz w:val="24"/>
          <w:szCs w:val="24"/>
          <w:highlight w:val="none"/>
        </w:rPr>
        <w:t xml:space="preserve">20.2 </w:t>
      </w:r>
      <w:r>
        <w:rPr>
          <w:rFonts w:hint="eastAsia" w:ascii="宋体" w:hAnsi="宋体"/>
          <w:bCs/>
          <w:color w:val="000000"/>
          <w:sz w:val="24"/>
          <w:szCs w:val="24"/>
          <w:highlight w:val="none"/>
          <w:lang w:val="zh-CN"/>
        </w:rPr>
        <w:t xml:space="preserve">投标文件提交截止时间后，在“苏采云开标大厅”开启投标文件，相关注意事项详见报价邀请函。</w:t>
      </w:r>
      <w:r>
        <w:rPr>
          <w:rFonts w:hint="eastAsia" w:ascii="宋体" w:hAnsi="宋体"/>
          <w:b/>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 开标</w:t>
      </w:r>
      <w:bookmarkStart w:id="50" w:name="OLE_LINK130"/>
      <w:r>
        <w:rPr>
          <w:rFonts w:hint="eastAsia" w:ascii="宋体" w:hAnsi="宋体"/>
          <w:bCs/>
          <w:color w:val="000000"/>
          <w:sz w:val="24"/>
          <w:szCs w:val="24"/>
          <w:highlight w:val="none"/>
          <w:lang w:val="zh-CN"/>
        </w:rPr>
        <w:t xml:space="preserve">过程由采购人或者采购代理机构负责记录，由参加开标的各投标人代表和相关工作人员签字确认后随采购文件一并存档。</w:t>
      </w:r>
      <w:bookmarkEnd w:id="50"/>
      <w:r>
        <w:rPr>
          <w:rFonts w:hint="eastAsia" w:ascii="宋体" w:hAnsi="宋体"/>
          <w:bCs/>
          <w:color w:val="000000"/>
          <w:sz w:val="24"/>
          <w:szCs w:val="24"/>
          <w:highlight w:val="none"/>
          <w:lang w:val="zh-CN"/>
        </w:rPr>
        <w:t xml:space="preserve">投标人未参加开标的，视同认可开标结果。</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20.4 </w:t>
      </w:r>
      <w:bookmarkStart w:id="51" w:name="OLE_LINK131"/>
      <w:r>
        <w:rPr>
          <w:highlight w:val="none"/>
        </w:rPr>
      </w:r>
      <w:bookmarkStart w:id="52"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51"/>
      <w:r>
        <w:rPr>
          <w:highlight w:val="none"/>
        </w:rPr>
      </w:r>
      <w:bookmarkStart w:id="53"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52"/>
      <w:r>
        <w:rPr>
          <w:highlight w:val="none"/>
        </w:rPr>
      </w:r>
      <w:bookmarkEnd w:id="53"/>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21、资格性审查</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color w:val="000000"/>
          <w:sz w:val="24"/>
          <w:szCs w:val="24"/>
          <w:highlight w:val="none"/>
        </w:rPr>
        <w:t xml:space="preserve">采购人现场依法对投标人的资格进行审查。</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合格投标人不足3家的，不得评标。</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资格审查包括两部分内容：</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highlight w:val="none"/>
        </w:rPr>
      </w:r>
      <w:bookmarkStart w:id="54" w:name="OLE_LINK257"/>
      <w:r>
        <w:rPr>
          <w:highlight w:val="none"/>
        </w:rPr>
      </w:r>
      <w:bookmarkStart w:id="55" w:name="OLE_LINK261"/>
      <w:r>
        <w:rPr>
          <w:rFonts w:hint="eastAsia" w:ascii="宋体" w:hAnsi="宋体" w:cs="宋体"/>
          <w:color w:val="000000"/>
          <w:sz w:val="24"/>
          <w:szCs w:val="24"/>
          <w:highlight w:val="none"/>
        </w:rPr>
        <w:t xml:space="preserve">21.2.1 </w:t>
      </w:r>
      <w:bookmarkEnd w:id="54"/>
      <w:r>
        <w:rPr>
          <w:rFonts w:hint="eastAsia" w:ascii="宋体" w:hAnsi="宋体" w:cs="宋体"/>
          <w:color w:val="000000"/>
          <w:sz w:val="24"/>
          <w:szCs w:val="24"/>
          <w:highlight w:val="none"/>
        </w:rPr>
        <w:t xml:space="preserve">按照本须知“9、投标文件的组成”中“（3）资格证明文件”的要求依法对投标人的资格进行审查。</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21.2.2 信用查询。</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① 查询时间：采购人将在资审环节查询投标人的信用记录，投标人存在不良信用记录的，其投标将被认定为投标无效。</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② 不良信用记录指：</w:t>
      </w:r>
      <w:r>
        <w:rPr>
          <w:rFonts w:hint="eastAsia" w:ascii="宋体" w:hAnsi="宋体" w:cs="宋体"/>
          <w:bCs/>
          <w:color w:val="000000"/>
          <w:sz w:val="24"/>
          <w:szCs w:val="24"/>
          <w:highlight w:val="none"/>
        </w:rPr>
        <w:t xml:space="preserve">被“信用中国”（www.creditchina.gov.cn)、中国政府采购网（www.ccgp.gov.cn）列入失信被执行人、重大税收违法案件当事人名单、政府采购严重违法失信行为记录名单（在限制期内）</w:t>
      </w:r>
      <w:r>
        <w:rPr>
          <w:rFonts w:hint="eastAsia" w:ascii="宋体" w:hAnsi="宋体" w:cs="宋体"/>
          <w:color w:val="000000"/>
          <w:sz w:val="24"/>
          <w:szCs w:val="24"/>
          <w:highlight w:val="none"/>
          <w:lang w:val="zh-CN"/>
        </w:rPr>
        <w:t xml:space="preserve">。</w:t>
      </w:r>
      <w:r>
        <w:rPr>
          <w:rFonts w:hint="eastAsia" w:ascii="宋体" w:hAnsi="宋体" w:cs="宋体"/>
          <w:bCs/>
          <w:color w:val="000000"/>
          <w:sz w:val="24"/>
          <w:szCs w:val="24"/>
          <w:highlight w:val="none"/>
        </w:rPr>
        <w:t xml:space="preserve">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报价无效</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 </w:t>
      </w:r>
      <w:bookmarkEnd w:id="55"/>
      <w:r>
        <w:rPr>
          <w:rFonts w:hint="eastAsia" w:ascii="宋体" w:hAnsi="宋体" w:cs="宋体"/>
          <w:color w:val="000000"/>
          <w:sz w:val="24"/>
          <w:szCs w:val="24"/>
          <w:highlight w:val="none"/>
        </w:rPr>
        <w:t xml:space="preserve">查询及记录方式：</w:t>
      </w:r>
      <w:r>
        <w:rPr>
          <w:rFonts w:hint="eastAsia" w:ascii="宋体" w:hAnsi="宋体" w:cs="宋体"/>
          <w:bCs/>
          <w:color w:val="000000"/>
          <w:sz w:val="24"/>
          <w:szCs w:val="24"/>
          <w:highlight w:val="none"/>
        </w:rPr>
        <w:t xml:space="preserve">评审当日，</w:t>
      </w:r>
      <w:r>
        <w:rPr>
          <w:rFonts w:hint="eastAsia" w:ascii="宋体" w:hAnsi="宋体"/>
          <w:bCs/>
          <w:color w:val="000000"/>
          <w:sz w:val="24"/>
          <w:szCs w:val="24"/>
          <w:highlight w:val="none"/>
        </w:rPr>
        <w:t xml:space="preserve">评审小组</w:t>
      </w:r>
      <w:r>
        <w:rPr>
          <w:rFonts w:hint="eastAsia" w:ascii="宋体" w:hAnsi="宋体" w:cs="宋体"/>
          <w:bCs/>
          <w:color w:val="000000"/>
          <w:sz w:val="24"/>
          <w:szCs w:val="24"/>
          <w:highlight w:val="none"/>
        </w:rPr>
        <w:t xml:space="preserve">在以上网站查询并打印查询结果、签字、存档备查。供应商不良信用记录以</w:t>
      </w:r>
      <w:r>
        <w:rPr>
          <w:rFonts w:hint="eastAsia" w:ascii="宋体" w:hAnsi="宋体"/>
          <w:bCs/>
          <w:color w:val="000000"/>
          <w:sz w:val="24"/>
          <w:szCs w:val="24"/>
          <w:highlight w:val="none"/>
        </w:rPr>
        <w:t xml:space="preserve">评审小组在评审</w:t>
      </w:r>
      <w:r>
        <w:rPr>
          <w:rFonts w:hint="eastAsia" w:ascii="宋体" w:hAnsi="宋体" w:cs="宋体"/>
          <w:bCs/>
          <w:color w:val="000000"/>
          <w:sz w:val="24"/>
          <w:szCs w:val="24"/>
          <w:highlight w:val="none"/>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56" w:name="_Hlk163724827"/>
      <w:r>
        <w:rPr>
          <w:rFonts w:hint="eastAsia" w:ascii="宋体" w:hAnsi="宋体"/>
          <w:bCs/>
          <w:color w:val="000000"/>
          <w:sz w:val="24"/>
          <w:szCs w:val="24"/>
          <w:highlight w:val="none"/>
          <w:lang w:val="zh-CN"/>
        </w:rPr>
        <w:t xml:space="preserve">以供应商提供的资格声明函中作出的无不良信用记录承诺为准。</w:t>
      </w:r>
      <w:bookmarkEnd w:id="56"/>
      <w:r>
        <w:rPr>
          <w:rFonts w:hint="eastAsia" w:ascii="宋体" w:hAnsi="宋体" w:cs="宋体"/>
          <w:color w:val="000000"/>
          <w:sz w:val="24"/>
          <w:szCs w:val="24"/>
          <w:highlight w:val="none"/>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22、评标</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22.2 评标委员会对符合资格的投标人的投标文件进行符合性审查，以确定其是否满足招标文件的实质性要求。</w:t>
      </w:r>
      <w:r>
        <w:rPr>
          <w:rFonts w:hint="eastAsia" w:ascii="宋体" w:hAnsi="宋体"/>
          <w:b/>
          <w:color w:val="000000"/>
          <w:sz w:val="24"/>
          <w:szCs w:val="24"/>
          <w:highlight w:val="none"/>
          <w:lang w:val="zh-CN"/>
        </w:rPr>
        <w:t xml:space="preserve">实质性要求是指本招标文件中</w:t>
      </w:r>
      <w:r>
        <w:rPr>
          <w:rFonts w:hint="eastAsia" w:ascii="宋体" w:hAnsi="宋体"/>
          <w:b/>
          <w:color w:val="000000"/>
          <w:sz w:val="24"/>
          <w:szCs w:val="24"/>
          <w:highlight w:val="none"/>
        </w:rPr>
        <w:t xml:space="preserve">“第三章 项目技术要求和有关说明”部分及其他“必须”或“应（应当）”等文字说明的相关要求。</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22.3</w:t>
      </w:r>
      <w:bookmarkStart w:id="57" w:name="OLE_LINK132"/>
      <w:r>
        <w:rPr>
          <w:rFonts w:hint="eastAsia" w:ascii="宋体" w:hAnsi="宋体"/>
          <w:b/>
          <w:color w:val="000000"/>
          <w:sz w:val="24"/>
          <w:szCs w:val="24"/>
          <w:highlight w:val="none"/>
        </w:rPr>
        <w:t xml:space="preserve"> 澄清有关问题。</w:t>
      </w:r>
      <w:bookmarkEnd w:id="57"/>
      <w:r>
        <w:rPr>
          <w:rFonts w:hint="eastAsia" w:ascii="宋体" w:hAnsi="宋体"/>
          <w:bCs/>
          <w:color w:val="000000"/>
          <w:sz w:val="24"/>
          <w:szCs w:val="24"/>
          <w:highlight w:val="none"/>
        </w:rPr>
        <w:t xml:space="preserve">评审小组对投标文件的有效性、完整性和响应程度进行审查时，可以要求供应商对投标文件中含义不明确、同类问题表述不一致或者有明显文字错误和计算错误的内容作出必要的澄清、说明或者更正。供应商的澄清、说明或者更正不得超出投标文件的范围或者改变投标文件的实质性内容。</w:t>
      </w:r>
      <w:r>
        <w:rPr>
          <w:rFonts w:hint="eastAsia" w:ascii="宋体" w:hAnsi="宋体" w:cs="宋体"/>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Start w:id="58" w:name="_Hlk164086081"/>
      <w:r>
        <w:rPr>
          <w:highlight w:val="none"/>
        </w:rPr>
      </w:r>
      <w:bookmarkStart w:id="59" w:name="_Hlk159572925"/>
      <w:r>
        <w:rPr>
          <w:rFonts w:hint="eastAsia" w:ascii="宋体" w:hAnsi="宋体"/>
          <w:bCs/>
          <w:color w:val="000000"/>
          <w:sz w:val="24"/>
          <w:szCs w:val="24"/>
          <w:highlight w:val="none"/>
        </w:rPr>
        <w:t xml:space="preserve">供应商获得证书的时间是指发文时间或证书落款时间，若供应商同时提供了发文和证书，以发文时间为准。</w:t>
      </w:r>
      <w:bookmarkEnd w:id="58"/>
      <w:r>
        <w:rPr>
          <w:rFonts w:hint="eastAsia" w:ascii="宋体" w:hAnsi="宋体"/>
          <w:bCs/>
          <w:color w:val="000000"/>
          <w:sz w:val="24"/>
          <w:szCs w:val="24"/>
          <w:highlight w:val="none"/>
        </w:rPr>
        <w:t xml:space="preserve">同一合同项下的续签合同、补充合同不单独作为有效证明材料。除以上评审小组</w:t>
      </w:r>
      <w:r>
        <w:rPr>
          <w:rFonts w:hint="eastAsia" w:ascii="宋体" w:hAnsi="宋体"/>
          <w:bCs/>
          <w:color w:val="000000"/>
          <w:sz w:val="24"/>
          <w:highlight w:val="none"/>
        </w:rPr>
        <w:t xml:space="preserve">要求供应商作出必要的澄清、说明或者纠正时，需要供应商提供相关证明材料外，供应商</w:t>
      </w:r>
      <w:r>
        <w:rPr>
          <w:rFonts w:hint="eastAsia" w:ascii="宋体" w:hAnsi="宋体"/>
          <w:bCs/>
          <w:color w:val="000000"/>
          <w:sz w:val="24"/>
          <w:szCs w:val="24"/>
          <w:highlight w:val="none"/>
        </w:rPr>
        <w:t xml:space="preserve">提供的</w:t>
      </w:r>
      <w:r>
        <w:rPr>
          <w:rFonts w:hint="eastAsia" w:ascii="宋体" w:hAnsi="宋体"/>
          <w:bCs/>
          <w:color w:val="000000"/>
          <w:sz w:val="24"/>
          <w:highlight w:val="none"/>
        </w:rPr>
        <w:t xml:space="preserve">投标文件以外的证明材料一概不作为评审依据。</w:t>
      </w:r>
      <w:bookmarkEnd w:id="59"/>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评审小组要求供应商澄清、说明或者更正</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应当以书面形式作出</w:t>
      </w:r>
      <w:bookmarkStart w:id="60" w:name="_Hlk160096255"/>
      <w:r>
        <w:rPr>
          <w:rFonts w:hint="eastAsia" w:ascii="宋体" w:hAnsi="宋体"/>
          <w:bCs/>
          <w:color w:val="000000"/>
          <w:sz w:val="24"/>
          <w:szCs w:val="24"/>
          <w:highlight w:val="none"/>
        </w:rPr>
        <w:t xml:space="preserve">，采用不见面交易模式的，可以采用数据电文形式进行，并做好记录。</w:t>
      </w:r>
      <w:bookmarkEnd w:id="60"/>
      <w:r>
        <w:rPr>
          <w:rFonts w:hint="eastAsia" w:ascii="宋体" w:hAnsi="宋体"/>
          <w:bCs/>
          <w:color w:val="000000"/>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rPr>
          <w:rFonts w:hint="eastAsia" w:ascii="宋体" w:hAnsi="宋体"/>
          <w:b/>
          <w:color w:val="000000"/>
          <w:sz w:val="24"/>
          <w:szCs w:val="24"/>
          <w:highlight w:val="none"/>
        </w:rPr>
      </w:r>
      <w:r>
        <w:rPr>
          <w:highlight w:val="none"/>
        </w:rPr>
      </w:r>
    </w:p>
    <w:p>
      <w:pPr>
        <w:pStyle w:val="760"/>
        <w:ind w:firstLine="523"/>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22.4 </w:t>
      </w:r>
      <w:r>
        <w:rPr>
          <w:rFonts w:hint="eastAsia" w:ascii="宋体" w:hAnsi="宋体"/>
          <w:b/>
          <w:color w:val="000000"/>
          <w:sz w:val="24"/>
          <w:highlight w:val="none"/>
        </w:rPr>
        <w:t xml:space="preserve">比较与评价</w:t>
      </w:r>
      <w:r>
        <w:rPr>
          <w:rFonts w:hint="eastAsia" w:ascii="宋体" w:hAnsi="宋体"/>
          <w:bCs/>
          <w:color w:val="000000"/>
          <w:sz w:val="24"/>
          <w:highlight w:val="none"/>
        </w:rPr>
        <w:t xml:space="preserve">。</w:t>
      </w:r>
      <w:r>
        <w:rPr>
          <w:rFonts w:hint="eastAsia" w:ascii="宋体" w:hAnsi="宋体" w:cs="宋体"/>
          <w:color w:val="000000"/>
          <w:sz w:val="24"/>
          <w:szCs w:val="24"/>
          <w:highlight w:val="none"/>
        </w:rPr>
        <w:t xml:space="preserve">评标委员会应当按照招标文件中规定的评标方法和标准，对符合性审查合格的投标文件进行商务和技术评估，综合比较与评价。</w:t>
      </w:r>
      <w:r>
        <w:rPr>
          <w:rFonts w:hint="eastAsia" w:ascii="宋体" w:hAnsi="宋体"/>
          <w:bCs/>
          <w:color w:val="000000"/>
          <w:sz w:val="24"/>
          <w:highlight w:val="none"/>
        </w:rPr>
      </w:r>
      <w:r>
        <w:rPr>
          <w:highlight w:val="none"/>
        </w:rPr>
      </w:r>
    </w:p>
    <w:p>
      <w:pPr>
        <w:pStyle w:val="760"/>
        <w:ind w:firstLine="523"/>
        <w:spacing w:line="360" w:lineRule="auto"/>
        <w:tabs>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r>
        <w:rPr>
          <w:rFonts w:hint="eastAsia" w:ascii="宋体" w:hAnsi="宋体"/>
          <w:b/>
          <w:color w:val="000000"/>
          <w:sz w:val="24"/>
          <w:highlight w:val="none"/>
        </w:rPr>
        <w:t xml:space="preserve">评标方法和标准</w:t>
      </w:r>
      <w:r>
        <w:rPr>
          <w:rFonts w:hint="eastAsia" w:ascii="宋体" w:hAnsi="宋体"/>
          <w:bCs/>
          <w:color w:val="000000"/>
          <w:sz w:val="24"/>
          <w:highlight w:val="none"/>
        </w:rPr>
        <w:t xml:space="preserve">。</w:t>
      </w:r>
      <w:r>
        <w:rPr>
          <w:rFonts w:hint="eastAsia" w:asci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highlight w:val="none"/>
        </w:rPr>
      </w:pPr>
      <w:r>
        <w:rPr>
          <w:highlight w:val="none"/>
        </w:rPr>
      </w:r>
      <w:bookmarkStart w:id="61" w:name="OLE_LINK1"/>
      <w:r>
        <w:rPr>
          <w:rFonts w:hint="eastAsia" w:ascii="宋体" w:hAnsi="宋体"/>
          <w:bCs/>
          <w:color w:val="000000"/>
          <w:sz w:val="24"/>
          <w:szCs w:val="24"/>
          <w:highlight w:val="none"/>
        </w:rPr>
        <w:t xml:space="preserve">22.5.1</w:t>
      </w:r>
      <w:bookmarkEnd w:id="61"/>
      <w:r>
        <w:rPr>
          <w:rFonts w:hint="eastAsia" w:ascii="宋体" w:hAnsi="宋体"/>
          <w:bCs/>
          <w:color w:val="000000"/>
          <w:sz w:val="24"/>
          <w:szCs w:val="24"/>
          <w:highlight w:val="none"/>
        </w:rPr>
        <w:t xml:space="preserve">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62" w:name="OLE_LINK17"/>
      <w:r>
        <w:rPr>
          <w:rFonts w:hint="eastAsia" w:ascii="宋体" w:hAnsi="宋体"/>
          <w:bCs/>
          <w:color w:val="000000"/>
          <w:sz w:val="24"/>
          <w:highlight w:val="none"/>
        </w:rPr>
        <w:t xml:space="preserve">在</w:t>
      </w:r>
      <w:r>
        <w:rPr>
          <w:rFonts w:hint="eastAsia" w:ascii="宋体" w:hAnsi="宋体" w:cs="宋体"/>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62"/>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标人的最终得分为各评</w:t>
      </w:r>
      <w:r>
        <w:rPr>
          <w:rFonts w:hint="eastAsia" w:ascii="宋体" w:hAnsi="宋体"/>
          <w:bCs/>
          <w:color w:val="000000"/>
          <w:sz w:val="24"/>
          <w:highlight w:val="none"/>
        </w:rPr>
        <w:t xml:space="preserve">委评审后得分的平均值（四舍五入保留两位小数）</w:t>
      </w:r>
      <w:r>
        <w:rPr>
          <w:rFonts w:hint="eastAsia" w:ascii="宋体" w:hAnsi="宋体"/>
          <w:bCs/>
          <w:color w:val="000000"/>
          <w:sz w:val="24"/>
          <w:szCs w:val="24"/>
          <w:highlight w:val="none"/>
          <w:lang w:val="zh-CN"/>
        </w:rPr>
        <w:t xml:space="preserve">，按最终得分由高到低顺序排列，</w:t>
      </w:r>
      <w:bookmarkStart w:id="63" w:name="_Hlk128408333"/>
      <w:r>
        <w:rPr>
          <w:rFonts w:hint="eastAsia" w:ascii="宋体" w:hAnsi="宋体"/>
          <w:bCs/>
          <w:color w:val="000000"/>
          <w:sz w:val="24"/>
          <w:szCs w:val="24"/>
          <w:highlight w:val="none"/>
          <w:lang w:val="zh-CN"/>
        </w:rPr>
        <w:t xml:space="preserve">并作为中标候选人排序，编写评审报告</w:t>
      </w:r>
      <w:r>
        <w:rPr>
          <w:rFonts w:hint="eastAsia" w:ascii="宋体" w:hAnsi="宋体"/>
          <w:bCs/>
          <w:color w:val="000000"/>
          <w:sz w:val="24"/>
          <w:highlight w:val="none"/>
        </w:rPr>
        <w:t xml:space="preserve">。</w:t>
      </w:r>
      <w:r>
        <w:rPr>
          <w:rFonts w:hint="eastAsia" w:ascii="宋体" w:hAnsi="宋体"/>
          <w:bCs/>
          <w:color w:val="000000"/>
          <w:sz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highlight w:val="none"/>
        </w:rPr>
      </w:r>
      <w:bookmarkEnd w:id="63"/>
      <w:r>
        <w:rPr>
          <w:highlight w:val="none"/>
        </w:rPr>
      </w:r>
      <w:bookmarkStart w:id="64" w:name="OLE_LINK298"/>
      <w:r>
        <w:rPr>
          <w:rFonts w:hint="eastAsia" w:ascii="宋体" w:hAnsi="宋体"/>
          <w:bCs/>
          <w:color w:val="000000"/>
          <w:sz w:val="24"/>
          <w:szCs w:val="24"/>
          <w:highlight w:val="none"/>
          <w:lang w:val="zh-CN"/>
        </w:rPr>
        <w:t xml:space="preserve">若得分相同的，按投标报价由低到高顺序排列。得分和投标报价均相同的并列，投标文件满足招标文件全部实质性要求，且按照评审因素的量化指标评审得分最高的投标人为中标候选人。若以上均相同，则由采购人代表抽签确定排序。</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注：除了算术修正</w:t>
      </w:r>
      <w:bookmarkStart w:id="65" w:name="OLE_LINK201"/>
      <w:r>
        <w:rPr>
          <w:rFonts w:hint="eastAsia" w:ascii="宋体" w:hAnsi="宋体" w:cs="宋体"/>
          <w:color w:val="000000"/>
          <w:sz w:val="24"/>
          <w:szCs w:val="24"/>
          <w:highlight w:val="none"/>
        </w:rPr>
        <w:t xml:space="preserve">（</w:t>
      </w:r>
      <w:bookmarkStart w:id="66" w:name="OLE_LINK202"/>
      <w:r>
        <w:rPr>
          <w:rFonts w:hint="eastAsia" w:ascii="宋体" w:hAnsi="宋体" w:cs="宋体"/>
          <w:color w:val="000000"/>
          <w:sz w:val="24"/>
          <w:szCs w:val="24"/>
          <w:highlight w:val="none"/>
        </w:rPr>
        <w:t xml:space="preserve">22.5.2</w:t>
      </w:r>
      <w:bookmarkEnd w:id="66"/>
      <w:r>
        <w:rPr>
          <w:rFonts w:hint="eastAsia" w:ascii="宋体" w:hAnsi="宋体" w:cs="宋体"/>
          <w:color w:val="000000"/>
          <w:sz w:val="24"/>
          <w:szCs w:val="24"/>
          <w:highlight w:val="none"/>
        </w:rPr>
        <w:t xml:space="preserve">）</w:t>
      </w:r>
      <w:bookmarkEnd w:id="65"/>
      <w:r>
        <w:rPr>
          <w:rFonts w:hint="eastAsia" w:ascii="宋体" w:hAnsi="宋体" w:cs="宋体"/>
          <w:color w:val="000000"/>
          <w:sz w:val="24"/>
          <w:szCs w:val="24"/>
          <w:highlight w:val="none"/>
        </w:rPr>
        <w:t xml:space="preserve">和落实政府采购政策需进行的价格扣除外，不对投标人的投标价格进行任何调整。</w:t>
      </w:r>
      <w:bookmarkEnd w:id="64"/>
      <w:r>
        <w:rPr>
          <w:rFonts w:hint="eastAsia" w:ascii="宋体" w:hAnsi="宋体" w:cs="宋体"/>
          <w:color w:val="000000"/>
          <w:sz w:val="24"/>
          <w:szCs w:val="24"/>
          <w:highlight w:val="none"/>
          <w:lang w:val="zh-CN"/>
        </w:rPr>
      </w:r>
      <w:r>
        <w:rPr>
          <w:highlight w:val="none"/>
        </w:rPr>
      </w:r>
    </w:p>
    <w:p>
      <w:pPr>
        <w:pStyle w:val="760"/>
        <w:ind w:left="420"/>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szCs w:val="24"/>
          <w:highlight w:val="none"/>
        </w:rPr>
        <w:t xml:space="preserve">22.5.2 </w:t>
      </w:r>
      <w:r>
        <w:rPr>
          <w:rFonts w:hint="eastAsia" w:ascii="宋体" w:hAnsi="宋体"/>
          <w:bCs/>
          <w:color w:val="000000"/>
          <w:sz w:val="24"/>
          <w:highlight w:val="none"/>
        </w:rPr>
        <w:t xml:space="preserve">投标文件报价出现前后不一致的，除招标文件另有规定外，按照下列规定修正：</w:t>
      </w:r>
      <w:r>
        <w:rPr>
          <w:rFonts w:hint="eastAsia" w:ascii="宋体" w:hAnsi="宋体"/>
          <w:bCs/>
          <w:color w:val="000000"/>
          <w:sz w:val="24"/>
          <w:highlight w:val="none"/>
        </w:rPr>
      </w:r>
      <w:r>
        <w:rPr>
          <w:highlight w:val="none"/>
        </w:rPr>
      </w:r>
    </w:p>
    <w:p>
      <w:pPr>
        <w:pStyle w:val="760"/>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rPr>
          <w:rFonts w:hint="eastAsia" w:ascii="宋体" w:hAnsi="宋体"/>
          <w:bCs/>
          <w:color w:val="000000"/>
          <w:sz w:val="24"/>
          <w:highlight w:val="none"/>
        </w:rPr>
      </w:r>
      <w:r>
        <w:rPr>
          <w:highlight w:val="none"/>
        </w:rPr>
      </w:r>
    </w:p>
    <w:p>
      <w:pPr>
        <w:pStyle w:val="760"/>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rPr>
          <w:rFonts w:hint="eastAsia" w:ascii="宋体" w:hAnsi="宋体"/>
          <w:bCs/>
          <w:color w:val="000000"/>
          <w:sz w:val="24"/>
          <w:highlight w:val="none"/>
        </w:rPr>
      </w:r>
      <w:r>
        <w:rPr>
          <w:highlight w:val="none"/>
        </w:rPr>
      </w:r>
    </w:p>
    <w:p>
      <w:pPr>
        <w:pStyle w:val="760"/>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rPr>
          <w:rFonts w:hint="eastAsia" w:ascii="宋体" w:hAnsi="宋体"/>
          <w:bCs/>
          <w:color w:val="000000"/>
          <w:sz w:val="24"/>
          <w:highlight w:val="none"/>
        </w:rPr>
      </w:r>
      <w:r>
        <w:rPr>
          <w:highlight w:val="none"/>
        </w:rPr>
      </w:r>
    </w:p>
    <w:p>
      <w:pPr>
        <w:pStyle w:val="760"/>
        <w:numPr>
          <w:ilvl w:val="0"/>
          <w:numId w:val="7"/>
        </w:numPr>
        <w:ind w:firstLine="638"/>
        <w:spacing w:line="360" w:lineRule="auto"/>
        <w:tabs>
          <w:tab w:val="left" w:pos="945" w:leader="none"/>
        </w:tabs>
        <w:rPr>
          <w:rFonts w:hint="eastAsia"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rPr>
          <w:rFonts w:hint="eastAsia" w:ascii="宋体" w:hAnsi="宋体"/>
          <w:bCs/>
          <w:color w:val="000000"/>
          <w:sz w:val="24"/>
          <w:highlight w:val="none"/>
        </w:rPr>
      </w:r>
      <w:r>
        <w:rPr>
          <w:highlight w:val="none"/>
        </w:rPr>
      </w:r>
    </w:p>
    <w:p>
      <w:pPr>
        <w:pStyle w:val="76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r>
        <w:rPr>
          <w:rFonts w:hint="eastAsia" w:ascii="宋体" w:hAnsi="宋体"/>
          <w:bCs/>
          <w:color w:val="000000"/>
          <w:sz w:val="24"/>
          <w:highlight w:val="none"/>
        </w:rPr>
      </w:r>
      <w:r>
        <w:rPr>
          <w:highlight w:val="none"/>
        </w:rPr>
      </w:r>
    </w:p>
    <w:p>
      <w:pPr>
        <w:pStyle w:val="760"/>
        <w:numPr>
          <w:ilvl w:val="0"/>
          <w:numId w:val="0"/>
        </w:numPr>
        <w:ind w:left="0" w:firstLine="400"/>
        <w:spacing w:line="360" w:lineRule="auto"/>
        <w:tabs>
          <w:tab w:val="left" w:pos="0" w:leader="none"/>
          <w:tab w:val="left" w:pos="425" w:leader="none"/>
        </w:tabs>
        <w:rPr>
          <w:b/>
          <w:bCs/>
          <w:color w:val="000000"/>
          <w:highlight w:val="none"/>
        </w:rPr>
      </w:pPr>
      <w:r>
        <w:rPr>
          <w:rFonts w:hint="eastAsia" w:ascii="宋体" w:hAnsi="宋体" w:eastAsia="宋体" w:cs="宋体"/>
          <w:b/>
          <w:bCs/>
          <w:color w:val="000000"/>
          <w:sz w:val="24"/>
          <w:szCs w:val="24"/>
          <w:highlight w:val="none"/>
          <w:lang w:val="en-US" w:eastAsia="zh-CN"/>
        </w:rPr>
        <w:t xml:space="preserve">22.5.3</w:t>
      </w:r>
      <w:r>
        <w:rPr>
          <w:rFonts w:hint="eastAsia" w:ascii="宋体" w:hAnsi="宋体" w:eastAsia="宋体" w:cs="宋体"/>
          <w:b/>
          <w:bCs/>
          <w:color w:val="000000"/>
          <w:sz w:val="24"/>
          <w:szCs w:val="24"/>
          <w:highlight w:val="none"/>
          <w:lang w:val="zh-CN"/>
        </w:rPr>
        <w:t xml:space="preserve">评标委员会认定投标人的报价明显低于其他通过符合性审查投标人的报价，有可能</w:t>
      </w:r>
      <w:r>
        <w:rPr>
          <w:rFonts w:hint="eastAsia" w:ascii="宋体" w:hAnsi="宋体" w:eastAsia="宋体" w:cs="宋体"/>
          <w:b/>
          <w:bCs/>
          <w:color w:val="000000"/>
          <w:sz w:val="24"/>
          <w:szCs w:val="24"/>
          <w:highlight w:val="none"/>
        </w:rPr>
        <w:t xml:space="preserve">影响产品质量或者不能诚信履约的，应当按照《关于推动解决政府采购异常低价问题相关工作的通知》（苏财购〔2025〕62号）要求，启动异常低价投标（响应）审查程序。出现</w:t>
      </w:r>
      <w:r>
        <w:rPr>
          <w:rFonts w:hint="eastAsia" w:ascii="宋体" w:hAnsi="宋体" w:eastAsia="宋体" w:cs="宋体"/>
          <w:b/>
          <w:bCs/>
          <w:color w:val="000000"/>
          <w:sz w:val="24"/>
          <w:szCs w:val="24"/>
          <w:highlight w:val="none"/>
          <w:lang w:eastAsia="zh-CN"/>
        </w:rPr>
        <w:t xml:space="preserve">招标文件</w:t>
      </w:r>
      <w:r>
        <w:rPr>
          <w:rFonts w:hint="eastAsia" w:ascii="宋体" w:hAnsi="宋体" w:eastAsia="宋体" w:cs="宋体"/>
          <w:b/>
          <w:bCs/>
          <w:color w:val="000000"/>
          <w:sz w:val="24"/>
          <w:szCs w:val="24"/>
          <w:highlight w:val="none"/>
        </w:rPr>
        <w:t xml:space="preserve">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b/>
          <w:bCs/>
          <w:color w:val="000000"/>
          <w:highlight w:val="none"/>
        </w:rPr>
      </w:r>
      <w:r>
        <w:rPr>
          <w:highlight w:val="none"/>
        </w:rPr>
      </w:r>
    </w:p>
    <w:p>
      <w:pPr>
        <w:pStyle w:val="790"/>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评标委员会启动异常低价投标（响应）审查的情形和具体要求，包括：</w:t>
      </w:r>
      <w:r>
        <w:rPr>
          <w:b/>
          <w:bCs/>
          <w:color w:val="000000"/>
          <w:highlight w:val="none"/>
        </w:rPr>
      </w:r>
      <w:r>
        <w:rPr>
          <w:highlight w:val="none"/>
        </w:rPr>
      </w:r>
    </w:p>
    <w:p>
      <w:pPr>
        <w:pStyle w:val="790"/>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评审过程中出现下列情形之一的，评标委员会应当启动异常低价投标（响应）审查程序：</w:t>
      </w:r>
      <w:r>
        <w:rPr>
          <w:b/>
          <w:bCs/>
          <w:color w:val="000000"/>
          <w:highlight w:val="none"/>
        </w:rPr>
      </w:r>
      <w:r>
        <w:rPr>
          <w:highlight w:val="none"/>
        </w:rPr>
      </w:r>
    </w:p>
    <w:p>
      <w:pPr>
        <w:pStyle w:val="790"/>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①投标（响应）报价低于采购项目预算50%的，即投标（响应）报价</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采购项目预算×50%；</w:t>
      </w:r>
      <w:r>
        <w:rPr>
          <w:b/>
          <w:bCs/>
          <w:color w:val="000000"/>
          <w:highlight w:val="none"/>
        </w:rPr>
      </w:r>
      <w:r>
        <w:rPr>
          <w:highlight w:val="none"/>
        </w:rPr>
      </w:r>
    </w:p>
    <w:p>
      <w:pPr>
        <w:pStyle w:val="790"/>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②投标（响应）报价低于采购项目最高限价45%的，即投标（响应）报价</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采购项目最高限价×45%；</w:t>
      </w:r>
      <w:r>
        <w:rPr>
          <w:b/>
          <w:bCs/>
          <w:color w:val="000000"/>
          <w:highlight w:val="none"/>
        </w:rPr>
      </w:r>
      <w:r>
        <w:rPr>
          <w:highlight w:val="none"/>
        </w:rPr>
      </w:r>
    </w:p>
    <w:p>
      <w:pPr>
        <w:pStyle w:val="790"/>
        <w:ind w:left="0" w:firstLine="480"/>
        <w:jc w:val="both"/>
        <w:keepLines w:val="0"/>
        <w:keepNext w:val="0"/>
        <w:spacing w:before="0" w:beforeAutospacing="0" w:after="0" w:afterAutospacing="0" w:line="360" w:lineRule="auto"/>
        <w:widowControl w:val="off"/>
        <w:rPr>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③评标委员会认定的</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报价过低、有可能影响产品质量或者不能诚信履约的其他情形。</w:t>
      </w:r>
      <w:r>
        <w:rPr>
          <w:b/>
          <w:bCs/>
          <w:color w:val="000000"/>
          <w:highlight w:val="none"/>
        </w:rPr>
      </w:r>
      <w:r>
        <w:rPr>
          <w:highlight w:val="none"/>
        </w:rPr>
      </w:r>
    </w:p>
    <w:p>
      <w:pPr>
        <w:pStyle w:val="790"/>
        <w:ind w:left="0" w:firstLine="480"/>
        <w:jc w:val="both"/>
        <w:keepLines w:val="0"/>
        <w:keepNext w:val="0"/>
        <w:spacing w:before="0" w:beforeAutospacing="0" w:after="0" w:afterAutospacing="0" w:line="360" w:lineRule="auto"/>
        <w:widowControl w:val="off"/>
        <w:rPr>
          <w:rFonts w:hint="eastAsia" w:ascii="宋体" w:hAnsi="宋体"/>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启动异常低价投标（响应）审查后，评标委员会应当要求相关</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在</w:t>
      </w:r>
      <w:r>
        <w:rPr>
          <w:rFonts w:hint="eastAsia" w:ascii="宋体" w:hAnsi="宋体" w:cs="宋体"/>
          <w:b/>
          <w:bCs/>
          <w:color w:val="000000"/>
          <w:sz w:val="24"/>
          <w:szCs w:val="24"/>
          <w:highlight w:val="none"/>
          <w:lang w:val="en-US" w:eastAsia="zh-CN"/>
        </w:rPr>
        <w:t xml:space="preserve">系统</w:t>
      </w:r>
      <w:r>
        <w:rPr>
          <w:rFonts w:hint="eastAsia" w:ascii="宋体" w:hAnsi="宋体" w:eastAsia="宋体" w:cs="宋体"/>
          <w:b/>
          <w:bCs/>
          <w:color w:val="000000"/>
          <w:sz w:val="24"/>
          <w:szCs w:val="24"/>
          <w:highlight w:val="none"/>
        </w:rPr>
        <w:t xml:space="preserve">给定的合理时间内，提供项目具体成本测算等与报价合理性相关的</w:t>
      </w:r>
      <w:r>
        <w:rPr>
          <w:rFonts w:hint="eastAsia" w:ascii="宋体" w:hAnsi="宋体" w:cs="宋体"/>
          <w:b/>
          <w:bCs/>
          <w:color w:val="000000"/>
          <w:sz w:val="24"/>
          <w:szCs w:val="24"/>
          <w:highlight w:val="none"/>
          <w:lang w:val="en-US" w:eastAsia="zh-CN"/>
        </w:rPr>
        <w:t xml:space="preserve">澄清</w:t>
      </w:r>
      <w:r>
        <w:rPr>
          <w:rFonts w:hint="eastAsia" w:ascii="宋体" w:hAnsi="宋体" w:eastAsia="宋体" w:cs="宋体"/>
          <w:b/>
          <w:bCs/>
          <w:color w:val="000000"/>
          <w:sz w:val="24"/>
          <w:szCs w:val="24"/>
          <w:highlight w:val="none"/>
        </w:rPr>
        <w:t xml:space="preserve">说明及相关证明材料，对投标（响应）价格作出解释，由评标委员会结合同类产品在主要电商平台的价格、该行业当地薪资水平等情况，依据专业经验对</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报价合理性进行判断。投标（响应）</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不提供</w:t>
      </w:r>
      <w:r>
        <w:rPr>
          <w:rFonts w:hint="eastAsia" w:ascii="宋体" w:hAnsi="宋体" w:cs="宋体"/>
          <w:b/>
          <w:bCs/>
          <w:color w:val="000000"/>
          <w:sz w:val="24"/>
          <w:szCs w:val="24"/>
          <w:highlight w:val="none"/>
          <w:lang w:val="en-US" w:eastAsia="zh-CN"/>
        </w:rPr>
        <w:t xml:space="preserve">澄清</w:t>
      </w:r>
      <w:r>
        <w:rPr>
          <w:rFonts w:hint="eastAsia" w:ascii="宋体" w:hAnsi="宋体" w:eastAsia="宋体" w:cs="宋体"/>
          <w:b/>
          <w:bCs/>
          <w:color w:val="000000"/>
          <w:sz w:val="24"/>
          <w:szCs w:val="24"/>
          <w:highlight w:val="none"/>
        </w:rPr>
        <w:t xml:space="preserve">说明、证明材料，或者提供的</w:t>
      </w:r>
      <w:r>
        <w:rPr>
          <w:rFonts w:hint="eastAsia" w:ascii="宋体" w:hAnsi="宋体" w:cs="宋体"/>
          <w:b/>
          <w:bCs/>
          <w:color w:val="000000"/>
          <w:sz w:val="24"/>
          <w:szCs w:val="24"/>
          <w:highlight w:val="none"/>
          <w:lang w:val="en-US" w:eastAsia="zh-CN"/>
        </w:rPr>
        <w:t xml:space="preserve">澄清</w:t>
      </w:r>
      <w:r>
        <w:rPr>
          <w:rFonts w:hint="eastAsia" w:ascii="宋体" w:hAnsi="宋体" w:eastAsia="宋体" w:cs="宋体"/>
          <w:b/>
          <w:bCs/>
          <w:color w:val="000000"/>
          <w:sz w:val="24"/>
          <w:szCs w:val="24"/>
          <w:highlight w:val="none"/>
        </w:rPr>
        <w:t xml:space="preserve">说明、证明材料不能证明其报价合理性的，评标委员会应当将其作为无效投标（响应）处理。审查相关情况应当在评标报告中进行记录。</w:t>
      </w:r>
      <w:r>
        <w:rPr>
          <w:rFonts w:hint="eastAsia" w:ascii="宋体" w:hAnsi="宋体"/>
          <w:bCs/>
          <w:color w:val="000000"/>
          <w:sz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highlight w:val="none"/>
        </w:rPr>
        <w:t xml:space="preserve">22.6 </w:t>
      </w:r>
      <w:r>
        <w:rPr>
          <w:rFonts w:hint="eastAsia" w:ascii="宋体" w:hAnsi="宋体" w:cs="宋体"/>
          <w:color w:val="000000"/>
          <w:sz w:val="24"/>
          <w:szCs w:val="24"/>
          <w:highlight w:val="none"/>
        </w:rPr>
        <w:t xml:space="preserve">评标委员会根据全体评标成员签字的原始评标记录和评标结果编写评标报告</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rPr>
          <w:rFonts w:hint="eastAsia" w:ascii="宋体" w:hAnsi="宋体"/>
          <w:bCs/>
          <w:color w:val="000000"/>
          <w:sz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highlight w:val="none"/>
        </w:rPr>
      </w:r>
      <w:bookmarkStart w:id="67" w:name="_Toc23122"/>
      <w:r>
        <w:rPr>
          <w:rFonts w:hint="eastAsia" w:ascii="宋体" w:hAnsi="宋体"/>
          <w:b/>
          <w:color w:val="000000"/>
          <w:sz w:val="24"/>
          <w:szCs w:val="24"/>
          <w:highlight w:val="none"/>
        </w:rPr>
        <w:t xml:space="preserve">23、定标</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采购人或采购代理机构向中标供应商发出中标通知书。</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23.3 </w:t>
      </w:r>
      <w:r>
        <w:rPr>
          <w:rFonts w:hint="eastAsia" w:ascii="宋体" w:hAnsi="宋体"/>
          <w:bCs/>
          <w:color w:val="000000"/>
          <w:sz w:val="24"/>
          <w:szCs w:val="24"/>
          <w:highlight w:val="none"/>
          <w:lang w:val="zh-CN"/>
        </w:rPr>
        <w:t xml:space="preserve">供应商中标后，</w:t>
      </w:r>
      <w:r>
        <w:rPr>
          <w:rFonts w:hint="eastAsia" w:ascii="宋体" w:hAnsi="宋体"/>
          <w:bCs/>
          <w:color w:val="000000"/>
          <w:sz w:val="24"/>
          <w:szCs w:val="24"/>
          <w:highlight w:val="none"/>
        </w:rPr>
        <w:t xml:space="preserve">采购招标代理</w:t>
      </w:r>
      <w:r>
        <w:rPr>
          <w:rFonts w:hint="eastAsia" w:ascii="宋体" w:hAnsi="宋体"/>
          <w:bCs/>
          <w:color w:val="000000"/>
          <w:sz w:val="24"/>
          <w:szCs w:val="24"/>
          <w:highlight w:val="none"/>
          <w:lang w:val="zh-CN"/>
        </w:rPr>
        <w:t xml:space="preserve">机构</w:t>
      </w:r>
      <w:r>
        <w:rPr>
          <w:rFonts w:hint="eastAsia" w:ascii="宋体" w:hAnsi="宋体" w:cs="宋体"/>
          <w:color w:val="000000"/>
          <w:sz w:val="24"/>
          <w:szCs w:val="24"/>
          <w:highlight w:val="none"/>
        </w:rPr>
        <w:t xml:space="preserve">将向中标供应商发出电子中标通知书，请中标供应商登录“苏采云”系统及时下载中标通知书。因系统存储空间有限，自中标结果公告发布之日起30日后，“苏采云”系统不再保证提供下载中标通知书服务。因未及时下载而造成的一切后果由中标供应商自行承担。</w:t>
      </w:r>
      <w:r>
        <w:rPr>
          <w:rFonts w:hint="eastAsia" w:ascii="宋体" w:hAnsi="宋体"/>
          <w:bCs/>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24、投标截止后投标人不足3家或者通过资格审查或符合性审查的投标人不足3家的，除采购任务取消情形外，按照以下方式处理：</w:t>
      </w:r>
      <w:r>
        <w:rPr>
          <w:rFonts w:hint="eastAsia" w:ascii="宋体" w:hAnsi="宋体"/>
          <w:b/>
          <w:color w:val="000000"/>
          <w:sz w:val="24"/>
          <w:szCs w:val="24"/>
          <w:highlight w:val="none"/>
        </w:rPr>
      </w:r>
      <w:r>
        <w:rPr>
          <w:highlight w:val="none"/>
        </w:rPr>
      </w:r>
    </w:p>
    <w:p>
      <w:pPr>
        <w:pStyle w:val="760"/>
        <w:numPr>
          <w:ilvl w:val="0"/>
          <w:numId w:val="8"/>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rPr>
          <w:rFonts w:hint="eastAsia" w:ascii="宋体" w:hAnsi="宋体"/>
          <w:bCs/>
          <w:color w:val="000000"/>
          <w:sz w:val="24"/>
          <w:szCs w:val="24"/>
          <w:highlight w:val="none"/>
        </w:rPr>
      </w:r>
      <w:r>
        <w:rPr>
          <w:highlight w:val="none"/>
        </w:rPr>
      </w:r>
    </w:p>
    <w:p>
      <w:pPr>
        <w:pStyle w:val="760"/>
        <w:numPr>
          <w:ilvl w:val="0"/>
          <w:numId w:val="8"/>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招标文件没有不合理条款、招标程序符合规定，</w:t>
      </w:r>
      <w:bookmarkStart w:id="68" w:name="OLE_LINK182"/>
      <w:r>
        <w:rPr>
          <w:highlight w:val="none"/>
        </w:rPr>
      </w:r>
      <w:bookmarkStart w:id="69" w:name="OLE_LINK234"/>
      <w:r>
        <w:rPr>
          <w:rFonts w:hint="eastAsia" w:ascii="宋体" w:hAnsi="宋体"/>
          <w:bCs/>
          <w:color w:val="000000"/>
          <w:sz w:val="24"/>
          <w:szCs w:val="24"/>
          <w:highlight w:val="none"/>
        </w:rPr>
        <w:t xml:space="preserve">采购人依法报财政部门批准后可以采用其他采购方式采购</w:t>
      </w:r>
      <w:bookmarkEnd w:id="68"/>
      <w:r>
        <w:rPr>
          <w:rFonts w:hint="eastAsia" w:ascii="宋体" w:hAnsi="宋体"/>
          <w:bCs/>
          <w:color w:val="000000"/>
          <w:sz w:val="24"/>
          <w:szCs w:val="24"/>
          <w:highlight w:val="none"/>
        </w:rPr>
        <w:t xml:space="preserve">。</w:t>
      </w:r>
      <w:bookmarkEnd w:id="69"/>
      <w:r>
        <w:rPr>
          <w:rFonts w:hint="eastAsia" w:ascii="宋体" w:hAnsi="宋体"/>
          <w:bCs/>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25、废标的确认</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23.1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rPr>
          <w:rFonts w:hint="eastAsia" w:ascii="宋体" w:hAnsi="宋体"/>
          <w:bCs/>
          <w:color w:val="000000"/>
          <w:sz w:val="24"/>
          <w:szCs w:val="24"/>
          <w:highlight w:val="none"/>
          <w:lang w:val="zh-CN"/>
        </w:rPr>
      </w:r>
      <w:r>
        <w:rPr>
          <w:highlight w:val="none"/>
        </w:rPr>
      </w:r>
    </w:p>
    <w:p>
      <w:pPr>
        <w:pStyle w:val="760"/>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rPr>
          <w:rFonts w:hint="eastAsia" w:ascii="宋体" w:hAnsi="宋体"/>
          <w:bCs/>
          <w:color w:val="000000"/>
          <w:sz w:val="24"/>
          <w:szCs w:val="24"/>
          <w:highlight w:val="none"/>
          <w:lang w:val="zh-CN"/>
        </w:rPr>
      </w:r>
      <w:r>
        <w:rPr>
          <w:highlight w:val="none"/>
        </w:rPr>
      </w:r>
    </w:p>
    <w:p>
      <w:pPr>
        <w:pStyle w:val="760"/>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出现影响采购公正的违法、违规行为；</w:t>
      </w:r>
      <w:r>
        <w:rPr>
          <w:rFonts w:hint="eastAsia" w:ascii="宋体" w:hAnsi="宋体"/>
          <w:bCs/>
          <w:color w:val="000000"/>
          <w:sz w:val="24"/>
          <w:szCs w:val="24"/>
          <w:highlight w:val="none"/>
          <w:lang w:val="zh-CN"/>
        </w:rPr>
      </w:r>
      <w:r>
        <w:rPr>
          <w:highlight w:val="none"/>
        </w:rPr>
      </w:r>
    </w:p>
    <w:p>
      <w:pPr>
        <w:pStyle w:val="760"/>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投标人的报价均超过采购预算，采购人不能支付；</w:t>
      </w:r>
      <w:r>
        <w:rPr>
          <w:rFonts w:hint="eastAsia" w:ascii="宋体" w:hAnsi="宋体"/>
          <w:bCs/>
          <w:color w:val="000000"/>
          <w:sz w:val="24"/>
          <w:szCs w:val="24"/>
          <w:highlight w:val="none"/>
          <w:lang w:val="zh-CN"/>
        </w:rPr>
      </w:r>
      <w:r>
        <w:rPr>
          <w:highlight w:val="none"/>
        </w:rPr>
      </w:r>
    </w:p>
    <w:p>
      <w:pPr>
        <w:pStyle w:val="760"/>
        <w:numPr>
          <w:ilvl w:val="0"/>
          <w:numId w:val="9"/>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因重大变故，采购任务取消。</w:t>
      </w:r>
      <w:r>
        <w:rPr>
          <w:rFonts w:hint="eastAsia" w:ascii="宋体" w:hAnsi="宋体"/>
          <w:bCs/>
          <w:color w:val="000000"/>
          <w:sz w:val="24"/>
          <w:szCs w:val="24"/>
          <w:highlight w:val="none"/>
          <w:lang w:val="zh-CN"/>
        </w:rPr>
      </w:r>
      <w:r>
        <w:rPr>
          <w:highlight w:val="none"/>
        </w:rPr>
      </w:r>
    </w:p>
    <w:p>
      <w:pPr>
        <w:pStyle w:val="760"/>
        <w:ind w:left="42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六、投标保证金</w:t>
      </w:r>
      <w:r>
        <w:rPr>
          <w:rFonts w:hint="eastAsia" w:ascii="宋体" w:hAnsi="宋体"/>
          <w:b/>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26、投标保证金：本项目免收</w:t>
      </w:r>
      <w:r>
        <w:rPr>
          <w:rFonts w:hint="eastAsia" w:ascii="宋体" w:hAnsi="宋体"/>
          <w:bCs/>
          <w:color w:val="000000"/>
          <w:sz w:val="24"/>
          <w:szCs w:val="24"/>
          <w:highlight w:val="none"/>
          <w:lang w:val="zh-CN"/>
        </w:rPr>
        <w:t xml:space="preserve">投标保证金。</w:t>
      </w:r>
      <w:r>
        <w:rPr>
          <w:rFonts w:hint="eastAsia" w:ascii="宋体" w:hAnsi="宋体"/>
          <w:bCs/>
          <w:color w:val="000000"/>
          <w:sz w:val="24"/>
          <w:szCs w:val="24"/>
          <w:highlight w:val="none"/>
        </w:rPr>
      </w:r>
      <w:r>
        <w:rPr>
          <w:highlight w:val="none"/>
        </w:rPr>
      </w:r>
    </w:p>
    <w:p>
      <w:pPr>
        <w:pStyle w:val="760"/>
        <w:ind w:left="42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七、签订合同</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27、签订合同</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如遇特殊情况，采购人及财政部门可延期签订合同。</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 w:val="0"/>
          <w:bCs/>
          <w:color w:val="000000"/>
          <w:sz w:val="24"/>
          <w:szCs w:val="24"/>
          <w:highlight w:val="none"/>
        </w:rPr>
      </w:pPr>
      <w:r>
        <w:rPr>
          <w:rFonts w:hint="eastAsia" w:ascii="宋体" w:hAnsi="宋体"/>
          <w:b w:val="0"/>
          <w:bCs/>
          <w:color w:val="000000"/>
          <w:sz w:val="24"/>
          <w:szCs w:val="24"/>
          <w:highlight w:val="none"/>
          <w:lang w:val="zh-CN"/>
        </w:rPr>
        <w:t xml:space="preserve">2</w:t>
      </w:r>
      <w:r>
        <w:rPr>
          <w:rFonts w:hint="eastAsia" w:ascii="宋体" w:hAnsi="宋体"/>
          <w:b w:val="0"/>
          <w:bCs/>
          <w:color w:val="000000"/>
          <w:sz w:val="24"/>
          <w:szCs w:val="24"/>
          <w:highlight w:val="none"/>
        </w:rPr>
        <w:t xml:space="preserve">7</w:t>
      </w:r>
      <w:r>
        <w:rPr>
          <w:rFonts w:hint="eastAsia" w:ascii="宋体" w:hAnsi="宋体"/>
          <w:b w:val="0"/>
          <w:bCs/>
          <w:color w:val="000000"/>
          <w:sz w:val="24"/>
          <w:szCs w:val="24"/>
          <w:highlight w:val="none"/>
          <w:lang w:val="zh-CN"/>
        </w:rPr>
        <w:t xml:space="preserve">.4 </w:t>
      </w:r>
      <w:r>
        <w:rPr>
          <w:rFonts w:hint="eastAsia" w:ascii="宋体" w:hAnsi="宋体"/>
          <w:b w:val="0"/>
          <w:bCs/>
          <w:color w:val="000000"/>
          <w:sz w:val="24"/>
          <w:szCs w:val="24"/>
          <w:highlight w:val="none"/>
          <w:lang w:val="en-US" w:eastAsia="zh-CN"/>
        </w:rPr>
        <w:t xml:space="preserve">本项目免收履约保证金</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w:t>
      </w:r>
      <w:bookmarkStart w:id="70" w:name="OLE_LINK5"/>
      <w:r>
        <w:rPr>
          <w:rFonts w:hint="eastAsia" w:ascii="宋体" w:hAnsi="宋体"/>
          <w:bCs/>
          <w:color w:val="000000"/>
          <w:sz w:val="24"/>
          <w:szCs w:val="24"/>
          <w:highlight w:val="none"/>
        </w:rPr>
        <w:t xml:space="preserve">5 </w:t>
      </w:r>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71" w:name="OLE_LINK2"/>
      <w:r>
        <w:rPr>
          <w:rFonts w:hint="eastAsia" w:ascii="宋体" w:hAnsi="宋体"/>
          <w:bCs/>
          <w:color w:val="000000"/>
          <w:sz w:val="24"/>
          <w:szCs w:val="24"/>
          <w:highlight w:val="none"/>
          <w:lang w:val="zh-CN"/>
        </w:rPr>
        <w:t xml:space="preserve">。</w:t>
      </w:r>
      <w:bookmarkEnd w:id="70"/>
      <w:r>
        <w:rPr>
          <w:highlight w:val="none"/>
        </w:rPr>
      </w:r>
      <w:bookmarkEnd w:id="71"/>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中标候选人放弃中标资格的，参照前款进行处理。</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采购合同履行中，采购人需追加与合同标的相同服务的，在不改变合同其他条款的前提下，可以与中标供应商协商签订补充合同，但所有补充合同的采购金额不得超过原合同采购金额的百分之十。</w:t>
      </w:r>
      <w:r>
        <w:rPr>
          <w:rFonts w:hint="eastAsia" w:ascii="宋体" w:hAnsi="宋体"/>
          <w:bCs/>
          <w:color w:val="000000"/>
          <w:sz w:val="24"/>
          <w:szCs w:val="24"/>
          <w:highlight w:val="none"/>
        </w:rPr>
      </w:r>
      <w:r>
        <w:rPr>
          <w:highlight w:val="none"/>
        </w:rPr>
      </w:r>
    </w:p>
    <w:p>
      <w:pPr>
        <w:pStyle w:val="760"/>
        <w:ind w:left="42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rPr>
          <w:rFonts w:hint="eastAsia" w:ascii="宋体" w:hAnsi="宋体"/>
          <w:b/>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28、投标行为及投标产品：</w:t>
      </w:r>
      <w:r>
        <w:rPr>
          <w:rFonts w:hint="eastAsia" w:ascii="宋体" w:hAnsi="宋体"/>
          <w:bCs/>
          <w:color w:val="000000"/>
          <w:sz w:val="24"/>
          <w:szCs w:val="24"/>
          <w:highlight w:val="none"/>
        </w:rPr>
      </w:r>
      <w:r>
        <w:rPr>
          <w:highlight w:val="none"/>
        </w:rPr>
      </w:r>
    </w:p>
    <w:p>
      <w:pPr>
        <w:pStyle w:val="760"/>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投标人的投标行为必须遵守各项法律、法规、规章及相关制度的规定。</w:t>
      </w:r>
      <w:r>
        <w:rPr>
          <w:rFonts w:hint="eastAsia" w:ascii="宋体" w:hAnsi="宋体"/>
          <w:bCs/>
          <w:color w:val="000000"/>
          <w:sz w:val="24"/>
          <w:szCs w:val="24"/>
          <w:highlight w:val="none"/>
          <w:lang w:val="zh-CN"/>
        </w:rPr>
      </w:r>
      <w:r>
        <w:rPr>
          <w:highlight w:val="none"/>
        </w:rPr>
      </w:r>
    </w:p>
    <w:p>
      <w:pPr>
        <w:pStyle w:val="760"/>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投标服务及产品、产品安装（施工）等应符合国家、行业等相关标准及要求。</w:t>
      </w:r>
      <w:r>
        <w:rPr>
          <w:rFonts w:hint="eastAsia" w:ascii="宋体" w:hAnsi="宋体"/>
          <w:bCs/>
          <w:color w:val="000000"/>
          <w:sz w:val="24"/>
          <w:szCs w:val="24"/>
          <w:highlight w:val="none"/>
          <w:lang w:val="zh-CN"/>
        </w:rPr>
      </w:r>
      <w:r>
        <w:rPr>
          <w:highlight w:val="none"/>
        </w:rPr>
      </w:r>
    </w:p>
    <w:p>
      <w:pPr>
        <w:pStyle w:val="760"/>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投标人提供的产品应是全新、未使用过的原装合格正品。</w:t>
      </w:r>
      <w:r>
        <w:rPr>
          <w:rFonts w:hint="eastAsia" w:ascii="宋体" w:hAnsi="宋体"/>
          <w:bCs/>
          <w:color w:val="000000"/>
          <w:sz w:val="24"/>
          <w:highlight w:val="none"/>
        </w:rPr>
        <w:t xml:space="preserve">投标人中标后，在供货期内如遇产品平滑（自然）升级，中标供应商应提供平滑升级商品不补差价（招标文件中有特殊要求的除外）。</w:t>
      </w:r>
      <w:r>
        <w:rPr>
          <w:rFonts w:hint="eastAsia" w:ascii="宋体" w:hAnsi="宋体"/>
          <w:bCs/>
          <w:color w:val="000000"/>
          <w:sz w:val="24"/>
          <w:szCs w:val="24"/>
          <w:highlight w:val="none"/>
          <w:lang w:val="zh-CN"/>
        </w:rPr>
      </w:r>
      <w:r>
        <w:rPr>
          <w:highlight w:val="none"/>
        </w:rPr>
      </w:r>
    </w:p>
    <w:p>
      <w:pPr>
        <w:pStyle w:val="760"/>
        <w:numPr>
          <w:ilvl w:val="0"/>
          <w:numId w:val="10"/>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招标文件中要求投标人出具的证书等相关材料，均应在有效期限内，即有效期限应覆盖投标文件评审当日。</w:t>
      </w:r>
      <w:r>
        <w:rPr>
          <w:rFonts w:hint="eastAsia" w:ascii="宋体" w:hAnsi="宋体"/>
          <w:bCs/>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highlight w:val="none"/>
        </w:rPr>
      </w:r>
      <w:bookmarkStart w:id="72" w:name="OLE_LINK184"/>
      <w:r>
        <w:rPr>
          <w:highlight w:val="none"/>
        </w:rPr>
      </w:r>
      <w:bookmarkStart w:id="73" w:name="OLE_LINK229"/>
      <w:r>
        <w:rPr>
          <w:rFonts w:hint="eastAsia" w:ascii="宋体" w:hAnsi="宋体"/>
          <w:b/>
          <w:color w:val="000000"/>
          <w:sz w:val="24"/>
          <w:szCs w:val="24"/>
          <w:highlight w:val="none"/>
          <w:lang w:val="zh-CN"/>
        </w:rPr>
        <w:t xml:space="preserve">九、验收</w:t>
      </w:r>
      <w:r>
        <w:rPr>
          <w:rFonts w:hint="eastAsia" w:ascii="宋体" w:hAnsi="宋体"/>
          <w:b/>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29、</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、招标文件、投标文件</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和响应</w:t>
      </w:r>
      <w:r>
        <w:rPr>
          <w:rFonts w:ascii="宋体" w:hAnsi="宋体"/>
          <w:bCs/>
          <w:color w:val="000000"/>
          <w:sz w:val="24"/>
          <w:szCs w:val="24"/>
          <w:highlight w:val="none"/>
          <w:lang w:val="zh-CN"/>
        </w:rPr>
        <w:t xml:space="preserve">的技术、服务、安全标准对供应商</w:t>
      </w:r>
      <w:r>
        <w:rPr>
          <w:rFonts w:hint="eastAsia" w:ascii="宋体" w:hAnsi="宋体"/>
          <w:bCs/>
          <w:color w:val="000000"/>
          <w:sz w:val="24"/>
          <w:szCs w:val="24"/>
          <w:highlight w:val="none"/>
          <w:lang w:val="zh-CN"/>
        </w:rPr>
        <w:t xml:space="preserve">的</w:t>
      </w:r>
      <w:r>
        <w:rPr>
          <w:rFonts w:ascii="宋体" w:hAnsi="宋体"/>
          <w:bCs/>
          <w:color w:val="000000"/>
          <w:sz w:val="24"/>
          <w:szCs w:val="24"/>
          <w:highlight w:val="none"/>
          <w:lang w:val="zh-CN"/>
        </w:rPr>
        <w:t xml:space="preserve">履约情况进行验收，出具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bookmarkEnd w:id="72"/>
      <w:r>
        <w:rPr>
          <w:rFonts w:hint="eastAsia" w:ascii="宋体" w:hAnsi="宋体"/>
          <w:bCs/>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lang w:val="zh-CN"/>
        </w:rPr>
        <w:t xml:space="preserve">十、质疑处理</w:t>
      </w:r>
      <w:r>
        <w:rPr>
          <w:rFonts w:hint="eastAsia" w:ascii="宋体" w:hAnsi="宋体"/>
          <w:b/>
          <w:color w:val="000000"/>
          <w:sz w:val="24"/>
          <w:szCs w:val="24"/>
          <w:highlight w:val="none"/>
          <w:lang w:val="zh-CN"/>
        </w:rPr>
      </w:r>
      <w:r>
        <w:rPr>
          <w:highlight w:val="none"/>
        </w:rPr>
      </w:r>
    </w:p>
    <w:p>
      <w:pPr>
        <w:pStyle w:val="76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bookmarkStart w:id="74" w:name="OLE_LINK100"/>
      <w:r>
        <w:rPr>
          <w:highlight w:val="none"/>
        </w:rPr>
      </w:r>
      <w:bookmarkStart w:id="75" w:name="OLE_LINK188"/>
      <w:r>
        <w:rPr>
          <w:rFonts w:hint="eastAsia" w:ascii="宋体" w:hAnsi="宋体"/>
          <w:bCs/>
          <w:color w:val="000000"/>
          <w:sz w:val="24"/>
          <w:szCs w:val="24"/>
          <w:highlight w:val="none"/>
        </w:rPr>
        <w:t xml:space="preserve">30、询问</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30.1 </w:t>
      </w:r>
      <w:bookmarkStart w:id="76" w:name="OLE_LINK22"/>
      <w:r>
        <w:rPr>
          <w:rFonts w:hint="eastAsia" w:ascii="宋体" w:hAnsi="宋体"/>
          <w:bCs/>
          <w:color w:val="000000"/>
          <w:sz w:val="24"/>
          <w:szCs w:val="24"/>
          <w:highlight w:val="none"/>
          <w:lang w:val="zh-CN"/>
        </w:rPr>
        <w:t xml:space="preserve">投标人对采购活动事项有疑问的，可以向</w:t>
      </w:r>
      <w:bookmarkStart w:id="77" w:name="OLE_LINK24"/>
      <w:r>
        <w:rPr>
          <w:rFonts w:hint="eastAsia" w:ascii="宋体" w:hAnsi="宋体"/>
          <w:bCs/>
          <w:color w:val="000000"/>
          <w:sz w:val="24"/>
          <w:szCs w:val="24"/>
          <w:highlight w:val="none"/>
          <w:lang w:val="zh-CN"/>
        </w:rPr>
        <w:t xml:space="preserve">采购人</w:t>
      </w:r>
      <w:bookmarkEnd w:id="77"/>
      <w:r>
        <w:rPr>
          <w:rFonts w:hint="eastAsia" w:ascii="宋体" w:hAnsi="宋体"/>
          <w:bCs/>
          <w:color w:val="000000"/>
          <w:sz w:val="24"/>
          <w:szCs w:val="24"/>
          <w:highlight w:val="none"/>
          <w:lang w:val="zh-CN"/>
        </w:rPr>
        <w:t xml:space="preserve">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bookmarkEnd w:id="76"/>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31、质疑</w:t>
      </w:r>
      <w:r>
        <w:rPr>
          <w:rFonts w:hint="eastAsia" w:ascii="宋体" w:hAnsi="宋体"/>
          <w:bCs/>
          <w:color w:val="000000"/>
          <w:sz w:val="24"/>
          <w:szCs w:val="24"/>
          <w:highlight w:val="none"/>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31.1 </w:t>
      </w:r>
      <w:bookmarkStart w:id="78" w:name="OLE_LINK139"/>
      <w:r>
        <w:rPr>
          <w:rFonts w:hint="eastAsia" w:ascii="宋体" w:hAnsi="宋体"/>
          <w:bCs/>
          <w:color w:val="000000"/>
          <w:sz w:val="24"/>
          <w:szCs w:val="24"/>
          <w:highlight w:val="none"/>
          <w:lang w:val="zh-CN"/>
        </w:rPr>
        <w:t xml:space="preserve">质疑必须符合《中华人民共和国政府采购法》、《中华人民共和国政府采购法实施条例》、《江苏省政府采购供应商监督管理暂行办法》中“质疑”相关内容要求。“宜兴市政府采购质疑书”格式内容，可在“宜兴市公共资源交易中心”</w:t>
      </w:r>
      <w:r>
        <w:rPr>
          <w:rFonts w:hint="eastAsia" w:ascii="宋体" w:hAnsi="宋体"/>
          <w:bCs/>
          <w:color w:val="000000"/>
          <w:sz w:val="24"/>
          <w:szCs w:val="24"/>
          <w:highlight w:val="none"/>
        </w:rPr>
        <w:t xml:space="preserve">网站</w:t>
      </w:r>
      <w:r>
        <w:rPr>
          <w:rFonts w:hint="eastAsia" w:ascii="宋体" w:hAnsi="宋体"/>
          <w:bCs/>
          <w:color w:val="000000"/>
          <w:sz w:val="24"/>
          <w:szCs w:val="24"/>
          <w:highlight w:val="none"/>
          <w:lang w:val="zh-CN"/>
        </w:rPr>
        <w:t xml:space="preserve">“下载中心”栏自行下载。</w:t>
      </w:r>
      <w:bookmarkEnd w:id="78"/>
      <w:r>
        <w:rPr>
          <w:rFonts w:hint="eastAsia" w:ascii="宋体" w:hAnsi="宋体"/>
          <w:bCs/>
          <w:color w:val="000000"/>
          <w:sz w:val="24"/>
          <w:szCs w:val="24"/>
          <w:highlight w:val="none"/>
          <w:lang w:val="zh-CN"/>
        </w:rPr>
      </w:r>
      <w:r>
        <w:rPr>
          <w:highlight w:val="none"/>
        </w:rPr>
      </w:r>
    </w:p>
    <w:p>
      <w:pPr>
        <w:pStyle w:val="760"/>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31.2 </w:t>
      </w:r>
      <w:bookmarkStart w:id="79" w:name="OLE_LINK23"/>
      <w:r>
        <w:rPr>
          <w:rFonts w:hint="eastAsia" w:ascii="宋体" w:hAnsi="宋体"/>
          <w:b/>
          <w:color w:val="000000"/>
          <w:sz w:val="24"/>
          <w:szCs w:val="24"/>
          <w:highlight w:val="none"/>
          <w:lang w:val="zh-CN"/>
        </w:rPr>
        <w:t xml:space="preserve">质疑答复责任主体：</w:t>
      </w:r>
      <w:r>
        <w:rPr>
          <w:rFonts w:hint="eastAsia" w:ascii="宋体" w:hAnsi="宋体"/>
          <w:b/>
          <w:color w:val="000000"/>
          <w:sz w:val="24"/>
          <w:szCs w:val="24"/>
          <w:highlight w:val="none"/>
          <w:lang w:val="zh-CN"/>
        </w:rPr>
      </w:r>
      <w:r>
        <w:rPr>
          <w:highlight w:val="none"/>
        </w:rPr>
      </w:r>
    </w:p>
    <w:p>
      <w:pPr>
        <w:pStyle w:val="760"/>
        <w:numPr>
          <w:ilvl w:val="0"/>
          <w:numId w:val="11"/>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w:t>
      </w:r>
      <w:r>
        <w:rPr>
          <w:rFonts w:ascii="宋体" w:hAnsi="宋体"/>
          <w:b/>
          <w:color w:val="000000"/>
          <w:sz w:val="24"/>
          <w:szCs w:val="24"/>
          <w:highlight w:val="none"/>
          <w:lang w:val="zh-CN"/>
        </w:rPr>
        <w:t xml:space="preserve">采购文件、采购过程和</w:t>
      </w:r>
      <w:r>
        <w:rPr>
          <w:rFonts w:hint="eastAsia" w:ascii="宋体" w:hAnsi="宋体"/>
          <w:b/>
          <w:color w:val="000000"/>
          <w:sz w:val="24"/>
          <w:szCs w:val="24"/>
          <w:highlight w:val="none"/>
          <w:lang w:val="zh-CN"/>
        </w:rPr>
        <w:t xml:space="preserve">中标</w:t>
      </w:r>
      <w:r>
        <w:rPr>
          <w:rFonts w:ascii="宋体" w:hAnsi="宋体"/>
          <w:b/>
          <w:color w:val="000000"/>
          <w:sz w:val="24"/>
          <w:szCs w:val="24"/>
          <w:highlight w:val="none"/>
          <w:lang w:val="zh-CN"/>
        </w:rPr>
        <w:t xml:space="preserve">结果</w:t>
      </w:r>
      <w:r>
        <w:rPr>
          <w:rFonts w:ascii="宋体" w:hAnsi="宋体"/>
          <w:bCs/>
          <w:color w:val="000000"/>
          <w:sz w:val="24"/>
          <w:szCs w:val="24"/>
          <w:highlight w:val="none"/>
          <w:lang w:val="zh-CN"/>
        </w:rPr>
        <w:t xml:space="preserve">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rPr>
          <w:rFonts w:hint="eastAsia" w:ascii="宋体" w:hAnsi="宋体"/>
          <w:bCs/>
          <w:color w:val="000000"/>
          <w:sz w:val="24"/>
          <w:szCs w:val="24"/>
          <w:highlight w:val="none"/>
          <w:lang w:val="zh-CN"/>
        </w:rPr>
      </w:r>
      <w:r>
        <w:rPr>
          <w:highlight w:val="none"/>
        </w:rPr>
      </w:r>
    </w:p>
    <w:p>
      <w:pPr>
        <w:pStyle w:val="760"/>
        <w:numPr>
          <w:ilvl w:val="0"/>
          <w:numId w:val="11"/>
        </w:num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投标人认为</w:t>
      </w:r>
      <w:r>
        <w:rPr>
          <w:rFonts w:hint="eastAsia" w:ascii="宋体" w:hAnsi="宋体"/>
          <w:b/>
          <w:color w:val="000000"/>
          <w:sz w:val="24"/>
          <w:szCs w:val="24"/>
          <w:highlight w:val="none"/>
          <w:lang w:val="zh-CN"/>
        </w:rPr>
        <w:t xml:space="preserve">采购程序及流程操作</w:t>
      </w:r>
      <w:r>
        <w:rPr>
          <w:rFonts w:hint="eastAsia" w:ascii="宋体" w:hAnsi="宋体"/>
          <w:bCs/>
          <w:color w:val="000000"/>
          <w:sz w:val="24"/>
          <w:szCs w:val="24"/>
          <w:highlight w:val="none"/>
          <w:lang w:val="zh-CN"/>
        </w:rPr>
        <w:t xml:space="preserve">使自己的权益受到损害的，可以向采购人提出质疑，也可以在法律规定时间内向采购代理机构提出质疑，采购代理机构就采购人委托授权范围内的事项作出答复。</w:t>
      </w:r>
      <w:bookmarkEnd w:id="79"/>
      <w:r>
        <w:rPr>
          <w:rFonts w:hint="eastAsia" w:ascii="宋体" w:hAnsi="宋体"/>
          <w:bCs/>
          <w:color w:val="000000"/>
          <w:sz w:val="24"/>
          <w:szCs w:val="24"/>
          <w:highlight w:val="none"/>
          <w:lang w:val="zh-CN"/>
        </w:rPr>
        <w:br w:type="textWrapping" w:clear="all"/>
      </w:r>
      <w:r>
        <w:rPr>
          <w:rFonts w:hint="eastAsia" w:ascii="宋体" w:hAnsi="宋体"/>
          <w:bCs/>
          <w:color w:val="000000"/>
          <w:sz w:val="24"/>
          <w:szCs w:val="24"/>
          <w:highlight w:val="none"/>
          <w:lang w:val="zh-CN"/>
        </w:rPr>
        <w:t xml:space="preserve">    </w:t>
      </w:r>
      <w:r>
        <w:rPr>
          <w:rFonts w:hint="eastAsia" w:ascii="宋体" w:hAnsi="宋体"/>
          <w:bCs/>
          <w:color w:val="000000"/>
          <w:sz w:val="24"/>
          <w:szCs w:val="24"/>
          <w:highlight w:val="none"/>
        </w:rPr>
        <w:t xml:space="preserve">31.3 </w:t>
      </w:r>
      <w:bookmarkStart w:id="80" w:name="OLE_LINK141"/>
      <w:r>
        <w:rPr>
          <w:rFonts w:hint="eastAsia" w:ascii="宋体" w:hAnsi="宋体"/>
          <w:b/>
          <w:color w:val="000000"/>
          <w:sz w:val="24"/>
          <w:szCs w:val="24"/>
          <w:highlight w:val="none"/>
        </w:rPr>
        <w:t xml:space="preserve">质疑时效期间的起算</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zh-CN"/>
        </w:rPr>
        <w:t xml:space="preserve">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80"/>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31.4 </w:t>
      </w:r>
      <w:r>
        <w:rPr>
          <w:rFonts w:hint="eastAsia" w:ascii="宋体" w:hAnsi="宋体"/>
          <w:bCs/>
          <w:color w:val="000000"/>
          <w:sz w:val="24"/>
          <w:szCs w:val="24"/>
          <w:highlight w:val="none"/>
          <w:lang w:val="zh-CN"/>
        </w:rPr>
        <w:t xml:space="preserve">对符合法定质疑条件的质疑，被质疑人在受理后的七个工作日内进行书面答复。</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31.5 </w:t>
      </w:r>
      <w:r>
        <w:rPr>
          <w:rFonts w:hint="eastAsia" w:ascii="宋体" w:hAnsi="宋体"/>
          <w:bCs/>
          <w:color w:val="000000"/>
          <w:sz w:val="24"/>
          <w:szCs w:val="24"/>
          <w:highlight w:val="none"/>
          <w:lang w:val="zh-CN"/>
        </w:rPr>
        <w:t xml:space="preserve">恶意质疑或提交虚假质疑一经查实，被质疑人有权依据政府采购法的有关规定，报请政府采购监管部门对该质疑人进行相应的行政处罚。</w:t>
      </w:r>
      <w:bookmarkStart w:id="81" w:name="OLE_LINK142"/>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32、投诉</w:t>
      </w:r>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32.1</w:t>
      </w:r>
      <w:r>
        <w:rPr>
          <w:rFonts w:ascii="宋体" w:hAnsi="宋体"/>
          <w:bCs/>
          <w:color w:val="000000"/>
          <w:sz w:val="24"/>
          <w:szCs w:val="24"/>
          <w:highlight w:val="none"/>
          <w:lang w:val="zh-CN"/>
        </w:rPr>
        <w:t xml:space="preserve">质疑供应商对采购人的答复不满意或者采购人未在规定的时间内作出答复的，</w:t>
      </w:r>
      <w:bookmarkEnd w:id="74"/>
      <w:r>
        <w:rPr>
          <w:highlight w:val="none"/>
        </w:rPr>
      </w:r>
      <w:bookmarkEnd w:id="81"/>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向本招标文件第一章投标邀请函中的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bookmarkEnd w:id="75"/>
      <w:r>
        <w:rPr>
          <w:rFonts w:hint="eastAsia" w:ascii="宋体" w:hAnsi="宋体"/>
          <w:bCs/>
          <w:color w:val="000000"/>
          <w:sz w:val="24"/>
          <w:szCs w:val="24"/>
          <w:highlight w:val="none"/>
          <w:lang w:val="zh-CN"/>
        </w:rPr>
        <w:t xml:space="preserve">。</w:t>
      </w:r>
      <w:bookmarkEnd w:id="73"/>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t xml:space="preserve">32.2若按相关规定提出的质疑、投诉成立或因其他情况，取消第一候选人的中标资格,则本项目须重新组织采购活动。  </w:t>
      </w:r>
      <w:bookmarkEnd w:id="67"/>
      <w:r>
        <w:rPr>
          <w:highlight w:val="none"/>
        </w:rPr>
      </w:r>
      <w:bookmarkStart w:id="82" w:name="_Toc19590"/>
      <w:r>
        <w:rPr>
          <w:highlight w:val="none"/>
        </w:rPr>
      </w:r>
      <w:bookmarkStart w:id="83" w:name="_Toc25466"/>
      <w:r>
        <w:rPr>
          <w:rFonts w:hint="eastAsia" w:ascii="宋体" w:hAnsi="宋体"/>
          <w:bCs/>
          <w:color w:val="000000"/>
          <w:sz w:val="24"/>
          <w:szCs w:val="24"/>
          <w:highlight w:val="none"/>
          <w:lang w:val="zh-CN"/>
        </w:rPr>
      </w:r>
      <w:r>
        <w:rPr>
          <w:highlight w:val="none"/>
        </w:rPr>
      </w:r>
    </w:p>
    <w:p>
      <w:pPr>
        <w:pStyle w:val="760"/>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zh-CN"/>
        </w:rPr>
      </w:r>
      <w:r>
        <w:rPr>
          <w:highlight w:val="none"/>
        </w:rPr>
      </w:r>
    </w:p>
    <w:p>
      <w:pPr>
        <w:pStyle w:val="760"/>
        <w:ind w:firstLine="560"/>
        <w:jc w:val="center"/>
        <w:spacing w:line="360" w:lineRule="auto"/>
        <w:rPr>
          <w:rFonts w:hint="eastAsia" w:ascii="黑体" w:hAnsi="黑体" w:eastAsia="黑体" w:cs="Times New Roman"/>
          <w:b w:val="0"/>
          <w:bCs/>
          <w:color w:val="000000"/>
          <w:sz w:val="28"/>
          <w:highlight w:val="none"/>
        </w:rPr>
      </w:pPr>
      <w:r>
        <w:rPr>
          <w:rFonts w:hint="eastAsia" w:ascii="黑体" w:hAnsi="黑体" w:eastAsia="黑体" w:cs="Times New Roman"/>
          <w:b w:val="0"/>
          <w:bCs/>
          <w:color w:val="000000"/>
          <w:sz w:val="28"/>
          <w:highlight w:val="none"/>
        </w:rPr>
      </w:r>
      <w:r>
        <w:rPr>
          <w:highlight w:val="none"/>
        </w:rPr>
      </w:r>
    </w:p>
    <w:p>
      <w:pPr>
        <w:pStyle w:val="760"/>
        <w:ind w:firstLine="560"/>
        <w:jc w:val="center"/>
        <w:spacing w:line="360" w:lineRule="auto"/>
        <w:rPr>
          <w:rFonts w:hint="eastAsia" w:ascii="宋体" w:hAnsi="宋体" w:eastAsia="宋体" w:cs="宋体"/>
          <w:color w:val="000000"/>
          <w:sz w:val="24"/>
          <w:szCs w:val="24"/>
          <w:highlight w:val="none"/>
        </w:rPr>
      </w:pPr>
      <w:r>
        <w:rPr>
          <w:rFonts w:hint="eastAsia" w:ascii="黑体" w:hAnsi="黑体" w:eastAsia="黑体" w:cs="Times New Roman"/>
          <w:b w:val="0"/>
          <w:bCs/>
          <w:color w:val="000000"/>
          <w:sz w:val="28"/>
          <w:highlight w:val="none"/>
        </w:rPr>
        <w:br w:type="page" w:clear="all"/>
      </w:r>
      <w:r>
        <w:rPr>
          <w:rFonts w:hint="eastAsia" w:ascii="黑体" w:hAnsi="黑体" w:eastAsia="黑体" w:cs="Times New Roman"/>
          <w:b w:val="0"/>
          <w:bCs/>
          <w:color w:val="000000"/>
          <w:sz w:val="28"/>
          <w:highlight w:val="none"/>
        </w:rPr>
        <w:t xml:space="preserve">第三章 项目技术要求和有关说明</w:t>
      </w:r>
      <w:bookmarkEnd w:id="82"/>
      <w:r>
        <w:rPr>
          <w:rFonts w:hint="eastAsia" w:ascii="宋体" w:hAnsi="宋体" w:eastAsia="宋体" w:cs="宋体"/>
          <w:color w:val="000000"/>
          <w:sz w:val="24"/>
          <w:szCs w:val="24"/>
          <w:highlight w:val="none"/>
        </w:rPr>
      </w:r>
      <w:r>
        <w:rPr>
          <w:highlight w:val="none"/>
        </w:rPr>
      </w:r>
    </w:p>
    <w:p>
      <w:pPr>
        <w:pStyle w:val="762"/>
        <w:rPr>
          <w:rFonts w:hint="eastAsia"/>
          <w:color w:val="000000"/>
          <w:sz w:val="24"/>
          <w:szCs w:val="24"/>
          <w:highlight w:val="none"/>
        </w:rPr>
      </w:pPr>
      <w:r>
        <w:rPr>
          <w:rFonts w:hint="eastAsia"/>
          <w:color w:val="000000"/>
          <w:sz w:val="24"/>
          <w:szCs w:val="24"/>
          <w:highlight w:val="none"/>
        </w:rPr>
        <w:t xml:space="preserve">一、项目概况</w:t>
      </w:r>
      <w:r>
        <w:rPr>
          <w:rFonts w:hint="eastAsia"/>
          <w:color w:val="000000"/>
          <w:sz w:val="24"/>
          <w:szCs w:val="24"/>
          <w:highlight w:val="none"/>
        </w:rPr>
      </w:r>
      <w:r>
        <w:rPr>
          <w:highlight w:val="none"/>
        </w:rPr>
      </w:r>
    </w:p>
    <w:p>
      <w:pPr>
        <w:pStyle w:val="821"/>
        <w:rPr>
          <w:color w:val="000000"/>
          <w:highlight w:val="none"/>
        </w:rPr>
      </w:pPr>
      <w:r>
        <w:rPr>
          <w:color w:val="000000"/>
          <w:highlight w:val="none"/>
        </w:rPr>
        <w:t xml:space="preserve">本项目为落实《江苏省工业园区（集中区）污染物排放限值限量监测监控系统建设指南（试行）》要求，实施1套标准空气站、1套PAMS空气站的设备采购、安装、调试、验收及3年运维服务，实现数据实时接入园区平台及江苏省生态环境大数据平台，满足限值限量管理、总量核算、非现场监管、数据盯控、分析预警等需求。</w:t>
      </w:r>
      <w:r>
        <w:rPr>
          <w:color w:val="000000"/>
          <w:highlight w:val="none"/>
        </w:rPr>
      </w:r>
      <w:r>
        <w:rPr>
          <w:highlight w:val="none"/>
        </w:rPr>
      </w:r>
    </w:p>
    <w:p>
      <w:pPr>
        <w:pStyle w:val="821"/>
        <w:rPr>
          <w:rFonts w:hint="eastAsia" w:eastAsia="宋体"/>
          <w:color w:val="000000"/>
          <w:highlight w:val="none"/>
        </w:rPr>
      </w:pPr>
      <w:r>
        <w:rPr>
          <w:color w:val="000000"/>
          <w:highlight w:val="none"/>
        </w:rPr>
        <w:t xml:space="preserve">本项目预算构成：设备购置费</w:t>
      </w:r>
      <w:r>
        <w:rPr>
          <w:rFonts w:hint="eastAsia"/>
          <w:color w:val="000000"/>
          <w:highlight w:val="none"/>
          <w:lang w:val="en-US" w:eastAsia="zh-CN"/>
        </w:rPr>
        <w:t xml:space="preserve">+</w:t>
      </w:r>
      <w:r>
        <w:rPr>
          <w:color w:val="000000"/>
          <w:highlight w:val="none"/>
        </w:rPr>
        <w:t xml:space="preserve">三年运维服务费</w:t>
      </w:r>
      <w:r>
        <w:rPr>
          <w:rFonts w:hint="eastAsia"/>
          <w:color w:val="000000"/>
          <w:highlight w:val="none"/>
          <w:lang w:eastAsia="zh-CN"/>
        </w:rPr>
        <w:t xml:space="preserve">，</w:t>
      </w:r>
      <w:r>
        <w:rPr>
          <w:color w:val="000000"/>
          <w:highlight w:val="none"/>
        </w:rPr>
        <w:t xml:space="preserve">合计</w:t>
      </w:r>
      <w:r>
        <w:rPr>
          <w:rFonts w:hint="eastAsia"/>
          <w:color w:val="000000"/>
          <w:highlight w:val="none"/>
          <w:lang w:val="en-US" w:eastAsia="zh-CN"/>
        </w:rPr>
        <w:t xml:space="preserve">187.5</w:t>
      </w:r>
      <w:r>
        <w:rPr>
          <w:color w:val="000000"/>
          <w:highlight w:val="none"/>
        </w:rPr>
        <w:t xml:space="preserve">万元。所有设备提供三年质保，质保期内全部免费维修、免费更换、免费校准</w:t>
      </w:r>
      <w:r>
        <w:rPr>
          <w:rFonts w:hint="eastAsia"/>
          <w:color w:val="000000"/>
          <w:highlight w:val="none"/>
          <w:lang w:eastAsia="zh-CN"/>
        </w:rPr>
        <w:t xml:space="preserve">。</w:t>
      </w:r>
      <w:r>
        <w:rPr>
          <w:rFonts w:hint="eastAsia" w:eastAsia="宋体"/>
          <w:color w:val="000000"/>
          <w:highlight w:val="none"/>
          <w:lang w:val="en-US" w:eastAsia="zh-CN"/>
        </w:rPr>
      </w:r>
      <w:r>
        <w:rPr>
          <w:highlight w:val="none"/>
        </w:rPr>
      </w:r>
    </w:p>
    <w:p>
      <w:pPr>
        <w:pStyle w:val="762"/>
        <w:numPr>
          <w:ilvl w:val="0"/>
          <w:numId w:val="12"/>
        </w:numPr>
        <w:rPr>
          <w:rFonts w:hint="eastAsia"/>
          <w:color w:val="000000"/>
          <w:sz w:val="24"/>
          <w:szCs w:val="24"/>
          <w:highlight w:val="none"/>
        </w:rPr>
      </w:pPr>
      <w:r>
        <w:rPr>
          <w:rFonts w:hint="eastAsia"/>
          <w:color w:val="000000"/>
          <w:sz w:val="24"/>
          <w:szCs w:val="24"/>
          <w:highlight w:val="none"/>
          <w:lang w:val="en-US" w:eastAsia="zh-CN"/>
        </w:rPr>
        <w:t xml:space="preserve">采购需求单</w:t>
      </w:r>
      <w:r>
        <w:rPr>
          <w:rFonts w:hint="eastAsia"/>
          <w:color w:val="000000"/>
          <w:sz w:val="24"/>
          <w:szCs w:val="24"/>
          <w:highlight w:val="none"/>
          <w:lang w:val="en-US" w:eastAsia="zh-CN"/>
        </w:rPr>
      </w:r>
      <w:r>
        <w:rPr>
          <w:highlight w:val="none"/>
        </w:rPr>
      </w:r>
    </w:p>
    <w:p>
      <w:pPr>
        <w:pStyle w:val="822"/>
        <w:ind w:firstLine="480"/>
        <w:rPr>
          <w:rFonts w:ascii="宋体" w:hAnsi="宋体" w:eastAsia="宋体" w:cs="Times New Roman"/>
          <w:b w:val="0"/>
          <w:color w:val="000000"/>
          <w:sz w:val="24"/>
          <w:szCs w:val="22"/>
          <w:highlight w:val="none"/>
        </w:rPr>
      </w:pPr>
      <w:r>
        <w:rPr>
          <w:rFonts w:ascii="宋体" w:hAnsi="宋体" w:eastAsia="宋体" w:cs="Times New Roman"/>
          <w:b w:val="0"/>
          <w:color w:val="000000"/>
          <w:sz w:val="24"/>
          <w:szCs w:val="22"/>
          <w:highlight w:val="none"/>
          <w:lang w:val="en-US" w:eastAsia="en-US" w:bidi="ar-SA"/>
        </w:rPr>
        <w:t xml:space="preserve">本项目设备</w:t>
      </w:r>
      <w:r>
        <w:rPr>
          <w:rFonts w:hint="eastAsia" w:cs="Times New Roman"/>
          <w:b w:val="0"/>
          <w:color w:val="000000"/>
          <w:sz w:val="24"/>
          <w:szCs w:val="22"/>
          <w:highlight w:val="none"/>
          <w:lang w:val="en-US" w:eastAsia="zh-CN" w:bidi="ar-SA"/>
        </w:rPr>
        <w:t xml:space="preserve">+运维</w:t>
      </w:r>
      <w:r>
        <w:rPr>
          <w:rFonts w:ascii="宋体" w:hAnsi="宋体" w:eastAsia="宋体" w:cs="Times New Roman"/>
          <w:b w:val="0"/>
          <w:color w:val="000000"/>
          <w:sz w:val="24"/>
          <w:szCs w:val="22"/>
          <w:highlight w:val="none"/>
          <w:lang w:val="en-US" w:eastAsia="en-US" w:bidi="ar-SA"/>
        </w:rPr>
        <w:t xml:space="preserve">总费用为</w:t>
      </w:r>
      <w:r>
        <w:rPr>
          <w:rFonts w:hint="eastAsia" w:cs="Times New Roman"/>
          <w:b w:val="0"/>
          <w:color w:val="000000"/>
          <w:sz w:val="24"/>
          <w:szCs w:val="22"/>
          <w:highlight w:val="none"/>
          <w:lang w:val="en-US" w:eastAsia="zh-CN" w:bidi="ar-SA"/>
        </w:rPr>
        <w:t xml:space="preserve">187.5</w:t>
      </w:r>
      <w:r>
        <w:rPr>
          <w:rFonts w:ascii="宋体" w:hAnsi="宋体" w:eastAsia="宋体" w:cs="Times New Roman"/>
          <w:b w:val="0"/>
          <w:color w:val="000000"/>
          <w:sz w:val="24"/>
          <w:szCs w:val="22"/>
          <w:highlight w:val="none"/>
          <w:lang w:val="en-US" w:eastAsia="en-US" w:bidi="ar-SA"/>
        </w:rPr>
        <w:t xml:space="preserve">万元。所有设备提供三年原厂质保，质保期内所有设备维修、更换、校准、零部件更新均由中标人免费承担。</w:t>
      </w:r>
      <w:r>
        <w:rPr>
          <w:rFonts w:ascii="宋体" w:hAnsi="宋体" w:eastAsia="宋体" w:cs="Times New Roman"/>
          <w:b w:val="0"/>
          <w:color w:val="000000"/>
          <w:sz w:val="24"/>
          <w:szCs w:val="22"/>
          <w:highlight w:val="none"/>
          <w:lang w:val="en-US" w:eastAsia="en-US" w:bidi="ar-SA"/>
        </w:rPr>
      </w:r>
      <w:r>
        <w:rPr>
          <w:highlight w:val="none"/>
        </w:rPr>
      </w:r>
    </w:p>
    <w:p>
      <w:pPr>
        <w:pStyle w:val="760"/>
        <w:numPr>
          <w:ilvl w:val="0"/>
          <w:numId w:val="0"/>
        </w:numPr>
        <w:rPr>
          <w:rFonts w:hint="eastAsia"/>
          <w:color w:val="000000"/>
          <w:highlight w:val="none"/>
        </w:rPr>
      </w:pPr>
      <w:r>
        <w:rPr>
          <w:rFonts w:hint="eastAsia"/>
          <w:color w:val="000000"/>
          <w:highlight w:val="none"/>
          <w:lang w:val="en-US" w:eastAsia="zh-CN"/>
        </w:rPr>
      </w:r>
      <w:r>
        <w:rPr>
          <w:highlight w:val="none"/>
        </w:rPr>
      </w:r>
    </w:p>
    <w:tbl>
      <w:tblPr>
        <w:tblW w:w="1082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3"/>
        <w:gridCol w:w="2969"/>
        <w:gridCol w:w="4021"/>
        <w:gridCol w:w="861"/>
        <w:gridCol w:w="1113"/>
        <w:gridCol w:w="1028"/>
      </w:tblGrid>
      <w:tr>
        <w:trPr>
          <w:trHeight w:val="519"/>
        </w:trPr>
        <w:tc>
          <w:tcPr>
            <w:tcW w:w="833" w:type="dxa"/>
            <w:vAlign w:val="center"/>
            <w:textDirection w:val="lrTb"/>
            <w:noWrap w:val="false"/>
          </w:tcPr>
          <w:p>
            <w:pPr>
              <w:pStyle w:val="760"/>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2"/>
                <w:sz w:val="24"/>
                <w:szCs w:val="24"/>
                <w:highlight w:val="none"/>
              </w:rPr>
              <w:t xml:space="preserve">序</w:t>
            </w:r>
            <w:r>
              <w:rPr>
                <w:rFonts w:hint="eastAsia" w:ascii="宋体" w:hAnsi="宋体" w:cs="宋体"/>
                <w:color w:val="000000"/>
                <w:spacing w:val="-1"/>
                <w:sz w:val="24"/>
                <w:szCs w:val="24"/>
                <w:highlight w:val="none"/>
              </w:rPr>
              <w:t xml:space="preserve">号</w:t>
            </w:r>
            <w:r>
              <w:rPr>
                <w:rFonts w:hint="eastAsia" w:ascii="宋体" w:hAnsi="宋体" w:cs="宋体"/>
                <w:color w:val="000000"/>
                <w:sz w:val="24"/>
                <w:szCs w:val="24"/>
                <w:highlight w:val="none"/>
              </w:rPr>
            </w:r>
            <w:r>
              <w:rPr>
                <w:highlight w:val="none"/>
              </w:rPr>
            </w:r>
          </w:p>
        </w:tc>
        <w:tc>
          <w:tcPr>
            <w:tcW w:w="2969" w:type="dxa"/>
            <w:vAlign w:val="center"/>
            <w:textDirection w:val="lrTb"/>
            <w:noWrap w:val="false"/>
          </w:tcPr>
          <w:p>
            <w:pPr>
              <w:pStyle w:val="760"/>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项</w:t>
            </w:r>
            <w:r>
              <w:rPr>
                <w:rFonts w:hint="eastAsia" w:ascii="宋体" w:hAnsi="宋体" w:cs="宋体"/>
                <w:color w:val="000000"/>
                <w:spacing w:val="-2"/>
                <w:sz w:val="24"/>
                <w:szCs w:val="24"/>
                <w:highlight w:val="none"/>
              </w:rPr>
              <w:t xml:space="preserve">目名称</w:t>
            </w:r>
            <w:r>
              <w:rPr>
                <w:rFonts w:hint="eastAsia" w:ascii="宋体" w:hAnsi="宋体" w:cs="宋体"/>
                <w:color w:val="000000"/>
                <w:sz w:val="24"/>
                <w:szCs w:val="24"/>
                <w:highlight w:val="none"/>
              </w:rPr>
            </w:r>
            <w:r>
              <w:rPr>
                <w:highlight w:val="none"/>
              </w:rPr>
            </w:r>
          </w:p>
        </w:tc>
        <w:tc>
          <w:tcPr>
            <w:tcW w:w="4021" w:type="dxa"/>
            <w:vAlign w:val="center"/>
            <w:textDirection w:val="lrTb"/>
            <w:noWrap w:val="false"/>
          </w:tcPr>
          <w:p>
            <w:pPr>
              <w:pStyle w:val="760"/>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2"/>
                <w:sz w:val="24"/>
                <w:szCs w:val="24"/>
                <w:highlight w:val="none"/>
              </w:rPr>
              <w:t xml:space="preserve">服务内容</w:t>
            </w:r>
            <w:r>
              <w:rPr>
                <w:rFonts w:hint="eastAsia" w:ascii="宋体" w:hAnsi="宋体" w:cs="宋体"/>
                <w:color w:val="000000"/>
                <w:sz w:val="24"/>
                <w:szCs w:val="24"/>
                <w:highlight w:val="none"/>
              </w:rPr>
            </w:r>
            <w:r>
              <w:rPr>
                <w:highlight w:val="none"/>
              </w:rPr>
            </w:r>
          </w:p>
        </w:tc>
        <w:tc>
          <w:tcPr>
            <w:tcW w:w="861" w:type="dxa"/>
            <w:vAlign w:val="center"/>
            <w:textDirection w:val="lrTb"/>
            <w:noWrap w:val="false"/>
          </w:tcPr>
          <w:p>
            <w:pPr>
              <w:pStyle w:val="760"/>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数</w:t>
            </w:r>
            <w:r>
              <w:rPr>
                <w:rFonts w:hint="eastAsia" w:ascii="宋体" w:hAnsi="宋体" w:cs="宋体"/>
                <w:color w:val="000000"/>
                <w:spacing w:val="-2"/>
                <w:sz w:val="24"/>
                <w:szCs w:val="24"/>
                <w:highlight w:val="none"/>
              </w:rPr>
              <w:t xml:space="preserve">量</w:t>
            </w:r>
            <w:r>
              <w:rPr>
                <w:rFonts w:hint="eastAsia" w:ascii="宋体" w:hAnsi="宋体" w:cs="宋体"/>
                <w:color w:val="000000"/>
                <w:sz w:val="24"/>
                <w:szCs w:val="24"/>
                <w:highlight w:val="none"/>
              </w:rPr>
            </w:r>
            <w:r>
              <w:rPr>
                <w:highlight w:val="none"/>
              </w:rPr>
            </w:r>
          </w:p>
        </w:tc>
        <w:tc>
          <w:tcPr>
            <w:tcW w:w="1113" w:type="dxa"/>
            <w:vAlign w:val="center"/>
            <w:textDirection w:val="lrTb"/>
            <w:noWrap w:val="false"/>
          </w:tcPr>
          <w:p>
            <w:pPr>
              <w:pStyle w:val="760"/>
              <w:jc w:val="center"/>
              <w:spacing w:before="201"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单</w:t>
            </w:r>
            <w:r>
              <w:rPr>
                <w:rFonts w:hint="eastAsia" w:ascii="宋体" w:hAnsi="宋体" w:cs="宋体"/>
                <w:color w:val="000000"/>
                <w:spacing w:val="-2"/>
                <w:sz w:val="24"/>
                <w:szCs w:val="24"/>
                <w:highlight w:val="none"/>
              </w:rPr>
              <w:t xml:space="preserve">位</w:t>
            </w:r>
            <w:r>
              <w:rPr>
                <w:rFonts w:hint="eastAsia" w:ascii="宋体" w:hAnsi="宋体" w:cs="宋体"/>
                <w:color w:val="000000"/>
                <w:sz w:val="24"/>
                <w:szCs w:val="24"/>
                <w:highlight w:val="none"/>
              </w:rPr>
            </w:r>
            <w:r>
              <w:rPr>
                <w:highlight w:val="none"/>
              </w:rPr>
            </w:r>
          </w:p>
        </w:tc>
        <w:tc>
          <w:tcPr>
            <w:tcW w:w="1028" w:type="dxa"/>
            <w:vAlign w:val="center"/>
            <w:textDirection w:val="lrTb"/>
            <w:noWrap w:val="false"/>
          </w:tcPr>
          <w:p>
            <w:pPr>
              <w:pStyle w:val="760"/>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单价限价（万元）</w:t>
            </w:r>
            <w:r>
              <w:rPr>
                <w:rFonts w:hint="eastAsia" w:ascii="宋体" w:hAnsi="宋体" w:eastAsia="宋体" w:cs="宋体"/>
                <w:color w:val="000000"/>
                <w:spacing w:val="-3"/>
                <w:sz w:val="24"/>
                <w:szCs w:val="24"/>
                <w:highlight w:val="none"/>
                <w:lang w:val="en-US" w:eastAsia="zh-CN"/>
              </w:rPr>
            </w:r>
            <w:r>
              <w:rPr>
                <w:highlight w:val="none"/>
              </w:rPr>
            </w:r>
          </w:p>
        </w:tc>
      </w:tr>
      <w:tr>
        <w:trPr>
          <w:trHeight w:val="998"/>
        </w:trPr>
        <w:tc>
          <w:tcPr>
            <w:tcW w:w="833" w:type="dxa"/>
            <w:vAlign w:val="center"/>
            <w:textDirection w:val="lrTb"/>
            <w:noWrap w:val="false"/>
          </w:tcPr>
          <w:p>
            <w:pPr>
              <w:pStyle w:val="760"/>
              <w:jc w:val="center"/>
              <w:spacing w:before="201" w:line="360" w:lineRule="auto"/>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lang w:val="en-US" w:eastAsia="zh-CN"/>
              </w:rPr>
            </w:r>
            <w:r>
              <w:rPr>
                <w:highlight w:val="none"/>
              </w:rPr>
            </w:r>
          </w:p>
        </w:tc>
        <w:tc>
          <w:tcPr>
            <w:tcW w:w="2969" w:type="dxa"/>
            <w:vAlign w:val="center"/>
            <w:textDirection w:val="lrTb"/>
            <w:noWrap w:val="false"/>
          </w:tcPr>
          <w:p>
            <w:pPr>
              <w:pStyle w:val="760"/>
              <w:jc w:val="center"/>
              <w:spacing w:before="201" w:line="360" w:lineRule="auto"/>
              <w:rPr>
                <w:rFonts w:hint="eastAsia" w:ascii="宋体" w:hAnsi="宋体" w:eastAsia="宋体" w:cs="宋体"/>
                <w:color w:val="000000"/>
                <w:spacing w:val="-3"/>
                <w:sz w:val="24"/>
                <w:szCs w:val="24"/>
                <w:highlight w:val="none"/>
              </w:rPr>
            </w:pPr>
            <w:r>
              <w:rPr>
                <w:color w:val="000000"/>
                <w:highlight w:val="none"/>
              </w:rPr>
              <w:t xml:space="preserve">标准空气站（含气象五参）</w:t>
            </w:r>
            <w:r>
              <w:rPr>
                <w:rFonts w:hint="eastAsia" w:ascii="宋体" w:hAnsi="宋体" w:eastAsia="宋体" w:cs="宋体"/>
                <w:color w:val="000000"/>
                <w:spacing w:val="-3"/>
                <w:sz w:val="24"/>
                <w:szCs w:val="24"/>
                <w:highlight w:val="none"/>
                <w:lang w:val="en-US" w:eastAsia="zh-CN"/>
              </w:rPr>
            </w:r>
            <w:r>
              <w:rPr>
                <w:highlight w:val="none"/>
              </w:rPr>
            </w:r>
          </w:p>
        </w:tc>
        <w:tc>
          <w:tcPr>
            <w:tcW w:w="4021" w:type="dxa"/>
            <w:vAlign w:val="center"/>
            <w:textDirection w:val="lrTb"/>
            <w:noWrap w:val="false"/>
          </w:tcPr>
          <w:p>
            <w:pPr>
              <w:pStyle w:val="760"/>
              <w:jc w:val="center"/>
              <w:spacing w:before="201" w:line="360" w:lineRule="auto"/>
              <w:rPr>
                <w:rFonts w:ascii="宋体" w:hAnsi="宋体" w:cs="宋体"/>
                <w:color w:val="000000"/>
                <w:spacing w:val="-3"/>
                <w:sz w:val="24"/>
                <w:szCs w:val="24"/>
                <w:highlight w:val="none"/>
              </w:rPr>
            </w:pPr>
            <w:r>
              <w:rPr>
                <w:color w:val="000000"/>
                <w:highlight w:val="none"/>
              </w:rPr>
              <w:t xml:space="preserve">满足HJ 653、HJ 654，监测PM₂.₅、PM₁₀、SO₂、NO₂、CO、O₃、温度、湿度、气压、风速、风向</w:t>
            </w:r>
            <w:r>
              <w:rPr>
                <w:rFonts w:ascii="宋体" w:hAnsi="宋体" w:cs="宋体"/>
                <w:color w:val="000000"/>
                <w:spacing w:val="-3"/>
                <w:sz w:val="24"/>
                <w:szCs w:val="24"/>
                <w:highlight w:val="none"/>
                <w:lang w:val="en-US" w:eastAsia="zh-CN"/>
              </w:rPr>
            </w:r>
            <w:r>
              <w:rPr>
                <w:highlight w:val="none"/>
              </w:rPr>
            </w:r>
          </w:p>
        </w:tc>
        <w:tc>
          <w:tcPr>
            <w:tcW w:w="861" w:type="dxa"/>
            <w:vAlign w:val="center"/>
            <w:textDirection w:val="lrTb"/>
            <w:noWrap w:val="false"/>
          </w:tcPr>
          <w:p>
            <w:pPr>
              <w:pStyle w:val="760"/>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1</w:t>
            </w:r>
            <w:r>
              <w:rPr>
                <w:rFonts w:hint="eastAsia" w:ascii="宋体" w:hAnsi="宋体" w:eastAsia="宋体" w:cs="宋体"/>
                <w:color w:val="000000"/>
                <w:spacing w:val="-3"/>
                <w:sz w:val="24"/>
                <w:szCs w:val="24"/>
                <w:highlight w:val="none"/>
                <w:lang w:val="en-US" w:eastAsia="zh-CN"/>
              </w:rPr>
            </w:r>
            <w:r>
              <w:rPr>
                <w:highlight w:val="none"/>
              </w:rPr>
            </w:r>
          </w:p>
        </w:tc>
        <w:tc>
          <w:tcPr>
            <w:tcW w:w="1113" w:type="dxa"/>
            <w:vAlign w:val="center"/>
            <w:textDirection w:val="lrTb"/>
            <w:noWrap w:val="false"/>
          </w:tcPr>
          <w:p>
            <w:pPr>
              <w:pStyle w:val="760"/>
              <w:jc w:val="center"/>
              <w:spacing w:before="201" w:line="360" w:lineRule="auto"/>
              <w:rPr>
                <w:rFonts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套</w:t>
            </w:r>
            <w:r>
              <w:rPr>
                <w:rFonts w:ascii="宋体" w:hAnsi="宋体" w:eastAsia="宋体" w:cs="宋体"/>
                <w:color w:val="000000"/>
                <w:spacing w:val="-3"/>
                <w:sz w:val="24"/>
                <w:szCs w:val="24"/>
                <w:highlight w:val="none"/>
                <w:lang w:val="en-US" w:eastAsia="zh-CN"/>
              </w:rPr>
            </w:r>
            <w:r>
              <w:rPr>
                <w:highlight w:val="none"/>
              </w:rPr>
            </w:r>
          </w:p>
        </w:tc>
        <w:tc>
          <w:tcPr>
            <w:tcW w:w="1028" w:type="dxa"/>
            <w:vAlign w:val="center"/>
            <w:vMerge w:val="restart"/>
            <w:textDirection w:val="lrTb"/>
            <w:noWrap w:val="false"/>
          </w:tcPr>
          <w:p>
            <w:pPr>
              <w:pStyle w:val="760"/>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125</w:t>
            </w:r>
            <w:r>
              <w:rPr>
                <w:rFonts w:ascii="宋体" w:hAnsi="宋体" w:cs="宋体"/>
                <w:color w:val="000000"/>
                <w:spacing w:val="-3"/>
                <w:sz w:val="24"/>
                <w:szCs w:val="24"/>
                <w:highlight w:val="none"/>
                <w:lang w:val="en-US" w:eastAsia="zh-CN"/>
              </w:rPr>
            </w:r>
            <w:r>
              <w:rPr>
                <w:highlight w:val="none"/>
              </w:rPr>
            </w:r>
          </w:p>
        </w:tc>
      </w:tr>
      <w:tr>
        <w:trPr>
          <w:trHeight w:val="1031"/>
        </w:trPr>
        <w:tc>
          <w:tcPr>
            <w:tcW w:w="833" w:type="dxa"/>
            <w:vAlign w:val="center"/>
            <w:textDirection w:val="lrTb"/>
            <w:noWrap w:val="false"/>
          </w:tcPr>
          <w:p>
            <w:pPr>
              <w:pStyle w:val="760"/>
              <w:jc w:val="center"/>
              <w:spacing w:before="201" w:line="360" w:lineRule="auto"/>
              <w:rPr>
                <w:rFonts w:hint="eastAsia" w:ascii="宋体" w:hAnsi="宋体" w:eastAsia="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2</w:t>
            </w:r>
            <w:r>
              <w:rPr>
                <w:rFonts w:hint="eastAsia" w:ascii="宋体" w:hAnsi="宋体" w:eastAsia="宋体" w:cs="宋体"/>
                <w:color w:val="000000"/>
                <w:spacing w:val="-2"/>
                <w:sz w:val="24"/>
                <w:szCs w:val="24"/>
                <w:highlight w:val="none"/>
                <w:lang w:val="en-US" w:eastAsia="zh-CN" w:bidi="ar-SA"/>
              </w:rPr>
            </w:r>
            <w:r>
              <w:rPr>
                <w:highlight w:val="none"/>
              </w:rPr>
            </w:r>
          </w:p>
        </w:tc>
        <w:tc>
          <w:tcPr>
            <w:tcW w:w="2969" w:type="dxa"/>
            <w:vAlign w:val="center"/>
            <w:textDirection w:val="lrTb"/>
            <w:noWrap w:val="false"/>
          </w:tcPr>
          <w:p>
            <w:pPr>
              <w:pStyle w:val="760"/>
              <w:jc w:val="center"/>
              <w:spacing w:before="201" w:line="360" w:lineRule="auto"/>
              <w:rPr>
                <w:rFonts w:ascii="宋体" w:hAnsi="宋体" w:eastAsia="宋体" w:cs="宋体"/>
                <w:color w:val="000000"/>
                <w:spacing w:val="-3"/>
                <w:sz w:val="24"/>
                <w:szCs w:val="24"/>
                <w:highlight w:val="none"/>
              </w:rPr>
            </w:pPr>
            <w:r>
              <w:rPr>
                <w:color w:val="000000"/>
                <w:highlight w:val="none"/>
              </w:rPr>
              <w:t xml:space="preserve">PAMS空气站（57种VOCs）</w:t>
            </w:r>
            <w:r>
              <w:rPr>
                <w:rFonts w:ascii="宋体" w:hAnsi="宋体" w:eastAsia="宋体" w:cs="宋体"/>
                <w:color w:val="000000"/>
                <w:spacing w:val="-3"/>
                <w:sz w:val="24"/>
                <w:szCs w:val="24"/>
                <w:highlight w:val="none"/>
                <w:lang w:val="en-US" w:eastAsia="zh-CN" w:bidi="ar-SA"/>
              </w:rPr>
            </w:r>
            <w:r>
              <w:rPr>
                <w:highlight w:val="none"/>
              </w:rPr>
            </w:r>
          </w:p>
        </w:tc>
        <w:tc>
          <w:tcPr>
            <w:tcW w:w="4021" w:type="dxa"/>
            <w:vAlign w:val="center"/>
            <w:textDirection w:val="lrTb"/>
            <w:noWrap w:val="false"/>
          </w:tcPr>
          <w:p>
            <w:pPr>
              <w:pStyle w:val="760"/>
              <w:jc w:val="center"/>
              <w:spacing w:before="201" w:line="360" w:lineRule="auto"/>
              <w:rPr>
                <w:rFonts w:ascii="宋体" w:hAnsi="宋体" w:cs="宋体"/>
                <w:color w:val="000000"/>
                <w:spacing w:val="-3"/>
                <w:sz w:val="24"/>
                <w:szCs w:val="24"/>
                <w:highlight w:val="none"/>
              </w:rPr>
            </w:pPr>
            <w:r>
              <w:rPr>
                <w:color w:val="000000"/>
                <w:highlight w:val="none"/>
              </w:rPr>
              <w:t xml:space="preserve">满足HJ 1010，GC-双FID，60分钟分析周期，57种PAMS组分</w:t>
            </w:r>
            <w:r>
              <w:rPr>
                <w:rFonts w:ascii="宋体" w:hAnsi="宋体" w:cs="宋体"/>
                <w:color w:val="000000"/>
                <w:spacing w:val="-3"/>
                <w:sz w:val="24"/>
                <w:szCs w:val="24"/>
                <w:highlight w:val="none"/>
                <w:lang w:val="en-US" w:eastAsia="zh-CN"/>
              </w:rPr>
            </w:r>
            <w:r>
              <w:rPr>
                <w:highlight w:val="none"/>
              </w:rPr>
            </w:r>
          </w:p>
        </w:tc>
        <w:tc>
          <w:tcPr>
            <w:tcW w:w="861" w:type="dxa"/>
            <w:vAlign w:val="center"/>
            <w:textDirection w:val="lrTb"/>
            <w:noWrap w:val="false"/>
          </w:tcPr>
          <w:p>
            <w:pPr>
              <w:pStyle w:val="760"/>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1</w:t>
            </w:r>
            <w:r>
              <w:rPr>
                <w:rFonts w:hint="eastAsia" w:ascii="宋体" w:hAnsi="宋体" w:eastAsia="宋体" w:cs="宋体"/>
                <w:color w:val="000000"/>
                <w:spacing w:val="-3"/>
                <w:sz w:val="24"/>
                <w:szCs w:val="24"/>
                <w:highlight w:val="none"/>
                <w:lang w:val="en-US" w:eastAsia="zh-CN" w:bidi="ar-SA"/>
              </w:rPr>
            </w:r>
            <w:r>
              <w:rPr>
                <w:highlight w:val="none"/>
              </w:rPr>
            </w:r>
          </w:p>
        </w:tc>
        <w:tc>
          <w:tcPr>
            <w:tcW w:w="1113" w:type="dxa"/>
            <w:vAlign w:val="center"/>
            <w:textDirection w:val="lrTb"/>
            <w:noWrap w:val="false"/>
          </w:tcPr>
          <w:p>
            <w:pPr>
              <w:pStyle w:val="760"/>
              <w:jc w:val="center"/>
              <w:spacing w:before="201" w:line="360" w:lineRule="auto"/>
              <w:rPr>
                <w:rFonts w:hint="eastAsia" w:ascii="宋体" w:hAnsi="宋体" w:eastAsia="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套</w:t>
            </w:r>
            <w:r>
              <w:rPr>
                <w:rFonts w:hint="eastAsia" w:ascii="宋体" w:hAnsi="宋体" w:eastAsia="宋体" w:cs="宋体"/>
                <w:color w:val="000000"/>
                <w:spacing w:val="-3"/>
                <w:sz w:val="24"/>
                <w:szCs w:val="24"/>
                <w:highlight w:val="none"/>
                <w:lang w:val="en-US" w:eastAsia="zh-CN" w:bidi="ar-SA"/>
              </w:rPr>
            </w:r>
            <w:r>
              <w:rPr>
                <w:highlight w:val="none"/>
              </w:rPr>
            </w:r>
          </w:p>
        </w:tc>
        <w:tc>
          <w:tcPr>
            <w:tcW w:w="1028" w:type="dxa"/>
            <w:vAlign w:val="center"/>
            <w:vMerge w:val="continue"/>
            <w:textDirection w:val="lrTb"/>
            <w:noWrap w:val="false"/>
          </w:tcPr>
          <w:p>
            <w:pPr>
              <w:pStyle w:val="760"/>
              <w:jc w:val="center"/>
              <w:spacing w:before="201" w:line="360" w:lineRule="auto"/>
              <w:rPr>
                <w:rFonts w:hint="eastAsia" w:ascii="宋体" w:hAnsi="宋体" w:cs="宋体"/>
                <w:color w:val="000000"/>
                <w:spacing w:val="-3"/>
                <w:sz w:val="24"/>
                <w:szCs w:val="24"/>
                <w:highlight w:val="none"/>
                <w:lang w:val="en-US" w:eastAsia="zh-CN"/>
              </w:rPr>
            </w:pPr>
            <w:r>
              <w:rPr>
                <w:rFonts w:hint="eastAsia" w:ascii="宋体" w:hAnsi="宋体" w:cs="宋体"/>
                <w:color w:val="000000"/>
                <w:spacing w:val="-3"/>
                <w:sz w:val="24"/>
                <w:szCs w:val="24"/>
                <w:highlight w:val="none"/>
                <w:lang w:val="en-US" w:eastAsia="zh-CN"/>
              </w:rPr>
            </w:r>
            <w:r/>
          </w:p>
        </w:tc>
      </w:tr>
      <w:tr>
        <w:trPr>
          <w:trHeight w:val="1045"/>
        </w:trPr>
        <w:tc>
          <w:tcPr>
            <w:tcW w:w="833" w:type="dxa"/>
            <w:vAlign w:val="center"/>
            <w:textDirection w:val="lrTb"/>
            <w:noWrap w:val="false"/>
          </w:tcPr>
          <w:p>
            <w:pPr>
              <w:pStyle w:val="760"/>
              <w:jc w:val="center"/>
              <w:spacing w:before="201" w:line="360" w:lineRule="auto"/>
              <w:rPr>
                <w:rFonts w:ascii="宋体" w:hAnsi="宋体" w:cs="宋体"/>
                <w:color w:val="000000"/>
                <w:spacing w:val="-2"/>
                <w:sz w:val="24"/>
                <w:szCs w:val="24"/>
                <w:highlight w:val="none"/>
              </w:rPr>
            </w:pPr>
            <w:r>
              <w:rPr>
                <w:rFonts w:hint="eastAsia" w:ascii="宋体" w:hAnsi="宋体" w:cs="宋体"/>
                <w:color w:val="000000"/>
                <w:spacing w:val="-2"/>
                <w:sz w:val="24"/>
                <w:szCs w:val="24"/>
                <w:highlight w:val="none"/>
                <w:lang w:val="en-US" w:eastAsia="zh-CN"/>
              </w:rPr>
              <w:t xml:space="preserve">3</w:t>
            </w:r>
            <w:r>
              <w:rPr>
                <w:rFonts w:ascii="宋体" w:hAnsi="宋体" w:cs="宋体"/>
                <w:color w:val="000000"/>
                <w:spacing w:val="-2"/>
                <w:sz w:val="24"/>
                <w:szCs w:val="24"/>
                <w:highlight w:val="none"/>
                <w:lang w:val="en-US" w:eastAsia="zh-CN"/>
              </w:rPr>
            </w:r>
            <w:r>
              <w:rPr>
                <w:highlight w:val="none"/>
              </w:rPr>
            </w:r>
          </w:p>
        </w:tc>
        <w:tc>
          <w:tcPr>
            <w:tcW w:w="2969" w:type="dxa"/>
            <w:vAlign w:val="center"/>
            <w:textDirection w:val="lrTb"/>
            <w:noWrap w:val="false"/>
          </w:tcPr>
          <w:p>
            <w:pPr>
              <w:pStyle w:val="760"/>
              <w:jc w:val="center"/>
              <w:spacing w:before="201" w:line="360" w:lineRule="auto"/>
              <w:rPr>
                <w:rFonts w:ascii="宋体" w:hAnsi="宋体" w:eastAsia="宋体" w:cs="宋体"/>
                <w:color w:val="000000"/>
                <w:spacing w:val="-3"/>
                <w:sz w:val="24"/>
                <w:szCs w:val="24"/>
                <w:highlight w:val="none"/>
              </w:rPr>
            </w:pPr>
            <w:r>
              <w:rPr>
                <w:color w:val="000000"/>
                <w:highlight w:val="none"/>
              </w:rPr>
              <w:t xml:space="preserve">三年运维服务</w:t>
            </w:r>
            <w:r>
              <w:rPr>
                <w:rFonts w:ascii="宋体" w:hAnsi="宋体" w:eastAsia="宋体" w:cs="宋体"/>
                <w:color w:val="000000"/>
                <w:spacing w:val="-3"/>
                <w:sz w:val="24"/>
                <w:szCs w:val="24"/>
                <w:highlight w:val="none"/>
                <w:lang w:val="en-US" w:eastAsia="zh-CN"/>
              </w:rPr>
            </w:r>
            <w:r>
              <w:rPr>
                <w:highlight w:val="none"/>
              </w:rPr>
            </w:r>
          </w:p>
        </w:tc>
        <w:tc>
          <w:tcPr>
            <w:tcW w:w="4021" w:type="dxa"/>
            <w:vAlign w:val="center"/>
            <w:textDirection w:val="lrTb"/>
            <w:noWrap w:val="false"/>
          </w:tcPr>
          <w:p>
            <w:pPr>
              <w:pStyle w:val="760"/>
              <w:jc w:val="center"/>
              <w:spacing w:before="201" w:line="360" w:lineRule="auto"/>
              <w:rPr>
                <w:rFonts w:ascii="宋体" w:hAnsi="宋体" w:eastAsia="宋体" w:cs="宋体"/>
                <w:color w:val="000000"/>
                <w:spacing w:val="-3"/>
                <w:sz w:val="24"/>
                <w:szCs w:val="24"/>
                <w:highlight w:val="none"/>
              </w:rPr>
            </w:pPr>
            <w:r>
              <w:rPr>
                <w:color w:val="000000"/>
                <w:highlight w:val="none"/>
              </w:rPr>
              <w:t xml:space="preserve">含校准、耗材、备件、通讯、电费、驻场、备机、数据审核、联网保障</w:t>
            </w:r>
            <w:r>
              <w:rPr>
                <w:rFonts w:hint="eastAsia"/>
                <w:color w:val="000000"/>
                <w:highlight w:val="none"/>
                <w:lang w:eastAsia="zh-CN"/>
              </w:rPr>
              <w:t xml:space="preserve">、</w:t>
            </w:r>
            <w:r>
              <w:rPr>
                <w:rFonts w:hint="eastAsia"/>
                <w:color w:val="000000"/>
                <w:highlight w:val="none"/>
                <w:lang w:val="en-US" w:eastAsia="zh-CN"/>
              </w:rPr>
              <w:t xml:space="preserve">防雷</w:t>
            </w:r>
            <w:r>
              <w:rPr>
                <w:rFonts w:ascii="宋体" w:hAnsi="宋体" w:eastAsia="宋体" w:cs="宋体"/>
                <w:color w:val="000000"/>
                <w:spacing w:val="-3"/>
                <w:sz w:val="24"/>
                <w:szCs w:val="24"/>
                <w:highlight w:val="none"/>
                <w:lang w:val="en-US" w:eastAsia="zh-CN"/>
              </w:rPr>
            </w:r>
            <w:r>
              <w:rPr>
                <w:highlight w:val="none"/>
              </w:rPr>
            </w:r>
          </w:p>
        </w:tc>
        <w:tc>
          <w:tcPr>
            <w:tcW w:w="861" w:type="dxa"/>
            <w:vAlign w:val="center"/>
            <w:textDirection w:val="lrTb"/>
            <w:noWrap w:val="false"/>
          </w:tcPr>
          <w:p>
            <w:pPr>
              <w:pStyle w:val="760"/>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3</w:t>
            </w:r>
            <w:r>
              <w:rPr>
                <w:rFonts w:ascii="宋体" w:hAnsi="宋体" w:cs="宋体"/>
                <w:color w:val="000000"/>
                <w:spacing w:val="-3"/>
                <w:sz w:val="24"/>
                <w:szCs w:val="24"/>
                <w:highlight w:val="none"/>
                <w:lang w:val="en-US" w:eastAsia="zh-CN"/>
              </w:rPr>
            </w:r>
            <w:r>
              <w:rPr>
                <w:highlight w:val="none"/>
              </w:rPr>
            </w:r>
          </w:p>
        </w:tc>
        <w:tc>
          <w:tcPr>
            <w:tcW w:w="1113" w:type="dxa"/>
            <w:vAlign w:val="center"/>
            <w:textDirection w:val="lrTb"/>
            <w:noWrap w:val="false"/>
          </w:tcPr>
          <w:p>
            <w:pPr>
              <w:pStyle w:val="760"/>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年</w:t>
            </w:r>
            <w:r>
              <w:rPr>
                <w:rFonts w:ascii="宋体" w:hAnsi="宋体" w:cs="宋体"/>
                <w:color w:val="000000"/>
                <w:spacing w:val="-3"/>
                <w:sz w:val="24"/>
                <w:szCs w:val="24"/>
                <w:highlight w:val="none"/>
                <w:lang w:val="en-US" w:eastAsia="zh-CN"/>
              </w:rPr>
            </w:r>
            <w:r>
              <w:rPr>
                <w:highlight w:val="none"/>
              </w:rPr>
            </w:r>
          </w:p>
        </w:tc>
        <w:tc>
          <w:tcPr>
            <w:tcW w:w="1028" w:type="dxa"/>
            <w:vAlign w:val="center"/>
            <w:textDirection w:val="lrTb"/>
            <w:noWrap w:val="false"/>
          </w:tcPr>
          <w:p>
            <w:pPr>
              <w:pStyle w:val="760"/>
              <w:jc w:val="center"/>
              <w:spacing w:before="201" w:line="360" w:lineRule="auto"/>
              <w:rPr>
                <w:rFonts w:ascii="宋体" w:hAnsi="宋体" w:cs="宋体"/>
                <w:color w:val="000000"/>
                <w:spacing w:val="-3"/>
                <w:sz w:val="24"/>
                <w:szCs w:val="24"/>
                <w:highlight w:val="none"/>
              </w:rPr>
            </w:pPr>
            <w:r>
              <w:rPr>
                <w:rFonts w:hint="eastAsia" w:ascii="宋体" w:hAnsi="宋体" w:cs="宋体"/>
                <w:color w:val="000000"/>
                <w:spacing w:val="-3"/>
                <w:sz w:val="24"/>
                <w:szCs w:val="24"/>
                <w:highlight w:val="none"/>
                <w:lang w:val="en-US" w:eastAsia="zh-CN"/>
              </w:rPr>
              <w:t xml:space="preserve">62.5</w:t>
            </w:r>
            <w:r>
              <w:rPr>
                <w:rFonts w:ascii="宋体" w:hAnsi="宋体" w:cs="宋体"/>
                <w:color w:val="000000"/>
                <w:spacing w:val="-3"/>
                <w:sz w:val="24"/>
                <w:szCs w:val="24"/>
                <w:highlight w:val="none"/>
                <w:lang w:val="en-US" w:eastAsia="zh-CN"/>
              </w:rPr>
            </w:r>
            <w:r>
              <w:rPr>
                <w:highlight w:val="none"/>
              </w:rPr>
            </w:r>
          </w:p>
        </w:tc>
      </w:tr>
    </w:tbl>
    <w:p>
      <w:pPr>
        <w:pStyle w:val="763"/>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工作要求及技术要求</w:t>
      </w:r>
      <w:r>
        <w:rPr>
          <w:rFonts w:hint="eastAsia"/>
          <w:b/>
          <w:color w:val="000000"/>
          <w:sz w:val="24"/>
          <w:szCs w:val="24"/>
          <w:highlight w:val="none"/>
          <w:lang w:val="en-US" w:eastAsia="zh-CN"/>
        </w:rPr>
      </w:r>
      <w:r>
        <w:rPr>
          <w:highlight w:val="none"/>
        </w:rPr>
      </w:r>
    </w:p>
    <w:p>
      <w:pPr>
        <w:pStyle w:val="823"/>
        <w:numPr>
          <w:ilvl w:val="0"/>
          <w:numId w:val="0"/>
        </w:numPr>
        <w:rPr>
          <w:rFonts w:hint="eastAsia"/>
          <w:b/>
          <w:bCs w:val="0"/>
          <w:color w:val="000000"/>
          <w:highlight w:val="none"/>
        </w:rPr>
      </w:pPr>
      <w:r>
        <w:rPr>
          <w:rFonts w:hint="eastAsia"/>
          <w:b/>
          <w:bCs w:val="0"/>
          <w:color w:val="000000"/>
          <w:highlight w:val="none"/>
          <w:lang w:val="en-US" w:eastAsia="zh-CN"/>
        </w:rPr>
        <w:t xml:space="preserve">1、工作要求</w:t>
      </w:r>
      <w:r>
        <w:rPr>
          <w:rFonts w:hint="eastAsia"/>
          <w:b/>
          <w:bCs w:val="0"/>
          <w:color w:val="000000"/>
          <w:highlight w:val="none"/>
          <w:lang w:val="en-US" w:eastAsia="zh-CN"/>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严格按照国家标准规范开展建设工作，做好台账资料，满足考核要求。</w:t>
      </w:r>
      <w:r>
        <w:rPr>
          <w:rFonts w:hint="eastAsia" w:ascii="宋体" w:hAnsi="宋体" w:eastAsia="宋体" w:cs="宋体"/>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采购人可对中标单位进行现场监督和检查。对于在督查中提出的问题要及时进行整改，并提交整改报告。</w:t>
      </w:r>
      <w:r>
        <w:rPr>
          <w:rFonts w:hint="eastAsia" w:ascii="宋体" w:hAnsi="宋体" w:cs="宋体"/>
          <w:color w:val="000000"/>
          <w:sz w:val="24"/>
          <w:szCs w:val="24"/>
          <w:highlight w:val="none"/>
          <w:lang w:val="en-US" w:eastAsia="zh-CN"/>
        </w:rPr>
        <w:t xml:space="preserve">中标单位</w:t>
      </w:r>
      <w:r>
        <w:rPr>
          <w:rFonts w:hint="eastAsia" w:ascii="宋体" w:hAnsi="宋体" w:eastAsia="宋体" w:cs="宋体"/>
          <w:color w:val="000000"/>
          <w:sz w:val="24"/>
          <w:szCs w:val="24"/>
          <w:highlight w:val="none"/>
        </w:rPr>
        <w:t xml:space="preserve">整改不到位的，</w:t>
      </w:r>
      <w:r>
        <w:rPr>
          <w:rFonts w:hint="eastAsia" w:ascii="宋体" w:hAnsi="宋体" w:cs="宋体"/>
          <w:color w:val="000000"/>
          <w:sz w:val="24"/>
          <w:szCs w:val="24"/>
          <w:highlight w:val="none"/>
          <w:lang w:val="en-US" w:eastAsia="zh-CN"/>
        </w:rPr>
        <w:t xml:space="preserve">采购人有权</w:t>
      </w:r>
      <w:r>
        <w:rPr>
          <w:rFonts w:hint="eastAsia" w:ascii="宋体" w:hAnsi="宋体" w:eastAsia="宋体" w:cs="宋体"/>
          <w:color w:val="000000"/>
          <w:sz w:val="24"/>
          <w:szCs w:val="24"/>
          <w:highlight w:val="none"/>
        </w:rPr>
        <w:t xml:space="preserve">取消其资格并保留追究其经济赔偿责任和法律责任的权利。</w:t>
      </w:r>
      <w:r>
        <w:rPr>
          <w:rFonts w:hint="eastAsia" w:ascii="宋体" w:hAnsi="宋体" w:eastAsia="宋体" w:cs="宋体"/>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（3）对站点设备参数、数据等信息不得向除委托方及委托方认可的单位与个人透露。</w:t>
      </w:r>
      <w:r>
        <w:rPr>
          <w:rFonts w:hint="eastAsia" w:ascii="宋体" w:hAnsi="宋体" w:eastAsia="宋体" w:cs="宋体"/>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color w:val="000000"/>
          <w:sz w:val="24"/>
          <w:szCs w:val="24"/>
          <w:highlight w:val="none"/>
        </w:rPr>
        <w:t xml:space="preserve">严格按照国家及江苏省规范实施，数据真实、准确、完整、可追溯，严禁篡改、伪造、瞒报数据。数据传输严格执行HJ 212-2017协议，支持断点续传、加密传输、一点多发、异常报警。</w:t>
      </w:r>
      <w:r>
        <w:rPr>
          <w:rFonts w:hint="eastAsia" w:ascii="宋体" w:hAnsi="宋体" w:eastAsia="宋体" w:cs="宋体"/>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（5）中标单位不得拒绝采购人委托的与本项目相关的法定职责涉及的任务，否则视为违约。</w:t>
      </w:r>
      <w:r>
        <w:rPr>
          <w:rFonts w:hint="eastAsia" w:ascii="宋体" w:hAnsi="宋体" w:eastAsia="宋体" w:cs="宋体"/>
          <w:color w:val="000000"/>
          <w:sz w:val="24"/>
          <w:szCs w:val="24"/>
          <w:highlight w:val="none"/>
          <w:lang w:val="en-US" w:eastAsia="zh-CN"/>
        </w:rPr>
      </w:r>
      <w:r>
        <w:rPr>
          <w:highlight w:val="none"/>
        </w:rPr>
      </w:r>
    </w:p>
    <w:p>
      <w:pPr>
        <w:pStyle w:val="760"/>
        <w:ind w:firstLine="480"/>
        <w:spacing w:line="360" w:lineRule="auto"/>
        <w:rPr>
          <w:rFonts w:hint="eastAsia" w:hAnsi="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质保期内，中标单位</w:t>
      </w:r>
      <w:r>
        <w:rPr>
          <w:rFonts w:hint="eastAsia" w:hAnsi="宋体"/>
          <w:color w:val="000000"/>
          <w:sz w:val="24"/>
          <w:szCs w:val="24"/>
          <w:highlight w:val="none"/>
        </w:rPr>
        <w:t xml:space="preserve">应具备完善的供应渠道。</w:t>
      </w:r>
      <w:r>
        <w:rPr>
          <w:rFonts w:hint="eastAsia" w:hAnsi="宋体"/>
          <w:color w:val="000000"/>
          <w:sz w:val="24"/>
          <w:szCs w:val="24"/>
          <w:highlight w:val="none"/>
        </w:rPr>
      </w:r>
      <w:r>
        <w:rPr>
          <w:highlight w:val="none"/>
        </w:rPr>
      </w:r>
    </w:p>
    <w:p>
      <w:pPr>
        <w:pStyle w:val="760"/>
        <w:ind w:firstLine="480"/>
        <w:spacing w:line="360" w:lineRule="auto"/>
        <w:rPr>
          <w:color w:val="000000"/>
          <w:highlight w:val="none"/>
        </w:rPr>
      </w:pPr>
      <w:r>
        <w:rPr>
          <w:rFonts w:hint="eastAsia" w:hAnsi="宋体"/>
          <w:color w:val="000000"/>
          <w:sz w:val="24"/>
          <w:szCs w:val="24"/>
          <w:highlight w:val="none"/>
          <w:lang w:val="en-US" w:eastAsia="zh-CN"/>
        </w:rPr>
        <w:t xml:space="preserve">（7）</w:t>
      </w:r>
      <w:r>
        <w:rPr>
          <w:color w:val="000000"/>
          <w:sz w:val="24"/>
          <w:szCs w:val="24"/>
          <w:highlight w:val="none"/>
        </w:rPr>
        <w:t xml:space="preserve">服务期内在宜兴市内具备固定服务保障能力，2小时内响应，4小时内到场处置，24小时内解决故障；48小时无法修复的，必须提供备机保障数据连续。</w:t>
      </w:r>
      <w:r>
        <w:rPr>
          <w:color w:val="000000"/>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hAnsi="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中标单位需与运维单位</w:t>
      </w:r>
      <w:r>
        <w:rPr>
          <w:rFonts w:hint="eastAsia" w:ascii="宋体" w:hAnsi="宋体" w:cs="宋体"/>
          <w:color w:val="000000"/>
          <w:sz w:val="24"/>
          <w:szCs w:val="24"/>
          <w:highlight w:val="none"/>
          <w:lang w:val="en-US" w:eastAsia="zh-CN"/>
        </w:rPr>
        <w:t xml:space="preserve">建立</w:t>
      </w:r>
      <w:r>
        <w:rPr>
          <w:rFonts w:hint="eastAsia" w:ascii="宋体" w:hAnsi="宋体" w:eastAsia="宋体" w:cs="宋体"/>
          <w:color w:val="000000"/>
          <w:sz w:val="24"/>
          <w:szCs w:val="24"/>
          <w:highlight w:val="none"/>
          <w:lang w:val="en-US" w:eastAsia="zh-CN"/>
        </w:rPr>
        <w:t xml:space="preserve">良好的沟通渠道，设备安装、调试及验收过程需技术交底于运维单位，便于后续运维工作的开展。</w:t>
      </w:r>
      <w:r>
        <w:rPr>
          <w:rFonts w:hint="eastAsia" w:ascii="宋体" w:hAnsi="宋体" w:eastAsia="宋体" w:cs="宋体"/>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color w:val="000000"/>
          <w:sz w:val="24"/>
          <w:szCs w:val="24"/>
          <w:highlight w:val="none"/>
        </w:rPr>
        <w:t xml:space="preserve">所有设备为全新原厂正品，提供原厂质保与售后服务承诺。</w:t>
      </w:r>
      <w:r>
        <w:rPr>
          <w:rFonts w:hint="eastAsia" w:ascii="宋体" w:hAnsi="宋体" w:eastAsia="宋体" w:cs="宋体"/>
          <w:color w:val="000000"/>
          <w:sz w:val="24"/>
          <w:szCs w:val="24"/>
          <w:highlight w:val="none"/>
          <w:lang w:val="en-US" w:eastAsia="zh-CN"/>
        </w:rPr>
      </w:r>
      <w:r>
        <w:rPr>
          <w:highlight w:val="none"/>
        </w:rPr>
      </w:r>
    </w:p>
    <w:p>
      <w:pPr>
        <w:pStyle w:val="823"/>
        <w:numPr>
          <w:ilvl w:val="0"/>
          <w:numId w:val="0"/>
        </w:numPr>
        <w:rPr>
          <w:b/>
          <w:bCs w:val="0"/>
          <w:color w:val="000000"/>
          <w:highlight w:val="none"/>
        </w:rPr>
      </w:pPr>
      <w:r>
        <w:rPr>
          <w:rFonts w:hint="eastAsia"/>
          <w:b/>
          <w:bCs w:val="0"/>
          <w:color w:val="000000"/>
          <w:highlight w:val="none"/>
          <w:lang w:val="en-US" w:eastAsia="zh-CN"/>
        </w:rPr>
        <w:t xml:space="preserve">2、技术要求</w:t>
      </w:r>
      <w:r>
        <w:rPr>
          <w:b/>
          <w:bCs w:val="0"/>
          <w:color w:val="000000"/>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1、仪器检测方法和技术、设备要求</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（1）设备检测方法</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所选择的自动监测的仪器应测量原理须符合中国国家标准分析方法、中国环保行业分析方法或等同、相近的其他国家的标准分析方法，具体见表1。</w:t>
      </w:r>
      <w:r>
        <w:rPr>
          <w:rFonts w:hint="eastAsia" w:ascii="宋体" w:hAnsi="宋体" w:eastAsia="宋体" w:cs="宋体"/>
          <w:bCs/>
          <w:color w:val="000000"/>
          <w:sz w:val="24"/>
          <w:szCs w:val="24"/>
          <w:highlight w:val="none"/>
          <w:lang w:val="en-US" w:eastAsia="zh-CN"/>
        </w:rPr>
      </w:r>
      <w:r>
        <w:rPr>
          <w:highlight w:val="none"/>
        </w:rPr>
      </w:r>
    </w:p>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表1 空气站监测指标和方法原理</w:t>
      </w:r>
      <w:r>
        <w:rPr>
          <w:rFonts w:hint="eastAsia" w:ascii="宋体" w:hAnsi="宋体" w:eastAsia="宋体" w:cs="宋体"/>
          <w:bCs/>
          <w:color w:val="000000"/>
          <w:sz w:val="24"/>
          <w:szCs w:val="24"/>
          <w:highlight w:val="none"/>
          <w:lang w:val="en-US" w:eastAsia="zh-CN"/>
        </w:rPr>
      </w:r>
      <w:r>
        <w:rPr>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3257"/>
        <w:gridCol w:w="1617"/>
        <w:gridCol w:w="4142"/>
      </w:tblGrid>
      <w:tr>
        <w:trPr>
          <w:trHeight w:val="680"/>
        </w:trPr>
        <w:tc>
          <w:tcPr>
            <w:tcW w:w="425" w:type="dxa"/>
            <w:vAlign w:val="center"/>
            <w:textDirection w:val="lrTb"/>
            <w:noWrap w:val="false"/>
          </w:tcPr>
          <w:p>
            <w:pPr>
              <w:pStyle w:val="76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rPr>
                <w:highlight w:val="none"/>
              </w:rPr>
            </w:r>
          </w:p>
        </w:tc>
        <w:tc>
          <w:tcPr>
            <w:tcW w:w="1652" w:type="dxa"/>
            <w:vAlign w:val="center"/>
            <w:textDirection w:val="lrTb"/>
            <w:noWrap w:val="false"/>
          </w:tcPr>
          <w:p>
            <w:pPr>
              <w:pStyle w:val="76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站点类型</w:t>
            </w:r>
            <w:r>
              <w:rPr>
                <w:rFonts w:hint="eastAsia" w:ascii="宋体" w:hAnsi="宋体" w:eastAsia="宋体" w:cs="宋体"/>
                <w:b/>
                <w:bCs/>
                <w:color w:val="000000"/>
                <w:sz w:val="24"/>
                <w:szCs w:val="24"/>
                <w:highlight w:val="none"/>
              </w:rPr>
            </w:r>
            <w:r>
              <w:rPr>
                <w:highlight w:val="none"/>
              </w:rPr>
            </w:r>
          </w:p>
        </w:tc>
        <w:tc>
          <w:tcPr>
            <w:tcW w:w="820" w:type="dxa"/>
            <w:vAlign w:val="center"/>
            <w:textDirection w:val="lrTb"/>
            <w:noWrap w:val="false"/>
          </w:tcPr>
          <w:p>
            <w:pPr>
              <w:pStyle w:val="76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rPr>
                <w:highlight w:val="none"/>
              </w:rPr>
            </w:r>
          </w:p>
        </w:tc>
        <w:tc>
          <w:tcPr>
            <w:tcW w:w="2101" w:type="dxa"/>
            <w:vAlign w:val="center"/>
            <w:textDirection w:val="lrTb"/>
            <w:noWrap w:val="false"/>
          </w:tcPr>
          <w:p>
            <w:pPr>
              <w:pStyle w:val="760"/>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方法</w:t>
            </w:r>
            <w:r>
              <w:rPr>
                <w:rFonts w:hint="eastAsia" w:ascii="宋体" w:hAnsi="宋体" w:eastAsia="宋体" w:cs="宋体"/>
                <w:b/>
                <w:bCs/>
                <w:color w:val="000000"/>
                <w:sz w:val="24"/>
                <w:szCs w:val="24"/>
                <w:highlight w:val="none"/>
              </w:rPr>
            </w:r>
            <w:r>
              <w:rPr>
                <w:highlight w:val="none"/>
              </w:rPr>
            </w:r>
          </w:p>
        </w:tc>
      </w:tr>
      <w:tr>
        <w:trPr>
          <w:trHeight w:val="567"/>
        </w:trPr>
        <w:tc>
          <w:tcPr>
            <w:tcW w:w="42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rPr>
                <w:highlight w:val="none"/>
              </w:rPr>
            </w:r>
          </w:p>
        </w:tc>
        <w:tc>
          <w:tcPr>
            <w:tcW w:w="1652" w:type="dxa"/>
            <w:vAlign w:val="center"/>
            <w:vMerge w:val="restart"/>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标准空气站</w:t>
            </w:r>
            <w:r>
              <w:rPr>
                <w:rFonts w:hint="eastAsia" w:ascii="宋体" w:hAnsi="宋体" w:eastAsia="宋体" w:cs="宋体"/>
                <w:color w:val="000000"/>
                <w:sz w:val="24"/>
                <w:szCs w:val="24"/>
                <w:highlight w:val="none"/>
              </w:rPr>
            </w:r>
            <w:r>
              <w:rPr>
                <w:highlight w:val="none"/>
              </w:rP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PM</w:t>
            </w:r>
            <w:r>
              <w:rPr>
                <w:rFonts w:hint="eastAsia" w:ascii="宋体" w:hAnsi="宋体" w:eastAsia="宋体" w:cs="宋体"/>
                <w:color w:val="000000"/>
                <w:sz w:val="24"/>
                <w:szCs w:val="24"/>
                <w:highlight w:val="none"/>
                <w:vertAlign w:val="baseline"/>
              </w:rPr>
              <w:t xml:space="preserve">10</w:t>
            </w:r>
            <w:r>
              <w:rPr>
                <w:rFonts w:hint="eastAsia" w:ascii="宋体" w:hAnsi="宋体" w:eastAsia="宋体" w:cs="宋体"/>
                <w:color w:val="000000"/>
                <w:sz w:val="24"/>
                <w:szCs w:val="24"/>
                <w:highlight w:val="none"/>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β射线法</w:t>
            </w:r>
            <w:r>
              <w:rPr>
                <w:rFonts w:hint="eastAsia" w:ascii="宋体" w:hAnsi="宋体" w:eastAsia="宋体" w:cs="宋体"/>
                <w:color w:val="000000"/>
                <w:sz w:val="24"/>
                <w:szCs w:val="24"/>
                <w:highlight w:val="none"/>
              </w:rPr>
            </w:r>
            <w:r>
              <w:rPr>
                <w:highlight w:val="none"/>
              </w:rPr>
            </w:r>
          </w:p>
        </w:tc>
      </w:tr>
      <w:tr>
        <w:trPr>
          <w:trHeight w:val="567"/>
        </w:trPr>
        <w:tc>
          <w:tcPr>
            <w:tcW w:w="42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rPr>
                <w:highlight w:val="none"/>
              </w:rPr>
            </w:r>
          </w:p>
        </w:tc>
        <w:tc>
          <w:tcPr>
            <w:tcW w:w="1652" w:type="dxa"/>
            <w:vAlign w:val="center"/>
            <w:vMerge w:val="continue"/>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PM</w:t>
            </w:r>
            <w:r>
              <w:rPr>
                <w:rFonts w:hint="eastAsia" w:ascii="宋体" w:hAnsi="宋体" w:eastAsia="宋体" w:cs="宋体"/>
                <w:color w:val="000000"/>
                <w:sz w:val="24"/>
                <w:szCs w:val="24"/>
                <w:highlight w:val="none"/>
                <w:vertAlign w:val="baseline"/>
              </w:rPr>
              <w:t xml:space="preserve">2.5</w:t>
            </w:r>
            <w:r>
              <w:rPr>
                <w:rFonts w:hint="eastAsia" w:ascii="宋体" w:hAnsi="宋体" w:eastAsia="宋体" w:cs="宋体"/>
                <w:color w:val="000000"/>
                <w:sz w:val="24"/>
                <w:szCs w:val="24"/>
                <w:highlight w:val="none"/>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β射线法</w:t>
            </w:r>
            <w:r>
              <w:rPr>
                <w:rFonts w:hint="eastAsia" w:ascii="宋体" w:hAnsi="宋体" w:eastAsia="宋体" w:cs="宋体"/>
                <w:color w:val="000000"/>
                <w:sz w:val="24"/>
                <w:szCs w:val="24"/>
                <w:highlight w:val="none"/>
              </w:rPr>
            </w:r>
            <w:r>
              <w:rPr>
                <w:highlight w:val="none"/>
              </w:rPr>
            </w:r>
          </w:p>
        </w:tc>
      </w:tr>
      <w:tr>
        <w:trPr>
          <w:trHeight w:val="567"/>
        </w:trPr>
        <w:tc>
          <w:tcPr>
            <w:tcW w:w="42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rPr>
                <w:highlight w:val="none"/>
              </w:rPr>
            </w:r>
          </w:p>
        </w:tc>
        <w:tc>
          <w:tcPr>
            <w:tcW w:w="1652" w:type="dxa"/>
            <w:vAlign w:val="center"/>
            <w:vMerge w:val="continue"/>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SO</w:t>
            </w:r>
            <w:r>
              <w:rPr>
                <w:rFonts w:hint="eastAsia" w:ascii="宋体" w:hAnsi="宋体" w:eastAsia="宋体" w:cs="宋体"/>
                <w:color w:val="000000"/>
                <w:sz w:val="24"/>
                <w:szCs w:val="24"/>
                <w:highlight w:val="none"/>
                <w:vertAlign w:val="baseline"/>
              </w:rPr>
              <w:t xml:space="preserve">2</w:t>
            </w:r>
            <w:r>
              <w:rPr>
                <w:rFonts w:hint="eastAsia" w:ascii="宋体" w:hAnsi="宋体" w:eastAsia="宋体" w:cs="宋体"/>
                <w:color w:val="000000"/>
                <w:sz w:val="24"/>
                <w:szCs w:val="24"/>
                <w:highlight w:val="none"/>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紫外荧光法</w:t>
            </w:r>
            <w:r>
              <w:rPr>
                <w:rFonts w:hint="eastAsia" w:ascii="宋体" w:hAnsi="宋体" w:eastAsia="宋体" w:cs="宋体"/>
                <w:color w:val="000000"/>
                <w:sz w:val="24"/>
                <w:szCs w:val="24"/>
                <w:highlight w:val="none"/>
              </w:rPr>
            </w:r>
            <w:r>
              <w:rPr>
                <w:highlight w:val="none"/>
              </w:rPr>
            </w:r>
          </w:p>
        </w:tc>
      </w:tr>
      <w:tr>
        <w:trPr>
          <w:trHeight w:val="567"/>
        </w:trPr>
        <w:tc>
          <w:tcPr>
            <w:tcW w:w="42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rPr>
                <w:highlight w:val="none"/>
              </w:rPr>
            </w:r>
          </w:p>
        </w:tc>
        <w:tc>
          <w:tcPr>
            <w:tcW w:w="1652" w:type="dxa"/>
            <w:vAlign w:val="center"/>
            <w:vMerge w:val="continue"/>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NO</w:t>
            </w:r>
            <w:r>
              <w:rPr>
                <w:rFonts w:hint="eastAsia" w:ascii="宋体" w:hAnsi="宋体" w:eastAsia="宋体" w:cs="宋体"/>
                <w:color w:val="000000"/>
                <w:sz w:val="24"/>
                <w:szCs w:val="24"/>
                <w:highlight w:val="none"/>
                <w:vertAlign w:val="baseline"/>
              </w:rPr>
              <w:t xml:space="preserve">2</w:t>
            </w:r>
            <w:r>
              <w:rPr>
                <w:rFonts w:hint="eastAsia" w:ascii="宋体" w:hAnsi="宋体" w:eastAsia="宋体" w:cs="宋体"/>
                <w:color w:val="000000"/>
                <w:sz w:val="24"/>
                <w:szCs w:val="24"/>
                <w:highlight w:val="none"/>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化学发光法</w:t>
            </w:r>
            <w:r>
              <w:rPr>
                <w:rFonts w:hint="eastAsia" w:ascii="宋体" w:hAnsi="宋体" w:eastAsia="宋体" w:cs="宋体"/>
                <w:color w:val="000000"/>
                <w:sz w:val="24"/>
                <w:szCs w:val="24"/>
                <w:highlight w:val="none"/>
              </w:rPr>
            </w:r>
            <w:r>
              <w:rPr>
                <w:highlight w:val="none"/>
              </w:rPr>
            </w:r>
          </w:p>
        </w:tc>
      </w:tr>
      <w:tr>
        <w:trPr>
          <w:trHeight w:val="567"/>
        </w:trPr>
        <w:tc>
          <w:tcPr>
            <w:tcW w:w="425" w:type="dxa"/>
            <w:vAlign w:val="center"/>
            <w:textDirection w:val="lrTb"/>
            <w:noWrap w:val="false"/>
          </w:tcPr>
          <w:p>
            <w:pPr>
              <w:pStyle w:val="76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ascii="宋体" w:hAnsi="宋体" w:eastAsia="宋体" w:cs="宋体"/>
                <w:color w:val="000000"/>
                <w:sz w:val="24"/>
                <w:szCs w:val="24"/>
                <w:highlight w:val="none"/>
                <w:lang w:val="en-US" w:eastAsia="zh-CN"/>
              </w:rPr>
            </w:r>
            <w:r>
              <w:rPr>
                <w:highlight w:val="none"/>
              </w:rPr>
            </w:r>
          </w:p>
        </w:tc>
        <w:tc>
          <w:tcPr>
            <w:tcW w:w="1652" w:type="dxa"/>
            <w:vAlign w:val="center"/>
            <w:vMerge w:val="continue"/>
            <w:textDirection w:val="lrTb"/>
            <w:noWrap w:val="false"/>
          </w:tcPr>
          <w:p>
            <w:pPr>
              <w:pStyle w:val="760"/>
              <w:jc w:val="center"/>
              <w:rPr>
                <w:rFonts w:ascii="宋体" w:hAnsi="宋体" w:eastAsia="宋体" w:cs="宋体"/>
                <w:color w:val="000000"/>
                <w:sz w:val="24"/>
                <w:szCs w:val="24"/>
                <w:highlight w:val="none"/>
                <w:lang w:val="en-US"/>
              </w:rPr>
            </w:pPr>
            <w:r>
              <w:rPr>
                <w:rFonts w:ascii="宋体" w:hAnsi="宋体" w:eastAsia="宋体" w:cs="宋体"/>
                <w:color w:val="000000"/>
                <w:sz w:val="24"/>
                <w:szCs w:val="24"/>
                <w:highlight w:val="none"/>
                <w:lang w:val="en-US"/>
              </w:rPr>
            </w: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CO</w:t>
            </w:r>
            <w:r>
              <w:rPr>
                <w:rFonts w:hint="eastAsia" w:ascii="宋体" w:hAnsi="宋体" w:eastAsia="宋体" w:cs="宋体"/>
                <w:color w:val="000000"/>
                <w:sz w:val="24"/>
                <w:szCs w:val="24"/>
                <w:highlight w:val="none"/>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气体滤波相关红外吸收法</w:t>
            </w:r>
            <w:r>
              <w:rPr>
                <w:rFonts w:hint="eastAsia" w:ascii="宋体" w:hAnsi="宋体" w:eastAsia="宋体" w:cs="宋体"/>
                <w:color w:val="000000"/>
                <w:sz w:val="24"/>
                <w:szCs w:val="24"/>
                <w:highlight w:val="none"/>
              </w:rPr>
            </w:r>
            <w:r>
              <w:rPr>
                <w:highlight w:val="none"/>
              </w:rPr>
            </w:r>
          </w:p>
        </w:tc>
      </w:tr>
      <w:tr>
        <w:trPr>
          <w:trHeight w:val="567"/>
        </w:trPr>
        <w:tc>
          <w:tcPr>
            <w:tcW w:w="42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rPr>
                <w:highlight w:val="none"/>
              </w:rPr>
            </w:r>
          </w:p>
        </w:tc>
        <w:tc>
          <w:tcPr>
            <w:tcW w:w="1652" w:type="dxa"/>
            <w:vAlign w:val="center"/>
            <w:vMerge w:val="continue"/>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O</w:t>
            </w:r>
            <w:r>
              <w:rPr>
                <w:rFonts w:hint="eastAsia" w:ascii="宋体" w:hAnsi="宋体" w:eastAsia="宋体" w:cs="宋体"/>
                <w:color w:val="000000"/>
                <w:sz w:val="24"/>
                <w:szCs w:val="24"/>
                <w:highlight w:val="none"/>
                <w:vertAlign w:val="baseline"/>
              </w:rPr>
              <w:t xml:space="preserve">3</w:t>
            </w:r>
            <w:r>
              <w:rPr>
                <w:rFonts w:hint="eastAsia" w:ascii="宋体" w:hAnsi="宋体" w:eastAsia="宋体" w:cs="宋体"/>
                <w:color w:val="000000"/>
                <w:sz w:val="24"/>
                <w:szCs w:val="24"/>
                <w:highlight w:val="none"/>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紫外光度法</w:t>
            </w:r>
            <w:r>
              <w:rPr>
                <w:rFonts w:hint="eastAsia" w:ascii="宋体" w:hAnsi="宋体" w:eastAsia="宋体" w:cs="宋体"/>
                <w:color w:val="000000"/>
                <w:sz w:val="24"/>
                <w:szCs w:val="24"/>
                <w:highlight w:val="none"/>
              </w:rPr>
            </w:r>
            <w:r>
              <w:rPr>
                <w:highlight w:val="none"/>
              </w:rPr>
            </w:r>
          </w:p>
        </w:tc>
      </w:tr>
      <w:tr>
        <w:trPr>
          <w:trHeight w:val="567"/>
        </w:trPr>
        <w:tc>
          <w:tcPr>
            <w:tcW w:w="425" w:type="dxa"/>
            <w:vAlign w:val="center"/>
            <w:textDirection w:val="lrTb"/>
            <w:noWrap w:val="false"/>
          </w:tcPr>
          <w:p>
            <w:pPr>
              <w:pStyle w:val="76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rPr>
                <w:highlight w:val="none"/>
              </w:rPr>
            </w:r>
          </w:p>
        </w:tc>
        <w:tc>
          <w:tcPr>
            <w:tcW w:w="1652" w:type="dxa"/>
            <w:vAlign w:val="center"/>
            <w:vMerge w:val="restart"/>
            <w:textDirection w:val="lrTb"/>
            <w:noWrap w:val="false"/>
          </w:tcPr>
          <w:p>
            <w:pPr>
              <w:pStyle w:val="76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PAMS空气站</w:t>
            </w:r>
            <w:r>
              <w:rPr>
                <w:rFonts w:ascii="宋体" w:hAnsi="宋体" w:eastAsia="宋体" w:cs="宋体"/>
                <w:color w:val="000000"/>
                <w:sz w:val="24"/>
                <w:szCs w:val="24"/>
                <w:highlight w:val="none"/>
                <w:lang w:val="en-US" w:eastAsia="zh-CN"/>
              </w:rPr>
            </w:r>
            <w:r>
              <w:rPr>
                <w:highlight w:val="none"/>
              </w:rP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PAM</w:t>
            </w:r>
            <w:r>
              <w:rPr>
                <w:rFonts w:hint="eastAsia" w:ascii="宋体" w:hAnsi="宋体" w:cs="宋体"/>
                <w:color w:val="000000"/>
                <w:sz w:val="24"/>
                <w:szCs w:val="24"/>
                <w:highlight w:val="none"/>
                <w:lang w:val="en-US" w:eastAsia="zh-CN"/>
              </w:rPr>
              <w:t xml:space="preserve">S </w:t>
            </w:r>
            <w:r>
              <w:rPr>
                <w:rFonts w:hint="eastAsia" w:ascii="宋体" w:hAnsi="宋体" w:eastAsia="宋体" w:cs="宋体"/>
                <w:color w:val="000000"/>
                <w:sz w:val="24"/>
                <w:szCs w:val="24"/>
                <w:highlight w:val="none"/>
              </w:rPr>
              <w:t xml:space="preserve">57</w:t>
            </w:r>
            <w:r>
              <w:rPr>
                <w:rFonts w:hint="eastAsia" w:ascii="宋体" w:hAnsi="宋体" w:eastAsia="宋体" w:cs="宋体"/>
                <w:color w:val="000000"/>
                <w:sz w:val="24"/>
                <w:szCs w:val="24"/>
                <w:highlight w:val="none"/>
                <w:lang w:val="en-US" w:eastAsia="zh-CN"/>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GC-双FID</w:t>
            </w:r>
            <w:r>
              <w:rPr>
                <w:rFonts w:hint="eastAsia" w:ascii="宋体" w:hAnsi="宋体" w:eastAsia="宋体" w:cs="宋体"/>
                <w:color w:val="000000"/>
                <w:sz w:val="24"/>
                <w:szCs w:val="24"/>
                <w:highlight w:val="none"/>
                <w:lang w:val="en-US" w:eastAsia="zh-CN"/>
              </w:rPr>
            </w:r>
            <w:r>
              <w:rPr>
                <w:highlight w:val="none"/>
              </w:rPr>
            </w:r>
          </w:p>
        </w:tc>
      </w:tr>
      <w:tr>
        <w:trPr>
          <w:trHeight w:val="567"/>
        </w:trPr>
        <w:tc>
          <w:tcPr>
            <w:tcW w:w="425" w:type="dxa"/>
            <w:vAlign w:val="center"/>
            <w:textDirection w:val="lrTb"/>
            <w:noWrap w:val="false"/>
          </w:tcPr>
          <w:p>
            <w:pPr>
              <w:pStyle w:val="76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rPr>
                <w:highlight w:val="none"/>
              </w:rPr>
            </w:r>
          </w:p>
        </w:tc>
        <w:tc>
          <w:tcPr>
            <w:tcW w:w="1652" w:type="dxa"/>
            <w:vAlign w:val="center"/>
            <w:vMerge w:val="continue"/>
            <w:textDirection w:val="lrTb"/>
            <w:noWrap w:val="false"/>
          </w:tcPr>
          <w:p>
            <w:pPr>
              <w:pStyle w:val="76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温度</w:t>
            </w:r>
            <w:r>
              <w:rPr>
                <w:rFonts w:hint="eastAsia" w:ascii="宋体" w:hAnsi="宋体" w:eastAsia="宋体" w:cs="宋体"/>
                <w:color w:val="000000"/>
                <w:sz w:val="24"/>
                <w:szCs w:val="24"/>
                <w:highlight w:val="none"/>
                <w:lang w:val="en-US" w:eastAsia="zh-CN"/>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二极管结电压法</w:t>
            </w:r>
            <w:r>
              <w:rPr>
                <w:rFonts w:hint="eastAsia" w:ascii="宋体" w:hAnsi="宋体" w:eastAsia="宋体" w:cs="宋体"/>
                <w:color w:val="000000"/>
                <w:sz w:val="24"/>
                <w:szCs w:val="24"/>
                <w:highlight w:val="none"/>
                <w:lang w:val="en-US" w:eastAsia="zh-CN"/>
              </w:rPr>
            </w:r>
            <w:r>
              <w:rPr>
                <w:highlight w:val="none"/>
              </w:rPr>
            </w:r>
          </w:p>
        </w:tc>
      </w:tr>
      <w:tr>
        <w:trPr>
          <w:trHeight w:val="567"/>
        </w:trPr>
        <w:tc>
          <w:tcPr>
            <w:tcW w:w="425" w:type="dxa"/>
            <w:vAlign w:val="center"/>
            <w:textDirection w:val="lrTb"/>
            <w:noWrap w:val="false"/>
          </w:tcPr>
          <w:p>
            <w:pPr>
              <w:pStyle w:val="76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rPr>
                <w:highlight w:val="none"/>
              </w:rPr>
            </w:r>
          </w:p>
        </w:tc>
        <w:tc>
          <w:tcPr>
            <w:tcW w:w="1652" w:type="dxa"/>
            <w:vAlign w:val="center"/>
            <w:vMerge w:val="continue"/>
            <w:textDirection w:val="lrTb"/>
            <w:noWrap w:val="false"/>
          </w:tcPr>
          <w:p>
            <w:pPr>
              <w:pStyle w:val="76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湿度</w:t>
            </w:r>
            <w:r>
              <w:rPr>
                <w:rFonts w:hint="eastAsia" w:ascii="宋体" w:hAnsi="宋体" w:eastAsia="宋体" w:cs="宋体"/>
                <w:color w:val="000000"/>
                <w:sz w:val="24"/>
                <w:szCs w:val="24"/>
                <w:highlight w:val="none"/>
                <w:lang w:val="en-US" w:eastAsia="zh-CN"/>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电容式</w:t>
            </w:r>
            <w:r>
              <w:rPr>
                <w:rFonts w:hint="eastAsia" w:ascii="宋体" w:hAnsi="宋体" w:eastAsia="宋体" w:cs="宋体"/>
                <w:color w:val="000000"/>
                <w:sz w:val="24"/>
                <w:szCs w:val="24"/>
                <w:highlight w:val="none"/>
                <w:lang w:val="en-US" w:eastAsia="zh-CN"/>
              </w:rPr>
            </w:r>
            <w:r>
              <w:rPr>
                <w:highlight w:val="none"/>
              </w:rPr>
            </w:r>
          </w:p>
        </w:tc>
      </w:tr>
      <w:tr>
        <w:trPr>
          <w:trHeight w:val="567"/>
        </w:trPr>
        <w:tc>
          <w:tcPr>
            <w:tcW w:w="425" w:type="dxa"/>
            <w:vAlign w:val="center"/>
            <w:textDirection w:val="lrTb"/>
            <w:noWrap w:val="false"/>
          </w:tcPr>
          <w:p>
            <w:pPr>
              <w:pStyle w:val="76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rPr>
                <w:highlight w:val="none"/>
              </w:rPr>
            </w:r>
          </w:p>
        </w:tc>
        <w:tc>
          <w:tcPr>
            <w:tcW w:w="1652" w:type="dxa"/>
            <w:vAlign w:val="center"/>
            <w:vMerge w:val="continue"/>
            <w:textDirection w:val="lrTb"/>
            <w:noWrap w:val="false"/>
          </w:tcPr>
          <w:p>
            <w:pPr>
              <w:pStyle w:val="76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气压</w:t>
            </w:r>
            <w:r>
              <w:rPr>
                <w:rFonts w:hint="eastAsia" w:ascii="宋体" w:hAnsi="宋体" w:eastAsia="宋体" w:cs="宋体"/>
                <w:color w:val="000000"/>
                <w:sz w:val="24"/>
                <w:szCs w:val="24"/>
                <w:highlight w:val="none"/>
                <w:lang w:val="en-US" w:eastAsia="zh-CN"/>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压阻式</w:t>
            </w:r>
            <w:r>
              <w:rPr>
                <w:rFonts w:hint="eastAsia" w:ascii="宋体" w:hAnsi="宋体" w:eastAsia="宋体" w:cs="宋体"/>
                <w:color w:val="000000"/>
                <w:sz w:val="24"/>
                <w:szCs w:val="24"/>
                <w:highlight w:val="none"/>
                <w:lang w:val="en-US" w:eastAsia="zh-CN"/>
              </w:rPr>
            </w:r>
            <w:r>
              <w:rPr>
                <w:highlight w:val="none"/>
              </w:rPr>
            </w:r>
          </w:p>
        </w:tc>
      </w:tr>
      <w:tr>
        <w:trPr>
          <w:trHeight w:val="567"/>
        </w:trPr>
        <w:tc>
          <w:tcPr>
            <w:tcW w:w="425" w:type="dxa"/>
            <w:vAlign w:val="center"/>
            <w:textDirection w:val="lrTb"/>
            <w:noWrap w:val="false"/>
          </w:tcPr>
          <w:p>
            <w:pPr>
              <w:pStyle w:val="76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rPr>
                <w:highlight w:val="none"/>
              </w:rPr>
            </w:r>
          </w:p>
        </w:tc>
        <w:tc>
          <w:tcPr>
            <w:tcW w:w="1652" w:type="dxa"/>
            <w:vAlign w:val="center"/>
            <w:vMerge w:val="continue"/>
            <w:textDirection w:val="lrTb"/>
            <w:noWrap w:val="false"/>
          </w:tcPr>
          <w:p>
            <w:pPr>
              <w:pStyle w:val="76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风速</w:t>
            </w:r>
            <w:r>
              <w:rPr>
                <w:rFonts w:hint="eastAsia" w:ascii="宋体" w:hAnsi="宋体" w:eastAsia="宋体" w:cs="宋体"/>
                <w:color w:val="000000"/>
                <w:sz w:val="24"/>
                <w:szCs w:val="24"/>
                <w:highlight w:val="none"/>
                <w:lang w:val="en-US" w:eastAsia="zh-CN"/>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超声波时差</w:t>
            </w:r>
            <w:r>
              <w:rPr>
                <w:rFonts w:hint="eastAsia" w:ascii="宋体" w:hAnsi="宋体" w:eastAsia="宋体" w:cs="宋体"/>
                <w:color w:val="000000"/>
                <w:sz w:val="24"/>
                <w:szCs w:val="24"/>
                <w:highlight w:val="none"/>
                <w:lang w:val="en-US" w:eastAsia="zh-CN"/>
              </w:rPr>
            </w:r>
            <w:r>
              <w:rPr>
                <w:highlight w:val="none"/>
              </w:rPr>
            </w:r>
          </w:p>
        </w:tc>
      </w:tr>
      <w:tr>
        <w:trPr>
          <w:trHeight w:val="567"/>
        </w:trPr>
        <w:tc>
          <w:tcPr>
            <w:tcW w:w="425" w:type="dxa"/>
            <w:vAlign w:val="center"/>
            <w:textDirection w:val="lrTb"/>
            <w:noWrap w:val="false"/>
          </w:tcPr>
          <w:p>
            <w:pPr>
              <w:pStyle w:val="760"/>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rPr>
                <w:highlight w:val="none"/>
              </w:rPr>
            </w:r>
          </w:p>
        </w:tc>
        <w:tc>
          <w:tcPr>
            <w:tcW w:w="1652" w:type="dxa"/>
            <w:vAlign w:val="center"/>
            <w:vMerge w:val="continue"/>
            <w:textDirection w:val="lrTb"/>
            <w:noWrap w:val="false"/>
          </w:tcPr>
          <w:p>
            <w:pPr>
              <w:pStyle w:val="76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82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风向</w:t>
            </w:r>
            <w:r>
              <w:rPr>
                <w:rFonts w:hint="eastAsia" w:ascii="宋体" w:hAnsi="宋体" w:eastAsia="宋体" w:cs="宋体"/>
                <w:color w:val="000000"/>
                <w:sz w:val="24"/>
                <w:szCs w:val="24"/>
                <w:highlight w:val="none"/>
                <w:lang w:val="en-US" w:eastAsia="zh-CN"/>
              </w:rPr>
            </w:r>
            <w:r>
              <w:rPr>
                <w:highlight w:val="none"/>
              </w:rPr>
            </w:r>
          </w:p>
        </w:tc>
        <w:tc>
          <w:tcPr>
            <w:tcW w:w="2101"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超声波时差</w:t>
            </w:r>
            <w:r>
              <w:rPr>
                <w:rFonts w:hint="eastAsia" w:ascii="宋体" w:hAnsi="宋体" w:eastAsia="宋体" w:cs="宋体"/>
                <w:color w:val="000000"/>
                <w:sz w:val="24"/>
                <w:szCs w:val="24"/>
                <w:highlight w:val="none"/>
                <w:lang w:val="en-US" w:eastAsia="zh-CN"/>
              </w:rPr>
            </w:r>
            <w:r>
              <w:rPr>
                <w:highlight w:val="none"/>
              </w:rPr>
            </w:r>
          </w:p>
        </w:tc>
      </w:tr>
    </w:tbl>
    <w:p>
      <w:pPr>
        <w:pStyle w:val="824"/>
        <w:rPr>
          <w:rFonts w:hint="eastAsia"/>
          <w:color w:val="000000"/>
          <w:highlight w:val="none"/>
        </w:rPr>
      </w:pPr>
      <w:r>
        <w:rPr>
          <w:rFonts w:hint="eastAsia"/>
          <w:color w:val="000000"/>
          <w:highlight w:val="none"/>
          <w:lang w:val="en-US" w:eastAsia="zh-CN"/>
        </w:rPr>
      </w:r>
      <w:r>
        <w:rPr>
          <w:highlight w:val="none"/>
        </w:rPr>
      </w:r>
    </w:p>
    <w:p>
      <w:pPr>
        <w:pStyle w:val="763"/>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仪器技术参数（需达到或优于）</w:t>
      </w:r>
      <w:r>
        <w:rPr>
          <w:rFonts w:hint="eastAsia"/>
          <w:b/>
          <w:color w:val="000000"/>
          <w:sz w:val="24"/>
          <w:szCs w:val="24"/>
          <w:highlight w:val="none"/>
          <w:lang w:val="en-US" w:eastAsia="zh-CN"/>
        </w:rPr>
      </w:r>
      <w:r>
        <w:rPr>
          <w:highlight w:val="none"/>
        </w:rPr>
      </w:r>
    </w:p>
    <w:p>
      <w:pPr>
        <w:pStyle w:val="823"/>
        <w:numPr>
          <w:ilvl w:val="0"/>
          <w:numId w:val="0"/>
        </w:numPr>
        <w:rPr>
          <w:rFonts w:hint="eastAsia"/>
          <w:b/>
          <w:bCs w:val="0"/>
          <w:color w:val="000000"/>
          <w:highlight w:val="none"/>
        </w:rPr>
      </w:pPr>
      <w:r>
        <w:rPr>
          <w:rFonts w:hint="eastAsia"/>
          <w:b/>
          <w:bCs w:val="0"/>
          <w:color w:val="000000"/>
          <w:highlight w:val="none"/>
          <w:lang w:val="en-US" w:eastAsia="zh-CN"/>
        </w:rPr>
        <w:t xml:space="preserve">1、标准空气站监测仪器分析仪性能指标要求如下：</w:t>
      </w:r>
      <w:r>
        <w:rPr>
          <w:rFonts w:hint="eastAsia"/>
          <w:b/>
          <w:bCs w:val="0"/>
          <w:color w:val="000000"/>
          <w:highlight w:val="none"/>
          <w:lang w:val="en-US" w:eastAsia="zh-CN"/>
        </w:rPr>
      </w:r>
      <w:r>
        <w:rPr>
          <w:highlight w:val="none"/>
        </w:rPr>
      </w:r>
    </w:p>
    <w:p>
      <w:pPr>
        <w:pStyle w:val="790"/>
        <w:numPr>
          <w:ilvl w:val="2"/>
          <w:numId w:val="14"/>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系统概述：</w:t>
      </w:r>
      <w:r>
        <w:rPr>
          <w:rFonts w:hint="eastAsia" w:ascii="宋体" w:hAnsi="宋体" w:eastAsia="宋体" w:cs="宋体"/>
          <w:b w:val="0"/>
          <w:bCs w:val="0"/>
          <w:color w:val="000000"/>
          <w:sz w:val="24"/>
          <w:szCs w:val="24"/>
          <w:highlight w:val="none"/>
        </w:rPr>
      </w:r>
      <w:r>
        <w:rPr>
          <w:highlight w:val="none"/>
        </w:rPr>
      </w:r>
    </w:p>
    <w:p>
      <w:pPr>
        <w:pStyle w:val="790"/>
        <w:numPr>
          <w:ilvl w:val="0"/>
          <w:numId w:val="0"/>
        </w:numPr>
        <w:ind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利用先进的传感器技术、互联网技术、无线通信技术、计算机网络技术、电子地理信息技术、视频实时监控技术等，对颗粒物、气态污染物等排放实现 7*24 小时在线监测的综合实时监控系统。并且支持现场视频监控等，并预留多个接口，加装不同测量模块，对重要污染因子进行实时监控。</w:t>
      </w:r>
      <w:r>
        <w:rPr>
          <w:rFonts w:hint="eastAsia" w:ascii="宋体" w:hAnsi="宋体" w:eastAsia="宋体" w:cs="宋体"/>
          <w:b w:val="0"/>
          <w:bCs w:val="0"/>
          <w:color w:val="000000"/>
          <w:sz w:val="24"/>
          <w:szCs w:val="24"/>
          <w:highlight w:val="none"/>
        </w:rPr>
      </w:r>
      <w:r>
        <w:rPr>
          <w:highlight w:val="none"/>
        </w:rPr>
      </w:r>
    </w:p>
    <w:p>
      <w:pPr>
        <w:pStyle w:val="790"/>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监测因子包括：二氧化氮（NO2）、二氧化硫（SO2）、</w:t>
      </w:r>
      <w:r>
        <w:rPr>
          <w:rFonts w:hint="eastAsia" w:ascii="宋体" w:hAnsi="宋体" w:eastAsia="宋体" w:cs="宋体"/>
          <w:b w:val="0"/>
          <w:bCs w:val="0"/>
          <w:color w:val="000000"/>
          <w:sz w:val="24"/>
          <w:szCs w:val="24"/>
          <w:highlight w:val="none"/>
          <w:lang w:val="en-US" w:eastAsia="zh-CN"/>
        </w:rPr>
        <w:t xml:space="preserve">一氧化碳</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CO</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rPr>
        <w:t xml:space="preserve">、</w:t>
      </w:r>
      <w:r>
        <w:rPr>
          <w:rFonts w:hint="eastAsia" w:ascii="宋体" w:hAnsi="宋体" w:eastAsia="宋体" w:cs="宋体"/>
          <w:b w:val="0"/>
          <w:bCs w:val="0"/>
          <w:color w:val="000000"/>
          <w:sz w:val="24"/>
          <w:szCs w:val="24"/>
          <w:highlight w:val="none"/>
        </w:rPr>
        <w:t xml:space="preserve">颗粒物 PM10、PM2.5； 配温度、湿度、风速、风向、大气压等。</w:t>
      </w:r>
      <w:r>
        <w:rPr>
          <w:rFonts w:hint="eastAsia" w:ascii="宋体" w:hAnsi="宋体" w:eastAsia="宋体" w:cs="宋体"/>
          <w:b w:val="0"/>
          <w:bCs w:val="0"/>
          <w:color w:val="000000"/>
          <w:sz w:val="24"/>
          <w:szCs w:val="24"/>
          <w:highlight w:val="none"/>
        </w:rPr>
      </w:r>
      <w:r>
        <w:rPr>
          <w:highlight w:val="none"/>
        </w:rPr>
      </w:r>
    </w:p>
    <w:p>
      <w:pPr>
        <w:pStyle w:val="790"/>
        <w:numPr>
          <w:ilvl w:val="2"/>
          <w:numId w:val="14"/>
        </w:num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rPr>
        <w:t xml:space="preserve">技术要求：</w:t>
      </w:r>
      <w:r>
        <w:rPr>
          <w:rFonts w:hint="eastAsia" w:ascii="宋体" w:hAnsi="宋体" w:eastAsia="宋体" w:cs="宋体"/>
          <w:b w:val="0"/>
          <w:bCs w:val="0"/>
          <w:color w:val="000000"/>
          <w:sz w:val="24"/>
          <w:szCs w:val="24"/>
          <w:highlight w:val="none"/>
        </w:rPr>
      </w:r>
      <w:r>
        <w:rPr>
          <w:highlight w:val="none"/>
        </w:rPr>
      </w:r>
    </w:p>
    <w:p>
      <w:pPr>
        <w:pStyle w:val="76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标准空气站监测仪器技术要求、性能指标应符合HJ653及HJ654的相关要求。</w:t>
      </w:r>
      <w:r>
        <w:rPr>
          <w:rFonts w:hint="eastAsia" w:ascii="宋体" w:hAnsi="宋体" w:eastAsia="宋体" w:cs="宋体"/>
          <w:b w:val="0"/>
          <w:bCs w:val="0"/>
          <w:color w:val="000000"/>
          <w:sz w:val="24"/>
          <w:szCs w:val="24"/>
          <w:highlight w:val="none"/>
          <w:lang w:val="en-US" w:eastAsia="zh-CN"/>
        </w:rPr>
      </w:r>
      <w:r>
        <w:rPr>
          <w:highlight w:val="none"/>
        </w:rPr>
      </w:r>
    </w:p>
    <w:p>
      <w:pPr>
        <w:pStyle w:val="76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r>
      <w:r>
        <w:rPr>
          <w:highlight w:val="none"/>
        </w:rPr>
      </w:r>
    </w:p>
    <w:p>
      <w:pPr>
        <w:pStyle w:val="823"/>
        <w:numPr>
          <w:ilvl w:val="0"/>
          <w:numId w:val="0"/>
        </w:numP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2、PM10分析仪性能指标具体如下：</w:t>
      </w:r>
      <w:r>
        <w:rPr>
          <w:rFonts w:hint="eastAsia" w:ascii="宋体" w:hAnsi="宋体" w:eastAsia="宋体" w:cs="宋体"/>
          <w:b/>
          <w:bCs/>
          <w:color w:val="000000"/>
          <w:sz w:val="24"/>
          <w:szCs w:val="24"/>
          <w:highlight w:val="none"/>
          <w:lang w:val="en-US" w:eastAsia="zh-CN"/>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工作原理：β射线吸收法，用于连续监测环境空气中的PM</w:t>
      </w:r>
      <w:r>
        <w:rPr>
          <w:rFonts w:hint="eastAsia" w:ascii="宋体" w:hAnsi="宋体" w:cs="宋体"/>
          <w:color w:val="000000"/>
          <w:sz w:val="24"/>
          <w:szCs w:val="24"/>
          <w:highlight w:val="none"/>
          <w:vertAlign w:val="subscript"/>
          <w:lang w:val="en-US" w:eastAsia="zh-CN"/>
        </w:rPr>
        <w:t xml:space="preserve">2.5</w:t>
      </w:r>
      <w:r>
        <w:rPr>
          <w:rFonts w:hint="eastAsia" w:ascii="宋体" w:hAnsi="宋体" w:eastAsia="宋体" w:cs="宋体"/>
          <w:color w:val="000000"/>
          <w:sz w:val="24"/>
          <w:szCs w:val="24"/>
          <w:highlight w:val="none"/>
        </w:rPr>
        <w:t xml:space="preserve">颗粒物浓度。</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电源要求：220±10%VAC，50Hz。</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rPr>
          <w:rFonts w:hint="eastAsia" w:ascii="宋体" w:hAnsi="宋体" w:eastAsia="宋体" w:cs="宋体"/>
          <w:color w:val="000000"/>
          <w:sz w:val="24"/>
          <w:szCs w:val="24"/>
          <w:highlight w:val="none"/>
        </w:rPr>
      </w:r>
      <w:r>
        <w:rPr>
          <w:highlight w:val="none"/>
        </w:rPr>
      </w:r>
    </w:p>
    <w:p>
      <w:pPr>
        <w:pStyle w:val="76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动态加热系统：加装动态加热系统，具备温度限值控制和湿度限值控制功能，能够使样气的温湿度保持在合适水平，最大限度减少水分对颗粒物监测的影响，加热启动湿度点为35%RH。</w:t>
      </w:r>
      <w:r>
        <w:rPr>
          <w:rFonts w:hint="eastAsia" w:ascii="宋体" w:hAnsi="宋体" w:eastAsia="宋体" w:cs="宋体"/>
          <w:b w:val="0"/>
          <w:bCs w:val="0"/>
          <w:color w:val="000000"/>
          <w:sz w:val="24"/>
          <w:szCs w:val="24"/>
          <w:highlight w:val="none"/>
          <w:lang w:val="en-US" w:eastAsia="zh-CN"/>
        </w:rPr>
      </w:r>
      <w:r>
        <w:rPr>
          <w:highlight w:val="none"/>
        </w:rPr>
      </w:r>
    </w:p>
    <w:p>
      <w:pPr>
        <w:pStyle w:val="760"/>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表2  PM10分析仪性能指标</w:t>
      </w:r>
      <w:r>
        <w:rPr>
          <w:rFonts w:hint="eastAsia" w:ascii="宋体" w:hAnsi="宋体" w:eastAsia="宋体" w:cs="宋体"/>
          <w:b w:val="0"/>
          <w:bCs w:val="0"/>
          <w:color w:val="000000"/>
          <w:sz w:val="24"/>
          <w:szCs w:val="24"/>
          <w:highlight w:val="none"/>
          <w:lang w:val="en-US" w:eastAsia="zh-CN"/>
        </w:rPr>
      </w:r>
      <w:r>
        <w:rPr>
          <w:highlight w:val="none"/>
        </w:rPr>
      </w:r>
    </w:p>
    <w:tbl>
      <w:tblPr>
        <w:tblStyle w:val="796"/>
        <w:tblW w:w="49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642"/>
        <w:gridCol w:w="6312"/>
      </w:tblGrid>
      <w:tr>
        <w:trPr>
          <w:trHeight w:val="90"/>
          <w:tblHeade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项目</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技术参数</w:t>
            </w:r>
            <w:r>
              <w:rPr>
                <w:rFonts w:hint="eastAsia" w:ascii="宋体" w:hAnsi="宋体" w:eastAsia="宋体" w:cs="宋体"/>
                <w:b w:val="0"/>
                <w:bCs w:val="0"/>
                <w:color w:val="000000"/>
                <w:sz w:val="24"/>
                <w:szCs w:val="24"/>
                <w:highlight w:val="none"/>
                <w:lang w:eastAsia="zh-CN"/>
              </w:rPr>
            </w:r>
            <w:r>
              <w:rPr>
                <w:highlight w:val="none"/>
              </w:rPr>
            </w:r>
          </w:p>
        </w:tc>
      </w:tr>
      <w:tr>
        <w:trPr>
          <w:trHeight w:val="90"/>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设备描述</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β射线方法PM</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分析仪</w:t>
            </w:r>
            <w:r>
              <w:rPr>
                <w:rFonts w:hint="eastAsia" w:ascii="宋体" w:hAnsi="宋体" w:eastAsia="宋体" w:cs="宋体"/>
                <w:b w:val="0"/>
                <w:bCs w:val="0"/>
                <w:color w:val="000000"/>
                <w:sz w:val="24"/>
                <w:szCs w:val="24"/>
                <w:highlight w:val="none"/>
                <w:lang w:val="en-US" w:eastAsia="zh-CN"/>
              </w:rPr>
            </w:r>
            <w:r>
              <w:rPr>
                <w:highlight w:val="none"/>
              </w:rPr>
            </w:r>
          </w:p>
        </w:tc>
      </w:tr>
      <w:tr>
        <w:trPr>
          <w:trHeight w:val="515"/>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设备用途</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用于空气中PM</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浓度的监测</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分析方法</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基于β射线方法，用于连续监测环境空气中的颗粒物（PM</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测量量程</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0μg/m3~1000 μg/m3和0 μg/m3~10000 μg/m3，采购人可根据需要选择使用。</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采样流量</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16.67L/min</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最低检出限</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μg/m3（1小时平均值）</w:t>
            </w:r>
            <w:r>
              <w:rPr>
                <w:rFonts w:hint="eastAsia" w:ascii="宋体" w:hAnsi="宋体" w:eastAsia="宋体" w:cs="宋体"/>
                <w:b w:val="0"/>
                <w:bCs w:val="0"/>
                <w:color w:val="000000"/>
                <w:sz w:val="24"/>
                <w:szCs w:val="24"/>
                <w:highlight w:val="none"/>
                <w:lang w:val="en-US" w:eastAsia="zh-CN"/>
              </w:rPr>
            </w:r>
            <w:r>
              <w:rPr>
                <w:highlight w:val="none"/>
              </w:rPr>
            </w:r>
          </w:p>
        </w:tc>
      </w:tr>
      <w:tr>
        <w:trPr>
          <w:trHeight w:val="765"/>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显示分辨率</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≤0.1μg/m3</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校准膜示值误差</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0.7</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平行性</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温度示值误差</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湿度示值误差</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rPr>
                <w:highlight w:val="none"/>
              </w:rPr>
            </w:r>
          </w:p>
        </w:tc>
      </w:tr>
      <w:tr>
        <w:trPr/>
        <w:tc>
          <w:tcPr>
            <w:tcW w:w="419" w:type="dxa"/>
            <w:vAlign w:val="center"/>
            <w:vMerge w:val="restart"/>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流量测试</w:t>
            </w:r>
            <w:r>
              <w:rPr>
                <w:rFonts w:hint="eastAsia" w:ascii="宋体" w:hAnsi="宋体" w:eastAsia="宋体" w:cs="宋体"/>
                <w:b w:val="0"/>
                <w:bCs w:val="0"/>
                <w:color w:val="000000"/>
                <w:sz w:val="24"/>
                <w:szCs w:val="24"/>
                <w:highlight w:val="none"/>
                <w:lang w:val="en-US" w:eastAsia="zh-CN"/>
              </w:rPr>
            </w:r>
            <w:r>
              <w:rPr>
                <w:highlight w:val="none"/>
              </w:rPr>
            </w:r>
          </w:p>
        </w:tc>
        <w:tc>
          <w:tcPr>
            <w:tcW w:w="1356"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平均流量偏差</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0.2</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r>
            <w:r>
              <w:rPr>
                <w:highlight w:val="none"/>
              </w:rPr>
            </w:r>
          </w:p>
        </w:tc>
      </w:tr>
      <w:tr>
        <w:trPr/>
        <w:tc>
          <w:tcPr>
            <w:tcW w:w="419" w:type="dxa"/>
            <w:vAlign w:val="center"/>
            <w:vMerge w:val="continue"/>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356"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平均流量示值误差</w:t>
            </w:r>
            <w:r>
              <w:rPr>
                <w:rFonts w:hint="eastAsia" w:ascii="宋体" w:hAnsi="宋体" w:eastAsia="宋体" w:cs="宋体"/>
                <w:b w:val="0"/>
                <w:bCs w:val="0"/>
                <w:color w:val="000000"/>
                <w:sz w:val="24"/>
                <w:szCs w:val="24"/>
                <w:highlight w:val="none"/>
                <w:lang w:val="en-US" w:eastAsia="zh-CN" w:bidi="ar-SA"/>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0.1</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r>
            <w:r>
              <w:rPr>
                <w:highlight w:val="none"/>
              </w:rPr>
            </w:r>
          </w:p>
        </w:tc>
      </w:tr>
      <w:tr>
        <w:trPr/>
        <w:tc>
          <w:tcPr>
            <w:tcW w:w="419" w:type="dxa"/>
            <w:vAlign w:val="center"/>
            <w:vMerge w:val="continue"/>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356"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流量相对标准偏差</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数据有效率</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斜率(k):</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cs="宋体"/>
                <w:b w:val="0"/>
                <w:bCs w:val="0"/>
                <w:color w:val="000000"/>
                <w:sz w:val="24"/>
                <w:szCs w:val="24"/>
                <w:highlight w:val="none"/>
                <w:lang w:val="en-US" w:eastAsia="zh-CN"/>
              </w:rPr>
              <w:t xml:space="preserve">05</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1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相关系数(</w:t>
            </w:r>
            <w:r>
              <w:rPr>
                <w:rFonts w:hint="eastAsia" w:ascii="宋体" w:hAnsi="宋体" w:cs="宋体"/>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≥0.95</w:t>
            </w:r>
            <w:r>
              <w:rPr>
                <w:rFonts w:hint="eastAsia" w:ascii="宋体" w:hAnsi="宋体" w:eastAsia="宋体" w:cs="宋体"/>
                <w:b w:val="0"/>
                <w:bCs w:val="0"/>
                <w:color w:val="000000"/>
                <w:sz w:val="24"/>
                <w:szCs w:val="24"/>
                <w:highlight w:val="none"/>
                <w:lang w:val="en-US" w:eastAsia="zh-CN"/>
              </w:rPr>
            </w:r>
            <w:r>
              <w:rPr>
                <w:highlight w:val="none"/>
              </w:rPr>
            </w:r>
          </w:p>
        </w:tc>
      </w:tr>
    </w:tbl>
    <w:p>
      <w:pPr>
        <w:pStyle w:val="76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r>
      <w:r>
        <w:rPr>
          <w:highlight w:val="none"/>
        </w:rPr>
      </w:r>
    </w:p>
    <w:p>
      <w:pPr>
        <w:pStyle w:val="76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3、PM2.5分析仪性能指标要求如下：</w:t>
      </w:r>
      <w:r>
        <w:rPr>
          <w:rFonts w:hint="eastAsia" w:ascii="宋体" w:hAnsi="宋体" w:eastAsia="宋体" w:cs="宋体"/>
          <w:b/>
          <w:bCs w:val="0"/>
          <w:color w:val="000000"/>
          <w:sz w:val="24"/>
          <w:szCs w:val="24"/>
          <w:highlight w:val="none"/>
          <w:lang w:val="en-US" w:eastAsia="zh-CN"/>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工作原理：β射线吸收法，用于连续监测环境空气中的PM</w:t>
      </w:r>
      <w:r>
        <w:rPr>
          <w:rFonts w:hint="eastAsia" w:ascii="宋体" w:hAnsi="宋体" w:cs="宋体"/>
          <w:color w:val="000000"/>
          <w:sz w:val="24"/>
          <w:szCs w:val="24"/>
          <w:highlight w:val="none"/>
          <w:vertAlign w:val="subscript"/>
          <w:lang w:val="en-US" w:eastAsia="zh-CN"/>
        </w:rPr>
        <w:t xml:space="preserve">2.5</w:t>
      </w:r>
      <w:r>
        <w:rPr>
          <w:rFonts w:hint="eastAsia" w:ascii="宋体" w:hAnsi="宋体" w:eastAsia="宋体" w:cs="宋体"/>
          <w:color w:val="000000"/>
          <w:sz w:val="24"/>
          <w:szCs w:val="24"/>
          <w:highlight w:val="none"/>
        </w:rPr>
        <w:t xml:space="preserve">颗粒物浓度。</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电源要求：220±10%VAC，50Hz。</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rPr>
          <w:rFonts w:hint="eastAsia" w:ascii="宋体" w:hAnsi="宋体" w:eastAsia="宋体" w:cs="宋体"/>
          <w:color w:val="000000"/>
          <w:sz w:val="24"/>
          <w:szCs w:val="24"/>
          <w:highlight w:val="none"/>
        </w:rPr>
      </w:r>
      <w:r>
        <w:rPr>
          <w:highlight w:val="none"/>
        </w:rPr>
      </w:r>
    </w:p>
    <w:p>
      <w:pPr>
        <w:pStyle w:val="76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动态加热系统：加装动态加热系统，具备温度限值控制和湿度限值控制功能，能够使样气的温湿度保持在合适水平，最大限度减少水分对颗粒物监测的影响，加热启动湿度点为35%RH。</w:t>
      </w:r>
      <w:r>
        <w:rPr>
          <w:rFonts w:hint="eastAsia" w:ascii="宋体" w:hAnsi="宋体" w:eastAsia="宋体" w:cs="宋体"/>
          <w:color w:val="000000"/>
          <w:sz w:val="24"/>
          <w:szCs w:val="24"/>
          <w:highlight w:val="none"/>
          <w:lang w:val="en-US" w:eastAsia="zh-CN"/>
        </w:rPr>
      </w:r>
      <w:r>
        <w:rPr>
          <w:highlight w:val="none"/>
        </w:rPr>
      </w:r>
    </w:p>
    <w:p>
      <w:pPr>
        <w:pStyle w:val="760"/>
        <w:jc w:val="cente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表3  PM</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lang w:val="en-US" w:eastAsia="zh-CN"/>
        </w:rPr>
        <w:t xml:space="preserve">分析仪性能指标</w:t>
      </w:r>
      <w:r>
        <w:rPr>
          <w:rFonts w:hint="eastAsia" w:ascii="宋体" w:hAnsi="宋体" w:eastAsia="宋体" w:cs="宋体"/>
          <w:b w:val="0"/>
          <w:bCs w:val="0"/>
          <w:color w:val="000000"/>
          <w:sz w:val="24"/>
          <w:szCs w:val="24"/>
          <w:highlight w:val="none"/>
          <w:lang w:val="en-US" w:eastAsia="zh-CN"/>
        </w:rPr>
      </w:r>
      <w:r>
        <w:rPr>
          <w:highlight w:val="none"/>
        </w:rPr>
      </w:r>
    </w:p>
    <w:tbl>
      <w:tblPr>
        <w:tblStyle w:val="796"/>
        <w:tblW w:w="49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644"/>
        <w:gridCol w:w="6310"/>
      </w:tblGrid>
      <w:tr>
        <w:trPr>
          <w:trHeight w:val="90"/>
          <w:tblHeade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项目</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技术参数</w:t>
            </w:r>
            <w:r>
              <w:rPr>
                <w:rFonts w:hint="eastAsia" w:ascii="宋体" w:hAnsi="宋体" w:eastAsia="宋体" w:cs="宋体"/>
                <w:b w:val="0"/>
                <w:bCs w:val="0"/>
                <w:color w:val="000000"/>
                <w:sz w:val="24"/>
                <w:szCs w:val="24"/>
                <w:highlight w:val="none"/>
                <w:lang w:eastAsia="zh-CN"/>
              </w:rPr>
            </w:r>
            <w:r>
              <w:rPr>
                <w:highlight w:val="none"/>
              </w:rPr>
            </w:r>
          </w:p>
        </w:tc>
      </w:tr>
      <w:tr>
        <w:trPr>
          <w:trHeight w:val="90"/>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设备描述</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β射线方法PM</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分析仪</w:t>
            </w:r>
            <w:r>
              <w:rPr>
                <w:rFonts w:hint="eastAsia" w:ascii="宋体" w:hAnsi="宋体" w:eastAsia="宋体" w:cs="宋体"/>
                <w:b w:val="0"/>
                <w:bCs w:val="0"/>
                <w:color w:val="000000"/>
                <w:sz w:val="24"/>
                <w:szCs w:val="24"/>
                <w:highlight w:val="none"/>
                <w:lang w:val="en-US" w:eastAsia="zh-CN"/>
              </w:rPr>
            </w:r>
            <w:r>
              <w:rPr>
                <w:highlight w:val="none"/>
              </w:rPr>
            </w:r>
          </w:p>
        </w:tc>
      </w:tr>
      <w:tr>
        <w:trPr>
          <w:trHeight w:val="515"/>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设备用途</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用于空气中PM</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浓度的监测</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分析方法</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基于β射线方法，用于连续监测环境空气中的颗粒物（PM</w:t>
            </w:r>
            <w:r>
              <w:rPr>
                <w:rFonts w:hint="eastAsia" w:ascii="宋体" w:hAnsi="宋体" w:cs="宋体"/>
                <w:b w:val="0"/>
                <w:bCs w:val="0"/>
                <w:color w:val="000000"/>
                <w:sz w:val="24"/>
                <w:szCs w:val="24"/>
                <w:highlight w:val="none"/>
                <w:lang w:val="en-US" w:eastAsia="zh-CN"/>
              </w:rPr>
              <w:t xml:space="preserve">2.5</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测量量程</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0μg/m3~1000 μg/m3和0 μg/m3~10000 μg/m3，采购人可根据需要选择使用。</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采样流量</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16.67L/min</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最低检出限</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rPr>
              <w:t xml:space="preserve">μg/m3（1小时平均值）</w:t>
            </w:r>
            <w:r>
              <w:rPr>
                <w:rFonts w:hint="eastAsia" w:ascii="宋体" w:hAnsi="宋体" w:eastAsia="宋体" w:cs="宋体"/>
                <w:b w:val="0"/>
                <w:bCs w:val="0"/>
                <w:color w:val="000000"/>
                <w:sz w:val="24"/>
                <w:szCs w:val="24"/>
                <w:highlight w:val="none"/>
                <w:lang w:val="en-US" w:eastAsia="zh-CN"/>
              </w:rPr>
            </w:r>
            <w:r>
              <w:rPr>
                <w:highlight w:val="none"/>
              </w:rPr>
            </w:r>
          </w:p>
        </w:tc>
      </w:tr>
      <w:tr>
        <w:trPr>
          <w:trHeight w:val="765"/>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显示分辨率</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≤0.1μg/m3</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校准膜示值误差</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0.2</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平行性</w:t>
            </w:r>
            <w:r>
              <w:rPr>
                <w:rFonts w:hint="eastAsia" w:ascii="宋体" w:hAnsi="宋体" w:eastAsia="宋体" w:cs="宋体"/>
                <w:b w:val="0"/>
                <w:bCs w:val="0"/>
                <w:color w:val="000000"/>
                <w:sz w:val="24"/>
                <w:szCs w:val="24"/>
                <w:highlight w:val="none"/>
                <w:lang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温度示值误差</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rPr>
                <w:highlight w:val="none"/>
              </w:rPr>
            </w:r>
          </w:p>
        </w:tc>
      </w:tr>
      <w:tr>
        <w:trPr/>
        <w:tc>
          <w:tcPr>
            <w:tcW w:w="417" w:type="dxa"/>
            <w:vAlign w:val="center"/>
            <w:vMerge w:val="restart"/>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流量测试</w:t>
            </w:r>
            <w:r>
              <w:rPr>
                <w:rFonts w:hint="eastAsia" w:ascii="宋体" w:hAnsi="宋体" w:eastAsia="宋体" w:cs="宋体"/>
                <w:b w:val="0"/>
                <w:bCs w:val="0"/>
                <w:color w:val="000000"/>
                <w:sz w:val="24"/>
                <w:szCs w:val="24"/>
                <w:highlight w:val="none"/>
                <w:lang w:val="en-US" w:eastAsia="zh-CN"/>
              </w:rPr>
            </w:r>
            <w:r>
              <w:rPr>
                <w:highlight w:val="none"/>
              </w:rPr>
            </w:r>
          </w:p>
        </w:tc>
        <w:tc>
          <w:tcPr>
            <w:tcW w:w="135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平均流量示值误差</w:t>
            </w:r>
            <w:r>
              <w:rPr>
                <w:rFonts w:hint="eastAsia" w:ascii="宋体" w:hAnsi="宋体" w:eastAsia="宋体" w:cs="宋体"/>
                <w:b w:val="0"/>
                <w:bCs w:val="0"/>
                <w:color w:val="000000"/>
                <w:sz w:val="24"/>
                <w:szCs w:val="24"/>
                <w:highlight w:val="none"/>
                <w:lang w:val="en-US" w:eastAsia="zh-CN" w:bidi="ar-SA"/>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0.8</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r>
            <w:r>
              <w:rPr>
                <w:highlight w:val="none"/>
              </w:rPr>
            </w:r>
          </w:p>
        </w:tc>
      </w:tr>
      <w:tr>
        <w:trPr/>
        <w:tc>
          <w:tcPr>
            <w:tcW w:w="417" w:type="dxa"/>
            <w:vAlign w:val="center"/>
            <w:vMerge w:val="continue"/>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1358"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流量相对标准偏差</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0.1</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r>
            <w:r>
              <w:rPr>
                <w:highlight w:val="none"/>
              </w:rPr>
            </w:r>
          </w:p>
        </w:tc>
      </w:tr>
      <w:t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数据有效率</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85</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斜率(k):</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lang w:val="en-US" w:eastAsia="zh-CN"/>
              </w:rPr>
            </w:r>
            <w:r>
              <w:rPr>
                <w:highlight w:val="none"/>
              </w:rPr>
            </w:r>
          </w:p>
        </w:tc>
      </w:tr>
      <w:tr>
        <w:trPr/>
        <w:tc>
          <w:tcPr>
            <w:gridSpan w:val="2"/>
            <w:tcW w:w="3520" w:type="dxa"/>
            <w:vAlign w:val="center"/>
            <w:textDirection w:val="lrTb"/>
            <w:noWrap w:val="false"/>
          </w:tcPr>
          <w:p>
            <w:pPr>
              <w:pStyle w:val="778"/>
              <w:ind w:left="0" w:firstLine="0"/>
              <w:jc w:val="center"/>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相关系数(</w:t>
            </w:r>
            <w:r>
              <w:rPr>
                <w:rFonts w:hint="eastAsia" w:ascii="宋体" w:hAnsi="宋体" w:cs="宋体"/>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rPr>
                <w:highlight w:val="none"/>
              </w:rPr>
            </w:r>
          </w:p>
        </w:tc>
        <w:tc>
          <w:tcPr>
            <w:tcW w:w="3223" w:type="dxa"/>
            <w:vAlign w:val="center"/>
            <w:textDirection w:val="lrTb"/>
            <w:noWrap w:val="false"/>
          </w:tcPr>
          <w:p>
            <w:pPr>
              <w:pStyle w:val="778"/>
              <w:ind w:left="0" w:firstLine="0"/>
              <w:jc w:val="both"/>
              <w:keepLines w:val="0"/>
              <w:keepNext w:val="0"/>
              <w:pageBreakBefore w:val="0"/>
              <w:spacing w:after="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≥0.9</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rPr>
                <w:highlight w:val="none"/>
              </w:rPr>
            </w:r>
          </w:p>
        </w:tc>
      </w:tr>
    </w:tbl>
    <w:p>
      <w:pPr>
        <w:pStyle w:val="824"/>
        <w:ind w:left="0" w:firstLine="0"/>
        <w:rPr>
          <w:rFonts w:hint="eastAsia"/>
          <w:color w:val="000000"/>
          <w:highlight w:val="none"/>
        </w:rPr>
      </w:pPr>
      <w:r>
        <w:rPr>
          <w:rFonts w:hint="eastAsia"/>
          <w:color w:val="000000"/>
          <w:highlight w:val="none"/>
        </w:rPr>
      </w:r>
      <w:r>
        <w:rPr>
          <w:highlight w:val="none"/>
        </w:rPr>
      </w:r>
    </w:p>
    <w:p>
      <w:pPr>
        <w:pStyle w:val="76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4、SO2、NO2、CO、O3分析仪性能指标要求如下：</w:t>
      </w:r>
      <w:r>
        <w:rPr>
          <w:rFonts w:hint="eastAsia" w:ascii="宋体" w:hAnsi="宋体" w:eastAsia="宋体" w:cs="宋体"/>
          <w:b/>
          <w:bCs w:val="0"/>
          <w:color w:val="000000"/>
          <w:sz w:val="24"/>
          <w:szCs w:val="24"/>
          <w:highlight w:val="none"/>
          <w:lang w:val="en-US" w:eastAsia="zh-CN"/>
        </w:rPr>
      </w:r>
      <w:r>
        <w:rPr>
          <w:highlight w:val="none"/>
        </w:rPr>
      </w:r>
    </w:p>
    <w:p>
      <w:pPr>
        <w:pStyle w:val="76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SO</w:t>
      </w:r>
      <w:r>
        <w:rPr>
          <w:rFonts w:hint="eastAsia" w:ascii="宋体" w:hAnsi="宋体" w:eastAsia="宋体" w:cs="宋体"/>
          <w:b/>
          <w:bCs/>
          <w:color w:val="000000"/>
          <w:sz w:val="24"/>
          <w:szCs w:val="24"/>
          <w:highlight w:val="none"/>
          <w:vertAlign w:val="subscript"/>
        </w:rPr>
        <w:t xml:space="preserve">2</w:t>
      </w:r>
      <w:r>
        <w:rPr>
          <w:rFonts w:hint="eastAsia" w:ascii="宋体" w:hAnsi="宋体" w:eastAsia="宋体" w:cs="宋体"/>
          <w:b/>
          <w:bCs/>
          <w:color w:val="000000"/>
          <w:sz w:val="24"/>
          <w:szCs w:val="24"/>
          <w:highlight w:val="none"/>
        </w:rPr>
        <w:t xml:space="preserve">分析仪</w:t>
      </w:r>
      <w:r>
        <w:rPr>
          <w:rFonts w:hint="eastAsia" w:ascii="宋体" w:hAnsi="宋体" w:eastAsia="宋体" w:cs="宋体"/>
          <w:b/>
          <w:bCs/>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 分析方法：紫外荧光法。</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2）光源：选用衰减较慢、寿命较长的脉冲紫外光源。</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3）碳氢物质去除：为避免碳氢物质干扰SO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分析仪，分析仪内置碳氢去除器，有效去除样气中的碳氢物质，消除干扰。</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4）滤光处理：为保证紫外灯发出的波长处于最佳激发范围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）控制方式：具有远程操作软件，可进行远程查看、操作、诊断和设置。</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电源要求：220VAC，50Hz。</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信号输出：RS232/485，</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通讯协议：Modbus，TCP/IP。</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rPr>
          <w:rFonts w:hint="eastAsia" w:ascii="宋体" w:hAnsi="宋体" w:eastAsia="宋体" w:cs="宋体"/>
          <w:color w:val="000000"/>
          <w:sz w:val="24"/>
          <w:szCs w:val="24"/>
          <w:highlight w:val="none"/>
        </w:rPr>
      </w:r>
      <w:r>
        <w:rPr>
          <w:highlight w:val="none"/>
        </w:rPr>
      </w:r>
    </w:p>
    <w:p>
      <w:pPr>
        <w:pStyle w:val="76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rPr>
          <w:rFonts w:ascii="宋体" w:hAnsi="宋体" w:eastAsia="宋体" w:cs="宋体"/>
          <w:color w:val="000000"/>
          <w:sz w:val="24"/>
          <w:szCs w:val="24"/>
          <w:highlight w:val="none"/>
          <w:lang w:val="en-US" w:eastAsia="zh-CN"/>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）量程：0-500nmol/mol，具有量程自动切换功能。</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）零点噪声：≤0.1nmol/mol。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）量程噪声：≤0.1nmol/mol。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）最低检出限：≤0.2nmol/mol。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）示值误差：≤±0.</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%F.S.。</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）20%量程精密度：≤</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）80%量程精密度：≤1.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）24h 零点漂移：≤±</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）24h 20%量程漂移：≤±2</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）24h 80%量程漂移：≤±3.0nmol/mol。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）响应时间（上升/下降）：≤</w:t>
      </w:r>
      <w:r>
        <w:rPr>
          <w:rFonts w:hint="eastAsia" w:ascii="宋体" w:hAnsi="宋体" w:cs="宋体"/>
          <w:color w:val="000000"/>
          <w:sz w:val="24"/>
          <w:szCs w:val="24"/>
          <w:highlight w:val="none"/>
          <w:lang w:val="en-US" w:eastAsia="zh-CN"/>
        </w:rPr>
        <w:t xml:space="preserve">70</w:t>
      </w:r>
      <w:r>
        <w:rPr>
          <w:rFonts w:hint="eastAsia" w:ascii="宋体" w:hAnsi="宋体" w:eastAsia="宋体" w:cs="宋体"/>
          <w:color w:val="000000"/>
          <w:sz w:val="24"/>
          <w:szCs w:val="24"/>
          <w:highlight w:val="none"/>
        </w:rPr>
        <w:t xml:space="preserve">秒/1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0秒。</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）电压稳定性：≤±0.5%F.S.。</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）流量稳定性：≤±</w:t>
      </w:r>
      <w:r>
        <w:rPr>
          <w:rFonts w:hint="eastAsia" w:ascii="宋体" w:hAnsi="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）环境温度变化的影响：≤0.3nmol/mol/℃。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）干扰成分的影响：≤±0.</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%F.S.（2%H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O）、≤±0.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1%F.S.（0.1μmol/mol甲苯）。</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）采样口和校准口浓度偏差：≤±0.1%。</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）7d长期零点漂移：≤±</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）7d长期量程漂移：≤±</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.0nmol/mol。</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NO</w:t>
      </w:r>
      <w:r>
        <w:rPr>
          <w:rFonts w:hint="eastAsia" w:ascii="宋体" w:hAnsi="宋体" w:eastAsia="宋体" w:cs="宋体"/>
          <w:b/>
          <w:bCs/>
          <w:color w:val="000000"/>
          <w:sz w:val="24"/>
          <w:szCs w:val="24"/>
          <w:highlight w:val="none"/>
          <w:vertAlign w:val="subscript"/>
        </w:rPr>
        <w:t xml:space="preserve">2</w:t>
      </w:r>
      <w:r>
        <w:rPr>
          <w:rFonts w:hint="eastAsia" w:ascii="宋体" w:hAnsi="宋体" w:eastAsia="宋体" w:cs="宋体"/>
          <w:b/>
          <w:bCs/>
          <w:color w:val="000000"/>
          <w:sz w:val="24"/>
          <w:szCs w:val="24"/>
          <w:highlight w:val="none"/>
        </w:rPr>
        <w:t xml:space="preserve">分析仪</w:t>
      </w:r>
      <w:r>
        <w:rPr>
          <w:rFonts w:hint="eastAsia" w:ascii="宋体" w:hAnsi="宋体" w:eastAsia="宋体" w:cs="宋体"/>
          <w:b/>
          <w:bCs/>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1）分析方法：化学发光法。</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电源要求：220VAC，50Hz。</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rPr>
          <w:rFonts w:hint="eastAsia" w:ascii="宋体" w:hAnsi="宋体" w:eastAsia="宋体" w:cs="宋体"/>
          <w:color w:val="000000"/>
          <w:sz w:val="24"/>
          <w:szCs w:val="24"/>
          <w:highlight w:val="none"/>
        </w:rPr>
      </w:r>
      <w:r>
        <w:rPr>
          <w:highlight w:val="none"/>
        </w:rPr>
      </w:r>
    </w:p>
    <w:p>
      <w:pPr>
        <w:pStyle w:val="76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rPr>
          <w:rFonts w:ascii="宋体" w:hAnsi="宋体" w:eastAsia="宋体" w:cs="宋体"/>
          <w:color w:val="000000"/>
          <w:sz w:val="24"/>
          <w:szCs w:val="24"/>
          <w:highlight w:val="none"/>
          <w:lang w:val="en-US" w:eastAsia="zh-CN"/>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）量程：0-500nmol/mol，具有量程自动切换功能。</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）零点噪声：＜0.1 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）量程噪声：≤0.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）最低检出限：≤0.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）示值误差：≤±0.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3%F.S.。</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）20%量程精密度：≤</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）80%量程精密度：≤1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）24h 零点漂移：≤±</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）24h 20%量程漂移：≤±1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）24h 80%量程漂移：≤±2.5nmol/mol。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）响应时间（上升/下降）：≤1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0秒/</w:t>
      </w:r>
      <w:r>
        <w:rPr>
          <w:rFonts w:hint="eastAsia" w:ascii="宋体" w:hAnsi="宋体" w:cs="宋体"/>
          <w:color w:val="000000"/>
          <w:sz w:val="24"/>
          <w:szCs w:val="24"/>
          <w:highlight w:val="none"/>
          <w:lang w:val="en-US" w:eastAsia="zh-CN"/>
        </w:rPr>
        <w:t xml:space="preserve">210</w:t>
      </w:r>
      <w:r>
        <w:rPr>
          <w:rFonts w:hint="eastAsia" w:ascii="宋体" w:hAnsi="宋体" w:eastAsia="宋体" w:cs="宋体"/>
          <w:color w:val="000000"/>
          <w:sz w:val="24"/>
          <w:szCs w:val="24"/>
          <w:highlight w:val="none"/>
        </w:rPr>
        <w:t xml:space="preserve">秒。</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）电压稳定性：≤±0.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%F.S.。</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）流量稳定性：≤±</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）转化炉：转化效率＞99%。</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）环境温度变化的影响：≤0.</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）干扰成分的影响：≤±0.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1%F.S.（2.5% 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O）、≤±0.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1%F.S.（1μmol/mol NH</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04</w:t>
      </w:r>
      <w:r>
        <w:rPr>
          <w:rFonts w:hint="eastAsia" w:ascii="宋体" w:hAnsi="宋体" w:eastAsia="宋体" w:cs="宋体"/>
          <w:color w:val="000000"/>
          <w:sz w:val="24"/>
          <w:szCs w:val="24"/>
          <w:highlight w:val="none"/>
        </w:rPr>
        <w:t xml:space="preserve">%F.S.（0.2μmol/mol O</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%F.S.（0.5μmol/mol 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）采样口与校准口浓度偏差：≤0.</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）7d长期零点漂移：≤±</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）7d长期量程漂移：≤±</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O</w:t>
      </w:r>
      <w:r>
        <w:rPr>
          <w:rFonts w:hint="eastAsia" w:ascii="宋体" w:hAnsi="宋体" w:eastAsia="宋体" w:cs="宋体"/>
          <w:b/>
          <w:bCs/>
          <w:color w:val="000000"/>
          <w:sz w:val="24"/>
          <w:szCs w:val="24"/>
          <w:highlight w:val="none"/>
          <w:vertAlign w:val="subscript"/>
        </w:rPr>
        <w:t xml:space="preserve">3</w:t>
      </w:r>
      <w:r>
        <w:rPr>
          <w:rFonts w:hint="eastAsia" w:ascii="宋体" w:hAnsi="宋体" w:eastAsia="宋体" w:cs="宋体"/>
          <w:b/>
          <w:bCs/>
          <w:color w:val="000000"/>
          <w:sz w:val="24"/>
          <w:szCs w:val="24"/>
          <w:highlight w:val="none"/>
        </w:rPr>
        <w:t xml:space="preserve">分析仪</w:t>
      </w:r>
      <w:r>
        <w:rPr>
          <w:rFonts w:hint="eastAsia" w:ascii="宋体" w:hAnsi="宋体" w:eastAsia="宋体" w:cs="宋体"/>
          <w:b/>
          <w:bCs/>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分析方法：紫外吸收法。</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电源要求：220VAC，50Hz。</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rPr>
          <w:rFonts w:hint="eastAsia" w:ascii="宋体" w:hAnsi="宋体" w:eastAsia="宋体" w:cs="宋体"/>
          <w:color w:val="000000"/>
          <w:sz w:val="24"/>
          <w:szCs w:val="24"/>
          <w:highlight w:val="none"/>
        </w:rPr>
      </w:r>
      <w:r>
        <w:rPr>
          <w:highlight w:val="none"/>
        </w:rPr>
      </w:r>
    </w:p>
    <w:p>
      <w:pPr>
        <w:pStyle w:val="76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rPr>
          <w:rFonts w:ascii="宋体" w:hAnsi="宋体" w:eastAsia="宋体" w:cs="宋体"/>
          <w:color w:val="000000"/>
          <w:sz w:val="24"/>
          <w:szCs w:val="24"/>
          <w:highlight w:val="none"/>
          <w:lang w:val="en-US" w:eastAsia="zh-CN"/>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）量程：0-500nmol/mol，具有量程自动切换功能。</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）零点噪声：≤0.1nmol/mol。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）量程噪声：≤0.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）最低检出限：≤0.2nmol/mol。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）示值误差：≤±0.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%F.S.。</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）20%量程精密度：≤0.</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）80%量程精密度：≤0.</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）24h 零点漂移：≤±2nmol/mol。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）24h 20%量程漂移：≤±2nmol/mol。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）24h 80%量程漂移：≤±</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）响应时间（上升/下降）：≤120秒/120秒。</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）电压稳定性：≤±</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%F.S.。</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）流量稳定性：≤±1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）环境温度变化的影响：≤0.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）干扰成分的影响：≤±0.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%F.S.（2% 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O）、≤±0.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1%F.S.（1μmol/mol 甲苯）、≤±0.</w:t>
      </w:r>
      <w:r>
        <w:rPr>
          <w:rFonts w:hint="eastAsia" w:ascii="宋体" w:hAnsi="宋体" w:cs="宋体"/>
          <w:color w:val="000000"/>
          <w:sz w:val="24"/>
          <w:szCs w:val="24"/>
          <w:highlight w:val="none"/>
          <w:lang w:val="en-US" w:eastAsia="zh-CN"/>
        </w:rPr>
        <w:t xml:space="preserve">01</w:t>
      </w:r>
      <w:r>
        <w:rPr>
          <w:rFonts w:hint="eastAsia" w:ascii="宋体" w:hAnsi="宋体" w:eastAsia="宋体" w:cs="宋体"/>
          <w:color w:val="000000"/>
          <w:sz w:val="24"/>
          <w:szCs w:val="24"/>
          <w:highlight w:val="none"/>
        </w:rPr>
        <w:t xml:space="preserve">%F.S.（0.2μmol/mol 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1%F.S.（0.5μmol/mol NO/NO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）采样口与校准口浓度偏差：≤0.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）7d长期零点漂移：±</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nmol/mol。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color w:val="000000"/>
          <w:highlight w:val="none"/>
        </w:rPr>
      </w:pP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）7d长期量程漂移：±</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nmol/mol。</w:t>
      </w:r>
      <w:r>
        <w:rPr>
          <w:rFonts w:hint="eastAsia"/>
          <w:color w:val="000000"/>
          <w:highlight w:val="none"/>
        </w:rPr>
      </w:r>
      <w:r>
        <w:rPr>
          <w:highlight w:val="none"/>
        </w:rPr>
      </w:r>
    </w:p>
    <w:p>
      <w:pPr>
        <w:pStyle w:val="76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CO分析仪</w:t>
      </w:r>
      <w:r>
        <w:rPr>
          <w:rFonts w:hint="eastAsia" w:ascii="宋体" w:hAnsi="宋体" w:eastAsia="宋体" w:cs="宋体"/>
          <w:b/>
          <w:bCs/>
          <w:color w:val="000000"/>
          <w:sz w:val="24"/>
          <w:szCs w:val="24"/>
          <w:highlight w:val="none"/>
        </w:rPr>
      </w:r>
      <w:r>
        <w:rPr>
          <w:highlight w:val="none"/>
        </w:rPr>
      </w:r>
    </w:p>
    <w:p>
      <w:pPr>
        <w:pStyle w:val="760"/>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分析方法：气体滤波相关红外吸收法。</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控制方式：具有远程操作软件，可进行远程查看、操作、诊断和设置。</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电源要求：220VAC，50Hz。</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信号输出：RS232/485</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通讯协议：</w:t>
      </w:r>
      <w:r>
        <w:rPr>
          <w:rFonts w:hint="eastAsia" w:ascii="宋体" w:hAnsi="宋体" w:cs="宋体"/>
          <w:color w:val="000000"/>
          <w:sz w:val="24"/>
          <w:szCs w:val="24"/>
          <w:highlight w:val="none"/>
          <w:lang w:val="en-US" w:eastAsia="zh-CN"/>
        </w:rPr>
        <w:t xml:space="preserve">HJ212</w:t>
      </w:r>
      <w:r>
        <w:rPr>
          <w:rFonts w:hint="eastAsia" w:ascii="宋体" w:hAnsi="宋体" w:eastAsia="宋体" w:cs="宋体"/>
          <w:color w:val="000000"/>
          <w:sz w:val="24"/>
          <w:szCs w:val="24"/>
          <w:highlight w:val="none"/>
        </w:rPr>
        <w:t xml:space="preserve">，Modbus，TCP/IP。</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数据存储功能：数据存储时间不低于4个月。</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认证要求：通过环境保护部环境监测仪器质量监督检验中心检定，属环境空气连续监测系统适用性检测合格名录内产品。</w:t>
      </w:r>
      <w:r>
        <w:rPr>
          <w:rFonts w:hint="eastAsia" w:ascii="宋体" w:hAnsi="宋体" w:eastAsia="宋体" w:cs="宋体"/>
          <w:color w:val="000000"/>
          <w:sz w:val="24"/>
          <w:szCs w:val="24"/>
          <w:highlight w:val="none"/>
        </w:rPr>
      </w:r>
      <w:r>
        <w:rPr>
          <w:highlight w:val="none"/>
        </w:rPr>
      </w:r>
    </w:p>
    <w:p>
      <w:pPr>
        <w:pStyle w:val="824"/>
        <w:numPr>
          <w:ilvl w:val="0"/>
          <w:numId w:val="0"/>
        </w:numPr>
        <w:jc w:val="left"/>
        <w:spacing w:line="360" w:lineRule="auto"/>
        <w:widowControl w:val="off"/>
        <w:rPr>
          <w:rFonts w:hint="eastAsia"/>
          <w:color w:val="000000"/>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技术指标：</w:t>
      </w:r>
      <w:r>
        <w:rPr>
          <w:rFonts w:hint="eastAsia"/>
          <w:color w:val="000000"/>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）量程：0-50 μmol/mol，具有量程自动切换功能。</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）零点噪声：＜0.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）量程噪声：＜0.1μmol/mol。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）最低检出限：＜0.</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）示值误差：≤±0.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%F.S.。</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）20%量程精密度：≤0.</w:t>
      </w:r>
      <w:r>
        <w:rPr>
          <w:rFonts w:hint="eastAsia" w:ascii="宋体" w:hAnsi="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rPr>
        <w:t xml:space="preserve">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）80%量程精密度：≤0.1μmol/mol。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）24h 零点漂移：≤±0.1μmol/mol。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）24h 20%量程漂移：≤±0.2μmol/mol。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）24h 80%量程漂移：≤±0.</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）响应时间（上升/下降）：≤120秒/120秒。</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）电压稳定性：≤±0.</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%F.S.。</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）流量稳定性：≤±</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）环境温度变化影响：≤0.</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）干扰成分的影响：≤±0.</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%F.S.（2.5% 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O）、≤±0.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%F.S.（1000μmol/mol CO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）采样口与校准口浓度偏差：≤±0.</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）7d长期零点漂移：≤±0.</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）7d长期量程漂移：≤±0.</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μmol/mol。</w:t>
      </w:r>
      <w:r>
        <w:rPr>
          <w:rFonts w:hint="eastAsia" w:ascii="宋体" w:hAnsi="宋体" w:eastAsia="宋体" w:cs="宋体"/>
          <w:color w:val="000000"/>
          <w:sz w:val="24"/>
          <w:szCs w:val="24"/>
          <w:highlight w:val="none"/>
        </w:rPr>
      </w:r>
      <w:r>
        <w:rPr>
          <w:highlight w:val="none"/>
        </w:rPr>
      </w:r>
    </w:p>
    <w:p>
      <w:pPr>
        <w:pStyle w:val="76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动态校准仪</w:t>
      </w:r>
      <w:r>
        <w:rPr>
          <w:rFonts w:hint="eastAsia" w:ascii="宋体" w:hAnsi="宋体" w:eastAsia="宋体" w:cs="宋体"/>
          <w:b/>
          <w:bCs/>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1）功能：可以提供浓度精确的用户需要的标准气体，各种浓度的气体可以用于气体分析仪器的零点检查/校准、跨度检查/校准、精度检查、性能审核和多点检查/校准等。</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2）基本配置：流量计为质量流量计（MFC）；配置臭氧发生器，可进行气相滴定；配置光度计，可进行臭氧溯源校准。</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标气输入口：至少3个。</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稀释气（零气）流量范围：0-10 SLPM。</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钢瓶气（标气）流量范围：0-100SCCM。</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6）稀释比率：1/100~1/1000。</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流量线性误差：≤±0.5% F.S.。</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臭氧输出：10nmol/mol~1μmol/mol。</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9）臭氧发生浓度误差：≤±</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10）光度计量程：0.05 ~5μmol/mol。</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11）光度计线性度：≤±1%F.S.。</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电源要求：220VAC，50Hz。</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零气发生器</w:t>
      </w:r>
      <w:r>
        <w:rPr>
          <w:rFonts w:hint="eastAsia" w:ascii="宋体" w:hAnsi="宋体" w:eastAsia="宋体" w:cs="宋体"/>
          <w:b/>
          <w:bCs/>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1）基本配置：具有CO/HC转换器、Purafil氧化罐和活性炭罐。</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2）输出气压：10-30PSI。</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3）输出流量：0～10L/min。</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零气纯度： NO &lt; 0.5 nmol/mol，NO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 &lt; 0.5 nmol/mol，O</w:t>
      </w:r>
      <w:r>
        <w:rPr>
          <w:rFonts w:hint="eastAsia" w:ascii="宋体" w:hAnsi="宋体" w:eastAsia="宋体" w:cs="宋体"/>
          <w:color w:val="000000"/>
          <w:sz w:val="24"/>
          <w:szCs w:val="24"/>
          <w:highlight w:val="none"/>
          <w:vertAlign w:val="subscript"/>
        </w:rPr>
        <w:t xml:space="preserve">3</w:t>
      </w:r>
      <w:r>
        <w:rPr>
          <w:rFonts w:hint="eastAsia" w:ascii="宋体" w:hAnsi="宋体" w:eastAsia="宋体" w:cs="宋体"/>
          <w:color w:val="000000"/>
          <w:sz w:val="24"/>
          <w:szCs w:val="24"/>
          <w:highlight w:val="none"/>
        </w:rPr>
        <w:t xml:space="preserve"> &lt; 0.5 nmol/mol，SO</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 &lt; 0.5 nmol/mol，H</w:t>
      </w:r>
      <w:r>
        <w:rPr>
          <w:rFonts w:hint="eastAsia" w:ascii="宋体" w:hAnsi="宋体" w:eastAsia="宋体" w:cs="宋体"/>
          <w:color w:val="000000"/>
          <w:sz w:val="24"/>
          <w:szCs w:val="24"/>
          <w:highlight w:val="none"/>
          <w:vertAlign w:val="subscript"/>
        </w:rPr>
        <w:t xml:space="preserve">2</w:t>
      </w:r>
      <w:r>
        <w:rPr>
          <w:rFonts w:hint="eastAsia" w:ascii="宋体" w:hAnsi="宋体" w:eastAsia="宋体" w:cs="宋体"/>
          <w:color w:val="000000"/>
          <w:sz w:val="24"/>
          <w:szCs w:val="24"/>
          <w:highlight w:val="none"/>
        </w:rPr>
        <w:t xml:space="preserve">S &lt; 0.5 nmol/mol，NH</w:t>
      </w:r>
      <w:r>
        <w:rPr>
          <w:rFonts w:hint="eastAsia" w:ascii="宋体" w:hAnsi="宋体" w:eastAsia="宋体" w:cs="宋体"/>
          <w:color w:val="000000"/>
          <w:sz w:val="24"/>
          <w:szCs w:val="24"/>
          <w:highlight w:val="none"/>
          <w:vertAlign w:val="subscript"/>
        </w:rPr>
        <w:t xml:space="preserve">3 </w:t>
      </w:r>
      <w:r>
        <w:rPr>
          <w:rFonts w:hint="eastAsia" w:ascii="宋体" w:hAnsi="宋体" w:eastAsia="宋体" w:cs="宋体"/>
          <w:color w:val="000000"/>
          <w:sz w:val="24"/>
          <w:szCs w:val="24"/>
          <w:highlight w:val="none"/>
        </w:rPr>
        <w:t xml:space="preserve">&lt; 0.5 nmol/mol，CO &lt; 20 nmol/mol，HC &lt; 0.1 μmol/mol，</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5）露点：≤0℃。</w:t>
      </w:r>
      <w:r>
        <w:rPr>
          <w:rFonts w:hint="eastAsia" w:ascii="宋体" w:hAnsi="宋体" w:eastAsia="宋体" w:cs="宋体"/>
          <w:color w:val="000000"/>
          <w:sz w:val="24"/>
          <w:szCs w:val="24"/>
          <w:highlight w:val="none"/>
        </w:rPr>
      </w:r>
      <w:r>
        <w:rPr>
          <w:highlight w:val="none"/>
        </w:rPr>
      </w:r>
    </w:p>
    <w:p>
      <w:pPr>
        <w:pStyle w:val="77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p>
    <w:p>
      <w:pPr>
        <w:pStyle w:val="76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7、 UPS电源技术要求、性能指标应符合如下要求：</w:t>
      </w:r>
      <w:r>
        <w:rPr>
          <w:rFonts w:hint="eastAsia" w:ascii="宋体" w:hAnsi="宋体" w:eastAsia="宋体" w:cs="宋体"/>
          <w:b/>
          <w:bCs w:val="0"/>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至少保证整个站房包括仪器设备（不含空调）的4 小时的用电。</w:t>
      </w:r>
      <w:r>
        <w:rPr>
          <w:rFonts w:hint="eastAsia" w:ascii="宋体" w:hAnsi="宋体" w:eastAsia="宋体" w:cs="宋体"/>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自动开机：市电中断，UPS 在电池模式下放电至关机；当市电恢复时，UPS 可自动开机，方便无人值守情况下的电源管理。</w:t>
      </w:r>
      <w:r>
        <w:rPr>
          <w:rFonts w:hint="eastAsia" w:ascii="宋体" w:hAnsi="宋体" w:eastAsia="宋体" w:cs="宋体"/>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开机自检功能：开机时，能自动模拟断电状况，对逆变器、电池进行自检，并做出准确、可靠的判断，全面提升负载的安全性。</w:t>
      </w:r>
      <w:r>
        <w:rPr>
          <w:rFonts w:hint="eastAsia" w:ascii="宋体" w:hAnsi="宋体" w:eastAsia="宋体" w:cs="宋体"/>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面板简洁，操作方便。具备直流开机功能，超静音设计。</w:t>
      </w:r>
      <w:r>
        <w:rPr>
          <w:rFonts w:hint="eastAsia" w:ascii="宋体" w:hAnsi="宋体" w:eastAsia="宋体" w:cs="宋体"/>
          <w:color w:val="000000"/>
          <w:sz w:val="24"/>
          <w:szCs w:val="24"/>
          <w:highlight w:val="none"/>
        </w:rPr>
      </w:r>
      <w:r>
        <w:rPr>
          <w:highlight w:val="none"/>
        </w:rPr>
      </w:r>
    </w:p>
    <w:p>
      <w:pPr>
        <w:pStyle w:val="760"/>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rPr>
          <w:highlight w:val="none"/>
        </w:rPr>
      </w:r>
    </w:p>
    <w:p>
      <w:pPr>
        <w:pStyle w:val="76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i w:val="0"/>
          <w:iCs w:val="0"/>
          <w:color w:val="000000"/>
          <w:sz w:val="24"/>
          <w:szCs w:val="24"/>
          <w:highlight w:val="none"/>
          <w:u w:val="none"/>
          <w:lang w:val="en-US" w:eastAsia="zh-CN" w:bidi="ar"/>
        </w:rPr>
        <w:t xml:space="preserve">PAMS</w:t>
      </w:r>
      <w:r>
        <w:rPr>
          <w:rFonts w:hint="eastAsia" w:ascii="宋体" w:hAnsi="宋体" w:eastAsia="宋体" w:cs="宋体"/>
          <w:b/>
          <w:bCs w:val="0"/>
          <w:color w:val="000000"/>
          <w:sz w:val="24"/>
          <w:szCs w:val="24"/>
          <w:highlight w:val="none"/>
          <w:lang w:val="en-US" w:eastAsia="zh-CN"/>
        </w:rPr>
        <w:t xml:space="preserve">技术要求、性能指标应符合具体如下：</w:t>
      </w:r>
      <w:r>
        <w:rPr>
          <w:rFonts w:hint="eastAsia" w:ascii="宋体" w:hAnsi="宋体" w:eastAsia="宋体" w:cs="宋体"/>
          <w:b/>
          <w:bCs w:val="0"/>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1)分析周期:60min</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2)测量量程：0~50nmol/mol</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3)标准曲线——相关系数：≥0.99</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4)零点噪声：≤0.01nmol/mol</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5)方法检出限：100%组分≤0.1nmol/mol%</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6)准确度：≤±10% ，乙烷、乙烯＜4%，苯＜1.5%</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7)精密度≤10%，乙烯＜2%，苯＜2% </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8)有效数据率：≥95%</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9)仪器正常工作过程条件下时钟误差：≤20s</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10)仪器工控机断电条件下时钟误差：≤20s</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11)系统残留：100%组分≤0.1nmol/mol</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12)程序升温重复性：≤0.3%</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13)柱箱温度稳定性：≤0.2%</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14)噪声：≤0.01pA</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15)漂移:≤0.01pA/30min</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16)系统具有带过压、欠压保护功能</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17)系统具有换气功能，防止内部高温</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18)系统具有样品分析、标气校准、零气检查、空白检查四种模式</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19)系统具有定时通标气核查功能，时间、频次可设定</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20)机柜内部自带标气瓶固定功能，柜内照明</w:t>
      </w:r>
      <w:r>
        <w:rPr>
          <w:rFonts w:hint="eastAsia" w:ascii="宋体" w:hAnsi="宋体" w:eastAsia="宋体" w:cs="宋体"/>
          <w:bCs/>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21)系统具有时间校准功能。</w:t>
      </w:r>
      <w:r>
        <w:rPr>
          <w:rFonts w:hint="eastAsia" w:ascii="宋体" w:hAnsi="宋体" w:eastAsia="宋体" w:cs="宋体"/>
          <w:bCs/>
          <w:color w:val="000000"/>
          <w:sz w:val="24"/>
          <w:szCs w:val="24"/>
          <w:highlight w:val="none"/>
          <w:lang w:val="en-US" w:eastAsia="zh-CN"/>
        </w:rPr>
      </w:r>
      <w:r>
        <w:rPr>
          <w:highlight w:val="none"/>
        </w:rPr>
      </w:r>
    </w:p>
    <w:p>
      <w:pPr>
        <w:pStyle w:val="763"/>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数据传输要求</w:t>
      </w:r>
      <w:r>
        <w:rPr>
          <w:rFonts w:hint="eastAsia"/>
          <w:b/>
          <w:color w:val="000000"/>
          <w:sz w:val="24"/>
          <w:szCs w:val="24"/>
          <w:highlight w:val="none"/>
          <w:lang w:val="en-US" w:eastAsia="zh-CN"/>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①总体功能要求</w:t>
      </w:r>
      <w:r>
        <w:rPr>
          <w:rFonts w:hint="eastAsia" w:ascii="宋体" w:hAnsi="宋体" w:eastAsia="宋体" w:cs="宋体"/>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用于监测站内所有在线分析仪器和校准设备的工作控制、数据采集、零气和标准气的供给时序、数据通讯等任务的执行。控制功能应满足空气质量自动监测系统的数据采集、控制、通讯等全部要求。</w:t>
      </w:r>
      <w:r>
        <w:rPr>
          <w:rFonts w:hint="eastAsia" w:ascii="宋体" w:hAnsi="宋体" w:eastAsia="宋体" w:cs="宋体"/>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②主要技术参数要求</w:t>
      </w:r>
      <w:r>
        <w:rPr>
          <w:rFonts w:hint="eastAsia" w:ascii="宋体" w:hAnsi="宋体" w:eastAsia="宋体" w:cs="宋体"/>
          <w:color w:val="000000"/>
          <w:sz w:val="24"/>
          <w:szCs w:val="24"/>
          <w:highlight w:val="none"/>
        </w:rPr>
      </w:r>
      <w:r>
        <w:rPr>
          <w:highlight w:val="none"/>
        </w:rPr>
      </w:r>
    </w:p>
    <w:p>
      <w:pPr>
        <w:pStyle w:val="760"/>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应能通过RS232、RS485通讯、有线网络、无线网络(含4G等)多种通讯方式，实现与分析仪器联接并采集仪器的测量结果和工作状态；</w:t>
      </w:r>
      <w:r>
        <w:rPr>
          <w:rFonts w:hint="eastAsia" w:ascii="宋体" w:hAnsi="宋体" w:eastAsia="宋体" w:cs="宋体"/>
          <w:color w:val="000000"/>
          <w:sz w:val="24"/>
          <w:szCs w:val="24"/>
          <w:highlight w:val="none"/>
        </w:rPr>
      </w:r>
      <w:r>
        <w:rPr>
          <w:highlight w:val="none"/>
        </w:rPr>
      </w:r>
    </w:p>
    <w:p>
      <w:pPr>
        <w:pStyle w:val="760"/>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软件每个采集定时器的周期与每个分析仪器测量周期应保持一致且一一对应，并且软件采集周期可设；</w:t>
      </w:r>
      <w:r>
        <w:rPr>
          <w:rFonts w:hint="eastAsia" w:ascii="宋体" w:hAnsi="宋体" w:eastAsia="宋体" w:cs="宋体"/>
          <w:color w:val="000000"/>
          <w:sz w:val="24"/>
          <w:szCs w:val="24"/>
          <w:highlight w:val="none"/>
        </w:rPr>
      </w:r>
      <w:r>
        <w:rPr>
          <w:highlight w:val="none"/>
        </w:rPr>
      </w:r>
    </w:p>
    <w:p>
      <w:pPr>
        <w:pStyle w:val="760"/>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应内置多种国内外通讯协议（“HJ212-2017污染物在线监控（监测）系统数据传输标准”、Modbus等协议），兼容各类环境监测分析仪器；</w:t>
      </w:r>
      <w:r>
        <w:rPr>
          <w:rFonts w:hint="eastAsia" w:ascii="宋体" w:hAnsi="宋体" w:eastAsia="宋体" w:cs="宋体"/>
          <w:color w:val="000000"/>
          <w:sz w:val="24"/>
          <w:szCs w:val="24"/>
          <w:highlight w:val="none"/>
        </w:rPr>
      </w:r>
      <w:r>
        <w:rPr>
          <w:highlight w:val="none"/>
        </w:rPr>
      </w:r>
    </w:p>
    <w:p>
      <w:pPr>
        <w:pStyle w:val="760"/>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应不少于8个串口；</w:t>
      </w:r>
      <w:r>
        <w:rPr>
          <w:rFonts w:hint="eastAsia" w:ascii="宋体" w:hAnsi="宋体" w:eastAsia="宋体" w:cs="宋体"/>
          <w:color w:val="000000"/>
          <w:sz w:val="24"/>
          <w:szCs w:val="24"/>
          <w:highlight w:val="none"/>
        </w:rPr>
      </w:r>
      <w:r>
        <w:rPr>
          <w:highlight w:val="none"/>
        </w:rPr>
      </w:r>
    </w:p>
    <w:p>
      <w:pPr>
        <w:pStyle w:val="760"/>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停电后应长期保存系统设置参数，电源恢复后可自动启动，进入工作状态；</w:t>
      </w:r>
      <w:r>
        <w:rPr>
          <w:rFonts w:hint="eastAsia" w:ascii="宋体" w:hAnsi="宋体" w:eastAsia="宋体" w:cs="宋体"/>
          <w:color w:val="000000"/>
          <w:sz w:val="24"/>
          <w:szCs w:val="24"/>
          <w:highlight w:val="none"/>
        </w:rPr>
      </w:r>
      <w:r>
        <w:rPr>
          <w:highlight w:val="none"/>
        </w:rPr>
      </w:r>
    </w:p>
    <w:p>
      <w:pPr>
        <w:pStyle w:val="760"/>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全面支持网络通讯：可以支持有线网络、无线网络(含4G等)多种通讯方式，所有具有数字通讯功能的设备均实现了远程网络通讯；</w:t>
      </w:r>
      <w:r>
        <w:rPr>
          <w:rFonts w:hint="eastAsia" w:ascii="宋体" w:hAnsi="宋体" w:eastAsia="宋体" w:cs="宋体"/>
          <w:color w:val="000000"/>
          <w:sz w:val="24"/>
          <w:szCs w:val="24"/>
          <w:highlight w:val="none"/>
        </w:rPr>
      </w:r>
      <w:r>
        <w:rPr>
          <w:highlight w:val="none"/>
        </w:rPr>
      </w:r>
    </w:p>
    <w:p>
      <w:pPr>
        <w:pStyle w:val="760"/>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系统稳定性：整套软件运行于window系统之上，确保系统的稳定和安全；</w:t>
      </w:r>
      <w:r>
        <w:rPr>
          <w:rFonts w:hint="eastAsia" w:ascii="宋体" w:hAnsi="宋体" w:eastAsia="宋体" w:cs="宋体"/>
          <w:color w:val="000000"/>
          <w:sz w:val="24"/>
          <w:szCs w:val="24"/>
          <w:highlight w:val="none"/>
        </w:rPr>
      </w:r>
      <w:r>
        <w:rPr>
          <w:highlight w:val="none"/>
        </w:rPr>
      </w:r>
    </w:p>
    <w:p>
      <w:pPr>
        <w:pStyle w:val="760"/>
        <w:numPr>
          <w:ilvl w:val="1"/>
          <w:numId w:val="15"/>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系统安全性：数据采用加密传输和严格的权限控制，身份认证，确保系统不受内部和外来的安全威胁。</w:t>
      </w:r>
      <w:r>
        <w:rPr>
          <w:rFonts w:hint="eastAsia" w:ascii="宋体" w:hAnsi="宋体" w:eastAsia="宋体" w:cs="宋体"/>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③软件功能要求</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数据上传：数据上传握手机制与断点续传机制，支持监测站点多通道监测数据上传（一点多发模式）；</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系统报警：系统应灵活设置各种报警方式；应远程显示现场工作状态、仪器设备故障自动报警、异常值自动报警，并能将报警信号自动发送至监控中心；</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设备控制：操作人员可在现场对设备进行校零、校标等操作或结合中心端软硬件平台远程对设备进行校零、校标等操作；</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数据存储：系统应实时存储保存一年以上实时数据及小时均值；</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用户管理：系统具备严格的用户管理和权限控制功能；</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数据备份：数据应实现异地备份与恢复；</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数据输出：数据采集与传输应支持数字量和模拟量输出，其中模拟量采集值与测量值误差≤1%（满量程）；</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应具备测量数据及实时状态的查询功能，按需要进行各种方式的数据查询；数采软件应可正确显示分析仪测定的资料；</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数据一致性：数采软件显示的监测数据对应的监测时间应与监测仪显示的时间一致；</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应具备数据查询功能，不仅能查询一定时间段的历史数据，而且能查询5分钟均值、小时均值，并且配有形象的图形显示，便于用户了解各个参数随时间的变化趋势；</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仪器数据补遗：支持将测量仪器数据补遗到数采软件，防止数据缺失。</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仪器参数：支持将测量仪器参数（温度、压力、流量等参数）采集到数采软件，并上传给数据中心平台。</w:t>
      </w:r>
      <w:r>
        <w:rPr>
          <w:rFonts w:hint="eastAsia" w:ascii="宋体" w:hAnsi="宋体" w:eastAsia="宋体" w:cs="宋体"/>
          <w:color w:val="000000"/>
          <w:sz w:val="24"/>
          <w:szCs w:val="24"/>
          <w:highlight w:val="none"/>
        </w:rPr>
      </w:r>
      <w:r>
        <w:rPr>
          <w:highlight w:val="none"/>
        </w:rPr>
      </w:r>
    </w:p>
    <w:p>
      <w:pPr>
        <w:pStyle w:val="760"/>
        <w:numPr>
          <w:ilvl w:val="1"/>
          <w:numId w:val="16"/>
        </w:numPr>
        <w:ind w:left="1320" w:hanging="420"/>
        <w:spacing w:line="360" w:lineRule="auto"/>
        <w:rPr>
          <w:color w:val="000000"/>
          <w:highlight w:val="none"/>
        </w:rPr>
      </w:pPr>
      <w:r>
        <w:rPr>
          <w:rFonts w:hint="eastAsia" w:ascii="宋体" w:hAnsi="宋体" w:eastAsia="宋体" w:cs="宋体"/>
          <w:color w:val="000000"/>
          <w:sz w:val="24"/>
          <w:szCs w:val="24"/>
          <w:highlight w:val="none"/>
        </w:rPr>
        <w:t xml:space="preserve">平台补遗：在数据中心平台缺失数据情况下，应下发补遗命令给数采软件，补遗缺失数据。</w:t>
      </w:r>
      <w:r>
        <w:rPr>
          <w:color w:val="000000"/>
          <w:highlight w:val="none"/>
          <w:lang w:val="en-US" w:eastAsia="zh-CN"/>
        </w:rPr>
      </w:r>
      <w:r>
        <w:rPr>
          <w:highlight w:val="none"/>
        </w:rPr>
      </w:r>
    </w:p>
    <w:p>
      <w:pPr>
        <w:pStyle w:val="824"/>
        <w:rPr>
          <w:color w:val="000000"/>
          <w:highlight w:val="none"/>
        </w:rPr>
      </w:pPr>
      <w:r>
        <w:rPr>
          <w:color w:val="000000"/>
          <w:highlight w:val="none"/>
          <w:lang w:val="en-US" w:eastAsia="zh-CN"/>
        </w:rPr>
      </w:r>
      <w:r>
        <w:rPr>
          <w:highlight w:val="none"/>
        </w:rPr>
      </w:r>
    </w:p>
    <w:p>
      <w:pPr>
        <w:pStyle w:val="763"/>
        <w:numPr>
          <w:ilvl w:val="0"/>
          <w:numId w:val="13"/>
        </w:numPr>
        <w:rPr>
          <w:rFonts w:hint="eastAsia"/>
          <w:b/>
          <w:color w:val="000000"/>
          <w:sz w:val="24"/>
          <w:szCs w:val="24"/>
          <w:highlight w:val="none"/>
        </w:rPr>
      </w:pPr>
      <w:r>
        <w:rPr>
          <w:rFonts w:hint="eastAsia"/>
          <w:b/>
          <w:color w:val="000000"/>
          <w:sz w:val="24"/>
          <w:szCs w:val="24"/>
          <w:highlight w:val="none"/>
          <w:lang w:val="en-US" w:eastAsia="zh-CN"/>
        </w:rPr>
        <w:t xml:space="preserve">服务范围及核心要求</w:t>
      </w:r>
      <w:r>
        <w:rPr>
          <w:rFonts w:hint="eastAsia"/>
          <w:b/>
          <w:color w:val="000000"/>
          <w:sz w:val="24"/>
          <w:szCs w:val="24"/>
          <w:highlight w:val="none"/>
          <w:lang w:val="en-US" w:eastAsia="zh-CN"/>
        </w:rPr>
      </w:r>
      <w:r>
        <w:rPr>
          <w:highlight w:val="none"/>
        </w:rPr>
      </w:r>
    </w:p>
    <w:p>
      <w:pPr>
        <w:pStyle w:val="823"/>
        <w:ind w:firstLine="480"/>
        <w:rPr>
          <w:rFonts w:hint="eastAsia" w:ascii="宋体" w:hAnsi="宋体" w:cs="宋体"/>
          <w:color w:val="000000"/>
          <w:szCs w:val="24"/>
          <w:highlight w:val="none"/>
        </w:rPr>
      </w:pPr>
      <w:r>
        <w:rPr>
          <w:rFonts w:hint="eastAsia" w:ascii="Times New Roman" w:hAnsi="Times New Roman" w:eastAsia="宋体" w:cs="Times New Roman"/>
          <w:b w:val="0"/>
          <w:bCs/>
          <w:color w:val="000000"/>
          <w:highlight w:val="none"/>
          <w:lang w:val="zh-CN" w:eastAsia="zh-CN"/>
        </w:rPr>
        <w:t xml:space="preserve">根据《江苏宜兴陶瓷产业园区污染物排放限值限量管理实施方案》要求，为陶瓷产业园区</w:t>
      </w:r>
      <w:r>
        <w:rPr>
          <w:rFonts w:hint="eastAsia" w:ascii="Times New Roman" w:hAnsi="Times New Roman" w:eastAsia="宋体" w:cs="Times New Roman"/>
          <w:b w:val="0"/>
          <w:bCs/>
          <w:color w:val="000000"/>
          <w:highlight w:val="none"/>
          <w:lang w:val="en-US" w:eastAsia="zh-CN"/>
        </w:rPr>
        <w:t xml:space="preserve">提供1套标准</w:t>
      </w:r>
      <w:r>
        <w:rPr>
          <w:rFonts w:hint="eastAsia" w:ascii="Times New Roman" w:hAnsi="Times New Roman" w:eastAsia="宋体" w:cs="Times New Roman"/>
          <w:b w:val="0"/>
          <w:bCs/>
          <w:color w:val="000000"/>
          <w:highlight w:val="none"/>
          <w:lang w:val="zh-CN" w:eastAsia="zh-CN"/>
        </w:rPr>
        <w:t xml:space="preserve">空气站、1套PAMS设备及数据服务，服务期3年。</w:t>
      </w:r>
      <w:r>
        <w:rPr>
          <w:rFonts w:hint="eastAsia" w:ascii="宋体" w:hAnsi="宋体" w:cs="宋体"/>
          <w:color w:val="000000"/>
          <w:szCs w:val="24"/>
          <w:highlight w:val="none"/>
          <w:lang w:val="zh-CN"/>
        </w:rPr>
      </w:r>
      <w:r>
        <w:rPr>
          <w:highlight w:val="none"/>
        </w:rPr>
      </w:r>
    </w:p>
    <w:p>
      <w:pPr>
        <w:pStyle w:val="823"/>
        <w:ind w:firstLine="480"/>
        <w:rPr>
          <w:rFonts w:hint="eastAsia"/>
          <w:b w:val="0"/>
          <w:bCs/>
          <w:color w:val="000000"/>
          <w:highlight w:val="none"/>
        </w:rPr>
      </w:pPr>
      <w:r>
        <w:rPr>
          <w:rFonts w:hint="eastAsia"/>
          <w:b w:val="0"/>
          <w:bCs/>
          <w:color w:val="000000"/>
          <w:highlight w:val="none"/>
          <w:lang w:val="en-US" w:eastAsia="zh-CN"/>
        </w:rPr>
        <w:t xml:space="preserve">标准空气站及运行维护服务：投标单位需负责1套空气站设备的采购、运输、安装、调试、校准及其日常运行保障、数据采集、传输、审核、质控及整理，确保监测数据符合国家及地方相关环境监测标准（参照苏环办〔2022〕142号相关规范要求），数据真实、准确、完整、有效，可实时接入产业园指定数据平台及省平台，满足园区日常环境监测及监管需求。监测指标需覆盖常规空气质量参数，具体以园区现有标准空气站配置及相关规范要求为准。</w:t>
      </w:r>
      <w:r>
        <w:rPr>
          <w:rFonts w:hint="eastAsia"/>
          <w:b w:val="0"/>
          <w:bCs/>
          <w:color w:val="000000"/>
          <w:highlight w:val="none"/>
          <w:lang w:val="en-US" w:eastAsia="zh-CN"/>
        </w:rPr>
      </w:r>
      <w:r>
        <w:rPr>
          <w:highlight w:val="none"/>
        </w:rPr>
      </w:r>
    </w:p>
    <w:p>
      <w:pPr>
        <w:pStyle w:val="823"/>
        <w:ind w:firstLine="480"/>
        <w:rPr>
          <w:rFonts w:hint="eastAsia"/>
          <w:b w:val="0"/>
          <w:bCs/>
          <w:color w:val="000000"/>
          <w:highlight w:val="none"/>
        </w:rPr>
      </w:pPr>
      <w:r>
        <w:rPr>
          <w:rFonts w:hint="eastAsia"/>
          <w:b w:val="0"/>
          <w:bCs/>
          <w:color w:val="000000"/>
          <w:highlight w:val="none"/>
          <w:lang w:val="en-US" w:eastAsia="zh-CN"/>
        </w:rPr>
        <w:t xml:space="preserve">PAMS空气站及运行维护服务：投标单位需负责设备的采购、运输、安装、调试、校准，确保设备正常投入运行。同时，承担1套PAMS空气站整个服务期内的日常运行维护、耗材更换、故障维修、数据采集、传输、审核、质控及整理等全部工作，保障PAMS监测数据连续有效，与标准空气站数据同步接入园区指定数据平台及省平台，形成完整的园区空气质量监测数据体系。</w:t>
      </w:r>
      <w:r>
        <w:rPr>
          <w:rFonts w:hint="eastAsia"/>
          <w:b w:val="0"/>
          <w:bCs/>
          <w:color w:val="000000"/>
          <w:highlight w:val="none"/>
          <w:lang w:val="en-US" w:eastAsia="zh-CN"/>
        </w:rPr>
      </w:r>
      <w:r>
        <w:rPr>
          <w:highlight w:val="none"/>
        </w:rPr>
      </w:r>
    </w:p>
    <w:p>
      <w:pPr>
        <w:pStyle w:val="760"/>
        <w:ind w:firstLine="482"/>
        <w:spacing w:line="360" w:lineRule="auto"/>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lang w:val="en-US" w:eastAsia="zh-CN"/>
        </w:rPr>
        <w:t xml:space="preserve">1、数据信息网络安全要</w:t>
      </w:r>
      <w:r>
        <w:rPr>
          <w:rFonts w:hint="eastAsia" w:ascii="宋体" w:hAnsi="宋体" w:cs="宋体"/>
          <w:b/>
          <w:bCs w:val="0"/>
          <w:color w:val="000000"/>
          <w:sz w:val="24"/>
          <w:szCs w:val="24"/>
          <w:highlight w:val="none"/>
        </w:rPr>
        <w:t xml:space="preserve">求</w:t>
      </w:r>
      <w:r>
        <w:rPr>
          <w:rFonts w:hint="eastAsia" w:ascii="宋体" w:hAnsi="宋体" w:cs="宋体"/>
          <w:b/>
          <w:bCs w:val="0"/>
          <w:color w:val="000000"/>
          <w:sz w:val="24"/>
          <w:szCs w:val="24"/>
          <w:highlight w:val="none"/>
        </w:rPr>
      </w:r>
      <w:r>
        <w:rPr>
          <w:highlight w:val="none"/>
        </w:rPr>
      </w:r>
    </w:p>
    <w:p>
      <w:pPr>
        <w:pStyle w:val="823"/>
        <w:ind w:firstLine="480"/>
        <w:rPr>
          <w:rFonts w:hint="eastAsia"/>
          <w:b w:val="0"/>
          <w:bCs/>
          <w:color w:val="000000"/>
          <w:highlight w:val="none"/>
        </w:rPr>
      </w:pPr>
      <w:r>
        <w:rPr>
          <w:rFonts w:hint="eastAsia"/>
          <w:b w:val="0"/>
          <w:bCs/>
          <w:color w:val="000000"/>
          <w:highlight w:val="none"/>
          <w:lang w:val="en-US" w:eastAsia="zh-CN"/>
        </w:rPr>
        <w:t xml:space="preserve">1.</w:t>
      </w:r>
      <w:r>
        <w:rPr>
          <w:rFonts w:hint="eastAsia"/>
          <w:b w:val="0"/>
          <w:bCs/>
          <w:color w:val="000000"/>
          <w:highlight w:val="none"/>
          <w:lang w:val="zh-CN" w:eastAsia="zh-CN"/>
        </w:rPr>
        <w:t xml:space="preserve">1</w:t>
      </w:r>
      <w:r>
        <w:rPr>
          <w:rFonts w:hint="eastAsia"/>
          <w:b w:val="0"/>
          <w:bCs/>
          <w:color w:val="000000"/>
          <w:highlight w:val="none"/>
          <w:lang w:val="en-US" w:eastAsia="zh-CN"/>
        </w:rPr>
        <w:t xml:space="preserve"> </w:t>
      </w:r>
      <w:r>
        <w:rPr>
          <w:rFonts w:hint="eastAsia"/>
          <w:b w:val="0"/>
          <w:bCs/>
          <w:color w:val="000000"/>
          <w:highlight w:val="none"/>
          <w:lang w:val="zh-CN" w:eastAsia="zh-CN"/>
        </w:rPr>
        <w:t xml:space="preserve">数据安全保障：投标单位需建立完善的监测数据安全管理制度，对标准空气站、PAMS空气站采集的所有监测数据（含实时数据、历史数据、质控数据）进行严格保密，严禁擅自泄露、篡改、出售、转借监测数据及园区相关敏感信息。监测数据需进行加密存储，定期开展数据备份（含本地备份和异地备份），确保数据不丢失、不被非法篡改，备份数据保存期限不低于服务期届满后1年。</w:t>
      </w:r>
      <w:r>
        <w:rPr>
          <w:rFonts w:hint="eastAsia"/>
          <w:b w:val="0"/>
          <w:bCs/>
          <w:color w:val="000000"/>
          <w:highlight w:val="none"/>
          <w:lang w:val="zh-CN" w:eastAsia="zh-CN"/>
        </w:rPr>
      </w:r>
      <w:r>
        <w:rPr>
          <w:highlight w:val="none"/>
        </w:rPr>
      </w:r>
    </w:p>
    <w:p>
      <w:pPr>
        <w:pStyle w:val="823"/>
        <w:ind w:firstLine="480"/>
        <w:rPr>
          <w:rFonts w:hint="eastAsia"/>
          <w:b w:val="0"/>
          <w:bCs/>
          <w:color w:val="000000"/>
          <w:highlight w:val="none"/>
        </w:rPr>
      </w:pPr>
      <w:r>
        <w:rPr>
          <w:rFonts w:hint="eastAsia"/>
          <w:b w:val="0"/>
          <w:bCs/>
          <w:color w:val="000000"/>
          <w:highlight w:val="none"/>
          <w:lang w:val="en-US" w:eastAsia="zh-CN"/>
        </w:rPr>
        <w:t xml:space="preserve">1.</w:t>
      </w:r>
      <w:r>
        <w:rPr>
          <w:rFonts w:hint="eastAsia"/>
          <w:b w:val="0"/>
          <w:bCs/>
          <w:color w:val="000000"/>
          <w:highlight w:val="none"/>
          <w:lang w:val="zh-CN" w:eastAsia="zh-CN"/>
        </w:rPr>
        <w:t xml:space="preserve">2</w:t>
      </w:r>
      <w:r>
        <w:rPr>
          <w:rFonts w:hint="eastAsia"/>
          <w:b w:val="0"/>
          <w:bCs/>
          <w:color w:val="000000"/>
          <w:highlight w:val="none"/>
          <w:lang w:val="en-US" w:eastAsia="zh-CN"/>
        </w:rPr>
        <w:t xml:space="preserve"> </w:t>
      </w:r>
      <w:r>
        <w:rPr>
          <w:rFonts w:hint="eastAsia"/>
          <w:b w:val="0"/>
          <w:bCs/>
          <w:color w:val="000000"/>
          <w:highlight w:val="none"/>
          <w:lang w:val="zh-CN" w:eastAsia="zh-CN"/>
        </w:rPr>
        <w:t xml:space="preserve">传输安全保障：监测数据在采集、传输至园区指定数据平台</w:t>
      </w:r>
      <w:r>
        <w:rPr>
          <w:rFonts w:hint="eastAsia"/>
          <w:b w:val="0"/>
          <w:bCs/>
          <w:color w:val="000000"/>
          <w:highlight w:val="none"/>
          <w:lang w:val="en-US" w:eastAsia="zh-CN"/>
        </w:rPr>
        <w:t xml:space="preserve">及省平台</w:t>
      </w:r>
      <w:r>
        <w:rPr>
          <w:rFonts w:hint="eastAsia"/>
          <w:b w:val="0"/>
          <w:bCs/>
          <w:color w:val="000000"/>
          <w:highlight w:val="none"/>
          <w:lang w:val="zh-CN" w:eastAsia="zh-CN"/>
        </w:rPr>
        <w:t xml:space="preserve">的全过程中，需采用符合国家网络安全标准的加密传输协议，搭建安全传输通道，防范数据被窃取、拦截、篡改或伪造，确保数据传输的安全性、完整性和真实性，符合网络安全等级保护相关要求。</w:t>
      </w:r>
      <w:r>
        <w:rPr>
          <w:rFonts w:hint="eastAsia"/>
          <w:b w:val="0"/>
          <w:bCs/>
          <w:color w:val="000000"/>
          <w:highlight w:val="none"/>
          <w:lang w:val="zh-CN" w:eastAsia="zh-CN"/>
        </w:rPr>
      </w:r>
      <w:r>
        <w:rPr>
          <w:highlight w:val="none"/>
        </w:rPr>
      </w:r>
    </w:p>
    <w:p>
      <w:pPr>
        <w:pStyle w:val="823"/>
        <w:ind w:firstLine="480"/>
        <w:rPr>
          <w:rFonts w:hint="eastAsia"/>
          <w:b w:val="0"/>
          <w:bCs/>
          <w:color w:val="000000"/>
          <w:highlight w:val="none"/>
        </w:rPr>
      </w:pPr>
      <w:r>
        <w:rPr>
          <w:rFonts w:hint="eastAsia"/>
          <w:b w:val="0"/>
          <w:bCs/>
          <w:color w:val="000000"/>
          <w:highlight w:val="none"/>
          <w:lang w:val="en-US" w:eastAsia="zh-CN"/>
        </w:rPr>
        <w:t xml:space="preserve">1.3</w:t>
      </w:r>
      <w:r>
        <w:rPr>
          <w:rFonts w:hint="eastAsia"/>
          <w:b w:val="0"/>
          <w:bCs/>
          <w:color w:val="000000"/>
          <w:highlight w:val="none"/>
          <w:lang w:val="zh-CN" w:eastAsia="zh-CN"/>
        </w:rPr>
        <w:t xml:space="preserve">设备及平台安全保障：投标单位负责其采购的PAMS空气站设备、数据采集终端及相关配套软件的网络安全防护，配备必要的安全防护设备（如防火墙、入侵检测设备等），定期开展设备安全巡检、漏洞扫描和病毒查杀，及时修复安全隐患，防范网络攻击、恶意入侵等安全事件发生，确保设备及软件正常、安全运行。</w:t>
      </w:r>
      <w:r>
        <w:rPr>
          <w:rFonts w:hint="eastAsia"/>
          <w:b w:val="0"/>
          <w:bCs/>
          <w:color w:val="000000"/>
          <w:highlight w:val="none"/>
          <w:lang w:val="zh-CN" w:eastAsia="zh-CN"/>
        </w:rPr>
      </w:r>
      <w:r>
        <w:rPr>
          <w:highlight w:val="none"/>
        </w:rPr>
      </w:r>
    </w:p>
    <w:p>
      <w:pPr>
        <w:pStyle w:val="823"/>
        <w:ind w:firstLine="480"/>
        <w:rPr>
          <w:rFonts w:hint="eastAsia"/>
          <w:b w:val="0"/>
          <w:bCs/>
          <w:color w:val="000000"/>
          <w:highlight w:val="none"/>
        </w:rPr>
      </w:pPr>
      <w:r>
        <w:rPr>
          <w:rFonts w:hint="eastAsia"/>
          <w:b w:val="0"/>
          <w:bCs/>
          <w:color w:val="000000"/>
          <w:highlight w:val="none"/>
          <w:lang w:val="en-US" w:eastAsia="zh-CN"/>
        </w:rPr>
        <w:t xml:space="preserve">1.4</w:t>
      </w:r>
      <w:r>
        <w:rPr>
          <w:rFonts w:hint="eastAsia"/>
          <w:b w:val="0"/>
          <w:bCs/>
          <w:color w:val="000000"/>
          <w:highlight w:val="none"/>
          <w:lang w:val="zh-CN" w:eastAsia="zh-CN"/>
        </w:rPr>
        <w:t xml:space="preserve">安全应急与责任：投标单位需建立网络信息安全应急响应机制，制定安全事件应急预案，若发生数据泄露、篡改、设备被入侵等网络安全事件，需第一时间启动应急预案，及时处置，并在1小时内书面告知采购人，配合采购人开展事件调查、整改工作。因投标单位自身安全防护不到位导致网络安全事件、数据安全问题，或造成采购人损失的，由投标单位承担全部责任及相应损失。</w:t>
      </w:r>
      <w:r>
        <w:rPr>
          <w:rFonts w:hint="eastAsia"/>
          <w:b w:val="0"/>
          <w:bCs/>
          <w:color w:val="000000"/>
          <w:highlight w:val="none"/>
          <w:lang w:val="zh-CN" w:eastAsia="zh-CN"/>
        </w:rPr>
      </w:r>
      <w:r>
        <w:rPr>
          <w:highlight w:val="none"/>
        </w:rPr>
      </w:r>
    </w:p>
    <w:p>
      <w:pPr>
        <w:pStyle w:val="823"/>
        <w:ind w:firstLine="480"/>
        <w:rPr>
          <w:rFonts w:hint="eastAsia"/>
          <w:b w:val="0"/>
          <w:bCs/>
          <w:color w:val="000000"/>
          <w:highlight w:val="none"/>
        </w:rPr>
      </w:pPr>
      <w:r>
        <w:rPr>
          <w:rFonts w:hint="eastAsia"/>
          <w:b w:val="0"/>
          <w:bCs/>
          <w:color w:val="000000"/>
          <w:highlight w:val="none"/>
          <w:lang w:val="en-US" w:eastAsia="zh-CN"/>
        </w:rPr>
        <w:t xml:space="preserve">1.5 </w:t>
      </w:r>
      <w:r>
        <w:rPr>
          <w:rFonts w:hint="eastAsia"/>
          <w:b w:val="0"/>
          <w:bCs/>
          <w:color w:val="000000"/>
          <w:highlight w:val="none"/>
          <w:lang w:val="zh-CN" w:eastAsia="zh-CN"/>
        </w:rPr>
        <w:t xml:space="preserve">人员与管理：投标单位需配备专业的网络信息安全管理人员，负责数据安全、设备安全及传输安全的日常管理工作；定期对相关操作人员开展网络安全培训，规范操作流程，防范人为操作导致的安全风险。服务期内，需配合采购人开展网络信息安全检查、核查工作，提供相关安全检测报告、巡检记录等资料。</w:t>
      </w:r>
      <w:r>
        <w:rPr>
          <w:rFonts w:hint="eastAsia"/>
          <w:b w:val="0"/>
          <w:bCs/>
          <w:color w:val="000000"/>
          <w:highlight w:val="none"/>
          <w:lang w:val="zh-CN" w:eastAsia="zh-CN"/>
        </w:rPr>
      </w:r>
      <w:r>
        <w:rPr>
          <w:highlight w:val="none"/>
        </w:rPr>
      </w:r>
    </w:p>
    <w:p>
      <w:pPr>
        <w:pStyle w:val="760"/>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2、数据服务要求</w:t>
      </w:r>
      <w:r>
        <w:rPr>
          <w:rFonts w:hint="eastAsia" w:ascii="宋体" w:hAnsi="宋体" w:cs="宋体"/>
          <w:b/>
          <w:color w:val="000000"/>
          <w:sz w:val="24"/>
          <w:szCs w:val="24"/>
          <w:highlight w:val="none"/>
          <w:lang w:val="zh-CN" w:eastAsia="zh-CN"/>
        </w:rPr>
      </w:r>
      <w:r>
        <w:rPr>
          <w:highlight w:val="none"/>
        </w:rPr>
      </w:r>
    </w:p>
    <w:p>
      <w:pPr>
        <w:pStyle w:val="760"/>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2.1、</w:t>
      </w:r>
      <w:r>
        <w:rPr>
          <w:rFonts w:hint="eastAsia" w:ascii="宋体" w:hAnsi="宋体" w:cs="宋体"/>
          <w:color w:val="000000"/>
          <w:sz w:val="24"/>
          <w:szCs w:val="24"/>
          <w:highlight w:val="none"/>
          <w:lang w:val="zh-CN"/>
        </w:rPr>
        <w:t xml:space="preserve">运维工作要求：</w:t>
      </w:r>
      <w:r>
        <w:rPr>
          <w:rFonts w:hint="eastAsia" w:ascii="宋体" w:hAnsi="宋体" w:cs="宋体"/>
          <w:color w:val="000000"/>
          <w:sz w:val="24"/>
          <w:szCs w:val="24"/>
          <w:highlight w:val="none"/>
          <w:lang w:val="zh-CN"/>
        </w:rPr>
      </w:r>
      <w:r>
        <w:rPr>
          <w:highlight w:val="none"/>
        </w:rPr>
      </w:r>
    </w:p>
    <w:p>
      <w:pPr>
        <w:pStyle w:val="760"/>
        <w:ind w:firstLine="720"/>
        <w:jc w:val="left"/>
        <w:spacing w:line="360" w:lineRule="auto"/>
        <w:tabs>
          <w:tab w:val="left" w:pos="651"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供应商须承诺</w:t>
      </w:r>
      <w:r>
        <w:rPr>
          <w:rFonts w:hint="eastAsia" w:ascii="宋体" w:hAnsi="宋体" w:cs="宋体"/>
          <w:bCs/>
          <w:color w:val="000000"/>
          <w:sz w:val="24"/>
          <w:szCs w:val="24"/>
          <w:highlight w:val="none"/>
          <w:lang w:val="en-US" w:eastAsia="zh-CN"/>
        </w:rPr>
        <w:t xml:space="preserve">合同签订</w:t>
      </w:r>
      <w:r>
        <w:rPr>
          <w:rFonts w:hint="eastAsia" w:ascii="宋体" w:hAnsi="宋体" w:cs="宋体"/>
          <w:bCs/>
          <w:color w:val="000000"/>
          <w:sz w:val="24"/>
          <w:szCs w:val="24"/>
          <w:highlight w:val="none"/>
        </w:rPr>
        <w:t xml:space="preserve">后1个月（30日历日）内配齐本技术要求中所涉及的仪器设备、耗材和备件。耗材按照不少于半年的消耗量配置，备件按照至少1年使用量配置。必须使用检定合格的备品备件和耗材，严禁使用未检定合格或劣质备品备件和耗材。设备故障需更换备机，保证数据连续性，设备老旧无法正常提供运维服务则需更换设备。所有备机备品备件均由供应商提供。</w:t>
      </w:r>
      <w:r>
        <w:rPr>
          <w:rFonts w:ascii="宋体" w:hAnsi="宋体" w:cs="宋体"/>
          <w:bCs/>
          <w:color w:val="000000"/>
          <w:sz w:val="24"/>
          <w:szCs w:val="24"/>
          <w:highlight w:val="none"/>
        </w:rPr>
        <w:t xml:space="preserve">因本项目产生的</w:t>
      </w:r>
      <w:r>
        <w:rPr>
          <w:rFonts w:hint="eastAsia" w:ascii="宋体" w:hAnsi="宋体" w:cs="宋体"/>
          <w:color w:val="000000"/>
          <w:spacing w:val="8"/>
          <w:sz w:val="24"/>
          <w:szCs w:val="24"/>
          <w:highlight w:val="none"/>
        </w:rPr>
        <w:t xml:space="preserve">日常维护</w:t>
      </w:r>
      <w:r>
        <w:rPr>
          <w:rFonts w:hint="eastAsia" w:ascii="宋体" w:hAnsi="宋体" w:cs="宋体"/>
          <w:color w:val="000000"/>
          <w:spacing w:val="8"/>
          <w:sz w:val="24"/>
          <w:szCs w:val="24"/>
          <w:highlight w:val="none"/>
          <w:lang w:eastAsia="zh-CN"/>
        </w:rPr>
        <w:t xml:space="preserve">（</w:t>
      </w:r>
      <w:r>
        <w:rPr>
          <w:rFonts w:hint="eastAsia" w:ascii="宋体" w:hAnsi="宋体" w:cs="宋体"/>
          <w:color w:val="000000"/>
          <w:spacing w:val="8"/>
          <w:sz w:val="24"/>
          <w:szCs w:val="24"/>
          <w:highlight w:val="none"/>
          <w:lang w:val="en-US" w:eastAsia="zh-CN"/>
        </w:rPr>
        <w:t xml:space="preserve">包括站房</w:t>
      </w:r>
      <w:r>
        <w:rPr>
          <w:rFonts w:hint="eastAsia" w:ascii="宋体" w:hAnsi="宋体" w:cs="宋体"/>
          <w:color w:val="000000"/>
          <w:spacing w:val="8"/>
          <w:sz w:val="24"/>
          <w:szCs w:val="24"/>
          <w:highlight w:val="none"/>
          <w:lang w:eastAsia="zh-CN"/>
        </w:rPr>
        <w:t xml:space="preserve">）</w:t>
      </w:r>
      <w:r>
        <w:rPr>
          <w:rFonts w:hint="eastAsia" w:ascii="宋体" w:hAnsi="宋体" w:cs="宋体"/>
          <w:color w:val="000000"/>
          <w:spacing w:val="8"/>
          <w:sz w:val="24"/>
          <w:szCs w:val="24"/>
          <w:highlight w:val="none"/>
        </w:rPr>
        <w:t xml:space="preserve">、故障维修</w:t>
      </w:r>
      <w:r>
        <w:rPr>
          <w:rFonts w:hint="eastAsia" w:ascii="宋体" w:hAnsi="宋体" w:cs="宋体"/>
          <w:bCs/>
          <w:color w:val="000000"/>
          <w:sz w:val="24"/>
          <w:szCs w:val="24"/>
          <w:highlight w:val="none"/>
        </w:rPr>
        <w:t xml:space="preserve">、设备备件配件更换、</w:t>
      </w:r>
      <w:r>
        <w:rPr>
          <w:rFonts w:ascii="宋体" w:hAnsi="宋体" w:cs="宋体"/>
          <w:bCs/>
          <w:color w:val="000000"/>
          <w:sz w:val="24"/>
          <w:szCs w:val="24"/>
          <w:highlight w:val="none"/>
        </w:rPr>
        <w:t xml:space="preserve">通讯费</w:t>
      </w:r>
      <w:r>
        <w:rPr>
          <w:rFonts w:hint="eastAsia" w:ascii="宋体" w:hAnsi="宋体" w:cs="宋体"/>
          <w:bCs/>
          <w:color w:val="000000"/>
          <w:sz w:val="24"/>
          <w:szCs w:val="24"/>
          <w:highlight w:val="none"/>
        </w:rPr>
        <w:t xml:space="preserve">、防雷</w:t>
      </w:r>
      <w:r>
        <w:rPr>
          <w:rFonts w:ascii="宋体" w:hAnsi="宋体" w:cs="宋体"/>
          <w:bCs/>
          <w:color w:val="000000"/>
          <w:sz w:val="24"/>
          <w:szCs w:val="24"/>
          <w:highlight w:val="none"/>
        </w:rPr>
        <w:t xml:space="preserve">等</w:t>
      </w:r>
      <w:r>
        <w:rPr>
          <w:rFonts w:hint="eastAsia" w:ascii="宋体" w:hAnsi="宋体" w:cs="宋体"/>
          <w:bCs/>
          <w:color w:val="000000"/>
          <w:sz w:val="24"/>
          <w:szCs w:val="24"/>
          <w:highlight w:val="none"/>
        </w:rPr>
        <w:t xml:space="preserve">一切费用</w:t>
      </w:r>
      <w:r>
        <w:rPr>
          <w:rFonts w:ascii="宋体" w:hAnsi="宋体" w:cs="宋体"/>
          <w:bCs/>
          <w:color w:val="000000"/>
          <w:sz w:val="24"/>
          <w:szCs w:val="24"/>
          <w:highlight w:val="none"/>
        </w:rPr>
        <w:t xml:space="preserve">由运维单位承担，并包含在本项目响应报价中</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rPr>
          <w:highlight w:val="none"/>
        </w:rPr>
      </w:r>
    </w:p>
    <w:p>
      <w:pPr>
        <w:pStyle w:val="813"/>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项目运维及管理期间，供应商应严格按照采购人制订的操作规范和规章制度，对所管理的系统及仪器设备进行规范操作和精心维护及必要维修，保证系统及仪器设备的正常运行，达到采购人提出的系统及仪器设备考核指标要求。中标运维商必须接受采购人和第三方质控质保核查单位的定期、不定期检查和考核。如上级质控检查时发现问题，一律由供应商限期整改。</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2.2、</w:t>
      </w:r>
      <w:r>
        <w:rPr>
          <w:rFonts w:hint="eastAsia" w:ascii="宋体" w:hAnsi="宋体" w:cs="宋体"/>
          <w:bCs/>
          <w:color w:val="000000"/>
          <w:sz w:val="24"/>
          <w:szCs w:val="24"/>
          <w:highlight w:val="none"/>
        </w:rPr>
        <w:t xml:space="preserve">运维工作内容</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rPr>
          <w:highlight w:val="none"/>
        </w:rPr>
      </w:r>
    </w:p>
    <w:p>
      <w:pPr>
        <w:pStyle w:val="813"/>
        <w:ind w:firstLine="48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供应商须按照国家或省有关规定、技术和质量控制要求，</w:t>
      </w:r>
      <w:r>
        <w:rPr>
          <w:rFonts w:ascii="宋体" w:hAnsi="宋体" w:eastAsia="宋体" w:cs="宋体"/>
          <w:color w:val="000000"/>
          <w:sz w:val="24"/>
          <w:szCs w:val="24"/>
          <w:highlight w:val="none"/>
        </w:rPr>
        <w:t xml:space="preserve">派驻专职驻场运维工程师，</w:t>
      </w:r>
      <w:r>
        <w:rPr>
          <w:rFonts w:hint="eastAsia" w:ascii="宋体" w:hAnsi="宋体" w:cs="宋体"/>
          <w:color w:val="000000"/>
          <w:sz w:val="24"/>
          <w:szCs w:val="24"/>
          <w:highlight w:val="none"/>
        </w:rPr>
        <w:t xml:space="preserve">全面负责</w:t>
      </w:r>
      <w:r>
        <w:rPr>
          <w:rFonts w:hint="eastAsia" w:ascii="宋体" w:hAnsi="宋体" w:cs="宋体"/>
          <w:color w:val="000000"/>
          <w:spacing w:val="-3"/>
          <w:sz w:val="24"/>
          <w:szCs w:val="24"/>
          <w:highlight w:val="none"/>
        </w:rPr>
        <w:t xml:space="preserve">标准空气站</w:t>
      </w:r>
      <w:r>
        <w:rPr>
          <w:rFonts w:hint="eastAsia" w:ascii="宋体" w:hAnsi="宋体" w:cs="宋体"/>
          <w:color w:val="000000"/>
          <w:sz w:val="24"/>
          <w:szCs w:val="24"/>
          <w:highlight w:val="none"/>
        </w:rPr>
        <w:t xml:space="preserve">、</w:t>
      </w:r>
      <w:r>
        <w:rPr>
          <w:rFonts w:hint="eastAsia" w:ascii="宋体" w:hAnsi="宋体" w:cs="宋体"/>
          <w:color w:val="000000"/>
          <w:spacing w:val="-3"/>
          <w:sz w:val="24"/>
          <w:szCs w:val="24"/>
          <w:highlight w:val="none"/>
        </w:rPr>
        <w:t xml:space="preserve">PAMS在线监测站</w:t>
      </w:r>
      <w:r>
        <w:rPr>
          <w:rFonts w:hint="eastAsia" w:ascii="宋体" w:hAnsi="宋体" w:cs="宋体"/>
          <w:color w:val="000000"/>
          <w:sz w:val="24"/>
          <w:szCs w:val="24"/>
          <w:highlight w:val="none"/>
        </w:rPr>
        <w:t xml:space="preserve">日常运行维护。</w:t>
      </w:r>
      <w:r>
        <w:rPr>
          <w:rFonts w:hint="eastAsia" w:ascii="宋体" w:hAnsi="宋体" w:cs="宋体"/>
          <w:color w:val="000000"/>
          <w:sz w:val="24"/>
          <w:szCs w:val="24"/>
          <w:highlight w:val="none"/>
        </w:rPr>
        <w:t xml:space="preserve">当采购人依据国家有关规定和技术要求出台新的运维要求时，以新要求为准。</w:t>
      </w:r>
      <w:r>
        <w:rPr>
          <w:rFonts w:hint="eastAsia" w:ascii="宋体" w:hAnsi="宋体" w:cs="宋体"/>
          <w:color w:val="000000"/>
          <w:sz w:val="24"/>
          <w:szCs w:val="24"/>
          <w:highlight w:val="none"/>
        </w:rPr>
      </w:r>
      <w:r>
        <w:rPr>
          <w:highlight w:val="none"/>
        </w:rPr>
      </w:r>
    </w:p>
    <w:p>
      <w:pPr>
        <w:pStyle w:val="76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p>
    <w:p>
      <w:pPr>
        <w:pStyle w:val="76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系统监测</w:t>
      </w:r>
      <w:r>
        <w:rPr>
          <w:rFonts w:hint="eastAsia" w:ascii="宋体" w:hAnsi="宋体" w:cs="宋体"/>
          <w:b/>
          <w:bCs/>
          <w:color w:val="000000"/>
          <w:sz w:val="24"/>
          <w:szCs w:val="24"/>
          <w:highlight w:val="none"/>
          <w:lang w:val="en-US" w:eastAsia="zh-CN"/>
        </w:rPr>
        <w:t xml:space="preserve">项目：</w:t>
      </w:r>
      <w:r>
        <w:rPr>
          <w:rFonts w:hint="eastAsia" w:ascii="宋体" w:hAnsi="宋体" w:cs="宋体"/>
          <w:b/>
          <w:bCs/>
          <w:color w:val="000000"/>
          <w:sz w:val="24"/>
          <w:szCs w:val="24"/>
          <w:highlight w:val="none"/>
          <w:lang w:val="en-US" w:eastAsia="zh-CN"/>
        </w:rPr>
      </w:r>
      <w:r>
        <w:rPr>
          <w:highlight w:val="none"/>
        </w:rPr>
      </w:r>
    </w:p>
    <w:p>
      <w:pPr>
        <w:pStyle w:val="760"/>
        <w:ind w:firstLine="723"/>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标准空气站</w:t>
      </w:r>
      <w:r>
        <w:rPr>
          <w:rFonts w:hint="eastAsia" w:ascii="宋体" w:hAnsi="宋体" w:cs="宋体"/>
          <w:b/>
          <w:bCs/>
          <w:color w:val="000000"/>
          <w:sz w:val="24"/>
          <w:szCs w:val="24"/>
          <w:highlight w:val="none"/>
          <w:lang w:val="en-US" w:eastAsia="zh-CN"/>
        </w:rPr>
      </w:r>
      <w:r>
        <w:rPr>
          <w:highlight w:val="none"/>
        </w:rPr>
      </w:r>
    </w:p>
    <w:tbl>
      <w:tblPr>
        <w:tblW w:w="4939" w:type="pct"/>
        <w:tblInd w:w="-108" w:type="dxa"/>
        <w:tblLayout w:type="autofit"/>
        <w:tblCellMar>
          <w:left w:w="108" w:type="dxa"/>
          <w:top w:w="0" w:type="dxa"/>
          <w:right w:w="108" w:type="dxa"/>
          <w:bottom w:w="0" w:type="dxa"/>
        </w:tblCellMar>
        <w:tblLook w:val="04A0" w:firstRow="1" w:lastRow="0" w:firstColumn="1" w:lastColumn="0" w:noHBand="0" w:noVBand="1"/>
      </w:tblPr>
      <w:tblGrid>
        <w:gridCol w:w="1167"/>
        <w:gridCol w:w="2951"/>
        <w:gridCol w:w="1431"/>
        <w:gridCol w:w="4185"/>
      </w:tblGrid>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rPr>
                <w:rFonts w:hint="eastAsia" w:ascii="宋体" w:hAnsi="宋体" w:eastAsia="宋体" w:cs="宋体"/>
                <w:color w:val="000000"/>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760"/>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物质名称</w:t>
            </w:r>
            <w:r>
              <w:rPr>
                <w:rFonts w:hint="eastAsia" w:ascii="宋体" w:hAnsi="宋体" w:eastAsia="宋体" w:cs="宋体"/>
                <w:b/>
                <w:bCs/>
                <w:color w:val="000000"/>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rPr>
                <w:rFonts w:hint="eastAsia" w:ascii="宋体" w:hAnsi="宋体" w:eastAsia="宋体" w:cs="宋体"/>
                <w:color w:val="000000"/>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760"/>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物质名称</w:t>
            </w:r>
            <w:r>
              <w:rPr>
                <w:rFonts w:hint="eastAsia" w:ascii="宋体" w:hAnsi="宋体" w:eastAsia="宋体" w:cs="宋体"/>
                <w:b/>
                <w:bCs/>
                <w:color w:val="000000"/>
                <w:sz w:val="24"/>
                <w:szCs w:val="24"/>
                <w:highlight w:val="none"/>
              </w:rPr>
            </w:r>
            <w:r>
              <w:rPr>
                <w:highlight w:val="none"/>
              </w:rP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二氧化氮</w:t>
            </w:r>
            <w:r>
              <w:rPr>
                <w:rFonts w:hint="eastAsia" w:ascii="宋体" w:hAnsi="宋体" w:eastAsia="宋体" w:cs="宋体"/>
                <w:color w:val="000000"/>
                <w:sz w:val="24"/>
                <w:szCs w:val="24"/>
                <w:highlight w:val="none"/>
                <w:lang w:eastAsia="zh-CN"/>
              </w:rPr>
            </w:r>
            <w:r>
              <w:rPr>
                <w:highlight w:val="none"/>
              </w:rP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eastAsia="zh-CN"/>
              </w:rPr>
            </w:r>
            <w:r>
              <w:rPr>
                <w:highlight w:val="none"/>
              </w:rP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760"/>
              <w:jc w:val="center"/>
              <w:spacing w:line="360" w:lineRule="auto"/>
              <w:widowControl/>
              <w:rPr>
                <w:rFonts w:hint="eastAsia" w:ascii="宋体" w:hAnsi="宋体" w:eastAsia="宋体" w:cs="宋体"/>
                <w:b w:val="0"/>
                <w:bCs w:val="0"/>
                <w:color w:val="000000"/>
                <w:sz w:val="24"/>
                <w:szCs w:val="24"/>
                <w:highlight w:val="none"/>
              </w:rPr>
            </w:pPr>
            <w:r>
              <w:rPr>
                <w:rStyle w:val="797"/>
                <w:rFonts w:ascii="宋体" w:hAnsi="宋体" w:eastAsia="宋体" w:cs="宋体"/>
                <w:b w:val="0"/>
                <w:bCs w:val="0"/>
                <w:color w:val="000000"/>
                <w:sz w:val="24"/>
                <w:szCs w:val="24"/>
                <w:highlight w:val="none"/>
              </w:rPr>
              <w:t xml:space="preserve">温度</w:t>
            </w:r>
            <w:r>
              <w:rPr>
                <w:rFonts w:ascii="宋体" w:hAnsi="宋体" w:eastAsia="宋体" w:cs="宋体"/>
                <w:b w:val="0"/>
                <w:bCs w:val="0"/>
                <w:color w:val="000000"/>
                <w:sz w:val="24"/>
                <w:szCs w:val="24"/>
                <w:highlight w:val="none"/>
              </w:rPr>
              <w:t xml:space="preserve">（环境空气温度）</w:t>
            </w:r>
            <w:r>
              <w:rPr>
                <w:rFonts w:hint="eastAsia" w:ascii="宋体" w:hAnsi="宋体" w:eastAsia="宋体" w:cs="宋体"/>
                <w:b w:val="0"/>
                <w:bCs w:val="0"/>
                <w:color w:val="000000"/>
                <w:sz w:val="24"/>
                <w:szCs w:val="24"/>
                <w:highlight w:val="none"/>
              </w:rPr>
            </w:r>
            <w:r>
              <w:rPr>
                <w:highlight w:val="none"/>
              </w:rP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二氧化硫</w:t>
            </w:r>
            <w:r>
              <w:rPr>
                <w:rFonts w:hint="eastAsia" w:ascii="宋体" w:hAnsi="宋体" w:eastAsia="宋体" w:cs="宋体"/>
                <w:color w:val="000000"/>
                <w:sz w:val="24"/>
                <w:szCs w:val="24"/>
                <w:highlight w:val="none"/>
                <w:lang w:eastAsia="zh-CN"/>
              </w:rPr>
            </w:r>
            <w:r>
              <w:rPr>
                <w:highlight w:val="none"/>
              </w:rP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eastAsia="zh-CN"/>
              </w:rPr>
            </w:r>
            <w:r>
              <w:rPr>
                <w:highlight w:val="none"/>
              </w:rP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760"/>
              <w:jc w:val="center"/>
              <w:spacing w:line="360" w:lineRule="auto"/>
              <w:widowControl/>
              <w:rPr>
                <w:rFonts w:hint="eastAsia" w:ascii="宋体" w:hAnsi="宋体" w:eastAsia="宋体" w:cs="宋体"/>
                <w:b w:val="0"/>
                <w:bCs w:val="0"/>
                <w:color w:val="000000"/>
                <w:sz w:val="24"/>
                <w:szCs w:val="24"/>
                <w:highlight w:val="none"/>
              </w:rPr>
            </w:pPr>
            <w:r>
              <w:rPr>
                <w:rStyle w:val="797"/>
                <w:rFonts w:ascii="宋体" w:hAnsi="宋体" w:eastAsia="宋体" w:cs="宋体"/>
                <w:b w:val="0"/>
                <w:bCs w:val="0"/>
                <w:color w:val="000000"/>
                <w:sz w:val="24"/>
                <w:szCs w:val="24"/>
                <w:highlight w:val="none"/>
              </w:rPr>
              <w:t xml:space="preserve">相对湿度</w:t>
            </w:r>
            <w:r>
              <w:rPr>
                <w:rFonts w:ascii="宋体" w:hAnsi="宋体" w:eastAsia="宋体" w:cs="宋体"/>
                <w:b w:val="0"/>
                <w:bCs w:val="0"/>
                <w:color w:val="000000"/>
                <w:sz w:val="24"/>
                <w:szCs w:val="24"/>
                <w:highlight w:val="none"/>
              </w:rPr>
              <w:t xml:space="preserve">（环境空气相对湿度）</w:t>
            </w:r>
            <w:r>
              <w:rPr>
                <w:rFonts w:hint="eastAsia" w:ascii="宋体" w:hAnsi="宋体" w:eastAsia="宋体" w:cs="宋体"/>
                <w:b w:val="0"/>
                <w:bCs w:val="0"/>
                <w:color w:val="000000"/>
                <w:sz w:val="24"/>
                <w:szCs w:val="24"/>
                <w:highlight w:val="none"/>
              </w:rPr>
            </w:r>
            <w:r>
              <w:rPr>
                <w:highlight w:val="none"/>
              </w:rP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760"/>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一氧化碳</w:t>
            </w:r>
            <w:r>
              <w:rPr>
                <w:rFonts w:ascii="宋体" w:hAnsi="宋体" w:eastAsia="宋体" w:cs="宋体"/>
                <w:color w:val="000000"/>
                <w:sz w:val="24"/>
                <w:szCs w:val="24"/>
                <w:highlight w:val="none"/>
                <w:lang w:val="en-US" w:eastAsia="zh-CN"/>
              </w:rPr>
            </w:r>
            <w:r>
              <w:rPr>
                <w:highlight w:val="none"/>
              </w:rP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eastAsia="zh-CN"/>
              </w:rPr>
            </w:r>
            <w:r>
              <w:rPr>
                <w:highlight w:val="none"/>
              </w:rP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760"/>
              <w:jc w:val="center"/>
              <w:spacing w:line="360" w:lineRule="auto"/>
              <w:widowControl/>
              <w:rPr>
                <w:rFonts w:hint="eastAsia" w:ascii="宋体" w:hAnsi="宋体" w:eastAsia="宋体" w:cs="宋体"/>
                <w:b w:val="0"/>
                <w:bCs w:val="0"/>
                <w:color w:val="000000"/>
                <w:sz w:val="24"/>
                <w:szCs w:val="24"/>
                <w:highlight w:val="none"/>
              </w:rPr>
            </w:pPr>
            <w:r>
              <w:rPr>
                <w:rStyle w:val="797"/>
                <w:rFonts w:ascii="宋体" w:hAnsi="宋体" w:eastAsia="宋体" w:cs="宋体"/>
                <w:b w:val="0"/>
                <w:bCs w:val="0"/>
                <w:color w:val="000000"/>
                <w:sz w:val="24"/>
                <w:szCs w:val="24"/>
                <w:highlight w:val="none"/>
              </w:rPr>
              <w:t xml:space="preserve">大气压</w:t>
            </w:r>
            <w:r>
              <w:rPr>
                <w:rFonts w:ascii="宋体" w:hAnsi="宋体" w:eastAsia="宋体" w:cs="宋体"/>
                <w:b w:val="0"/>
                <w:bCs w:val="0"/>
                <w:color w:val="000000"/>
                <w:sz w:val="24"/>
                <w:szCs w:val="24"/>
                <w:highlight w:val="none"/>
              </w:rPr>
              <w:t xml:space="preserve">（大气压力）</w:t>
            </w:r>
            <w:r>
              <w:rPr>
                <w:rFonts w:hint="eastAsia" w:ascii="宋体" w:hAnsi="宋体" w:eastAsia="宋体" w:cs="宋体"/>
                <w:b w:val="0"/>
                <w:bCs w:val="0"/>
                <w:color w:val="000000"/>
                <w:sz w:val="24"/>
                <w:szCs w:val="24"/>
                <w:highlight w:val="none"/>
              </w:rPr>
            </w:r>
            <w:r>
              <w:rPr>
                <w:highlight w:val="none"/>
              </w:rPr>
            </w:r>
          </w:p>
        </w:tc>
      </w:tr>
      <w:tr>
        <w:trPr>
          <w:trHeight w:val="521"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760"/>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PM10</w:t>
            </w:r>
            <w:r>
              <w:rPr>
                <w:rFonts w:ascii="宋体" w:hAnsi="宋体" w:eastAsia="宋体" w:cs="宋体"/>
                <w:color w:val="000000"/>
                <w:sz w:val="24"/>
                <w:szCs w:val="24"/>
                <w:highlight w:val="none"/>
              </w:rPr>
              <w:t xml:space="preserve">可吸入颗粒物</w:t>
            </w:r>
            <w:r>
              <w:rPr>
                <w:rFonts w:ascii="宋体" w:hAnsi="宋体" w:eastAsia="宋体" w:cs="宋体"/>
                <w:color w:val="000000"/>
                <w:sz w:val="24"/>
                <w:szCs w:val="24"/>
                <w:highlight w:val="none"/>
                <w:lang w:val="en-US" w:eastAsia="zh-CN"/>
              </w:rPr>
            </w:r>
            <w:r>
              <w:rPr>
                <w:highlight w:val="none"/>
              </w:rP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60"/>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10</w:t>
            </w:r>
            <w:r>
              <w:rPr>
                <w:rFonts w:ascii="宋体" w:hAnsi="宋体" w:eastAsia="宋体" w:cs="宋体"/>
                <w:color w:val="000000"/>
                <w:sz w:val="24"/>
                <w:szCs w:val="24"/>
                <w:highlight w:val="none"/>
                <w:lang w:val="en-US" w:eastAsia="zh-CN"/>
              </w:rPr>
            </w:r>
            <w:r>
              <w:rPr>
                <w:highlight w:val="none"/>
              </w:rP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760"/>
              <w:jc w:val="center"/>
              <w:spacing w:line="360" w:lineRule="auto"/>
              <w:widowControl/>
              <w:rPr>
                <w:rFonts w:hint="eastAsia" w:ascii="宋体" w:hAnsi="宋体" w:eastAsia="宋体" w:cs="宋体"/>
                <w:b w:val="0"/>
                <w:bCs w:val="0"/>
                <w:color w:val="000000"/>
                <w:sz w:val="24"/>
                <w:szCs w:val="24"/>
                <w:highlight w:val="none"/>
              </w:rPr>
            </w:pPr>
            <w:r>
              <w:rPr>
                <w:rStyle w:val="797"/>
                <w:rFonts w:ascii="宋体" w:hAnsi="宋体" w:eastAsia="宋体" w:cs="宋体"/>
                <w:b w:val="0"/>
                <w:bCs w:val="0"/>
                <w:color w:val="000000"/>
                <w:sz w:val="24"/>
                <w:szCs w:val="24"/>
                <w:highlight w:val="none"/>
              </w:rPr>
              <w:t xml:space="preserve">风速</w:t>
            </w:r>
            <w:r>
              <w:rPr>
                <w:rFonts w:ascii="宋体" w:hAnsi="宋体" w:eastAsia="宋体" w:cs="宋体"/>
                <w:b w:val="0"/>
                <w:bCs w:val="0"/>
                <w:color w:val="000000"/>
                <w:sz w:val="24"/>
                <w:szCs w:val="24"/>
                <w:highlight w:val="none"/>
              </w:rPr>
              <w:t xml:space="preserve">（环境实时风速）</w:t>
            </w:r>
            <w:r>
              <w:rPr>
                <w:rFonts w:hint="eastAsia" w:ascii="宋体" w:hAnsi="宋体" w:eastAsia="宋体" w:cs="宋体"/>
                <w:b w:val="0"/>
                <w:bCs w:val="0"/>
                <w:color w:val="000000"/>
                <w:sz w:val="24"/>
                <w:szCs w:val="24"/>
                <w:highlight w:val="none"/>
              </w:rPr>
            </w:r>
            <w:r>
              <w:rPr>
                <w:highlight w:val="none"/>
              </w:rPr>
            </w:r>
          </w:p>
        </w:tc>
      </w:tr>
      <w:tr>
        <w:trPr>
          <w:trHeight w:val="450"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PM2.5</w:t>
            </w:r>
            <w:r>
              <w:rPr>
                <w:rFonts w:ascii="宋体" w:hAnsi="宋体" w:eastAsia="宋体" w:cs="宋体"/>
                <w:color w:val="000000"/>
                <w:sz w:val="24"/>
                <w:szCs w:val="24"/>
                <w:highlight w:val="none"/>
              </w:rPr>
              <w:t xml:space="preserve">细颗粒物</w:t>
            </w:r>
            <w:r>
              <w:rPr>
                <w:rFonts w:hint="eastAsia" w:ascii="宋体" w:hAnsi="宋体" w:eastAsia="宋体" w:cs="宋体"/>
                <w:color w:val="000000"/>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60"/>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11</w:t>
            </w:r>
            <w:r>
              <w:rPr>
                <w:rFonts w:ascii="宋体" w:hAnsi="宋体" w:eastAsia="宋体" w:cs="宋体"/>
                <w:color w:val="000000"/>
                <w:sz w:val="24"/>
                <w:szCs w:val="24"/>
                <w:highlight w:val="none"/>
                <w:lang w:val="en-US" w:eastAsia="zh-CN"/>
              </w:rPr>
            </w:r>
            <w:r>
              <w:rPr>
                <w:highlight w:val="none"/>
              </w:rP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760"/>
              <w:jc w:val="center"/>
              <w:spacing w:line="360" w:lineRule="auto"/>
              <w:widowControl/>
              <w:rPr>
                <w:rFonts w:hint="eastAsia" w:ascii="宋体" w:hAnsi="宋体" w:eastAsia="宋体" w:cs="宋体"/>
                <w:b w:val="0"/>
                <w:bCs w:val="0"/>
                <w:color w:val="000000"/>
                <w:sz w:val="24"/>
                <w:szCs w:val="24"/>
                <w:highlight w:val="none"/>
              </w:rPr>
            </w:pPr>
            <w:r>
              <w:rPr>
                <w:rStyle w:val="797"/>
                <w:rFonts w:ascii="宋体" w:hAnsi="宋体" w:eastAsia="宋体" w:cs="宋体"/>
                <w:b w:val="0"/>
                <w:bCs w:val="0"/>
                <w:color w:val="000000"/>
                <w:sz w:val="24"/>
                <w:szCs w:val="24"/>
                <w:highlight w:val="none"/>
              </w:rPr>
              <w:t xml:space="preserve">风向</w:t>
            </w:r>
            <w:r>
              <w:rPr>
                <w:rFonts w:ascii="宋体" w:hAnsi="宋体" w:eastAsia="宋体" w:cs="宋体"/>
                <w:b w:val="0"/>
                <w:bCs w:val="0"/>
                <w:color w:val="000000"/>
                <w:sz w:val="24"/>
                <w:szCs w:val="24"/>
                <w:highlight w:val="none"/>
              </w:rPr>
              <w:t xml:space="preserve">（环境实时风向）</w:t>
            </w:r>
            <w:r>
              <w:rPr>
                <w:rFonts w:hint="eastAsia" w:ascii="宋体" w:hAnsi="宋体" w:eastAsia="宋体" w:cs="宋体"/>
                <w:b w:val="0"/>
                <w:bCs w:val="0"/>
                <w:color w:val="000000"/>
                <w:sz w:val="24"/>
                <w:szCs w:val="24"/>
                <w:highlight w:val="none"/>
              </w:rPr>
            </w:r>
            <w:r>
              <w:rPr>
                <w:highlight w:val="none"/>
              </w:rPr>
            </w:r>
          </w:p>
        </w:tc>
      </w:tr>
      <w:tr>
        <w:trPr>
          <w:trHeight w:val="481" w:hRule="exact"/>
        </w:trPr>
        <w:tc>
          <w:tcPr>
            <w:tcBorders>
              <w:top w:val="single" w:color="000000" w:sz="4" w:space="0"/>
              <w:left w:val="single" w:color="000000" w:sz="4" w:space="0"/>
              <w:bottom w:val="single" w:color="000000" w:sz="4" w:space="0"/>
              <w:right w:val="single" w:color="000000" w:sz="4" w:space="0"/>
            </w:tcBorders>
            <w:tcW w:w="599"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rPr>
            </w:r>
            <w:r>
              <w:rPr>
                <w:highlight w:val="none"/>
              </w:rP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pStyle w:val="760"/>
              <w:jc w:val="center"/>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臭氧</w:t>
            </w:r>
            <w:r>
              <w:rPr>
                <w:rFonts w:ascii="宋体" w:hAnsi="宋体" w:eastAsia="宋体" w:cs="宋体"/>
                <w:color w:val="000000"/>
                <w:sz w:val="24"/>
                <w:szCs w:val="24"/>
                <w:highlight w:val="none"/>
                <w:lang w:val="en-US" w:eastAsia="zh-CN"/>
              </w:rPr>
            </w:r>
            <w:r>
              <w:rPr>
                <w:highlight w:val="none"/>
              </w:rP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pStyle w:val="760"/>
              <w:jc w:val="center"/>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r>
            <w:r>
              <w:rPr>
                <w:highlight w:val="none"/>
              </w:rPr>
            </w:r>
          </w:p>
        </w:tc>
        <w:tc>
          <w:tcPr>
            <w:tcBorders>
              <w:top w:val="single" w:color="000000" w:sz="4" w:space="0"/>
              <w:left w:val="single" w:color="000000" w:sz="4" w:space="0"/>
              <w:bottom w:val="single" w:color="000000" w:sz="4" w:space="0"/>
              <w:right w:val="single" w:color="000000" w:sz="4" w:space="0"/>
            </w:tcBorders>
            <w:tcW w:w="2149" w:type="dxa"/>
            <w:vAlign w:val="center"/>
            <w:textDirection w:val="lrTb"/>
            <w:noWrap/>
          </w:tcPr>
          <w:p>
            <w:pPr>
              <w:pStyle w:val="760"/>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bl>
    <w:p>
      <w:pPr>
        <w:pStyle w:val="76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p>
    <w:p>
      <w:pPr>
        <w:pStyle w:val="760"/>
        <w:ind w:firstLine="723"/>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rPr>
        <w:t xml:space="preserve">57种PAMS碳氢化合物</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rPr>
          <w:highlight w:val="none"/>
        </w:rPr>
      </w:r>
    </w:p>
    <w:tbl>
      <w:tblPr>
        <w:tblW w:w="8938"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21"/>
        <w:gridCol w:w="1241"/>
        <w:gridCol w:w="621"/>
        <w:gridCol w:w="1862"/>
        <w:gridCol w:w="744"/>
        <w:gridCol w:w="1614"/>
        <w:gridCol w:w="621"/>
        <w:gridCol w:w="1614"/>
      </w:tblGrid>
      <w:tr>
        <w:trPr>
          <w:trHeight w:val="358"/>
          <w:tblHeader/>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rPr>
                <w:rFonts w:hint="eastAsia" w:ascii="宋体" w:hAnsi="宋体" w:cs="宋体"/>
                <w:b/>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rPr>
                <w:rFonts w:hint="eastAsia" w:ascii="宋体" w:hAnsi="宋体" w:cs="宋体"/>
                <w:b/>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rPr>
                <w:rFonts w:hint="eastAsia" w:ascii="宋体" w:hAnsi="宋体" w:cs="宋体"/>
                <w:b/>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rPr>
                <w:rFonts w:hint="eastAsia" w:ascii="宋体" w:hAnsi="宋体" w:cs="宋体"/>
                <w:b/>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rPr>
                <w:rFonts w:hint="eastAsia" w:ascii="宋体" w:hAnsi="宋体" w:cs="宋体"/>
                <w:b/>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rPr>
                <w:rFonts w:hint="eastAsia" w:ascii="宋体" w:hAnsi="宋体" w:cs="宋体"/>
                <w:b/>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序号</w:t>
            </w:r>
            <w:r>
              <w:rPr>
                <w:rFonts w:hint="eastAsia" w:ascii="宋体" w:hAnsi="宋体" w:cs="宋体"/>
                <w:b/>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b/>
                <w:color w:val="000000"/>
                <w:szCs w:val="24"/>
                <w:highlight w:val="none"/>
              </w:rPr>
            </w:pPr>
            <w:r>
              <w:rPr>
                <w:rFonts w:hint="eastAsia" w:ascii="宋体" w:hAnsi="宋体" w:cs="宋体"/>
                <w:b/>
                <w:color w:val="000000"/>
                <w:szCs w:val="24"/>
                <w:highlight w:val="none"/>
              </w:rPr>
              <w:t xml:space="preserve">名称</w:t>
            </w:r>
            <w:r>
              <w:rPr>
                <w:rFonts w:hint="eastAsia" w:ascii="宋体" w:hAnsi="宋体" w:cs="宋体"/>
                <w:b/>
                <w:color w:val="000000"/>
                <w:szCs w:val="24"/>
                <w:highlight w:val="none"/>
              </w:rPr>
            </w:r>
            <w:r>
              <w:rPr>
                <w:highlight w:val="none"/>
              </w:rPr>
            </w:r>
          </w:p>
        </w:tc>
      </w:tr>
      <w:tr>
        <w:trPr>
          <w:trHeight w:val="358"/>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乙烷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15</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反-2-戊烯</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29</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44</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苯乙烯</w:t>
            </w:r>
            <w:r>
              <w:rPr>
                <w:rFonts w:hint="eastAsia" w:ascii="宋体" w:hAnsi="宋体" w:cs="宋体"/>
                <w:color w:val="000000"/>
                <w:szCs w:val="24"/>
                <w:highlight w:val="none"/>
              </w:rPr>
            </w:r>
            <w:r>
              <w:rPr>
                <w:highlight w:val="none"/>
              </w:rPr>
            </w:r>
          </w:p>
        </w:tc>
      </w:tr>
      <w:tr>
        <w:trPr>
          <w:trHeight w:val="706"/>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乙烯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16</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顺-2-戊烯</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30</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2,2,4-三甲基戊烷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45</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异丙基苯</w:t>
            </w:r>
            <w:r>
              <w:rPr>
                <w:rFonts w:hint="eastAsia" w:ascii="宋体" w:hAnsi="宋体" w:cs="宋体"/>
                <w:color w:val="000000"/>
                <w:szCs w:val="24"/>
                <w:highlight w:val="none"/>
              </w:rPr>
            </w:r>
            <w:r>
              <w:rPr>
                <w:highlight w:val="none"/>
              </w:rPr>
            </w:r>
          </w:p>
        </w:tc>
      </w:tr>
      <w:tr>
        <w:trPr>
          <w:trHeight w:val="358"/>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丙烷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17</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2,2-二甲基丁烷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31</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庚烷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46</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丙基苯</w:t>
            </w:r>
            <w:r>
              <w:rPr>
                <w:rFonts w:hint="eastAsia" w:ascii="宋体" w:hAnsi="宋体" w:cs="宋体"/>
                <w:color w:val="000000"/>
                <w:szCs w:val="24"/>
                <w:highlight w:val="none"/>
              </w:rPr>
            </w:r>
            <w:r>
              <w:rPr>
                <w:highlight w:val="none"/>
              </w:rPr>
            </w:r>
          </w:p>
        </w:tc>
      </w:tr>
      <w:tr>
        <w:trPr>
          <w:trHeight w:val="358"/>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丙烯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18</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2,3-二甲基丁烷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32</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甲基环己烷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47</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 乙基甲苯</w:t>
            </w:r>
            <w:r>
              <w:rPr>
                <w:rFonts w:hint="eastAsia" w:ascii="宋体" w:hAnsi="宋体" w:cs="宋体"/>
                <w:color w:val="000000"/>
                <w:szCs w:val="24"/>
                <w:highlight w:val="none"/>
              </w:rPr>
            </w:r>
            <w:r>
              <w:rPr>
                <w:highlight w:val="none"/>
              </w:rPr>
            </w:r>
          </w:p>
        </w:tc>
      </w:tr>
      <w:tr>
        <w:trPr>
          <w:trHeight w:val="706"/>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异丁烷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19</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2-甲基戊烷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33</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2,3,4-三甲基戊烷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48</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 乙基甲苯</w:t>
            </w:r>
            <w:r>
              <w:rPr>
                <w:rFonts w:hint="eastAsia" w:ascii="宋体" w:hAnsi="宋体" w:cs="宋体"/>
                <w:color w:val="000000"/>
                <w:szCs w:val="24"/>
                <w:highlight w:val="none"/>
              </w:rPr>
            </w:r>
            <w:r>
              <w:rPr>
                <w:highlight w:val="none"/>
              </w:rPr>
            </w:r>
          </w:p>
        </w:tc>
      </w:tr>
      <w:tr>
        <w:trPr>
          <w:trHeight w:val="358"/>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6</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正丁烷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20</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 甲基戊烷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34</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 甲基庚烷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49</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癸烷</w:t>
            </w:r>
            <w:r>
              <w:rPr>
                <w:rFonts w:hint="eastAsia" w:ascii="宋体" w:hAnsi="宋体" w:cs="宋体"/>
                <w:color w:val="000000"/>
                <w:szCs w:val="24"/>
                <w:highlight w:val="none"/>
              </w:rPr>
            </w:r>
            <w:r>
              <w:rPr>
                <w:highlight w:val="none"/>
              </w:rPr>
            </w:r>
          </w:p>
        </w:tc>
      </w:tr>
      <w:tr>
        <w:trPr>
          <w:trHeight w:val="358"/>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7</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乙炔</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21</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 己烯</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35</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 甲基庚烷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50</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1,3,5-三甲苯</w:t>
            </w:r>
            <w:r>
              <w:rPr>
                <w:rFonts w:hint="eastAsia" w:ascii="宋体" w:hAnsi="宋体" w:cs="宋体"/>
                <w:color w:val="000000"/>
                <w:szCs w:val="24"/>
                <w:highlight w:val="none"/>
              </w:rPr>
            </w:r>
            <w:r>
              <w:rPr>
                <w:highlight w:val="none"/>
              </w:rPr>
            </w:r>
          </w:p>
        </w:tc>
      </w:tr>
      <w:tr>
        <w:trPr>
          <w:trHeight w:val="358"/>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8</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反-2-丁烯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22</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正己烷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36</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甲苯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51</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 乙基甲苯</w:t>
            </w:r>
            <w:r>
              <w:rPr>
                <w:rFonts w:hint="eastAsia" w:ascii="宋体" w:hAnsi="宋体" w:cs="宋体"/>
                <w:color w:val="000000"/>
                <w:szCs w:val="24"/>
                <w:highlight w:val="none"/>
              </w:rPr>
            </w:r>
            <w:r>
              <w:rPr>
                <w:highlight w:val="none"/>
              </w:rPr>
            </w:r>
          </w:p>
        </w:tc>
      </w:tr>
      <w:tr>
        <w:trPr>
          <w:trHeight w:val="706"/>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9</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1-丁烯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23</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2,4-二甲基戊烷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37</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正辛烷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52</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1,2,4-三甲基苯</w:t>
            </w:r>
            <w:r>
              <w:rPr>
                <w:rFonts w:hint="eastAsia" w:ascii="宋体" w:hAnsi="宋体" w:cs="宋体"/>
                <w:color w:val="000000"/>
                <w:szCs w:val="24"/>
                <w:highlight w:val="none"/>
              </w:rPr>
            </w:r>
            <w:r>
              <w:rPr>
                <w:highlight w:val="none"/>
              </w:rPr>
            </w:r>
          </w:p>
        </w:tc>
      </w:tr>
      <w:tr>
        <w:trPr>
          <w:trHeight w:val="706"/>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10</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环戊烷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24</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甲基环戊烷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38</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乙基苯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53</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1,2,3-三甲基苯</w:t>
            </w:r>
            <w:r>
              <w:rPr>
                <w:rFonts w:hint="eastAsia" w:ascii="宋体" w:hAnsi="宋体" w:cs="宋体"/>
                <w:color w:val="000000"/>
                <w:szCs w:val="24"/>
                <w:highlight w:val="none"/>
              </w:rPr>
            </w:r>
            <w:r>
              <w:rPr>
                <w:highlight w:val="none"/>
              </w:rPr>
            </w:r>
          </w:p>
        </w:tc>
      </w:tr>
      <w:tr>
        <w:trPr>
          <w:trHeight w:val="706"/>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11</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顺-2-丁烯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25</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 甲基己烷(异庚烷)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39</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正壬烷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54</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1,3-二乙基苯</w:t>
            </w:r>
            <w:r>
              <w:rPr>
                <w:rFonts w:hint="eastAsia" w:ascii="宋体" w:hAnsi="宋体" w:cs="宋体"/>
                <w:color w:val="000000"/>
                <w:szCs w:val="24"/>
                <w:highlight w:val="none"/>
              </w:rPr>
            </w:r>
            <w:r>
              <w:rPr>
                <w:highlight w:val="none"/>
              </w:rPr>
            </w:r>
          </w:p>
        </w:tc>
      </w:tr>
      <w:tr>
        <w:trPr>
          <w:trHeight w:val="358"/>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12</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异戊烷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26</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2,3-二甲基戊烷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40</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异戊二烯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55</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1,4-二乙基苯</w:t>
            </w:r>
            <w:r>
              <w:rPr>
                <w:rFonts w:hint="eastAsia" w:ascii="宋体" w:hAnsi="宋体" w:cs="宋体"/>
                <w:color w:val="000000"/>
                <w:szCs w:val="24"/>
                <w:highlight w:val="none"/>
              </w:rPr>
            </w:r>
            <w:r>
              <w:rPr>
                <w:highlight w:val="none"/>
              </w:rPr>
            </w:r>
          </w:p>
        </w:tc>
      </w:tr>
      <w:tr>
        <w:trPr>
          <w:trHeight w:val="358"/>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13</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正戊烷</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27</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环己烷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41-42</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间/对-二甲苯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56</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十一烷</w:t>
            </w:r>
            <w:r>
              <w:rPr>
                <w:rFonts w:hint="eastAsia" w:ascii="宋体" w:hAnsi="宋体" w:cs="宋体"/>
                <w:color w:val="000000"/>
                <w:szCs w:val="24"/>
                <w:highlight w:val="none"/>
              </w:rPr>
            </w:r>
            <w:r>
              <w:rPr>
                <w:highlight w:val="none"/>
              </w:rPr>
            </w:r>
          </w:p>
        </w:tc>
      </w:tr>
      <w:tr>
        <w:trPr>
          <w:trHeight w:val="369"/>
        </w:trPr>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14</w:t>
            </w:r>
            <w:r>
              <w:rPr>
                <w:rFonts w:hint="eastAsia" w:ascii="宋体" w:hAnsi="宋体" w:cs="宋体"/>
                <w:color w:val="000000"/>
                <w:szCs w:val="24"/>
                <w:highlight w:val="none"/>
              </w:rPr>
            </w:r>
            <w:r>
              <w:rPr>
                <w:highlight w:val="none"/>
              </w:rPr>
            </w:r>
          </w:p>
        </w:tc>
        <w:tc>
          <w:tcPr>
            <w:tcW w:w="124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1-戊烯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28</w:t>
            </w:r>
            <w:r>
              <w:rPr>
                <w:rFonts w:hint="eastAsia" w:ascii="宋体" w:hAnsi="宋体" w:cs="宋体"/>
                <w:color w:val="000000"/>
                <w:szCs w:val="24"/>
                <w:highlight w:val="none"/>
              </w:rPr>
            </w:r>
            <w:r>
              <w:rPr>
                <w:highlight w:val="none"/>
              </w:rPr>
            </w:r>
          </w:p>
        </w:tc>
        <w:tc>
          <w:tcPr>
            <w:tcW w:w="1862"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3- 甲基己烷</w:t>
            </w:r>
            <w:r>
              <w:rPr>
                <w:rFonts w:hint="eastAsia" w:ascii="宋体" w:hAnsi="宋体" w:cs="宋体"/>
                <w:color w:val="000000"/>
                <w:szCs w:val="24"/>
                <w:highlight w:val="none"/>
              </w:rPr>
            </w:r>
            <w:r>
              <w:rPr>
                <w:highlight w:val="none"/>
              </w:rPr>
            </w:r>
          </w:p>
        </w:tc>
        <w:tc>
          <w:tcPr>
            <w:tcW w:w="74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43</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邻二甲苯</w:t>
            </w:r>
            <w:r>
              <w:rPr>
                <w:rFonts w:hint="eastAsia" w:ascii="宋体" w:hAnsi="宋体" w:cs="宋体"/>
                <w:color w:val="000000"/>
                <w:szCs w:val="24"/>
                <w:highlight w:val="none"/>
              </w:rPr>
            </w:r>
            <w:r>
              <w:rPr>
                <w:highlight w:val="none"/>
              </w:rPr>
            </w:r>
          </w:p>
        </w:tc>
        <w:tc>
          <w:tcPr>
            <w:tcW w:w="621"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57</w:t>
            </w:r>
            <w:r>
              <w:rPr>
                <w:rFonts w:hint="eastAsia" w:ascii="宋体" w:hAnsi="宋体" w:cs="宋体"/>
                <w:color w:val="000000"/>
                <w:szCs w:val="24"/>
                <w:highlight w:val="none"/>
              </w:rPr>
            </w:r>
            <w:r>
              <w:rPr>
                <w:highlight w:val="none"/>
              </w:rPr>
            </w:r>
          </w:p>
        </w:tc>
        <w:tc>
          <w:tcPr>
            <w:tcW w:w="1614" w:type="dxa"/>
            <w:vAlign w:val="center"/>
            <w:textDirection w:val="lrTb"/>
            <w:noWrap w:val="false"/>
          </w:tcPr>
          <w:p>
            <w:pPr>
              <w:pStyle w:val="826"/>
              <w:ind w:left="0" w:right="0" w:firstLine="0"/>
              <w:jc w:val="center"/>
              <w:tabs>
                <w:tab w:val="left" w:pos="180" w:leader="none"/>
              </w:tabs>
              <w:rPr>
                <w:rFonts w:hint="eastAsia" w:ascii="宋体" w:hAnsi="宋体" w:cs="宋体"/>
                <w:color w:val="000000"/>
                <w:szCs w:val="24"/>
                <w:highlight w:val="none"/>
              </w:rPr>
            </w:pPr>
            <w:r>
              <w:rPr>
                <w:rFonts w:hint="eastAsia" w:ascii="宋体" w:hAnsi="宋体" w:cs="宋体"/>
                <w:color w:val="000000"/>
                <w:szCs w:val="24"/>
                <w:highlight w:val="none"/>
              </w:rPr>
              <w:t xml:space="preserve">十二烷</w:t>
            </w:r>
            <w:r>
              <w:rPr>
                <w:rFonts w:hint="eastAsia" w:ascii="宋体" w:hAnsi="宋体" w:cs="宋体"/>
                <w:color w:val="000000"/>
                <w:szCs w:val="24"/>
                <w:highlight w:val="none"/>
              </w:rPr>
            </w:r>
            <w:r>
              <w:rPr>
                <w:highlight w:val="none"/>
              </w:rPr>
            </w:r>
          </w:p>
        </w:tc>
      </w:tr>
    </w:tbl>
    <w:p>
      <w:pPr>
        <w:pStyle w:val="76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3、日常巡查</w:t>
      </w:r>
      <w:r>
        <w:rPr>
          <w:rFonts w:hint="eastAsia" w:ascii="宋体" w:hAnsi="宋体" w:cs="宋体"/>
          <w:b/>
          <w:color w:val="000000"/>
          <w:sz w:val="24"/>
          <w:szCs w:val="24"/>
          <w:highlight w:val="none"/>
          <w:lang w:val="en-US" w:eastAsia="zh-CN"/>
        </w:rPr>
      </w:r>
      <w:r>
        <w:rPr>
          <w:highlight w:val="none"/>
        </w:rPr>
      </w:r>
    </w:p>
    <w:p>
      <w:pPr>
        <w:pStyle w:val="760"/>
        <w:ind w:firstLine="723"/>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每日工作内容</w:t>
      </w:r>
      <w:r>
        <w:rPr>
          <w:rFonts w:hint="eastAsia" w:ascii="宋体" w:hAnsi="宋体" w:cs="宋体"/>
          <w:b/>
          <w:bCs/>
          <w:color w:val="000000"/>
          <w:sz w:val="24"/>
          <w:szCs w:val="24"/>
          <w:highlight w:val="none"/>
        </w:rPr>
      </w:r>
      <w:r>
        <w:rPr>
          <w:highlight w:val="none"/>
        </w:rPr>
      </w:r>
    </w:p>
    <w:p>
      <w:pPr>
        <w:pStyle w:val="760"/>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每天上午和下午两次远程查看监测站点数据并形成记录，分析监测数据，对站点运行情况进行远程诊断和运行管理，内容包括：</w:t>
      </w:r>
      <w:r>
        <w:rPr>
          <w:rFonts w:hint="eastAsia" w:ascii="宋体" w:hAnsi="宋体" w:cs="宋体"/>
          <w:color w:val="000000"/>
          <w:sz w:val="24"/>
          <w:szCs w:val="24"/>
          <w:highlight w:val="none"/>
        </w:rPr>
      </w:r>
      <w:r>
        <w:rPr>
          <w:highlight w:val="none"/>
        </w:rPr>
      </w:r>
    </w:p>
    <w:p>
      <w:pPr>
        <w:pStyle w:val="760"/>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（1）判断系统数据采集与传输情况；</w:t>
      </w:r>
      <w:r>
        <w:rPr>
          <w:rFonts w:hint="eastAsia" w:ascii="宋体" w:hAnsi="宋体" w:cs="宋体"/>
          <w:color w:val="000000"/>
          <w:sz w:val="24"/>
          <w:szCs w:val="24"/>
          <w:highlight w:val="none"/>
        </w:rPr>
      </w:r>
      <w:r>
        <w:rPr>
          <w:highlight w:val="none"/>
        </w:rPr>
      </w:r>
    </w:p>
    <w:p>
      <w:pPr>
        <w:pStyle w:val="760"/>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（2）根据电源电压、站房温度、湿度数据判断站房内部情况；</w:t>
      </w:r>
      <w:r>
        <w:rPr>
          <w:rFonts w:hint="eastAsia" w:ascii="宋体" w:hAnsi="宋体" w:cs="宋体"/>
          <w:color w:val="000000"/>
          <w:sz w:val="24"/>
          <w:szCs w:val="24"/>
          <w:highlight w:val="none"/>
        </w:rPr>
      </w:r>
      <w:r>
        <w:rPr>
          <w:highlight w:val="none"/>
        </w:rPr>
      </w:r>
    </w:p>
    <w:p>
      <w:pPr>
        <w:pStyle w:val="760"/>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（3）发现监测数据异常，应立即上报，在每日 8 时～20 时出现的异常，应在 4 小时内解决（通信线路、电力线路故障除外，但应及时与相关部门联系积极解决）；</w:t>
      </w:r>
      <w:r>
        <w:rPr>
          <w:rFonts w:hint="eastAsia" w:ascii="宋体" w:hAnsi="宋体" w:cs="宋体"/>
          <w:color w:val="000000"/>
          <w:sz w:val="24"/>
          <w:szCs w:val="24"/>
          <w:highlight w:val="none"/>
        </w:rPr>
      </w:r>
      <w:r>
        <w:rPr>
          <w:highlight w:val="none"/>
        </w:rPr>
      </w:r>
    </w:p>
    <w:p>
      <w:pPr>
        <w:pStyle w:val="760"/>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（4）在接收到重污染天气预报等特殊情况信息后，应在重污染过程开始前完成7日内的相应的运维工作；</w:t>
      </w:r>
      <w:r>
        <w:rPr>
          <w:rFonts w:hint="eastAsia" w:ascii="宋体" w:hAnsi="宋体" w:cs="宋体"/>
          <w:color w:val="000000"/>
          <w:sz w:val="24"/>
          <w:szCs w:val="24"/>
          <w:highlight w:val="none"/>
        </w:rPr>
      </w:r>
      <w:r>
        <w:rPr>
          <w:highlight w:val="none"/>
        </w:rPr>
      </w:r>
    </w:p>
    <w:p>
      <w:pPr>
        <w:pStyle w:val="760"/>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（5）根据数据分析结果、设备状态参数和仪器故障报警信号，判断仪器运行情况和现 场状况；</w:t>
      </w:r>
      <w:r>
        <w:rPr>
          <w:rFonts w:hint="eastAsia" w:ascii="宋体" w:hAnsi="宋体" w:cs="宋体"/>
          <w:color w:val="000000"/>
          <w:sz w:val="24"/>
          <w:szCs w:val="24"/>
          <w:highlight w:val="none"/>
        </w:rPr>
      </w:r>
      <w:r>
        <w:rPr>
          <w:highlight w:val="none"/>
        </w:rPr>
      </w:r>
    </w:p>
    <w:p>
      <w:pPr>
        <w:pStyle w:val="760"/>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（6）每日检查数据是否及时上传至平台并在平台正常展示，发现数据断网及时恢复。 </w:t>
      </w:r>
      <w:r>
        <w:rPr>
          <w:rFonts w:hint="eastAsia" w:ascii="宋体" w:hAnsi="宋体" w:cs="宋体"/>
          <w:color w:val="000000"/>
          <w:sz w:val="24"/>
          <w:szCs w:val="24"/>
          <w:highlight w:val="none"/>
        </w:rPr>
      </w:r>
      <w:r>
        <w:rPr>
          <w:highlight w:val="none"/>
        </w:rPr>
      </w:r>
    </w:p>
    <w:p>
      <w:pPr>
        <w:pStyle w:val="760"/>
        <w:ind w:firstLine="7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（7）运维单位对监测站点监测数据进行审核，并将审核数据按时提交至平台。每日14 时前完成监测站点前一日各站点原始小时值的审核，报送平台复核。对复核不通过的数据，需于次日 12 时前再次审核后上报。再次审核报送的数据仍未通过复核的，以上级部门最终复核结果为准。当天因网络故障等原因未能完成数据审核报送的，可 顺延1日审核报送，最多顺延2日。对于未能在规定时间内按时完成审核的数据，须于数据产生1周内，将未按时完成审核的原因及书面审核结果以正式文件形式报送相关单位。</w:t>
      </w:r>
      <w:r>
        <w:rPr>
          <w:rFonts w:hint="eastAsia" w:ascii="宋体" w:hAnsi="宋体" w:cs="宋体"/>
          <w:color w:val="000000"/>
          <w:sz w:val="24"/>
          <w:szCs w:val="24"/>
          <w:highlight w:val="none"/>
        </w:rPr>
      </w:r>
      <w:r>
        <w:rPr>
          <w:highlight w:val="none"/>
        </w:rPr>
      </w:r>
    </w:p>
    <w:p>
      <w:pPr>
        <w:pStyle w:val="760"/>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每周巡检</w:t>
      </w:r>
      <w:r>
        <w:rPr>
          <w:rFonts w:hint="eastAsia" w:ascii="宋体" w:hAnsi="宋体" w:cs="宋体"/>
          <w:b/>
          <w:color w:val="000000"/>
          <w:sz w:val="24"/>
          <w:szCs w:val="24"/>
          <w:highlight w:val="none"/>
          <w:lang w:val="en-US" w:eastAsia="zh-CN"/>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每周至少巡视监测站点1次，并做好巡查记录，巡检时需要完成的工作包括： </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（1）查看设备是否齐备，无丢失和损坏；检查接地线路是否可靠，排风排气装置工作是否正常，标准气钢瓶阀门是否漏气，标准气的消耗情况； </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（2）检查采样和排气管路是否有漏气或堵塞现象，采样流量是否正常。 </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（3）检查仪器的运行状况和工作参数，判断是否正常，如有异常情况及时处理，保证仪器运行正常。</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（4）检查外部环境是否正常，有没有对测定结果或运行环境存在明显影响的污染源；</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（5）检查电路系统和通讯系统，保证系统供电正常，电压稳定；</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（6）检查监测站点的通讯系统，保证监测站与远程监控中心的连接正常，数据传输正常，确保无远程控制软件。 </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（7）对仪器显示数据、时间与数据采集仪之间的一致性进行检查和校准。 </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（8）在冬、夏季节应注意站房室内外温差，若温差较大，应及时改变站房温度或对采样总管采取适当的控制措施，防止管路出现冷凝水或其他异常现象。 </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应经常检查避雷设施是否可靠、站房屋是否有漏雨现象、气象杆和天线是否被刮坏、站房外围的其它设施是否有损坏或被水淹等，如遇到以上问题应及时处理，保证系统安全运行。 </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 检查站房的安全设施，做好防火防盗工作。 </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每周对站房内外环境卫生进行检查，及时保洁。</w:t>
      </w:r>
      <w:r>
        <w:rPr>
          <w:rFonts w:hint="eastAsia" w:ascii="宋体" w:hAnsi="宋体" w:cs="宋体"/>
          <w:color w:val="000000"/>
          <w:sz w:val="24"/>
          <w:szCs w:val="24"/>
          <w:highlight w:val="none"/>
        </w:rPr>
      </w:r>
      <w:r>
        <w:rPr>
          <w:highlight w:val="none"/>
        </w:rPr>
      </w:r>
    </w:p>
    <w:p>
      <w:pPr>
        <w:pStyle w:val="760"/>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每季度工作内容</w:t>
      </w:r>
      <w:r>
        <w:rPr>
          <w:rFonts w:hint="eastAsia" w:ascii="宋体" w:hAnsi="宋体" w:cs="宋体"/>
          <w:b/>
          <w:color w:val="000000"/>
          <w:sz w:val="24"/>
          <w:szCs w:val="24"/>
          <w:highlight w:val="none"/>
          <w:lang w:val="en-US" w:eastAsia="zh-CN"/>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（1）对仪器进行一次预防性维护和各测试参数检查，同时做好记录；</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（2）更换外标气进行手动校准，并记录；</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（3）更换载气，测漏后调节至工作压力；</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（4）分析仪采样管路清洁；</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（5）检查仪器的温度情况；</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（6）清洁排水管；</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（7）更换采样滤膜；查看冷却液液位和变色柱颜色。若有需要，及时添加冷却液和更换变色柱。</w:t>
      </w:r>
      <w:r>
        <w:rPr>
          <w:rFonts w:hint="eastAsia" w:ascii="宋体" w:hAnsi="宋体" w:cs="宋体"/>
          <w:color w:val="000000"/>
          <w:sz w:val="24"/>
          <w:szCs w:val="24"/>
          <w:highlight w:val="none"/>
        </w:rPr>
      </w:r>
      <w:r>
        <w:rPr>
          <w:highlight w:val="none"/>
        </w:rPr>
      </w:r>
    </w:p>
    <w:p>
      <w:pPr>
        <w:pStyle w:val="760"/>
        <w:ind w:firstLine="723"/>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每年工作内容</w:t>
      </w:r>
      <w:r>
        <w:rPr>
          <w:rFonts w:hint="eastAsia" w:ascii="宋体" w:hAnsi="宋体" w:cs="宋体"/>
          <w:b/>
          <w:color w:val="000000"/>
          <w:sz w:val="24"/>
          <w:szCs w:val="24"/>
          <w:highlight w:val="none"/>
          <w:lang w:val="en-US" w:eastAsia="zh-CN"/>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（1）清理采样、标定系统、载气系统管理；</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（2）清理风扇及滤网；</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（3）更换标气、测漏后调节至工作压力；</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（4）电路及电子元器件检查；</w:t>
      </w:r>
      <w:r>
        <w:rPr>
          <w:rFonts w:hint="eastAsia" w:ascii="宋体" w:hAnsi="宋体" w:cs="宋体"/>
          <w:color w:val="000000"/>
          <w:sz w:val="24"/>
          <w:szCs w:val="24"/>
          <w:highlight w:val="none"/>
        </w:rPr>
      </w:r>
      <w:r>
        <w:rPr>
          <w:highlight w:val="none"/>
        </w:rPr>
      </w:r>
    </w:p>
    <w:p>
      <w:pPr>
        <w:pStyle w:val="760"/>
        <w:ind w:firstLine="480"/>
        <w:jc w:val="left"/>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（5）设备部件清洗更换，伴热管查看或检修。</w:t>
      </w:r>
      <w:r>
        <w:rPr>
          <w:rFonts w:hint="eastAsia" w:ascii="宋体" w:hAnsi="宋体" w:cs="宋体"/>
          <w:color w:val="000000"/>
          <w:sz w:val="24"/>
          <w:szCs w:val="24"/>
          <w:highlight w:val="none"/>
        </w:rPr>
      </w:r>
      <w:r>
        <w:rPr>
          <w:highlight w:val="none"/>
        </w:rPr>
      </w:r>
    </w:p>
    <w:p>
      <w:pPr>
        <w:pStyle w:val="760"/>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4、运维方案要求 </w:t>
      </w:r>
      <w:r>
        <w:rPr>
          <w:rFonts w:hint="eastAsia" w:ascii="宋体" w:hAnsi="宋体" w:cs="宋体"/>
          <w:b/>
          <w:color w:val="000000"/>
          <w:sz w:val="24"/>
          <w:szCs w:val="24"/>
          <w:highlight w:val="none"/>
          <w:lang w:val="en-US" w:eastAsia="zh-CN"/>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站点</w:t>
      </w:r>
      <w:r>
        <w:rPr>
          <w:rFonts w:hint="eastAsia" w:ascii="宋体" w:hAnsi="宋体" w:cs="宋体"/>
          <w:color w:val="000000"/>
          <w:sz w:val="24"/>
          <w:szCs w:val="24"/>
          <w:highlight w:val="none"/>
        </w:rPr>
        <w:t xml:space="preserve">运行维护应包括周监控、月巡检、季度检查和年度更换，具体要求如下：</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周监控：每周检查设备在线率、报警情况、运行维护计划等至少1次；</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月巡检：每月远程巡检设备运行状况至少1次，具体内容包括设备运行状态、异常率、运行负荷、质控合格情况等，并留有书面记录； </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季度检查：检查内容包括质量浓度准确性、平行性、设备状况、周边环境、设备运行状况等。安装气象传感器的站点，使用标准温湿度气压计、手持式风向风速仪进行比对校准。如果季度抽查不合格比例超过一定限值，及时更换不合格产品并将季度检查频次缩短为月度检查。现场检查留有书面记录；</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r>
        <w:rPr>
          <w:rFonts w:hint="eastAsia" w:ascii="宋体" w:hAnsi="宋体" w:cs="宋体"/>
          <w:color w:val="000000"/>
          <w:sz w:val="24"/>
          <w:szCs w:val="24"/>
          <w:highlight w:val="none"/>
        </w:rPr>
      </w:r>
      <w:r>
        <w:rPr>
          <w:highlight w:val="none"/>
        </w:rPr>
      </w:r>
    </w:p>
    <w:p>
      <w:pPr>
        <w:pStyle w:val="813"/>
        <w:numPr>
          <w:ilvl w:val="0"/>
          <w:numId w:val="0"/>
        </w:numPr>
        <w:ind w:left="420"/>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5、</w:t>
      </w:r>
      <w:r>
        <w:rPr>
          <w:rFonts w:hint="eastAsia" w:ascii="宋体" w:hAnsi="宋体" w:eastAsia="宋体" w:cs="宋体"/>
          <w:b/>
          <w:color w:val="000000"/>
          <w:sz w:val="24"/>
          <w:szCs w:val="24"/>
          <w:highlight w:val="none"/>
          <w:lang w:val="en-US" w:eastAsia="zh-CN" w:bidi="ar-SA"/>
        </w:rPr>
        <w:t xml:space="preserve">档案管理要求</w:t>
      </w:r>
      <w:r>
        <w:rPr>
          <w:rFonts w:hint="eastAsia" w:ascii="宋体" w:hAnsi="宋体" w:eastAsia="宋体" w:cs="宋体"/>
          <w:b/>
          <w:color w:val="000000"/>
          <w:sz w:val="24"/>
          <w:szCs w:val="24"/>
          <w:highlight w:val="none"/>
          <w:lang w:val="en-US" w:eastAsia="zh-CN" w:bidi="ar-SA"/>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建立站点维护档案，运维工作进行详细记录，并进行归档管理。日常运维中使用运行维护相关记录至少应包括所有设备的运行维护记录及站房维护记录表。同时供应商提供详细的每月、每季度、每年的运维工作内容。</w:t>
      </w:r>
      <w:r>
        <w:rPr>
          <w:rFonts w:hint="eastAsia" w:ascii="宋体" w:hAnsi="宋体" w:cs="宋体"/>
          <w:color w:val="000000"/>
          <w:sz w:val="24"/>
          <w:szCs w:val="24"/>
          <w:highlight w:val="none"/>
        </w:rPr>
      </w:r>
      <w:r>
        <w:rPr>
          <w:highlight w:val="none"/>
        </w:rPr>
      </w:r>
    </w:p>
    <w:p>
      <w:pPr>
        <w:pStyle w:val="813"/>
        <w:numPr>
          <w:ilvl w:val="0"/>
          <w:numId w:val="0"/>
        </w:numPr>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6、质量控制要求</w:t>
      </w:r>
      <w:r>
        <w:rPr>
          <w:rFonts w:hint="eastAsia" w:ascii="宋体" w:hAnsi="宋体" w:cs="宋体"/>
          <w:b/>
          <w:color w:val="000000"/>
          <w:sz w:val="24"/>
          <w:szCs w:val="24"/>
          <w:highlight w:val="none"/>
          <w:lang w:val="en-US" w:eastAsia="zh-CN" w:bidi="ar-SA"/>
        </w:rPr>
      </w:r>
      <w:r>
        <w:rPr>
          <w:highlight w:val="none"/>
        </w:rPr>
      </w:r>
    </w:p>
    <w:p>
      <w:pPr>
        <w:pStyle w:val="760"/>
        <w:ind w:firstLine="480"/>
        <w:spacing w:line="360" w:lineRule="auto"/>
        <w:tabs>
          <w:tab w:val="left" w:pos="651"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供应商位需认真落实质量管理制度，建立完善的运行维护工作质量管理体系，安排专职质量控制管理人员</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rPr>
          <w:highlight w:val="none"/>
        </w:rPr>
      </w:r>
    </w:p>
    <w:p>
      <w:pPr>
        <w:pStyle w:val="760"/>
        <w:ind w:firstLine="480"/>
        <w:spacing w:line="360" w:lineRule="auto"/>
        <w:tabs>
          <w:tab w:val="left" w:pos="6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（1）量值溯源要求</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站点配备标准物质（标准样品），所使用的标准气体须为国家环保部标样所或国家标物中心生产的一级有证标准物质。在用标准气体的钢瓶压力低于 500PSIG 时，需要进行重新验证；当钢瓶压力低于150PSIG(1.0MPa)时，停止使用。标准气体及物质必须在有效期内使用。</w:t>
      </w:r>
      <w:r>
        <w:rPr>
          <w:rFonts w:hint="eastAsia" w:ascii="宋体" w:hAnsi="宋体" w:cs="宋体"/>
          <w:color w:val="000000"/>
          <w:sz w:val="24"/>
          <w:szCs w:val="24"/>
          <w:highlight w:val="none"/>
        </w:rPr>
      </w:r>
      <w:r>
        <w:rPr>
          <w:highlight w:val="none"/>
        </w:rPr>
      </w:r>
    </w:p>
    <w:p>
      <w:pPr>
        <w:pStyle w:val="760"/>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（2）日常质量控制要求</w:t>
      </w:r>
      <w:r>
        <w:rPr>
          <w:rFonts w:hint="eastAsia" w:ascii="宋体" w:hAnsi="宋体" w:cs="宋体"/>
          <w:color w:val="000000"/>
          <w:sz w:val="24"/>
          <w:szCs w:val="24"/>
          <w:highlight w:val="none"/>
        </w:rPr>
      </w:r>
      <w:r>
        <w:rPr>
          <w:highlight w:val="none"/>
        </w:rPr>
      </w:r>
    </w:p>
    <w:p>
      <w:pPr>
        <w:pStyle w:val="760"/>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监测仪在以下情况下需进行校准：安装时、移动位置时、进行可能影响校准结果的维修或维护后、监测仪暂停工作一段时间后、质控不合格时、超过国家规范或本</w:t>
      </w:r>
      <w:r>
        <w:rPr>
          <w:rFonts w:hint="eastAsia" w:ascii="宋体" w:hAnsi="宋体" w:cs="宋体"/>
          <w:color w:val="000000"/>
          <w:sz w:val="24"/>
          <w:szCs w:val="24"/>
          <w:highlight w:val="none"/>
          <w:lang w:eastAsia="zh-CN"/>
        </w:rPr>
        <w:t xml:space="preserve">采购文件</w:t>
      </w:r>
      <w:r>
        <w:rPr>
          <w:rFonts w:hint="eastAsia" w:ascii="宋体" w:hAnsi="宋体" w:cs="宋体"/>
          <w:color w:val="000000"/>
          <w:sz w:val="24"/>
          <w:szCs w:val="24"/>
          <w:highlight w:val="none"/>
        </w:rPr>
        <w:t xml:space="preserve">要求的校准周期或校准要求的，均需进行设备校准。 </w:t>
      </w:r>
      <w:r>
        <w:rPr>
          <w:rFonts w:hint="eastAsia" w:ascii="宋体" w:hAnsi="宋体" w:cs="宋体"/>
          <w:color w:val="000000"/>
          <w:sz w:val="24"/>
          <w:szCs w:val="24"/>
          <w:highlight w:val="none"/>
        </w:rPr>
      </w:r>
      <w:r>
        <w:rPr>
          <w:highlight w:val="none"/>
        </w:rPr>
      </w:r>
    </w:p>
    <w:p>
      <w:pPr>
        <w:pStyle w:val="760"/>
        <w:numPr>
          <w:ilvl w:val="0"/>
          <w:numId w:val="17"/>
        </w:numPr>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质量检查</w:t>
      </w:r>
      <w:r>
        <w:rPr>
          <w:rFonts w:hint="eastAsia" w:ascii="宋体" w:hAnsi="宋体" w:cs="宋体"/>
          <w:color w:val="000000"/>
          <w:sz w:val="24"/>
          <w:szCs w:val="24"/>
          <w:highlight w:val="none"/>
        </w:rPr>
      </w:r>
      <w:r>
        <w:rPr>
          <w:highlight w:val="none"/>
        </w:rPr>
      </w:r>
    </w:p>
    <w:p>
      <w:pPr>
        <w:pStyle w:val="760"/>
        <w:numPr>
          <w:ilvl w:val="0"/>
          <w:numId w:val="0"/>
        </w:num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运维单位必须接受上级部门及其委托单位和人员的质量检查。 </w:t>
      </w:r>
      <w:r>
        <w:rPr>
          <w:rFonts w:hint="eastAsia" w:ascii="宋体" w:hAnsi="宋体" w:cs="宋体"/>
          <w:color w:val="000000"/>
          <w:sz w:val="24"/>
          <w:szCs w:val="24"/>
          <w:highlight w:val="none"/>
        </w:rPr>
      </w:r>
      <w:r>
        <w:rPr>
          <w:highlight w:val="none"/>
        </w:rPr>
      </w:r>
    </w:p>
    <w:p>
      <w:pPr>
        <w:pStyle w:val="760"/>
        <w:numPr>
          <w:ilvl w:val="0"/>
          <w:numId w:val="17"/>
        </w:numPr>
        <w:ind w:left="0"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质量控制资料整理 </w:t>
      </w:r>
      <w:r>
        <w:rPr>
          <w:rFonts w:hint="eastAsia" w:ascii="宋体" w:hAnsi="宋体" w:cs="宋体"/>
          <w:color w:val="000000"/>
          <w:sz w:val="24"/>
          <w:szCs w:val="24"/>
          <w:highlight w:val="none"/>
        </w:rPr>
      </w:r>
      <w:r>
        <w:rPr>
          <w:highlight w:val="none"/>
        </w:rPr>
      </w:r>
    </w:p>
    <w:p>
      <w:pPr>
        <w:pStyle w:val="760"/>
        <w:numPr>
          <w:ilvl w:val="0"/>
          <w:numId w:val="0"/>
        </w:numPr>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各种技术与质量文件均保持现行有效，可根据管理需要进行调整或修订。以电子表格的形式，将巡检记录、维修维护记录、日常检查与监督抽查等质量保证与质量控制记录按要求及时进行在线填写报送，同时站点填写纸质记录并妥善保存待查。</w:t>
      </w:r>
      <w:r>
        <w:rPr>
          <w:rFonts w:hint="eastAsia" w:ascii="宋体" w:hAnsi="宋体" w:cs="宋体"/>
          <w:color w:val="000000"/>
          <w:sz w:val="24"/>
          <w:szCs w:val="24"/>
          <w:highlight w:val="none"/>
        </w:rPr>
      </w:r>
      <w:r>
        <w:rPr>
          <w:highlight w:val="none"/>
        </w:rPr>
      </w:r>
    </w:p>
    <w:p>
      <w:pPr>
        <w:pStyle w:val="813"/>
        <w:numPr>
          <w:ilvl w:val="0"/>
          <w:numId w:val="0"/>
        </w:numPr>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7、维修要求 </w:t>
      </w:r>
      <w:r>
        <w:rPr>
          <w:rFonts w:hint="eastAsia" w:ascii="宋体" w:hAnsi="宋体" w:cs="宋体"/>
          <w:b/>
          <w:color w:val="000000"/>
          <w:sz w:val="24"/>
          <w:szCs w:val="24"/>
          <w:highlight w:val="none"/>
          <w:lang w:val="en-US" w:eastAsia="zh-CN" w:bidi="ar-SA"/>
        </w:rPr>
      </w:r>
      <w:r>
        <w:rPr>
          <w:highlight w:val="none"/>
        </w:rPr>
      </w:r>
    </w:p>
    <w:p>
      <w:pPr>
        <w:pStyle w:val="760"/>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供应商收到维修要求后，应在24小时内解决问题，恢复数据；若48小时内无法解决仪器故障, 需提供备机；经过现场调试后，5日内恢复数据正常。 </w:t>
      </w:r>
      <w:r>
        <w:rPr>
          <w:rFonts w:hint="eastAsia" w:ascii="宋体" w:hAnsi="宋体" w:cs="宋体"/>
          <w:color w:val="000000"/>
          <w:sz w:val="24"/>
          <w:szCs w:val="24"/>
          <w:highlight w:val="none"/>
        </w:rPr>
      </w:r>
      <w:r>
        <w:rPr>
          <w:highlight w:val="none"/>
        </w:rPr>
      </w:r>
    </w:p>
    <w:p>
      <w:pPr>
        <w:pStyle w:val="760"/>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（1）维修更换工作要求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运维单位负责所有设备和仪器的维护、维修和部件更换（包括空调设备等附属设施）。本服务内容同样包括由于外部原因意外丢失和损坏设备的更换或维修。</w:t>
      </w:r>
      <w:r>
        <w:rPr>
          <w:rFonts w:hint="eastAsia" w:ascii="宋体" w:hAnsi="宋体" w:cs="宋体"/>
          <w:color w:val="000000"/>
          <w:sz w:val="24"/>
          <w:szCs w:val="24"/>
          <w:highlight w:val="none"/>
        </w:rPr>
      </w:r>
      <w:r>
        <w:rPr>
          <w:highlight w:val="none"/>
        </w:rPr>
      </w:r>
    </w:p>
    <w:p>
      <w:pPr>
        <w:pStyle w:val="760"/>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（2）设备维修质量控制要求</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监测仪器一般维修后，当其监测性能受到影响时，采用关键参数检查、标气测定、流量测定、标准样品测试、稳定性测试或手工比对等方法进行测试。 </w:t>
      </w:r>
      <w:r>
        <w:rPr>
          <w:rFonts w:hint="eastAsia" w:ascii="宋体" w:hAnsi="宋体" w:cs="宋体"/>
          <w:color w:val="000000"/>
          <w:sz w:val="24"/>
          <w:szCs w:val="24"/>
          <w:highlight w:val="none"/>
        </w:rPr>
      </w:r>
      <w:r>
        <w:rPr>
          <w:highlight w:val="none"/>
        </w:rPr>
      </w:r>
    </w:p>
    <w:p>
      <w:pPr>
        <w:pStyle w:val="760"/>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设备大修后，应重新开展仪器的调试检测以保障设备的性能达到相关要求</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rPr>
          <w:highlight w:val="none"/>
        </w:rPr>
      </w:r>
    </w:p>
    <w:p>
      <w:pPr>
        <w:pStyle w:val="813"/>
        <w:numPr>
          <w:ilvl w:val="0"/>
          <w:numId w:val="0"/>
        </w:numPr>
        <w:ind w:left="42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bidi="ar-SA"/>
        </w:rPr>
        <w:t xml:space="preserve">8、考核管理办法</w:t>
      </w:r>
      <w:r>
        <w:rPr>
          <w:rFonts w:hint="eastAsia" w:ascii="宋体" w:hAnsi="宋体" w:cs="宋体"/>
          <w:b/>
          <w:color w:val="000000"/>
          <w:sz w:val="24"/>
          <w:szCs w:val="24"/>
          <w:highlight w:val="none"/>
          <w:lang w:val="en-US" w:eastAsia="zh-CN" w:bidi="ar-SA"/>
        </w:rPr>
      </w:r>
      <w:r>
        <w:rPr>
          <w:highlight w:val="none"/>
        </w:rPr>
      </w:r>
    </w:p>
    <w:p>
      <w:pPr>
        <w:pStyle w:val="760"/>
        <w:ind w:firstLine="42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rPr>
        <w:t xml:space="preserve">付款考核</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供应商须指定一名项目负责人，全权负责与采购人进行对接。采购人</w:t>
      </w:r>
      <w:r>
        <w:rPr>
          <w:rFonts w:hint="eastAsia" w:ascii="宋体" w:hAnsi="宋体" w:cs="宋体"/>
          <w:color w:val="000000"/>
          <w:sz w:val="24"/>
          <w:szCs w:val="24"/>
          <w:highlight w:val="none"/>
        </w:rPr>
        <w:t xml:space="preserve">依据站点的实际有效运行率按月对供应商开展考核，具体如下：</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（1）站点整体有效运行率≥90%时，拨付该站点全部运维款。</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排除</w:t>
      </w:r>
      <w:r>
        <w:rPr>
          <w:rFonts w:hint="eastAsia" w:ascii="宋体" w:hAnsi="宋体" w:cs="宋体"/>
          <w:color w:val="000000"/>
          <w:sz w:val="24"/>
          <w:szCs w:val="24"/>
          <w:highlight w:val="none"/>
        </w:rPr>
        <w:t xml:space="preserve">因停电</w:t>
      </w:r>
      <w:r>
        <w:rPr>
          <w:rFonts w:hint="eastAsia" w:ascii="宋体" w:hAnsi="宋体" w:cs="宋体"/>
          <w:color w:val="000000"/>
          <w:sz w:val="24"/>
          <w:szCs w:val="24"/>
          <w:highlight w:val="none"/>
          <w:lang w:eastAsia="zh-CN"/>
        </w:rPr>
        <w:t xml:space="preserve">等</w:t>
      </w:r>
      <w:r>
        <w:rPr>
          <w:rFonts w:hint="eastAsia" w:ascii="宋体" w:hAnsi="宋体" w:cs="宋体"/>
          <w:color w:val="000000"/>
          <w:sz w:val="24"/>
          <w:szCs w:val="24"/>
          <w:highlight w:val="none"/>
        </w:rPr>
        <w:t xml:space="preserve">其他不可抗拒因素引起的故障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1个月内</w:t>
      </w:r>
      <w:r>
        <w:rPr>
          <w:rFonts w:hint="eastAsia" w:ascii="宋体" w:hAnsi="宋体" w:cs="宋体"/>
          <w:color w:val="000000"/>
          <w:sz w:val="24"/>
          <w:szCs w:val="24"/>
          <w:highlight w:val="none"/>
        </w:rPr>
        <w:t xml:space="preserve">站点整体有效运行率&lt;90%，</w:t>
      </w:r>
      <w:r>
        <w:rPr>
          <w:rFonts w:hint="eastAsia" w:ascii="宋体" w:hAnsi="宋体" w:cs="宋体"/>
          <w:color w:val="000000"/>
          <w:sz w:val="24"/>
          <w:szCs w:val="24"/>
          <w:highlight w:val="none"/>
          <w:lang w:val="en-US" w:eastAsia="zh-CN"/>
        </w:rPr>
        <w:t xml:space="preserve">扣除20000元运维款，</w:t>
      </w:r>
      <w:r>
        <w:rPr>
          <w:rFonts w:hint="eastAsia" w:ascii="宋体" w:hAnsi="宋体" w:cs="宋体"/>
          <w:color w:val="000000"/>
          <w:sz w:val="24"/>
          <w:szCs w:val="24"/>
          <w:highlight w:val="none"/>
          <w:lang w:val="en-US" w:eastAsia="zh-CN"/>
        </w:rPr>
        <w:t xml:space="preserve">连续2个月内</w:t>
      </w:r>
      <w:r>
        <w:rPr>
          <w:rFonts w:hint="eastAsia" w:ascii="宋体" w:hAnsi="宋体" w:cs="宋体"/>
          <w:color w:val="000000"/>
          <w:sz w:val="24"/>
          <w:szCs w:val="24"/>
          <w:highlight w:val="none"/>
        </w:rPr>
        <w:t xml:space="preserve">站点整体有效运行率&lt;90%，</w:t>
      </w:r>
      <w:r>
        <w:rPr>
          <w:rFonts w:hint="eastAsia" w:ascii="宋体" w:hAnsi="宋体" w:cs="宋体"/>
          <w:color w:val="000000"/>
          <w:sz w:val="24"/>
          <w:szCs w:val="24"/>
          <w:highlight w:val="none"/>
          <w:lang w:val="en-US" w:eastAsia="zh-CN"/>
        </w:rPr>
        <w:t xml:space="preserve">扣除50000元运维款</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r>
      <w:r>
        <w:rPr>
          <w:highlight w:val="none"/>
        </w:rPr>
      </w:r>
    </w:p>
    <w:p>
      <w:pPr>
        <w:pStyle w:val="827"/>
        <w:rPr>
          <w:color w:val="000000"/>
          <w:highlight w:val="none"/>
        </w:rPr>
      </w:pPr>
      <w:r>
        <w:rPr>
          <w:color w:val="000000"/>
          <w:highlight w:val="none"/>
        </w:rPr>
        <w:t xml:space="preserve">★ 重要合同条款：</w:t>
      </w:r>
      <w:r>
        <w:rPr>
          <w:color w:val="000000"/>
          <w:highlight w:val="none"/>
        </w:rPr>
      </w:r>
      <w:r>
        <w:rPr>
          <w:highlight w:val="none"/>
        </w:rPr>
      </w:r>
    </w:p>
    <w:p>
      <w:pPr>
        <w:pStyle w:val="827"/>
        <w:rPr>
          <w:color w:val="000000"/>
          <w:highlight w:val="none"/>
        </w:rPr>
      </w:pPr>
      <w:r>
        <w:rPr>
          <w:color w:val="000000"/>
          <w:highlight w:val="none"/>
        </w:rPr>
        <w:t xml:space="preserve">若连续2个月</w:t>
      </w:r>
      <w:r>
        <w:rPr>
          <w:rFonts w:hint="eastAsia"/>
          <w:color w:val="000000"/>
          <w:highlight w:val="none"/>
          <w:lang w:eastAsia="zh-CN"/>
        </w:rPr>
        <w:t xml:space="preserve">站点</w:t>
      </w:r>
      <w:r>
        <w:rPr>
          <w:color w:val="000000"/>
          <w:highlight w:val="none"/>
        </w:rPr>
        <w:t xml:space="preserve">数据有效率低于90%，</w:t>
      </w:r>
      <w:r>
        <w:rPr>
          <w:rFonts w:hint="eastAsia"/>
          <w:color w:val="000000"/>
          <w:highlight w:val="none"/>
          <w:lang w:eastAsia="zh-CN"/>
        </w:rPr>
        <w:t xml:space="preserve">供应商须出具限期整改方案及后续运维服务保障承诺。若供应商接到甲方通知后</w:t>
      </w:r>
      <w:r>
        <w:rPr>
          <w:rFonts w:hint="eastAsia"/>
          <w:color w:val="000000"/>
          <w:highlight w:val="none"/>
          <w:lang w:val="en-US" w:eastAsia="zh-CN"/>
        </w:rPr>
        <w:t xml:space="preserve">3个工作日内</w:t>
      </w:r>
      <w:r>
        <w:rPr>
          <w:rFonts w:hint="eastAsia"/>
          <w:color w:val="000000"/>
          <w:highlight w:val="none"/>
          <w:lang w:eastAsia="zh-CN"/>
        </w:rPr>
        <w:t xml:space="preserve">无法出具限期整改方案及后续运维服务保障承诺，</w:t>
      </w:r>
      <w:r>
        <w:rPr>
          <w:color w:val="000000"/>
          <w:highlight w:val="none"/>
        </w:rPr>
        <w:t xml:space="preserve">甲方有权单方面解除合同，由此产生的一切责任和损失由中标人自行承担，甲方不承担任何违约责任。</w:t>
      </w:r>
      <w:r>
        <w:rPr>
          <w:color w:val="000000"/>
          <w:highlight w:val="none"/>
        </w:rPr>
      </w:r>
      <w:r>
        <w:rPr>
          <w:highlight w:val="none"/>
        </w:rPr>
      </w:r>
    </w:p>
    <w:p>
      <w:pPr>
        <w:pStyle w:val="760"/>
        <w:ind w:firstLine="420"/>
        <w:spacing w:line="360" w:lineRule="auto"/>
        <w:rPr>
          <w:rFonts w:hint="eastAsia"/>
          <w:color w:val="000000"/>
          <w:highlight w:val="none"/>
        </w:rPr>
      </w:pPr>
      <w:r>
        <w:rPr>
          <w:rFonts w:hint="eastAsia" w:ascii="宋体" w:hAnsi="宋体" w:cs="宋体"/>
          <w:color w:val="000000"/>
          <w:sz w:val="24"/>
          <w:szCs w:val="24"/>
          <w:highlight w:val="none"/>
        </w:rPr>
        <w:t xml:space="preserve">实际采用数据应扣除因质量考核不合格删除的数据，但不剔除因性能测试、质量考核等原因标记的数据。</w:t>
      </w:r>
      <w:r>
        <w:rPr>
          <w:rFonts w:hint="eastAsia"/>
          <w:color w:val="000000"/>
          <w:highlight w:val="none"/>
          <w:lang w:val="en-US" w:eastAsia="zh-CN"/>
        </w:rPr>
      </w:r>
      <w:r>
        <w:rPr>
          <w:highlight w:val="none"/>
        </w:rPr>
      </w:r>
    </w:p>
    <w:p>
      <w:pPr>
        <w:pStyle w:val="762"/>
        <w:rPr>
          <w:rFonts w:hint="eastAsia"/>
          <w:color w:val="000000"/>
          <w:sz w:val="24"/>
          <w:szCs w:val="24"/>
          <w:highlight w:val="none"/>
        </w:rPr>
      </w:pPr>
      <w:r>
        <w:rPr>
          <w:rFonts w:hint="eastAsia"/>
          <w:color w:val="000000"/>
          <w:sz w:val="24"/>
          <w:szCs w:val="24"/>
          <w:highlight w:val="none"/>
          <w:lang w:val="en-US" w:eastAsia="zh-CN"/>
        </w:rPr>
        <w:t xml:space="preserve">三</w:t>
      </w:r>
      <w:r>
        <w:rPr>
          <w:rFonts w:hint="eastAsia"/>
          <w:color w:val="000000"/>
          <w:sz w:val="24"/>
          <w:szCs w:val="24"/>
          <w:highlight w:val="none"/>
          <w:lang w:eastAsia="zh-CN"/>
        </w:rPr>
        <w:t xml:space="preserve">、</w:t>
      </w:r>
      <w:r>
        <w:rPr>
          <w:rFonts w:hint="eastAsia"/>
          <w:color w:val="000000"/>
          <w:sz w:val="24"/>
          <w:szCs w:val="24"/>
          <w:highlight w:val="none"/>
        </w:rPr>
        <w:t xml:space="preserve">其他规定</w:t>
      </w:r>
      <w:r>
        <w:rPr>
          <w:rFonts w:hint="eastAsia"/>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1、运维机构有下列情形之一的，将扣除</w:t>
      </w:r>
      <w:r>
        <w:rPr>
          <w:rFonts w:hint="eastAsia" w:ascii="宋体" w:hAnsi="宋体" w:cs="宋体"/>
          <w:color w:val="000000"/>
          <w:sz w:val="24"/>
          <w:szCs w:val="24"/>
          <w:highlight w:val="none"/>
          <w:lang w:val="en-US" w:eastAsia="zh-CN"/>
        </w:rPr>
        <w:t xml:space="preserve">20000元</w:t>
      </w:r>
      <w:r>
        <w:rPr>
          <w:rFonts w:hint="eastAsia" w:ascii="宋体" w:hAnsi="宋体" w:cs="宋体"/>
          <w:color w:val="000000"/>
          <w:sz w:val="24"/>
          <w:szCs w:val="24"/>
          <w:highlight w:val="none"/>
        </w:rPr>
        <w:t xml:space="preserve">运维经费：</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（1）故意迟报、漏报或不报审核数据的；</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（2）拖延、阻碍、拒绝质量检查或飞行检查的；</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（3）发现采样、分析、数据采集和传输等过程人为干扰的；</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（4）未及时发现</w:t>
      </w:r>
      <w:r>
        <w:rPr>
          <w:rFonts w:hint="eastAsia" w:ascii="宋体" w:hAnsi="宋体" w:cs="宋体"/>
          <w:color w:val="000000"/>
          <w:sz w:val="24"/>
          <w:szCs w:val="24"/>
          <w:highlight w:val="none"/>
          <w:lang w:eastAsia="zh-CN"/>
        </w:rPr>
        <w:t xml:space="preserve">数据</w:t>
      </w:r>
      <w:r>
        <w:rPr>
          <w:rFonts w:hint="eastAsia" w:ascii="宋体" w:hAnsi="宋体" w:cs="宋体"/>
          <w:color w:val="000000"/>
          <w:sz w:val="24"/>
          <w:szCs w:val="24"/>
          <w:highlight w:val="none"/>
        </w:rPr>
        <w:t xml:space="preserve">异常或响应不及时的；</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（5）其他不履行规定职责的情形。</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2、运维机构有下列情形之一的，将提前终止服务合同：</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（1）运维单位运维人员或队伍发生重大变更，无法按质开展运维工作，或者发生重大责任事故的；</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（2）运维单位未能有效开展运维工作，在检查中发现与投标文件或合同不符的重大不符合项；</w:t>
      </w:r>
      <w:r>
        <w:rPr>
          <w:rFonts w:hint="eastAsia" w:ascii="宋体" w:hAnsi="宋体" w:cs="宋体"/>
          <w:color w:val="000000"/>
          <w:sz w:val="24"/>
          <w:szCs w:val="24"/>
          <w:highlight w:val="none"/>
        </w:rPr>
      </w:r>
      <w:r>
        <w:rPr>
          <w:highlight w:val="none"/>
        </w:rPr>
      </w:r>
    </w:p>
    <w:p>
      <w:pPr>
        <w:pStyle w:val="760"/>
        <w:ind w:firstLine="4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（3）发现重大虚假数据，将按已支付费用的双倍进行经济处罚并提前终止合同。</w:t>
      </w:r>
      <w:r>
        <w:rPr>
          <w:rFonts w:hint="eastAsia" w:ascii="宋体" w:hAnsi="宋体" w:cs="宋体"/>
          <w:color w:val="000000"/>
          <w:sz w:val="24"/>
          <w:szCs w:val="24"/>
          <w:highlight w:val="none"/>
        </w:rPr>
      </w:r>
      <w:r>
        <w:rPr>
          <w:highlight w:val="none"/>
        </w:rPr>
      </w:r>
    </w:p>
    <w:p>
      <w:pPr>
        <w:pStyle w:val="760"/>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3、数据归属及保密：</w:t>
      </w:r>
      <w:r>
        <w:rPr>
          <w:rFonts w:hint="eastAsia" w:ascii="宋体" w:hAnsi="宋体" w:cs="宋体"/>
          <w:color w:val="000000"/>
          <w:sz w:val="24"/>
          <w:szCs w:val="24"/>
          <w:highlight w:val="none"/>
        </w:rPr>
      </w:r>
      <w:r>
        <w:rPr>
          <w:highlight w:val="none"/>
        </w:rPr>
      </w:r>
    </w:p>
    <w:p>
      <w:pPr>
        <w:pStyle w:val="760"/>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本项目所形成的数据及报告归采购方及指定单位所有。未经采购方授权，供应商不得将数据和报告发送给任何第三方。若有违反，将依法依规处理。其它未尽事宜，均依照国家有关规定及相关规范执行。</w:t>
      </w:r>
      <w:r>
        <w:rPr>
          <w:rFonts w:hint="eastAsia" w:ascii="宋体" w:hAnsi="宋体" w:cs="宋体"/>
          <w:color w:val="000000"/>
          <w:sz w:val="24"/>
          <w:szCs w:val="24"/>
          <w:highlight w:val="none"/>
        </w:rPr>
      </w:r>
      <w:r>
        <w:rPr>
          <w:highlight w:val="none"/>
        </w:rPr>
      </w:r>
    </w:p>
    <w:p>
      <w:pPr>
        <w:pStyle w:val="760"/>
        <w:ind w:firstLine="482"/>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4、运行维护期间，值守人员的相关费用以及采水、供水、供电、通讯、采暖、试剂耗材、仪器设备维修</w:t>
      </w:r>
      <w:r>
        <w:rPr>
          <w:rFonts w:hint="eastAsia" w:ascii="宋体" w:hAnsi="宋体" w:cs="宋体"/>
          <w:color w:val="000000"/>
          <w:sz w:val="24"/>
          <w:szCs w:val="24"/>
          <w:highlight w:val="none"/>
          <w:lang w:eastAsia="zh-CN"/>
        </w:rPr>
        <w:t xml:space="preserve">更换</w:t>
      </w:r>
      <w:r>
        <w:rPr>
          <w:rFonts w:hint="eastAsia" w:ascii="宋体" w:hAnsi="宋体" w:cs="宋体"/>
          <w:color w:val="000000"/>
          <w:sz w:val="24"/>
          <w:szCs w:val="24"/>
          <w:highlight w:val="none"/>
        </w:rPr>
        <w:t xml:space="preserve">、设施设备的年检保养和安全保障所发生的费用等均由</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支付。（投标文件中提供承诺函，并加盖公章）</w:t>
      </w:r>
      <w:r>
        <w:rPr>
          <w:rFonts w:hint="eastAsia" w:ascii="宋体" w:hAnsi="宋体" w:cs="宋体"/>
          <w:color w:val="000000"/>
          <w:sz w:val="24"/>
          <w:szCs w:val="24"/>
          <w:highlight w:val="none"/>
        </w:rPr>
      </w:r>
      <w:r>
        <w:rPr>
          <w:highlight w:val="none"/>
        </w:rPr>
      </w:r>
    </w:p>
    <w:p>
      <w:pPr>
        <w:pStyle w:val="760"/>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5、运行维护期间，如遇采购人新增仪器，</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须配合做好新仪器的安装、调试和运行维护等工作合同期满后交给下一个运维公司前，原</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需对站点进行一次修缮、保洁，确保设备运行正常；需按采购人要求将本项目站点仪器等完整交给下一个运维方，并须在完成交接后的45天内，协助、配合新的运维公司做好站点的运维工作。</w:t>
      </w:r>
      <w:r>
        <w:rPr>
          <w:rFonts w:hint="eastAsia" w:ascii="宋体" w:hAnsi="宋体" w:cs="宋体"/>
          <w:color w:val="000000"/>
          <w:sz w:val="24"/>
          <w:szCs w:val="24"/>
          <w:highlight w:val="none"/>
        </w:rPr>
      </w:r>
      <w:r>
        <w:rPr>
          <w:highlight w:val="none"/>
        </w:rPr>
      </w:r>
    </w:p>
    <w:p>
      <w:pPr>
        <w:pStyle w:val="760"/>
        <w:ind w:firstLine="480"/>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6、运行维护期间，站点的全部资产（建筑物、设备、软件、配套设施、自动监测系统和配套监控系统产生的各类数据信息及相关文档资料等）属采购人所有。未经采购人同意，</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不得以任何方式对各类财产进行出售、抵押或转移；</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eastAsia="宋体"/>
          <w:b/>
          <w:bCs/>
          <w:color w:val="000000"/>
          <w:sz w:val="24"/>
          <w:szCs w:val="24"/>
          <w:highlight w:val="none"/>
        </w:rPr>
      </w:pPr>
      <w:r>
        <w:rPr>
          <w:rFonts w:hint="eastAsia" w:ascii="宋体" w:hAnsi="宋体" w:cs="宋体"/>
          <w:color w:val="000000"/>
          <w:sz w:val="24"/>
          <w:szCs w:val="24"/>
          <w:highlight w:val="none"/>
        </w:rPr>
        <w:t xml:space="preserve">7、运行维护期间，</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有责任保证站点全部资产的完整、安全并处于良好状态。必须定期巡查，避免出现因被盗、人为破坏等原因造成的资产流失。如出现因</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安保措施不当造成的站点资产丢失、破坏的情况，</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须复原并尽快恢复运行，所发生的费用由</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承担。</w:t>
      </w:r>
      <w:r>
        <w:rPr>
          <w:rFonts w:hint="eastAsia" w:ascii="宋体" w:hAnsi="宋体" w:cs="宋体"/>
          <w:color w:val="000000"/>
          <w:sz w:val="24"/>
          <w:szCs w:val="24"/>
          <w:highlight w:val="none"/>
          <w:lang w:eastAsia="zh-CN"/>
        </w:rPr>
        <w:t xml:space="preserve">中标供应商</w:t>
      </w:r>
      <w:r>
        <w:rPr>
          <w:rFonts w:hint="eastAsia" w:ascii="宋体" w:hAnsi="宋体" w:cs="宋体"/>
          <w:color w:val="000000"/>
          <w:sz w:val="24"/>
          <w:szCs w:val="24"/>
          <w:highlight w:val="none"/>
        </w:rPr>
        <w:t xml:space="preserve">须协助采购人做好固定资产登记管理等工作。</w:t>
      </w:r>
      <w:r>
        <w:rPr>
          <w:rFonts w:hint="eastAsia" w:ascii="宋体" w:hAnsi="宋体" w:eastAsia="宋体"/>
          <w:b/>
          <w:bCs/>
          <w:color w:val="000000"/>
          <w:sz w:val="24"/>
          <w:szCs w:val="24"/>
          <w:highlight w:val="none"/>
          <w:lang w:val="en-US" w:eastAsia="zh-CN"/>
        </w:rPr>
      </w:r>
      <w:r>
        <w:rPr>
          <w:highlight w:val="none"/>
        </w:rPr>
      </w:r>
    </w:p>
    <w:p>
      <w:pPr>
        <w:pStyle w:val="762"/>
        <w:rPr>
          <w:rFonts w:hint="eastAsia"/>
          <w:color w:val="000000"/>
          <w:sz w:val="24"/>
          <w:szCs w:val="24"/>
          <w:highlight w:val="none"/>
        </w:rPr>
      </w:pPr>
      <w:r>
        <w:rPr>
          <w:rFonts w:hint="eastAsia"/>
          <w:color w:val="000000"/>
          <w:sz w:val="24"/>
          <w:szCs w:val="24"/>
          <w:highlight w:val="none"/>
          <w:lang w:val="en-US" w:eastAsia="zh-CN"/>
        </w:rPr>
        <w:t xml:space="preserve">四</w:t>
      </w:r>
      <w:r>
        <w:rPr>
          <w:rFonts w:hint="eastAsia"/>
          <w:color w:val="000000"/>
          <w:sz w:val="24"/>
          <w:szCs w:val="24"/>
          <w:highlight w:val="none"/>
          <w:lang w:eastAsia="zh-CN"/>
        </w:rPr>
        <w:t xml:space="preserve">、</w:t>
      </w:r>
      <w:r>
        <w:rPr>
          <w:rFonts w:hint="eastAsia"/>
          <w:color w:val="000000"/>
          <w:sz w:val="24"/>
          <w:szCs w:val="24"/>
          <w:highlight w:val="none"/>
        </w:rPr>
        <w:t xml:space="preserve">商务要求</w:t>
      </w:r>
      <w:r>
        <w:rPr>
          <w:rFonts w:hint="eastAsia"/>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供货</w:t>
      </w:r>
      <w:r>
        <w:rPr>
          <w:rFonts w:hint="eastAsia" w:ascii="宋体" w:hAnsi="宋体" w:cs="宋体"/>
          <w:color w:val="000000"/>
          <w:sz w:val="24"/>
          <w:szCs w:val="24"/>
          <w:highlight w:val="none"/>
        </w:rPr>
        <w:t xml:space="preserve">期限：</w:t>
      </w:r>
      <w:r>
        <w:rPr>
          <w:rFonts w:hint="eastAsia" w:ascii="宋体" w:hAnsi="宋体" w:cs="宋体"/>
          <w:bCs/>
          <w:color w:val="000000"/>
          <w:sz w:val="24"/>
          <w:szCs w:val="24"/>
          <w:highlight w:val="none"/>
        </w:rPr>
        <w:t xml:space="preserve">自合同签订之日起</w:t>
      </w:r>
      <w:r>
        <w:rPr>
          <w:rFonts w:hint="eastAsia" w:ascii="宋体" w:hAnsi="宋体" w:cs="宋体"/>
          <w:bCs/>
          <w:color w:val="000000"/>
          <w:sz w:val="24"/>
          <w:szCs w:val="24"/>
          <w:highlight w:val="none"/>
          <w:lang w:val="en-US" w:eastAsia="zh-CN"/>
        </w:rPr>
        <w:t xml:space="preserve">30</w:t>
      </w:r>
      <w:r>
        <w:rPr>
          <w:rFonts w:hint="eastAsia" w:ascii="宋体" w:hAnsi="宋体" w:cs="宋体"/>
          <w:bCs/>
          <w:color w:val="000000"/>
          <w:sz w:val="24"/>
          <w:szCs w:val="24"/>
          <w:highlight w:val="none"/>
        </w:rPr>
        <w:t xml:space="preserve">日内完成供货并安装调试完成</w:t>
      </w:r>
      <w:r>
        <w:rPr>
          <w:rFonts w:hint="eastAsia" w:ascii="宋体" w:hAnsi="宋体" w:cs="宋体"/>
          <w:bCs/>
          <w:color w:val="000000"/>
          <w:sz w:val="24"/>
          <w:szCs w:val="24"/>
          <w:highlight w:val="none"/>
          <w:lang w:val="en-US" w:eastAsia="zh-CN"/>
        </w:rPr>
        <w:t xml:space="preserve">，</w:t>
      </w:r>
      <w:r>
        <w:rPr>
          <w:rFonts w:hint="eastAsia" w:ascii="宋体" w:hAnsi="宋体" w:cs="宋体"/>
          <w:color w:val="000000"/>
          <w:sz w:val="24"/>
          <w:szCs w:val="24"/>
          <w:highlight w:val="none"/>
        </w:rPr>
        <w:t xml:space="preserve">相关数据联网</w:t>
      </w:r>
      <w:r>
        <w:rPr>
          <w:rFonts w:hint="eastAsia" w:ascii="宋体" w:hAnsi="宋体" w:cs="宋体"/>
          <w:color w:val="000000"/>
          <w:sz w:val="24"/>
          <w:szCs w:val="24"/>
          <w:highlight w:val="none"/>
          <w:lang w:val="en-US" w:eastAsia="zh-CN"/>
        </w:rPr>
        <w:t xml:space="preserve">正常运行、验收合格</w:t>
      </w:r>
      <w:r>
        <w:rPr>
          <w:color w:val="000000"/>
          <w:sz w:val="24"/>
          <w:szCs w:val="24"/>
          <w:highlight w:val="none"/>
        </w:rPr>
        <w:t xml:space="preserve">次日起</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整</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供货</w:t>
      </w:r>
      <w:r>
        <w:rPr>
          <w:rFonts w:hint="eastAsia" w:ascii="宋体" w:hAnsi="宋体" w:cs="宋体"/>
          <w:color w:val="000000"/>
          <w:sz w:val="24"/>
          <w:szCs w:val="24"/>
          <w:highlight w:val="none"/>
        </w:rPr>
        <w:t xml:space="preserve">地点：采购人指定地点。</w:t>
      </w:r>
      <w:r>
        <w:rPr>
          <w:rFonts w:hint="eastAsia" w:ascii="宋体" w:hAnsi="宋体" w:cs="宋体"/>
          <w:color w:val="000000"/>
          <w:sz w:val="24"/>
          <w:szCs w:val="24"/>
          <w:highlight w:val="none"/>
        </w:rPr>
      </w:r>
      <w:r>
        <w:rPr>
          <w:highlight w:val="none"/>
        </w:rPr>
      </w:r>
    </w:p>
    <w:p>
      <w:pPr>
        <w:pStyle w:val="760"/>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3、验收标准：采购人根据国家有关规定、招投标文件以及合同约定的内容组织验收。</w:t>
      </w:r>
      <w:r>
        <w:rPr>
          <w:rFonts w:hint="eastAsia" w:ascii="宋体" w:hAnsi="宋体" w:cs="宋体"/>
          <w:color w:val="000000"/>
          <w:sz w:val="24"/>
          <w:szCs w:val="24"/>
          <w:highlight w:val="none"/>
        </w:rPr>
      </w:r>
      <w:r>
        <w:rPr>
          <w:highlight w:val="none"/>
        </w:rPr>
      </w:r>
    </w:p>
    <w:p>
      <w:pPr>
        <w:pStyle w:val="760"/>
        <w:ind w:firstLine="480"/>
        <w:spacing w:line="360" w:lineRule="auto"/>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4、付款步骤：</w:t>
      </w:r>
      <w:r>
        <w:rPr>
          <w:rFonts w:hint="eastAsia"/>
          <w:color w:val="000000"/>
          <w:sz w:val="24"/>
          <w:szCs w:val="24"/>
          <w:highlight w:val="none"/>
        </w:rPr>
        <w:t xml:space="preserve">（1）设备款：设备到货安装调试、联网稳定运行、验收合格后支付设备款的50%，</w:t>
      </w:r>
      <w:r>
        <w:rPr>
          <w:rFonts w:hint="eastAsia"/>
          <w:color w:val="000000"/>
          <w:sz w:val="24"/>
          <w:szCs w:val="24"/>
          <w:highlight w:val="none"/>
          <w:lang w:val="en-US" w:eastAsia="zh-CN"/>
        </w:rPr>
        <w:t xml:space="preserve">运维</w:t>
      </w:r>
      <w:r>
        <w:rPr>
          <w:rFonts w:hint="eastAsia"/>
          <w:color w:val="000000"/>
          <w:sz w:val="24"/>
          <w:szCs w:val="24"/>
          <w:highlight w:val="none"/>
        </w:rPr>
        <w:t xml:space="preserve">服务期满付清设备款余款。（2）运维款：运维服务</w:t>
      </w:r>
      <w:r>
        <w:rPr>
          <w:rFonts w:hint="eastAsia"/>
          <w:color w:val="000000"/>
          <w:sz w:val="24"/>
          <w:szCs w:val="24"/>
          <w:highlight w:val="none"/>
          <w:lang w:val="en-US" w:eastAsia="zh-CN"/>
        </w:rPr>
        <w:t xml:space="preserve">款</w:t>
      </w:r>
      <w:r>
        <w:rPr>
          <w:rFonts w:hint="eastAsia"/>
          <w:color w:val="000000"/>
          <w:sz w:val="24"/>
          <w:szCs w:val="24"/>
          <w:highlight w:val="none"/>
        </w:rPr>
        <w:t xml:space="preserve">按比例逐年支付。</w:t>
      </w:r>
      <w:r>
        <w:rPr>
          <w:rFonts w:ascii="宋体" w:hAnsi="宋体" w:eastAsia="宋体" w:cs="宋体"/>
          <w:color w:val="000000"/>
          <w:sz w:val="24"/>
          <w:szCs w:val="24"/>
          <w:highlight w:val="none"/>
          <w:lang w:val="en-US" w:eastAsia="zh-CN"/>
        </w:rPr>
      </w:r>
      <w:r>
        <w:rPr>
          <w:highlight w:val="none"/>
        </w:rPr>
      </w:r>
    </w:p>
    <w:p>
      <w:pPr>
        <w:pStyle w:val="762"/>
        <w:spacing w:line="240" w:lineRule="auto"/>
        <w:rPr>
          <w:rFonts w:hint="eastAsia"/>
          <w:color w:val="000000"/>
          <w:sz w:val="24"/>
          <w:szCs w:val="24"/>
          <w:highlight w:val="none"/>
        </w:rPr>
      </w:pPr>
      <w:r>
        <w:rPr>
          <w:rFonts w:hint="eastAsia"/>
          <w:color w:val="000000"/>
          <w:sz w:val="24"/>
          <w:szCs w:val="24"/>
          <w:highlight w:val="none"/>
          <w:lang w:val="en-US" w:eastAsia="zh-CN"/>
        </w:rPr>
        <w:t xml:space="preserve">五、实质性要求</w:t>
      </w:r>
      <w:r>
        <w:rPr>
          <w:rFonts w:hint="eastAsia"/>
          <w:color w:val="000000"/>
          <w:sz w:val="24"/>
          <w:szCs w:val="24"/>
          <w:highlight w:val="none"/>
          <w:lang w:val="en-US" w:eastAsia="zh-CN"/>
        </w:rPr>
      </w:r>
      <w:r>
        <w:rPr>
          <w:highlight w:val="none"/>
        </w:rPr>
      </w:r>
    </w:p>
    <w:p>
      <w:pPr>
        <w:pStyle w:val="760"/>
        <w:ind w:firstLine="480"/>
        <w:spacing w:line="360" w:lineRule="auto"/>
        <w:rPr>
          <w:rStyle w:val="801"/>
          <w:rFonts w:hint="eastAsia" w:ascii="宋体" w:hAnsi="宋体" w:eastAsia="宋体" w:cs="宋体"/>
          <w:bCs/>
          <w:color w:val="000000"/>
          <w:sz w:val="24"/>
          <w:szCs w:val="24"/>
          <w:highlight w:val="none"/>
        </w:rPr>
      </w:pPr>
      <w:r>
        <w:rPr>
          <w:rFonts w:hint="eastAsia" w:ascii="宋体" w:hAnsi="宋体"/>
          <w:color w:val="000000"/>
          <w:sz w:val="24"/>
          <w:szCs w:val="24"/>
          <w:highlight w:val="none"/>
        </w:rPr>
        <w:t xml:space="preserve">本</w:t>
      </w:r>
      <w:r>
        <w:rPr>
          <w:rFonts w:hint="eastAsia" w:ascii="宋体" w:hAnsi="宋体"/>
          <w:color w:val="000000"/>
          <w:sz w:val="24"/>
          <w:highlight w:val="none"/>
        </w:rPr>
        <w:t xml:space="preserve">章</w:t>
      </w:r>
      <w:r>
        <w:rPr>
          <w:rFonts w:hint="eastAsia" w:ascii="宋体" w:hAnsi="宋体"/>
          <w:color w:val="000000"/>
          <w:sz w:val="24"/>
          <w:szCs w:val="24"/>
          <w:highlight w:val="none"/>
        </w:rPr>
        <w:t xml:space="preserve">有关服务与商务条款的要求为基准要求，如供应商不能完全符合此基准要求，可高于此基准要求进行报价，采购人将不接受低于该基准要求（负偏离）的报价，供应商需对此基</w:t>
      </w:r>
      <w:r>
        <w:rPr>
          <w:rFonts w:hint="eastAsia" w:ascii="宋体" w:hAnsi="宋体"/>
          <w:color w:val="000000"/>
          <w:sz w:val="24"/>
          <w:highlight w:val="none"/>
        </w:rPr>
        <w:t xml:space="preserve">准要求作实质性响应。</w:t>
      </w:r>
      <w:r>
        <w:rPr>
          <w:rStyle w:val="801"/>
          <w:rFonts w:hint="eastAsia" w:ascii="宋体" w:hAnsi="宋体" w:eastAsia="宋体" w:cs="宋体"/>
          <w:bCs/>
          <w:color w:val="000000"/>
          <w:sz w:val="24"/>
          <w:szCs w:val="24"/>
          <w:highlight w:val="none"/>
        </w:rPr>
      </w:r>
      <w:r>
        <w:rPr>
          <w:highlight w:val="none"/>
        </w:rPr>
      </w:r>
    </w:p>
    <w:p>
      <w:pPr>
        <w:pStyle w:val="760"/>
        <w:jc w:val="center"/>
        <w:keepLines w:val="0"/>
        <w:keepNext w:val="0"/>
        <w:pageBreakBefore/>
        <w:spacing w:line="360" w:lineRule="auto"/>
        <w:widowControl w:val="off"/>
        <w:rPr>
          <w:rFonts w:hint="eastAsia" w:ascii="宋体" w:hAnsi="宋体" w:eastAsia="宋体" w:cs="宋体"/>
          <w:b w:val="0"/>
          <w:bCs/>
          <w:color w:val="000000"/>
          <w:sz w:val="24"/>
          <w:szCs w:val="24"/>
          <w:highlight w:val="none"/>
        </w:rPr>
        <w:outlineLvl w:val="9"/>
      </w:pPr>
      <w:r>
        <w:rPr>
          <w:highlight w:val="none"/>
        </w:rPr>
      </w:r>
      <w:bookmarkEnd w:id="83"/>
      <w:r>
        <w:rPr>
          <w:highlight w:val="none"/>
        </w:rPr>
      </w:r>
      <w:bookmarkStart w:id="84" w:name="_Toc27627"/>
      <w:r>
        <w:rPr>
          <w:highlight w:val="none"/>
        </w:rPr>
      </w:r>
      <w:bookmarkStart w:id="85" w:name="_Toc526779129"/>
      <w:r>
        <w:rPr>
          <w:highlight w:val="none"/>
        </w:rPr>
      </w:r>
      <w:bookmarkStart w:id="86" w:name="_Toc23383"/>
      <w:r>
        <w:rPr>
          <w:highlight w:val="none"/>
        </w:rPr>
      </w:r>
      <w:bookmarkStart w:id="87" w:name="_Toc3082"/>
      <w:r>
        <w:rPr>
          <w:rFonts w:hint="eastAsia" w:ascii="黑体" w:hAnsi="黑体" w:eastAsia="黑体"/>
          <w:b w:val="0"/>
          <w:bCs/>
          <w:color w:val="000000"/>
          <w:sz w:val="28"/>
          <w:highlight w:val="none"/>
        </w:rPr>
        <w:t xml:space="preserve">第</w:t>
      </w:r>
      <w:r>
        <w:rPr>
          <w:rFonts w:hint="eastAsia" w:ascii="黑体" w:hAnsi="黑体" w:eastAsia="黑体"/>
          <w:b w:val="0"/>
          <w:bCs/>
          <w:color w:val="000000"/>
          <w:sz w:val="28"/>
          <w:highlight w:val="none"/>
          <w:lang w:eastAsia="zh-CN"/>
        </w:rPr>
        <w:t xml:space="preserve">四</w:t>
      </w:r>
      <w:r>
        <w:rPr>
          <w:rFonts w:hint="eastAsia" w:ascii="黑体" w:hAnsi="黑体" w:eastAsia="黑体"/>
          <w:b w:val="0"/>
          <w:bCs/>
          <w:color w:val="000000"/>
          <w:sz w:val="28"/>
          <w:highlight w:val="none"/>
        </w:rPr>
        <w:t xml:space="preserve">章 评标方法和标准</w:t>
      </w:r>
      <w:r>
        <w:rPr>
          <w:rFonts w:hint="eastAsia" w:ascii="宋体" w:hAnsi="宋体" w:eastAsia="宋体" w:cs="宋体"/>
          <w:b w:val="0"/>
          <w:bCs/>
          <w:color w:val="000000"/>
          <w:sz w:val="24"/>
          <w:szCs w:val="24"/>
          <w:highlight w:val="none"/>
        </w:rPr>
      </w:r>
      <w:r>
        <w:rPr>
          <w:highlight w:val="none"/>
        </w:rPr>
      </w:r>
    </w:p>
    <w:p>
      <w:pPr>
        <w:pStyle w:val="76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一、评分项目（总分100分）</w:t>
      </w:r>
      <w:r>
        <w:rPr>
          <w:rFonts w:ascii="宋体" w:hAnsi="宋体"/>
          <w:color w:val="000000"/>
          <w:sz w:val="24"/>
          <w:szCs w:val="24"/>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72"/>
        <w:gridCol w:w="7327"/>
      </w:tblGrid>
      <w:tr>
        <w:trPr>
          <w:trHeight w:val="444" w:hRule="exact"/>
        </w:trPr>
        <w:tc>
          <w:tcPr>
            <w:tcW w:w="2272"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rPr>
              <w:t xml:space="preserve">技术部分</w:t>
            </w:r>
            <w:r>
              <w:rPr>
                <w:rFonts w:ascii="宋体" w:hAnsi="宋体"/>
                <w:color w:val="000000"/>
                <w:sz w:val="24"/>
                <w:szCs w:val="24"/>
                <w:highlight w:val="none"/>
              </w:rPr>
            </w:r>
            <w:r>
              <w:rPr>
                <w:highlight w:val="none"/>
              </w:rPr>
            </w:r>
          </w:p>
        </w:tc>
        <w:tc>
          <w:tcPr>
            <w:tcW w:w="7327"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45</w:t>
            </w:r>
            <w:r>
              <w:rPr>
                <w:rFonts w:hint="eastAsia" w:ascii="宋体" w:hAnsi="宋体"/>
                <w:color w:val="000000"/>
                <w:sz w:val="24"/>
                <w:szCs w:val="24"/>
                <w:highlight w:val="none"/>
              </w:rPr>
              <w:t xml:space="preserve">分</w:t>
            </w:r>
            <w:r>
              <w:rPr>
                <w:rFonts w:ascii="宋体" w:hAnsi="宋体"/>
                <w:color w:val="000000"/>
                <w:sz w:val="24"/>
                <w:szCs w:val="24"/>
                <w:highlight w:val="none"/>
              </w:rPr>
            </w:r>
            <w:r>
              <w:rPr>
                <w:highlight w:val="none"/>
              </w:rPr>
            </w:r>
          </w:p>
        </w:tc>
      </w:tr>
      <w:tr>
        <w:trPr>
          <w:trHeight w:val="444" w:hRule="exact"/>
        </w:trPr>
        <w:tc>
          <w:tcPr>
            <w:tcW w:w="2272"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rPr>
              <w:t xml:space="preserve">商务部分</w:t>
            </w:r>
            <w:r>
              <w:rPr>
                <w:rFonts w:ascii="宋体" w:hAnsi="宋体"/>
                <w:color w:val="000000"/>
                <w:sz w:val="24"/>
                <w:szCs w:val="24"/>
                <w:highlight w:val="none"/>
              </w:rPr>
            </w:r>
            <w:r>
              <w:rPr>
                <w:highlight w:val="none"/>
              </w:rPr>
            </w:r>
          </w:p>
        </w:tc>
        <w:tc>
          <w:tcPr>
            <w:tcW w:w="7327"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分</w:t>
            </w:r>
            <w:r>
              <w:rPr>
                <w:rFonts w:ascii="宋体" w:hAnsi="宋体"/>
                <w:color w:val="000000"/>
                <w:sz w:val="24"/>
                <w:szCs w:val="24"/>
                <w:highlight w:val="none"/>
              </w:rPr>
            </w:r>
            <w:r>
              <w:rPr>
                <w:highlight w:val="none"/>
              </w:rPr>
            </w:r>
          </w:p>
        </w:tc>
      </w:tr>
      <w:tr>
        <w:trPr>
          <w:trHeight w:val="464" w:hRule="exact"/>
        </w:trPr>
        <w:tc>
          <w:tcPr>
            <w:tcW w:w="2272"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rPr>
              <w:t xml:space="preserve">价格部分</w:t>
            </w:r>
            <w:r>
              <w:rPr>
                <w:rFonts w:ascii="宋体" w:hAnsi="宋体"/>
                <w:color w:val="000000"/>
                <w:sz w:val="24"/>
                <w:szCs w:val="24"/>
                <w:highlight w:val="none"/>
              </w:rPr>
            </w:r>
            <w:r>
              <w:rPr>
                <w:highlight w:val="none"/>
              </w:rPr>
            </w:r>
          </w:p>
        </w:tc>
        <w:tc>
          <w:tcPr>
            <w:tcW w:w="7327"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35</w:t>
            </w:r>
            <w:r>
              <w:rPr>
                <w:rFonts w:hint="eastAsia" w:ascii="宋体" w:hAnsi="宋体"/>
                <w:color w:val="000000"/>
                <w:sz w:val="24"/>
                <w:szCs w:val="24"/>
                <w:highlight w:val="none"/>
              </w:rPr>
              <w:t xml:space="preserve">分</w:t>
            </w:r>
            <w:r>
              <w:rPr>
                <w:rFonts w:ascii="宋体" w:hAnsi="宋体"/>
                <w:color w:val="000000"/>
                <w:sz w:val="24"/>
                <w:szCs w:val="24"/>
                <w:highlight w:val="none"/>
              </w:rPr>
            </w:r>
            <w:r>
              <w:rPr>
                <w:highlight w:val="none"/>
              </w:rPr>
            </w:r>
          </w:p>
        </w:tc>
      </w:tr>
    </w:tbl>
    <w:p>
      <w:pPr>
        <w:pStyle w:val="76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二、评审内容：</w:t>
      </w:r>
      <w:r>
        <w:rPr>
          <w:rFonts w:ascii="宋体" w:hAnsi="宋体"/>
          <w:color w:val="000000"/>
          <w:sz w:val="24"/>
          <w:szCs w:val="24"/>
          <w:highlight w:val="none"/>
        </w:rPr>
      </w:r>
      <w:r>
        <w:rPr>
          <w:highlight w:val="none"/>
        </w:rPr>
      </w:r>
    </w:p>
    <w:p>
      <w:pPr>
        <w:pStyle w:val="76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1、技术商务部分</w:t>
      </w:r>
      <w:r>
        <w:rPr>
          <w:rFonts w:ascii="宋体" w:hAnsi="宋体"/>
          <w:color w:val="000000"/>
          <w:sz w:val="24"/>
          <w:szCs w:val="24"/>
          <w:highlight w:val="none"/>
        </w:rPr>
      </w:r>
      <w:r>
        <w:rPr>
          <w:highlight w:val="none"/>
        </w:rPr>
      </w:r>
    </w:p>
    <w:tbl>
      <w:tblPr>
        <w:tblW w:w="104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745"/>
        <w:gridCol w:w="1383"/>
        <w:gridCol w:w="742"/>
        <w:gridCol w:w="6374"/>
      </w:tblGrid>
      <w:tr>
        <w:trPr>
          <w:trHeight w:val="23"/>
        </w:trPr>
        <w:tc>
          <w:tcPr>
            <w:tcW w:w="1238"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评审内容</w:t>
            </w:r>
            <w:r>
              <w:rPr>
                <w:rFonts w:hint="eastAsia" w:ascii="宋体" w:hAnsi="宋体" w:cs="宋体"/>
                <w:color w:val="000000"/>
                <w:sz w:val="24"/>
                <w:szCs w:val="24"/>
                <w:highlight w:val="none"/>
              </w:rPr>
            </w:r>
            <w:r>
              <w:rPr>
                <w:highlight w:val="none"/>
              </w:rPr>
            </w:r>
          </w:p>
        </w:tc>
        <w:tc>
          <w:tcPr>
            <w:tcW w:w="745"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rPr>
                <w:highlight w:val="none"/>
              </w:rPr>
            </w:r>
          </w:p>
        </w:tc>
        <w:tc>
          <w:tcPr>
            <w:tcW w:w="1383"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评审项目</w:t>
            </w:r>
            <w:r>
              <w:rPr>
                <w:rFonts w:hint="eastAsia" w:ascii="宋体" w:hAnsi="宋体" w:cs="宋体"/>
                <w:color w:val="000000"/>
                <w:sz w:val="24"/>
                <w:szCs w:val="24"/>
                <w:highlight w:val="none"/>
              </w:rPr>
            </w:r>
            <w:r>
              <w:rPr>
                <w:highlight w:val="none"/>
              </w:rPr>
            </w:r>
          </w:p>
        </w:tc>
        <w:tc>
          <w:tcPr>
            <w:tcW w:w="742"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分值</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评审细则</w:t>
            </w:r>
            <w:r>
              <w:rPr>
                <w:rFonts w:hint="eastAsia" w:ascii="宋体" w:hAnsi="宋体" w:cs="宋体"/>
                <w:color w:val="000000"/>
                <w:sz w:val="24"/>
                <w:szCs w:val="24"/>
                <w:highlight w:val="none"/>
              </w:rPr>
            </w:r>
            <w:r>
              <w:rPr>
                <w:highlight w:val="none"/>
              </w:rPr>
            </w:r>
          </w:p>
        </w:tc>
      </w:tr>
      <w:tr>
        <w:trPr>
          <w:trHeight w:val="23"/>
        </w:trPr>
        <w:tc>
          <w:tcPr>
            <w:tcW w:w="1238" w:type="dxa"/>
            <w:vAlign w:val="center"/>
            <w:vMerge w:val="restart"/>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技术</w:t>
            </w:r>
            <w:r>
              <w:rPr>
                <w:rFonts w:hint="eastAsia" w:ascii="宋体" w:hAnsi="宋体" w:cs="宋体"/>
                <w:color w:val="000000"/>
                <w:sz w:val="24"/>
                <w:szCs w:val="24"/>
                <w:highlight w:val="none"/>
              </w:rPr>
              <w:t xml:space="preserve">评审因素</w:t>
            </w:r>
            <w:r>
              <w:rPr>
                <w:rFonts w:hint="eastAsia" w:ascii="宋体" w:hAnsi="宋体" w:cs="宋体"/>
                <w:color w:val="000000"/>
                <w:sz w:val="24"/>
                <w:szCs w:val="24"/>
                <w:highlight w:val="none"/>
              </w:rPr>
            </w:r>
            <w:r>
              <w:rPr>
                <w:highlight w:val="none"/>
              </w:rPr>
            </w:r>
          </w:p>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745"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rPr>
                <w:highlight w:val="none"/>
              </w:rPr>
            </w:r>
          </w:p>
        </w:tc>
        <w:tc>
          <w:tcPr>
            <w:tcW w:w="1383"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重点难点 问题分析 及解决方 案</w:t>
            </w:r>
            <w:r>
              <w:rPr>
                <w:rFonts w:hint="eastAsia" w:ascii="宋体" w:hAnsi="宋体" w:cs="宋体"/>
                <w:color w:val="000000"/>
                <w:sz w:val="24"/>
                <w:szCs w:val="24"/>
                <w:highlight w:val="none"/>
              </w:rPr>
            </w:r>
            <w:r>
              <w:rPr>
                <w:highlight w:val="none"/>
              </w:rPr>
            </w:r>
          </w:p>
        </w:tc>
        <w:tc>
          <w:tcPr>
            <w:tcW w:w="742"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对本项目重点难点问题分析准确，分析内容完整、分析透彻、 理解认知度高，能提出运维过程中的重点、难点问题并给出相应解决方案得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提供常规、通用的项目需求分析及解决方案得3分；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提供项目需求分析，但分析内容有欠缺得1分；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rPr>
                <w:highlight w:val="none"/>
              </w:rPr>
            </w:r>
          </w:p>
        </w:tc>
        <w:tc>
          <w:tcPr>
            <w:tcW w:w="1383"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数据采集 传输方案</w:t>
            </w:r>
            <w:r>
              <w:rPr>
                <w:rFonts w:hint="eastAsia" w:ascii="宋体" w:hAnsi="宋体" w:cs="宋体"/>
                <w:color w:val="000000"/>
                <w:sz w:val="24"/>
                <w:szCs w:val="24"/>
                <w:highlight w:val="none"/>
              </w:rPr>
            </w:r>
            <w:r>
              <w:rPr>
                <w:highlight w:val="none"/>
              </w:rPr>
            </w:r>
          </w:p>
        </w:tc>
        <w:tc>
          <w:tcPr>
            <w:tcW w:w="742"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供应商需提供具体的数据采集传输方案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提供内容齐全、结构完整、条理清晰的方案，阐述分析准确，完全满足项目需要，科学、合理，可操作性、针对性强得</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提供内容基本完整的方案，进行了阐述分析，但细节有待完善，基本满足项目需求，合理、可行</w:t>
            </w:r>
            <w:r>
              <w:rPr>
                <w:rFonts w:hint="eastAsia" w:ascii="宋体" w:hAnsi="宋体" w:cs="宋体"/>
                <w:color w:val="000000"/>
                <w:sz w:val="24"/>
                <w:szCs w:val="24"/>
                <w:highlight w:val="none"/>
                <w:lang w:val="en-US" w:eastAsia="zh-CN"/>
              </w:rPr>
              <w:t xml:space="preserve">得4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提供常规、通用的方案，未考虑本项目特点，部分符合需求得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提供简单的方案，内容不全面得2分；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提供的方案有明显缺陷，难以保障项目实施得1分；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rPr>
                <w:highlight w:val="none"/>
              </w:rPr>
            </w:r>
          </w:p>
        </w:tc>
        <w:tc>
          <w:tcPr>
            <w:tcW w:w="1383" w:type="dxa"/>
            <w:vAlign w:val="center"/>
            <w:vMerge w:val="restart"/>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运维工作 计划</w:t>
            </w:r>
            <w:r>
              <w:rPr>
                <w:rFonts w:hint="eastAsia" w:ascii="宋体" w:hAnsi="宋体" w:cs="宋体"/>
                <w:color w:val="000000"/>
                <w:sz w:val="24"/>
                <w:szCs w:val="24"/>
                <w:highlight w:val="none"/>
              </w:rPr>
            </w:r>
            <w:r>
              <w:rPr>
                <w:highlight w:val="none"/>
              </w:rPr>
            </w:r>
          </w:p>
        </w:tc>
        <w:tc>
          <w:tcPr>
            <w:tcW w:w="742"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提供具体的工作计划，体现出自动监测设备及相关配套设施的运维工作内容，包括：具体的规章制度、驻场运维方案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设备安装调试方案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日常维护方案、定期巡检方案、故障维修方案</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网络</w:t>
            </w:r>
            <w:r>
              <w:rPr>
                <w:rFonts w:hint="eastAsia" w:ascii="宋体" w:hAnsi="宋体" w:cs="宋体"/>
                <w:color w:val="000000"/>
                <w:sz w:val="24"/>
                <w:szCs w:val="24"/>
                <w:highlight w:val="none"/>
                <w:lang w:val="en-US" w:eastAsia="zh-CN"/>
              </w:rPr>
              <w:t xml:space="preserve">信息</w:t>
            </w:r>
            <w:r>
              <w:rPr>
                <w:rFonts w:hint="eastAsia" w:ascii="宋体" w:hAnsi="宋体" w:eastAsia="宋体" w:cs="宋体"/>
                <w:color w:val="000000"/>
                <w:sz w:val="24"/>
                <w:szCs w:val="24"/>
                <w:highlight w:val="none"/>
              </w:rPr>
              <w:t xml:space="preserve">安全方案。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（1）具体的规章制度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制度详细完整，科学合理可行，有很强的针对性，完全符合项目特点及要求得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提供常规、通用的制度，基本满足项目要求得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制度有缺陷、不合理，难以满足项目需要得 1 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en-US" w:eastAsia="zh-CN"/>
              </w:rPr>
            </w:r>
            <w:r>
              <w:rPr>
                <w:highlight w:val="none"/>
              </w:rPr>
            </w:r>
          </w:p>
        </w:tc>
        <w:tc>
          <w:tcPr>
            <w:tcW w:w="1383" w:type="dxa"/>
            <w:vAlign w:val="center"/>
            <w:vMerge w:val="continue"/>
            <w:textDirection w:val="lrTb"/>
            <w:noWrap w:val="false"/>
          </w:tcPr>
          <w:p>
            <w:pPr>
              <w:pStyle w:val="76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pStyle w:val="760"/>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3分</w:t>
            </w:r>
            <w:r>
              <w:rPr>
                <w:rFonts w:ascii="宋体" w:hAnsi="宋体" w:cs="宋体"/>
                <w:color w:val="000000"/>
                <w:sz w:val="24"/>
                <w:szCs w:val="24"/>
                <w:highlight w:val="none"/>
                <w:lang w:val="en-US" w:eastAsia="zh-CN"/>
              </w:rPr>
            </w:r>
            <w:r>
              <w:rPr>
                <w:highlight w:val="none"/>
              </w:rPr>
            </w:r>
          </w:p>
        </w:tc>
        <w:tc>
          <w:tcPr>
            <w:tcW w:w="6374" w:type="dxa"/>
            <w:vAlign w:val="center"/>
            <w:textDirection w:val="lrTb"/>
            <w:noWrap w:val="false"/>
          </w:tcPr>
          <w:p>
            <w:pPr>
              <w:pStyle w:val="760"/>
              <w:numPr>
                <w:ilvl w:val="0"/>
                <w:numId w:val="0"/>
              </w:numPr>
              <w:jc w:val="left"/>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驻场运维方案</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color w:val="000000"/>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color w:val="000000"/>
                <w:highlight w:val="none"/>
                <w:lang w:val="en-US" w:eastAsia="zh-CN"/>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val="en-US" w:eastAsia="zh-CN"/>
              </w:rPr>
            </w:r>
            <w:r>
              <w:rPr>
                <w:highlight w:val="none"/>
              </w:rPr>
            </w:r>
          </w:p>
        </w:tc>
        <w:tc>
          <w:tcPr>
            <w:tcW w:w="1383" w:type="dxa"/>
            <w:vAlign w:val="center"/>
            <w:vMerge w:val="continue"/>
            <w:textDirection w:val="lrTb"/>
            <w:noWrap w:val="false"/>
          </w:tcPr>
          <w:p>
            <w:pPr>
              <w:pStyle w:val="76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pStyle w:val="760"/>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3分</w:t>
            </w:r>
            <w:r>
              <w:rPr>
                <w:rFonts w:ascii="宋体" w:hAnsi="宋体" w:cs="宋体"/>
                <w:color w:val="000000"/>
                <w:sz w:val="24"/>
                <w:szCs w:val="24"/>
                <w:highlight w:val="none"/>
                <w:lang w:val="en-US" w:eastAsia="zh-CN"/>
              </w:rPr>
            </w:r>
            <w:r>
              <w:rPr>
                <w:highlight w:val="none"/>
              </w:rPr>
            </w:r>
          </w:p>
        </w:tc>
        <w:tc>
          <w:tcPr>
            <w:tcW w:w="6374" w:type="dxa"/>
            <w:vAlign w:val="center"/>
            <w:textDirection w:val="lrTb"/>
            <w:noWrap w:val="false"/>
          </w:tcPr>
          <w:p>
            <w:pPr>
              <w:pStyle w:val="760"/>
              <w:numPr>
                <w:ilvl w:val="0"/>
                <w:numId w:val="18"/>
              </w:numPr>
              <w:jc w:val="left"/>
              <w:spacing w:line="240" w:lineRule="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设备安装调试</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rPr>
                <w:highlight w:val="none"/>
              </w:rPr>
            </w:r>
          </w:p>
        </w:tc>
        <w:tc>
          <w:tcPr>
            <w:tcW w:w="1383" w:type="dxa"/>
            <w:vAlign w:val="center"/>
            <w:vMerge w:val="continue"/>
            <w:textDirection w:val="lrTb"/>
            <w:noWrap w:val="false"/>
          </w:tcPr>
          <w:p>
            <w:pPr>
              <w:pStyle w:val="76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）日常维护方案</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rPr>
                <w:highlight w:val="none"/>
              </w:rPr>
            </w:r>
          </w:p>
        </w:tc>
        <w:tc>
          <w:tcPr>
            <w:tcW w:w="1383" w:type="dxa"/>
            <w:vAlign w:val="center"/>
            <w:vMerge w:val="continue"/>
            <w:textDirection w:val="lrTb"/>
            <w:noWrap w:val="false"/>
          </w:tcPr>
          <w:p>
            <w:pPr>
              <w:pStyle w:val="76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）定期巡检方案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提供常规、通用的方案，基本满足项目要求得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 1 分；</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rPr>
                <w:highlight w:val="none"/>
              </w:rPr>
            </w:r>
          </w:p>
        </w:tc>
        <w:tc>
          <w:tcPr>
            <w:tcW w:w="1383" w:type="dxa"/>
            <w:vAlign w:val="center"/>
            <w:vMerge w:val="continue"/>
            <w:textDirection w:val="lrTb"/>
            <w:noWrap w:val="false"/>
          </w:tcPr>
          <w:p>
            <w:pPr>
              <w:pStyle w:val="76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742"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）故障维修方案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ascii="宋体" w:hAnsi="宋体" w:cs="宋体"/>
                <w:color w:val="000000"/>
                <w:sz w:val="24"/>
                <w:szCs w:val="24"/>
                <w:highlight w:val="none"/>
                <w:lang w:val="en-US" w:eastAsia="zh-CN"/>
              </w:rPr>
            </w:r>
            <w:r>
              <w:rPr>
                <w:highlight w:val="none"/>
              </w:rPr>
            </w:r>
          </w:p>
        </w:tc>
        <w:tc>
          <w:tcPr>
            <w:tcW w:w="1383" w:type="dxa"/>
            <w:vAlign w:val="center"/>
            <w:textDirection w:val="lrTb"/>
            <w:noWrap w:val="false"/>
          </w:tcPr>
          <w:p>
            <w:pPr>
              <w:pStyle w:val="76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rPr>
                <w:highlight w:val="none"/>
              </w:rPr>
            </w:r>
          </w:p>
        </w:tc>
        <w:tc>
          <w:tcPr>
            <w:tcW w:w="742" w:type="dxa"/>
            <w:vAlign w:val="center"/>
            <w:textDirection w:val="lrTb"/>
            <w:noWrap w:val="false"/>
          </w:tcPr>
          <w:p>
            <w:pPr>
              <w:pStyle w:val="760"/>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分</w:t>
            </w:r>
            <w:r>
              <w:rPr>
                <w:rFonts w:ascii="宋体" w:hAnsi="宋体" w:cs="宋体"/>
                <w:color w:val="000000"/>
                <w:sz w:val="24"/>
                <w:szCs w:val="24"/>
                <w:highlight w:val="none"/>
                <w:lang w:val="en-US" w:eastAsia="zh-CN"/>
              </w:rPr>
            </w:r>
            <w:r>
              <w:rPr>
                <w:highlight w:val="none"/>
              </w:rPr>
            </w:r>
          </w:p>
        </w:tc>
        <w:tc>
          <w:tcPr>
            <w:tcW w:w="6374" w:type="dxa"/>
            <w:vAlign w:val="center"/>
            <w:textDirection w:val="lrTb"/>
            <w:noWrap w:val="false"/>
          </w:tcPr>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）网络</w:t>
            </w:r>
            <w:r>
              <w:rPr>
                <w:rFonts w:hint="eastAsia" w:ascii="宋体" w:hAnsi="宋体" w:cs="宋体"/>
                <w:color w:val="000000"/>
                <w:sz w:val="24"/>
                <w:szCs w:val="24"/>
                <w:highlight w:val="none"/>
                <w:lang w:val="en-US" w:eastAsia="zh-CN"/>
              </w:rPr>
              <w:t xml:space="preserve">信息</w:t>
            </w:r>
            <w:r>
              <w:rPr>
                <w:rFonts w:hint="eastAsia" w:ascii="宋体" w:hAnsi="宋体" w:eastAsia="宋体" w:cs="宋体"/>
                <w:color w:val="000000"/>
                <w:sz w:val="24"/>
                <w:szCs w:val="24"/>
                <w:highlight w:val="none"/>
              </w:rPr>
              <w:t xml:space="preserve">安全方案</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方案详细完整，科学合理可行，有很强的针对性，完全符合项目特点及要求得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方案有缺陷、不合理，难以满足项目需要得1分； </w:t>
            </w:r>
            <w:r>
              <w:rPr>
                <w:rFonts w:hint="eastAsia" w:ascii="宋体" w:hAnsi="宋体" w:eastAsia="宋体" w:cs="宋体"/>
                <w:color w:val="000000"/>
                <w:sz w:val="24"/>
                <w:szCs w:val="24"/>
                <w:highlight w:val="none"/>
              </w:rPr>
            </w:r>
            <w:r>
              <w:rPr>
                <w:highlight w:val="none"/>
              </w:rPr>
            </w:r>
          </w:p>
          <w:p>
            <w:pPr>
              <w:pStyle w:val="760"/>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未提供相关内容</w:t>
            </w:r>
            <w:r>
              <w:rPr>
                <w:rFonts w:hint="eastAsia" w:ascii="宋体" w:hAnsi="宋体" w:eastAsia="宋体" w:cs="宋体"/>
                <w:color w:val="000000"/>
                <w:sz w:val="24"/>
                <w:szCs w:val="24"/>
                <w:highlight w:val="none"/>
                <w:lang w:val="en-US" w:eastAsia="zh-CN"/>
              </w:rPr>
              <w:t xml:space="preserve">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rPr>
                <w:highlight w:val="none"/>
              </w:rPr>
            </w:r>
          </w:p>
        </w:tc>
        <w:tc>
          <w:tcPr>
            <w:tcW w:w="1383" w:type="dxa"/>
            <w:vAlign w:val="center"/>
            <w:textDirection w:val="lrTb"/>
            <w:noWrap w:val="false"/>
          </w:tcPr>
          <w:p>
            <w:pPr>
              <w:pStyle w:val="760"/>
              <w:jc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运维工作 记录</w:t>
            </w:r>
            <w:r>
              <w:rPr>
                <w:rFonts w:hint="eastAsia" w:ascii="宋体" w:hAnsi="宋体" w:cs="宋体"/>
                <w:b/>
                <w:bCs/>
                <w:color w:val="000000"/>
                <w:sz w:val="24"/>
                <w:szCs w:val="24"/>
                <w:highlight w:val="none"/>
              </w:rPr>
            </w:r>
            <w:r>
              <w:rPr>
                <w:highlight w:val="none"/>
              </w:rPr>
            </w:r>
          </w:p>
        </w:tc>
        <w:tc>
          <w:tcPr>
            <w:tcW w:w="742"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根据每类设备中的质控要求和运维工作相关要求，编制运维工作相关记录表。</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表格设计合理、系统、内容完整，有很强的针对性，完全满足项目要求得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表格设计基本合理，内容基本完整，常规通用，基本满足项目要得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表格设计内容基本完整，但逻辑、排列不够清晰，部分满足项目要求得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表格内容不全，格式混乱，难以满足项目需要得1分；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未提供相关内容不得分。</w:t>
            </w:r>
            <w:r>
              <w:rPr>
                <w:rFonts w:hint="eastAsia" w:ascii="宋体" w:hAnsi="宋体" w:eastAsia="宋体" w:cs="宋体"/>
                <w:color w:val="000000"/>
                <w:sz w:val="24"/>
                <w:szCs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rPr>
                <w:highlight w:val="none"/>
              </w:rPr>
            </w:r>
          </w:p>
        </w:tc>
        <w:tc>
          <w:tcPr>
            <w:tcW w:w="1383"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质控方案</w:t>
            </w:r>
            <w:r>
              <w:rPr>
                <w:rFonts w:hint="eastAsia" w:ascii="宋体" w:hAnsi="宋体" w:cs="宋体"/>
                <w:color w:val="000000"/>
                <w:sz w:val="24"/>
                <w:szCs w:val="24"/>
                <w:highlight w:val="none"/>
              </w:rPr>
            </w:r>
            <w:r>
              <w:rPr>
                <w:highlight w:val="none"/>
              </w:rPr>
            </w:r>
          </w:p>
        </w:tc>
        <w:tc>
          <w:tcPr>
            <w:tcW w:w="742"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根据在线仪器的特点和质量控制要求、参照相关技术规范制定监测质控方案。</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针对本项目，提供了结构完整、条理清晰的质控方案，质控方案设计全面、合理，能覆盖全部仪器及配套设施和全部时段，可有效保障监测数据质量，完全满足项目需要得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针对本项目，质控方案设计基本全面、合理，能覆盖全部仪器及配套设施和全部时段，能基本保障监测数据质量，但细 节有待完善得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提供了常规、通用的方案，未考虑本项目特点，部分符合需求得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提供的方案有明显缺陷，难以保障项目实施得1分；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未提供相关内容不得分。</w:t>
            </w:r>
            <w:r>
              <w:rPr>
                <w:rFonts w:hint="eastAsia" w:ascii="宋体" w:hAnsi="宋体" w:eastAsia="宋体" w:cs="宋体"/>
                <w:color w:val="000000"/>
                <w:sz w:val="24"/>
                <w:szCs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rPr>
                <w:highlight w:val="none"/>
              </w:rPr>
            </w:r>
          </w:p>
        </w:tc>
        <w:tc>
          <w:tcPr>
            <w:tcW w:w="1383"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数据审核 方案</w:t>
            </w:r>
            <w:r>
              <w:rPr>
                <w:rFonts w:hint="eastAsia" w:ascii="宋体" w:hAnsi="宋体" w:cs="宋体"/>
                <w:color w:val="000000"/>
                <w:sz w:val="24"/>
                <w:szCs w:val="24"/>
                <w:highlight w:val="none"/>
              </w:rPr>
            </w:r>
            <w:r>
              <w:rPr>
                <w:highlight w:val="none"/>
              </w:rPr>
            </w:r>
          </w:p>
        </w:tc>
        <w:tc>
          <w:tcPr>
            <w:tcW w:w="742"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根据在线仪器特点和运行质控要求，编制数据审核方案。</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针对本项目，数据审核方案设计全面、合理，能采用多方法、多技术、自动化等手段开展数据审核，方法设计合理，技术 准确，完全满足本项目要求得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针对本项目，数据审核方案设计基本全面、合理，采用一定 数量的方法、技术开展数据审核，实现了部分自动化，方法设计基本合理，技术准确得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提供常规、通用的方案，未考虑本项目特点，部分符合需求得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提供的方案有明显缺陷，难以保障项目实施得1分；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rPr>
              <w:t xml:space="preserve">未提供相关内容不得分。</w:t>
            </w:r>
            <w:r>
              <w:rPr>
                <w:rFonts w:hint="eastAsia" w:ascii="宋体" w:hAnsi="宋体" w:cs="宋体"/>
                <w:color w:val="000000"/>
                <w:sz w:val="24"/>
                <w:highlight w:val="none"/>
              </w:rPr>
            </w:r>
            <w:r>
              <w:rPr>
                <w:highlight w:val="none"/>
              </w:rPr>
            </w:r>
          </w:p>
        </w:tc>
      </w:tr>
      <w:tr>
        <w:trPr>
          <w:trHeight w:val="23"/>
        </w:trPr>
        <w:tc>
          <w:tcPr>
            <w:tcW w:w="1238" w:type="dxa"/>
            <w:vAlign w:val="center"/>
            <w:vMerge w:val="continue"/>
            <w:textDirection w:val="lrTb"/>
            <w:noWrap w:val="false"/>
          </w:tcPr>
          <w:p>
            <w:pPr>
              <w:pStyle w:val="76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ascii="宋体" w:hAnsi="宋体" w:eastAsia="宋体" w:cs="宋体"/>
                <w:color w:val="000000"/>
                <w:sz w:val="24"/>
                <w:szCs w:val="24"/>
                <w:highlight w:val="none"/>
                <w:lang w:val="en-US" w:eastAsia="zh-CN"/>
              </w:rPr>
            </w:r>
            <w:r>
              <w:rPr>
                <w:highlight w:val="none"/>
              </w:rPr>
            </w:r>
          </w:p>
        </w:tc>
        <w:tc>
          <w:tcPr>
            <w:tcW w:w="1383" w:type="dxa"/>
            <w:vAlign w:val="center"/>
            <w:textDirection w:val="lrTb"/>
            <w:noWrap w:val="false"/>
          </w:tcPr>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应急方案</w:t>
            </w:r>
            <w:r>
              <w:rPr>
                <w:rFonts w:hint="eastAsia" w:ascii="宋体" w:hAnsi="宋体" w:cs="宋体"/>
                <w:color w:val="000000"/>
                <w:sz w:val="24"/>
                <w:szCs w:val="24"/>
                <w:highlight w:val="none"/>
              </w:rPr>
            </w:r>
            <w:r>
              <w:rPr>
                <w:highlight w:val="none"/>
              </w:rPr>
            </w:r>
          </w:p>
        </w:tc>
        <w:tc>
          <w:tcPr>
            <w:tcW w:w="742" w:type="dxa"/>
            <w:vAlign w:val="center"/>
            <w:textDirection w:val="lrTb"/>
            <w:noWrap w:val="false"/>
          </w:tcPr>
          <w:p>
            <w:pPr>
              <w:pStyle w:val="760"/>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tc>
        <w:tc>
          <w:tcPr>
            <w:tcW w:w="6374" w:type="dxa"/>
            <w:vAlign w:val="center"/>
            <w:textDirection w:val="lrTb"/>
            <w:noWrap w:val="false"/>
          </w:tcPr>
          <w:p>
            <w:pPr>
              <w:pStyle w:val="760"/>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根据在线仪器特点和运维要求制定应急监测方案。</w:t>
            </w:r>
            <w:r>
              <w:rPr>
                <w:rFonts w:hint="eastAsia" w:ascii="宋体" w:hAnsi="宋体" w:eastAsia="宋体" w:cs="宋体"/>
                <w:i w:val="0"/>
                <w:iCs w:val="0"/>
                <w:color w:val="000000"/>
                <w:sz w:val="24"/>
                <w:szCs w:val="24"/>
                <w:highlight w:val="none"/>
                <w:lang w:val="en-US" w:eastAsia="zh-CN"/>
              </w:rPr>
            </w:r>
            <w:r>
              <w:rPr>
                <w:highlight w:val="none"/>
              </w:rPr>
            </w:r>
          </w:p>
          <w:p>
            <w:pPr>
              <w:pStyle w:val="760"/>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针对本项目，提供了结构完整、条理清晰的应急方案，方案设计全面、合理，阐述分析准确，可有效保障监测数据有效率，完全满足项目需要得</w:t>
            </w:r>
            <w:r>
              <w:rPr>
                <w:rFonts w:hint="eastAsia" w:ascii="宋体" w:hAnsi="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lang w:val="en-US" w:eastAsia="zh-CN"/>
              </w:rPr>
              <w:t xml:space="preserve">分；</w:t>
            </w:r>
            <w:r>
              <w:rPr>
                <w:rFonts w:hint="eastAsia" w:ascii="宋体" w:hAnsi="宋体" w:eastAsia="宋体" w:cs="宋体"/>
                <w:i w:val="0"/>
                <w:iCs w:val="0"/>
                <w:color w:val="000000"/>
                <w:sz w:val="24"/>
                <w:szCs w:val="24"/>
                <w:highlight w:val="none"/>
                <w:lang w:val="en-US" w:eastAsia="zh-CN"/>
              </w:rPr>
            </w:r>
            <w:r>
              <w:rPr>
                <w:highlight w:val="none"/>
              </w:rPr>
            </w:r>
          </w:p>
          <w:p>
            <w:pPr>
              <w:pStyle w:val="760"/>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提供了内容基本完整的方案，进行了阐述分析，但细节有待完善，基本满足项目需求，合理、可行得</w:t>
            </w:r>
            <w:r>
              <w:rPr>
                <w:rFonts w:hint="eastAsia" w:ascii="宋体" w:hAnsi="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lang w:val="en-US" w:eastAsia="zh-CN"/>
              </w:rPr>
              <w:t xml:space="preserve">分；</w:t>
            </w:r>
            <w:r>
              <w:rPr>
                <w:rFonts w:hint="eastAsia" w:ascii="宋体" w:hAnsi="宋体" w:eastAsia="宋体" w:cs="宋体"/>
                <w:i w:val="0"/>
                <w:iCs w:val="0"/>
                <w:color w:val="000000"/>
                <w:sz w:val="24"/>
                <w:szCs w:val="24"/>
                <w:highlight w:val="none"/>
                <w:lang w:val="en-US" w:eastAsia="zh-CN"/>
              </w:rPr>
            </w:r>
            <w:r>
              <w:rPr>
                <w:highlight w:val="none"/>
              </w:rPr>
            </w:r>
          </w:p>
          <w:p>
            <w:pPr>
              <w:pStyle w:val="760"/>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提供了常规、通用的方案，未考虑本项目特点，部分符合需求得</w:t>
            </w:r>
            <w:r>
              <w:rPr>
                <w:rFonts w:hint="eastAsia" w:ascii="宋体" w:hAnsi="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lang w:val="en-US" w:eastAsia="zh-CN"/>
              </w:rPr>
              <w:t xml:space="preserve">分； </w:t>
            </w:r>
            <w:r>
              <w:rPr>
                <w:rFonts w:hint="eastAsia" w:ascii="宋体" w:hAnsi="宋体" w:eastAsia="宋体" w:cs="宋体"/>
                <w:i w:val="0"/>
                <w:iCs w:val="0"/>
                <w:color w:val="000000"/>
                <w:sz w:val="24"/>
                <w:szCs w:val="24"/>
                <w:highlight w:val="none"/>
                <w:lang w:val="en-US" w:eastAsia="zh-CN"/>
              </w:rPr>
            </w:r>
            <w:r>
              <w:rPr>
                <w:highlight w:val="none"/>
              </w:rPr>
            </w:r>
          </w:p>
          <w:p>
            <w:pPr>
              <w:pStyle w:val="760"/>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提供的方案有明显缺陷，难以保障项目实施得1分；</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lang w:val="en-US" w:eastAsia="zh-CN"/>
              </w:rPr>
            </w:r>
            <w:r>
              <w:rPr>
                <w:highlight w:val="none"/>
              </w:rPr>
            </w:r>
          </w:p>
          <w:p>
            <w:pPr>
              <w:pStyle w:val="760"/>
              <w:jc w:val="left"/>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未提供相关内容不得分。</w:t>
            </w:r>
            <w:r>
              <w:rPr>
                <w:rFonts w:hint="eastAsia" w:ascii="宋体" w:hAnsi="宋体" w:eastAsia="宋体" w:cs="宋体"/>
                <w:i w:val="0"/>
                <w:iCs w:val="0"/>
                <w:color w:val="000000"/>
                <w:sz w:val="24"/>
                <w:szCs w:val="24"/>
                <w:highlight w:val="none"/>
                <w:lang w:val="en-US" w:eastAsia="zh-CN"/>
              </w:rPr>
            </w:r>
            <w:r>
              <w:rPr>
                <w:highlight w:val="none"/>
              </w:rPr>
            </w:r>
          </w:p>
        </w:tc>
      </w:tr>
      <w:tr>
        <w:trPr>
          <w:trHeight w:val="23"/>
        </w:trPr>
        <w:tc>
          <w:tcPr>
            <w:tcW w:w="1238" w:type="dxa"/>
            <w:vAlign w:val="center"/>
            <w:vMerge w:val="restart"/>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商务</w:t>
            </w:r>
            <w:r>
              <w:rPr>
                <w:rFonts w:hint="eastAsia" w:ascii="宋体" w:hAnsi="宋体" w:cs="宋体"/>
                <w:color w:val="000000"/>
                <w:sz w:val="24"/>
                <w:szCs w:val="24"/>
                <w:highlight w:val="none"/>
              </w:rPr>
              <w:t xml:space="preserve">评审因素</w:t>
            </w:r>
            <w:r>
              <w:rPr>
                <w:rFonts w:hint="eastAsia" w:ascii="宋体" w:hAnsi="宋体" w:cs="宋体"/>
                <w:color w:val="000000"/>
                <w:sz w:val="24"/>
                <w:szCs w:val="24"/>
                <w:highlight w:val="none"/>
              </w:rPr>
            </w:r>
            <w:r>
              <w:rPr>
                <w:highlight w:val="none"/>
              </w:rPr>
            </w:r>
          </w:p>
          <w:p>
            <w:pPr>
              <w:pStyle w:val="7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745"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rPr>
                <w:highlight w:val="none"/>
              </w:rPr>
            </w:r>
          </w:p>
        </w:tc>
        <w:tc>
          <w:tcPr>
            <w:tcW w:w="1383"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供应商实力</w:t>
            </w:r>
            <w:r>
              <w:rPr>
                <w:rFonts w:hint="eastAsia" w:ascii="宋体" w:hAnsi="宋体" w:cs="宋体"/>
                <w:color w:val="000000"/>
                <w:sz w:val="24"/>
                <w:szCs w:val="24"/>
                <w:highlight w:val="none"/>
              </w:rPr>
            </w:r>
            <w:r>
              <w:rPr>
                <w:highlight w:val="none"/>
              </w:rPr>
            </w:r>
          </w:p>
        </w:tc>
        <w:tc>
          <w:tcPr>
            <w:tcW w:w="742"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、供应商具有ISO14001环境管理体系认证证书、数据存储安全管理体系认证证书，有一项得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分，最高</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、供应商具信息系统业务安全服务资质CCIA且信息系统业务安全服务</w:t>
            </w:r>
            <w:r>
              <w:rPr>
                <w:rFonts w:hint="eastAsia" w:ascii="宋体" w:hAnsi="宋体" w:cs="宋体"/>
                <w:color w:val="000000"/>
                <w:sz w:val="24"/>
                <w:szCs w:val="24"/>
                <w:highlight w:val="none"/>
                <w:lang w:val="en-US" w:eastAsia="zh-CN"/>
              </w:rPr>
              <w:t xml:space="preserve">达到</w:t>
            </w:r>
            <w:r>
              <w:rPr>
                <w:rFonts w:hint="eastAsia" w:ascii="宋体" w:hAnsi="宋体" w:eastAsia="宋体" w:cs="宋体"/>
                <w:color w:val="000000"/>
                <w:sz w:val="24"/>
                <w:szCs w:val="24"/>
                <w:highlight w:val="none"/>
                <w:lang w:val="en-US" w:eastAsia="zh-CN"/>
              </w:rPr>
              <w:t xml:space="preserve">三级</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得1分；二级</w:t>
            </w:r>
            <w:r>
              <w:rPr>
                <w:rFonts w:hint="eastAsia" w:ascii="宋体" w:hAnsi="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val="en-US" w:eastAsia="zh-CN"/>
              </w:rPr>
              <w:t xml:space="preserve">的得2分</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、供应商具有标准化</w:t>
            </w:r>
            <w:r>
              <w:rPr>
                <w:rFonts w:hint="eastAsia" w:ascii="宋体" w:hAnsi="宋体" w:cs="宋体"/>
                <w:color w:val="000000"/>
                <w:sz w:val="24"/>
                <w:szCs w:val="24"/>
                <w:highlight w:val="none"/>
                <w:lang w:val="en-US" w:eastAsia="zh-CN"/>
              </w:rPr>
              <w:t xml:space="preserve">等级认证证书（证书覆盖范围含：</w:t>
            </w:r>
            <w:r>
              <w:rPr>
                <w:rFonts w:hint="eastAsia" w:ascii="宋体" w:hAnsi="宋体" w:eastAsia="宋体" w:cs="宋体"/>
                <w:color w:val="000000"/>
                <w:sz w:val="24"/>
                <w:szCs w:val="24"/>
                <w:highlight w:val="none"/>
                <w:lang w:val="en-US" w:eastAsia="zh-CN"/>
              </w:rPr>
              <w:t xml:space="preserve">系统集成及运维服务</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达到</w:t>
            </w:r>
            <w:r>
              <w:rPr>
                <w:rFonts w:hint="eastAsia" w:ascii="宋体" w:hAnsi="宋体" w:cs="宋体"/>
                <w:color w:val="000000"/>
                <w:sz w:val="24"/>
                <w:szCs w:val="24"/>
                <w:highlight w:val="none"/>
                <w:lang w:val="en-US" w:eastAsia="zh-CN"/>
              </w:rPr>
              <w:t xml:space="preserve">5A</w:t>
            </w:r>
            <w:r>
              <w:rPr>
                <w:rFonts w:hint="eastAsia" w:ascii="宋体" w:hAnsi="宋体" w:eastAsia="宋体" w:cs="宋体"/>
                <w:color w:val="000000"/>
                <w:sz w:val="24"/>
                <w:szCs w:val="24"/>
                <w:highlight w:val="none"/>
                <w:lang w:val="en-US" w:eastAsia="zh-CN"/>
              </w:rPr>
              <w:t xml:space="preserve">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cs="宋体"/>
                <w:color w:val="000000"/>
                <w:sz w:val="24"/>
                <w:szCs w:val="24"/>
                <w:highlight w:val="none"/>
                <w:lang w:val="en-US" w:eastAsia="zh-CN"/>
              </w:rPr>
              <w:t xml:space="preserve">5A</w:t>
            </w:r>
            <w:r>
              <w:rPr>
                <w:rFonts w:hint="eastAsia" w:ascii="宋体" w:hAnsi="宋体" w:eastAsia="宋体" w:cs="宋体"/>
                <w:color w:val="000000"/>
                <w:sz w:val="24"/>
                <w:szCs w:val="24"/>
                <w:highlight w:val="none"/>
                <w:lang w:val="en-US" w:eastAsia="zh-CN"/>
              </w:rPr>
              <w:t xml:space="preserve">以下的得1分。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【提供相关证书复印件加盖供应商公章放入投标文件中，未提供不得分。若证书有有效期的，均须在有效期内。】</w:t>
            </w:r>
            <w:r>
              <w:rPr>
                <w:rFonts w:hint="eastAsia" w:ascii="宋体" w:hAnsi="宋体" w:eastAsia="宋体" w:cs="宋体"/>
                <w:color w:val="000000"/>
                <w:sz w:val="24"/>
                <w:szCs w:val="24"/>
                <w:highlight w:val="none"/>
                <w:lang w:val="en-US" w:eastAsia="zh-CN"/>
              </w:rPr>
            </w:r>
            <w:r>
              <w:rPr>
                <w:highlight w:val="none"/>
              </w:rPr>
            </w:r>
          </w:p>
        </w:tc>
      </w:tr>
      <w:tr>
        <w:trPr>
          <w:trHeight w:val="23"/>
        </w:trPr>
        <w:tc>
          <w:tcPr>
            <w:tcW w:w="1238" w:type="dxa"/>
            <w:vAlign w:val="center"/>
            <w:vMerge w:val="continue"/>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rPr>
                <w:highlight w:val="none"/>
              </w:rPr>
            </w:r>
          </w:p>
        </w:tc>
        <w:tc>
          <w:tcPr>
            <w:tcW w:w="1383"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人员配备</w:t>
            </w:r>
            <w:r>
              <w:rPr>
                <w:rFonts w:hint="eastAsia" w:ascii="宋体" w:hAnsi="宋体" w:cs="宋体"/>
                <w:color w:val="000000"/>
                <w:sz w:val="24"/>
                <w:szCs w:val="24"/>
                <w:highlight w:val="none"/>
              </w:rPr>
            </w:r>
            <w:r>
              <w:rPr>
                <w:highlight w:val="none"/>
              </w:rPr>
            </w:r>
          </w:p>
        </w:tc>
        <w:tc>
          <w:tcPr>
            <w:tcW w:w="742"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1、项目负责人（1人）</w:t>
            </w:r>
            <w:r>
              <w:rPr>
                <w:rFonts w:hint="eastAsia"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项目负责人具有信息系统项目管理师证书得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分；具有</w:t>
            </w:r>
            <w:r>
              <w:rPr>
                <w:rFonts w:hint="eastAsia" w:ascii="宋体" w:hAnsi="宋体" w:cs="宋体"/>
                <w:color w:val="000000"/>
                <w:sz w:val="24"/>
                <w:szCs w:val="24"/>
                <w:highlight w:val="none"/>
                <w:lang w:val="en-US" w:eastAsia="zh-CN"/>
              </w:rPr>
              <w:t xml:space="preserve">环保工程师中级</w:t>
            </w:r>
            <w:r>
              <w:rPr>
                <w:rFonts w:hint="eastAsia" w:ascii="宋体" w:hAnsi="宋体" w:eastAsia="宋体" w:cs="宋体"/>
                <w:color w:val="000000"/>
                <w:sz w:val="24"/>
                <w:szCs w:val="24"/>
                <w:highlight w:val="none"/>
                <w:lang w:val="en-US" w:eastAsia="zh-CN"/>
              </w:rPr>
              <w:t xml:space="preserve">及以上职称证书得2分；本项最高得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2、技术负责人（1人）</w:t>
            </w:r>
            <w:r>
              <w:rPr>
                <w:rFonts w:ascii="宋体" w:hAnsi="宋体" w:eastAsia="宋体" w:cs="宋体"/>
                <w:color w:val="000000"/>
                <w:sz w:val="24"/>
                <w:szCs w:val="24"/>
                <w:highlight w:val="none"/>
                <w:lang w:val="en-US" w:eastAsia="zh-CN"/>
              </w:rPr>
            </w:r>
            <w:r>
              <w:rPr>
                <w:highlight w:val="none"/>
              </w:rPr>
            </w:r>
          </w:p>
          <w:p>
            <w:pPr>
              <w:pStyle w:val="76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技术负责人具有注册信息安全管理人员(CISP)证书得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分；具有环境工程师</w:t>
            </w:r>
            <w:r>
              <w:rPr>
                <w:rFonts w:hint="eastAsia" w:ascii="宋体" w:hAnsi="宋体" w:cs="宋体"/>
                <w:color w:val="000000"/>
                <w:sz w:val="24"/>
                <w:szCs w:val="24"/>
                <w:highlight w:val="none"/>
                <w:lang w:val="en-US" w:eastAsia="zh-CN"/>
              </w:rPr>
              <w:t xml:space="preserve">中级</w:t>
            </w:r>
            <w:r>
              <w:rPr>
                <w:rFonts w:hint="eastAsia" w:ascii="宋体" w:hAnsi="宋体" w:eastAsia="宋体" w:cs="宋体"/>
                <w:color w:val="000000"/>
                <w:sz w:val="24"/>
                <w:szCs w:val="24"/>
                <w:highlight w:val="none"/>
                <w:lang w:val="en-US" w:eastAsia="zh-CN"/>
              </w:rPr>
              <w:t xml:space="preserve">及以上职称证书的得2分；本项最高得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rPr>
                <w:highlight w:val="none"/>
              </w:rPr>
            </w:r>
          </w:p>
          <w:p>
            <w:pPr>
              <w:pStyle w:val="760"/>
              <w:numPr>
                <w:ilvl w:val="0"/>
                <w:numId w:val="19"/>
              </w:num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项目组成员（项目负责人、技术负责人除外）</w:t>
            </w:r>
            <w:r>
              <w:rPr>
                <w:rFonts w:hint="eastAsia" w:ascii="宋体" w:hAnsi="宋体" w:eastAsia="宋体" w:cs="宋体"/>
                <w:color w:val="000000"/>
                <w:sz w:val="24"/>
                <w:szCs w:val="24"/>
                <w:highlight w:val="none"/>
                <w:lang w:val="en-US" w:eastAsia="zh-CN"/>
              </w:rPr>
            </w:r>
            <w:r>
              <w:rPr>
                <w:highlight w:val="none"/>
              </w:rPr>
            </w:r>
          </w:p>
          <w:p>
            <w:pPr>
              <w:pStyle w:val="760"/>
              <w:numPr>
                <w:ilvl w:val="0"/>
                <w:numId w:val="0"/>
              </w:num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项目组成员具备</w:t>
            </w:r>
            <w:r>
              <w:rPr>
                <w:rFonts w:hint="eastAsia" w:ascii="宋体" w:hAnsi="宋体" w:cs="宋体"/>
                <w:color w:val="000000"/>
                <w:sz w:val="24"/>
                <w:szCs w:val="24"/>
                <w:highlight w:val="none"/>
                <w:lang w:val="en-US" w:eastAsia="zh-CN"/>
              </w:rPr>
              <w:t xml:space="preserve">环保工程师</w:t>
            </w:r>
            <w:r>
              <w:rPr>
                <w:rFonts w:hint="eastAsia" w:ascii="宋体" w:hAnsi="宋体" w:eastAsia="宋体" w:cs="宋体"/>
                <w:color w:val="000000"/>
                <w:sz w:val="24"/>
                <w:szCs w:val="24"/>
                <w:highlight w:val="none"/>
                <w:lang w:val="en-US" w:eastAsia="zh-CN"/>
              </w:rPr>
              <w:t xml:space="preserve">中级及以上</w:t>
            </w:r>
            <w:r>
              <w:rPr>
                <w:rFonts w:hint="eastAsia" w:ascii="宋体" w:hAnsi="宋体" w:cs="宋体"/>
                <w:color w:val="000000"/>
                <w:sz w:val="24"/>
                <w:szCs w:val="24"/>
                <w:highlight w:val="none"/>
                <w:lang w:val="en-US" w:eastAsia="zh-CN"/>
              </w:rPr>
              <w:t xml:space="preserve">职称证书</w:t>
            </w:r>
            <w:r>
              <w:rPr>
                <w:rFonts w:hint="eastAsia" w:ascii="宋体" w:hAnsi="宋体" w:eastAsia="宋体" w:cs="宋体"/>
                <w:color w:val="000000"/>
                <w:sz w:val="24"/>
                <w:szCs w:val="24"/>
                <w:highlight w:val="none"/>
                <w:lang w:val="en-US" w:eastAsia="zh-CN"/>
              </w:rPr>
              <w:t xml:space="preserve">的得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分/人；具备</w:t>
            </w:r>
            <w:bookmarkStart w:id="88" w:name="_Toc10314"/>
            <w:r>
              <w:rPr>
                <w:rFonts w:hint="eastAsia" w:ascii="宋体" w:hAnsi="宋体" w:eastAsia="宋体" w:cs="宋体"/>
                <w:color w:val="000000"/>
                <w:sz w:val="24"/>
                <w:szCs w:val="24"/>
                <w:highlight w:val="none"/>
                <w:lang w:val="zh-CN" w:eastAsia="zh-CN"/>
              </w:rPr>
              <w:t xml:space="preserve">ITSS IT服务项目经理</w:t>
            </w:r>
            <w:bookmarkEnd w:id="88"/>
            <w:r>
              <w:rPr>
                <w:rFonts w:hint="eastAsia" w:ascii="宋体" w:hAnsi="宋体" w:eastAsia="宋体" w:cs="宋体"/>
                <w:color w:val="000000"/>
                <w:sz w:val="24"/>
                <w:szCs w:val="24"/>
                <w:highlight w:val="none"/>
                <w:lang w:val="en-US" w:eastAsia="zh-CN"/>
              </w:rPr>
              <w:t xml:space="preserve">证书的得</w:t>
            </w:r>
            <w:r>
              <w:rPr>
                <w:rFonts w:hint="eastAsia" w:ascii="宋体" w:hAnsi="宋体" w:cs="宋体"/>
                <w:color w:val="000000"/>
                <w:sz w:val="24"/>
                <w:szCs w:val="24"/>
                <w:highlight w:val="none"/>
                <w:lang w:val="en-US" w:eastAsia="zh-CN"/>
              </w:rPr>
              <w:t xml:space="preserve">1 </w:t>
            </w:r>
            <w:r>
              <w:rPr>
                <w:rFonts w:hint="eastAsia" w:ascii="宋体" w:hAnsi="宋体" w:eastAsia="宋体" w:cs="宋体"/>
                <w:color w:val="000000"/>
                <w:sz w:val="24"/>
                <w:szCs w:val="24"/>
                <w:highlight w:val="none"/>
                <w:lang w:val="en-US" w:eastAsia="zh-CN"/>
              </w:rPr>
              <w:t xml:space="preserve">分/人；本项最高得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r>
            <w:r>
              <w:rPr>
                <w:highlight w:val="none"/>
              </w:rPr>
            </w:r>
          </w:p>
          <w:p>
            <w:pPr>
              <w:pStyle w:val="760"/>
              <w:numPr>
                <w:ilvl w:val="0"/>
                <w:numId w:val="0"/>
              </w:num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t xml:space="preserve">项目组成员，一人只计取一次得分。</w:t>
            </w:r>
            <w:r>
              <w:rPr>
                <w:rFonts w:ascii="宋体" w:hAnsi="宋体" w:eastAsia="宋体" w:cs="宋体"/>
                <w:color w:val="000000"/>
                <w:sz w:val="24"/>
                <w:szCs w:val="24"/>
                <w:highlight w:val="none"/>
                <w:lang w:val="en-US" w:eastAsia="zh-CN"/>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【一人</w:t>
            </w:r>
            <w:r>
              <w:rPr>
                <w:rFonts w:hint="eastAsia" w:ascii="宋体" w:hAnsi="宋体" w:cs="宋体"/>
                <w:b/>
                <w:bCs/>
                <w:color w:val="000000"/>
                <w:sz w:val="24"/>
                <w:szCs w:val="24"/>
                <w:highlight w:val="none"/>
                <w:lang w:val="en-US" w:eastAsia="zh-CN"/>
              </w:rPr>
              <w:t xml:space="preserve">一岗，不得兼任。</w:t>
            </w:r>
            <w:r>
              <w:rPr>
                <w:rFonts w:hint="eastAsia" w:ascii="宋体" w:hAnsi="宋体" w:eastAsia="宋体" w:cs="宋体"/>
                <w:b/>
                <w:bCs/>
                <w:color w:val="000000"/>
                <w:sz w:val="24"/>
                <w:szCs w:val="24"/>
                <w:highlight w:val="none"/>
                <w:lang w:val="en-US" w:eastAsia="zh-CN"/>
              </w:rPr>
              <w:t xml:space="preserve">提供证书复印件及供应商为其缴纳的近十二个月内（不含投标当月）任意连续六个月的社保证明并加盖供应商公章放入投标文件中，未提供不得分。</w:t>
            </w:r>
            <w:r>
              <w:rPr>
                <w:rFonts w:hint="eastAsia" w:ascii="宋体" w:hAnsi="宋体" w:eastAsia="宋体" w:cs="宋体"/>
                <w:b/>
                <w:bCs/>
                <w:color w:val="000000"/>
                <w:sz w:val="24"/>
                <w:szCs w:val="24"/>
                <w:highlight w:val="none"/>
              </w:rPr>
              <w:t xml:space="preserve">如职称证书未注明专业的，须另行提供相关专业学历证书或经评审委员会评审通过的《专业技术资格评审申报表》，其有效性由评审委员会认定。</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rPr>
                <w:highlight w:val="none"/>
              </w:rPr>
            </w:r>
          </w:p>
        </w:tc>
      </w:tr>
      <w:tr>
        <w:trPr>
          <w:trHeight w:val="23"/>
        </w:trPr>
        <w:tc>
          <w:tcPr>
            <w:tcW w:w="1238" w:type="dxa"/>
            <w:vAlign w:val="center"/>
            <w:vMerge w:val="continue"/>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45"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rPr>
                <w:highlight w:val="none"/>
              </w:rPr>
            </w:r>
          </w:p>
        </w:tc>
        <w:tc>
          <w:tcPr>
            <w:tcW w:w="1383"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类似业绩</w:t>
            </w:r>
            <w:r>
              <w:rPr>
                <w:rFonts w:hint="eastAsia" w:ascii="宋体" w:hAnsi="宋体" w:cs="宋体"/>
                <w:color w:val="000000"/>
                <w:sz w:val="24"/>
                <w:szCs w:val="24"/>
                <w:highlight w:val="none"/>
              </w:rPr>
            </w:r>
            <w:r>
              <w:rPr>
                <w:highlight w:val="none"/>
              </w:rPr>
            </w:r>
          </w:p>
        </w:tc>
        <w:tc>
          <w:tcPr>
            <w:tcW w:w="742" w:type="dxa"/>
            <w:vAlign w:val="center"/>
            <w:textDirection w:val="lrTb"/>
            <w:noWrap w:val="false"/>
          </w:tcPr>
          <w:p>
            <w:pPr>
              <w:pStyle w:val="760"/>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rPr>
                <w:highlight w:val="none"/>
              </w:rPr>
            </w:r>
          </w:p>
        </w:tc>
        <w:tc>
          <w:tcPr>
            <w:tcW w:w="6374" w:type="dxa"/>
            <w:vAlign w:val="center"/>
            <w:textDirection w:val="lrTb"/>
            <w:noWrap w:val="false"/>
          </w:tcPr>
          <w:p>
            <w:pPr>
              <w:pStyle w:val="760"/>
              <w:jc w:val="left"/>
              <w:rPr>
                <w:color w:val="000000"/>
                <w:highlight w:val="none"/>
              </w:rPr>
            </w:pPr>
            <w:r>
              <w:rPr>
                <w:rFonts w:hint="eastAsia" w:ascii="宋体" w:hAnsi="宋体" w:eastAsia="宋体" w:cs="宋体"/>
                <w:color w:val="000000"/>
                <w:sz w:val="24"/>
                <w:szCs w:val="24"/>
                <w:highlight w:val="none"/>
                <w:lang w:val="en-US" w:eastAsia="zh-CN"/>
              </w:rPr>
              <w:t xml:space="preserve">供应商自2022年1月1日至今（以合同签订时间为准）承担的同类</w:t>
            </w:r>
            <w:r>
              <w:rPr>
                <w:rFonts w:hint="eastAsia" w:ascii="宋体" w:hAnsi="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lang w:val="en-US" w:eastAsia="zh-CN"/>
              </w:rPr>
              <w:t xml:space="preserve">项目的业绩，每提供1个得2分，</w:t>
            </w:r>
            <w:r>
              <w:rPr>
                <w:rFonts w:hint="eastAsia" w:ascii="宋体" w:hAnsi="宋体" w:eastAsia="宋体" w:cs="宋体"/>
                <w:color w:val="000000"/>
                <w:sz w:val="24"/>
                <w:szCs w:val="24"/>
                <w:highlight w:val="none"/>
                <w:lang w:val="zh-CN" w:eastAsia="zh-CN"/>
              </w:rPr>
              <w:t xml:space="preserve">最高得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分。</w:t>
            </w:r>
            <w:r>
              <w:rPr>
                <w:color w:val="000000"/>
                <w:highlight w:val="none"/>
              </w:rPr>
            </w:r>
            <w:r>
              <w:rPr>
                <w:highlight w:val="none"/>
              </w:rPr>
            </w:r>
          </w:p>
          <w:p>
            <w:pPr>
              <w:pStyle w:val="760"/>
              <w:jc w:val="left"/>
              <w:rPr>
                <w:rFonts w:hint="eastAsia" w:ascii="宋体" w:hAnsi="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【提供合同复印件加盖供应商公章放入投标文件中，未提供不得分。】</w:t>
            </w:r>
            <w:r>
              <w:rPr>
                <w:rFonts w:hint="eastAsia" w:ascii="宋体" w:hAnsi="宋体" w:cs="宋体"/>
                <w:color w:val="000000"/>
                <w:sz w:val="24"/>
                <w:szCs w:val="24"/>
                <w:highlight w:val="none"/>
              </w:rPr>
            </w:r>
            <w:r>
              <w:rPr>
                <w:highlight w:val="none"/>
              </w:rPr>
            </w:r>
          </w:p>
        </w:tc>
      </w:tr>
    </w:tbl>
    <w:p>
      <w:pPr>
        <w:pStyle w:val="7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76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2、价格部分</w:t>
      </w:r>
      <w:r>
        <w:rPr>
          <w:rFonts w:ascii="宋体" w:hAnsi="宋体"/>
          <w:color w:val="000000"/>
          <w:sz w:val="24"/>
          <w:szCs w:val="24"/>
          <w:highlight w:val="none"/>
        </w:rPr>
      </w:r>
      <w:r>
        <w:rPr>
          <w:highlight w:val="none"/>
        </w:rPr>
      </w:r>
    </w:p>
    <w:tbl>
      <w:tblPr>
        <w:tblW w:w="99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0"/>
        <w:gridCol w:w="1297"/>
        <w:gridCol w:w="841"/>
        <w:gridCol w:w="6868"/>
      </w:tblGrid>
      <w:tr>
        <w:trPr>
          <w:cantSplit/>
          <w:trHeight w:val="572"/>
        </w:trPr>
        <w:tc>
          <w:tcPr>
            <w:tcW w:w="980"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rPr>
                <w:highlight w:val="none"/>
              </w:rPr>
            </w:r>
          </w:p>
        </w:tc>
        <w:tc>
          <w:tcPr>
            <w:tcW w:w="1297"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rPr>
              <w:t xml:space="preserve">评审项目</w:t>
            </w:r>
            <w:r>
              <w:rPr>
                <w:rFonts w:ascii="宋体" w:hAnsi="宋体"/>
                <w:color w:val="000000"/>
                <w:sz w:val="24"/>
                <w:szCs w:val="24"/>
                <w:highlight w:val="none"/>
              </w:rPr>
            </w:r>
            <w:r>
              <w:rPr>
                <w:highlight w:val="none"/>
              </w:rPr>
            </w:r>
          </w:p>
        </w:tc>
        <w:tc>
          <w:tcPr>
            <w:tcW w:w="841"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rPr>
              <w:t xml:space="preserve">分值</w:t>
            </w:r>
            <w:r>
              <w:rPr>
                <w:rFonts w:ascii="宋体" w:hAnsi="宋体"/>
                <w:color w:val="000000"/>
                <w:sz w:val="24"/>
                <w:szCs w:val="24"/>
                <w:highlight w:val="none"/>
              </w:rPr>
            </w:r>
            <w:r>
              <w:rPr>
                <w:highlight w:val="none"/>
              </w:rPr>
            </w:r>
          </w:p>
        </w:tc>
        <w:tc>
          <w:tcPr>
            <w:tcW w:w="6868"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rPr>
              <w:t xml:space="preserve">评审细则</w:t>
            </w:r>
            <w:r>
              <w:rPr>
                <w:rFonts w:ascii="宋体" w:hAnsi="宋体"/>
                <w:color w:val="000000"/>
                <w:sz w:val="24"/>
                <w:szCs w:val="24"/>
                <w:highlight w:val="none"/>
              </w:rPr>
            </w:r>
            <w:r>
              <w:rPr>
                <w:highlight w:val="none"/>
              </w:rPr>
            </w:r>
          </w:p>
        </w:tc>
      </w:tr>
      <w:tr>
        <w:trPr>
          <w:cantSplit/>
          <w:trHeight w:val="1479"/>
        </w:trPr>
        <w:tc>
          <w:tcPr>
            <w:tcW w:w="980" w:type="dxa"/>
            <w:vAlign w:val="center"/>
            <w:textDirection w:val="lrTb"/>
            <w:noWrap w:val="false"/>
          </w:tcPr>
          <w:p>
            <w:pPr>
              <w:pStyle w:val="760"/>
              <w:jc w:val="center"/>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rPr>
                <w:highlight w:val="none"/>
              </w:rPr>
            </w:r>
          </w:p>
        </w:tc>
        <w:tc>
          <w:tcPr>
            <w:tcW w:w="1297" w:type="dxa"/>
            <w:vAlign w:val="center"/>
            <w:textDirection w:val="lrTb"/>
            <w:noWrap w:val="false"/>
          </w:tcPr>
          <w:p>
            <w:pPr>
              <w:pStyle w:val="760"/>
              <w:jc w:val="center"/>
              <w:rPr>
                <w:rFonts w:ascii="宋体" w:hAnsi="宋体"/>
                <w:color w:val="000000"/>
                <w:sz w:val="24"/>
                <w:szCs w:val="24"/>
                <w:highlight w:val="none"/>
              </w:rPr>
            </w:pPr>
            <w:r>
              <w:rPr>
                <w:rFonts w:hint="eastAsia" w:ascii="宋体" w:hAnsi="宋体"/>
                <w:color w:val="000000"/>
                <w:sz w:val="24"/>
                <w:szCs w:val="24"/>
                <w:highlight w:val="none"/>
              </w:rPr>
              <w:t xml:space="preserve">价格部分</w:t>
            </w:r>
            <w:r>
              <w:rPr>
                <w:rFonts w:ascii="宋体" w:hAnsi="宋体"/>
                <w:color w:val="000000"/>
                <w:sz w:val="24"/>
                <w:szCs w:val="24"/>
                <w:highlight w:val="none"/>
              </w:rPr>
            </w:r>
            <w:r>
              <w:rPr>
                <w:highlight w:val="none"/>
              </w:rPr>
            </w:r>
          </w:p>
        </w:tc>
        <w:tc>
          <w:tcPr>
            <w:tcW w:w="841" w:type="dxa"/>
            <w:vAlign w:val="center"/>
            <w:textDirection w:val="lrTb"/>
            <w:noWrap w:val="false"/>
          </w:tcPr>
          <w:p>
            <w:pPr>
              <w:pStyle w:val="760"/>
              <w:jc w:val="center"/>
              <w:rPr>
                <w:rFonts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35</w:t>
            </w:r>
            <w:r>
              <w:rPr>
                <w:rFonts w:ascii="宋体" w:hAnsi="宋体" w:eastAsia="宋体"/>
                <w:color w:val="000000"/>
                <w:sz w:val="24"/>
                <w:szCs w:val="24"/>
                <w:highlight w:val="none"/>
                <w:lang w:val="en-US" w:eastAsia="zh-CN"/>
              </w:rPr>
            </w:r>
            <w:r>
              <w:rPr>
                <w:highlight w:val="none"/>
              </w:rPr>
            </w:r>
          </w:p>
        </w:tc>
        <w:tc>
          <w:tcPr>
            <w:tcW w:w="6868" w:type="dxa"/>
            <w:vAlign w:val="center"/>
            <w:textDirection w:val="lrTb"/>
            <w:noWrap w:val="false"/>
          </w:tcPr>
          <w:p>
            <w:pPr>
              <w:pStyle w:val="760"/>
              <w:jc w:val="left"/>
              <w:rPr>
                <w:rFonts w:ascii="宋体" w:hAnsi="宋体"/>
                <w:color w:val="000000"/>
                <w:sz w:val="24"/>
                <w:szCs w:val="24"/>
                <w:highlight w:val="none"/>
              </w:rPr>
            </w:pPr>
            <w:r>
              <w:rPr>
                <w:rFonts w:ascii="宋体" w:hAnsi="宋体" w:cs="宋体"/>
                <w:color w:val="000000"/>
                <w:sz w:val="24"/>
                <w:szCs w:val="24"/>
                <w:highlight w:val="none"/>
              </w:rPr>
              <w:t xml:space="preserve">采用低价优先法计算，即满足</w:t>
            </w:r>
            <w:r>
              <w:rPr>
                <w:rFonts w:hint="eastAsia" w:ascii="宋体" w:hAnsi="宋体" w:cs="宋体"/>
                <w:color w:val="000000"/>
                <w:sz w:val="24"/>
                <w:szCs w:val="24"/>
                <w:highlight w:val="none"/>
                <w:lang w:eastAsia="zh-CN"/>
              </w:rPr>
              <w:t xml:space="preserve">采购文件</w:t>
            </w:r>
            <w:r>
              <w:rPr>
                <w:rFonts w:ascii="宋体" w:hAnsi="宋体" w:cs="宋体"/>
                <w:color w:val="000000"/>
                <w:sz w:val="24"/>
                <w:szCs w:val="24"/>
                <w:highlight w:val="none"/>
              </w:rPr>
              <w:t xml:space="preserve">要求且报价价格最低的报价为评标基准价，其价格分为满分。其他报价人的价格分统一按照下列公式计算：</w:t>
            </w:r>
            <w:r>
              <w:rPr>
                <w:rFonts w:hint="eastAsia" w:ascii="宋体" w:hAnsi="宋体" w:cs="宋体"/>
                <w:color w:val="000000"/>
                <w:sz w:val="24"/>
                <w:szCs w:val="24"/>
                <w:highlight w:val="none"/>
                <w:lang w:eastAsia="zh-CN"/>
              </w:rPr>
              <w:t xml:space="preserve">投标</w:t>
            </w:r>
            <w:r>
              <w:rPr>
                <w:rFonts w:ascii="宋体" w:hAnsi="宋体" w:cs="宋体"/>
                <w:color w:val="000000"/>
                <w:sz w:val="24"/>
                <w:szCs w:val="24"/>
                <w:highlight w:val="none"/>
              </w:rPr>
              <w:t xml:space="preserve">报价得分=（评标基准价/</w:t>
            </w:r>
            <w:r>
              <w:rPr>
                <w:rFonts w:hint="eastAsia" w:ascii="宋体" w:hAnsi="宋体" w:cs="宋体"/>
                <w:color w:val="000000"/>
                <w:sz w:val="24"/>
                <w:szCs w:val="24"/>
                <w:highlight w:val="none"/>
                <w:lang w:eastAsia="zh-CN"/>
              </w:rPr>
              <w:t xml:space="preserve">投标</w:t>
            </w:r>
            <w:r>
              <w:rPr>
                <w:rFonts w:ascii="宋体" w:hAnsi="宋体" w:cs="宋体"/>
                <w:color w:val="000000"/>
                <w:sz w:val="24"/>
                <w:szCs w:val="24"/>
                <w:highlight w:val="none"/>
              </w:rPr>
              <w:t xml:space="preserve">报价）×</w:t>
            </w:r>
            <w:r>
              <w:rPr>
                <w:rFonts w:hint="eastAsia" w:ascii="宋体" w:hAnsi="宋体" w:cs="宋体"/>
                <w:color w:val="000000"/>
                <w:sz w:val="24"/>
                <w:szCs w:val="24"/>
                <w:highlight w:val="none"/>
                <w:lang w:val="en-US" w:eastAsia="zh-CN"/>
              </w:rPr>
              <w:t xml:space="preserve">35</w:t>
            </w:r>
            <w:r>
              <w:rPr>
                <w:rFonts w:ascii="宋体" w:hAnsi="宋体" w:cs="宋体"/>
                <w:color w:val="000000"/>
                <w:sz w:val="24"/>
                <w:szCs w:val="24"/>
                <w:highlight w:val="none"/>
              </w:rPr>
              <w:t xml:space="preserve">分。（以四舍五入法，保留两位小数）</w:t>
            </w:r>
            <w:r>
              <w:rPr>
                <w:rFonts w:ascii="宋体" w:hAnsi="宋体"/>
                <w:color w:val="000000"/>
                <w:sz w:val="24"/>
                <w:szCs w:val="24"/>
                <w:highlight w:val="none"/>
              </w:rPr>
            </w:r>
            <w:r>
              <w:rPr>
                <w:highlight w:val="none"/>
              </w:rPr>
            </w:r>
          </w:p>
        </w:tc>
      </w:tr>
    </w:tbl>
    <w:p>
      <w:pPr>
        <w:pStyle w:val="760"/>
        <w:rPr>
          <w:rFonts w:ascii="宋体" w:hAnsi="宋体"/>
          <w:b/>
          <w:bCs/>
          <w:color w:val="000000"/>
          <w:sz w:val="24"/>
          <w:szCs w:val="24"/>
          <w:highlight w:val="none"/>
        </w:rPr>
      </w:pPr>
      <w:r>
        <w:rPr>
          <w:rFonts w:ascii="宋体" w:hAnsi="宋体"/>
          <w:b/>
          <w:bCs/>
          <w:color w:val="000000"/>
          <w:sz w:val="24"/>
          <w:szCs w:val="24"/>
          <w:highlight w:val="none"/>
        </w:rPr>
      </w:r>
      <w:r>
        <w:rPr>
          <w:highlight w:val="none"/>
        </w:rPr>
      </w:r>
    </w:p>
    <w:p>
      <w:pPr>
        <w:pStyle w:val="760"/>
        <w:rPr>
          <w:rFonts w:ascii="宋体" w:hAnsi="宋体"/>
          <w:b/>
          <w:bCs/>
          <w:color w:val="000000"/>
          <w:sz w:val="24"/>
          <w:szCs w:val="24"/>
          <w:highlight w:val="none"/>
        </w:rPr>
      </w:pPr>
      <w:r>
        <w:rPr>
          <w:rFonts w:hint="eastAsia" w:ascii="宋体" w:hAnsi="宋体"/>
          <w:b/>
          <w:bCs/>
          <w:color w:val="000000"/>
          <w:sz w:val="24"/>
          <w:szCs w:val="24"/>
          <w:highlight w:val="none"/>
        </w:rPr>
        <w:t xml:space="preserve">备注：</w:t>
      </w:r>
      <w:r>
        <w:rPr>
          <w:rFonts w:ascii="宋体" w:hAnsi="宋体"/>
          <w:b/>
          <w:bCs/>
          <w:color w:val="000000"/>
          <w:sz w:val="24"/>
          <w:szCs w:val="24"/>
          <w:highlight w:val="none"/>
        </w:rPr>
      </w:r>
      <w:r>
        <w:rPr>
          <w:highlight w:val="none"/>
        </w:rPr>
      </w:r>
    </w:p>
    <w:p>
      <w:pPr>
        <w:pStyle w:val="76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1、评分过程中如出现小数点后三位，采用四舍五入法，最终保留两位小数；</w:t>
      </w:r>
      <w:r>
        <w:rPr>
          <w:rFonts w:ascii="宋体" w:hAnsi="宋体"/>
          <w:bCs/>
          <w:color w:val="000000"/>
          <w:sz w:val="24"/>
          <w:szCs w:val="24"/>
          <w:highlight w:val="none"/>
        </w:rPr>
      </w:r>
      <w:r>
        <w:rPr>
          <w:highlight w:val="none"/>
        </w:rPr>
      </w:r>
    </w:p>
    <w:p>
      <w:pPr>
        <w:pStyle w:val="76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中必须提供以上相关证明材料复印件，若要求提供原件的，原件于报价时一并提交，否则不予加分。</w:t>
      </w:r>
      <w:r>
        <w:rPr>
          <w:rFonts w:ascii="宋体" w:hAnsi="宋体"/>
          <w:bCs/>
          <w:color w:val="000000"/>
          <w:sz w:val="24"/>
          <w:szCs w:val="24"/>
          <w:highlight w:val="none"/>
        </w:rPr>
      </w:r>
      <w:r>
        <w:rPr>
          <w:highlight w:val="none"/>
        </w:rPr>
      </w:r>
    </w:p>
    <w:p>
      <w:pPr>
        <w:pStyle w:val="76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3、所有提供的证明材料必须保证清晰，内容模糊无法确认的后果由供应商自负。</w:t>
      </w:r>
      <w:r>
        <w:rPr>
          <w:rFonts w:ascii="宋体" w:hAnsi="宋体"/>
          <w:bCs/>
          <w:color w:val="000000"/>
          <w:sz w:val="24"/>
          <w:szCs w:val="24"/>
          <w:highlight w:val="none"/>
        </w:rPr>
      </w:r>
      <w:r>
        <w:rPr>
          <w:highlight w:val="none"/>
        </w:rPr>
      </w:r>
    </w:p>
    <w:p>
      <w:pPr>
        <w:pStyle w:val="760"/>
        <w:spacing w:line="360" w:lineRule="auto"/>
        <w:rPr>
          <w:color w:val="000000"/>
          <w:highlight w:val="none"/>
        </w:rPr>
      </w:pPr>
      <w:r>
        <w:rPr>
          <w:rFonts w:hint="eastAsia" w:ascii="宋体" w:hAnsi="宋体"/>
          <w:bCs/>
          <w:color w:val="000000"/>
          <w:sz w:val="24"/>
          <w:szCs w:val="24"/>
          <w:highlight w:val="none"/>
        </w:rPr>
        <w:t xml:space="preserve">4、所有提供的证明材料必须为真实、有效，一旦发现虚假情况等，采购人有权取消合同。</w:t>
      </w:r>
      <w:r>
        <w:rPr>
          <w:color w:val="000000"/>
          <w:highlight w:val="none"/>
        </w:rPr>
      </w:r>
      <w:r>
        <w:rPr>
          <w:highlight w:val="none"/>
        </w:rPr>
      </w:r>
    </w:p>
    <w:p>
      <w:pPr>
        <w:pStyle w:val="760"/>
        <w:ind w:firstLine="480"/>
        <w:jc w:val="center"/>
        <w:rPr>
          <w:rFonts w:hint="eastAsia" w:ascii="黑体" w:hAnsi="黑体" w:eastAsia="黑体"/>
          <w:color w:val="000000"/>
          <w:sz w:val="28"/>
          <w:highlight w:val="none"/>
        </w:rPr>
        <w:outlineLvl w:val="0"/>
      </w:pPr>
      <w:r>
        <w:rPr>
          <w:rFonts w:hint="eastAsia" w:ascii="宋体" w:hAnsi="宋体" w:eastAsia="宋体" w:cs="宋体"/>
          <w:color w:val="000000"/>
          <w:sz w:val="24"/>
          <w:szCs w:val="24"/>
          <w:highlight w:val="none"/>
        </w:rPr>
        <w:br w:type="page" w:clear="all"/>
      </w:r>
      <w:bookmarkEnd w:id="84"/>
      <w:r>
        <w:rPr>
          <w:highlight w:val="none"/>
        </w:rPr>
      </w:r>
      <w:bookmarkEnd w:id="85"/>
      <w:r>
        <w:rPr>
          <w:highlight w:val="none"/>
        </w:rPr>
      </w:r>
      <w:bookmarkEnd w:id="86"/>
      <w:r>
        <w:rPr>
          <w:highlight w:val="none"/>
        </w:rPr>
      </w:r>
      <w:bookmarkStart w:id="89" w:name="_Toc12685"/>
      <w:r>
        <w:rPr>
          <w:highlight w:val="none"/>
        </w:rPr>
      </w:r>
      <w:bookmarkStart w:id="90" w:name="_Toc8262"/>
      <w:r>
        <w:rPr>
          <w:rFonts w:hint="eastAsia" w:ascii="黑体" w:hAnsi="黑体" w:eastAsia="黑体"/>
          <w:color w:val="000000"/>
          <w:sz w:val="28"/>
          <w:highlight w:val="none"/>
        </w:rPr>
        <w:t xml:space="preserve">第五章 政府采购合同（格式）</w:t>
      </w:r>
      <w:bookmarkEnd w:id="89"/>
      <w:r>
        <w:rPr>
          <w:rFonts w:hint="eastAsia" w:ascii="黑体" w:hAnsi="黑体" w:eastAsia="黑体"/>
          <w:color w:val="000000"/>
          <w:sz w:val="28"/>
          <w:highlight w:val="none"/>
        </w:rPr>
      </w:r>
      <w:r>
        <w:rPr>
          <w:highlight w:val="none"/>
        </w:rPr>
      </w:r>
    </w:p>
    <w:p>
      <w:pPr>
        <w:pStyle w:val="760"/>
        <w:jc w:val="right"/>
        <w:rPr>
          <w:rFonts w:ascii="宋体" w:hAnsi="宋体" w:eastAsia="宋体" w:cs="宋体"/>
          <w:b/>
          <w:color w:val="000000"/>
          <w:sz w:val="24"/>
          <w:szCs w:val="24"/>
          <w:highlight w:val="none"/>
        </w:rPr>
      </w:pPr>
      <w:r>
        <w:rPr>
          <w:rFonts w:ascii="宋体" w:hAnsi="宋体" w:eastAsia="宋体" w:cs="宋体"/>
          <w:b/>
          <w:color w:val="000000"/>
          <w:sz w:val="24"/>
          <w:szCs w:val="24"/>
          <w:highlight w:val="none"/>
          <w:lang w:val="zh-CN"/>
        </w:rPr>
      </w:r>
      <w:r>
        <w:rPr>
          <w:highlight w:val="none"/>
        </w:rPr>
      </w:r>
    </w:p>
    <w:p>
      <w:pPr>
        <w:pStyle w:val="760"/>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jc w:val="righ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jc w:val="center"/>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第一部分 合同书</w:t>
      </w:r>
      <w:r>
        <w:rPr>
          <w:rFonts w:ascii="宋体" w:hAnsi="宋体" w:eastAsia="宋体" w:cs="宋体"/>
          <w:b/>
          <w:color w:val="000000"/>
          <w:sz w:val="24"/>
          <w:szCs w:val="24"/>
          <w:highlight w:val="none"/>
        </w:rPr>
      </w:r>
      <w:r>
        <w:rPr>
          <w:highlight w:val="none"/>
        </w:rPr>
      </w:r>
    </w:p>
    <w:p>
      <w:pPr>
        <w:pStyle w:val="760"/>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jc w:val="lef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left="960"/>
        <w:spacing w:line="22" w:lineRule="atLeas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r>
      <w:r>
        <w:rPr>
          <w:highlight w:val="none"/>
        </w:rPr>
      </w:r>
    </w:p>
    <w:p>
      <w:pPr>
        <w:pStyle w:val="760"/>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spacing w:line="22" w:lineRule="atLeas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        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w:t>
      </w:r>
      <w:r>
        <w:rPr>
          <w:rFonts w:ascii="宋体" w:hAnsi="宋体" w:eastAsia="宋体" w:cs="宋体"/>
          <w:color w:val="000000"/>
          <w:sz w:val="24"/>
          <w:szCs w:val="24"/>
          <w:highlight w:val="none"/>
        </w:rPr>
      </w:r>
      <w:r>
        <w:rPr>
          <w:highlight w:val="none"/>
        </w:rPr>
      </w:r>
    </w:p>
    <w:p>
      <w:pPr>
        <w:pStyle w:val="76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left="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rPr>
          <w:highlight w:val="none"/>
        </w:rPr>
      </w:r>
    </w:p>
    <w:p>
      <w:pPr>
        <w:pStyle w:val="760"/>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left="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rPr>
          <w:highlight w:val="none"/>
        </w:rPr>
      </w:r>
    </w:p>
    <w:p>
      <w:pPr>
        <w:pStyle w:val="760"/>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960"/>
        <w:spacing w:line="22" w:lineRule="atLeas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签订地：</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rPr>
          <w:highlight w:val="none"/>
        </w:rPr>
      </w:r>
    </w:p>
    <w:p>
      <w:pPr>
        <w:pStyle w:val="760"/>
        <w:spacing w:line="22" w:lineRule="atLeas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签订日期：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828"/>
        <w:numPr>
          <w:ilvl w:val="0"/>
          <w:numId w:val="0"/>
        </w:numPr>
        <w:ind w:left="780" w:hanging="360"/>
        <w:tabs>
          <w:tab w:val="left" w:pos="780" w:leader="none"/>
        </w:tabs>
        <w:rPr>
          <w:color w:val="000000"/>
          <w:highlight w:val="none"/>
        </w:rPr>
      </w:pPr>
      <w:r>
        <w:rPr>
          <w:color w:val="000000"/>
          <w:highlight w:val="none"/>
        </w:rPr>
      </w:r>
      <w:r>
        <w:rPr>
          <w:highlight w:val="none"/>
        </w:rPr>
      </w:r>
    </w:p>
    <w:p>
      <w:pPr>
        <w:pStyle w:val="828"/>
        <w:numPr>
          <w:ilvl w:val="0"/>
          <w:numId w:val="0"/>
        </w:numPr>
        <w:ind w:left="780" w:hanging="360"/>
        <w:tabs>
          <w:tab w:val="left" w:pos="780" w:leader="none"/>
        </w:tabs>
        <w:rPr>
          <w:color w:val="000000"/>
          <w:highlight w:val="none"/>
        </w:rPr>
      </w:pPr>
      <w:r>
        <w:rPr>
          <w:color w:val="000000"/>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年</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月</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宜兴市丁蜀镇人民政府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公开招标</w:t>
      </w:r>
      <w:r>
        <w:rPr>
          <w:rFonts w:hint="eastAsia" w:ascii="宋体" w:hAnsi="宋体" w:eastAsia="宋体" w:cs="宋体"/>
          <w:color w:val="000000"/>
          <w:sz w:val="24"/>
          <w:szCs w:val="24"/>
          <w:highlight w:val="none"/>
          <w:u w:val="single"/>
        </w:rPr>
        <w:t xml:space="preserve">的采购方式 </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进行了采购。经</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评审，</w:t>
      </w:r>
      <w:r>
        <w:rPr>
          <w:rFonts w:hint="eastAsia" w:ascii="宋体" w:hAnsi="宋体" w:eastAsia="宋体" w:cs="宋体"/>
          <w:color w:val="000000"/>
          <w:sz w:val="24"/>
          <w:szCs w:val="24"/>
          <w:highlight w:val="none"/>
          <w:lang w:eastAsia="zh-CN"/>
        </w:rPr>
        <w:t xml:space="preserve">宜兴市丁蜀镇人民政府</w:t>
      </w:r>
      <w:r>
        <w:rPr>
          <w:rFonts w:hint="eastAsia" w:ascii="宋体" w:hAnsi="宋体" w:eastAsia="宋体" w:cs="宋体"/>
          <w:color w:val="000000"/>
          <w:sz w:val="24"/>
          <w:szCs w:val="24"/>
          <w:highlight w:val="none"/>
        </w:rPr>
        <w:t xml:space="preserve">确定 </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中标</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为该项目</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。现于</w:t>
      </w:r>
      <w:r>
        <w:rPr>
          <w:rFonts w:hint="eastAsia" w:ascii="宋体" w:hAnsi="宋体" w:eastAsia="宋体" w:cs="宋体"/>
          <w:color w:val="000000"/>
          <w:sz w:val="24"/>
          <w:szCs w:val="24"/>
          <w:highlight w:val="none"/>
          <w:lang w:eastAsia="zh-CN"/>
        </w:rPr>
        <w:t xml:space="preserve">中标通知书</w:t>
      </w:r>
      <w:r>
        <w:rPr>
          <w:rFonts w:hint="eastAsia" w:ascii="宋体" w:hAnsi="宋体" w:eastAsia="宋体" w:cs="宋体"/>
          <w:color w:val="000000"/>
          <w:sz w:val="24"/>
          <w:szCs w:val="24"/>
          <w:highlight w:val="none"/>
        </w:rPr>
        <w:t xml:space="preserve">发出之日起三十日内，按照采购文件确定的事项签订本合同。</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宜兴市丁蜀镇人民政府</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(以下简称：甲方)和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中标供应商</w:t>
      </w:r>
      <w:r>
        <w:rPr>
          <w:rFonts w:hint="eastAsia" w:ascii="宋体" w:hAnsi="宋体" w:eastAsia="宋体" w:cs="宋体"/>
          <w:color w:val="000000"/>
          <w:sz w:val="24"/>
          <w:szCs w:val="24"/>
          <w:highlight w:val="none"/>
          <w:u w:val="single"/>
        </w:rPr>
        <w:t xml:space="preserve">名称）</w:t>
      </w:r>
      <w:r>
        <w:rPr>
          <w:rFonts w:hint="eastAsia" w:ascii="宋体" w:hAnsi="宋体" w:eastAsia="宋体" w:cs="宋体"/>
          <w:color w:val="000000"/>
          <w:sz w:val="24"/>
          <w:szCs w:val="24"/>
          <w:highlight w:val="none"/>
          <w:lang w:val="zh-CN"/>
        </w:rPr>
        <w:t xml:space="preserve">(以下简称：乙方)协商一致，约定以下合同</w:t>
      </w:r>
      <w:r>
        <w:rPr>
          <w:rFonts w:hint="eastAsia" w:ascii="宋体" w:hAnsi="宋体" w:eastAsia="宋体" w:cs="宋体"/>
          <w:color w:val="000000"/>
          <w:sz w:val="24"/>
          <w:szCs w:val="24"/>
          <w:highlight w:val="none"/>
        </w:rPr>
        <w:t xml:space="preserve">条款，以兹共同遵守、全面履行。</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color w:val="000000"/>
          <w:sz w:val="24"/>
          <w:szCs w:val="24"/>
          <w:highlight w:val="none"/>
        </w:rPr>
      </w:pPr>
      <w:r>
        <w:rPr>
          <w:highlight w:val="none"/>
        </w:rPr>
      </w:r>
      <w:bookmarkStart w:id="91" w:name="_Toc28855"/>
      <w:r>
        <w:rPr>
          <w:highlight w:val="none"/>
        </w:rPr>
      </w:r>
      <w:bookmarkStart w:id="92" w:name="_Toc22967"/>
      <w:r>
        <w:rPr>
          <w:highlight w:val="none"/>
        </w:rPr>
      </w:r>
      <w:bookmarkStart w:id="93" w:name="_Toc15367"/>
      <w:r>
        <w:rPr>
          <w:highlight w:val="none"/>
        </w:rPr>
      </w:r>
      <w:bookmarkStart w:id="94" w:name="_Toc20421"/>
      <w:r>
        <w:rPr>
          <w:highlight w:val="none"/>
        </w:rPr>
      </w:r>
      <w:bookmarkStart w:id="95" w:name="_Toc19273"/>
      <w:r>
        <w:rPr>
          <w:rFonts w:hint="eastAsia" w:ascii="宋体" w:hAnsi="宋体" w:eastAsia="宋体" w:cs="宋体"/>
          <w:b/>
          <w:color w:val="000000"/>
          <w:sz w:val="24"/>
          <w:szCs w:val="24"/>
          <w:highlight w:val="none"/>
        </w:rPr>
        <w:t xml:space="preserve">1.1 合同组成部分</w:t>
      </w:r>
      <w:bookmarkEnd w:id="91"/>
      <w:r>
        <w:rPr>
          <w:highlight w:val="none"/>
        </w:rPr>
      </w:r>
      <w:bookmarkEnd w:id="92"/>
      <w:r>
        <w:rPr>
          <w:highlight w:val="none"/>
        </w:rPr>
      </w:r>
      <w:bookmarkEnd w:id="93"/>
      <w:r>
        <w:rPr>
          <w:highlight w:val="none"/>
        </w:rPr>
      </w:r>
      <w:bookmarkEnd w:id="94"/>
      <w:r>
        <w:rPr>
          <w:highlight w:val="none"/>
        </w:rPr>
      </w:r>
      <w:bookmarkEnd w:id="95"/>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w:t>
      </w:r>
      <w:r>
        <w:rPr>
          <w:rFonts w:hint="eastAsia" w:ascii="宋体" w:hAnsi="宋体" w:eastAsia="宋体" w:cs="宋体"/>
          <w:color w:val="000000"/>
          <w:sz w:val="24"/>
          <w:szCs w:val="24"/>
          <w:highlight w:val="none"/>
          <w:lang w:eastAsia="zh-CN"/>
        </w:rPr>
        <w:t xml:space="preserve">中标通知书</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（含澄清或者说明文件）；</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（含澄清或者修改文件）；</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96" w:name="_Toc22185"/>
      <w:r>
        <w:rPr>
          <w:highlight w:val="none"/>
        </w:rPr>
      </w:r>
      <w:bookmarkStart w:id="97" w:name="_Toc2918"/>
      <w:r>
        <w:rPr>
          <w:highlight w:val="none"/>
        </w:rPr>
      </w:r>
      <w:bookmarkStart w:id="98" w:name="_Toc6773"/>
      <w:r>
        <w:rPr>
          <w:highlight w:val="none"/>
        </w:rPr>
      </w:r>
      <w:bookmarkStart w:id="99" w:name="_Toc6311"/>
      <w:r>
        <w:rPr>
          <w:highlight w:val="none"/>
        </w:rPr>
      </w:r>
      <w:bookmarkStart w:id="100" w:name="_Toc18585"/>
      <w:r>
        <w:rPr>
          <w:rFonts w:hint="eastAsia" w:ascii="宋体" w:hAnsi="宋体" w:eastAsia="宋体" w:cs="宋体"/>
          <w:b/>
          <w:color w:val="000000"/>
          <w:sz w:val="24"/>
          <w:szCs w:val="24"/>
          <w:highlight w:val="none"/>
        </w:rPr>
        <w:t xml:space="preserve">1.2 标的</w:t>
      </w:r>
      <w:bookmarkEnd w:id="96"/>
      <w:r>
        <w:rPr>
          <w:highlight w:val="none"/>
        </w:rPr>
      </w:r>
      <w:bookmarkEnd w:id="97"/>
      <w:r>
        <w:rPr>
          <w:highlight w:val="none"/>
        </w:rPr>
      </w:r>
      <w:bookmarkEnd w:id="98"/>
      <w:r>
        <w:rPr>
          <w:highlight w:val="none"/>
        </w:rPr>
      </w:r>
      <w:bookmarkEnd w:id="99"/>
      <w:r>
        <w:rPr>
          <w:highlight w:val="none"/>
        </w:rPr>
      </w:r>
      <w:bookmarkEnd w:id="100"/>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r>
      <w:r>
        <w:rPr>
          <w:highlight w:val="none"/>
        </w:rPr>
      </w:r>
    </w:p>
    <w:p>
      <w:pPr>
        <w:pStyle w:val="760"/>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101" w:name="_Toc13918"/>
      <w:r>
        <w:rPr>
          <w:highlight w:val="none"/>
        </w:rPr>
      </w:r>
      <w:bookmarkStart w:id="102" w:name="_Toc21124"/>
      <w:r>
        <w:rPr>
          <w:highlight w:val="none"/>
        </w:rPr>
      </w:r>
      <w:bookmarkStart w:id="103" w:name="_Toc4929"/>
      <w:r>
        <w:rPr>
          <w:highlight w:val="none"/>
        </w:rPr>
      </w:r>
      <w:bookmarkStart w:id="104" w:name="_Toc1386"/>
      <w:r>
        <w:rPr>
          <w:highlight w:val="none"/>
        </w:rPr>
      </w:r>
      <w:bookmarkStart w:id="105" w:name="_Toc5635"/>
      <w:r>
        <w:rPr>
          <w:rFonts w:hint="eastAsia" w:ascii="宋体" w:hAnsi="宋体" w:eastAsia="宋体" w:cs="宋体"/>
          <w:b/>
          <w:color w:val="000000"/>
          <w:sz w:val="24"/>
          <w:szCs w:val="24"/>
          <w:highlight w:val="none"/>
        </w:rPr>
        <w:t xml:space="preserve">1.3 价款</w:t>
      </w:r>
      <w:bookmarkEnd w:id="101"/>
      <w:r>
        <w:rPr>
          <w:highlight w:val="none"/>
        </w:rPr>
      </w:r>
      <w:bookmarkEnd w:id="102"/>
      <w:r>
        <w:rPr>
          <w:highlight w:val="none"/>
        </w:rPr>
      </w:r>
      <w:bookmarkEnd w:id="103"/>
      <w:r>
        <w:rPr>
          <w:highlight w:val="none"/>
        </w:rPr>
      </w:r>
      <w:bookmarkEnd w:id="104"/>
      <w:r>
        <w:rPr>
          <w:highlight w:val="none"/>
        </w:rPr>
      </w:r>
      <w:bookmarkEnd w:id="105"/>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highlight w:val="none"/>
        </w:rPr>
      </w:r>
      <w:bookmarkStart w:id="106" w:name="_Toc30506"/>
      <w:r>
        <w:rPr>
          <w:highlight w:val="none"/>
        </w:rPr>
      </w:r>
      <w:bookmarkStart w:id="107" w:name="_Toc14993"/>
      <w:r>
        <w:rPr>
          <w:highlight w:val="none"/>
        </w:rPr>
      </w:r>
      <w:bookmarkStart w:id="108" w:name="_Toc3654"/>
      <w:r>
        <w:rPr>
          <w:highlight w:val="none"/>
        </w:rPr>
      </w:r>
      <w:bookmarkStart w:id="109" w:name="_Toc30158"/>
      <w:r>
        <w:rPr>
          <w:highlight w:val="none"/>
        </w:rPr>
      </w:r>
      <w:bookmarkStart w:id="110" w:name="_Toc26916"/>
      <w:r>
        <w:rPr>
          <w:rFonts w:hint="eastAsia" w:ascii="宋体" w:hAnsi="宋体" w:eastAsia="宋体" w:cs="宋体"/>
          <w:color w:val="000000"/>
          <w:sz w:val="24"/>
          <w:szCs w:val="24"/>
          <w:highlight w:val="none"/>
        </w:rPr>
        <w:t xml:space="preserve">分项价格：</w:t>
      </w:r>
      <w:r>
        <w:rPr>
          <w:rFonts w:ascii="宋体" w:hAnsi="宋体" w:eastAsia="宋体" w:cs="宋体"/>
          <w:color w:val="000000"/>
          <w:sz w:val="24"/>
          <w:szCs w:val="24"/>
          <w:highlight w:val="none"/>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812"/>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rPr>
                <w:highlight w:val="none"/>
              </w:rPr>
            </w:r>
          </w:p>
        </w:tc>
        <w:tc>
          <w:tcPr>
            <w:tcW w:w="3402"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分项名称</w:t>
            </w:r>
            <w:r>
              <w:rPr>
                <w:rFonts w:hAnsi="宋体" w:cs="宋体"/>
                <w:color w:val="000000"/>
                <w:sz w:val="24"/>
                <w:szCs w:val="24"/>
                <w:highlight w:val="none"/>
              </w:rPr>
            </w:r>
            <w:r>
              <w:rPr>
                <w:highlight w:val="none"/>
              </w:rPr>
            </w:r>
          </w:p>
        </w:tc>
        <w:tc>
          <w:tcPr>
            <w:tcW w:w="2552" w:type="dxa"/>
            <w:vAlign w:val="center"/>
            <w:textDirection w:val="lrTb"/>
            <w:noWrap w:val="false"/>
          </w:tcPr>
          <w:p>
            <w:pPr>
              <w:pStyle w:val="812"/>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分项价格</w:t>
            </w:r>
            <w:r>
              <w:rPr>
                <w:rFonts w:hAnsi="宋体" w:cs="宋体"/>
                <w:color w:val="000000"/>
                <w:sz w:val="24"/>
                <w:szCs w:val="24"/>
                <w:highlight w:val="none"/>
              </w:rPr>
            </w:r>
            <w:r>
              <w:rPr>
                <w:highlight w:val="none"/>
              </w:rPr>
            </w:r>
          </w:p>
        </w:tc>
      </w:tr>
      <w:tr>
        <w:trPr>
          <w:trHeight w:val="369"/>
        </w:trPr>
        <w:tc>
          <w:tcPr>
            <w:tcW w:w="1201"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3402"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2552"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r>
      <w:tr>
        <w:trPr>
          <w:trHeight w:val="369"/>
        </w:trPr>
        <w:tc>
          <w:tcPr>
            <w:tcW w:w="1201"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3402"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2552"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r>
      <w:tr>
        <w:trPr>
          <w:trHeight w:val="369"/>
        </w:trPr>
        <w:tc>
          <w:tcPr>
            <w:tcW w:w="1201"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3402"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2552"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r>
      <w:tr>
        <w:trPr>
          <w:trHeight w:val="369"/>
        </w:trPr>
        <w:tc>
          <w:tcPr>
            <w:tcW w:w="1201"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3402"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c>
          <w:tcPr>
            <w:tcW w:w="2552"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r>
      <w:tr>
        <w:trPr>
          <w:trHeight w:val="369"/>
        </w:trPr>
        <w:tc>
          <w:tcPr>
            <w:gridSpan w:val="2"/>
            <w:tcW w:w="4603"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int="eastAsia" w:hAnsi="宋体" w:cs="宋体"/>
                <w:color w:val="000000"/>
                <w:sz w:val="24"/>
                <w:szCs w:val="24"/>
                <w:highlight w:val="none"/>
              </w:rPr>
              <w:t xml:space="preserve">总价</w:t>
            </w:r>
            <w:r>
              <w:rPr>
                <w:rFonts w:hAnsi="宋体" w:cs="宋体"/>
                <w:color w:val="000000"/>
                <w:sz w:val="24"/>
                <w:szCs w:val="24"/>
                <w:highlight w:val="none"/>
              </w:rPr>
            </w:r>
            <w:r>
              <w:rPr>
                <w:highlight w:val="none"/>
              </w:rPr>
            </w:r>
          </w:p>
        </w:tc>
        <w:tc>
          <w:tcPr>
            <w:tcW w:w="2552" w:type="dxa"/>
            <w:vAlign w:val="center"/>
            <w:textDirection w:val="lrTb"/>
            <w:noWrap w:val="false"/>
          </w:tcPr>
          <w:p>
            <w:pPr>
              <w:pStyle w:val="812"/>
              <w:ind w:firstLine="200"/>
              <w:jc w:val="center"/>
              <w:spacing w:line="560" w:lineRule="exact"/>
              <w:rPr>
                <w:rFonts w:hAnsi="宋体" w:cs="宋体"/>
                <w:color w:val="000000"/>
                <w:sz w:val="24"/>
                <w:szCs w:val="24"/>
                <w:highlight w:val="none"/>
              </w:rPr>
            </w:pPr>
            <w:r>
              <w:rPr>
                <w:rFonts w:hAnsi="宋体" w:cs="宋体"/>
                <w:color w:val="000000"/>
                <w:sz w:val="24"/>
                <w:szCs w:val="24"/>
                <w:highlight w:val="none"/>
              </w:rPr>
            </w:r>
            <w:r>
              <w:rPr>
                <w:highlight w:val="none"/>
              </w:rPr>
            </w:r>
          </w:p>
        </w:tc>
      </w:tr>
    </w:tbl>
    <w:p>
      <w:pPr>
        <w:pStyle w:val="760"/>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1.4付款方式和发票开具方式</w:t>
      </w:r>
      <w:bookmarkEnd w:id="106"/>
      <w:r>
        <w:rPr>
          <w:highlight w:val="none"/>
        </w:rPr>
      </w:r>
      <w:bookmarkEnd w:id="107"/>
      <w:r>
        <w:rPr>
          <w:highlight w:val="none"/>
        </w:rPr>
      </w:r>
      <w:bookmarkEnd w:id="108"/>
      <w:r>
        <w:rPr>
          <w:highlight w:val="none"/>
        </w:rPr>
      </w:r>
      <w:bookmarkEnd w:id="109"/>
      <w:r>
        <w:rPr>
          <w:highlight w:val="none"/>
        </w:rPr>
      </w:r>
      <w:bookmarkEnd w:id="110"/>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1.4.1付款方式：银行转账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111" w:name="_Toc8772"/>
      <w:r>
        <w:rPr>
          <w:highlight w:val="none"/>
        </w:rPr>
      </w:r>
      <w:bookmarkStart w:id="112" w:name="_Toc11108"/>
      <w:r>
        <w:rPr>
          <w:highlight w:val="none"/>
        </w:rPr>
      </w:r>
      <w:bookmarkStart w:id="113" w:name="_Toc4760"/>
      <w:r>
        <w:rPr>
          <w:highlight w:val="none"/>
        </w:rPr>
      </w:r>
      <w:bookmarkStart w:id="114" w:name="_Toc3625"/>
      <w:r>
        <w:rPr>
          <w:highlight w:val="none"/>
        </w:rPr>
      </w:r>
      <w:bookmarkStart w:id="115" w:name="_Toc31421"/>
      <w:r>
        <w:rPr>
          <w:rFonts w:hint="eastAsia" w:ascii="宋体" w:hAnsi="宋体" w:eastAsia="宋体" w:cs="宋体"/>
          <w:b/>
          <w:color w:val="000000"/>
          <w:sz w:val="24"/>
          <w:szCs w:val="24"/>
          <w:highlight w:val="none"/>
        </w:rPr>
        <w:t xml:space="preserve">1.5 履行期限、地点和方式</w:t>
      </w:r>
      <w:bookmarkEnd w:id="111"/>
      <w:r>
        <w:rPr>
          <w:highlight w:val="none"/>
        </w:rPr>
      </w:r>
      <w:bookmarkEnd w:id="112"/>
      <w:r>
        <w:rPr>
          <w:highlight w:val="none"/>
        </w:rPr>
      </w:r>
      <w:bookmarkEnd w:id="113"/>
      <w:r>
        <w:rPr>
          <w:highlight w:val="none"/>
        </w:rPr>
      </w:r>
      <w:bookmarkEnd w:id="114"/>
      <w:r>
        <w:rPr>
          <w:highlight w:val="none"/>
        </w:rPr>
      </w:r>
      <w:bookmarkEnd w:id="115"/>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u w:val="singl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color w:val="000000"/>
          <w:sz w:val="24"/>
          <w:szCs w:val="24"/>
          <w:highlight w:val="none"/>
          <w:u w:val="single"/>
        </w:rPr>
      </w:pPr>
      <w:r>
        <w:rPr>
          <w:highlight w:val="none"/>
        </w:rPr>
      </w:r>
      <w:bookmarkStart w:id="116" w:name="_Toc2375"/>
      <w:r>
        <w:rPr>
          <w:highlight w:val="none"/>
        </w:rPr>
      </w:r>
      <w:bookmarkStart w:id="117" w:name="_Toc8586"/>
      <w:r>
        <w:rPr>
          <w:highlight w:val="none"/>
        </w:rPr>
      </w:r>
      <w:bookmarkStart w:id="118" w:name="_Toc24662"/>
      <w:r>
        <w:rPr>
          <w:highlight w:val="none"/>
        </w:rPr>
      </w:r>
      <w:bookmarkStart w:id="119" w:name="_Toc5698"/>
      <w:r>
        <w:rPr>
          <w:highlight w:val="none"/>
        </w:rPr>
      </w:r>
      <w:bookmarkStart w:id="120" w:name="_Toc3079"/>
      <w:r>
        <w:rPr>
          <w:rFonts w:hint="eastAsia" w:ascii="宋体" w:hAnsi="宋体" w:eastAsia="宋体" w:cs="宋体"/>
          <w:b/>
          <w:color w:val="000000"/>
          <w:sz w:val="24"/>
          <w:szCs w:val="24"/>
          <w:highlight w:val="none"/>
        </w:rPr>
        <w:t xml:space="preserve">1.6 违约责任</w:t>
      </w:r>
      <w:bookmarkEnd w:id="116"/>
      <w:r>
        <w:rPr>
          <w:highlight w:val="none"/>
        </w:rPr>
      </w:r>
      <w:bookmarkEnd w:id="117"/>
      <w:r>
        <w:rPr>
          <w:highlight w:val="none"/>
        </w:rPr>
      </w:r>
      <w:bookmarkEnd w:id="118"/>
      <w:r>
        <w:rPr>
          <w:highlight w:val="none"/>
        </w:rPr>
      </w:r>
      <w:bookmarkEnd w:id="119"/>
      <w:r>
        <w:rPr>
          <w:highlight w:val="none"/>
        </w:rPr>
      </w:r>
      <w:bookmarkEnd w:id="120"/>
      <w:r>
        <w:rPr>
          <w:rFonts w:ascii="宋体" w:hAnsi="宋体" w:eastAsia="宋体" w:cs="宋体"/>
          <w:color w:val="000000"/>
          <w:sz w:val="24"/>
          <w:szCs w:val="24"/>
          <w:highlight w:val="none"/>
          <w:u w:val="single"/>
        </w:rPr>
      </w:r>
      <w:r>
        <w:rPr>
          <w:highlight w:val="none"/>
        </w:rPr>
      </w:r>
    </w:p>
    <w:p>
      <w:pPr>
        <w:pStyle w:val="760"/>
        <w:ind w:firstLine="480"/>
        <w:spacing w:line="560" w:lineRule="exact"/>
        <w:rPr>
          <w:rFonts w:ascii="宋体" w:hAnsi="宋体" w:eastAsia="宋体" w:cs="宋体"/>
          <w:color w:val="000000"/>
          <w:sz w:val="24"/>
          <w:szCs w:val="24"/>
          <w:highlight w:val="none"/>
        </w:rPr>
      </w:pPr>
      <w:r>
        <w:rPr>
          <w:highlight w:val="none"/>
        </w:rPr>
      </w:r>
      <w:bookmarkStart w:id="121" w:name="_Toc26807"/>
      <w:r>
        <w:rPr>
          <w:highlight w:val="none"/>
        </w:rPr>
      </w:r>
      <w:bookmarkStart w:id="122" w:name="_Toc32454"/>
      <w:r>
        <w:rPr>
          <w:highlight w:val="none"/>
        </w:rPr>
      </w:r>
      <w:bookmarkStart w:id="123" w:name="_Toc9497"/>
      <w:r>
        <w:rPr>
          <w:highlight w:val="none"/>
        </w:rPr>
      </w:r>
      <w:bookmarkStart w:id="124" w:name="_Toc30329"/>
      <w:r>
        <w:rPr>
          <w:highlight w:val="none"/>
        </w:rPr>
      </w:r>
      <w:bookmarkStart w:id="125" w:name="_Toc18683"/>
      <w:r>
        <w:rPr>
          <w:rFonts w:hint="eastAsia" w:ascii="宋体" w:hAnsi="宋体" w:eastAsia="宋体" w:cs="宋体"/>
          <w:color w:val="000000"/>
          <w:sz w:val="24"/>
          <w:szCs w:val="24"/>
          <w:highlight w:val="none"/>
        </w:rPr>
        <w:t xml:space="preserve">1.6.1除不可抗力或非因乙方原因外，如果乙方没有按照本合同约定的期限、地点和方式履行服务，那么甲方可要求乙方支付违约金，违约金按每迟延履行一日的应提供而未提供服务价格的</w:t>
      </w:r>
      <w:r>
        <w:rPr>
          <w:rFonts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；迟延履行的违约金计算数额达到前述最高限额之日起，甲方有权在要求乙方支付违约金的同时，书面通知乙方解除本合同；</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计算，最高限额为本合同总价的</w:t>
      </w:r>
      <w:r>
        <w:rPr>
          <w:rFonts w:hint="eastAsia" w:ascii="宋体" w:hAnsi="宋体" w:eastAsia="宋体" w:cs="宋体"/>
          <w:color w:val="000000"/>
          <w:sz w:val="24"/>
          <w:szCs w:val="24"/>
          <w:highlight w:val="none"/>
          <w:u w:val="single"/>
        </w:rPr>
        <w:t xml:space="preserve"> 5  </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；迟延付款的违约金计算数额达到前述最高限额之日起，乙方有权在要求甲方支付违约金的同时，书面通知甲方解除本合同；</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Times New Roman"/>
          <w:bCs/>
          <w:color w:val="000000"/>
          <w:sz w:val="24"/>
          <w:szCs w:val="24"/>
          <w:highlight w:val="none"/>
        </w:rPr>
        <w:t xml:space="preserve">1.6.5 </w:t>
      </w:r>
      <w:r>
        <w:rPr>
          <w:rFonts w:hint="eastAsia" w:ascii="宋体" w:hAnsi="宋体" w:eastAsia="宋体" w:cs="Times New Roman"/>
          <w:bCs/>
          <w:color w:val="000000"/>
          <w:sz w:val="24"/>
          <w:szCs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1.6.7 如果出现采购监督管理部门在处理投诉事项期间，书面通知甲方暂停采购活动的情形，或者询问或质疑事项可能影响成交结果的，导致甲方中止履行合同的情形，均不视为甲方违约。合同中止履行超过</w:t>
      </w:r>
      <w:r>
        <w:rPr>
          <w:rFonts w:ascii="宋体" w:hAnsi="宋体" w:eastAsia="宋体" w:cs="宋体"/>
          <w:color w:val="000000"/>
          <w:sz w:val="24"/>
          <w:szCs w:val="24"/>
          <w:highlight w:val="none"/>
        </w:rPr>
        <w:t xml:space="preserve">6个月的，双方应结算中止日前已完成的服务对应的费用。</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1.6.8 合同一方不履行合同义务或者履行合同义务不符合约定，给其他方造成损失的，损失赔偿额应当相当于因违约所造成的损失，包括诉讼费（仲裁费）、律师费等 相关费用。但是违约金及损失赔偿金额总额以甲方已向乙方支付的服务费为限，在任何情况下累计赔偿金额不超过本合同约定的服务费总额。</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相关费用</w:t>
      </w:r>
      <w:r>
        <w:rPr>
          <w:rFonts w:ascii="宋体" w:hAnsi="宋体" w:eastAsia="宋体" w:cs="宋体"/>
          <w:b/>
          <w:color w:val="000000"/>
          <w:sz w:val="24"/>
          <w:szCs w:val="24"/>
          <w:highlight w:val="none"/>
          <w:lang w:val="en-US" w:eastAsia="zh-CN"/>
        </w:rPr>
      </w:r>
      <w:r>
        <w:rPr>
          <w:highlight w:val="none"/>
        </w:rPr>
      </w:r>
    </w:p>
    <w:p>
      <w:pPr>
        <w:pStyle w:val="760"/>
        <w:ind w:firstLine="482"/>
        <w:spacing w:line="560" w:lineRule="exact"/>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本项目提交成果后需通过专家评审，产生的专家评审费用由乙方自行承担。</w:t>
      </w:r>
      <w:r>
        <w:rPr>
          <w:rFonts w:ascii="宋体" w:hAnsi="宋体" w:eastAsia="宋体" w:cs="宋体"/>
          <w:b w:val="0"/>
          <w:bCs/>
          <w:color w:val="000000"/>
          <w:sz w:val="24"/>
          <w:szCs w:val="24"/>
          <w:highlight w:val="none"/>
          <w:lang w:val="en-US" w:eastAsia="zh-CN"/>
        </w:rPr>
      </w:r>
      <w:r>
        <w:rPr>
          <w:highlight w:val="none"/>
        </w:rPr>
      </w:r>
    </w:p>
    <w:p>
      <w:pPr>
        <w:pStyle w:val="760"/>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 合同争议的解决</w:t>
      </w:r>
      <w:bookmarkEnd w:id="121"/>
      <w:r>
        <w:rPr>
          <w:highlight w:val="none"/>
        </w:rPr>
      </w:r>
      <w:bookmarkEnd w:id="122"/>
      <w:r>
        <w:rPr>
          <w:highlight w:val="none"/>
        </w:rPr>
      </w:r>
      <w:bookmarkEnd w:id="123"/>
      <w:r>
        <w:rPr>
          <w:highlight w:val="none"/>
        </w:rPr>
      </w:r>
      <w:bookmarkEnd w:id="124"/>
      <w:r>
        <w:rPr>
          <w:highlight w:val="none"/>
        </w:rPr>
      </w:r>
      <w:bookmarkEnd w:id="125"/>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highlight w:val="none"/>
        </w:rPr>
      </w:r>
      <w:bookmarkStart w:id="126" w:name="_Toc12273"/>
      <w:r>
        <w:rPr>
          <w:highlight w:val="none"/>
        </w:rPr>
      </w:r>
      <w:bookmarkStart w:id="127" w:name="_Toc16417"/>
      <w:r>
        <w:rPr>
          <w:highlight w:val="none"/>
        </w:rPr>
      </w:r>
      <w:bookmarkStart w:id="128" w:name="_Toc26227"/>
      <w:r>
        <w:rPr>
          <w:highlight w:val="none"/>
        </w:rPr>
      </w:r>
      <w:bookmarkStart w:id="129" w:name="_Toc23784"/>
      <w:r>
        <w:rPr>
          <w:highlight w:val="none"/>
        </w:rPr>
      </w:r>
      <w:bookmarkStart w:id="130" w:name="_Toc15827"/>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本合同履行过程中发生的任何争议，双方当事人均可通过和解或者调解解决；不愿和解、调解或者和解、调解不成的，可以选择下列第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1）将争议提交</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仲裁委员会依申请仲裁时其现行有效的仲裁规则裁决； </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2）向</w:t>
      </w:r>
      <w:r>
        <w:rPr>
          <w:rFonts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rPr>
        <w:t xml:space="preserve">人民法院起诉。</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 合同生效</w:t>
      </w:r>
      <w:bookmarkEnd w:id="126"/>
      <w:r>
        <w:rPr>
          <w:highlight w:val="none"/>
        </w:rPr>
      </w:r>
      <w:bookmarkEnd w:id="127"/>
      <w:r>
        <w:rPr>
          <w:highlight w:val="none"/>
        </w:rPr>
      </w:r>
      <w:bookmarkEnd w:id="128"/>
      <w:r>
        <w:rPr>
          <w:highlight w:val="none"/>
        </w:rPr>
      </w:r>
      <w:bookmarkEnd w:id="129"/>
      <w:r>
        <w:rPr>
          <w:highlight w:val="none"/>
        </w:rPr>
      </w:r>
      <w:bookmarkEnd w:id="130"/>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本合同</w:t>
      </w:r>
      <w:r>
        <w:rPr>
          <w:rFonts w:hint="eastAsia" w:ascii="宋体" w:hAnsi="宋体" w:eastAsia="宋体" w:cs="宋体"/>
          <w:color w:val="000000"/>
          <w:sz w:val="24"/>
          <w:szCs w:val="24"/>
          <w:highlight w:val="none"/>
          <w:lang w:val="zh-CN"/>
        </w:rPr>
        <w:t xml:space="preserve">经甲乙双方代表签字并加盖公章（或合同章）后即生效至【</w:t>
      </w:r>
      <w:r>
        <w:rPr>
          <w:rFonts w:ascii="宋体" w:hAnsi="宋体" w:eastAsia="宋体" w:cs="宋体"/>
          <w:color w:val="000000"/>
          <w:sz w:val="24"/>
          <w:szCs w:val="24"/>
          <w:highlight w:val="none"/>
          <w:lang w:val="zh-CN"/>
        </w:rPr>
        <w:t xml:space="preserve"> 】年【 】月【 】日或本合同履行完毕为止（以较早结束者为准）</w:t>
      </w:r>
      <w:r>
        <w:rPr>
          <w:rFonts w:hint="eastAsia" w:ascii="宋体" w:hAnsi="宋体" w:eastAsia="宋体" w:cs="宋体"/>
          <w:color w:val="000000"/>
          <w:sz w:val="24"/>
          <w:szCs w:val="24"/>
          <w:highlight w:val="none"/>
          <w:lang w:val="zh-CN"/>
        </w:rPr>
        <w:t xml:space="preserve">。</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 本合同一式伍份，供需双方各持贰份，代理公司存档壹份。</w:t>
      </w:r>
      <w:r>
        <w:rPr>
          <w:rFonts w:ascii="宋体" w:hAnsi="宋体" w:eastAsia="宋体" w:cs="宋体"/>
          <w:color w:val="000000"/>
          <w:sz w:val="24"/>
          <w:szCs w:val="24"/>
          <w:highlight w:val="none"/>
        </w:rPr>
      </w:r>
      <w:r>
        <w:rPr>
          <w:highlight w:val="none"/>
        </w:rPr>
      </w:r>
    </w:p>
    <w:p>
      <w:pPr>
        <w:pStyle w:val="829"/>
        <w:tabs>
          <w:tab w:val="left" w:pos="567" w:leader="none"/>
        </w:tabs>
        <w:rPr>
          <w:rFonts w:ascii="宋体" w:hAnsi="宋体"/>
          <w:color w:val="000000"/>
          <w:sz w:val="24"/>
          <w:szCs w:val="24"/>
          <w:highlight w:val="none"/>
        </w:rPr>
      </w:pPr>
      <w:r>
        <w:rPr>
          <w:rFonts w:ascii="宋体" w:hAnsi="宋体"/>
          <w:color w:val="000000"/>
          <w:sz w:val="24"/>
          <w:szCs w:val="24"/>
          <w:highlight w:val="none"/>
        </w:rPr>
      </w:r>
      <w:r>
        <w:rPr>
          <w:highlight w:val="none"/>
        </w:rPr>
      </w:r>
    </w:p>
    <w:p>
      <w:pPr>
        <w:pStyle w:val="760"/>
        <w:ind w:firstLine="1054"/>
        <w:jc w:val="left"/>
        <w:spacing w:line="560" w:lineRule="exact"/>
        <w:rPr>
          <w:rFonts w:ascii="宋体" w:hAnsi="宋体" w:cs="宋体"/>
          <w:color w:val="000000"/>
          <w:szCs w:val="21"/>
          <w:highlight w:val="none"/>
        </w:rPr>
      </w:pPr>
      <w:r>
        <w:rPr>
          <w:highlight w:val="none"/>
        </w:rPr>
      </w:r>
      <w:bookmarkStart w:id="131" w:name="_Toc331685783"/>
      <w:r>
        <w:rPr>
          <w:rFonts w:hint="eastAsia" w:ascii="宋体" w:hAnsi="宋体" w:cs="宋体"/>
          <w:b/>
          <w:color w:val="000000"/>
          <w:szCs w:val="21"/>
          <w:highlight w:val="none"/>
          <w:lang w:val="zh-CN"/>
        </w:rPr>
        <w:t xml:space="preserve">甲方</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b/>
          <w:color w:val="000000"/>
          <w:szCs w:val="21"/>
          <w:highlight w:val="none"/>
          <w:lang w:val="zh-CN"/>
        </w:rPr>
        <w:t xml:space="preserve">乙方</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                           </w:t>
      </w:r>
      <w:r>
        <w:rPr>
          <w:rFonts w:ascii="宋体" w:hAnsi="宋体" w:cs="宋体"/>
          <w:color w:val="000000"/>
          <w:szCs w:val="21"/>
          <w:highlight w:val="none"/>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统一社会信用代码：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统一社会信用代码或身份证号码：</w:t>
      </w:r>
      <w:r>
        <w:rPr>
          <w:rFonts w:hint="eastAsia" w:ascii="宋体" w:hAnsi="宋体" w:cs="宋体"/>
          <w:color w:val="000000"/>
          <w:szCs w:val="21"/>
          <w:highlight w:val="none"/>
        </w:rPr>
        <w:t xml:space="preserve">   </w:t>
      </w:r>
      <w:r>
        <w:rPr>
          <w:rFonts w:ascii="宋体" w:hAnsi="宋体" w:cs="宋体"/>
          <w:color w:val="000000"/>
          <w:szCs w:val="21"/>
          <w:highlight w:val="none"/>
          <w:lang w:val="zh-CN"/>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住所：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住所：</w:t>
      </w:r>
      <w:r>
        <w:rPr>
          <w:rFonts w:ascii="宋体" w:hAnsi="宋体" w:cs="宋体"/>
          <w:color w:val="000000"/>
          <w:szCs w:val="21"/>
          <w:highlight w:val="none"/>
          <w:lang w:val="zh-CN"/>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法定代表人或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法定代表人</w:t>
      </w:r>
      <w:r>
        <w:rPr>
          <w:rFonts w:ascii="宋体" w:hAnsi="宋体" w:cs="宋体"/>
          <w:color w:val="000000"/>
          <w:szCs w:val="21"/>
          <w:highlight w:val="none"/>
          <w:lang w:val="zh-CN"/>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授权代表（签字）：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或授权代表（签字）: </w:t>
      </w:r>
      <w:r>
        <w:rPr>
          <w:rFonts w:ascii="宋体" w:hAnsi="宋体" w:cs="宋体"/>
          <w:color w:val="000000"/>
          <w:szCs w:val="21"/>
          <w:highlight w:val="none"/>
          <w:lang w:val="zh-CN"/>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联系人：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联系人：</w:t>
      </w:r>
      <w:r>
        <w:rPr>
          <w:rFonts w:ascii="宋体" w:hAnsi="宋体" w:cs="宋体"/>
          <w:color w:val="000000"/>
          <w:szCs w:val="21"/>
          <w:highlight w:val="none"/>
          <w:lang w:val="zh-CN"/>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约定送达地址：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约定送达地址：</w:t>
      </w:r>
      <w:r>
        <w:rPr>
          <w:rFonts w:ascii="宋体" w:hAnsi="宋体" w:cs="宋体"/>
          <w:color w:val="000000"/>
          <w:szCs w:val="21"/>
          <w:highlight w:val="none"/>
          <w:lang w:val="zh-CN"/>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邮政编码：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邮政编码：</w:t>
      </w:r>
      <w:r>
        <w:rPr>
          <w:rFonts w:ascii="宋体" w:hAnsi="宋体" w:cs="宋体"/>
          <w:color w:val="000000"/>
          <w:szCs w:val="21"/>
          <w:highlight w:val="none"/>
          <w:lang w:val="zh-CN"/>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电话: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电话: </w:t>
      </w:r>
      <w:r>
        <w:rPr>
          <w:rFonts w:ascii="宋体" w:hAnsi="宋体" w:cs="宋体"/>
          <w:color w:val="000000"/>
          <w:szCs w:val="21"/>
          <w:highlight w:val="none"/>
          <w:lang w:val="zh-CN"/>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传真: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传真:</w:t>
      </w:r>
      <w:r>
        <w:rPr>
          <w:rFonts w:ascii="宋体" w:hAnsi="宋体" w:cs="宋体"/>
          <w:color w:val="000000"/>
          <w:szCs w:val="21"/>
          <w:highlight w:val="none"/>
          <w:lang w:val="zh-CN"/>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电子邮箱：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电子邮箱：</w:t>
      </w:r>
      <w:r>
        <w:rPr>
          <w:rFonts w:ascii="宋体" w:hAnsi="宋体" w:cs="宋体"/>
          <w:color w:val="000000"/>
          <w:szCs w:val="21"/>
          <w:highlight w:val="none"/>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                                 开户银行： </w:t>
      </w:r>
      <w:r>
        <w:rPr>
          <w:rFonts w:ascii="宋体" w:hAnsi="宋体" w:cs="宋体"/>
          <w:color w:val="000000"/>
          <w:szCs w:val="21"/>
          <w:highlight w:val="none"/>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开户名称：                                 开户名称： </w:t>
      </w:r>
      <w:r>
        <w:rPr>
          <w:rFonts w:ascii="宋体" w:hAnsi="宋体" w:cs="宋体"/>
          <w:color w:val="000000"/>
          <w:szCs w:val="21"/>
          <w:highlight w:val="none"/>
        </w:rPr>
      </w:r>
      <w:r>
        <w:rPr>
          <w:highlight w:val="none"/>
        </w:rPr>
      </w:r>
    </w:p>
    <w:p>
      <w:pPr>
        <w:pStyle w:val="760"/>
        <w:ind w:firstLine="1050"/>
        <w:spacing w:line="560" w:lineRule="exact"/>
        <w:rPr>
          <w:rFonts w:ascii="宋体" w:hAnsi="宋体" w:cs="宋体"/>
          <w:color w:val="000000"/>
          <w:szCs w:val="21"/>
          <w:highlight w:val="none"/>
        </w:rPr>
      </w:pPr>
      <w:r>
        <w:rPr>
          <w:rFonts w:hint="eastAsia" w:ascii="宋体" w:hAnsi="宋体" w:cs="宋体"/>
          <w:color w:val="000000"/>
          <w:szCs w:val="21"/>
          <w:highlight w:val="none"/>
        </w:rPr>
        <w:t xml:space="preserve">开户账号：</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开户账号：</w:t>
      </w:r>
      <w:r>
        <w:rPr>
          <w:rFonts w:ascii="宋体" w:hAnsi="宋体" w:cs="宋体"/>
          <w:color w:val="000000"/>
          <w:szCs w:val="21"/>
          <w:highlight w:val="none"/>
        </w:rPr>
      </w:r>
      <w:r>
        <w:rPr>
          <w:highlight w:val="none"/>
        </w:rPr>
      </w:r>
    </w:p>
    <w:p>
      <w:pPr>
        <w:pStyle w:val="760"/>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p>
    <w:p>
      <w:pPr>
        <w:pStyle w:val="760"/>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p>
    <w:p>
      <w:pPr>
        <w:pStyle w:val="760"/>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rPr>
          <w:highlight w:val="none"/>
        </w:rPr>
      </w:r>
    </w:p>
    <w:p>
      <w:pPr>
        <w:pStyle w:val="76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rPr>
          <w:highlight w:val="none"/>
        </w:rPr>
      </w:r>
    </w:p>
    <w:p>
      <w:pPr>
        <w:pStyle w:val="760"/>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31"/>
      <w:r>
        <w:rPr>
          <w:rFonts w:ascii="宋体" w:hAnsi="宋体" w:eastAsia="宋体" w:cs="宋体"/>
          <w:b/>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132" w:name="_Toc5228"/>
      <w:r>
        <w:rPr>
          <w:highlight w:val="none"/>
        </w:rPr>
      </w:r>
      <w:bookmarkStart w:id="133" w:name="_Toc25079"/>
      <w:r>
        <w:rPr>
          <w:highlight w:val="none"/>
        </w:rPr>
      </w:r>
      <w:bookmarkStart w:id="134" w:name="_Ref467378404"/>
      <w:r>
        <w:rPr>
          <w:highlight w:val="none"/>
        </w:rPr>
      </w:r>
      <w:bookmarkStart w:id="135" w:name="_Toc14021"/>
      <w:r>
        <w:rPr>
          <w:highlight w:val="none"/>
        </w:rPr>
      </w:r>
      <w:bookmarkStart w:id="136" w:name="_Ref467379195"/>
      <w:r>
        <w:rPr>
          <w:highlight w:val="none"/>
        </w:rPr>
      </w:r>
      <w:bookmarkStart w:id="137" w:name="_Toc279701240"/>
      <w:r>
        <w:rPr>
          <w:highlight w:val="none"/>
        </w:rPr>
      </w:r>
      <w:bookmarkStart w:id="138" w:name="_Toc31297"/>
      <w:r>
        <w:rPr>
          <w:highlight w:val="none"/>
        </w:rPr>
      </w:r>
      <w:bookmarkStart w:id="139" w:name="_Ref467378463"/>
      <w:r>
        <w:rPr>
          <w:highlight w:val="none"/>
        </w:rPr>
      </w:r>
      <w:bookmarkStart w:id="140" w:name="_Ref467379101"/>
      <w:r>
        <w:rPr>
          <w:highlight w:val="none"/>
        </w:rPr>
      </w:r>
      <w:bookmarkStart w:id="141" w:name="_Toc19680"/>
      <w:r>
        <w:rPr>
          <w:highlight w:val="none"/>
        </w:rPr>
      </w:r>
      <w:bookmarkStart w:id="142" w:name="_Ref467379214"/>
      <w:r>
        <w:rPr>
          <w:highlight w:val="none"/>
        </w:rPr>
      </w:r>
      <w:bookmarkStart w:id="143" w:name="_Ref467379094"/>
      <w:r>
        <w:rPr>
          <w:highlight w:val="none"/>
        </w:rPr>
      </w:r>
      <w:bookmarkStart w:id="144" w:name="_Toc487900349"/>
      <w:r>
        <w:rPr>
          <w:highlight w:val="none"/>
        </w:rPr>
      </w:r>
      <w:bookmarkStart w:id="145" w:name="_Ref467378499"/>
      <w:r>
        <w:rPr>
          <w:highlight w:val="none"/>
        </w:rPr>
      </w:r>
      <w:bookmarkStart w:id="146" w:name="_Ref467379109"/>
      <w:r>
        <w:rPr>
          <w:highlight w:val="none"/>
        </w:rPr>
      </w:r>
      <w:bookmarkStart w:id="147" w:name="_Ref467379205"/>
      <w:r>
        <w:rPr>
          <w:highlight w:val="none"/>
        </w:rPr>
      </w:r>
      <w:bookmarkStart w:id="148" w:name="_Ref467379225"/>
      <w:r>
        <w:rPr>
          <w:highlight w:val="none"/>
        </w:rPr>
      </w:r>
      <w:bookmarkStart w:id="149" w:name="_Toc259093669"/>
      <w:r>
        <w:rPr>
          <w:rFonts w:hint="eastAsia" w:ascii="宋体" w:hAnsi="宋体" w:eastAsia="宋体" w:cs="宋体"/>
          <w:b/>
          <w:color w:val="000000"/>
          <w:sz w:val="24"/>
          <w:szCs w:val="24"/>
          <w:highlight w:val="none"/>
        </w:rPr>
        <w:t xml:space="preserve">2.1 定义</w:t>
      </w:r>
      <w:bookmarkEnd w:id="132"/>
      <w:r>
        <w:rPr>
          <w:highlight w:val="none"/>
        </w:rPr>
      </w:r>
      <w:bookmarkEnd w:id="133"/>
      <w:r>
        <w:rPr>
          <w:highlight w:val="none"/>
        </w:rPr>
      </w:r>
      <w:bookmarkEnd w:id="134"/>
      <w:r>
        <w:rPr>
          <w:highlight w:val="none"/>
        </w:rPr>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highlight w:val="none"/>
        </w:rPr>
      </w:r>
      <w:bookmarkEnd w:id="144"/>
      <w:r>
        <w:rPr>
          <w:highlight w:val="none"/>
        </w:rPr>
      </w:r>
      <w:bookmarkEnd w:id="145"/>
      <w:r>
        <w:rPr>
          <w:highlight w:val="none"/>
        </w:rPr>
      </w:r>
      <w:bookmarkEnd w:id="146"/>
      <w:r>
        <w:rPr>
          <w:highlight w:val="none"/>
        </w:rPr>
      </w:r>
      <w:bookmarkEnd w:id="147"/>
      <w:r>
        <w:rPr>
          <w:highlight w:val="none"/>
        </w:rPr>
      </w:r>
      <w:bookmarkEnd w:id="148"/>
      <w:r>
        <w:rPr>
          <w:highlight w:val="none"/>
        </w:rPr>
      </w:r>
      <w:bookmarkEnd w:id="149"/>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签订的载明双方当事人所达成的协议，并包括所有的附件、附录和构成合同的其他文件。</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在完全履行合同义务后，采购人应支付给</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的价格。</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根据合同约定应向采购人履行的除货物和工程以外的其他政府采购对象，包括采购人自身需要的服务和向社会公众提供的公共服务。</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highlight w:val="none"/>
        </w:rPr>
      </w:r>
      <w:bookmarkStart w:id="150" w:name="_Ref467378840"/>
      <w:r>
        <w:rPr>
          <w:rFonts w:hint="eastAsia" w:ascii="宋体" w:hAnsi="宋体" w:eastAsia="宋体" w:cs="宋体"/>
          <w:color w:val="000000"/>
          <w:sz w:val="24"/>
          <w:szCs w:val="24"/>
          <w:highlight w:val="none"/>
        </w:rPr>
        <w:t xml:space="preserve">2.1.4 “甲方”系指与</w:t>
      </w:r>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签署合同的采购人</w:t>
      </w:r>
      <w:bookmarkEnd w:id="150"/>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highlight w:val="none"/>
        </w:rPr>
      </w:r>
      <w:bookmarkStart w:id="151" w:name="_Ref467379400"/>
      <w:r>
        <w:rPr>
          <w:rFonts w:hint="eastAsia" w:ascii="宋体" w:hAnsi="宋体" w:eastAsia="宋体" w:cs="宋体"/>
          <w:color w:val="000000"/>
          <w:sz w:val="24"/>
          <w:szCs w:val="24"/>
          <w:highlight w:val="none"/>
        </w:rPr>
        <w:t xml:space="preserve">2.1.5 “乙方”系指根据合同约定提供服务的</w:t>
      </w:r>
      <w:bookmarkEnd w:id="151"/>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highlight w:val="none"/>
        </w:rPr>
      </w:r>
      <w:bookmarkStart w:id="152" w:name="_Ref467379436"/>
      <w:r>
        <w:rPr>
          <w:rFonts w:hint="eastAsia" w:ascii="宋体" w:hAnsi="宋体" w:eastAsia="宋体" w:cs="宋体"/>
          <w:color w:val="000000"/>
          <w:sz w:val="24"/>
          <w:szCs w:val="24"/>
          <w:highlight w:val="none"/>
        </w:rPr>
        <w:t xml:space="preserve">2.1.6 “现场”系指合同约定提供服务的地点。</w:t>
      </w:r>
      <w:bookmarkEnd w:id="152"/>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153" w:name="_Toc23289"/>
      <w:r>
        <w:rPr>
          <w:highlight w:val="none"/>
        </w:rPr>
      </w:r>
      <w:bookmarkStart w:id="154" w:name="_Toc3769"/>
      <w:r>
        <w:rPr>
          <w:highlight w:val="none"/>
        </w:rPr>
      </w:r>
      <w:bookmarkStart w:id="155" w:name="_Toc31402"/>
      <w:r>
        <w:rPr>
          <w:highlight w:val="none"/>
        </w:rPr>
      </w:r>
      <w:bookmarkStart w:id="156" w:name="_Toc259093670"/>
      <w:r>
        <w:rPr>
          <w:highlight w:val="none"/>
        </w:rPr>
      </w:r>
      <w:bookmarkStart w:id="157" w:name="_Toc19539"/>
      <w:r>
        <w:rPr>
          <w:highlight w:val="none"/>
        </w:rPr>
      </w:r>
      <w:bookmarkStart w:id="158" w:name="_Toc279701241"/>
      <w:r>
        <w:rPr>
          <w:highlight w:val="none"/>
        </w:rPr>
      </w:r>
      <w:bookmarkStart w:id="159" w:name="_Toc16752"/>
      <w:r>
        <w:rPr>
          <w:highlight w:val="none"/>
        </w:rPr>
      </w:r>
      <w:bookmarkStart w:id="160" w:name="_Toc487900350"/>
      <w:r>
        <w:rPr>
          <w:rFonts w:hint="eastAsia" w:ascii="宋体" w:hAnsi="宋体" w:eastAsia="宋体" w:cs="宋体"/>
          <w:b/>
          <w:color w:val="000000"/>
          <w:sz w:val="24"/>
          <w:szCs w:val="24"/>
          <w:highlight w:val="none"/>
        </w:rPr>
        <w:t xml:space="preserve">2.2 技术规范</w:t>
      </w:r>
      <w:bookmarkEnd w:id="153"/>
      <w:r>
        <w:rPr>
          <w:highlight w:val="none"/>
        </w:rPr>
      </w:r>
      <w:bookmarkEnd w:id="154"/>
      <w:r>
        <w:rPr>
          <w:highlight w:val="none"/>
        </w:rPr>
      </w:r>
      <w:bookmarkEnd w:id="155"/>
      <w:r>
        <w:rPr>
          <w:highlight w:val="none"/>
        </w:rPr>
      </w:r>
      <w:bookmarkEnd w:id="156"/>
      <w:r>
        <w:rPr>
          <w:highlight w:val="none"/>
        </w:rPr>
      </w:r>
      <w:bookmarkEnd w:id="157"/>
      <w:r>
        <w:rPr>
          <w:highlight w:val="none"/>
        </w:rPr>
      </w:r>
      <w:bookmarkEnd w:id="158"/>
      <w:r>
        <w:rPr>
          <w:highlight w:val="none"/>
        </w:rPr>
      </w:r>
      <w:bookmarkEnd w:id="159"/>
      <w:r>
        <w:rPr>
          <w:highlight w:val="none"/>
        </w:rPr>
      </w:r>
      <w:bookmarkEnd w:id="160"/>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161" w:name="_Toc487900351"/>
      <w:r>
        <w:rPr>
          <w:highlight w:val="none"/>
        </w:rPr>
      </w:r>
      <w:bookmarkStart w:id="162" w:name="_Toc279701242"/>
      <w:r>
        <w:rPr>
          <w:highlight w:val="none"/>
        </w:rPr>
      </w:r>
      <w:bookmarkStart w:id="163" w:name="_Toc4133"/>
      <w:r>
        <w:rPr>
          <w:highlight w:val="none"/>
        </w:rPr>
      </w:r>
      <w:bookmarkStart w:id="164" w:name="_Toc12412"/>
      <w:r>
        <w:rPr>
          <w:highlight w:val="none"/>
        </w:rPr>
      </w:r>
      <w:bookmarkStart w:id="165" w:name="_Toc27945"/>
      <w:r>
        <w:rPr>
          <w:highlight w:val="none"/>
        </w:rPr>
      </w:r>
      <w:bookmarkStart w:id="166" w:name="_Toc9161"/>
      <w:r>
        <w:rPr>
          <w:highlight w:val="none"/>
        </w:rPr>
      </w:r>
      <w:bookmarkStart w:id="167" w:name="_Toc13673"/>
      <w:r>
        <w:rPr>
          <w:highlight w:val="none"/>
        </w:rPr>
      </w:r>
      <w:bookmarkStart w:id="168" w:name="_Toc259093671"/>
      <w:r>
        <w:rPr>
          <w:rFonts w:hint="eastAsia" w:ascii="宋体" w:hAnsi="宋体" w:eastAsia="宋体" w:cs="宋体"/>
          <w:b/>
          <w:color w:val="000000"/>
          <w:sz w:val="24"/>
          <w:szCs w:val="24"/>
          <w:highlight w:val="none"/>
        </w:rPr>
        <w:t xml:space="preserve">2.3 知识产权</w:t>
      </w:r>
      <w:bookmarkEnd w:id="161"/>
      <w:r>
        <w:rPr>
          <w:highlight w:val="none"/>
        </w:rPr>
      </w:r>
      <w:bookmarkEnd w:id="162"/>
      <w:r>
        <w:rPr>
          <w:highlight w:val="none"/>
        </w:rPr>
      </w:r>
      <w:bookmarkEnd w:id="163"/>
      <w:r>
        <w:rPr>
          <w:highlight w:val="none"/>
        </w:rPr>
      </w:r>
      <w:bookmarkEnd w:id="164"/>
      <w:r>
        <w:rPr>
          <w:highlight w:val="none"/>
        </w:rPr>
      </w:r>
      <w:bookmarkEnd w:id="165"/>
      <w:r>
        <w:rPr>
          <w:highlight w:val="none"/>
        </w:rPr>
      </w:r>
      <w:bookmarkEnd w:id="166"/>
      <w:r>
        <w:rPr>
          <w:highlight w:val="none"/>
        </w:rPr>
      </w:r>
      <w:bookmarkEnd w:id="167"/>
      <w:r>
        <w:rPr>
          <w:highlight w:val="none"/>
        </w:rPr>
      </w:r>
      <w:bookmarkEnd w:id="168"/>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技术成果在甲方支付了相应费用后归属甲方。</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highlight w:val="none"/>
        </w:rPr>
      </w:r>
      <w:bookmarkStart w:id="169" w:name="_Ref467379657"/>
      <w:r>
        <w:rPr>
          <w:rFonts w:hint="eastAsia" w:ascii="宋体" w:hAnsi="宋体" w:eastAsia="宋体" w:cs="宋体"/>
          <w:color w:val="000000"/>
          <w:sz w:val="24"/>
          <w:szCs w:val="24"/>
          <w:highlight w:val="none"/>
        </w:rPr>
        <w:t xml:space="preserve">2.4.1</w:t>
      </w:r>
      <w:bookmarkEnd w:id="169"/>
      <w:r>
        <w:rPr>
          <w:highlight w:val="none"/>
        </w:rPr>
      </w:r>
      <w:bookmarkStart w:id="170" w:name="_Toc186431854"/>
      <w:r>
        <w:rPr>
          <w:highlight w:val="none"/>
        </w:rPr>
      </w:r>
      <w:bookmarkStart w:id="171" w:name="_Ref467379793"/>
      <w:r>
        <w:rPr>
          <w:highlight w:val="none"/>
        </w:rPr>
      </w:r>
      <w:bookmarkStart w:id="172" w:name="_Toc279701247"/>
      <w:r>
        <w:rPr>
          <w:highlight w:val="none"/>
        </w:rPr>
      </w:r>
      <w:bookmarkStart w:id="173" w:name="_Ref467379807"/>
      <w:r>
        <w:rPr>
          <w:highlight w:val="none"/>
        </w:rPr>
      </w:r>
      <w:bookmarkStart w:id="174" w:name="_Toc487900357"/>
      <w:r>
        <w:rPr>
          <w:highlight w:val="none"/>
        </w:rPr>
      </w:r>
      <w:bookmarkStart w:id="175" w:name="_Toc259093676"/>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170"/>
      <w:r>
        <w:rPr>
          <w:highlight w:val="none"/>
        </w:rPr>
      </w:r>
      <w:bookmarkStart w:id="176" w:name="_Toc186431855"/>
      <w:r>
        <w:rPr>
          <w:rFonts w:hint="eastAsia" w:ascii="宋体" w:hAnsi="宋体" w:eastAsia="宋体" w:cs="宋体"/>
          <w:color w:val="000000"/>
          <w:sz w:val="24"/>
          <w:szCs w:val="24"/>
          <w:highlight w:val="none"/>
        </w:rPr>
        <w:t xml:space="preserve">。</w:t>
      </w:r>
      <w:bookmarkEnd w:id="171"/>
      <w:r>
        <w:rPr>
          <w:highlight w:val="none"/>
        </w:rPr>
      </w:r>
      <w:bookmarkEnd w:id="172"/>
      <w:r>
        <w:rPr>
          <w:highlight w:val="none"/>
        </w:rPr>
      </w:r>
      <w:bookmarkEnd w:id="173"/>
      <w:r>
        <w:rPr>
          <w:highlight w:val="none"/>
        </w:rPr>
      </w:r>
      <w:bookmarkEnd w:id="174"/>
      <w:r>
        <w:rPr>
          <w:highlight w:val="none"/>
        </w:rPr>
      </w:r>
      <w:bookmarkEnd w:id="175"/>
      <w:r>
        <w:rPr>
          <w:highlight w:val="none"/>
        </w:rPr>
      </w:r>
      <w:bookmarkEnd w:id="176"/>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177" w:name="_Ref467379863"/>
      <w:r>
        <w:rPr>
          <w:highlight w:val="none"/>
        </w:rPr>
      </w:r>
      <w:bookmarkStart w:id="178" w:name="_Ref467379852"/>
      <w:r>
        <w:rPr>
          <w:highlight w:val="none"/>
        </w:rPr>
      </w:r>
      <w:bookmarkStart w:id="179" w:name="_Toc279701248"/>
      <w:r>
        <w:rPr>
          <w:highlight w:val="none"/>
        </w:rPr>
      </w:r>
      <w:bookmarkStart w:id="180" w:name="_Toc259093677"/>
      <w:r>
        <w:rPr>
          <w:highlight w:val="none"/>
        </w:rPr>
      </w:r>
      <w:bookmarkStart w:id="181" w:name="_Toc18990"/>
      <w:r>
        <w:rPr>
          <w:highlight w:val="none"/>
        </w:rPr>
      </w:r>
      <w:bookmarkStart w:id="182" w:name="_Toc30507"/>
      <w:r>
        <w:rPr>
          <w:highlight w:val="none"/>
        </w:rPr>
      </w:r>
      <w:bookmarkStart w:id="183" w:name="_Toc13154"/>
      <w:r>
        <w:rPr>
          <w:highlight w:val="none"/>
        </w:rPr>
      </w:r>
      <w:bookmarkStart w:id="184" w:name="_Toc13467"/>
      <w:r>
        <w:rPr>
          <w:highlight w:val="none"/>
        </w:rPr>
      </w:r>
      <w:bookmarkStart w:id="185" w:name="_Toc16163"/>
      <w:r>
        <w:rPr>
          <w:highlight w:val="none"/>
        </w:rPr>
      </w:r>
      <w:bookmarkStart w:id="186" w:name="_Toc487900358"/>
      <w:r>
        <w:rPr>
          <w:highlight w:val="none"/>
        </w:rPr>
      </w:r>
      <w:bookmarkStart w:id="187" w:name="_Ref467379923"/>
      <w:r>
        <w:rPr>
          <w:rFonts w:hint="eastAsia" w:ascii="宋体" w:hAnsi="宋体" w:eastAsia="宋体" w:cs="宋体"/>
          <w:b/>
          <w:color w:val="000000"/>
          <w:sz w:val="24"/>
          <w:szCs w:val="24"/>
          <w:highlight w:val="none"/>
        </w:rPr>
        <w:t xml:space="preserve">2.5 技术资料</w:t>
      </w:r>
      <w:bookmarkEnd w:id="177"/>
      <w:r>
        <w:rPr>
          <w:highlight w:val="none"/>
        </w:rPr>
      </w:r>
      <w:bookmarkEnd w:id="178"/>
      <w:r>
        <w:rPr>
          <w:highlight w:val="none"/>
        </w:rPr>
      </w:r>
      <w:bookmarkEnd w:id="179"/>
      <w:r>
        <w:rPr>
          <w:highlight w:val="none"/>
        </w:rPr>
      </w:r>
      <w:bookmarkEnd w:id="180"/>
      <w:r>
        <w:rPr>
          <w:highlight w:val="none"/>
        </w:rPr>
      </w:r>
      <w:bookmarkEnd w:id="186"/>
      <w:r>
        <w:rPr>
          <w:highlight w:val="none"/>
        </w:rPr>
      </w:r>
      <w:bookmarkEnd w:id="187"/>
      <w:r>
        <w:rPr>
          <w:rFonts w:hint="eastAsia" w:ascii="宋体" w:hAnsi="宋体" w:eastAsia="宋体" w:cs="宋体"/>
          <w:b/>
          <w:color w:val="000000"/>
          <w:sz w:val="24"/>
          <w:szCs w:val="24"/>
          <w:highlight w:val="none"/>
        </w:rPr>
        <w:t xml:space="preserve">和保密义务</w:t>
      </w:r>
      <w:bookmarkEnd w:id="181"/>
      <w:r>
        <w:rPr>
          <w:highlight w:val="none"/>
        </w:rPr>
      </w:r>
      <w:bookmarkEnd w:id="182"/>
      <w:r>
        <w:rPr>
          <w:highlight w:val="none"/>
        </w:rPr>
      </w:r>
      <w:bookmarkEnd w:id="183"/>
      <w:r>
        <w:rPr>
          <w:highlight w:val="none"/>
        </w:rPr>
      </w:r>
      <w:bookmarkEnd w:id="184"/>
      <w:r>
        <w:rPr>
          <w:highlight w:val="none"/>
        </w:rPr>
      </w:r>
      <w:bookmarkEnd w:id="185"/>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188" w:name="_Toc487900362"/>
      <w:r>
        <w:rPr>
          <w:highlight w:val="none"/>
        </w:rPr>
      </w:r>
      <w:bookmarkStart w:id="189" w:name="_Toc259093681"/>
      <w:r>
        <w:rPr>
          <w:highlight w:val="none"/>
        </w:rPr>
      </w:r>
      <w:bookmarkStart w:id="190" w:name="_Toc19069"/>
      <w:r>
        <w:rPr>
          <w:highlight w:val="none"/>
        </w:rPr>
      </w:r>
      <w:bookmarkStart w:id="191" w:name="_Toc279701252"/>
      <w:r>
        <w:rPr>
          <w:rFonts w:hint="eastAsia" w:ascii="宋体" w:hAnsi="宋体" w:eastAsia="宋体" w:cs="宋体"/>
          <w:b/>
          <w:color w:val="000000"/>
          <w:sz w:val="24"/>
          <w:szCs w:val="24"/>
          <w:highlight w:val="none"/>
        </w:rPr>
        <w:t xml:space="preserve">2.6 质量保证</w:t>
      </w:r>
      <w:bookmarkEnd w:id="190"/>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192" w:name="_Toc22267"/>
      <w:r>
        <w:rPr>
          <w:rFonts w:hint="eastAsia" w:ascii="宋体" w:hAnsi="宋体" w:eastAsia="宋体" w:cs="宋体"/>
          <w:b/>
          <w:color w:val="000000"/>
          <w:sz w:val="24"/>
          <w:szCs w:val="24"/>
          <w:highlight w:val="none"/>
        </w:rPr>
        <w:t xml:space="preserve">2.7 延迟</w:t>
      </w:r>
      <w:bookmarkEnd w:id="188"/>
      <w:r>
        <w:rPr>
          <w:highlight w:val="none"/>
        </w:rPr>
      </w:r>
      <w:bookmarkEnd w:id="189"/>
      <w:r>
        <w:rPr>
          <w:highlight w:val="none"/>
        </w:rPr>
      </w:r>
      <w:bookmarkEnd w:id="191"/>
      <w:r>
        <w:rPr>
          <w:rFonts w:hint="eastAsia" w:ascii="宋体" w:hAnsi="宋体" w:eastAsia="宋体" w:cs="宋体"/>
          <w:b/>
          <w:color w:val="000000"/>
          <w:sz w:val="24"/>
          <w:szCs w:val="24"/>
          <w:highlight w:val="none"/>
        </w:rPr>
        <w:t xml:space="preserve">履行</w:t>
      </w:r>
      <w:bookmarkEnd w:id="192"/>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193" w:name="_Toc10611"/>
      <w:r>
        <w:rPr>
          <w:highlight w:val="none"/>
        </w:rPr>
      </w:r>
      <w:bookmarkStart w:id="194" w:name="_Toc487900364"/>
      <w:r>
        <w:rPr>
          <w:highlight w:val="none"/>
        </w:rPr>
      </w:r>
      <w:bookmarkStart w:id="195" w:name="_Ref467378121"/>
      <w:r>
        <w:rPr>
          <w:highlight w:val="none"/>
        </w:rPr>
      </w:r>
      <w:bookmarkStart w:id="196" w:name="_Toc259093683"/>
      <w:r>
        <w:rPr>
          <w:highlight w:val="none"/>
        </w:rPr>
      </w:r>
      <w:bookmarkStart w:id="197" w:name="_Toc279701254"/>
      <w:r>
        <w:rPr>
          <w:rFonts w:hint="eastAsia" w:ascii="宋体" w:hAnsi="宋体" w:eastAsia="宋体" w:cs="宋体"/>
          <w:b/>
          <w:color w:val="000000"/>
          <w:sz w:val="24"/>
          <w:szCs w:val="24"/>
          <w:highlight w:val="none"/>
        </w:rPr>
        <w:t xml:space="preserve">2.8 合同变更</w:t>
      </w:r>
      <w:bookmarkEnd w:id="193"/>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198" w:name="_Toc487900369"/>
      <w:r>
        <w:rPr>
          <w:highlight w:val="none"/>
        </w:rPr>
      </w:r>
      <w:bookmarkStart w:id="199" w:name="_Toc279701259"/>
      <w:r>
        <w:rPr>
          <w:highlight w:val="none"/>
        </w:rPr>
      </w:r>
      <w:bookmarkStart w:id="200" w:name="_Toc259093688"/>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201" w:name="_Toc26689"/>
      <w:r>
        <w:rPr>
          <w:highlight w:val="none"/>
        </w:rPr>
      </w:r>
      <w:bookmarkStart w:id="202" w:name="_Toc23368"/>
      <w:r>
        <w:rPr>
          <w:highlight w:val="none"/>
        </w:rPr>
      </w:r>
      <w:bookmarkStart w:id="203" w:name="_Toc21830"/>
      <w:r>
        <w:rPr>
          <w:highlight w:val="none"/>
        </w:rPr>
      </w:r>
      <w:bookmarkStart w:id="204" w:name="_Toc10663"/>
      <w:r>
        <w:rPr>
          <w:highlight w:val="none"/>
        </w:rPr>
      </w:r>
      <w:bookmarkStart w:id="205" w:name="_Toc42"/>
      <w:r>
        <w:rPr>
          <w:rFonts w:hint="eastAsia" w:ascii="宋体" w:hAnsi="宋体" w:eastAsia="宋体" w:cs="宋体"/>
          <w:b/>
          <w:color w:val="000000"/>
          <w:sz w:val="24"/>
          <w:szCs w:val="24"/>
          <w:highlight w:val="none"/>
        </w:rPr>
        <w:t xml:space="preserve">2.9 合同转让</w:t>
      </w:r>
      <w:bookmarkEnd w:id="198"/>
      <w:r>
        <w:rPr>
          <w:highlight w:val="none"/>
        </w:rPr>
      </w:r>
      <w:bookmarkEnd w:id="199"/>
      <w:r>
        <w:rPr>
          <w:highlight w:val="none"/>
        </w:rPr>
      </w:r>
      <w:bookmarkEnd w:id="200"/>
      <w:r>
        <w:rPr>
          <w:rFonts w:hint="eastAsia" w:ascii="宋体" w:hAnsi="宋体" w:eastAsia="宋体" w:cs="宋体"/>
          <w:b/>
          <w:color w:val="000000"/>
          <w:sz w:val="24"/>
          <w:szCs w:val="24"/>
          <w:highlight w:val="none"/>
        </w:rPr>
        <w:t xml:space="preserve">和分包</w:t>
      </w:r>
      <w:bookmarkEnd w:id="201"/>
      <w:r>
        <w:rPr>
          <w:highlight w:val="none"/>
        </w:rPr>
      </w:r>
      <w:bookmarkEnd w:id="202"/>
      <w:r>
        <w:rPr>
          <w:highlight w:val="none"/>
        </w:rPr>
      </w:r>
      <w:bookmarkEnd w:id="203"/>
      <w:r>
        <w:rPr>
          <w:highlight w:val="none"/>
        </w:rPr>
      </w:r>
      <w:bookmarkEnd w:id="204"/>
      <w:r>
        <w:rPr>
          <w:highlight w:val="none"/>
        </w:rPr>
      </w:r>
      <w:bookmarkEnd w:id="205"/>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合同的权利义务依法不得转让，如</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“第一章 报价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206" w:name="_Toc4720"/>
      <w:r>
        <w:rPr>
          <w:highlight w:val="none"/>
        </w:rPr>
      </w:r>
      <w:bookmarkStart w:id="207" w:name="_Toc26633"/>
      <w:r>
        <w:rPr>
          <w:highlight w:val="none"/>
        </w:rPr>
      </w:r>
      <w:bookmarkStart w:id="208" w:name="_Toc25571"/>
      <w:r>
        <w:rPr>
          <w:highlight w:val="none"/>
        </w:rPr>
      </w:r>
      <w:bookmarkStart w:id="209" w:name="_Toc14371"/>
      <w:r>
        <w:rPr>
          <w:highlight w:val="none"/>
        </w:rPr>
      </w:r>
      <w:bookmarkStart w:id="210" w:name="_Toc32494"/>
      <w:r>
        <w:rPr>
          <w:rFonts w:hint="eastAsia" w:ascii="宋体" w:hAnsi="宋体" w:eastAsia="宋体" w:cs="宋体"/>
          <w:b/>
          <w:color w:val="000000"/>
          <w:sz w:val="24"/>
          <w:szCs w:val="24"/>
          <w:highlight w:val="none"/>
        </w:rPr>
        <w:t xml:space="preserve">2.10 不可抗力</w:t>
      </w:r>
      <w:bookmarkEnd w:id="206"/>
      <w:r>
        <w:rPr>
          <w:highlight w:val="none"/>
        </w:rPr>
      </w:r>
      <w:bookmarkEnd w:id="207"/>
      <w:r>
        <w:rPr>
          <w:highlight w:val="none"/>
        </w:rPr>
      </w:r>
      <w:bookmarkEnd w:id="208"/>
      <w:r>
        <w:rPr>
          <w:highlight w:val="none"/>
        </w:rPr>
      </w:r>
      <w:bookmarkEnd w:id="209"/>
      <w:r>
        <w:rPr>
          <w:highlight w:val="none"/>
        </w:rPr>
      </w:r>
      <w:bookmarkEnd w:id="210"/>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因不可抗力致使合同有变更必要的，双方当事人应在约定时间内以书面形式变更合同；</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4"/>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4"/>
          <w:highlight w:val="none"/>
        </w:rPr>
        <w:t xml:space="preserve">将有关部门出具的证明文件送达对方当事人，</w:t>
      </w:r>
      <w:r>
        <w:rPr>
          <w:rFonts w:hint="eastAsia" w:ascii="宋体" w:hAnsi="宋体" w:eastAsia="宋体" w:cs="Times New Roman"/>
          <w:bCs/>
          <w:color w:val="000000"/>
          <w:sz w:val="24"/>
          <w:szCs w:val="24"/>
          <w:highlight w:val="none"/>
          <w:lang w:val="zh-CN"/>
        </w:rPr>
        <w:t xml:space="preserve">积极采取措施防止损失扩大。因不可抗力造成的损失，甲乙双方按照法律规定处理；</w:t>
      </w:r>
      <w:r>
        <w:rPr>
          <w:rFonts w:ascii="宋体" w:hAnsi="宋体" w:eastAsia="宋体" w:cs="Times New Roman"/>
          <w:bCs/>
          <w:color w:val="000000"/>
          <w:sz w:val="24"/>
          <w:szCs w:val="24"/>
          <w:highlight w:val="none"/>
          <w:lang w:val="zh-CN"/>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2.10.5 “</w:t>
      </w:r>
      <w:r>
        <w:rPr>
          <w:rFonts w:hint="eastAsia" w:ascii="宋体" w:hAnsi="宋体" w:eastAsia="宋体" w:cs="Times New Roman"/>
          <w:bCs/>
          <w:color w:val="000000"/>
          <w:sz w:val="24"/>
          <w:szCs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211" w:name="_Toc487900365"/>
      <w:r>
        <w:rPr>
          <w:highlight w:val="none"/>
        </w:rPr>
      </w:r>
      <w:bookmarkStart w:id="212" w:name="_Toc24465"/>
      <w:r>
        <w:rPr>
          <w:highlight w:val="none"/>
        </w:rPr>
      </w:r>
      <w:bookmarkStart w:id="213" w:name="_Toc14115"/>
      <w:r>
        <w:rPr>
          <w:highlight w:val="none"/>
        </w:rPr>
      </w:r>
      <w:bookmarkStart w:id="214" w:name="_Toc3638"/>
      <w:r>
        <w:rPr>
          <w:highlight w:val="none"/>
        </w:rPr>
      </w:r>
      <w:bookmarkStart w:id="215" w:name="_Toc259093684"/>
      <w:r>
        <w:rPr>
          <w:highlight w:val="none"/>
        </w:rPr>
      </w:r>
      <w:bookmarkStart w:id="216" w:name="_Toc25783"/>
      <w:r>
        <w:rPr>
          <w:highlight w:val="none"/>
        </w:rPr>
      </w:r>
      <w:bookmarkStart w:id="217" w:name="_Toc279701255"/>
      <w:r>
        <w:rPr>
          <w:highlight w:val="none"/>
        </w:rPr>
      </w:r>
      <w:bookmarkStart w:id="218" w:name="_Toc23854"/>
      <w:r>
        <w:rPr>
          <w:rFonts w:hint="eastAsia" w:ascii="宋体" w:hAnsi="宋体" w:eastAsia="宋体" w:cs="宋体"/>
          <w:b/>
          <w:color w:val="000000"/>
          <w:sz w:val="24"/>
          <w:szCs w:val="24"/>
          <w:highlight w:val="none"/>
        </w:rPr>
        <w:t xml:space="preserve">2.11 税费</w:t>
      </w:r>
      <w:bookmarkEnd w:id="211"/>
      <w:r>
        <w:rPr>
          <w:highlight w:val="none"/>
        </w:rPr>
      </w:r>
      <w:bookmarkEnd w:id="212"/>
      <w:r>
        <w:rPr>
          <w:highlight w:val="none"/>
        </w:rPr>
      </w:r>
      <w:bookmarkEnd w:id="213"/>
      <w:r>
        <w:rPr>
          <w:highlight w:val="none"/>
        </w:rPr>
      </w:r>
      <w:bookmarkEnd w:id="214"/>
      <w:r>
        <w:rPr>
          <w:highlight w:val="none"/>
        </w:rPr>
      </w:r>
      <w:bookmarkEnd w:id="215"/>
      <w:r>
        <w:rPr>
          <w:highlight w:val="none"/>
        </w:rPr>
      </w:r>
      <w:bookmarkEnd w:id="216"/>
      <w:r>
        <w:rPr>
          <w:highlight w:val="none"/>
        </w:rPr>
      </w:r>
      <w:bookmarkEnd w:id="217"/>
      <w:r>
        <w:rPr>
          <w:highlight w:val="none"/>
        </w:rPr>
      </w:r>
      <w:bookmarkEnd w:id="218"/>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219" w:name="_Toc279701258"/>
      <w:r>
        <w:rPr>
          <w:highlight w:val="none"/>
        </w:rPr>
      </w:r>
      <w:bookmarkStart w:id="220" w:name="_Toc487900368"/>
      <w:r>
        <w:rPr>
          <w:highlight w:val="none"/>
        </w:rPr>
      </w:r>
      <w:bookmarkStart w:id="221" w:name="_Toc7315"/>
      <w:r>
        <w:rPr>
          <w:highlight w:val="none"/>
        </w:rPr>
      </w:r>
      <w:bookmarkStart w:id="222" w:name="_Toc30105"/>
      <w:r>
        <w:rPr>
          <w:highlight w:val="none"/>
        </w:rPr>
      </w:r>
      <w:bookmarkStart w:id="223" w:name="_Toc26883"/>
      <w:r>
        <w:rPr>
          <w:highlight w:val="none"/>
        </w:rPr>
      </w:r>
      <w:bookmarkStart w:id="224" w:name="_Toc25525"/>
      <w:r>
        <w:rPr>
          <w:highlight w:val="none"/>
        </w:rPr>
      </w:r>
      <w:bookmarkStart w:id="225" w:name="_Toc259093687"/>
      <w:r>
        <w:rPr>
          <w:highlight w:val="none"/>
        </w:rPr>
      </w:r>
      <w:bookmarkStart w:id="226" w:name="_Toc14814"/>
      <w:r>
        <w:rPr>
          <w:rFonts w:hint="eastAsia" w:ascii="宋体" w:hAnsi="宋体" w:eastAsia="宋体" w:cs="宋体"/>
          <w:b/>
          <w:color w:val="000000"/>
          <w:sz w:val="24"/>
          <w:szCs w:val="24"/>
          <w:highlight w:val="none"/>
        </w:rPr>
        <w:t xml:space="preserve">2.12 乙方破产</w:t>
      </w:r>
      <w:bookmarkEnd w:id="219"/>
      <w:r>
        <w:rPr>
          <w:highlight w:val="none"/>
        </w:rPr>
      </w:r>
      <w:bookmarkEnd w:id="220"/>
      <w:r>
        <w:rPr>
          <w:highlight w:val="none"/>
        </w:rPr>
      </w:r>
      <w:bookmarkEnd w:id="221"/>
      <w:r>
        <w:rPr>
          <w:highlight w:val="none"/>
        </w:rPr>
      </w:r>
      <w:bookmarkEnd w:id="222"/>
      <w:r>
        <w:rPr>
          <w:highlight w:val="none"/>
        </w:rPr>
      </w:r>
      <w:bookmarkEnd w:id="223"/>
      <w:r>
        <w:rPr>
          <w:highlight w:val="none"/>
        </w:rPr>
      </w:r>
      <w:bookmarkEnd w:id="224"/>
      <w:r>
        <w:rPr>
          <w:highlight w:val="none"/>
        </w:rPr>
      </w:r>
      <w:bookmarkEnd w:id="225"/>
      <w:r>
        <w:rPr>
          <w:highlight w:val="none"/>
        </w:rPr>
      </w:r>
      <w:bookmarkEnd w:id="226"/>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227" w:name="_Toc2016"/>
      <w:r>
        <w:rPr>
          <w:highlight w:val="none"/>
        </w:rPr>
      </w:r>
      <w:bookmarkStart w:id="228" w:name="_Toc23323"/>
      <w:r>
        <w:rPr>
          <w:highlight w:val="none"/>
        </w:rPr>
      </w:r>
      <w:bookmarkStart w:id="229" w:name="_Toc1123"/>
      <w:r>
        <w:rPr>
          <w:rFonts w:hint="eastAsia" w:ascii="宋体" w:hAnsi="宋体" w:eastAsia="宋体" w:cs="宋体"/>
          <w:b/>
          <w:color w:val="000000"/>
          <w:sz w:val="24"/>
          <w:szCs w:val="24"/>
          <w:highlight w:val="none"/>
        </w:rPr>
        <w:t xml:space="preserve">2.13 合同中止、终止</w:t>
      </w:r>
      <w:bookmarkEnd w:id="227"/>
      <w:r>
        <w:rPr>
          <w:highlight w:val="none"/>
        </w:rPr>
      </w:r>
      <w:bookmarkEnd w:id="228"/>
      <w:r>
        <w:rPr>
          <w:highlight w:val="none"/>
        </w:rPr>
      </w:r>
      <w:bookmarkEnd w:id="229"/>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230" w:name="_Toc1969"/>
      <w:r>
        <w:rPr>
          <w:highlight w:val="none"/>
        </w:rPr>
      </w:r>
      <w:bookmarkStart w:id="231" w:name="_Toc14525"/>
      <w:r>
        <w:rPr>
          <w:highlight w:val="none"/>
        </w:rPr>
      </w:r>
      <w:bookmarkStart w:id="232" w:name="_Toc17363"/>
      <w:r>
        <w:rPr>
          <w:rFonts w:hint="eastAsia" w:ascii="宋体" w:hAnsi="宋体" w:eastAsia="宋体" w:cs="宋体"/>
          <w:b/>
          <w:color w:val="000000"/>
          <w:sz w:val="24"/>
          <w:szCs w:val="24"/>
          <w:highlight w:val="none"/>
        </w:rPr>
        <w:t xml:space="preserve">2.14 检验和验收</w:t>
      </w:r>
      <w:bookmarkEnd w:id="230"/>
      <w:r>
        <w:rPr>
          <w:highlight w:val="none"/>
        </w:rPr>
      </w:r>
      <w:bookmarkEnd w:id="231"/>
      <w:r>
        <w:rPr>
          <w:highlight w:val="none"/>
        </w:rPr>
      </w:r>
      <w:bookmarkEnd w:id="232"/>
      <w:r>
        <w:rPr>
          <w:rFonts w:ascii="宋体" w:hAnsi="宋体" w:eastAsia="宋体" w:cs="宋体"/>
          <w:b/>
          <w:color w:val="000000"/>
          <w:sz w:val="24"/>
          <w:szCs w:val="24"/>
          <w:highlight w:val="none"/>
        </w:rPr>
      </w:r>
      <w:r>
        <w:rPr>
          <w:highlight w:val="none"/>
        </w:rPr>
      </w:r>
    </w:p>
    <w:p>
      <w:pPr>
        <w:pStyle w:val="760"/>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对于乙方提交的各阶段工作成果以及乙方按照甲方书面意见进行修改后的工作成果（以下简称“修改后的成果”），甲方应在乙方提交各阶段工作成果或修改后的成果之日起十（</w:t>
      </w:r>
      <w:r>
        <w:rPr>
          <w:rFonts w:ascii="宋体" w:hAnsi="宋体" w:eastAsia="宋体" w:cs="宋体"/>
          <w:color w:val="000000"/>
          <w:sz w:val="24"/>
          <w:szCs w:val="24"/>
          <w:highlight w:val="none"/>
        </w:rPr>
        <w:t xml:space="preserve">10）日内提出明确具体的书面修改要求和修改意见（以下简称“书面意见”），且该等书面意见应当合理并具有可操作性。甲方逾期未提出书面意见，或甲方直接通知乙方开始下阶段服务工作的，视为甲方认可并接受乙方提交的阶段工作成果或修改后的成果。</w:t>
      </w:r>
      <w:r>
        <w:rPr>
          <w:rFonts w:ascii="宋体" w:hAnsi="宋体" w:eastAsia="宋体" w:cs="宋体"/>
          <w:color w:val="000000"/>
          <w:sz w:val="24"/>
          <w:szCs w:val="24"/>
          <w:highlight w:val="none"/>
        </w:rPr>
      </w:r>
      <w:r>
        <w:rPr>
          <w:highlight w:val="none"/>
        </w:rPr>
      </w:r>
    </w:p>
    <w:p>
      <w:pPr>
        <w:pStyle w:val="760"/>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194"/>
      <w:r>
        <w:rPr>
          <w:highlight w:val="none"/>
        </w:rPr>
      </w:r>
      <w:bookmarkEnd w:id="195"/>
      <w:r>
        <w:rPr>
          <w:highlight w:val="none"/>
        </w:rPr>
      </w:r>
      <w:bookmarkEnd w:id="196"/>
      <w:r>
        <w:rPr>
          <w:highlight w:val="none"/>
        </w:rPr>
      </w:r>
      <w:bookmarkEnd w:id="197"/>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233" w:name="_Toc259093690"/>
      <w:r>
        <w:rPr>
          <w:highlight w:val="none"/>
        </w:rPr>
      </w:r>
      <w:bookmarkStart w:id="234" w:name="_Toc487900371"/>
      <w:r>
        <w:rPr>
          <w:highlight w:val="none"/>
        </w:rPr>
      </w:r>
      <w:bookmarkStart w:id="235" w:name="_Toc279701261"/>
      <w:r>
        <w:rPr>
          <w:highlight w:val="none"/>
        </w:rPr>
      </w:r>
      <w:bookmarkStart w:id="236" w:name="_Toc12666"/>
      <w:r>
        <w:rPr>
          <w:highlight w:val="none"/>
        </w:rPr>
      </w:r>
      <w:bookmarkStart w:id="237" w:name="_Toc2308"/>
      <w:r>
        <w:rPr>
          <w:highlight w:val="none"/>
        </w:rPr>
      </w:r>
      <w:bookmarkStart w:id="238" w:name="_Toc31892"/>
      <w:r>
        <w:rPr>
          <w:highlight w:val="none"/>
        </w:rPr>
      </w:r>
      <w:bookmarkStart w:id="239" w:name="_Toc9808"/>
      <w:r>
        <w:rPr>
          <w:highlight w:val="none"/>
        </w:rPr>
      </w:r>
      <w:bookmarkStart w:id="240" w:name="_Toc25198"/>
      <w:r>
        <w:rPr>
          <w:rFonts w:hint="eastAsia" w:ascii="宋体" w:hAnsi="宋体" w:eastAsia="宋体" w:cs="宋体"/>
          <w:b/>
          <w:color w:val="000000"/>
          <w:sz w:val="24"/>
          <w:szCs w:val="24"/>
          <w:highlight w:val="none"/>
        </w:rPr>
        <w:t xml:space="preserve">2.15 通知</w:t>
      </w:r>
      <w:bookmarkEnd w:id="233"/>
      <w:r>
        <w:rPr>
          <w:highlight w:val="none"/>
        </w:rPr>
      </w:r>
      <w:bookmarkEnd w:id="234"/>
      <w:r>
        <w:rPr>
          <w:highlight w:val="none"/>
        </w:rPr>
      </w:r>
      <w:bookmarkEnd w:id="235"/>
      <w:r>
        <w:rPr>
          <w:rFonts w:hint="eastAsia" w:ascii="宋体" w:hAnsi="宋体" w:eastAsia="宋体" w:cs="宋体"/>
          <w:b/>
          <w:color w:val="000000"/>
          <w:sz w:val="24"/>
          <w:szCs w:val="24"/>
          <w:highlight w:val="none"/>
        </w:rPr>
        <w:t xml:space="preserve">和送达</w:t>
      </w:r>
      <w:bookmarkEnd w:id="236"/>
      <w:r>
        <w:rPr>
          <w:highlight w:val="none"/>
        </w:rPr>
      </w:r>
      <w:bookmarkEnd w:id="237"/>
      <w:r>
        <w:rPr>
          <w:highlight w:val="none"/>
        </w:rPr>
      </w:r>
      <w:bookmarkEnd w:id="238"/>
      <w:r>
        <w:rPr>
          <w:highlight w:val="none"/>
        </w:rPr>
      </w:r>
      <w:bookmarkEnd w:id="239"/>
      <w:r>
        <w:rPr>
          <w:highlight w:val="none"/>
        </w:rPr>
      </w:r>
      <w:bookmarkEnd w:id="240"/>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highlight w:val="none"/>
        </w:rPr>
      </w:r>
      <w:bookmarkStart w:id="241" w:name="_Toc7073"/>
      <w:r>
        <w:rPr>
          <w:highlight w:val="none"/>
        </w:rPr>
      </w:r>
      <w:bookmarkStart w:id="242" w:name="_Toc29220"/>
      <w:r>
        <w:rPr>
          <w:highlight w:val="none"/>
        </w:rPr>
      </w:r>
      <w:bookmarkStart w:id="243" w:name="_Toc259093691"/>
      <w:r>
        <w:rPr>
          <w:highlight w:val="none"/>
        </w:rPr>
      </w:r>
      <w:bookmarkStart w:id="244" w:name="_Toc279701262"/>
      <w:r>
        <w:rPr>
          <w:highlight w:val="none"/>
        </w:rPr>
      </w:r>
      <w:bookmarkStart w:id="245" w:name="_Toc48790037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41"/>
      <w:r>
        <w:rPr>
          <w:highlight w:val="none"/>
        </w:rPr>
      </w:r>
      <w:bookmarkEnd w:id="242"/>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highlight w:val="none"/>
        </w:rPr>
      </w:r>
      <w:bookmarkStart w:id="246" w:name="_Toc18401"/>
      <w:r>
        <w:rPr>
          <w:highlight w:val="none"/>
        </w:rPr>
      </w:r>
      <w:bookmarkStart w:id="247" w:name="_Toc27674"/>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3"/>
      <w:r>
        <w:rPr>
          <w:highlight w:val="none"/>
        </w:rPr>
      </w:r>
      <w:bookmarkEnd w:id="244"/>
      <w:r>
        <w:rPr>
          <w:highlight w:val="none"/>
        </w:rPr>
      </w:r>
      <w:bookmarkEnd w:id="245"/>
      <w:r>
        <w:rPr>
          <w:highlight w:val="none"/>
        </w:rPr>
      </w:r>
      <w:bookmarkEnd w:id="246"/>
      <w:r>
        <w:rPr>
          <w:highlight w:val="none"/>
        </w:rPr>
      </w:r>
      <w:bookmarkEnd w:id="247"/>
      <w:r>
        <w:rPr>
          <w:rFonts w:ascii="宋体" w:hAnsi="宋体" w:eastAsia="宋体" w:cs="宋体"/>
          <w:color w:val="000000"/>
          <w:sz w:val="24"/>
          <w:szCs w:val="24"/>
          <w:highlight w:val="none"/>
        </w:rPr>
      </w:r>
      <w:r>
        <w:rPr>
          <w:highlight w:val="none"/>
        </w:rPr>
      </w:r>
    </w:p>
    <w:p>
      <w:pPr>
        <w:pStyle w:val="760"/>
        <w:ind w:firstLine="482"/>
        <w:spacing w:line="560" w:lineRule="exact"/>
        <w:rPr>
          <w:rFonts w:ascii="宋体" w:hAnsi="宋体" w:eastAsia="宋体" w:cs="宋体"/>
          <w:b/>
          <w:color w:val="000000"/>
          <w:sz w:val="24"/>
          <w:szCs w:val="24"/>
          <w:highlight w:val="none"/>
        </w:rPr>
      </w:pPr>
      <w:r>
        <w:rPr>
          <w:highlight w:val="none"/>
        </w:rPr>
      </w:r>
      <w:bookmarkStart w:id="248" w:name="_Toc5063"/>
      <w:r>
        <w:rPr>
          <w:highlight w:val="none"/>
        </w:rPr>
      </w:r>
      <w:bookmarkStart w:id="249" w:name="_Toc487900373"/>
      <w:r>
        <w:rPr>
          <w:highlight w:val="none"/>
        </w:rPr>
      </w:r>
      <w:bookmarkStart w:id="250" w:name="_Toc27644"/>
      <w:r>
        <w:rPr>
          <w:highlight w:val="none"/>
        </w:rPr>
      </w:r>
      <w:bookmarkStart w:id="251" w:name="_Toc20808"/>
      <w:r>
        <w:rPr>
          <w:highlight w:val="none"/>
        </w:rPr>
      </w:r>
      <w:bookmarkStart w:id="252" w:name="_Toc28906"/>
      <w:r>
        <w:rPr>
          <w:highlight w:val="none"/>
        </w:rPr>
      </w:r>
      <w:bookmarkStart w:id="253" w:name="_Toc279701263"/>
      <w:r>
        <w:rPr>
          <w:highlight w:val="none"/>
        </w:rPr>
      </w:r>
      <w:bookmarkStart w:id="254" w:name="_Toc259093692"/>
      <w:r>
        <w:rPr>
          <w:highlight w:val="none"/>
        </w:rPr>
      </w:r>
      <w:bookmarkStart w:id="255" w:name="_Toc12254"/>
      <w:r>
        <w:rPr>
          <w:rFonts w:hint="eastAsia" w:ascii="宋体" w:hAnsi="宋体" w:eastAsia="宋体" w:cs="宋体"/>
          <w:b/>
          <w:color w:val="000000"/>
          <w:sz w:val="24"/>
          <w:szCs w:val="24"/>
          <w:highlight w:val="none"/>
        </w:rPr>
        <w:t xml:space="preserve">2.16 合同使用的文字和适用的法律</w:t>
      </w:r>
      <w:bookmarkEnd w:id="248"/>
      <w:r>
        <w:rPr>
          <w:highlight w:val="none"/>
        </w:rPr>
      </w:r>
      <w:bookmarkEnd w:id="249"/>
      <w:r>
        <w:rPr>
          <w:highlight w:val="none"/>
        </w:rPr>
      </w:r>
      <w:bookmarkEnd w:id="250"/>
      <w:r>
        <w:rPr>
          <w:highlight w:val="none"/>
        </w:rPr>
      </w:r>
      <w:bookmarkEnd w:id="251"/>
      <w:r>
        <w:rPr>
          <w:highlight w:val="none"/>
        </w:rPr>
      </w:r>
      <w:bookmarkEnd w:id="252"/>
      <w:r>
        <w:rPr>
          <w:highlight w:val="none"/>
        </w:rPr>
      </w:r>
      <w:bookmarkEnd w:id="253"/>
      <w:r>
        <w:rPr>
          <w:highlight w:val="none"/>
        </w:rPr>
      </w:r>
      <w:bookmarkEnd w:id="254"/>
      <w:r>
        <w:rPr>
          <w:highlight w:val="none"/>
        </w:rPr>
      </w:r>
      <w:bookmarkEnd w:id="255"/>
      <w:r>
        <w:rPr>
          <w:rFonts w:ascii="宋体" w:hAnsi="宋体" w:eastAsia="宋体" w:cs="宋体"/>
          <w:b/>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rPr>
          <w:rFonts w:ascii="宋体" w:hAnsi="宋体" w:eastAsia="宋体" w:cs="宋体"/>
          <w:color w:val="000000"/>
          <w:sz w:val="24"/>
          <w:szCs w:val="24"/>
          <w:highlight w:val="none"/>
        </w:rPr>
      </w:r>
      <w:r>
        <w:rPr>
          <w:highlight w:val="none"/>
        </w:rPr>
      </w:r>
    </w:p>
    <w:p>
      <w:pPr>
        <w:pStyle w:val="760"/>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rPr>
          <w:rFonts w:ascii="宋体" w:hAnsi="宋体" w:eastAsia="宋体" w:cs="宋体"/>
          <w:color w:val="000000"/>
          <w:sz w:val="24"/>
          <w:szCs w:val="24"/>
          <w:highlight w:val="none"/>
        </w:rPr>
      </w:r>
      <w:r>
        <w:rPr>
          <w:highlight w:val="none"/>
        </w:rPr>
      </w:r>
    </w:p>
    <w:p>
      <w:pPr>
        <w:pStyle w:val="775"/>
        <w:rPr>
          <w:rFonts w:ascii="宋体" w:hAnsi="宋体"/>
          <w:color w:val="000000"/>
          <w:sz w:val="24"/>
          <w:szCs w:val="24"/>
          <w:highlight w:val="none"/>
        </w:rPr>
      </w:pPr>
      <w:r>
        <w:rPr>
          <w:rFonts w:hint="eastAsia" w:ascii="宋体" w:hAnsi="宋体" w:eastAsia="宋体" w:cs="宋体"/>
          <w:color w:val="000000"/>
          <w:sz w:val="24"/>
          <w:szCs w:val="24"/>
          <w:highlight w:val="none"/>
        </w:rPr>
        <w:br w:type="page" w:clear="all"/>
      </w:r>
      <w:bookmarkEnd w:id="87"/>
      <w:r>
        <w:rPr>
          <w:highlight w:val="none"/>
        </w:rPr>
      </w:r>
      <w:bookmarkEnd w:id="90"/>
      <w:r>
        <w:rPr>
          <w:highlight w:val="none"/>
        </w:rPr>
      </w:r>
      <w:bookmarkStart w:id="256" w:name="_Toc24602"/>
      <w:r>
        <w:rPr>
          <w:rFonts w:ascii="宋体" w:hAnsi="宋体"/>
          <w:color w:val="000000"/>
          <w:sz w:val="24"/>
          <w:szCs w:val="24"/>
          <w:highlight w:val="none"/>
        </w:rPr>
      </w:r>
      <w:r>
        <w:rPr>
          <w:highlight w:val="none"/>
        </w:rPr>
      </w:r>
    </w:p>
    <w:p>
      <w:pPr>
        <w:pStyle w:val="760"/>
        <w:ind w:firstLine="480"/>
        <w:jc w:val="center"/>
        <w:rPr>
          <w:rFonts w:hint="eastAsia" w:ascii="黑体" w:hAnsi="黑体" w:eastAsia="黑体"/>
          <w:color w:val="000000"/>
          <w:sz w:val="28"/>
          <w:highlight w:val="none"/>
        </w:rPr>
        <w:outlineLvl w:val="0"/>
      </w:pPr>
      <w:r>
        <w:rPr>
          <w:highlight w:val="none"/>
        </w:rPr>
      </w:r>
      <w:bookmarkStart w:id="257" w:name="_Toc12884"/>
      <w:r>
        <w:rPr>
          <w:highlight w:val="none"/>
        </w:rPr>
      </w:r>
      <w:bookmarkStart w:id="258" w:name="_Toc157500596"/>
      <w:r>
        <w:rPr>
          <w:highlight w:val="none"/>
        </w:rPr>
      </w:r>
      <w:bookmarkStart w:id="259" w:name="_Toc27444"/>
      <w:r>
        <w:rPr>
          <w:rFonts w:hint="eastAsia" w:ascii="黑体" w:hAnsi="黑体" w:eastAsia="黑体"/>
          <w:color w:val="000000"/>
          <w:sz w:val="28"/>
          <w:highlight w:val="none"/>
        </w:rPr>
        <w:t xml:space="preserve">第六章 </w:t>
      </w:r>
      <w:r>
        <w:rPr>
          <w:rFonts w:hint="eastAsia" w:ascii="黑体" w:hAnsi="黑体" w:eastAsia="黑体"/>
          <w:color w:val="000000"/>
          <w:sz w:val="28"/>
          <w:highlight w:val="none"/>
          <w:lang w:val="en-US" w:eastAsia="zh-CN"/>
        </w:rPr>
        <w:t xml:space="preserve">投标</w:t>
      </w:r>
      <w:r>
        <w:rPr>
          <w:rFonts w:hint="eastAsia" w:ascii="黑体" w:hAnsi="黑体" w:eastAsia="黑体"/>
          <w:color w:val="000000"/>
          <w:sz w:val="28"/>
          <w:highlight w:val="none"/>
        </w:rPr>
        <w:t xml:space="preserve">文件（格式）</w:t>
      </w:r>
      <w:bookmarkEnd w:id="257"/>
      <w:r>
        <w:rPr>
          <w:highlight w:val="none"/>
        </w:rPr>
      </w:r>
      <w:bookmarkEnd w:id="258"/>
      <w:r>
        <w:rPr>
          <w:highlight w:val="none"/>
        </w:rPr>
      </w:r>
      <w:bookmarkEnd w:id="259"/>
      <w:r>
        <w:rPr>
          <w:rFonts w:hint="eastAsia" w:ascii="黑体" w:hAnsi="黑体" w:eastAsia="黑体"/>
          <w:color w:val="000000"/>
          <w:sz w:val="28"/>
          <w:highlight w:val="none"/>
        </w:rPr>
      </w:r>
      <w:r>
        <w:rPr>
          <w:highlight w:val="none"/>
        </w:rPr>
      </w:r>
    </w:p>
    <w:p>
      <w:pPr>
        <w:pStyle w:val="828"/>
        <w:numPr>
          <w:ilvl w:val="0"/>
          <w:numId w:val="0"/>
        </w:numPr>
        <w:ind w:left="780"/>
        <w:tabs>
          <w:tab w:val="left" w:pos="780" w:leader="none"/>
        </w:tabs>
        <w:rPr>
          <w:color w:val="000000"/>
          <w:highlight w:val="none"/>
        </w:rPr>
      </w:pPr>
      <w:r>
        <w:rPr>
          <w:color w:val="000000"/>
          <w:highlight w:val="none"/>
        </w:rPr>
      </w:r>
      <w:r>
        <w:rPr>
          <w:highlight w:val="none"/>
        </w:rPr>
      </w:r>
    </w:p>
    <w:p>
      <w:pPr>
        <w:pStyle w:val="828"/>
        <w:numPr>
          <w:ilvl w:val="0"/>
          <w:numId w:val="0"/>
        </w:numPr>
        <w:ind w:left="780"/>
        <w:jc w:val="left"/>
        <w:tabs>
          <w:tab w:val="left" w:pos="780" w:leader="none"/>
        </w:tabs>
        <w:rPr>
          <w:color w:val="000000"/>
          <w:highlight w:val="none"/>
        </w:rPr>
      </w:pPr>
      <w:r>
        <w:rPr>
          <w:color w:val="000000"/>
          <w:highlight w:val="none"/>
        </w:rPr>
      </w:r>
      <w:r>
        <w:rPr>
          <w:highlight w:val="none"/>
        </w:rPr>
      </w:r>
    </w:p>
    <w:p>
      <w:pPr>
        <w:pStyle w:val="760"/>
        <w:ind w:firstLine="480"/>
        <w:jc w:val="center"/>
        <w:rPr>
          <w:color w:val="000000"/>
          <w:highlight w:val="none"/>
        </w:rPr>
        <w:outlineLvl w:val="0"/>
      </w:pPr>
      <w:r>
        <w:rPr>
          <w:color w:val="000000"/>
          <w:highlight w:val="none"/>
        </w:rPr>
      </w:r>
      <w:r>
        <w:rPr>
          <w:highlight w:val="none"/>
        </w:rPr>
      </w:r>
    </w:p>
    <w:p>
      <w:pPr>
        <w:pStyle w:val="760"/>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p>
    <w:p>
      <w:pPr>
        <w:pStyle w:val="760"/>
        <w:jc w:val="center"/>
        <w:rPr>
          <w:rFonts w:hint="eastAsia" w:ascii="宋体" w:hAnsi="宋体" w:eastAsia="宋体" w:cs="Times New Roman"/>
          <w:b/>
          <w:color w:val="000000"/>
          <w:sz w:val="96"/>
          <w:szCs w:val="84"/>
          <w:highlight w:val="none"/>
        </w:rPr>
      </w:pPr>
      <w:r>
        <w:rPr>
          <w:highlight w:val="none"/>
        </w:rPr>
      </w:r>
      <w:bookmarkStart w:id="260" w:name="_Toc29240"/>
      <w:r>
        <w:rPr>
          <w:rFonts w:hint="eastAsia" w:ascii="宋体" w:hAnsi="宋体" w:eastAsia="宋体" w:cs="Times New Roman"/>
          <w:b/>
          <w:color w:val="000000"/>
          <w:sz w:val="96"/>
          <w:szCs w:val="84"/>
          <w:highlight w:val="none"/>
          <w:lang w:val="en-US" w:eastAsia="zh-CN"/>
        </w:rPr>
        <w:t xml:space="preserve">投</w:t>
      </w:r>
      <w:r>
        <w:rPr>
          <w:rFonts w:hint="eastAsia" w:ascii="宋体" w:hAnsi="宋体" w:eastAsia="宋体" w:cs="Times New Roman"/>
          <w:b/>
          <w:color w:val="000000"/>
          <w:sz w:val="96"/>
          <w:szCs w:val="84"/>
          <w:highlight w:val="none"/>
          <w:lang w:val="en-US" w:eastAsia="zh-CN"/>
        </w:rPr>
      </w:r>
      <w:r>
        <w:rPr>
          <w:highlight w:val="none"/>
        </w:rPr>
      </w:r>
    </w:p>
    <w:p>
      <w:pPr>
        <w:pStyle w:val="760"/>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lang w:val="en-US" w:eastAsia="zh-CN"/>
        </w:rPr>
        <w:t xml:space="preserve">标</w:t>
      </w:r>
      <w:r>
        <w:rPr>
          <w:rFonts w:ascii="宋体" w:hAnsi="宋体" w:eastAsia="宋体" w:cs="Times New Roman"/>
          <w:b/>
          <w:color w:val="000000"/>
          <w:sz w:val="96"/>
          <w:szCs w:val="84"/>
          <w:highlight w:val="none"/>
          <w:lang w:val="en-US" w:eastAsia="zh-CN"/>
        </w:rPr>
      </w:r>
      <w:r>
        <w:rPr>
          <w:highlight w:val="none"/>
        </w:rPr>
      </w:r>
    </w:p>
    <w:p>
      <w:pPr>
        <w:pStyle w:val="760"/>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文</w:t>
      </w:r>
      <w:r>
        <w:rPr>
          <w:rFonts w:ascii="宋体" w:hAnsi="宋体" w:eastAsia="宋体" w:cs="Times New Roman"/>
          <w:b/>
          <w:color w:val="000000"/>
          <w:sz w:val="96"/>
          <w:szCs w:val="84"/>
          <w:highlight w:val="none"/>
        </w:rPr>
      </w:r>
      <w:r>
        <w:rPr>
          <w:highlight w:val="none"/>
        </w:rPr>
      </w:r>
    </w:p>
    <w:p>
      <w:pPr>
        <w:pStyle w:val="760"/>
        <w:jc w:val="center"/>
        <w:rPr>
          <w:rFonts w:ascii="宋体" w:hAnsi="宋体" w:eastAsia="宋体" w:cs="Times New Roman"/>
          <w:b/>
          <w:color w:val="000000"/>
          <w:sz w:val="96"/>
          <w:szCs w:val="84"/>
          <w:highlight w:val="none"/>
        </w:rPr>
      </w:pPr>
      <w:r>
        <w:rPr>
          <w:rFonts w:hint="eastAsia" w:ascii="宋体" w:hAnsi="宋体" w:eastAsia="宋体" w:cs="Times New Roman"/>
          <w:b/>
          <w:color w:val="000000"/>
          <w:sz w:val="96"/>
          <w:szCs w:val="84"/>
          <w:highlight w:val="none"/>
        </w:rPr>
        <w:t xml:space="preserve">件</w:t>
      </w:r>
      <w:bookmarkEnd w:id="260"/>
      <w:r>
        <w:rPr>
          <w:rFonts w:ascii="宋体" w:hAnsi="宋体" w:eastAsia="宋体" w:cs="Times New Roman"/>
          <w:b/>
          <w:color w:val="000000"/>
          <w:sz w:val="96"/>
          <w:szCs w:val="84"/>
          <w:highlight w:val="none"/>
        </w:rPr>
      </w:r>
      <w:r>
        <w:rPr>
          <w:highlight w:val="none"/>
        </w:rPr>
      </w:r>
    </w:p>
    <w:p>
      <w:pPr>
        <w:pStyle w:val="760"/>
        <w:jc w:val="center"/>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p>
    <w:p>
      <w:pPr>
        <w:pStyle w:val="828"/>
        <w:numPr>
          <w:ilvl w:val="0"/>
          <w:numId w:val="0"/>
        </w:numPr>
        <w:ind w:left="780" w:hanging="360"/>
        <w:tabs>
          <w:tab w:val="left" w:pos="780" w:leader="none"/>
        </w:tabs>
        <w:rPr>
          <w:color w:val="000000"/>
          <w:highlight w:val="none"/>
        </w:rPr>
      </w:pPr>
      <w:r>
        <w:rPr>
          <w:color w:val="000000"/>
          <w:highlight w:val="none"/>
        </w:rPr>
      </w:r>
      <w:r>
        <w:rPr>
          <w:highlight w:val="none"/>
        </w:rPr>
      </w:r>
    </w:p>
    <w:p>
      <w:pPr>
        <w:pStyle w:val="760"/>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rPr>
          <w:highlight w:val="none"/>
        </w:rPr>
      </w:r>
    </w:p>
    <w:p>
      <w:pPr>
        <w:pStyle w:val="760"/>
        <w:ind w:firstLine="2249"/>
        <w:spacing w:line="360" w:lineRule="auto"/>
        <w:rPr>
          <w:rFonts w:hint="eastAsia" w:ascii="宋体" w:hAnsi="宋体" w:eastAsia="宋体" w:cs="Times New Roman"/>
          <w:b/>
          <w:color w:val="000000"/>
          <w:sz w:val="28"/>
          <w:szCs w:val="24"/>
          <w:highlight w:val="none"/>
        </w:rPr>
      </w:pPr>
      <w:r>
        <w:rPr>
          <w:highlight w:val="none"/>
        </w:rPr>
      </w:r>
      <w:bookmarkStart w:id="261" w:name="_Toc2400"/>
      <w:r>
        <w:rPr>
          <w:rFonts w:hint="eastAsia" w:ascii="宋体" w:hAnsi="宋体" w:eastAsia="宋体" w:cs="Times New Roman"/>
          <w:b/>
          <w:color w:val="000000"/>
          <w:sz w:val="28"/>
          <w:szCs w:val="24"/>
          <w:highlight w:val="none"/>
        </w:rPr>
        <w:t xml:space="preserve">项目编号：</w:t>
      </w:r>
      <w:bookmarkEnd w:id="261"/>
      <w:r>
        <w:rPr>
          <w:highlight w:val="none"/>
        </w:rPr>
      </w:r>
      <w:bookmarkStart w:id="262" w:name="_Toc10010"/>
      <w:r>
        <w:rPr>
          <w:rFonts w:hint="eastAsia" w:ascii="宋体" w:hAnsi="宋体" w:eastAsia="宋体" w:cs="Times New Roman"/>
          <w:b/>
          <w:color w:val="000000"/>
          <w:sz w:val="28"/>
          <w:szCs w:val="24"/>
          <w:highlight w:val="none"/>
          <w:lang w:eastAsia="zh-CN"/>
        </w:rPr>
        <w:t xml:space="preserve">JSZC-320282-YXJX-G2026-0003 </w:t>
      </w:r>
      <w:r>
        <w:rPr>
          <w:rFonts w:hint="eastAsia" w:ascii="宋体" w:hAnsi="宋体" w:eastAsia="宋体" w:cs="Times New Roman"/>
          <w:b/>
          <w:color w:val="000000"/>
          <w:sz w:val="28"/>
          <w:szCs w:val="24"/>
          <w:highlight w:val="none"/>
          <w:lang w:eastAsia="zh-CN"/>
        </w:rPr>
      </w:r>
      <w:r>
        <w:rPr>
          <w:highlight w:val="none"/>
        </w:rPr>
      </w:r>
    </w:p>
    <w:p>
      <w:pPr>
        <w:pStyle w:val="760"/>
        <w:ind w:firstLine="2249"/>
        <w:spacing w:line="360" w:lineRule="auto"/>
        <w:rPr>
          <w:rFonts w:ascii="宋体" w:hAnsi="宋体" w:eastAsia="宋体" w:cs="Times New Roman"/>
          <w:b/>
          <w:color w:val="000000"/>
          <w:sz w:val="28"/>
          <w:szCs w:val="24"/>
          <w:highlight w:val="none"/>
        </w:rPr>
      </w:pPr>
      <w:r>
        <w:rPr>
          <w:rFonts w:hint="eastAsia" w:ascii="宋体" w:hAnsi="宋体" w:eastAsia="宋体" w:cs="Times New Roman"/>
          <w:b/>
          <w:color w:val="000000"/>
          <w:sz w:val="28"/>
          <w:szCs w:val="24"/>
          <w:highlight w:val="none"/>
        </w:rPr>
        <w:t xml:space="preserve">项目名称：</w:t>
      </w:r>
      <w:bookmarkEnd w:id="262"/>
      <w:r>
        <w:rPr>
          <w:rFonts w:hint="eastAsia" w:ascii="宋体" w:hAnsi="宋体" w:eastAsia="宋体" w:cs="Times New Roman"/>
          <w:b/>
          <w:color w:val="000000"/>
          <w:sz w:val="28"/>
          <w:szCs w:val="24"/>
          <w:highlight w:val="none"/>
          <w:lang w:eastAsia="zh-CN"/>
        </w:rPr>
        <w:t xml:space="preserve">丁蜀镇石龙空气标准站和VOCs标准站设备采购项目</w:t>
      </w:r>
      <w:r>
        <w:rPr>
          <w:rFonts w:ascii="宋体" w:hAnsi="宋体" w:eastAsia="宋体" w:cs="Times New Roman"/>
          <w:b/>
          <w:color w:val="000000"/>
          <w:sz w:val="28"/>
          <w:szCs w:val="24"/>
          <w:highlight w:val="none"/>
        </w:rPr>
      </w:r>
      <w:r>
        <w:rPr>
          <w:highlight w:val="none"/>
        </w:rPr>
      </w:r>
    </w:p>
    <w:p>
      <w:pPr>
        <w:pStyle w:val="760"/>
        <w:ind w:firstLine="2249"/>
        <w:spacing w:line="360" w:lineRule="auto"/>
        <w:rPr>
          <w:rFonts w:ascii="宋体" w:hAnsi="宋体" w:eastAsia="宋体" w:cs="Times New Roman"/>
          <w:b/>
          <w:color w:val="000000"/>
          <w:sz w:val="28"/>
          <w:szCs w:val="24"/>
          <w:highlight w:val="none"/>
        </w:rPr>
      </w:pPr>
      <w:r>
        <w:rPr>
          <w:highlight w:val="none"/>
        </w:rPr>
      </w:r>
      <w:bookmarkStart w:id="263" w:name="_Toc8670"/>
      <w:r>
        <w:rPr>
          <w:highlight w:val="none"/>
        </w:rPr>
      </w:r>
      <w:bookmarkStart w:id="264" w:name="_Toc24371"/>
      <w:r>
        <w:rPr>
          <w:rFonts w:hint="eastAsia" w:ascii="宋体" w:hAnsi="宋体" w:eastAsia="宋体" w:cs="Times New Roman"/>
          <w:b/>
          <w:color w:val="000000"/>
          <w:sz w:val="28"/>
          <w:szCs w:val="24"/>
          <w:highlight w:val="none"/>
        </w:rPr>
        <w:t xml:space="preserve">供应商（签章）：</w:t>
      </w:r>
      <w:bookmarkEnd w:id="263"/>
      <w:r>
        <w:rPr>
          <w:highlight w:val="none"/>
        </w:rPr>
      </w:r>
      <w:bookmarkEnd w:id="264"/>
      <w:r>
        <w:rPr>
          <w:rFonts w:ascii="宋体" w:hAnsi="宋体" w:eastAsia="宋体" w:cs="Times New Roman"/>
          <w:b/>
          <w:color w:val="000000"/>
          <w:sz w:val="28"/>
          <w:szCs w:val="24"/>
          <w:highlight w:val="none"/>
        </w:rPr>
      </w:r>
      <w:r>
        <w:rPr>
          <w:highlight w:val="none"/>
        </w:rPr>
      </w:r>
    </w:p>
    <w:p>
      <w:pPr>
        <w:pStyle w:val="760"/>
        <w:spacing w:line="360" w:lineRule="auto"/>
        <w:rPr>
          <w:rFonts w:ascii="宋体" w:hAnsi="宋体" w:eastAsia="宋体" w:cs="Times New Roman"/>
          <w:b/>
          <w:color w:val="000000"/>
          <w:sz w:val="28"/>
          <w:szCs w:val="24"/>
          <w:highlight w:val="none"/>
        </w:rPr>
      </w:pPr>
      <w:r>
        <w:rPr>
          <w:rFonts w:ascii="宋体" w:hAnsi="宋体" w:eastAsia="宋体" w:cs="Times New Roman"/>
          <w:b/>
          <w:color w:val="000000"/>
          <w:sz w:val="28"/>
          <w:szCs w:val="24"/>
          <w:highlight w:val="none"/>
        </w:rPr>
      </w:r>
      <w:r>
        <w:rPr>
          <w:highlight w:val="none"/>
        </w:rPr>
      </w:r>
    </w:p>
    <w:p>
      <w:pPr>
        <w:pStyle w:val="760"/>
        <w:ind w:firstLine="4216"/>
        <w:spacing w:line="360" w:lineRule="auto"/>
        <w:rPr>
          <w:rFonts w:ascii="宋体" w:hAnsi="宋体" w:eastAsia="宋体" w:cs="Times New Roman"/>
          <w:b/>
          <w:color w:val="000000"/>
          <w:sz w:val="28"/>
          <w:szCs w:val="24"/>
          <w:highlight w:val="none"/>
        </w:rPr>
      </w:pPr>
      <w:r>
        <w:rPr>
          <w:rFonts w:hint="eastAsia" w:ascii="宋体" w:hAnsi="宋体" w:eastAsia="宋体" w:cs="Times New Roman"/>
          <w:b/>
          <w:color w:val="000000"/>
          <w:sz w:val="28"/>
          <w:szCs w:val="24"/>
          <w:highlight w:val="none"/>
        </w:rPr>
        <w:t xml:space="preserve">年   月   日</w:t>
      </w:r>
      <w:r>
        <w:rPr>
          <w:rFonts w:ascii="宋体" w:hAnsi="宋体" w:eastAsia="宋体" w:cs="Times New Roman"/>
          <w:b/>
          <w:color w:val="000000"/>
          <w:sz w:val="28"/>
          <w:szCs w:val="24"/>
          <w:highlight w:val="none"/>
        </w:rPr>
      </w:r>
      <w:r>
        <w:rPr>
          <w:highlight w:val="none"/>
        </w:rPr>
      </w:r>
    </w:p>
    <w:p>
      <w:pPr>
        <w:pStyle w:val="760"/>
        <w:ind w:firstLine="240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rPr>
          <w:highlight w:val="none"/>
        </w:rPr>
      </w:r>
    </w:p>
    <w:p>
      <w:pPr>
        <w:pStyle w:val="7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keepLines w:val="0"/>
        <w:keepNext w:val="0"/>
        <w:pageBreakBefore/>
        <w:widowControl w:val="off"/>
        <w:rPr>
          <w:rFonts w:hint="eastAsia" w:ascii="宋体" w:hAnsi="宋体" w:cs="宋体"/>
          <w:bCs/>
          <w:color w:val="000000"/>
          <w:sz w:val="24"/>
          <w:szCs w:val="24"/>
          <w:highlight w:val="none"/>
        </w:rPr>
      </w:pPr>
      <w:r>
        <w:rPr>
          <w:highlight w:val="none"/>
        </w:rPr>
      </w:r>
      <w:bookmarkEnd w:id="256"/>
      <w:r>
        <w:rPr>
          <w:highlight w:val="none"/>
        </w:rPr>
      </w:r>
      <w:bookmarkStart w:id="265" w:name="_Toc4946"/>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一</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开标一览表</w:t>
      </w:r>
      <w:r>
        <w:rPr>
          <w:rFonts w:hint="eastAsia" w:ascii="黑体" w:hAnsi="宋体" w:eastAsia="黑体"/>
          <w:bCs/>
          <w:color w:val="000000"/>
          <w:sz w:val="24"/>
          <w:szCs w:val="24"/>
          <w:highlight w:val="none"/>
        </w:rPr>
        <w:t xml:space="preserve">：</w:t>
      </w:r>
      <w:r>
        <w:rPr>
          <w:rFonts w:hint="eastAsia" w:ascii="宋体" w:hAnsi="宋体" w:cs="宋体"/>
          <w:bCs/>
          <w:color w:val="000000"/>
          <w:sz w:val="24"/>
          <w:szCs w:val="24"/>
          <w:highlight w:val="none"/>
        </w:rPr>
      </w:r>
      <w:r>
        <w:rPr>
          <w:highlight w:val="none"/>
        </w:rPr>
      </w:r>
    </w:p>
    <w:p>
      <w:pPr>
        <w:pStyle w:val="760"/>
        <w:ind w:firstLine="480"/>
        <w:jc w:val="left"/>
        <w:rPr>
          <w:rFonts w:hint="eastAsia"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rPr>
          <w:rFonts w:hint="eastAsia" w:ascii="宋体" w:hAnsi="宋体"/>
          <w:color w:val="000000"/>
          <w:sz w:val="28"/>
          <w:szCs w:val="28"/>
          <w:highlight w:val="none"/>
        </w:rPr>
      </w:r>
      <w:r>
        <w:rPr>
          <w:highlight w:val="none"/>
        </w:rPr>
      </w:r>
    </w:p>
    <w:p>
      <w:pPr>
        <w:pStyle w:val="760"/>
        <w:jc w:val="center"/>
        <w:spacing w:before="156" w:after="156"/>
        <w:rPr>
          <w:rFonts w:hint="eastAsia" w:ascii="黑体" w:hAnsi="黑体" w:eastAsia="黑体"/>
          <w:color w:val="000000"/>
          <w:sz w:val="28"/>
          <w:szCs w:val="28"/>
          <w:highlight w:val="none"/>
        </w:rPr>
      </w:pPr>
      <w:r>
        <w:rPr>
          <w:rFonts w:hint="eastAsia" w:ascii="黑体" w:eastAsia="黑体"/>
          <w:bCs/>
          <w:color w:val="000000"/>
          <w:sz w:val="28"/>
          <w:szCs w:val="28"/>
          <w:highlight w:val="none"/>
        </w:rPr>
        <w:t xml:space="preserve">开标一览表</w:t>
      </w:r>
      <w:r>
        <w:rPr>
          <w:rFonts w:hint="eastAsia" w:ascii="黑体" w:hAnsi="黑体" w:eastAsia="黑体"/>
          <w:color w:val="000000"/>
          <w:sz w:val="28"/>
          <w:szCs w:val="28"/>
          <w:highlight w:val="none"/>
        </w:rPr>
      </w:r>
      <w:r>
        <w:rPr>
          <w:highlight w:val="none"/>
        </w:rPr>
      </w:r>
    </w:p>
    <w:p>
      <w:pPr>
        <w:pStyle w:val="760"/>
        <w:spacing w:line="360" w:lineRule="auto"/>
        <w:rPr>
          <w:rFonts w:hint="eastAsia"/>
          <w:color w:val="000000"/>
          <w:sz w:val="24"/>
          <w:szCs w:val="22"/>
          <w:highlight w:val="none"/>
        </w:rPr>
      </w:pPr>
      <w:r>
        <w:rPr>
          <w:rFonts w:hint="eastAsia"/>
          <w:color w:val="000000"/>
          <w:sz w:val="24"/>
          <w:szCs w:val="22"/>
          <w:highlight w:val="none"/>
        </w:rPr>
        <w:t xml:space="preserve">投标人全称（CA公章）：                                    </w:t>
      </w:r>
      <w:r>
        <w:rPr>
          <w:rFonts w:hint="eastAsia"/>
          <w:color w:val="000000"/>
          <w:sz w:val="24"/>
          <w:szCs w:val="22"/>
          <w:highlight w:val="none"/>
        </w:rPr>
      </w:r>
      <w:r>
        <w:rPr>
          <w:highlight w:val="none"/>
        </w:rPr>
      </w:r>
    </w:p>
    <w:p>
      <w:pPr>
        <w:pStyle w:val="760"/>
        <w:spacing w:line="360" w:lineRule="auto"/>
        <w:rPr>
          <w:color w:val="000000"/>
          <w:sz w:val="24"/>
          <w:szCs w:val="22"/>
          <w:highlight w:val="none"/>
        </w:rPr>
      </w:pPr>
      <w:r>
        <w:rPr>
          <w:rFonts w:hint="eastAsia"/>
          <w:color w:val="000000"/>
          <w:sz w:val="24"/>
          <w:szCs w:val="22"/>
          <w:highlight w:val="none"/>
        </w:rPr>
        <w:t xml:space="preserve">项目名称：</w:t>
      </w:r>
      <w:r>
        <w:rPr>
          <w:color w:val="000000"/>
          <w:sz w:val="24"/>
          <w:szCs w:val="22"/>
          <w:highlight w:val="none"/>
        </w:rPr>
      </w:r>
      <w:r>
        <w:rPr>
          <w:highlight w:val="none"/>
        </w:rPr>
      </w:r>
    </w:p>
    <w:p>
      <w:pPr>
        <w:pStyle w:val="760"/>
        <w:spacing w:line="360" w:lineRule="auto"/>
        <w:rPr>
          <w:rFonts w:hint="eastAsia"/>
          <w:color w:val="000000"/>
          <w:sz w:val="24"/>
          <w:szCs w:val="22"/>
          <w:highlight w:val="none"/>
        </w:rPr>
      </w:pPr>
      <w:r>
        <w:rPr>
          <w:rFonts w:hint="eastAsia"/>
          <w:color w:val="000000"/>
          <w:sz w:val="24"/>
          <w:szCs w:val="22"/>
          <w:highlight w:val="none"/>
        </w:rPr>
        <w:t xml:space="preserve">项目编号：</w:t>
      </w:r>
      <w:r>
        <w:rPr>
          <w:rFonts w:hint="eastAsia"/>
          <w:color w:val="000000"/>
          <w:sz w:val="24"/>
          <w:szCs w:val="22"/>
          <w:highlight w:val="none"/>
        </w:rPr>
      </w:r>
      <w:r>
        <w:rPr>
          <w:highlight w:val="none"/>
        </w:rPr>
      </w:r>
    </w:p>
    <w:p>
      <w:pPr>
        <w:pStyle w:val="808"/>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p>
    <w:p>
      <w:pPr>
        <w:pStyle w:val="760"/>
        <w:ind w:left="1"/>
        <w:jc w:val="right"/>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                              单位：</w:t>
      </w:r>
      <w:r>
        <w:rPr>
          <w:rFonts w:hint="eastAsia" w:ascii="宋体" w:hAnsi="宋体" w:cs="宋体"/>
          <w:color w:val="000000"/>
          <w:sz w:val="24"/>
          <w:szCs w:val="24"/>
          <w:highlight w:val="none"/>
          <w:lang w:val="en-US" w:eastAsia="zh-CN"/>
        </w:rPr>
        <w:t xml:space="preserve">元</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rPr>
          <w:highlight w:val="none"/>
        </w:rPr>
      </w:r>
    </w:p>
    <w:tbl>
      <w:tblPr>
        <w:tblStyle w:val="79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86"/>
        <w:gridCol w:w="4805"/>
      </w:tblGrid>
      <w:tr>
        <w:trPr>
          <w:trHeight w:val="803"/>
        </w:trPr>
        <w:tc>
          <w:tcPr>
            <w:tcMar>
              <w:left w:w="108" w:type="dxa"/>
              <w:top w:w="0" w:type="dxa"/>
              <w:right w:w="108" w:type="dxa"/>
              <w:bottom w:w="0" w:type="dxa"/>
            </w:tcMar>
            <w:tcW w:w="4386" w:type="dxa"/>
            <w:vAlign w:val="center"/>
            <w:textDirection w:val="lrTb"/>
            <w:noWrap w:val="false"/>
          </w:tcPr>
          <w:p>
            <w:pPr>
              <w:pStyle w:val="760"/>
              <w:ind w:left="0" w:right="0" w:firstLine="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color w:val="000000"/>
                <w:highlight w:val="none"/>
              </w:rPr>
            </w:r>
            <w:r>
              <w:rPr>
                <w:highlight w:val="none"/>
              </w:rPr>
            </w:r>
          </w:p>
        </w:tc>
        <w:tc>
          <w:tcPr>
            <w:tcMar>
              <w:left w:w="108" w:type="dxa"/>
              <w:top w:w="0" w:type="dxa"/>
              <w:right w:w="108" w:type="dxa"/>
              <w:bottom w:w="0" w:type="dxa"/>
            </w:tcMar>
            <w:tcW w:w="4805" w:type="dxa"/>
            <w:vAlign w:val="center"/>
            <w:textDirection w:val="lrTb"/>
            <w:noWrap w:val="false"/>
          </w:tcPr>
          <w:p>
            <w:pPr>
              <w:pStyle w:val="760"/>
              <w:ind w:left="0" w:right="0" w:firstLine="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总价（小写）</w:t>
            </w:r>
            <w:r>
              <w:rPr>
                <w:color w:val="000000"/>
                <w:highlight w:val="none"/>
              </w:rPr>
            </w:r>
            <w:r>
              <w:rPr>
                <w:highlight w:val="none"/>
              </w:rPr>
            </w:r>
          </w:p>
        </w:tc>
      </w:tr>
      <w:tr>
        <w:trPr>
          <w:trHeight w:val="3045"/>
        </w:trPr>
        <w:tc>
          <w:tcPr>
            <w:tcMar>
              <w:left w:w="108" w:type="dxa"/>
              <w:top w:w="0" w:type="dxa"/>
              <w:right w:w="108" w:type="dxa"/>
              <w:bottom w:w="0" w:type="dxa"/>
            </w:tcMar>
            <w:tcW w:w="4386" w:type="dxa"/>
            <w:vAlign w:val="center"/>
            <w:textDirection w:val="lrTb"/>
            <w:noWrap w:val="false"/>
          </w:tcPr>
          <w:p>
            <w:pPr>
              <w:pStyle w:val="760"/>
              <w:ind w:left="0" w:right="0" w:firstLine="480"/>
              <w:jc w:val="center"/>
              <w:spacing w:before="0" w:after="0"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lang w:eastAsia="zh-CN"/>
              </w:rPr>
              <w:t xml:space="preserve">丁蜀镇石龙空气标准站和VOCs标准站设备采购项目</w:t>
            </w:r>
            <w:r>
              <w:rPr>
                <w:rFonts w:eastAsia="宋体"/>
                <w:color w:val="000000"/>
                <w:highlight w:val="none"/>
              </w:rPr>
              <w:t xml:space="preserve">   </w:t>
            </w:r>
            <w:r>
              <w:rPr>
                <w:rFonts w:eastAsia="宋体"/>
                <w:color w:val="000000"/>
                <w:highlight w:val="none"/>
              </w:rPr>
            </w:r>
            <w:r>
              <w:rPr>
                <w:highlight w:val="none"/>
              </w:rPr>
            </w:r>
          </w:p>
        </w:tc>
        <w:tc>
          <w:tcPr>
            <w:tcMar>
              <w:left w:w="108" w:type="dxa"/>
              <w:top w:w="0" w:type="dxa"/>
              <w:right w:w="108" w:type="dxa"/>
              <w:bottom w:w="0" w:type="dxa"/>
            </w:tcMar>
            <w:tcW w:w="4805" w:type="dxa"/>
            <w:vAlign w:val="center"/>
            <w:textDirection w:val="lrTb"/>
            <w:noWrap w:val="false"/>
          </w:tcPr>
          <w:p>
            <w:pPr>
              <w:pStyle w:val="760"/>
              <w:ind w:left="0" w:right="0" w:firstLine="480"/>
              <w:jc w:val="center"/>
              <w:spacing w:before="0" w:after="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元</w:t>
            </w:r>
            <w:r>
              <w:rPr>
                <w:color w:val="000000"/>
                <w:highlight w:val="none"/>
              </w:rPr>
            </w:r>
            <w:r>
              <w:rPr>
                <w:highlight w:val="none"/>
              </w:rPr>
            </w:r>
          </w:p>
        </w:tc>
      </w:tr>
    </w:tbl>
    <w:p>
      <w:pPr>
        <w:pStyle w:val="760"/>
        <w:jc w:val="right"/>
        <w:spacing w:before="156" w:after="156"/>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rPr>
          <w:highlight w:val="none"/>
        </w:rPr>
      </w:r>
    </w:p>
    <w:p>
      <w:pPr>
        <w:pStyle w:val="760"/>
        <w:jc w:val="right"/>
        <w:spacing w:before="156" w:after="156"/>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rPr>
          <w:highlight w:val="none"/>
        </w:rPr>
      </w:r>
    </w:p>
    <w:p>
      <w:pPr>
        <w:pStyle w:val="760"/>
        <w:jc w:val="right"/>
        <w:spacing w:before="156" w:after="156"/>
        <w:rPr>
          <w:rFonts w:hint="eastAsia" w:ascii="黑体" w:eastAsia="黑体"/>
          <w:bCs/>
          <w:color w:val="000000"/>
          <w:sz w:val="28"/>
          <w:szCs w:val="28"/>
          <w:highlight w:val="none"/>
        </w:rPr>
      </w:pPr>
      <w:r>
        <w:rPr>
          <w:rFonts w:hint="eastAsia" w:ascii="宋体" w:hAnsi="宋体" w:cs="宋体"/>
          <w:b/>
          <w:color w:val="000000"/>
          <w:sz w:val="24"/>
          <w:szCs w:val="24"/>
          <w:highlight w:val="none"/>
          <w:lang w:val="en-US" w:eastAsia="zh-CN"/>
        </w:rPr>
        <w:t xml:space="preserve">年    月    日</w:t>
      </w:r>
      <w:r>
        <w:rPr>
          <w:rFonts w:hint="eastAsia" w:ascii="黑体" w:eastAsia="黑体"/>
          <w:bCs/>
          <w:color w:val="000000"/>
          <w:sz w:val="28"/>
          <w:szCs w:val="28"/>
          <w:highlight w:val="none"/>
        </w:rPr>
      </w:r>
      <w:r>
        <w:rPr>
          <w:highlight w:val="none"/>
        </w:rPr>
      </w:r>
    </w:p>
    <w:p>
      <w:pPr>
        <w:pStyle w:val="760"/>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rPr>
          <w:highlight w:val="none"/>
        </w:rPr>
      </w:r>
    </w:p>
    <w:p>
      <w:pPr>
        <w:pStyle w:val="760"/>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rPr>
          <w:highlight w:val="none"/>
        </w:rPr>
      </w:r>
    </w:p>
    <w:p>
      <w:pPr>
        <w:pStyle w:val="760"/>
        <w:jc w:val="center"/>
        <w:spacing w:before="156" w:after="156"/>
        <w:rPr>
          <w:rFonts w:hint="eastAsia" w:ascii="黑体" w:eastAsia="黑体"/>
          <w:bCs/>
          <w:color w:val="000000"/>
          <w:sz w:val="28"/>
          <w:szCs w:val="28"/>
          <w:highlight w:val="none"/>
        </w:rPr>
      </w:pPr>
      <w:r>
        <w:rPr>
          <w:rFonts w:hint="eastAsia" w:ascii="黑体" w:eastAsia="黑体"/>
          <w:bCs/>
          <w:color w:val="000000"/>
          <w:sz w:val="28"/>
          <w:szCs w:val="28"/>
          <w:highlight w:val="none"/>
        </w:rPr>
      </w:r>
      <w:r>
        <w:rPr>
          <w:highlight w:val="none"/>
        </w:rPr>
      </w:r>
    </w:p>
    <w:p>
      <w:pPr>
        <w:pStyle w:val="7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7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8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7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8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7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88"/>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75"/>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（二）资格条件</w:t>
      </w:r>
      <w:r>
        <w:rPr>
          <w:rFonts w:hint="eastAsia" w:ascii="宋体" w:hAnsi="宋体" w:eastAsia="宋体" w:cs="宋体"/>
          <w:bCs/>
          <w:color w:val="000000"/>
          <w:sz w:val="24"/>
          <w:szCs w:val="24"/>
          <w:highlight w:val="none"/>
        </w:rPr>
      </w:r>
      <w:r>
        <w:rPr>
          <w:highlight w:val="none"/>
        </w:rPr>
      </w:r>
    </w:p>
    <w:p>
      <w:pPr>
        <w:pStyle w:val="760"/>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1、关于资格的声明函（格式）：</w:t>
      </w:r>
      <w:r>
        <w:rPr>
          <w:rFonts w:hint="eastAsia" w:ascii="宋体" w:hAnsi="宋体" w:eastAsia="宋体" w:cs="宋体"/>
          <w:bCs/>
          <w:color w:val="000000"/>
          <w:sz w:val="24"/>
          <w:szCs w:val="24"/>
          <w:highlight w:val="none"/>
        </w:rPr>
      </w:r>
      <w:r>
        <w:rPr>
          <w:highlight w:val="none"/>
        </w:rPr>
      </w:r>
    </w:p>
    <w:p>
      <w:pPr>
        <w:pStyle w:val="760"/>
        <w:jc w:val="center"/>
        <w:spacing w:before="156" w:after="156"/>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关于资格的声明函</w:t>
      </w:r>
      <w:r>
        <w:rPr>
          <w:rFonts w:hint="eastAsia" w:ascii="宋体" w:hAnsi="宋体" w:eastAsia="宋体" w:cs="宋体"/>
          <w:bCs/>
          <w:color w:val="000000"/>
          <w:sz w:val="24"/>
          <w:szCs w:val="24"/>
          <w:highlight w:val="none"/>
        </w:rPr>
      </w:r>
      <w:r>
        <w:rPr>
          <w:highlight w:val="none"/>
        </w:rPr>
      </w:r>
    </w:p>
    <w:p>
      <w:pPr>
        <w:pStyle w:val="76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rPr>
          <w:highlight w:val="none"/>
        </w:rPr>
      </w:r>
    </w:p>
    <w:p>
      <w:pPr>
        <w:pStyle w:val="7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宜兴市丁蜀镇人民政府</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rPr>
          <w:highlight w:val="none"/>
        </w:rPr>
      </w:r>
    </w:p>
    <w:p>
      <w:pPr>
        <w:pStyle w:val="760"/>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我公司参加贵单位</w:t>
      </w:r>
      <w:r>
        <w:rPr>
          <w:rFonts w:hint="eastAsia" w:ascii="宋体" w:hAnsi="宋体" w:eastAsia="宋体" w:cs="宋体"/>
          <w:bCs/>
          <w:color w:val="000000"/>
          <w:sz w:val="24"/>
          <w:szCs w:val="24"/>
          <w:highlight w:val="none"/>
          <w:lang w:eastAsia="zh-CN"/>
        </w:rPr>
        <w:t xml:space="preserve">丁蜀镇石龙空气标准站和VOCs标准站设备采购项目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JSZC-320282-YXJX-G2026-0003</w:t>
      </w:r>
      <w:r>
        <w:rPr>
          <w:rFonts w:hint="eastAsia" w:ascii="宋体" w:hAnsi="宋体" w:eastAsia="宋体" w:cs="宋体"/>
          <w:bCs/>
          <w:color w:val="000000"/>
          <w:sz w:val="24"/>
          <w:szCs w:val="24"/>
          <w:highlight w:val="none"/>
        </w:rPr>
        <w:t xml:space="preserve">）政府采购活动前三年内在经营活动中没有重大违法记录；同时，投标时不存在有效期限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eastAsia="宋体" w:cs="宋体"/>
          <w:bCs/>
          <w:color w:val="000000"/>
          <w:sz w:val="24"/>
          <w:szCs w:val="24"/>
          <w:highlight w:val="none"/>
          <w:lang w:eastAsia="zh-CN"/>
        </w:rPr>
        <w:t xml:space="preserve">JSZC-320282-YXJX-G2026-0003</w:t>
      </w:r>
      <w:r>
        <w:rPr>
          <w:rFonts w:hint="eastAsia" w:ascii="宋体" w:hAnsi="宋体" w:eastAsia="宋体" w:cs="宋体"/>
          <w:bCs/>
          <w:color w:val="000000"/>
          <w:sz w:val="24"/>
          <w:szCs w:val="24"/>
          <w:highlight w:val="none"/>
        </w:rPr>
        <w:t xml:space="preserve">）进行投标，投标文件中所有关于投标资格的文件、证明、陈述均是真实的、准确的。若有违背，我公司（单位）</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同意监管部门做出的相关决定并承担由此而产生的一切后果。</w:t>
      </w:r>
      <w:r>
        <w:rPr>
          <w:rFonts w:hint="eastAsia" w:ascii="宋体" w:hAnsi="宋体" w:eastAsia="宋体" w:cs="宋体"/>
          <w:bCs/>
          <w:color w:val="000000"/>
          <w:sz w:val="24"/>
          <w:szCs w:val="24"/>
          <w:highlight w:val="none"/>
        </w:rPr>
      </w:r>
      <w:r>
        <w:rPr>
          <w:highlight w:val="none"/>
        </w:rPr>
      </w:r>
    </w:p>
    <w:p>
      <w:pPr>
        <w:pStyle w:val="76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投标人（电子签章）：</w:t>
      </w:r>
      <w:r>
        <w:rPr>
          <w:rFonts w:hint="eastAsia" w:ascii="宋体" w:hAnsi="宋体" w:eastAsia="宋体" w:cs="宋体"/>
          <w:bCs/>
          <w:color w:val="000000"/>
          <w:sz w:val="24"/>
          <w:szCs w:val="24"/>
          <w:highlight w:val="none"/>
          <w:lang w:val="zh-CN"/>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60"/>
                              <w:jc w:val="left"/>
                              <w:rPr>
                                <w:rFonts w:hint="eastAsia" w:ascii="黑体" w:eastAsia="黑体"/>
                                <w:sz w:val="32"/>
                                <w:szCs w:val="32"/>
                              </w:rPr>
                            </w:pPr>
                            <w:r>
                              <w:rPr>
                                <w:rFonts w:hint="eastAsia" w:ascii="黑体" w:eastAsia="黑体"/>
                                <w:sz w:val="32"/>
                                <w:szCs w:val="32"/>
                              </w:rPr>
                            </w:r>
                            <w:r/>
                          </w:p>
                          <w:p>
                            <w:pPr>
                              <w:pStyle w:val="76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60"/>
                            </w:pPr>
                            <w:r/>
                            <w:r/>
                          </w:p>
                        </w:txbxContent>
                      </wps:txbx>
                      <wps:bodyPr wrap="square" upright="1"/>
                    </wps:wsp>
                  </a:graphicData>
                </a:graphic>
              </wp:anchor>
            </w:drawing>
          </mc:Choice>
          <mc:Fallback>
            <w:pict>
              <v:shape id="shape 0" o:spid="_x0000_s0" o:spt="202" type="#_x0000_t202" style="position:absolute;z-index:251658241;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760"/>
                        <w:jc w:val="left"/>
                        <w:rPr>
                          <w:rFonts w:hint="eastAsia" w:ascii="黑体" w:eastAsia="黑体"/>
                          <w:sz w:val="32"/>
                          <w:szCs w:val="32"/>
                        </w:rPr>
                      </w:pPr>
                      <w:r>
                        <w:rPr>
                          <w:rFonts w:hint="eastAsia" w:ascii="黑体" w:eastAsia="黑体"/>
                          <w:sz w:val="32"/>
                          <w:szCs w:val="32"/>
                        </w:rPr>
                      </w:r>
                      <w:r/>
                    </w:p>
                    <w:p>
                      <w:pPr>
                        <w:pStyle w:val="76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60"/>
                      </w:pPr>
                      <w:r/>
                      <w:r/>
                    </w:p>
                  </w:txbxContent>
                </v:textbox>
              </v:shape>
            </w:pict>
          </mc:Fallback>
        </mc:AlternateConten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60"/>
                              <w:jc w:val="left"/>
                              <w:rPr>
                                <w:rFonts w:hint="eastAsia" w:ascii="黑体" w:eastAsia="黑体"/>
                                <w:sz w:val="32"/>
                                <w:szCs w:val="32"/>
                              </w:rPr>
                            </w:pPr>
                            <w:r>
                              <w:rPr>
                                <w:rFonts w:hint="eastAsia" w:ascii="黑体" w:eastAsia="黑体"/>
                                <w:sz w:val="32"/>
                                <w:szCs w:val="32"/>
                              </w:rPr>
                            </w:r>
                            <w:r/>
                          </w:p>
                          <w:p>
                            <w:pPr>
                              <w:pStyle w:val="76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60"/>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760"/>
                        <w:jc w:val="left"/>
                        <w:rPr>
                          <w:rFonts w:hint="eastAsia" w:ascii="黑体" w:eastAsia="黑体"/>
                          <w:sz w:val="32"/>
                          <w:szCs w:val="32"/>
                        </w:rPr>
                      </w:pPr>
                      <w:r>
                        <w:rPr>
                          <w:rFonts w:hint="eastAsia" w:ascii="黑体" w:eastAsia="黑体"/>
                          <w:sz w:val="32"/>
                          <w:szCs w:val="32"/>
                        </w:rPr>
                      </w:r>
                      <w:r/>
                    </w:p>
                    <w:p>
                      <w:pPr>
                        <w:pStyle w:val="760"/>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60"/>
                      </w:pPr>
                      <w:r/>
                      <w:r/>
                    </w:p>
                  </w:txbxContent>
                </v:textbox>
              </v:shape>
            </w:pict>
          </mc:Fallback>
        </mc:AlternateContent>
      </w:r>
      <w:r>
        <w:rPr>
          <w:rFonts w:hint="eastAsia" w:ascii="宋体" w:hAnsi="宋体" w:eastAsia="宋体" w:cs="宋体"/>
          <w:bCs/>
          <w:color w:val="000000"/>
          <w:sz w:val="24"/>
          <w:szCs w:val="24"/>
          <w:highlight w:val="none"/>
        </w:rPr>
      </w:r>
      <w:r>
        <w:rPr>
          <w:highlight w:val="none"/>
        </w:rPr>
      </w:r>
    </w:p>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60"/>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注：上述所称“重大违法记录”是指供应商因违法经营受到刑事处罚或者责令停产停业、</w:t>
      </w:r>
      <w:r>
        <w:rPr>
          <w:rFonts w:hint="eastAsia" w:ascii="宋体" w:hAnsi="宋体" w:eastAsia="宋体" w:cs="宋体"/>
          <w:color w:val="000000"/>
          <w:sz w:val="24"/>
          <w:szCs w:val="24"/>
          <w:highlight w:val="none"/>
        </w:rPr>
      </w:r>
      <w:r>
        <w:rPr>
          <w:highlight w:val="none"/>
        </w:rPr>
      </w:r>
    </w:p>
    <w:p>
      <w:pPr>
        <w:pStyle w:val="760"/>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60"/>
        <w:ind w:firstLine="24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吊销许可证或者执照、较大数额罚款等行政处罚。</w:t>
      </w:r>
      <w:r>
        <w:rPr>
          <w:rFonts w:hint="eastAsia" w:ascii="宋体" w:hAnsi="宋体" w:eastAsia="宋体" w:cs="宋体"/>
          <w:color w:val="000000"/>
          <w:sz w:val="24"/>
          <w:szCs w:val="24"/>
          <w:highlight w:val="none"/>
        </w:rPr>
      </w:r>
      <w:r>
        <w:rPr>
          <w:highlight w:val="none"/>
        </w:rPr>
      </w:r>
    </w:p>
    <w:p>
      <w:pPr>
        <w:pStyle w:val="76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zh-CN"/>
        </w:rPr>
        <w:t xml:space="preserve">被授权代表身份证明</w:t>
      </w:r>
      <w:r>
        <w:rPr>
          <w:rFonts w:hint="eastAsia" w:ascii="宋体" w:hAnsi="宋体" w:eastAsia="宋体" w:cs="宋体"/>
          <w:bCs/>
          <w:color w:val="000000"/>
          <w:sz w:val="24"/>
          <w:szCs w:val="24"/>
          <w:highlight w:val="none"/>
        </w:rPr>
        <w:t xml:space="preserve">1（格式）：</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rPr>
          <w:highlight w:val="none"/>
        </w:rPr>
      </w:r>
    </w:p>
    <w:p>
      <w:pPr>
        <w:pStyle w:val="760"/>
        <w:jc w:val="left"/>
        <w:spacing w:before="156" w:after="156"/>
        <w:tabs>
          <w:tab w:val="center" w:pos="4819" w:leader="none"/>
          <w:tab w:val="left" w:pos="673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rPr>
          <w:highlight w:val="none"/>
        </w:rPr>
      </w:r>
    </w:p>
    <w:p>
      <w:pPr>
        <w:pStyle w:val="760"/>
        <w:ind w:left="42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r>
      <w:r>
        <w:rPr>
          <w:highlight w:val="none"/>
        </w:rPr>
      </w:r>
    </w:p>
    <w:p>
      <w:pPr>
        <w:pStyle w:val="760"/>
        <w:ind w:left="42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eastAsia="zh-CN"/>
        </w:rPr>
        <w:t xml:space="preserve">宜兴市丁蜀镇人民政府</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zh-CN"/>
        </w:rPr>
        <w:t xml:space="preserve">宜兴市嘉行工程管理有限公司：</w:t>
      </w:r>
      <w:r>
        <w:rPr>
          <w:rFonts w:hint="eastAsia" w:ascii="宋体" w:hAnsi="宋体" w:eastAsia="宋体" w:cs="宋体"/>
          <w:color w:val="000000"/>
          <w:sz w:val="24"/>
          <w:szCs w:val="24"/>
          <w:highlight w:val="none"/>
          <w:lang w:val="zh-CN"/>
        </w:rPr>
      </w:r>
      <w:r>
        <w:rPr>
          <w:highlight w:val="none"/>
        </w:rPr>
      </w:r>
    </w:p>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系中华人民共和国合法企业。法定地址：</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特授权</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代表我公司（单位）全权办理针对丁蜀镇石龙空气标准站和VOCs标准站设备采购项目（JSZC-320282-YXJX-G2026-0003）的投标、参与开标、谈判、签约等具体工作，并签署全部有关的文件、协议及合同。</w:t>
      </w:r>
      <w:r>
        <w:rPr>
          <w:rFonts w:hint="eastAsia" w:ascii="宋体" w:hAnsi="宋体" w:eastAsia="宋体" w:cs="宋体"/>
          <w:color w:val="000000"/>
          <w:sz w:val="24"/>
          <w:szCs w:val="24"/>
          <w:highlight w:val="none"/>
          <w:lang w:val="zh-CN"/>
        </w:rPr>
      </w:r>
      <w:r>
        <w:rPr>
          <w:highlight w:val="none"/>
        </w:rPr>
      </w:r>
    </w:p>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我公司（单位）对被授权代表的签名负全部责任。</w:t>
      </w:r>
      <w:r>
        <w:rPr>
          <w:rFonts w:hint="eastAsia" w:ascii="宋体" w:hAnsi="宋体" w:eastAsia="宋体" w:cs="宋体"/>
          <w:color w:val="000000"/>
          <w:sz w:val="24"/>
          <w:szCs w:val="24"/>
          <w:highlight w:val="none"/>
          <w:lang w:val="zh-CN"/>
        </w:rPr>
      </w:r>
      <w:r>
        <w:rPr>
          <w:highlight w:val="none"/>
        </w:rPr>
      </w:r>
    </w:p>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在撤销授权的书面通知送达你处以前，本授权书一直有效，被授权代表签署的所有文件（在授权书有效期内签署的）不因授权的撤销而失效。</w:t>
      </w:r>
      <w:r>
        <w:rPr>
          <w:rFonts w:hint="eastAsia" w:ascii="宋体" w:hAnsi="宋体" w:eastAsia="宋体" w:cs="宋体"/>
          <w:color w:val="000000"/>
          <w:sz w:val="24"/>
          <w:szCs w:val="24"/>
          <w:highlight w:val="none"/>
          <w:lang w:val="zh-CN"/>
        </w:rPr>
      </w:r>
      <w:r>
        <w:rPr>
          <w:highlight w:val="none"/>
        </w:rPr>
      </w:r>
    </w:p>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被授权代表情况：</w:t>
      </w:r>
      <w:r>
        <w:rPr>
          <w:rFonts w:hint="eastAsia" w:ascii="宋体" w:hAnsi="宋体" w:eastAsia="宋体" w:cs="宋体"/>
          <w:color w:val="000000"/>
          <w:sz w:val="24"/>
          <w:szCs w:val="24"/>
          <w:highlight w:val="none"/>
          <w:lang w:val="zh-CN"/>
        </w:rPr>
      </w:r>
      <w:r>
        <w:rPr>
          <w:highlight w:val="none"/>
        </w:rPr>
      </w:r>
    </w:p>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姓名：           性别：        年龄：         职务：</w:t>
      </w:r>
      <w:r>
        <w:rPr>
          <w:rFonts w:hint="eastAsia" w:ascii="宋体" w:hAnsi="宋体" w:eastAsia="宋体" w:cs="宋体"/>
          <w:color w:val="000000"/>
          <w:sz w:val="24"/>
          <w:szCs w:val="24"/>
          <w:highlight w:val="none"/>
          <w:lang w:val="zh-CN"/>
        </w:rPr>
      </w:r>
      <w:r>
        <w:rPr>
          <w:highlight w:val="none"/>
        </w:rPr>
      </w:r>
    </w:p>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身份证号码：                   手机号码：</w:t>
      </w:r>
      <w:r>
        <w:rPr>
          <w:rFonts w:hint="eastAsia" w:ascii="宋体" w:hAnsi="宋体" w:eastAsia="宋体" w:cs="宋体"/>
          <w:color w:val="000000"/>
          <w:sz w:val="24"/>
          <w:szCs w:val="24"/>
          <w:highlight w:val="none"/>
          <w:lang w:val="zh-CN"/>
        </w:rPr>
      </w:r>
      <w:r>
        <w:rPr>
          <w:highlight w:val="none"/>
        </w:rPr>
      </w:r>
    </w:p>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投标人（电子签章）：</w:t>
      </w:r>
      <w:r>
        <w:rPr>
          <w:rFonts w:hint="eastAsia" w:ascii="宋体" w:hAnsi="宋体" w:eastAsia="宋体" w:cs="宋体"/>
          <w:bCs/>
          <w:color w:val="000000"/>
          <w:sz w:val="24"/>
          <w:szCs w:val="24"/>
          <w:highlight w:val="none"/>
          <w:lang w:val="zh-CN"/>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日期：    年    月    日</w:t>
      </w:r>
      <w:r>
        <w:rPr>
          <w:rFonts w:hint="eastAsia" w:ascii="宋体" w:hAnsi="宋体" w:eastAsia="宋体" w:cs="宋体"/>
          <w:bCs/>
          <w:color w:val="000000"/>
          <w:sz w:val="24"/>
          <w:szCs w:val="24"/>
          <w:highlight w:val="none"/>
          <w:lang w:val="zh-CN"/>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r>
      <w:r>
        <w:rPr>
          <w:highlight w:val="none"/>
        </w:rPr>
      </w:r>
    </w:p>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3122930</wp:posOffset>
                </wp:positionH>
                <wp:positionV relativeFrom="paragraph">
                  <wp:posOffset>26035</wp:posOffset>
                </wp:positionV>
                <wp:extent cx="3065145" cy="20701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pStyle w:val="760"/>
                              <w:jc w:val="left"/>
                              <w:rPr>
                                <w:rFonts w:hint="eastAsia" w:ascii="黑体" w:eastAsia="黑体"/>
                                <w:sz w:val="32"/>
                                <w:szCs w:val="32"/>
                              </w:rPr>
                            </w:pPr>
                            <w:r>
                              <w:rPr>
                                <w:rFonts w:hint="eastAsia" w:ascii="黑体" w:eastAsia="黑体"/>
                                <w:sz w:val="32"/>
                                <w:szCs w:val="32"/>
                              </w:rPr>
                            </w:r>
                            <w:r/>
                          </w:p>
                          <w:p>
                            <w:pPr>
                              <w:pStyle w:val="76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r>
                            <w:r/>
                          </w:p>
                          <w:p>
                            <w:pPr>
                              <w:pStyle w:val="760"/>
                            </w:pPr>
                            <w:r/>
                            <w:r/>
                          </w:p>
                        </w:txbxContent>
                      </wps:txbx>
                      <wps:bodyPr wrap="square" upright="1"/>
                    </wps:wsp>
                  </a:graphicData>
                </a:graphic>
              </wp:anchor>
            </w:drawing>
          </mc:Choice>
          <mc:Fallback>
            <w:pict>
              <v:shape id="shape 2" o:spid="_x0000_s2" o:spt="202" type="#_x0000_t202" style="position:absolute;z-index:251658243;o:allowoverlap:true;o:allowincell:true;mso-position-horizontal-relative:text;margin-left:245.9pt;mso-position-horizontal:absolute;mso-position-vertical-relative:text;margin-top:2.0pt;mso-position-vertical:absolute;width:241.3pt;height:163.0pt;mso-wrap-distance-left:9.0pt;mso-wrap-distance-top:0.0pt;mso-wrap-distance-right:9.0pt;mso-wrap-distance-bottom:0.0pt;visibility:visible;" fillcolor="#FFFFFF" strokecolor="#000000">
                <v:textbox inset="0,0,0,0">
                  <w:txbxContent>
                    <w:p>
                      <w:pPr>
                        <w:pStyle w:val="760"/>
                        <w:jc w:val="left"/>
                        <w:rPr>
                          <w:rFonts w:hint="eastAsia" w:ascii="黑体" w:eastAsia="黑体"/>
                          <w:sz w:val="32"/>
                          <w:szCs w:val="32"/>
                        </w:rPr>
                      </w:pPr>
                      <w:r>
                        <w:rPr>
                          <w:rFonts w:hint="eastAsia" w:ascii="黑体" w:eastAsia="黑体"/>
                          <w:sz w:val="32"/>
                          <w:szCs w:val="32"/>
                        </w:rPr>
                      </w:r>
                      <w:r/>
                    </w:p>
                    <w:p>
                      <w:pPr>
                        <w:pStyle w:val="76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t xml:space="preserve">反面</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r>
                      <w:r/>
                    </w:p>
                    <w:p>
                      <w:pPr>
                        <w:pStyle w:val="760"/>
                      </w:pPr>
                      <w:r/>
                      <w:r/>
                    </w:p>
                  </w:txbxContent>
                </v:textbox>
              </v:shape>
            </w:pict>
          </mc:Fallback>
        </mc:AlternateConten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-39369</wp:posOffset>
                </wp:positionH>
                <wp:positionV relativeFrom="paragraph">
                  <wp:posOffset>29210</wp:posOffset>
                </wp:positionV>
                <wp:extent cx="2999105" cy="207073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pStyle w:val="760"/>
                              <w:jc w:val="left"/>
                              <w:rPr>
                                <w:rFonts w:hint="eastAsia" w:ascii="黑体" w:eastAsia="黑体"/>
                                <w:sz w:val="32"/>
                                <w:szCs w:val="32"/>
                              </w:rPr>
                            </w:pPr>
                            <w:r>
                              <w:rPr>
                                <w:rFonts w:hint="eastAsia" w:ascii="黑体" w:eastAsia="黑体"/>
                                <w:sz w:val="32"/>
                                <w:szCs w:val="32"/>
                              </w:rPr>
                            </w:r>
                            <w:r/>
                          </w:p>
                          <w:p>
                            <w:pPr>
                              <w:pStyle w:val="76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r>
                            <w:r/>
                          </w:p>
                          <w:p>
                            <w:pPr>
                              <w:pStyle w:val="760"/>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3.1pt;mso-position-horizontal:absolute;mso-position-vertical-relative:text;margin-top:2.3pt;mso-position-vertical:absolute;width:236.1pt;height:163.0pt;mso-wrap-distance-left:9.0pt;mso-wrap-distance-top:0.0pt;mso-wrap-distance-right:9.0pt;mso-wrap-distance-bottom:0.0pt;visibility:visible;" fillcolor="#FFFFFF" strokecolor="#000000">
                <v:textbox inset="0,0,0,0">
                  <w:txbxContent>
                    <w:p>
                      <w:pPr>
                        <w:pStyle w:val="760"/>
                        <w:jc w:val="left"/>
                        <w:rPr>
                          <w:rFonts w:hint="eastAsia" w:ascii="黑体" w:eastAsia="黑体"/>
                          <w:sz w:val="32"/>
                          <w:szCs w:val="32"/>
                        </w:rPr>
                      </w:pPr>
                      <w:r>
                        <w:rPr>
                          <w:rFonts w:hint="eastAsia" w:ascii="黑体" w:eastAsia="黑体"/>
                          <w:sz w:val="32"/>
                          <w:szCs w:val="32"/>
                        </w:rPr>
                      </w:r>
                      <w:r/>
                    </w:p>
                    <w:p>
                      <w:pPr>
                        <w:pStyle w:val="760"/>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t xml:space="preserve">正面</w:t>
                      </w:r>
                      <w:r>
                        <w:rPr>
                          <w:rFonts w:hint="eastAsia" w:ascii="楷体_GB2312" w:eastAsia="楷体_GB2312"/>
                          <w:sz w:val="28"/>
                          <w:szCs w:val="28"/>
                        </w:rPr>
                      </w:r>
                      <w:r/>
                    </w:p>
                    <w:p>
                      <w:pPr>
                        <w:pStyle w:val="760"/>
                        <w:jc w:val="center"/>
                        <w:rPr>
                          <w:rFonts w:hint="eastAsia" w:ascii="楷体_GB2312" w:eastAsia="楷体_GB2312"/>
                          <w:sz w:val="28"/>
                          <w:szCs w:val="28"/>
                        </w:rPr>
                      </w:pPr>
                      <w:r>
                        <w:rPr>
                          <w:rFonts w:hint="eastAsia" w:ascii="楷体_GB2312" w:eastAsia="楷体_GB2312"/>
                          <w:sz w:val="28"/>
                          <w:szCs w:val="28"/>
                        </w:rPr>
                      </w:r>
                      <w:r/>
                    </w:p>
                    <w:p>
                      <w:pPr>
                        <w:pStyle w:val="760"/>
                      </w:pPr>
                      <w:r/>
                      <w:r/>
                    </w:p>
                  </w:txbxContent>
                </v:textbox>
              </v:shape>
            </w:pict>
          </mc:Fallback>
        </mc:AlternateContent>
      </w:r>
      <w:r>
        <w:rPr>
          <w:rFonts w:hint="eastAsia" w:ascii="宋体" w:hAnsi="宋体" w:eastAsia="宋体" w:cs="宋体"/>
          <w:bCs/>
          <w:color w:val="000000"/>
          <w:sz w:val="24"/>
          <w:szCs w:val="24"/>
          <w:highlight w:val="none"/>
        </w:rPr>
      </w:r>
      <w:r>
        <w:rPr>
          <w:highlight w:val="none"/>
        </w:rPr>
      </w:r>
    </w:p>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Cs/>
          <w:color w:val="000000"/>
          <w:sz w:val="24"/>
          <w:szCs w:val="24"/>
          <w:highlight w:val="none"/>
        </w:rPr>
        <w:t xml:space="preserve">3、被授权代表身份证明2（社保）：</w:t>
      </w:r>
      <w:r>
        <w:rPr>
          <w:rFonts w:hint="eastAsia" w:ascii="宋体" w:hAnsi="宋体" w:eastAsia="宋体" w:cs="宋体"/>
          <w:color w:val="000000"/>
          <w:sz w:val="24"/>
          <w:szCs w:val="24"/>
          <w:highlight w:val="none"/>
          <w:lang w:val="zh-CN"/>
        </w:rPr>
        <w:t xml:space="preserve">详见第二章供应商须知相关要求</w:t>
      </w:r>
      <w:r>
        <w:rPr>
          <w:rFonts w:hint="eastAsia" w:ascii="宋体" w:hAnsi="宋体" w:eastAsia="宋体" w:cs="宋体"/>
          <w:color w:val="000000"/>
          <w:sz w:val="24"/>
          <w:szCs w:val="24"/>
          <w:highlight w:val="none"/>
        </w:rPr>
      </w:r>
      <w:r>
        <w:rPr>
          <w:highlight w:val="none"/>
        </w:rPr>
      </w:r>
    </w:p>
    <w:p>
      <w:pPr>
        <w:pStyle w:val="76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4、具有独立承担民事责任的能力：</w:t>
      </w:r>
      <w:r>
        <w:rPr>
          <w:rFonts w:hint="eastAsia" w:ascii="宋体" w:hAnsi="宋体" w:eastAsia="宋体" w:cs="宋体"/>
          <w:color w:val="000000"/>
          <w:sz w:val="24"/>
          <w:szCs w:val="24"/>
          <w:highlight w:val="none"/>
          <w:lang w:val="zh-CN"/>
        </w:rPr>
        <w:t xml:space="preserve">按第二章供应商须知要求提供相关证明材料</w:t>
      </w:r>
      <w:r>
        <w:rPr>
          <w:rFonts w:hint="eastAsia" w:ascii="宋体" w:hAnsi="宋体" w:eastAsia="宋体" w:cs="宋体"/>
          <w:color w:val="000000"/>
          <w:sz w:val="24"/>
          <w:szCs w:val="24"/>
          <w:highlight w:val="none"/>
          <w:lang w:val="zh-CN"/>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5、具有良好的商业信誉和健全的财务会计制度：</w:t>
      </w:r>
      <w:r>
        <w:rPr>
          <w:rFonts w:hint="eastAsia" w:ascii="宋体" w:hAnsi="宋体" w:eastAsia="宋体" w:cs="宋体"/>
          <w:color w:val="000000"/>
          <w:sz w:val="24"/>
          <w:szCs w:val="24"/>
          <w:highlight w:val="none"/>
          <w:lang w:val="zh-CN"/>
        </w:rPr>
        <w:t xml:space="preserve">按第二章供应商须知要求提供相关证明材料</w:t>
      </w:r>
      <w:r>
        <w:rPr>
          <w:rFonts w:hint="eastAsia" w:ascii="宋体" w:hAnsi="宋体" w:eastAsia="宋体" w:cs="宋体"/>
          <w:color w:val="000000"/>
          <w:sz w:val="24"/>
          <w:szCs w:val="24"/>
          <w:highlight w:val="none"/>
          <w:lang w:val="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6、有依法缴纳税收的良好记录：</w:t>
      </w:r>
      <w:r>
        <w:rPr>
          <w:rFonts w:hint="eastAsia" w:ascii="宋体" w:hAnsi="宋体" w:eastAsia="宋体" w:cs="宋体"/>
          <w:color w:val="000000"/>
          <w:sz w:val="24"/>
          <w:szCs w:val="24"/>
          <w:highlight w:val="none"/>
          <w:lang w:val="zh-CN"/>
        </w:rPr>
        <w:t xml:space="preserve">按第二章供应商须知要求提供相关证明材料</w:t>
      </w:r>
      <w:r>
        <w:rPr>
          <w:rFonts w:hint="eastAsia" w:ascii="宋体" w:hAnsi="宋体" w:eastAsia="宋体" w:cs="宋体"/>
          <w:color w:val="000000"/>
          <w:sz w:val="24"/>
          <w:szCs w:val="24"/>
          <w:highlight w:val="none"/>
          <w:lang w:val="zh-CN"/>
        </w:rPr>
      </w:r>
      <w:r>
        <w:rPr>
          <w:highlight w:val="none"/>
        </w:rPr>
      </w:r>
    </w:p>
    <w:p>
      <w:pPr>
        <w:pStyle w:val="760"/>
        <w:ind w:left="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7、有依法缴纳社会保障资金的良好记录：</w:t>
      </w:r>
      <w:r>
        <w:rPr>
          <w:rFonts w:hint="eastAsia" w:ascii="宋体" w:hAnsi="宋体" w:eastAsia="宋体" w:cs="宋体"/>
          <w:color w:val="000000"/>
          <w:sz w:val="24"/>
          <w:szCs w:val="24"/>
          <w:highlight w:val="none"/>
          <w:lang w:val="zh-CN"/>
        </w:rPr>
        <w:t xml:space="preserve">按第二章供应商须知要求提供相关证明材料</w:t>
      </w:r>
      <w:r>
        <w:rPr>
          <w:rFonts w:hint="eastAsia" w:ascii="宋体" w:hAnsi="宋体" w:eastAsia="宋体" w:cs="宋体"/>
          <w:color w:val="000000"/>
          <w:sz w:val="24"/>
          <w:szCs w:val="24"/>
          <w:highlight w:val="none"/>
          <w:lang w:val="zh-CN"/>
        </w:rPr>
      </w:r>
      <w:r>
        <w:rPr>
          <w:highlight w:val="none"/>
        </w:rPr>
      </w:r>
    </w:p>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numPr>
          <w:ilvl w:val="0"/>
          <w:numId w:val="2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无不良信用记录：</w:t>
      </w:r>
      <w:r>
        <w:rPr>
          <w:rFonts w:hint="eastAsia" w:ascii="宋体" w:hAnsi="宋体" w:eastAsia="宋体" w:cs="宋体"/>
          <w:color w:val="000000"/>
          <w:sz w:val="24"/>
          <w:szCs w:val="24"/>
          <w:highlight w:val="none"/>
          <w:lang w:val="zh-CN"/>
        </w:rPr>
        <w:t xml:space="preserve">详见第二章供应商须知相关要求</w:t>
      </w:r>
      <w:r>
        <w:rPr>
          <w:rFonts w:hint="eastAsia" w:ascii="宋体" w:hAnsi="宋体" w:eastAsia="宋体" w:cs="宋体"/>
          <w:color w:val="000000"/>
          <w:sz w:val="24"/>
          <w:szCs w:val="24"/>
          <w:highlight w:val="none"/>
          <w:lang w:val="zh-CN"/>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p>
      <w:pPr>
        <w:pStyle w:val="760"/>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9、中小企业声明</w:t>
      </w:r>
      <w:r>
        <w:rPr>
          <w:rFonts w:hint="eastAsia" w:ascii="宋体" w:hAnsi="宋体" w:eastAsia="宋体" w:cs="宋体"/>
          <w:bCs/>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p>
      <w:pPr>
        <w:pStyle w:val="760"/>
        <w:ind w:firstLine="480"/>
        <w:spacing w:line="360" w:lineRule="auto"/>
        <w:tabs>
          <w:tab w:val="left" w:pos="0" w:leader="none"/>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如专门面向中小企业采购的，供应商应提供有效的《中小企业声明函》（格式见本章“价格折扣文件”附件1），或《残疾人福利性单位声明函》（格式见本章“价格折扣文件”附件2），或监狱企业的证明文件；否则无需提供。</w:t>
      </w:r>
      <w:r>
        <w:rPr>
          <w:rFonts w:hint="eastAsia" w:ascii="宋体" w:hAnsi="宋体" w:eastAsia="宋体" w:cs="宋体"/>
          <w:bCs/>
          <w:color w:val="000000"/>
          <w:sz w:val="24"/>
          <w:szCs w:val="24"/>
          <w:highlight w:val="none"/>
        </w:rPr>
      </w:r>
      <w:r>
        <w:rPr>
          <w:highlight w:val="none"/>
        </w:rPr>
      </w:r>
    </w:p>
    <w:p>
      <w:pPr>
        <w:pStyle w:val="760"/>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10、特定资格要求</w:t>
      </w:r>
      <w:r>
        <w:rPr>
          <w:rFonts w:hint="eastAsia" w:ascii="宋体" w:hAnsi="宋体" w:eastAsia="宋体" w:cs="宋体"/>
          <w:bCs/>
          <w:color w:val="000000"/>
          <w:sz w:val="24"/>
          <w:szCs w:val="24"/>
          <w:highlight w:val="none"/>
        </w:rPr>
      </w:r>
      <w:r>
        <w:rPr>
          <w:highlight w:val="none"/>
        </w:rPr>
      </w:r>
    </w:p>
    <w:p>
      <w:pPr>
        <w:pStyle w:val="760"/>
        <w:ind w:firstLine="48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ind w:firstLine="240"/>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注：如本项目有特定资格要求的，按招标文件要求提供证明材料，否则无需提供。</w:t>
      </w:r>
      <w:r>
        <w:rPr>
          <w:rFonts w:hint="eastAsia" w:ascii="宋体" w:hAnsi="宋体" w:eastAsia="宋体" w:cs="宋体"/>
          <w:bCs/>
          <w:color w:val="000000"/>
          <w:sz w:val="24"/>
          <w:szCs w:val="24"/>
          <w:highlight w:val="none"/>
        </w:rPr>
      </w:r>
      <w:r>
        <w:rPr>
          <w:highlight w:val="none"/>
        </w:rPr>
      </w:r>
    </w:p>
    <w:p>
      <w:pPr>
        <w:pStyle w:val="760"/>
        <w:ind w:firstLine="240"/>
        <w:jc w:val="lef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（三）符合条件</w:t>
      </w:r>
      <w:r>
        <w:rPr>
          <w:rFonts w:hint="eastAsia" w:ascii="宋体" w:hAnsi="宋体" w:eastAsia="宋体" w:cs="宋体"/>
          <w:b/>
          <w:color w:val="000000"/>
          <w:sz w:val="24"/>
          <w:szCs w:val="24"/>
          <w:highlight w:val="none"/>
        </w:rPr>
      </w:r>
      <w:r>
        <w:rPr>
          <w:highlight w:val="none"/>
        </w:rPr>
      </w:r>
    </w:p>
    <w:p>
      <w:pPr>
        <w:pStyle w:val="760"/>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投标函（格式）：</w:t>
      </w:r>
      <w:r>
        <w:rPr>
          <w:rFonts w:hint="eastAsia" w:ascii="宋体" w:hAnsi="宋体" w:eastAsia="宋体" w:cs="宋体"/>
          <w:b/>
          <w:bCs/>
          <w:color w:val="000000"/>
          <w:sz w:val="24"/>
          <w:szCs w:val="24"/>
          <w:highlight w:val="none"/>
        </w:rPr>
      </w:r>
      <w:r>
        <w:rPr>
          <w:highlight w:val="none"/>
        </w:rPr>
      </w:r>
    </w:p>
    <w:p>
      <w:pPr>
        <w:pStyle w:val="760"/>
        <w:jc w:val="center"/>
        <w:spacing w:before="156" w:after="156"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投标函</w:t>
      </w:r>
      <w:r>
        <w:rPr>
          <w:rFonts w:hint="eastAsia" w:ascii="宋体" w:hAnsi="宋体" w:eastAsia="宋体" w:cs="宋体"/>
          <w:bCs/>
          <w:color w:val="000000"/>
          <w:sz w:val="24"/>
          <w:szCs w:val="24"/>
          <w:highlight w:val="none"/>
        </w:rPr>
      </w:r>
      <w:r>
        <w:rPr>
          <w:highlight w:val="none"/>
        </w:rPr>
      </w:r>
    </w:p>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致宜兴市丁蜀镇人民政府、宜兴市嘉行工程管理有限公司：</w:t>
      </w:r>
      <w:r>
        <w:rPr>
          <w:rFonts w:hint="eastAsia" w:ascii="宋体" w:hAnsi="宋体" w:eastAsia="宋体" w:cs="宋体"/>
          <w:bCs/>
          <w:color w:val="000000"/>
          <w:sz w:val="24"/>
          <w:szCs w:val="24"/>
          <w:highlight w:val="none"/>
          <w:lang w:val="zh-CN"/>
        </w:rPr>
      </w:r>
      <w:r>
        <w:rPr>
          <w:highlight w:val="none"/>
        </w:rPr>
      </w:r>
    </w:p>
    <w:p>
      <w:pPr>
        <w:pStyle w:val="76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我方收到你们JSZC-320282-YXJX-G2026-0003 招标文件，经仔细阅读和研究，我方决定参加投标。</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我方愿意按照招标文件的一切要求，提供服务，投标总价详见《开标一览表》。</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我方同意按招标文件中的规定，本投标文件的有效期为</w:t>
      </w: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zh-CN"/>
        </w:rPr>
        <w:t xml:space="preserve">截止之日起的60天（含提交当日）。在特殊情况下，可与贵方协商延长投标文件的有效期。</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如果我方的投标文件被接受，我方将履行招投标文件中规定的每一项要求，按期、按质、按量、按地点，完成服务任务。</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我方愿意根据贵方和评标委员会的要求，提供投标文件中所有材料的原件及相关证明性资料。</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我方认为采购人有权确定中标供应商。除因不可抗力或招标文件认可的情形以外，我方绝不放弃中标资格。</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我方愿意按</w:t>
      </w:r>
      <w:r>
        <w:rPr>
          <w:rFonts w:hint="eastAsia" w:ascii="宋体" w:hAnsi="宋体" w:eastAsia="宋体" w:cs="宋体"/>
          <w:color w:val="000000"/>
          <w:sz w:val="24"/>
          <w:szCs w:val="24"/>
          <w:highlight w:val="none"/>
          <w:lang w:val="zh-CN"/>
        </w:rPr>
        <w:t xml:space="preserve">《中华人民共和国民法典》</w:t>
      </w:r>
      <w:r>
        <w:rPr>
          <w:rFonts w:hint="eastAsia" w:ascii="宋体" w:hAnsi="宋体" w:eastAsia="宋体" w:cs="宋体"/>
          <w:bCs/>
          <w:color w:val="000000"/>
          <w:sz w:val="24"/>
          <w:szCs w:val="24"/>
          <w:highlight w:val="none"/>
          <w:lang w:val="zh-CN"/>
        </w:rPr>
        <w:t xml:space="preserve">和合同条款履行自己的全部责任。</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如果我方中标，我方愿意遵守招标文件和中标通知书的规定，在指定时间和地点与采购人签订合同。</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我方不是为本项目提供整体设计、规范编制或者项目管理、监理、检测等服务的供应商。</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关联单位情况说明：</w:t>
      </w:r>
      <w:r>
        <w:rPr>
          <w:rFonts w:hint="eastAsia" w:ascii="宋体" w:hAnsi="宋体" w:eastAsia="宋体" w:cs="宋体"/>
          <w:bCs/>
          <w:color w:val="000000"/>
          <w:sz w:val="24"/>
          <w:szCs w:val="24"/>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trHeight w:val="645"/>
        </w:trPr>
        <w:tc>
          <w:tcPr>
            <w:tcW w:w="4707" w:type="dxa"/>
            <w:vAlign w:val="center"/>
            <w:textDirection w:val="lrTb"/>
            <w:noWrap w:val="false"/>
          </w:tcPr>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与我方</w:t>
            </w:r>
            <w:r>
              <w:rPr>
                <w:rFonts w:hint="eastAsia" w:ascii="宋体" w:hAnsi="宋体" w:eastAsia="宋体" w:cs="宋体"/>
                <w:bCs/>
                <w:color w:val="000000"/>
                <w:sz w:val="24"/>
                <w:szCs w:val="24"/>
                <w:highlight w:val="none"/>
              </w:rPr>
              <w:t xml:space="preserve">单位负责人为同一人的其他单位</w:t>
            </w:r>
            <w:r>
              <w:rPr>
                <w:rFonts w:hint="eastAsia" w:ascii="宋体" w:hAnsi="宋体" w:eastAsia="宋体" w:cs="宋体"/>
                <w:bCs/>
                <w:color w:val="000000"/>
                <w:sz w:val="24"/>
                <w:szCs w:val="24"/>
                <w:highlight w:val="none"/>
                <w:lang w:val="zh-CN"/>
              </w:rPr>
            </w:r>
            <w:r>
              <w:rPr>
                <w:highlight w:val="none"/>
              </w:rPr>
            </w:r>
          </w:p>
        </w:tc>
        <w:tc>
          <w:tcPr>
            <w:tcW w:w="4680" w:type="dxa"/>
            <w:vAlign w:val="center"/>
            <w:textDirection w:val="lrTb"/>
            <w:noWrap w:val="false"/>
          </w:tcPr>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r>
        <w:trPr>
          <w:trHeight w:val="663"/>
        </w:trPr>
        <w:tc>
          <w:tcPr>
            <w:tcW w:w="4707" w:type="dxa"/>
            <w:vAlign w:val="center"/>
            <w:textDirection w:val="lrTb"/>
            <w:noWrap w:val="false"/>
          </w:tcPr>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与我方</w:t>
            </w:r>
            <w:r>
              <w:rPr>
                <w:rFonts w:hint="eastAsia" w:ascii="宋体" w:hAnsi="宋体" w:eastAsia="宋体" w:cs="宋体"/>
                <w:bCs/>
                <w:color w:val="000000"/>
                <w:sz w:val="24"/>
                <w:szCs w:val="24"/>
                <w:highlight w:val="none"/>
              </w:rPr>
              <w:t xml:space="preserve">存在直接控股、管理关系的其他单位</w:t>
            </w:r>
            <w:r>
              <w:rPr>
                <w:rFonts w:hint="eastAsia" w:ascii="宋体" w:hAnsi="宋体" w:eastAsia="宋体" w:cs="宋体"/>
                <w:bCs/>
                <w:color w:val="000000"/>
                <w:sz w:val="24"/>
                <w:szCs w:val="24"/>
                <w:highlight w:val="none"/>
                <w:lang w:val="zh-CN"/>
              </w:rPr>
            </w:r>
            <w:r>
              <w:rPr>
                <w:highlight w:val="none"/>
              </w:rPr>
            </w:r>
          </w:p>
        </w:tc>
        <w:tc>
          <w:tcPr>
            <w:tcW w:w="4680" w:type="dxa"/>
            <w:vAlign w:val="center"/>
            <w:textDirection w:val="lrTb"/>
            <w:noWrap w:val="false"/>
          </w:tcPr>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bl>
    <w:p>
      <w:pPr>
        <w:pStyle w:val="760"/>
        <w:ind w:left="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注：没有请填无。</w:t>
      </w:r>
      <w:r>
        <w:rPr>
          <w:rFonts w:hint="eastAsia" w:ascii="宋体" w:hAnsi="宋体" w:eastAsia="宋体" w:cs="宋体"/>
          <w:bCs/>
          <w:color w:val="000000"/>
          <w:sz w:val="24"/>
          <w:szCs w:val="24"/>
          <w:highlight w:val="none"/>
          <w:lang w:val="zh-CN"/>
        </w:rPr>
      </w:r>
      <w:r>
        <w:rPr>
          <w:highlight w:val="none"/>
        </w:rPr>
      </w:r>
    </w:p>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与本投标有关的一切正式往来函电，请联系：</w:t>
      </w:r>
      <w:r>
        <w:rPr>
          <w:rFonts w:hint="eastAsia" w:ascii="宋体" w:hAnsi="宋体" w:eastAsia="宋体" w:cs="宋体"/>
          <w:bCs/>
          <w:color w:val="000000"/>
          <w:sz w:val="24"/>
          <w:szCs w:val="24"/>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2"/>
        <w:gridCol w:w="2928"/>
        <w:gridCol w:w="1252"/>
        <w:gridCol w:w="3675"/>
      </w:tblGrid>
      <w:tr>
        <w:trPr/>
        <w:tc>
          <w:tcPr>
            <w:tcW w:w="148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地址</w:t>
            </w:r>
            <w:r>
              <w:rPr>
                <w:rFonts w:hint="eastAsia" w:ascii="宋体" w:hAnsi="宋体" w:eastAsia="宋体" w:cs="宋体"/>
                <w:bCs/>
                <w:color w:val="000000"/>
                <w:sz w:val="24"/>
                <w:szCs w:val="24"/>
                <w:highlight w:val="none"/>
                <w:lang w:val="zh-CN"/>
              </w:rPr>
            </w:r>
            <w:r>
              <w:rPr>
                <w:highlight w:val="none"/>
              </w:rPr>
            </w:r>
          </w:p>
        </w:tc>
        <w:tc>
          <w:tcPr>
            <w:tcW w:w="2928"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c>
          <w:tcPr>
            <w:tcW w:w="125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邮编</w:t>
            </w:r>
            <w:r>
              <w:rPr>
                <w:rFonts w:hint="eastAsia" w:ascii="宋体" w:hAnsi="宋体" w:eastAsia="宋体" w:cs="宋体"/>
                <w:bCs/>
                <w:color w:val="000000"/>
                <w:sz w:val="24"/>
                <w:szCs w:val="24"/>
                <w:highlight w:val="none"/>
                <w:lang w:val="zh-CN"/>
              </w:rPr>
            </w:r>
            <w:r>
              <w:rPr>
                <w:highlight w:val="none"/>
              </w:rPr>
            </w:r>
          </w:p>
        </w:tc>
        <w:tc>
          <w:tcPr>
            <w:tcW w:w="3675"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r>
        <w:trPr/>
        <w:tc>
          <w:tcPr>
            <w:tcW w:w="148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传真</w:t>
            </w:r>
            <w:r>
              <w:rPr>
                <w:rFonts w:hint="eastAsia" w:ascii="宋体" w:hAnsi="宋体" w:eastAsia="宋体" w:cs="宋体"/>
                <w:bCs/>
                <w:color w:val="000000"/>
                <w:sz w:val="24"/>
                <w:szCs w:val="24"/>
                <w:highlight w:val="none"/>
                <w:lang w:val="zh-CN"/>
              </w:rPr>
            </w:r>
            <w:r>
              <w:rPr>
                <w:highlight w:val="none"/>
              </w:rPr>
            </w:r>
          </w:p>
        </w:tc>
        <w:tc>
          <w:tcPr>
            <w:tcW w:w="2928"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c>
          <w:tcPr>
            <w:tcW w:w="125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办公电话</w:t>
            </w:r>
            <w:r>
              <w:rPr>
                <w:rFonts w:hint="eastAsia" w:ascii="宋体" w:hAnsi="宋体" w:eastAsia="宋体" w:cs="宋体"/>
                <w:bCs/>
                <w:color w:val="000000"/>
                <w:sz w:val="24"/>
                <w:szCs w:val="24"/>
                <w:highlight w:val="none"/>
                <w:lang w:val="zh-CN"/>
              </w:rPr>
            </w:r>
            <w:r>
              <w:rPr>
                <w:highlight w:val="none"/>
              </w:rPr>
            </w:r>
          </w:p>
        </w:tc>
        <w:tc>
          <w:tcPr>
            <w:tcW w:w="3675"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r>
        <w:trPr>
          <w:trHeight w:val="541"/>
        </w:trPr>
        <w:tc>
          <w:tcPr>
            <w:tcW w:w="148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val="zh-CN"/>
              </w:rPr>
            </w:r>
            <w:r>
              <w:rPr>
                <w:highlight w:val="none"/>
              </w:rPr>
            </w:r>
          </w:p>
        </w:tc>
        <w:tc>
          <w:tcPr>
            <w:tcW w:w="2928"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c>
          <w:tcPr>
            <w:tcW w:w="125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手机号码</w:t>
            </w:r>
            <w:r>
              <w:rPr>
                <w:rFonts w:hint="eastAsia" w:ascii="宋体" w:hAnsi="宋体" w:eastAsia="宋体" w:cs="宋体"/>
                <w:bCs/>
                <w:color w:val="000000"/>
                <w:sz w:val="24"/>
                <w:szCs w:val="24"/>
                <w:highlight w:val="none"/>
                <w:lang w:val="zh-CN"/>
              </w:rPr>
            </w:r>
            <w:r>
              <w:rPr>
                <w:highlight w:val="none"/>
              </w:rPr>
            </w:r>
          </w:p>
        </w:tc>
        <w:tc>
          <w:tcPr>
            <w:tcW w:w="3675"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r>
        <w:trPr/>
        <w:tc>
          <w:tcPr>
            <w:tcW w:w="148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联系人</w:t>
            </w:r>
            <w:r>
              <w:rPr>
                <w:rFonts w:hint="eastAsia" w:ascii="宋体" w:hAnsi="宋体" w:eastAsia="宋体" w:cs="宋体"/>
                <w:bCs/>
                <w:color w:val="000000"/>
                <w:sz w:val="24"/>
                <w:szCs w:val="24"/>
                <w:highlight w:val="none"/>
                <w:lang w:val="zh-CN"/>
              </w:rPr>
            </w:r>
            <w:r>
              <w:rPr>
                <w:highlight w:val="none"/>
              </w:rPr>
            </w:r>
          </w:p>
        </w:tc>
        <w:tc>
          <w:tcPr>
            <w:tcW w:w="2928"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c>
          <w:tcPr>
            <w:tcW w:w="125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手机号码</w:t>
            </w:r>
            <w:r>
              <w:rPr>
                <w:rFonts w:hint="eastAsia" w:ascii="宋体" w:hAnsi="宋体" w:eastAsia="宋体" w:cs="宋体"/>
                <w:bCs/>
                <w:color w:val="000000"/>
                <w:sz w:val="24"/>
                <w:szCs w:val="24"/>
                <w:highlight w:val="none"/>
                <w:lang w:val="zh-CN"/>
              </w:rPr>
            </w:r>
            <w:r>
              <w:rPr>
                <w:highlight w:val="none"/>
              </w:rPr>
            </w:r>
          </w:p>
        </w:tc>
        <w:tc>
          <w:tcPr>
            <w:tcW w:w="3675"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r>
        <w:trPr/>
        <w:tc>
          <w:tcPr>
            <w:tcW w:w="148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开户名称</w:t>
            </w:r>
            <w:r>
              <w:rPr>
                <w:rFonts w:hint="eastAsia" w:ascii="宋体" w:hAnsi="宋体" w:eastAsia="宋体" w:cs="宋体"/>
                <w:bCs/>
                <w:color w:val="000000"/>
                <w:sz w:val="24"/>
                <w:szCs w:val="24"/>
                <w:highlight w:val="none"/>
                <w:lang w:val="zh-CN"/>
              </w:rPr>
            </w:r>
            <w:r>
              <w:rPr>
                <w:highlight w:val="none"/>
              </w:rPr>
            </w:r>
          </w:p>
        </w:tc>
        <w:tc>
          <w:tcPr>
            <w:gridSpan w:val="3"/>
            <w:tcW w:w="7855"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r>
        <w:trPr/>
        <w:tc>
          <w:tcPr>
            <w:tcW w:w="148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开户银行</w:t>
            </w:r>
            <w:r>
              <w:rPr>
                <w:rFonts w:hint="eastAsia" w:ascii="宋体" w:hAnsi="宋体" w:eastAsia="宋体" w:cs="宋体"/>
                <w:bCs/>
                <w:color w:val="000000"/>
                <w:sz w:val="24"/>
                <w:szCs w:val="24"/>
                <w:highlight w:val="none"/>
                <w:lang w:val="zh-CN"/>
              </w:rPr>
            </w:r>
            <w:r>
              <w:rPr>
                <w:highlight w:val="none"/>
              </w:rPr>
            </w:r>
          </w:p>
        </w:tc>
        <w:tc>
          <w:tcPr>
            <w:tcW w:w="2928"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c>
          <w:tcPr>
            <w:tcW w:w="1252"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开户账号</w:t>
            </w:r>
            <w:r>
              <w:rPr>
                <w:rFonts w:hint="eastAsia" w:ascii="宋体" w:hAnsi="宋体" w:eastAsia="宋体" w:cs="宋体"/>
                <w:bCs/>
                <w:color w:val="000000"/>
                <w:sz w:val="24"/>
                <w:szCs w:val="24"/>
                <w:highlight w:val="none"/>
                <w:lang w:val="zh-CN"/>
              </w:rPr>
            </w:r>
            <w:r>
              <w:rPr>
                <w:highlight w:val="none"/>
              </w:rPr>
            </w:r>
          </w:p>
        </w:tc>
        <w:tc>
          <w:tcPr>
            <w:tcW w:w="3675"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bl>
    <w:p>
      <w:pPr>
        <w:pStyle w:val="760"/>
        <w:numPr>
          <w:ilvl w:val="0"/>
          <w:numId w:val="21"/>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若我方中标，请将中标通知书邮寄到以下地址：</w:t>
      </w:r>
      <w:r>
        <w:rPr>
          <w:rFonts w:hint="eastAsia" w:ascii="宋体" w:hAnsi="宋体" w:eastAsia="宋体" w:cs="宋体"/>
          <w:bCs/>
          <w:color w:val="000000"/>
          <w:sz w:val="24"/>
          <w:szCs w:val="24"/>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79"/>
        <w:gridCol w:w="6469"/>
      </w:tblGrid>
      <w:tr>
        <w:trPr>
          <w:trHeight w:val="316"/>
        </w:trPr>
        <w:tc>
          <w:tcPr>
            <w:tcW w:w="2879"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中标通知书邮寄地址</w:t>
            </w:r>
            <w:r>
              <w:rPr>
                <w:rFonts w:hint="eastAsia" w:ascii="宋体" w:hAnsi="宋体" w:eastAsia="宋体" w:cs="宋体"/>
                <w:bCs/>
                <w:color w:val="000000"/>
                <w:sz w:val="24"/>
                <w:szCs w:val="24"/>
                <w:highlight w:val="none"/>
                <w:lang w:val="zh-CN"/>
              </w:rPr>
            </w:r>
            <w:r>
              <w:rPr>
                <w:highlight w:val="none"/>
              </w:rPr>
            </w:r>
          </w:p>
        </w:tc>
        <w:tc>
          <w:tcPr>
            <w:tcW w:w="6469" w:type="dxa"/>
            <w:vAlign w:val="top"/>
            <w:textDirection w:val="lrTb"/>
            <w:noWrap w:val="false"/>
          </w:tcPr>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r>
        <w:trPr>
          <w:trHeight w:val="316"/>
        </w:trPr>
        <w:tc>
          <w:tcPr>
            <w:tcW w:w="2879"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邮政编码</w:t>
            </w:r>
            <w:r>
              <w:rPr>
                <w:rFonts w:hint="eastAsia" w:ascii="宋体" w:hAnsi="宋体" w:eastAsia="宋体" w:cs="宋体"/>
                <w:bCs/>
                <w:color w:val="000000"/>
                <w:sz w:val="24"/>
                <w:szCs w:val="24"/>
                <w:highlight w:val="none"/>
                <w:lang w:val="zh-CN"/>
              </w:rPr>
            </w:r>
            <w:r>
              <w:rPr>
                <w:highlight w:val="none"/>
              </w:rPr>
            </w:r>
          </w:p>
        </w:tc>
        <w:tc>
          <w:tcPr>
            <w:tcW w:w="6469" w:type="dxa"/>
            <w:vAlign w:val="top"/>
            <w:textDirection w:val="lrTb"/>
            <w:noWrap w:val="false"/>
          </w:tcPr>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r>
        <w:trPr>
          <w:trHeight w:val="316"/>
        </w:trPr>
        <w:tc>
          <w:tcPr>
            <w:tcW w:w="2879"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收件人姓名</w:t>
            </w:r>
            <w:r>
              <w:rPr>
                <w:rFonts w:hint="eastAsia" w:ascii="宋体" w:hAnsi="宋体" w:eastAsia="宋体" w:cs="宋体"/>
                <w:bCs/>
                <w:color w:val="000000"/>
                <w:sz w:val="24"/>
                <w:szCs w:val="24"/>
                <w:highlight w:val="none"/>
                <w:lang w:val="zh-CN"/>
              </w:rPr>
            </w:r>
            <w:r>
              <w:rPr>
                <w:highlight w:val="none"/>
              </w:rPr>
            </w:r>
          </w:p>
        </w:tc>
        <w:tc>
          <w:tcPr>
            <w:tcW w:w="6469" w:type="dxa"/>
            <w:vAlign w:val="top"/>
            <w:textDirection w:val="lrTb"/>
            <w:noWrap w:val="false"/>
          </w:tcPr>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r>
        <w:trPr>
          <w:trHeight w:val="319"/>
        </w:trPr>
        <w:tc>
          <w:tcPr>
            <w:tcW w:w="2879"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联系电话</w:t>
            </w:r>
            <w:r>
              <w:rPr>
                <w:rFonts w:hint="eastAsia" w:ascii="宋体" w:hAnsi="宋体" w:eastAsia="宋体" w:cs="宋体"/>
                <w:bCs/>
                <w:color w:val="000000"/>
                <w:sz w:val="24"/>
                <w:szCs w:val="24"/>
                <w:highlight w:val="none"/>
                <w:lang w:val="zh-CN"/>
              </w:rPr>
            </w:r>
            <w:r>
              <w:rPr>
                <w:highlight w:val="none"/>
              </w:rPr>
            </w:r>
          </w:p>
        </w:tc>
        <w:tc>
          <w:tcPr>
            <w:tcW w:w="6469" w:type="dxa"/>
            <w:vAlign w:val="top"/>
            <w:textDirection w:val="lrTb"/>
            <w:noWrap w:val="false"/>
          </w:tcPr>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tc>
      </w:tr>
      <w:tr>
        <w:trPr>
          <w:trHeight w:val="319"/>
        </w:trPr>
        <w:tc>
          <w:tcPr>
            <w:tcW w:w="2879" w:type="dxa"/>
            <w:vAlign w:val="center"/>
            <w:textDirection w:val="lrTb"/>
            <w:noWrap w:val="false"/>
          </w:tcPr>
          <w:p>
            <w:pPr>
              <w:pStyle w:val="7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备注</w:t>
            </w:r>
            <w:r>
              <w:rPr>
                <w:rFonts w:hint="eastAsia" w:ascii="宋体" w:hAnsi="宋体" w:eastAsia="宋体" w:cs="宋体"/>
                <w:bCs/>
                <w:color w:val="000000"/>
                <w:sz w:val="24"/>
                <w:szCs w:val="24"/>
                <w:highlight w:val="none"/>
                <w:lang w:val="zh-CN"/>
              </w:rPr>
            </w:r>
            <w:r>
              <w:rPr>
                <w:highlight w:val="none"/>
              </w:rPr>
            </w:r>
          </w:p>
        </w:tc>
        <w:tc>
          <w:tcPr>
            <w:tcW w:w="6469" w:type="dxa"/>
            <w:vAlign w:val="top"/>
            <w:textDirection w:val="lrTb"/>
            <w:noWrap w:val="false"/>
          </w:tcPr>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认可中标通知书以EMS到付的方式发出，并及时签收；若未填写邮寄地址，请将中标通知书邮寄到我方法定地址。因我方收件信息填写错误或未及时签收，造成的邮件丢失、延误或退回的，责任由我方全权承担。</w:t>
            </w:r>
            <w:r>
              <w:rPr>
                <w:rFonts w:hint="eastAsia" w:ascii="宋体" w:hAnsi="宋体" w:eastAsia="宋体" w:cs="宋体"/>
                <w:bCs/>
                <w:color w:val="000000"/>
                <w:sz w:val="24"/>
                <w:szCs w:val="24"/>
                <w:highlight w:val="none"/>
                <w:lang w:val="zh-CN"/>
              </w:rPr>
            </w:r>
            <w:r>
              <w:rPr>
                <w:highlight w:val="none"/>
              </w:rPr>
            </w:r>
          </w:p>
        </w:tc>
      </w:tr>
    </w:tbl>
    <w:p>
      <w:pPr>
        <w:pStyle w:val="760"/>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投标人（电子签章）：</w:t>
      </w:r>
      <w:r>
        <w:rPr>
          <w:rFonts w:hint="eastAsia" w:ascii="宋体" w:hAnsi="宋体" w:eastAsia="宋体" w:cs="宋体"/>
          <w:bCs/>
          <w:color w:val="000000"/>
          <w:sz w:val="24"/>
          <w:szCs w:val="24"/>
          <w:highlight w:val="none"/>
          <w:lang w:val="zh-CN"/>
        </w:rPr>
      </w:r>
      <w:r>
        <w:rPr>
          <w:highlight w:val="none"/>
        </w:rPr>
      </w:r>
    </w:p>
    <w:p>
      <w:pPr>
        <w:pStyle w:val="788"/>
        <w:rPr>
          <w:rFonts w:hint="eastAsia"/>
          <w:color w:val="000000"/>
          <w:highlight w:val="none"/>
        </w:rPr>
        <w:sectPr>
          <w:headerReference w:type="default" r:id="rId9"/>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color w:val="000000"/>
          <w:highlight w:val="none"/>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pPr>
      <w:r>
        <w:rPr>
          <w:highlight w:val="none"/>
        </w:rPr>
      </w:r>
      <w:bookmarkEnd w:id="265"/>
      <w:r>
        <w:rPr>
          <w:highlight w:val="none"/>
        </w:rPr>
      </w:r>
      <w:bookmarkStart w:id="266" w:name="_Toc14859"/>
      <w:r>
        <w:rPr>
          <w:rFonts w:hint="eastAsia" w:ascii="宋体" w:hAnsi="宋体" w:eastAsia="宋体" w:cs="宋体"/>
          <w:bCs/>
          <w:color w:val="000000"/>
          <w:sz w:val="24"/>
          <w:szCs w:val="24"/>
          <w:highlight w:val="none"/>
          <w:lang w:val="zh-CN"/>
        </w:rPr>
      </w:r>
      <w:r>
        <w:rPr>
          <w:highlight w:val="none"/>
        </w:rPr>
      </w:r>
    </w:p>
    <w:p>
      <w:pPr>
        <w:pStyle w:val="760"/>
        <w:ind w:firstLine="480"/>
        <w:jc w:val="left"/>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rPr>
        <w:t xml:space="preserve">、明细报价表（格式）：</w:t>
      </w:r>
      <w:r>
        <w:rPr>
          <w:rFonts w:ascii="宋体" w:hAnsi="宋体" w:eastAsia="宋体"/>
          <w:bCs/>
          <w:color w:val="000000"/>
          <w:sz w:val="24"/>
          <w:szCs w:val="24"/>
          <w:highlight w:val="none"/>
        </w:rPr>
      </w:r>
      <w:r>
        <w:rPr>
          <w:highlight w:val="none"/>
        </w:rPr>
      </w:r>
    </w:p>
    <w:p>
      <w:pPr>
        <w:pStyle w:val="760"/>
        <w:jc w:val="center"/>
        <w:rPr>
          <w:rFonts w:ascii="宋体" w:hAnsi="宋体" w:eastAsia="宋体"/>
          <w:color w:val="000000"/>
          <w:sz w:val="24"/>
          <w:szCs w:val="24"/>
          <w:highlight w:val="none"/>
        </w:rPr>
      </w:pPr>
      <w:r>
        <w:rPr>
          <w:highlight w:val="none"/>
        </w:rPr>
      </w:r>
      <w:bookmarkStart w:id="267" w:name="OLE_LINK3"/>
      <w:r>
        <w:rPr>
          <w:rFonts w:hint="eastAsia" w:ascii="宋体" w:hAnsi="宋体" w:eastAsia="宋体"/>
          <w:color w:val="000000"/>
          <w:sz w:val="24"/>
          <w:szCs w:val="24"/>
          <w:highlight w:val="none"/>
        </w:rPr>
        <w:t xml:space="preserve">明细报价表</w:t>
      </w:r>
      <w:bookmarkEnd w:id="267"/>
      <w:r>
        <w:rPr>
          <w:rFonts w:ascii="宋体" w:hAnsi="宋体" w:eastAsia="宋体"/>
          <w:color w:val="000000"/>
          <w:sz w:val="24"/>
          <w:szCs w:val="24"/>
          <w:highlight w:val="none"/>
        </w:rPr>
      </w:r>
      <w:r>
        <w:rPr>
          <w:highlight w:val="none"/>
        </w:rPr>
      </w:r>
    </w:p>
    <w:p>
      <w:pPr>
        <w:pStyle w:val="760"/>
        <w:spacing w:after="15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rPr>
          <w:highlight w:val="none"/>
        </w:rPr>
      </w:r>
    </w:p>
    <w:p>
      <w:pPr>
        <w:pStyle w:val="760"/>
        <w:spacing w:after="156"/>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hint="eastAsia" w:ascii="宋体" w:hAnsi="宋体" w:eastAsia="宋体"/>
          <w:color w:val="000000"/>
          <w:sz w:val="24"/>
          <w:szCs w:val="24"/>
          <w:highlight w:val="none"/>
          <w:lang w:eastAsia="zh-CN"/>
        </w:rPr>
        <w:t xml:space="preserve">丁蜀镇石龙空气标准站和VOCs标准站设备采购项目</w:t>
      </w:r>
      <w:r>
        <w:rPr>
          <w:rFonts w:hint="eastAsia" w:ascii="宋体" w:hAnsi="宋体" w:eastAsia="宋体"/>
          <w:color w:val="000000"/>
          <w:sz w:val="24"/>
          <w:szCs w:val="24"/>
          <w:highlight w:val="none"/>
        </w:rPr>
      </w:r>
      <w:r>
        <w:rPr>
          <w:highlight w:val="none"/>
        </w:rPr>
      </w:r>
    </w:p>
    <w:p>
      <w:pPr>
        <w:pStyle w:val="760"/>
        <w:jc w:val="both"/>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项目编号：</w:t>
      </w:r>
      <w:r>
        <w:rPr>
          <w:rFonts w:hint="eastAsia" w:ascii="宋体" w:hAnsi="宋体" w:eastAsia="宋体"/>
          <w:color w:val="000000"/>
          <w:sz w:val="24"/>
          <w:szCs w:val="24"/>
          <w:highlight w:val="none"/>
          <w:lang w:eastAsia="zh-CN"/>
        </w:rPr>
        <w:t xml:space="preserve">JSZC-320282-YXJX-G2026-0003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rPr>
          <w:highlight w:val="none"/>
        </w:rPr>
      </w:r>
    </w:p>
    <w:p>
      <w:pPr>
        <w:pStyle w:val="760"/>
        <w:jc w:val="center"/>
        <w:spacing w:line="240" w:lineRule="auto"/>
        <w:rPr>
          <w:rFonts w:ascii="宋体" w:hAnsi="宋体" w:eastAsia="宋体" w:cs="Times New Roman"/>
          <w:bCs/>
          <w:color w:val="000000"/>
          <w:sz w:val="24"/>
          <w:szCs w:val="20"/>
          <w:highlight w:val="none"/>
        </w:rPr>
      </w:pP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单位：元</w:t>
      </w:r>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rPr>
      </w:r>
      <w:r>
        <w:rPr>
          <w:highlight w:val="none"/>
        </w:rPr>
      </w:r>
    </w:p>
    <w:tbl>
      <w:tblPr>
        <w:tblW w:w="10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932"/>
        <w:gridCol w:w="1151"/>
        <w:gridCol w:w="1412"/>
        <w:gridCol w:w="1343"/>
        <w:gridCol w:w="1055"/>
        <w:gridCol w:w="802"/>
        <w:gridCol w:w="748"/>
        <w:gridCol w:w="919"/>
        <w:gridCol w:w="696"/>
        <w:gridCol w:w="692"/>
      </w:tblGrid>
      <w:tr>
        <w:trPr>
          <w:trHeight w:val="829"/>
        </w:trPr>
        <w:tc>
          <w:tcPr>
            <w:tcW w:w="80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highlight w:val="none"/>
              </w:rPr>
            </w:r>
            <w:bookmarkStart w:id="268" w:name="OLE_LINK148"/>
            <w:r>
              <w:rPr>
                <w:rFonts w:hint="eastAsia" w:ascii="宋体" w:hAnsi="宋体" w:eastAsia="宋体" w:cs="Times New Roman"/>
                <w:color w:val="000000"/>
                <w:sz w:val="24"/>
                <w:szCs w:val="24"/>
                <w:highlight w:val="none"/>
              </w:rPr>
              <w:t xml:space="preserve">序号</w:t>
            </w:r>
            <w:r>
              <w:rPr>
                <w:rFonts w:ascii="宋体" w:hAnsi="宋体" w:eastAsia="宋体" w:cs="Times New Roman"/>
                <w:color w:val="000000"/>
                <w:sz w:val="24"/>
                <w:szCs w:val="24"/>
                <w:highlight w:val="none"/>
              </w:rPr>
            </w:r>
            <w:r>
              <w:rPr>
                <w:highlight w:val="none"/>
              </w:rPr>
            </w:r>
          </w:p>
        </w:tc>
        <w:tc>
          <w:tcPr>
            <w:tcW w:w="93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rPr>
                <w:rFonts w:ascii="宋体" w:hAnsi="宋体" w:eastAsia="宋体" w:cs="Times New Roman"/>
                <w:color w:val="000000"/>
                <w:sz w:val="24"/>
                <w:szCs w:val="24"/>
                <w:highlight w:val="none"/>
              </w:rPr>
            </w:r>
            <w:r>
              <w:rPr>
                <w:highlight w:val="none"/>
              </w:rPr>
            </w:r>
          </w:p>
        </w:tc>
        <w:tc>
          <w:tcPr>
            <w:tcW w:w="1151" w:type="dxa"/>
            <w:vAlign w:val="center"/>
            <w:textDirection w:val="lrTb"/>
            <w:noWrap w:val="false"/>
          </w:tcPr>
          <w:p>
            <w:pPr>
              <w:pStyle w:val="760"/>
              <w:jc w:val="center"/>
              <w:spacing w:before="5"/>
              <w:rPr>
                <w:rFonts w:hint="eastAsia" w:ascii="宋体" w:hAnsi="宋体" w:eastAsia="宋体" w:cs="宋体"/>
                <w:sz w:val="24"/>
                <w:szCs w:val="24"/>
                <w:highlight w:val="none"/>
              </w:rPr>
            </w:pPr>
            <w:r>
              <w:rPr>
                <w:rFonts w:hint="eastAsia" w:ascii="宋体" w:hAnsi="宋体" w:eastAsia="宋体" w:cs="Times New Roman"/>
                <w:color w:val="000000"/>
                <w:sz w:val="24"/>
                <w:szCs w:val="24"/>
                <w:highlight w:val="none"/>
                <w:lang w:val="en-US" w:eastAsia="zh-CN"/>
              </w:rPr>
              <w:t xml:space="preserve">设备名称</w:t>
            </w:r>
            <w:r>
              <w:rPr>
                <w:rFonts w:hint="eastAsia" w:ascii="宋体" w:hAnsi="宋体" w:eastAsia="宋体" w:cs="宋体"/>
                <w:sz w:val="24"/>
                <w:szCs w:val="24"/>
                <w:highlight w:val="none"/>
              </w:rPr>
            </w:r>
            <w:r>
              <w:rPr>
                <w:highlight w:val="none"/>
              </w:rPr>
            </w:r>
          </w:p>
        </w:tc>
        <w:tc>
          <w:tcPr>
            <w:tcW w:w="141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品牌型号</w:t>
            </w:r>
            <w:r>
              <w:rPr>
                <w:rFonts w:ascii="宋体" w:hAnsi="宋体" w:eastAsia="宋体" w:cs="Times New Roman"/>
                <w:color w:val="000000"/>
                <w:sz w:val="24"/>
                <w:szCs w:val="24"/>
                <w:highlight w:val="none"/>
              </w:rPr>
            </w:r>
            <w:r>
              <w:rPr>
                <w:highlight w:val="none"/>
              </w:rPr>
            </w:r>
          </w:p>
        </w:tc>
        <w:tc>
          <w:tcPr>
            <w:tcW w:w="134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生产厂家</w:t>
            </w:r>
            <w:r>
              <w:rPr>
                <w:rFonts w:ascii="宋体" w:hAnsi="宋体" w:eastAsia="宋体" w:cs="Times New Roman"/>
                <w:color w:val="000000"/>
                <w:sz w:val="24"/>
                <w:szCs w:val="24"/>
                <w:highlight w:val="none"/>
              </w:rPr>
            </w:r>
            <w:r>
              <w:rPr>
                <w:highlight w:val="none"/>
              </w:rPr>
            </w:r>
          </w:p>
        </w:tc>
        <w:tc>
          <w:tcPr>
            <w:tcW w:w="1055"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质保期</w:t>
            </w:r>
            <w:r>
              <w:rPr>
                <w:rFonts w:ascii="宋体" w:hAnsi="宋体" w:eastAsia="宋体" w:cs="Times New Roman"/>
                <w:color w:val="000000"/>
                <w:sz w:val="24"/>
                <w:szCs w:val="24"/>
                <w:highlight w:val="none"/>
              </w:rPr>
            </w:r>
            <w:r>
              <w:rPr>
                <w:highlight w:val="none"/>
              </w:rPr>
            </w:r>
          </w:p>
        </w:tc>
        <w:tc>
          <w:tcPr>
            <w:tcW w:w="80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rPr>
                <w:rFonts w:ascii="宋体" w:hAnsi="宋体" w:eastAsia="宋体" w:cs="Times New Roman"/>
                <w:color w:val="000000"/>
                <w:sz w:val="24"/>
                <w:szCs w:val="24"/>
                <w:highlight w:val="none"/>
              </w:rPr>
            </w:r>
            <w:r>
              <w:rPr>
                <w:highlight w:val="none"/>
              </w:rPr>
            </w:r>
          </w:p>
        </w:tc>
        <w:tc>
          <w:tcPr>
            <w:tcW w:w="748"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rPr>
                <w:rFonts w:ascii="宋体" w:hAnsi="宋体" w:eastAsia="宋体" w:cs="Times New Roman"/>
                <w:color w:val="000000"/>
                <w:sz w:val="24"/>
                <w:szCs w:val="24"/>
                <w:highlight w:val="none"/>
              </w:rPr>
            </w:r>
            <w:r>
              <w:rPr>
                <w:highlight w:val="none"/>
              </w:rPr>
            </w:r>
          </w:p>
        </w:tc>
        <w:tc>
          <w:tcPr>
            <w:tcW w:w="919" w:type="dxa"/>
            <w:vAlign w:val="center"/>
            <w:textDirection w:val="lrTb"/>
            <w:noWrap w:val="false"/>
          </w:tcPr>
          <w:p>
            <w:pPr>
              <w:pStyle w:val="760"/>
              <w:jc w:val="center"/>
              <w:spacing w:before="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rPr>
                <w:rFonts w:hint="eastAsia" w:ascii="宋体" w:hAnsi="宋体" w:eastAsia="宋体" w:cs="Times New Roman"/>
                <w:color w:val="000000"/>
                <w:sz w:val="24"/>
                <w:szCs w:val="24"/>
                <w:highlight w:val="none"/>
              </w:rPr>
            </w:r>
            <w:r>
              <w:rPr>
                <w:highlight w:val="none"/>
              </w:rPr>
            </w:r>
          </w:p>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总报价</w:t>
            </w:r>
            <w:r>
              <w:rPr>
                <w:rFonts w:ascii="宋体" w:hAnsi="宋体" w:eastAsia="宋体" w:cs="Times New Roman"/>
                <w:color w:val="000000"/>
                <w:sz w:val="24"/>
                <w:szCs w:val="24"/>
                <w:highlight w:val="none"/>
              </w:rPr>
            </w:r>
            <w:r>
              <w:rPr>
                <w:highlight w:val="none"/>
              </w:rPr>
            </w:r>
          </w:p>
        </w:tc>
        <w:tc>
          <w:tcPr>
            <w:tcW w:w="696"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rPr>
                <w:rFonts w:ascii="宋体" w:hAnsi="宋体" w:eastAsia="宋体" w:cs="Times New Roman"/>
                <w:color w:val="000000"/>
                <w:sz w:val="24"/>
                <w:szCs w:val="24"/>
                <w:highlight w:val="none"/>
              </w:rPr>
            </w:r>
            <w:r>
              <w:rPr>
                <w:highlight w:val="none"/>
              </w:rPr>
            </w:r>
          </w:p>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类别</w:t>
            </w:r>
            <w:r>
              <w:rPr>
                <w:rFonts w:ascii="宋体" w:hAnsi="宋体" w:eastAsia="宋体" w:cs="Times New Roman"/>
                <w:color w:val="000000"/>
                <w:sz w:val="24"/>
                <w:szCs w:val="24"/>
                <w:highlight w:val="none"/>
              </w:rPr>
            </w:r>
            <w:r>
              <w:rPr>
                <w:highlight w:val="none"/>
              </w:rPr>
            </w:r>
          </w:p>
        </w:tc>
        <w:tc>
          <w:tcPr>
            <w:tcW w:w="69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rPr>
                <w:rFonts w:ascii="宋体" w:hAnsi="宋体" w:eastAsia="宋体" w:cs="Times New Roman"/>
                <w:color w:val="000000"/>
                <w:sz w:val="24"/>
                <w:szCs w:val="24"/>
                <w:highlight w:val="none"/>
              </w:rPr>
            </w:r>
            <w:r>
              <w:rPr>
                <w:highlight w:val="none"/>
              </w:rPr>
            </w:r>
          </w:p>
        </w:tc>
      </w:tr>
      <w:tr>
        <w:trPr>
          <w:trHeight w:val="675"/>
        </w:trPr>
        <w:tc>
          <w:tcPr>
            <w:tcW w:w="80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93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151" w:type="dxa"/>
            <w:vAlign w:val="top"/>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34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055"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80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748"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919"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696"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69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trHeight w:val="675"/>
        </w:trPr>
        <w:tc>
          <w:tcPr>
            <w:tcW w:w="80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93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151" w:type="dxa"/>
            <w:vAlign w:val="top"/>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34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055"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80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748"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919"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696"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69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trHeight w:val="675"/>
        </w:trPr>
        <w:tc>
          <w:tcPr>
            <w:tcW w:w="80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93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151" w:type="dxa"/>
            <w:vAlign w:val="top"/>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34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055"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80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748"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919"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696"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69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trHeight w:val="675"/>
        </w:trPr>
        <w:tc>
          <w:tcPr>
            <w:tcW w:w="80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93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151" w:type="dxa"/>
            <w:vAlign w:val="top"/>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34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055"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80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748"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919"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696"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69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trHeight w:val="675"/>
        </w:trPr>
        <w:tc>
          <w:tcPr>
            <w:tcW w:w="80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93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151" w:type="dxa"/>
            <w:vAlign w:val="top"/>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41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343"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1055"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80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748"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919"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696"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c>
          <w:tcPr>
            <w:tcW w:w="692"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trHeight w:val="676"/>
        </w:trPr>
        <w:tc>
          <w:tcPr>
            <w:gridSpan w:val="3"/>
            <w:tcW w:w="2886"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rPr>
              <w:t xml:space="preserve">合计（小写）</w:t>
            </w:r>
            <w:r>
              <w:rPr>
                <w:rFonts w:ascii="宋体" w:hAnsi="宋体" w:eastAsia="宋体" w:cs="Times New Roman"/>
                <w:color w:val="000000"/>
                <w:sz w:val="24"/>
                <w:szCs w:val="24"/>
                <w:highlight w:val="none"/>
              </w:rPr>
            </w:r>
            <w:r>
              <w:rPr>
                <w:highlight w:val="none"/>
              </w:rPr>
            </w:r>
          </w:p>
        </w:tc>
        <w:tc>
          <w:tcPr>
            <w:gridSpan w:val="8"/>
            <w:tcW w:w="7667" w:type="dxa"/>
            <w:vAlign w:val="center"/>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r>
        <w:trPr>
          <w:trHeight w:val="534" w:hRule="exact"/>
        </w:trPr>
        <w:tc>
          <w:tcPr>
            <w:gridSpan w:val="3"/>
            <w:tcW w:w="2886" w:type="dxa"/>
            <w:vAlign w:val="center"/>
            <w:textDirection w:val="lrTb"/>
            <w:noWrap w:val="false"/>
          </w:tcPr>
          <w:p>
            <w:pPr>
              <w:pStyle w:val="760"/>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交付时间</w:t>
            </w:r>
            <w:r>
              <w:rPr>
                <w:rFonts w:ascii="宋体" w:hAnsi="宋体" w:eastAsia="宋体" w:cs="Times New Roman"/>
                <w:b/>
                <w:bCs/>
                <w:color w:val="000000"/>
                <w:sz w:val="24"/>
                <w:szCs w:val="24"/>
                <w:highlight w:val="none"/>
              </w:rPr>
            </w:r>
            <w:r>
              <w:rPr>
                <w:highlight w:val="none"/>
              </w:rPr>
            </w:r>
          </w:p>
        </w:tc>
        <w:tc>
          <w:tcPr>
            <w:gridSpan w:val="8"/>
            <w:tcW w:w="7667" w:type="dxa"/>
            <w:vAlign w:val="center"/>
            <w:textDirection w:val="lrTb"/>
            <w:noWrap w:val="false"/>
          </w:tcPr>
          <w:p>
            <w:pPr>
              <w:pStyle w:val="760"/>
              <w:jc w:val="center"/>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rPr>
                <w:highlight w:val="none"/>
              </w:rPr>
            </w:r>
          </w:p>
        </w:tc>
      </w:tr>
      <w:tr>
        <w:trPr>
          <w:trHeight w:val="534" w:hRule="exact"/>
        </w:trPr>
        <w:tc>
          <w:tcPr>
            <w:gridSpan w:val="3"/>
            <w:tcW w:w="2886" w:type="dxa"/>
            <w:vAlign w:val="center"/>
            <w:textDirection w:val="lrTb"/>
            <w:noWrap w:val="false"/>
          </w:tcPr>
          <w:p>
            <w:pPr>
              <w:pStyle w:val="760"/>
              <w:jc w:val="center"/>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项目整体质保期</w:t>
            </w:r>
            <w:r>
              <w:rPr>
                <w:rFonts w:ascii="宋体" w:hAnsi="宋体" w:eastAsia="宋体" w:cs="Times New Roman"/>
                <w:b/>
                <w:bCs/>
                <w:color w:val="000000"/>
                <w:sz w:val="24"/>
                <w:szCs w:val="24"/>
                <w:highlight w:val="none"/>
              </w:rPr>
            </w:r>
            <w:r>
              <w:rPr>
                <w:highlight w:val="none"/>
              </w:rPr>
            </w:r>
          </w:p>
        </w:tc>
        <w:tc>
          <w:tcPr>
            <w:gridSpan w:val="8"/>
            <w:tcW w:w="7667" w:type="dxa"/>
            <w:vAlign w:val="center"/>
            <w:textDirection w:val="lrTb"/>
            <w:noWrap w:val="false"/>
          </w:tcPr>
          <w:p>
            <w:pPr>
              <w:pStyle w:val="760"/>
              <w:jc w:val="center"/>
              <w:rPr>
                <w:rFonts w:ascii="宋体" w:hAnsi="宋体" w:eastAsia="宋体" w:cs="Times New Roman"/>
                <w:b/>
                <w:bCs/>
                <w:color w:val="000000"/>
                <w:sz w:val="24"/>
                <w:szCs w:val="24"/>
                <w:highlight w:val="none"/>
              </w:rPr>
            </w:pPr>
            <w:r>
              <w:rPr>
                <w:rFonts w:ascii="宋体" w:hAnsi="宋体" w:eastAsia="宋体" w:cs="Times New Roman"/>
                <w:b/>
                <w:bCs/>
                <w:color w:val="000000"/>
                <w:sz w:val="24"/>
                <w:szCs w:val="24"/>
                <w:highlight w:val="none"/>
              </w:rPr>
            </w:r>
            <w:r>
              <w:rPr>
                <w:highlight w:val="none"/>
              </w:rPr>
            </w:r>
          </w:p>
        </w:tc>
      </w:tr>
      <w:tr>
        <w:trPr>
          <w:trHeight w:val="1005"/>
        </w:trPr>
        <w:tc>
          <w:tcPr>
            <w:tcW w:w="803" w:type="dxa"/>
            <w:vAlign w:val="center"/>
            <w:vMerge w:val="restart"/>
            <w:textDirection w:val="lrTb"/>
            <w:noWrap w:val="false"/>
          </w:tcPr>
          <w:p>
            <w:pPr>
              <w:pStyle w:val="760"/>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服</w:t>
            </w:r>
            <w:r>
              <w:rPr>
                <w:rFonts w:ascii="宋体" w:hAnsi="宋体" w:eastAsia="宋体" w:cs="Times New Roman"/>
                <w:b/>
                <w:bCs/>
                <w:color w:val="000000"/>
                <w:sz w:val="24"/>
                <w:szCs w:val="24"/>
                <w:highlight w:val="none"/>
              </w:rPr>
            </w:r>
            <w:r>
              <w:rPr>
                <w:highlight w:val="none"/>
              </w:rPr>
            </w:r>
          </w:p>
          <w:p>
            <w:pPr>
              <w:pStyle w:val="760"/>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务</w:t>
            </w:r>
            <w:r>
              <w:rPr>
                <w:rFonts w:ascii="宋体" w:hAnsi="宋体" w:eastAsia="宋体" w:cs="Times New Roman"/>
                <w:b/>
                <w:bCs/>
                <w:color w:val="000000"/>
                <w:sz w:val="24"/>
                <w:szCs w:val="24"/>
                <w:highlight w:val="none"/>
              </w:rPr>
            </w:r>
            <w:r>
              <w:rPr>
                <w:highlight w:val="none"/>
              </w:rPr>
            </w:r>
          </w:p>
          <w:p>
            <w:pPr>
              <w:pStyle w:val="760"/>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承</w:t>
            </w:r>
            <w:r>
              <w:rPr>
                <w:rFonts w:ascii="宋体" w:hAnsi="宋体" w:eastAsia="宋体" w:cs="Times New Roman"/>
                <w:b/>
                <w:bCs/>
                <w:color w:val="000000"/>
                <w:sz w:val="24"/>
                <w:szCs w:val="24"/>
                <w:highlight w:val="none"/>
              </w:rPr>
            </w:r>
            <w:r>
              <w:rPr>
                <w:highlight w:val="none"/>
              </w:rPr>
            </w:r>
          </w:p>
          <w:p>
            <w:pPr>
              <w:pStyle w:val="760"/>
              <w:jc w:val="center"/>
              <w:spacing w:after="120"/>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诺</w:t>
            </w:r>
            <w:r>
              <w:rPr>
                <w:rFonts w:ascii="宋体" w:hAnsi="宋体" w:eastAsia="宋体" w:cs="Times New Roman"/>
                <w:b/>
                <w:bCs/>
                <w:color w:val="000000"/>
                <w:sz w:val="24"/>
                <w:szCs w:val="24"/>
                <w:highlight w:val="none"/>
              </w:rPr>
            </w:r>
            <w:r>
              <w:rPr>
                <w:highlight w:val="none"/>
              </w:rPr>
            </w:r>
          </w:p>
        </w:tc>
        <w:tc>
          <w:tcPr>
            <w:gridSpan w:val="10"/>
            <w:tcW w:w="9750" w:type="dxa"/>
            <w:vAlign w:val="top"/>
            <w:textDirection w:val="lrTb"/>
            <w:noWrap w:val="false"/>
          </w:tcPr>
          <w:p>
            <w:pPr>
              <w:pStyle w:val="760"/>
              <w:numPr>
                <w:ilvl w:val="0"/>
                <w:numId w:val="0"/>
              </w:numPr>
              <w:ind w:left="210" w:hanging="210"/>
              <w:jc w:val="left"/>
              <w:rPr>
                <w:rFonts w:ascii="宋体" w:hAnsi="宋体" w:eastAsia="宋体" w:cs="Times New Roman"/>
                <w:bCs/>
                <w:color w:val="000000"/>
                <w:sz w:val="24"/>
                <w:szCs w:val="24"/>
                <w:highlight w:val="none"/>
              </w:rPr>
            </w:pPr>
            <w:r>
              <w:rPr>
                <w:rFonts w:ascii="Times New Roman"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rPr>
              <w:t xml:space="preserve">质量</w:t>
            </w:r>
            <w:r>
              <w:rPr>
                <w:rFonts w:ascii="宋体" w:hAnsi="宋体" w:eastAsia="宋体" w:cs="Times New Roman"/>
                <w:bCs/>
                <w:color w:val="000000"/>
                <w:sz w:val="24"/>
                <w:szCs w:val="24"/>
                <w:highlight w:val="none"/>
              </w:rPr>
              <w:t xml:space="preserve"> 2.</w:t>
            </w:r>
            <w:r>
              <w:rPr>
                <w:rFonts w:hint="eastAsia" w:ascii="宋体" w:hAnsi="宋体" w:eastAsia="宋体" w:cs="Times New Roman"/>
                <w:bCs/>
                <w:color w:val="000000"/>
                <w:sz w:val="24"/>
                <w:szCs w:val="24"/>
                <w:highlight w:val="none"/>
              </w:rPr>
              <w:t xml:space="preserve">安装</w:t>
            </w:r>
            <w:r>
              <w:rPr>
                <w:rFonts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rPr>
              <w:t xml:space="preserve">3</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三包</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包修、包退、包换)4</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其他承诺</w:t>
            </w:r>
            <w:r>
              <w:rPr>
                <w:rFonts w:ascii="宋体" w:hAnsi="宋体" w:eastAsia="宋体" w:cs="Times New Roman"/>
                <w:bCs/>
                <w:color w:val="000000"/>
                <w:sz w:val="24"/>
                <w:szCs w:val="24"/>
                <w:highlight w:val="none"/>
              </w:rPr>
            </w:r>
            <w:r>
              <w:rPr>
                <w:highlight w:val="none"/>
              </w:rPr>
            </w:r>
          </w:p>
          <w:p>
            <w:pPr>
              <w:pStyle w:val="760"/>
              <w:jc w:val="left"/>
              <w:spacing w:before="5"/>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（以上是主要承诺，供</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参考，</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应在满足</w:t>
            </w:r>
            <w:r>
              <w:rPr>
                <w:rFonts w:hint="eastAsia" w:ascii="宋体" w:hAnsi="宋体" w:eastAsia="宋体" w:cs="Times New Roman"/>
                <w:bCs/>
                <w:color w:val="000000"/>
                <w:sz w:val="24"/>
                <w:szCs w:val="24"/>
                <w:highlight w:val="none"/>
                <w:lang w:val="en-US" w:eastAsia="zh-CN"/>
              </w:rPr>
              <w:t xml:space="preserve">招标文件</w:t>
            </w:r>
            <w:r>
              <w:rPr>
                <w:rFonts w:hint="eastAsia" w:ascii="宋体" w:hAnsi="宋体" w:eastAsia="宋体" w:cs="Times New Roman"/>
                <w:bCs/>
                <w:color w:val="000000"/>
                <w:sz w:val="24"/>
                <w:szCs w:val="24"/>
                <w:highlight w:val="none"/>
              </w:rPr>
              <w:t xml:space="preserve">要求的基础上，根据自己单位的情况作出具体承诺）</w:t>
            </w:r>
            <w:bookmarkEnd w:id="268"/>
            <w:r>
              <w:rPr>
                <w:rFonts w:hint="eastAsia" w:ascii="宋体" w:hAnsi="宋体" w:eastAsia="宋体" w:cs="Times New Roman"/>
                <w:bCs/>
                <w:color w:val="000000"/>
                <w:sz w:val="24"/>
                <w:szCs w:val="24"/>
                <w:highlight w:val="none"/>
              </w:rPr>
            </w:r>
            <w:r>
              <w:rPr>
                <w:highlight w:val="none"/>
              </w:rPr>
            </w:r>
          </w:p>
        </w:tc>
      </w:tr>
      <w:tr>
        <w:trPr>
          <w:trHeight w:val="831"/>
        </w:trPr>
        <w:tc>
          <w:tcPr>
            <w:tcW w:w="803" w:type="dxa"/>
            <w:vAlign w:val="center"/>
            <w:vMerge w:val="continue"/>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gridSpan w:val="10"/>
            <w:tcW w:w="9750" w:type="dxa"/>
            <w:vAlign w:val="top"/>
            <w:textDirection w:val="lrTb"/>
            <w:noWrap w:val="false"/>
          </w:tcPr>
          <w:p>
            <w:pPr>
              <w:pStyle w:val="760"/>
              <w:jc w:val="center"/>
              <w:spacing w:before="5"/>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rPr>
                <w:highlight w:val="none"/>
              </w:rPr>
            </w:r>
          </w:p>
        </w:tc>
      </w:tr>
    </w:tbl>
    <w:p>
      <w:pPr>
        <w:pStyle w:val="760"/>
        <w:ind w:left="5460" w:hanging="5460"/>
        <w:jc w:val="center"/>
        <w:spacing w:line="360" w:lineRule="auto"/>
        <w:rPr>
          <w:rFonts w:hint="eastAsia"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rPr>
      </w:r>
      <w:r>
        <w:rPr>
          <w:highlight w:val="none"/>
        </w:rPr>
      </w:r>
    </w:p>
    <w:p>
      <w:pPr>
        <w:pStyle w:val="760"/>
        <w:ind w:left="5460" w:hanging="54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ascii="宋体" w:hAnsi="宋体" w:eastAsia="宋体" w:cs="Times New Roman"/>
          <w:bCs/>
          <w:color w:val="000000"/>
          <w:sz w:val="24"/>
          <w:szCs w:val="20"/>
          <w:highlight w:val="none"/>
        </w:rPr>
      </w:r>
      <w:r>
        <w:rPr>
          <w:highlight w:val="none"/>
        </w:rPr>
      </w:r>
    </w:p>
    <w:p>
      <w:pPr>
        <w:pStyle w:val="760"/>
        <w:ind w:left="5460" w:hanging="54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bookmarkStart w:id="269" w:name="OLE_LINK149"/>
      <w:r>
        <w:rPr>
          <w:rFonts w:hint="eastAsia" w:ascii="宋体" w:hAnsi="宋体" w:eastAsia="宋体" w:cs="Times New Roman"/>
          <w:bCs/>
          <w:color w:val="000000"/>
          <w:sz w:val="24"/>
          <w:szCs w:val="20"/>
          <w:highlight w:val="none"/>
          <w:lang w:val="zh-CN"/>
        </w:rPr>
        <w:t xml:space="preserve">投标人（电子签章）：</w:t>
      </w:r>
      <w:r>
        <w:rPr>
          <w:rFonts w:ascii="宋体" w:hAnsi="宋体" w:eastAsia="宋体" w:cs="Times New Roman"/>
          <w:bCs/>
          <w:color w:val="000000"/>
          <w:sz w:val="24"/>
          <w:szCs w:val="20"/>
          <w:highlight w:val="none"/>
        </w:rPr>
        <w:t xml:space="preserve">               </w:t>
      </w:r>
      <w:bookmarkEnd w:id="269"/>
      <w:r>
        <w:rPr>
          <w:rFonts w:ascii="宋体" w:hAnsi="宋体" w:eastAsia="宋体" w:cs="Times New Roman"/>
          <w:bCs/>
          <w:color w:val="000000"/>
          <w:sz w:val="24"/>
          <w:szCs w:val="20"/>
          <w:highlight w:val="none"/>
        </w:rPr>
      </w:r>
      <w:r>
        <w:rPr>
          <w:highlight w:val="none"/>
        </w:rPr>
      </w:r>
    </w:p>
    <w:p>
      <w:pPr>
        <w:pStyle w:val="760"/>
        <w:spacing w:line="360" w:lineRule="auto"/>
        <w:rPr>
          <w:rFonts w:ascii="宋体" w:hAnsi="宋体" w:eastAsia="宋体" w:cs="Times New Roman"/>
          <w:bCs/>
          <w:color w:val="000000"/>
          <w:szCs w:val="21"/>
          <w:highlight w:val="none"/>
        </w:rPr>
      </w:pPr>
      <w:r>
        <w:rPr>
          <w:highlight w:val="none"/>
        </w:rPr>
      </w:r>
      <w:bookmarkStart w:id="270" w:name="_Toc24943"/>
      <w:r>
        <w:rPr>
          <w:rFonts w:hint="eastAsia" w:ascii="宋体" w:hAnsi="宋体" w:eastAsia="宋体" w:cs="Times New Roman"/>
          <w:b/>
          <w:bCs w:val="0"/>
          <w:color w:val="000000"/>
          <w:szCs w:val="21"/>
          <w:highlight w:val="none"/>
        </w:rPr>
        <w:t xml:space="preserve">注：</w:t>
      </w:r>
      <w:r>
        <w:rPr>
          <w:rFonts w:hint="eastAsia" w:ascii="宋体" w:hAnsi="宋体" w:eastAsia="宋体" w:cs="Times New Roman"/>
          <w:bCs/>
          <w:color w:val="000000"/>
          <w:szCs w:val="21"/>
          <w:highlight w:val="none"/>
        </w:rPr>
        <w:t xml:space="preserve"> </w:t>
      </w:r>
      <w:r>
        <w:rPr>
          <w:rFonts w:ascii="宋体" w:hAnsi="宋体" w:eastAsia="宋体" w:cs="Times New Roman"/>
          <w:bCs/>
          <w:color w:val="000000"/>
          <w:szCs w:val="21"/>
          <w:highlight w:val="none"/>
        </w:rPr>
      </w:r>
      <w:r>
        <w:rPr>
          <w:highlight w:val="none"/>
        </w:rPr>
      </w:r>
    </w:p>
    <w:p>
      <w:pPr>
        <w:pStyle w:val="760"/>
        <w:ind w:firstLine="21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（1）</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应当根据“第三章 项目技术要求和有关说明”的内容详细填写明细报价表，须包括本次采购的所有细项；“明细报价表”合计金额应与“</w:t>
      </w:r>
      <w:r>
        <w:rPr>
          <w:rFonts w:hint="eastAsia" w:ascii="宋体" w:hAnsi="宋体" w:eastAsia="宋体" w:cs="Times New Roman"/>
          <w:bCs/>
          <w:color w:val="000000"/>
          <w:szCs w:val="21"/>
          <w:highlight w:val="none"/>
          <w:lang w:val="en-US" w:eastAsia="zh-CN"/>
        </w:rPr>
        <w:t xml:space="preserve">开标</w:t>
      </w:r>
      <w:r>
        <w:rPr>
          <w:rFonts w:hint="eastAsia" w:ascii="宋体" w:hAnsi="宋体" w:eastAsia="宋体" w:cs="Times New Roman"/>
          <w:bCs/>
          <w:color w:val="000000"/>
          <w:szCs w:val="21"/>
          <w:highlight w:val="none"/>
        </w:rPr>
        <w:t xml:space="preserve">一览表”报价一致；</w:t>
      </w:r>
      <w:r>
        <w:rPr>
          <w:rFonts w:ascii="宋体" w:hAnsi="宋体" w:eastAsia="宋体" w:cs="Times New Roman"/>
          <w:bCs/>
          <w:color w:val="000000"/>
          <w:szCs w:val="21"/>
          <w:highlight w:val="none"/>
        </w:rPr>
      </w:r>
      <w:r>
        <w:rPr>
          <w:highlight w:val="none"/>
        </w:rPr>
      </w:r>
    </w:p>
    <w:p>
      <w:pPr>
        <w:pStyle w:val="760"/>
        <w:ind w:firstLine="21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（2）若属于政府采购政策扶持产品，</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须在“产品类别”一栏中填入：小微型企业产品、残疾人福利性单位产品或监狱企业产品。</w:t>
      </w:r>
      <w:r>
        <w:rPr>
          <w:rFonts w:ascii="宋体" w:hAnsi="宋体" w:eastAsia="宋体" w:cs="Times New Roman"/>
          <w:bCs/>
          <w:color w:val="000000"/>
          <w:szCs w:val="21"/>
          <w:highlight w:val="none"/>
        </w:rPr>
      </w:r>
      <w:r>
        <w:rPr>
          <w:highlight w:val="none"/>
        </w:rPr>
      </w:r>
    </w:p>
    <w:p>
      <w:pPr>
        <w:pStyle w:val="760"/>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a.根据《政府采购促进中小企业发展管理办法》（财库〔2020〕46号）的规定，对符合下列情形的小微企业报价给予扣除，用扣除后的价格参加评审（具体价格扣除比例详见“第一章 </w:t>
      </w:r>
      <w:r>
        <w:rPr>
          <w:rFonts w:hint="eastAsia" w:ascii="宋体" w:hAnsi="宋体" w:eastAsia="宋体" w:cs="Times New Roman"/>
          <w:bCs/>
          <w:color w:val="000000"/>
          <w:szCs w:val="21"/>
          <w:highlight w:val="none"/>
          <w:lang w:val="en-US" w:eastAsia="zh-CN"/>
        </w:rPr>
        <w:t xml:space="preserve">投标</w:t>
      </w:r>
      <w:r>
        <w:rPr>
          <w:rFonts w:hint="eastAsia" w:ascii="宋体" w:hAnsi="宋体" w:eastAsia="宋体" w:cs="Times New Roman"/>
          <w:bCs/>
          <w:color w:val="000000"/>
          <w:szCs w:val="21"/>
          <w:highlight w:val="none"/>
        </w:rPr>
        <w:t xml:space="preserve">邀请函”）：</w:t>
      </w:r>
      <w:r>
        <w:rPr>
          <w:rFonts w:ascii="宋体" w:hAnsi="宋体" w:eastAsia="宋体" w:cs="Times New Roman"/>
          <w:bCs/>
          <w:color w:val="000000"/>
          <w:szCs w:val="21"/>
          <w:highlight w:val="none"/>
        </w:rPr>
      </w:r>
      <w:r>
        <w:rPr>
          <w:highlight w:val="none"/>
        </w:rPr>
      </w:r>
    </w:p>
    <w:p>
      <w:pPr>
        <w:pStyle w:val="760"/>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在货物采购项目中，货物由中小企业制造，即货物由中小企业生产且使用该中小企业商号或者注册商标；</w:t>
      </w:r>
      <w:r>
        <w:rPr>
          <w:rFonts w:ascii="宋体" w:hAnsi="宋体" w:eastAsia="宋体" w:cs="Times New Roman"/>
          <w:bCs/>
          <w:color w:val="000000"/>
          <w:szCs w:val="21"/>
          <w:highlight w:val="none"/>
        </w:rPr>
      </w:r>
      <w:r>
        <w:rPr>
          <w:highlight w:val="none"/>
        </w:rPr>
      </w:r>
    </w:p>
    <w:p>
      <w:pPr>
        <w:pStyle w:val="760"/>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在工程采购项目中，工程由中小企业承建，即工程施工单位为中小企业；</w:t>
      </w:r>
      <w:r>
        <w:rPr>
          <w:rFonts w:ascii="宋体" w:hAnsi="宋体" w:eastAsia="宋体" w:cs="Times New Roman"/>
          <w:bCs/>
          <w:color w:val="000000"/>
          <w:szCs w:val="21"/>
          <w:highlight w:val="none"/>
        </w:rPr>
      </w:r>
      <w:r>
        <w:rPr>
          <w:highlight w:val="none"/>
        </w:rPr>
      </w:r>
    </w:p>
    <w:p>
      <w:pPr>
        <w:pStyle w:val="760"/>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在服务采购项目中，服务由中小企业承接，即提供服务的人员为中小企业依照《中华人民共和国劳动合同法》订立劳动合同的从业人员。</w:t>
      </w:r>
      <w:r>
        <w:rPr>
          <w:rFonts w:ascii="宋体" w:hAnsi="宋体" w:eastAsia="宋体" w:cs="Times New Roman"/>
          <w:bCs/>
          <w:color w:val="000000"/>
          <w:szCs w:val="21"/>
          <w:highlight w:val="none"/>
        </w:rPr>
      </w:r>
      <w:r>
        <w:rPr>
          <w:highlight w:val="none"/>
        </w:rPr>
      </w:r>
    </w:p>
    <w:p>
      <w:pPr>
        <w:pStyle w:val="760"/>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在货物采购项目中，</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提供的货物既有中小企业制造货物，也有大型企业制造货物的，不享受本办法规定的中小企业扶持政策。</w:t>
      </w:r>
      <w:r>
        <w:rPr>
          <w:rFonts w:ascii="宋体" w:hAnsi="宋体" w:eastAsia="宋体" w:cs="Times New Roman"/>
          <w:bCs/>
          <w:color w:val="000000"/>
          <w:szCs w:val="21"/>
          <w:highlight w:val="none"/>
        </w:rPr>
      </w:r>
      <w:r>
        <w:rPr>
          <w:highlight w:val="none"/>
        </w:rPr>
      </w:r>
    </w:p>
    <w:p>
      <w:pPr>
        <w:pStyle w:val="760"/>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b.根据《关于促进残疾人就业政府采购政策的通知》（财库〔2017〕141号）的规定，残疾人福利性单位视同小微企业，对其产品的报价给予10%的扣除，用扣除后的价格参与评审。</w:t>
      </w:r>
      <w:r>
        <w:rPr>
          <w:rFonts w:ascii="宋体" w:hAnsi="宋体" w:eastAsia="宋体" w:cs="Times New Roman"/>
          <w:bCs/>
          <w:color w:val="000000"/>
          <w:szCs w:val="21"/>
          <w:highlight w:val="none"/>
        </w:rPr>
      </w:r>
      <w:r>
        <w:rPr>
          <w:highlight w:val="none"/>
        </w:rPr>
      </w:r>
    </w:p>
    <w:p>
      <w:pPr>
        <w:pStyle w:val="760"/>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c.根据《关于政府采购支持监狱企业发展有关问题的通知》（财库〔2014〕68号）的规定，监狱企业视同小微企业，对其产品的报价给予10%的扣除，用扣除后的价格参与评审。</w:t>
      </w:r>
      <w:r>
        <w:rPr>
          <w:rFonts w:ascii="宋体" w:hAnsi="宋体" w:eastAsia="宋体" w:cs="Times New Roman"/>
          <w:bCs/>
          <w:color w:val="000000"/>
          <w:szCs w:val="21"/>
          <w:highlight w:val="none"/>
        </w:rPr>
      </w:r>
      <w:r>
        <w:rPr>
          <w:highlight w:val="none"/>
        </w:rPr>
      </w:r>
    </w:p>
    <w:p>
      <w:pPr>
        <w:pStyle w:val="76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同一</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，上述a、b、c三项价格扣除优惠不得重复享受。</w:t>
      </w:r>
      <w:r>
        <w:rPr>
          <w:rFonts w:ascii="宋体" w:hAnsi="宋体" w:eastAsia="宋体" w:cs="Times New Roman"/>
          <w:bCs/>
          <w:color w:val="000000"/>
          <w:szCs w:val="21"/>
          <w:highlight w:val="none"/>
        </w:rPr>
      </w:r>
      <w:r>
        <w:rPr>
          <w:highlight w:val="none"/>
        </w:rPr>
      </w:r>
    </w:p>
    <w:p>
      <w:pPr>
        <w:pStyle w:val="760"/>
        <w:ind w:firstLine="420"/>
        <w:spacing w:line="360" w:lineRule="auto"/>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t xml:space="preserve">3）</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应认真填写“2.2</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企业性质及产品类别说明”并按要求提供相关证明材料。</w:t>
      </w:r>
      <w:r>
        <w:rPr>
          <w:rFonts w:ascii="宋体" w:hAnsi="宋体" w:eastAsia="宋体" w:cs="Times New Roman"/>
          <w:bCs/>
          <w:color w:val="000000"/>
          <w:szCs w:val="21"/>
          <w:highlight w:val="none"/>
        </w:rPr>
      </w:r>
      <w:r>
        <w:rPr>
          <w:highlight w:val="none"/>
        </w:rPr>
      </w:r>
    </w:p>
    <w:p>
      <w:pPr>
        <w:pStyle w:val="760"/>
        <w:ind w:firstLine="420"/>
        <w:spacing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（4）表格不够可自行延长。</w:t>
      </w:r>
      <w:bookmarkEnd w:id="270"/>
      <w:r>
        <w:rPr>
          <w:rFonts w:ascii="宋体" w:hAnsi="宋体" w:eastAsia="宋体" w:cs="Times New Roman"/>
          <w:bCs/>
          <w:color w:val="000000"/>
          <w:szCs w:val="21"/>
          <w:highlight w:val="none"/>
        </w:rPr>
      </w:r>
      <w:r>
        <w:rPr>
          <w:highlight w:val="none"/>
        </w:rPr>
      </w:r>
    </w:p>
    <w:p>
      <w:pPr>
        <w:pStyle w:val="79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9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9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sectPr>
          <w:headerReference w:type="default" r:id="rId10"/>
          <w:footerReference w:type="default" r:id="rId15"/>
          <w:footnotePr/>
          <w:endnotePr/>
          <w:type w:val="nextPage"/>
          <w:pgSz w:w="11906" w:h="16838" w:orient="portrait"/>
          <w:pgMar w:top="964" w:right="1134" w:bottom="964" w:left="1134" w:header="851" w:footer="992" w:gutter="0"/>
          <w:cols w:num="1" w:sep="0" w:space="1701" w:equalWidth="1"/>
          <w:docGrid w:linePitch="360"/>
        </w:sectPr>
      </w:pPr>
      <w:r>
        <w:rPr>
          <w:rFonts w:hint="eastAsia" w:ascii="宋体" w:hAnsi="宋体" w:eastAsia="宋体" w:cs="宋体"/>
          <w:bCs/>
          <w:color w:val="000000"/>
          <w:sz w:val="24"/>
          <w:szCs w:val="24"/>
          <w:highlight w:val="none"/>
        </w:rPr>
      </w:r>
      <w:r>
        <w:rPr>
          <w:highlight w:val="none"/>
        </w:rPr>
      </w:r>
    </w:p>
    <w:p>
      <w:pPr>
        <w:pStyle w:val="775"/>
        <w:rPr>
          <w:rFonts w:hint="eastAsia"/>
          <w:color w:val="000000"/>
          <w:highlight w:val="none"/>
        </w:rPr>
      </w:pPr>
      <w:r>
        <w:rPr>
          <w:rFonts w:hint="eastAsia"/>
          <w:color w:val="000000"/>
          <w:highlight w:val="none"/>
          <w:lang w:val="zh-CN"/>
        </w:rPr>
      </w:r>
      <w:r>
        <w:rPr>
          <w:highlight w:val="none"/>
        </w:rPr>
      </w:r>
    </w:p>
    <w:p>
      <w:pPr>
        <w:pStyle w:val="760"/>
        <w:ind w:firstLine="480"/>
        <w:jc w:val="left"/>
        <w:spacing w:line="360" w:lineRule="auto"/>
        <w:rPr>
          <w:rFonts w:hint="eastAsia" w:ascii="宋体" w:hAnsi="宋体" w:eastAsia="宋体" w:cs="宋体"/>
          <w:bCs/>
          <w:color w:val="000000"/>
          <w:sz w:val="24"/>
          <w:szCs w:val="24"/>
          <w:highlight w:val="none"/>
        </w:rPr>
      </w:pPr>
      <w:r>
        <w:rPr>
          <w:highlight w:val="none"/>
        </w:rPr>
      </w:r>
      <w:bookmarkEnd w:id="266"/>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zh-CN"/>
        </w:rPr>
        <w:t xml:space="preserve">项目技术要求偏离表</w:t>
      </w:r>
      <w:r>
        <w:rPr>
          <w:rFonts w:hint="eastAsia" w:ascii="宋体" w:hAnsi="宋体" w:eastAsia="宋体" w:cs="宋体"/>
          <w:bCs/>
          <w:color w:val="000000"/>
          <w:sz w:val="24"/>
          <w:szCs w:val="24"/>
          <w:highlight w:val="none"/>
        </w:rPr>
        <w:t xml:space="preserve">（格式）：</w:t>
      </w:r>
      <w:r>
        <w:rPr>
          <w:rFonts w:hint="eastAsia" w:ascii="宋体" w:hAnsi="宋体" w:eastAsia="宋体" w:cs="宋体"/>
          <w:bCs/>
          <w:color w:val="000000"/>
          <w:sz w:val="24"/>
          <w:szCs w:val="24"/>
          <w:highlight w:val="none"/>
          <w:lang w:val="zh-CN"/>
        </w:rPr>
      </w:r>
      <w:r>
        <w:rPr>
          <w:highlight w:val="none"/>
        </w:rPr>
      </w:r>
    </w:p>
    <w:p>
      <w:pPr>
        <w:pStyle w:val="760"/>
        <w:jc w:val="center"/>
        <w:spacing w:after="156"/>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项目技术要求偏离表</w:t>
      </w:r>
      <w:r>
        <w:rPr>
          <w:rFonts w:hint="eastAsia" w:ascii="宋体" w:hAnsi="宋体" w:eastAsia="宋体" w:cs="宋体"/>
          <w:bCs/>
          <w:color w:val="000000"/>
          <w:sz w:val="24"/>
          <w:szCs w:val="24"/>
          <w:highlight w:val="none"/>
        </w:rPr>
      </w:r>
      <w:r>
        <w:rPr>
          <w:highlight w:val="none"/>
        </w:rPr>
      </w:r>
    </w:p>
    <w:p>
      <w:pPr>
        <w:pStyle w:val="760"/>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rPr>
          <w:highlight w:val="none"/>
        </w:rPr>
      </w:r>
    </w:p>
    <w:p>
      <w:pPr>
        <w:pStyle w:val="7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JSZC-320282-YXJX-G2026-0003</w:t>
      </w:r>
      <w:r>
        <w:rPr>
          <w:rFonts w:hint="eastAsia" w:ascii="宋体" w:hAnsi="宋体" w:eastAsia="宋体" w:cs="宋体"/>
          <w:color w:val="000000"/>
          <w:sz w:val="24"/>
          <w:szCs w:val="24"/>
          <w:highlight w:val="none"/>
          <w:lang w:eastAsia="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trHeight w:val="930"/>
        </w:trPr>
        <w:tc>
          <w:tcPr>
            <w:tcW w:w="828" w:type="dxa"/>
            <w:vAlign w:val="center"/>
            <w:textDirection w:val="lrTb"/>
            <w:noWrap w:val="false"/>
          </w:tcPr>
          <w:p>
            <w:pPr>
              <w:pStyle w:val="760"/>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序号</w:t>
            </w:r>
            <w:r>
              <w:rPr>
                <w:rFonts w:hint="eastAsia" w:ascii="宋体" w:hAnsi="宋体" w:eastAsia="宋体" w:cs="宋体"/>
                <w:color w:val="000000"/>
                <w:sz w:val="24"/>
                <w:szCs w:val="24"/>
                <w:highlight w:val="none"/>
                <w:lang w:val="zh-CN"/>
              </w:rPr>
            </w:r>
            <w:r>
              <w:rPr>
                <w:highlight w:val="none"/>
              </w:rPr>
            </w:r>
          </w:p>
        </w:tc>
        <w:tc>
          <w:tcPr>
            <w:tcW w:w="1973" w:type="dxa"/>
            <w:vAlign w:val="center"/>
            <w:textDirection w:val="lrTb"/>
            <w:noWrap w:val="false"/>
          </w:tcPr>
          <w:p>
            <w:pPr>
              <w:pStyle w:val="760"/>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项目名称</w:t>
            </w:r>
            <w:r>
              <w:rPr>
                <w:rFonts w:hint="eastAsia" w:ascii="宋体" w:hAnsi="宋体" w:eastAsia="宋体" w:cs="宋体"/>
                <w:color w:val="000000"/>
                <w:sz w:val="24"/>
                <w:szCs w:val="24"/>
                <w:highlight w:val="none"/>
                <w:lang w:val="zh-CN"/>
              </w:rPr>
            </w:r>
            <w:r>
              <w:rPr>
                <w:highlight w:val="none"/>
              </w:rPr>
            </w:r>
          </w:p>
        </w:tc>
        <w:tc>
          <w:tcPr>
            <w:tcW w:w="2315" w:type="dxa"/>
            <w:vAlign w:val="center"/>
            <w:textDirection w:val="lrTb"/>
            <w:noWrap w:val="false"/>
          </w:tcPr>
          <w:p>
            <w:pPr>
              <w:pStyle w:val="760"/>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采购内容</w:t>
            </w:r>
            <w:r>
              <w:rPr>
                <w:rFonts w:hint="eastAsia" w:ascii="宋体" w:hAnsi="宋体" w:eastAsia="宋体" w:cs="宋体"/>
                <w:color w:val="000000"/>
                <w:sz w:val="24"/>
                <w:szCs w:val="24"/>
                <w:highlight w:val="none"/>
                <w:lang w:val="zh-CN"/>
              </w:rPr>
            </w:r>
            <w:r>
              <w:rPr>
                <w:highlight w:val="none"/>
              </w:rPr>
            </w:r>
          </w:p>
        </w:tc>
        <w:tc>
          <w:tcPr>
            <w:tcW w:w="2327" w:type="dxa"/>
            <w:vAlign w:val="center"/>
            <w:textDirection w:val="lrTb"/>
            <w:noWrap w:val="false"/>
          </w:tcPr>
          <w:p>
            <w:pPr>
              <w:pStyle w:val="760"/>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报价内容</w:t>
            </w:r>
            <w:r>
              <w:rPr>
                <w:rFonts w:hint="eastAsia" w:ascii="宋体" w:hAnsi="宋体" w:eastAsia="宋体" w:cs="宋体"/>
                <w:color w:val="000000"/>
                <w:sz w:val="24"/>
                <w:szCs w:val="24"/>
                <w:highlight w:val="none"/>
                <w:lang w:val="zh-CN"/>
              </w:rPr>
            </w:r>
            <w:r>
              <w:rPr>
                <w:highlight w:val="none"/>
              </w:rPr>
            </w:r>
          </w:p>
        </w:tc>
        <w:tc>
          <w:tcPr>
            <w:tcW w:w="1969" w:type="dxa"/>
            <w:vAlign w:val="center"/>
            <w:textDirection w:val="lrTb"/>
            <w:noWrap w:val="false"/>
          </w:tcPr>
          <w:p>
            <w:pPr>
              <w:pStyle w:val="760"/>
              <w:jc w:val="center"/>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正偏离/负偏离</w:t>
            </w:r>
            <w:r>
              <w:rPr>
                <w:rFonts w:hint="eastAsia" w:ascii="宋体" w:hAnsi="宋体" w:eastAsia="宋体" w:cs="宋体"/>
                <w:color w:val="000000"/>
                <w:sz w:val="24"/>
                <w:szCs w:val="24"/>
                <w:highlight w:val="none"/>
                <w:lang w:val="zh-CN"/>
              </w:rPr>
            </w:r>
            <w:r>
              <w:rPr>
                <w:highlight w:val="none"/>
              </w:rPr>
            </w:r>
          </w:p>
        </w:tc>
      </w:tr>
      <w:tr>
        <w:trPr>
          <w:trHeight w:val="930"/>
        </w:trPr>
        <w:tc>
          <w:tcPr>
            <w:tcW w:w="828"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1973"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2315"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2327"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1969"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r>
      <w:tr>
        <w:trPr>
          <w:trHeight w:val="930"/>
        </w:trPr>
        <w:tc>
          <w:tcPr>
            <w:tcW w:w="828"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1973"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2315"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2327"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1969"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r>
      <w:tr>
        <w:trPr>
          <w:trHeight w:val="930"/>
        </w:trPr>
        <w:tc>
          <w:tcPr>
            <w:tcW w:w="828"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1973"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2315"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2327"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1969"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r>
      <w:tr>
        <w:trPr>
          <w:trHeight w:val="930"/>
        </w:trPr>
        <w:tc>
          <w:tcPr>
            <w:tcW w:w="828"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1973"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2315"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2327"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1969"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r>
      <w:tr>
        <w:trPr>
          <w:trHeight w:val="930"/>
        </w:trPr>
        <w:tc>
          <w:tcPr>
            <w:tcW w:w="828"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1973"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2315"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2327"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c>
          <w:tcPr>
            <w:tcW w:w="1969" w:type="dxa"/>
            <w:vAlign w:val="center"/>
            <w:textDirection w:val="lrTb"/>
            <w:noWrap w:val="false"/>
          </w:tcPr>
          <w:p>
            <w:pPr>
              <w:pStyle w:val="760"/>
              <w:ind w:left="420" w:firstLine="48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r>
            <w:r>
              <w:rPr>
                <w:highlight w:val="none"/>
              </w:rPr>
            </w:r>
          </w:p>
        </w:tc>
      </w:tr>
    </w:tbl>
    <w:p>
      <w:pPr>
        <w:pStyle w:val="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p>
      <w:pPr>
        <w:pStyle w:val="760"/>
        <w:ind w:firstLine="55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投标人（电子签章）：</w:t>
      </w:r>
      <w:r>
        <w:rPr>
          <w:rFonts w:hint="eastAsia" w:ascii="宋体" w:hAnsi="宋体" w:eastAsia="宋体" w:cs="宋体"/>
          <w:bCs/>
          <w:color w:val="000000"/>
          <w:sz w:val="24"/>
          <w:szCs w:val="24"/>
          <w:highlight w:val="none"/>
          <w:lang w:val="zh-CN"/>
        </w:rPr>
      </w:r>
      <w:r>
        <w:rPr>
          <w:highlight w:val="none"/>
        </w:rPr>
      </w:r>
    </w:p>
    <w:p>
      <w:pPr>
        <w:pStyle w:val="760"/>
        <w:ind w:left="4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w:t>
      </w:r>
      <w:r>
        <w:rPr>
          <w:rFonts w:hint="eastAsia" w:ascii="宋体" w:hAnsi="宋体" w:eastAsia="宋体" w:cs="宋体"/>
          <w:bCs/>
          <w:color w:val="000000"/>
          <w:sz w:val="24"/>
          <w:szCs w:val="24"/>
          <w:highlight w:val="none"/>
          <w:lang w:val="zh-CN"/>
        </w:rPr>
      </w:r>
      <w:r>
        <w:rPr>
          <w:highlight w:val="none"/>
        </w:rPr>
      </w:r>
    </w:p>
    <w:p>
      <w:pPr>
        <w:pStyle w:val="760"/>
        <w:ind w:firstLine="4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）供应商应对照招标文件第</w:t>
      </w:r>
      <w:r>
        <w:rPr>
          <w:rFonts w:hint="eastAsia" w:ascii="宋体" w:hAnsi="宋体" w:eastAsia="宋体" w:cs="宋体"/>
          <w:bCs/>
          <w:color w:val="000000"/>
          <w:sz w:val="24"/>
          <w:szCs w:val="24"/>
          <w:highlight w:val="none"/>
        </w:rPr>
        <w:t xml:space="preserve">三</w:t>
      </w:r>
      <w:r>
        <w:rPr>
          <w:rFonts w:hint="eastAsia" w:ascii="宋体" w:hAnsi="宋体" w:eastAsia="宋体" w:cs="宋体"/>
          <w:bCs/>
          <w:color w:val="000000"/>
          <w:sz w:val="24"/>
          <w:szCs w:val="24"/>
          <w:highlight w:val="none"/>
          <w:lang w:val="zh-CN"/>
        </w:rPr>
        <w:t xml:space="preserve">章“项目技术要求和有关说明”的相关要求，将自身响应的偏离情况（与招标文件要求不一致的地方）详细填入上表，并注明“正偏离/负偏离”；若未填写上表，视为完全响应。</w:t>
      </w:r>
      <w:r>
        <w:rPr>
          <w:rFonts w:hint="eastAsia" w:ascii="宋体" w:hAnsi="宋体" w:eastAsia="宋体" w:cs="宋体"/>
          <w:bCs/>
          <w:color w:val="000000"/>
          <w:sz w:val="24"/>
          <w:szCs w:val="24"/>
          <w:highlight w:val="none"/>
          <w:lang w:val="zh-CN"/>
        </w:rPr>
      </w:r>
      <w:r>
        <w:rPr>
          <w:highlight w:val="none"/>
        </w:rPr>
      </w:r>
    </w:p>
    <w:p>
      <w:pPr>
        <w:pStyle w:val="760"/>
        <w:ind w:firstLine="42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（2）招标文件第三章“项目技术要求和有关说明”中若有要求提供相关证明材料的必须提供，</w:t>
      </w:r>
      <w:r>
        <w:rPr>
          <w:rFonts w:hint="eastAsia" w:ascii="宋体" w:hAnsi="宋体" w:eastAsia="宋体" w:cs="宋体"/>
          <w:bCs/>
          <w:color w:val="000000"/>
          <w:sz w:val="24"/>
          <w:szCs w:val="24"/>
          <w:highlight w:val="none"/>
          <w:lang w:val="zh-CN"/>
        </w:rPr>
        <w:t xml:space="preserve">请自行添加</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r>
      <w:r>
        <w:rPr>
          <w:highlight w:val="none"/>
        </w:rPr>
      </w:r>
    </w:p>
    <w:p>
      <w:pPr>
        <w:pStyle w:val="760"/>
        <w:ind w:firstLine="48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4、技术商务部分评分导读表（格式）：</w:t>
      </w:r>
      <w:r>
        <w:rPr>
          <w:rFonts w:hint="eastAsia" w:ascii="宋体" w:hAnsi="宋体" w:eastAsia="宋体" w:cs="宋体"/>
          <w:color w:val="000000"/>
          <w:sz w:val="24"/>
          <w:szCs w:val="24"/>
          <w:highlight w:val="none"/>
          <w:lang w:val="zh-CN"/>
        </w:rPr>
      </w:r>
      <w:r>
        <w:rPr>
          <w:highlight w:val="none"/>
        </w:rPr>
      </w:r>
    </w:p>
    <w:p>
      <w:pPr>
        <w:pStyle w:val="760"/>
        <w:jc w:val="center"/>
        <w:spacing w:before="156" w:after="156"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 技术商务部分评分导读表</w:t>
      </w:r>
      <w:r>
        <w:rPr>
          <w:rFonts w:hint="eastAsia" w:ascii="宋体" w:hAnsi="宋体" w:eastAsia="宋体" w:cs="宋体"/>
          <w:color w:val="000000"/>
          <w:sz w:val="24"/>
          <w:szCs w:val="24"/>
          <w:highlight w:val="none"/>
          <w:lang w:val="zh-CN"/>
        </w:rPr>
      </w:r>
      <w:r>
        <w:rPr>
          <w:highlight w:val="none"/>
        </w:rPr>
      </w:r>
    </w:p>
    <w:p>
      <w:pPr>
        <w:pStyle w:val="760"/>
        <w:ind w:firstLine="480"/>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rPr>
          <w:highlight w:val="none"/>
        </w:rPr>
      </w:r>
    </w:p>
    <w:p>
      <w:pPr>
        <w:pStyle w:val="760"/>
        <w:ind w:firstLine="480"/>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JSZC-320282-YXJX-G2026-0003</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6444"/>
        <w:gridCol w:w="1404"/>
      </w:tblGrid>
      <w:tr>
        <w:trPr>
          <w:cantSplit/>
          <w:trHeight w:val="1015"/>
        </w:trPr>
        <w:tc>
          <w:tcPr>
            <w:tcW w:w="71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rPr>
                <w:highlight w:val="none"/>
              </w:rPr>
            </w:r>
          </w:p>
        </w:tc>
        <w:tc>
          <w:tcPr>
            <w:tcW w:w="126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评审项目</w:t>
            </w:r>
            <w:r>
              <w:rPr>
                <w:rFonts w:hint="eastAsia" w:ascii="宋体" w:hAnsi="宋体" w:eastAsia="宋体" w:cs="宋体"/>
                <w:color w:val="000000"/>
                <w:sz w:val="24"/>
                <w:szCs w:val="24"/>
                <w:highlight w:val="none"/>
              </w:rPr>
            </w:r>
            <w:r>
              <w:rPr>
                <w:highlight w:val="none"/>
              </w:rPr>
            </w:r>
          </w:p>
        </w:tc>
        <w:tc>
          <w:tcPr>
            <w:tcW w:w="644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响应情况</w:t>
            </w:r>
            <w:r>
              <w:rPr>
                <w:rFonts w:hint="eastAsia" w:ascii="宋体" w:hAnsi="宋体" w:eastAsia="宋体" w:cs="宋体"/>
                <w:color w:val="000000"/>
                <w:sz w:val="24"/>
                <w:szCs w:val="24"/>
                <w:highlight w:val="none"/>
              </w:rPr>
            </w:r>
            <w:r>
              <w:rPr>
                <w:highlight w:val="none"/>
              </w:rPr>
            </w:r>
          </w:p>
        </w:tc>
        <w:tc>
          <w:tcPr>
            <w:tcW w:w="14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自评分</w:t>
            </w:r>
            <w:r>
              <w:rPr>
                <w:rFonts w:hint="eastAsia" w:ascii="宋体" w:hAnsi="宋体" w:eastAsia="宋体" w:cs="宋体"/>
                <w:color w:val="000000"/>
                <w:sz w:val="24"/>
                <w:szCs w:val="24"/>
                <w:highlight w:val="none"/>
              </w:rPr>
            </w:r>
            <w:r>
              <w:rPr>
                <w:highlight w:val="none"/>
              </w:rPr>
            </w:r>
          </w:p>
        </w:tc>
      </w:tr>
      <w:tr>
        <w:trPr>
          <w:cantSplit/>
          <w:trHeight w:val="1015"/>
        </w:trPr>
        <w:tc>
          <w:tcPr>
            <w:tcW w:w="71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rPr>
                <w:highlight w:val="none"/>
              </w:rPr>
            </w:r>
          </w:p>
        </w:tc>
        <w:tc>
          <w:tcPr>
            <w:tcW w:w="126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644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4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cantSplit/>
          <w:trHeight w:val="1015"/>
        </w:trPr>
        <w:tc>
          <w:tcPr>
            <w:tcW w:w="71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rPr>
                <w:highlight w:val="none"/>
              </w:rPr>
            </w:r>
          </w:p>
        </w:tc>
        <w:tc>
          <w:tcPr>
            <w:tcW w:w="126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644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4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cantSplit/>
          <w:trHeight w:val="1015"/>
        </w:trPr>
        <w:tc>
          <w:tcPr>
            <w:tcW w:w="71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rPr>
                <w:highlight w:val="none"/>
              </w:rPr>
            </w:r>
          </w:p>
        </w:tc>
        <w:tc>
          <w:tcPr>
            <w:tcW w:w="126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644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4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bl>
    <w:p>
      <w:pPr>
        <w:pStyle w:val="760"/>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投标人（电子签章）：</w:t>
      </w:r>
      <w:r>
        <w:rPr>
          <w:rFonts w:hint="eastAsia" w:ascii="宋体" w:hAnsi="宋体" w:eastAsia="宋体" w:cs="宋体"/>
          <w:bCs/>
          <w:color w:val="000000"/>
          <w:sz w:val="24"/>
          <w:szCs w:val="24"/>
          <w:highlight w:val="none"/>
          <w:lang w:val="zh-CN"/>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r>
      <w:r>
        <w:rPr>
          <w:highlight w:val="none"/>
        </w:rPr>
      </w:r>
    </w:p>
    <w:p>
      <w:pPr>
        <w:pStyle w:val="76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注：1.投标人应对照招标文件“第</w:t>
      </w:r>
      <w:r>
        <w:rPr>
          <w:rFonts w:hint="eastAsia" w:ascii="宋体" w:hAnsi="宋体" w:eastAsia="宋体" w:cs="宋体"/>
          <w:bCs/>
          <w:color w:val="000000"/>
          <w:sz w:val="24"/>
          <w:szCs w:val="24"/>
          <w:highlight w:val="none"/>
        </w:rPr>
        <w:t xml:space="preserve">四</w:t>
      </w:r>
      <w:r>
        <w:rPr>
          <w:rFonts w:hint="eastAsia" w:ascii="宋体" w:hAnsi="宋体" w:eastAsia="宋体" w:cs="宋体"/>
          <w:bCs/>
          <w:color w:val="000000"/>
          <w:sz w:val="24"/>
          <w:szCs w:val="24"/>
          <w:highlight w:val="none"/>
          <w:lang w:val="zh-CN"/>
        </w:rPr>
        <w:t xml:space="preserve">章</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zh-CN"/>
        </w:rPr>
        <w:t xml:space="preserve">评标方法和标准”的相关要求，根据自身响应情况填写上表；并在“</w:t>
      </w:r>
      <w:r>
        <w:rPr>
          <w:rFonts w:hint="eastAsia" w:ascii="宋体" w:hAnsi="宋体" w:eastAsia="宋体" w:cs="宋体"/>
          <w:color w:val="000000"/>
          <w:sz w:val="24"/>
          <w:szCs w:val="24"/>
          <w:highlight w:val="none"/>
        </w:rPr>
        <w:t xml:space="preserve">响应情况</w:t>
      </w:r>
      <w:r>
        <w:rPr>
          <w:rFonts w:hint="eastAsia" w:ascii="宋体" w:hAnsi="宋体" w:eastAsia="宋体" w:cs="宋体"/>
          <w:bCs/>
          <w:color w:val="000000"/>
          <w:sz w:val="24"/>
          <w:szCs w:val="24"/>
          <w:highlight w:val="none"/>
          <w:lang w:val="zh-CN"/>
        </w:rPr>
        <w:t xml:space="preserve">”栏填入所提供的证明材料清单，</w:t>
      </w:r>
      <w:r>
        <w:rPr>
          <w:rFonts w:hint="eastAsia" w:ascii="宋体" w:hAnsi="宋体" w:eastAsia="宋体" w:cs="宋体"/>
          <w:bCs/>
          <w:color w:val="000000"/>
          <w:sz w:val="24"/>
          <w:szCs w:val="24"/>
          <w:highlight w:val="none"/>
        </w:rPr>
        <w:t xml:space="preserve">没有证明材料的此栏填“无”</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r>
      <w:r>
        <w:rPr>
          <w:highlight w:val="none"/>
        </w:rPr>
      </w:r>
    </w:p>
    <w:p>
      <w:pPr>
        <w:pStyle w:val="760"/>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2.招标文件第三章“项目技术要求和有关说明”中若有要求提供相关证明材料的必须提供，请自行添加。</w:t>
      </w:r>
      <w:r>
        <w:rPr>
          <w:rFonts w:hint="eastAsia" w:ascii="宋体" w:hAnsi="宋体" w:eastAsia="宋体" w:cs="宋体"/>
          <w:bCs/>
          <w:color w:val="000000"/>
          <w:sz w:val="24"/>
          <w:szCs w:val="24"/>
          <w:highlight w:val="none"/>
          <w:lang w:val="zh-CN"/>
        </w:rPr>
      </w:r>
      <w:r>
        <w:rPr>
          <w:highlight w:val="none"/>
        </w:rPr>
      </w:r>
    </w:p>
    <w:p>
      <w:pPr>
        <w:pStyle w:val="760"/>
        <w:ind w:firstLine="240"/>
        <w:jc w:val="left"/>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val="zh-CN"/>
        </w:rPr>
        <w:t xml:space="preserve">项目人员配置清单（格式）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rPr>
          <w:highlight w:val="none"/>
        </w:rPr>
      </w:r>
    </w:p>
    <w:p>
      <w:pPr>
        <w:pStyle w:val="76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p>
      <w:pPr>
        <w:pStyle w:val="760"/>
        <w:jc w:val="center"/>
        <w:spacing w:before="156" w:after="156"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项目人员配置清单</w:t>
      </w:r>
      <w:r>
        <w:rPr>
          <w:rFonts w:hint="eastAsia" w:ascii="宋体" w:hAnsi="宋体" w:eastAsia="宋体" w:cs="宋体"/>
          <w:color w:val="000000"/>
          <w:sz w:val="24"/>
          <w:szCs w:val="24"/>
          <w:highlight w:val="none"/>
          <w:lang w:val="zh-CN"/>
        </w:rPr>
      </w:r>
      <w:r>
        <w:rPr>
          <w:highlight w:val="none"/>
        </w:rPr>
      </w:r>
    </w:p>
    <w:p>
      <w:pPr>
        <w:pStyle w:val="760"/>
        <w:spacing w:line="360" w:lineRule="auto"/>
        <w:tabs>
          <w:tab w:val="left" w:pos="2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项目编号：JSZC-320282-YXJX-G2026-0003                                      </w:t>
      </w:r>
      <w:r>
        <w:rPr>
          <w:rFonts w:hint="eastAsia" w:ascii="宋体" w:hAnsi="宋体" w:eastAsia="宋体" w:cs="宋体"/>
          <w:color w:val="000000"/>
          <w:sz w:val="24"/>
          <w:szCs w:val="24"/>
          <w:highlight w:val="none"/>
          <w:lang w:val="zh-CN"/>
        </w:rPr>
      </w:r>
      <w:r>
        <w:rPr>
          <w:highlight w:val="none"/>
        </w:rPr>
      </w:r>
    </w:p>
    <w:p>
      <w:pPr>
        <w:pStyle w:val="76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bCs/>
          <w:color w:val="000000"/>
          <w:sz w:val="24"/>
          <w:szCs w:val="24"/>
          <w:highlight w:val="none"/>
          <w:lang w:val="zh-CN"/>
        </w:rPr>
      </w:r>
      <w:r>
        <w:rPr>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trHeight w:val="607"/>
        </w:trPr>
        <w:tc>
          <w:tcPr>
            <w:tcW w:w="535" w:type="dxa"/>
            <w:vAlign w:val="center"/>
            <w:textDirection w:val="lrTb"/>
            <w:noWrap w:val="false"/>
          </w:tcPr>
          <w:p>
            <w:pPr>
              <w:pStyle w:val="76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姓名</w:t>
            </w:r>
            <w:r>
              <w:rPr>
                <w:rFonts w:hint="eastAsia" w:ascii="宋体" w:hAnsi="宋体" w:eastAsia="宋体" w:cs="宋体"/>
                <w:b/>
                <w:color w:val="000000"/>
                <w:sz w:val="24"/>
                <w:szCs w:val="24"/>
                <w:highlight w:val="none"/>
              </w:rPr>
            </w:r>
            <w:r>
              <w:rPr>
                <w:highlight w:val="none"/>
              </w:rPr>
            </w:r>
          </w:p>
        </w:tc>
        <w:tc>
          <w:tcPr>
            <w:tcW w:w="1185" w:type="dxa"/>
            <w:vAlign w:val="center"/>
            <w:textDirection w:val="lrTb"/>
            <w:noWrap w:val="false"/>
          </w:tcPr>
          <w:p>
            <w:pPr>
              <w:pStyle w:val="76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性别</w:t>
            </w:r>
            <w:r>
              <w:rPr>
                <w:rFonts w:hint="eastAsia" w:ascii="宋体" w:hAnsi="宋体" w:eastAsia="宋体" w:cs="宋体"/>
                <w:b/>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年龄</w:t>
            </w:r>
            <w:r>
              <w:rPr>
                <w:rFonts w:hint="eastAsia" w:ascii="宋体" w:hAnsi="宋体" w:eastAsia="宋体" w:cs="宋体"/>
                <w:b/>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岗位名称</w:t>
            </w:r>
            <w:r>
              <w:rPr>
                <w:rFonts w:hint="eastAsia" w:ascii="宋体" w:hAnsi="宋体" w:eastAsia="宋体" w:cs="宋体"/>
                <w:b/>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学历</w:t>
            </w:r>
            <w:r>
              <w:rPr>
                <w:rFonts w:hint="eastAsia" w:ascii="宋体" w:hAnsi="宋体" w:eastAsia="宋体" w:cs="宋体"/>
                <w:b/>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职称</w:t>
            </w:r>
            <w:r>
              <w:rPr>
                <w:rFonts w:hint="eastAsia" w:ascii="宋体" w:hAnsi="宋体" w:eastAsia="宋体" w:cs="宋体"/>
                <w:b/>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资格证书编号</w:t>
            </w:r>
            <w:r>
              <w:rPr>
                <w:rFonts w:hint="eastAsia" w:ascii="宋体" w:hAnsi="宋体" w:eastAsia="宋体" w:cs="宋体"/>
                <w:b/>
                <w:color w:val="000000"/>
                <w:sz w:val="24"/>
                <w:szCs w:val="24"/>
                <w:highlight w:val="none"/>
              </w:rPr>
            </w:r>
            <w:r>
              <w:rPr>
                <w:highlight w:val="none"/>
              </w:rPr>
            </w:r>
          </w:p>
        </w:tc>
        <w:tc>
          <w:tcPr>
            <w:tcW w:w="1004" w:type="dxa"/>
            <w:vAlign w:val="center"/>
            <w:textDirection w:val="lrTb"/>
            <w:noWrap w:val="false"/>
          </w:tcPr>
          <w:p>
            <w:pPr>
              <w:pStyle w:val="76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是否驻扎现场</w:t>
            </w:r>
            <w:r>
              <w:rPr>
                <w:rFonts w:hint="eastAsia" w:ascii="宋体" w:hAnsi="宋体" w:eastAsia="宋体" w:cs="宋体"/>
                <w:b/>
                <w:color w:val="000000"/>
                <w:sz w:val="24"/>
                <w:szCs w:val="24"/>
                <w:highlight w:val="none"/>
              </w:rPr>
            </w:r>
            <w:r>
              <w:rPr>
                <w:highlight w:val="none"/>
              </w:rPr>
            </w:r>
          </w:p>
        </w:tc>
      </w:tr>
      <w:tr>
        <w:trPr>
          <w:trHeight w:val="521"/>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rHeight w:val="457"/>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rHeight w:val="463"/>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rHeight w:val="441"/>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rHeight w:val="503"/>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rHeight w:val="495"/>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rHeight w:val="495"/>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rHeight w:val="465"/>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rHeight w:val="450"/>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trHeight w:val="447"/>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r>
        <w:trPr>
          <w:cantSplit/>
          <w:trHeight w:val="630"/>
        </w:trPr>
        <w:tc>
          <w:tcPr>
            <w:tcW w:w="53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rPr>
                <w:highlight w:val="none"/>
              </w:rPr>
            </w:r>
          </w:p>
        </w:tc>
        <w:tc>
          <w:tcPr>
            <w:tcW w:w="1130"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85"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13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992"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276"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c>
          <w:tcPr>
            <w:tcW w:w="1004" w:type="dxa"/>
            <w:vAlign w:val="center"/>
            <w:textDirection w:val="lrTb"/>
            <w:noWrap w:val="false"/>
          </w:tcPr>
          <w:p>
            <w:pPr>
              <w:pStyle w:val="7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rPr>
                <w:highlight w:val="none"/>
              </w:rPr>
            </w:r>
          </w:p>
        </w:tc>
      </w:tr>
    </w:tbl>
    <w:p>
      <w:pPr>
        <w:pStyle w:val="760"/>
        <w:ind w:left="84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p>
      <w:pPr>
        <w:pStyle w:val="7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 表格不够可自行延长。</w:t>
      </w:r>
      <w:r>
        <w:rPr>
          <w:rFonts w:hint="eastAsia" w:ascii="宋体" w:hAnsi="宋体" w:eastAsia="宋体" w:cs="宋体"/>
          <w:color w:val="000000"/>
          <w:sz w:val="24"/>
          <w:szCs w:val="24"/>
          <w:highlight w:val="none"/>
        </w:rPr>
      </w:r>
      <w:r>
        <w:rPr>
          <w:highlight w:val="none"/>
        </w:rPr>
      </w:r>
    </w:p>
    <w:p>
      <w:pPr>
        <w:pStyle w:val="760"/>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Start w:id="271" w:name="_Hlk164083408"/>
      <w:r>
        <w:rPr>
          <w:rFonts w:hint="eastAsia" w:ascii="宋体" w:hAnsi="宋体" w:eastAsia="宋体" w:cs="宋体"/>
          <w:b/>
          <w:bCs/>
          <w:color w:val="000000"/>
          <w:sz w:val="24"/>
          <w:szCs w:val="24"/>
          <w:highlight w:val="none"/>
        </w:rPr>
        <w:t xml:space="preserve"> 应按招标文件要求配备项目人员及提供相关证明材料，以满足项目的</w:t>
      </w:r>
      <w:bookmarkEnd w:id="271"/>
      <w:r>
        <w:rPr>
          <w:rFonts w:hint="eastAsia" w:ascii="宋体" w:hAnsi="宋体" w:eastAsia="宋体" w:cs="宋体"/>
          <w:b/>
          <w:bCs/>
          <w:color w:val="000000"/>
          <w:sz w:val="24"/>
          <w:szCs w:val="24"/>
          <w:highlight w:val="none"/>
        </w:rPr>
        <w:t xml:space="preserve">基准要求，否则报价无效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rPr>
          <w:highlight w:val="none"/>
        </w:rPr>
      </w:r>
    </w:p>
    <w:p>
      <w:pPr>
        <w:pStyle w:val="760"/>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3.上述人员如在项目执行过程中需要更换，须经采购人同意。擅自更换或不到位属违约行为。</w:t>
      </w:r>
      <w:r>
        <w:rPr>
          <w:rFonts w:hint="eastAsia" w:ascii="宋体" w:hAnsi="宋体" w:eastAsia="宋体" w:cs="宋体"/>
          <w:color w:val="000000"/>
          <w:sz w:val="24"/>
          <w:szCs w:val="24"/>
          <w:highlight w:val="none"/>
        </w:rPr>
      </w:r>
      <w:r>
        <w:rPr>
          <w:highlight w:val="none"/>
        </w:rPr>
      </w:r>
    </w:p>
    <w:p>
      <w:pPr>
        <w:pStyle w:val="760"/>
        <w:ind w:left="84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p>
      <w:pPr>
        <w:pStyle w:val="760"/>
        <w:ind w:left="840"/>
        <w:spacing w:line="360" w:lineRule="auto"/>
        <w:tabs>
          <w:tab w:val="left" w:pos="2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r>
      <w:r>
        <w:rPr>
          <w:highlight w:val="none"/>
        </w:rPr>
      </w:r>
    </w:p>
    <w:p>
      <w:pPr>
        <w:pStyle w:val="760"/>
        <w:ind w:left="5460" w:hanging="546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                              投标人（电子签章）：</w:t>
      </w:r>
      <w:r>
        <w:rPr>
          <w:rFonts w:hint="eastAsia" w:ascii="宋体" w:hAnsi="宋体" w:eastAsia="宋体" w:cs="宋体"/>
          <w:bCs/>
          <w:color w:val="000000"/>
          <w:sz w:val="24"/>
          <w:szCs w:val="24"/>
          <w:highlight w:val="none"/>
          <w:lang w:val="zh-CN"/>
        </w:rPr>
      </w:r>
      <w:r>
        <w:rPr>
          <w:highlight w:val="none"/>
        </w:rPr>
      </w:r>
    </w:p>
    <w:p>
      <w:pPr>
        <w:pStyle w:val="760"/>
        <w:ind w:left="5430" w:hanging="52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br w:type="page" w:clear="all"/>
      </w:r>
      <w:r>
        <w:rPr>
          <w:rFonts w:hint="eastAsia" w:ascii="宋体" w:hAnsi="宋体" w:eastAsia="宋体" w:cs="宋体"/>
          <w:bCs/>
          <w:color w:val="000000"/>
          <w:sz w:val="24"/>
          <w:szCs w:val="24"/>
          <w:highlight w:val="none"/>
          <w:lang w:val="zh-CN"/>
        </w:rPr>
        <w:t xml:space="preserve">6、服务内容的详细说明及服务方案（格式自拟）：</w:t>
      </w:r>
      <w:r>
        <w:rPr>
          <w:rFonts w:hint="eastAsia" w:ascii="宋体" w:hAnsi="宋体" w:eastAsia="宋体" w:cs="宋体"/>
          <w:bCs/>
          <w:color w:val="000000"/>
          <w:sz w:val="24"/>
          <w:szCs w:val="24"/>
          <w:highlight w:val="none"/>
          <w:lang w:val="zh-CN"/>
        </w:rPr>
      </w:r>
      <w:r>
        <w:rPr>
          <w:highlight w:val="none"/>
        </w:rPr>
      </w:r>
    </w:p>
    <w:p>
      <w:pPr>
        <w:pStyle w:val="760"/>
        <w:ind w:firstLine="480"/>
        <w:jc w:val="left"/>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供应商根据“第三章 项目技术要求和有关说明”提出的技术、服务、人员等实质性要求，提供项目实施详细说明及相关证明材料。招标文件中要求进行承诺的，应当进行承诺。</w:t>
      </w:r>
      <w:r>
        <w:rPr>
          <w:rFonts w:hint="eastAsia" w:ascii="宋体" w:hAnsi="宋体" w:eastAsia="宋体" w:cs="宋体"/>
          <w:color w:val="000000"/>
          <w:sz w:val="24"/>
          <w:szCs w:val="24"/>
          <w:highlight w:val="none"/>
        </w:rPr>
      </w:r>
      <w:r>
        <w:rPr>
          <w:highlight w:val="none"/>
        </w:rPr>
      </w:r>
    </w:p>
    <w:p>
      <w:pPr>
        <w:pStyle w:val="760"/>
        <w:spacing w:line="360" w:lineRule="auto"/>
        <w:rPr>
          <w:rFonts w:ascii="黑体" w:hAnsi="宋体" w:eastAsia="黑体" w:cs="Times New Roman"/>
          <w:bCs/>
          <w:color w:val="000000"/>
          <w:sz w:val="24"/>
          <w:szCs w:val="24"/>
          <w:highlight w:val="none"/>
        </w:rPr>
      </w:pPr>
      <w:r>
        <w:rPr>
          <w:rFonts w:hint="eastAsia" w:ascii="宋体" w:hAnsi="宋体" w:eastAsia="宋体" w:cs="宋体"/>
          <w:color w:val="000000"/>
          <w:sz w:val="24"/>
          <w:szCs w:val="24"/>
          <w:highlight w:val="none"/>
        </w:rPr>
        <w:br w:type="page" w:clear="all"/>
      </w:r>
      <w:bookmarkStart w:id="272" w:name="OLE_LINK151"/>
      <w:r>
        <w:rPr>
          <w:rFonts w:hint="eastAsia" w:ascii="黑体" w:hAnsi="宋体" w:eastAsia="黑体" w:cs="Times New Roman"/>
          <w:bCs/>
          <w:color w:val="000000"/>
          <w:sz w:val="24"/>
          <w:szCs w:val="24"/>
          <w:highlight w:val="none"/>
        </w:rPr>
        <w:t xml:space="preserve">（四）价格折扣文件</w:t>
      </w:r>
      <w:r>
        <w:rPr>
          <w:rFonts w:ascii="黑体" w:hAnsi="宋体" w:eastAsia="黑体" w:cs="Times New Roman"/>
          <w:bCs/>
          <w:color w:val="000000"/>
          <w:sz w:val="24"/>
          <w:szCs w:val="24"/>
          <w:highlight w:val="none"/>
        </w:rPr>
      </w:r>
      <w:r>
        <w:rPr>
          <w:highlight w:val="none"/>
        </w:rPr>
      </w:r>
    </w:p>
    <w:p>
      <w:pPr>
        <w:pStyle w:val="760"/>
        <w:jc w:val="center"/>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rPr>
        <w:t xml:space="preserve">1</w:t>
      </w:r>
      <w:r>
        <w:rPr>
          <w:rFonts w:hint="eastAsia" w:ascii="黑体" w:hAnsi="黑体" w:eastAsia="黑体" w:cs="黑体"/>
          <w:b w:val="0"/>
          <w:bCs w:val="0"/>
          <w:color w:val="000000"/>
          <w:sz w:val="28"/>
          <w:szCs w:val="28"/>
          <w:highlight w:val="none"/>
          <w:lang w:eastAsia="zh-CN"/>
        </w:rPr>
        <w:t xml:space="preserve">、投标人</w:t>
      </w:r>
      <w:r>
        <w:rPr>
          <w:rFonts w:hint="eastAsia" w:ascii="黑体" w:hAnsi="黑体" w:eastAsia="黑体" w:cs="黑体"/>
          <w:b w:val="0"/>
          <w:bCs w:val="0"/>
          <w:color w:val="000000"/>
          <w:sz w:val="28"/>
          <w:szCs w:val="28"/>
          <w:highlight w:val="none"/>
        </w:rPr>
        <w:t xml:space="preserve">企业性质及产品类别说明</w:t>
      </w:r>
      <w:r>
        <w:rPr>
          <w:rFonts w:hint="eastAsia" w:ascii="黑体" w:hAnsi="黑体" w:eastAsia="黑体" w:cs="黑体"/>
          <w:b w:val="0"/>
          <w:bCs w:val="0"/>
          <w:color w:val="000000"/>
          <w:sz w:val="28"/>
          <w:szCs w:val="28"/>
          <w:highlight w:val="none"/>
        </w:rPr>
      </w:r>
      <w:r>
        <w:rPr>
          <w:highlight w:val="none"/>
        </w:rPr>
      </w:r>
    </w:p>
    <w:p>
      <w:pPr>
        <w:pStyle w:val="760"/>
        <w:ind w:firstLine="480"/>
        <w:spacing w:after="1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丁蜀镇石龙空气标准站和VOCs标准站设备采购项目</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rPr>
          <w:highlight w:val="none"/>
        </w:rPr>
      </w:r>
    </w:p>
    <w:p>
      <w:pPr>
        <w:pStyle w:val="760"/>
        <w:ind w:firstLine="240"/>
        <w:jc w:val="left"/>
        <w:spacing w:before="156" w:after="156" w:line="240" w:lineRule="auto"/>
        <w:rPr>
          <w:rFonts w:hint="eastAsia" w:ascii="宋体" w:hAnsi="宋体" w:eastAsia="宋体" w:cs="Times New Roman"/>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JSZC-320282-YXJX-G2026-0003</w:t>
      </w:r>
      <w:r>
        <w:rPr>
          <w:rFonts w:ascii="宋体" w:hAnsi="宋体" w:eastAsia="宋体" w:cs="宋体"/>
          <w:color w:val="000000"/>
          <w:sz w:val="24"/>
          <w:highlight w:val="none"/>
        </w:rPr>
        <w:t xml:space="preserve"> </w:t>
      </w:r>
      <w:r>
        <w:rPr>
          <w:rFonts w:hint="eastAsia" w:ascii="宋体" w:hAnsi="宋体" w:eastAsia="宋体" w:cs="Times New Roman"/>
          <w:color w:val="000000"/>
          <w:sz w:val="24"/>
          <w:szCs w:val="24"/>
          <w:highlight w:val="none"/>
        </w:rPr>
      </w:r>
      <w:r>
        <w:rPr>
          <w:highlight w:val="none"/>
        </w:rPr>
      </w:r>
    </w:p>
    <w:tbl>
      <w:tblPr>
        <w:tblW w:w="1051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150"/>
        <w:gridCol w:w="2460"/>
        <w:gridCol w:w="4278"/>
        <w:gridCol w:w="1782"/>
      </w:tblGrid>
      <w:tr>
        <w:trPr>
          <w:trHeight w:val="687"/>
        </w:trPr>
        <w:tc>
          <w:tcPr>
            <w:tcW w:w="84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olor w:val="000000"/>
                <w:szCs w:val="21"/>
                <w:highlight w:val="none"/>
                <w:lang w:val="zh-CN"/>
              </w:rPr>
              <w:t xml:space="preserve">序号</w:t>
            </w:r>
            <w:r>
              <w:rPr>
                <w:rFonts w:hint="eastAsia" w:ascii="宋体" w:hAnsi="宋体" w:cs="宋体"/>
                <w:color w:val="000000"/>
                <w:szCs w:val="21"/>
                <w:highlight w:val="none"/>
                <w:lang w:val="zh-CN"/>
              </w:rPr>
            </w:r>
            <w:r>
              <w:rPr>
                <w:highlight w:val="none"/>
              </w:rPr>
            </w:r>
          </w:p>
        </w:tc>
        <w:tc>
          <w:tcPr>
            <w:tcW w:w="115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企业（产品）性质</w:t>
            </w:r>
            <w:r>
              <w:rPr>
                <w:rFonts w:hint="eastAsia" w:ascii="宋体" w:hAnsi="宋体" w:cs="宋体"/>
                <w:color w:val="000000"/>
                <w:szCs w:val="21"/>
                <w:highlight w:val="none"/>
                <w:lang w:val="zh-CN"/>
              </w:rPr>
            </w:r>
            <w:r>
              <w:rPr>
                <w:highlight w:val="none"/>
              </w:rPr>
            </w:r>
          </w:p>
        </w:tc>
        <w:tc>
          <w:tcPr>
            <w:tcW w:w="246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报价产品类别</w:t>
            </w:r>
            <w:r>
              <w:rPr>
                <w:rFonts w:hint="eastAsia" w:ascii="宋体" w:hAnsi="宋体" w:cs="宋体"/>
                <w:color w:val="000000"/>
                <w:szCs w:val="21"/>
                <w:highlight w:val="none"/>
                <w:lang w:val="zh-CN"/>
              </w:rPr>
            </w:r>
            <w:r>
              <w:rPr>
                <w:highlight w:val="none"/>
              </w:rPr>
            </w:r>
          </w:p>
        </w:tc>
        <w:tc>
          <w:tcPr>
            <w:tcW w:w="4278"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投标文件中需要提供的</w:t>
            </w:r>
            <w:r>
              <w:rPr>
                <w:rFonts w:hint="eastAsia" w:ascii="宋体" w:hAnsi="宋体" w:cs="宋体"/>
                <w:color w:val="000000"/>
                <w:szCs w:val="21"/>
                <w:highlight w:val="none"/>
                <w:lang w:val="zh-CN"/>
              </w:rPr>
            </w:r>
            <w:r>
              <w:rPr>
                <w:highlight w:val="none"/>
              </w:rPr>
            </w:r>
          </w:p>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相关证明材料</w:t>
            </w:r>
            <w:r>
              <w:rPr>
                <w:rFonts w:hint="eastAsia" w:ascii="宋体" w:hAnsi="宋体" w:cs="宋体"/>
                <w:color w:val="000000"/>
                <w:szCs w:val="21"/>
                <w:highlight w:val="none"/>
                <w:lang w:val="zh-CN"/>
              </w:rPr>
            </w:r>
            <w:r>
              <w:rPr>
                <w:highlight w:val="none"/>
              </w:rPr>
            </w:r>
          </w:p>
        </w:tc>
        <w:tc>
          <w:tcPr>
            <w:tcW w:w="1782"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供应商（产品）类型声明</w:t>
            </w:r>
            <w:r>
              <w:rPr>
                <w:rFonts w:hint="eastAsia" w:ascii="宋体" w:hAnsi="宋体" w:cs="宋体"/>
                <w:color w:val="000000"/>
                <w:szCs w:val="21"/>
                <w:highlight w:val="none"/>
                <w:lang w:val="zh-CN"/>
              </w:rPr>
            </w:r>
            <w:r>
              <w:rPr>
                <w:highlight w:val="none"/>
              </w:rPr>
            </w:r>
          </w:p>
        </w:tc>
      </w:tr>
      <w:tr>
        <w:trPr>
          <w:trHeight w:val="709"/>
        </w:trPr>
        <w:tc>
          <w:tcPr>
            <w:tcW w:w="84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rPr>
                <w:highlight w:val="none"/>
              </w:rPr>
            </w:r>
          </w:p>
        </w:tc>
        <w:tc>
          <w:tcPr>
            <w:tcW w:w="115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小微型</w:t>
            </w:r>
            <w:r>
              <w:rPr>
                <w:rFonts w:hint="eastAsia" w:ascii="宋体" w:hAnsi="宋体" w:cs="宋体"/>
                <w:color w:val="000000"/>
                <w:szCs w:val="21"/>
                <w:highlight w:val="none"/>
                <w:lang w:val="zh-CN"/>
              </w:rPr>
            </w:r>
            <w:r>
              <w:rPr>
                <w:highlight w:val="none"/>
              </w:rPr>
            </w:r>
          </w:p>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企业</w:t>
            </w:r>
            <w:r>
              <w:rPr>
                <w:rFonts w:hint="eastAsia" w:ascii="宋体" w:hAnsi="宋体" w:cs="宋体"/>
                <w:color w:val="000000"/>
                <w:szCs w:val="21"/>
                <w:highlight w:val="none"/>
                <w:lang w:val="zh-CN"/>
              </w:rPr>
            </w:r>
            <w:r>
              <w:rPr>
                <w:highlight w:val="none"/>
              </w:rPr>
            </w:r>
          </w:p>
        </w:tc>
        <w:tc>
          <w:tcPr>
            <w:tcW w:w="246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货物由小微企业制造</w:t>
            </w:r>
            <w:r>
              <w:rPr>
                <w:rFonts w:hint="eastAsia" w:ascii="宋体" w:hAnsi="宋体" w:cs="宋体"/>
                <w:color w:val="000000"/>
                <w:szCs w:val="21"/>
                <w:highlight w:val="none"/>
                <w:lang w:val="zh-CN"/>
              </w:rPr>
            </w:r>
            <w:r>
              <w:rPr>
                <w:highlight w:val="none"/>
              </w:rPr>
            </w:r>
          </w:p>
        </w:tc>
        <w:tc>
          <w:tcPr>
            <w:tcW w:w="4278" w:type="dxa"/>
            <w:vAlign w:val="center"/>
            <w:textDirection w:val="lrTb"/>
            <w:noWrap w:val="false"/>
          </w:tcPr>
          <w:p>
            <w:pPr>
              <w:pStyle w:val="7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《中小企业声明函》（附件</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rPr>
                <w:highlight w:val="none"/>
              </w:rPr>
            </w:r>
          </w:p>
        </w:tc>
        <w:tc>
          <w:tcPr>
            <w:tcW w:w="1782"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highlight w:val="none"/>
              </w:rPr>
            </w:r>
            <w:bookmarkStart w:id="273" w:name="OLE_LINK66"/>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bookmarkEnd w:id="273"/>
            <w:r>
              <w:rPr>
                <w:rFonts w:hint="eastAsia" w:ascii="宋体" w:hAnsi="宋体" w:cs="宋体"/>
                <w:color w:val="000000"/>
                <w:szCs w:val="21"/>
                <w:highlight w:val="none"/>
                <w:lang w:val="zh-CN"/>
              </w:rPr>
            </w:r>
            <w:r>
              <w:rPr>
                <w:highlight w:val="none"/>
              </w:rPr>
            </w:r>
          </w:p>
        </w:tc>
      </w:tr>
      <w:tr>
        <w:trPr>
          <w:trHeight w:val="687"/>
        </w:trPr>
        <w:tc>
          <w:tcPr>
            <w:tcW w:w="840" w:type="dxa"/>
            <w:vAlign w:val="center"/>
            <w:vMerge w:val="restart"/>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rPr>
                <w:highlight w:val="none"/>
              </w:rPr>
            </w:r>
          </w:p>
        </w:tc>
        <w:tc>
          <w:tcPr>
            <w:tcW w:w="1150" w:type="dxa"/>
            <w:vAlign w:val="center"/>
            <w:vMerge w:val="restart"/>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残疾人福利性单位</w:t>
            </w:r>
            <w:r>
              <w:rPr>
                <w:rFonts w:hint="eastAsia" w:ascii="宋体" w:hAnsi="宋体" w:cs="宋体"/>
                <w:color w:val="000000"/>
                <w:szCs w:val="21"/>
                <w:highlight w:val="none"/>
                <w:lang w:val="zh-CN"/>
              </w:rPr>
            </w:r>
            <w:r>
              <w:rPr>
                <w:highlight w:val="none"/>
              </w:rPr>
            </w:r>
          </w:p>
        </w:tc>
        <w:tc>
          <w:tcPr>
            <w:tcW w:w="246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提供本单位制造的货物</w:t>
            </w:r>
            <w:r>
              <w:rPr>
                <w:rFonts w:hint="eastAsia" w:ascii="宋体" w:hAnsi="宋体" w:cs="宋体"/>
                <w:color w:val="000000"/>
                <w:szCs w:val="21"/>
                <w:highlight w:val="none"/>
                <w:lang w:val="zh-CN"/>
              </w:rPr>
            </w:r>
            <w:r>
              <w:rPr>
                <w:highlight w:val="none"/>
              </w:rPr>
            </w:r>
          </w:p>
        </w:tc>
        <w:tc>
          <w:tcPr>
            <w:tcW w:w="4278" w:type="dxa"/>
            <w:vAlign w:val="center"/>
            <w:textDirection w:val="lrTb"/>
            <w:noWrap w:val="false"/>
          </w:tcPr>
          <w:p>
            <w:pPr>
              <w:pStyle w:val="760"/>
              <w:jc w:val="left"/>
              <w:spacing w:line="360" w:lineRule="auto"/>
              <w:rPr>
                <w:rFonts w:hint="eastAsia" w:ascii="宋体" w:hAnsi="宋体" w:cs="宋体"/>
                <w:color w:val="000000"/>
                <w:szCs w:val="21"/>
                <w:highlight w:val="none"/>
              </w:rPr>
            </w:pPr>
            <w:r>
              <w:rPr>
                <w:highlight w:val="none"/>
              </w:rPr>
            </w:r>
            <w:bookmarkStart w:id="274" w:name="OLE_LINK73"/>
            <w:r>
              <w:rPr>
                <w:rFonts w:hint="eastAsia" w:ascii="宋体" w:hAnsi="宋体" w:cs="宋体"/>
                <w:color w:val="000000"/>
                <w:szCs w:val="21"/>
                <w:highlight w:val="none"/>
                <w:lang w:val="zh-CN"/>
              </w:rPr>
              <w:t xml:space="preserve">供应商《残疾人福利性单位声明函》</w:t>
            </w:r>
            <w:bookmarkEnd w:id="274"/>
            <w:r>
              <w:rPr>
                <w:rFonts w:hint="eastAsia" w:ascii="宋体" w:hAnsi="宋体" w:cs="宋体"/>
                <w:color w:val="000000"/>
                <w:szCs w:val="21"/>
                <w:highlight w:val="none"/>
                <w:lang w:val="zh-CN"/>
              </w:rPr>
              <w:t xml:space="preserve">（附件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rPr>
                <w:highlight w:val="none"/>
              </w:rPr>
            </w:r>
          </w:p>
        </w:tc>
        <w:tc>
          <w:tcPr>
            <w:tcW w:w="1782"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rPr>
                <w:highlight w:val="none"/>
              </w:rPr>
            </w:r>
          </w:p>
        </w:tc>
      </w:tr>
      <w:tr>
        <w:trPr>
          <w:trHeight w:val="687"/>
        </w:trPr>
        <w:tc>
          <w:tcPr>
            <w:tcW w:w="840" w:type="dxa"/>
            <w:vAlign w:val="center"/>
            <w:vMerge w:val="continue"/>
            <w:textDirection w:val="lrTb"/>
            <w:noWrap w:val="false"/>
          </w:tcPr>
          <w:p>
            <w:pPr>
              <w:pStyle w:val="7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1150" w:type="dxa"/>
            <w:vAlign w:val="center"/>
            <w:vMerge w:val="continue"/>
            <w:textDirection w:val="lrTb"/>
            <w:noWrap w:val="false"/>
          </w:tcPr>
          <w:p>
            <w:pPr>
              <w:pStyle w:val="760"/>
              <w:jc w:val="cente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W w:w="246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提供其他残疾人福利性单位制造的货物</w:t>
            </w:r>
            <w:r>
              <w:rPr>
                <w:rFonts w:hint="eastAsia" w:ascii="宋体" w:hAnsi="宋体" w:cs="宋体"/>
                <w:color w:val="000000"/>
                <w:szCs w:val="21"/>
                <w:highlight w:val="none"/>
                <w:lang w:val="zh-CN"/>
              </w:rPr>
            </w:r>
            <w:r>
              <w:rPr>
                <w:highlight w:val="none"/>
              </w:rPr>
            </w:r>
          </w:p>
        </w:tc>
        <w:tc>
          <w:tcPr>
            <w:tcW w:w="4278" w:type="dxa"/>
            <w:vAlign w:val="center"/>
            <w:textDirection w:val="lrTb"/>
            <w:noWrap w:val="false"/>
          </w:tcPr>
          <w:p>
            <w:pPr>
              <w:pStyle w:val="7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供应商《残疾人福利性单位声明函》（附件</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）及制造商《企业类型声明函》（附件</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rPr>
                <w:highlight w:val="none"/>
              </w:rPr>
            </w:r>
          </w:p>
        </w:tc>
        <w:tc>
          <w:tcPr>
            <w:tcW w:w="1782"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rPr>
                <w:highlight w:val="none"/>
              </w:rPr>
            </w:r>
          </w:p>
        </w:tc>
      </w:tr>
      <w:tr>
        <w:trPr>
          <w:trHeight w:val="945"/>
        </w:trPr>
        <w:tc>
          <w:tcPr>
            <w:tcW w:w="840" w:type="dxa"/>
            <w:vAlign w:val="center"/>
            <w:textDirection w:val="lrTb"/>
            <w:noWrap w:val="false"/>
          </w:tcPr>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rPr>
                <w:highlight w:val="none"/>
              </w:rPr>
            </w:r>
          </w:p>
        </w:tc>
        <w:tc>
          <w:tcPr>
            <w:tcW w:w="1150" w:type="dxa"/>
            <w:vAlign w:val="center"/>
            <w:textDirection w:val="lrTb"/>
            <w:noWrap w:val="false"/>
          </w:tcPr>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w:t>
            </w:r>
            <w:r>
              <w:rPr>
                <w:rFonts w:hint="eastAsia" w:ascii="宋体" w:hAnsi="宋体" w:cs="宋体"/>
                <w:bCs/>
                <w:color w:val="000000"/>
                <w:szCs w:val="21"/>
                <w:highlight w:val="none"/>
              </w:rPr>
            </w:r>
            <w:r>
              <w:rPr>
                <w:highlight w:val="none"/>
              </w:rPr>
            </w:r>
          </w:p>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w:t>
            </w:r>
            <w:r>
              <w:rPr>
                <w:rFonts w:hint="eastAsia" w:ascii="宋体" w:hAnsi="宋体" w:cs="宋体"/>
                <w:bCs/>
                <w:color w:val="000000"/>
                <w:szCs w:val="21"/>
                <w:highlight w:val="none"/>
              </w:rPr>
            </w:r>
            <w:r>
              <w:rPr>
                <w:highlight w:val="none"/>
              </w:rPr>
            </w:r>
          </w:p>
        </w:tc>
        <w:tc>
          <w:tcPr>
            <w:tcW w:w="246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r>
            <w:r>
              <w:rPr>
                <w:highlight w:val="none"/>
              </w:rPr>
            </w:r>
          </w:p>
        </w:tc>
        <w:tc>
          <w:tcPr>
            <w:tcW w:w="4278" w:type="dxa"/>
            <w:vAlign w:val="center"/>
            <w:textDirection w:val="lrTb"/>
            <w:noWrap w:val="false"/>
          </w:tcPr>
          <w:p>
            <w:pPr>
              <w:pStyle w:val="7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省级以上监狱管理局、戒毒管理局（含新疆生产建设兵团）出具的属于监狱企业的证明文件</w:t>
            </w:r>
            <w:r>
              <w:rPr>
                <w:rFonts w:hint="eastAsia" w:ascii="宋体" w:hAnsi="宋体" w:cs="宋体"/>
                <w:color w:val="000000"/>
                <w:szCs w:val="21"/>
                <w:highlight w:val="none"/>
                <w:lang w:val="zh-CN"/>
              </w:rPr>
            </w:r>
            <w:r>
              <w:rPr>
                <w:highlight w:val="none"/>
              </w:rPr>
            </w:r>
          </w:p>
        </w:tc>
        <w:tc>
          <w:tcPr>
            <w:tcW w:w="1782"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是</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不是</w:t>
            </w:r>
            <w:r>
              <w:rPr>
                <w:rFonts w:hint="eastAsia" w:ascii="宋体" w:hAnsi="宋体" w:cs="宋体"/>
                <w:color w:val="000000"/>
                <w:szCs w:val="21"/>
                <w:highlight w:val="none"/>
                <w:lang w:val="zh-CN"/>
              </w:rPr>
            </w:r>
            <w:r>
              <w:rPr>
                <w:highlight w:val="none"/>
              </w:rPr>
            </w:r>
          </w:p>
        </w:tc>
      </w:tr>
      <w:tr>
        <w:trPr>
          <w:trHeight w:val="537"/>
        </w:trPr>
        <w:tc>
          <w:tcPr>
            <w:tcW w:w="840" w:type="dxa"/>
            <w:vAlign w:val="center"/>
            <w:vMerge w:val="restart"/>
            <w:textDirection w:val="lrTb"/>
            <w:noWrap w:val="false"/>
          </w:tcPr>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rPr>
                <w:highlight w:val="none"/>
              </w:rPr>
            </w:r>
          </w:p>
        </w:tc>
        <w:tc>
          <w:tcPr>
            <w:tcW w:w="1150" w:type="dxa"/>
            <w:vAlign w:val="center"/>
            <w:vMerge w:val="restart"/>
            <w:textDirection w:val="lrTb"/>
            <w:noWrap w:val="false"/>
          </w:tcPr>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节能</w:t>
            </w:r>
            <w:r>
              <w:rPr>
                <w:rFonts w:hint="eastAsia" w:ascii="宋体" w:hAnsi="宋体" w:cs="宋体"/>
                <w:bCs/>
                <w:color w:val="000000"/>
                <w:szCs w:val="21"/>
                <w:highlight w:val="none"/>
              </w:rPr>
            </w:r>
            <w:r>
              <w:rPr>
                <w:highlight w:val="none"/>
              </w:rPr>
            </w:r>
          </w:p>
        </w:tc>
        <w:tc>
          <w:tcPr>
            <w:tcW w:w="246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强制采购节能产品</w:t>
            </w:r>
            <w:r>
              <w:rPr>
                <w:rFonts w:hint="eastAsia" w:ascii="宋体" w:hAnsi="宋体" w:cs="宋体"/>
                <w:color w:val="000000"/>
                <w:szCs w:val="21"/>
                <w:highlight w:val="none"/>
              </w:rPr>
            </w:r>
            <w:r>
              <w:rPr>
                <w:highlight w:val="none"/>
              </w:rPr>
            </w:r>
          </w:p>
        </w:tc>
        <w:tc>
          <w:tcPr>
            <w:tcW w:w="4278" w:type="dxa"/>
            <w:vAlign w:val="center"/>
            <w:textDirection w:val="lrTb"/>
            <w:noWrap w:val="false"/>
          </w:tcPr>
          <w:p>
            <w:pPr>
              <w:pStyle w:val="7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由国家确定的认证机构出具的、处于有效期之内的节能产品认证证书复印件</w:t>
            </w:r>
            <w:r>
              <w:rPr>
                <w:rFonts w:hint="eastAsia" w:ascii="宋体" w:hAnsi="宋体" w:cs="宋体"/>
                <w:color w:val="000000"/>
                <w:szCs w:val="21"/>
                <w:highlight w:val="none"/>
                <w:lang w:val="zh-CN"/>
              </w:rPr>
            </w:r>
            <w:r>
              <w:rPr>
                <w:highlight w:val="none"/>
              </w:rPr>
            </w:r>
          </w:p>
        </w:tc>
        <w:tc>
          <w:tcPr>
            <w:tcW w:w="1782"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highlight w:val="none"/>
              </w:rPr>
            </w:r>
            <w:bookmarkStart w:id="275" w:name="OLE_LINK67"/>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bookmarkEnd w:id="275"/>
            <w:r>
              <w:rPr>
                <w:rFonts w:hint="eastAsia" w:ascii="宋体" w:hAnsi="宋体" w:cs="宋体"/>
                <w:color w:val="000000"/>
                <w:szCs w:val="21"/>
                <w:highlight w:val="none"/>
                <w:lang w:val="zh-CN"/>
              </w:rPr>
            </w:r>
            <w:r>
              <w:rPr>
                <w:highlight w:val="none"/>
              </w:rPr>
            </w:r>
          </w:p>
        </w:tc>
      </w:tr>
      <w:tr>
        <w:trPr>
          <w:trHeight w:val="552"/>
        </w:trPr>
        <w:tc>
          <w:tcPr>
            <w:tcW w:w="840" w:type="dxa"/>
            <w:vAlign w:val="center"/>
            <w:vMerge w:val="continue"/>
            <w:textDirection w:val="lrTb"/>
            <w:noWrap w:val="false"/>
          </w:tcPr>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50" w:type="dxa"/>
            <w:vAlign w:val="center"/>
            <w:vMerge w:val="continue"/>
            <w:textDirection w:val="lrTb"/>
            <w:noWrap w:val="false"/>
          </w:tcPr>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46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优先采购节能产品</w:t>
            </w:r>
            <w:r>
              <w:rPr>
                <w:rFonts w:hint="eastAsia" w:ascii="宋体" w:hAnsi="宋体" w:cs="宋体"/>
                <w:color w:val="000000"/>
                <w:szCs w:val="21"/>
                <w:highlight w:val="none"/>
              </w:rPr>
            </w:r>
            <w:r>
              <w:rPr>
                <w:highlight w:val="none"/>
              </w:rPr>
            </w:r>
          </w:p>
        </w:tc>
        <w:tc>
          <w:tcPr>
            <w:tcW w:w="4278" w:type="dxa"/>
            <w:vAlign w:val="center"/>
            <w:textDirection w:val="lrTb"/>
            <w:noWrap w:val="false"/>
          </w:tcPr>
          <w:p>
            <w:pPr>
              <w:pStyle w:val="7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由国家确定的认证机构出具的、处于有效期之内的节能产品认证证书复印件</w:t>
            </w:r>
            <w:r>
              <w:rPr>
                <w:rFonts w:hint="eastAsia" w:ascii="宋体" w:hAnsi="宋体" w:cs="宋体"/>
                <w:color w:val="000000"/>
                <w:szCs w:val="21"/>
                <w:highlight w:val="none"/>
                <w:lang w:val="zh-CN"/>
              </w:rPr>
            </w:r>
            <w:r>
              <w:rPr>
                <w:highlight w:val="none"/>
              </w:rPr>
            </w:r>
          </w:p>
        </w:tc>
        <w:tc>
          <w:tcPr>
            <w:tcW w:w="1782"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rFonts w:hint="eastAsia" w:ascii="宋体" w:hAnsi="宋体" w:cs="宋体"/>
                <w:color w:val="000000"/>
                <w:szCs w:val="21"/>
                <w:highlight w:val="none"/>
                <w:lang w:val="zh-CN"/>
              </w:rPr>
            </w:r>
            <w:r>
              <w:rPr>
                <w:highlight w:val="none"/>
              </w:rPr>
            </w:r>
          </w:p>
        </w:tc>
      </w:tr>
      <w:tr>
        <w:trPr>
          <w:trHeight w:val="507"/>
        </w:trPr>
        <w:tc>
          <w:tcPr>
            <w:tcW w:w="840" w:type="dxa"/>
            <w:vAlign w:val="center"/>
            <w:textDirection w:val="lrTb"/>
            <w:noWrap w:val="false"/>
          </w:tcPr>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rPr>
                <w:highlight w:val="none"/>
              </w:rPr>
            </w:r>
          </w:p>
        </w:tc>
        <w:tc>
          <w:tcPr>
            <w:tcW w:w="1150" w:type="dxa"/>
            <w:vAlign w:val="center"/>
            <w:textDirection w:val="lrTb"/>
            <w:noWrap w:val="false"/>
          </w:tcPr>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环保</w:t>
            </w:r>
            <w:r>
              <w:rPr>
                <w:rFonts w:hint="eastAsia" w:ascii="宋体" w:hAnsi="宋体" w:cs="宋体"/>
                <w:bCs/>
                <w:color w:val="000000"/>
                <w:szCs w:val="21"/>
                <w:highlight w:val="none"/>
              </w:rPr>
            </w:r>
            <w:r>
              <w:rPr>
                <w:highlight w:val="none"/>
              </w:rPr>
            </w:r>
          </w:p>
        </w:tc>
        <w:tc>
          <w:tcPr>
            <w:tcW w:w="246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优先采购环境标志产品</w:t>
            </w:r>
            <w:r>
              <w:rPr>
                <w:rFonts w:hint="eastAsia" w:ascii="宋体" w:hAnsi="宋体" w:cs="宋体"/>
                <w:color w:val="000000"/>
                <w:szCs w:val="21"/>
                <w:highlight w:val="none"/>
              </w:rPr>
            </w:r>
            <w:r>
              <w:rPr>
                <w:highlight w:val="none"/>
              </w:rPr>
            </w:r>
          </w:p>
        </w:tc>
        <w:tc>
          <w:tcPr>
            <w:tcW w:w="4278" w:type="dxa"/>
            <w:vAlign w:val="center"/>
            <w:textDirection w:val="lrTb"/>
            <w:noWrap w:val="false"/>
          </w:tcPr>
          <w:p>
            <w:pPr>
              <w:pStyle w:val="7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由国家确定的认证机构出具的、处于有效期之内的环境标志产品认证证书复印件</w:t>
            </w:r>
            <w:r>
              <w:rPr>
                <w:rFonts w:hint="eastAsia" w:ascii="宋体" w:hAnsi="宋体" w:cs="宋体"/>
                <w:color w:val="000000"/>
                <w:szCs w:val="21"/>
                <w:highlight w:val="none"/>
                <w:lang w:val="zh-CN"/>
              </w:rPr>
            </w:r>
            <w:r>
              <w:rPr>
                <w:highlight w:val="none"/>
              </w:rPr>
            </w:r>
          </w:p>
        </w:tc>
        <w:tc>
          <w:tcPr>
            <w:tcW w:w="1782"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rFonts w:hint="eastAsia" w:ascii="宋体" w:hAnsi="宋体" w:cs="宋体"/>
                <w:color w:val="000000"/>
                <w:szCs w:val="21"/>
                <w:highlight w:val="none"/>
                <w:lang w:val="zh-CN"/>
              </w:rPr>
            </w:r>
            <w:r>
              <w:rPr>
                <w:highlight w:val="none"/>
              </w:rPr>
            </w:r>
          </w:p>
        </w:tc>
      </w:tr>
      <w:tr>
        <w:trPr>
          <w:trHeight w:val="607"/>
        </w:trPr>
        <w:tc>
          <w:tcPr>
            <w:tcW w:w="840" w:type="dxa"/>
            <w:vAlign w:val="center"/>
            <w:textDirection w:val="lrTb"/>
            <w:noWrap w:val="false"/>
          </w:tcPr>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rPr>
                <w:highlight w:val="none"/>
              </w:rPr>
            </w:r>
          </w:p>
        </w:tc>
        <w:tc>
          <w:tcPr>
            <w:tcW w:w="1150" w:type="dxa"/>
            <w:vAlign w:val="center"/>
            <w:textDirection w:val="lrTb"/>
            <w:noWrap w:val="false"/>
          </w:tcPr>
          <w:p>
            <w:pPr>
              <w:pStyle w:val="760"/>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信息安全</w:t>
            </w:r>
            <w:r>
              <w:rPr>
                <w:rFonts w:hint="eastAsia" w:ascii="宋体" w:hAnsi="宋体" w:cs="宋体"/>
                <w:bCs/>
                <w:color w:val="000000"/>
                <w:szCs w:val="21"/>
                <w:highlight w:val="none"/>
              </w:rPr>
            </w:r>
            <w:r>
              <w:rPr>
                <w:highlight w:val="none"/>
              </w:rPr>
            </w:r>
          </w:p>
        </w:tc>
        <w:tc>
          <w:tcPr>
            <w:tcW w:w="2460"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强制采购</w:t>
            </w:r>
            <w:r>
              <w:rPr>
                <w:rFonts w:hint="eastAsia" w:ascii="宋体" w:hAnsi="宋体" w:cs="宋体"/>
                <w:color w:val="000000"/>
                <w:szCs w:val="21"/>
                <w:highlight w:val="none"/>
                <w:lang w:val="zh-CN"/>
              </w:rPr>
              <w:t xml:space="preserve">信息安全产品</w:t>
            </w:r>
            <w:r>
              <w:rPr>
                <w:rFonts w:hint="eastAsia" w:ascii="宋体" w:hAnsi="宋体" w:cs="宋体"/>
                <w:color w:val="000000"/>
                <w:szCs w:val="21"/>
                <w:highlight w:val="none"/>
                <w:lang w:val="zh-CN"/>
              </w:rPr>
            </w:r>
            <w:r>
              <w:rPr>
                <w:highlight w:val="none"/>
              </w:rPr>
            </w:r>
          </w:p>
        </w:tc>
        <w:tc>
          <w:tcPr>
            <w:tcW w:w="4278" w:type="dxa"/>
            <w:vAlign w:val="center"/>
            <w:textDirection w:val="lrTb"/>
            <w:noWrap w:val="false"/>
          </w:tcPr>
          <w:p>
            <w:pPr>
              <w:pStyle w:val="76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由中国信息安全认证中心颁发的有效认证证书复印件</w:t>
            </w:r>
            <w:r>
              <w:rPr>
                <w:rFonts w:hint="eastAsia" w:ascii="宋体" w:hAnsi="宋体" w:cs="宋体"/>
                <w:color w:val="000000"/>
                <w:szCs w:val="21"/>
                <w:highlight w:val="none"/>
                <w:lang w:val="zh-CN"/>
              </w:rPr>
            </w:r>
            <w:r>
              <w:rPr>
                <w:highlight w:val="none"/>
              </w:rPr>
            </w:r>
          </w:p>
        </w:tc>
        <w:tc>
          <w:tcPr>
            <w:tcW w:w="1782" w:type="dxa"/>
            <w:vAlign w:val="center"/>
            <w:textDirection w:val="lrTb"/>
            <w:noWrap w:val="false"/>
          </w:tcPr>
          <w:p>
            <w:pPr>
              <w:pStyle w:val="76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有</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没有</w:t>
            </w:r>
            <w:r>
              <w:rPr>
                <w:rFonts w:hint="eastAsia" w:ascii="宋体" w:hAnsi="宋体" w:cs="宋体"/>
                <w:color w:val="000000"/>
                <w:szCs w:val="21"/>
                <w:highlight w:val="none"/>
                <w:lang w:val="zh-CN"/>
              </w:rPr>
            </w:r>
            <w:r>
              <w:rPr>
                <w:highlight w:val="none"/>
              </w:rPr>
            </w:r>
          </w:p>
        </w:tc>
      </w:tr>
    </w:tbl>
    <w:p>
      <w:pPr>
        <w:pStyle w:val="760"/>
        <w:jc w:val="left"/>
        <w:rPr>
          <w:rFonts w:ascii="宋体" w:hAnsi="宋体" w:eastAsia="宋体" w:cs="宋体"/>
          <w:b/>
          <w:bCs/>
          <w:color w:val="000000"/>
          <w:szCs w:val="21"/>
          <w:highlight w:val="none"/>
        </w:rPr>
      </w:pPr>
      <w:r>
        <w:rPr>
          <w:rFonts w:ascii="宋体" w:hAnsi="宋体" w:eastAsia="宋体" w:cs="宋体"/>
          <w:b/>
          <w:bCs/>
          <w:color w:val="000000"/>
          <w:szCs w:val="21"/>
          <w:highlight w:val="none"/>
          <w:lang w:val="zh-CN"/>
        </w:rPr>
      </w:r>
      <w:r>
        <w:rPr>
          <w:highlight w:val="none"/>
        </w:rPr>
      </w:r>
    </w:p>
    <w:p>
      <w:pPr>
        <w:pStyle w:val="760"/>
        <w:jc w:val="left"/>
        <w:rPr>
          <w:rFonts w:ascii="宋体" w:hAnsi="宋体" w:eastAsia="宋体" w:cs="宋体"/>
          <w:b/>
          <w:bCs/>
          <w:color w:val="000000"/>
          <w:szCs w:val="21"/>
          <w:highlight w:val="none"/>
        </w:rPr>
      </w:pPr>
      <w:r>
        <w:rPr>
          <w:rFonts w:ascii="宋体" w:hAnsi="宋体" w:eastAsia="宋体" w:cs="宋体"/>
          <w:b/>
          <w:bCs/>
          <w:color w:val="000000"/>
          <w:szCs w:val="21"/>
          <w:highlight w:val="none"/>
          <w:lang w:val="zh-CN"/>
        </w:rPr>
      </w:r>
      <w:r>
        <w:rPr>
          <w:highlight w:val="none"/>
        </w:rPr>
      </w:r>
    </w:p>
    <w:p>
      <w:pPr>
        <w:pStyle w:val="760"/>
        <w:ind w:left="5460" w:hanging="5460"/>
        <w:jc w:val="center"/>
        <w:spacing w:before="156" w:line="360" w:lineRule="auto"/>
        <w:rPr>
          <w:rFonts w:ascii="宋体" w:hAnsi="宋体" w:eastAsia="宋体" w:cs="宋体"/>
          <w:b/>
          <w:bCs/>
          <w:color w:val="000000"/>
          <w:szCs w:val="21"/>
          <w:highlight w:val="none"/>
        </w:rPr>
      </w:pPr>
      <w:r>
        <w:rPr>
          <w:rFonts w:hint="eastAsia" w:ascii="宋体" w:hAnsi="宋体" w:eastAsia="宋体" w:cs="Times New Roman"/>
          <w:bCs/>
          <w:color w:val="000000"/>
          <w:sz w:val="24"/>
          <w:szCs w:val="20"/>
          <w:highlight w:val="none"/>
          <w:lang w:val="zh-CN"/>
        </w:rPr>
        <w:t xml:space="preserve">                      投标人（电子签章）：</w:t>
      </w:r>
      <w:r>
        <w:rPr>
          <w:rFonts w:hint="eastAsia" w:ascii="宋体" w:hAnsi="宋体" w:eastAsia="宋体" w:cs="Times New Roman"/>
          <w:bCs/>
          <w:color w:val="000000"/>
          <w:sz w:val="24"/>
          <w:szCs w:val="20"/>
          <w:highlight w:val="none"/>
        </w:rPr>
        <w:t xml:space="preserve">                           </w:t>
      </w:r>
      <w:r>
        <w:rPr>
          <w:rFonts w:ascii="宋体" w:hAnsi="宋体" w:eastAsia="宋体" w:cs="宋体"/>
          <w:b/>
          <w:bCs/>
          <w:color w:val="000000"/>
          <w:szCs w:val="21"/>
          <w:highlight w:val="none"/>
          <w:lang w:val="zh-CN"/>
        </w:rPr>
      </w:r>
      <w:r>
        <w:rPr>
          <w:highlight w:val="none"/>
        </w:rPr>
      </w:r>
    </w:p>
    <w:p>
      <w:pPr>
        <w:pStyle w:val="760"/>
        <w:ind w:firstLine="211"/>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val="zh-CN"/>
        </w:rPr>
        <w:t xml:space="preserve">注：</w:t>
      </w:r>
      <w:bookmarkStart w:id="276" w:name="OLE_LINK264"/>
      <w:r>
        <w:rPr>
          <w:rFonts w:hint="eastAsia" w:ascii="宋体" w:hAnsi="宋体" w:eastAsia="宋体" w:cs="宋体"/>
          <w:b/>
          <w:bCs/>
          <w:color w:val="000000"/>
          <w:szCs w:val="21"/>
          <w:highlight w:val="none"/>
          <w:lang w:val="zh-CN"/>
        </w:rPr>
      </w:r>
      <w:r>
        <w:rPr>
          <w:highlight w:val="none"/>
        </w:rPr>
      </w:r>
    </w:p>
    <w:p>
      <w:pPr>
        <w:pStyle w:val="760"/>
        <w:ind w:firstLine="420"/>
        <w:jc w:val="left"/>
        <w:spacing w:line="360" w:lineRule="auto"/>
        <w:rPr>
          <w:rFonts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zh-CN"/>
        </w:rPr>
        <w:t xml:space="preserve">①如本项目给予报价扣除优惠，须提供相关证明材料，否则不享受报价扣除优惠。相关证明材料请附在本表之后，若不享受政府采购政策优惠，附件</w:t>
      </w:r>
      <w:r>
        <w:rPr>
          <w:rFonts w:ascii="宋体" w:hAnsi="宋体" w:eastAsia="宋体" w:cs="宋体"/>
          <w:b w:val="0"/>
          <w:bCs w:val="0"/>
          <w:color w:val="000000"/>
          <w:sz w:val="21"/>
          <w:szCs w:val="21"/>
          <w:highlight w:val="none"/>
          <w:lang w:val="zh-CN"/>
        </w:rPr>
        <w:t xml:space="preserve">1-附件</w:t>
      </w:r>
      <w:r>
        <w:rPr>
          <w:rFonts w:hint="eastAsia" w:ascii="宋体" w:hAnsi="宋体" w:eastAsia="宋体" w:cs="宋体"/>
          <w:b w:val="0"/>
          <w:bCs w:val="0"/>
          <w:color w:val="000000"/>
          <w:sz w:val="21"/>
          <w:szCs w:val="21"/>
          <w:highlight w:val="none"/>
          <w:lang w:val="zh-CN"/>
        </w:rPr>
        <w:t xml:space="preserve">3</w:t>
      </w:r>
      <w:r>
        <w:rPr>
          <w:rFonts w:ascii="宋体" w:hAnsi="宋体" w:eastAsia="宋体" w:cs="宋体"/>
          <w:b w:val="0"/>
          <w:bCs w:val="0"/>
          <w:color w:val="000000"/>
          <w:sz w:val="21"/>
          <w:szCs w:val="21"/>
          <w:highlight w:val="none"/>
          <w:lang w:val="zh-CN"/>
        </w:rPr>
        <w:t xml:space="preserve">可自行删除；</w:t>
      </w:r>
      <w:r>
        <w:rPr>
          <w:rFonts w:ascii="宋体" w:hAnsi="宋体" w:eastAsia="宋体" w:cs="宋体"/>
          <w:b w:val="0"/>
          <w:bCs w:val="0"/>
          <w:color w:val="000000"/>
          <w:sz w:val="21"/>
          <w:szCs w:val="21"/>
          <w:highlight w:val="none"/>
          <w:lang w:val="zh-CN"/>
        </w:rPr>
      </w:r>
      <w:r>
        <w:rPr>
          <w:highlight w:val="none"/>
        </w:rPr>
      </w:r>
    </w:p>
    <w:p>
      <w:pPr>
        <w:pStyle w:val="760"/>
        <w:ind w:firstLine="420"/>
        <w:jc w:val="left"/>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lang w:val="zh-CN"/>
        </w:rPr>
        <w:t xml:space="preserve">中标供应商《中小企业声明函》、《残疾人福利性单位声明函》、制造商《企业类型声明函》，采购人将随中标公告一并公示。</w:t>
      </w:r>
      <w:r>
        <w:rPr>
          <w:rFonts w:hint="eastAsia" w:ascii="宋体" w:hAnsi="宋体" w:eastAsia="宋体" w:cs="宋体"/>
          <w:b w:val="0"/>
          <w:bCs w:val="0"/>
          <w:color w:val="000000"/>
          <w:sz w:val="21"/>
          <w:szCs w:val="21"/>
          <w:highlight w:val="none"/>
          <w:lang w:val="zh-CN"/>
        </w:rPr>
      </w:r>
      <w:r>
        <w:rPr>
          <w:highlight w:val="none"/>
        </w:rPr>
      </w:r>
    </w:p>
    <w:p>
      <w:pPr>
        <w:pStyle w:val="760"/>
        <w:ind w:firstLine="420"/>
        <w:jc w:val="left"/>
        <w:spacing w:line="360" w:lineRule="auto"/>
        <w:rPr>
          <w:rFonts w:ascii="黑体" w:hAnsi="宋体" w:eastAsia="黑体" w:cs="Times New Roman"/>
          <w:bCs/>
          <w:color w:val="000000"/>
          <w:sz w:val="24"/>
          <w:szCs w:val="24"/>
          <w:highlight w:val="none"/>
        </w:rPr>
      </w:pPr>
      <w:r>
        <w:rPr>
          <w:rFonts w:hint="eastAsia" w:ascii="宋体" w:hAnsi="宋体" w:eastAsia="宋体" w:cs="宋体"/>
          <w:b w:val="0"/>
          <w:bCs w:val="0"/>
          <w:color w:val="000000"/>
          <w:sz w:val="21"/>
          <w:szCs w:val="21"/>
          <w:highlight w:val="none"/>
          <w:lang w:val="zh-CN"/>
        </w:rPr>
        <w:t xml:space="preserve">③</w:t>
      </w:r>
      <w:r>
        <w:rPr>
          <w:rFonts w:ascii="宋体" w:hAnsi="宋体" w:eastAsia="宋体" w:cs="宋体"/>
          <w:b w:val="0"/>
          <w:bCs w:val="0"/>
          <w:color w:val="000000"/>
          <w:sz w:val="21"/>
          <w:szCs w:val="21"/>
          <w:highlight w:val="none"/>
          <w:lang w:val="zh-CN"/>
        </w:rPr>
        <w:t xml:space="preserve">投标人根据招标文件要求提供相关证明材料（如有），以提供的有效证明材料为准 。</w:t>
      </w:r>
      <w:bookmarkEnd w:id="276"/>
      <w:r>
        <w:rPr>
          <w:rFonts w:hint="eastAsia" w:ascii="宋体" w:hAnsi="宋体" w:eastAsia="宋体" w:cs="Times New Roman"/>
          <w:b w:val="0"/>
          <w:bCs w:val="0"/>
          <w:color w:val="000000"/>
          <w:sz w:val="21"/>
          <w:szCs w:val="21"/>
          <w:highlight w:val="none"/>
        </w:rPr>
        <w:br w:type="page" w:clear="all"/>
      </w:r>
      <w:r>
        <w:rPr>
          <w:rFonts w:hint="eastAsia" w:ascii="宋体" w:hAnsi="宋体" w:eastAsia="宋体" w:cs="Times New Roman"/>
          <w:b w:val="0"/>
          <w:bCs w:val="0"/>
          <w:color w:val="000000"/>
          <w:sz w:val="21"/>
          <w:szCs w:val="21"/>
          <w:highlight w:val="none"/>
          <w:lang w:val="en-US" w:eastAsia="zh-CN"/>
        </w:rPr>
        <w:t xml:space="preserve">   </w:t>
      </w:r>
      <w:r>
        <w:rPr>
          <w:rFonts w:hint="eastAsia" w:ascii="黑体" w:hAnsi="宋体" w:eastAsia="黑体" w:cs="Times New Roman"/>
          <w:bCs/>
          <w:color w:val="000000"/>
          <w:sz w:val="24"/>
          <w:szCs w:val="24"/>
          <w:highlight w:val="none"/>
        </w:rPr>
        <w:t xml:space="preserve">附件1：中小企业声明函（格式）：</w:t>
      </w:r>
      <w:r>
        <w:rPr>
          <w:rFonts w:ascii="黑体" w:hAnsi="宋体" w:eastAsia="黑体" w:cs="Times New Roman"/>
          <w:bCs/>
          <w:color w:val="000000"/>
          <w:sz w:val="24"/>
          <w:szCs w:val="24"/>
          <w:highlight w:val="none"/>
        </w:rPr>
      </w:r>
      <w:r>
        <w:rPr>
          <w:highlight w:val="none"/>
        </w:rPr>
      </w:r>
    </w:p>
    <w:p>
      <w:pPr>
        <w:pStyle w:val="760"/>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rPr>
          <w:highlight w:val="none"/>
        </w:rPr>
      </w:r>
    </w:p>
    <w:p>
      <w:pPr>
        <w:pStyle w:val="760"/>
        <w:jc w:val="center"/>
        <w:rPr>
          <w:rFonts w:ascii="黑体" w:hAnsi="Times New Roman" w:eastAsia="黑体" w:cs="Times New Roman"/>
          <w:bCs/>
          <w:color w:val="000000"/>
          <w:sz w:val="28"/>
          <w:szCs w:val="28"/>
          <w:highlight w:val="none"/>
        </w:rPr>
      </w:pPr>
      <w:r>
        <w:rPr>
          <w:highlight w:val="none"/>
        </w:rPr>
      </w:r>
      <w:bookmarkStart w:id="277" w:name="OLE_LINK150"/>
      <w:r>
        <w:rPr>
          <w:rFonts w:hint="eastAsia" w:ascii="黑体" w:hAnsi="Times New Roman" w:eastAsia="黑体" w:cs="Times New Roman"/>
          <w:bCs/>
          <w:color w:val="000000"/>
          <w:sz w:val="28"/>
          <w:szCs w:val="28"/>
          <w:highlight w:val="none"/>
        </w:rPr>
        <w:t xml:space="preserve">中小企业声明函</w:t>
      </w:r>
      <w:r>
        <w:rPr>
          <w:rFonts w:ascii="黑体" w:hAnsi="Times New Roman" w:eastAsia="黑体" w:cs="Times New Roman"/>
          <w:bCs/>
          <w:color w:val="000000"/>
          <w:sz w:val="28"/>
          <w:szCs w:val="28"/>
          <w:highlight w:val="none"/>
        </w:rPr>
      </w:r>
      <w:r>
        <w:rPr>
          <w:highlight w:val="none"/>
        </w:rPr>
      </w:r>
    </w:p>
    <w:p>
      <w:pPr>
        <w:pStyle w:val="760"/>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rPr>
          <w:highlight w:val="none"/>
        </w:rPr>
      </w:r>
    </w:p>
    <w:p>
      <w:pPr>
        <w:pStyle w:val="760"/>
        <w:rPr>
          <w:rFonts w:ascii="Times New Roman" w:hAnsi="Times New Roman" w:eastAsia="宋体" w:cs="Times New Roman"/>
          <w:color w:val="000000"/>
          <w:szCs w:val="20"/>
          <w:highlight w:val="none"/>
        </w:rPr>
      </w:pPr>
      <w:r>
        <w:rPr>
          <w:rFonts w:ascii="Times New Roman" w:hAnsi="Times New Roman" w:eastAsia="宋体" w:cs="Times New Roman"/>
          <w:color w:val="000000"/>
          <w:szCs w:val="20"/>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Times New Roman"/>
          <w:bCs/>
          <w:color w:val="000000"/>
          <w:sz w:val="24"/>
          <w:szCs w:val="24"/>
          <w:highlight w:val="none"/>
          <w:u w:val="single"/>
        </w:rPr>
        <w:t xml:space="preserve">（单位名称）</w:t>
      </w:r>
      <w:r>
        <w:rPr>
          <w:rFonts w:hint="eastAsia" w:ascii="宋体" w:hAnsi="宋体" w:eastAsia="宋体" w:cs="Times New Roman"/>
          <w:bCs/>
          <w:color w:val="000000"/>
          <w:sz w:val="24"/>
          <w:szCs w:val="24"/>
          <w:highlight w:val="none"/>
        </w:rPr>
        <w:t xml:space="preserve">的</w:t>
      </w:r>
      <w:r>
        <w:rPr>
          <w:rFonts w:hint="eastAsia" w:ascii="宋体" w:hAnsi="宋体" w:eastAsia="宋体" w:cs="Times New Roman"/>
          <w:bCs/>
          <w:color w:val="000000"/>
          <w:sz w:val="24"/>
          <w:szCs w:val="24"/>
          <w:highlight w:val="none"/>
          <w:u w:val="single"/>
        </w:rPr>
        <w:t xml:space="preserve">（项目名称）</w:t>
      </w:r>
      <w:r>
        <w:rPr>
          <w:rFonts w:hint="eastAsia" w:ascii="宋体" w:hAnsi="宋体" w:eastAsia="宋体" w:cs="Times New Roman"/>
          <w:bCs/>
          <w:color w:val="000000"/>
          <w:sz w:val="24"/>
          <w:szCs w:val="24"/>
          <w:highlight w:val="none"/>
        </w:rPr>
        <w:t xml:space="preserve">采购活动，</w:t>
      </w:r>
      <w:r>
        <w:rPr>
          <w:rFonts w:ascii="宋体" w:hAnsi="宋体" w:eastAsia="宋体" w:cs="宋体"/>
          <w:color w:val="000000"/>
          <w:sz w:val="24"/>
          <w:highlight w:val="none"/>
        </w:rPr>
        <w:t xml:space="preserve">提供的货物全部由符合政策要求的中小企业制造。相关企业（含联合体中的中小企业、签订分包意向协议的中小企业） 的具体情况如下：</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u w:val="single"/>
        </w:rPr>
        <w:t xml:space="preserve">（标的名称）</w:t>
      </w:r>
      <w:r>
        <w:rPr>
          <w:rFonts w:hint="eastAsia" w:ascii="宋体" w:hAnsi="宋体" w:eastAsia="宋体" w:cs="Times New Roman"/>
          <w:bCs/>
          <w:color w:val="000000"/>
          <w:sz w:val="24"/>
          <w:szCs w:val="24"/>
          <w:highlight w:val="none"/>
        </w:rPr>
        <w:t xml:space="preserve">，属于</w:t>
      </w:r>
      <w:r>
        <w:rPr>
          <w:rFonts w:hint="eastAsia" w:ascii="宋体" w:hAnsi="宋体" w:eastAsia="宋体" w:cs="Times New Roman"/>
          <w:bCs/>
          <w:color w:val="000000"/>
          <w:sz w:val="24"/>
          <w:szCs w:val="24"/>
          <w:highlight w:val="none"/>
          <w:u w:val="single"/>
        </w:rPr>
        <w:t xml:space="preserve">（采购文件中明确的所属行业）</w:t>
      </w:r>
      <w:r>
        <w:rPr>
          <w:rFonts w:hint="eastAsia" w:ascii="宋体" w:hAnsi="宋体" w:eastAsia="宋体" w:cs="Times New Roman"/>
          <w:bCs/>
          <w:color w:val="000000"/>
          <w:sz w:val="24"/>
          <w:szCs w:val="24"/>
          <w:highlight w:val="none"/>
        </w:rPr>
        <w:t xml:space="preserve">；承接企业为</w:t>
      </w:r>
      <w:r>
        <w:rPr>
          <w:rFonts w:hint="eastAsia" w:ascii="宋体" w:hAnsi="宋体" w:eastAsia="宋体" w:cs="Times New Roman"/>
          <w:bCs/>
          <w:color w:val="000000"/>
          <w:sz w:val="24"/>
          <w:szCs w:val="24"/>
          <w:highlight w:val="none"/>
          <w:u w:val="single"/>
        </w:rPr>
        <w:t xml:space="preserve">（企业名称）</w:t>
      </w:r>
      <w:r>
        <w:rPr>
          <w:rFonts w:hint="eastAsia" w:ascii="宋体" w:hAnsi="宋体" w:eastAsia="宋体" w:cs="Times New Roman"/>
          <w:bCs/>
          <w:color w:val="000000"/>
          <w:sz w:val="24"/>
          <w:szCs w:val="24"/>
          <w:highlight w:val="none"/>
        </w:rPr>
        <w:t xml:space="preserve">，从业人员</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人，营业收入为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rPr>
        <w:t xml:space="preserve">万元，资产总额为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万元，属于</w:t>
      </w:r>
      <w:r>
        <w:rPr>
          <w:rFonts w:hint="eastAsia" w:ascii="宋体" w:hAnsi="宋体" w:eastAsia="宋体" w:cs="Times New Roman"/>
          <w:bCs/>
          <w:color w:val="000000"/>
          <w:sz w:val="24"/>
          <w:szCs w:val="24"/>
          <w:highlight w:val="none"/>
          <w:u w:val="single"/>
        </w:rPr>
        <w:t xml:space="preserve">（中型企业、小型企业、微型企业）</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u w:val="single"/>
        </w:rPr>
        <w:t xml:space="preserve">（标的名称）</w:t>
      </w:r>
      <w:r>
        <w:rPr>
          <w:rFonts w:hint="eastAsia" w:ascii="宋体" w:hAnsi="宋体" w:eastAsia="宋体" w:cs="Times New Roman"/>
          <w:bCs/>
          <w:color w:val="000000"/>
          <w:sz w:val="24"/>
          <w:szCs w:val="24"/>
          <w:highlight w:val="none"/>
        </w:rPr>
        <w:t xml:space="preserve">，属于</w:t>
      </w:r>
      <w:r>
        <w:rPr>
          <w:rFonts w:hint="eastAsia" w:ascii="宋体" w:hAnsi="宋体" w:eastAsia="宋体" w:cs="Times New Roman"/>
          <w:bCs/>
          <w:color w:val="000000"/>
          <w:sz w:val="24"/>
          <w:szCs w:val="24"/>
          <w:highlight w:val="none"/>
          <w:u w:val="single"/>
        </w:rPr>
        <w:t xml:space="preserve">（采购文件中明确的所属行业）</w:t>
      </w:r>
      <w:r>
        <w:rPr>
          <w:rFonts w:hint="eastAsia" w:ascii="宋体" w:hAnsi="宋体" w:eastAsia="宋体" w:cs="Times New Roman"/>
          <w:bCs/>
          <w:color w:val="000000"/>
          <w:sz w:val="24"/>
          <w:szCs w:val="24"/>
          <w:highlight w:val="none"/>
        </w:rPr>
        <w:t xml:space="preserve">；承接企业为</w:t>
      </w:r>
      <w:r>
        <w:rPr>
          <w:rFonts w:hint="eastAsia" w:ascii="宋体" w:hAnsi="宋体" w:eastAsia="宋体" w:cs="Times New Roman"/>
          <w:bCs/>
          <w:color w:val="000000"/>
          <w:sz w:val="24"/>
          <w:szCs w:val="24"/>
          <w:highlight w:val="none"/>
          <w:u w:val="single"/>
        </w:rPr>
        <w:t xml:space="preserve">（企业名称）</w:t>
      </w:r>
      <w:r>
        <w:rPr>
          <w:rFonts w:hint="eastAsia" w:ascii="宋体" w:hAnsi="宋体" w:eastAsia="宋体" w:cs="Times New Roman"/>
          <w:bCs/>
          <w:color w:val="000000"/>
          <w:sz w:val="24"/>
          <w:szCs w:val="24"/>
          <w:highlight w:val="none"/>
        </w:rPr>
        <w:t xml:space="preserve">，从业人员</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人，营业收入为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rPr>
        <w:tab/>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万元，资产总额为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万元，属于</w:t>
      </w:r>
      <w:r>
        <w:rPr>
          <w:rFonts w:hint="eastAsia" w:ascii="宋体" w:hAnsi="宋体" w:eastAsia="宋体" w:cs="Times New Roman"/>
          <w:bCs/>
          <w:color w:val="000000"/>
          <w:sz w:val="24"/>
          <w:szCs w:val="24"/>
          <w:highlight w:val="none"/>
          <w:u w:val="single"/>
        </w:rPr>
        <w:t xml:space="preserve">（中型企业、小型企业、微型企业）</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本企业对上述声明内容的真实性负责。如有虚假，将依 法承担相应责任。</w:t>
      </w:r>
      <w:r>
        <w:rPr>
          <w:rFonts w:ascii="宋体" w:hAnsi="宋体" w:eastAsia="宋体" w:cs="Times New Roman"/>
          <w:bCs/>
          <w:color w:val="000000"/>
          <w:sz w:val="24"/>
          <w:szCs w:val="24"/>
          <w:highlight w:val="none"/>
        </w:rPr>
      </w:r>
      <w:r>
        <w:rPr>
          <w:highlight w:val="none"/>
        </w:rPr>
      </w:r>
    </w:p>
    <w:p>
      <w:pPr>
        <w:pStyle w:val="760"/>
        <w:spacing w:line="36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rPr>
          <w:highlight w:val="none"/>
        </w:rPr>
      </w:r>
    </w:p>
    <w:p>
      <w:pPr>
        <w:pStyle w:val="760"/>
        <w:ind w:left="5460" w:hanging="5460"/>
        <w:jc w:val="center"/>
        <w:spacing w:before="156"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投标人（电子签章）：</w:t>
      </w:r>
      <w:r>
        <w:rPr>
          <w:rFonts w:ascii="宋体" w:hAnsi="宋体" w:eastAsia="宋体" w:cs="Times New Roman"/>
          <w:bCs/>
          <w:color w:val="000000"/>
          <w:sz w:val="24"/>
          <w:szCs w:val="20"/>
          <w:highlight w:val="none"/>
          <w:lang w:val="zh-CN"/>
        </w:rPr>
      </w:r>
      <w:r>
        <w:rPr>
          <w:highlight w:val="none"/>
        </w:rPr>
      </w:r>
    </w:p>
    <w:p>
      <w:pPr>
        <w:pStyle w:val="760"/>
        <w:jc w:val="center"/>
        <w:spacing w:line="360" w:lineRule="auto"/>
        <w:rPr>
          <w:rFonts w:ascii="宋体" w:hAnsi="Times New Roman" w:eastAsia="宋体" w:cs="Times New Roman"/>
          <w:bCs/>
          <w:color w:val="000000"/>
          <w:sz w:val="24"/>
          <w:szCs w:val="24"/>
          <w:highlight w:val="none"/>
        </w:rPr>
      </w:pPr>
      <w:r>
        <w:rPr>
          <w:rFonts w:ascii="宋体" w:hAnsi="Times New Roman" w:eastAsia="宋体" w:cs="Times New Roman"/>
          <w:bCs/>
          <w:color w:val="000000"/>
          <w:sz w:val="24"/>
          <w:szCs w:val="24"/>
          <w:highlight w:val="none"/>
        </w:rPr>
      </w:r>
      <w:r>
        <w:rPr>
          <w:highlight w:val="none"/>
        </w:rPr>
      </w:r>
    </w:p>
    <w:p>
      <w:pPr>
        <w:pStyle w:val="760"/>
        <w:ind w:firstLine="480"/>
        <w:jc w:val="left"/>
        <w:rPr>
          <w:rFonts w:ascii="宋体" w:hAnsi="宋体" w:eastAsia="宋体" w:cs="Times New Roman"/>
          <w:b/>
          <w:bCs/>
          <w:color w:val="000000"/>
          <w:sz w:val="21"/>
          <w:szCs w:val="21"/>
          <w:highlight w:val="none"/>
        </w:rPr>
      </w:pPr>
      <w:r>
        <w:rPr>
          <w:rFonts w:hint="eastAsia" w:ascii="宋体" w:hAnsi="宋体" w:eastAsia="宋体" w:cs="Times New Roman"/>
          <w:b/>
          <w:bCs/>
          <w:color w:val="000000"/>
          <w:sz w:val="21"/>
          <w:szCs w:val="21"/>
          <w:highlight w:val="none"/>
        </w:rPr>
        <w:t xml:space="preserve">注：</w:t>
      </w:r>
      <w:r>
        <w:rPr>
          <w:rFonts w:ascii="宋体" w:hAnsi="宋体" w:eastAsia="宋体" w:cs="Times New Roman"/>
          <w:b/>
          <w:bCs/>
          <w:color w:val="000000"/>
          <w:sz w:val="21"/>
          <w:szCs w:val="21"/>
          <w:highlight w:val="none"/>
        </w:rPr>
      </w:r>
      <w:r>
        <w:rPr>
          <w:highlight w:val="none"/>
        </w:rPr>
      </w:r>
    </w:p>
    <w:p>
      <w:pPr>
        <w:pStyle w:val="760"/>
        <w:ind w:firstLine="840"/>
        <w:spacing w:line="360" w:lineRule="auto"/>
        <w:rPr>
          <w:rFonts w:ascii="宋体" w:hAnsi="宋体" w:eastAsia="宋体" w:cs="Times New Roman"/>
          <w:bCs/>
          <w:color w:val="000000"/>
          <w:szCs w:val="21"/>
          <w:highlight w:val="none"/>
        </w:rPr>
      </w:pPr>
      <w:r>
        <w:rPr>
          <w:rFonts w:hint="eastAsia" w:ascii="宋体" w:hAnsi="宋体" w:eastAsia="宋体" w:cs="宋体"/>
          <w:bCs/>
          <w:color w:val="000000"/>
          <w:szCs w:val="21"/>
          <w:highlight w:val="none"/>
        </w:rPr>
        <w:t xml:space="preserve">①</w:t>
      </w:r>
      <w:r>
        <w:rPr>
          <w:rFonts w:hint="eastAsia" w:ascii="宋体" w:hAnsi="宋体" w:eastAsia="宋体" w:cs="宋体"/>
          <w:bCs/>
          <w:color w:val="000000"/>
          <w:szCs w:val="21"/>
          <w:highlight w:val="none"/>
          <w:lang w:val="en-US" w:eastAsia="zh-CN"/>
        </w:rPr>
        <w:t xml:space="preserve"> </w:t>
      </w:r>
      <w:r>
        <w:rPr>
          <w:rFonts w:hint="eastAsia" w:ascii="宋体" w:hAnsi="宋体" w:eastAsia="宋体" w:cs="Times New Roman"/>
          <w:bCs/>
          <w:color w:val="000000"/>
          <w:szCs w:val="21"/>
          <w:highlight w:val="none"/>
        </w:rPr>
        <w:t xml:space="preserve">从业人员、营业收入、资产总额填报上一年度数据，无上一年度数据的新成立企业可不填报。</w:t>
      </w:r>
      <w:r>
        <w:rPr>
          <w:rFonts w:ascii="宋体" w:hAnsi="宋体" w:eastAsia="宋体" w:cs="Times New Roman"/>
          <w:bCs/>
          <w:color w:val="000000"/>
          <w:szCs w:val="21"/>
          <w:highlight w:val="none"/>
        </w:rPr>
      </w:r>
      <w:r>
        <w:rPr>
          <w:highlight w:val="none"/>
        </w:rPr>
      </w:r>
    </w:p>
    <w:p>
      <w:pPr>
        <w:pStyle w:val="760"/>
        <w:ind w:firstLine="840"/>
        <w:jc w:val="left"/>
        <w:spacing w:line="360" w:lineRule="auto"/>
        <w:rPr>
          <w:rFonts w:ascii="宋体" w:hAnsi="宋体" w:eastAsia="宋体" w:cs="Times New Roman"/>
          <w:bCs/>
          <w:color w:val="000000"/>
          <w:szCs w:val="21"/>
          <w:highlight w:val="none"/>
        </w:rPr>
      </w:pPr>
      <w:r>
        <w:rPr>
          <w:rFonts w:hint="eastAsia" w:ascii="宋体" w:hAnsi="宋体" w:eastAsia="宋体" w:cs="宋体"/>
          <w:bCs/>
          <w:color w:val="000000"/>
          <w:szCs w:val="21"/>
          <w:highlight w:val="none"/>
          <w:lang w:eastAsia="zh-CN"/>
        </w:rPr>
        <w:t xml:space="preserve">②</w:t>
      </w:r>
      <w:r>
        <w:rPr>
          <w:rFonts w:hint="eastAsia" w:ascii="宋体" w:hAnsi="宋体" w:eastAsia="宋体" w:cs="宋体"/>
          <w:bCs/>
          <w:color w:val="000000"/>
          <w:szCs w:val="21"/>
          <w:highlight w:val="none"/>
          <w:lang w:val="en-US" w:eastAsia="zh-CN"/>
        </w:rPr>
        <w:t xml:space="preserve"> </w:t>
      </w:r>
      <w:r>
        <w:rPr>
          <w:rFonts w:hint="eastAsia" w:ascii="宋体" w:hAnsi="宋体" w:eastAsia="宋体" w:cs="Times New Roman"/>
          <w:bCs/>
          <w:color w:val="000000"/>
          <w:szCs w:val="21"/>
          <w:highlight w:val="none"/>
          <w:lang w:eastAsia="zh-CN"/>
        </w:rPr>
        <w:t xml:space="preserve">投标人</w:t>
      </w:r>
      <w:r>
        <w:rPr>
          <w:rFonts w:hint="eastAsia" w:ascii="宋体" w:hAnsi="宋体" w:eastAsia="宋体" w:cs="Times New Roman"/>
          <w:bCs/>
          <w:color w:val="000000"/>
          <w:szCs w:val="21"/>
          <w:highlight w:val="none"/>
        </w:rPr>
        <w:t xml:space="preserve">按照本办法规定提供声明函内容不实的，属于提供虚假材料谋取中标，依照《中华人民共和国政府采购法》等国家有关规定追究相应责任。</w:t>
      </w:r>
      <w:bookmarkStart w:id="278" w:name="OLE_LINK205"/>
      <w:r>
        <w:rPr>
          <w:rFonts w:ascii="宋体" w:hAnsi="宋体" w:eastAsia="宋体" w:cs="Times New Roman"/>
          <w:bCs/>
          <w:color w:val="000000"/>
          <w:szCs w:val="21"/>
          <w:highlight w:val="none"/>
        </w:rPr>
      </w:r>
      <w:r>
        <w:rPr>
          <w:highlight w:val="none"/>
        </w:rPr>
      </w:r>
    </w:p>
    <w:p>
      <w:pPr>
        <w:pStyle w:val="760"/>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rPr>
          <w:highlight w:val="none"/>
        </w:rPr>
      </w:r>
    </w:p>
    <w:p>
      <w:pPr>
        <w:pStyle w:val="760"/>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rPr>
          <w:highlight w:val="none"/>
        </w:rPr>
      </w:r>
    </w:p>
    <w:p>
      <w:pPr>
        <w:pStyle w:val="760"/>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rPr>
          <w:highlight w:val="none"/>
        </w:rPr>
      </w:r>
    </w:p>
    <w:p>
      <w:pPr>
        <w:pStyle w:val="760"/>
        <w:ind w:firstLine="420"/>
        <w:jc w:val="left"/>
        <w:rPr>
          <w:rFonts w:ascii="宋体" w:hAnsi="宋体" w:eastAsia="宋体" w:cs="Times New Roman"/>
          <w:bCs/>
          <w:color w:val="000000"/>
          <w:szCs w:val="21"/>
          <w:highlight w:val="none"/>
        </w:rPr>
      </w:pPr>
      <w:r>
        <w:rPr>
          <w:rFonts w:ascii="宋体" w:hAnsi="宋体" w:eastAsia="宋体" w:cs="Times New Roman"/>
          <w:bCs/>
          <w:color w:val="000000"/>
          <w:szCs w:val="21"/>
          <w:highlight w:val="none"/>
        </w:rPr>
      </w:r>
      <w:r>
        <w:rPr>
          <w:highlight w:val="none"/>
        </w:rPr>
      </w:r>
    </w:p>
    <w:p>
      <w:pPr>
        <w:pStyle w:val="760"/>
        <w:jc w:val="left"/>
        <w:rPr>
          <w:rFonts w:hint="eastAsia"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r>
      <w:r>
        <w:rPr>
          <w:highlight w:val="none"/>
        </w:rPr>
      </w:r>
    </w:p>
    <w:p>
      <w:pPr>
        <w:pStyle w:val="760"/>
        <w:ind w:firstLine="480"/>
        <w:jc w:val="left"/>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附件2：残疾人福利性单位声明函（格式）：</w:t>
      </w:r>
      <w:r>
        <w:rPr>
          <w:rFonts w:ascii="黑体" w:hAnsi="宋体" w:eastAsia="黑体" w:cs="Times New Roman"/>
          <w:bCs/>
          <w:color w:val="000000"/>
          <w:sz w:val="24"/>
          <w:szCs w:val="24"/>
          <w:highlight w:val="none"/>
        </w:rPr>
      </w:r>
      <w:r>
        <w:rPr>
          <w:highlight w:val="none"/>
        </w:rPr>
      </w:r>
    </w:p>
    <w:p>
      <w:pPr>
        <w:pStyle w:val="760"/>
        <w:spacing w:line="360" w:lineRule="auto"/>
        <w:rPr>
          <w:rFonts w:ascii="宋体" w:hAnsi="宋体" w:eastAsia="宋体" w:cs="Times New Roman"/>
          <w:color w:val="000000"/>
          <w:sz w:val="28"/>
          <w:szCs w:val="20"/>
          <w:highlight w:val="none"/>
        </w:rPr>
      </w:pPr>
      <w:r>
        <w:rPr>
          <w:rFonts w:ascii="宋体" w:hAnsi="宋体" w:eastAsia="宋体" w:cs="Times New Roman"/>
          <w:color w:val="000000"/>
          <w:sz w:val="28"/>
          <w:szCs w:val="20"/>
          <w:highlight w:val="none"/>
        </w:rPr>
      </w:r>
      <w:r>
        <w:rPr>
          <w:highlight w:val="none"/>
        </w:rPr>
      </w:r>
    </w:p>
    <w:p>
      <w:pPr>
        <w:pStyle w:val="760"/>
        <w:jc w:val="center"/>
        <w:rPr>
          <w:rFonts w:ascii="黑体" w:hAnsi="Times New Roman" w:eastAsia="黑体" w:cs="Times New Roman"/>
          <w:bCs/>
          <w:color w:val="000000"/>
          <w:sz w:val="28"/>
          <w:szCs w:val="28"/>
          <w:highlight w:val="none"/>
        </w:rPr>
      </w:pPr>
      <w:r>
        <w:rPr>
          <w:highlight w:val="none"/>
        </w:rPr>
      </w:r>
      <w:bookmarkStart w:id="279" w:name="OLE_LINK64"/>
      <w:r>
        <w:rPr>
          <w:highlight w:val="none"/>
        </w:rPr>
      </w:r>
      <w:bookmarkStart w:id="280" w:name="OLE_LINK33"/>
      <w:r>
        <w:rPr>
          <w:rFonts w:hint="eastAsia" w:ascii="黑体" w:hAnsi="Times New Roman" w:eastAsia="黑体" w:cs="Times New Roman"/>
          <w:bCs/>
          <w:color w:val="000000"/>
          <w:sz w:val="28"/>
          <w:szCs w:val="28"/>
          <w:highlight w:val="none"/>
        </w:rPr>
        <w:t xml:space="preserve">残疾人福利性单位</w:t>
      </w:r>
      <w:bookmarkEnd w:id="279"/>
      <w:r>
        <w:rPr>
          <w:rFonts w:hint="eastAsia" w:ascii="黑体" w:hAnsi="Times New Roman" w:eastAsia="黑体" w:cs="Times New Roman"/>
          <w:bCs/>
          <w:color w:val="000000"/>
          <w:sz w:val="28"/>
          <w:szCs w:val="28"/>
          <w:highlight w:val="none"/>
        </w:rPr>
        <w:t xml:space="preserve">声明函</w:t>
      </w:r>
      <w:bookmarkEnd w:id="278"/>
      <w:r>
        <w:rPr>
          <w:highlight w:val="none"/>
        </w:rPr>
      </w:r>
      <w:bookmarkEnd w:id="280"/>
      <w:r>
        <w:rPr>
          <w:rFonts w:ascii="黑体" w:hAnsi="Times New Roman" w:eastAsia="黑体" w:cs="Times New Roman"/>
          <w:bCs/>
          <w:color w:val="000000"/>
          <w:sz w:val="28"/>
          <w:szCs w:val="28"/>
          <w:highlight w:val="none"/>
        </w:rPr>
      </w:r>
      <w:r>
        <w:rPr>
          <w:highlight w:val="none"/>
        </w:rPr>
      </w:r>
    </w:p>
    <w:p>
      <w:pPr>
        <w:pStyle w:val="760"/>
        <w:spacing w:line="588" w:lineRule="exact"/>
        <w:rPr>
          <w:rFonts w:ascii="仿宋_GB2312" w:hAnsi="Times New Roman" w:eastAsia="仿宋_GB2312" w:cs="Times New Roman"/>
          <w:b/>
          <w:color w:val="000000"/>
          <w:spacing w:val="6"/>
          <w:sz w:val="30"/>
          <w:szCs w:val="30"/>
          <w:highlight w:val="none"/>
        </w:rPr>
      </w:pPr>
      <w:r>
        <w:rPr>
          <w:rFonts w:ascii="仿宋_GB2312" w:hAnsi="Times New Roman" w:eastAsia="仿宋_GB2312" w:cs="Times New Roman"/>
          <w:b/>
          <w:color w:val="000000"/>
          <w:spacing w:val="6"/>
          <w:sz w:val="30"/>
          <w:szCs w:val="30"/>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w:t>
      </w:r>
      <w:r>
        <w:rPr>
          <w:rFonts w:hint="eastAsia" w:ascii="宋体" w:hAnsi="宋体" w:eastAsia="宋体" w:cs="Times New Roman"/>
          <w:bCs/>
          <w:color w:val="000000"/>
          <w:sz w:val="24"/>
          <w:szCs w:val="24"/>
          <w:highlight w:val="none"/>
          <w:u w:val="none"/>
        </w:rPr>
        <w:t xml:space="preserve">参加</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u w:val="none"/>
        </w:rPr>
        <w:t xml:space="preserve">的</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项目采购活动（项目编号:</w:t>
      </w:r>
      <w:r>
        <w:rPr>
          <w:rFonts w:hint="eastAsia" w:ascii="宋体" w:hAnsi="宋体" w:eastAsia="宋体" w:cs="宋体"/>
          <w:color w:val="000000"/>
          <w:sz w:val="24"/>
          <w:highlight w:val="none"/>
          <w:lang w:eastAsia="zh-CN"/>
        </w:rPr>
        <w:t xml:space="preserve">JSZC-320282-YXJX-G2026-0003</w:t>
      </w:r>
      <w:r>
        <w:rPr>
          <w:rFonts w:hint="eastAsia" w:ascii="宋体" w:hAnsi="宋体" w:eastAsia="宋体" w:cs="Times New Roman"/>
          <w:bCs/>
          <w:color w:val="000000"/>
          <w:sz w:val="24"/>
          <w:szCs w:val="24"/>
          <w:highlight w:val="none"/>
        </w:rPr>
        <w:t xml:space="preserve">）提供本单位制造的货物，或者提供其他残疾人福利性单位制造的货物（不包括使用非残疾人福利性单位注册商标的货物）。</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本单位对上述声明的真实性负责。如有虚假，将依法承担相应责任。</w:t>
      </w:r>
      <w:bookmarkEnd w:id="277"/>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rPr>
          <w:highlight w:val="none"/>
        </w:rPr>
      </w:r>
    </w:p>
    <w:p>
      <w:pPr>
        <w:pStyle w:val="760"/>
        <w:ind w:left="5460" w:hanging="5460"/>
        <w:jc w:val="center"/>
        <w:spacing w:before="156"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投标人（电子签章）：</w:t>
      </w:r>
      <w:r>
        <w:rPr>
          <w:rFonts w:ascii="宋体" w:hAnsi="宋体" w:eastAsia="宋体" w:cs="Times New Roman"/>
          <w:bCs/>
          <w:color w:val="000000"/>
          <w:sz w:val="24"/>
          <w:szCs w:val="20"/>
          <w:highlight w:val="none"/>
          <w:lang w:val="zh-CN"/>
        </w:rPr>
      </w:r>
      <w:r>
        <w:rPr>
          <w:highlight w:val="none"/>
        </w:rPr>
      </w:r>
    </w:p>
    <w:p>
      <w:pPr>
        <w:pStyle w:val="760"/>
        <w:ind w:left="6370" w:hanging="6370"/>
        <w:jc w:val="center"/>
        <w:spacing w:before="156" w:line="360" w:lineRule="auto"/>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r>
      <w:r>
        <w:rPr>
          <w:highlight w:val="none"/>
        </w:rPr>
      </w:r>
    </w:p>
    <w:p>
      <w:pPr>
        <w:pStyle w:val="760"/>
        <w:jc w:val="center"/>
        <w:spacing w:line="36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0"/>
          <w:highlight w:val="none"/>
        </w:rPr>
        <w:t xml:space="preserve">                   </w:t>
      </w:r>
      <w:r>
        <w:rPr>
          <w:rFonts w:ascii="宋体" w:hAnsi="Times New Roman" w:eastAsia="宋体" w:cs="Times New Roman"/>
          <w:bCs/>
          <w:color w:val="000000"/>
          <w:sz w:val="24"/>
          <w:szCs w:val="24"/>
          <w:highlight w:val="none"/>
        </w:rPr>
      </w:r>
      <w:r>
        <w:rPr>
          <w:highlight w:val="none"/>
        </w:rPr>
      </w:r>
    </w:p>
    <w:p>
      <w:pPr>
        <w:pStyle w:val="760"/>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p>
    <w:p>
      <w:pPr>
        <w:pStyle w:val="760"/>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rPr>
          <w:highlight w:val="none"/>
        </w:rPr>
      </w:r>
    </w:p>
    <w:p>
      <w:pPr>
        <w:pStyle w:val="760"/>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rPr>
          <w:highlight w:val="none"/>
        </w:rPr>
      </w:r>
    </w:p>
    <w:p>
      <w:pPr>
        <w:pStyle w:val="760"/>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rPr>
          <w:highlight w:val="none"/>
        </w:rPr>
      </w:r>
    </w:p>
    <w:p>
      <w:pPr>
        <w:pStyle w:val="760"/>
        <w:rPr>
          <w:rFonts w:ascii="黑体" w:hAnsi="宋体" w:eastAsia="黑体" w:cs="Times New Roman"/>
          <w:bCs/>
          <w:color w:val="000000"/>
          <w:sz w:val="28"/>
          <w:szCs w:val="28"/>
          <w:highlight w:val="none"/>
        </w:rPr>
      </w:pPr>
      <w:r>
        <w:rPr>
          <w:rFonts w:ascii="黑体" w:hAnsi="宋体" w:eastAsia="黑体" w:cs="Times New Roman"/>
          <w:bCs/>
          <w:color w:val="000000"/>
          <w:sz w:val="28"/>
          <w:szCs w:val="28"/>
          <w:highlight w:val="none"/>
        </w:rPr>
      </w:r>
      <w:r>
        <w:rPr>
          <w:highlight w:val="none"/>
        </w:rPr>
      </w:r>
    </w:p>
    <w:p>
      <w:pPr>
        <w:pStyle w:val="760"/>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p>
    <w:p>
      <w:pPr>
        <w:pStyle w:val="760"/>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p>
    <w:p>
      <w:pPr>
        <w:pStyle w:val="760"/>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p>
    <w:p>
      <w:pPr>
        <w:pStyle w:val="760"/>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p>
    <w:p>
      <w:pPr>
        <w:pStyle w:val="760"/>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p>
    <w:p>
      <w:pPr>
        <w:pStyle w:val="760"/>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p>
    <w:p>
      <w:pPr>
        <w:pStyle w:val="760"/>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p>
    <w:p>
      <w:pPr>
        <w:pStyle w:val="760"/>
        <w:rPr>
          <w:rFonts w:ascii="黑体" w:hAnsi="宋体" w:eastAsia="黑体" w:cs="Times New Roman"/>
          <w:bCs/>
          <w:color w:val="000000"/>
          <w:sz w:val="24"/>
          <w:szCs w:val="24"/>
          <w:highlight w:val="none"/>
        </w:rPr>
      </w:pPr>
      <w:r>
        <w:rPr>
          <w:rFonts w:ascii="黑体" w:hAnsi="宋体" w:eastAsia="黑体" w:cs="Times New Roman"/>
          <w:bCs/>
          <w:color w:val="000000"/>
          <w:sz w:val="24"/>
          <w:szCs w:val="24"/>
          <w:highlight w:val="none"/>
        </w:rPr>
      </w:r>
      <w:r>
        <w:rPr>
          <w:highlight w:val="none"/>
        </w:rPr>
      </w:r>
    </w:p>
    <w:p>
      <w:pPr>
        <w:pStyle w:val="760"/>
        <w:ind w:firstLine="480"/>
        <w:jc w:val="left"/>
        <w:rPr>
          <w:rFonts w:ascii="黑体" w:hAnsi="宋体" w:eastAsia="黑体" w:cs="Times New Roman"/>
          <w:bCs/>
          <w:color w:val="000000"/>
          <w:sz w:val="24"/>
          <w:szCs w:val="24"/>
          <w:highlight w:val="none"/>
        </w:rPr>
      </w:pPr>
      <w:r>
        <w:rPr>
          <w:rFonts w:hint="eastAsia" w:ascii="黑体" w:hAnsi="宋体" w:eastAsia="黑体" w:cs="Times New Roman"/>
          <w:bCs/>
          <w:color w:val="000000"/>
          <w:sz w:val="24"/>
          <w:szCs w:val="24"/>
          <w:highlight w:val="none"/>
        </w:rPr>
        <w:t xml:space="preserve">附件3：</w:t>
      </w:r>
      <w:bookmarkStart w:id="281" w:name="OLE_LINK206"/>
      <w:r>
        <w:rPr>
          <w:rFonts w:hint="eastAsia" w:ascii="黑体" w:hAnsi="宋体" w:eastAsia="黑体" w:cs="Times New Roman"/>
          <w:bCs/>
          <w:color w:val="000000"/>
          <w:sz w:val="24"/>
          <w:szCs w:val="24"/>
          <w:highlight w:val="none"/>
        </w:rPr>
        <w:t xml:space="preserve">制造商企业类型声明函</w:t>
      </w:r>
      <w:bookmarkEnd w:id="281"/>
      <w:r>
        <w:rPr>
          <w:rFonts w:hint="eastAsia" w:ascii="黑体" w:hAnsi="宋体" w:eastAsia="黑体" w:cs="Times New Roman"/>
          <w:bCs/>
          <w:color w:val="000000"/>
          <w:sz w:val="24"/>
          <w:szCs w:val="24"/>
          <w:highlight w:val="none"/>
        </w:rPr>
        <w:t xml:space="preserve">（格式）：</w:t>
      </w:r>
      <w:r>
        <w:rPr>
          <w:rFonts w:ascii="黑体" w:hAnsi="宋体" w:eastAsia="黑体" w:cs="Times New Roman"/>
          <w:bCs/>
          <w:color w:val="000000"/>
          <w:sz w:val="24"/>
          <w:szCs w:val="24"/>
          <w:highlight w:val="none"/>
        </w:rPr>
      </w:r>
      <w:r>
        <w:rPr>
          <w:highlight w:val="none"/>
        </w:rPr>
      </w:r>
    </w:p>
    <w:p>
      <w:pPr>
        <w:pStyle w:val="760"/>
        <w:jc w:val="left"/>
        <w:rPr>
          <w:rFonts w:ascii="宋体" w:hAnsi="宋体" w:eastAsia="宋体" w:cs="Times New Roman"/>
          <w:color w:val="000000"/>
          <w:sz w:val="28"/>
          <w:szCs w:val="20"/>
          <w:highlight w:val="none"/>
        </w:rPr>
      </w:pPr>
      <w:r>
        <w:rPr>
          <w:rFonts w:ascii="宋体" w:hAnsi="宋体" w:eastAsia="宋体" w:cs="Times New Roman"/>
          <w:color w:val="000000"/>
          <w:sz w:val="28"/>
          <w:szCs w:val="20"/>
          <w:highlight w:val="none"/>
        </w:rPr>
      </w:r>
      <w:r>
        <w:rPr>
          <w:highlight w:val="none"/>
        </w:rPr>
      </w:r>
    </w:p>
    <w:p>
      <w:pPr>
        <w:pStyle w:val="760"/>
        <w:jc w:val="center"/>
        <w:rPr>
          <w:rFonts w:ascii="黑体" w:hAnsi="Times New Roman" w:eastAsia="黑体" w:cs="Times New Roman"/>
          <w:bCs/>
          <w:color w:val="000000"/>
          <w:sz w:val="28"/>
          <w:szCs w:val="28"/>
          <w:highlight w:val="none"/>
        </w:rPr>
      </w:pPr>
      <w:r>
        <w:rPr>
          <w:rFonts w:hint="eastAsia" w:ascii="黑体" w:hAnsi="Times New Roman" w:eastAsia="黑体" w:cs="Times New Roman"/>
          <w:bCs/>
          <w:color w:val="000000"/>
          <w:sz w:val="28"/>
          <w:szCs w:val="28"/>
          <w:highlight w:val="none"/>
        </w:rPr>
        <w:t xml:space="preserve">制造商企业类型声明函</w:t>
      </w:r>
      <w:r>
        <w:rPr>
          <w:rFonts w:ascii="黑体" w:hAnsi="Times New Roman" w:eastAsia="黑体" w:cs="Times New Roman"/>
          <w:bCs/>
          <w:color w:val="000000"/>
          <w:sz w:val="28"/>
          <w:szCs w:val="28"/>
          <w:highlight w:val="none"/>
        </w:rPr>
      </w:r>
      <w:r>
        <w:rPr>
          <w:highlight w:val="none"/>
        </w:rPr>
      </w:r>
    </w:p>
    <w:p>
      <w:pPr>
        <w:pStyle w:val="760"/>
        <w:jc w:val="center"/>
        <w:rPr>
          <w:rFonts w:ascii="黑体" w:hAnsi="Times New Roman" w:eastAsia="黑体" w:cs="Times New Roman"/>
          <w:bCs/>
          <w:color w:val="000000"/>
          <w:sz w:val="28"/>
          <w:szCs w:val="28"/>
          <w:highlight w:val="none"/>
        </w:rPr>
      </w:pPr>
      <w:r>
        <w:rPr>
          <w:rFonts w:ascii="黑体" w:hAnsi="Times New Roman" w:eastAsia="黑体" w:cs="Times New Roman"/>
          <w:bCs/>
          <w:color w:val="000000"/>
          <w:sz w:val="28"/>
          <w:szCs w:val="28"/>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本企业（单位）作为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单位的</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u w:val="single"/>
          <w:lang w:val="en-US" w:eastAsia="zh-CN"/>
        </w:rPr>
        <w:t xml:space="preserve"> </w:t>
      </w:r>
      <w:r>
        <w:rPr>
          <w:rFonts w:hint="eastAsia" w:ascii="宋体" w:hAnsi="宋体" w:eastAsia="宋体" w:cs="Times New Roman"/>
          <w:bCs/>
          <w:color w:val="000000"/>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（请填写：中型、小型、微型）企业。</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本单位为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（请填写：是、不是）残疾人福利性单位。</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 xml:space="preserve">（请填写：是、不是）监狱企业。后附省级以上监狱管理局、戒毒管理局（含新疆生产建设兵团）出具的属于监狱企业的证明文件。</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本企业提供本企业制造的货物。</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本企业对上述声明的真实性负责。如有虚假，将依法承担相应责任。</w:t>
      </w: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本声明函经制造商和</w:t>
      </w:r>
      <w:r>
        <w:rPr>
          <w:rFonts w:hint="eastAsia" w:ascii="宋体" w:hAnsi="宋体" w:eastAsia="宋体" w:cs="Times New Roman"/>
          <w:bCs/>
          <w:color w:val="000000"/>
          <w:sz w:val="24"/>
          <w:szCs w:val="24"/>
          <w:highlight w:val="none"/>
          <w:lang w:eastAsia="zh-CN"/>
        </w:rPr>
        <w:t xml:space="preserve">投标人</w:t>
      </w:r>
      <w:r>
        <w:rPr>
          <w:rFonts w:hint="eastAsia" w:ascii="宋体" w:hAnsi="宋体" w:eastAsia="宋体" w:cs="Times New Roman"/>
          <w:bCs/>
          <w:color w:val="000000"/>
          <w:sz w:val="24"/>
          <w:szCs w:val="24"/>
          <w:highlight w:val="none"/>
        </w:rPr>
        <w:t xml:space="preserve">共同盖章生效。</w:t>
      </w:r>
      <w:r>
        <w:rPr>
          <w:rFonts w:ascii="宋体" w:hAnsi="宋体" w:eastAsia="宋体" w:cs="Times New Roman"/>
          <w:bCs/>
          <w:color w:val="000000"/>
          <w:sz w:val="24"/>
          <w:szCs w:val="24"/>
          <w:highlight w:val="none"/>
        </w:rPr>
      </w:r>
      <w:r>
        <w:rPr>
          <w:highlight w:val="none"/>
        </w:rPr>
      </w:r>
    </w:p>
    <w:p>
      <w:pPr>
        <w:pStyle w:val="760"/>
        <w:spacing w:line="58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rPr>
          <w:highlight w:val="none"/>
        </w:rPr>
      </w:r>
    </w:p>
    <w:p>
      <w:pPr>
        <w:pStyle w:val="760"/>
        <w:ind w:firstLine="480"/>
        <w:spacing w:line="580" w:lineRule="exact"/>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制造商（签章）：</w:t>
      </w:r>
      <w:r>
        <w:rPr>
          <w:rFonts w:ascii="宋体" w:hAnsi="宋体" w:eastAsia="宋体" w:cs="Times New Roman"/>
          <w:bCs/>
          <w:color w:val="000000"/>
          <w:sz w:val="24"/>
          <w:szCs w:val="24"/>
          <w:highlight w:val="none"/>
        </w:rPr>
      </w:r>
      <w:r>
        <w:rPr>
          <w:highlight w:val="none"/>
        </w:rPr>
      </w:r>
    </w:p>
    <w:p>
      <w:pPr>
        <w:pStyle w:val="760"/>
        <w:ind w:firstLine="480"/>
        <w:spacing w:line="276"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rPr>
          <w:highlight w:val="none"/>
        </w:rPr>
      </w:r>
    </w:p>
    <w:p>
      <w:pPr>
        <w:pStyle w:val="760"/>
        <w:jc w:val="center"/>
        <w:spacing w:line="360" w:lineRule="auto"/>
        <w:rPr>
          <w:rFonts w:ascii="宋体" w:hAnsi="宋体" w:eastAsia="宋体" w:cs="Times New Roman"/>
          <w:bCs/>
          <w:color w:val="000000"/>
          <w:sz w:val="24"/>
          <w:szCs w:val="20"/>
          <w:highlight w:val="none"/>
        </w:rPr>
      </w:pPr>
      <w:r>
        <w:rPr>
          <w:rFonts w:hint="eastAsia" w:ascii="宋体" w:hAnsi="宋体" w:eastAsia="宋体" w:cs="Times New Roman"/>
          <w:bCs/>
          <w:color w:val="000000"/>
          <w:sz w:val="24"/>
          <w:szCs w:val="20"/>
          <w:highlight w:val="none"/>
        </w:rPr>
        <w:t xml:space="preserve">                                         </w:t>
      </w:r>
      <w:r>
        <w:rPr>
          <w:rFonts w:hint="eastAsia" w:ascii="宋体" w:hAnsi="宋体" w:eastAsia="宋体" w:cs="Times New Roman"/>
          <w:bCs/>
          <w:color w:val="000000"/>
          <w:sz w:val="24"/>
          <w:szCs w:val="20"/>
          <w:highlight w:val="none"/>
          <w:lang w:val="zh-CN"/>
        </w:rPr>
        <w:t xml:space="preserve">投标人（电子签章）：</w:t>
      </w:r>
      <w:r>
        <w:rPr>
          <w:rFonts w:ascii="宋体" w:hAnsi="宋体" w:eastAsia="宋体" w:cs="Times New Roman"/>
          <w:bCs/>
          <w:color w:val="000000"/>
          <w:sz w:val="24"/>
          <w:szCs w:val="20"/>
          <w:highlight w:val="none"/>
          <w:lang w:val="zh-CN"/>
        </w:rPr>
      </w:r>
      <w:r>
        <w:rPr>
          <w:highlight w:val="none"/>
        </w:rPr>
      </w:r>
    </w:p>
    <w:p>
      <w:pPr>
        <w:pStyle w:val="760"/>
        <w:jc w:val="center"/>
        <w:rPr>
          <w:rFonts w:ascii="宋体" w:hAnsi="宋体" w:eastAsia="宋体" w:cs="Times New Roman"/>
          <w:bCs/>
          <w:color w:val="000000"/>
          <w:sz w:val="24"/>
          <w:szCs w:val="20"/>
          <w:highlight w:val="none"/>
        </w:rPr>
      </w:pPr>
      <w:r>
        <w:rPr>
          <w:rFonts w:ascii="宋体" w:hAnsi="宋体" w:eastAsia="宋体" w:cs="Times New Roman"/>
          <w:bCs/>
          <w:color w:val="000000"/>
          <w:sz w:val="24"/>
          <w:szCs w:val="20"/>
          <w:highlight w:val="none"/>
          <w:lang w:val="zh-CN"/>
        </w:rPr>
      </w:r>
      <w:r>
        <w:rPr>
          <w:highlight w:val="none"/>
        </w:rPr>
      </w:r>
    </w:p>
    <w:p>
      <w:pPr>
        <w:pStyle w:val="760"/>
        <w:spacing w:line="360" w:lineRule="auto"/>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日　期：</w:t>
      </w:r>
      <w:r>
        <w:rPr>
          <w:rFonts w:ascii="宋体" w:hAnsi="Times New Roman" w:eastAsia="宋体" w:cs="Times New Roman"/>
          <w:bCs/>
          <w:color w:val="000000"/>
          <w:sz w:val="24"/>
          <w:szCs w:val="24"/>
          <w:highlight w:val="none"/>
        </w:rPr>
      </w:r>
      <w:r>
        <w:rPr>
          <w:highlight w:val="none"/>
        </w:rPr>
      </w:r>
    </w:p>
    <w:p>
      <w:pPr>
        <w:pStyle w:val="760"/>
        <w:jc w:val="center"/>
        <w:rPr>
          <w:rFonts w:hint="eastAsia" w:ascii="宋体" w:hAnsi="宋体"/>
          <w:bCs/>
          <w:color w:val="000000"/>
          <w:sz w:val="24"/>
          <w:highlight w:val="none"/>
        </w:rPr>
      </w:pPr>
      <w:r>
        <w:rPr>
          <w:rFonts w:hint="eastAsia" w:ascii="宋体" w:hAnsi="宋体"/>
          <w:bCs/>
          <w:color w:val="000000"/>
          <w:sz w:val="24"/>
          <w:highlight w:val="none"/>
          <w:lang w:val="zh-CN"/>
        </w:rPr>
      </w:r>
      <w:r>
        <w:rPr>
          <w:highlight w:val="none"/>
        </w:rPr>
      </w:r>
    </w:p>
    <w:p>
      <w:pPr>
        <w:pStyle w:val="760"/>
        <w:jc w:val="center"/>
        <w:rPr>
          <w:rFonts w:hint="eastAsia" w:ascii="黑体" w:hAnsi="宋体" w:eastAsia="黑体"/>
          <w:bCs/>
          <w:color w:val="000000"/>
          <w:sz w:val="24"/>
          <w:szCs w:val="24"/>
          <w:highlight w:val="none"/>
        </w:rPr>
      </w:pPr>
      <w:r>
        <w:rPr>
          <w:rFonts w:hint="eastAsia" w:ascii="宋体" w:hAnsi="宋体"/>
          <w:bCs/>
          <w:color w:val="000000"/>
          <w:sz w:val="24"/>
          <w:highlight w:val="none"/>
        </w:rPr>
        <w:t xml:space="preserve">                             </w:t>
      </w:r>
      <w:r>
        <w:rPr>
          <w:rFonts w:hint="eastAsia" w:ascii="黑体" w:hAnsi="宋体" w:eastAsia="黑体"/>
          <w:bCs/>
          <w:color w:val="000000"/>
          <w:sz w:val="24"/>
          <w:szCs w:val="24"/>
          <w:highlight w:val="none"/>
        </w:rPr>
      </w:r>
      <w:r>
        <w:rPr>
          <w:highlight w:val="none"/>
        </w:rPr>
      </w:r>
    </w:p>
    <w:p>
      <w:pPr>
        <w:pStyle w:val="760"/>
        <w:rPr>
          <w:rFonts w:ascii="黑体" w:hAnsi="宋体" w:eastAsia="黑体"/>
          <w:bCs/>
          <w:color w:val="000000"/>
          <w:sz w:val="28"/>
          <w:szCs w:val="28"/>
          <w:highlight w:val="none"/>
        </w:rPr>
      </w:pPr>
      <w:r>
        <w:rPr>
          <w:rFonts w:ascii="黑体" w:hAnsi="宋体" w:eastAsia="黑体"/>
          <w:bCs/>
          <w:color w:val="000000"/>
          <w:sz w:val="28"/>
          <w:szCs w:val="28"/>
          <w:highlight w:val="none"/>
        </w:rPr>
        <w:br w:type="page" w:clear="all"/>
      </w:r>
      <w:bookmarkEnd w:id="272"/>
      <w:r>
        <w:rPr>
          <w:highlight w:val="none"/>
        </w:rPr>
      </w:r>
      <w:bookmarkStart w:id="282" w:name="_Hlk151563840"/>
      <w:r>
        <w:rPr>
          <w:rFonts w:hint="eastAsia" w:ascii="黑体" w:hAnsi="宋体" w:eastAsia="黑体"/>
          <w:bCs/>
          <w:color w:val="000000"/>
          <w:sz w:val="28"/>
          <w:szCs w:val="28"/>
          <w:highlight w:val="none"/>
        </w:rPr>
        <w:t xml:space="preserve">（五）其他相关材料</w:t>
      </w:r>
      <w:r>
        <w:rPr>
          <w:rFonts w:ascii="黑体" w:hAnsi="宋体" w:eastAsia="黑体"/>
          <w:bCs/>
          <w:color w:val="000000"/>
          <w:sz w:val="28"/>
          <w:szCs w:val="28"/>
          <w:highlight w:val="none"/>
        </w:rPr>
      </w:r>
      <w:r>
        <w:rPr>
          <w:highlight w:val="none"/>
        </w:rPr>
      </w:r>
    </w:p>
    <w:p>
      <w:pPr>
        <w:pStyle w:val="760"/>
        <w:ind w:firstLine="420"/>
        <w:jc w:val="left"/>
        <w:rPr>
          <w:rFonts w:hint="eastAsia" w:ascii="宋体" w:hAnsi="宋体" w:cs="宋体"/>
          <w:color w:val="000000"/>
          <w:szCs w:val="21"/>
          <w:highlight w:val="none"/>
        </w:rPr>
      </w:pPr>
      <w:r>
        <w:rPr>
          <w:rFonts w:hint="eastAsia" w:ascii="宋体" w:hAnsi="宋体" w:cs="宋体"/>
          <w:color w:val="000000"/>
          <w:szCs w:val="21"/>
          <w:highlight w:val="none"/>
          <w:lang w:val="zh-CN"/>
        </w:rPr>
      </w:r>
      <w:r>
        <w:rPr>
          <w:highlight w:val="none"/>
        </w:rPr>
      </w:r>
    </w:p>
    <w:p>
      <w:pPr>
        <w:pStyle w:val="760"/>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供应商根据评审方法和标准等要求，</w:t>
      </w:r>
      <w:bookmarkEnd w:id="282"/>
      <w:r>
        <w:rPr>
          <w:rFonts w:hint="eastAsia" w:ascii="宋体" w:hAnsi="宋体" w:cs="宋体"/>
          <w:color w:val="000000"/>
          <w:sz w:val="24"/>
          <w:szCs w:val="24"/>
          <w:highlight w:val="none"/>
          <w:lang w:val="zh-CN"/>
        </w:rPr>
        <w:t xml:space="preserve">提交认为需要提供的相关证明材料，如未提供证明材料的，相关评分项不得分。</w:t>
      </w:r>
      <w:r>
        <w:rPr>
          <w:highlight w:val="none"/>
        </w:rPr>
      </w:r>
    </w:p>
    <w:sectPr>
      <w:headerReference w:type="default" r:id="rId11"/>
      <w:footerReference w:type="default" r:id="rId16"/>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tabs>
        <w:tab w:val="center" w:pos="4153" w:leader="none"/>
        <w:tab w:val="right" w:pos="8306" w:leader="none"/>
      </w:tabs>
      <w:framePr w:wrap="around" w:vAnchor="text" w:hAnchor="margin" w:xAlign="right" w:yAlign="top"/>
    </w:pPr>
    <w:r>
      <w:fldChar w:fldCharType="begin"/>
    </w:r>
    <w:r>
      <w:instrText xml:space="preserve">PAGE   \* MERGEFORMAT</w:instrText>
    </w:r>
    <w:r>
      <w:fldChar w:fldCharType="separate"/>
    </w:r>
    <w:r>
      <w:rPr>
        <w:lang w:val="zh-CN"/>
      </w:rPr>
      <w:t xml:space="preserve">-</w:t>
    </w:r>
    <w:r>
      <w:t xml:space="preserve"> 1 -</w:t>
    </w:r>
    <w:r>
      <w:fldChar w:fldCharType="end"/>
    </w:r>
    <w:r/>
  </w:p>
  <w:p>
    <w:pPr>
      <w:pStyle w:val="783"/>
      <w:tabs>
        <w:tab w:val="center" w:pos="4153" w:leader="none"/>
        <w:tab w:val="right" w:pos="8306" w:leader="none"/>
      </w:tabs>
      <w:pBdr>
        <w:between w:val="none" w:color="000000" w:sz="50" w:space="0"/>
      </w:pBdr>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pBdr>
        <w:between w:val="none" w:color="000000" w:sz="50" w:space="0"/>
      </w:pBdr>
      <w:framePr w:wrap="around" w:vAnchor="text" w:hAnchor="margin" w:xAlign="center" w:yAlign="top"/>
    </w:pPr>
    <w:r>
      <w:fldChar w:fldCharType="begin"/>
    </w:r>
    <w:r>
      <w:rPr>
        <w:rStyle w:val="798"/>
      </w:rPr>
      <w:instrText xml:space="preserve"> PAGE  </w:instrText>
    </w:r>
    <w:r>
      <w:fldChar w:fldCharType="separate"/>
    </w:r>
    <w:r>
      <w:rPr>
        <w:rStyle w:val="798"/>
      </w:rPr>
      <w:t xml:space="preserve">- 3 -</w:t>
    </w:r>
    <w:r>
      <w:fldChar w:fldCharType="end"/>
    </w:r>
    <w:r/>
  </w:p>
  <w:p>
    <w:pPr>
      <w:pStyle w:val="78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framePr w:wrap="around" w:vAnchor="text" w:hAnchor="margin" w:xAlign="center" w:yAlign="top"/>
    </w:pPr>
    <w:r>
      <w:fldChar w:fldCharType="begin"/>
    </w:r>
    <w:r>
      <w:rPr>
        <w:rStyle w:val="798"/>
      </w:rPr>
      <w:instrText xml:space="preserve"> PAGE  </w:instrText>
    </w:r>
    <w:r>
      <w:fldChar w:fldCharType="separate"/>
    </w:r>
    <w:r>
      <w:rPr>
        <w:rStyle w:val="798"/>
      </w:rPr>
      <w:t xml:space="preserve">- 79 -</w:t>
    </w:r>
    <w:r>
      <w:fldChar w:fldCharType="end"/>
    </w:r>
    <w:r/>
  </w:p>
  <w:p>
    <w:pPr>
      <w:pStyle w:val="783"/>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framePr w:wrap="around" w:vAnchor="text" w:hAnchor="margin" w:xAlign="center" w:yAlign="top"/>
    </w:pPr>
    <w:r>
      <w:fldChar w:fldCharType="begin"/>
    </w:r>
    <w:r>
      <w:rPr>
        <w:rStyle w:val="798"/>
      </w:rPr>
      <w:instrText xml:space="preserve"> PAGE  </w:instrText>
    </w:r>
    <w:r>
      <w:fldChar w:fldCharType="separate"/>
    </w:r>
    <w:r>
      <w:rPr>
        <w:rStyle w:val="798"/>
      </w:rPr>
      <w:t xml:space="preserve">- 2 -</w:t>
    </w:r>
    <w:r>
      <w:fldChar w:fldCharType="end"/>
    </w:r>
    <w:r/>
  </w:p>
  <w:p>
    <w:pPr>
      <w:pStyle w:val="783"/>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right" w:pos="8306" w:leader="none"/>
      </w:tabs>
      <w:framePr w:wrap="around" w:vAnchor="text" w:hAnchor="margin" w:xAlign="center" w:yAlign="top"/>
    </w:pPr>
    <w:r>
      <w:fldChar w:fldCharType="begin"/>
    </w:r>
    <w:r>
      <w:rPr>
        <w:rStyle w:val="798"/>
      </w:rPr>
      <w:instrText xml:space="preserve"> PAGE  </w:instrText>
    </w:r>
    <w:r>
      <w:fldChar w:fldCharType="separate"/>
    </w:r>
    <w:r>
      <w:rPr>
        <w:rStyle w:val="798"/>
      </w:rPr>
      <w:t xml:space="preserve">- 2 -</w:t>
    </w:r>
    <w:r>
      <w:fldChar w:fldCharType="end"/>
    </w:r>
    <w:r/>
  </w:p>
  <w:p>
    <w:pPr>
      <w:pStyle w:val="78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Fonts w:hint="eastAsia" w:eastAsia="楷体"/>
      </w:rPr>
    </w:pPr>
    <w:r>
      <w:rPr>
        <w:rFonts w:hint="eastAsia" w:eastAsia="楷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Fonts w:hint="eastAsia" w:eastAsia="楷体"/>
      </w:rPr>
    </w:pPr>
    <w:r>
      <w:rPr>
        <w:rFonts w:hint="eastAsia" w:eastAsia="楷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rPr>
        <w:rFonts w:hint="eastAsia" w:eastAsia="楷体"/>
      </w:rPr>
    </w:pPr>
    <w:r>
      <w:rPr>
        <w:rFonts w:hint="eastAsia" w:eastAsia="楷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pStyle w:val="7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60"/>
        <w:ind w:left="0" w:firstLine="42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0"/>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60"/>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60"/>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828"/>
      <w:isLgl w:val="false"/>
      <w:suff w:val="tab"/>
      <w:lvlText w:val=""/>
      <w:lvlJc w:val="left"/>
      <w:pPr>
        <w:pStyle w:val="760"/>
        <w:ind w:left="780" w:hanging="360"/>
        <w:tabs>
          <w:tab w:val="num" w:pos="780" w:leader="none"/>
        </w:tabs>
      </w:pPr>
      <w:rPr>
        <w:rFonts w:ascii="Wingdings" w:hAnsi="Wingdings"/>
      </w:r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pStyle w:val="760"/>
      </w:pPr>
      <w:rPr>
        <w:rFonts w:hint="eastAsia"/>
      </w:rPr>
    </w:lvl>
    <w:lvl w:ilvl="1">
      <w:start w:val="1"/>
      <w:numFmt w:val="decimal"/>
      <w:isLgl w:val="false"/>
      <w:suff w:val="nothing"/>
      <w:lvlText w:val="%2．"/>
      <w:lvlJc w:val="left"/>
      <w:pPr>
        <w:pStyle w:val="760"/>
      </w:pPr>
      <w:rPr>
        <w:rFonts w:hint="eastAsia"/>
      </w:rPr>
    </w:lvl>
    <w:lvl w:ilvl="2">
      <w:start w:val="1"/>
      <w:numFmt w:val="decimal"/>
      <w:isLgl w:val="false"/>
      <w:suff w:val="nothing"/>
      <w:lvlText w:val="（%3）"/>
      <w:lvlJc w:val="left"/>
      <w:pPr>
        <w:pStyle w:val="760"/>
      </w:pPr>
      <w:rPr>
        <w:rFonts w:hint="eastAsia"/>
      </w:rPr>
    </w:lvl>
    <w:lvl w:ilvl="3">
      <w:start w:val="1"/>
      <w:numFmt w:val="decimalEnclosedCircleChinese"/>
      <w:isLgl w:val="false"/>
      <w:suff w:val="nothing"/>
      <w:lvlText w:val="%4"/>
      <w:lvlJc w:val="left"/>
      <w:pPr>
        <w:pStyle w:val="760"/>
      </w:pPr>
      <w:rPr>
        <w:rFonts w:hint="eastAsia"/>
      </w:rPr>
    </w:lvl>
    <w:lvl w:ilvl="4">
      <w:start w:val="1"/>
      <w:numFmt w:val="decimal"/>
      <w:isLgl w:val="false"/>
      <w:suff w:val="nothing"/>
      <w:lvlText w:val="%5）"/>
      <w:lvlJc w:val="left"/>
      <w:pPr>
        <w:pStyle w:val="760"/>
      </w:pPr>
      <w:rPr>
        <w:rFonts w:hint="eastAsia"/>
      </w:rPr>
    </w:lvl>
    <w:lvl w:ilvl="5">
      <w:start w:val="1"/>
      <w:numFmt w:val="lowerLetter"/>
      <w:isLgl w:val="false"/>
      <w:suff w:val="nothing"/>
      <w:lvlText w:val="%6．"/>
      <w:lvlJc w:val="left"/>
      <w:pPr>
        <w:pStyle w:val="760"/>
      </w:pPr>
      <w:rPr>
        <w:rFonts w:hint="eastAsia"/>
      </w:rPr>
    </w:lvl>
    <w:lvl w:ilvl="6">
      <w:start w:val="1"/>
      <w:numFmt w:val="lowerLetter"/>
      <w:isLgl w:val="false"/>
      <w:suff w:val="nothing"/>
      <w:lvlText w:val="%7）"/>
      <w:lvlJc w:val="left"/>
      <w:pPr>
        <w:pStyle w:val="760"/>
      </w:pPr>
      <w:rPr>
        <w:rFonts w:hint="eastAsia"/>
      </w:rPr>
    </w:lvl>
    <w:lvl w:ilvl="7">
      <w:start w:val="1"/>
      <w:numFmt w:val="lowerRoman"/>
      <w:isLgl w:val="false"/>
      <w:suff w:val="nothing"/>
      <w:lvlText w:val="%8．"/>
      <w:lvlJc w:val="left"/>
      <w:pPr>
        <w:pStyle w:val="760"/>
      </w:pPr>
      <w:rPr>
        <w:rFonts w:hint="eastAsia"/>
      </w:rPr>
    </w:lvl>
    <w:lvl w:ilvl="8">
      <w:start w:val="1"/>
      <w:numFmt w:val="lowerRoman"/>
      <w:isLgl w:val="false"/>
      <w:suff w:val="nothing"/>
      <w:lvlText w:val="%9）"/>
      <w:lvlJc w:val="left"/>
      <w:pPr>
        <w:pStyle w:val="760"/>
      </w:pPr>
      <w:rPr>
        <w:rFonts w:hint="eastAsia"/>
      </w:rPr>
    </w:lvl>
  </w:abstractNum>
  <w:abstractNum w:abstractNumId="11">
    <w:multiLevelType w:val="hybridMultilevel"/>
    <w:lvl w:ilvl="0">
      <w:start w:val="2"/>
      <w:numFmt w:val="chineseCounting"/>
      <w:isLgl w:val="false"/>
      <w:suff w:val="nothing"/>
      <w:lvlText w:val="%1、"/>
      <w:lvlJc w:val="left"/>
      <w:pPr>
        <w:pStyle w:val="7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nothing"/>
      <w:lvlText w:val=""/>
      <w:lvlJc w:val="left"/>
      <w:pPr>
        <w:pStyle w:val="760"/>
        <w:ind w:left="0" w:firstLine="480"/>
      </w:pPr>
      <w:rPr>
        <w:rFonts w:ascii="Wingdings" w:hAnsi="Wingdings"/>
      </w:rPr>
    </w:lvl>
    <w:lvl w:ilvl="1">
      <w:start w:val="1"/>
      <w:numFmt w:val="bullet"/>
      <w:isLgl w:val="false"/>
      <w:suff w:val="tab"/>
      <w:lvlText w:val=""/>
      <w:lvlJc w:val="left"/>
      <w:pPr>
        <w:pStyle w:val="760"/>
        <w:ind w:left="1320" w:hanging="420"/>
      </w:pPr>
      <w:rPr>
        <w:rFonts w:ascii="Wingdings" w:hAnsi="Wingdings"/>
      </w:rPr>
    </w:lvl>
    <w:lvl w:ilvl="2">
      <w:start w:val="1"/>
      <w:numFmt w:val="bullet"/>
      <w:isLgl w:val="false"/>
      <w:suff w:val="tab"/>
      <w:lvlText w:val=""/>
      <w:lvlJc w:val="left"/>
      <w:pPr>
        <w:pStyle w:val="760"/>
        <w:ind w:left="1740" w:hanging="420"/>
      </w:pPr>
      <w:rPr>
        <w:rFonts w:ascii="Wingdings" w:hAnsi="Wingdings"/>
      </w:rPr>
    </w:lvl>
    <w:lvl w:ilvl="3">
      <w:start w:val="1"/>
      <w:numFmt w:val="bullet"/>
      <w:isLgl w:val="false"/>
      <w:suff w:val="tab"/>
      <w:lvlText w:val=""/>
      <w:lvlJc w:val="left"/>
      <w:pPr>
        <w:pStyle w:val="760"/>
        <w:ind w:left="2160" w:hanging="420"/>
      </w:pPr>
      <w:rPr>
        <w:rFonts w:ascii="Wingdings" w:hAnsi="Wingdings"/>
      </w:rPr>
    </w:lvl>
    <w:lvl w:ilvl="4">
      <w:start w:val="1"/>
      <w:numFmt w:val="bullet"/>
      <w:isLgl w:val="false"/>
      <w:suff w:val="tab"/>
      <w:lvlText w:val=""/>
      <w:lvlJc w:val="left"/>
      <w:pPr>
        <w:pStyle w:val="760"/>
        <w:ind w:left="2580" w:hanging="420"/>
      </w:pPr>
      <w:rPr>
        <w:rFonts w:ascii="Wingdings" w:hAnsi="Wingdings"/>
      </w:rPr>
    </w:lvl>
    <w:lvl w:ilvl="5">
      <w:start w:val="1"/>
      <w:numFmt w:val="bullet"/>
      <w:isLgl w:val="false"/>
      <w:suff w:val="tab"/>
      <w:lvlText w:val=""/>
      <w:lvlJc w:val="left"/>
      <w:pPr>
        <w:pStyle w:val="760"/>
        <w:ind w:left="3000" w:hanging="420"/>
      </w:pPr>
      <w:rPr>
        <w:rFonts w:ascii="Wingdings" w:hAnsi="Wingdings"/>
      </w:rPr>
    </w:lvl>
    <w:lvl w:ilvl="6">
      <w:start w:val="1"/>
      <w:numFmt w:val="bullet"/>
      <w:isLgl w:val="false"/>
      <w:suff w:val="tab"/>
      <w:lvlText w:val=""/>
      <w:lvlJc w:val="left"/>
      <w:pPr>
        <w:pStyle w:val="760"/>
        <w:ind w:left="3420" w:hanging="420"/>
      </w:pPr>
      <w:rPr>
        <w:rFonts w:ascii="Wingdings" w:hAnsi="Wingdings"/>
      </w:rPr>
    </w:lvl>
    <w:lvl w:ilvl="7">
      <w:start w:val="1"/>
      <w:numFmt w:val="bullet"/>
      <w:isLgl w:val="false"/>
      <w:suff w:val="tab"/>
      <w:lvlText w:val=""/>
      <w:lvlJc w:val="left"/>
      <w:pPr>
        <w:pStyle w:val="760"/>
        <w:ind w:left="3840" w:hanging="420"/>
      </w:pPr>
      <w:rPr>
        <w:rFonts w:ascii="Wingdings" w:hAnsi="Wingdings"/>
      </w:rPr>
    </w:lvl>
    <w:lvl w:ilvl="8">
      <w:start w:val="1"/>
      <w:numFmt w:val="bullet"/>
      <w:isLgl w:val="false"/>
      <w:suff w:val="tab"/>
      <w:lvlText w:val=""/>
      <w:lvlJc w:val="left"/>
      <w:pPr>
        <w:pStyle w:val="760"/>
        <w:ind w:left="4260" w:hanging="420"/>
      </w:pPr>
      <w:rPr>
        <w:rFonts w:ascii="Wingdings" w:hAnsi="Wingdings"/>
      </w:rPr>
    </w:lvl>
  </w:abstractNum>
  <w:abstractNum w:abstractNumId="13">
    <w:multiLevelType w:val="hybridMultilevel"/>
    <w:lvl w:ilvl="0">
      <w:start w:val="1"/>
      <w:numFmt w:val="decimalEnclosedCircleChinese"/>
      <w:isLgl w:val="false"/>
      <w:suff w:val="nothing"/>
      <w:lvlText w:val="%1　"/>
      <w:lvlJc w:val="left"/>
      <w:pPr>
        <w:pStyle w:val="760"/>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825"/>
      <w:isLgl w:val="false"/>
      <w:suff w:val="tab"/>
      <w:lvlText w:val="%1．"/>
      <w:lvlJc w:val="left"/>
      <w:pPr>
        <w:pStyle w:val="760"/>
        <w:ind w:left="552" w:hanging="420"/>
        <w:tabs>
          <w:tab w:val="num" w:pos="552" w:leader="none"/>
        </w:tabs>
      </w:pPr>
      <w:rPr>
        <w:rFonts w:hint="eastAsia" w:ascii="宋体" w:hAnsi="宋体" w:eastAsia="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8"/>
      <w:numFmt w:val="decimal"/>
      <w:isLgl w:val="false"/>
      <w:suff w:val="nothing"/>
      <w:lvlText w:val="%1、"/>
      <w:lvlJc w:val="left"/>
      <w:pPr>
        <w:pStyle w:val="760"/>
        <w:ind w:left="0" w:firstLine="0"/>
      </w:pPr>
    </w:lvl>
    <w:lvl w:ilvl="1">
      <w:start w:val="1"/>
      <w:numFmt w:val="bullet"/>
      <w:isLgl w:val="false"/>
      <w:suff w:val="tab"/>
      <w:lvlText w:val="o"/>
      <w:lvlJc w:val="left"/>
      <w:pPr>
        <w:pStyle w:val="760"/>
        <w:ind w:left="1440" w:hanging="360"/>
      </w:pPr>
      <w:rPr>
        <w:rFonts w:ascii="Courier New" w:hAnsi="Courier New" w:eastAsia="Courier New" w:cs="Courier New"/>
      </w:rPr>
    </w:lvl>
    <w:lvl w:ilvl="2">
      <w:start w:val="1"/>
      <w:numFmt w:val="bullet"/>
      <w:isLgl w:val="false"/>
      <w:suff w:val="tab"/>
      <w:lvlText w:val="§"/>
      <w:lvlJc w:val="left"/>
      <w:pPr>
        <w:pStyle w:val="760"/>
        <w:ind w:left="2160" w:hanging="360"/>
      </w:pPr>
      <w:rPr>
        <w:rFonts w:ascii="Wingdings" w:hAnsi="Wingdings" w:eastAsia="Wingdings" w:cs="Wingdings"/>
      </w:rPr>
    </w:lvl>
    <w:lvl w:ilvl="3">
      <w:start w:val="1"/>
      <w:numFmt w:val="bullet"/>
      <w:isLgl w:val="false"/>
      <w:suff w:val="tab"/>
      <w:lvlText w:val="·"/>
      <w:lvlJc w:val="left"/>
      <w:pPr>
        <w:pStyle w:val="760"/>
        <w:ind w:left="2880" w:hanging="360"/>
      </w:pPr>
      <w:rPr>
        <w:rFonts w:ascii="Symbol" w:hAnsi="Symbol" w:eastAsia="Symbol" w:cs="Symbol"/>
      </w:rPr>
    </w:lvl>
    <w:lvl w:ilvl="4">
      <w:start w:val="1"/>
      <w:numFmt w:val="bullet"/>
      <w:isLgl w:val="false"/>
      <w:suff w:val="tab"/>
      <w:lvlText w:val="o"/>
      <w:lvlJc w:val="left"/>
      <w:pPr>
        <w:pStyle w:val="760"/>
        <w:ind w:left="3600" w:hanging="360"/>
      </w:pPr>
      <w:rPr>
        <w:rFonts w:ascii="Courier New" w:hAnsi="Courier New" w:eastAsia="Courier New" w:cs="Courier New"/>
      </w:rPr>
    </w:lvl>
    <w:lvl w:ilvl="5">
      <w:start w:val="1"/>
      <w:numFmt w:val="bullet"/>
      <w:isLgl w:val="false"/>
      <w:suff w:val="tab"/>
      <w:lvlText w:val="§"/>
      <w:lvlJc w:val="left"/>
      <w:pPr>
        <w:pStyle w:val="760"/>
        <w:ind w:left="4320" w:hanging="360"/>
      </w:pPr>
      <w:rPr>
        <w:rFonts w:ascii="Wingdings" w:hAnsi="Wingdings" w:eastAsia="Wingdings" w:cs="Wingdings"/>
      </w:rPr>
    </w:lvl>
    <w:lvl w:ilvl="6">
      <w:start w:val="1"/>
      <w:numFmt w:val="bullet"/>
      <w:isLgl w:val="false"/>
      <w:suff w:val="tab"/>
      <w:lvlText w:val="·"/>
      <w:lvlJc w:val="left"/>
      <w:pPr>
        <w:pStyle w:val="760"/>
        <w:ind w:left="5040" w:hanging="360"/>
      </w:pPr>
      <w:rPr>
        <w:rFonts w:ascii="Symbol" w:hAnsi="Symbol" w:eastAsia="Symbol" w:cs="Symbol"/>
      </w:rPr>
    </w:lvl>
    <w:lvl w:ilvl="7">
      <w:start w:val="1"/>
      <w:numFmt w:val="bullet"/>
      <w:isLgl w:val="false"/>
      <w:suff w:val="tab"/>
      <w:lvlText w:val="o"/>
      <w:lvlJc w:val="left"/>
      <w:pPr>
        <w:pStyle w:val="760"/>
        <w:ind w:left="5760" w:hanging="360"/>
      </w:pPr>
      <w:rPr>
        <w:rFonts w:ascii="Courier New" w:hAnsi="Courier New" w:eastAsia="Courier New" w:cs="Courier New"/>
      </w:rPr>
    </w:lvl>
    <w:lvl w:ilvl="8">
      <w:start w:val="1"/>
      <w:numFmt w:val="bullet"/>
      <w:isLgl w:val="false"/>
      <w:suff w:val="tab"/>
      <w:lvlText w:val="§"/>
      <w:lvlJc w:val="left"/>
      <w:pPr>
        <w:pStyle w:val="760"/>
        <w:ind w:left="6480" w:hanging="360"/>
      </w:pPr>
      <w:rPr>
        <w:rFonts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pStyle w:val="760"/>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760"/>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pStyle w:val="760"/>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60"/>
        <w:ind w:left="0" w:firstLine="400"/>
        <w:tabs>
          <w:tab w:val="num"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nothing"/>
      <w:lvlText w:val=""/>
      <w:lvlJc w:val="left"/>
      <w:pPr>
        <w:pStyle w:val="760"/>
        <w:ind w:left="150" w:firstLine="480"/>
      </w:pPr>
      <w:rPr>
        <w:rFonts w:ascii="Wingdings" w:hAnsi="Wingdings"/>
      </w:rPr>
    </w:lvl>
    <w:lvl w:ilvl="1">
      <w:start w:val="1"/>
      <w:numFmt w:val="bullet"/>
      <w:isLgl w:val="false"/>
      <w:suff w:val="tab"/>
      <w:lvlText w:val=""/>
      <w:lvlJc w:val="left"/>
      <w:pPr>
        <w:pStyle w:val="760"/>
        <w:ind w:left="1320" w:hanging="420"/>
      </w:pPr>
      <w:rPr>
        <w:rFonts w:ascii="Wingdings" w:hAnsi="Wingdings"/>
      </w:rPr>
    </w:lvl>
    <w:lvl w:ilvl="2">
      <w:start w:val="1"/>
      <w:numFmt w:val="bullet"/>
      <w:isLgl w:val="false"/>
      <w:suff w:val="tab"/>
      <w:lvlText w:val=""/>
      <w:lvlJc w:val="left"/>
      <w:pPr>
        <w:pStyle w:val="760"/>
        <w:ind w:left="1740" w:hanging="420"/>
      </w:pPr>
      <w:rPr>
        <w:rFonts w:ascii="Wingdings" w:hAnsi="Wingdings"/>
      </w:rPr>
    </w:lvl>
    <w:lvl w:ilvl="3">
      <w:start w:val="1"/>
      <w:numFmt w:val="bullet"/>
      <w:isLgl w:val="false"/>
      <w:suff w:val="tab"/>
      <w:lvlText w:val=""/>
      <w:lvlJc w:val="left"/>
      <w:pPr>
        <w:pStyle w:val="760"/>
        <w:ind w:left="2160" w:hanging="420"/>
      </w:pPr>
      <w:rPr>
        <w:rFonts w:ascii="Wingdings" w:hAnsi="Wingdings"/>
      </w:rPr>
    </w:lvl>
    <w:lvl w:ilvl="4">
      <w:start w:val="1"/>
      <w:numFmt w:val="bullet"/>
      <w:isLgl w:val="false"/>
      <w:suff w:val="tab"/>
      <w:lvlText w:val=""/>
      <w:lvlJc w:val="left"/>
      <w:pPr>
        <w:pStyle w:val="760"/>
        <w:ind w:left="2580" w:hanging="420"/>
      </w:pPr>
      <w:rPr>
        <w:rFonts w:ascii="Wingdings" w:hAnsi="Wingdings"/>
      </w:rPr>
    </w:lvl>
    <w:lvl w:ilvl="5">
      <w:start w:val="1"/>
      <w:numFmt w:val="bullet"/>
      <w:isLgl w:val="false"/>
      <w:suff w:val="tab"/>
      <w:lvlText w:val=""/>
      <w:lvlJc w:val="left"/>
      <w:pPr>
        <w:pStyle w:val="760"/>
        <w:ind w:left="3000" w:hanging="420"/>
      </w:pPr>
      <w:rPr>
        <w:rFonts w:ascii="Wingdings" w:hAnsi="Wingdings"/>
      </w:rPr>
    </w:lvl>
    <w:lvl w:ilvl="6">
      <w:start w:val="1"/>
      <w:numFmt w:val="bullet"/>
      <w:isLgl w:val="false"/>
      <w:suff w:val="tab"/>
      <w:lvlText w:val=""/>
      <w:lvlJc w:val="left"/>
      <w:pPr>
        <w:pStyle w:val="760"/>
        <w:ind w:left="3420" w:hanging="420"/>
      </w:pPr>
      <w:rPr>
        <w:rFonts w:ascii="Wingdings" w:hAnsi="Wingdings"/>
      </w:rPr>
    </w:lvl>
    <w:lvl w:ilvl="7">
      <w:start w:val="1"/>
      <w:numFmt w:val="bullet"/>
      <w:isLgl w:val="false"/>
      <w:suff w:val="tab"/>
      <w:lvlText w:val=""/>
      <w:lvlJc w:val="left"/>
      <w:pPr>
        <w:pStyle w:val="760"/>
        <w:ind w:left="3840" w:hanging="420"/>
      </w:pPr>
      <w:rPr>
        <w:rFonts w:ascii="Wingdings" w:hAnsi="Wingdings"/>
      </w:rPr>
    </w:lvl>
    <w:lvl w:ilvl="8">
      <w:start w:val="1"/>
      <w:numFmt w:val="bullet"/>
      <w:isLgl w:val="false"/>
      <w:suff w:val="tab"/>
      <w:lvlText w:val=""/>
      <w:lvlJc w:val="left"/>
      <w:pPr>
        <w:pStyle w:val="760"/>
        <w:ind w:left="4260" w:hanging="420"/>
      </w:pPr>
      <w:rPr>
        <w:rFonts w:ascii="Wingdings" w:hAnsi="Wingdings"/>
      </w:rPr>
    </w:lvl>
  </w:abstractNum>
  <w:num w:numId="1">
    <w:abstractNumId w:val="14"/>
  </w:num>
  <w:num w:numId="2">
    <w:abstractNumId w:val="9"/>
  </w:num>
  <w:num w:numId="3">
    <w:abstractNumId w:val="4"/>
  </w:num>
  <w:num w:numId="4">
    <w:abstractNumId w:val="16"/>
  </w:num>
  <w:num w:numId="5">
    <w:abstractNumId w:val="19"/>
  </w:num>
  <w:num w:numId="6">
    <w:abstractNumId w:val="18"/>
  </w:num>
  <w:num w:numId="7">
    <w:abstractNumId w:val="13"/>
  </w:num>
  <w:num w:numId="8">
    <w:abstractNumId w:val="17"/>
  </w:num>
  <w:num w:numId="9">
    <w:abstractNumId w:val="5"/>
  </w:num>
  <w:num w:numId="10">
    <w:abstractNumId w:val="7"/>
  </w:num>
  <w:num w:numId="11">
    <w:abstractNumId w:val="8"/>
  </w:num>
  <w:num w:numId="12">
    <w:abstractNumId w:val="11"/>
  </w:num>
  <w:num w:numId="13">
    <w:abstractNumId w:val="1"/>
  </w:num>
  <w:num w:numId="14">
    <w:abstractNumId w:val="10"/>
  </w:num>
  <w:num w:numId="15">
    <w:abstractNumId w:val="12"/>
  </w:num>
  <w:num w:numId="16">
    <w:abstractNumId w:val="20"/>
  </w:num>
  <w:num w:numId="17">
    <w:abstractNumId w:val="3"/>
  </w:num>
  <w:num w:numId="18">
    <w:abstractNumId w:val="0"/>
  </w:num>
  <w:num w:numId="19">
    <w:abstractNumId w:val="2"/>
  </w:num>
  <w:num w:numId="20">
    <w:abstractNumId w:val="15"/>
    <w:lvlOverride w:ilvl="0">
      <w:startOverride w:val="8"/>
    </w:lvlOverride>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0"/>
    <w:next w:val="76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0"/>
    <w:next w:val="76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0"/>
    <w:next w:val="7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0"/>
    <w:next w:val="7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0"/>
    <w:next w:val="7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0"/>
    <w:next w:val="7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0"/>
    <w:next w:val="7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0"/>
    <w:next w:val="7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0"/>
    <w:next w:val="7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0"/>
    <w:next w:val="76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0"/>
    <w:next w:val="76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0"/>
    <w:next w:val="760"/>
    <w:link w:val="38"/>
    <w:uiPriority w:val="29"/>
    <w:qFormat/>
    <w:pPr>
      <w:ind w:left="720" w:right="720"/>
    </w:pPr>
    <w:rPr>
      <w:i/>
    </w:rPr>
  </w:style>
  <w:style w:type="character" w:styleId="38">
    <w:name w:val="Quote Char"/>
    <w:link w:val="37"/>
    <w:uiPriority w:val="29"/>
    <w:rPr>
      <w:i/>
    </w:rPr>
  </w:style>
  <w:style w:type="paragraph" w:styleId="39">
    <w:name w:val="Intense Quote"/>
    <w:basedOn w:val="760"/>
    <w:next w:val="7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0"/>
    <w:next w:val="76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0"/>
    <w:next w:val="760"/>
    <w:uiPriority w:val="39"/>
    <w:unhideWhenUsed/>
    <w:pPr>
      <w:ind w:left="0" w:right="0" w:firstLine="0"/>
      <w:spacing w:after="57"/>
    </w:pPr>
  </w:style>
  <w:style w:type="paragraph" w:styleId="181">
    <w:name w:val="toc 2"/>
    <w:basedOn w:val="760"/>
    <w:next w:val="760"/>
    <w:uiPriority w:val="39"/>
    <w:unhideWhenUsed/>
    <w:pPr>
      <w:ind w:left="283" w:right="0" w:firstLine="0"/>
      <w:spacing w:after="57"/>
    </w:pPr>
  </w:style>
  <w:style w:type="paragraph" w:styleId="182">
    <w:name w:val="toc 3"/>
    <w:basedOn w:val="760"/>
    <w:next w:val="760"/>
    <w:uiPriority w:val="39"/>
    <w:unhideWhenUsed/>
    <w:pPr>
      <w:ind w:left="567" w:right="0" w:firstLine="0"/>
      <w:spacing w:after="57"/>
    </w:pPr>
  </w:style>
  <w:style w:type="paragraph" w:styleId="183">
    <w:name w:val="toc 4"/>
    <w:basedOn w:val="760"/>
    <w:next w:val="760"/>
    <w:uiPriority w:val="39"/>
    <w:unhideWhenUsed/>
    <w:pPr>
      <w:ind w:left="850" w:right="0" w:firstLine="0"/>
      <w:spacing w:after="57"/>
    </w:pPr>
  </w:style>
  <w:style w:type="paragraph" w:styleId="184">
    <w:name w:val="toc 5"/>
    <w:basedOn w:val="760"/>
    <w:next w:val="760"/>
    <w:uiPriority w:val="39"/>
    <w:unhideWhenUsed/>
    <w:pPr>
      <w:ind w:left="1134" w:right="0" w:firstLine="0"/>
      <w:spacing w:after="57"/>
    </w:pPr>
  </w:style>
  <w:style w:type="paragraph" w:styleId="185">
    <w:name w:val="toc 6"/>
    <w:basedOn w:val="760"/>
    <w:next w:val="760"/>
    <w:uiPriority w:val="39"/>
    <w:unhideWhenUsed/>
    <w:pPr>
      <w:ind w:left="1417" w:right="0" w:firstLine="0"/>
      <w:spacing w:after="57"/>
    </w:pPr>
  </w:style>
  <w:style w:type="paragraph" w:styleId="186">
    <w:name w:val="toc 7"/>
    <w:basedOn w:val="760"/>
    <w:next w:val="760"/>
    <w:uiPriority w:val="39"/>
    <w:unhideWhenUsed/>
    <w:pPr>
      <w:ind w:left="1701" w:right="0" w:firstLine="0"/>
      <w:spacing w:after="57"/>
    </w:pPr>
  </w:style>
  <w:style w:type="paragraph" w:styleId="187">
    <w:name w:val="toc 8"/>
    <w:basedOn w:val="760"/>
    <w:next w:val="760"/>
    <w:uiPriority w:val="39"/>
    <w:unhideWhenUsed/>
    <w:pPr>
      <w:ind w:left="1984" w:right="0" w:firstLine="0"/>
      <w:spacing w:after="57"/>
    </w:pPr>
  </w:style>
  <w:style w:type="paragraph" w:styleId="188">
    <w:name w:val="toc 9"/>
    <w:basedOn w:val="760"/>
    <w:next w:val="7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0"/>
    <w:next w:val="760"/>
    <w:uiPriority w:val="99"/>
    <w:unhideWhenUsed/>
    <w:pPr>
      <w:spacing w:after="0" w:afterAutospacing="0"/>
    </w:pPr>
  </w:style>
  <w:style w:type="paragraph" w:styleId="760" w:default="1">
    <w:name w:val="Normal"/>
    <w:next w:val="760"/>
    <w:link w:val="760"/>
    <w:qFormat/>
    <w:pPr>
      <w:jc w:val="both"/>
      <w:widowControl w:val="off"/>
    </w:pPr>
    <w:rPr>
      <w:sz w:val="21"/>
      <w:lang w:val="en-US" w:eastAsia="zh-CN" w:bidi="ar-SA"/>
    </w:rPr>
  </w:style>
  <w:style w:type="paragraph" w:styleId="761">
    <w:name w:val="标题 1"/>
    <w:basedOn w:val="760"/>
    <w:next w:val="760"/>
    <w:link w:val="772"/>
    <w:qFormat/>
    <w:pPr>
      <w:keepLines/>
      <w:keepNext/>
      <w:spacing w:before="340" w:beforeAutospacing="0" w:after="330" w:afterAutospacing="0" w:line="576" w:lineRule="auto"/>
      <w:outlineLvl w:val="0"/>
    </w:pPr>
    <w:rPr>
      <w:b/>
      <w:sz w:val="44"/>
    </w:rPr>
  </w:style>
  <w:style w:type="paragraph" w:styleId="762">
    <w:name w:val="标题 2"/>
    <w:basedOn w:val="760"/>
    <w:next w:val="760"/>
    <w:link w:val="760"/>
    <w:qFormat/>
    <w:pPr>
      <w:keepLines/>
      <w:keepNext/>
      <w:spacing w:before="260" w:beforeAutospacing="0" w:after="260" w:afterAutospacing="0" w:line="413" w:lineRule="auto"/>
      <w:outlineLvl w:val="1"/>
    </w:pPr>
    <w:rPr>
      <w:rFonts w:ascii="Arial" w:hAnsi="Arial" w:eastAsia="黑体"/>
      <w:b/>
      <w:sz w:val="32"/>
    </w:rPr>
  </w:style>
  <w:style w:type="paragraph" w:styleId="763">
    <w:name w:val="标题 3"/>
    <w:basedOn w:val="760"/>
    <w:next w:val="760"/>
    <w:link w:val="760"/>
    <w:qFormat/>
    <w:pPr>
      <w:keepLines/>
      <w:keepNext/>
      <w:spacing w:before="260" w:beforeAutospacing="0" w:after="260" w:afterAutospacing="0" w:line="413" w:lineRule="auto"/>
      <w:outlineLvl w:val="2"/>
    </w:pPr>
    <w:rPr>
      <w:b/>
      <w:sz w:val="32"/>
    </w:rPr>
  </w:style>
  <w:style w:type="paragraph" w:styleId="764">
    <w:name w:val="标题 4"/>
    <w:basedOn w:val="760"/>
    <w:next w:val="760"/>
    <w:link w:val="760"/>
    <w:qFormat/>
    <w:pPr>
      <w:keepLines/>
      <w:keepNext/>
      <w:spacing w:before="280" w:beforeAutospacing="0" w:after="290" w:afterAutospacing="0" w:line="372" w:lineRule="auto"/>
      <w:outlineLvl w:val="3"/>
    </w:pPr>
    <w:rPr>
      <w:rFonts w:ascii="Arial" w:hAnsi="Arial" w:eastAsia="黑体"/>
      <w:b/>
      <w:sz w:val="28"/>
    </w:rPr>
  </w:style>
  <w:style w:type="paragraph" w:styleId="765">
    <w:name w:val="标题 5"/>
    <w:basedOn w:val="760"/>
    <w:next w:val="760"/>
    <w:link w:val="760"/>
    <w:qFormat/>
    <w:pPr>
      <w:keepLines/>
      <w:keepNext/>
      <w:spacing w:before="280" w:beforeAutospacing="0" w:after="290" w:afterAutospacing="0" w:line="372" w:lineRule="auto"/>
      <w:outlineLvl w:val="4"/>
    </w:pPr>
    <w:rPr>
      <w:b/>
      <w:sz w:val="28"/>
    </w:rPr>
  </w:style>
  <w:style w:type="paragraph" w:styleId="766">
    <w:name w:val="标题 6"/>
    <w:basedOn w:val="760"/>
    <w:next w:val="760"/>
    <w:link w:val="760"/>
    <w:qFormat/>
    <w:pPr>
      <w:keepLines/>
      <w:keepNext/>
      <w:spacing w:before="240" w:beforeAutospacing="0" w:after="64" w:afterAutospacing="0" w:line="317" w:lineRule="auto"/>
      <w:outlineLvl w:val="5"/>
    </w:pPr>
    <w:rPr>
      <w:rFonts w:ascii="Arial" w:hAnsi="Arial" w:eastAsia="黑体"/>
      <w:b/>
      <w:sz w:val="24"/>
    </w:rPr>
  </w:style>
  <w:style w:type="paragraph" w:styleId="767">
    <w:name w:val="标题 7"/>
    <w:basedOn w:val="760"/>
    <w:next w:val="760"/>
    <w:link w:val="760"/>
    <w:qFormat/>
    <w:pPr>
      <w:keepLines/>
      <w:keepNext/>
      <w:spacing w:before="240" w:beforeAutospacing="0" w:after="64" w:afterAutospacing="0" w:line="317" w:lineRule="auto"/>
      <w:outlineLvl w:val="6"/>
    </w:pPr>
    <w:rPr>
      <w:b/>
      <w:sz w:val="24"/>
    </w:rPr>
  </w:style>
  <w:style w:type="paragraph" w:styleId="768">
    <w:name w:val="标题 8"/>
    <w:basedOn w:val="760"/>
    <w:next w:val="760"/>
    <w:link w:val="760"/>
    <w:qFormat/>
    <w:pPr>
      <w:keepLines/>
      <w:keepNext/>
      <w:spacing w:before="240" w:beforeAutospacing="0" w:after="64" w:afterAutospacing="0" w:line="317" w:lineRule="auto"/>
      <w:outlineLvl w:val="7"/>
    </w:pPr>
    <w:rPr>
      <w:rFonts w:ascii="Arial" w:hAnsi="Arial" w:eastAsia="黑体"/>
      <w:sz w:val="24"/>
    </w:rPr>
  </w:style>
  <w:style w:type="paragraph" w:styleId="769">
    <w:name w:val="标题 9"/>
    <w:basedOn w:val="760"/>
    <w:next w:val="760"/>
    <w:link w:val="760"/>
    <w:qFormat/>
    <w:pPr>
      <w:keepLines/>
      <w:keepNext/>
      <w:spacing w:before="240" w:beforeAutospacing="0" w:after="64" w:afterAutospacing="0" w:line="317" w:lineRule="auto"/>
      <w:outlineLvl w:val="8"/>
    </w:pPr>
    <w:rPr>
      <w:rFonts w:ascii="Arial" w:hAnsi="Arial" w:eastAsia="黑体"/>
      <w:sz w:val="21"/>
    </w:rPr>
  </w:style>
  <w:style w:type="character" w:styleId="770">
    <w:name w:val="默认段落字体"/>
    <w:next w:val="770"/>
    <w:link w:val="760"/>
  </w:style>
  <w:style w:type="table" w:styleId="771">
    <w:name w:val="普通表格"/>
    <w:next w:val="771"/>
    <w:link w:val="760"/>
    <w:uiPriority w:val="99"/>
    <w:unhideWhenUsed/>
    <w:tblPr/>
  </w:style>
  <w:style w:type="character" w:styleId="772">
    <w:name w:val="标题 1 Char"/>
    <w:next w:val="772"/>
    <w:link w:val="761"/>
    <w:rPr>
      <w:b/>
      <w:sz w:val="44"/>
    </w:rPr>
  </w:style>
  <w:style w:type="paragraph" w:styleId="773">
    <w:name w:val="批注文字"/>
    <w:basedOn w:val="760"/>
    <w:next w:val="773"/>
    <w:link w:val="774"/>
    <w:pPr>
      <w:jc w:val="left"/>
    </w:pPr>
  </w:style>
  <w:style w:type="character" w:styleId="774">
    <w:name w:val="批注文字 Char"/>
    <w:next w:val="774"/>
    <w:link w:val="773"/>
    <w:rPr>
      <w:sz w:val="21"/>
    </w:rPr>
  </w:style>
  <w:style w:type="paragraph" w:styleId="775">
    <w:name w:val="正文文本"/>
    <w:basedOn w:val="760"/>
    <w:next w:val="776"/>
    <w:link w:val="760"/>
    <w:rPr>
      <w:rFonts w:cs="Times New Roman"/>
      <w:sz w:val="20"/>
      <w:szCs w:val="20"/>
    </w:rPr>
  </w:style>
  <w:style w:type="paragraph" w:styleId="776">
    <w:name w:val="正文首行缩进"/>
    <w:basedOn w:val="775"/>
    <w:next w:val="777"/>
    <w:link w:val="760"/>
    <w:uiPriority w:val="99"/>
    <w:unhideWhenUsed/>
    <w:qFormat/>
    <w:rPr>
      <w:rFonts w:hAnsi="Times New Roman"/>
    </w:rPr>
  </w:style>
  <w:style w:type="paragraph" w:styleId="777">
    <w:name w:val="目录 6"/>
    <w:basedOn w:val="760"/>
    <w:next w:val="760"/>
    <w:link w:val="760"/>
    <w:uiPriority w:val="39"/>
    <w:unhideWhenUsed/>
    <w:qFormat/>
    <w:pPr>
      <w:ind w:left="1417" w:right="0" w:firstLine="0"/>
      <w:spacing w:after="57"/>
    </w:pPr>
  </w:style>
  <w:style w:type="paragraph" w:styleId="778">
    <w:name w:val="正文文本缩进"/>
    <w:basedOn w:val="760"/>
    <w:next w:val="780"/>
    <w:link w:val="779"/>
    <w:uiPriority w:val="99"/>
    <w:unhideWhenUsed/>
    <w:pPr>
      <w:ind w:left="420"/>
      <w:spacing w:after="120"/>
    </w:pPr>
  </w:style>
  <w:style w:type="character" w:styleId="779">
    <w:name w:val="正文文本缩进 Char"/>
    <w:next w:val="779"/>
    <w:link w:val="778"/>
    <w:uiPriority w:val="99"/>
    <w:semiHidden/>
    <w:rPr>
      <w:sz w:val="21"/>
    </w:rPr>
  </w:style>
  <w:style w:type="paragraph" w:styleId="780">
    <w:name w:val="寄信人地址"/>
    <w:basedOn w:val="760"/>
    <w:next w:val="780"/>
    <w:link w:val="760"/>
    <w:qFormat/>
    <w:rPr>
      <w:rFonts w:ascii="Arial" w:hAnsi="Arial"/>
    </w:rPr>
  </w:style>
  <w:style w:type="paragraph" w:styleId="781">
    <w:name w:val="纯文本"/>
    <w:basedOn w:val="760"/>
    <w:next w:val="781"/>
    <w:link w:val="760"/>
    <w:qFormat/>
    <w:rPr>
      <w:rFonts w:ascii="宋体" w:hAnsi="Courier New"/>
    </w:rPr>
  </w:style>
  <w:style w:type="paragraph" w:styleId="782">
    <w:name w:val="批注框文本"/>
    <w:basedOn w:val="760"/>
    <w:next w:val="782"/>
    <w:link w:val="760"/>
    <w:semiHidden/>
    <w:rPr>
      <w:sz w:val="18"/>
      <w:szCs w:val="18"/>
    </w:rPr>
  </w:style>
  <w:style w:type="paragraph" w:styleId="783">
    <w:name w:val="页脚"/>
    <w:basedOn w:val="760"/>
    <w:next w:val="783"/>
    <w:link w:val="784"/>
    <w:pPr>
      <w:jc w:val="left"/>
      <w:tabs>
        <w:tab w:val="center" w:pos="4153" w:leader="none"/>
        <w:tab w:val="right" w:pos="8306" w:leader="none"/>
      </w:tabs>
    </w:pPr>
    <w:rPr>
      <w:sz w:val="18"/>
    </w:rPr>
  </w:style>
  <w:style w:type="character" w:styleId="784">
    <w:name w:val="页脚 Char"/>
    <w:next w:val="784"/>
    <w:link w:val="783"/>
    <w:uiPriority w:val="99"/>
    <w:rPr>
      <w:sz w:val="18"/>
    </w:rPr>
  </w:style>
  <w:style w:type="paragraph" w:styleId="785">
    <w:name w:val="页眉"/>
    <w:basedOn w:val="760"/>
    <w:next w:val="785"/>
    <w:link w:val="76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786">
    <w:name w:val="目录 1"/>
    <w:basedOn w:val="760"/>
    <w:next w:val="760"/>
    <w:link w:val="760"/>
  </w:style>
  <w:style w:type="paragraph" w:styleId="787">
    <w:name w:val="正文文本缩进 3"/>
    <w:basedOn w:val="760"/>
    <w:next w:val="787"/>
    <w:link w:val="760"/>
    <w:pPr>
      <w:ind w:left="420"/>
      <w:jc w:val="left"/>
      <w:spacing w:after="120"/>
      <w:widowControl/>
    </w:pPr>
    <w:rPr>
      <w:sz w:val="16"/>
      <w:szCs w:val="16"/>
    </w:rPr>
  </w:style>
  <w:style w:type="paragraph" w:styleId="788">
    <w:name w:val="目录 2"/>
    <w:basedOn w:val="760"/>
    <w:next w:val="760"/>
    <w:link w:val="760"/>
    <w:pPr>
      <w:ind w:left="420"/>
    </w:pPr>
  </w:style>
  <w:style w:type="paragraph" w:styleId="789">
    <w:name w:val="正文文本 2"/>
    <w:basedOn w:val="760"/>
    <w:next w:val="789"/>
    <w:link w:val="760"/>
    <w:pPr>
      <w:spacing w:after="120" w:line="480" w:lineRule="auto"/>
    </w:pPr>
    <w:rPr>
      <w:rFonts w:cs="Times New Roman"/>
      <w:sz w:val="20"/>
      <w:szCs w:val="20"/>
    </w:rPr>
  </w:style>
  <w:style w:type="paragraph" w:styleId="790">
    <w:name w:val="普通(网站)"/>
    <w:basedOn w:val="760"/>
    <w:next w:val="790"/>
    <w:link w:val="791"/>
    <w:uiPriority w:val="99"/>
    <w:unhideWhenUsed/>
    <w:qFormat/>
    <w:pPr>
      <w:jc w:val="left"/>
      <w:spacing w:beforeAutospacing="1" w:afterAutospacing="1"/>
    </w:pPr>
    <w:rPr>
      <w:rFonts w:cs="Times New Roman"/>
      <w:sz w:val="24"/>
    </w:rPr>
  </w:style>
  <w:style w:type="character" w:styleId="791">
    <w:name w:val="普通(网站) 字符"/>
    <w:next w:val="791"/>
    <w:link w:val="790"/>
    <w:uiPriority w:val="99"/>
    <w:qFormat/>
    <w:rPr>
      <w:rFonts w:cs="Times New Roman"/>
      <w:sz w:val="24"/>
    </w:rPr>
  </w:style>
  <w:style w:type="paragraph" w:styleId="792">
    <w:name w:val="批注主题"/>
    <w:basedOn w:val="773"/>
    <w:next w:val="773"/>
    <w:link w:val="793"/>
    <w:uiPriority w:val="99"/>
    <w:unhideWhenUsed/>
    <w:rPr>
      <w:b/>
      <w:bCs/>
    </w:rPr>
  </w:style>
  <w:style w:type="character" w:styleId="793">
    <w:name w:val="批注主题 Char"/>
    <w:next w:val="793"/>
    <w:link w:val="792"/>
    <w:uiPriority w:val="99"/>
    <w:semiHidden/>
    <w:rPr>
      <w:b/>
      <w:bCs/>
      <w:sz w:val="21"/>
    </w:rPr>
  </w:style>
  <w:style w:type="paragraph" w:styleId="794">
    <w:name w:val="正文首行缩进 2"/>
    <w:basedOn w:val="778"/>
    <w:next w:val="794"/>
    <w:link w:val="795"/>
    <w:qFormat/>
    <w:pPr>
      <w:ind w:firstLine="420"/>
    </w:pPr>
    <w:rPr>
      <w:sz w:val="24"/>
      <w:szCs w:val="24"/>
    </w:rPr>
  </w:style>
  <w:style w:type="character" w:styleId="795">
    <w:name w:val="正文首行缩进 2 Char"/>
    <w:next w:val="795"/>
    <w:link w:val="794"/>
    <w:rPr>
      <w:sz w:val="24"/>
      <w:szCs w:val="24"/>
    </w:rPr>
  </w:style>
  <w:style w:type="table" w:styleId="796">
    <w:name w:val="网格型"/>
    <w:basedOn w:val="771"/>
    <w:next w:val="796"/>
    <w:link w:val="760"/>
    <w:uiPriority w:val="59"/>
    <w:pPr>
      <w:jc w:val="both"/>
      <w:widowControl w:val="off"/>
    </w:pPr>
    <w:tblPr/>
  </w:style>
  <w:style w:type="character" w:styleId="797">
    <w:name w:val="要点"/>
    <w:basedOn w:val="770"/>
    <w:next w:val="797"/>
    <w:link w:val="760"/>
    <w:uiPriority w:val="22"/>
    <w:qFormat/>
    <w:rPr>
      <w:b/>
    </w:rPr>
  </w:style>
  <w:style w:type="character" w:styleId="798">
    <w:name w:val="页码"/>
    <w:next w:val="798"/>
    <w:link w:val="760"/>
  </w:style>
  <w:style w:type="character" w:styleId="799">
    <w:name w:val="已访问的超链接"/>
    <w:next w:val="799"/>
    <w:link w:val="760"/>
    <w:rPr>
      <w:color w:val="000000"/>
      <w:u w:val="none"/>
    </w:rPr>
  </w:style>
  <w:style w:type="character" w:styleId="800">
    <w:name w:val="批注引用"/>
    <w:next w:val="800"/>
    <w:link w:val="760"/>
    <w:uiPriority w:val="99"/>
    <w:unhideWhenUsed/>
    <w:rPr>
      <w:sz w:val="21"/>
      <w:szCs w:val="21"/>
    </w:rPr>
  </w:style>
  <w:style w:type="character" w:styleId="801">
    <w:name w:val="普通(网站) Char"/>
    <w:next w:val="801"/>
    <w:link w:val="790"/>
    <w:uiPriority w:val="99"/>
    <w:qFormat/>
    <w:rPr>
      <w:rFonts w:cs="Times New Roman"/>
      <w:sz w:val="24"/>
    </w:rPr>
  </w:style>
  <w:style w:type="character" w:styleId="802">
    <w:name w:val="默认段落字体1"/>
    <w:next w:val="802"/>
    <w:link w:val="760"/>
    <w:semiHidden/>
    <w:qFormat/>
  </w:style>
  <w:style w:type="character" w:styleId="803">
    <w:name w:val="NormalCharacter1"/>
    <w:next w:val="803"/>
    <w:link w:val="760"/>
    <w:qFormat/>
    <w:rPr>
      <w:rFonts w:ascii="Times New Roman" w:hAnsi="Times New Roman" w:eastAsia="宋体" w:cs="Times New Roman"/>
      <w:sz w:val="21"/>
      <w:lang w:val="en-US" w:eastAsia="zh-CN" w:bidi="ar-SA"/>
    </w:rPr>
  </w:style>
  <w:style w:type="character" w:styleId="804">
    <w:name w:val="正文首行缩进 2 Char1"/>
    <w:basedOn w:val="779"/>
    <w:next w:val="804"/>
    <w:link w:val="760"/>
    <w:uiPriority w:val="99"/>
    <w:semiHidden/>
  </w:style>
  <w:style w:type="character" w:styleId="805">
    <w:name w:val="font2800"/>
    <w:next w:val="805"/>
    <w:link w:val="760"/>
  </w:style>
  <w:style w:type="paragraph" w:styleId="806">
    <w:name w:val="正文缩进1"/>
    <w:basedOn w:val="760"/>
    <w:next w:val="806"/>
    <w:link w:val="760"/>
    <w:qFormat/>
    <w:pPr>
      <w:ind w:firstLine="420"/>
      <w:jc w:val="left"/>
    </w:pPr>
    <w:rPr>
      <w:rFonts w:ascii="宋体" w:hAnsi="Calibri" w:eastAsia="宋体" w:cs="Times New Roman"/>
      <w:sz w:val="24"/>
      <w:szCs w:val="22"/>
    </w:rPr>
  </w:style>
  <w:style w:type="paragraph" w:styleId="807">
    <w:name w:val="Default"/>
    <w:next w:val="807"/>
    <w:link w:val="760"/>
    <w:qFormat/>
    <w:pPr>
      <w:widowControl w:val="off"/>
    </w:pPr>
    <w:rPr>
      <w:rFonts w:ascii="宋体" w:cs="宋体"/>
      <w:color w:val="000000"/>
      <w:sz w:val="24"/>
      <w:szCs w:val="24"/>
      <w:lang w:val="en-US" w:eastAsia="zh-CN" w:bidi="ar-SA"/>
    </w:rPr>
  </w:style>
  <w:style w:type="paragraph" w:styleId="808">
    <w:name w:val="正文文本1"/>
    <w:basedOn w:val="760"/>
    <w:next w:val="808"/>
    <w:link w:val="760"/>
    <w:qFormat/>
    <w:rPr>
      <w:rFonts w:ascii="Times New Roman" w:hAnsi="Times New Roman"/>
      <w:sz w:val="20"/>
    </w:rPr>
  </w:style>
  <w:style w:type="paragraph" w:styleId="809">
    <w:name w:val="普通文字"/>
    <w:basedOn w:val="760"/>
    <w:next w:val="760"/>
    <w:link w:val="760"/>
    <w:rPr>
      <w:rFonts w:ascii="宋体"/>
      <w:sz w:val="24"/>
    </w:rPr>
  </w:style>
  <w:style w:type="paragraph" w:styleId="810">
    <w:name w:val="Default Paragraph Font Para Char"/>
    <w:basedOn w:val="760"/>
    <w:next w:val="810"/>
    <w:link w:val="760"/>
    <w:pPr>
      <w:jc w:val="left"/>
      <w:spacing w:after="160" w:line="240" w:lineRule="exact"/>
      <w:widowControl/>
    </w:pPr>
  </w:style>
  <w:style w:type="paragraph" w:styleId="811">
    <w:name w:val="索引 11"/>
    <w:basedOn w:val="760"/>
    <w:next w:val="760"/>
    <w:link w:val="760"/>
    <w:qFormat/>
    <w:pPr>
      <w:spacing w:line="360" w:lineRule="auto"/>
    </w:pPr>
    <w:rPr>
      <w:rFonts w:ascii="仿宋_GB2312" w:eastAsia="仿宋_GB2312"/>
      <w:sz w:val="24"/>
      <w:szCs w:val="20"/>
    </w:rPr>
  </w:style>
  <w:style w:type="paragraph" w:styleId="812">
    <w:name w:val="纯文本1"/>
    <w:basedOn w:val="760"/>
    <w:next w:val="812"/>
    <w:link w:val="760"/>
    <w:qFormat/>
    <w:rPr>
      <w:rFonts w:ascii="宋体" w:hAnsi="Courier New" w:eastAsia="宋体" w:cs="Times New Roman"/>
      <w:szCs w:val="22"/>
    </w:rPr>
  </w:style>
  <w:style w:type="paragraph" w:styleId="813">
    <w:name w:val="列出段落"/>
    <w:basedOn w:val="760"/>
    <w:next w:val="813"/>
    <w:link w:val="760"/>
    <w:qFormat/>
    <w:pPr>
      <w:ind w:firstLine="420"/>
    </w:pPr>
    <w:rPr>
      <w:sz w:val="21"/>
    </w:rPr>
  </w:style>
  <w:style w:type="paragraph" w:styleId="814">
    <w:name w:val="修订"/>
    <w:next w:val="814"/>
    <w:link w:val="760"/>
    <w:uiPriority w:val="99"/>
    <w:unhideWhenUsed/>
    <w:rPr>
      <w:sz w:val="21"/>
      <w:lang w:val="en-US" w:eastAsia="zh-CN" w:bidi="ar-SA"/>
    </w:rPr>
  </w:style>
  <w:style w:type="table" w:styleId="815">
    <w:name w:val="网格型1"/>
    <w:basedOn w:val="771"/>
    <w:next w:val="815"/>
    <w:link w:val="760"/>
    <w:pPr>
      <w:jc w:val="both"/>
      <w:widowControl w:val="off"/>
    </w:pPr>
    <w:rPr>
      <w:rFonts w:ascii="Times New Roman" w:hAnsi="Times New Roman"/>
    </w:rPr>
    <w:tblPr/>
  </w:style>
  <w:style w:type="paragraph" w:styleId="816">
    <w:name w:val="纯文本11"/>
    <w:basedOn w:val="760"/>
    <w:next w:val="816"/>
    <w:link w:val="760"/>
    <w:qFormat/>
    <w:rPr>
      <w:rFonts w:ascii="宋体" w:hAnsi="Courier New" w:eastAsia="楷体_GB2312"/>
      <w:sz w:val="26"/>
      <w:szCs w:val="20"/>
    </w:rPr>
  </w:style>
  <w:style w:type="paragraph" w:styleId="817">
    <w:name w:val="样式 标题 2 + 宋体 段前: 1 行"/>
    <w:basedOn w:val="762"/>
    <w:next w:val="817"/>
    <w:link w:val="760"/>
    <w:qFormat/>
    <w:pPr>
      <w:ind w:left="5806" w:hanging="420"/>
      <w:jc w:val="center"/>
      <w:keepLines w:val="0"/>
      <w:keepNext w:val="0"/>
      <w:spacing w:before="0" w:after="0" w:line="560" w:lineRule="exact"/>
      <w:tabs>
        <w:tab w:val="left" w:pos="5386" w:leader="none"/>
      </w:tabs>
      <w:outlineLvl w:val="0"/>
    </w:pPr>
    <w:rPr>
      <w:rFonts w:ascii="黑体" w:hAnsi="黑体" w:eastAsia="黑体" w:cs="微软雅黑"/>
      <w:b w:val="0"/>
      <w:spacing w:val="20"/>
      <w:sz w:val="44"/>
      <w:szCs w:val="44"/>
    </w:rPr>
  </w:style>
  <w:style w:type="character" w:styleId="818">
    <w:name w:val="font61"/>
    <w:basedOn w:val="802"/>
    <w:next w:val="818"/>
    <w:link w:val="760"/>
    <w:qFormat/>
    <w:rPr>
      <w:sz w:val="21"/>
      <w:lang w:val="en-US" w:eastAsia="zh-CN" w:bidi="ar-SA"/>
    </w:rPr>
  </w:style>
  <w:style w:type="character" w:styleId="819">
    <w:name w:val="font41"/>
    <w:basedOn w:val="770"/>
    <w:next w:val="819"/>
    <w:link w:val="760"/>
    <w:rPr>
      <w:rFonts w:hint="eastAsia" w:ascii="宋体" w:hAnsi="宋体" w:eastAsia="宋体" w:cs="宋体"/>
      <w:color w:val="000000"/>
      <w:sz w:val="16"/>
      <w:szCs w:val="16"/>
      <w:u w:val="none"/>
    </w:rPr>
  </w:style>
  <w:style w:type="character" w:styleId="820">
    <w:name w:val="font81"/>
    <w:basedOn w:val="770"/>
    <w:next w:val="820"/>
    <w:link w:val="760"/>
    <w:rPr>
      <w:rFonts w:hint="eastAsia" w:ascii="宋体" w:hAnsi="宋体" w:eastAsia="宋体" w:cs="宋体"/>
      <w:color w:val="000000"/>
      <w:sz w:val="16"/>
      <w:szCs w:val="16"/>
      <w:u w:val="single"/>
    </w:rPr>
  </w:style>
  <w:style w:type="paragraph" w:styleId="821">
    <w:name w:val="Body Style"/>
    <w:next w:val="821"/>
    <w:link w:val="760"/>
    <w:qFormat/>
    <w:pPr>
      <w:ind w:firstLine="480"/>
      <w:spacing w:after="120" w:line="360" w:lineRule="auto"/>
    </w:pPr>
    <w:rPr>
      <w:rFonts w:ascii="宋体" w:hAnsi="宋体" w:eastAsia="宋体" w:cs="Times New Roman"/>
      <w:sz w:val="24"/>
      <w:szCs w:val="22"/>
      <w:lang w:val="en-US" w:eastAsia="en-US" w:bidi="ar-SA"/>
    </w:rPr>
  </w:style>
  <w:style w:type="paragraph" w:styleId="822">
    <w:name w:val="Emphasis Style"/>
    <w:next w:val="822"/>
    <w:link w:val="760"/>
    <w:qFormat/>
    <w:pPr>
      <w:spacing w:after="200" w:line="360" w:lineRule="auto"/>
    </w:pPr>
    <w:rPr>
      <w:rFonts w:ascii="宋体" w:hAnsi="宋体" w:eastAsia="宋体" w:cs="Times New Roman"/>
      <w:b/>
      <w:color w:val="cc0000"/>
      <w:sz w:val="24"/>
      <w:szCs w:val="22"/>
      <w:lang w:val="en-US" w:eastAsia="en-US" w:bidi="ar-SA"/>
    </w:rPr>
  </w:style>
  <w:style w:type="paragraph" w:styleId="823">
    <w:name w:val="__正文"/>
    <w:next w:val="823"/>
    <w:link w:val="760"/>
    <w:qFormat/>
    <w:pPr>
      <w:ind w:firstLine="200"/>
      <w:jc w:val="both"/>
      <w:spacing w:line="360" w:lineRule="auto"/>
    </w:pPr>
    <w:rPr>
      <w:rFonts w:ascii="Times New Roman" w:hAnsi="Times New Roman" w:eastAsia="宋体" w:cs="Times New Roman"/>
      <w:sz w:val="24"/>
      <w:szCs w:val="21"/>
      <w:lang w:val="en-US" w:eastAsia="zh-CN" w:bidi="ar-SA"/>
    </w:rPr>
  </w:style>
  <w:style w:type="paragraph" w:styleId="824">
    <w:name w:val="索引 411"/>
    <w:basedOn w:val="760"/>
    <w:next w:val="760"/>
    <w:link w:val="760"/>
    <w:qFormat/>
    <w:pPr>
      <w:ind w:left="960" w:hanging="240"/>
      <w:jc w:val="left"/>
      <w:spacing w:line="360" w:lineRule="auto"/>
    </w:pPr>
    <w:rPr>
      <w:sz w:val="20"/>
      <w:szCs w:val="20"/>
    </w:rPr>
  </w:style>
  <w:style w:type="paragraph" w:styleId="825">
    <w:name w:val="默认段落字体 Para Char"/>
    <w:basedOn w:val="760"/>
    <w:next w:val="825"/>
    <w:link w:val="760"/>
    <w:qFormat/>
    <w:pPr>
      <w:numPr>
        <w:ilvl w:val="0"/>
        <w:numId w:val="1"/>
      </w:numPr>
      <w:tabs>
        <w:tab w:val="left" w:pos="552" w:leader="none"/>
      </w:tabs>
    </w:pPr>
    <w:rPr>
      <w:rFonts w:hAnsi="Calibri"/>
      <w:sz w:val="24"/>
    </w:rPr>
  </w:style>
  <w:style w:type="paragraph" w:styleId="826">
    <w:name w:val="表格"/>
    <w:basedOn w:val="760"/>
    <w:next w:val="826"/>
    <w:link w:val="760"/>
    <w:qFormat/>
    <w:pPr>
      <w:jc w:val="center"/>
      <w:tabs>
        <w:tab w:val="left" w:pos="180" w:leader="none"/>
      </w:tabs>
    </w:pPr>
    <w:rPr>
      <w:sz w:val="24"/>
    </w:rPr>
  </w:style>
  <w:style w:type="paragraph" w:styleId="827">
    <w:name w:val="Important Style"/>
    <w:next w:val="827"/>
    <w:link w:val="760"/>
    <w:qFormat/>
    <w:pPr>
      <w:ind w:firstLine="480"/>
      <w:spacing w:after="200" w:line="276" w:lineRule="auto"/>
    </w:pPr>
    <w:rPr>
      <w:rFonts w:ascii="宋体" w:hAnsi="宋体" w:eastAsia="宋体" w:cs="Times New Roman"/>
      <w:b/>
      <w:color w:val="b22222"/>
      <w:sz w:val="24"/>
      <w:szCs w:val="22"/>
      <w:lang w:val="en-US" w:eastAsia="en-US" w:bidi="ar-SA"/>
    </w:rPr>
  </w:style>
  <w:style w:type="paragraph" w:styleId="828">
    <w:name w:val="列表项目符号 21"/>
    <w:basedOn w:val="760"/>
    <w:next w:val="828"/>
    <w:link w:val="760"/>
    <w:qFormat/>
    <w:pPr>
      <w:numPr>
        <w:ilvl w:val="0"/>
        <w:numId w:val="2"/>
      </w:numPr>
      <w:tabs>
        <w:tab w:val="left" w:pos="780" w:leader="none"/>
      </w:tabs>
    </w:pPr>
  </w:style>
  <w:style w:type="paragraph" w:styleId="829">
    <w:name w:val="Fließtext"/>
    <w:basedOn w:val="760"/>
    <w:next w:val="829"/>
    <w:link w:val="760"/>
    <w:qFormat/>
    <w:rPr>
      <w:rFonts w:ascii="Calibri" w:hAnsi="Calibri" w:eastAsia="宋体" w:cs="Times New Roman"/>
      <w:szCs w:val="20"/>
    </w:rPr>
  </w:style>
  <w:style w:type="character" w:styleId="17989" w:default="1">
    <w:name w:val="Default Paragraph Font"/>
    <w:uiPriority w:val="1"/>
    <w:semiHidden/>
    <w:unhideWhenUsed/>
  </w:style>
  <w:style w:type="numbering" w:styleId="17990" w:default="1">
    <w:name w:val="No List"/>
    <w:uiPriority w:val="99"/>
    <w:semiHidden/>
    <w:unhideWhenUsed/>
  </w:style>
  <w:style w:type="table" w:styleId="17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于梓豪</cp:lastModifiedBy>
  <cp:revision>9</cp:revision>
  <dcterms:created xsi:type="dcterms:W3CDTF">2024-10-25T03:01:00Z</dcterms:created>
  <dcterms:modified xsi:type="dcterms:W3CDTF">2026-05-06T02:38:55Z</dcterms:modified>
</cp:coreProperties>
</file>