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caps/>
          <w:color w:val="000000"/>
          <w:sz w:val="32"/>
          <w:szCs w:val="32"/>
          <w:highlight w:val="none"/>
          <w:lang w:val="zh-CN"/>
        </w:rPr>
      </w:pPr>
      <w:r>
        <w:rPr>
          <w:rFonts w:ascii="宋体" w:hAnsi="宋体" w:cs="宋体"/>
          <w:caps/>
          <w:color w:val="000000"/>
          <w:sz w:val="32"/>
          <w:szCs w:val="32"/>
          <w:highlight w:val="none"/>
          <w:lang w:val="zh-CN"/>
        </w:rPr>
      </w:r>
      <w:r/>
    </w:p>
    <w:p>
      <w:pPr>
        <w:jc w:val="center"/>
        <w:spacing w:line="360" w:lineRule="auto"/>
        <w:shd w:val="clear" w:color="auto" w:fill="ffffff"/>
        <w:widowControl/>
        <w:rPr>
          <w:rFonts w:ascii="宋体" w:hAnsi="宋体" w:cs="宋体"/>
          <w:b/>
          <w:color w:val="000000"/>
          <w:sz w:val="44"/>
          <w:szCs w:val="44"/>
          <w:highlight w:val="none"/>
        </w:rPr>
      </w:pPr>
      <w:r>
        <w:rPr>
          <w:rFonts w:ascii="宋体" w:hAnsi="宋体" w:cs="宋体"/>
          <w:b/>
          <w:color w:val="000000"/>
          <w:sz w:val="44"/>
          <w:szCs w:val="44"/>
          <w:highlight w:val="none"/>
        </w:rPr>
      </w:r>
      <w:r/>
    </w:p>
    <w:p>
      <w:pPr>
        <w:jc w:val="center"/>
        <w:spacing w:line="360" w:lineRule="auto"/>
        <w:shd w:val="clear" w:color="auto" w:fill="ffffff"/>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2026年江苏省五台山体育中心</w:t>
      </w:r>
      <w:r/>
    </w:p>
    <w:p>
      <w:pPr>
        <w:jc w:val="center"/>
        <w:spacing w:line="360" w:lineRule="auto"/>
        <w:shd w:val="clear" w:color="auto" w:fill="ffffff"/>
        <w:widowControl/>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重大体育设施建设（供电增容）工程</w:t>
      </w:r>
      <w:r/>
    </w:p>
    <w:p>
      <w:pPr>
        <w:spacing w:line="360" w:lineRule="auto"/>
        <w:shd w:val="clear" w:color="auto" w:fill="ffffff"/>
        <w:widowControl/>
        <w:rPr>
          <w:rFonts w:ascii="宋体" w:hAnsi="宋体" w:cs="宋体"/>
          <w:b/>
          <w:color w:val="000000"/>
          <w:sz w:val="32"/>
          <w:szCs w:val="32"/>
          <w:highlight w:val="none"/>
        </w:rPr>
      </w:pPr>
      <w:r>
        <w:rPr>
          <w:rFonts w:ascii="宋体" w:hAnsi="宋体" w:cs="宋体"/>
          <w:b/>
          <w:color w:val="000000"/>
          <w:sz w:val="32"/>
          <w:szCs w:val="32"/>
          <w:highlight w:val="none"/>
        </w:rPr>
      </w:r>
      <w:r/>
    </w:p>
    <w:p>
      <w:pPr>
        <w:rPr>
          <w:rFonts w:ascii="宋体" w:hAnsi="宋体" w:cs="宋体"/>
          <w:color w:val="000000"/>
          <w:sz w:val="32"/>
          <w:szCs w:val="32"/>
          <w:highlight w:val="none"/>
        </w:rPr>
      </w:pPr>
      <w:r>
        <w:rPr>
          <w:rFonts w:ascii="宋体" w:hAnsi="宋体" w:cs="宋体"/>
          <w:color w:val="000000"/>
          <w:sz w:val="32"/>
          <w:szCs w:val="32"/>
          <w:highlight w:val="none"/>
        </w:rPr>
      </w:r>
      <w:r/>
    </w:p>
    <w:p>
      <w:pPr>
        <w:jc w:val="center"/>
        <w:spacing w:line="360" w:lineRule="auto"/>
        <w:shd w:val="clear" w:color="auto" w:fill="ffffff"/>
        <w:widowControl/>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widowControl/>
        <w:rPr>
          <w:rFonts w:ascii="宋体" w:hAnsi="宋体" w:cs="宋体"/>
          <w:b/>
          <w:color w:val="000000"/>
          <w:sz w:val="48"/>
          <w:szCs w:val="44"/>
          <w:highlight w:val="none"/>
        </w:rPr>
      </w:pPr>
      <w:r>
        <w:rPr>
          <w:rFonts w:hint="eastAsia" w:ascii="宋体" w:hAnsi="宋体" w:cs="宋体"/>
          <w:b/>
          <w:color w:val="000000"/>
          <w:sz w:val="48"/>
          <w:szCs w:val="44"/>
          <w:highlight w:val="none"/>
        </w:rPr>
        <w:t xml:space="preserve">公 开 招 标 文 件</w:t>
      </w:r>
      <w:r/>
    </w:p>
    <w:p>
      <w:pPr>
        <w:jc w:val="center"/>
        <w:spacing w:line="360" w:lineRule="auto"/>
        <w:widowControl/>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widowControl/>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widowControl/>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widowControl/>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widowControl/>
        <w:rPr>
          <w:rFonts w:ascii="宋体" w:hAnsi="宋体" w:cs="宋体"/>
          <w:b/>
          <w:color w:val="000000"/>
          <w:sz w:val="32"/>
          <w:szCs w:val="32"/>
          <w:highlight w:val="none"/>
        </w:rPr>
      </w:pPr>
      <w:r>
        <w:rPr>
          <w:rFonts w:ascii="宋体" w:hAnsi="宋体" w:cs="宋体"/>
          <w:b/>
          <w:color w:val="000000"/>
          <w:sz w:val="32"/>
          <w:szCs w:val="32"/>
          <w:highlight w:val="none"/>
        </w:rPr>
      </w:r>
      <w:r/>
    </w:p>
    <w:p>
      <w:pPr>
        <w:ind w:firstLine="1276"/>
        <w:jc w:val="left"/>
        <w:spacing w:line="360" w:lineRule="auto"/>
        <w:widowControl/>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项目编号：JSZC-320101-JSZR-S0401-001</w:t>
      </w:r>
      <w:r/>
    </w:p>
    <w:p>
      <w:pPr>
        <w:ind w:firstLine="1276"/>
        <w:jc w:val="left"/>
        <w:spacing w:line="360" w:lineRule="auto"/>
        <w:widowControl/>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采购人：江苏省五台山体育中心</w:t>
      </w:r>
      <w:r/>
    </w:p>
    <w:p>
      <w:pPr>
        <w:ind w:firstLine="1276"/>
        <w:jc w:val="left"/>
        <w:spacing w:line="360" w:lineRule="auto"/>
        <w:widowControl/>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招标代理机构：江苏中瑞建设项目管理有限公司</w:t>
      </w:r>
      <w:r/>
    </w:p>
    <w:p>
      <w:pPr>
        <w:ind w:firstLine="1276"/>
        <w:jc w:val="lef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日期：二〇二六年四月</w:t>
      </w:r>
      <w:r/>
    </w:p>
    <w:p>
      <w:pPr>
        <w:jc w:val="center"/>
        <w:rPr>
          <w:rFonts w:ascii="宋体" w:hAnsi="宋体" w:cs="宋体"/>
          <w:b/>
          <w:bCs/>
          <w:color w:val="000000"/>
          <w:sz w:val="32"/>
          <w:szCs w:val="32"/>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375" w:bottom="1418" w:left="1531" w:header="851" w:footer="992" w:gutter="0"/>
          <w:cols w:num="1" w:sep="0" w:space="1701" w:equalWidth="1"/>
          <w:docGrid w:linePitch="360"/>
          <w:titlePg/>
        </w:sectPr>
      </w:pPr>
      <w:r>
        <w:rPr>
          <w:rFonts w:ascii="宋体" w:hAnsi="宋体" w:cs="宋体"/>
          <w:b/>
          <w:bCs/>
          <w:color w:val="000000"/>
          <w:sz w:val="32"/>
          <w:szCs w:val="32"/>
          <w:highlight w:val="none"/>
        </w:rPr>
      </w:r>
      <w:r/>
    </w:p>
    <w:p>
      <w:pPr>
        <w:pStyle w:val="885"/>
        <w:jc w:val="center"/>
        <w:tabs>
          <w:tab w:val="right" w:pos="9000" w:leader="dot"/>
        </w:tabs>
        <w:rPr>
          <w:b/>
          <w:bCs/>
          <w:sz w:val="32"/>
          <w:szCs w:val="32"/>
          <w:highlight w:val="none"/>
        </w:rPr>
      </w:pPr>
      <w:r>
        <w:rPr>
          <w:rFonts w:hint="eastAsia"/>
          <w:b/>
          <w:bCs/>
          <w:sz w:val="32"/>
          <w:szCs w:val="32"/>
          <w:highlight w:val="none"/>
        </w:rPr>
        <w:t xml:space="preserve">目  录</w:t>
      </w:r>
      <w:r/>
    </w:p>
    <w:p>
      <w:pPr>
        <w:pStyle w:val="885"/>
        <w:tabs>
          <w:tab w:val="right" w:pos="9000" w:leader="dot"/>
        </w:tabs>
        <w:rPr>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_Toc17683 </w:instrText>
      </w:r>
      <w:r>
        <w:rPr>
          <w:highlight w:val="none"/>
        </w:rPr>
        <w:fldChar w:fldCharType="separate"/>
      </w:r>
      <w:r>
        <w:rPr>
          <w:rFonts w:hint="eastAsia" w:ascii="宋体" w:hAnsi="宋体" w:cs="宋体"/>
          <w:bCs/>
          <w:szCs w:val="32"/>
          <w:highlight w:val="none"/>
        </w:rPr>
        <w:t xml:space="preserve">第一章 招标公告</w:t>
      </w:r>
      <w:r>
        <w:rPr>
          <w:highlight w:val="none"/>
        </w:rPr>
        <w:tab/>
      </w:r>
      <w:r>
        <w:rPr>
          <w:highlight w:val="none"/>
        </w:rPr>
        <w:fldChar w:fldCharType="begin"/>
      </w:r>
      <w:r>
        <w:rPr>
          <w:highlight w:val="none"/>
        </w:rPr>
        <w:instrText xml:space="preserve"> PAGEREF _Toc17683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_Toc14307 </w:instrText>
      </w:r>
      <w:r>
        <w:rPr>
          <w:highlight w:val="none"/>
        </w:rPr>
        <w:fldChar w:fldCharType="separate"/>
      </w:r>
      <w:r>
        <w:rPr>
          <w:rFonts w:hint="eastAsia" w:ascii="宋体" w:hAnsi="宋体" w:cs="宋体"/>
          <w:highlight w:val="none"/>
        </w:rPr>
        <w:t xml:space="preserve">一、项目基本情况</w:t>
      </w:r>
      <w:r>
        <w:rPr>
          <w:highlight w:val="none"/>
        </w:rPr>
        <w:tab/>
      </w:r>
      <w:r>
        <w:rPr>
          <w:highlight w:val="none"/>
        </w:rPr>
        <w:fldChar w:fldCharType="begin"/>
      </w:r>
      <w:r>
        <w:rPr>
          <w:highlight w:val="none"/>
        </w:rPr>
        <w:instrText xml:space="preserve"> PAGEREF _Toc14307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_Toc14904 </w:instrText>
      </w:r>
      <w:r>
        <w:rPr>
          <w:highlight w:val="none"/>
        </w:rPr>
        <w:fldChar w:fldCharType="separate"/>
      </w:r>
      <w:r>
        <w:rPr>
          <w:rFonts w:hint="eastAsia" w:ascii="宋体" w:hAnsi="宋体" w:cs="宋体"/>
          <w:highlight w:val="none"/>
        </w:rPr>
        <w:t xml:space="preserve">二、申请人的资格要求</w:t>
      </w:r>
      <w:r>
        <w:rPr>
          <w:highlight w:val="none"/>
        </w:rPr>
        <w:tab/>
      </w:r>
      <w:r>
        <w:rPr>
          <w:highlight w:val="none"/>
        </w:rPr>
        <w:fldChar w:fldCharType="begin"/>
      </w:r>
      <w:r>
        <w:rPr>
          <w:highlight w:val="none"/>
        </w:rPr>
        <w:instrText xml:space="preserve"> PAGEREF _Toc14904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_Toc27740 </w:instrText>
      </w:r>
      <w:r>
        <w:rPr>
          <w:highlight w:val="none"/>
        </w:rPr>
        <w:fldChar w:fldCharType="separate"/>
      </w:r>
      <w:r>
        <w:rPr>
          <w:rFonts w:hint="eastAsia" w:ascii="宋体" w:hAnsi="宋体" w:cs="宋体"/>
          <w:highlight w:val="none"/>
        </w:rPr>
        <w:t xml:space="preserve">三、获取采购文件</w:t>
      </w:r>
      <w:r>
        <w:rPr>
          <w:highlight w:val="none"/>
        </w:rPr>
        <w:tab/>
      </w:r>
      <w:r>
        <w:rPr>
          <w:highlight w:val="none"/>
        </w:rPr>
        <w:fldChar w:fldCharType="begin"/>
      </w:r>
      <w:r>
        <w:rPr>
          <w:highlight w:val="none"/>
        </w:rPr>
        <w:instrText xml:space="preserve"> PAGEREF _Toc27740 \h </w:instrText>
      </w:r>
      <w:r>
        <w:rPr>
          <w:highlight w:val="none"/>
        </w:rPr>
        <w:fldChar w:fldCharType="separate"/>
      </w:r>
      <w:r>
        <w:rPr>
          <w:highlight w:val="none"/>
        </w:rPr>
        <w:t xml:space="preserve">2</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_Toc3633 </w:instrText>
      </w:r>
      <w:r>
        <w:rPr>
          <w:highlight w:val="none"/>
        </w:rPr>
        <w:fldChar w:fldCharType="separate"/>
      </w:r>
      <w:r>
        <w:rPr>
          <w:rFonts w:hint="eastAsia" w:ascii="宋体" w:hAnsi="宋体" w:cs="宋体"/>
          <w:highlight w:val="none"/>
        </w:rPr>
        <w:t xml:space="preserve">四、提交投标文件截止时间、开标时间和地点</w:t>
      </w:r>
      <w:r>
        <w:rPr>
          <w:highlight w:val="none"/>
        </w:rPr>
        <w:tab/>
      </w:r>
      <w:r>
        <w:rPr>
          <w:highlight w:val="none"/>
        </w:rPr>
        <w:fldChar w:fldCharType="begin"/>
      </w:r>
      <w:r>
        <w:rPr>
          <w:highlight w:val="none"/>
        </w:rPr>
        <w:instrText xml:space="preserve"> PAGEREF _Toc3633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_Toc5344 </w:instrText>
      </w:r>
      <w:r>
        <w:rPr>
          <w:highlight w:val="none"/>
        </w:rPr>
        <w:fldChar w:fldCharType="separate"/>
      </w:r>
      <w:r>
        <w:rPr>
          <w:rFonts w:hint="eastAsia" w:ascii="宋体" w:hAnsi="宋体" w:cs="宋体"/>
          <w:highlight w:val="none"/>
        </w:rPr>
        <w:t xml:space="preserve">五、公告期限</w:t>
      </w:r>
      <w:r>
        <w:rPr>
          <w:highlight w:val="none"/>
        </w:rPr>
        <w:tab/>
      </w:r>
      <w:r>
        <w:rPr>
          <w:highlight w:val="none"/>
        </w:rPr>
        <w:fldChar w:fldCharType="begin"/>
      </w:r>
      <w:r>
        <w:rPr>
          <w:highlight w:val="none"/>
        </w:rPr>
        <w:instrText xml:space="preserve"> PAGEREF _Toc5344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_Toc15736 </w:instrText>
      </w:r>
      <w:r>
        <w:rPr>
          <w:highlight w:val="none"/>
        </w:rPr>
        <w:fldChar w:fldCharType="separate"/>
      </w:r>
      <w:r>
        <w:rPr>
          <w:rFonts w:hint="eastAsia" w:ascii="宋体" w:hAnsi="宋体" w:cs="宋体"/>
          <w:highlight w:val="none"/>
        </w:rPr>
        <w:t xml:space="preserve">六、其他补充事宜</w:t>
      </w:r>
      <w:r>
        <w:rPr>
          <w:highlight w:val="none"/>
        </w:rPr>
        <w:tab/>
      </w:r>
      <w:r>
        <w:rPr>
          <w:highlight w:val="none"/>
        </w:rPr>
        <w:fldChar w:fldCharType="begin"/>
      </w:r>
      <w:r>
        <w:rPr>
          <w:highlight w:val="none"/>
        </w:rPr>
        <w:instrText xml:space="preserve"> PAGEREF _Toc15736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_Toc18995 </w:instrText>
      </w:r>
      <w:r>
        <w:rPr>
          <w:highlight w:val="none"/>
        </w:rPr>
        <w:fldChar w:fldCharType="separate"/>
      </w:r>
      <w:r>
        <w:rPr>
          <w:rFonts w:hint="eastAsia" w:ascii="宋体" w:hAnsi="宋体" w:cs="宋体"/>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_Toc18995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885"/>
        <w:tabs>
          <w:tab w:val="right" w:pos="9000" w:leader="dot"/>
        </w:tabs>
        <w:rPr>
          <w:highlight w:val="none"/>
        </w:rPr>
      </w:pPr>
      <w:r>
        <w:rPr>
          <w:highlight w:val="none"/>
        </w:rPr>
        <w:fldChar w:fldCharType="begin"/>
      </w:r>
      <w:r>
        <w:rPr>
          <w:highlight w:val="none"/>
        </w:rPr>
        <w:instrText xml:space="preserve"> HYPERLINK \l _Toc6954 </w:instrText>
      </w:r>
      <w:r>
        <w:rPr>
          <w:highlight w:val="none"/>
        </w:rPr>
        <w:fldChar w:fldCharType="separate"/>
      </w:r>
      <w:r>
        <w:rPr>
          <w:rFonts w:hint="eastAsia" w:ascii="宋体" w:hAnsi="宋体" w:cs="宋体"/>
          <w:bCs/>
          <w:szCs w:val="32"/>
          <w:highlight w:val="none"/>
          <w:lang w:val="zh-CN"/>
        </w:rPr>
        <w:t xml:space="preserve">第二章供应商须知</w:t>
      </w:r>
      <w:r>
        <w:rPr>
          <w:highlight w:val="none"/>
        </w:rPr>
        <w:tab/>
      </w:r>
      <w:r>
        <w:rPr>
          <w:highlight w:val="none"/>
        </w:rPr>
        <w:fldChar w:fldCharType="begin"/>
      </w:r>
      <w:r>
        <w:rPr>
          <w:highlight w:val="none"/>
        </w:rPr>
        <w:instrText xml:space="preserve"> PAGEREF _Toc6954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85"/>
        <w:tabs>
          <w:tab w:val="right" w:pos="9000" w:leader="dot"/>
        </w:tabs>
        <w:rPr>
          <w:highlight w:val="none"/>
        </w:rPr>
      </w:pPr>
      <w:r>
        <w:rPr>
          <w:highlight w:val="none"/>
        </w:rPr>
        <w:fldChar w:fldCharType="begin"/>
      </w:r>
      <w:r>
        <w:rPr>
          <w:highlight w:val="none"/>
        </w:rPr>
        <w:instrText xml:space="preserve"> HYPERLINK \l _Toc25280 </w:instrText>
      </w:r>
      <w:r>
        <w:rPr>
          <w:highlight w:val="none"/>
        </w:rPr>
        <w:fldChar w:fldCharType="separate"/>
      </w:r>
      <w:r>
        <w:rPr>
          <w:rFonts w:hint="eastAsia" w:ascii="宋体" w:hAnsi="宋体" w:cs="宋体"/>
          <w:bCs/>
          <w:szCs w:val="32"/>
          <w:highlight w:val="none"/>
          <w:lang w:val="zh-CN"/>
        </w:rPr>
        <w:t xml:space="preserve">第三章 评标标准</w:t>
      </w:r>
      <w:r>
        <w:rPr>
          <w:highlight w:val="none"/>
        </w:rPr>
        <w:tab/>
      </w:r>
      <w:r>
        <w:rPr>
          <w:highlight w:val="none"/>
        </w:rPr>
        <w:fldChar w:fldCharType="begin"/>
      </w:r>
      <w:r>
        <w:rPr>
          <w:highlight w:val="none"/>
        </w:rPr>
        <w:instrText xml:space="preserve"> PAGEREF _Toc25280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885"/>
        <w:tabs>
          <w:tab w:val="right" w:pos="9000" w:leader="dot"/>
        </w:tabs>
        <w:rPr>
          <w:highlight w:val="none"/>
        </w:rPr>
      </w:pPr>
      <w:r>
        <w:rPr>
          <w:highlight w:val="none"/>
        </w:rPr>
        <w:fldChar w:fldCharType="begin"/>
      </w:r>
      <w:r>
        <w:rPr>
          <w:highlight w:val="none"/>
        </w:rPr>
        <w:instrText xml:space="preserve"> HYPERLINK \l _Toc15552 </w:instrText>
      </w:r>
      <w:r>
        <w:rPr>
          <w:highlight w:val="none"/>
        </w:rPr>
        <w:fldChar w:fldCharType="separate"/>
      </w:r>
      <w:r>
        <w:rPr>
          <w:rFonts w:hint="eastAsia" w:ascii="宋体" w:hAnsi="宋体" w:cs="宋体"/>
          <w:bCs/>
          <w:szCs w:val="32"/>
          <w:highlight w:val="none"/>
        </w:rPr>
        <w:t xml:space="preserve">第四章 招标项目要求</w:t>
      </w:r>
      <w:r>
        <w:rPr>
          <w:highlight w:val="none"/>
        </w:rPr>
        <w:tab/>
      </w:r>
      <w:r>
        <w:rPr>
          <w:highlight w:val="none"/>
        </w:rPr>
        <w:fldChar w:fldCharType="begin"/>
      </w:r>
      <w:r>
        <w:rPr>
          <w:highlight w:val="none"/>
        </w:rPr>
        <w:instrText xml:space="preserve"> PAGEREF _Toc15552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885"/>
        <w:tabs>
          <w:tab w:val="right" w:pos="9000" w:leader="dot"/>
        </w:tabs>
        <w:rPr>
          <w:highlight w:val="none"/>
        </w:rPr>
      </w:pPr>
      <w:r>
        <w:rPr>
          <w:highlight w:val="none"/>
        </w:rPr>
        <w:fldChar w:fldCharType="begin"/>
      </w:r>
      <w:r>
        <w:rPr>
          <w:highlight w:val="none"/>
        </w:rPr>
        <w:instrText xml:space="preserve"> HYPERLINK \l _Toc15340 </w:instrText>
      </w:r>
      <w:r>
        <w:rPr>
          <w:highlight w:val="none"/>
        </w:rPr>
        <w:fldChar w:fldCharType="separate"/>
      </w:r>
      <w:r>
        <w:rPr>
          <w:rFonts w:hint="eastAsia" w:ascii="宋体" w:hAnsi="宋体" w:cs="宋体"/>
          <w:bCs/>
          <w:szCs w:val="32"/>
          <w:highlight w:val="none"/>
        </w:rPr>
        <w:t xml:space="preserve">第五章 工程量清单</w:t>
      </w:r>
      <w:r>
        <w:rPr>
          <w:highlight w:val="none"/>
        </w:rPr>
        <w:tab/>
      </w:r>
      <w:r>
        <w:rPr>
          <w:highlight w:val="none"/>
        </w:rPr>
        <w:fldChar w:fldCharType="begin"/>
      </w:r>
      <w:r>
        <w:rPr>
          <w:highlight w:val="none"/>
        </w:rPr>
        <w:instrText xml:space="preserve"> PAGEREF _Toc15340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885"/>
        <w:tabs>
          <w:tab w:val="right" w:pos="9000" w:leader="dot"/>
        </w:tabs>
        <w:rPr>
          <w:highlight w:val="none"/>
        </w:rPr>
      </w:pPr>
      <w:r>
        <w:rPr>
          <w:highlight w:val="none"/>
        </w:rPr>
        <w:fldChar w:fldCharType="begin"/>
      </w:r>
      <w:r>
        <w:rPr>
          <w:highlight w:val="none"/>
        </w:rPr>
        <w:instrText xml:space="preserve"> HYPERLINK \l _Toc30865 </w:instrText>
      </w:r>
      <w:r>
        <w:rPr>
          <w:highlight w:val="none"/>
        </w:rPr>
        <w:fldChar w:fldCharType="separate"/>
      </w:r>
      <w:r>
        <w:rPr>
          <w:rFonts w:hint="eastAsia" w:ascii="宋体" w:hAnsi="宋体" w:cs="宋体"/>
          <w:bCs/>
          <w:szCs w:val="32"/>
          <w:highlight w:val="none"/>
        </w:rPr>
        <w:t xml:space="preserve">第六章合同主要条款及格式</w:t>
      </w:r>
      <w:r>
        <w:rPr>
          <w:highlight w:val="none"/>
        </w:rPr>
        <w:tab/>
      </w:r>
      <w:r>
        <w:rPr>
          <w:highlight w:val="none"/>
        </w:rPr>
        <w:fldChar w:fldCharType="begin"/>
      </w:r>
      <w:r>
        <w:rPr>
          <w:highlight w:val="none"/>
        </w:rPr>
        <w:instrText xml:space="preserve"> PAGEREF _Toc30865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_Toc12051 </w:instrText>
      </w:r>
      <w:r>
        <w:rPr>
          <w:highlight w:val="none"/>
        </w:rPr>
        <w:fldChar w:fldCharType="separate"/>
      </w:r>
      <w:r>
        <w:rPr>
          <w:rFonts w:hint="eastAsia" w:ascii="宋体" w:hAnsi="宋体" w:cs="宋体"/>
          <w:bCs/>
          <w:szCs w:val="32"/>
          <w:highlight w:val="none"/>
        </w:rPr>
        <w:t xml:space="preserve">第一部分 合同协议书</w:t>
      </w:r>
      <w:r>
        <w:rPr>
          <w:highlight w:val="none"/>
        </w:rPr>
        <w:tab/>
      </w:r>
      <w:r>
        <w:rPr>
          <w:highlight w:val="none"/>
        </w:rPr>
        <w:fldChar w:fldCharType="begin"/>
      </w:r>
      <w:r>
        <w:rPr>
          <w:highlight w:val="none"/>
        </w:rPr>
        <w:instrText xml:space="preserve"> PAGEREF _Toc12051 \h </w:instrText>
      </w:r>
      <w:r>
        <w:rPr>
          <w:highlight w:val="none"/>
        </w:rPr>
        <w:fldChar w:fldCharType="separate"/>
      </w:r>
      <w:r>
        <w:rPr>
          <w:highlight w:val="none"/>
        </w:rPr>
        <w:t xml:space="preserve">28</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_Toc13672 </w:instrText>
      </w:r>
      <w:r>
        <w:rPr>
          <w:highlight w:val="none"/>
        </w:rPr>
        <w:fldChar w:fldCharType="separate"/>
      </w:r>
      <w:r>
        <w:rPr>
          <w:rFonts w:hint="eastAsia" w:ascii="宋体" w:hAnsi="宋体" w:cs="宋体"/>
          <w:bCs/>
          <w:szCs w:val="32"/>
          <w:highlight w:val="none"/>
        </w:rPr>
        <w:t xml:space="preserve">第二部分 通用合同条款</w:t>
      </w:r>
      <w:r>
        <w:rPr>
          <w:highlight w:val="none"/>
        </w:rPr>
        <w:tab/>
      </w:r>
      <w:r>
        <w:rPr>
          <w:highlight w:val="none"/>
        </w:rPr>
        <w:fldChar w:fldCharType="begin"/>
      </w:r>
      <w:r>
        <w:rPr>
          <w:highlight w:val="none"/>
        </w:rPr>
        <w:instrText xml:space="preserve"> PAGEREF _Toc13672 \h </w:instrText>
      </w:r>
      <w:r>
        <w:rPr>
          <w:highlight w:val="none"/>
        </w:rPr>
        <w:fldChar w:fldCharType="separate"/>
      </w:r>
      <w:r>
        <w:rPr>
          <w:highlight w:val="none"/>
        </w:rPr>
        <w:t xml:space="preserve">31</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_Toc5963 </w:instrText>
      </w:r>
      <w:r>
        <w:rPr>
          <w:highlight w:val="none"/>
        </w:rPr>
        <w:fldChar w:fldCharType="separate"/>
      </w:r>
      <w:r>
        <w:rPr>
          <w:rFonts w:hint="eastAsia" w:ascii="宋体" w:hAnsi="宋体" w:cs="宋体"/>
          <w:bCs/>
          <w:szCs w:val="32"/>
          <w:highlight w:val="none"/>
        </w:rPr>
        <w:t xml:space="preserve">第三部分 专用合同条款</w:t>
      </w:r>
      <w:r>
        <w:rPr>
          <w:highlight w:val="none"/>
        </w:rPr>
        <w:tab/>
      </w:r>
      <w:r>
        <w:rPr>
          <w:highlight w:val="none"/>
        </w:rPr>
        <w:fldChar w:fldCharType="begin"/>
      </w:r>
      <w:r>
        <w:rPr>
          <w:highlight w:val="none"/>
        </w:rPr>
        <w:instrText xml:space="preserve"> PAGEREF _Toc5963 \h </w:instrText>
      </w:r>
      <w:r>
        <w:rPr>
          <w:highlight w:val="none"/>
        </w:rPr>
        <w:fldChar w:fldCharType="separate"/>
      </w:r>
      <w:r>
        <w:rPr>
          <w:highlight w:val="none"/>
        </w:rPr>
        <w:t xml:space="preserve">32</w:t>
      </w:r>
      <w:r>
        <w:rPr>
          <w:highlight w:val="none"/>
        </w:rPr>
        <w:fldChar w:fldCharType="end"/>
      </w:r>
      <w:r>
        <w:rPr>
          <w:highlight w:val="none"/>
        </w:rPr>
        <w:fldChar w:fldCharType="end"/>
      </w:r>
      <w:r/>
    </w:p>
    <w:p>
      <w:pPr>
        <w:pStyle w:val="885"/>
        <w:tabs>
          <w:tab w:val="right" w:pos="9000" w:leader="dot"/>
        </w:tabs>
        <w:rPr>
          <w:highlight w:val="none"/>
        </w:rPr>
      </w:pPr>
      <w:r>
        <w:rPr>
          <w:highlight w:val="none"/>
        </w:rPr>
        <w:fldChar w:fldCharType="begin"/>
      </w:r>
      <w:r>
        <w:rPr>
          <w:highlight w:val="none"/>
        </w:rPr>
        <w:instrText xml:space="preserve"> HYPERLINK \l _Toc31659 </w:instrText>
      </w:r>
      <w:r>
        <w:rPr>
          <w:highlight w:val="none"/>
        </w:rPr>
        <w:fldChar w:fldCharType="separate"/>
      </w:r>
      <w:r>
        <w:rPr>
          <w:rFonts w:hint="eastAsia" w:hAnsi="宋体" w:cs="宋体"/>
          <w:bCs/>
          <w:szCs w:val="32"/>
          <w:highlight w:val="none"/>
          <w:lang w:val="zh-CN"/>
        </w:rPr>
        <w:t xml:space="preserve">第七章投标文件格式及附件</w:t>
      </w:r>
      <w:r>
        <w:rPr>
          <w:highlight w:val="none"/>
        </w:rPr>
        <w:tab/>
      </w:r>
      <w:r>
        <w:rPr>
          <w:highlight w:val="none"/>
        </w:rPr>
        <w:fldChar w:fldCharType="begin"/>
      </w:r>
      <w:r>
        <w:rPr>
          <w:highlight w:val="none"/>
        </w:rPr>
        <w:instrText xml:space="preserve"> PAGEREF _Toc31659 \h </w:instrText>
      </w:r>
      <w:r>
        <w:rPr>
          <w:highlight w:val="none"/>
        </w:rPr>
        <w:fldChar w:fldCharType="separate"/>
      </w:r>
      <w:r>
        <w:rPr>
          <w:highlight w:val="none"/>
        </w:rPr>
        <w:t xml:space="preserve">77</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_Toc13922 </w:instrText>
      </w:r>
      <w:r>
        <w:rPr>
          <w:highlight w:val="none"/>
        </w:rPr>
        <w:fldChar w:fldCharType="separate"/>
      </w:r>
      <w:r>
        <w:rPr>
          <w:rFonts w:hint="eastAsia" w:ascii="宋体" w:hAnsi="宋体" w:cs="宋体"/>
          <w:highlight w:val="none"/>
          <w:lang w:val="zh-CN"/>
        </w:rPr>
        <w:t xml:space="preserve">一、投标申请及声明格式</w:t>
      </w:r>
      <w:r>
        <w:rPr>
          <w:highlight w:val="none"/>
        </w:rPr>
        <w:tab/>
      </w:r>
      <w:r>
        <w:rPr>
          <w:highlight w:val="none"/>
        </w:rPr>
        <w:fldChar w:fldCharType="begin"/>
      </w:r>
      <w:r>
        <w:rPr>
          <w:highlight w:val="none"/>
        </w:rPr>
        <w:instrText xml:space="preserve"> PAGEREF _Toc13922 \h </w:instrText>
      </w:r>
      <w:r>
        <w:rPr>
          <w:highlight w:val="none"/>
        </w:rPr>
        <w:fldChar w:fldCharType="separate"/>
      </w:r>
      <w:r>
        <w:rPr>
          <w:highlight w:val="none"/>
        </w:rPr>
        <w:t xml:space="preserve">79</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_Toc31979 </w:instrText>
      </w:r>
      <w:r>
        <w:rPr>
          <w:highlight w:val="none"/>
        </w:rPr>
        <w:fldChar w:fldCharType="separate"/>
      </w:r>
      <w:r>
        <w:rPr>
          <w:rFonts w:hint="eastAsia" w:ascii="宋体" w:hAnsi="宋体" w:cs="宋体"/>
          <w:bCs/>
          <w:szCs w:val="28"/>
          <w:highlight w:val="none"/>
        </w:rPr>
        <w:t xml:space="preserve">二、法定代表人授权委托书格式</w:t>
      </w:r>
      <w:r>
        <w:rPr>
          <w:highlight w:val="none"/>
        </w:rPr>
        <w:tab/>
      </w:r>
      <w:r>
        <w:rPr>
          <w:highlight w:val="none"/>
        </w:rPr>
        <w:fldChar w:fldCharType="begin"/>
      </w:r>
      <w:r>
        <w:rPr>
          <w:highlight w:val="none"/>
        </w:rPr>
        <w:instrText xml:space="preserve"> PAGEREF _Toc31979 \h </w:instrText>
      </w:r>
      <w:r>
        <w:rPr>
          <w:highlight w:val="none"/>
        </w:rPr>
        <w:fldChar w:fldCharType="separate"/>
      </w:r>
      <w:r>
        <w:rPr>
          <w:highlight w:val="none"/>
        </w:rPr>
        <w:t xml:space="preserve">81</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_Toc31413 </w:instrText>
      </w:r>
      <w:r>
        <w:rPr>
          <w:highlight w:val="none"/>
        </w:rPr>
        <w:fldChar w:fldCharType="separate"/>
      </w:r>
      <w:r>
        <w:rPr>
          <w:rFonts w:hint="eastAsia" w:ascii="宋体" w:hAnsi="宋体" w:cs="宋体"/>
          <w:szCs w:val="28"/>
          <w:highlight w:val="none"/>
        </w:rPr>
        <w:t xml:space="preserve">三</w:t>
      </w:r>
      <w:r>
        <w:rPr>
          <w:rFonts w:hint="eastAsia" w:ascii="宋体" w:hAnsi="宋体" w:cs="宋体"/>
          <w:szCs w:val="28"/>
          <w:highlight w:val="none"/>
          <w:lang w:val="zh-CN"/>
        </w:rPr>
        <w:t xml:space="preserve">、开标一览表</w:t>
      </w:r>
      <w:r>
        <w:rPr>
          <w:highlight w:val="none"/>
        </w:rPr>
        <w:tab/>
      </w:r>
      <w:r>
        <w:rPr>
          <w:highlight w:val="none"/>
        </w:rPr>
        <w:fldChar w:fldCharType="begin"/>
      </w:r>
      <w:r>
        <w:rPr>
          <w:highlight w:val="none"/>
        </w:rPr>
        <w:instrText xml:space="preserve"> PAGEREF _Toc31413 \h </w:instrText>
      </w:r>
      <w:r>
        <w:rPr>
          <w:highlight w:val="none"/>
        </w:rPr>
        <w:fldChar w:fldCharType="separate"/>
      </w:r>
      <w:r>
        <w:rPr>
          <w:highlight w:val="none"/>
        </w:rPr>
        <w:t xml:space="preserve">82</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_Toc11483 </w:instrText>
      </w:r>
      <w:r>
        <w:rPr>
          <w:highlight w:val="none"/>
        </w:rPr>
        <w:fldChar w:fldCharType="separate"/>
      </w:r>
      <w:r>
        <w:rPr>
          <w:rFonts w:hint="eastAsia" w:ascii="宋体" w:hAnsi="宋体" w:cs="宋体"/>
          <w:szCs w:val="28"/>
          <w:highlight w:val="none"/>
        </w:rPr>
        <w:t xml:space="preserve">四、工程量清单报价表</w:t>
      </w:r>
      <w:r>
        <w:rPr>
          <w:highlight w:val="none"/>
        </w:rPr>
        <w:tab/>
      </w:r>
      <w:r>
        <w:rPr>
          <w:highlight w:val="none"/>
        </w:rPr>
        <w:fldChar w:fldCharType="begin"/>
      </w:r>
      <w:r>
        <w:rPr>
          <w:highlight w:val="none"/>
        </w:rPr>
        <w:instrText xml:space="preserve"> PAGEREF _Toc11483 \h </w:instrText>
      </w:r>
      <w:r>
        <w:rPr>
          <w:highlight w:val="none"/>
        </w:rPr>
        <w:fldChar w:fldCharType="separate"/>
      </w:r>
      <w:r>
        <w:rPr>
          <w:highlight w:val="none"/>
        </w:rPr>
        <w:t xml:space="preserve">83</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_Toc29901 </w:instrText>
      </w:r>
      <w:r>
        <w:rPr>
          <w:highlight w:val="none"/>
        </w:rPr>
        <w:fldChar w:fldCharType="separate"/>
      </w:r>
      <w:r>
        <w:rPr>
          <w:rFonts w:hint="eastAsia" w:ascii="宋体" w:hAnsi="宋体" w:cs="宋体"/>
          <w:szCs w:val="28"/>
          <w:highlight w:val="none"/>
        </w:rPr>
        <w:t xml:space="preserve">五</w:t>
      </w:r>
      <w:r>
        <w:rPr>
          <w:rFonts w:hint="eastAsia" w:ascii="宋体" w:hAnsi="宋体" w:cs="宋体"/>
          <w:szCs w:val="28"/>
          <w:highlight w:val="none"/>
          <w:lang w:val="zh-CN"/>
        </w:rPr>
        <w:t xml:space="preserve">、技术条款偏离表格式</w:t>
      </w:r>
      <w:r>
        <w:rPr>
          <w:highlight w:val="none"/>
        </w:rPr>
        <w:tab/>
      </w:r>
      <w:r>
        <w:rPr>
          <w:highlight w:val="none"/>
        </w:rPr>
        <w:fldChar w:fldCharType="begin"/>
      </w:r>
      <w:r>
        <w:rPr>
          <w:highlight w:val="none"/>
        </w:rPr>
        <w:instrText xml:space="preserve"> PAGEREF _Toc29901 \h </w:instrText>
      </w:r>
      <w:r>
        <w:rPr>
          <w:highlight w:val="none"/>
        </w:rPr>
        <w:fldChar w:fldCharType="separate"/>
      </w:r>
      <w:r>
        <w:rPr>
          <w:highlight w:val="none"/>
        </w:rPr>
        <w:t xml:space="preserve">84</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_Toc7926 </w:instrText>
      </w:r>
      <w:r>
        <w:rPr>
          <w:highlight w:val="none"/>
        </w:rPr>
        <w:fldChar w:fldCharType="separate"/>
      </w:r>
      <w:r>
        <w:rPr>
          <w:rFonts w:hint="eastAsia" w:ascii="宋体" w:hAnsi="宋体" w:cs="宋体"/>
          <w:szCs w:val="28"/>
          <w:highlight w:val="none"/>
        </w:rPr>
        <w:t xml:space="preserve">六、商务条款偏离表</w:t>
      </w:r>
      <w:r>
        <w:rPr>
          <w:highlight w:val="none"/>
        </w:rPr>
        <w:tab/>
      </w:r>
      <w:r>
        <w:rPr>
          <w:highlight w:val="none"/>
        </w:rPr>
        <w:fldChar w:fldCharType="begin"/>
      </w:r>
      <w:r>
        <w:rPr>
          <w:highlight w:val="none"/>
        </w:rPr>
        <w:instrText xml:space="preserve"> PAGEREF _Toc7926 \h </w:instrText>
      </w:r>
      <w:r>
        <w:rPr>
          <w:highlight w:val="none"/>
        </w:rPr>
        <w:fldChar w:fldCharType="separate"/>
      </w:r>
      <w:r>
        <w:rPr>
          <w:highlight w:val="none"/>
        </w:rPr>
        <w:t xml:space="preserve">85</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_Toc751 </w:instrText>
      </w:r>
      <w:r>
        <w:rPr>
          <w:highlight w:val="none"/>
        </w:rPr>
        <w:fldChar w:fldCharType="separate"/>
      </w:r>
      <w:r>
        <w:rPr>
          <w:rFonts w:hint="eastAsia" w:ascii="宋体" w:hAnsi="宋体" w:cs="宋体"/>
          <w:bCs/>
          <w:szCs w:val="28"/>
          <w:highlight w:val="none"/>
        </w:rPr>
        <w:t xml:space="preserve">七、项目实施施工组织方案</w:t>
      </w:r>
      <w:r>
        <w:rPr>
          <w:highlight w:val="none"/>
        </w:rPr>
        <w:tab/>
      </w:r>
      <w:r>
        <w:rPr>
          <w:highlight w:val="none"/>
        </w:rPr>
        <w:fldChar w:fldCharType="begin"/>
      </w:r>
      <w:r>
        <w:rPr>
          <w:highlight w:val="none"/>
        </w:rPr>
        <w:instrText xml:space="preserve"> PAGEREF _Toc751 \h </w:instrText>
      </w:r>
      <w:r>
        <w:rPr>
          <w:highlight w:val="none"/>
        </w:rPr>
        <w:fldChar w:fldCharType="separate"/>
      </w:r>
      <w:r>
        <w:rPr>
          <w:highlight w:val="none"/>
        </w:rPr>
        <w:t xml:space="preserve">86</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_Toc13917 </w:instrText>
      </w:r>
      <w:r>
        <w:rPr>
          <w:highlight w:val="none"/>
        </w:rPr>
        <w:fldChar w:fldCharType="separate"/>
      </w:r>
      <w:r>
        <w:rPr>
          <w:rFonts w:hint="eastAsia" w:ascii="宋体" w:hAnsi="宋体" w:eastAsia="宋体" w:cs="宋体"/>
          <w:bCs/>
          <w:szCs w:val="28"/>
          <w:highlight w:val="none"/>
        </w:rPr>
        <w:t xml:space="preserve">八、服务与承诺</w:t>
      </w:r>
      <w:r>
        <w:rPr>
          <w:highlight w:val="none"/>
        </w:rPr>
        <w:tab/>
      </w:r>
      <w:r>
        <w:rPr>
          <w:highlight w:val="none"/>
        </w:rPr>
        <w:fldChar w:fldCharType="begin"/>
      </w:r>
      <w:r>
        <w:rPr>
          <w:highlight w:val="none"/>
        </w:rPr>
        <w:instrText xml:space="preserve"> PAGEREF _Toc13917 \h </w:instrText>
      </w:r>
      <w:r>
        <w:rPr>
          <w:highlight w:val="none"/>
        </w:rPr>
        <w:fldChar w:fldCharType="separate"/>
      </w:r>
      <w:r>
        <w:rPr>
          <w:highlight w:val="none"/>
        </w:rPr>
        <w:t xml:space="preserve">86</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_Toc10739 </w:instrText>
      </w:r>
      <w:r>
        <w:rPr>
          <w:highlight w:val="none"/>
        </w:rPr>
        <w:fldChar w:fldCharType="separate"/>
      </w:r>
      <w:r>
        <w:rPr>
          <w:rFonts w:hint="eastAsia" w:ascii="宋体" w:hAnsi="宋体" w:cs="宋体"/>
          <w:szCs w:val="28"/>
          <w:highlight w:val="none"/>
        </w:rPr>
        <w:t xml:space="preserve">九、供应商类似业绩情况表</w:t>
      </w:r>
      <w:r>
        <w:rPr>
          <w:highlight w:val="none"/>
        </w:rPr>
        <w:tab/>
      </w:r>
      <w:r>
        <w:rPr>
          <w:highlight w:val="none"/>
        </w:rPr>
        <w:fldChar w:fldCharType="begin"/>
      </w:r>
      <w:r>
        <w:rPr>
          <w:highlight w:val="none"/>
        </w:rPr>
        <w:instrText xml:space="preserve"> PAGEREF _Toc10739 \h </w:instrText>
      </w:r>
      <w:r>
        <w:rPr>
          <w:highlight w:val="none"/>
        </w:rPr>
        <w:fldChar w:fldCharType="separate"/>
      </w:r>
      <w:r>
        <w:rPr>
          <w:highlight w:val="none"/>
        </w:rPr>
        <w:t xml:space="preserve">87</w:t>
      </w:r>
      <w:r>
        <w:rPr>
          <w:highlight w:val="none"/>
        </w:rPr>
        <w:fldChar w:fldCharType="end"/>
      </w:r>
      <w:r>
        <w:rPr>
          <w:highlight w:val="none"/>
        </w:rPr>
        <w:fldChar w:fldCharType="end"/>
      </w:r>
      <w:r/>
    </w:p>
    <w:p>
      <w:pPr>
        <w:pStyle w:val="891"/>
        <w:tabs>
          <w:tab w:val="right" w:pos="9000" w:leader="dot"/>
        </w:tabs>
        <w:rPr>
          <w:highlight w:val="none"/>
        </w:rPr>
      </w:pPr>
      <w:r>
        <w:rPr>
          <w:highlight w:val="none"/>
        </w:rPr>
        <w:fldChar w:fldCharType="begin"/>
      </w:r>
      <w:r>
        <w:rPr>
          <w:highlight w:val="none"/>
        </w:rPr>
        <w:instrText xml:space="preserve"> HYPERLINK \l _Toc25022 </w:instrText>
      </w:r>
      <w:r>
        <w:rPr>
          <w:highlight w:val="none"/>
        </w:rPr>
        <w:fldChar w:fldCharType="separate"/>
      </w:r>
      <w:r>
        <w:rPr>
          <w:rFonts w:hint="eastAsia" w:ascii="宋体" w:hAnsi="宋体" w:cs="宋体"/>
          <w:szCs w:val="28"/>
          <w:highlight w:val="none"/>
        </w:rPr>
        <w:t xml:space="preserve">十、投标需要的其他证明文件及材料（若有）</w:t>
      </w:r>
      <w:r>
        <w:rPr>
          <w:highlight w:val="none"/>
        </w:rPr>
        <w:tab/>
      </w:r>
      <w:r>
        <w:rPr>
          <w:highlight w:val="none"/>
        </w:rPr>
        <w:fldChar w:fldCharType="begin"/>
      </w:r>
      <w:r>
        <w:rPr>
          <w:highlight w:val="none"/>
        </w:rPr>
        <w:instrText xml:space="preserve"> PAGEREF _Toc25022 \h </w:instrText>
      </w:r>
      <w:r>
        <w:rPr>
          <w:highlight w:val="none"/>
        </w:rPr>
        <w:fldChar w:fldCharType="separate"/>
      </w:r>
      <w:r>
        <w:rPr>
          <w:highlight w:val="none"/>
        </w:rPr>
        <w:t xml:space="preserve">87</w:t>
      </w:r>
      <w:r>
        <w:rPr>
          <w:highlight w:val="none"/>
        </w:rPr>
        <w:fldChar w:fldCharType="end"/>
      </w:r>
      <w:r>
        <w:rPr>
          <w:highlight w:val="none"/>
        </w:rPr>
        <w:fldChar w:fldCharType="end"/>
      </w:r>
      <w:r/>
    </w:p>
    <w:p>
      <w:pPr>
        <w:rPr>
          <w:rFonts w:hint="eastAsia"/>
          <w:highlight w:val="none"/>
        </w:rPr>
      </w:pPr>
      <w:r>
        <w:rPr>
          <w:highlight w:val="none"/>
        </w:rPr>
        <w:fldChar w:fldCharType="end"/>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center"/>
        <w:rPr>
          <w:rFonts w:ascii="宋体" w:hAnsi="宋体" w:cs="宋体"/>
          <w:b/>
          <w:bCs/>
          <w:color w:val="000000"/>
          <w:sz w:val="32"/>
          <w:szCs w:val="32"/>
          <w:highlight w:val="none"/>
        </w:rPr>
        <w:sectPr>
          <w:footerReference w:type="default" r:id="rId15"/>
          <w:footerReference w:type="first" r:id="rId16"/>
          <w:footnotePr/>
          <w:endnotePr/>
          <w:type w:val="nextPage"/>
          <w:pgSz w:w="11906" w:h="16838" w:orient="portrait"/>
          <w:pgMar w:top="1418" w:right="1375" w:bottom="1418" w:left="1531" w:header="851" w:footer="992" w:gutter="0"/>
          <w:pgNumType w:start="1"/>
          <w:cols w:num="1" w:sep="0" w:space="1701" w:equalWidth="1"/>
          <w:docGrid w:linePitch="360"/>
          <w:titlePg/>
        </w:sectPr>
        <w:outlineLvl w:val="0"/>
      </w:pPr>
      <w:r>
        <w:rPr>
          <w:rFonts w:ascii="宋体" w:hAnsi="宋体" w:cs="宋体"/>
          <w:b/>
          <w:bCs/>
          <w:color w:val="000000"/>
          <w:sz w:val="32"/>
          <w:szCs w:val="32"/>
          <w:highlight w:val="none"/>
        </w:rPr>
      </w:r>
      <w:r/>
    </w:p>
    <w:p>
      <w:pPr>
        <w:jc w:val="center"/>
        <w:rPr>
          <w:rFonts w:ascii="宋体" w:hAnsi="宋体" w:cs="宋体"/>
          <w:b/>
          <w:bCs/>
          <w:color w:val="000000"/>
          <w:sz w:val="32"/>
          <w:szCs w:val="32"/>
          <w:highlight w:val="none"/>
        </w:rPr>
        <w:outlineLvl w:val="0"/>
      </w:pPr>
      <w:r/>
      <w:bookmarkStart w:id="0" w:name="_Toc17683"/>
      <w:r>
        <w:rPr>
          <w:rFonts w:hint="eastAsia" w:ascii="宋体" w:hAnsi="宋体" w:cs="宋体"/>
          <w:b/>
          <w:bCs/>
          <w:color w:val="000000"/>
          <w:sz w:val="32"/>
          <w:szCs w:val="32"/>
          <w:highlight w:val="none"/>
        </w:rPr>
        <w:t xml:space="preserve">第一章 招标公告</w:t>
      </w:r>
      <w:bookmarkEnd w:id="0"/>
      <w:r/>
      <w:r/>
    </w:p>
    <w:p>
      <w:pPr>
        <w:ind w:firstLine="560"/>
        <w:jc w:val="left"/>
        <w:spacing w:line="360" w:lineRule="auto"/>
        <w:rPr>
          <w:rFonts w:ascii="宋体" w:hAnsi="宋体" w:cs="宋体"/>
          <w:color w:val="000000"/>
          <w:sz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highlight w:val="none"/>
        </w:rPr>
        <w:t xml:space="preserve">项目概况</w:t>
      </w:r>
      <w:r/>
    </w:p>
    <w:p>
      <w:pPr>
        <w:ind w:firstLine="560"/>
        <w:jc w:val="left"/>
        <w:spacing w:line="360" w:lineRule="auto"/>
        <w:rPr>
          <w:rFonts w:ascii="宋体" w:hAnsi="宋体" w:cs="宋体"/>
          <w:color w:val="000000"/>
          <w:sz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highlight w:val="none"/>
          <w:u w:val="single"/>
        </w:rPr>
        <w:t xml:space="preserve">2026年江苏省五台山体育中心重大体育设施建设（供电增容）工程</w:t>
      </w:r>
      <w:r>
        <w:rPr>
          <w:rFonts w:hint="eastAsia" w:ascii="宋体" w:hAnsi="宋体" w:cs="宋体"/>
          <w:color w:val="000000"/>
          <w:sz w:val="24"/>
          <w:highlight w:val="none"/>
        </w:rPr>
        <w:t xml:space="preserve">招标项目的潜在供应商应在</w:t>
      </w:r>
      <w:r>
        <w:rPr>
          <w:rFonts w:hint="eastAsia" w:ascii="宋体" w:hAnsi="宋体" w:cs="宋体"/>
          <w:color w:val="000000"/>
          <w:sz w:val="24"/>
          <w:highlight w:val="none"/>
          <w:u w:val="single"/>
        </w:rPr>
        <w:t xml:space="preserve">江苏政府采购网</w:t>
      </w:r>
      <w:r>
        <w:rPr>
          <w:rFonts w:hint="eastAsia" w:ascii="宋体" w:hAnsi="宋体" w:cs="宋体"/>
          <w:color w:val="000000"/>
          <w:sz w:val="24"/>
          <w:highlight w:val="none"/>
        </w:rPr>
        <w:t xml:space="preserve">获取招标文件，并于</w:t>
      </w:r>
      <w:r>
        <w:rPr>
          <w:rFonts w:hint="eastAsia" w:ascii="宋体" w:hAnsi="宋体" w:cs="宋体"/>
          <w:color w:val="000000"/>
          <w:sz w:val="24"/>
          <w:highlight w:val="none"/>
          <w:u w:val="single"/>
        </w:rPr>
        <w:t xml:space="preserve">2026年</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21</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14</w:t>
      </w:r>
      <w:r>
        <w:rPr>
          <w:rFonts w:hint="eastAsia" w:ascii="宋体" w:hAnsi="宋体" w:cs="宋体"/>
          <w:color w:val="000000"/>
          <w:sz w:val="24"/>
          <w:highlight w:val="none"/>
          <w:u w:val="single"/>
        </w:rPr>
        <w:t xml:space="preserve">时</w:t>
      </w:r>
      <w:r>
        <w:rPr>
          <w:rFonts w:hint="eastAsia" w:ascii="宋体" w:hAnsi="宋体" w:cs="宋体"/>
          <w:color w:val="000000"/>
          <w:sz w:val="24"/>
          <w:highlight w:val="none"/>
          <w:u w:val="single"/>
          <w:lang w:val="en-US" w:eastAsia="zh-CN"/>
        </w:rPr>
        <w:t xml:space="preserve">00</w:t>
      </w:r>
      <w:r>
        <w:rPr>
          <w:rFonts w:hint="eastAsia" w:ascii="宋体" w:hAnsi="宋体" w:cs="宋体"/>
          <w:color w:val="000000"/>
          <w:sz w:val="24"/>
          <w:highlight w:val="none"/>
          <w:u w:val="single"/>
        </w:rPr>
        <w:t xml:space="preserve">分</w:t>
      </w:r>
      <w:r>
        <w:rPr>
          <w:rFonts w:hint="eastAsia" w:ascii="宋体" w:hAnsi="宋体" w:cs="宋体"/>
          <w:color w:val="000000"/>
          <w:sz w:val="24"/>
          <w:highlight w:val="none"/>
        </w:rPr>
        <w:t xml:space="preserve">（北京时间）前递交投标文件。</w:t>
      </w:r>
      <w:r/>
    </w:p>
    <w:p>
      <w:pPr>
        <w:jc w:val="left"/>
        <w:spacing w:line="360" w:lineRule="auto"/>
        <w:rPr>
          <w:rFonts w:ascii="宋体" w:hAnsi="宋体" w:cs="宋体"/>
          <w:color w:val="000000"/>
          <w:sz w:val="24"/>
          <w:highlight w:val="none"/>
        </w:rPr>
        <w:outlineLvl w:val="1"/>
      </w:pPr>
      <w:r/>
      <w:bookmarkStart w:id="1" w:name="_Toc28359002"/>
      <w:r/>
      <w:bookmarkEnd w:id="1"/>
      <w:r/>
      <w:bookmarkStart w:id="2" w:name="_Toc35393790"/>
      <w:r/>
      <w:bookmarkEnd w:id="2"/>
      <w:r/>
      <w:bookmarkStart w:id="3" w:name="_Hlk24379207"/>
      <w:r/>
      <w:bookmarkEnd w:id="3"/>
      <w:r/>
      <w:bookmarkStart w:id="4" w:name="_Toc35393621"/>
      <w:r/>
      <w:bookmarkEnd w:id="4"/>
      <w:r/>
      <w:bookmarkStart w:id="5" w:name="_Toc28359079"/>
      <w:r/>
      <w:bookmarkEnd w:id="5"/>
      <w:r/>
      <w:bookmarkStart w:id="6" w:name="_Toc14307"/>
      <w:r>
        <w:rPr>
          <w:rFonts w:hint="eastAsia" w:ascii="宋体" w:hAnsi="宋体" w:cs="宋体"/>
          <w:color w:val="000000"/>
          <w:sz w:val="24"/>
          <w:highlight w:val="none"/>
        </w:rPr>
        <w:t xml:space="preserve">一、项目基本情况</w:t>
      </w:r>
      <w:bookmarkEnd w:id="6"/>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项目编号：JSZC-320101-JSZR-S0401-001</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项目名称：2026年江苏省五台山体育中心重大体育设施建设（供电增容）工程</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采购方式：公开招标</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预算金额：491万元</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最高限价：490.983863万元，投标报价超过最高限价的为无效投标。</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需求：体育中心现有总用电容量9030千伏安。2026年重大体育设施建设（供电增容）方案为高压供电增容2630千伏安，总用电容量达11660千伏安，具体建设内容为：改造网球馆变电所闲置一层为新变电所，新上2台1000千伏安变电所，将健身馆630千伏安变电所改为体育中心高压供电。设计新建变电所低压出线电缆、配套管道及游泳跳水馆低压配电间。另改造综合训练馆、康复中心楼低压用电由体育中心统一供电，具体内容详见施工图设计文件及招标工程量清单。</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合同履行期限：供应商须在合同签订后90日历日内完成，本次供电增容方案、设计图纸经市供电公司审批同意开展，施工过程严格按照国家有关技术规范和工艺要求实施，经市供电公司验收合格后送电。</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w:t>
      </w:r>
      <w:r>
        <w:rPr>
          <w:rFonts w:hint="eastAsia" w:ascii="宋体" w:hAnsi="宋体" w:cs="宋体"/>
          <w:color w:val="000000"/>
          <w:sz w:val="24"/>
          <w:highlight w:val="none"/>
          <w:u w:val="single"/>
        </w:rPr>
        <w:t xml:space="preserve">不接受</w:t>
      </w:r>
      <w:r>
        <w:rPr>
          <w:rFonts w:hint="eastAsia" w:ascii="宋体" w:hAnsi="宋体" w:cs="宋体"/>
          <w:color w:val="000000"/>
          <w:sz w:val="24"/>
          <w:highlight w:val="none"/>
        </w:rPr>
        <w:t xml:space="preserve">联合体投标。</w:t>
      </w:r>
      <w:r/>
    </w:p>
    <w:p>
      <w:pPr>
        <w:jc w:val="left"/>
        <w:spacing w:line="360" w:lineRule="auto"/>
        <w:rPr>
          <w:rFonts w:ascii="宋体" w:hAnsi="宋体" w:cs="宋体"/>
          <w:color w:val="000000"/>
          <w:sz w:val="24"/>
          <w:highlight w:val="none"/>
        </w:rPr>
        <w:outlineLvl w:val="1"/>
      </w:pPr>
      <w:r/>
      <w:bookmarkStart w:id="7" w:name="_Toc35393791"/>
      <w:r/>
      <w:bookmarkEnd w:id="7"/>
      <w:r/>
      <w:bookmarkStart w:id="8" w:name="_Toc35393622"/>
      <w:r/>
      <w:bookmarkEnd w:id="8"/>
      <w:r/>
      <w:bookmarkStart w:id="9" w:name="_Toc28359003"/>
      <w:r/>
      <w:bookmarkEnd w:id="9"/>
      <w:r/>
      <w:bookmarkStart w:id="10" w:name="_Toc28359080"/>
      <w:r/>
      <w:bookmarkEnd w:id="10"/>
      <w:r/>
      <w:bookmarkStart w:id="11" w:name="_Toc14904"/>
      <w:r>
        <w:rPr>
          <w:rFonts w:hint="eastAsia" w:ascii="宋体" w:hAnsi="宋体" w:cs="宋体"/>
          <w:color w:val="000000"/>
          <w:sz w:val="24"/>
          <w:highlight w:val="none"/>
        </w:rPr>
        <w:t xml:space="preserve">二、申请人的资格要求</w:t>
      </w:r>
      <w:bookmarkEnd w:id="11"/>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p>
    <w:p>
      <w:pPr>
        <w:ind w:firstLine="560"/>
        <w:jc w:val="left"/>
        <w:spacing w:line="360" w:lineRule="auto"/>
        <w:rPr>
          <w:rFonts w:ascii="宋体" w:hAnsi="宋体" w:cs="宋体"/>
          <w:color w:val="000000"/>
          <w:sz w:val="24"/>
          <w:highlight w:val="none"/>
        </w:rPr>
      </w:pPr>
      <w:r/>
      <w:bookmarkStart w:id="12" w:name="_Toc28359004"/>
      <w:r/>
      <w:bookmarkEnd w:id="12"/>
      <w:r/>
      <w:bookmarkStart w:id="13" w:name="_Toc28359081"/>
      <w:r/>
      <w:bookmarkEnd w:id="13"/>
      <w:r>
        <w:rPr>
          <w:rFonts w:hint="eastAsia" w:ascii="宋体" w:hAnsi="宋体" w:cs="宋体"/>
          <w:color w:val="000000"/>
          <w:sz w:val="24"/>
          <w:highlight w:val="none"/>
        </w:rPr>
        <w:t xml:space="preserve">（1）具有独立承担民事责任的能力（提供法人或者其他组织的营业执照，自然人的身份证明）；</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提供参加本次政府采购活动上一年度经审计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（5）参加本次采购活动前三年内，在经营活动中没有重大违法或不良征信记录（提供参加本次采购活动前三年内在经营活动中没有重大违法记录的书面声明）；</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2.落实政府采购政策需满足的资格要求：（如属于专门面向中小企业采购的项目,供应商应为中小微企业、监狱企业、残疾人福利性单位)</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本项目按照以下第</w:t>
      </w:r>
      <w:r>
        <w:rPr>
          <w:rFonts w:hint="eastAsia" w:ascii="宋体" w:hAnsi="宋体" w:cs="宋体"/>
          <w:color w:val="000000"/>
          <w:sz w:val="24"/>
          <w:highlight w:val="none"/>
          <w:u w:val="single"/>
        </w:rPr>
        <w:t xml:space="preserve">（4）</w:t>
      </w:r>
      <w:r>
        <w:rPr>
          <w:rFonts w:hint="eastAsia" w:ascii="宋体" w:hAnsi="宋体" w:cs="宋体"/>
          <w:color w:val="000000"/>
          <w:sz w:val="24"/>
          <w:highlight w:val="none"/>
        </w:rPr>
        <w:t xml:space="preserve">种方式落实政府采购促进中小企业发展的要求：</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（1）本项目整体专门面向中小企业采购服务。</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（2）本项目整体专门面向小微企业采购服务。</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（3）本项目通过以下第（）种方式预留部分采购份额采购中小企业服务：</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①本项目要求供应商以联合体形式参加，中小企业合同金额应当达到的比例为_%。</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②本项目要求供应商进行合同分包，中小企业合同金额应当达到的比例为_%。</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（4）本项目为非预留份额的采购项目或采购包，执行价格扣除优惠政策，具体详见第三章评标办法与标准。</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3.本项目的特定资格要求：</w:t>
      </w:r>
      <w:bookmarkStart w:id="14" w:name="_Toc35393792"/>
      <w:r/>
      <w:bookmarkEnd w:id="14"/>
      <w:r/>
      <w:bookmarkStart w:id="15" w:name="_Toc35393623"/>
      <w:r/>
      <w:bookmarkEnd w:id="15"/>
      <w:r>
        <w:rPr>
          <w:rFonts w:hint="eastAsia" w:ascii="宋体" w:hAnsi="宋体" w:cs="宋体"/>
          <w:color w:val="000000"/>
          <w:sz w:val="24"/>
          <w:highlight w:val="none"/>
        </w:rPr>
        <w:t xml:space="preserve">（1）企业资质要求：具有有效的电力工程施工总承包三级（含）以上或者专业承包输变电工程三级（含）以上资质，具有有效的安全生产许可证；同时具有国家电力监管部门颁发的承装（修、试）电力设施许可证，许可类别和等级：承装类三级及以上、承修类三级及以上、承试类三级及以上资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项目负责人资质要求：具有注册建造师（机电工程专业）二级及以上资格，持有项目负责人安全生产考核合格证书（B类）。投标单位必须提供拟投入本工程项目负责人与投标单位签订的有效劳动合同、社保机构出具的近半年（2025年11月-2026年4月）内任意一个月投标单位为其缴纳的社保缴费证明材料并加盖社保中心章或社保中心参保缴费证明电子专用章。</w:t>
      </w:r>
      <w:r/>
    </w:p>
    <w:p>
      <w:pPr>
        <w:jc w:val="left"/>
        <w:spacing w:line="360" w:lineRule="auto"/>
        <w:rPr>
          <w:rFonts w:ascii="宋体" w:hAnsi="宋体" w:cs="宋体"/>
          <w:color w:val="000000"/>
          <w:sz w:val="24"/>
          <w:highlight w:val="none"/>
        </w:rPr>
        <w:outlineLvl w:val="1"/>
      </w:pPr>
      <w:r/>
      <w:bookmarkStart w:id="16" w:name="_Toc27740"/>
      <w:r>
        <w:rPr>
          <w:rFonts w:hint="eastAsia" w:ascii="宋体" w:hAnsi="宋体" w:cs="宋体"/>
          <w:color w:val="000000"/>
          <w:sz w:val="24"/>
          <w:highlight w:val="none"/>
        </w:rPr>
        <w:t xml:space="preserve">三、获取采购文件</w:t>
      </w:r>
      <w:bookmarkEnd w:id="16"/>
      <w:r/>
      <w:r/>
    </w:p>
    <w:p>
      <w:pPr>
        <w:ind w:firstLine="480"/>
        <w:jc w:val="left"/>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1、时间：自招标文件公告发布之日起5个工作日。</w:t>
      </w:r>
      <w:r/>
    </w:p>
    <w:p>
      <w:pPr>
        <w:ind w:firstLine="480"/>
        <w:jc w:val="left"/>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2、地点：江苏政府采购网。</w:t>
      </w:r>
      <w:r/>
    </w:p>
    <w:p>
      <w:pPr>
        <w:ind w:firstLine="480"/>
        <w:jc w:val="left"/>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3、方式：</w:t>
      </w:r>
      <w:bookmarkStart w:id="17" w:name="OLE_LINK7"/>
      <w:r>
        <w:rPr>
          <w:rFonts w:hint="eastAsia" w:ascii="宋体" w:hAnsi="宋体" w:cs="宋体"/>
          <w:color w:val="000000"/>
          <w:sz w:val="24"/>
          <w:highlight w:val="none"/>
        </w:rPr>
        <w:t xml:space="preserve">网上下载（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7"/>
      <w:r/>
      <w:r/>
    </w:p>
    <w:p>
      <w:pPr>
        <w:jc w:val="left"/>
        <w:spacing w:line="360" w:lineRule="auto"/>
        <w:rPr>
          <w:rFonts w:ascii="宋体" w:hAnsi="宋体" w:cs="宋体"/>
          <w:color w:val="000000"/>
          <w:sz w:val="24"/>
          <w:highlight w:val="none"/>
        </w:rPr>
        <w:outlineLvl w:val="1"/>
      </w:pPr>
      <w:r/>
      <w:bookmarkStart w:id="18" w:name="_Toc3633"/>
      <w:r>
        <w:rPr>
          <w:rFonts w:hint="eastAsia" w:ascii="宋体" w:hAnsi="宋体" w:cs="宋体"/>
          <w:color w:val="000000"/>
          <w:sz w:val="24"/>
          <w:highlight w:val="none"/>
        </w:rPr>
        <w:t xml:space="preserve">四、提交投标文件截止时间、开标时间和地点</w:t>
      </w:r>
      <w:bookmarkEnd w:id="18"/>
      <w:r/>
      <w:bookmarkStart w:id="663" w:name="_GoBack"/>
      <w:r/>
      <w:bookmarkEnd w:id="663"/>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时间：</w:t>
      </w:r>
      <w:r>
        <w:rPr>
          <w:rFonts w:hint="eastAsia" w:ascii="宋体" w:hAnsi="宋体" w:cs="宋体"/>
          <w:color w:val="000000"/>
          <w:sz w:val="24"/>
          <w:highlight w:val="none"/>
          <w:u w:val="single"/>
        </w:rPr>
        <w:t xml:space="preserve">2026年</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21</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14</w:t>
      </w:r>
      <w:r>
        <w:rPr>
          <w:rFonts w:hint="eastAsia" w:ascii="宋体" w:hAnsi="宋体" w:cs="宋体"/>
          <w:color w:val="000000"/>
          <w:sz w:val="24"/>
          <w:highlight w:val="none"/>
          <w:u w:val="single"/>
        </w:rPr>
        <w:t xml:space="preserve">时</w:t>
      </w:r>
      <w:r>
        <w:rPr>
          <w:rFonts w:hint="eastAsia" w:ascii="宋体" w:hAnsi="宋体" w:cs="宋体"/>
          <w:color w:val="000000"/>
          <w:sz w:val="24"/>
          <w:highlight w:val="none"/>
          <w:u w:val="single"/>
          <w:lang w:val="en-US" w:eastAsia="zh-CN"/>
        </w:rPr>
        <w:t xml:space="preserve">00</w:t>
      </w:r>
      <w:r>
        <w:rPr>
          <w:rFonts w:hint="eastAsia" w:ascii="宋体" w:hAnsi="宋体" w:cs="宋体"/>
          <w:color w:val="000000"/>
          <w:sz w:val="24"/>
          <w:highlight w:val="none"/>
          <w:u w:val="single"/>
        </w:rPr>
        <w:t xml:space="preserve">分</w:t>
      </w:r>
      <w:r>
        <w:rPr>
          <w:rFonts w:hint="eastAsia" w:ascii="宋体" w:hAnsi="宋体" w:cs="宋体"/>
          <w:color w:val="000000"/>
          <w:sz w:val="24"/>
          <w:highlight w:val="none"/>
        </w:rPr>
        <w:t xml:space="preserve">（北京时间）</w:t>
      </w:r>
      <w:r/>
    </w:p>
    <w:p>
      <w:pPr>
        <w:ind w:firstLine="560"/>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地点：</w:t>
      </w:r>
      <w:r>
        <w:rPr>
          <w:rFonts w:hint="eastAsia" w:ascii="宋体" w:hAnsi="宋体" w:cs="宋体"/>
          <w:color w:val="000000"/>
          <w:sz w:val="24"/>
          <w:highlight w:val="none"/>
          <w:u w:val="single"/>
        </w:rPr>
        <w:t xml:space="preserve">江苏省政府采购管理交易系统（以下简称“苏采云”）网上开标大厅</w:t>
      </w:r>
      <w:r/>
    </w:p>
    <w:p>
      <w:pPr>
        <w:jc w:val="left"/>
        <w:spacing w:line="360" w:lineRule="auto"/>
        <w:rPr>
          <w:rFonts w:ascii="宋体" w:hAnsi="宋体" w:cs="宋体"/>
          <w:color w:val="000000"/>
          <w:sz w:val="24"/>
          <w:highlight w:val="none"/>
        </w:rPr>
        <w:outlineLvl w:val="1"/>
      </w:pPr>
      <w:r/>
      <w:bookmarkStart w:id="19" w:name="_Toc35393625"/>
      <w:r/>
      <w:bookmarkEnd w:id="19"/>
      <w:r/>
      <w:bookmarkStart w:id="20" w:name="_Toc28359007"/>
      <w:r/>
      <w:bookmarkEnd w:id="20"/>
      <w:r/>
      <w:bookmarkStart w:id="21" w:name="_Toc28359084"/>
      <w:r/>
      <w:bookmarkEnd w:id="21"/>
      <w:r/>
      <w:bookmarkStart w:id="22" w:name="_Toc35393794"/>
      <w:r/>
      <w:bookmarkEnd w:id="22"/>
      <w:r/>
      <w:bookmarkStart w:id="23" w:name="_Toc5344"/>
      <w:r>
        <w:rPr>
          <w:rFonts w:hint="eastAsia" w:ascii="宋体" w:hAnsi="宋体" w:cs="宋体"/>
          <w:color w:val="000000"/>
          <w:sz w:val="24"/>
          <w:highlight w:val="none"/>
        </w:rPr>
        <w:t xml:space="preserve">五、公告期限</w:t>
      </w:r>
      <w:bookmarkEnd w:id="23"/>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自本公告在法定媒体发布之日起5个工作日。</w:t>
      </w:r>
      <w:r/>
    </w:p>
    <w:p>
      <w:pPr>
        <w:jc w:val="left"/>
        <w:spacing w:line="360" w:lineRule="auto"/>
        <w:rPr>
          <w:rFonts w:ascii="宋体" w:hAnsi="宋体" w:cs="宋体"/>
          <w:color w:val="000000"/>
          <w:sz w:val="24"/>
          <w:highlight w:val="none"/>
        </w:rPr>
        <w:outlineLvl w:val="1"/>
      </w:pPr>
      <w:r/>
      <w:bookmarkStart w:id="24" w:name="_Toc35393795"/>
      <w:r/>
      <w:bookmarkEnd w:id="24"/>
      <w:r/>
      <w:bookmarkStart w:id="25" w:name="_Toc35393626"/>
      <w:r/>
      <w:bookmarkEnd w:id="25"/>
      <w:r/>
      <w:bookmarkStart w:id="26" w:name="_Toc15736"/>
      <w:r>
        <w:rPr>
          <w:rFonts w:hint="eastAsia" w:ascii="宋体" w:hAnsi="宋体" w:cs="宋体"/>
          <w:color w:val="000000"/>
          <w:sz w:val="24"/>
          <w:highlight w:val="none"/>
        </w:rPr>
        <w:t xml:space="preserve">六、其他补充事宜</w:t>
      </w:r>
      <w:bookmarkEnd w:id="26"/>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1.拒绝下述供应商参加本次采购活动：</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（1）供应商单位负责人为同一人或者存在直接控股、管理关系的不同供应商，不得参加同一合同项下的政府采购活动；</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（2）为采购项目提供整体设计、规范编制或者项目管理、监理、检测等服务的供应商，不得参加本项目的采购活动；</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（3）供应商被“信用中国”网站（www.creditchina.gov.cn）、“中国政府采购网”（www.ccgp.gov.cn）列入失信被执行人、重大税收违法失信主体、政府采购严重违法失信行为记录名单。</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2.集中考察或答疑：</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采购人不组织，供应商可自行联系采购人。未踏勘现场或踏勘工作不详细的供应商中标后，不得以不完全了解现场情况为理由而向采购人提出任何索赔或其他要求，对此采购人不承担任何责任并将不做任何答复。</w:t>
      </w:r>
      <w:r/>
    </w:p>
    <w:p>
      <w:pPr>
        <w:ind w:firstLine="5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3.本次采购采用“江苏省政府采购管理交易系统（苏采云）”，招标、投标、评标和中标（成交）结果发布全程电子化，开标方式为远程不见面开标。供应商应当按照《“苏采云”系统供应商操作手册 》参加投标活动。如供应商未按要求操作，由此所产生的风险由供应商自行承担。</w:t>
      </w:r>
      <w:r/>
    </w:p>
    <w:p>
      <w:pPr>
        <w:ind w:firstLine="5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供应商通过“苏采云”系统（网址：http://jszfcg.jsczt.cn/）参与政府采购项目，需要办理江苏省政府采购数字证书及电子签章，具体详见“苏采云”官网首页“CA办理指南”。供应商通过苏采云官网首页进行供应商注册及CA绑定。CA登录后，供应商按《苏采云系统供应商操作手册》进行操作。（“苏采云”南京地区客服热线025-83633744、025-83633743）。</w:t>
      </w:r>
      <w:r/>
    </w:p>
    <w:p>
      <w:pPr>
        <w:ind w:firstLine="5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（1）《江苏省政府采购数字证书（供应商）数字证书CA及电子签章办理指南》，下载地址：http://jsxcmm.com/help/gys.html。</w:t>
      </w:r>
      <w:r/>
    </w:p>
    <w:p>
      <w:pPr>
        <w:ind w:firstLine="5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（2）《江苏省政府采购管理交易系统供应商操作指南》，下载地址：</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Fonts w:hint="eastAsia"/>
          <w:color w:val="000000"/>
          <w:highlight w:val="none"/>
        </w:rPr>
        <w:t xml:space="preserve">http://www.ccgp-jiangsu.gov.cn/jiangsu/zlxz/ee/ee3a4bc5a3454aa2b0d9312230633ce9.html</w:t>
      </w:r>
      <w:r>
        <w:rPr>
          <w:rFonts w:hint="eastAsia"/>
          <w:color w:val="000000"/>
          <w:highlight w:val="none"/>
        </w:rPr>
        <w:fldChar w:fldCharType="end"/>
      </w:r>
      <w:r>
        <w:rPr>
          <w:rFonts w:hint="eastAsia" w:ascii="宋体" w:hAnsi="宋体" w:cs="宋体"/>
          <w:color w:val="000000"/>
          <w:sz w:val="24"/>
          <w:highlight w:val="none"/>
        </w:rPr>
        <w:t xml:space="preserve">。</w:t>
      </w:r>
      <w:r/>
    </w:p>
    <w:p>
      <w:pPr>
        <w:ind w:firstLine="480"/>
        <w:jc w:val="left"/>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6、有关本次招标的事项若存在变动或修改，请及时关注“江苏政府采购网”（www.ccgp-jiangsu.gov.cn）更正公告。</w:t>
      </w:r>
      <w:r/>
    </w:p>
    <w:p>
      <w:pPr>
        <w:jc w:val="left"/>
        <w:spacing w:line="360" w:lineRule="auto"/>
        <w:rPr>
          <w:rFonts w:ascii="宋体" w:hAnsi="宋体" w:cs="宋体"/>
          <w:color w:val="000000"/>
          <w:sz w:val="24"/>
          <w:highlight w:val="none"/>
        </w:rPr>
        <w:outlineLvl w:val="1"/>
      </w:pPr>
      <w:r/>
      <w:bookmarkStart w:id="27" w:name="_Toc18995"/>
      <w:r>
        <w:rPr>
          <w:rFonts w:hint="eastAsia" w:ascii="宋体" w:hAnsi="宋体" w:cs="宋体"/>
          <w:color w:val="000000"/>
          <w:sz w:val="24"/>
          <w:highlight w:val="none"/>
        </w:rPr>
        <w:t xml:space="preserve">七、对本次招标提出询问，请按以下方式联系。</w:t>
      </w:r>
      <w:bookmarkEnd w:id="27"/>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1.采购人信息</w:t>
      </w:r>
      <w:r/>
    </w:p>
    <w:p>
      <w:pPr>
        <w:ind w:firstLine="560"/>
        <w:jc w:val="left"/>
        <w:spacing w:line="360" w:lineRule="auto"/>
        <w:rPr>
          <w:rFonts w:ascii="宋体" w:hAnsi="宋体" w:cs="宋体"/>
          <w:color w:val="000000"/>
          <w:sz w:val="24"/>
          <w:highlight w:val="none"/>
        </w:rPr>
      </w:pPr>
      <w:r/>
      <w:bookmarkStart w:id="28" w:name="_Toc28359086"/>
      <w:r/>
      <w:bookmarkEnd w:id="28"/>
      <w:r/>
      <w:bookmarkStart w:id="29" w:name="_Toc28359009"/>
      <w:r/>
      <w:bookmarkEnd w:id="29"/>
      <w:r>
        <w:rPr>
          <w:rFonts w:hint="eastAsia" w:ascii="宋体" w:hAnsi="宋体" w:cs="宋体"/>
          <w:color w:val="000000"/>
          <w:sz w:val="24"/>
          <w:highlight w:val="none"/>
        </w:rPr>
        <w:t xml:space="preserve">名称：江苏省五台山体育中心</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地址：南京市鼓楼区华侨路街道五台山1-6号</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联系方式：王工025-51889628</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2.采购代理机构信息</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名称：江苏中瑞建设项目管理有限公司</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地址：南京市鼓楼区汉中路180号星汉大厦8A</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联系方式：</w:t>
      </w:r>
      <w:bookmarkStart w:id="30" w:name="_Toc28359010"/>
      <w:r/>
      <w:bookmarkEnd w:id="30"/>
      <w:r/>
      <w:bookmarkStart w:id="31" w:name="_Toc28359087"/>
      <w:r/>
      <w:bookmarkEnd w:id="31"/>
      <w:r>
        <w:rPr>
          <w:rFonts w:hint="eastAsia" w:ascii="宋体" w:hAnsi="宋体" w:cs="宋体"/>
          <w:color w:val="000000"/>
          <w:sz w:val="24"/>
          <w:highlight w:val="none"/>
        </w:rPr>
        <w:t xml:space="preserve">杨文斌13675107337</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3.项目联系方式</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项目联系人：杨文斌</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电话：13675107337</w:t>
      </w:r>
      <w:r/>
    </w:p>
    <w:p>
      <w:pPr>
        <w:jc w:val="center"/>
        <w:rPr>
          <w:rFonts w:ascii="宋体" w:hAnsi="宋体" w:cs="宋体"/>
          <w:b/>
          <w:bCs/>
          <w:color w:val="000000"/>
          <w:sz w:val="32"/>
          <w:szCs w:val="32"/>
          <w:highlight w:val="none"/>
        </w:rPr>
        <w:outlineLvl w:val="0"/>
      </w:pPr>
      <w:r>
        <w:rPr>
          <w:rFonts w:hint="eastAsia" w:ascii="宋体" w:hAnsi="宋体" w:cs="宋体"/>
          <w:color w:val="000000"/>
          <w:sz w:val="32"/>
          <w:szCs w:val="32"/>
          <w:highlight w:val="none"/>
        </w:rPr>
        <w:br w:type="page" w:clear="all"/>
      </w:r>
      <w:bookmarkStart w:id="32" w:name="_Toc6954"/>
      <w:r>
        <w:rPr>
          <w:rFonts w:hint="eastAsia" w:ascii="宋体" w:hAnsi="宋体" w:cs="宋体"/>
          <w:b/>
          <w:bCs/>
          <w:color w:val="000000"/>
          <w:sz w:val="32"/>
          <w:szCs w:val="32"/>
          <w:highlight w:val="none"/>
          <w:lang w:val="zh-CN"/>
        </w:rPr>
        <w:t xml:space="preserve">第二章</w:t>
      </w:r>
      <w:r>
        <w:rPr>
          <w:rFonts w:hint="eastAsia" w:ascii="宋体" w:hAnsi="宋体" w:cs="宋体"/>
          <w:b/>
          <w:bCs/>
          <w:color w:val="000000"/>
          <w:sz w:val="32"/>
          <w:szCs w:val="32"/>
          <w:highlight w:val="none"/>
          <w:lang w:val="en-US" w:eastAsia="zh-CN"/>
        </w:rPr>
        <w:t xml:space="preserve"> </w:t>
      </w:r>
      <w:r>
        <w:rPr>
          <w:rFonts w:hint="eastAsia" w:ascii="宋体" w:hAnsi="宋体" w:cs="宋体"/>
          <w:b/>
          <w:bCs/>
          <w:color w:val="000000"/>
          <w:sz w:val="32"/>
          <w:szCs w:val="32"/>
          <w:highlight w:val="none"/>
          <w:lang w:val="zh-CN"/>
        </w:rPr>
        <w:t xml:space="preserve">供应商须知</w:t>
      </w:r>
      <w:bookmarkEnd w:id="32"/>
      <w:r/>
      <w:r/>
    </w:p>
    <w:p>
      <w:pPr>
        <w:ind w:firstLine="420"/>
        <w:spacing w:line="360" w:lineRule="auto"/>
        <w:rPr>
          <w:rFonts w:ascii="宋体"/>
          <w:b/>
          <w:bCs/>
          <w:color w:val="000000"/>
          <w:sz w:val="24"/>
          <w:highlight w:val="none"/>
          <w:lang w:val="zh-CN"/>
        </w:rPr>
      </w:pPr>
      <w:r>
        <w:rPr>
          <w:rFonts w:hint="eastAsia" w:ascii="宋体"/>
          <w:b/>
          <w:bCs/>
          <w:color w:val="000000"/>
          <w:sz w:val="24"/>
          <w:highlight w:val="none"/>
          <w:lang w:val="zh-CN"/>
        </w:rPr>
        <w:t xml:space="preserve">一、总则</w:t>
      </w:r>
      <w:r/>
    </w:p>
    <w:p>
      <w:pPr>
        <w:ind w:firstLine="420"/>
        <w:spacing w:line="360" w:lineRule="auto"/>
        <w:rPr>
          <w:rFonts w:ascii="宋体"/>
          <w:b/>
          <w:color w:val="000000"/>
          <w:sz w:val="24"/>
          <w:highlight w:val="none"/>
          <w:lang w:val="zh-CN"/>
        </w:rPr>
      </w:pPr>
      <w:r>
        <w:rPr>
          <w:rFonts w:ascii="宋体"/>
          <w:b/>
          <w:color w:val="000000"/>
          <w:sz w:val="24"/>
          <w:highlight w:val="none"/>
          <w:lang w:val="zh-CN"/>
        </w:rPr>
        <w:t xml:space="preserve">1</w:t>
      </w:r>
      <w:r>
        <w:rPr>
          <w:rFonts w:hint="eastAsia" w:ascii="宋体"/>
          <w:b/>
          <w:color w:val="000000"/>
          <w:sz w:val="24"/>
          <w:highlight w:val="none"/>
          <w:lang w:val="zh-CN"/>
        </w:rPr>
        <w:t xml:space="preserve">、适用法律</w:t>
      </w:r>
      <w:r/>
    </w:p>
    <w:p>
      <w:pPr>
        <w:ind w:firstLine="420"/>
        <w:spacing w:line="360" w:lineRule="auto"/>
        <w:rPr>
          <w:rFonts w:ascii="宋体"/>
          <w:color w:val="000000"/>
          <w:sz w:val="24"/>
          <w:highlight w:val="none"/>
          <w:lang w:val="zh-CN"/>
        </w:rPr>
      </w:pPr>
      <w:r>
        <w:rPr>
          <w:rFonts w:ascii="宋体"/>
          <w:color w:val="000000"/>
          <w:sz w:val="24"/>
          <w:highlight w:val="none"/>
          <w:lang w:val="zh-CN"/>
        </w:rPr>
        <w:t xml:space="preserve">1.1</w:t>
      </w:r>
      <w:r>
        <w:rPr>
          <w:rFonts w:hint="eastAsia" w:ascii="宋体"/>
          <w:color w:val="000000"/>
          <w:sz w:val="24"/>
          <w:highlight w:val="none"/>
          <w:lang w:val="zh-CN"/>
        </w:rPr>
        <w:t xml:space="preserve"> 《中华人民共和国政府采购法》、《中华人民共和国政府采购法实施条例》、《政府采购货物和服务招标投标管理办法》等有关法律、规章和规定等。</w:t>
      </w:r>
      <w:r/>
    </w:p>
    <w:p>
      <w:pPr>
        <w:ind w:firstLine="420"/>
        <w:spacing w:line="360" w:lineRule="auto"/>
        <w:rPr>
          <w:rFonts w:ascii="宋体"/>
          <w:b/>
          <w:color w:val="000000"/>
          <w:sz w:val="24"/>
          <w:highlight w:val="none"/>
          <w:lang w:val="zh-CN"/>
        </w:rPr>
      </w:pPr>
      <w:r>
        <w:rPr>
          <w:rFonts w:ascii="宋体"/>
          <w:b/>
          <w:color w:val="000000"/>
          <w:sz w:val="24"/>
          <w:highlight w:val="none"/>
          <w:lang w:val="zh-CN"/>
        </w:rPr>
        <w:t xml:space="preserve">2</w:t>
      </w:r>
      <w:r>
        <w:rPr>
          <w:rFonts w:hint="eastAsia" w:ascii="宋体"/>
          <w:b/>
          <w:color w:val="000000"/>
          <w:sz w:val="24"/>
          <w:highlight w:val="none"/>
          <w:lang w:val="zh-CN"/>
        </w:rPr>
        <w:t xml:space="preserve">、定义</w:t>
      </w:r>
      <w:r/>
    </w:p>
    <w:p>
      <w:pPr>
        <w:ind w:firstLine="420"/>
        <w:spacing w:line="360" w:lineRule="auto"/>
        <w:rPr>
          <w:rFonts w:ascii="宋体"/>
          <w:color w:val="000000"/>
          <w:sz w:val="24"/>
          <w:highlight w:val="none"/>
          <w:lang w:val="zh-CN"/>
        </w:rPr>
      </w:pPr>
      <w:r>
        <w:rPr>
          <w:rFonts w:ascii="宋体"/>
          <w:color w:val="000000"/>
          <w:sz w:val="24"/>
          <w:highlight w:val="none"/>
          <w:lang w:val="zh-CN"/>
        </w:rPr>
        <w:t xml:space="preserve">2.</w:t>
      </w:r>
      <w:r>
        <w:rPr>
          <w:rFonts w:hint="eastAsia" w:ascii="宋体"/>
          <w:color w:val="000000"/>
          <w:sz w:val="24"/>
          <w:highlight w:val="none"/>
          <w:lang w:val="zh-CN"/>
        </w:rPr>
        <w:t xml:space="preserve">1 “供应商”是指参加投标竞争，并符合招标文件规定资格条件的法人、其他组织或者自然人。</w:t>
      </w:r>
      <w:r/>
    </w:p>
    <w:p>
      <w:pPr>
        <w:ind w:firstLine="420"/>
        <w:spacing w:line="360" w:lineRule="auto"/>
        <w:rPr>
          <w:rFonts w:ascii="宋体"/>
          <w:color w:val="000000"/>
          <w:sz w:val="24"/>
          <w:highlight w:val="none"/>
          <w:lang w:val="zh-CN"/>
        </w:rPr>
      </w:pPr>
      <w:r>
        <w:rPr>
          <w:rFonts w:ascii="宋体"/>
          <w:color w:val="000000"/>
          <w:sz w:val="24"/>
          <w:highlight w:val="none"/>
          <w:lang w:val="zh-CN"/>
        </w:rPr>
        <w:t xml:space="preserve">2.</w:t>
      </w:r>
      <w:r>
        <w:rPr>
          <w:rFonts w:hint="eastAsia" w:ascii="宋体"/>
          <w:color w:val="000000"/>
          <w:sz w:val="24"/>
          <w:highlight w:val="none"/>
          <w:lang w:val="zh-CN"/>
        </w:rPr>
        <w:t xml:space="preserve">2 “产品”指本招标文件中所述产品及相关服务。</w:t>
      </w:r>
      <w:r/>
    </w:p>
    <w:p>
      <w:pPr>
        <w:ind w:firstLine="420"/>
        <w:spacing w:line="360" w:lineRule="auto"/>
        <w:rPr>
          <w:rFonts w:ascii="宋体"/>
          <w:color w:val="000000"/>
          <w:sz w:val="24"/>
          <w:highlight w:val="none"/>
          <w:lang w:val="zh-CN"/>
        </w:rPr>
      </w:pPr>
      <w:r>
        <w:rPr>
          <w:rFonts w:ascii="宋体"/>
          <w:color w:val="000000"/>
          <w:sz w:val="24"/>
          <w:highlight w:val="none"/>
          <w:lang w:val="zh-CN"/>
        </w:rPr>
        <w:t xml:space="preserve">2.</w:t>
      </w:r>
      <w:r>
        <w:rPr>
          <w:rFonts w:hint="eastAsia" w:ascii="宋体"/>
          <w:color w:val="000000"/>
          <w:sz w:val="24"/>
          <w:highlight w:val="none"/>
          <w:lang w:val="zh-CN"/>
        </w:rPr>
        <w:t xml:space="preserve">3 “用户或使用单位”是指使用货物、服务的单位。</w:t>
      </w:r>
      <w:r/>
    </w:p>
    <w:p>
      <w:pPr>
        <w:ind w:firstLine="420"/>
        <w:spacing w:line="360" w:lineRule="auto"/>
        <w:rPr>
          <w:rFonts w:ascii="宋体" w:hAnsi="宋体"/>
          <w:b/>
          <w:color w:val="000000"/>
          <w:sz w:val="24"/>
          <w:highlight w:val="none"/>
          <w:lang w:val="zh-CN"/>
        </w:rPr>
      </w:pPr>
      <w:r>
        <w:rPr>
          <w:rFonts w:hint="eastAsia" w:ascii="宋体" w:hAnsi="宋体"/>
          <w:b/>
          <w:color w:val="000000"/>
          <w:sz w:val="24"/>
          <w:highlight w:val="none"/>
          <w:lang w:val="zh-CN"/>
        </w:rPr>
        <w:t xml:space="preserve">3、政策功能</w:t>
      </w:r>
      <w:r/>
    </w:p>
    <w:p>
      <w:pPr>
        <w:ind w:firstLine="47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3.1 政府采购促进中小企业发展，在政府采购活动中，供应商提供的货物、工程或者服务</w:t>
      </w:r>
      <w:r/>
    </w:p>
    <w:p>
      <w:pPr>
        <w:ind w:firstLine="47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符合下列情形的，享受中小企业扶持政策：</w:t>
      </w:r>
      <w:r/>
    </w:p>
    <w:p>
      <w:pPr>
        <w:ind w:firstLine="47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（1）在货物采购项目中，货物由中小企业制造，即货物由中小企业生产且使用该中小企业商号或者注册商标；</w:t>
      </w:r>
      <w:r/>
    </w:p>
    <w:p>
      <w:pPr>
        <w:ind w:firstLine="47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（2）在工程采购项目中，工程由中小企业承建，即工程施工单位为中小企业；</w:t>
      </w:r>
      <w:r/>
    </w:p>
    <w:p>
      <w:pPr>
        <w:ind w:firstLine="47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（3）在服务采购项目中，服务由中小企业承接，即提供服务的人员为中小企业依照《中华人民共和国劳动合同法》订立劳动合同的从业人员。</w:t>
      </w:r>
      <w:r/>
    </w:p>
    <w:p>
      <w:pPr>
        <w:ind w:firstLine="47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在货物采购项目中，供应商提供的货物既有中小企业制造货物，也有大型企业制造货物的，不享受中小企业扶持政策。</w:t>
      </w:r>
      <w:r/>
    </w:p>
    <w:p>
      <w:pPr>
        <w:ind w:firstLine="47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47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7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7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7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7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3.5 提供的产品属于信息安全产品的，供应商应当选择经国家认证的信息安全产品投标，并提供由中国信息安全认证中心按国家标准认证颁发的有效认证证书复印件。</w:t>
      </w:r>
      <w:r/>
    </w:p>
    <w:p>
      <w:pPr>
        <w:ind w:firstLine="47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3.6 提供的产品属于政府强制采购节能产品的，供应商应当选择依据国家标准中二级能效（水效）指标认证的节能产品投标，并提供有效的节能产品认证证书复印件。</w:t>
      </w:r>
      <w:r/>
    </w:p>
    <w:p>
      <w:pPr>
        <w:ind w:firstLine="47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3.7 提供的产品属于环境标志产品的，供应商应当选择依据相关标准的最新版本认证的环境标志产品投标，并提供有效的环境标志产品认证证书复印件。</w:t>
      </w:r>
      <w:r/>
    </w:p>
    <w:p>
      <w:pPr>
        <w:ind w:left="479"/>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3.8未按要求提供相关材料的，不享受相关政策。</w:t>
      </w:r>
      <w:r/>
    </w:p>
    <w:p>
      <w:pPr>
        <w:ind w:left="479"/>
        <w:spacing w:line="360" w:lineRule="auto"/>
        <w:rPr>
          <w:rFonts w:ascii="宋体" w:hAnsi="宋体"/>
          <w:b/>
          <w:color w:val="000000"/>
          <w:sz w:val="24"/>
          <w:highlight w:val="none"/>
        </w:rPr>
      </w:pPr>
      <w:r>
        <w:rPr>
          <w:rFonts w:hint="eastAsia" w:ascii="宋体" w:hAnsi="宋体"/>
          <w:b/>
          <w:color w:val="000000"/>
          <w:sz w:val="24"/>
          <w:highlight w:val="none"/>
        </w:rPr>
        <w:t xml:space="preserve">二、招标文件</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4.招标文件组成</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4.1 招标文件组成：招标公告、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4.2 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4.3 招标文件如果要求供应商提交备选投标方案的，供应商可以提交备选方案，否则，不接受备选方案。</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5.招标文件的澄清修改</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5.1 任何要求对招标文件进行澄清的供应商，应在投标截止期十日前按招标公告中的通讯地址，以书面形式通知代理机构；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5.3 代理机构在招标文件要求提交投标文件截止时间前，有权决定延长投标截止时间和开标时间，并在原采购信息发布媒体上发布变更公告。</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三、投标</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6.投标文件的语言、计量单位、货币、技术标准和编制</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6.2 供应商所使用的计量单位应为国家法定计量单位。</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6.3 供应商应用人民币报价。</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6.4 如标书制作工具中格式和内容与“江苏政府采购网”发布的招标文件不一致，以“江苏政府采购网”发布的招标文件为准。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6.5 供应商应在投标文件中写清相应的项目编号、项目名称、供应商全称、地址、电话、传真等。</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6.6 供应商所使用的技术标准应遵循国家最新标准及规范。</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7.联合体及分包：本项目不接受联合体投标。</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8.投标费用</w:t>
      </w:r>
      <w:r/>
    </w:p>
    <w:p>
      <w:pPr>
        <w:contextualSpacing/>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8.1</w:t>
      </w:r>
      <w:r>
        <w:rPr>
          <w:rFonts w:hint="eastAsia" w:ascii="宋体" w:hAnsi="宋体" w:cs="宋体"/>
          <w:color w:val="000000"/>
          <w:sz w:val="24"/>
          <w:highlight w:val="none"/>
          <w:lang w:val="zh-CN"/>
        </w:rPr>
        <w:t xml:space="preserve">供应商应承担所有与准备和参加投标有关的费用，无论采购结果如何，代理机构和采购人在任何情况下均无义务和责任承担这些费用。</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9.投标文件组成</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9.1 供应商编写的投标文件应包括资格证明文件、符合性证明文件、投标分项报价表、响应及偏离表、其他证明文件、投标函、开标一览表等部分。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9.3 供应商根据招标文件载明的采购项目实际情况，拟在中标后将中标项目的非主体、非关键性工作交由他人完成的，应当在投标文件中载明。</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10.投标文件的商务部分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10.1 商务部分是证明供应商有资格参加投标和中标后有能力履行合同的文件，这些文件应能满足招标的要求，包括但不限于下列文件，其中加“★”项目不得有缺失或无效：</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（1）★投标函（投标申请及声明）；</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（2）★法定代表人授权委托书及授权委托人的身份证复印件（有授权委托的），或法定代表人身份证复印件（无授权委托的）；</w:t>
      </w:r>
      <w:r/>
    </w:p>
    <w:p>
      <w:pPr>
        <w:ind w:firstLine="480"/>
        <w:spacing w:line="36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（3）★第一章招标公告中二、申请人的资格要求：1.《中华人民共和国政府采购法》规定的资格条件证明文件；3.采购人根据采购项目的特殊要求规定的特定条件证明文件</w:t>
      </w:r>
      <w:r>
        <w:rPr>
          <w:rFonts w:hint="eastAsia" w:ascii="宋体" w:hAnsi="宋体"/>
          <w:bCs/>
          <w:color w:val="000000"/>
          <w:sz w:val="24"/>
          <w:highlight w:val="none"/>
          <w:lang w:eastAsia="zh-CN"/>
        </w:rPr>
        <w:t xml:space="preserve">。</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w:t>
      </w:r>
      <w:r>
        <w:rPr>
          <w:rFonts w:hint="eastAsia" w:ascii="宋体" w:hAnsi="宋体" w:cs="宋体"/>
          <w:color w:val="000000"/>
          <w:sz w:val="24"/>
          <w:highlight w:val="none"/>
          <w:lang w:val="en-US" w:bidi="zh-CN"/>
        </w:rPr>
        <w:t xml:space="preserve">详见</w:t>
      </w:r>
      <w:r>
        <w:rPr>
          <w:rFonts w:hint="eastAsia" w:ascii="宋体" w:hAnsi="宋体" w:cs="宋体"/>
          <w:color w:val="000000"/>
          <w:sz w:val="24"/>
          <w:highlight w:val="none"/>
          <w:lang w:val="zh-CN" w:bidi="zh-CN"/>
        </w:rPr>
        <w:t xml:space="preserve">招标文件</w:t>
      </w:r>
      <w:r>
        <w:rPr>
          <w:rFonts w:hint="eastAsia" w:ascii="宋体" w:hAnsi="宋体" w:cs="宋体"/>
          <w:color w:val="000000"/>
          <w:sz w:val="24"/>
          <w:highlight w:val="none"/>
          <w:lang w:val="en-US" w:bidi="zh-CN"/>
        </w:rPr>
        <w:t xml:space="preserve">第五</w:t>
      </w:r>
      <w:r>
        <w:rPr>
          <w:rFonts w:hint="eastAsia" w:ascii="宋体" w:hAnsi="宋体" w:cs="宋体"/>
          <w:color w:val="000000"/>
          <w:sz w:val="24"/>
          <w:highlight w:val="none"/>
          <w:lang w:val="zh-CN" w:bidi="zh-CN"/>
        </w:rPr>
        <w:t xml:space="preserve">章</w:t>
      </w:r>
      <w:r>
        <w:rPr>
          <w:rFonts w:hint="eastAsia" w:ascii="宋体" w:hAnsi="宋体" w:cs="宋体"/>
          <w:color w:val="000000"/>
          <w:sz w:val="24"/>
          <w:highlight w:val="none"/>
          <w:lang w:val="en-US" w:bidi="zh-CN"/>
        </w:rPr>
        <w:t xml:space="preserve"> 工程量清单打</w:t>
      </w:r>
      <w:r>
        <w:rPr>
          <w:rFonts w:hint="eastAsia" w:ascii="宋体" w:hAnsi="宋体" w:cs="宋体"/>
          <w:color w:val="000000"/>
          <w:sz w:val="24"/>
          <w:highlight w:val="none"/>
          <w:lang w:val="zh-CN" w:bidi="zh-CN"/>
        </w:rPr>
        <w:t xml:space="preserve">★</w:t>
      </w:r>
      <w:r>
        <w:rPr>
          <w:rFonts w:hint="eastAsia" w:ascii="宋体" w:hAnsi="宋体" w:cs="宋体"/>
          <w:color w:val="000000"/>
          <w:sz w:val="24"/>
          <w:highlight w:val="none"/>
          <w:lang w:val="en-US" w:bidi="zh-CN"/>
        </w:rPr>
        <w:t xml:space="preserve">项</w:t>
      </w:r>
      <w:r>
        <w:rPr>
          <w:rFonts w:hint="eastAsia" w:ascii="宋体" w:hAnsi="宋体" w:cs="宋体"/>
          <w:color w:val="000000"/>
          <w:sz w:val="24"/>
          <w:highlight w:val="none"/>
          <w:lang w:val="zh-CN" w:bidi="zh-CN"/>
        </w:rPr>
        <w:t xml:space="preserve">。</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）《商务条款偏离表》；</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）供应商认为需要提供的其他资格证明文件和商务资料。</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11.投标文件的技术部分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11.1 技术部分是证明供应商提供的服务是合格的、并符合招标文件要求的证明文件，以及对投标报价表中的服务的详细说明，这些文件可以是文字资料、图纸和数据等。</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11.2 若提供的服务与招标文件要求有不符之处，应说明其差别之所在。</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11.3 投标文件应按照招标文件要求提供服务说明，技术资料、文件和有关证明，包括但不限于以下材料，</w:t>
      </w:r>
      <w:r>
        <w:rPr>
          <w:rFonts w:hint="eastAsia" w:ascii="宋体" w:hAnsi="宋体"/>
          <w:b/>
          <w:color w:val="000000"/>
          <w:sz w:val="24"/>
          <w:highlight w:val="none"/>
        </w:rPr>
        <w:t xml:space="preserve">其中加“★”项目不得有缺失或无效</w:t>
      </w:r>
      <w:r>
        <w:rPr>
          <w:rFonts w:hint="eastAsia" w:ascii="宋体" w:hAnsi="宋体"/>
          <w:bCs/>
          <w:color w:val="000000"/>
          <w:sz w:val="24"/>
          <w:highlight w:val="none"/>
        </w:rPr>
        <w:t xml:space="preserve">：</w:t>
      </w:r>
      <w:r/>
    </w:p>
    <w:p>
      <w:pPr>
        <w:ind w:firstLine="482"/>
        <w:spacing w:line="360" w:lineRule="auto"/>
        <w:rPr>
          <w:rFonts w:ascii="宋体" w:hAnsi="宋体"/>
          <w:bCs/>
          <w:color w:val="000000"/>
          <w:sz w:val="24"/>
          <w:highlight w:val="none"/>
        </w:rPr>
      </w:pPr>
      <w:r>
        <w:rPr>
          <w:rFonts w:hint="eastAsia" w:ascii="宋体" w:hAnsi="宋体"/>
          <w:bCs/>
          <w:color w:val="000000"/>
          <w:sz w:val="24"/>
          <w:highlight w:val="none"/>
        </w:rPr>
        <w:t xml:space="preserve">（1）项目实施方案；</w:t>
      </w:r>
      <w:r/>
    </w:p>
    <w:p>
      <w:pPr>
        <w:ind w:firstLine="482"/>
        <w:spacing w:line="360" w:lineRule="auto"/>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
          <w:color w:val="000000"/>
          <w:sz w:val="24"/>
          <w:highlight w:val="none"/>
        </w:rPr>
        <w:t xml:space="preserve">★</w:t>
      </w:r>
      <w:r>
        <w:rPr>
          <w:rFonts w:hint="eastAsia" w:ascii="宋体" w:hAnsi="宋体"/>
          <w:bCs/>
          <w:color w:val="000000"/>
          <w:sz w:val="24"/>
          <w:highlight w:val="none"/>
        </w:rPr>
        <w:t xml:space="preserve">工程量清单报价表；</w:t>
      </w:r>
      <w:r/>
    </w:p>
    <w:p>
      <w:pPr>
        <w:ind w:firstLine="482"/>
        <w:spacing w:line="360" w:lineRule="auto"/>
        <w:rPr>
          <w:rFonts w:ascii="宋体" w:hAnsi="宋体"/>
          <w:bCs/>
          <w:color w:val="000000"/>
          <w:sz w:val="24"/>
          <w:highlight w:val="none"/>
        </w:rPr>
      </w:pPr>
      <w:r>
        <w:rPr>
          <w:rFonts w:hint="eastAsia" w:ascii="宋体" w:hAnsi="宋体"/>
          <w:bCs/>
          <w:color w:val="000000"/>
          <w:sz w:val="24"/>
          <w:highlight w:val="none"/>
        </w:rPr>
        <w:t xml:space="preserve">（3）服务承诺；</w:t>
      </w:r>
      <w:r/>
    </w:p>
    <w:p>
      <w:pPr>
        <w:ind w:firstLine="482"/>
        <w:spacing w:line="360" w:lineRule="auto"/>
        <w:rPr>
          <w:rFonts w:ascii="宋体" w:hAnsi="宋体"/>
          <w:bCs/>
          <w:color w:val="000000"/>
          <w:sz w:val="24"/>
          <w:highlight w:val="none"/>
        </w:rPr>
      </w:pPr>
      <w:r>
        <w:rPr>
          <w:rFonts w:hint="eastAsia" w:ascii="宋体" w:hAnsi="宋体"/>
          <w:bCs/>
          <w:color w:val="000000"/>
          <w:sz w:val="24"/>
          <w:highlight w:val="none"/>
        </w:rPr>
        <w:t xml:space="preserve">（4）《技术条款偏离表》；</w:t>
      </w:r>
      <w:r/>
    </w:p>
    <w:p>
      <w:pPr>
        <w:ind w:firstLine="482"/>
        <w:spacing w:line="360" w:lineRule="auto"/>
        <w:rPr>
          <w:rFonts w:ascii="宋体" w:hAnsi="宋体"/>
          <w:bCs/>
          <w:color w:val="000000"/>
          <w:sz w:val="24"/>
          <w:highlight w:val="none"/>
        </w:rPr>
      </w:pPr>
      <w:r>
        <w:rPr>
          <w:rFonts w:hint="eastAsia" w:ascii="宋体" w:hAnsi="宋体"/>
          <w:bCs/>
          <w:color w:val="000000"/>
          <w:sz w:val="24"/>
          <w:highlight w:val="none"/>
        </w:rPr>
        <w:t xml:space="preserve">（5）供应商认为需要提供的其他技术资料。</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12.投标文件的价格部分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12.1 价格部分是对投标价格构成的说明，每一项仅接受一个价格。</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12.2 本项目为固定单价合同，供应商应按照招标工程量清单填报报价表，最终按实结算。</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12.3 供应商的任何错漏、优惠、竞争性报价不得作为减轻责任、减少服务、增加收费、降低质量的理由。</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12.4 供应商应在《开标一览表》《工程量清单报价表》等标明提供服务的单价、总价以及分项报价。供应商系小微企业（含小型、微型企业）、残疾人福利性单位、监狱企业，并提供本企业承担的服务的，须在《开标一览表》《工程量清单报价表》中注明,供应商应当如实申报,否则评标委员会有权取消其小微企业、残疾人福利性单位、监狱企业优惠政策。</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12.5 《开标一览表》须加盖电子公章。</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13.投标文件的其他部分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供应商编制投标文件需要提供的其他相关文件。</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14.投标保证金：无。</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15.投标有效期</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15.1 自开标之日起六十日内投标有效。</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16.投标文件的签署</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16.3 除供应商对错处做必要修改外，投标文件不得行间插字、涂改或增删。如有修改错漏处，必须由投标文件签署人签字或加盖电子公章。</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17.投标文件的递交</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17.1 供应商应当按照《操作手册》规定，在招标公告规定的投标截止时间前制作并上传电子投标文件。</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17.2 供应商应充分考虑网络环境、网络带宽等因素可能对投标产生的影响，如因供应商自身原因造成的电子投标文件上传不成功的，按照本招标文件第二章第21.2.2.4 条规定做无效投标处理。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17.3 代理机构有权通过修改招标文件酌情延长投标截止时间，在此情况下，供应商的所有权利和义务均以延长后新的截止时间为准。</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18.有下列情形之一的投标文件将被拒收</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18.1 在招标文件要求提交投标文件的截止时间之后上传的。</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19.投标文件的修改和撤回</w:t>
      </w:r>
      <w:r/>
    </w:p>
    <w:p>
      <w:p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rPr>
        <w:t xml:space="preserve">19</w:t>
      </w:r>
      <w:r>
        <w:rPr>
          <w:rFonts w:hint="eastAsia" w:ascii="宋体" w:hAnsi="宋体"/>
          <w:bCs/>
          <w:color w:val="000000"/>
          <w:sz w:val="24"/>
          <w:highlight w:val="none"/>
          <w:lang w:val="zh-CN"/>
        </w:rPr>
        <w:t xml:space="preserve">.</w:t>
      </w:r>
      <w:r>
        <w:rPr>
          <w:rFonts w:hint="eastAsia" w:ascii="宋体" w:hAnsi="宋体"/>
          <w:bCs/>
          <w:color w:val="000000"/>
          <w:sz w:val="24"/>
          <w:highlight w:val="none"/>
        </w:rPr>
        <w:t xml:space="preserve">1</w:t>
      </w:r>
      <w:r>
        <w:rPr>
          <w:rFonts w:hint="eastAsia" w:ascii="宋体" w:hAnsi="宋体"/>
          <w:bCs/>
          <w:color w:val="000000"/>
          <w:sz w:val="24"/>
          <w:highlight w:val="none"/>
          <w:lang w:val="zh-CN"/>
        </w:rPr>
        <w:t xml:space="preserve"> 投标文件的修改</w:t>
      </w:r>
      <w:r/>
    </w:p>
    <w:p>
      <w:p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rPr>
        <w:t xml:space="preserve">19</w:t>
      </w:r>
      <w:r>
        <w:rPr>
          <w:rFonts w:hint="eastAsia" w:ascii="宋体" w:hAnsi="宋体"/>
          <w:bCs/>
          <w:color w:val="000000"/>
          <w:sz w:val="24"/>
          <w:highlight w:val="none"/>
          <w:lang w:val="zh-CN"/>
        </w:rPr>
        <w:t xml:space="preserve">.</w:t>
      </w:r>
      <w:r>
        <w:rPr>
          <w:rFonts w:hint="eastAsia" w:ascii="宋体" w:hAnsi="宋体"/>
          <w:bCs/>
          <w:color w:val="000000"/>
          <w:sz w:val="24"/>
          <w:highlight w:val="none"/>
        </w:rPr>
        <w:t xml:space="preserve">1</w:t>
      </w:r>
      <w:r>
        <w:rPr>
          <w:rFonts w:hint="eastAsia" w:ascii="宋体" w:hAnsi="宋体"/>
          <w:bCs/>
          <w:color w:val="000000"/>
          <w:sz w:val="24"/>
          <w:highlight w:val="none"/>
          <w:lang w:val="zh-CN"/>
        </w:rPr>
        <w:t xml:space="preserve">.1供应商可在投标截止时间前对其电子投标文件进行修改，具体操作方法见《操作手册》。</w:t>
      </w:r>
      <w:r/>
    </w:p>
    <w:p>
      <w:p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rPr>
        <w:t xml:space="preserve">19</w:t>
      </w:r>
      <w:r>
        <w:rPr>
          <w:rFonts w:hint="eastAsia" w:ascii="宋体" w:hAnsi="宋体"/>
          <w:bCs/>
          <w:color w:val="000000"/>
          <w:sz w:val="24"/>
          <w:highlight w:val="none"/>
          <w:lang w:val="zh-CN"/>
        </w:rPr>
        <w:t xml:space="preserve">.</w:t>
      </w:r>
      <w:r>
        <w:rPr>
          <w:rFonts w:hint="eastAsia" w:ascii="宋体" w:hAnsi="宋体"/>
          <w:bCs/>
          <w:color w:val="000000"/>
          <w:sz w:val="24"/>
          <w:highlight w:val="none"/>
        </w:rPr>
        <w:t xml:space="preserve">1</w:t>
      </w:r>
      <w:r>
        <w:rPr>
          <w:rFonts w:hint="eastAsia" w:ascii="宋体" w:hAnsi="宋体"/>
          <w:bCs/>
          <w:color w:val="000000"/>
          <w:sz w:val="24"/>
          <w:highlight w:val="none"/>
          <w:lang w:val="zh-CN"/>
        </w:rPr>
        <w:t xml:space="preserve">.2投标截止时间之后，供应商不得对其电子投标文件作任何修改。</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19.2 投标文件的撤回</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19.2.1 供应商可在投标截止时间前撤回其电子投标文件，具体操作方法见《操作手册》。</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19.2.2 供应商撤回电子投标文件，则认为其不再参与本项目投标活动。</w:t>
      </w:r>
      <w:r/>
    </w:p>
    <w:p>
      <w:p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rPr>
        <w:t xml:space="preserve">19</w:t>
      </w:r>
      <w:r>
        <w:rPr>
          <w:rFonts w:hint="eastAsia" w:ascii="宋体" w:hAnsi="宋体"/>
          <w:bCs/>
          <w:color w:val="000000"/>
          <w:sz w:val="24"/>
          <w:highlight w:val="none"/>
          <w:lang w:val="zh-CN"/>
        </w:rPr>
        <w:t xml:space="preserve">.</w:t>
      </w:r>
      <w:r>
        <w:rPr>
          <w:rFonts w:hint="eastAsia" w:ascii="宋体" w:hAnsi="宋体"/>
          <w:bCs/>
          <w:color w:val="000000"/>
          <w:sz w:val="24"/>
          <w:highlight w:val="none"/>
        </w:rPr>
        <w:t xml:space="preserve">2.</w:t>
      </w:r>
      <w:r>
        <w:rPr>
          <w:rFonts w:hint="eastAsia" w:ascii="宋体" w:hAnsi="宋体"/>
          <w:bCs/>
          <w:color w:val="000000"/>
          <w:sz w:val="24"/>
          <w:highlight w:val="none"/>
          <w:lang w:val="zh-CN"/>
        </w:rPr>
        <w:t xml:space="preserve">3 在投标截止时间至招标文件中规定的投标有效期满之间的这段时间内，供应商不得撤回其投标。</w:t>
      </w:r>
      <w:bookmarkStart w:id="33" w:name="_Toc120614218"/>
      <w:r/>
      <w:bookmarkEnd w:id="33"/>
      <w:r/>
      <w:bookmarkStart w:id="34" w:name="_Toc513029229"/>
      <w:r/>
      <w:bookmarkEnd w:id="34"/>
      <w:r/>
      <w:bookmarkStart w:id="35" w:name="_Toc16938545"/>
      <w:r/>
      <w:bookmarkEnd w:id="35"/>
      <w:r/>
      <w:bookmarkStart w:id="36" w:name="_Toc20823301"/>
      <w:r/>
      <w:bookmarkEnd w:id="36"/>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四、开标、评标与确定中标供应商</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20.开标</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20.1 代理机构将在招标文件确定的时间和地点进行公开开标。供应商按照《操作手册》规定参加开标活动，并在苏采云系统规定的时间内对投标文件进行解密。苏采云系统公布各供应商名称和投标价格。</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20.2 供应商在开标过程中涉及到的投标文件解密、开标结果确认等工作，应按照《操作手册》规定执行。</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20.3 供应商如果对开标过程和开标结果有疑义，应当根据《操作手册》规定提出，苏采云系统中《开标记录表》公布后5分钟内未提出的，视同认可开标结果。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21.评标</w:t>
      </w:r>
      <w:r/>
    </w:p>
    <w:p>
      <w:pPr>
        <w:ind w:firstLine="482"/>
        <w:spacing w:line="360" w:lineRule="auto"/>
        <w:rPr>
          <w:rFonts w:ascii="宋体" w:hAnsi="宋体" w:cs="宋体"/>
          <w:b/>
          <w:bCs/>
          <w:color w:val="000000"/>
          <w:sz w:val="24"/>
          <w:highlight w:val="none"/>
          <w:lang w:val="zh-CN"/>
        </w:rPr>
      </w:pPr>
      <w:r>
        <w:rPr>
          <w:rFonts w:hint="eastAsia" w:ascii="宋体" w:hAnsi="宋体" w:cs="宋体"/>
          <w:b/>
          <w:color w:val="000000"/>
          <w:sz w:val="24"/>
          <w:highlight w:val="none"/>
          <w:lang w:val="zh-CN"/>
        </w:rPr>
        <w:t xml:space="preserve">21.1</w:t>
      </w:r>
      <w:r>
        <w:rPr>
          <w:rFonts w:hint="eastAsia" w:ascii="宋体" w:hAnsi="宋体" w:cs="宋体"/>
          <w:b/>
          <w:bCs/>
          <w:color w:val="000000"/>
          <w:sz w:val="24"/>
          <w:highlight w:val="none"/>
          <w:lang w:val="zh-CN"/>
        </w:rPr>
        <w:t xml:space="preserve"> 评标组织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21.1.1评标工作由代理机构组织评标委员会（以下简称“评委会”）进行，具体评标事务由依法组建的评标委员会负责，并独立履行</w:t>
      </w:r>
      <w:r>
        <w:rPr>
          <w:rFonts w:hint="eastAsia" w:ascii="宋体" w:hAnsi="宋体" w:cs="宋体"/>
          <w:color w:val="000000"/>
          <w:sz w:val="24"/>
          <w:highlight w:val="none"/>
        </w:rPr>
        <w:t xml:space="preserve">下列职责：</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（1）审查、评价投标文件是否符合招标文件的商务、技术等实质性要求；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（2）要求供应商对投标文件有关事项作出澄清或者说明；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（3）对投标文件进行比较和评价；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（4）推荐中标候选人或根据采购人委托直接确定中标供应商；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（5）向采购人、财政部门报告评标中发现的违法行为。</w:t>
      </w:r>
      <w:r/>
    </w:p>
    <w:p>
      <w:pPr>
        <w:ind w:firstLine="420"/>
        <w:spacing w:line="360" w:lineRule="auto"/>
        <w:rPr>
          <w:rFonts w:ascii="宋体" w:hAnsi="宋体" w:cs="宋体"/>
          <w:color w:val="000000"/>
          <w:sz w:val="24"/>
          <w:highlight w:val="none"/>
          <w:lang w:val="zh-CN"/>
        </w:rPr>
      </w:pPr>
      <w:r>
        <w:rPr>
          <w:rFonts w:hint="eastAsia" w:ascii="宋体" w:hAnsi="宋体" w:cs="宋体"/>
          <w:bCs/>
          <w:color w:val="000000"/>
          <w:sz w:val="24"/>
          <w:highlight w:val="none"/>
          <w:lang w:val="zh-CN"/>
        </w:rPr>
        <w:t xml:space="preserve">21.1.2 </w:t>
      </w:r>
      <w:r>
        <w:rPr>
          <w:rFonts w:hint="eastAsia" w:ascii="宋体" w:hAnsi="宋体" w:cs="宋体"/>
          <w:color w:val="000000"/>
          <w:sz w:val="24"/>
          <w:highlight w:val="none"/>
          <w:lang w:val="zh-CN"/>
        </w:rPr>
        <w:t xml:space="preserve">本次采购以项目为单位组建评标委员会，评标委员会由采购人代表和评审专家组成，成员人数应当为5人及以上单数，其中评审专家不得少于成员总数的三分之二，评审专家在江苏省政府采购评审专家库中随机抽取产生，并独立开展评审工作。</w:t>
      </w:r>
      <w:r/>
    </w:p>
    <w:p>
      <w:pPr>
        <w:ind w:firstLine="420"/>
        <w:spacing w:line="360" w:lineRule="auto"/>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21.2 评标程序</w:t>
      </w:r>
      <w:r/>
    </w:p>
    <w:p>
      <w:pPr>
        <w:ind w:firstLine="420"/>
        <w:spacing w:line="360" w:lineRule="auto"/>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21.2.1 投标文件的资格审查</w:t>
      </w:r>
      <w:r/>
    </w:p>
    <w:p>
      <w:pPr>
        <w:pStyle w:val="123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21.2.1.1采购人（</w:t>
      </w:r>
      <w:r>
        <w:rPr>
          <w:rFonts w:hint="eastAsia" w:ascii="宋体" w:hAnsi="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lang w:val="zh-CN"/>
        </w:rPr>
        <w:t xml:space="preserve">）依法对供应商的资格进行审查。</w:t>
      </w:r>
      <w:r/>
    </w:p>
    <w:p>
      <w:pPr>
        <w:pStyle w:val="123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21.2.1.2采购人（</w:t>
      </w:r>
      <w:r>
        <w:rPr>
          <w:rFonts w:hint="eastAsia" w:ascii="宋体" w:hAnsi="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lang w:val="zh-CN"/>
        </w:rPr>
        <w:t xml:space="preserve">）依据法律法规和招标文件的规定，对投标文件中的资格证明文件等进行审查，以确定投标供应商是否具备投标资格。</w:t>
      </w:r>
      <w:r/>
    </w:p>
    <w:p>
      <w:pPr>
        <w:ind w:firstLine="482"/>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21.2.1.3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ascii="宋体" w:hAnsi="宋体" w:cs="宋体"/>
          <w:color w:val="000000"/>
          <w:sz w:val="24"/>
          <w:highlight w:val="none"/>
          <w:lang w:val="zh-CN"/>
        </w:rPr>
      </w:pPr>
      <w:r>
        <w:rPr>
          <w:rFonts w:hint="eastAsia" w:ascii="宋体" w:hAnsi="宋体" w:cs="宋体"/>
          <w:b/>
          <w:color w:val="000000"/>
          <w:sz w:val="24"/>
          <w:highlight w:val="none"/>
          <w:lang w:val="zh-CN"/>
        </w:rPr>
        <w:t xml:space="preserve">21.2.1.4投标文件有下列情况之一的，在资格性审查时按照无效投标处理</w:t>
      </w:r>
      <w:r/>
    </w:p>
    <w:p>
      <w:pPr>
        <w:ind w:firstLine="42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（1）不具备招标文件规定资格条件的； </w:t>
      </w:r>
      <w:r/>
    </w:p>
    <w:p>
      <w:pPr>
        <w:ind w:firstLine="42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（2）供应商被“信用中国”网站（www.creditchina.gov.cn）、“中国政府采购网”（www.ccgp.gov.cn）列入失信被执行人、重大税收违法失信主体、政府采购严重违法失信行为记录名单的。</w:t>
      </w:r>
      <w:r/>
    </w:p>
    <w:p>
      <w:pPr>
        <w:ind w:firstLine="482"/>
        <w:spacing w:line="360" w:lineRule="auto"/>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21.2.2 投标文件的符合性审查</w:t>
      </w:r>
      <w:r/>
    </w:p>
    <w:p>
      <w:pPr>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21.2.2.2 实质性要求是指本招标文件中带“★”的</w:t>
      </w:r>
      <w:r>
        <w:rPr>
          <w:rFonts w:hint="eastAsia" w:ascii="宋体" w:hAnsi="宋体" w:cs="宋体"/>
          <w:color w:val="000000"/>
          <w:sz w:val="24"/>
          <w:highlight w:val="none"/>
          <w:lang w:val="en-US" w:eastAsia="zh-CN"/>
        </w:rPr>
        <w:t xml:space="preserve">内容</w:t>
      </w:r>
      <w:r>
        <w:rPr>
          <w:rFonts w:hint="eastAsia" w:ascii="宋体" w:hAnsi="宋体" w:cs="宋体"/>
          <w:color w:val="000000"/>
          <w:sz w:val="24"/>
          <w:highlight w:val="none"/>
          <w:lang w:val="zh-CN"/>
        </w:rPr>
        <w:t xml:space="preserve">。</w:t>
      </w:r>
      <w:r/>
    </w:p>
    <w:p>
      <w:pPr>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lang w:val="zh-CN"/>
        </w:rPr>
        <w:t xml:space="preserve">21.2.2.3 如果投标文件实质上没有响应招标文件的要求，评标委员会将予以拒绝，</w:t>
      </w:r>
      <w:r>
        <w:rPr>
          <w:rFonts w:hint="eastAsia" w:ascii="宋体" w:hAnsi="宋体" w:cs="宋体"/>
          <w:bCs/>
          <w:color w:val="000000"/>
          <w:sz w:val="24"/>
          <w:highlight w:val="none"/>
        </w:rPr>
        <w:t xml:space="preserve">供应商不得通过修改或撤销不合要求的偏离而使其投标成为实质性响应的投标。</w:t>
      </w:r>
      <w:r/>
    </w:p>
    <w:p>
      <w:pPr>
        <w:ind w:firstLine="482"/>
        <w:spacing w:line="360" w:lineRule="auto"/>
        <w:rPr>
          <w:rFonts w:ascii="宋体" w:hAnsi="宋体" w:cs="宋体"/>
          <w:b/>
          <w:color w:val="000000"/>
          <w:sz w:val="24"/>
          <w:highlight w:val="none"/>
          <w:lang w:val="zh-CN"/>
        </w:rPr>
      </w:pPr>
      <w:r>
        <w:rPr>
          <w:rFonts w:hint="eastAsia" w:ascii="宋体" w:hAnsi="宋体" w:cs="宋体"/>
          <w:b/>
          <w:bCs/>
          <w:color w:val="000000"/>
          <w:sz w:val="24"/>
          <w:highlight w:val="none"/>
        </w:rPr>
        <w:t xml:space="preserve">21.2.2.4 </w:t>
      </w:r>
      <w:r>
        <w:rPr>
          <w:rFonts w:hint="eastAsia" w:ascii="宋体" w:hAnsi="宋体" w:cs="宋体"/>
          <w:b/>
          <w:color w:val="000000"/>
          <w:sz w:val="24"/>
          <w:highlight w:val="none"/>
          <w:lang w:val="zh-CN"/>
        </w:rPr>
        <w:t xml:space="preserve">投标文件有下列情况之一的，在符合性审查时按照无效投标处理</w:t>
      </w:r>
      <w:r/>
    </w:p>
    <w:p>
      <w:pPr>
        <w:ind w:firstLine="420"/>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（1）投标人在“苏采云”系统规定的时间内未成功解密电子投标文件的；</w:t>
      </w:r>
      <w:r/>
    </w:p>
    <w:p>
      <w:pPr>
        <w:ind w:firstLine="420"/>
        <w:spacing w:line="360" w:lineRule="auto"/>
        <w:widowControl/>
        <w:rPr>
          <w:rFonts w:ascii="宋体" w:hAnsi="宋体" w:cs="宋体"/>
          <w:bCs/>
          <w:color w:val="000000"/>
          <w:sz w:val="24"/>
          <w:highlight w:val="none"/>
          <w:lang w:val="zh-CN"/>
        </w:rPr>
      </w:pPr>
      <w:r>
        <w:rPr>
          <w:rFonts w:hint="eastAsia" w:ascii="宋体" w:hAnsi="宋体" w:cs="宋体"/>
          <w:color w:val="000000"/>
          <w:sz w:val="24"/>
          <w:highlight w:val="none"/>
          <w:lang w:val="zh-CN"/>
        </w:rPr>
        <w:t xml:space="preserve">（2）</w:t>
      </w:r>
      <w:r>
        <w:rPr>
          <w:rFonts w:hint="eastAsia" w:ascii="宋体" w:hAnsi="宋体" w:cs="宋体"/>
          <w:bCs/>
          <w:color w:val="000000"/>
          <w:sz w:val="24"/>
          <w:highlight w:val="none"/>
          <w:lang w:val="zh-CN"/>
        </w:rPr>
        <w:t xml:space="preserve">供应商未按照招标文件要求上传电子投标文件。</w:t>
      </w:r>
      <w:r/>
    </w:p>
    <w:p>
      <w:pPr>
        <w:ind w:firstLine="420"/>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（3）投标总价超出采购预算金额或者最高限价的；</w:t>
      </w:r>
      <w:r/>
    </w:p>
    <w:p>
      <w:pPr>
        <w:ind w:firstLine="420"/>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（4）不同供应商的投标文件由同一单位或者个人编制；</w:t>
      </w:r>
      <w:r/>
    </w:p>
    <w:p>
      <w:pPr>
        <w:ind w:firstLine="420"/>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（5）不同供应商委托同一单位或者个人办理投标事宜；</w:t>
      </w:r>
      <w:r/>
    </w:p>
    <w:p>
      <w:pPr>
        <w:ind w:firstLine="420"/>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（6）不同供应商的投标文件载明的项目管理成员或者联系人员为同一人；</w:t>
      </w:r>
      <w:r/>
    </w:p>
    <w:p>
      <w:pPr>
        <w:ind w:firstLine="420"/>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（7）不同供应商的投标文件异常一致或者投标报价呈规律性差异；</w:t>
      </w:r>
      <w:r/>
    </w:p>
    <w:p>
      <w:pPr>
        <w:ind w:firstLine="420"/>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（8）不同供应商的法定代表人或委托代理人有夫妻、直系血亲关系的；</w:t>
      </w:r>
      <w:r/>
    </w:p>
    <w:p>
      <w:pPr>
        <w:ind w:firstLine="420"/>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9</w:t>
      </w:r>
      <w:r>
        <w:rPr>
          <w:rFonts w:hint="eastAsia" w:ascii="宋体" w:hAnsi="宋体" w:cs="宋体"/>
          <w:color w:val="000000"/>
          <w:sz w:val="24"/>
          <w:highlight w:val="none"/>
          <w:lang w:val="zh-CN"/>
        </w:rPr>
        <w:t xml:space="preserve">）不同供应商的负责人为同一人或者存在控股、管理关系的；</w:t>
      </w:r>
      <w:r/>
    </w:p>
    <w:p>
      <w:pPr>
        <w:ind w:firstLine="420"/>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0</w:t>
      </w:r>
      <w:r>
        <w:rPr>
          <w:rFonts w:hint="eastAsia" w:ascii="宋体" w:hAnsi="宋体" w:cs="宋体"/>
          <w:color w:val="000000"/>
          <w:sz w:val="24"/>
          <w:highlight w:val="none"/>
          <w:lang w:val="zh-CN"/>
        </w:rPr>
        <w:t xml:space="preserve">）不同供应商的委托代理人（或法定代表人、项目负责人、项目总监等）在招标文件发布日上月至投标截止日当月在同一单位缴纳社会保险的；</w:t>
      </w:r>
      <w:r/>
    </w:p>
    <w:p>
      <w:pPr>
        <w:ind w:firstLine="420"/>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）属于</w:t>
      </w:r>
      <w:r>
        <w:rPr>
          <w:rFonts w:hint="eastAsia" w:ascii="宋体" w:hAnsi="宋体" w:cs="宋体"/>
          <w:color w:val="000000"/>
          <w:sz w:val="24"/>
          <w:highlight w:val="none"/>
        </w:rPr>
        <w:t xml:space="preserve">招标公告</w:t>
      </w:r>
      <w:r>
        <w:rPr>
          <w:rFonts w:hint="eastAsia" w:ascii="宋体" w:hAnsi="宋体" w:cs="宋体"/>
          <w:color w:val="000000"/>
          <w:sz w:val="24"/>
          <w:highlight w:val="none"/>
          <w:lang w:val="zh-CN"/>
        </w:rPr>
        <w:t xml:space="preserve">中拒绝参加本次采购活动供应商的；</w:t>
      </w:r>
      <w:r/>
    </w:p>
    <w:p>
      <w:pPr>
        <w:ind w:firstLine="420"/>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）投标文件含有采购人不能接受的附加条件的；</w:t>
      </w:r>
      <w:r/>
    </w:p>
    <w:p>
      <w:pPr>
        <w:ind w:firstLine="420"/>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firstLine="420"/>
        <w:spacing w:line="360" w:lineRule="auto"/>
        <w:widowControl/>
        <w:rPr>
          <w:rFonts w:ascii="宋体" w:hAnsi="宋体" w:cs="宋体"/>
          <w:bCs/>
          <w:color w:val="000000"/>
          <w:sz w:val="24"/>
          <w:highlight w:val="none"/>
          <w:lang w:val="zh-CN"/>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14</w:t>
      </w:r>
      <w:r>
        <w:rPr>
          <w:rFonts w:hint="eastAsia" w:ascii="宋体" w:hAnsi="宋体" w:cs="宋体"/>
          <w:bCs/>
          <w:color w:val="000000"/>
          <w:sz w:val="24"/>
          <w:highlight w:val="none"/>
          <w:lang w:val="zh-CN"/>
        </w:rPr>
        <w:t xml:space="preserve">）同一供应商提交两个（含两个）以上不同的投标报价。</w:t>
      </w:r>
      <w:r/>
    </w:p>
    <w:p>
      <w:pPr>
        <w:ind w:firstLine="420"/>
        <w:spacing w:line="360" w:lineRule="auto"/>
        <w:widowControl/>
        <w:rPr>
          <w:rFonts w:ascii="宋体" w:hAnsi="宋体" w:cs="宋体"/>
          <w:bCs/>
          <w:color w:val="000000"/>
          <w:sz w:val="24"/>
          <w:highlight w:val="none"/>
          <w:lang w:val="zh-CN"/>
        </w:rPr>
      </w:pPr>
      <w:r>
        <w:rPr>
          <w:rFonts w:hint="eastAsia" w:ascii="宋体" w:hAnsi="宋体" w:cs="宋体"/>
          <w:bCs/>
          <w:color w:val="000000"/>
          <w:sz w:val="24"/>
          <w:highlight w:val="none"/>
          <w:lang w:val="zh-CN"/>
        </w:rPr>
        <w:t xml:space="preserve">（1</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val="zh-CN"/>
        </w:rPr>
        <w:t xml:space="preserve">）现行法律、法规、规章和招标文件规定的其他无效情形。</w:t>
      </w:r>
      <w:r/>
    </w:p>
    <w:p>
      <w:pPr>
        <w:ind w:firstLine="420"/>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未通过资格审查或符合性审查的供应商，</w:t>
      </w:r>
      <w:r>
        <w:rPr>
          <w:rFonts w:hint="eastAsia" w:ascii="宋体" w:hAnsi="宋体" w:cs="宋体"/>
          <w:color w:val="000000"/>
          <w:sz w:val="24"/>
          <w:highlight w:val="none"/>
        </w:rPr>
        <w:t xml:space="preserve">代理机构</w:t>
      </w:r>
      <w:r>
        <w:rPr>
          <w:rFonts w:hint="eastAsia" w:ascii="宋体" w:hAnsi="宋体" w:cs="宋体"/>
          <w:color w:val="000000"/>
          <w:sz w:val="24"/>
          <w:highlight w:val="none"/>
          <w:lang w:val="zh-CN"/>
        </w:rPr>
        <w:t xml:space="preserve">将通过苏采云系统告知其具体原因，评标结束后不再接受有关询问。</w:t>
      </w:r>
      <w:r/>
    </w:p>
    <w:p>
      <w:pPr>
        <w:ind w:firstLine="482"/>
        <w:spacing w:line="360" w:lineRule="auto"/>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21.2.</w:t>
      </w:r>
      <w:r>
        <w:rPr>
          <w:rFonts w:hint="eastAsia" w:ascii="宋体" w:hAnsi="宋体" w:cs="宋体"/>
          <w:b/>
          <w:color w:val="000000"/>
          <w:sz w:val="24"/>
          <w:highlight w:val="none"/>
        </w:rPr>
        <w:t xml:space="preserve">2.5 </w:t>
      </w:r>
      <w:r>
        <w:rPr>
          <w:rFonts w:hint="eastAsia" w:ascii="宋体" w:hAnsi="宋体" w:cs="宋体"/>
          <w:b/>
          <w:color w:val="000000"/>
          <w:sz w:val="24"/>
          <w:highlight w:val="none"/>
          <w:lang w:val="zh-CN"/>
        </w:rPr>
        <w:t xml:space="preserve">废标</w:t>
      </w:r>
      <w:r/>
    </w:p>
    <w:p>
      <w:pPr>
        <w:ind w:firstLine="480"/>
        <w:spacing w:line="360" w:lineRule="auto"/>
        <w:rPr>
          <w:rFonts w:ascii="宋体" w:hAnsi="宋体" w:cs="宋体"/>
          <w:bCs/>
          <w:color w:val="000000"/>
          <w:sz w:val="24"/>
          <w:highlight w:val="none"/>
          <w:lang w:val="zh-CN"/>
        </w:rPr>
      </w:pPr>
      <w:r>
        <w:rPr>
          <w:rFonts w:hint="eastAsia" w:ascii="宋体" w:hAnsi="宋体" w:cs="宋体"/>
          <w:bCs/>
          <w:color w:val="000000"/>
          <w:sz w:val="24"/>
          <w:highlight w:val="none"/>
        </w:rPr>
        <w:t xml:space="preserve">21.2.2.5.</w:t>
      </w:r>
      <w:r>
        <w:rPr>
          <w:rFonts w:hint="eastAsia" w:ascii="宋体" w:hAnsi="宋体" w:cs="宋体"/>
          <w:bCs/>
          <w:color w:val="000000"/>
          <w:sz w:val="24"/>
          <w:highlight w:val="none"/>
          <w:lang w:val="zh-CN"/>
        </w:rPr>
        <w:t xml:space="preserve">1 符合资格条件的供应商或者对招标文件作实质响应的供应商不足三家。</w:t>
      </w:r>
      <w:r/>
    </w:p>
    <w:p>
      <w:pPr>
        <w:ind w:firstLine="480"/>
        <w:spacing w:line="360" w:lineRule="auto"/>
        <w:rPr>
          <w:rFonts w:ascii="宋体" w:hAnsi="宋体" w:cs="宋体"/>
          <w:bCs/>
          <w:color w:val="000000"/>
          <w:sz w:val="24"/>
          <w:highlight w:val="none"/>
          <w:lang w:val="zh-CN"/>
        </w:rPr>
      </w:pPr>
      <w:r>
        <w:rPr>
          <w:rFonts w:hint="eastAsia" w:ascii="宋体" w:hAnsi="宋体" w:cs="宋体"/>
          <w:bCs/>
          <w:color w:val="000000"/>
          <w:sz w:val="24"/>
          <w:highlight w:val="none"/>
        </w:rPr>
        <w:t xml:space="preserve">21.2.2.5.</w:t>
      </w:r>
      <w:r>
        <w:rPr>
          <w:rFonts w:hint="eastAsia" w:ascii="宋体" w:hAnsi="宋体" w:cs="宋体"/>
          <w:bCs/>
          <w:color w:val="000000"/>
          <w:sz w:val="24"/>
          <w:highlight w:val="none"/>
          <w:lang w:val="zh-CN"/>
        </w:rPr>
        <w:t xml:space="preserve">2 出现影响采购公正的违法、违规行为。</w:t>
      </w:r>
      <w:r/>
    </w:p>
    <w:p>
      <w:pPr>
        <w:ind w:firstLine="480"/>
        <w:spacing w:line="360" w:lineRule="auto"/>
        <w:rPr>
          <w:rFonts w:ascii="宋体" w:hAnsi="宋体" w:cs="宋体"/>
          <w:bCs/>
          <w:color w:val="000000"/>
          <w:sz w:val="24"/>
          <w:highlight w:val="none"/>
          <w:lang w:val="zh-CN"/>
        </w:rPr>
      </w:pPr>
      <w:r>
        <w:rPr>
          <w:rFonts w:hint="eastAsia" w:ascii="宋体" w:hAnsi="宋体" w:cs="宋体"/>
          <w:bCs/>
          <w:color w:val="000000"/>
          <w:sz w:val="24"/>
          <w:highlight w:val="none"/>
        </w:rPr>
        <w:t xml:space="preserve">21.2.2.5.</w:t>
      </w:r>
      <w:r>
        <w:rPr>
          <w:rFonts w:hint="eastAsia" w:ascii="宋体" w:hAnsi="宋体" w:cs="宋体"/>
          <w:bCs/>
          <w:color w:val="000000"/>
          <w:sz w:val="24"/>
          <w:highlight w:val="none"/>
          <w:lang w:val="zh-CN"/>
        </w:rPr>
        <w:t xml:space="preserve">3 因重大变故采购任务取消。</w:t>
      </w:r>
      <w:r/>
    </w:p>
    <w:p>
      <w:pPr>
        <w:ind w:firstLine="480"/>
        <w:spacing w:line="360" w:lineRule="auto"/>
        <w:rPr>
          <w:rFonts w:ascii="宋体" w:hAnsi="宋体" w:cs="宋体"/>
          <w:bCs/>
          <w:color w:val="000000"/>
          <w:sz w:val="24"/>
          <w:highlight w:val="none"/>
          <w:lang w:val="zh-CN"/>
        </w:rPr>
      </w:pPr>
      <w:r>
        <w:rPr>
          <w:rFonts w:hint="eastAsia" w:ascii="宋体" w:hAnsi="宋体" w:cs="宋体"/>
          <w:bCs/>
          <w:color w:val="000000"/>
          <w:sz w:val="24"/>
          <w:highlight w:val="none"/>
        </w:rPr>
        <w:t xml:space="preserve">21.2.2.5.</w:t>
      </w:r>
      <w:r>
        <w:rPr>
          <w:rFonts w:hint="eastAsia" w:ascii="宋体" w:hAnsi="宋体" w:cs="宋体"/>
          <w:bCs/>
          <w:color w:val="000000"/>
          <w:sz w:val="24"/>
          <w:highlight w:val="none"/>
          <w:lang w:val="zh-CN"/>
        </w:rPr>
        <w:t xml:space="preserve">4 评委会认定招标文件存在歧义、重大缺陷导致评审工作无法进行。</w:t>
      </w:r>
      <w:r/>
    </w:p>
    <w:p>
      <w:pPr>
        <w:ind w:firstLine="480"/>
        <w:spacing w:line="360" w:lineRule="auto"/>
        <w:rPr>
          <w:rFonts w:ascii="宋体" w:hAnsi="宋体" w:cs="宋体"/>
          <w:bCs/>
          <w:color w:val="000000"/>
          <w:sz w:val="24"/>
          <w:highlight w:val="none"/>
          <w:lang w:val="zh-CN"/>
        </w:rPr>
      </w:pPr>
      <w:r>
        <w:rPr>
          <w:rFonts w:hint="eastAsia" w:ascii="宋体" w:hAnsi="宋体" w:cs="宋体"/>
          <w:bCs/>
          <w:color w:val="000000"/>
          <w:sz w:val="24"/>
          <w:highlight w:val="none"/>
        </w:rPr>
        <w:t xml:space="preserve">21.2.2.5.</w:t>
      </w:r>
      <w:r>
        <w:rPr>
          <w:rFonts w:hint="eastAsia" w:ascii="宋体" w:hAnsi="宋体" w:cs="宋体"/>
          <w:bCs/>
          <w:color w:val="000000"/>
          <w:sz w:val="24"/>
          <w:highlight w:val="none"/>
          <w:lang w:val="zh-CN"/>
        </w:rPr>
        <w:t xml:space="preserve">5预留份额的采购项目或采购包，通过发布公告方式邀请供应商后，符合资格条件的中小企业数量不足3家的。</w:t>
      </w:r>
      <w:r/>
    </w:p>
    <w:p>
      <w:pPr>
        <w:ind w:firstLine="480"/>
        <w:spacing w:line="360" w:lineRule="auto"/>
        <w:rPr>
          <w:rFonts w:ascii="宋体" w:hAnsi="宋体" w:cs="宋体"/>
          <w:bCs/>
          <w:color w:val="000000"/>
          <w:sz w:val="24"/>
          <w:highlight w:val="none"/>
          <w:lang w:val="zh-CN"/>
        </w:rPr>
      </w:pPr>
      <w:r>
        <w:rPr>
          <w:rFonts w:hint="eastAsia" w:ascii="宋体" w:hAnsi="宋体" w:cs="宋体"/>
          <w:bCs/>
          <w:color w:val="000000"/>
          <w:sz w:val="24"/>
          <w:highlight w:val="none"/>
        </w:rPr>
        <w:t xml:space="preserve">21.2.2.5.6 </w:t>
      </w:r>
      <w:r>
        <w:rPr>
          <w:rFonts w:hint="eastAsia" w:ascii="宋体" w:hAnsi="宋体" w:cs="宋体"/>
          <w:bCs/>
          <w:color w:val="000000"/>
          <w:sz w:val="24"/>
          <w:highlight w:val="none"/>
          <w:lang w:val="zh-CN"/>
        </w:rPr>
        <w:t xml:space="preserve">因苏采云系统故障造成开标不成功。</w:t>
      </w:r>
      <w:r/>
    </w:p>
    <w:p>
      <w:pPr>
        <w:ind w:firstLine="482"/>
        <w:spacing w:line="360" w:lineRule="auto"/>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21.2.3投标文件的进一步评审</w:t>
      </w:r>
      <w:r/>
    </w:p>
    <w:p>
      <w:pPr>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lang w:val="zh-CN"/>
        </w:rPr>
        <w:t xml:space="preserve">21.2.3.1</w:t>
      </w:r>
      <w:r>
        <w:rPr>
          <w:rFonts w:hint="eastAsia" w:ascii="宋体" w:hAnsi="宋体" w:cs="宋体"/>
          <w:bCs/>
          <w:color w:val="000000"/>
          <w:sz w:val="24"/>
          <w:highlight w:val="none"/>
        </w:rPr>
        <w:t xml:space="preserve">评标委员会将对确定为实质性响应的投标文件进行进一步评审，看其是否有计算上或累加上的算术错误，修正错误的原则如下：</w:t>
      </w:r>
      <w:r/>
    </w:p>
    <w:p>
      <w:pPr>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lang w:val="zh-CN"/>
        </w:rPr>
        <w:t xml:space="preserve">（1）</w:t>
      </w:r>
      <w:r>
        <w:rPr>
          <w:rFonts w:hint="eastAsia" w:ascii="宋体" w:hAnsi="宋体" w:cs="宋体"/>
          <w:bCs/>
          <w:color w:val="000000"/>
          <w:sz w:val="24"/>
          <w:highlight w:val="none"/>
        </w:rPr>
        <w:t xml:space="preserve">如果用数字表示的金额和用文字表示的金额不一致时，应以文字表示的金额为准进行修正；</w:t>
      </w:r>
      <w:r/>
    </w:p>
    <w:p>
      <w:pPr>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lang w:val="zh-CN"/>
        </w:rPr>
        <w:t xml:space="preserve">（2）</w:t>
      </w:r>
      <w:r>
        <w:rPr>
          <w:rFonts w:hint="eastAsia" w:ascii="宋体" w:hAnsi="宋体" w:cs="宋体"/>
          <w:bCs/>
          <w:color w:val="000000"/>
          <w:sz w:val="24"/>
          <w:highlight w:val="none"/>
        </w:rPr>
        <w:t xml:space="preserve">当单价与数量的乘积和总价不一致时，以单价为准进行修正。只有在评标委员会认为单价有明显的小数点错误时，才能以标出的总价为准，并修改单价。</w:t>
      </w:r>
      <w:r/>
    </w:p>
    <w:p>
      <w:pPr>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21.2.3.2</w:t>
      </w:r>
      <w:r>
        <w:rPr>
          <w:rFonts w:hint="eastAsia" w:ascii="宋体" w:hAnsi="宋体" w:cs="宋体"/>
          <w:bCs/>
          <w:color w:val="000000"/>
          <w:sz w:val="24"/>
          <w:highlight w:val="none"/>
        </w:rPr>
        <w:t xml:space="preserve"> 评委会将按上述修正错误的方法调整投标文件中的投标报价，并通过苏采云系统告知供应商，调整后的价格对供应商具有约束力。如果供应商不接受修正后的价格，则其投标将被拒绝。</w:t>
      </w:r>
      <w:r/>
    </w:p>
    <w:p>
      <w:pPr>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21.2.3.3 </w:t>
      </w:r>
      <w:r>
        <w:rPr>
          <w:rFonts w:hint="eastAsia" w:ascii="宋体" w:hAnsi="宋体" w:cs="宋体"/>
          <w:bCs/>
          <w:color w:val="000000"/>
          <w:sz w:val="24"/>
          <w:highlight w:val="none"/>
        </w:rPr>
        <w:t xml:space="preserve">评标委员会将允许修正投标文件中不构成重大偏离的、微小的、非正规的、不一致的或不规则的地方，但这些修改不能影响任何供应商相应的名次排列。</w:t>
      </w:r>
      <w:r/>
    </w:p>
    <w:p>
      <w:pPr>
        <w:ind w:firstLine="420"/>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接到评委会澄清、说明和补正要求的，供应商如未按规定作出澄清、说明和补正，其风险由供应商自行承担。</w:t>
      </w:r>
      <w:r/>
    </w:p>
    <w:p>
      <w:pPr>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21.2.3.5 比较与评价。按照招标文件中规定的评标方法和标准，对资格性检查和符合性检查合格的投标文件进行商务和技术评估，综合比较与评价。</w:t>
      </w:r>
      <w:r/>
    </w:p>
    <w:p>
      <w:pPr>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21.2.3.6 </w:t>
      </w:r>
      <w:r>
        <w:rPr>
          <w:rFonts w:hint="eastAsia" w:ascii="宋体" w:hAnsi="宋体" w:cs="宋体"/>
          <w:color w:val="000000"/>
          <w:sz w:val="24"/>
          <w:highlight w:val="none"/>
          <w:lang w:val="zh-CN"/>
        </w:rPr>
        <w:t xml:space="preserve">供应商在开、评标全过程中应保持通讯畅通，及时登录苏采云系统查阅、答复相关信息，并安排专人与</w:t>
      </w:r>
      <w:r>
        <w:rPr>
          <w:rFonts w:hint="eastAsia" w:ascii="宋体" w:hAnsi="宋体" w:cs="宋体"/>
          <w:color w:val="000000"/>
          <w:sz w:val="24"/>
          <w:highlight w:val="none"/>
        </w:rPr>
        <w:t xml:space="preserve">代理机构</w:t>
      </w:r>
      <w:r>
        <w:rPr>
          <w:rFonts w:hint="eastAsia" w:ascii="宋体" w:hAnsi="宋体" w:cs="宋体"/>
          <w:color w:val="000000"/>
          <w:sz w:val="24"/>
          <w:highlight w:val="none"/>
          <w:lang w:val="zh-CN"/>
        </w:rPr>
        <w:t xml:space="preserve">及评委会联系。</w:t>
      </w:r>
      <w:r/>
    </w:p>
    <w:p>
      <w:pPr>
        <w:ind w:firstLine="420"/>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21.2.3.7 如出现投标截止时间后参加投标的供应商或者对招标文件作出实质性响应的供应商不足三家的情况，按政府采购相关规定执行。</w:t>
      </w:r>
      <w:r/>
    </w:p>
    <w:p>
      <w:pPr>
        <w:ind w:firstLine="420"/>
        <w:spacing w:line="360" w:lineRule="auto"/>
        <w:widowControl/>
        <w:rPr>
          <w:rFonts w:ascii="宋体" w:hAnsi="宋体" w:cs="宋体"/>
          <w:color w:val="000000"/>
          <w:sz w:val="24"/>
          <w:highlight w:val="none"/>
          <w:lang w:val="zh-CN"/>
        </w:rPr>
      </w:pPr>
      <w:r/>
      <w:bookmarkStart w:id="37" w:name="OLE_LINK23"/>
      <w:r/>
      <w:bookmarkStart w:id="38" w:name="OLE_LINK22"/>
      <w:r>
        <w:rPr>
          <w:rFonts w:ascii="宋体" w:hAnsi="宋体" w:cs="宋体"/>
          <w:color w:val="000000"/>
          <w:sz w:val="24"/>
          <w:highlight w:val="none"/>
          <w:lang w:val="zh-CN"/>
        </w:rPr>
        <w:t xml:space="preserve">21.2.4</w:t>
      </w:r>
      <w:r>
        <w:rPr>
          <w:rFonts w:hint="eastAsia" w:ascii="宋体" w:hAnsi="宋体" w:cs="宋体"/>
          <w:color w:val="000000"/>
          <w:sz w:val="24"/>
          <w:highlight w:val="none"/>
          <w:lang w:val="zh-CN"/>
        </w:rPr>
        <w:t xml:space="preserve">根据“关于推动解决政府采购异常低价问题相关工作的通知（苏财购〔2025〕62号）”：</w:t>
      </w:r>
      <w:r/>
    </w:p>
    <w:p>
      <w:pPr>
        <w:ind w:firstLine="420"/>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（一）评审过程中出现下列情形之一的，评审委员会应当启动异常低价投标（响应）审查程序：</w:t>
      </w:r>
      <w:r/>
    </w:p>
    <w:p>
      <w:pPr>
        <w:ind w:firstLine="420"/>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1．投标（响应）报价低于采购项目预算50%的，即投标（响应）报价&lt;采购项目预算×50%；</w:t>
      </w:r>
      <w:r/>
    </w:p>
    <w:p>
      <w:pPr>
        <w:ind w:firstLine="420"/>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2．投标（响应）报价低于采购项目最高限价45%的，即投标（响应）报价&lt;采购项目最高限价×45%；</w:t>
      </w:r>
      <w:r/>
    </w:p>
    <w:p>
      <w:pPr>
        <w:ind w:firstLine="420"/>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3. 评审委员会认定的供应商报价过低、有可能影响产品质量或者不能诚信履约的其他情形。</w:t>
      </w:r>
      <w:r/>
    </w:p>
    <w:p>
      <w:pPr>
        <w:ind w:firstLine="420"/>
        <w:spacing w:line="360" w:lineRule="auto"/>
        <w:widowControl/>
        <w:rPr>
          <w:rFonts w:ascii="宋体" w:hAnsi="宋体" w:cs="宋体"/>
          <w:bCs/>
          <w:color w:val="000000"/>
          <w:sz w:val="24"/>
          <w:highlight w:val="none"/>
          <w:lang w:val="zh-CN"/>
        </w:rPr>
      </w:pPr>
      <w:r>
        <w:rPr>
          <w:rFonts w:hint="eastAsia" w:ascii="宋体" w:hAnsi="宋体" w:cs="宋体"/>
          <w:color w:val="000000"/>
          <w:sz w:val="24"/>
          <w:highlight w:val="none"/>
          <w:lang w:val="zh-CN"/>
        </w:rPr>
        <w:t xml:space="preserve">（二）启动异常低价投标（响应）审查后，评审委员会应当要求相关供应商在评</w:t>
      </w:r>
      <w:r>
        <w:rPr>
          <w:rFonts w:hint="eastAsia" w:ascii="宋体" w:hAnsi="宋体" w:cs="宋体"/>
          <w:bCs/>
          <w:color w:val="000000"/>
          <w:sz w:val="24"/>
          <w:highlight w:val="none"/>
          <w:lang w:val="zh-CN"/>
        </w:rPr>
        <w:t xml:space="preserve">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37"/>
      <w:r/>
      <w:bookmarkEnd w:id="38"/>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21.3 评标方法和标准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21.3.1</w:t>
      </w:r>
      <w:r>
        <w:rPr>
          <w:rFonts w:hint="eastAsia" w:ascii="宋体" w:hAnsi="宋体" w:cs="宋体"/>
          <w:sz w:val="24"/>
          <w:highlight w:val="none"/>
        </w:rPr>
        <w:t xml:space="preserve">本次招标采用综合评分法。综合评分法，是指投标文件满足招标文件全部实质性要求，且按照评审因素的量化指标评审得分最高的投标人为中标候选人的评标方法。</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21.3.2 综合评分的主要因素详见文件第三章。</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21.3.3评分标准详见文件第三章。</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22.确定中标供应商</w:t>
      </w:r>
      <w:r/>
    </w:p>
    <w:p>
      <w:pPr>
        <w:ind w:firstLine="480"/>
        <w:keepLines w:val="0"/>
        <w:keepNext w:val="0"/>
        <w:pageBreakBefore w:val="0"/>
        <w:spacing w:line="360" w:lineRule="auto"/>
        <w:widowControl w:val="off"/>
        <w:rPr>
          <w:rFonts w:ascii="宋体" w:hAnsi="宋体"/>
          <w:bCs/>
          <w:color w:val="000000"/>
          <w:sz w:val="24"/>
          <w:highlight w:val="none"/>
        </w:rPr>
      </w:pPr>
      <w:r>
        <w:rPr>
          <w:rFonts w:hint="eastAsia" w:ascii="宋体" w:hAnsi="宋体"/>
          <w:bCs/>
          <w:color w:val="000000"/>
          <w:sz w:val="24"/>
          <w:highlight w:val="none"/>
        </w:rPr>
        <w:t xml:space="preserve">22.1</w:t>
      </w:r>
      <w:r>
        <w:rPr>
          <w:rFonts w:hint="eastAsia" w:ascii="宋体" w:hAnsi="宋体" w:cs="宋体"/>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keepLines w:val="0"/>
        <w:keepNext w:val="0"/>
        <w:pageBreakBefore w:val="0"/>
        <w:spacing w:line="360" w:lineRule="auto"/>
        <w:widowControl w:val="off"/>
        <w:rPr>
          <w:rFonts w:hint="eastAsia" w:ascii="宋体" w:hAnsi="宋体"/>
          <w:bCs/>
          <w:color w:val="000000"/>
          <w:sz w:val="24"/>
          <w:highlight w:val="none"/>
        </w:rPr>
      </w:pPr>
      <w:r>
        <w:rPr>
          <w:rFonts w:ascii="宋体" w:hAnsi="宋体"/>
          <w:bCs/>
          <w:color w:val="000000"/>
          <w:sz w:val="24"/>
          <w:highlight w:val="none"/>
        </w:rPr>
        <w:t xml:space="preserve">22.2</w:t>
      </w:r>
      <w:r>
        <w:rPr>
          <w:rFonts w:hint="eastAsia" w:ascii="宋体" w:hAnsi="宋体"/>
          <w:bCs/>
          <w:color w:val="000000"/>
          <w:sz w:val="24"/>
          <w:highlight w:val="none"/>
        </w:rPr>
        <w:t xml:space="preserve">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22.4 《中标通知书》对采购人和中标供应商具有同等法律效力。</w:t>
      </w:r>
      <w:r>
        <w:rPr>
          <w:rFonts w:hint="eastAsia" w:ascii="宋体" w:hAnsi="宋体" w:cs="宋体"/>
          <w:sz w:val="24"/>
          <w:highlight w:val="none"/>
        </w:rPr>
        <w:t xml:space="preserve">中标通知书发出后，采购人不得违法改变中标结果，中标人无正当理由不得放弃中标。</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22.5 《中标通知书》发出后，中标供应商无正当理由不与采购人签订合同的，应当依法承担法律责任。</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22.6代理机构和评标委员会对未中标的供应商不作未中标原因的解释。</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23.编写评审报告</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评标委员会根据全体评标成员签字的原始评标记录和评标结果编写评审报告。</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24.评标过程的保密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24.1 代理机构将采取必要措施，保证评标在严格保密的情况下进行。</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24.2 任何单位和个人不得非法干预、影响评标办法的确定，以及评标过程和结果。</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24.3 凡是与审查、澄清、评价和比较投标的有关资料等，均不得向供应商及与评标无关的人员透露。</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五、签订合同</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25.签订合同</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25.2 采购人不得向中标供应商提出任何不合理的要求作为签订合同的条件，不得与中标供应商私下订立背离合同实质性内容的协议。</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六、询问、质疑、投诉和诚实信用</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26.询问</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供应商对招标活动事项有疑问的，可以向代理机构或采购人提出询问，代理机构或采购人将在两个工作日内作出答复，但答复的内容不涉及商业秘密。</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27.质疑</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27.2质疑供应商的质疑行为应符合财政部94号令相关规定，未参加采购活动的供应商或在采购活动中自身权益未受到损害的供应商所提出的质疑不予受理。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27.3 上述应知其权益受到损害之日是指：</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（1）对招标文件提出质疑的，为招标文件公告期限届满之日起计算；</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（2）对招标过程提出质疑的，自招标程序环节结束之日起计算；</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（3）对中标结果提出质疑的，自中标结果公告期限届满之日起计算。  </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27.4 质疑供应商在法定质疑期内应当一次性提出针对同一招标环节的质疑事项。</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27.5 代理机构在收到供应商的质疑后将及时组织调查核实，在七个工作日内作出答复，答复的内容不涉及商业秘密。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27.6 代理机构遵循“谁过错谁负担”的原则，有过错的一方承担调查论证费用。</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28.投诉</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质疑供应商对代理机构的答复不满意，或代理机构未在规定的时间内作出答复的，可以在答复期满后十五个工作日内向采购项目同级财政部门投诉。</w:t>
      </w:r>
      <w:r/>
    </w:p>
    <w:p>
      <w:pPr>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29.诚实信用</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29.1 供应商之间不得相互串通投标报价，不得妨碍其他供应商的公平竞争，不得损害采购人和其他供应商的合法权益。</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29.4 供应商不得虚假承诺，否则，按照提供虚假材料谋取中标处理。</w:t>
      </w:r>
      <w:r/>
    </w:p>
    <w:p>
      <w:pPr>
        <w:ind w:firstLine="480"/>
        <w:jc w:val="left"/>
        <w:spacing w:line="360" w:lineRule="auto"/>
        <w:rPr>
          <w:rFonts w:hint="eastAsia" w:ascii="宋体" w:hAnsi="宋体" w:cs="宋体"/>
          <w:color w:val="000000"/>
          <w:sz w:val="24"/>
          <w:highlight w:val="none"/>
          <w:lang w:val="zh-CN"/>
        </w:rPr>
        <w:outlineLvl w:val="9"/>
      </w:pPr>
      <w:r>
        <w:rPr>
          <w:rFonts w:hint="eastAsia" w:ascii="宋体" w:hAnsi="宋体"/>
          <w:bCs/>
          <w:color w:val="000000"/>
          <w:sz w:val="24"/>
          <w:highlight w:val="none"/>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sz w:val="24"/>
          <w:highlight w:val="none"/>
          <w:lang w:val="zh-CN"/>
        </w:rPr>
        <w:br w:type="page" w:clear="all"/>
      </w:r>
      <w:r/>
    </w:p>
    <w:p>
      <w:pPr>
        <w:ind w:firstLine="480"/>
        <w:jc w:val="center"/>
        <w:spacing w:line="360" w:lineRule="auto"/>
        <w:rPr>
          <w:rFonts w:ascii="宋体" w:hAnsi="宋体" w:cs="宋体"/>
          <w:b/>
          <w:bCs/>
          <w:color w:val="000000"/>
          <w:sz w:val="32"/>
          <w:szCs w:val="32"/>
          <w:highlight w:val="none"/>
        </w:rPr>
        <w:outlineLvl w:val="0"/>
      </w:pPr>
      <w:r/>
      <w:bookmarkStart w:id="39" w:name="_Toc25280"/>
      <w:r>
        <w:rPr>
          <w:rFonts w:hint="eastAsia" w:ascii="宋体" w:hAnsi="宋体" w:cs="宋体"/>
          <w:b/>
          <w:bCs/>
          <w:color w:val="000000"/>
          <w:sz w:val="32"/>
          <w:szCs w:val="32"/>
          <w:highlight w:val="none"/>
          <w:lang w:val="zh-CN"/>
        </w:rPr>
        <w:t xml:space="preserve">第三章 评标标准</w:t>
      </w:r>
      <w:bookmarkEnd w:id="39"/>
      <w:r/>
      <w:r/>
    </w:p>
    <w:p>
      <w:pPr>
        <w:jc w:val="left"/>
        <w:spacing w:line="360" w:lineRule="auto"/>
        <w:rPr>
          <w:rFonts w:ascii="宋体"/>
          <w:color w:val="000000"/>
          <w:sz w:val="24"/>
          <w:highlight w:val="none"/>
        </w:rPr>
      </w:pPr>
      <w:r>
        <w:rPr>
          <w:rFonts w:hint="eastAsia" w:ascii="宋体" w:hAnsi="宋体" w:cs="宋体"/>
          <w:b/>
          <w:bCs/>
          <w:color w:val="000000"/>
          <w:sz w:val="24"/>
          <w:highlight w:val="none"/>
        </w:rPr>
        <w:t xml:space="preserve">一、定标原则：</w:t>
      </w:r>
      <w:r/>
    </w:p>
    <w:p>
      <w:pPr>
        <w:ind w:firstLine="420"/>
        <w:jc w:val="left"/>
        <w:spacing w:line="360" w:lineRule="auto"/>
        <w:rPr>
          <w:rFonts w:ascii="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1</w:t>
      </w:r>
      <w:r>
        <w:rPr>
          <w:rFonts w:hint="eastAsia" w:ascii="宋体" w:hAnsi="宋体" w:cs="宋体"/>
          <w:color w:val="000000"/>
          <w:sz w:val="24"/>
          <w:highlight w:val="none"/>
        </w:rPr>
        <w:t xml:space="preserve">）本项目采用</w:t>
      </w:r>
      <w:r>
        <w:rPr>
          <w:rFonts w:hint="eastAsia" w:ascii="宋体" w:hAnsi="宋体" w:cs="宋体"/>
          <w:b/>
          <w:bCs/>
          <w:color w:val="000000"/>
          <w:sz w:val="24"/>
          <w:highlight w:val="none"/>
        </w:rPr>
        <w:t xml:space="preserve">综合评分法</w:t>
      </w:r>
      <w:r>
        <w:rPr>
          <w:rFonts w:hint="eastAsia" w:ascii="宋体" w:hAnsi="宋体" w:cs="宋体"/>
          <w:color w:val="000000"/>
          <w:sz w:val="24"/>
          <w:highlight w:val="none"/>
        </w:rPr>
        <w:t xml:space="preserve">确定中标候选人。总分值为</w:t>
      </w:r>
      <w:r>
        <w:rPr>
          <w:rFonts w:ascii="宋体" w:hAnsi="宋体" w:cs="宋体"/>
          <w:color w:val="000000"/>
          <w:sz w:val="24"/>
          <w:highlight w:val="none"/>
        </w:rPr>
        <w:t xml:space="preserve">100</w:t>
      </w:r>
      <w:r>
        <w:rPr>
          <w:rFonts w:hint="eastAsia" w:ascii="宋体" w:hAnsi="宋体" w:cs="宋体"/>
          <w:color w:val="000000"/>
          <w:sz w:val="24"/>
          <w:highlight w:val="none"/>
        </w:rPr>
        <w:t xml:space="preserve">分，小数点后保留两位。</w:t>
      </w:r>
      <w:r/>
    </w:p>
    <w:p>
      <w:pPr>
        <w:ind w:firstLine="420"/>
        <w:jc w:val="left"/>
        <w:spacing w:line="360" w:lineRule="auto"/>
        <w:rPr>
          <w:rFonts w:ascii="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2</w:t>
      </w:r>
      <w:r>
        <w:rPr>
          <w:rFonts w:hint="eastAsia" w:ascii="宋体" w:hAnsi="宋体" w:cs="宋体"/>
          <w:color w:val="000000"/>
          <w:sz w:val="24"/>
          <w:highlight w:val="none"/>
        </w:rPr>
        <w:t xml:space="preserve">）使用综合评分法的采购项目，评标结果按评审后得分由高到低顺序排列。得分相同的，按报价得分由高到低顺序排列。评审后得分且投标报价相同的，按照</w:t>
      </w:r>
      <w:r>
        <w:rPr>
          <w:rFonts w:hint="eastAsia" w:ascii="宋体" w:hAnsi="宋体" w:cs="宋体"/>
          <w:color w:val="000000"/>
          <w:sz w:val="24"/>
          <w:highlight w:val="none"/>
          <w:u w:val="single"/>
        </w:rPr>
        <w:t xml:space="preserve">技术方案</w:t>
      </w:r>
      <w:r>
        <w:rPr>
          <w:rFonts w:hint="eastAsia" w:ascii="宋体" w:hAnsi="宋体" w:cs="宋体"/>
          <w:color w:val="000000"/>
          <w:sz w:val="24"/>
          <w:highlight w:val="none"/>
        </w:rPr>
        <w:t xml:space="preserve">得分最高的供应商为第一中标候选人。</w:t>
      </w:r>
      <w:r/>
    </w:p>
    <w:p>
      <w:pPr>
        <w:pStyle w:val="1043"/>
        <w:spacing w:line="360" w:lineRule="auto"/>
        <w:tabs>
          <w:tab w:val="right" w:pos="8953" w:leader="none"/>
        </w:tabs>
        <w:rPr>
          <w:rFonts w:hAnsi="宋体" w:cs="Times New Roman"/>
          <w:b/>
          <w:bCs/>
          <w:color w:val="000000"/>
          <w:sz w:val="24"/>
          <w:highlight w:val="none"/>
        </w:rPr>
      </w:pPr>
      <w:r>
        <w:rPr>
          <w:rFonts w:hint="eastAsia" w:hAnsi="宋体"/>
          <w:b/>
          <w:bCs/>
          <w:color w:val="000000"/>
          <w:sz w:val="24"/>
          <w:highlight w:val="none"/>
        </w:rPr>
        <w:t xml:space="preserve">二、评分标准：</w:t>
      </w:r>
      <w:r/>
    </w:p>
    <w:tbl>
      <w:tblPr>
        <w:tblStyle w:val="8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8"/>
        <w:gridCol w:w="584"/>
        <w:gridCol w:w="1351"/>
        <w:gridCol w:w="6302"/>
        <w:gridCol w:w="481"/>
      </w:tblGrid>
      <w:tr>
        <w:trPr>
          <w:jc w:val="center"/>
          <w:trHeight w:val="486"/>
        </w:trPr>
        <w:tc>
          <w:tcPr>
            <w:tcBorders>
              <w:top w:val="single" w:color="auto" w:sz="4" w:space="0"/>
              <w:left w:val="single" w:color="auto" w:sz="4" w:space="0"/>
              <w:bottom w:val="single" w:color="auto" w:sz="4" w:space="0"/>
              <w:right w:val="single" w:color="auto" w:sz="4" w:space="0"/>
            </w:tcBorders>
            <w:tcW w:w="501"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779"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评分</w:t>
            </w:r>
            <w:r/>
          </w:p>
          <w:p>
            <w:pPr>
              <w:jc w:val="center"/>
              <w:spacing w:line="360" w:lineRule="auto"/>
              <w:rPr>
                <w:rFonts w:ascii="宋体" w:hAnsi="宋体" w:cs="宋体"/>
                <w:sz w:val="24"/>
                <w:highlight w:val="none"/>
              </w:rPr>
            </w:pPr>
            <w:r>
              <w:rPr>
                <w:rFonts w:hint="eastAsia" w:ascii="宋体" w:hAnsi="宋体" w:cs="宋体"/>
                <w:sz w:val="24"/>
                <w:highlight w:val="none"/>
              </w:rPr>
              <w:t xml:space="preserve">因素</w:t>
            </w:r>
            <w:r/>
          </w:p>
        </w:tc>
        <w:tc>
          <w:tcPr>
            <w:tcBorders>
              <w:top w:val="single" w:color="auto" w:sz="4" w:space="0"/>
              <w:left w:val="single" w:color="auto" w:sz="4" w:space="0"/>
              <w:bottom w:val="single" w:color="auto" w:sz="4" w:space="0"/>
              <w:right w:val="single" w:color="auto" w:sz="4" w:space="0"/>
            </w:tcBorders>
            <w:tcW w:w="6454" w:type="dxa"/>
            <w:vAlign w:val="center"/>
            <w:textDirection w:val="lrTb"/>
            <w:noWrap w:val="false"/>
          </w:tcPr>
          <w:p>
            <w:pPr>
              <w:ind w:firstLine="3360"/>
              <w:spacing w:line="360" w:lineRule="auto"/>
              <w:rPr>
                <w:rFonts w:ascii="宋体" w:hAnsi="宋体" w:cs="宋体"/>
                <w:sz w:val="24"/>
                <w:highlight w:val="none"/>
              </w:rPr>
            </w:pPr>
            <w:r>
              <w:rPr>
                <w:rFonts w:hint="eastAsia" w:ascii="宋体" w:hAnsi="宋体" w:cs="宋体"/>
                <w:sz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482"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分值</w:t>
            </w:r>
            <w:r/>
          </w:p>
        </w:tc>
      </w:tr>
      <w:tr>
        <w:trPr>
          <w:jc w:val="center"/>
          <w:trHeight w:val="1232"/>
        </w:trPr>
        <w:tc>
          <w:tcPr>
            <w:tcBorders>
              <w:top w:val="single" w:color="auto" w:sz="4" w:space="0"/>
              <w:left w:val="single" w:color="auto" w:sz="4" w:space="0"/>
              <w:bottom w:val="single" w:color="auto" w:sz="4" w:space="0"/>
              <w:right w:val="single" w:color="auto" w:sz="4" w:space="0"/>
            </w:tcBorders>
            <w:tcW w:w="501" w:type="dxa"/>
            <w:vAlign w:val="center"/>
            <w:textDirection w:val="lrTb"/>
            <w:noWrap w:val="false"/>
          </w:tcPr>
          <w:p>
            <w:pPr>
              <w:jc w:val="center"/>
              <w:spacing w:line="360" w:lineRule="auto"/>
              <w:rPr>
                <w:rFonts w:ascii="宋体" w:hAnsi="宋体" w:cs="宋体"/>
                <w:sz w:val="24"/>
                <w:highlight w:val="none"/>
              </w:rPr>
            </w:pPr>
            <w:r/>
            <w:bookmarkStart w:id="40" w:name="_Hlk401005359"/>
            <w:r>
              <w:rPr>
                <w:rFonts w:hint="eastAsia" w:ascii="宋体" w:hAnsi="宋体" w:cs="宋体"/>
                <w:sz w:val="24"/>
                <w:highlight w:val="none"/>
              </w:rPr>
              <w:t xml:space="preserve">1</w:t>
            </w:r>
            <w:r/>
          </w:p>
        </w:tc>
        <w:tc>
          <w:tcPr>
            <w:gridSpan w:val="2"/>
            <w:tcBorders>
              <w:top w:val="single" w:color="auto" w:sz="4" w:space="0"/>
              <w:left w:val="single" w:color="auto" w:sz="4" w:space="0"/>
              <w:right w:val="single" w:color="auto" w:sz="4" w:space="0"/>
            </w:tcBorders>
            <w:tcW w:w="1779"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价格</w:t>
            </w:r>
            <w:r/>
          </w:p>
          <w:p>
            <w:pPr>
              <w:jc w:val="center"/>
              <w:spacing w:line="360" w:lineRule="auto"/>
              <w:rPr>
                <w:rFonts w:ascii="宋体" w:hAnsi="宋体" w:cs="宋体"/>
                <w:sz w:val="24"/>
                <w:highlight w:val="none"/>
              </w:rPr>
            </w:pPr>
            <w:r>
              <w:rPr>
                <w:rFonts w:hint="eastAsia" w:ascii="宋体" w:hAnsi="宋体" w:cs="宋体"/>
                <w:sz w:val="24"/>
                <w:highlight w:val="none"/>
              </w:rPr>
              <w:t xml:space="preserve">（30分）</w:t>
            </w:r>
            <w:r/>
          </w:p>
        </w:tc>
        <w:tc>
          <w:tcPr>
            <w:tcBorders>
              <w:top w:val="single" w:color="auto" w:sz="4" w:space="0"/>
              <w:left w:val="single" w:color="auto" w:sz="4" w:space="0"/>
              <w:bottom w:val="single" w:color="auto" w:sz="4" w:space="0"/>
              <w:right w:val="single" w:color="auto" w:sz="4" w:space="0"/>
            </w:tcBorders>
            <w:tcW w:w="6454"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满足采购文件要求且评审报价最低的报价为评标基准价，其价格分为满分。其他供应商的价格分统一按照下列公式计算：报价得分=（评标基准价/投标报价）×价格分值。</w:t>
            </w:r>
            <w:r/>
          </w:p>
        </w:tc>
        <w:tc>
          <w:tcPr>
            <w:tcBorders>
              <w:top w:val="single" w:color="auto" w:sz="4" w:space="0"/>
              <w:left w:val="single" w:color="auto" w:sz="4" w:space="0"/>
              <w:bottom w:val="single" w:color="auto" w:sz="4" w:space="0"/>
              <w:right w:val="single" w:color="auto" w:sz="4" w:space="0"/>
            </w:tcBorders>
            <w:tcW w:w="482"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30</w:t>
            </w:r>
            <w:r/>
          </w:p>
        </w:tc>
      </w:tr>
      <w:tr>
        <w:trPr>
          <w:jc w:val="center"/>
          <w:trHeight w:val="454"/>
        </w:trPr>
        <w:tc>
          <w:tcPr>
            <w:tcBorders>
              <w:top w:val="single" w:color="auto" w:sz="4" w:space="0"/>
              <w:left w:val="single" w:color="auto" w:sz="4" w:space="0"/>
              <w:right w:val="single" w:color="auto" w:sz="4" w:space="0"/>
            </w:tcBorders>
            <w:tcW w:w="501" w:type="dxa"/>
            <w:vAlign w:val="center"/>
            <w:vMerge w:val="restart"/>
            <w:textDirection w:val="lrTb"/>
            <w:noWrap w:val="false"/>
          </w:tcPr>
          <w:p>
            <w:pPr>
              <w:jc w:val="center"/>
              <w:spacing w:line="36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2</w:t>
            </w:r>
            <w:r/>
          </w:p>
        </w:tc>
        <w:tc>
          <w:tcPr>
            <w:gridSpan w:val="2"/>
            <w:tcBorders>
              <w:top w:val="single" w:color="auto" w:sz="4" w:space="0"/>
              <w:left w:val="single" w:color="auto" w:sz="4" w:space="0"/>
              <w:right w:val="single" w:color="auto" w:sz="4" w:space="0"/>
            </w:tcBorders>
            <w:tcW w:w="1779" w:type="dxa"/>
            <w:vAlign w:val="center"/>
            <w:vMerge w:val="restart"/>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技术方案</w:t>
            </w:r>
            <w:r/>
          </w:p>
          <w:p>
            <w:pPr>
              <w:jc w:val="center"/>
              <w:spacing w:line="360" w:lineRule="auto"/>
              <w:rPr>
                <w:rFonts w:ascii="宋体" w:hAnsi="宋体" w:cs="宋体"/>
                <w:sz w:val="24"/>
                <w:highlight w:val="none"/>
              </w:rPr>
            </w:pPr>
            <w:r>
              <w:rPr>
                <w:rFonts w:hint="eastAsia" w:ascii="宋体" w:hAnsi="宋体" w:cs="宋体"/>
                <w:sz w:val="24"/>
                <w:highlight w:val="none"/>
              </w:rPr>
              <w:t xml:space="preserve">（40分）</w:t>
            </w:r>
            <w:r/>
          </w:p>
        </w:tc>
        <w:tc>
          <w:tcPr>
            <w:tcBorders>
              <w:top w:val="single" w:color="auto" w:sz="4" w:space="0"/>
              <w:left w:val="single" w:color="auto" w:sz="4" w:space="0"/>
              <w:bottom w:val="single" w:color="auto" w:sz="4" w:space="0"/>
              <w:right w:val="single" w:color="auto" w:sz="4" w:space="0"/>
            </w:tcBorders>
            <w:tcW w:w="6454" w:type="dxa"/>
            <w:vAlign w:val="center"/>
            <w:textDirection w:val="lrTb"/>
            <w:noWrap w:val="false"/>
          </w:tcPr>
          <w:p>
            <w:pPr>
              <w:spacing w:line="360" w:lineRule="auto"/>
              <w:widowControl/>
              <w:rPr>
                <w:rFonts w:ascii="宋体" w:hAnsi="宋体" w:cs="宋体"/>
                <w:sz w:val="24"/>
                <w:highlight w:val="none"/>
              </w:rPr>
            </w:pPr>
            <w:r>
              <w:rPr>
                <w:rFonts w:hint="eastAsia" w:ascii="宋体" w:hAnsi="宋体" w:cs="宋体"/>
                <w:sz w:val="24"/>
                <w:highlight w:val="none"/>
              </w:rPr>
              <w:t xml:space="preserve">工程总体施工方案说明：提供工程概述、管理组织架构、施工组织部署、工程材料管理、工程质量管理、工程进度管理、保证安全文明施工的组织措施、工程文档管理及工程竣工验收等总体说明；描述准确、内容合理细致，满足本项目建设要求，得6分；描述较准确、内容较细致、满足本项目建设要求，得4分；描述基本准确、基本满足本项目建设要求，得2分，无不得分。</w:t>
            </w:r>
            <w:r/>
          </w:p>
        </w:tc>
        <w:tc>
          <w:tcPr>
            <w:tcBorders>
              <w:top w:val="single" w:color="auto" w:sz="4" w:space="0"/>
              <w:left w:val="single" w:color="auto" w:sz="4" w:space="0"/>
              <w:bottom w:val="single" w:color="auto" w:sz="4" w:space="0"/>
              <w:right w:val="single" w:color="auto" w:sz="4" w:space="0"/>
            </w:tcBorders>
            <w:tcW w:w="48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6</w:t>
            </w:r>
            <w:r/>
          </w:p>
        </w:tc>
      </w:tr>
      <w:tr>
        <w:trPr>
          <w:jc w:val="center"/>
          <w:trHeight w:val="90"/>
        </w:trPr>
        <w:tc>
          <w:tcPr>
            <w:tcBorders>
              <w:top w:val="single" w:color="auto" w:sz="4" w:space="0"/>
              <w:left w:val="single" w:color="auto" w:sz="4" w:space="0"/>
              <w:right w:val="single" w:color="auto" w:sz="4" w:space="0"/>
            </w:tcBorders>
            <w:tcW w:w="501" w:type="dxa"/>
            <w:vAlign w:val="center"/>
            <w:vMerge w:val="continue"/>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Borders>
              <w:top w:val="single" w:color="auto" w:sz="4" w:space="0"/>
              <w:left w:val="single" w:color="auto" w:sz="4" w:space="0"/>
              <w:right w:val="single" w:color="auto" w:sz="4" w:space="0"/>
            </w:tcBorders>
            <w:tcW w:w="1779" w:type="dxa"/>
            <w:vAlign w:val="center"/>
            <w:vMerge w:val="continue"/>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6454" w:type="dxa"/>
            <w:vAlign w:val="center"/>
            <w:textDirection w:val="lrTb"/>
            <w:noWrap w:val="false"/>
          </w:tcPr>
          <w:p>
            <w:pPr>
              <w:spacing w:line="360" w:lineRule="auto"/>
              <w:widowControl/>
              <w:rPr>
                <w:rFonts w:ascii="宋体" w:hAnsi="宋体" w:cs="宋体"/>
                <w:sz w:val="24"/>
                <w:highlight w:val="none"/>
              </w:rPr>
            </w:pPr>
            <w:r>
              <w:rPr>
                <w:rFonts w:hint="eastAsia" w:ascii="宋体" w:hAnsi="宋体" w:cs="宋体"/>
                <w:sz w:val="24"/>
                <w:highlight w:val="none"/>
              </w:rPr>
              <w:t xml:space="preserve">工期进度计划及保证措施：提供人员、机械及主要物资计划措施，确保工期措施，开、竣工日期施工进度表、施工机械的进场计划、工程材料的进场计划；描述准确、内容合理细致，满足本项目建设要求，得6分；描述较准确、内容较细致、满足本项目建设要求，得4分；描述基本准确、基本满足本项目建设要求，得2分，无不得分。</w:t>
            </w:r>
            <w:r/>
          </w:p>
        </w:tc>
        <w:tc>
          <w:tcPr>
            <w:tcBorders>
              <w:top w:val="single" w:color="auto" w:sz="4" w:space="0"/>
              <w:left w:val="single" w:color="auto" w:sz="4" w:space="0"/>
              <w:bottom w:val="single" w:color="auto" w:sz="4" w:space="0"/>
              <w:right w:val="single" w:color="auto" w:sz="4" w:space="0"/>
            </w:tcBorders>
            <w:tcW w:w="48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6</w:t>
            </w:r>
            <w:r/>
          </w:p>
        </w:tc>
      </w:tr>
      <w:tr>
        <w:trPr>
          <w:jc w:val="center"/>
          <w:trHeight w:val="454"/>
        </w:trPr>
        <w:tc>
          <w:tcPr>
            <w:tcBorders>
              <w:left w:val="single" w:color="auto" w:sz="4" w:space="0"/>
              <w:right w:val="single" w:color="auto" w:sz="4" w:space="0"/>
            </w:tcBorders>
            <w:tcW w:w="501" w:type="dxa"/>
            <w:vAlign w:val="center"/>
            <w:vMerge w:val="continue"/>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Borders>
              <w:left w:val="single" w:color="auto" w:sz="4" w:space="0"/>
              <w:right w:val="single" w:color="auto" w:sz="4" w:space="0"/>
            </w:tcBorders>
            <w:tcW w:w="1779" w:type="dxa"/>
            <w:vAlign w:val="center"/>
            <w:vMerge w:val="continue"/>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6454" w:type="dxa"/>
            <w:vAlign w:val="center"/>
            <w:textDirection w:val="lrTb"/>
            <w:noWrap w:val="false"/>
          </w:tcPr>
          <w:p>
            <w:pPr>
              <w:spacing w:line="360" w:lineRule="auto"/>
              <w:widowControl/>
              <w:rPr>
                <w:rFonts w:ascii="宋体" w:hAnsi="宋体" w:cs="宋体"/>
                <w:sz w:val="24"/>
                <w:highlight w:val="none"/>
              </w:rPr>
            </w:pPr>
            <w:r>
              <w:rPr>
                <w:rFonts w:hint="eastAsia" w:ascii="宋体" w:hAnsi="宋体" w:cs="宋体"/>
                <w:sz w:val="24"/>
                <w:highlight w:val="none"/>
              </w:rPr>
              <w:t xml:space="preserve">质量管理计划及保证措施：提供工程质量管理、质量保证体系、质量方正和质量目标、质量管理组织措施、质量管理的文件等；描述准确、内容合理细致，满足本项目建设要求，得6分；描述较准确、内容较细致、满足本项目建设要求，得4分；描述基本准确、基本满足本项目建设要求，得2分，无不得分。</w:t>
            </w:r>
            <w:r/>
          </w:p>
        </w:tc>
        <w:tc>
          <w:tcPr>
            <w:tcBorders>
              <w:top w:val="single" w:color="auto" w:sz="4" w:space="0"/>
              <w:left w:val="single" w:color="auto" w:sz="4" w:space="0"/>
              <w:bottom w:val="single" w:color="auto" w:sz="4" w:space="0"/>
              <w:right w:val="single" w:color="auto" w:sz="4" w:space="0"/>
            </w:tcBorders>
            <w:tcW w:w="482" w:type="dxa"/>
            <w:vAlign w:val="center"/>
            <w:textDirection w:val="lrTb"/>
            <w:noWrap w:val="false"/>
          </w:tcPr>
          <w:p>
            <w:pPr>
              <w:jc w:val="center"/>
              <w:spacing w:line="360" w:lineRule="auto"/>
              <w:tabs>
                <w:tab w:val="right" w:pos="4745" w:leader="none"/>
              </w:tabs>
              <w:rPr>
                <w:rFonts w:ascii="宋体" w:hAnsi="宋体" w:cs="宋体"/>
                <w:sz w:val="24"/>
                <w:highlight w:val="none"/>
              </w:rPr>
            </w:pPr>
            <w:r>
              <w:rPr>
                <w:rFonts w:hint="eastAsia" w:ascii="宋体" w:hAnsi="宋体" w:cs="宋体"/>
                <w:sz w:val="24"/>
                <w:highlight w:val="none"/>
              </w:rPr>
              <w:t xml:space="preserve">6</w:t>
            </w:r>
            <w:r/>
          </w:p>
        </w:tc>
      </w:tr>
      <w:tr>
        <w:trPr>
          <w:jc w:val="center"/>
          <w:trHeight w:val="884"/>
        </w:trPr>
        <w:tc>
          <w:tcPr>
            <w:tcBorders>
              <w:left w:val="single" w:color="auto" w:sz="4" w:space="0"/>
              <w:right w:val="single" w:color="auto" w:sz="4" w:space="0"/>
            </w:tcBorders>
            <w:tcW w:w="501" w:type="dxa"/>
            <w:vAlign w:val="center"/>
            <w:vMerge w:val="continue"/>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Borders>
              <w:left w:val="single" w:color="auto" w:sz="4" w:space="0"/>
              <w:right w:val="single" w:color="auto" w:sz="4" w:space="0"/>
            </w:tcBorders>
            <w:tcW w:w="1779" w:type="dxa"/>
            <w:vAlign w:val="center"/>
            <w:vMerge w:val="continue"/>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6454" w:type="dxa"/>
            <w:vAlign w:val="center"/>
            <w:textDirection w:val="lrTb"/>
            <w:noWrap w:val="false"/>
          </w:tcPr>
          <w:p>
            <w:pPr>
              <w:spacing w:line="360" w:lineRule="auto"/>
              <w:widowControl/>
              <w:rPr>
                <w:rFonts w:ascii="宋体" w:hAnsi="宋体" w:cs="宋体"/>
                <w:sz w:val="24"/>
                <w:highlight w:val="none"/>
              </w:rPr>
            </w:pPr>
            <w:r>
              <w:rPr>
                <w:rFonts w:hint="eastAsia" w:ascii="宋体" w:hAnsi="宋体" w:cs="宋体"/>
                <w:sz w:val="24"/>
                <w:highlight w:val="none"/>
              </w:rPr>
              <w:t xml:space="preserve">安全文明施工计划及保证措施：提供工程施工安全管理概述、工程施工安全保证体系、安全管理组织措施、施工安全的管理、安全施工章程、施工安全措施、文明施工的意义及措施；描述准确、内容合理细致，满足本项目建设要求，得6分；描述较准确、内容较细致、满足本项目建设要求，得4分；描述基本准确、基本满足本项目建设要求，得2分，无不得分。</w:t>
            </w:r>
            <w:r/>
          </w:p>
        </w:tc>
        <w:tc>
          <w:tcPr>
            <w:tcBorders>
              <w:top w:val="single" w:color="auto" w:sz="4" w:space="0"/>
              <w:left w:val="single" w:color="auto" w:sz="4" w:space="0"/>
              <w:right w:val="single" w:color="auto" w:sz="4" w:space="0"/>
            </w:tcBorders>
            <w:tcW w:w="48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6</w:t>
            </w:r>
            <w:r/>
          </w:p>
        </w:tc>
      </w:tr>
      <w:tr>
        <w:trPr>
          <w:jc w:val="center"/>
          <w:trHeight w:val="699"/>
        </w:trPr>
        <w:tc>
          <w:tcPr>
            <w:tcBorders>
              <w:left w:val="single" w:color="auto" w:sz="4" w:space="0"/>
              <w:right w:val="single" w:color="auto" w:sz="4" w:space="0"/>
            </w:tcBorders>
            <w:tcW w:w="501" w:type="dxa"/>
            <w:vAlign w:val="center"/>
            <w:vMerge w:val="continue"/>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Borders>
              <w:left w:val="single" w:color="auto" w:sz="4" w:space="0"/>
              <w:right w:val="single" w:color="auto" w:sz="4" w:space="0"/>
            </w:tcBorders>
            <w:tcW w:w="1779" w:type="dxa"/>
            <w:vAlign w:val="center"/>
            <w:vMerge w:val="continue"/>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6454" w:type="dxa"/>
            <w:vAlign w:val="center"/>
            <w:textDirection w:val="lrTb"/>
            <w:noWrap w:val="false"/>
          </w:tcPr>
          <w:p>
            <w:pPr>
              <w:spacing w:line="360" w:lineRule="auto"/>
              <w:widowControl/>
              <w:rPr>
                <w:rFonts w:ascii="宋体" w:hAnsi="宋体" w:cs="宋体"/>
                <w:sz w:val="24"/>
                <w:highlight w:val="none"/>
              </w:rPr>
            </w:pPr>
            <w:r>
              <w:rPr>
                <w:rFonts w:hint="eastAsia" w:ascii="宋体" w:hAnsi="宋体" w:cs="宋体"/>
                <w:sz w:val="24"/>
                <w:highlight w:val="none"/>
              </w:rPr>
              <w:t xml:space="preserve">拟投入本工程的技术人员素质、工种配备、劳动力安排、施工机械等情况：人员配置合理、施工机械先进、合理，满足本项目建设要求，得6分；人员配置合理、施工机械合理，满足本项目建设要求，得4分；人员、机械配置基本满足本项目建设要求，得2分，无不得分。</w:t>
            </w:r>
            <w:r/>
          </w:p>
        </w:tc>
        <w:tc>
          <w:tcPr>
            <w:tcBorders>
              <w:top w:val="single" w:color="auto" w:sz="4" w:space="0"/>
              <w:left w:val="single" w:color="auto" w:sz="4" w:space="0"/>
              <w:right w:val="single" w:color="auto" w:sz="4" w:space="0"/>
            </w:tcBorders>
            <w:tcW w:w="48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6</w:t>
            </w:r>
            <w:r/>
          </w:p>
        </w:tc>
      </w:tr>
      <w:tr>
        <w:trPr>
          <w:jc w:val="center"/>
          <w:trHeight w:val="699"/>
        </w:trPr>
        <w:tc>
          <w:tcPr>
            <w:tcBorders>
              <w:left w:val="single" w:color="auto" w:sz="4" w:space="0"/>
              <w:right w:val="single" w:color="auto" w:sz="4" w:space="0"/>
            </w:tcBorders>
            <w:tcW w:w="501" w:type="dxa"/>
            <w:vAlign w:val="center"/>
            <w:vMerge w:val="continue"/>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Borders>
              <w:left w:val="single" w:color="auto" w:sz="4" w:space="0"/>
              <w:right w:val="single" w:color="auto" w:sz="4" w:space="0"/>
            </w:tcBorders>
            <w:tcW w:w="1779" w:type="dxa"/>
            <w:vAlign w:val="center"/>
            <w:vMerge w:val="continue"/>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6454" w:type="dxa"/>
            <w:vAlign w:val="center"/>
            <w:textDirection w:val="lrTb"/>
            <w:noWrap w:val="false"/>
          </w:tcPr>
          <w:p>
            <w:pPr>
              <w:spacing w:line="360" w:lineRule="auto"/>
              <w:widowControl/>
              <w:rPr>
                <w:rFonts w:ascii="宋体" w:hAnsi="宋体" w:cs="宋体"/>
                <w:sz w:val="24"/>
                <w:highlight w:val="none"/>
              </w:rPr>
            </w:pPr>
            <w:r>
              <w:rPr>
                <w:rFonts w:hint="eastAsia" w:ascii="宋体" w:hAnsi="宋体" w:cs="宋体"/>
                <w:sz w:val="24"/>
                <w:highlight w:val="none"/>
              </w:rPr>
              <w:t xml:space="preserve">针对本工程施工中重难点的具体处理措施：描述准确、内容合理细致，满足本项目建设要求，得5分；描述较准确、内容较细致、满足本项目建设要求，得3分；描述基本准确、基本满足本项目建设要求，得1分，无不得分。</w:t>
            </w:r>
            <w:r/>
          </w:p>
        </w:tc>
        <w:tc>
          <w:tcPr>
            <w:tcBorders>
              <w:top w:val="single" w:color="auto" w:sz="4" w:space="0"/>
              <w:left w:val="single" w:color="auto" w:sz="4" w:space="0"/>
              <w:right w:val="single" w:color="auto" w:sz="4" w:space="0"/>
            </w:tcBorders>
            <w:tcW w:w="48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5</w:t>
            </w:r>
            <w:r/>
          </w:p>
        </w:tc>
      </w:tr>
      <w:tr>
        <w:trPr>
          <w:jc w:val="center"/>
          <w:trHeight w:val="454"/>
        </w:trPr>
        <w:tc>
          <w:tcPr>
            <w:tcBorders>
              <w:left w:val="single" w:color="auto" w:sz="4" w:space="0"/>
              <w:right w:val="single" w:color="auto" w:sz="4" w:space="0"/>
            </w:tcBorders>
            <w:tcW w:w="501" w:type="dxa"/>
            <w:vAlign w:val="center"/>
            <w:vMerge w:val="continue"/>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Borders>
              <w:left w:val="single" w:color="auto" w:sz="4" w:space="0"/>
              <w:right w:val="single" w:color="auto" w:sz="4" w:space="0"/>
            </w:tcBorders>
            <w:tcW w:w="1779" w:type="dxa"/>
            <w:vAlign w:val="center"/>
            <w:vMerge w:val="continue"/>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6454" w:type="dxa"/>
            <w:vAlign w:val="center"/>
            <w:textDirection w:val="lrTb"/>
            <w:noWrap w:val="false"/>
          </w:tcPr>
          <w:p>
            <w:pPr>
              <w:spacing w:line="360" w:lineRule="auto"/>
              <w:widowControl/>
              <w:rPr>
                <w:rFonts w:ascii="宋体" w:hAnsi="宋体" w:cs="宋体"/>
                <w:sz w:val="24"/>
                <w:highlight w:val="none"/>
              </w:rPr>
            </w:pPr>
            <w:r>
              <w:rPr>
                <w:rFonts w:hint="eastAsia" w:ascii="宋体" w:hAnsi="宋体" w:cs="宋体"/>
                <w:sz w:val="24"/>
                <w:highlight w:val="none"/>
              </w:rPr>
              <w:t xml:space="preserve">项目管理措施和应急预案：提供项目管理框架、成品保护、应急指挥及救援组织机构、应急指挥及救援组织职责、应急救援常识、应急救援机构电话等；描述准确、内容合理细致且针对性强的，得5分；描述较准确、内容较细致、针对性较强的得3分；描述不准确、内容不细致、针对性不强的得1分；无不得分。</w:t>
            </w:r>
            <w:r/>
          </w:p>
        </w:tc>
        <w:tc>
          <w:tcPr>
            <w:tcBorders>
              <w:top w:val="single" w:color="auto" w:sz="4" w:space="0"/>
              <w:left w:val="single" w:color="auto" w:sz="4" w:space="0"/>
              <w:right w:val="single" w:color="auto" w:sz="4" w:space="0"/>
            </w:tcBorders>
            <w:tcW w:w="48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5</w:t>
            </w:r>
            <w:r/>
          </w:p>
        </w:tc>
      </w:tr>
      <w:tr>
        <w:trPr>
          <w:jc w:val="center"/>
          <w:trHeight w:val="406"/>
        </w:trPr>
        <w:tc>
          <w:tcPr>
            <w:tcBorders>
              <w:top w:val="single" w:color="auto" w:sz="4" w:space="0"/>
              <w:left w:val="single" w:color="auto" w:sz="4" w:space="0"/>
              <w:right w:val="single" w:color="auto" w:sz="4" w:space="0"/>
            </w:tcBorders>
            <w:tcW w:w="501" w:type="dxa"/>
            <w:vAlign w:val="center"/>
            <w:vMerge w:val="restart"/>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4</w:t>
            </w:r>
            <w:r/>
          </w:p>
        </w:tc>
        <w:tc>
          <w:tcPr>
            <w:tcBorders>
              <w:left w:val="single" w:color="auto" w:sz="4" w:space="0"/>
              <w:right w:val="single" w:color="auto" w:sz="4" w:space="0"/>
            </w:tcBorders>
            <w:tcW w:w="591" w:type="dxa"/>
            <w:vAlign w:val="center"/>
            <w:vMerge w:val="restart"/>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履约能力</w:t>
            </w:r>
            <w:r/>
          </w:p>
        </w:tc>
        <w:tc>
          <w:tcPr>
            <w:shd w:val="clear" w:color="auto" w:fill="auto"/>
            <w:tcBorders>
              <w:top w:val="single" w:color="auto" w:sz="4" w:space="0"/>
              <w:left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业绩</w:t>
            </w:r>
            <w:r/>
          </w:p>
          <w:p>
            <w:pPr>
              <w:jc w:val="center"/>
              <w:spacing w:line="360" w:lineRule="auto"/>
              <w:rPr>
                <w:rFonts w:ascii="宋体" w:hAnsi="宋体" w:cs="宋体"/>
                <w:sz w:val="24"/>
                <w:highlight w:val="none"/>
              </w:rPr>
            </w:pPr>
            <w:r>
              <w:rPr>
                <w:rFonts w:hint="eastAsia" w:ascii="宋体" w:hAnsi="宋体" w:cs="宋体"/>
                <w:sz w:val="24"/>
                <w:highlight w:val="none"/>
              </w:rPr>
              <w:t xml:space="preserve">(10分)</w:t>
            </w:r>
            <w:r/>
          </w:p>
        </w:tc>
        <w:tc>
          <w:tcPr>
            <w:shd w:val="clear" w:color="auto" w:fill="auto"/>
            <w:tcBorders>
              <w:top w:val="single" w:color="auto" w:sz="4" w:space="0"/>
              <w:left w:val="single" w:color="auto" w:sz="4" w:space="0"/>
              <w:right w:val="single" w:color="auto" w:sz="4" w:space="0"/>
            </w:tcBorders>
            <w:tcW w:w="6454"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供应商自2023年4月1日（含，以竣工验收证明时间为准）以来承担过类似供配电工程施工的，有1个得2.5分，最高得10分。（需同时提供中标通知书、施工合同、竣工验收证明材料，提供的证明材料必须能反映出相关内容，否则视为未提供）</w:t>
            </w:r>
            <w:r/>
          </w:p>
        </w:tc>
        <w:tc>
          <w:tcPr>
            <w:tcBorders>
              <w:top w:val="single" w:color="auto" w:sz="4" w:space="0"/>
              <w:left w:val="single" w:color="auto" w:sz="4" w:space="0"/>
              <w:right w:val="single" w:color="auto" w:sz="4" w:space="0"/>
            </w:tcBorders>
            <w:tcW w:w="48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10</w:t>
            </w:r>
            <w:r/>
          </w:p>
        </w:tc>
      </w:tr>
      <w:tr>
        <w:trPr>
          <w:jc w:val="center"/>
          <w:trHeight w:val="268"/>
        </w:trPr>
        <w:tc>
          <w:tcPr>
            <w:tcBorders>
              <w:left w:val="single" w:color="auto" w:sz="4" w:space="0"/>
              <w:right w:val="single" w:color="auto" w:sz="4" w:space="0"/>
            </w:tcBorders>
            <w:tcW w:w="501" w:type="dxa"/>
            <w:vAlign w:val="center"/>
            <w:vMerge w:val="continue"/>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591" w:type="dxa"/>
            <w:vAlign w:val="center"/>
            <w:vMerge w:val="continue"/>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107"/>
              <w:jc w:val="left"/>
              <w:spacing w:line="360" w:lineRule="auto"/>
              <w:rPr>
                <w:rFonts w:ascii="宋体" w:hAnsi="宋体" w:cs="宋体"/>
                <w:sz w:val="24"/>
                <w:highlight w:val="none"/>
                <w:lang w:val="zh-CN" w:bidi="zh-CN"/>
              </w:rPr>
            </w:pPr>
            <w:r>
              <w:rPr>
                <w:rFonts w:hint="eastAsia" w:ascii="宋体" w:hAnsi="宋体" w:cs="宋体"/>
                <w:sz w:val="24"/>
                <w:highlight w:val="none"/>
                <w:lang w:val="zh-CN" w:bidi="zh-CN"/>
              </w:rPr>
              <w:t xml:space="preserve">项目管理人员</w:t>
            </w:r>
            <w:r/>
          </w:p>
          <w:p>
            <w:pPr>
              <w:jc w:val="center"/>
              <w:spacing w:line="360" w:lineRule="auto"/>
              <w:rPr>
                <w:rFonts w:ascii="宋体" w:hAnsi="宋体" w:cs="宋体"/>
                <w:sz w:val="24"/>
                <w:highlight w:val="none"/>
              </w:rPr>
            </w:pPr>
            <w:r>
              <w:rPr>
                <w:rFonts w:hint="eastAsia" w:ascii="宋体" w:hAnsi="宋体" w:cs="宋体"/>
                <w:sz w:val="24"/>
                <w:highlight w:val="none"/>
              </w:rPr>
              <w:t xml:space="preserve">配备</w:t>
            </w:r>
            <w:r/>
          </w:p>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454" w:type="dxa"/>
            <w:vAlign w:val="center"/>
            <w:textDirection w:val="lrTb"/>
            <w:noWrap w:val="false"/>
          </w:tcPr>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1、拟派项目负责人</w:t>
            </w:r>
            <w:r>
              <w:rPr>
                <w:rFonts w:hint="eastAsia" w:ascii="宋体" w:hAnsi="宋体" w:cs="宋体"/>
                <w:sz w:val="24"/>
                <w:highlight w:val="none"/>
                <w:lang w:eastAsia="zh-CN"/>
              </w:rPr>
              <w:t xml:space="preserve">：</w:t>
            </w:r>
            <w:r>
              <w:rPr>
                <w:rFonts w:hint="eastAsia" w:ascii="宋体" w:hAnsi="宋体" w:cs="宋体"/>
                <w:sz w:val="24"/>
                <w:highlight w:val="none"/>
              </w:rPr>
              <w:t xml:space="preserve">具有电气工程或电力工程类中级及以上技术职称证书得3分。</w:t>
            </w:r>
            <w:r/>
          </w:p>
          <w:p>
            <w:pPr>
              <w:spacing w:line="360" w:lineRule="auto"/>
              <w:rPr>
                <w:rFonts w:ascii="宋体" w:hAnsi="宋体" w:cs="宋体"/>
                <w:sz w:val="24"/>
                <w:highlight w:val="none"/>
              </w:rPr>
            </w:pPr>
            <w:r>
              <w:rPr>
                <w:rFonts w:hint="eastAsia" w:ascii="宋体" w:hAnsi="宋体" w:cs="宋体"/>
                <w:sz w:val="24"/>
                <w:highlight w:val="none"/>
              </w:rPr>
              <w:t xml:space="preserve">2、拟派项目技术负责人</w:t>
            </w:r>
            <w:r>
              <w:rPr>
                <w:rFonts w:hint="eastAsia" w:ascii="宋体" w:hAnsi="宋体" w:cs="宋体"/>
                <w:sz w:val="24"/>
                <w:highlight w:val="none"/>
                <w:lang w:eastAsia="zh-CN"/>
              </w:rPr>
              <w:t xml:space="preserve">：</w:t>
            </w:r>
            <w:r>
              <w:rPr>
                <w:rFonts w:hint="eastAsia" w:ascii="宋体" w:hAnsi="宋体" w:cs="宋体"/>
                <w:sz w:val="24"/>
                <w:highlight w:val="none"/>
              </w:rPr>
              <w:t xml:space="preserve">具有电气工程或电力工程类中级及以上技术职称证书得2分。</w:t>
            </w:r>
            <w:r/>
          </w:p>
          <w:p>
            <w:pPr>
              <w:spacing w:line="360" w:lineRule="auto"/>
              <w:rPr>
                <w:rFonts w:hint="eastAsia" w:ascii="宋体" w:hAnsi="宋体" w:cs="宋体"/>
                <w:sz w:val="24"/>
                <w:highlight w:val="none"/>
              </w:rPr>
            </w:pPr>
            <w:r>
              <w:rPr>
                <w:rFonts w:hint="eastAsia" w:ascii="宋体" w:hAnsi="宋体" w:cs="宋体"/>
                <w:sz w:val="24"/>
                <w:highlight w:val="none"/>
              </w:rPr>
              <w:t xml:space="preserve">3、项目组成员：拟配备施工员、质量员、安全员、材料员、资料员，具有岗位证书的得1分/人，满分5分。</w:t>
            </w:r>
            <w:r/>
          </w:p>
          <w:p>
            <w:pP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4、施工成员：具有电气试验作业证、高压电工作业证、继电保护作业证、电力电缆作业证，提供一个证书得2分，满分8分。</w:t>
            </w:r>
            <w:r/>
          </w:p>
          <w:p>
            <w:pPr>
              <w:spacing w:line="360" w:lineRule="auto"/>
              <w:rPr>
                <w:rFonts w:hint="eastAsia" w:eastAsia="宋体"/>
                <w:highlight w:val="none"/>
                <w:lang w:val="en-US" w:eastAsia="zh-CN"/>
              </w:rPr>
            </w:pPr>
            <w:r>
              <w:rPr>
                <w:rFonts w:hint="eastAsia" w:ascii="宋体" w:hAnsi="宋体" w:cs="宋体"/>
                <w:sz w:val="24"/>
                <w:highlight w:val="none"/>
                <w:lang w:val="en-US" w:eastAsia="zh-CN"/>
              </w:rPr>
              <w:t xml:space="preserve">注：同一人员不可重复计分，多个证书仅计取一次，提供相关证书复印件加盖公章</w:t>
            </w:r>
            <w:r>
              <w:rPr>
                <w:rFonts w:hint="eastAsia" w:ascii="宋体" w:hAnsi="宋体" w:cs="宋体"/>
                <w:sz w:val="24"/>
                <w:highlight w:val="none"/>
              </w:rPr>
              <w:t xml:space="preserve">。提供供应商为其缴纳的近半年（2025年11月-2026年4月）内任意一个月的社保缴费证明材料并加盖社保中心章或社保中心参保缴费证明电子专用章</w:t>
            </w:r>
            <w:r>
              <w:rPr>
                <w:rFonts w:hint="eastAsia" w:ascii="宋体" w:hAnsi="宋体" w:cs="宋体"/>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82" w:type="dxa"/>
            <w:vAlign w:val="center"/>
            <w:textDirection w:val="lrTb"/>
            <w:noWrap w:val="false"/>
          </w:tcPr>
          <w:p>
            <w:pPr>
              <w:jc w:val="cente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8</w:t>
            </w:r>
            <w:r/>
          </w:p>
        </w:tc>
      </w:tr>
      <w:tr>
        <w:trPr>
          <w:jc w:val="center"/>
          <w:trHeight w:val="268"/>
        </w:trPr>
        <w:tc>
          <w:tcPr>
            <w:tcBorders>
              <w:left w:val="single" w:color="auto" w:sz="4" w:space="0"/>
              <w:right w:val="single" w:color="auto" w:sz="4" w:space="0"/>
            </w:tcBorders>
            <w:tcW w:w="501" w:type="dxa"/>
            <w:vAlign w:val="center"/>
            <w:vMerge w:val="continue"/>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591" w:type="dxa"/>
            <w:vAlign w:val="center"/>
            <w:vMerge w:val="continue"/>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售后响应（2分）</w:t>
            </w:r>
            <w:r/>
          </w:p>
        </w:tc>
        <w:tc>
          <w:tcPr>
            <w:tcBorders>
              <w:top w:val="single" w:color="auto" w:sz="4" w:space="0"/>
              <w:left w:val="single" w:color="auto" w:sz="4" w:space="0"/>
              <w:bottom w:val="single" w:color="auto" w:sz="4" w:space="0"/>
              <w:right w:val="single" w:color="auto" w:sz="4" w:space="0"/>
            </w:tcBorders>
            <w:tcW w:w="6454" w:type="dxa"/>
            <w:vAlign w:val="center"/>
            <w:textDirection w:val="lrTb"/>
            <w:noWrap w:val="false"/>
          </w:tcPr>
          <w:p>
            <w:pPr>
              <w:spacing w:line="360" w:lineRule="auto"/>
              <w:widowControl/>
              <w:rPr>
                <w:rFonts w:ascii="宋体" w:hAnsi="宋体" w:cs="宋体"/>
                <w:sz w:val="24"/>
                <w:highlight w:val="none"/>
              </w:rPr>
            </w:pPr>
            <w:r>
              <w:rPr>
                <w:rFonts w:hint="eastAsia" w:ascii="宋体" w:hAnsi="宋体" w:cs="宋体"/>
                <w:sz w:val="24"/>
                <w:highlight w:val="none"/>
              </w:rPr>
              <w:t xml:space="preserve">承诺接到采购人报修后：1小时内响应，12小时内维修完毕，特殊故障24小时内完成修复得2分；2小时内响应，24小时内维修完毕，特殊故障48小时内完成修复得1分。（提供承诺书原件加盖公章）</w:t>
            </w:r>
            <w:r/>
          </w:p>
        </w:tc>
        <w:tc>
          <w:tcPr>
            <w:tcBorders>
              <w:top w:val="single" w:color="auto" w:sz="4" w:space="0"/>
              <w:left w:val="single" w:color="auto" w:sz="4" w:space="0"/>
              <w:bottom w:val="single" w:color="auto" w:sz="4" w:space="0"/>
              <w:right w:val="single" w:color="auto" w:sz="4" w:space="0"/>
            </w:tcBorders>
            <w:tcW w:w="48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2</w:t>
            </w:r>
            <w:bookmarkEnd w:id="40"/>
            <w:r/>
            <w:r/>
          </w:p>
        </w:tc>
      </w:tr>
    </w:tbl>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三、计分办法：</w:t>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sz w:val="24"/>
          <w:highlight w:val="none"/>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评标小组成员按照招标文件和本办法上述有关规定,给各响应文件评分。</w:t>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各供应商的得分为各评委所评定分数的算术平均值。</w:t>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各项统计、评分结果均按四舍五入方法精确到小数点后两位。</w:t>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评标小组根据各供应商的最终评分,按高低次序确定供应商最终的排列名次，并按照招标文件规定推荐成交候选人。如果供应商的最终评分相同，则响应报价低的供应商排名优先。</w:t>
      </w:r>
      <w:r/>
    </w:p>
    <w:p>
      <w:pPr>
        <w:ind w:firstLine="480"/>
        <w:keepLines w:val="0"/>
        <w:keepNext w:val="0"/>
        <w:pageBreakBefore w:val="0"/>
        <w:spacing w:line="360" w:lineRule="auto"/>
        <w:widowControl w:val="off"/>
        <w:rPr>
          <w:rFonts w:hint="eastAsia" w:hAnsi="宋体" w:cs="宋体"/>
          <w:b/>
          <w:color w:val="000000"/>
          <w:sz w:val="28"/>
          <w:szCs w:val="28"/>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本次招标将从三名成交候选人中确定得分最高的为成交人。</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四、说明：</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000000"/>
          <w:sz w:val="24"/>
          <w:highlight w:val="none"/>
        </w:rPr>
      </w:pPr>
      <w:r>
        <w:rPr>
          <w:rFonts w:hint="eastAsia" w:ascii="宋体" w:hAnsi="宋体" w:cs="宋体"/>
          <w:bCs/>
          <w:color w:val="000000"/>
          <w:sz w:val="24"/>
          <w:highlight w:val="none"/>
        </w:rPr>
        <w:t xml:space="preserve">1、对于未预留份额专门面向中小企业采购的采购项目，以及预留份额项目中的非预留部分采购包，给予小微企业报价</w:t>
      </w:r>
      <w:r>
        <w:rPr>
          <w:rFonts w:hint="eastAsia" w:ascii="宋体" w:hAnsi="宋体" w:cs="宋体"/>
          <w:bCs/>
          <w:color w:val="000000"/>
          <w:sz w:val="24"/>
          <w:highlight w:val="none"/>
          <w:u w:val="single"/>
        </w:rPr>
        <w:t xml:space="preserve">5%</w:t>
      </w:r>
      <w:r>
        <w:rPr>
          <w:rFonts w:hint="eastAsia" w:ascii="宋体" w:hAnsi="宋体" w:cs="宋体"/>
          <w:bCs/>
          <w:color w:val="000000"/>
          <w:sz w:val="24"/>
          <w:highlight w:val="none"/>
        </w:rPr>
        <w:t xml:space="preserve">的扣除，用扣除后的价格参加评审。</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000000"/>
          <w:sz w:val="24"/>
          <w:highlight w:val="none"/>
        </w:rPr>
      </w:pPr>
      <w:r>
        <w:rPr>
          <w:rFonts w:hint="eastAsia" w:ascii="宋体" w:hAnsi="宋体" w:cs="宋体"/>
          <w:bCs/>
          <w:color w:val="000000"/>
          <w:sz w:val="24"/>
          <w:highlight w:val="none"/>
        </w:rPr>
        <w:t xml:space="preserve">说明：价格扣除优惠政策仅适用于“第一章 二、申请人的资格要求 2.落实政府采购政策需满足的资格要求”中“本项目采用以下第（4）种方式落实政府采购促进中小企业发展的要求”的采购项目中。</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000000"/>
          <w:sz w:val="24"/>
          <w:highlight w:val="none"/>
        </w:rPr>
      </w:pPr>
      <w:r>
        <w:rPr>
          <w:rFonts w:hint="eastAsia" w:ascii="宋体" w:hAnsi="宋体" w:cs="宋体"/>
          <w:bCs/>
          <w:color w:val="000000"/>
          <w:sz w:val="24"/>
          <w:highlight w:val="none"/>
        </w:rPr>
        <w:t xml:space="preserve">2、残疾人福利单位</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000000"/>
          <w:sz w:val="24"/>
          <w:highlight w:val="none"/>
        </w:rPr>
      </w:pPr>
      <w:r>
        <w:rPr>
          <w:rFonts w:hint="eastAsia" w:ascii="宋体" w:hAnsi="宋体" w:cs="宋体"/>
          <w:bCs/>
          <w:color w:val="000000"/>
          <w:sz w:val="24"/>
          <w:highlight w:val="none"/>
        </w:rPr>
        <w:t xml:space="preserve">（1）本项目对残疾人福利性单位视同小型、微型企业。</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000000"/>
          <w:sz w:val="24"/>
          <w:highlight w:val="none"/>
        </w:rPr>
      </w:pPr>
      <w:r>
        <w:rPr>
          <w:rFonts w:hint="eastAsia" w:ascii="宋体" w:hAnsi="宋体" w:cs="宋体"/>
          <w:bCs/>
          <w:color w:val="000000"/>
          <w:sz w:val="24"/>
          <w:highlight w:val="none"/>
        </w:rPr>
        <w:t xml:space="preserve">（2）残疾人福利单位需按照采购文件的要求提供《残疾人福利性单位声明函》。</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000000"/>
          <w:sz w:val="24"/>
          <w:highlight w:val="none"/>
        </w:rPr>
      </w:pPr>
      <w:r>
        <w:rPr>
          <w:rFonts w:hint="eastAsia" w:ascii="宋体" w:hAnsi="宋体" w:cs="宋体"/>
          <w:bCs/>
          <w:color w:val="000000"/>
          <w:sz w:val="24"/>
          <w:highlight w:val="none"/>
        </w:rPr>
        <w:t xml:space="preserve">（3）残疾人福利单位标准请参照《关于促进残疾人就业政府采购政策的通知》（财库〔2017〕141号）。</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000000"/>
          <w:sz w:val="24"/>
          <w:highlight w:val="none"/>
        </w:rPr>
      </w:pPr>
      <w:r>
        <w:rPr>
          <w:rFonts w:hint="eastAsia" w:ascii="宋体" w:hAnsi="宋体" w:cs="宋体"/>
          <w:bCs/>
          <w:color w:val="000000"/>
          <w:sz w:val="24"/>
          <w:highlight w:val="none"/>
        </w:rPr>
        <w:t xml:space="preserve">3、监狱和戒毒企业</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000000"/>
          <w:sz w:val="24"/>
          <w:highlight w:val="none"/>
        </w:rPr>
      </w:pPr>
      <w:r>
        <w:rPr>
          <w:rFonts w:hint="eastAsia" w:ascii="宋体" w:hAnsi="宋体" w:cs="宋体"/>
          <w:bCs/>
          <w:color w:val="000000"/>
          <w:sz w:val="24"/>
          <w:highlight w:val="none"/>
        </w:rPr>
        <w:t xml:space="preserve">（1）本项目对监狱和戒毒企业（简称监狱企业）视同小型、微型企业。</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000000"/>
          <w:sz w:val="24"/>
          <w:highlight w:val="none"/>
        </w:rPr>
      </w:pPr>
      <w:r>
        <w:rPr>
          <w:rFonts w:hint="eastAsia" w:ascii="宋体" w:hAnsi="宋体" w:cs="宋体"/>
          <w:bCs/>
          <w:color w:val="000000"/>
          <w:sz w:val="24"/>
          <w:highlight w:val="none"/>
        </w:rPr>
        <w:t xml:space="preserve">（2）监狱企业参加政府采购活动时，需提供由省级以上监狱管理局、戒毒管理局(含新疆生产建设兵团)出具的属于监狱企业的证明文件。</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000000"/>
          <w:sz w:val="24"/>
          <w:highlight w:val="none"/>
        </w:rPr>
      </w:pPr>
      <w:r>
        <w:rPr>
          <w:rFonts w:hint="eastAsia" w:ascii="宋体" w:hAnsi="宋体" w:cs="宋体"/>
          <w:bCs/>
          <w:color w:val="000000"/>
          <w:sz w:val="24"/>
          <w:highlight w:val="none"/>
        </w:rPr>
        <w:t xml:space="preserve">（3）监狱企业标准请参照《关于政府采购支持监狱企业发展有关问题的通知》（财库[2014]68号）。</w:t>
      </w:r>
      <w:r/>
    </w:p>
    <w:p>
      <w:pPr>
        <w:jc w:val="center"/>
        <w:rPr>
          <w:rFonts w:ascii="宋体" w:hAnsi="宋体" w:cs="宋体"/>
          <w:b/>
          <w:bCs/>
          <w:color w:val="000000"/>
          <w:sz w:val="32"/>
          <w:szCs w:val="32"/>
          <w:highlight w:val="none"/>
        </w:rPr>
        <w:outlineLvl w:val="0"/>
      </w:pPr>
      <w:r>
        <w:rPr>
          <w:rFonts w:hint="eastAsia" w:ascii="宋体" w:hAnsi="宋体" w:cs="宋体"/>
          <w:b/>
          <w:color w:val="000000"/>
          <w:sz w:val="32"/>
          <w:szCs w:val="32"/>
          <w:highlight w:val="none"/>
        </w:rPr>
        <w:br w:type="page" w:clear="all"/>
      </w:r>
      <w:bookmarkStart w:id="41" w:name="_Toc15552"/>
      <w:r>
        <w:rPr>
          <w:rFonts w:hint="eastAsia" w:ascii="宋体" w:hAnsi="宋体" w:cs="宋体"/>
          <w:b/>
          <w:bCs/>
          <w:color w:val="000000"/>
          <w:sz w:val="32"/>
          <w:szCs w:val="32"/>
          <w:highlight w:val="none"/>
        </w:rPr>
        <w:t xml:space="preserve">第四章 招标项目要求</w:t>
      </w:r>
      <w:bookmarkEnd w:id="41"/>
      <w:r/>
      <w:r/>
    </w:p>
    <w:p>
      <w:pPr>
        <w:spacing w:line="360" w:lineRule="auto"/>
        <w:rPr>
          <w:rFonts w:ascii="宋体" w:hAnsi="宋体" w:cs="宋体"/>
          <w:b/>
          <w:sz w:val="24"/>
          <w:highlight w:val="none"/>
        </w:rPr>
      </w:pPr>
      <w:r>
        <w:rPr>
          <w:rFonts w:hint="eastAsia" w:ascii="宋体" w:hAnsi="宋体" w:cs="宋体"/>
          <w:b/>
          <w:sz w:val="24"/>
          <w:highlight w:val="none"/>
        </w:rPr>
        <w:t xml:space="preserve">一、工程概况：</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工程名称：2026年江苏省五台山体育中心重大体育设施建设（供电增容）工程</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工程地点：南京市鼓楼区华侨路街道五台山1-6号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工程概况：供电系统作为重要的基础设施，是大型体育场馆正常开放以及承接大型活动的必备条件。体育中心变电站分别于2008年、2012年进行了改造，总容量9030千伏安。近年来，随着体育中心空调系统、照明系统、显示系统不断更新，用电容量已经告急，亟需增容。</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本次供电增容方案、设计图纸经市供电公司审批同意开展，施工过程严格按照国家有关技术规范和工艺要求实施，经市供电公司验收合格后送电。</w:t>
      </w:r>
      <w:r/>
    </w:p>
    <w:p>
      <w:pPr>
        <w:spacing w:line="360" w:lineRule="auto"/>
        <w:rPr>
          <w:rFonts w:ascii="宋体" w:hAnsi="宋体" w:cs="宋体"/>
          <w:b/>
          <w:sz w:val="24"/>
          <w:highlight w:val="none"/>
        </w:rPr>
      </w:pPr>
      <w:r>
        <w:rPr>
          <w:rFonts w:hint="eastAsia" w:ascii="宋体" w:hAnsi="宋体" w:cs="宋体"/>
          <w:b/>
          <w:sz w:val="24"/>
          <w:highlight w:val="none"/>
        </w:rPr>
        <w:t xml:space="preserve">二、招标范围：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体育中心</w:t>
      </w:r>
      <w:bookmarkStart w:id="42" w:name="OLE_LINK6"/>
      <w:r>
        <w:rPr>
          <w:rFonts w:hint="eastAsia" w:ascii="宋体" w:hAnsi="宋体" w:cs="宋体"/>
          <w:sz w:val="24"/>
          <w:highlight w:val="none"/>
        </w:rPr>
        <w:t xml:space="preserve">现有总用电容量9030千伏安。2026年重大体育设施建设（供电增容）方案为高压供电增容2630千伏安，总用电容量达11660千伏安</w:t>
      </w:r>
      <w:bookmarkEnd w:id="42"/>
      <w:r>
        <w:rPr>
          <w:rFonts w:hint="eastAsia" w:ascii="宋体" w:hAnsi="宋体" w:cs="宋体"/>
          <w:sz w:val="24"/>
          <w:highlight w:val="none"/>
        </w:rPr>
        <w:t xml:space="preserve">，具体建设内容为：</w:t>
      </w:r>
      <w:bookmarkStart w:id="43" w:name="OLE_LINK9"/>
      <w:r>
        <w:rPr>
          <w:rFonts w:hint="eastAsia" w:ascii="宋体" w:hAnsi="宋体" w:cs="宋体"/>
          <w:sz w:val="24"/>
          <w:highlight w:val="none"/>
        </w:rPr>
        <w:t xml:space="preserve">改造网球馆变电所闲置一层为新变电所，新上2台1000千伏安变电所，将健身馆630千伏安变电所改为体育中心高压供电。设计新建变电所低压出线电缆、配套管道及游泳跳水馆低压配电间。另改造综合训练馆、康复中心楼低压用电由体育中心统一供电。</w:t>
      </w:r>
      <w:bookmarkEnd w:id="43"/>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具体内容详见施工图设计文件及招标工程量清单。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履约期限：90日历天</w:t>
      </w:r>
      <w:r/>
    </w:p>
    <w:p>
      <w:pPr>
        <w:spacing w:line="360" w:lineRule="auto"/>
        <w:rPr>
          <w:rFonts w:ascii="宋体" w:hAnsi="宋体" w:cs="宋体"/>
          <w:b/>
          <w:sz w:val="24"/>
          <w:highlight w:val="none"/>
        </w:rPr>
      </w:pPr>
      <w:r>
        <w:rPr>
          <w:rFonts w:hint="eastAsia" w:ascii="宋体" w:hAnsi="宋体" w:cs="宋体"/>
          <w:b/>
          <w:sz w:val="24"/>
          <w:highlight w:val="none"/>
        </w:rPr>
        <w:t xml:space="preserve">三、编制依据</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1、南京华东电力设计研究院有限公司提供的设计图纸，图号：HB2026-015；</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2、《建设工程工程量清单计价规范规范》GB50500-2013</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3、《房屋建筑与装饰工程工程量计算规范》GB50854-2013</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4、《通用安装工程工程量计算规范》GB50856-2013；</w:t>
      </w:r>
      <w:r/>
    </w:p>
    <w:p>
      <w:pPr>
        <w:spacing w:line="360" w:lineRule="auto"/>
        <w:rPr>
          <w:rFonts w:ascii="宋体" w:hAnsi="宋体" w:cs="宋体"/>
          <w:b/>
          <w:sz w:val="24"/>
          <w:highlight w:val="none"/>
        </w:rPr>
      </w:pPr>
      <w:r>
        <w:rPr>
          <w:rFonts w:hint="eastAsia" w:ascii="宋体" w:hAnsi="宋体" w:cs="宋体"/>
          <w:b/>
          <w:sz w:val="24"/>
          <w:highlight w:val="none"/>
        </w:rPr>
        <w:t xml:space="preserve">四、工程量清单说明</w:t>
      </w:r>
      <w:r/>
    </w:p>
    <w:p>
      <w:pPr>
        <w:ind w:firstLine="480"/>
        <w:spacing w:line="360" w:lineRule="auto"/>
        <w:rPr>
          <w:rFonts w:ascii="宋体" w:hAnsi="宋体" w:cs="宋体"/>
          <w:sz w:val="24"/>
          <w:highlight w:val="none"/>
        </w:rPr>
      </w:pPr>
      <w:r/>
      <w:bookmarkStart w:id="44" w:name="_Toc152042556"/>
      <w:r/>
      <w:bookmarkStart w:id="45" w:name="_Toc485973718"/>
      <w:r/>
      <w:bookmarkStart w:id="46" w:name="_Toc227984067"/>
      <w:r/>
      <w:bookmarkStart w:id="47" w:name="_Toc459119679"/>
      <w:r/>
      <w:bookmarkStart w:id="48" w:name="_Toc144974836"/>
      <w:r/>
      <w:bookmarkStart w:id="49" w:name="_Toc534809304"/>
      <w:r/>
      <w:bookmarkStart w:id="50" w:name="_Toc152045774"/>
      <w:r>
        <w:rPr>
          <w:rFonts w:hint="eastAsia" w:ascii="宋体" w:hAnsi="宋体" w:cs="宋体"/>
          <w:sz w:val="24"/>
          <w:highlight w:val="none"/>
        </w:rPr>
        <w:t xml:space="preserve">1、《江苏省建筑与装饰工程计价定额》2014版、《江苏省安装工程计价定额》2014版、《江苏省建设工程费用定额》（2014年）有关规定；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建筑工程造价营改增一般计税“苏建价[2016]154号”文《省住房城乡建设厅关于建筑业实施营改增后江苏省建设工程计价依据调整的通知》；“苏建函价[2025]2号”《省住房城乡建设厅关于调整建设工程计价增值税税率的通知》；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3、江苏省、南京市关于工程造价的其它相关文件及规定；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4、常规施工组织方案。</w:t>
      </w:r>
      <w:r/>
    </w:p>
    <w:p>
      <w:pPr>
        <w:spacing w:line="360" w:lineRule="auto"/>
        <w:rPr>
          <w:rFonts w:ascii="宋体" w:hAnsi="宋体" w:cs="宋体"/>
          <w:b/>
          <w:sz w:val="24"/>
          <w:highlight w:val="none"/>
        </w:rPr>
      </w:pPr>
      <w:r>
        <w:rPr>
          <w:rFonts w:hint="eastAsia" w:ascii="宋体" w:hAnsi="宋体" w:cs="宋体"/>
          <w:b/>
          <w:sz w:val="24"/>
          <w:highlight w:val="none"/>
        </w:rPr>
        <w:t xml:space="preserve">五、投标报价说明</w:t>
      </w:r>
      <w:bookmarkEnd w:id="44"/>
      <w:r/>
      <w:bookmarkEnd w:id="45"/>
      <w:r/>
      <w:bookmarkEnd w:id="46"/>
      <w:r/>
      <w:bookmarkEnd w:id="47"/>
      <w:r/>
      <w:bookmarkEnd w:id="48"/>
      <w:r/>
      <w:bookmarkEnd w:id="49"/>
      <w:r/>
      <w:bookmarkEnd w:id="5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1、工程量清单中的每一子目须填入单价或价格，且只允许有一个报价。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工程量清单中标价的单价或金额，应包括所需人工费、施工机械使用费、材料费、其他（运杂费、质检费、安装费、缺陷修复费、保险费，以及合同明示或暗示的风险、责任和义务等），以及管理费、利润等。</w:t>
      </w:r>
      <w:r/>
    </w:p>
    <w:p>
      <w:pPr>
        <w:spacing w:line="360" w:lineRule="auto"/>
        <w:rPr>
          <w:rFonts w:ascii="宋体" w:hAnsi="宋体" w:cs="宋体"/>
          <w:b/>
          <w:sz w:val="24"/>
          <w:highlight w:val="none"/>
        </w:rPr>
      </w:pPr>
      <w:r/>
      <w:bookmarkStart w:id="51" w:name="_Toc485973719"/>
      <w:r/>
      <w:bookmarkStart w:id="52" w:name="_Toc534809305"/>
      <w:r/>
      <w:bookmarkStart w:id="53" w:name="_Toc227984068"/>
      <w:r/>
      <w:bookmarkStart w:id="54" w:name="_Toc459119680"/>
      <w:r>
        <w:rPr>
          <w:rFonts w:hint="eastAsia" w:ascii="宋体" w:hAnsi="宋体" w:cs="宋体"/>
          <w:b/>
          <w:sz w:val="24"/>
          <w:highlight w:val="none"/>
        </w:rPr>
        <w:t xml:space="preserve">六、其他说明</w:t>
      </w:r>
      <w:bookmarkEnd w:id="51"/>
      <w:r/>
      <w:bookmarkEnd w:id="52"/>
      <w:r/>
      <w:bookmarkEnd w:id="53"/>
      <w:r/>
      <w:bookmarkEnd w:id="5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1、工程量清单及暂估价、暂列金额及甲供材料价格：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（1）与招标文件提供的工程量清单中的项目编码、项目名称、项目特征、计量单位、工程量一致（措施项目增项除外）；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（2）与招标文件规定的暂估价、暂列金额及甲供材料价格一致。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2、不可竞争费用项目或费率或计算基础：</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（1）与招标文件明确列出的不可竞争费用项目或费率或计算基础一致。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3、投标报价范围：</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（1）投标报价不低于成本且不高于供应商规定的最高投标限价，</w:t>
      </w:r>
      <w:r>
        <w:rPr>
          <w:rFonts w:hint="eastAsia" w:ascii="宋体" w:hAnsi="宋体" w:cs="宋体"/>
          <w:sz w:val="24"/>
          <w:highlight w:val="none"/>
          <w:lang w:val="zh-CN"/>
        </w:rPr>
        <w:t xml:space="preserve">最高限价为490.983863万元，投标报价超过最高限价的为无效投标。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4、付款方式：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（1）合同签订后预付合同价的30%；</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（2）完成全部变配电工程施工，办理竣工验收并经供电部门验收合格送电后，采购人支付合同价款至80%；</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供应商应在项目竣工验收后30天内移交竣工资料送审。竣工结算审计结束后，供应商按照审定结算价的3%出具质量保证金保函后，发包人付至审定结算总价的100%，但应扣除应扣费用（例如审计费（如有）、施工水电费、违约金（如有）等）。质量保证金保函有效期为两年（质保金不计利息。）</w:t>
      </w:r>
      <w:r/>
    </w:p>
    <w:p>
      <w:pPr>
        <w:spacing w:line="360" w:lineRule="auto"/>
        <w:rPr>
          <w:rFonts w:hint="eastAsia" w:ascii="宋体" w:hAnsi="宋体" w:cs="宋体"/>
          <w:b/>
          <w:sz w:val="24"/>
          <w:highlight w:val="none"/>
          <w:lang w:val="en-US" w:eastAsia="zh-CN"/>
        </w:rPr>
      </w:pPr>
      <w:r>
        <w:rPr>
          <w:rFonts w:hint="eastAsia" w:ascii="宋体" w:hAnsi="宋体" w:cs="宋体"/>
          <w:b/>
          <w:sz w:val="24"/>
          <w:highlight w:val="none"/>
        </w:rPr>
        <w:t xml:space="preserve">七、</w:t>
      </w:r>
      <w:r>
        <w:rPr>
          <w:rFonts w:hint="eastAsia" w:ascii="宋体" w:hAnsi="宋体" w:cs="宋体"/>
          <w:b/>
          <w:sz w:val="24"/>
          <w:highlight w:val="none"/>
          <w:lang w:val="en-US" w:eastAsia="zh-CN"/>
        </w:rPr>
        <w:t xml:space="preserve">技术要求</w:t>
      </w:r>
      <w:r/>
    </w:p>
    <w:p>
      <w:pPr>
        <w:ind w:firstLine="480"/>
        <w:spacing w:line="360" w:lineRule="auto"/>
        <w:rPr>
          <w:rFonts w:ascii="宋体" w:hAnsi="宋体"/>
          <w:b/>
          <w:bCs/>
          <w:sz w:val="24"/>
          <w:highlight w:val="none"/>
        </w:rPr>
      </w:pPr>
      <w:r>
        <w:rPr>
          <w:rFonts w:hint="eastAsia" w:ascii="宋体" w:hAnsi="宋体" w:cs="宋体"/>
          <w:sz w:val="24"/>
          <w:highlight w:val="none"/>
        </w:rPr>
        <w:t xml:space="preserve">1、低压无功补偿</w:t>
      </w:r>
      <w:r/>
    </w:p>
    <w:p>
      <w:pPr>
        <w:ind w:firstLine="480"/>
        <w:spacing w:line="360" w:lineRule="auto"/>
        <w:rPr>
          <w:rFonts w:ascii="宋体" w:hAnsi="宋体"/>
          <w:sz w:val="24"/>
          <w:highlight w:val="none"/>
        </w:rPr>
      </w:pPr>
      <w:r>
        <w:rPr>
          <w:rFonts w:hint="eastAsia" w:ascii="宋体" w:hAnsi="宋体"/>
          <w:sz w:val="24"/>
          <w:highlight w:val="none"/>
        </w:rPr>
        <w:t xml:space="preserve">控制器采用</w:t>
      </w:r>
      <w:r>
        <w:rPr>
          <w:rFonts w:ascii="宋体" w:hAnsi="宋体"/>
          <w:sz w:val="24"/>
          <w:highlight w:val="none"/>
        </w:rPr>
        <w:t xml:space="preserve">DSP</w:t>
      </w:r>
      <w:r>
        <w:rPr>
          <w:rFonts w:hint="eastAsia" w:ascii="宋体" w:hAnsi="宋体"/>
          <w:sz w:val="24"/>
          <w:highlight w:val="none"/>
        </w:rPr>
        <w:t xml:space="preserve">高速数字处理芯片为内核，可实现全汉字化菜单式操作，具有良好的人机界面，大屏幕液晶显示。可自动检测、智能判断、动态响应，优化补偿电容器投切。可实时显示步状态、测量值和系统运行参数，控制灵活，控制参数、系统参数、保护参数等均能根据实际需要在运行现场设置，保护完善，具有过压、欠压等保护和自检功能。带手动模式和</w:t>
      </w:r>
      <w:r>
        <w:rPr>
          <w:rFonts w:ascii="宋体" w:hAnsi="宋体"/>
          <w:sz w:val="24"/>
          <w:highlight w:val="none"/>
        </w:rPr>
        <w:t xml:space="preserve">RS485</w:t>
      </w:r>
      <w:r>
        <w:rPr>
          <w:rFonts w:hint="eastAsia" w:ascii="宋体" w:hAnsi="宋体"/>
          <w:sz w:val="24"/>
          <w:highlight w:val="none"/>
        </w:rPr>
        <w:t xml:space="preserve">通讯接口。</w:t>
      </w:r>
      <w:r/>
    </w:p>
    <w:p>
      <w:pPr>
        <w:ind w:firstLine="480"/>
        <w:spacing w:line="360" w:lineRule="auto"/>
        <w:rPr>
          <w:rFonts w:hint="eastAsia" w:ascii="宋体" w:hAnsi="宋体"/>
          <w:sz w:val="24"/>
          <w:highlight w:val="none"/>
        </w:rPr>
      </w:pPr>
      <w:r>
        <w:rPr>
          <w:rFonts w:hint="eastAsia" w:ascii="宋体" w:hAnsi="宋体"/>
          <w:sz w:val="24"/>
          <w:highlight w:val="none"/>
        </w:rPr>
        <w:t xml:space="preserve">电容器采用高性能金属化聚丙烯薄膜介质，铝制或铁制金属外壳。具有良好的自愈性和耐涌流能力，使用寿命长。</w:t>
      </w:r>
      <w:r/>
    </w:p>
    <w:p>
      <w:pPr>
        <w:ind w:firstLine="480"/>
        <w:spacing w:line="360" w:lineRule="auto"/>
        <w:rPr>
          <w:rFonts w:ascii="宋体" w:hAnsi="宋体"/>
          <w:sz w:val="24"/>
          <w:highlight w:val="none"/>
        </w:rPr>
      </w:pPr>
      <w:r>
        <w:rPr>
          <w:rFonts w:hint="eastAsia" w:ascii="宋体" w:hAnsi="宋体"/>
          <w:sz w:val="24"/>
          <w:highlight w:val="none"/>
        </w:rPr>
        <w:t xml:space="preserve">电抗器采用无功补偿专用电抗器，干式铁芯结构，可以保证补偿装置投入运行后，投切电容器时不会与系统发生谐振，确保补偿装置的可靠工作；且能降低电容器组的合闸涌流及避免电容器组产生谐波放大现象，同时避免造成电容器运行电压高，分闸时较易产生过电压。产品符合</w:t>
      </w:r>
      <w:r>
        <w:rPr>
          <w:rFonts w:ascii="宋体" w:hAnsi="宋体"/>
          <w:sz w:val="24"/>
          <w:highlight w:val="none"/>
        </w:rPr>
        <w:t xml:space="preserve">IEC60289</w:t>
      </w:r>
      <w:r>
        <w:rPr>
          <w:rFonts w:hint="eastAsia" w:ascii="宋体" w:hAnsi="宋体"/>
          <w:sz w:val="24"/>
          <w:highlight w:val="none"/>
        </w:rPr>
        <w:t xml:space="preserve">标准。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2、低压有源滤波器（APF）技术要求</w:t>
      </w:r>
      <w:r/>
    </w:p>
    <w:p>
      <w:pPr>
        <w:pStyle w:val="1698"/>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s>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动态有源滤波补偿装置应独立于电网阻抗及系统阻抗之外，不受电网阻抗和系统阻抗变化的影响，不发生谐振。装置采用国际著名品牌、技术成熟的IGBT器件制造，能自动根据电网运行方式的变化和负载的波动调整输出，以抵消电网中的谐波。动态有源滤波补偿装置自身的高频载波不能回馈到电网，对其它系统和设备没有干扰。</w:t>
      </w:r>
      <w:r>
        <w:rPr>
          <w:rFonts w:hint="eastAsia" w:ascii="宋体" w:hAnsi="宋体" w:eastAsia="宋体"/>
          <w:sz w:val="24"/>
          <w:szCs w:val="24"/>
          <w:highlight w:val="none"/>
          <w:lang w:eastAsia="zh-CN"/>
        </w:rPr>
        <w:t xml:space="preserve">装置中的逆变电感需采用立绕电抗，以确保系统的散热。装置具备柔性并网技术，保证并网时对电网设备的冲击电流最小，增强系统可靠性，延长设备使用寿命；</w:t>
      </w:r>
      <w:r>
        <w:rPr>
          <w:rFonts w:hint="eastAsia" w:ascii="宋体" w:hAnsi="宋体" w:eastAsia="宋体"/>
          <w:color w:val="auto"/>
          <w:sz w:val="24"/>
          <w:szCs w:val="24"/>
          <w:highlight w:val="none"/>
          <w:lang w:eastAsia="zh-CN"/>
        </w:rPr>
        <w:t xml:space="preserve">有源滤波模块控制算法应支持傅里叶、</w:t>
      </w:r>
      <w:r>
        <w:rPr>
          <w:rFonts w:ascii="宋体" w:hAnsi="宋体" w:eastAsia="宋体"/>
          <w:color w:val="auto"/>
          <w:sz w:val="24"/>
          <w:szCs w:val="24"/>
          <w:highlight w:val="none"/>
          <w:lang w:eastAsia="zh-CN"/>
        </w:rPr>
        <w:t xml:space="preserve">FFT</w:t>
      </w:r>
      <w:r>
        <w:rPr>
          <w:rFonts w:hint="eastAsia" w:ascii="宋体" w:hAnsi="宋体" w:eastAsia="宋体"/>
          <w:color w:val="auto"/>
          <w:sz w:val="24"/>
          <w:szCs w:val="24"/>
          <w:highlight w:val="none"/>
          <w:lang w:eastAsia="zh-CN"/>
        </w:rPr>
        <w:t xml:space="preserve">和瞬时无功。有源滤波模块既能提供无级的感性无功也能提供无级的容性无功，并且目标功率因数可调。</w:t>
      </w:r>
      <w:r/>
    </w:p>
    <w:p>
      <w:pPr>
        <w:ind w:firstLine="480"/>
        <w:spacing w:line="360" w:lineRule="auto"/>
        <w:rPr>
          <w:rFonts w:ascii="宋体" w:hAnsi="宋体" w:cs="宋体"/>
          <w:sz w:val="24"/>
          <w:highlight w:val="none"/>
        </w:rPr>
      </w:pPr>
      <w:r>
        <w:rPr>
          <w:rFonts w:hint="eastAsia" w:ascii="宋体" w:hAnsi="宋体"/>
          <w:sz w:val="24"/>
          <w:highlight w:val="none"/>
        </w:rPr>
        <w:t xml:space="preserve">有源滤波模块具备免维护功能，能保证长周期稳定运行，控制单元程序具备自检功能。有源波模块应具备完整的保护功能，包括过载、过电流、短路、</w:t>
      </w:r>
      <w:r>
        <w:rPr>
          <w:rFonts w:ascii="宋体" w:hAnsi="宋体"/>
          <w:sz w:val="24"/>
          <w:highlight w:val="none"/>
        </w:rPr>
        <w:t xml:space="preserve">IGBT</w:t>
      </w:r>
      <w:r>
        <w:rPr>
          <w:rFonts w:hint="eastAsia" w:ascii="宋体" w:hAnsi="宋体"/>
          <w:sz w:val="24"/>
          <w:highlight w:val="none"/>
        </w:rPr>
        <w:t xml:space="preserve">异常、系统失压、内置电容器过电压、超温保护、缺相等。有源滤波模块应具备</w:t>
      </w:r>
      <w:r>
        <w:rPr>
          <w:rFonts w:ascii="宋体" w:hAnsi="宋体"/>
          <w:sz w:val="24"/>
          <w:highlight w:val="none"/>
        </w:rPr>
        <w:t xml:space="preserve">RS485</w:t>
      </w:r>
      <w:r>
        <w:rPr>
          <w:rFonts w:hint="eastAsia" w:ascii="宋体" w:hAnsi="宋体"/>
          <w:sz w:val="24"/>
          <w:highlight w:val="none"/>
        </w:rPr>
        <w:t xml:space="preserve">通讯接口并</w:t>
      </w:r>
      <w:r>
        <w:rPr>
          <w:rFonts w:hint="eastAsia" w:ascii="宋体" w:hAnsi="宋体" w:cs="宋体"/>
          <w:sz w:val="24"/>
          <w:highlight w:val="none"/>
        </w:rPr>
        <w:t xml:space="preserve">且可以扩展以太网络接口、干接点接口，并设置备用通道。</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3、直流屏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直流系统柜</w:t>
      </w:r>
      <w:r>
        <w:rPr>
          <w:rFonts w:ascii="宋体" w:hAnsi="宋体" w:cs="宋体"/>
          <w:sz w:val="24"/>
          <w:highlight w:val="none"/>
        </w:rPr>
        <w:t xml:space="preserve">1</w:t>
      </w:r>
      <w:r>
        <w:rPr>
          <w:rFonts w:hint="eastAsia" w:ascii="宋体" w:hAnsi="宋体" w:cs="宋体"/>
          <w:sz w:val="24"/>
          <w:highlight w:val="none"/>
        </w:rPr>
        <w:t xml:space="preserve">套（含蓄电池）。交流输入双回路电源，并能自动切换，控制母线输出：</w:t>
      </w:r>
      <w:r>
        <w:rPr>
          <w:rFonts w:ascii="宋体" w:hAnsi="宋体" w:cs="宋体"/>
          <w:sz w:val="24"/>
          <w:highlight w:val="none"/>
        </w:rPr>
        <w:t xml:space="preserve">DC</w:t>
      </w:r>
      <w:r>
        <w:rPr>
          <w:rFonts w:hint="eastAsia" w:ascii="宋体" w:hAnsi="宋体" w:cs="宋体"/>
          <w:sz w:val="24"/>
          <w:highlight w:val="none"/>
        </w:rPr>
        <w:t xml:space="preserve">48</w:t>
      </w:r>
      <w:r>
        <w:rPr>
          <w:rFonts w:ascii="宋体" w:hAnsi="宋体" w:cs="宋体"/>
          <w:sz w:val="24"/>
          <w:highlight w:val="none"/>
        </w:rPr>
        <w:t xml:space="preserve">/20A</w:t>
      </w:r>
      <w:r>
        <w:rPr>
          <w:rFonts w:hint="eastAsia" w:ascii="宋体" w:hAnsi="宋体" w:cs="宋体"/>
          <w:sz w:val="24"/>
          <w:highlight w:val="none"/>
        </w:rPr>
        <w:t xml:space="preserve">。电池容量：20</w:t>
      </w:r>
      <w:r>
        <w:rPr>
          <w:rFonts w:ascii="宋体" w:hAnsi="宋体" w:cs="宋体"/>
          <w:sz w:val="24"/>
          <w:highlight w:val="none"/>
        </w:rPr>
        <w:t xml:space="preserve">AH</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ascii="宋体" w:hAnsi="宋体" w:cs="宋体"/>
          <w:sz w:val="24"/>
          <w:highlight w:val="none"/>
        </w:rPr>
        <w:t xml:space="preserve">充电及浮充电整流模块采用智能高频开关整流模块</w:t>
      </w:r>
      <w:r>
        <w:rPr>
          <w:rFonts w:hint="eastAsia" w:ascii="宋体" w:hAnsi="宋体" w:cs="宋体"/>
          <w:sz w:val="24"/>
          <w:highlight w:val="none"/>
        </w:rPr>
        <w:t xml:space="preserve">。</w:t>
      </w:r>
      <w:r>
        <w:rPr>
          <w:rFonts w:ascii="宋体" w:hAnsi="宋体" w:cs="宋体"/>
          <w:sz w:val="24"/>
          <w:highlight w:val="none"/>
        </w:rPr>
        <w:t xml:space="preserve">如整流模块故障能自动从并联运行中退出且不影响其它模块正常运行，并可带电热插拔检修。</w:t>
      </w:r>
      <w:r/>
    </w:p>
    <w:p>
      <w:pPr>
        <w:ind w:firstLine="480"/>
        <w:spacing w:line="360" w:lineRule="auto"/>
        <w:rPr>
          <w:rFonts w:ascii="宋体" w:hAnsi="宋体" w:cs="宋体"/>
          <w:sz w:val="24"/>
          <w:highlight w:val="none"/>
        </w:rPr>
      </w:pPr>
      <w:r>
        <w:rPr>
          <w:rFonts w:ascii="宋体" w:hAnsi="宋体" w:cs="宋体"/>
          <w:sz w:val="24"/>
          <w:highlight w:val="none"/>
        </w:rPr>
        <w:t xml:space="preserve">监控</w:t>
      </w:r>
      <w:r>
        <w:rPr>
          <w:rFonts w:hint="eastAsia" w:ascii="宋体" w:hAnsi="宋体" w:cs="宋体"/>
          <w:sz w:val="24"/>
          <w:highlight w:val="none"/>
        </w:rPr>
        <w:t xml:space="preserve">系统</w:t>
      </w:r>
      <w:r>
        <w:rPr>
          <w:rFonts w:ascii="宋体" w:hAnsi="宋体" w:cs="宋体"/>
          <w:sz w:val="24"/>
          <w:highlight w:val="none"/>
        </w:rPr>
        <w:t xml:space="preserve">集中监控电源系统中的整流模块、蓄电池组、母线调压装置、馈线单元的工作运行参数等，根据现场设备实际情况决定直流电源设备的运行方式。并能对所有电流、电压、电池电压等参数进行数据采集处理输出，直流设备的运行状态进行实时监控，并具有强大通信功能。在使用的过程中，可根据系统的实际需要灵活选择不同的扩展模块以满足不同的系统需求，任意扩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4、综合保护装置</w:t>
      </w:r>
      <w:r/>
    </w:p>
    <w:p>
      <w:pPr>
        <w:ind w:firstLine="480"/>
        <w:spacing w:line="360" w:lineRule="auto"/>
        <w:rPr>
          <w:rFonts w:ascii="宋体" w:hAnsi="宋体" w:cs="宋体"/>
          <w:sz w:val="24"/>
          <w:highlight w:val="none"/>
        </w:rPr>
      </w:pPr>
      <w:r>
        <w:rPr>
          <w:rFonts w:ascii="宋体" w:hAnsi="宋体" w:cs="宋体"/>
          <w:sz w:val="24"/>
          <w:highlight w:val="none"/>
        </w:rPr>
        <w:t xml:space="preserve">主要元件全部采用</w:t>
      </w:r>
      <w:r>
        <w:rPr>
          <w:rFonts w:hint="eastAsia" w:ascii="宋体" w:hAnsi="宋体" w:cs="宋体"/>
          <w:sz w:val="24"/>
          <w:highlight w:val="none"/>
          <w:lang w:val="en-US" w:eastAsia="zh-CN"/>
        </w:rPr>
        <w:t xml:space="preserve">品牌</w:t>
      </w:r>
      <w:r>
        <w:rPr>
          <w:rFonts w:ascii="宋体" w:hAnsi="宋体" w:cs="宋体"/>
          <w:sz w:val="24"/>
          <w:highlight w:val="none"/>
        </w:rPr>
        <w:t xml:space="preserve">器件，保证装置的高可靠性</w:t>
      </w:r>
      <w:r>
        <w:rPr>
          <w:rFonts w:hint="eastAsia" w:ascii="宋体" w:hAnsi="宋体" w:cs="宋体"/>
          <w:sz w:val="24"/>
          <w:highlight w:val="none"/>
        </w:rPr>
        <w:t xml:space="preserve">和</w:t>
      </w:r>
      <w:r>
        <w:rPr>
          <w:rFonts w:ascii="宋体" w:hAnsi="宋体" w:cs="宋体"/>
          <w:sz w:val="24"/>
          <w:highlight w:val="none"/>
        </w:rPr>
        <w:t xml:space="preserve">恶劣环境下的适应能力和可靠性</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装置</w:t>
      </w:r>
      <w:r>
        <w:rPr>
          <w:rFonts w:ascii="宋体" w:hAnsi="宋体" w:cs="宋体"/>
          <w:sz w:val="24"/>
          <w:highlight w:val="none"/>
        </w:rPr>
        <w:t xml:space="preserve">具有通讯接口，能够通过现场总线将数据和信息传送至上位机（监控、调度计算机），同时接受上位机的分、合闸等控制命令</w:t>
      </w:r>
      <w:r>
        <w:rPr>
          <w:rFonts w:hint="eastAsia" w:ascii="宋体" w:hAnsi="宋体" w:cs="宋体"/>
          <w:sz w:val="24"/>
          <w:highlight w:val="none"/>
        </w:rPr>
        <w:t xml:space="preserve">；装置具有有故障录波功能</w:t>
      </w:r>
      <w:r>
        <w:rPr>
          <w:rFonts w:hint="eastAsia" w:ascii="宋体" w:hAnsi="宋体" w:cs="宋体"/>
          <w:sz w:val="24"/>
          <w:highlight w:val="none"/>
          <w:lang w:eastAsia="zh-CN"/>
        </w:rPr>
        <w:t xml:space="preserve">，</w:t>
      </w:r>
      <w:r>
        <w:rPr>
          <w:rFonts w:hint="eastAsia" w:ascii="宋体" w:hAnsi="宋体" w:cs="宋体"/>
          <w:sz w:val="24"/>
          <w:highlight w:val="none"/>
        </w:rPr>
        <w:t xml:space="preserve">采用一体化型材机箱。</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5、电力监控系统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基于工业级标准设计、面向电力系统全场景的智能化监控与管理系统，遵循国家及行业相关标准规范，具备实时监测、远程控制、数据统计、故障预警及安全防护等全功能，实现对配电系统的精细化、自动化、智能化管控，保障电力系统安全、稳定、高效运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6、多功能仪表</w:t>
      </w:r>
      <w:r/>
    </w:p>
    <w:p>
      <w:pPr>
        <w:ind w:firstLine="480"/>
        <w:spacing w:line="360" w:lineRule="auto"/>
        <w:rPr>
          <w:rFonts w:ascii="宋体" w:hAnsi="宋体" w:cs="宋体"/>
          <w:sz w:val="24"/>
          <w:highlight w:val="none"/>
        </w:rPr>
      </w:pPr>
      <w:r>
        <w:rPr>
          <w:rFonts w:ascii="宋体" w:hAnsi="宋体" w:cs="宋体"/>
          <w:sz w:val="24"/>
          <w:highlight w:val="none"/>
        </w:rPr>
        <w:t xml:space="preserve">实时测量电压、电流、功率因数、频率、有功、无功功率和视在功率、电度等。</w:t>
      </w:r>
      <w:r>
        <w:rPr>
          <w:rFonts w:hint="eastAsia" w:ascii="宋体" w:hAnsi="宋体" w:cs="宋体"/>
          <w:sz w:val="24"/>
          <w:highlight w:val="none"/>
        </w:rPr>
        <w:t xml:space="preserve">计量准确度为有功0.5S级，无功2.0级。</w:t>
      </w:r>
      <w:r/>
    </w:p>
    <w:p>
      <w:pPr>
        <w:ind w:firstLine="480"/>
        <w:spacing w:line="360" w:lineRule="auto"/>
        <w:rPr>
          <w:rFonts w:hint="eastAsia"/>
          <w:highlight w:val="none"/>
          <w:lang w:val="en-US" w:eastAsia="zh-CN"/>
        </w:rPr>
      </w:pPr>
      <w:r>
        <w:rPr>
          <w:rFonts w:ascii="宋体" w:hAnsi="宋体" w:cs="宋体"/>
          <w:sz w:val="24"/>
          <w:highlight w:val="none"/>
        </w:rPr>
        <w:t xml:space="preserve">多功能表应具有抗干扰能力，抗振动能力，不会</w:t>
      </w:r>
      <w:r>
        <w:rPr>
          <w:rFonts w:hint="eastAsia" w:ascii="宋体" w:hAnsi="宋体" w:cs="宋体"/>
          <w:sz w:val="24"/>
          <w:highlight w:val="none"/>
        </w:rPr>
        <w:t xml:space="preserve">因</w:t>
      </w:r>
      <w:r>
        <w:rPr>
          <w:rFonts w:ascii="宋体" w:hAnsi="宋体" w:cs="宋体"/>
          <w:sz w:val="24"/>
          <w:highlight w:val="none"/>
        </w:rPr>
        <w:t xml:space="preserve">开关柜的操作影响表计的正常使用。</w:t>
      </w:r>
      <w:r/>
    </w:p>
    <w:p>
      <w:pPr>
        <w:ind w:firstLine="480"/>
        <w:jc w:val="left"/>
        <w:spacing w:line="360" w:lineRule="auto"/>
        <w:tabs>
          <w:tab w:val="left" w:pos="2310" w:leader="none"/>
        </w:tabs>
        <w:rPr>
          <w:rFonts w:ascii="宋体" w:hAnsi="宋体" w:cs="宋体"/>
          <w:color w:val="000000"/>
          <w:sz w:val="24"/>
          <w:highlight w:val="none"/>
        </w:rPr>
      </w:pPr>
      <w:r>
        <w:rPr>
          <w:rFonts w:hint="eastAsia" w:ascii="宋体" w:hAnsi="宋体" w:cs="宋体"/>
          <w:color w:val="000000"/>
          <w:sz w:val="24"/>
          <w:highlight w:val="none"/>
        </w:rPr>
        <w:br w:type="page" w:clear="all"/>
      </w:r>
      <w:r/>
    </w:p>
    <w:p>
      <w:pPr>
        <w:jc w:val="center"/>
        <w:spacing w:line="360" w:lineRule="auto"/>
        <w:rPr>
          <w:rFonts w:ascii="宋体" w:hAnsi="宋体"/>
          <w:b/>
          <w:bCs/>
          <w:color w:val="000000"/>
          <w:sz w:val="24"/>
          <w:highlight w:val="none"/>
        </w:rPr>
        <w:outlineLvl w:val="0"/>
      </w:pPr>
      <w:r/>
      <w:bookmarkStart w:id="55" w:name="_Toc15340"/>
      <w:r>
        <w:rPr>
          <w:rFonts w:hint="eastAsia" w:ascii="宋体" w:hAnsi="宋体" w:cs="宋体"/>
          <w:b/>
          <w:bCs/>
          <w:color w:val="000000"/>
          <w:sz w:val="32"/>
          <w:szCs w:val="32"/>
          <w:highlight w:val="none"/>
        </w:rPr>
        <w:t xml:space="preserve">第五章 工程量清单</w:t>
      </w:r>
      <w:bookmarkEnd w:id="55"/>
      <w:r/>
      <w:r/>
    </w:p>
    <w:p>
      <w:pPr>
        <w:spacing w:line="360" w:lineRule="auto"/>
        <w:rPr>
          <w:rFonts w:ascii="宋体" w:hAnsi="宋体"/>
          <w:b/>
          <w:bCs/>
          <w:color w:val="000000"/>
          <w:sz w:val="24"/>
          <w:highlight w:val="none"/>
        </w:rPr>
      </w:pPr>
      <w:r>
        <w:rPr>
          <w:rFonts w:hint="eastAsia" w:ascii="宋体" w:hAnsi="宋体"/>
          <w:b/>
          <w:bCs/>
          <w:color w:val="000000"/>
          <w:sz w:val="24"/>
          <w:highlight w:val="none"/>
        </w:rPr>
        <w:t xml:space="preserve">第一部分 工程量清单及编制说明</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一、工程概况：</w:t>
      </w:r>
      <w:r/>
    </w:p>
    <w:p>
      <w:pPr>
        <w:pStyle w:val="1697"/>
        <w:ind w:firstLine="480"/>
        <w:spacing w:line="360" w:lineRule="auto"/>
        <w:rPr>
          <w:rFonts w:ascii="宋体" w:hAnsi="宋体" w:cs="宋体"/>
          <w:bCs/>
          <w:sz w:val="24"/>
          <w:highlight w:val="none"/>
        </w:rPr>
      </w:pPr>
      <w:r>
        <w:rPr>
          <w:rFonts w:hint="eastAsia" w:ascii="宋体" w:hAnsi="宋体" w:cs="宋体"/>
          <w:sz w:val="24"/>
          <w:highlight w:val="none"/>
        </w:rPr>
        <w:t xml:space="preserve">1</w:t>
      </w:r>
      <w:r>
        <w:rPr>
          <w:rFonts w:hint="eastAsia" w:ascii="宋体" w:hAnsi="宋体" w:cs="宋体"/>
          <w:bCs/>
          <w:sz w:val="24"/>
          <w:highlight w:val="none"/>
        </w:rPr>
        <w:t xml:space="preserve">、新变电所设计</w:t>
      </w:r>
      <w:r/>
    </w:p>
    <w:p>
      <w:pPr>
        <w:pStyle w:val="1697"/>
        <w:ind w:firstLine="480"/>
        <w:spacing w:line="360" w:lineRule="auto"/>
        <w:rPr>
          <w:rFonts w:ascii="宋体" w:hAnsi="宋体" w:cs="宋体"/>
          <w:bCs/>
          <w:sz w:val="24"/>
          <w:highlight w:val="none"/>
        </w:rPr>
      </w:pPr>
      <w:r>
        <w:rPr>
          <w:rFonts w:hint="eastAsia" w:ascii="宋体" w:hAnsi="宋体" w:cs="宋体"/>
          <w:bCs/>
          <w:sz w:val="24"/>
          <w:highlight w:val="none"/>
        </w:rPr>
        <w:t xml:space="preserve">新变电所本体设计:变电所本体范围内的高(低)压电气装置、高低压供配电系统、高压二次系统、变配电</w:t>
      </w:r>
      <w:r/>
    </w:p>
    <w:p>
      <w:pPr>
        <w:pStyle w:val="1697"/>
        <w:ind w:firstLine="480"/>
        <w:spacing w:line="360" w:lineRule="auto"/>
        <w:rPr>
          <w:rFonts w:ascii="宋体" w:hAnsi="宋体" w:cs="宋体"/>
          <w:bCs/>
          <w:sz w:val="24"/>
          <w:highlight w:val="none"/>
        </w:rPr>
      </w:pPr>
      <w:r>
        <w:rPr>
          <w:rFonts w:hint="eastAsia" w:ascii="宋体" w:hAnsi="宋体" w:cs="宋体"/>
          <w:bCs/>
          <w:sz w:val="24"/>
          <w:highlight w:val="none"/>
        </w:rPr>
        <w:t xml:space="preserve">电力监控系统、照明、设备接地以及相应的设备基础设计.</w:t>
      </w:r>
      <w:r/>
    </w:p>
    <w:p>
      <w:pPr>
        <w:pStyle w:val="1697"/>
        <w:ind w:firstLine="480"/>
        <w:spacing w:line="360" w:lineRule="auto"/>
        <w:rPr>
          <w:rFonts w:ascii="宋体" w:hAnsi="宋体" w:cs="宋体"/>
          <w:bCs/>
          <w:sz w:val="24"/>
          <w:highlight w:val="none"/>
        </w:rPr>
      </w:pPr>
      <w:r>
        <w:rPr>
          <w:rFonts w:hint="eastAsia" w:ascii="宋体" w:hAnsi="宋体" w:cs="宋体"/>
          <w:bCs/>
          <w:sz w:val="24"/>
          <w:highlight w:val="none"/>
        </w:rPr>
        <w:t xml:space="preserve">新变电所高压电缆设计:从体育场变电所至新变电所的高压电缆及新变电所至网球馆变电所的高压电缆设计.</w:t>
      </w:r>
      <w:r/>
    </w:p>
    <w:p>
      <w:pPr>
        <w:pStyle w:val="1697"/>
        <w:ind w:firstLine="480"/>
        <w:spacing w:line="360" w:lineRule="auto"/>
        <w:rPr>
          <w:rFonts w:ascii="宋体" w:hAnsi="宋体" w:cs="宋体"/>
          <w:bCs/>
          <w:sz w:val="24"/>
          <w:highlight w:val="none"/>
        </w:rPr>
      </w:pPr>
      <w:r>
        <w:rPr>
          <w:rFonts w:hint="eastAsia" w:ascii="宋体" w:hAnsi="宋体" w:cs="宋体"/>
          <w:bCs/>
          <w:sz w:val="24"/>
          <w:highlight w:val="none"/>
        </w:rPr>
        <w:t xml:space="preserve">新变电所低压电缆设计:从新变电所至游泳馆配电间的低压电缆及相应配套电力管道的设计.</w:t>
      </w:r>
      <w:r/>
    </w:p>
    <w:p>
      <w:pPr>
        <w:pStyle w:val="1697"/>
        <w:ind w:firstLine="480"/>
        <w:spacing w:line="360" w:lineRule="auto"/>
        <w:rPr>
          <w:rFonts w:ascii="宋体" w:hAnsi="宋体" w:cs="宋体"/>
          <w:bCs/>
          <w:sz w:val="24"/>
          <w:highlight w:val="none"/>
        </w:rPr>
      </w:pPr>
      <w:r>
        <w:rPr>
          <w:rFonts w:hint="eastAsia" w:ascii="宋体" w:hAnsi="宋体" w:cs="宋体"/>
          <w:bCs/>
          <w:sz w:val="24"/>
          <w:highlight w:val="none"/>
        </w:rPr>
        <w:t xml:space="preserve">2、高压电力改接设计</w:t>
      </w:r>
      <w:r/>
    </w:p>
    <w:p>
      <w:pPr>
        <w:pStyle w:val="1697"/>
        <w:ind w:firstLine="480"/>
        <w:spacing w:line="360" w:lineRule="auto"/>
        <w:rPr>
          <w:rFonts w:ascii="宋体" w:hAnsi="宋体" w:cs="宋体"/>
          <w:bCs/>
          <w:sz w:val="24"/>
          <w:highlight w:val="none"/>
        </w:rPr>
      </w:pPr>
      <w:r>
        <w:rPr>
          <w:rFonts w:hint="eastAsia" w:ascii="宋体" w:hAnsi="宋体" w:cs="宋体"/>
          <w:bCs/>
          <w:sz w:val="24"/>
          <w:highlight w:val="none"/>
        </w:rPr>
        <w:t xml:space="preserve">健身馆630千伏安变电所原由国网市电高压供电,将之改造为体育中心高压统一供电的设计.</w:t>
      </w:r>
      <w:r/>
    </w:p>
    <w:p>
      <w:pPr>
        <w:pStyle w:val="1697"/>
        <w:ind w:firstLine="480"/>
        <w:spacing w:line="360" w:lineRule="auto"/>
        <w:rPr>
          <w:rFonts w:ascii="宋体" w:hAnsi="宋体" w:cs="宋体"/>
          <w:bCs/>
          <w:sz w:val="24"/>
          <w:highlight w:val="none"/>
        </w:rPr>
      </w:pPr>
      <w:r>
        <w:rPr>
          <w:rFonts w:hint="eastAsia" w:ascii="宋体" w:hAnsi="宋体" w:cs="宋体"/>
          <w:bCs/>
          <w:sz w:val="24"/>
          <w:highlight w:val="none"/>
        </w:rPr>
        <w:t xml:space="preserve">3、低压电力改接设计</w:t>
      </w:r>
      <w:r/>
    </w:p>
    <w:p>
      <w:pPr>
        <w:pStyle w:val="1697"/>
        <w:ind w:firstLine="480"/>
        <w:spacing w:line="360" w:lineRule="auto"/>
        <w:rPr>
          <w:rFonts w:ascii="宋体" w:hAnsi="宋体" w:cs="宋体"/>
          <w:bCs/>
          <w:sz w:val="24"/>
          <w:highlight w:val="none"/>
        </w:rPr>
      </w:pPr>
      <w:r>
        <w:rPr>
          <w:rFonts w:hint="eastAsia" w:ascii="宋体" w:hAnsi="宋体" w:cs="宋体"/>
          <w:bCs/>
          <w:sz w:val="24"/>
          <w:highlight w:val="none"/>
        </w:rPr>
        <w:t xml:space="preserve">综合训练馆、康复中心楼低压用电原由国网市电低压供电,将之改造为体育中心低压统一供电的设计.</w:t>
      </w:r>
      <w:r/>
    </w:p>
    <w:p>
      <w:pPr>
        <w:pStyle w:val="1697"/>
        <w:ind w:firstLine="480"/>
        <w:spacing w:line="360" w:lineRule="auto"/>
        <w:rPr>
          <w:rFonts w:ascii="宋体" w:hAnsi="宋体" w:cs="宋体"/>
          <w:bCs/>
          <w:sz w:val="24"/>
          <w:highlight w:val="none"/>
        </w:rPr>
      </w:pPr>
      <w:r>
        <w:rPr>
          <w:rFonts w:hint="eastAsia" w:ascii="宋体" w:hAnsi="宋体" w:cs="宋体"/>
          <w:bCs/>
          <w:sz w:val="24"/>
          <w:highlight w:val="none"/>
        </w:rPr>
        <w:t xml:space="preserve">4、前置环网柜土建基础设计</w:t>
      </w:r>
      <w:r/>
    </w:p>
    <w:p>
      <w:pPr>
        <w:pStyle w:val="1697"/>
        <w:ind w:firstLine="480"/>
        <w:spacing w:line="360" w:lineRule="auto"/>
        <w:rPr>
          <w:rFonts w:ascii="宋体" w:hAnsi="宋体" w:cs="宋体"/>
          <w:bCs/>
          <w:sz w:val="24"/>
          <w:highlight w:val="none"/>
        </w:rPr>
      </w:pPr>
      <w:r>
        <w:rPr>
          <w:rFonts w:hint="eastAsia" w:ascii="宋体" w:hAnsi="宋体" w:cs="宋体"/>
          <w:bCs/>
          <w:sz w:val="24"/>
          <w:highlight w:val="none"/>
        </w:rPr>
        <w:t xml:space="preserve">项目前置环网柜需更换,设备由供电公司提供,因设备尺寸变大,需配合设计前置环网柜设备的土建基础.</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二、工程招标范围：详见招标文件及工程量清单。</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三、工程量清单编制依据：</w:t>
      </w:r>
      <w:r/>
    </w:p>
    <w:p>
      <w:pPr>
        <w:pStyle w:val="893"/>
        <w:ind w:firstLine="480"/>
        <w:spacing w:before="0" w:beforeAutospacing="0" w:after="0" w:afterAutospacing="0" w:line="360" w:lineRule="auto"/>
        <w:rPr>
          <w:bCs/>
          <w:color w:val="auto"/>
          <w:highlight w:val="none"/>
        </w:rPr>
      </w:pPr>
      <w:r>
        <w:rPr>
          <w:rFonts w:hint="eastAsia"/>
          <w:bCs/>
          <w:highlight w:val="none"/>
        </w:rPr>
        <w:t xml:space="preserve">1、</w:t>
      </w:r>
      <w:r>
        <w:rPr>
          <w:rFonts w:hint="eastAsia"/>
          <w:highlight w:val="none"/>
        </w:rPr>
        <w:t xml:space="preserve">南京华东电力设计研究院有限公司</w:t>
      </w:r>
      <w:r>
        <w:rPr>
          <w:rFonts w:hint="eastAsia"/>
          <w:bCs/>
          <w:color w:val="auto"/>
          <w:highlight w:val="none"/>
        </w:rPr>
        <w:t xml:space="preserve">提供的设计图纸，图号：HB2026-015；</w:t>
      </w:r>
      <w:r/>
    </w:p>
    <w:p>
      <w:pPr>
        <w:pStyle w:val="1697"/>
        <w:ind w:firstLine="480"/>
        <w:spacing w:line="360" w:lineRule="auto"/>
        <w:rPr>
          <w:rFonts w:ascii="宋体" w:hAnsi="宋体" w:cs="宋体"/>
          <w:bCs/>
          <w:sz w:val="24"/>
          <w:highlight w:val="none"/>
        </w:rPr>
      </w:pPr>
      <w:r>
        <w:rPr>
          <w:rFonts w:hint="eastAsia" w:ascii="宋体" w:hAnsi="宋体" w:cs="宋体"/>
          <w:bCs/>
          <w:sz w:val="24"/>
          <w:highlight w:val="none"/>
        </w:rPr>
        <w:t xml:space="preserve">2、《建设工程工程量清单计价规范规范》GB50500-2013、《房屋建筑与装饰工程工程量计算规范》GB50854-2013、《通用安装工程工程量计算规范》GB50856-2013；</w:t>
      </w:r>
      <w:r/>
    </w:p>
    <w:p>
      <w:pPr>
        <w:pStyle w:val="1697"/>
        <w:ind w:firstLine="480"/>
        <w:spacing w:line="360" w:lineRule="auto"/>
        <w:rPr>
          <w:rFonts w:ascii="宋体" w:hAnsi="宋体" w:cs="宋体"/>
          <w:bCs/>
          <w:sz w:val="24"/>
          <w:highlight w:val="none"/>
        </w:rPr>
      </w:pPr>
      <w:r>
        <w:rPr>
          <w:rFonts w:hint="eastAsia" w:ascii="宋体" w:hAnsi="宋体" w:cs="宋体"/>
          <w:bCs/>
          <w:sz w:val="24"/>
          <w:highlight w:val="none"/>
        </w:rPr>
        <w:t xml:space="preserve">3、《江苏省建筑与装饰工程计价定额》2014版、《江苏省安装工程计价定额》2014版、《江苏省建设工程费用定额》（2014年）有关规定；</w:t>
      </w:r>
      <w:r/>
    </w:p>
    <w:p>
      <w:pPr>
        <w:pStyle w:val="1697"/>
        <w:ind w:firstLine="480"/>
        <w:spacing w:line="360" w:lineRule="auto"/>
        <w:rPr>
          <w:rFonts w:ascii="宋体" w:hAnsi="宋体" w:cs="宋体"/>
          <w:bCs/>
          <w:sz w:val="24"/>
          <w:highlight w:val="none"/>
        </w:rPr>
      </w:pPr>
      <w:r>
        <w:rPr>
          <w:rFonts w:hint="eastAsia" w:ascii="宋体" w:hAnsi="宋体" w:cs="宋体"/>
          <w:bCs/>
          <w:sz w:val="24"/>
          <w:highlight w:val="none"/>
        </w:rPr>
        <w:t xml:space="preserve">4、建筑工程造价营改增一般计税“苏建价[2016]154号”文《省住房城乡建设厅关于建筑业实施营改增后江苏省建设工程计价依据调整的通知》；“苏建函价[2025]2号”《省住房城乡建设厅关于调整建设工程计价增值税税率的通知》； </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5、江苏省、南京市关于工程造价的其它相关文件及规定；</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6、常规施工组织方案。</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四、工程质量、材料、施工等的特殊要求：详见招标文件。</w:t>
      </w:r>
      <w:r/>
    </w:p>
    <w:p>
      <w:pPr>
        <w:pStyle w:val="1697"/>
        <w:ind w:firstLine="465"/>
        <w:spacing w:line="360" w:lineRule="auto"/>
        <w:rPr>
          <w:rFonts w:hint="eastAsia" w:ascii="宋体" w:hAnsi="宋体" w:eastAsia="宋体" w:cs="宋体"/>
          <w:bCs/>
          <w:sz w:val="24"/>
          <w:highlight w:val="none"/>
          <w:lang w:val="en-US" w:eastAsia="zh-CN"/>
        </w:rPr>
      </w:pPr>
      <w:r>
        <w:rPr>
          <w:rFonts w:hint="eastAsia" w:ascii="宋体" w:hAnsi="宋体" w:cs="宋体"/>
          <w:bCs/>
          <w:sz w:val="24"/>
          <w:highlight w:val="none"/>
        </w:rPr>
        <w:t xml:space="preserve">五、采购人自行采购的材料：本工程无发包人供应材料</w:t>
      </w:r>
      <w:r>
        <w:rPr>
          <w:rFonts w:hint="eastAsia" w:ascii="宋体" w:hAnsi="宋体" w:cs="宋体"/>
          <w:bCs/>
          <w:sz w:val="24"/>
          <w:highlight w:val="none"/>
          <w:lang w:eastAsia="zh-CN"/>
        </w:rPr>
        <w:t xml:space="preserve">。</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六、暂列金额：</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1、暂列金额详见清单；</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2、专业工程暂估价：无；</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3、材料暂估价：无。</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七、工程量相关说明：</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1、土建工程：</w:t>
      </w:r>
      <w:r/>
    </w:p>
    <w:p>
      <w:pPr>
        <w:pStyle w:val="893"/>
        <w:ind w:firstLine="480"/>
        <w:spacing w:before="0" w:beforeAutospacing="0" w:after="0" w:afterAutospacing="0" w:line="360" w:lineRule="auto"/>
        <w:rPr>
          <w:bCs/>
          <w:highlight w:val="none"/>
        </w:rPr>
      </w:pPr>
      <w:r>
        <w:rPr>
          <w:rFonts w:hint="eastAsia"/>
          <w:bCs/>
          <w:highlight w:val="none"/>
        </w:rPr>
        <w:t xml:space="preserve">1）拆除工程中包含房间内地面、隔墙、吊顶等全部拆除及外运，供应商勘察现场自行考虑报价，此项按项计入，结算不予调整。</w:t>
      </w:r>
      <w:r/>
    </w:p>
    <w:p>
      <w:pPr>
        <w:pStyle w:val="893"/>
        <w:ind w:firstLine="480"/>
        <w:spacing w:before="0" w:beforeAutospacing="0" w:after="0" w:afterAutospacing="0" w:line="360" w:lineRule="auto"/>
        <w:rPr>
          <w:bCs/>
          <w:highlight w:val="none"/>
        </w:rPr>
      </w:pPr>
      <w:r>
        <w:rPr>
          <w:rFonts w:hint="eastAsia"/>
          <w:bCs/>
          <w:highlight w:val="none"/>
        </w:rPr>
        <w:t xml:space="preserve">2）清单中的已包含施工范围内道路拆除恢复，供应商须勘察现场后根据现场情况综合考虑报价；</w:t>
      </w:r>
      <w:r/>
    </w:p>
    <w:p>
      <w:pPr>
        <w:pStyle w:val="1697"/>
        <w:ind w:firstLine="465"/>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3）电缆井、电缆沟、环网柜基础清单涉及内容较多，报价应综合图纸内所有工作内容；</w:t>
      </w:r>
      <w:r/>
    </w:p>
    <w:p>
      <w:pPr>
        <w:pStyle w:val="1697"/>
        <w:ind w:firstLine="465"/>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4）外露铁构件、接地均按照热镀锌考虑，埋件、U型梯、铁篦子、拉环等均考虑防锈防腐及油漆，报价中充分考虑，结算时不得增加相关费用；</w:t>
      </w:r>
      <w:r/>
    </w:p>
    <w:p>
      <w:pPr>
        <w:pStyle w:val="1697"/>
        <w:ind w:firstLine="465"/>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5）所有材料如有二次搬运及运输方式由供应商自行考虑费用计入报价，结算时不增加相关费用；</w:t>
      </w:r>
      <w:r/>
    </w:p>
    <w:p>
      <w:pPr>
        <w:pStyle w:val="1697"/>
        <w:ind w:firstLine="465"/>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6）施工用电、用水由供应商自行考虑决定报价，如临电增容或租赁发电机，购水等为满足施工要求而增加的一切费用计入报价，结算时不增加相关费用；</w:t>
      </w:r>
      <w:r/>
    </w:p>
    <w:p>
      <w:pPr>
        <w:pStyle w:val="893"/>
        <w:ind w:firstLine="480"/>
        <w:spacing w:before="0" w:beforeAutospacing="0" w:after="0" w:afterAutospacing="0" w:line="360" w:lineRule="auto"/>
        <w:rPr>
          <w:bCs/>
          <w:highlight w:val="none"/>
        </w:rPr>
      </w:pPr>
      <w:r>
        <w:rPr>
          <w:rFonts w:hint="eastAsia"/>
          <w:bCs/>
          <w:highlight w:val="none"/>
        </w:rPr>
        <w:t xml:space="preserve">7）室外土建工程已考虑围挡费用包含但不限于材料摊销、搭拆、维护、以及政府部门和采购人规定要求内的全部费用，结算时不调整。</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2、安装工程：</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1）工程量暂按图纸材料表计入，结算时按实计算；</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2）调试费用暂按常规情况编制，结算时需提供对应的调试报告；</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3）材料设备按照品牌表规定档次计入；</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4）未考虑部分材料设备需综合考虑在报价中，满足供电验收需求，结算时不在调整。</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5）铁构件按照热镀锌计算，报价中充分考虑，结算时不得增加相关费用；</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6）变压器、高压柜、低压柜等连接铜排报价自行考虑，结算时不得增加相关费用；</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7）非常规性调试费用需提供核定的签证相关资料；</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8）控制电缆头不再单独立项，供应商自行考虑，结算时不得增加相关费用；</w:t>
      </w:r>
      <w:r/>
    </w:p>
    <w:p>
      <w:pPr>
        <w:pStyle w:val="1697"/>
        <w:ind w:firstLine="465"/>
        <w:spacing w:line="360" w:lineRule="auto"/>
        <w:rPr>
          <w:rFonts w:ascii="宋体" w:hAnsi="宋体" w:cs="宋体"/>
          <w:bCs/>
          <w:sz w:val="24"/>
          <w:highlight w:val="none"/>
        </w:rPr>
      </w:pPr>
      <w:r>
        <w:rPr>
          <w:rFonts w:hint="eastAsia" w:ascii="宋体" w:hAnsi="宋体" w:cs="宋体"/>
          <w:bCs/>
          <w:sz w:val="24"/>
          <w:highlight w:val="none"/>
        </w:rPr>
        <w:t xml:space="preserve">9）电力监控系统需和中心机房监控系统对接，满足使用功能（仪表数据要能接入原监控系统），结算时不得增加相关费用。</w:t>
      </w:r>
      <w:r/>
    </w:p>
    <w:tbl>
      <w:tblPr>
        <w:tblStyle w:val="873"/>
        <w:tblW w:w="0" w:type="auto"/>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11"/>
      </w:tblGrid>
      <w:tr>
        <w:trPr/>
        <w:tc>
          <w:tcPr>
            <w:tcW w:w="0" w:type="auto"/>
            <w:textDirection w:val="lrTb"/>
            <w:noWrap w:val="false"/>
          </w:tcPr>
          <w:p>
            <w:pPr>
              <w:jc w:val="center"/>
              <w:spacing w:line="480" w:lineRule="exact"/>
              <w:rPr>
                <w:rFonts w:hint="eastAsia" w:ascii="宋体" w:hAnsi="宋体" w:eastAsia="宋体"/>
                <w:b/>
                <w:bCs/>
                <w:szCs w:val="21"/>
                <w:highlight w:val="none"/>
                <w:lang w:val="en-US" w:eastAsia="zh-CN"/>
              </w:rPr>
            </w:pPr>
            <w:r>
              <w:rPr>
                <w:rFonts w:hint="eastAsia" w:ascii="宋体" w:hAnsi="宋体"/>
                <w:b/>
                <w:bCs/>
                <w:szCs w:val="21"/>
                <w:highlight w:val="none"/>
              </w:rPr>
              <w:t xml:space="preserve">主材料设备品牌</w:t>
            </w:r>
            <w:r>
              <w:rPr>
                <w:rFonts w:hint="eastAsia" w:ascii="宋体" w:hAnsi="宋体"/>
                <w:b/>
                <w:bCs/>
                <w:szCs w:val="21"/>
                <w:highlight w:val="none"/>
                <w:lang w:val="en-US" w:eastAsia="zh-CN"/>
              </w:rPr>
              <w:t xml:space="preserve">要求</w:t>
            </w:r>
            <w:r/>
          </w:p>
          <w:tbl>
            <w:tblPr>
              <w:tblStyle w:val="873"/>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66"/>
              <w:gridCol w:w="4735"/>
              <w:gridCol w:w="950"/>
              <w:gridCol w:w="923"/>
            </w:tblGrid>
            <w:tr>
              <w:trPr>
                <w:jc w:val="center"/>
                <w:trHeight w:val="592"/>
              </w:trPr>
              <w:tc>
                <w:tcPr>
                  <w:shd w:val="clear" w:color="auto" w:fill="ffffff"/>
                  <w:tcW w:w="2566" w:type="dxa"/>
                  <w:vAlign w:val="center"/>
                  <w:textDirection w:val="lrTb"/>
                  <w:noWrap w:val="false"/>
                </w:tcPr>
                <w:p>
                  <w:pPr>
                    <w:jc w:val="center"/>
                    <w:widowControl/>
                    <w:rPr>
                      <w:rFonts w:ascii="宋体" w:hAnsi="宋体" w:cs="仿宋"/>
                      <w:b/>
                      <w:bCs/>
                      <w:szCs w:val="21"/>
                      <w:highlight w:val="none"/>
                    </w:rPr>
                  </w:pPr>
                  <w:r>
                    <w:rPr>
                      <w:rFonts w:hint="eastAsia" w:ascii="宋体" w:hAnsi="宋体" w:cs="仿宋"/>
                      <w:b/>
                      <w:bCs/>
                      <w:szCs w:val="21"/>
                      <w:highlight w:val="none"/>
                    </w:rPr>
                    <w:t xml:space="preserve">品目</w:t>
                  </w:r>
                  <w:r/>
                </w:p>
              </w:tc>
              <w:tc>
                <w:tcPr>
                  <w:shd w:val="clear" w:color="auto" w:fill="ffffff"/>
                  <w:tcW w:w="4735" w:type="dxa"/>
                  <w:vAlign w:val="center"/>
                  <w:textDirection w:val="lrTb"/>
                  <w:noWrap w:val="false"/>
                </w:tcPr>
                <w:p>
                  <w:pPr>
                    <w:jc w:val="center"/>
                    <w:widowControl/>
                    <w:rPr>
                      <w:rFonts w:ascii="宋体" w:hAnsi="宋体" w:cs="仿宋"/>
                      <w:b/>
                      <w:bCs/>
                      <w:szCs w:val="21"/>
                      <w:highlight w:val="none"/>
                    </w:rPr>
                  </w:pPr>
                  <w:r>
                    <w:rPr>
                      <w:rFonts w:hint="eastAsia" w:ascii="宋体" w:hAnsi="宋体" w:cs="仿宋"/>
                      <w:b/>
                      <w:bCs/>
                      <w:szCs w:val="21"/>
                      <w:highlight w:val="none"/>
                    </w:rPr>
                    <w:t xml:space="preserve">参照或同</w:t>
                  </w:r>
                  <w:r>
                    <w:rPr>
                      <w:rFonts w:hint="eastAsia" w:ascii="宋体" w:hAnsi="宋体" w:cs="仿宋"/>
                      <w:b/>
                      <w:bCs/>
                      <w:szCs w:val="21"/>
                      <w:highlight w:val="none"/>
                      <w:lang w:val="en-US" w:eastAsia="zh-CN"/>
                    </w:rPr>
                    <w:t xml:space="preserve">档次</w:t>
                  </w:r>
                  <w:r>
                    <w:rPr>
                      <w:rFonts w:hint="eastAsia" w:ascii="宋体" w:hAnsi="宋体" w:cs="仿宋"/>
                      <w:b/>
                      <w:bCs/>
                      <w:szCs w:val="21"/>
                      <w:highlight w:val="none"/>
                    </w:rPr>
                    <w:t xml:space="preserve">品牌</w:t>
                  </w:r>
                  <w:r/>
                </w:p>
              </w:tc>
              <w:tc>
                <w:tcPr>
                  <w:shd w:val="clear" w:color="auto" w:fill="ffffff"/>
                  <w:tcW w:w="950" w:type="dxa"/>
                  <w:vAlign w:val="center"/>
                  <w:textDirection w:val="lrTb"/>
                  <w:noWrap w:val="false"/>
                </w:tcPr>
                <w:p>
                  <w:pPr>
                    <w:jc w:val="center"/>
                    <w:widowControl/>
                    <w:rPr>
                      <w:rFonts w:ascii="宋体" w:hAnsi="宋体" w:cs="仿宋"/>
                      <w:b/>
                      <w:bCs/>
                      <w:szCs w:val="21"/>
                      <w:highlight w:val="none"/>
                    </w:rPr>
                  </w:pPr>
                  <w:r>
                    <w:rPr>
                      <w:rFonts w:hint="eastAsia" w:ascii="宋体" w:hAnsi="宋体" w:cs="仿宋"/>
                      <w:b/>
                      <w:bCs/>
                      <w:szCs w:val="21"/>
                      <w:highlight w:val="none"/>
                    </w:rPr>
                    <w:t xml:space="preserve">备注</w:t>
                  </w:r>
                  <w:r/>
                </w:p>
              </w:tc>
              <w:tc>
                <w:tcPr>
                  <w:shd w:val="clear" w:color="auto" w:fill="ffffff"/>
                  <w:tcW w:w="923" w:type="dxa"/>
                  <w:vAlign w:val="center"/>
                  <w:textDirection w:val="lrTb"/>
                  <w:noWrap w:val="false"/>
                </w:tcPr>
                <w:p>
                  <w:pPr>
                    <w:jc w:val="center"/>
                    <w:widowControl/>
                    <w:rPr>
                      <w:rFonts w:ascii="宋体" w:hAnsi="宋体" w:cs="仿宋"/>
                      <w:b/>
                      <w:bCs/>
                      <w:szCs w:val="21"/>
                      <w:highlight w:val="none"/>
                    </w:rPr>
                  </w:pPr>
                  <w:r>
                    <w:rPr>
                      <w:rFonts w:ascii="宋体" w:hAnsi="宋体" w:cs="仿宋"/>
                      <w:b/>
                      <w:bCs/>
                      <w:szCs w:val="21"/>
                      <w:highlight w:val="none"/>
                    </w:rPr>
                  </w:r>
                  <w:r/>
                </w:p>
              </w:tc>
            </w:tr>
            <w:tr>
              <w:trPr>
                <w:jc w:val="center"/>
                <w:trHeight w:val="592"/>
              </w:trPr>
              <w:tc>
                <w:tcPr>
                  <w:shd w:val="clear" w:color="auto" w:fill="ffffff"/>
                  <w:tcW w:w="2566" w:type="dxa"/>
                  <w:vAlign w:val="center"/>
                  <w:textDirection w:val="lrTb"/>
                  <w:noWrap w:val="false"/>
                </w:tcPr>
                <w:p>
                  <w:pPr>
                    <w:jc w:val="center"/>
                    <w:rPr>
                      <w:sz w:val="24"/>
                      <w:highlight w:val="none"/>
                    </w:rPr>
                  </w:pPr>
                  <w:r>
                    <w:rPr>
                      <w:rFonts w:hint="eastAsia"/>
                      <w:sz w:val="24"/>
                      <w:highlight w:val="none"/>
                    </w:rPr>
                    <w:t xml:space="preserve">电气元器件</w:t>
                  </w:r>
                  <w:r/>
                </w:p>
              </w:tc>
              <w:tc>
                <w:tcPr>
                  <w:shd w:val="clear" w:color="auto" w:fill="ffffff"/>
                  <w:tcW w:w="4735" w:type="dxa"/>
                  <w:vAlign w:val="center"/>
                  <w:textDirection w:val="lrTb"/>
                  <w:noWrap w:val="false"/>
                </w:tcPr>
                <w:p>
                  <w:pPr>
                    <w:jc w:val="left"/>
                    <w:rPr>
                      <w:sz w:val="24"/>
                      <w:highlight w:val="none"/>
                    </w:rPr>
                  </w:pPr>
                  <w:r>
                    <w:rPr>
                      <w:rFonts w:hint="eastAsia"/>
                      <w:sz w:val="24"/>
                      <w:highlight w:val="none"/>
                    </w:rPr>
                    <w:t xml:space="preserve">施耐德、西门子、ABB</w:t>
                  </w:r>
                  <w:r/>
                </w:p>
              </w:tc>
              <w:tc>
                <w:tcPr>
                  <w:shd w:val="clear" w:color="auto" w:fill="ffffff"/>
                  <w:tcW w:w="950" w:type="dxa"/>
                  <w:vAlign w:val="center"/>
                  <w:textDirection w:val="lrTb"/>
                  <w:noWrap w:val="false"/>
                </w:tcPr>
                <w:p>
                  <w:pPr>
                    <w:jc w:val="center"/>
                    <w:rPr>
                      <w:rFonts w:ascii="宋体" w:hAnsi="宋体" w:cs="仿宋"/>
                      <w:szCs w:val="21"/>
                      <w:highlight w:val="none"/>
                    </w:rPr>
                  </w:pPr>
                  <w:r>
                    <w:rPr>
                      <w:rFonts w:ascii="宋体" w:hAnsi="宋体" w:cs="仿宋"/>
                      <w:szCs w:val="21"/>
                      <w:highlight w:val="none"/>
                    </w:rPr>
                  </w:r>
                  <w:r/>
                </w:p>
              </w:tc>
              <w:tc>
                <w:tcPr>
                  <w:shd w:val="clear" w:color="auto" w:fill="ffffff"/>
                  <w:tcW w:w="923" w:type="dxa"/>
                  <w:vAlign w:val="center"/>
                  <w:textDirection w:val="lrTb"/>
                  <w:noWrap w:val="false"/>
                </w:tcPr>
                <w:p>
                  <w:pPr>
                    <w:jc w:val="center"/>
                    <w:rPr>
                      <w:rFonts w:ascii="宋体" w:hAnsi="宋体" w:cs="仿宋"/>
                      <w:szCs w:val="21"/>
                      <w:highlight w:val="none"/>
                    </w:rPr>
                  </w:pPr>
                  <w:r>
                    <w:rPr>
                      <w:rFonts w:ascii="宋体" w:hAnsi="宋体" w:cs="仿宋"/>
                      <w:szCs w:val="21"/>
                      <w:highlight w:val="none"/>
                    </w:rPr>
                  </w:r>
                  <w:r/>
                </w:p>
              </w:tc>
            </w:tr>
            <w:tr>
              <w:trPr>
                <w:jc w:val="center"/>
                <w:trHeight w:val="592"/>
              </w:trPr>
              <w:tc>
                <w:tcPr>
                  <w:shd w:val="clear" w:color="auto" w:fill="ffffff"/>
                  <w:tcW w:w="2566" w:type="dxa"/>
                  <w:vAlign w:val="center"/>
                  <w:textDirection w:val="lrTb"/>
                  <w:noWrap w:val="false"/>
                </w:tcPr>
                <w:p>
                  <w:pPr>
                    <w:jc w:val="center"/>
                    <w:rPr>
                      <w:sz w:val="24"/>
                      <w:highlight w:val="none"/>
                    </w:rPr>
                  </w:pPr>
                  <w:r>
                    <w:rPr>
                      <w:rFonts w:hint="eastAsia"/>
                      <w:sz w:val="24"/>
                      <w:highlight w:val="none"/>
                    </w:rPr>
                    <w:t xml:space="preserve">电容补偿</w:t>
                  </w:r>
                  <w:r/>
                </w:p>
              </w:tc>
              <w:tc>
                <w:tcPr>
                  <w:shd w:val="clear" w:color="auto" w:fill="ffffff"/>
                  <w:tcW w:w="4735" w:type="dxa"/>
                  <w:vAlign w:val="center"/>
                  <w:textDirection w:val="lrTb"/>
                  <w:noWrap w:val="false"/>
                </w:tcPr>
                <w:p>
                  <w:pPr>
                    <w:jc w:val="left"/>
                    <w:rPr>
                      <w:sz w:val="24"/>
                      <w:highlight w:val="none"/>
                    </w:rPr>
                  </w:pPr>
                  <w:r>
                    <w:rPr>
                      <w:rFonts w:hint="eastAsia"/>
                      <w:sz w:val="24"/>
                      <w:highlight w:val="none"/>
                    </w:rPr>
                    <w:t xml:space="preserve">江苏迈赫电力、江苏万方电气、康斯坦茨</w:t>
                  </w:r>
                  <w:r/>
                </w:p>
              </w:tc>
              <w:tc>
                <w:tcPr>
                  <w:shd w:val="clear" w:color="auto" w:fill="ffffff"/>
                  <w:tcW w:w="950" w:type="dxa"/>
                  <w:vAlign w:val="center"/>
                  <w:textDirection w:val="lrTb"/>
                  <w:noWrap w:val="false"/>
                </w:tcPr>
                <w:p>
                  <w:pPr>
                    <w:jc w:val="center"/>
                    <w:rPr>
                      <w:rFonts w:ascii="宋体" w:hAnsi="宋体" w:cs="仿宋"/>
                      <w:szCs w:val="21"/>
                      <w:highlight w:val="none"/>
                    </w:rPr>
                  </w:pPr>
                  <w:r>
                    <w:rPr>
                      <w:rFonts w:ascii="宋体" w:hAnsi="宋体" w:cs="仿宋"/>
                      <w:szCs w:val="21"/>
                      <w:highlight w:val="none"/>
                    </w:rPr>
                  </w:r>
                  <w:r/>
                </w:p>
              </w:tc>
              <w:tc>
                <w:tcPr>
                  <w:shd w:val="clear" w:color="auto" w:fill="ffffff"/>
                  <w:tcW w:w="923" w:type="dxa"/>
                  <w:vAlign w:val="center"/>
                  <w:textDirection w:val="lrTb"/>
                  <w:noWrap w:val="false"/>
                </w:tcPr>
                <w:p>
                  <w:pPr>
                    <w:jc w:val="center"/>
                    <w:rPr>
                      <w:rFonts w:ascii="宋体" w:hAnsi="宋体" w:cs="仿宋"/>
                      <w:szCs w:val="21"/>
                      <w:highlight w:val="none"/>
                    </w:rPr>
                  </w:pPr>
                  <w:r>
                    <w:rPr>
                      <w:rFonts w:ascii="宋体" w:hAnsi="宋体" w:cs="仿宋"/>
                      <w:szCs w:val="21"/>
                      <w:highlight w:val="none"/>
                    </w:rPr>
                  </w:r>
                  <w:r/>
                </w:p>
              </w:tc>
            </w:tr>
            <w:tr>
              <w:trPr>
                <w:jc w:val="center"/>
                <w:trHeight w:val="592"/>
              </w:trPr>
              <w:tc>
                <w:tcPr>
                  <w:shd w:val="clear" w:color="auto" w:fill="ffffff"/>
                  <w:tcW w:w="2566" w:type="dxa"/>
                  <w:vAlign w:val="center"/>
                  <w:textDirection w:val="lrTb"/>
                  <w:noWrap w:val="false"/>
                </w:tcPr>
                <w:p>
                  <w:pPr>
                    <w:jc w:val="center"/>
                    <w:rPr>
                      <w:sz w:val="24"/>
                      <w:highlight w:val="none"/>
                    </w:rPr>
                  </w:pPr>
                  <w:r>
                    <w:rPr>
                      <w:rFonts w:hint="eastAsia"/>
                      <w:sz w:val="24"/>
                      <w:highlight w:val="none"/>
                    </w:rPr>
                    <w:t xml:space="preserve">有源滤波</w:t>
                  </w:r>
                  <w:r/>
                </w:p>
              </w:tc>
              <w:tc>
                <w:tcPr>
                  <w:shd w:val="clear" w:color="auto" w:fill="ffffff"/>
                  <w:tcW w:w="4735" w:type="dxa"/>
                  <w:vAlign w:val="center"/>
                  <w:textDirection w:val="lrTb"/>
                  <w:noWrap w:val="false"/>
                </w:tcPr>
                <w:p>
                  <w:pPr>
                    <w:jc w:val="left"/>
                    <w:rPr>
                      <w:sz w:val="24"/>
                      <w:highlight w:val="none"/>
                    </w:rPr>
                  </w:pPr>
                  <w:r>
                    <w:rPr>
                      <w:rFonts w:hint="eastAsia"/>
                      <w:sz w:val="24"/>
                      <w:highlight w:val="none"/>
                    </w:rPr>
                    <w:t xml:space="preserve">江苏迈赫电力、江苏万方电气、康斯坦茨</w:t>
                  </w:r>
                  <w:r/>
                </w:p>
              </w:tc>
              <w:tc>
                <w:tcPr>
                  <w:shd w:val="clear" w:color="auto" w:fill="ffffff"/>
                  <w:tcW w:w="950" w:type="dxa"/>
                  <w:vAlign w:val="center"/>
                  <w:textDirection w:val="lrTb"/>
                  <w:noWrap w:val="false"/>
                </w:tcPr>
                <w:p>
                  <w:pPr>
                    <w:rPr>
                      <w:rFonts w:ascii="宋体" w:hAnsi="宋体" w:cs="仿宋"/>
                      <w:szCs w:val="21"/>
                      <w:highlight w:val="none"/>
                    </w:rPr>
                  </w:pPr>
                  <w:r>
                    <w:rPr>
                      <w:rFonts w:ascii="宋体" w:hAnsi="宋体" w:cs="仿宋"/>
                      <w:szCs w:val="21"/>
                      <w:highlight w:val="none"/>
                    </w:rPr>
                  </w:r>
                  <w:r/>
                </w:p>
              </w:tc>
              <w:tc>
                <w:tcPr>
                  <w:shd w:val="clear" w:color="auto" w:fill="ffffff"/>
                  <w:tcW w:w="923" w:type="dxa"/>
                  <w:vAlign w:val="center"/>
                  <w:textDirection w:val="lrTb"/>
                  <w:noWrap w:val="false"/>
                </w:tcPr>
                <w:p>
                  <w:pPr>
                    <w:rPr>
                      <w:rFonts w:ascii="宋体" w:hAnsi="宋体" w:cs="仿宋"/>
                      <w:szCs w:val="21"/>
                      <w:highlight w:val="none"/>
                    </w:rPr>
                  </w:pPr>
                  <w:r>
                    <w:rPr>
                      <w:rFonts w:ascii="宋体" w:hAnsi="宋体" w:cs="仿宋"/>
                      <w:szCs w:val="21"/>
                      <w:highlight w:val="none"/>
                    </w:rPr>
                  </w:r>
                  <w:r/>
                </w:p>
              </w:tc>
            </w:tr>
            <w:tr>
              <w:trPr>
                <w:jc w:val="center"/>
                <w:trHeight w:val="592"/>
              </w:trPr>
              <w:tc>
                <w:tcPr>
                  <w:shd w:val="clear" w:color="auto" w:fill="ffffff"/>
                  <w:tcW w:w="2566" w:type="dxa"/>
                  <w:vAlign w:val="center"/>
                  <w:textDirection w:val="lrTb"/>
                  <w:noWrap w:val="false"/>
                </w:tcPr>
                <w:p>
                  <w:pPr>
                    <w:jc w:val="center"/>
                    <w:rPr>
                      <w:sz w:val="24"/>
                      <w:highlight w:val="none"/>
                    </w:rPr>
                  </w:pPr>
                  <w:r>
                    <w:rPr>
                      <w:rFonts w:hint="eastAsia"/>
                      <w:sz w:val="24"/>
                      <w:highlight w:val="none"/>
                    </w:rPr>
                    <w:t xml:space="preserve">干式变压器</w:t>
                  </w:r>
                  <w:r/>
                </w:p>
              </w:tc>
              <w:tc>
                <w:tcPr>
                  <w:shd w:val="clear" w:color="auto" w:fill="ffffff"/>
                  <w:tcW w:w="4735" w:type="dxa"/>
                  <w:vAlign w:val="center"/>
                  <w:textDirection w:val="lrTb"/>
                  <w:noWrap w:val="false"/>
                </w:tcPr>
                <w:p>
                  <w:pPr>
                    <w:jc w:val="left"/>
                    <w:rPr>
                      <w:sz w:val="24"/>
                      <w:highlight w:val="none"/>
                    </w:rPr>
                  </w:pPr>
                  <w:r>
                    <w:rPr>
                      <w:rFonts w:hint="eastAsia"/>
                      <w:sz w:val="24"/>
                      <w:highlight w:val="none"/>
                    </w:rPr>
                    <w:t xml:space="preserve">许继、大全、华鹏、正泰、金盘</w:t>
                  </w:r>
                  <w:r/>
                </w:p>
              </w:tc>
              <w:tc>
                <w:tcPr>
                  <w:shd w:val="clear" w:color="auto" w:fill="ffffff"/>
                  <w:tcW w:w="950" w:type="dxa"/>
                  <w:vAlign w:val="center"/>
                  <w:textDirection w:val="lrTb"/>
                  <w:noWrap w:val="false"/>
                </w:tcPr>
                <w:p>
                  <w:pPr>
                    <w:jc w:val="center"/>
                    <w:widowControl/>
                    <w:rPr>
                      <w:rFonts w:ascii="宋体" w:hAnsi="宋体" w:cs="仿宋"/>
                      <w:szCs w:val="21"/>
                      <w:highlight w:val="none"/>
                    </w:rPr>
                  </w:pPr>
                  <w:r>
                    <w:rPr>
                      <w:rFonts w:ascii="宋体" w:hAnsi="宋体" w:cs="仿宋"/>
                      <w:szCs w:val="21"/>
                      <w:highlight w:val="none"/>
                    </w:rPr>
                  </w:r>
                  <w:r/>
                </w:p>
              </w:tc>
              <w:tc>
                <w:tcPr>
                  <w:shd w:val="clear" w:color="auto" w:fill="ffffff"/>
                  <w:tcW w:w="923" w:type="dxa"/>
                  <w:vAlign w:val="center"/>
                  <w:textDirection w:val="lrTb"/>
                  <w:noWrap w:val="false"/>
                </w:tcPr>
                <w:p>
                  <w:pPr>
                    <w:jc w:val="center"/>
                    <w:widowControl/>
                    <w:rPr>
                      <w:rFonts w:ascii="宋体" w:hAnsi="宋体" w:cs="仿宋"/>
                      <w:szCs w:val="21"/>
                      <w:highlight w:val="none"/>
                    </w:rPr>
                  </w:pPr>
                  <w:r>
                    <w:rPr>
                      <w:rFonts w:ascii="宋体" w:hAnsi="宋体" w:cs="仿宋"/>
                      <w:szCs w:val="21"/>
                      <w:highlight w:val="none"/>
                    </w:rPr>
                  </w:r>
                  <w:r/>
                </w:p>
              </w:tc>
            </w:tr>
            <w:tr>
              <w:trPr>
                <w:jc w:val="center"/>
                <w:trHeight w:val="592"/>
              </w:trPr>
              <w:tc>
                <w:tcPr>
                  <w:shd w:val="clear" w:color="auto" w:fill="ffffff"/>
                  <w:tcW w:w="2566" w:type="dxa"/>
                  <w:vAlign w:val="center"/>
                  <w:textDirection w:val="lrTb"/>
                  <w:noWrap w:val="false"/>
                </w:tcPr>
                <w:p>
                  <w:pPr>
                    <w:jc w:val="center"/>
                    <w:rPr>
                      <w:sz w:val="24"/>
                      <w:highlight w:val="none"/>
                    </w:rPr>
                  </w:pPr>
                  <w:r>
                    <w:rPr>
                      <w:rFonts w:hint="eastAsia"/>
                      <w:sz w:val="24"/>
                      <w:highlight w:val="none"/>
                    </w:rPr>
                    <w:t xml:space="preserve">多功能仪表</w:t>
                  </w:r>
                  <w:r/>
                </w:p>
              </w:tc>
              <w:tc>
                <w:tcPr>
                  <w:shd w:val="clear" w:color="auto" w:fill="ffffff"/>
                  <w:tcW w:w="4735" w:type="dxa"/>
                  <w:vAlign w:val="center"/>
                  <w:textDirection w:val="lrTb"/>
                  <w:noWrap w:val="false"/>
                </w:tcPr>
                <w:p>
                  <w:pPr>
                    <w:jc w:val="left"/>
                    <w:rPr>
                      <w:sz w:val="24"/>
                      <w:highlight w:val="none"/>
                    </w:rPr>
                  </w:pPr>
                  <w:r>
                    <w:rPr>
                      <w:rFonts w:hint="eastAsia"/>
                      <w:sz w:val="24"/>
                      <w:highlight w:val="none"/>
                    </w:rPr>
                    <w:t xml:space="preserve">因泰莱、安科瑞、江阴东瑞、浙江力业</w:t>
                  </w:r>
                  <w:r/>
                </w:p>
              </w:tc>
              <w:tc>
                <w:tcPr>
                  <w:shd w:val="clear" w:color="auto" w:fill="ffffff"/>
                  <w:tcW w:w="950" w:type="dxa"/>
                  <w:vAlign w:val="center"/>
                  <w:textDirection w:val="lrTb"/>
                  <w:noWrap w:val="false"/>
                </w:tcPr>
                <w:p>
                  <w:pPr>
                    <w:jc w:val="center"/>
                    <w:widowControl/>
                    <w:rPr>
                      <w:rFonts w:ascii="宋体" w:hAnsi="宋体" w:cs="仿宋"/>
                      <w:szCs w:val="21"/>
                      <w:highlight w:val="none"/>
                    </w:rPr>
                  </w:pPr>
                  <w:r>
                    <w:rPr>
                      <w:rFonts w:ascii="宋体" w:hAnsi="宋体" w:cs="仿宋"/>
                      <w:szCs w:val="21"/>
                      <w:highlight w:val="none"/>
                    </w:rPr>
                  </w:r>
                  <w:r/>
                </w:p>
              </w:tc>
              <w:tc>
                <w:tcPr>
                  <w:shd w:val="clear" w:color="auto" w:fill="ffffff"/>
                  <w:tcW w:w="923" w:type="dxa"/>
                  <w:vAlign w:val="center"/>
                  <w:textDirection w:val="lrTb"/>
                  <w:noWrap w:val="false"/>
                </w:tcPr>
                <w:p>
                  <w:pPr>
                    <w:jc w:val="center"/>
                    <w:widowControl/>
                    <w:rPr>
                      <w:rFonts w:ascii="宋体" w:hAnsi="宋体" w:cs="仿宋"/>
                      <w:szCs w:val="21"/>
                      <w:highlight w:val="none"/>
                    </w:rPr>
                  </w:pPr>
                  <w:r>
                    <w:rPr>
                      <w:rFonts w:ascii="宋体" w:hAnsi="宋体" w:cs="仿宋"/>
                      <w:szCs w:val="21"/>
                      <w:highlight w:val="none"/>
                    </w:rPr>
                  </w:r>
                  <w:r/>
                </w:p>
              </w:tc>
            </w:tr>
            <w:tr>
              <w:trPr>
                <w:jc w:val="center"/>
                <w:trHeight w:val="656"/>
              </w:trPr>
              <w:tc>
                <w:tcPr>
                  <w:shd w:val="clear" w:color="auto" w:fill="ffffff"/>
                  <w:tcW w:w="2566" w:type="dxa"/>
                  <w:vAlign w:val="center"/>
                  <w:textDirection w:val="lrTb"/>
                  <w:noWrap w:val="false"/>
                </w:tcPr>
                <w:p>
                  <w:pPr>
                    <w:jc w:val="center"/>
                    <w:rPr>
                      <w:sz w:val="24"/>
                      <w:highlight w:val="none"/>
                    </w:rPr>
                  </w:pPr>
                  <w:r>
                    <w:rPr>
                      <w:rFonts w:hint="eastAsia"/>
                      <w:sz w:val="24"/>
                      <w:highlight w:val="none"/>
                    </w:rPr>
                    <w:t xml:space="preserve">后台保护系统</w:t>
                  </w:r>
                  <w:r/>
                </w:p>
              </w:tc>
              <w:tc>
                <w:tcPr>
                  <w:shd w:val="clear" w:color="auto" w:fill="ffffff"/>
                  <w:tcW w:w="4735" w:type="dxa"/>
                  <w:vAlign w:val="center"/>
                  <w:textDirection w:val="lrTb"/>
                  <w:noWrap w:val="false"/>
                </w:tcPr>
                <w:p>
                  <w:pPr>
                    <w:jc w:val="left"/>
                    <w:rPr>
                      <w:sz w:val="24"/>
                      <w:highlight w:val="none"/>
                    </w:rPr>
                  </w:pPr>
                  <w:r>
                    <w:rPr>
                      <w:rFonts w:hint="eastAsia"/>
                      <w:sz w:val="24"/>
                      <w:highlight w:val="none"/>
                    </w:rPr>
                    <w:t xml:space="preserve">南京振瑞、安科瑞、厦门高瑞特、珠海科众</w:t>
                  </w:r>
                  <w:r/>
                </w:p>
              </w:tc>
              <w:tc>
                <w:tcPr>
                  <w:shd w:val="clear" w:color="auto" w:fill="ffffff"/>
                  <w:tcW w:w="950" w:type="dxa"/>
                  <w:vAlign w:val="center"/>
                  <w:textDirection w:val="lrTb"/>
                  <w:noWrap w:val="false"/>
                </w:tcPr>
                <w:p>
                  <w:pPr>
                    <w:jc w:val="center"/>
                    <w:widowControl/>
                    <w:rPr>
                      <w:rFonts w:ascii="宋体" w:hAnsi="宋体" w:cs="仿宋"/>
                      <w:szCs w:val="21"/>
                      <w:highlight w:val="none"/>
                    </w:rPr>
                  </w:pPr>
                  <w:r>
                    <w:rPr>
                      <w:rFonts w:ascii="宋体" w:hAnsi="宋体" w:cs="仿宋"/>
                      <w:szCs w:val="21"/>
                      <w:highlight w:val="none"/>
                    </w:rPr>
                  </w:r>
                  <w:r/>
                </w:p>
              </w:tc>
              <w:tc>
                <w:tcPr>
                  <w:shd w:val="clear" w:color="auto" w:fill="ffffff"/>
                  <w:tcW w:w="923" w:type="dxa"/>
                  <w:vAlign w:val="center"/>
                  <w:textDirection w:val="lrTb"/>
                  <w:noWrap w:val="false"/>
                </w:tcPr>
                <w:p>
                  <w:pPr>
                    <w:jc w:val="center"/>
                    <w:widowControl/>
                    <w:rPr>
                      <w:rFonts w:ascii="宋体" w:hAnsi="宋体" w:cs="仿宋"/>
                      <w:szCs w:val="21"/>
                      <w:highlight w:val="none"/>
                    </w:rPr>
                  </w:pPr>
                  <w:r>
                    <w:rPr>
                      <w:rFonts w:ascii="宋体" w:hAnsi="宋体" w:cs="仿宋"/>
                      <w:szCs w:val="21"/>
                      <w:highlight w:val="none"/>
                    </w:rPr>
                  </w:r>
                  <w:r/>
                </w:p>
              </w:tc>
            </w:tr>
            <w:tr>
              <w:trPr>
                <w:jc w:val="center"/>
                <w:trHeight w:val="592"/>
              </w:trPr>
              <w:tc>
                <w:tcPr>
                  <w:shd w:val="clear" w:color="auto" w:fill="ffffff"/>
                  <w:tcW w:w="2566" w:type="dxa"/>
                  <w:vAlign w:val="center"/>
                  <w:textDirection w:val="lrTb"/>
                  <w:noWrap w:val="false"/>
                </w:tcPr>
                <w:p>
                  <w:pPr>
                    <w:jc w:val="center"/>
                    <w:rPr>
                      <w:sz w:val="24"/>
                      <w:highlight w:val="none"/>
                    </w:rPr>
                  </w:pPr>
                  <w:r>
                    <w:rPr>
                      <w:rFonts w:hint="eastAsia"/>
                      <w:sz w:val="24"/>
                      <w:highlight w:val="none"/>
                    </w:rPr>
                    <w:t xml:space="preserve">综合保护装置</w:t>
                  </w:r>
                  <w:r/>
                </w:p>
              </w:tc>
              <w:tc>
                <w:tcPr>
                  <w:shd w:val="clear" w:color="auto" w:fill="ffffff"/>
                  <w:tcW w:w="4735" w:type="dxa"/>
                  <w:vAlign w:val="center"/>
                  <w:textDirection w:val="lrTb"/>
                  <w:noWrap w:val="false"/>
                </w:tcPr>
                <w:p>
                  <w:pPr>
                    <w:jc w:val="left"/>
                    <w:rPr>
                      <w:sz w:val="24"/>
                      <w:highlight w:val="none"/>
                    </w:rPr>
                  </w:pPr>
                  <w:r>
                    <w:rPr>
                      <w:rFonts w:hint="eastAsia"/>
                      <w:sz w:val="24"/>
                      <w:highlight w:val="none"/>
                    </w:rPr>
                    <w:t xml:space="preserve">南京振瑞、安科瑞、厦门高瑞特、珠海科众</w:t>
                  </w:r>
                  <w:r/>
                </w:p>
              </w:tc>
              <w:tc>
                <w:tcPr>
                  <w:shd w:val="clear" w:color="auto" w:fill="ffffff"/>
                  <w:tcW w:w="950" w:type="dxa"/>
                  <w:vAlign w:val="center"/>
                  <w:textDirection w:val="lrTb"/>
                  <w:noWrap w:val="false"/>
                </w:tcPr>
                <w:p>
                  <w:pPr>
                    <w:jc w:val="center"/>
                    <w:widowControl/>
                    <w:rPr>
                      <w:rFonts w:ascii="宋体" w:hAnsi="宋体" w:cs="仿宋"/>
                      <w:szCs w:val="21"/>
                      <w:highlight w:val="none"/>
                    </w:rPr>
                  </w:pPr>
                  <w:r>
                    <w:rPr>
                      <w:rFonts w:ascii="宋体" w:hAnsi="宋体" w:cs="仿宋"/>
                      <w:szCs w:val="21"/>
                      <w:highlight w:val="none"/>
                    </w:rPr>
                  </w:r>
                  <w:r/>
                </w:p>
              </w:tc>
              <w:tc>
                <w:tcPr>
                  <w:shd w:val="clear" w:color="auto" w:fill="ffffff"/>
                  <w:tcW w:w="923" w:type="dxa"/>
                  <w:vAlign w:val="center"/>
                  <w:textDirection w:val="lrTb"/>
                  <w:noWrap w:val="false"/>
                </w:tcPr>
                <w:p>
                  <w:pPr>
                    <w:jc w:val="center"/>
                    <w:widowControl/>
                    <w:rPr>
                      <w:rFonts w:ascii="宋体" w:hAnsi="宋体" w:cs="仿宋"/>
                      <w:szCs w:val="21"/>
                      <w:highlight w:val="none"/>
                    </w:rPr>
                  </w:pPr>
                  <w:r>
                    <w:rPr>
                      <w:rFonts w:ascii="宋体" w:hAnsi="宋体" w:cs="仿宋"/>
                      <w:szCs w:val="21"/>
                      <w:highlight w:val="none"/>
                    </w:rPr>
                  </w:r>
                  <w:r/>
                </w:p>
              </w:tc>
            </w:tr>
            <w:tr>
              <w:trPr>
                <w:jc w:val="center"/>
                <w:trHeight w:val="592"/>
              </w:trPr>
              <w:tc>
                <w:tcPr>
                  <w:shd w:val="clear" w:color="auto" w:fill="ffffff"/>
                  <w:tcW w:w="2566" w:type="dxa"/>
                  <w:vAlign w:val="center"/>
                  <w:textDirection w:val="lrTb"/>
                  <w:noWrap w:val="false"/>
                </w:tcPr>
                <w:p>
                  <w:pPr>
                    <w:jc w:val="center"/>
                    <w:rPr>
                      <w:sz w:val="24"/>
                      <w:highlight w:val="none"/>
                    </w:rPr>
                  </w:pPr>
                  <w:r>
                    <w:rPr>
                      <w:rFonts w:hint="eastAsia"/>
                      <w:sz w:val="24"/>
                      <w:highlight w:val="none"/>
                    </w:rPr>
                    <w:t xml:space="preserve">直流屏</w:t>
                  </w:r>
                  <w:r/>
                </w:p>
              </w:tc>
              <w:tc>
                <w:tcPr>
                  <w:shd w:val="clear" w:color="auto" w:fill="ffffff"/>
                  <w:tcW w:w="4735" w:type="dxa"/>
                  <w:vAlign w:val="center"/>
                  <w:textDirection w:val="lrTb"/>
                  <w:noWrap w:val="false"/>
                </w:tcPr>
                <w:p>
                  <w:pPr>
                    <w:jc w:val="left"/>
                    <w:rPr>
                      <w:sz w:val="24"/>
                      <w:highlight w:val="none"/>
                    </w:rPr>
                  </w:pPr>
                  <w:r>
                    <w:rPr>
                      <w:rFonts w:hint="eastAsia"/>
                      <w:sz w:val="24"/>
                      <w:highlight w:val="none"/>
                    </w:rPr>
                    <w:t xml:space="preserve">江苏璟明、皖电科恒、南京绿电</w:t>
                  </w:r>
                  <w:r/>
                </w:p>
              </w:tc>
              <w:tc>
                <w:tcPr>
                  <w:shd w:val="clear" w:color="auto" w:fill="ffffff"/>
                  <w:tcW w:w="950" w:type="dxa"/>
                  <w:vAlign w:val="center"/>
                  <w:textDirection w:val="lrTb"/>
                  <w:noWrap w:val="false"/>
                </w:tcPr>
                <w:p>
                  <w:pPr>
                    <w:jc w:val="center"/>
                    <w:widowControl/>
                    <w:rPr>
                      <w:rFonts w:ascii="宋体" w:hAnsi="宋体" w:cs="仿宋"/>
                      <w:szCs w:val="21"/>
                      <w:highlight w:val="none"/>
                    </w:rPr>
                  </w:pPr>
                  <w:r>
                    <w:rPr>
                      <w:rFonts w:ascii="宋体" w:hAnsi="宋体" w:cs="仿宋"/>
                      <w:szCs w:val="21"/>
                      <w:highlight w:val="none"/>
                    </w:rPr>
                  </w:r>
                  <w:r/>
                </w:p>
              </w:tc>
              <w:tc>
                <w:tcPr>
                  <w:shd w:val="clear" w:color="auto" w:fill="ffffff"/>
                  <w:tcW w:w="923" w:type="dxa"/>
                  <w:vAlign w:val="center"/>
                  <w:textDirection w:val="lrTb"/>
                  <w:noWrap w:val="false"/>
                </w:tcPr>
                <w:p>
                  <w:pPr>
                    <w:jc w:val="center"/>
                    <w:widowControl/>
                    <w:rPr>
                      <w:rFonts w:ascii="宋体" w:hAnsi="宋体" w:cs="仿宋"/>
                      <w:szCs w:val="21"/>
                      <w:highlight w:val="none"/>
                    </w:rPr>
                  </w:pPr>
                  <w:r>
                    <w:rPr>
                      <w:rFonts w:ascii="宋体" w:hAnsi="宋体" w:cs="仿宋"/>
                      <w:szCs w:val="21"/>
                      <w:highlight w:val="none"/>
                    </w:rPr>
                  </w:r>
                  <w:r/>
                </w:p>
              </w:tc>
            </w:tr>
            <w:tr>
              <w:trPr>
                <w:jc w:val="center"/>
                <w:trHeight w:val="592"/>
              </w:trPr>
              <w:tc>
                <w:tcPr>
                  <w:shd w:val="clear" w:color="auto" w:fill="ffffff"/>
                  <w:tcW w:w="2566" w:type="dxa"/>
                  <w:vAlign w:val="center"/>
                  <w:textDirection w:val="lrTb"/>
                  <w:noWrap w:val="false"/>
                </w:tcPr>
                <w:p>
                  <w:pPr>
                    <w:jc w:val="center"/>
                    <w:rPr>
                      <w:sz w:val="24"/>
                      <w:highlight w:val="none"/>
                    </w:rPr>
                  </w:pPr>
                  <w:r>
                    <w:rPr>
                      <w:rFonts w:hint="eastAsia"/>
                      <w:sz w:val="24"/>
                      <w:highlight w:val="none"/>
                    </w:rPr>
                    <w:t xml:space="preserve">电缆</w:t>
                  </w:r>
                  <w:r/>
                </w:p>
              </w:tc>
              <w:tc>
                <w:tcPr>
                  <w:shd w:val="clear" w:color="auto" w:fill="ffffff"/>
                  <w:tcW w:w="4735" w:type="dxa"/>
                  <w:vAlign w:val="center"/>
                  <w:textDirection w:val="lrTb"/>
                  <w:noWrap w:val="false"/>
                </w:tcPr>
                <w:p>
                  <w:pPr>
                    <w:jc w:val="left"/>
                    <w:rPr>
                      <w:sz w:val="24"/>
                      <w:highlight w:val="none"/>
                    </w:rPr>
                  </w:pPr>
                  <w:r>
                    <w:rPr>
                      <w:rFonts w:hint="eastAsia"/>
                      <w:sz w:val="24"/>
                      <w:highlight w:val="none"/>
                    </w:rPr>
                    <w:t xml:space="preserve">无锡江南、无锡远东、江苏上上</w:t>
                  </w:r>
                  <w:r/>
                </w:p>
              </w:tc>
              <w:tc>
                <w:tcPr>
                  <w:shd w:val="clear" w:color="auto" w:fill="ffffff"/>
                  <w:tcW w:w="950" w:type="dxa"/>
                  <w:vAlign w:val="center"/>
                  <w:textDirection w:val="lrTb"/>
                  <w:noWrap w:val="false"/>
                </w:tcPr>
                <w:p>
                  <w:pPr>
                    <w:jc w:val="center"/>
                    <w:widowControl/>
                    <w:rPr>
                      <w:rFonts w:ascii="宋体" w:hAnsi="宋体" w:cs="仿宋"/>
                      <w:szCs w:val="21"/>
                      <w:highlight w:val="none"/>
                    </w:rPr>
                  </w:pPr>
                  <w:r>
                    <w:rPr>
                      <w:rFonts w:ascii="宋体" w:hAnsi="宋体" w:cs="仿宋"/>
                      <w:szCs w:val="21"/>
                      <w:highlight w:val="none"/>
                    </w:rPr>
                  </w:r>
                  <w:r/>
                </w:p>
              </w:tc>
              <w:tc>
                <w:tcPr>
                  <w:shd w:val="clear" w:color="auto" w:fill="ffffff"/>
                  <w:tcW w:w="923" w:type="dxa"/>
                  <w:vAlign w:val="center"/>
                  <w:textDirection w:val="lrTb"/>
                  <w:noWrap w:val="false"/>
                </w:tcPr>
                <w:p>
                  <w:pPr>
                    <w:jc w:val="center"/>
                    <w:widowControl/>
                    <w:rPr>
                      <w:rFonts w:ascii="宋体" w:hAnsi="宋体" w:cs="仿宋"/>
                      <w:szCs w:val="21"/>
                      <w:highlight w:val="none"/>
                    </w:rPr>
                  </w:pPr>
                  <w:r>
                    <w:rPr>
                      <w:rFonts w:ascii="宋体" w:hAnsi="宋体" w:cs="仿宋"/>
                      <w:szCs w:val="21"/>
                      <w:highlight w:val="none"/>
                    </w:rPr>
                  </w:r>
                  <w:r/>
                </w:p>
              </w:tc>
            </w:tr>
            <w:tr>
              <w:trPr>
                <w:jc w:val="center"/>
                <w:trHeight w:val="667"/>
              </w:trPr>
              <w:tc>
                <w:tcPr>
                  <w:shd w:val="clear" w:color="auto" w:fill="ffffff"/>
                  <w:tcW w:w="2566" w:type="dxa"/>
                  <w:vAlign w:val="center"/>
                  <w:textDirection w:val="lrTb"/>
                  <w:noWrap w:val="false"/>
                </w:tcPr>
                <w:p>
                  <w:pPr>
                    <w:jc w:val="center"/>
                    <w:rPr>
                      <w:sz w:val="24"/>
                      <w:highlight w:val="none"/>
                    </w:rPr>
                  </w:pPr>
                  <w:r>
                    <w:rPr>
                      <w:rFonts w:hint="eastAsia"/>
                      <w:sz w:val="24"/>
                      <w:highlight w:val="none"/>
                    </w:rPr>
                    <w:t xml:space="preserve">空调</w:t>
                  </w:r>
                  <w:r/>
                </w:p>
              </w:tc>
              <w:tc>
                <w:tcPr>
                  <w:shd w:val="clear" w:color="auto" w:fill="ffffff"/>
                  <w:tcW w:w="4735" w:type="dxa"/>
                  <w:vAlign w:val="center"/>
                  <w:textDirection w:val="lrTb"/>
                  <w:noWrap w:val="false"/>
                </w:tcPr>
                <w:p>
                  <w:pPr>
                    <w:jc w:val="left"/>
                    <w:rPr>
                      <w:sz w:val="24"/>
                      <w:highlight w:val="none"/>
                    </w:rPr>
                  </w:pPr>
                  <w:r>
                    <w:rPr>
                      <w:rFonts w:hint="eastAsia"/>
                      <w:sz w:val="24"/>
                      <w:highlight w:val="none"/>
                    </w:rPr>
                    <w:t xml:space="preserve">格力、海尔、美的</w:t>
                  </w:r>
                  <w:r/>
                </w:p>
              </w:tc>
              <w:tc>
                <w:tcPr>
                  <w:shd w:val="clear" w:color="auto" w:fill="ffffff"/>
                  <w:tcW w:w="950" w:type="dxa"/>
                  <w:vAlign w:val="center"/>
                  <w:textDirection w:val="lrTb"/>
                  <w:noWrap w:val="false"/>
                </w:tcPr>
                <w:p>
                  <w:pPr>
                    <w:jc w:val="center"/>
                    <w:widowControl/>
                    <w:rPr>
                      <w:rFonts w:ascii="宋体" w:hAnsi="宋体" w:cs="仿宋"/>
                      <w:szCs w:val="21"/>
                      <w:highlight w:val="none"/>
                    </w:rPr>
                  </w:pPr>
                  <w:r>
                    <w:rPr>
                      <w:rFonts w:ascii="宋体" w:hAnsi="宋体" w:cs="仿宋"/>
                      <w:szCs w:val="21"/>
                      <w:highlight w:val="none"/>
                    </w:rPr>
                  </w:r>
                  <w:r/>
                </w:p>
              </w:tc>
              <w:tc>
                <w:tcPr>
                  <w:shd w:val="clear" w:color="auto" w:fill="ffffff"/>
                  <w:tcW w:w="923" w:type="dxa"/>
                  <w:vAlign w:val="center"/>
                  <w:textDirection w:val="lrTb"/>
                  <w:noWrap w:val="false"/>
                </w:tcPr>
                <w:p>
                  <w:pPr>
                    <w:jc w:val="center"/>
                    <w:widowControl/>
                    <w:rPr>
                      <w:rFonts w:ascii="宋体" w:hAnsi="宋体" w:cs="仿宋"/>
                      <w:szCs w:val="21"/>
                      <w:highlight w:val="none"/>
                    </w:rPr>
                  </w:pPr>
                  <w:r>
                    <w:rPr>
                      <w:rFonts w:ascii="宋体" w:hAnsi="宋体" w:cs="仿宋"/>
                      <w:szCs w:val="21"/>
                      <w:highlight w:val="none"/>
                    </w:rPr>
                  </w:r>
                  <w:r/>
                </w:p>
              </w:tc>
            </w:tr>
            <w:tr>
              <w:trPr>
                <w:jc w:val="center"/>
                <w:trHeight w:val="667"/>
              </w:trPr>
              <w:tc>
                <w:tcPr>
                  <w:shd w:val="clear" w:color="auto" w:fill="ffffff"/>
                  <w:tcW w:w="2566" w:type="dxa"/>
                  <w:vAlign w:val="center"/>
                  <w:textDirection w:val="lrTb"/>
                  <w:noWrap w:val="false"/>
                </w:tcPr>
                <w:p>
                  <w:pPr>
                    <w:jc w:val="center"/>
                    <w:rPr>
                      <w:sz w:val="24"/>
                      <w:highlight w:val="none"/>
                    </w:rPr>
                  </w:pPr>
                  <w:r>
                    <w:rPr>
                      <w:rFonts w:hint="eastAsia"/>
                      <w:sz w:val="24"/>
                      <w:highlight w:val="none"/>
                    </w:rPr>
                    <w:t xml:space="preserve">CPVC管</w:t>
                  </w:r>
                  <w:r/>
                </w:p>
              </w:tc>
              <w:tc>
                <w:tcPr>
                  <w:shd w:val="clear" w:color="auto" w:fill="ffffff"/>
                  <w:tcW w:w="4735" w:type="dxa"/>
                  <w:vAlign w:val="center"/>
                  <w:textDirection w:val="lrTb"/>
                  <w:noWrap w:val="false"/>
                </w:tcPr>
                <w:p>
                  <w:pPr>
                    <w:jc w:val="left"/>
                    <w:rPr>
                      <w:sz w:val="24"/>
                      <w:highlight w:val="none"/>
                    </w:rPr>
                  </w:pPr>
                  <w:r>
                    <w:rPr>
                      <w:rFonts w:hint="eastAsia"/>
                      <w:sz w:val="24"/>
                      <w:highlight w:val="none"/>
                    </w:rPr>
                    <w:t xml:space="preserve">联塑、日丰、中财</w:t>
                  </w:r>
                  <w:r/>
                </w:p>
              </w:tc>
              <w:tc>
                <w:tcPr>
                  <w:shd w:val="clear" w:color="auto" w:fill="ffffff"/>
                  <w:tcW w:w="950" w:type="dxa"/>
                  <w:vAlign w:val="center"/>
                  <w:textDirection w:val="lrTb"/>
                  <w:noWrap w:val="false"/>
                </w:tcPr>
                <w:p>
                  <w:pPr>
                    <w:jc w:val="center"/>
                    <w:widowControl/>
                    <w:rPr>
                      <w:rFonts w:ascii="宋体" w:hAnsi="宋体" w:cs="仿宋"/>
                      <w:szCs w:val="21"/>
                      <w:highlight w:val="none"/>
                    </w:rPr>
                  </w:pPr>
                  <w:r>
                    <w:rPr>
                      <w:rFonts w:ascii="宋体" w:hAnsi="宋体" w:cs="仿宋"/>
                      <w:szCs w:val="21"/>
                      <w:highlight w:val="none"/>
                    </w:rPr>
                  </w:r>
                  <w:r/>
                </w:p>
              </w:tc>
              <w:tc>
                <w:tcPr>
                  <w:shd w:val="clear" w:color="auto" w:fill="ffffff"/>
                  <w:tcW w:w="923" w:type="dxa"/>
                  <w:vAlign w:val="center"/>
                  <w:textDirection w:val="lrTb"/>
                  <w:noWrap w:val="false"/>
                </w:tcPr>
                <w:p>
                  <w:pPr>
                    <w:jc w:val="center"/>
                    <w:widowControl/>
                    <w:rPr>
                      <w:rFonts w:ascii="宋体" w:hAnsi="宋体" w:cs="仿宋"/>
                      <w:szCs w:val="21"/>
                      <w:highlight w:val="none"/>
                    </w:rPr>
                  </w:pPr>
                  <w:r>
                    <w:rPr>
                      <w:rFonts w:ascii="宋体" w:hAnsi="宋体" w:cs="仿宋"/>
                      <w:szCs w:val="21"/>
                      <w:highlight w:val="none"/>
                    </w:rPr>
                  </w:r>
                  <w:r/>
                </w:p>
              </w:tc>
            </w:tr>
            <w:tr>
              <w:trPr>
                <w:jc w:val="center"/>
                <w:trHeight w:val="667"/>
              </w:trPr>
              <w:tc>
                <w:tcPr>
                  <w:shd w:val="clear" w:color="auto" w:fill="ffffff"/>
                  <w:tcW w:w="2566" w:type="dxa"/>
                  <w:vAlign w:val="center"/>
                  <w:textDirection w:val="lrTb"/>
                  <w:noWrap w:val="false"/>
                </w:tcPr>
                <w:p>
                  <w:pPr>
                    <w:jc w:val="center"/>
                    <w:rPr>
                      <w:sz w:val="24"/>
                      <w:highlight w:val="none"/>
                    </w:rPr>
                  </w:pPr>
                  <w:r>
                    <w:rPr>
                      <w:rFonts w:hint="eastAsia"/>
                      <w:sz w:val="24"/>
                      <w:highlight w:val="none"/>
                    </w:rPr>
                    <w:t xml:space="preserve">应急荧光灯</w:t>
                  </w:r>
                  <w:r/>
                </w:p>
              </w:tc>
              <w:tc>
                <w:tcPr>
                  <w:shd w:val="clear" w:color="auto" w:fill="ffffff"/>
                  <w:tcW w:w="4735" w:type="dxa"/>
                  <w:vAlign w:val="center"/>
                  <w:textDirection w:val="lrTb"/>
                  <w:noWrap w:val="false"/>
                </w:tcPr>
                <w:p>
                  <w:pPr>
                    <w:jc w:val="left"/>
                    <w:rPr>
                      <w:sz w:val="24"/>
                      <w:highlight w:val="none"/>
                    </w:rPr>
                  </w:pPr>
                  <w:r>
                    <w:rPr>
                      <w:rFonts w:hint="eastAsia"/>
                      <w:sz w:val="24"/>
                      <w:highlight w:val="none"/>
                    </w:rPr>
                    <w:t xml:space="preserve">鸿雁、欧普、佛山照明</w:t>
                  </w:r>
                  <w:r/>
                </w:p>
              </w:tc>
              <w:tc>
                <w:tcPr>
                  <w:shd w:val="clear" w:color="auto" w:fill="ffffff"/>
                  <w:tcW w:w="950" w:type="dxa"/>
                  <w:vAlign w:val="center"/>
                  <w:textDirection w:val="lrTb"/>
                  <w:noWrap w:val="false"/>
                </w:tcPr>
                <w:p>
                  <w:pPr>
                    <w:jc w:val="center"/>
                    <w:widowControl/>
                    <w:rPr>
                      <w:rFonts w:ascii="宋体" w:hAnsi="宋体" w:cs="仿宋"/>
                      <w:szCs w:val="21"/>
                      <w:highlight w:val="none"/>
                    </w:rPr>
                  </w:pPr>
                  <w:r>
                    <w:rPr>
                      <w:rFonts w:ascii="宋体" w:hAnsi="宋体" w:cs="仿宋"/>
                      <w:szCs w:val="21"/>
                      <w:highlight w:val="none"/>
                    </w:rPr>
                  </w:r>
                  <w:r/>
                </w:p>
              </w:tc>
              <w:tc>
                <w:tcPr>
                  <w:shd w:val="clear" w:color="auto" w:fill="ffffff"/>
                  <w:tcW w:w="923" w:type="dxa"/>
                  <w:vAlign w:val="center"/>
                  <w:textDirection w:val="lrTb"/>
                  <w:noWrap w:val="false"/>
                </w:tcPr>
                <w:p>
                  <w:pPr>
                    <w:jc w:val="center"/>
                    <w:widowControl/>
                    <w:rPr>
                      <w:rFonts w:ascii="宋体" w:hAnsi="宋体" w:cs="仿宋"/>
                      <w:szCs w:val="21"/>
                      <w:highlight w:val="none"/>
                    </w:rPr>
                  </w:pPr>
                  <w:r>
                    <w:rPr>
                      <w:rFonts w:ascii="宋体" w:hAnsi="宋体" w:cs="仿宋"/>
                      <w:szCs w:val="21"/>
                      <w:highlight w:val="none"/>
                    </w:rPr>
                  </w:r>
                  <w:r/>
                </w:p>
              </w:tc>
            </w:tr>
          </w:tbl>
          <w:p>
            <w:pPr>
              <w:jc w:val="left"/>
              <w:spacing w:line="360" w:lineRule="auto"/>
              <w:rPr>
                <w:highlight w:val="none"/>
              </w:rPr>
            </w:pPr>
            <w:r>
              <w:rPr>
                <w:highlight w:val="none"/>
              </w:rPr>
            </w:r>
            <w:r/>
          </w:p>
        </w:tc>
      </w:tr>
    </w:tbl>
    <w:p>
      <w:pPr>
        <w:ind w:firstLine="480"/>
        <w:jc w:val="left"/>
        <w:keepLines w:val="0"/>
        <w:keepNext w:val="0"/>
        <w:pageBreakBefore w:val="0"/>
        <w:spacing w:line="360" w:lineRule="auto"/>
        <w:widowControl w:val="off"/>
        <w:tabs>
          <w:tab w:val="left" w:pos="2310" w:leader="none"/>
        </w:tabs>
        <w:rPr>
          <w:rFonts w:ascii="宋体" w:hAnsi="宋体"/>
          <w:bCs/>
          <w:sz w:val="24"/>
          <w:highlight w:val="none"/>
        </w:rPr>
      </w:pPr>
      <w:r>
        <w:rPr>
          <w:rFonts w:hint="eastAsia" w:ascii="宋体" w:hAnsi="宋体"/>
          <w:bCs/>
          <w:sz w:val="24"/>
          <w:highlight w:val="none"/>
        </w:rPr>
        <w:t xml:space="preserve">★本项目部分材料提出了品牌上的要求，有推荐品牌的设备、元器件供应商必须注明</w:t>
      </w:r>
      <w:r>
        <w:rPr>
          <w:rFonts w:hint="eastAsia" w:ascii="宋体" w:hAnsi="宋体"/>
          <w:bCs/>
          <w:sz w:val="24"/>
          <w:highlight w:val="none"/>
          <w:lang w:val="en-US" w:eastAsia="zh-CN"/>
        </w:rPr>
        <w:t xml:space="preserve">拟投入本项目的品牌，响应文件中未标注品牌的按</w:t>
      </w:r>
      <w:r>
        <w:rPr>
          <w:rFonts w:hint="eastAsia" w:ascii="宋体" w:hAnsi="宋体"/>
          <w:bCs/>
          <w:sz w:val="24"/>
          <w:highlight w:val="none"/>
        </w:rPr>
        <w:t xml:space="preserve">无效标</w:t>
      </w:r>
      <w:r>
        <w:rPr>
          <w:rFonts w:hint="eastAsia" w:ascii="宋体" w:hAnsi="宋体"/>
          <w:bCs/>
          <w:sz w:val="24"/>
          <w:highlight w:val="none"/>
          <w:lang w:val="en-US" w:eastAsia="zh-CN"/>
        </w:rPr>
        <w:t xml:space="preserve">处理</w:t>
      </w:r>
      <w:r>
        <w:rPr>
          <w:rFonts w:hint="eastAsia" w:ascii="宋体" w:hAnsi="宋体"/>
          <w:bCs/>
          <w:sz w:val="24"/>
          <w:highlight w:val="none"/>
        </w:rPr>
        <w:t xml:space="preserve">，本项目不接受OEM产品；塑壳断路器及框架断路器需同一品牌。</w:t>
      </w:r>
      <w:r/>
    </w:p>
    <w:p>
      <w:pPr>
        <w:ind w:firstLine="480"/>
        <w:keepLines w:val="0"/>
        <w:keepNext w:val="0"/>
        <w:pageBreakBefore w:val="0"/>
        <w:spacing w:line="360" w:lineRule="auto"/>
        <w:widowControl w:val="off"/>
        <w:rPr>
          <w:rFonts w:hint="eastAsia" w:ascii="宋体" w:hAnsi="宋体"/>
          <w:b/>
          <w:bCs/>
          <w:color w:val="000000"/>
          <w:sz w:val="24"/>
          <w:highlight w:val="none"/>
        </w:rPr>
      </w:pPr>
      <w:r>
        <w:rPr>
          <w:rFonts w:hint="eastAsia" w:ascii="宋体" w:hAnsi="宋体"/>
          <w:bCs/>
          <w:sz w:val="24"/>
          <w:highlight w:val="none"/>
        </w:rPr>
        <w:t xml:space="preserve">★供应商所投的高低压变配电成套设备需具有CMA﹑CNAS等国家认证的第三方检测机构出具的型式试验报告。</w:t>
      </w:r>
      <w:r/>
    </w:p>
    <w:p>
      <w:pPr>
        <w:spacing w:line="360" w:lineRule="auto"/>
        <w:rPr>
          <w:rFonts w:ascii="宋体" w:hAnsi="宋体"/>
          <w:b/>
          <w:bCs/>
          <w:color w:val="000000"/>
          <w:sz w:val="24"/>
          <w:highlight w:val="none"/>
        </w:rPr>
      </w:pPr>
      <w:r>
        <w:rPr>
          <w:rFonts w:hint="eastAsia" w:ascii="宋体" w:hAnsi="宋体"/>
          <w:b/>
          <w:bCs/>
          <w:color w:val="000000"/>
          <w:sz w:val="24"/>
          <w:highlight w:val="none"/>
        </w:rPr>
        <w:t xml:space="preserve">第二部分 工程量清单</w:t>
      </w:r>
      <w:r/>
    </w:p>
    <w:p>
      <w:pPr>
        <w:jc w:val="left"/>
        <w:spacing w:line="276" w:lineRule="auto"/>
        <w:tabs>
          <w:tab w:val="left" w:pos="2310" w:leader="none"/>
        </w:tabs>
        <w:rPr>
          <w:rFonts w:ascii="宋体" w:hAnsi="宋体" w:cs="宋体"/>
          <w:color w:val="000000"/>
          <w:sz w:val="24"/>
          <w:highlight w:val="none"/>
        </w:rPr>
      </w:pPr>
      <w:r>
        <w:rPr>
          <w:rFonts w:hint="eastAsia" w:ascii="宋体" w:hAnsi="宋体" w:cs="宋体"/>
          <w:color w:val="000000"/>
          <w:sz w:val="24"/>
          <w:highlight w:val="none"/>
        </w:rPr>
        <w:t xml:space="preserve">详见EXCEL工程量清单</w:t>
      </w:r>
      <w:r/>
    </w:p>
    <w:p>
      <w:pPr>
        <w:spacing w:line="360" w:lineRule="auto"/>
        <w:rPr>
          <w:rFonts w:ascii="宋体" w:hAnsi="宋体"/>
          <w:b/>
          <w:bCs/>
          <w:color w:val="000000"/>
          <w:sz w:val="24"/>
          <w:highlight w:val="none"/>
        </w:rPr>
      </w:pPr>
      <w:r>
        <w:rPr>
          <w:rFonts w:hint="eastAsia" w:ascii="宋体" w:hAnsi="宋体"/>
          <w:b/>
          <w:bCs/>
          <w:color w:val="000000"/>
          <w:sz w:val="24"/>
          <w:highlight w:val="none"/>
        </w:rPr>
        <w:t xml:space="preserve">第三部分  图纸下载</w:t>
      </w:r>
      <w:r/>
    </w:p>
    <w:p>
      <w:pPr>
        <w:jc w:val="left"/>
        <w:spacing w:line="276" w:lineRule="auto"/>
        <w:tabs>
          <w:tab w:val="left" w:pos="2310" w:leader="none"/>
        </w:tabs>
        <w:rPr>
          <w:rFonts w:ascii="宋体" w:hAnsi="宋体" w:cs="宋体"/>
          <w:color w:val="000000"/>
          <w:sz w:val="24"/>
          <w:highlight w:val="none"/>
        </w:rPr>
      </w:pPr>
      <w:r>
        <w:rPr>
          <w:rFonts w:hint="eastAsia" w:ascii="宋体" w:hAnsi="宋体" w:cs="宋体"/>
          <w:color w:val="000000"/>
          <w:sz w:val="24"/>
          <w:highlight w:val="none"/>
        </w:rPr>
        <w:t xml:space="preserve">供应商自行登录百度网盘下载本项目相关图纸，</w:t>
      </w:r>
      <w:r>
        <w:rPr>
          <w:rFonts w:hint="eastAsia" w:ascii="宋体" w:hAnsi="宋体" w:cs="宋体"/>
          <w:color w:val="000000"/>
          <w:sz w:val="24"/>
          <w:highlight w:val="none"/>
        </w:rPr>
        <w:t xml:space="preserve">通过网盘分享的文件：五台山高压供电增容设计图纸.rar 链接: https://pan.baidu.com/s/1xxtcZPgsxcB0BKSGhwtMrA 提取码: 1111</w:t>
      </w:r>
      <w:r>
        <w:rPr>
          <w:rFonts w:hint="eastAsia" w:ascii="宋体" w:hAnsi="宋体" w:cs="宋体"/>
          <w:color w:val="000000"/>
          <w:sz w:val="24"/>
          <w:highlight w:val="none"/>
        </w:rPr>
        <w:t xml:space="preserve">。</w:t>
      </w:r>
      <w:r>
        <w:rPr>
          <w:rFonts w:hint="eastAsia" w:ascii="宋体" w:hAnsi="宋体" w:cs="宋体"/>
          <w:color w:val="000000"/>
          <w:sz w:val="24"/>
          <w:highlight w:val="none"/>
        </w:rPr>
        <w:br w:type="page" w:clear="all"/>
      </w:r>
      <w:r/>
    </w:p>
    <w:p>
      <w:pPr>
        <w:jc w:val="left"/>
        <w:spacing w:line="276" w:lineRule="auto"/>
        <w:tabs>
          <w:tab w:val="left" w:pos="2310" w:leader="none"/>
        </w:tabs>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bCs/>
          <w:color w:val="000000"/>
          <w:sz w:val="32"/>
          <w:szCs w:val="32"/>
          <w:highlight w:val="none"/>
        </w:rPr>
        <w:outlineLvl w:val="0"/>
      </w:pPr>
      <w:r/>
      <w:bookmarkStart w:id="56" w:name="_Toc30865"/>
      <w:r/>
      <w:bookmarkStart w:id="57" w:name="_Toc513799381"/>
      <w:r>
        <w:rPr>
          <w:rFonts w:hint="eastAsia" w:ascii="宋体" w:hAnsi="宋体" w:cs="宋体"/>
          <w:b/>
          <w:bCs/>
          <w:color w:val="000000"/>
          <w:sz w:val="32"/>
          <w:szCs w:val="32"/>
          <w:highlight w:val="none"/>
        </w:rPr>
        <w:t xml:space="preserve">第六章合同主要条款及格式</w:t>
      </w:r>
      <w:bookmarkEnd w:id="56"/>
      <w:r/>
      <w:bookmarkEnd w:id="57"/>
      <w:r/>
      <w:r/>
    </w:p>
    <w:p>
      <w:pPr>
        <w:ind w:right="-432"/>
        <w:spacing w:line="360" w:lineRule="auto"/>
        <w:rPr>
          <w:rFonts w:eastAsia="Calibri"/>
          <w:color w:val="000000"/>
          <w:sz w:val="22"/>
          <w:szCs w:val="22"/>
          <w:highlight w:val="none"/>
        </w:rPr>
      </w:pPr>
      <w:r>
        <w:rPr>
          <w:rFonts w:eastAsia="仿宋_GB2312"/>
          <w:bCs/>
          <w:color w:val="000000"/>
          <w:sz w:val="32"/>
          <w:szCs w:val="32"/>
          <w:highlight w:val="none"/>
        </w:rPr>
        <w:t xml:space="preserve">（GF—201</w:t>
      </w:r>
      <w:r>
        <w:rPr>
          <w:rFonts w:hint="eastAsia" w:eastAsia="仿宋_GB2312"/>
          <w:bCs/>
          <w:color w:val="000000"/>
          <w:sz w:val="32"/>
          <w:szCs w:val="32"/>
          <w:highlight w:val="none"/>
        </w:rPr>
        <w:t xml:space="preserve">7</w:t>
      </w:r>
      <w:r>
        <w:rPr>
          <w:rFonts w:eastAsia="仿宋_GB2312"/>
          <w:bCs/>
          <w:color w:val="000000"/>
          <w:sz w:val="32"/>
          <w:szCs w:val="32"/>
          <w:highlight w:val="none"/>
        </w:rPr>
        <w:t xml:space="preserve">—</w:t>
      </w:r>
      <w:r>
        <w:rPr>
          <w:rFonts w:hint="eastAsia" w:eastAsia="仿宋_GB2312"/>
          <w:bCs/>
          <w:color w:val="000000"/>
          <w:sz w:val="32"/>
          <w:szCs w:val="32"/>
          <w:highlight w:val="none"/>
        </w:rPr>
        <w:t xml:space="preserve">0201）</w:t>
      </w:r>
      <w:r/>
    </w:p>
    <w:p>
      <w:pPr>
        <w:ind w:right="-13"/>
        <w:spacing w:line="360" w:lineRule="auto"/>
        <w:rPr>
          <w:rFonts w:ascii="黑体" w:hAnsi="黑体" w:eastAsia="黑体"/>
          <w:color w:val="000000"/>
          <w:sz w:val="64"/>
          <w:szCs w:val="22"/>
          <w:highlight w:val="none"/>
        </w:rPr>
      </w:pPr>
      <w:r>
        <w:rPr>
          <w:rFonts w:ascii="黑体" w:hAnsi="黑体" w:eastAsia="黑体"/>
          <w:color w:val="000000"/>
          <w:sz w:val="64"/>
          <w:szCs w:val="22"/>
          <w:highlight w:val="none"/>
        </w:rPr>
      </w:r>
      <w:r/>
    </w:p>
    <w:p>
      <w:pPr>
        <w:ind w:right="-432"/>
        <w:spacing w:line="360" w:lineRule="auto"/>
        <w:rPr>
          <w:rFonts w:eastAsia="华文中宋"/>
          <w:b/>
          <w:color w:val="000000"/>
          <w:sz w:val="72"/>
          <w:szCs w:val="52"/>
          <w:highlight w:val="none"/>
        </w:rPr>
      </w:pPr>
      <w:r>
        <w:rPr>
          <w:rFonts w:eastAsia="华文中宋"/>
          <w:b/>
          <w:color w:val="000000"/>
          <w:sz w:val="72"/>
          <w:szCs w:val="52"/>
          <w:highlight w:val="none"/>
        </w:rPr>
      </w:r>
      <w:r/>
    </w:p>
    <w:p>
      <w:pPr>
        <w:ind w:right="-432"/>
        <w:jc w:val="center"/>
        <w:spacing w:line="360" w:lineRule="auto"/>
        <w:rPr>
          <w:rFonts w:eastAsia="华文中宋"/>
          <w:b/>
          <w:color w:val="000000"/>
          <w:sz w:val="72"/>
          <w:szCs w:val="52"/>
          <w:highlight w:val="none"/>
        </w:rPr>
      </w:pPr>
      <w:r>
        <w:rPr>
          <w:rFonts w:eastAsia="华文中宋"/>
          <w:b/>
          <w:color w:val="000000"/>
          <w:sz w:val="72"/>
          <w:szCs w:val="52"/>
          <w:highlight w:val="none"/>
        </w:rPr>
        <w:t xml:space="preserve">建设工程施工合同</w:t>
      </w:r>
      <w:r/>
    </w:p>
    <w:p>
      <w:pPr>
        <w:jc w:val="left"/>
        <w:spacing w:line="360" w:lineRule="auto"/>
        <w:rPr>
          <w:rFonts w:ascii="宋体" w:cs="宋体"/>
          <w:color w:val="000000"/>
          <w:sz w:val="24"/>
          <w:highlight w:val="none"/>
        </w:rPr>
      </w:pPr>
      <w:r>
        <w:rPr>
          <w:rFonts w:ascii="宋体" w:cs="宋体"/>
          <w:color w:val="000000"/>
          <w:sz w:val="24"/>
          <w:highlight w:val="none"/>
        </w:rPr>
      </w:r>
      <w:r/>
    </w:p>
    <w:p>
      <w:pPr>
        <w:spacing w:line="360" w:lineRule="auto"/>
        <w:rPr>
          <w:rFonts w:eastAsia="黑体"/>
          <w:b/>
          <w:color w:val="000000"/>
          <w:sz w:val="52"/>
          <w:szCs w:val="52"/>
          <w:highlight w:val="none"/>
        </w:rPr>
      </w:pPr>
      <w:r>
        <w:rPr>
          <w:rFonts w:eastAsia="黑体"/>
          <w:b/>
          <w:color w:val="000000"/>
          <w:sz w:val="52"/>
          <w:szCs w:val="52"/>
          <w:highlight w:val="none"/>
        </w:rPr>
      </w:r>
      <w:r/>
    </w:p>
    <w:p>
      <w:pPr>
        <w:spacing w:line="360" w:lineRule="auto"/>
        <w:rPr>
          <w:rFonts w:eastAsia="Calibri"/>
          <w:b/>
          <w:color w:val="000000"/>
          <w:sz w:val="28"/>
          <w:szCs w:val="28"/>
          <w:highlight w:val="none"/>
        </w:rPr>
      </w:pPr>
      <w:r>
        <w:rPr>
          <w:rFonts w:eastAsia="Calibri"/>
          <w:b/>
          <w:color w:val="000000"/>
          <w:sz w:val="28"/>
          <w:szCs w:val="28"/>
          <w:highlight w:val="none"/>
        </w:rPr>
      </w:r>
      <w:r/>
    </w:p>
    <w:p>
      <w:pPr>
        <w:ind w:left="2536" w:hanging="1809"/>
        <w:spacing w:line="360" w:lineRule="auto"/>
        <w:rPr>
          <w:rFonts w:hint="eastAsia"/>
          <w:color w:val="000000"/>
          <w:sz w:val="28"/>
          <w:szCs w:val="28"/>
          <w:highlight w:val="none"/>
          <w:u w:val="single"/>
        </w:rPr>
      </w:pPr>
      <w:r>
        <w:rPr>
          <w:rFonts w:hint="eastAsia" w:ascii="宋体" w:hAnsi="宋体" w:cs="宋体"/>
          <w:b/>
          <w:color w:val="000000"/>
          <w:sz w:val="32"/>
          <w:szCs w:val="32"/>
          <w:highlight w:val="none"/>
        </w:rPr>
        <w:t xml:space="preserve">工程名称：</w:t>
      </w:r>
      <w:r>
        <w:rPr>
          <w:rFonts w:hint="eastAsia"/>
          <w:color w:val="000000"/>
          <w:sz w:val="28"/>
          <w:szCs w:val="28"/>
          <w:highlight w:val="none"/>
          <w:u w:val="single"/>
        </w:rPr>
        <w:t xml:space="preserve">2026年江苏省五台山体育中心重大体育设施建设</w:t>
      </w:r>
      <w:r/>
    </w:p>
    <w:p>
      <w:pPr>
        <w:ind w:left="2296" w:hanging="173"/>
        <w:spacing w:line="360" w:lineRule="auto"/>
        <w:rPr>
          <w:rFonts w:ascii="宋体" w:hAnsi="宋体" w:eastAsia="Calibri" w:cs="宋体"/>
          <w:b/>
          <w:color w:val="000000"/>
          <w:sz w:val="30"/>
          <w:szCs w:val="30"/>
          <w:highlight w:val="none"/>
          <w:u w:val="single"/>
        </w:rPr>
      </w:pPr>
      <w:r>
        <w:rPr>
          <w:rFonts w:hint="eastAsia"/>
          <w:color w:val="000000"/>
          <w:sz w:val="28"/>
          <w:szCs w:val="28"/>
          <w:highlight w:val="none"/>
          <w:u w:val="single"/>
        </w:rPr>
        <w:t xml:space="preserve">（供电增容）工程</w:t>
      </w:r>
      <w:r/>
    </w:p>
    <w:p>
      <w:pPr>
        <w:spacing w:line="360" w:lineRule="auto"/>
        <w:rPr>
          <w:rFonts w:ascii="宋体" w:hAnsi="宋体" w:eastAsia="Calibri" w:cs="宋体"/>
          <w:b/>
          <w:color w:val="000000"/>
          <w:sz w:val="28"/>
          <w:szCs w:val="28"/>
          <w:highlight w:val="none"/>
          <w:u w:val="single"/>
        </w:rPr>
      </w:pPr>
      <w:r>
        <w:rPr>
          <w:rFonts w:ascii="宋体" w:hAnsi="宋体" w:eastAsia="Calibri" w:cs="宋体"/>
          <w:b/>
          <w:color w:val="000000"/>
          <w:sz w:val="28"/>
          <w:szCs w:val="28"/>
          <w:highlight w:val="none"/>
          <w:u w:val="single"/>
        </w:rPr>
      </w:r>
      <w:r/>
    </w:p>
    <w:p>
      <w:pPr>
        <w:ind w:firstLine="562"/>
        <w:jc w:val="left"/>
        <w:spacing w:line="360" w:lineRule="auto"/>
        <w:rPr>
          <w:rFonts w:ascii="宋体" w:hAnsi="宋体" w:cs="宋体"/>
          <w:b/>
          <w:color w:val="000000"/>
          <w:sz w:val="28"/>
          <w:szCs w:val="28"/>
          <w:highlight w:val="none"/>
          <w:u w:val="single"/>
        </w:rPr>
      </w:pPr>
      <w:r>
        <w:rPr>
          <w:rFonts w:ascii="宋体" w:hAnsi="宋体" w:cs="宋体"/>
          <w:b/>
          <w:color w:val="000000"/>
          <w:sz w:val="28"/>
          <w:szCs w:val="28"/>
          <w:highlight w:val="none"/>
          <w:u w:val="single"/>
        </w:rPr>
      </w:r>
      <w:r/>
    </w:p>
    <w:p>
      <w:pPr>
        <w:jc w:val="left"/>
        <w:spacing w:line="360" w:lineRule="auto"/>
        <w:rPr>
          <w:rFonts w:ascii="宋体" w:hAnsi="宋体" w:cs="宋体"/>
          <w:b/>
          <w:color w:val="000000"/>
          <w:sz w:val="28"/>
          <w:szCs w:val="28"/>
          <w:highlight w:val="none"/>
          <w:u w:val="single"/>
        </w:rPr>
      </w:pPr>
      <w:r>
        <w:rPr>
          <w:rFonts w:ascii="宋体" w:hAnsi="宋体" w:cs="宋体"/>
          <w:b/>
          <w:color w:val="000000"/>
          <w:sz w:val="28"/>
          <w:szCs w:val="28"/>
          <w:highlight w:val="none"/>
          <w:u w:val="single"/>
        </w:rPr>
      </w:r>
      <w:r/>
    </w:p>
    <w:p>
      <w:pPr>
        <w:jc w:val="left"/>
        <w:spacing w:line="360" w:lineRule="auto"/>
        <w:rPr>
          <w:rFonts w:ascii="宋体" w:hAnsi="宋体" w:cs="宋体"/>
          <w:b/>
          <w:color w:val="000000"/>
          <w:sz w:val="28"/>
          <w:szCs w:val="28"/>
          <w:highlight w:val="none"/>
          <w:u w:val="single"/>
        </w:rPr>
      </w:pPr>
      <w:r>
        <w:rPr>
          <w:rFonts w:ascii="宋体" w:hAnsi="宋体" w:cs="宋体"/>
          <w:b/>
          <w:color w:val="000000"/>
          <w:sz w:val="28"/>
          <w:szCs w:val="28"/>
          <w:highlight w:val="none"/>
          <w:u w:val="single"/>
        </w:rPr>
      </w:r>
      <w:r/>
    </w:p>
    <w:p>
      <w:pPr>
        <w:jc w:val="left"/>
        <w:spacing w:line="360" w:lineRule="auto"/>
        <w:rPr>
          <w:rFonts w:ascii="宋体" w:hAnsi="宋体" w:cs="宋体"/>
          <w:b/>
          <w:color w:val="000000"/>
          <w:sz w:val="28"/>
          <w:szCs w:val="28"/>
          <w:highlight w:val="none"/>
          <w:u w:val="single"/>
        </w:rPr>
      </w:pPr>
      <w:r>
        <w:rPr>
          <w:rFonts w:ascii="宋体" w:hAnsi="宋体" w:cs="宋体"/>
          <w:b/>
          <w:color w:val="000000"/>
          <w:sz w:val="28"/>
          <w:szCs w:val="28"/>
          <w:highlight w:val="none"/>
          <w:u w:val="single"/>
        </w:rPr>
      </w:r>
      <w:r/>
    </w:p>
    <w:p>
      <w:pPr>
        <w:ind w:right="2440" w:firstLine="2554"/>
        <w:rPr>
          <w:b/>
          <w:color w:val="000000"/>
          <w:sz w:val="32"/>
          <w:szCs w:val="32"/>
          <w:highlight w:val="none"/>
        </w:rPr>
      </w:pPr>
      <w:r>
        <w:rPr>
          <w:rFonts w:ascii="宋体" w:hAnsi="宋体"/>
          <w:b/>
          <w:color w:val="000000"/>
          <w:sz w:val="32"/>
          <w:szCs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4481195</wp:posOffset>
                </wp:positionH>
                <wp:positionV relativeFrom="paragraph">
                  <wp:posOffset>38735</wp:posOffset>
                </wp:positionV>
                <wp:extent cx="566420" cy="390525"/>
                <wp:effectExtent l="0" t="0" r="5080" b="3175"/>
                <wp:wrapNone/>
                <wp:docPr id="4" name="图片 12" descr="C:\Users\WIN10\AppData\Local\Temp\ksohtml17756\wp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2" descr="C:\Users\WIN10\AppData\Local\Temp\ksohtml17756\wps4.png"/>
                        <pic:cNvPicPr>
                          <a:picLocks noChangeAspect="1"/>
                        </pic:cNvPicPr>
                        <pic:nvPr/>
                      </pic:nvPicPr>
                      <pic:blipFill>
                        <a:blip r:embed="rId21"/>
                        <a:stretch/>
                      </pic:blipFill>
                      <pic:spPr bwMode="auto">
                        <a:xfrm>
                          <a:off x="0" y="0"/>
                          <a:ext cx="566420" cy="39052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352.8pt;mso-position-horizontal:absolute;mso-position-vertical-relative:text;margin-top:3.0pt;mso-position-vertical:absolute;width:44.6pt;height:30.8pt;mso-wrap-distance-left:9.0pt;mso-wrap-distance-top:0.0pt;mso-wrap-distance-right:9.0pt;mso-wrap-distance-bottom:0.0pt;" stroked="f" strokeweight="0.75pt">
                <v:path textboxrect="0,0,0,0"/>
                <v:imagedata r:id="rId21" o:title=""/>
              </v:shape>
            </w:pict>
          </mc:Fallback>
        </mc:AlternateContent>
      </w:r>
      <w:r>
        <w:rPr>
          <w:rFonts w:ascii="宋体" w:hAnsi="宋体"/>
          <w:b/>
          <w:color w:val="000000"/>
          <w:sz w:val="32"/>
          <w:szCs w:val="32"/>
          <w:highlight w:val="none"/>
        </w:rPr>
        <w:t xml:space="preserve">住</w:t>
      </w:r>
      <w:r>
        <w:rPr>
          <w:rFonts w:hint="eastAsia" w:ascii="宋体" w:hAnsi="宋体"/>
          <w:b/>
          <w:color w:val="000000"/>
          <w:sz w:val="32"/>
          <w:szCs w:val="32"/>
          <w:highlight w:val="none"/>
        </w:rPr>
        <w:t xml:space="preserve"> </w:t>
      </w:r>
      <w:r>
        <w:rPr>
          <w:rFonts w:ascii="宋体" w:hAnsi="宋体"/>
          <w:b/>
          <w:color w:val="000000"/>
          <w:sz w:val="32"/>
          <w:szCs w:val="32"/>
          <w:highlight w:val="none"/>
        </w:rPr>
        <w:t xml:space="preserve">房</w:t>
      </w:r>
      <w:r>
        <w:rPr>
          <w:rFonts w:hint="eastAsia" w:ascii="宋体" w:hAnsi="宋体"/>
          <w:b/>
          <w:color w:val="000000"/>
          <w:sz w:val="32"/>
          <w:szCs w:val="32"/>
          <w:highlight w:val="none"/>
        </w:rPr>
        <w:t xml:space="preserve"> </w:t>
      </w:r>
      <w:r>
        <w:rPr>
          <w:rFonts w:ascii="宋体" w:hAnsi="宋体"/>
          <w:b/>
          <w:color w:val="000000"/>
          <w:sz w:val="32"/>
          <w:szCs w:val="32"/>
          <w:highlight w:val="none"/>
        </w:rPr>
        <w:t xml:space="preserve">和</w:t>
      </w:r>
      <w:r>
        <w:rPr>
          <w:rFonts w:hint="eastAsia" w:ascii="宋体" w:hAnsi="宋体"/>
          <w:b/>
          <w:color w:val="000000"/>
          <w:sz w:val="32"/>
          <w:szCs w:val="32"/>
          <w:highlight w:val="none"/>
        </w:rPr>
        <w:t xml:space="preserve"> </w:t>
      </w:r>
      <w:r>
        <w:rPr>
          <w:rFonts w:ascii="宋体" w:hAnsi="宋体"/>
          <w:b/>
          <w:color w:val="000000"/>
          <w:sz w:val="32"/>
          <w:szCs w:val="32"/>
          <w:highlight w:val="none"/>
        </w:rPr>
        <w:t xml:space="preserve">城</w:t>
      </w:r>
      <w:r>
        <w:rPr>
          <w:rFonts w:hint="eastAsia" w:ascii="宋体" w:hAnsi="宋体"/>
          <w:b/>
          <w:color w:val="000000"/>
          <w:sz w:val="32"/>
          <w:szCs w:val="32"/>
          <w:highlight w:val="none"/>
        </w:rPr>
        <w:t xml:space="preserve"> </w:t>
      </w:r>
      <w:r>
        <w:rPr>
          <w:rFonts w:ascii="宋体" w:hAnsi="宋体"/>
          <w:b/>
          <w:color w:val="000000"/>
          <w:sz w:val="32"/>
          <w:szCs w:val="32"/>
          <w:highlight w:val="none"/>
        </w:rPr>
        <w:t xml:space="preserve">乡</w:t>
      </w:r>
      <w:r>
        <w:rPr>
          <w:rFonts w:hint="eastAsia" w:ascii="宋体" w:hAnsi="宋体"/>
          <w:b/>
          <w:color w:val="000000"/>
          <w:sz w:val="32"/>
          <w:szCs w:val="32"/>
          <w:highlight w:val="none"/>
        </w:rPr>
        <w:t xml:space="preserve"> </w:t>
      </w:r>
      <w:r>
        <w:rPr>
          <w:rFonts w:ascii="宋体" w:hAnsi="宋体"/>
          <w:b/>
          <w:color w:val="000000"/>
          <w:sz w:val="32"/>
          <w:szCs w:val="32"/>
          <w:highlight w:val="none"/>
        </w:rPr>
        <w:t xml:space="preserve">建</w:t>
      </w:r>
      <w:r>
        <w:rPr>
          <w:rFonts w:hint="eastAsia" w:ascii="宋体" w:hAnsi="宋体"/>
          <w:b/>
          <w:color w:val="000000"/>
          <w:sz w:val="32"/>
          <w:szCs w:val="32"/>
          <w:highlight w:val="none"/>
        </w:rPr>
        <w:t xml:space="preserve"> </w:t>
      </w:r>
      <w:r>
        <w:rPr>
          <w:rFonts w:ascii="宋体" w:hAnsi="宋体"/>
          <w:b/>
          <w:color w:val="000000"/>
          <w:sz w:val="32"/>
          <w:szCs w:val="32"/>
          <w:highlight w:val="none"/>
        </w:rPr>
        <w:t xml:space="preserve">设</w:t>
      </w:r>
      <w:r>
        <w:rPr>
          <w:rFonts w:hint="eastAsia" w:ascii="宋体" w:hAnsi="宋体"/>
          <w:b/>
          <w:color w:val="000000"/>
          <w:sz w:val="32"/>
          <w:szCs w:val="32"/>
          <w:highlight w:val="none"/>
        </w:rPr>
        <w:t xml:space="preserve"> </w:t>
      </w:r>
      <w:r>
        <w:rPr>
          <w:rFonts w:ascii="宋体" w:hAnsi="宋体"/>
          <w:b/>
          <w:color w:val="000000"/>
          <w:sz w:val="32"/>
          <w:szCs w:val="32"/>
          <w:highlight w:val="none"/>
        </w:rPr>
        <w:t xml:space="preserve">部</w:t>
      </w:r>
      <w:r/>
    </w:p>
    <w:p>
      <w:pPr>
        <w:ind w:right="2440" w:firstLine="2554"/>
        <w:jc w:val="both"/>
        <w:rPr>
          <w:b/>
          <w:color w:val="000000"/>
          <w:sz w:val="32"/>
          <w:szCs w:val="32"/>
          <w:highlight w:val="none"/>
        </w:rPr>
      </w:pPr>
      <w:r>
        <w:rPr>
          <w:rFonts w:ascii="宋体" w:hAnsi="宋体"/>
          <w:b/>
          <w:color w:val="000000"/>
          <w:sz w:val="32"/>
          <w:szCs w:val="32"/>
          <w:highlight w:val="none"/>
        </w:rPr>
        <w:t xml:space="preserve">国家工商行政管理总局</w:t>
      </w:r>
      <w:r/>
    </w:p>
    <w:p>
      <w:pPr>
        <w:spacing w:line="360" w:lineRule="auto"/>
        <w:rPr>
          <w:highlight w:val="none"/>
        </w:rPr>
      </w:pPr>
      <w:r/>
      <w:bookmarkStart w:id="58" w:name="_Toc351203480"/>
      <w:r/>
      <w:bookmarkStart w:id="59" w:name="_Toc296503025"/>
      <w:r/>
      <w:bookmarkStart w:id="60" w:name="_Toc296890982"/>
      <w:r>
        <w:rPr>
          <w:highlight w:val="none"/>
        </w:rPr>
        <w:br w:type="page" w:clear="all"/>
      </w:r>
      <w:r/>
    </w:p>
    <w:p>
      <w:pPr>
        <w:pStyle w:val="899"/>
        <w:spacing w:line="360" w:lineRule="auto"/>
        <w:rPr>
          <w:highlight w:val="none"/>
        </w:rPr>
        <w:sectPr>
          <w:footerReference w:type="default" r:id="rId17"/>
          <w:footerReference w:type="first" r:id="rId18"/>
          <w:footnotePr/>
          <w:endnotePr/>
          <w:type w:val="nextPage"/>
          <w:pgSz w:w="11906" w:h="16838" w:orient="portrait"/>
          <w:pgMar w:top="1418" w:right="1375" w:bottom="1418" w:left="1531" w:header="851" w:footer="992" w:gutter="0"/>
          <w:pgNumType w:start="1"/>
          <w:cols w:num="1" w:sep="0" w:space="1701" w:equalWidth="1"/>
          <w:docGrid w:linePitch="360"/>
        </w:sectPr>
      </w:pPr>
      <w:r>
        <w:rPr>
          <w:highlight w:val="none"/>
        </w:rPr>
      </w:r>
      <w:r/>
    </w:p>
    <w:p>
      <w:pPr>
        <w:jc w:val="center"/>
        <w:rPr>
          <w:rFonts w:ascii="宋体" w:hAnsi="宋体" w:cs="宋体"/>
          <w:b/>
          <w:bCs/>
          <w:color w:val="000000"/>
          <w:sz w:val="32"/>
          <w:szCs w:val="32"/>
          <w:highlight w:val="none"/>
        </w:rPr>
        <w:outlineLvl w:val="1"/>
      </w:pPr>
      <w:r/>
      <w:bookmarkStart w:id="61" w:name="_Toc12051"/>
      <w:r>
        <w:rPr>
          <w:rFonts w:hint="eastAsia" w:ascii="宋体" w:hAnsi="宋体" w:cs="宋体"/>
          <w:b/>
          <w:bCs/>
          <w:color w:val="000000"/>
          <w:sz w:val="32"/>
          <w:szCs w:val="32"/>
          <w:highlight w:val="none"/>
        </w:rPr>
        <w:t xml:space="preserve">第一部分 合同协议书</w:t>
      </w:r>
      <w:bookmarkEnd w:id="58"/>
      <w:r/>
      <w:bookmarkEnd w:id="59"/>
      <w:r/>
      <w:bookmarkEnd w:id="60"/>
      <w:r/>
      <w:bookmarkEnd w:id="61"/>
      <w:r/>
      <w:r/>
    </w:p>
    <w:p>
      <w:pPr>
        <w:jc w:val="center"/>
        <w:rPr>
          <w:rFonts w:ascii="宋体" w:hAnsi="宋体" w:cs="宋体"/>
          <w:b/>
          <w:bCs/>
          <w:color w:val="000000"/>
          <w:sz w:val="32"/>
          <w:szCs w:val="32"/>
          <w:highlight w:val="none"/>
        </w:rPr>
      </w:pPr>
      <w:r>
        <w:rPr>
          <w:rFonts w:ascii="宋体" w:hAnsi="宋体" w:cs="宋体"/>
          <w:b/>
          <w:bCs/>
          <w:color w:val="000000"/>
          <w:sz w:val="32"/>
          <w:szCs w:val="32"/>
          <w:highlight w:val="none"/>
        </w:rPr>
      </w:r>
      <w:r/>
    </w:p>
    <w:p>
      <w:pPr>
        <w:spacing w:line="360" w:lineRule="auto"/>
        <w:rPr>
          <w:rFonts w:ascii="宋体" w:hAnsi="宋体" w:eastAsia="Calibri" w:cs="宋体"/>
          <w:b/>
          <w:color w:val="000000"/>
          <w:sz w:val="28"/>
          <w:szCs w:val="28"/>
          <w:highlight w:val="none"/>
          <w:u w:val="single"/>
        </w:rPr>
      </w:pPr>
      <w:r>
        <w:rPr>
          <w:rFonts w:hint="eastAsia" w:ascii="宋体" w:hAnsi="宋体" w:cs="宋体"/>
          <w:b/>
          <w:color w:val="000000"/>
          <w:sz w:val="28"/>
          <w:szCs w:val="28"/>
          <w:highlight w:val="none"/>
        </w:rPr>
        <w:t xml:space="preserve">采购人（以下简称“发包人”）：</w:t>
      </w:r>
      <w:r>
        <w:rPr>
          <w:rFonts w:hint="eastAsia" w:ascii="宋体" w:hAnsi="宋体" w:cs="宋体"/>
          <w:b/>
          <w:color w:val="000000"/>
          <w:sz w:val="28"/>
          <w:szCs w:val="28"/>
          <w:highlight w:val="none"/>
          <w:u w:val="single"/>
        </w:rPr>
        <w:t xml:space="preserve">江苏省五台山体育中心</w:t>
      </w:r>
      <w:r/>
    </w:p>
    <w:p>
      <w:pPr>
        <w:spacing w:line="360" w:lineRule="auto"/>
        <w:rPr>
          <w:color w:val="000000"/>
          <w:sz w:val="24"/>
          <w:highlight w:val="none"/>
          <w:u w:val="single"/>
        </w:rPr>
      </w:pPr>
      <w:r>
        <w:rPr>
          <w:rFonts w:hint="eastAsia" w:ascii="宋体" w:hAnsi="宋体" w:cs="宋体"/>
          <w:b/>
          <w:color w:val="000000"/>
          <w:sz w:val="28"/>
          <w:szCs w:val="28"/>
          <w:highlight w:val="none"/>
        </w:rPr>
        <w:t xml:space="preserve">供应商（以下简称“承包人”）：</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根据《中华人民共和国民法典》《中华人民共和国建筑法》《中华人民共和国电力法》</w:t>
      </w:r>
      <w:r>
        <w:rPr>
          <w:rFonts w:hint="eastAsia" w:ascii="宋体" w:hAnsi="宋体" w:cs="宋体"/>
          <w:color w:val="000000"/>
          <w:sz w:val="24"/>
          <w:highlight w:val="none"/>
          <w:u w:val="none"/>
        </w:rPr>
        <w:t xml:space="preserve">《中华人民共和国招标投标法》</w:t>
      </w:r>
      <w:r>
        <w:rPr>
          <w:rFonts w:hint="eastAsia" w:ascii="宋体" w:hAnsi="宋体" w:cs="宋体"/>
          <w:color w:val="000000"/>
          <w:sz w:val="24"/>
          <w:highlight w:val="none"/>
        </w:rPr>
        <w:t xml:space="preserve">及其他有关法律规定，遵循平等、自愿、公平和诚实信用的原则，双方就</w:t>
      </w:r>
      <w:r>
        <w:rPr>
          <w:rFonts w:hint="eastAsia" w:ascii="宋体" w:hAnsi="宋体" w:cs="宋体"/>
          <w:color w:val="000000"/>
          <w:sz w:val="24"/>
          <w:highlight w:val="none"/>
          <w:u w:val="single"/>
        </w:rPr>
        <w:t xml:space="preserve">2026年江苏省五台山体育中心重大体育设施建设（供电增容）工程</w:t>
      </w:r>
      <w:r>
        <w:rPr>
          <w:rFonts w:hint="eastAsia" w:ascii="宋体" w:hAnsi="宋体" w:cs="宋体"/>
          <w:color w:val="000000"/>
          <w:sz w:val="24"/>
          <w:highlight w:val="none"/>
        </w:rPr>
        <w:t xml:space="preserve">及有关事项协商一致，共同达成如下协议：</w:t>
      </w:r>
      <w:r/>
    </w:p>
    <w:p>
      <w:pPr>
        <w:spacing w:line="360" w:lineRule="auto"/>
        <w:rPr>
          <w:rFonts w:ascii="宋体" w:hAnsi="宋体" w:cs="宋体"/>
          <w:b/>
          <w:bCs/>
          <w:color w:val="000000"/>
          <w:sz w:val="24"/>
          <w:highlight w:val="none"/>
        </w:rPr>
        <w:outlineLvl w:val="3"/>
      </w:pPr>
      <w:r/>
      <w:bookmarkStart w:id="62" w:name="_Toc351203481"/>
      <w:r>
        <w:rPr>
          <w:rFonts w:hint="eastAsia" w:ascii="宋体" w:hAnsi="宋体" w:cs="宋体"/>
          <w:bCs/>
          <w:color w:val="000000"/>
          <w:sz w:val="24"/>
          <w:highlight w:val="none"/>
        </w:rPr>
        <w:t xml:space="preserve">一、工程概况</w:t>
      </w:r>
      <w:bookmarkEnd w:id="62"/>
      <w:r/>
      <w:r/>
    </w:p>
    <w:p>
      <w:pPr>
        <w:ind w:firstLine="480"/>
        <w:spacing w:line="360" w:lineRule="auto"/>
        <w:rPr>
          <w:rFonts w:ascii="宋体" w:hAnsi="宋体" w:eastAsia="Calibri" w:cs="宋体"/>
          <w:bCs/>
          <w:color w:val="000000"/>
          <w:sz w:val="24"/>
          <w:highlight w:val="none"/>
        </w:rPr>
      </w:pPr>
      <w:r>
        <w:rPr>
          <w:rFonts w:hint="eastAsia" w:ascii="宋体" w:hAnsi="宋体" w:eastAsia="Calibri" w:cs="宋体"/>
          <w:bCs/>
          <w:color w:val="000000"/>
          <w:sz w:val="24"/>
          <w:highlight w:val="none"/>
        </w:rPr>
        <w:t xml:space="preserve">1.</w:t>
      </w:r>
      <w:r>
        <w:rPr>
          <w:rFonts w:hint="eastAsia" w:ascii="宋体" w:hAnsi="宋体" w:cs="宋体"/>
          <w:bCs/>
          <w:color w:val="000000"/>
          <w:sz w:val="24"/>
          <w:highlight w:val="none"/>
        </w:rPr>
        <w:t xml:space="preserve">工程名称：</w:t>
      </w:r>
      <w:r>
        <w:rPr>
          <w:rFonts w:hint="eastAsia" w:ascii="宋体" w:hAnsi="宋体" w:cs="宋体"/>
          <w:color w:val="000000"/>
          <w:sz w:val="24"/>
          <w:highlight w:val="none"/>
          <w:u w:val="single"/>
        </w:rPr>
        <w:t xml:space="preserve">2026年江苏省五台山体育中心重大体育设施建设（供电增容）工程</w:t>
      </w:r>
      <w:r>
        <w:rPr>
          <w:rFonts w:hint="eastAsia" w:ascii="宋体" w:hAnsi="宋体" w:cs="宋体"/>
          <w:color w:val="000000"/>
          <w:sz w:val="24"/>
          <w:highlight w:val="none"/>
        </w:rPr>
        <w:t xml:space="preserve">。</w:t>
      </w:r>
      <w:r/>
    </w:p>
    <w:p>
      <w:pPr>
        <w:ind w:firstLine="480"/>
        <w:jc w:val="left"/>
        <w:spacing w:line="360" w:lineRule="auto"/>
        <w:rPr>
          <w:rFonts w:ascii="宋体" w:hAnsi="宋体" w:eastAsia="Calibri" w:cs="宋体"/>
          <w:bCs/>
          <w:color w:val="000000"/>
          <w:sz w:val="24"/>
          <w:highlight w:val="none"/>
        </w:rPr>
      </w:pPr>
      <w:r>
        <w:rPr>
          <w:rFonts w:hint="eastAsia" w:ascii="宋体" w:hAnsi="宋体" w:eastAsia="Calibri" w:cs="宋体"/>
          <w:bCs/>
          <w:color w:val="000000"/>
          <w:sz w:val="24"/>
          <w:highlight w:val="none"/>
        </w:rPr>
        <w:t xml:space="preserve">2.</w:t>
      </w:r>
      <w:r>
        <w:rPr>
          <w:rFonts w:hint="eastAsia" w:ascii="宋体" w:hAnsi="宋体" w:cs="宋体"/>
          <w:bCs/>
          <w:color w:val="000000"/>
          <w:sz w:val="24"/>
          <w:highlight w:val="none"/>
        </w:rPr>
        <w:t xml:space="preserve">工程地点：</w:t>
      </w:r>
      <w:r>
        <w:rPr>
          <w:rFonts w:hint="eastAsia" w:ascii="宋体" w:hAnsi="宋体" w:cs="宋体"/>
          <w:color w:val="000000"/>
          <w:sz w:val="24"/>
          <w:highlight w:val="none"/>
          <w:u w:val="single"/>
        </w:rPr>
        <w:t xml:space="preserve">南京市鼓楼区五台山1-6号。</w:t>
      </w:r>
      <w:r/>
    </w:p>
    <w:p>
      <w:pPr>
        <w:ind w:firstLine="480"/>
        <w:spacing w:line="360" w:lineRule="auto"/>
        <w:rPr>
          <w:rFonts w:ascii="宋体" w:hAnsi="宋体" w:eastAsia="Calibri" w:cs="宋体"/>
          <w:bCs/>
          <w:color w:val="000000"/>
          <w:sz w:val="24"/>
          <w:highlight w:val="none"/>
        </w:rPr>
      </w:pPr>
      <w:r>
        <w:rPr>
          <w:rFonts w:hint="eastAsia" w:ascii="宋体" w:hAnsi="宋体" w:eastAsia="Calibri" w:cs="宋体"/>
          <w:bCs/>
          <w:color w:val="000000"/>
          <w:sz w:val="24"/>
          <w:highlight w:val="none"/>
        </w:rPr>
        <w:t xml:space="preserve">3.</w:t>
      </w:r>
      <w:r>
        <w:rPr>
          <w:rFonts w:hint="eastAsia" w:ascii="宋体" w:hAnsi="宋体" w:cs="宋体"/>
          <w:bCs/>
          <w:color w:val="000000"/>
          <w:sz w:val="24"/>
          <w:highlight w:val="none"/>
        </w:rPr>
        <w:t xml:space="preserve">工程立项批准文号：</w:t>
      </w:r>
      <w:r>
        <w:rPr>
          <w:rFonts w:hint="eastAsia" w:ascii="宋体" w:hAnsi="宋体" w:cs="宋体"/>
          <w:bCs/>
          <w:color w:val="000000"/>
          <w:sz w:val="24"/>
          <w:highlight w:val="none"/>
          <w:u w:val="single"/>
          <w:lang w:val="en-US" w:eastAsia="zh-CN"/>
        </w:rPr>
        <w:t xml:space="preserve">苏体经[2026]6号</w:t>
      </w:r>
      <w:r>
        <w:rPr>
          <w:rFonts w:hint="eastAsia" w:ascii="宋体" w:hAnsi="宋体" w:cs="宋体"/>
          <w:bCs/>
          <w:color w:val="000000"/>
          <w:sz w:val="24"/>
          <w:highlight w:val="none"/>
        </w:rPr>
        <w:t xml:space="preserve">。</w:t>
      </w:r>
      <w:r/>
    </w:p>
    <w:p>
      <w:pPr>
        <w:ind w:firstLine="480"/>
        <w:jc w:val="left"/>
        <w:spacing w:line="360" w:lineRule="auto"/>
        <w:rPr>
          <w:rFonts w:ascii="宋体" w:hAnsi="宋体" w:eastAsia="Calibri" w:cs="宋体"/>
          <w:bCs/>
          <w:color w:val="000000"/>
          <w:sz w:val="24"/>
          <w:highlight w:val="none"/>
        </w:rPr>
      </w:pPr>
      <w:r>
        <w:rPr>
          <w:rFonts w:hint="eastAsia" w:ascii="宋体" w:hAnsi="宋体" w:eastAsia="Calibri" w:cs="宋体"/>
          <w:bCs/>
          <w:color w:val="000000"/>
          <w:sz w:val="24"/>
          <w:highlight w:val="none"/>
        </w:rPr>
        <w:t xml:space="preserve">4.</w:t>
      </w:r>
      <w:r>
        <w:rPr>
          <w:rFonts w:hint="eastAsia" w:ascii="宋体" w:hAnsi="宋体" w:cs="宋体"/>
          <w:bCs/>
          <w:color w:val="000000"/>
          <w:sz w:val="24"/>
          <w:highlight w:val="none"/>
        </w:rPr>
        <w:t xml:space="preserve">资金来源：</w:t>
      </w:r>
      <w:r>
        <w:rPr>
          <w:rFonts w:hint="eastAsia" w:ascii="宋体" w:hAnsi="宋体" w:cs="宋体"/>
          <w:color w:val="000000"/>
          <w:sz w:val="24"/>
          <w:highlight w:val="none"/>
          <w:u w:val="single"/>
        </w:rPr>
        <w:t xml:space="preserve">财政资金</w:t>
      </w:r>
      <w:r>
        <w:rPr>
          <w:rFonts w:hint="eastAsia" w:ascii="宋体" w:hAnsi="宋体" w:cs="宋体"/>
          <w:bCs/>
          <w:color w:val="000000"/>
          <w:sz w:val="24"/>
          <w:highlight w:val="none"/>
        </w:rPr>
        <w:t xml:space="preserve">。</w:t>
      </w:r>
      <w:r/>
    </w:p>
    <w:p>
      <w:pPr>
        <w:ind w:firstLine="480"/>
        <w:spacing w:line="360" w:lineRule="auto"/>
        <w:rPr>
          <w:rFonts w:ascii="宋体" w:hAnsi="宋体" w:cs="宋体"/>
          <w:color w:val="000000"/>
          <w:sz w:val="24"/>
          <w:highlight w:val="none"/>
          <w:u w:val="single"/>
        </w:rPr>
      </w:pPr>
      <w:r>
        <w:rPr>
          <w:rFonts w:hint="eastAsia" w:ascii="宋体" w:hAnsi="宋体" w:eastAsia="Calibri" w:cs="宋体"/>
          <w:bCs/>
          <w:color w:val="000000"/>
          <w:sz w:val="24"/>
          <w:highlight w:val="none"/>
        </w:rPr>
        <w:t xml:space="preserve">5.</w:t>
      </w:r>
      <w:r>
        <w:rPr>
          <w:rFonts w:hint="eastAsia" w:ascii="宋体" w:hAnsi="宋体" w:cs="宋体"/>
          <w:bCs/>
          <w:color w:val="000000"/>
          <w:sz w:val="24"/>
          <w:highlight w:val="none"/>
        </w:rPr>
        <w:t xml:space="preserve">工程内容：</w:t>
      </w:r>
      <w:r>
        <w:rPr>
          <w:rFonts w:hint="eastAsia" w:ascii="宋体" w:hAnsi="宋体" w:cs="宋体"/>
          <w:color w:val="000000"/>
          <w:sz w:val="24"/>
          <w:highlight w:val="none"/>
          <w:u w:val="single"/>
        </w:rPr>
        <w:t xml:space="preserve">2026年江苏省五台山体育中心重大体育设施建设（供电增容）工程，体育中心变电站分别于2008年、2012年进行了改造，总容量9030千伏安。近年来，随着体育中心空调系统、照明系统、显示系统不断更新，用电容量已经告急，亟需增容。</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bCs/>
          <w:color w:val="000000"/>
          <w:sz w:val="24"/>
          <w:highlight w:val="none"/>
        </w:rPr>
        <w:t xml:space="preserve">6.</w:t>
      </w:r>
      <w:r>
        <w:rPr>
          <w:rFonts w:hint="eastAsia" w:ascii="宋体" w:hAnsi="宋体" w:cs="宋体"/>
          <w:bCs/>
          <w:color w:val="000000"/>
          <w:sz w:val="24"/>
          <w:highlight w:val="none"/>
        </w:rPr>
        <w:t xml:space="preserve">工程承包范围：</w:t>
      </w:r>
      <w:r>
        <w:rPr>
          <w:rFonts w:hint="eastAsia" w:ascii="宋体" w:hAnsi="宋体" w:cs="宋体"/>
          <w:color w:val="000000"/>
          <w:sz w:val="24"/>
          <w:highlight w:val="none"/>
          <w:u w:val="single"/>
        </w:rPr>
        <w:t xml:space="preserve">改造网球馆变电所闲置一层为新变电所，新上2台1000千伏安变电所，将健身馆630千伏安变电所改为体育中心高压供电。设计新建变电所低压出线电缆、配套管道及游泳跳水馆低压配电间。另改造综合训练馆、康复中心楼低压用电由体育中心统一供电，具体详见图纸、工程量清单等</w:t>
      </w:r>
      <w:r>
        <w:rPr>
          <w:rFonts w:hint="eastAsia" w:ascii="宋体" w:hAnsi="宋体" w:cs="宋体"/>
          <w:color w:val="000000"/>
          <w:sz w:val="24"/>
          <w:highlight w:val="none"/>
        </w:rPr>
        <w:t xml:space="preserve">。</w:t>
      </w:r>
      <w:r/>
    </w:p>
    <w:p>
      <w:pPr>
        <w:spacing w:line="360" w:lineRule="auto"/>
        <w:rPr>
          <w:rFonts w:ascii="宋体" w:hAnsi="宋体" w:cs="宋体"/>
          <w:bCs/>
          <w:color w:val="000000"/>
          <w:sz w:val="24"/>
          <w:highlight w:val="none"/>
        </w:rPr>
        <w:outlineLvl w:val="3"/>
      </w:pPr>
      <w:r/>
      <w:bookmarkStart w:id="63" w:name="_Toc351203482"/>
      <w:r>
        <w:rPr>
          <w:rFonts w:hint="eastAsia" w:ascii="宋体" w:hAnsi="宋体" w:cs="宋体"/>
          <w:bCs/>
          <w:color w:val="000000"/>
          <w:sz w:val="24"/>
          <w:highlight w:val="none"/>
        </w:rPr>
        <w:t xml:space="preserve">二、合同工期</w:t>
      </w:r>
      <w:bookmarkEnd w:id="63"/>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计划开工日期：年月日。</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计划竣工日期：年月日。</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工期总日历天数</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rPr>
        <w:t xml:space="preserve">天。以开工报告批准日为实际开工日，工期总日历天数与根据前述计划开竣工日期计算的工期天数不一致的，以工期总日历天数为准。</w:t>
      </w:r>
      <w:r/>
    </w:p>
    <w:p>
      <w:pPr>
        <w:spacing w:line="360" w:lineRule="auto"/>
        <w:rPr>
          <w:rFonts w:ascii="宋体" w:hAnsi="宋体" w:eastAsia="Calibri" w:cs="宋体"/>
          <w:color w:val="000000"/>
          <w:sz w:val="24"/>
          <w:highlight w:val="none"/>
          <w:u w:val="single"/>
        </w:rPr>
        <w:outlineLvl w:val="3"/>
      </w:pPr>
      <w:r/>
      <w:bookmarkStart w:id="64" w:name="_Toc351203483"/>
      <w:r>
        <w:rPr>
          <w:rFonts w:hint="eastAsia" w:ascii="宋体" w:hAnsi="宋体" w:cs="宋体"/>
          <w:bCs/>
          <w:color w:val="000000"/>
          <w:sz w:val="24"/>
          <w:highlight w:val="none"/>
        </w:rPr>
        <w:t xml:space="preserve">三、质量标准</w:t>
      </w:r>
      <w:bookmarkEnd w:id="64"/>
      <w:r>
        <w:rPr>
          <w:rFonts w:hint="eastAsia" w:ascii="宋体" w:hAnsi="宋体" w:cs="宋体"/>
          <w:bCs/>
          <w:color w:val="000000"/>
          <w:sz w:val="24"/>
          <w:highlight w:val="none"/>
        </w:rPr>
        <w:t xml:space="preserve">：</w:t>
      </w:r>
      <w:r>
        <w:rPr>
          <w:rFonts w:hint="eastAsia" w:ascii="宋体" w:hAnsi="宋体" w:cs="宋体"/>
          <w:color w:val="000000"/>
          <w:sz w:val="24"/>
          <w:highlight w:val="none"/>
          <w:u w:val="single"/>
        </w:rPr>
        <w:t xml:space="preserve">符合国家质量验收标准</w:t>
      </w:r>
      <w:r/>
    </w:p>
    <w:p>
      <w:pPr>
        <w:spacing w:line="360" w:lineRule="auto"/>
        <w:rPr>
          <w:rFonts w:ascii="宋体" w:hAnsi="宋体" w:cs="宋体"/>
          <w:b/>
          <w:bCs/>
          <w:color w:val="000000"/>
          <w:sz w:val="24"/>
          <w:highlight w:val="none"/>
        </w:rPr>
        <w:outlineLvl w:val="3"/>
      </w:pPr>
      <w:r/>
      <w:bookmarkStart w:id="65" w:name="_Toc351203484"/>
      <w:r>
        <w:rPr>
          <w:rFonts w:hint="eastAsia" w:ascii="宋体" w:hAnsi="宋体" w:cs="宋体"/>
          <w:bCs/>
          <w:color w:val="000000"/>
          <w:sz w:val="24"/>
          <w:highlight w:val="none"/>
        </w:rPr>
        <w:t xml:space="preserve">四、签约合同价与合同价格形式</w:t>
      </w:r>
      <w:bookmarkEnd w:id="65"/>
      <w:r>
        <w:rPr>
          <w:rFonts w:hint="eastAsia" w:ascii="宋体" w:hAnsi="宋体" w:cs="宋体"/>
          <w:bCs/>
          <w:color w:val="000000"/>
          <w:sz w:val="24"/>
          <w:highlight w:val="none"/>
        </w:rPr>
        <w:tab/>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w:t>
      </w:r>
      <w:r>
        <w:rPr>
          <w:rFonts w:hint="eastAsia" w:ascii="宋体" w:hAnsi="宋体" w:cs="宋体"/>
          <w:color w:val="000000"/>
          <w:sz w:val="24"/>
          <w:highlight w:val="none"/>
        </w:rPr>
        <w:t xml:space="preserve">签约合同价为：</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人民币（大写： ）</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rPr>
        <w:t xml:space="preserve">小写：</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rPr>
        <w:t xml:space="preserve">元</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其中：</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1</w:t>
      </w:r>
      <w:r>
        <w:rPr>
          <w:rFonts w:hint="eastAsia" w:ascii="宋体" w:hAnsi="宋体" w:cs="宋体"/>
          <w:color w:val="000000"/>
          <w:sz w:val="24"/>
          <w:highlight w:val="none"/>
        </w:rPr>
        <w:t xml:space="preserve">）安全文明施工费：</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rPr>
        <w:t xml:space="preserve">小写：</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rPr>
        <w:t xml:space="preserve">元</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2</w:t>
      </w:r>
      <w:r>
        <w:rPr>
          <w:rFonts w:hint="eastAsia" w:ascii="宋体" w:hAnsi="宋体" w:cs="宋体"/>
          <w:color w:val="000000"/>
          <w:sz w:val="24"/>
          <w:highlight w:val="none"/>
        </w:rPr>
        <w:t xml:space="preserve">）材料和工程设备暂估价金额：</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eastAsia="Calibri"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rPr>
        <w:t xml:space="preserve">小写：</w:t>
      </w:r>
      <w:r>
        <w:rPr>
          <w:rFonts w:hint="eastAsia" w:ascii="宋体" w:hAnsi="宋体" w:eastAsia="Calibri" w:cs="宋体"/>
          <w:color w:val="000000"/>
          <w:sz w:val="24"/>
          <w:highlight w:val="none"/>
        </w:rPr>
        <w:t xml:space="preserve">¥</w:t>
      </w:r>
      <w:r>
        <w:rPr>
          <w:rFonts w:hint="eastAsia" w:ascii="宋体" w:hAnsi="宋体" w:eastAsia="Calibri"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3</w:t>
      </w:r>
      <w:r>
        <w:rPr>
          <w:rFonts w:hint="eastAsia" w:ascii="宋体" w:hAnsi="宋体" w:cs="宋体"/>
          <w:color w:val="000000"/>
          <w:sz w:val="24"/>
          <w:highlight w:val="none"/>
        </w:rPr>
        <w:t xml:space="preserve">）专业工程暂估价金额：</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eastAsia="Calibri"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rPr>
        <w:t xml:space="preserve">小写：</w:t>
      </w:r>
      <w:r>
        <w:rPr>
          <w:rFonts w:hint="eastAsia" w:ascii="宋体" w:hAnsi="宋体" w:eastAsia="Calibri" w:cs="宋体"/>
          <w:color w:val="000000"/>
          <w:sz w:val="24"/>
          <w:highlight w:val="none"/>
        </w:rPr>
        <w:t xml:space="preserve">¥</w:t>
      </w:r>
      <w:r>
        <w:rPr>
          <w:rFonts w:hint="eastAsia" w:ascii="宋体" w:hAnsi="宋体" w:eastAsia="Calibri" w:cs="宋体"/>
          <w:color w:val="000000"/>
          <w:sz w:val="24"/>
          <w:highlight w:val="none"/>
          <w:u w:val="single"/>
        </w:rPr>
        <w:t xml:space="preserve">  / </w:t>
      </w:r>
      <w:r>
        <w:rPr>
          <w:rFonts w:hint="eastAsia" w:ascii="宋体" w:hAnsi="宋体" w:cs="宋体"/>
          <w:color w:val="000000"/>
          <w:sz w:val="24"/>
          <w:highlight w:val="none"/>
          <w:u w:val="single"/>
        </w:rPr>
        <w:t xml:space="preserve">元</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rPr>
        <w:t xml:space="preserve">；</w:t>
      </w:r>
      <w:r/>
    </w:p>
    <w:p>
      <w:pPr>
        <w:numPr>
          <w:ilvl w:val="0"/>
          <w:numId w:val="1"/>
        </w:numPr>
        <w:ind w:firstLine="480"/>
        <w:jc w:val="left"/>
        <w:spacing w:line="360" w:lineRule="auto"/>
        <w:rPr>
          <w:rFonts w:ascii="宋体" w:hAnsi="宋体" w:eastAsia="Calibri" w:cs="宋体"/>
          <w:color w:val="000000"/>
          <w:sz w:val="24"/>
          <w:highlight w:val="none"/>
          <w:lang w:eastAsia="en-US"/>
        </w:rPr>
      </w:pPr>
      <w:r>
        <w:rPr>
          <w:rFonts w:hint="eastAsia" w:ascii="宋体" w:hAnsi="宋体" w:cs="宋体"/>
          <w:color w:val="000000"/>
          <w:sz w:val="24"/>
          <w:highlight w:val="none"/>
          <w:lang w:eastAsia="en-US"/>
        </w:rPr>
        <w:t xml:space="preserve">暂列金额：</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rPr>
        <w:t xml:space="preserve">小写：</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rPr>
        <w:t xml:space="preserve">元</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2.合同价格形式：</w:t>
      </w:r>
      <w:r>
        <w:rPr>
          <w:rFonts w:hint="eastAsia" w:ascii="宋体" w:hAnsi="宋体" w:cs="宋体"/>
          <w:color w:val="000000"/>
          <w:sz w:val="24"/>
          <w:highlight w:val="none"/>
          <w:u w:val="single"/>
        </w:rPr>
        <w:t xml:space="preserve">综合固定单价合同</w:t>
      </w:r>
      <w:r>
        <w:rPr>
          <w:rFonts w:hint="eastAsia" w:ascii="宋体" w:hAnsi="宋体" w:cs="宋体"/>
          <w:color w:val="000000"/>
          <w:sz w:val="24"/>
          <w:highlight w:val="none"/>
        </w:rPr>
        <w:t xml:space="preserve">。</w:t>
      </w:r>
      <w:r/>
    </w:p>
    <w:p>
      <w:pPr>
        <w:spacing w:line="360" w:lineRule="auto"/>
        <w:rPr>
          <w:rFonts w:ascii="宋体" w:hAnsi="宋体" w:cs="宋体"/>
          <w:bCs/>
          <w:color w:val="000000"/>
          <w:sz w:val="24"/>
          <w:highlight w:val="none"/>
        </w:rPr>
        <w:outlineLvl w:val="3"/>
      </w:pPr>
      <w:r/>
      <w:bookmarkStart w:id="66" w:name="_Toc351203485"/>
      <w:r>
        <w:rPr>
          <w:rFonts w:hint="eastAsia" w:ascii="宋体" w:hAnsi="宋体" w:cs="宋体"/>
          <w:bCs/>
          <w:color w:val="000000"/>
          <w:sz w:val="24"/>
          <w:highlight w:val="none"/>
        </w:rPr>
        <w:t xml:space="preserve">五、</w:t>
      </w:r>
      <w:bookmarkEnd w:id="66"/>
      <w:r>
        <w:rPr>
          <w:rFonts w:hint="eastAsia" w:ascii="宋体" w:hAnsi="宋体" w:cs="宋体"/>
          <w:bCs/>
          <w:color w:val="000000"/>
          <w:sz w:val="24"/>
          <w:highlight w:val="none"/>
        </w:rPr>
        <w:t xml:space="preserve">项目负责人</w:t>
      </w:r>
      <w:r/>
    </w:p>
    <w:p>
      <w:pPr>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承包人项目负责人：</w:t>
      </w:r>
      <w:r>
        <w:rPr>
          <w:rFonts w:hint="eastAsia" w:ascii="宋体" w:hAnsi="宋体" w:cs="宋体"/>
          <w:color w:val="000000"/>
          <w:sz w:val="24"/>
          <w:highlight w:val="none"/>
        </w:rPr>
        <w:t xml:space="preserve">证号：               </w:t>
      </w:r>
      <w:r/>
    </w:p>
    <w:p>
      <w:pPr>
        <w:spacing w:line="360" w:lineRule="auto"/>
        <w:rPr>
          <w:rFonts w:ascii="宋体" w:hAnsi="宋体" w:cs="宋体"/>
          <w:b/>
          <w:bCs/>
          <w:color w:val="000000"/>
          <w:sz w:val="24"/>
          <w:highlight w:val="none"/>
        </w:rPr>
        <w:outlineLvl w:val="3"/>
      </w:pPr>
      <w:r/>
      <w:bookmarkStart w:id="67" w:name="_Toc351203486"/>
      <w:r>
        <w:rPr>
          <w:rFonts w:hint="eastAsia" w:ascii="宋体" w:hAnsi="宋体" w:cs="宋体"/>
          <w:bCs/>
          <w:color w:val="000000"/>
          <w:sz w:val="24"/>
          <w:highlight w:val="none"/>
        </w:rPr>
        <w:t xml:space="preserve">六、合同文件构成</w:t>
      </w:r>
      <w:bookmarkEnd w:id="67"/>
      <w:r/>
      <w:r/>
    </w:p>
    <w:p>
      <w:pPr>
        <w:ind w:firstLine="480"/>
        <w:spacing w:line="360" w:lineRule="auto"/>
        <w:rPr>
          <w:rFonts w:ascii="宋体" w:hAnsi="宋体" w:eastAsia="Calibri" w:cs="宋体"/>
          <w:bCs/>
          <w:color w:val="000000"/>
          <w:sz w:val="24"/>
          <w:highlight w:val="none"/>
        </w:rPr>
      </w:pPr>
      <w:r>
        <w:rPr>
          <w:rFonts w:hint="eastAsia" w:ascii="宋体" w:hAnsi="宋体" w:cs="宋体"/>
          <w:bCs/>
          <w:color w:val="000000"/>
          <w:sz w:val="24"/>
          <w:highlight w:val="none"/>
        </w:rPr>
        <w:t xml:space="preserve">本协议书与下列文件一起构成合同文件：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1）合同协议书、补充协议书；（2）中标通知书；（3）专用合同条款及其附件；（4）通用合同条款；（5）投标函及其附录；（6）招标文件；（7）图纸；（8）已标价工程量清单或预算书；（9）技术标准和要求；（10）其他合同文件。</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在合同订立及履行过程中形成的与合同有关的文件均构成合同文件组成部分。</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ascii="宋体" w:hAnsi="宋体" w:cs="宋体"/>
          <w:bCs/>
          <w:color w:val="000000"/>
          <w:sz w:val="24"/>
          <w:highlight w:val="none"/>
        </w:rPr>
        <w:outlineLvl w:val="3"/>
      </w:pPr>
      <w:r/>
      <w:bookmarkStart w:id="68" w:name="_Toc351203487"/>
      <w:r>
        <w:rPr>
          <w:rFonts w:hint="eastAsia" w:ascii="宋体" w:hAnsi="宋体" w:cs="宋体"/>
          <w:bCs/>
          <w:color w:val="000000"/>
          <w:sz w:val="24"/>
          <w:highlight w:val="none"/>
        </w:rPr>
        <w:t xml:space="preserve">七、承诺</w:t>
      </w:r>
      <w:bookmarkEnd w:id="68"/>
      <w:r/>
      <w:r/>
    </w:p>
    <w:p>
      <w:pPr>
        <w:ind w:firstLine="480"/>
        <w:spacing w:line="360" w:lineRule="auto"/>
        <w:rPr>
          <w:rFonts w:ascii="宋体" w:hAnsi="宋体" w:eastAsia="Calibri" w:cs="宋体"/>
          <w:bCs/>
          <w:color w:val="000000"/>
          <w:sz w:val="24"/>
          <w:highlight w:val="none"/>
        </w:rPr>
      </w:pPr>
      <w:r>
        <w:rPr>
          <w:rFonts w:hint="eastAsia" w:ascii="宋体" w:hAnsi="宋体" w:eastAsia="Calibri" w:cs="宋体"/>
          <w:bCs/>
          <w:color w:val="000000"/>
          <w:sz w:val="24"/>
          <w:highlight w:val="none"/>
        </w:rPr>
        <w:t xml:space="preserve">1.</w:t>
      </w:r>
      <w:r>
        <w:rPr>
          <w:rFonts w:hint="eastAsia" w:ascii="宋体" w:hAnsi="宋体" w:cs="宋体"/>
          <w:bCs/>
          <w:color w:val="000000"/>
          <w:sz w:val="24"/>
          <w:highlight w:val="none"/>
        </w:rPr>
        <w:t xml:space="preserve">发包人承诺按照法律规定履行项目审批手续、筹集工程建设资金并按照合同约定的期限和方式支付合同价款。</w:t>
      </w:r>
      <w:r/>
    </w:p>
    <w:p>
      <w:pPr>
        <w:ind w:firstLine="480"/>
        <w:spacing w:line="360" w:lineRule="auto"/>
        <w:rPr>
          <w:rFonts w:ascii="宋体" w:hAnsi="宋体" w:eastAsia="Calibri" w:cs="宋体"/>
          <w:bCs/>
          <w:color w:val="000000"/>
          <w:sz w:val="24"/>
          <w:highlight w:val="none"/>
        </w:rPr>
      </w:pPr>
      <w:r>
        <w:rPr>
          <w:rFonts w:hint="eastAsia" w:ascii="宋体" w:hAnsi="宋体" w:eastAsia="Calibri" w:cs="宋体"/>
          <w:bCs/>
          <w:color w:val="000000"/>
          <w:sz w:val="24"/>
          <w:highlight w:val="none"/>
        </w:rPr>
        <w:t xml:space="preserve">2.</w:t>
      </w:r>
      <w:r>
        <w:rPr>
          <w:rFonts w:hint="eastAsia" w:ascii="宋体" w:hAnsi="宋体" w:cs="宋体"/>
          <w:bCs/>
          <w:color w:val="000000"/>
          <w:sz w:val="24"/>
          <w:highlight w:val="none"/>
        </w:rPr>
        <w:t xml:space="preserve">承包人承诺按照法律规定及合同约定组织完成工程施工，确保工程质量和安全，协助发包人完成供电部门用电手续，包送电，不进行转包及违法分包，并在缺陷责任期及保修期内承担相应的工程维修责任。</w:t>
      </w:r>
      <w:r/>
    </w:p>
    <w:p>
      <w:pPr>
        <w:ind w:firstLine="480"/>
        <w:spacing w:line="360" w:lineRule="auto"/>
        <w:rPr>
          <w:rFonts w:ascii="宋体" w:hAnsi="宋体" w:eastAsia="Calibri" w:cs="宋体"/>
          <w:bCs/>
          <w:color w:val="000000"/>
          <w:sz w:val="24"/>
          <w:highlight w:val="none"/>
        </w:rPr>
      </w:pPr>
      <w:r>
        <w:rPr>
          <w:rFonts w:hint="eastAsia" w:ascii="宋体" w:hAnsi="宋体" w:eastAsia="Calibri" w:cs="宋体"/>
          <w:bCs/>
          <w:color w:val="000000"/>
          <w:sz w:val="24"/>
          <w:highlight w:val="none"/>
        </w:rPr>
        <w:t xml:space="preserve">3.</w:t>
      </w:r>
      <w:r>
        <w:rPr>
          <w:rFonts w:hint="eastAsia" w:ascii="宋体" w:hAnsi="宋体" w:cs="宋体"/>
          <w:bCs/>
          <w:color w:val="000000"/>
          <w:sz w:val="24"/>
          <w:highlight w:val="none"/>
        </w:rPr>
        <w:t xml:space="preserve">发包人和承包人通过招投标形式签订合同的，双方理解并承诺不再就同一工程另行签订与合同实质性内容相背离的协议。</w:t>
      </w:r>
      <w:r/>
    </w:p>
    <w:p>
      <w:pPr>
        <w:spacing w:line="360" w:lineRule="auto"/>
        <w:rPr>
          <w:rFonts w:ascii="宋体" w:hAnsi="宋体" w:cs="宋体"/>
          <w:bCs/>
          <w:color w:val="000000"/>
          <w:sz w:val="24"/>
          <w:highlight w:val="none"/>
        </w:rPr>
        <w:outlineLvl w:val="3"/>
      </w:pPr>
      <w:r/>
      <w:bookmarkStart w:id="69" w:name="_Toc351203488"/>
      <w:r>
        <w:rPr>
          <w:rFonts w:hint="eastAsia" w:ascii="宋体" w:hAnsi="宋体" w:cs="宋体"/>
          <w:bCs/>
          <w:color w:val="000000"/>
          <w:sz w:val="24"/>
          <w:highlight w:val="none"/>
        </w:rPr>
        <w:t xml:space="preserve">八、词语含义</w:t>
      </w:r>
      <w:bookmarkEnd w:id="69"/>
      <w:r/>
      <w:r/>
    </w:p>
    <w:p>
      <w:pPr>
        <w:ind w:firstLine="480"/>
        <w:spacing w:line="360" w:lineRule="auto"/>
        <w:rPr>
          <w:rFonts w:ascii="宋体" w:hAnsi="宋体" w:eastAsia="Calibri" w:cs="宋体"/>
          <w:bCs/>
          <w:color w:val="000000"/>
          <w:sz w:val="24"/>
          <w:highlight w:val="none"/>
        </w:rPr>
      </w:pPr>
      <w:r>
        <w:rPr>
          <w:rFonts w:hint="eastAsia" w:ascii="宋体" w:hAnsi="宋体" w:cs="宋体"/>
          <w:bCs/>
          <w:color w:val="000000"/>
          <w:sz w:val="24"/>
          <w:highlight w:val="none"/>
        </w:rPr>
        <w:t xml:space="preserve">本协议书中词语含义与第二部分通用合同条款中赋予的含义相同。</w:t>
      </w:r>
      <w:r/>
    </w:p>
    <w:p>
      <w:pPr>
        <w:spacing w:line="360" w:lineRule="auto"/>
        <w:rPr>
          <w:rFonts w:ascii="宋体" w:hAnsi="宋体" w:cs="宋体"/>
          <w:b/>
          <w:bCs/>
          <w:color w:val="000000"/>
          <w:sz w:val="24"/>
          <w:highlight w:val="none"/>
        </w:rPr>
        <w:outlineLvl w:val="3"/>
      </w:pPr>
      <w:r/>
      <w:bookmarkStart w:id="70" w:name="_Toc351203489"/>
      <w:r>
        <w:rPr>
          <w:rFonts w:hint="eastAsia" w:ascii="宋体" w:hAnsi="宋体" w:cs="宋体"/>
          <w:bCs/>
          <w:color w:val="000000"/>
          <w:sz w:val="24"/>
          <w:highlight w:val="none"/>
        </w:rPr>
        <w:t xml:space="preserve">九、签订时间</w:t>
      </w:r>
      <w:bookmarkEnd w:id="70"/>
      <w:r/>
      <w:r/>
    </w:p>
    <w:p>
      <w:pPr>
        <w:ind w:left="358"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本合同于年月日签订。</w:t>
      </w:r>
      <w:r/>
    </w:p>
    <w:p>
      <w:pPr>
        <w:spacing w:line="360" w:lineRule="auto"/>
        <w:rPr>
          <w:rFonts w:ascii="宋体" w:hAnsi="宋体" w:cs="宋体"/>
          <w:b/>
          <w:bCs/>
          <w:color w:val="000000"/>
          <w:sz w:val="24"/>
          <w:highlight w:val="none"/>
        </w:rPr>
        <w:outlineLvl w:val="3"/>
      </w:pPr>
      <w:r/>
      <w:bookmarkStart w:id="71" w:name="_Toc351203490"/>
      <w:r>
        <w:rPr>
          <w:rFonts w:hint="eastAsia" w:ascii="宋体" w:hAnsi="宋体" w:cs="宋体"/>
          <w:bCs/>
          <w:color w:val="000000"/>
          <w:sz w:val="24"/>
          <w:highlight w:val="none"/>
        </w:rPr>
        <w:t xml:space="preserve">十、签订地点</w:t>
      </w:r>
      <w:bookmarkEnd w:id="71"/>
      <w:r/>
      <w:r/>
    </w:p>
    <w:p>
      <w:pPr>
        <w:ind w:firstLine="480"/>
        <w:spacing w:line="360" w:lineRule="auto"/>
        <w:rPr>
          <w:rFonts w:ascii="宋体" w:hAnsi="宋体" w:eastAsia="Calibri" w:cs="宋体"/>
          <w:bCs/>
          <w:color w:val="000000"/>
          <w:sz w:val="24"/>
          <w:highlight w:val="none"/>
        </w:rPr>
      </w:pPr>
      <w:r>
        <w:rPr>
          <w:rFonts w:hint="eastAsia" w:ascii="宋体" w:hAnsi="宋体" w:cs="宋体"/>
          <w:bCs/>
          <w:color w:val="000000"/>
          <w:sz w:val="24"/>
          <w:highlight w:val="none"/>
        </w:rPr>
        <w:t xml:space="preserve">本合同在</w:t>
      </w:r>
      <w:r>
        <w:rPr>
          <w:rFonts w:hint="eastAsia" w:ascii="宋体" w:hAnsi="宋体" w:cs="宋体"/>
          <w:bCs/>
          <w:color w:val="000000"/>
          <w:sz w:val="24"/>
          <w:highlight w:val="none"/>
          <w:u w:val="single"/>
          <w:lang w:val="zh-CN"/>
        </w:rPr>
        <w:t xml:space="preserve">南京市</w:t>
      </w:r>
      <w:r>
        <w:rPr>
          <w:rFonts w:hint="eastAsia" w:ascii="宋体" w:hAnsi="宋体" w:cs="宋体"/>
          <w:bCs/>
          <w:color w:val="000000"/>
          <w:sz w:val="24"/>
          <w:highlight w:val="none"/>
          <w:u w:val="single"/>
        </w:rPr>
        <w:t xml:space="preserve">鼓楼区</w:t>
      </w:r>
      <w:r>
        <w:rPr>
          <w:rFonts w:hint="eastAsia" w:ascii="宋体" w:hAnsi="宋体" w:cs="宋体"/>
          <w:bCs/>
          <w:color w:val="000000"/>
          <w:sz w:val="24"/>
          <w:highlight w:val="none"/>
          <w:u w:val="single"/>
          <w:lang w:val="en-US" w:eastAsia="zh-CN"/>
        </w:rPr>
        <w:t xml:space="preserve">五台山1-6号</w:t>
      </w:r>
      <w:r>
        <w:rPr>
          <w:rFonts w:hint="eastAsia" w:ascii="宋体" w:hAnsi="宋体" w:cs="宋体"/>
          <w:bCs/>
          <w:color w:val="000000"/>
          <w:sz w:val="24"/>
          <w:highlight w:val="none"/>
        </w:rPr>
        <w:t xml:space="preserve">签订。</w:t>
      </w:r>
      <w:r/>
    </w:p>
    <w:p>
      <w:pPr>
        <w:spacing w:line="360" w:lineRule="auto"/>
        <w:rPr>
          <w:rFonts w:ascii="宋体" w:hAnsi="宋体" w:cs="宋体"/>
          <w:b/>
          <w:bCs/>
          <w:color w:val="000000"/>
          <w:sz w:val="24"/>
          <w:highlight w:val="none"/>
        </w:rPr>
        <w:outlineLvl w:val="3"/>
      </w:pPr>
      <w:r/>
      <w:bookmarkStart w:id="72" w:name="_Toc351203491"/>
      <w:r>
        <w:rPr>
          <w:rFonts w:hint="eastAsia" w:ascii="宋体" w:hAnsi="宋体" w:cs="宋体"/>
          <w:bCs/>
          <w:color w:val="000000"/>
          <w:sz w:val="24"/>
          <w:highlight w:val="none"/>
        </w:rPr>
        <w:t xml:space="preserve">十一、补充协议</w:t>
      </w:r>
      <w:bookmarkEnd w:id="72"/>
      <w:r/>
      <w:r/>
    </w:p>
    <w:p>
      <w:pPr>
        <w:ind w:firstLine="480"/>
        <w:spacing w:line="360" w:lineRule="auto"/>
        <w:rPr>
          <w:rFonts w:ascii="宋体" w:hAnsi="宋体" w:eastAsia="Calibri" w:cs="宋体"/>
          <w:b/>
          <w:bCs/>
          <w:color w:val="000000"/>
          <w:sz w:val="24"/>
          <w:highlight w:val="none"/>
        </w:rPr>
      </w:pPr>
      <w:r>
        <w:rPr>
          <w:rFonts w:hint="eastAsia" w:ascii="宋体" w:hAnsi="宋体" w:cs="宋体"/>
          <w:bCs/>
          <w:color w:val="000000"/>
          <w:sz w:val="24"/>
          <w:highlight w:val="none"/>
        </w:rPr>
        <w:t xml:space="preserve">合同未尽事宜，合同当事人另行签订补充协议，补充协议是合同的组成部分。</w:t>
      </w:r>
      <w:r/>
    </w:p>
    <w:p>
      <w:pPr>
        <w:spacing w:line="360" w:lineRule="auto"/>
        <w:rPr>
          <w:rFonts w:ascii="宋体" w:hAnsi="宋体" w:cs="宋体"/>
          <w:b/>
          <w:bCs/>
          <w:color w:val="000000"/>
          <w:sz w:val="24"/>
          <w:highlight w:val="none"/>
        </w:rPr>
        <w:outlineLvl w:val="3"/>
      </w:pPr>
      <w:r/>
      <w:bookmarkStart w:id="73" w:name="_Toc351203492"/>
      <w:r>
        <w:rPr>
          <w:rFonts w:hint="eastAsia" w:ascii="宋体" w:hAnsi="宋体" w:cs="宋体"/>
          <w:bCs/>
          <w:color w:val="000000"/>
          <w:sz w:val="24"/>
          <w:highlight w:val="none"/>
        </w:rPr>
        <w:t xml:space="preserve">十二、合同生效</w:t>
      </w:r>
      <w:bookmarkEnd w:id="73"/>
      <w:r/>
      <w:r/>
    </w:p>
    <w:p>
      <w:pPr>
        <w:ind w:firstLine="480"/>
        <w:spacing w:line="360" w:lineRule="auto"/>
        <w:rPr>
          <w:rFonts w:ascii="宋体" w:hAnsi="宋体" w:eastAsia="Calibri" w:cs="宋体"/>
          <w:bCs/>
          <w:color w:val="000000"/>
          <w:sz w:val="24"/>
          <w:highlight w:val="none"/>
        </w:rPr>
      </w:pPr>
      <w:r>
        <w:rPr>
          <w:rFonts w:hint="eastAsia" w:ascii="宋体" w:hAnsi="宋体" w:cs="宋体"/>
          <w:bCs/>
          <w:color w:val="000000"/>
          <w:sz w:val="24"/>
          <w:highlight w:val="none"/>
        </w:rPr>
        <w:t xml:space="preserve">本合同自</w:t>
      </w:r>
      <w:r>
        <w:rPr>
          <w:rFonts w:hint="eastAsia" w:ascii="宋体" w:hAnsi="宋体" w:cs="宋体"/>
          <w:bCs/>
          <w:color w:val="000000"/>
          <w:sz w:val="24"/>
          <w:highlight w:val="none"/>
          <w:u w:val="single"/>
        </w:rPr>
        <w:t xml:space="preserve">双方法定代表或委托代理人签名并加盖单位公章之日起</w:t>
      </w:r>
      <w:r>
        <w:rPr>
          <w:rFonts w:hint="eastAsia" w:ascii="宋体" w:hAnsi="宋体" w:cs="宋体"/>
          <w:bCs/>
          <w:color w:val="000000"/>
          <w:sz w:val="24"/>
          <w:highlight w:val="none"/>
        </w:rPr>
        <w:t xml:space="preserve">生效。</w:t>
      </w:r>
      <w:r/>
    </w:p>
    <w:p>
      <w:pPr>
        <w:spacing w:line="360" w:lineRule="auto"/>
        <w:rPr>
          <w:rFonts w:ascii="宋体" w:hAnsi="宋体" w:cs="宋体"/>
          <w:b/>
          <w:bCs/>
          <w:color w:val="000000"/>
          <w:sz w:val="24"/>
          <w:highlight w:val="none"/>
        </w:rPr>
        <w:outlineLvl w:val="3"/>
      </w:pPr>
      <w:r/>
      <w:bookmarkStart w:id="74" w:name="_Toc351203493"/>
      <w:r>
        <w:rPr>
          <w:rFonts w:hint="eastAsia" w:ascii="宋体" w:hAnsi="宋体" w:cs="宋体"/>
          <w:bCs/>
          <w:color w:val="000000"/>
          <w:sz w:val="24"/>
          <w:highlight w:val="none"/>
        </w:rPr>
        <w:t xml:space="preserve">十三、合同份数</w:t>
      </w:r>
      <w:bookmarkEnd w:id="74"/>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本合同一式</w:t>
      </w:r>
      <w:r>
        <w:rPr>
          <w:rFonts w:hint="eastAsia" w:ascii="宋体" w:hAnsi="宋体" w:cs="宋体"/>
          <w:bCs/>
          <w:color w:val="000000"/>
          <w:sz w:val="24"/>
          <w:highlight w:val="none"/>
          <w:u w:val="single"/>
        </w:rPr>
        <w:t xml:space="preserve">陆</w:t>
      </w:r>
      <w:r>
        <w:rPr>
          <w:rFonts w:hint="eastAsia" w:ascii="宋体" w:hAnsi="宋体" w:cs="宋体"/>
          <w:bCs/>
          <w:color w:val="000000"/>
          <w:sz w:val="24"/>
          <w:highlight w:val="none"/>
        </w:rPr>
        <w:t xml:space="preserve">份，均具有同等法律效力，发包人执</w:t>
      </w:r>
      <w:r>
        <w:rPr>
          <w:rFonts w:hint="eastAsia" w:ascii="宋体" w:hAnsi="宋体" w:cs="宋体"/>
          <w:bCs/>
          <w:color w:val="000000"/>
          <w:sz w:val="24"/>
          <w:highlight w:val="none"/>
          <w:u w:val="single"/>
        </w:rPr>
        <w:t xml:space="preserve">肆</w:t>
      </w:r>
      <w:r>
        <w:rPr>
          <w:rFonts w:hint="eastAsia" w:ascii="宋体" w:hAnsi="宋体" w:cs="宋体"/>
          <w:bCs/>
          <w:color w:val="000000"/>
          <w:sz w:val="24"/>
          <w:highlight w:val="none"/>
        </w:rPr>
        <w:t xml:space="preserve">份，承包人执</w:t>
      </w:r>
      <w:r>
        <w:rPr>
          <w:rFonts w:hint="eastAsia" w:ascii="宋体" w:hAnsi="宋体" w:cs="宋体"/>
          <w:bCs/>
          <w:color w:val="000000"/>
          <w:sz w:val="24"/>
          <w:highlight w:val="none"/>
          <w:u w:val="single"/>
        </w:rPr>
        <w:t xml:space="preserve">贰</w:t>
      </w:r>
      <w:r>
        <w:rPr>
          <w:rFonts w:hint="eastAsia" w:ascii="宋体" w:hAnsi="宋体" w:cs="宋体"/>
          <w:bCs/>
          <w:color w:val="000000"/>
          <w:sz w:val="24"/>
          <w:highlight w:val="none"/>
        </w:rPr>
        <w:t xml:space="preserve">份。</w:t>
      </w:r>
      <w:r/>
    </w:p>
    <w:tbl>
      <w:tblPr>
        <w:tblStyle w:val="89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98"/>
        <w:gridCol w:w="2877"/>
        <w:gridCol w:w="1909"/>
        <w:gridCol w:w="2153"/>
      </w:tblGrid>
      <w:tr>
        <w:trPr/>
        <w:tc>
          <w:tcPr>
            <w:tcW w:w="2098" w:type="dxa"/>
            <w:vAlign w:val="center"/>
            <w:textDirection w:val="lrTb"/>
            <w:noWrap w:val="false"/>
          </w:tcPr>
          <w:p>
            <w:pPr>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发包人</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rPr>
              <w:t xml:space="preserve">公章</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rPr>
              <w:t xml:space="preserve">：</w:t>
            </w:r>
            <w:r/>
          </w:p>
        </w:tc>
        <w:tc>
          <w:tcPr>
            <w:tcW w:w="2877"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c>
          <w:tcPr>
            <w:tcW w:w="1909" w:type="dxa"/>
            <w:vAlign w:val="center"/>
            <w:textDirection w:val="lrTb"/>
            <w:noWrap w:val="false"/>
          </w:tcPr>
          <w:p>
            <w:pPr>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承包人</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rPr>
              <w:t xml:space="preserve">公章</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rPr>
              <w:t xml:space="preserve">：</w:t>
            </w:r>
            <w:r/>
          </w:p>
        </w:tc>
        <w:tc>
          <w:tcPr>
            <w:tcW w:w="2153"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r>
      <w:tr>
        <w:trPr/>
        <w:tc>
          <w:tcPr>
            <w:tcW w:w="2098" w:type="dxa"/>
            <w:vAlign w:val="center"/>
            <w:textDirection w:val="lrTb"/>
            <w:noWrap w:val="false"/>
          </w:tcPr>
          <w:p>
            <w:pPr>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法定代表人或其委托代理人（签字或盖章）：</w:t>
            </w:r>
            <w:r/>
          </w:p>
        </w:tc>
        <w:tc>
          <w:tcPr>
            <w:tcW w:w="2877"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c>
          <w:tcPr>
            <w:tcW w:w="1909" w:type="dxa"/>
            <w:vAlign w:val="center"/>
            <w:textDirection w:val="lrTb"/>
            <w:noWrap w:val="false"/>
          </w:tcPr>
          <w:p>
            <w:pPr>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法定代表人或其委托代理人（签字或盖章）：</w:t>
            </w:r>
            <w:r/>
          </w:p>
        </w:tc>
        <w:tc>
          <w:tcPr>
            <w:tcW w:w="2153"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r>
      <w:tr>
        <w:trPr/>
        <w:tc>
          <w:tcPr>
            <w:tcW w:w="2098"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组织机构代码：</w:t>
            </w:r>
            <w:r/>
          </w:p>
        </w:tc>
        <w:tc>
          <w:tcPr>
            <w:tcW w:w="2877"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c>
          <w:tcPr>
            <w:tcW w:w="1909" w:type="dxa"/>
            <w:vAlign w:val="center"/>
            <w:textDirection w:val="lrTb"/>
            <w:noWrap w:val="false"/>
          </w:tcPr>
          <w:p>
            <w:pPr>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组织机构代码：</w:t>
            </w:r>
            <w:r/>
          </w:p>
        </w:tc>
        <w:tc>
          <w:tcPr>
            <w:tcW w:w="2153"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r>
      <w:tr>
        <w:trPr/>
        <w:tc>
          <w:tcPr>
            <w:tcW w:w="2098"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w:t>
            </w:r>
            <w:r/>
          </w:p>
        </w:tc>
        <w:tc>
          <w:tcPr>
            <w:tcW w:w="2877"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c>
          <w:tcPr>
            <w:tcW w:w="1909" w:type="dxa"/>
            <w:vAlign w:val="center"/>
            <w:textDirection w:val="lrTb"/>
            <w:noWrap w:val="false"/>
          </w:tcPr>
          <w:p>
            <w:pPr>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地址：</w:t>
            </w:r>
            <w:r/>
          </w:p>
        </w:tc>
        <w:tc>
          <w:tcPr>
            <w:tcW w:w="2153"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r>
      <w:tr>
        <w:trPr/>
        <w:tc>
          <w:tcPr>
            <w:tcW w:w="2098"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邮政编码：</w:t>
            </w:r>
            <w:r/>
          </w:p>
        </w:tc>
        <w:tc>
          <w:tcPr>
            <w:tcW w:w="2877"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c>
          <w:tcPr>
            <w:tcW w:w="1909" w:type="dxa"/>
            <w:vAlign w:val="center"/>
            <w:textDirection w:val="lrTb"/>
            <w:noWrap w:val="false"/>
          </w:tcPr>
          <w:p>
            <w:pPr>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邮政编码：</w:t>
            </w:r>
            <w:r/>
          </w:p>
        </w:tc>
        <w:tc>
          <w:tcPr>
            <w:tcW w:w="2153"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r>
      <w:tr>
        <w:trPr/>
        <w:tc>
          <w:tcPr>
            <w:tcW w:w="2098"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w:t>
            </w:r>
            <w:r/>
          </w:p>
        </w:tc>
        <w:tc>
          <w:tcPr>
            <w:tcW w:w="2877"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c>
          <w:tcPr>
            <w:tcW w:w="1909" w:type="dxa"/>
            <w:vAlign w:val="center"/>
            <w:textDirection w:val="lrTb"/>
            <w:noWrap w:val="false"/>
          </w:tcPr>
          <w:p>
            <w:pPr>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电话：</w:t>
            </w:r>
            <w:r/>
          </w:p>
        </w:tc>
        <w:tc>
          <w:tcPr>
            <w:tcW w:w="2153"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r>
      <w:tr>
        <w:trPr/>
        <w:tc>
          <w:tcPr>
            <w:tcW w:w="2098"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传真：</w:t>
            </w:r>
            <w:r/>
          </w:p>
        </w:tc>
        <w:tc>
          <w:tcPr>
            <w:tcW w:w="2877"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c>
          <w:tcPr>
            <w:tcW w:w="1909" w:type="dxa"/>
            <w:vAlign w:val="center"/>
            <w:textDirection w:val="lrTb"/>
            <w:noWrap w:val="false"/>
          </w:tcPr>
          <w:p>
            <w:pPr>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传真：</w:t>
            </w:r>
            <w:r/>
          </w:p>
        </w:tc>
        <w:tc>
          <w:tcPr>
            <w:tcW w:w="2153"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r>
      <w:tr>
        <w:trPr/>
        <w:tc>
          <w:tcPr>
            <w:tcW w:w="2098"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电子信箱：</w:t>
            </w:r>
            <w:r/>
          </w:p>
        </w:tc>
        <w:tc>
          <w:tcPr>
            <w:tcW w:w="2877"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c>
          <w:tcPr>
            <w:tcW w:w="1909" w:type="dxa"/>
            <w:vAlign w:val="center"/>
            <w:textDirection w:val="lrTb"/>
            <w:noWrap w:val="false"/>
          </w:tcPr>
          <w:p>
            <w:pPr>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电子信箱：</w:t>
            </w:r>
            <w:r/>
          </w:p>
        </w:tc>
        <w:tc>
          <w:tcPr>
            <w:tcW w:w="2153"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r>
      <w:tr>
        <w:trPr/>
        <w:tc>
          <w:tcPr>
            <w:tcW w:w="2098" w:type="dxa"/>
            <w:vAlign w:val="center"/>
            <w:textDirection w:val="lrTb"/>
            <w:noWrap w:val="false"/>
          </w:tcPr>
          <w:p>
            <w:pPr>
              <w:ind w:left="6240" w:hanging="6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开户银行：</w:t>
            </w:r>
            <w:r/>
          </w:p>
        </w:tc>
        <w:tc>
          <w:tcPr>
            <w:tcW w:w="2877"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c>
          <w:tcPr>
            <w:tcW w:w="1909" w:type="dxa"/>
            <w:vAlign w:val="center"/>
            <w:textDirection w:val="lrTb"/>
            <w:noWrap w:val="false"/>
          </w:tcPr>
          <w:p>
            <w:pPr>
              <w:ind w:left="6240" w:hanging="624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开户银行：</w:t>
            </w:r>
            <w:r/>
          </w:p>
        </w:tc>
        <w:tc>
          <w:tcPr>
            <w:tcW w:w="2153"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r>
      <w:tr>
        <w:trPr/>
        <w:tc>
          <w:tcPr>
            <w:tcW w:w="2098"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账号：</w:t>
            </w:r>
            <w:r/>
          </w:p>
        </w:tc>
        <w:tc>
          <w:tcPr>
            <w:tcW w:w="2877"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c>
          <w:tcPr>
            <w:tcW w:w="1909" w:type="dxa"/>
            <w:vAlign w:val="center"/>
            <w:textDirection w:val="lrTb"/>
            <w:noWrap w:val="false"/>
          </w:tcPr>
          <w:p>
            <w:pPr>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账号：</w:t>
            </w:r>
            <w:r/>
          </w:p>
        </w:tc>
        <w:tc>
          <w:tcPr>
            <w:tcW w:w="2153" w:type="dxa"/>
            <w:vAlign w:val="center"/>
            <w:textDirection w:val="lrTb"/>
            <w:noWrap w:val="false"/>
          </w:tcPr>
          <w:p>
            <w:pPr>
              <w:spacing w:line="360" w:lineRule="auto"/>
              <w:rPr>
                <w:rFonts w:ascii="宋体" w:hAnsi="宋体" w:cs="宋体"/>
                <w:bCs/>
                <w:color w:val="000000"/>
                <w:sz w:val="24"/>
                <w:highlight w:val="none"/>
              </w:rPr>
            </w:pPr>
            <w:r>
              <w:rPr>
                <w:rFonts w:ascii="宋体" w:hAnsi="宋体" w:cs="宋体"/>
                <w:bCs/>
                <w:color w:val="000000"/>
                <w:sz w:val="24"/>
                <w:highlight w:val="none"/>
              </w:rPr>
            </w:r>
            <w:r/>
          </w:p>
        </w:tc>
      </w:tr>
    </w:tbl>
    <w:p>
      <w:pPr>
        <w:spacing w:line="360" w:lineRule="auto"/>
        <w:rPr>
          <w:rFonts w:ascii="宋体" w:hAnsi="宋体" w:eastAsia="Calibri" w:cs="宋体"/>
          <w:color w:val="000000"/>
          <w:sz w:val="24"/>
          <w:highlight w:val="none"/>
        </w:rPr>
      </w:pPr>
      <w:r>
        <w:rPr>
          <w:rFonts w:ascii="宋体" w:hAnsi="宋体" w:eastAsia="Calibri" w:cs="宋体"/>
          <w:color w:val="000000"/>
          <w:sz w:val="24"/>
          <w:highlight w:val="none"/>
        </w:rPr>
      </w:r>
      <w:r/>
    </w:p>
    <w:p>
      <w:pPr>
        <w:ind w:left="6240" w:hanging="4680"/>
        <w:spacing w:line="360" w:lineRule="auto"/>
        <w:rPr>
          <w:rFonts w:ascii="宋体" w:hAnsi="宋体" w:eastAsia="Calibri" w:cs="宋体"/>
          <w:color w:val="000000"/>
          <w:sz w:val="24"/>
          <w:highlight w:val="none"/>
        </w:rPr>
      </w:pPr>
      <w:r>
        <w:rPr>
          <w:rFonts w:ascii="宋体" w:hAnsi="宋体" w:eastAsia="Calibri" w:cs="宋体"/>
          <w:color w:val="000000"/>
          <w:sz w:val="24"/>
          <w:highlight w:val="none"/>
        </w:rPr>
      </w:r>
      <w:r/>
    </w:p>
    <w:p>
      <w:pPr>
        <w:jc w:val="center"/>
        <w:spacing w:line="360" w:lineRule="auto"/>
        <w:rPr>
          <w:rFonts w:ascii="宋体" w:hAnsi="宋体" w:cs="宋体"/>
          <w:b/>
          <w:bCs/>
          <w:color w:val="000000"/>
          <w:sz w:val="32"/>
          <w:szCs w:val="32"/>
          <w:highlight w:val="none"/>
        </w:rPr>
        <w:outlineLvl w:val="1"/>
      </w:pPr>
      <w:r>
        <w:rPr>
          <w:rFonts w:hint="eastAsia" w:ascii="宋体" w:hAnsi="宋体" w:eastAsia="Calibri" w:cs="宋体"/>
          <w:color w:val="000000"/>
          <w:sz w:val="32"/>
          <w:szCs w:val="32"/>
          <w:highlight w:val="none"/>
        </w:rPr>
        <w:br w:type="page" w:clear="all"/>
      </w:r>
      <w:bookmarkStart w:id="75" w:name="_Toc13672"/>
      <w:r>
        <w:rPr>
          <w:rFonts w:hint="eastAsia" w:ascii="宋体" w:hAnsi="宋体" w:cs="宋体"/>
          <w:b/>
          <w:bCs/>
          <w:color w:val="000000"/>
          <w:sz w:val="32"/>
          <w:szCs w:val="32"/>
          <w:highlight w:val="none"/>
        </w:rPr>
        <w:t xml:space="preserve">第二部分 通用合同条款</w:t>
      </w:r>
      <w:bookmarkEnd w:id="75"/>
      <w:r/>
      <w:bookmarkStart w:id="76" w:name="_Toc337558727"/>
      <w:r/>
      <w:bookmarkStart w:id="77" w:name="_Toc351203495"/>
      <w:r/>
      <w:r/>
    </w:p>
    <w:p>
      <w:pPr>
        <w:ind w:firstLine="480"/>
        <w:jc w:val="center"/>
        <w:spacing w:line="360" w:lineRule="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详见建设工程施工合同（GF-2017-0201）示范文本通用条款</w:t>
      </w:r>
      <w:bookmarkEnd w:id="76"/>
      <w:r/>
      <w:bookmarkEnd w:id="77"/>
      <w:r/>
      <w:r/>
    </w:p>
    <w:p>
      <w:pPr>
        <w:jc w:val="center"/>
        <w:rPr>
          <w:rFonts w:ascii="宋体" w:hAnsi="宋体" w:eastAsia="黑体" w:cs="宋体"/>
          <w:color w:val="000000"/>
          <w:sz w:val="32"/>
          <w:szCs w:val="32"/>
          <w:highlight w:val="none"/>
        </w:rPr>
        <w:outlineLvl w:val="1"/>
      </w:pPr>
      <w:r/>
      <w:bookmarkStart w:id="78" w:name="_Toc351203632"/>
      <w:r>
        <w:rPr>
          <w:rFonts w:ascii="华文中宋" w:hAnsi="华文中宋" w:eastAsia="华文中宋"/>
          <w:color w:val="000000"/>
          <w:sz w:val="44"/>
          <w:szCs w:val="44"/>
          <w:highlight w:val="none"/>
        </w:rPr>
        <w:br w:type="page" w:clear="all"/>
      </w:r>
      <w:bookmarkStart w:id="79" w:name="_Toc5963"/>
      <w:r/>
      <w:bookmarkStart w:id="80" w:name="_Toc36797918"/>
      <w:r>
        <w:rPr>
          <w:rFonts w:hint="eastAsia" w:ascii="宋体" w:hAnsi="宋体" w:cs="宋体"/>
          <w:b/>
          <w:bCs/>
          <w:color w:val="000000"/>
          <w:sz w:val="32"/>
          <w:szCs w:val="32"/>
          <w:highlight w:val="none"/>
        </w:rPr>
        <w:t xml:space="preserve">第三部分 专用合同条款</w:t>
      </w:r>
      <w:bookmarkEnd w:id="78"/>
      <w:r/>
      <w:bookmarkEnd w:id="79"/>
      <w:r/>
      <w:bookmarkEnd w:id="80"/>
      <w:r/>
      <w:r/>
    </w:p>
    <w:p>
      <w:pPr>
        <w:ind w:firstLine="440"/>
        <w:spacing w:line="360" w:lineRule="auto"/>
        <w:rPr>
          <w:rFonts w:ascii="宋体" w:hAnsi="宋体" w:eastAsia="Calibri" w:cs="宋体"/>
          <w:color w:val="000000"/>
          <w:sz w:val="22"/>
          <w:szCs w:val="22"/>
          <w:highlight w:val="none"/>
        </w:rPr>
      </w:pPr>
      <w:r>
        <w:rPr>
          <w:rFonts w:ascii="宋体" w:hAnsi="宋体" w:eastAsia="Calibri" w:cs="宋体"/>
          <w:color w:val="000000"/>
          <w:sz w:val="22"/>
          <w:szCs w:val="22"/>
          <w:highlight w:val="none"/>
        </w:rPr>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本部分专用合同条款内容根据条款编号对应第二部分通用合同条款的相应条款，如专用合同条款与对应的通用合同条款的约定不一致，则以专用合同条款为准；如专用合同条款未做约定，则适用通用合同条款对应条款的约定。</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w:t>
      </w:r>
      <w:bookmarkStart w:id="81" w:name="_Toc297120456"/>
      <w:r/>
      <w:bookmarkStart w:id="82" w:name="_Toc296347155"/>
      <w:r/>
      <w:bookmarkStart w:id="83" w:name="_Toc296346657"/>
      <w:r/>
      <w:bookmarkStart w:id="84" w:name="_Toc296890984"/>
      <w:r/>
      <w:bookmarkStart w:id="85" w:name="_Toc292559361"/>
      <w:r/>
      <w:bookmarkStart w:id="86" w:name="_Toc296944495"/>
      <w:r/>
      <w:bookmarkStart w:id="87" w:name="_Toc296503156"/>
      <w:r/>
      <w:bookmarkStart w:id="88" w:name="_Toc292559866"/>
      <w:r/>
      <w:bookmarkStart w:id="89" w:name="_Toc296891196"/>
      <w:r/>
      <w:bookmarkStart w:id="90" w:name="_Toc297048342"/>
      <w:r>
        <w:rPr>
          <w:rFonts w:hint="eastAsia" w:ascii="宋体" w:hAnsi="宋体" w:cs="宋体"/>
          <w:b/>
          <w:bCs/>
          <w:color w:val="000000"/>
          <w:sz w:val="24"/>
          <w:highlight w:val="none"/>
        </w:rPr>
        <w:t xml:space="preserve">. 一般约定</w:t>
      </w:r>
      <w:bookmarkEnd w:id="81"/>
      <w:r/>
      <w:bookmarkEnd w:id="82"/>
      <w:r/>
      <w:bookmarkEnd w:id="83"/>
      <w:r/>
      <w:bookmarkEnd w:id="84"/>
      <w:r/>
      <w:bookmarkEnd w:id="85"/>
      <w:r/>
      <w:bookmarkEnd w:id="86"/>
      <w:r/>
      <w:bookmarkEnd w:id="87"/>
      <w:r/>
      <w:bookmarkEnd w:id="88"/>
      <w:r/>
      <w:bookmarkEnd w:id="89"/>
      <w:r/>
      <w:bookmarkEnd w:id="90"/>
      <w:r/>
      <w:r/>
    </w:p>
    <w:p>
      <w:pPr>
        <w:ind w:firstLine="482"/>
        <w:spacing w:line="360" w:lineRule="auto"/>
        <w:rPr>
          <w:rFonts w:ascii="宋体" w:hAnsi="宋体" w:eastAsia="Calibri" w:cs="宋体"/>
          <w:b/>
          <w:color w:val="000000"/>
          <w:sz w:val="24"/>
          <w:highlight w:val="none"/>
        </w:rPr>
      </w:pPr>
      <w:r/>
      <w:bookmarkStart w:id="91" w:name="_Toc36797919"/>
      <w:r>
        <w:rPr>
          <w:rFonts w:hint="eastAsia" w:ascii="宋体" w:hAnsi="宋体" w:eastAsia="Calibri" w:cs="宋体"/>
          <w:b/>
          <w:color w:val="000000"/>
          <w:sz w:val="24"/>
          <w:highlight w:val="none"/>
        </w:rPr>
        <w:t xml:space="preserve">1.1 </w:t>
      </w:r>
      <w:r>
        <w:rPr>
          <w:rFonts w:hint="eastAsia" w:ascii="宋体" w:hAnsi="宋体" w:cs="宋体"/>
          <w:b/>
          <w:color w:val="000000"/>
          <w:sz w:val="24"/>
          <w:highlight w:val="none"/>
        </w:rPr>
        <w:t xml:space="preserve">词语定义</w:t>
      </w:r>
      <w:bookmarkEnd w:id="91"/>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1.1.1</w:t>
      </w:r>
      <w:r>
        <w:rPr>
          <w:rFonts w:hint="eastAsia" w:ascii="宋体" w:hAnsi="宋体" w:cs="宋体"/>
          <w:color w:val="000000"/>
          <w:sz w:val="24"/>
          <w:highlight w:val="none"/>
        </w:rPr>
        <w:t xml:space="preserve">合同</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1.1.1.10</w:t>
      </w:r>
      <w:r>
        <w:rPr>
          <w:rFonts w:hint="eastAsia" w:ascii="宋体" w:hAnsi="宋体" w:cs="宋体"/>
          <w:color w:val="000000"/>
          <w:sz w:val="24"/>
          <w:highlight w:val="none"/>
        </w:rPr>
        <w:t xml:space="preserve">其他合同文件包括：</w:t>
      </w: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1</w:t>
      </w:r>
      <w:r>
        <w:rPr>
          <w:rFonts w:hint="eastAsia" w:ascii="宋体" w:hAnsi="宋体" w:cs="宋体"/>
          <w:color w:val="000000"/>
          <w:sz w:val="24"/>
          <w:highlight w:val="none"/>
          <w:u w:val="single"/>
        </w:rPr>
        <w:t xml:space="preserve">）明确双方权利义务的纪要或承诺或协议等；（</w:t>
      </w:r>
      <w:r>
        <w:rPr>
          <w:rFonts w:hint="eastAsia" w:ascii="宋体" w:hAnsi="宋体" w:eastAsia="Calibri" w:cs="宋体"/>
          <w:color w:val="000000"/>
          <w:sz w:val="24"/>
          <w:highlight w:val="none"/>
          <w:u w:val="single"/>
        </w:rPr>
        <w:t xml:space="preserve">2</w:t>
      </w:r>
      <w:r>
        <w:rPr>
          <w:rFonts w:hint="eastAsia" w:ascii="宋体" w:hAnsi="宋体" w:cs="宋体"/>
          <w:color w:val="000000"/>
          <w:sz w:val="24"/>
          <w:highlight w:val="none"/>
          <w:u w:val="single"/>
        </w:rPr>
        <w:t xml:space="preserve">）其他经双方同意视为本合同组成部分的有关文件</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1.1.3 </w:t>
      </w:r>
      <w:r>
        <w:rPr>
          <w:rFonts w:hint="eastAsia" w:ascii="宋体" w:hAnsi="宋体" w:cs="宋体"/>
          <w:color w:val="000000"/>
          <w:sz w:val="24"/>
          <w:highlight w:val="none"/>
        </w:rPr>
        <w:t xml:space="preserve">工程和设备</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1.1.3.7 </w:t>
      </w:r>
      <w:r>
        <w:rPr>
          <w:rFonts w:hint="eastAsia" w:ascii="宋体" w:hAnsi="宋体" w:cs="宋体"/>
          <w:color w:val="000000"/>
          <w:sz w:val="24"/>
          <w:highlight w:val="none"/>
        </w:rPr>
        <w:t xml:space="preserve">作为施工现场组成部分的其他场所包括：。</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1.1.3.9 </w:t>
      </w:r>
      <w:r>
        <w:rPr>
          <w:rFonts w:hint="eastAsia" w:ascii="宋体" w:hAnsi="宋体" w:cs="宋体"/>
          <w:color w:val="000000"/>
          <w:sz w:val="24"/>
          <w:highlight w:val="none"/>
        </w:rPr>
        <w:t xml:space="preserve">永久占地包括：</w:t>
      </w:r>
      <w:r>
        <w:rPr>
          <w:rFonts w:hint="eastAsia" w:ascii="宋体" w:hAnsi="宋体" w:cs="宋体"/>
          <w:color w:val="000000"/>
          <w:sz w:val="24"/>
          <w:highlight w:val="none"/>
          <w:u w:val="single"/>
        </w:rPr>
        <w:t xml:space="preserve">施工区域</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eastAsia="Calibri" w:cs="宋体"/>
          <w:color w:val="000000"/>
          <w:sz w:val="24"/>
          <w:highlight w:val="none"/>
        </w:rPr>
        <w:t xml:space="preserve">1.1.3.10 </w:t>
      </w:r>
      <w:r>
        <w:rPr>
          <w:rFonts w:hint="eastAsia" w:ascii="宋体" w:hAnsi="宋体" w:cs="宋体"/>
          <w:color w:val="000000"/>
          <w:sz w:val="24"/>
          <w:highlight w:val="none"/>
        </w:rPr>
        <w:t xml:space="preserve">临时占地包括：</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1.1.2 合同当事人及其他相关方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1.1.2.4监理人：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名    称：；</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资质类别和等级：；</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联系电话：；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电子信箱：；</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通信地址：。</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1.1.2.5 设计人：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名    称：；</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资质类别和等级：；</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联系电话：；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电子信箱：；</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通信地址：。</w:t>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1.3</w:t>
      </w:r>
      <w:r>
        <w:rPr>
          <w:rFonts w:hint="eastAsia" w:ascii="宋体" w:hAnsi="宋体" w:cs="宋体"/>
          <w:b/>
          <w:color w:val="000000"/>
          <w:sz w:val="24"/>
          <w:highlight w:val="none"/>
        </w:rPr>
        <w:t xml:space="preserve">法律</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适用于合同的其他规范性文件：</w:t>
      </w:r>
      <w:r>
        <w:rPr>
          <w:rFonts w:hint="eastAsia" w:ascii="宋体" w:hAnsi="宋体" w:cs="宋体"/>
          <w:color w:val="000000"/>
          <w:sz w:val="24"/>
          <w:highlight w:val="none"/>
          <w:u w:val="single"/>
        </w:rPr>
        <w:t xml:space="preserve">江苏省、南京市现行的规范性文件</w:t>
      </w:r>
      <w:r>
        <w:rPr>
          <w:rFonts w:hint="eastAsia" w:ascii="宋体" w:hAnsi="宋体" w:cs="宋体"/>
          <w:color w:val="000000"/>
          <w:sz w:val="24"/>
          <w:highlight w:val="none"/>
        </w:rPr>
        <w:t xml:space="preserve">。</w:t>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1.4 </w:t>
      </w:r>
      <w:r>
        <w:rPr>
          <w:rFonts w:hint="eastAsia" w:ascii="宋体" w:hAnsi="宋体" w:cs="宋体"/>
          <w:b/>
          <w:color w:val="000000"/>
          <w:sz w:val="24"/>
          <w:highlight w:val="none"/>
        </w:rPr>
        <w:t xml:space="preserve">标准和规范</w:t>
      </w:r>
      <w:r/>
    </w:p>
    <w:p>
      <w:pPr>
        <w:ind w:firstLine="480"/>
        <w:spacing w:line="360" w:lineRule="auto"/>
        <w:rPr>
          <w:rFonts w:ascii="宋体" w:hAnsi="宋体" w:eastAsia="Calibri" w:cs="宋体"/>
          <w:color w:val="000000"/>
          <w:sz w:val="24"/>
          <w:highlight w:val="none"/>
          <w:u w:val="single"/>
        </w:rPr>
      </w:pPr>
      <w:r>
        <w:rPr>
          <w:rFonts w:hint="eastAsia" w:ascii="宋体" w:hAnsi="宋体" w:eastAsia="Calibri" w:cs="宋体"/>
          <w:color w:val="000000"/>
          <w:sz w:val="24"/>
          <w:highlight w:val="none"/>
        </w:rPr>
        <w:t xml:space="preserve">1.4.1</w:t>
      </w:r>
      <w:r>
        <w:rPr>
          <w:rFonts w:hint="eastAsia" w:ascii="宋体" w:hAnsi="宋体" w:cs="宋体"/>
          <w:color w:val="000000"/>
          <w:sz w:val="24"/>
          <w:highlight w:val="none"/>
        </w:rPr>
        <w:t xml:space="preserve">适用于工程的标准规范包括：</w:t>
      </w:r>
      <w:r>
        <w:rPr>
          <w:rFonts w:hint="eastAsia" w:ascii="宋体" w:hAnsi="宋体" w:cs="宋体"/>
          <w:color w:val="000000"/>
          <w:sz w:val="24"/>
          <w:highlight w:val="none"/>
          <w:u w:val="single"/>
        </w:rPr>
        <w:t xml:space="preserve">国家部委颁发的有关电力建设施工验收标准、规范，以及江苏省、南京市建设、电力以及环保等相关主管部门颁布的文件。</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1.4.2 </w:t>
      </w:r>
      <w:r>
        <w:rPr>
          <w:rFonts w:hint="eastAsia" w:ascii="宋体" w:hAnsi="宋体" w:cs="宋体"/>
          <w:color w:val="000000"/>
          <w:sz w:val="24"/>
          <w:highlight w:val="none"/>
        </w:rPr>
        <w:t xml:space="preserve">发包人提供国外标准、规范的名称：</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发包人提供国外标准、规范的份数：</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发包人提供国外标准、规范的名称：</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1.4.3</w:t>
      </w:r>
      <w:r>
        <w:rPr>
          <w:rFonts w:hint="eastAsia" w:ascii="宋体" w:hAnsi="宋体" w:cs="宋体"/>
          <w:color w:val="000000"/>
          <w:sz w:val="24"/>
          <w:highlight w:val="none"/>
        </w:rPr>
        <w:t xml:space="preserve">发包人对工程的技术标准和功能要求的特殊要求：</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p>
    <w:p>
      <w:pPr>
        <w:ind w:firstLine="482"/>
        <w:spacing w:line="360" w:lineRule="auto"/>
        <w:rPr>
          <w:rFonts w:ascii="宋体" w:hAnsi="宋体" w:eastAsia="Calibri" w:cs="宋体"/>
          <w:b/>
          <w:color w:val="000000"/>
          <w:sz w:val="24"/>
          <w:highlight w:val="none"/>
        </w:rPr>
      </w:pPr>
      <w:r/>
      <w:bookmarkStart w:id="92" w:name="_Toc36797920"/>
      <w:r>
        <w:rPr>
          <w:rFonts w:hint="eastAsia" w:ascii="宋体" w:hAnsi="宋体" w:eastAsia="Calibri" w:cs="宋体"/>
          <w:b/>
          <w:color w:val="000000"/>
          <w:sz w:val="24"/>
          <w:highlight w:val="none"/>
        </w:rPr>
        <w:t xml:space="preserve">1.5 </w:t>
      </w:r>
      <w:r>
        <w:rPr>
          <w:rFonts w:hint="eastAsia" w:ascii="宋体" w:hAnsi="宋体" w:cs="宋体"/>
          <w:b/>
          <w:color w:val="000000"/>
          <w:sz w:val="24"/>
          <w:highlight w:val="none"/>
        </w:rPr>
        <w:t xml:space="preserve">合同文件的优先顺序</w:t>
      </w:r>
      <w:bookmarkEnd w:id="92"/>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合同文件组成及优先顺序为：</w:t>
      </w:r>
      <w:r>
        <w:rPr>
          <w:rFonts w:hint="eastAsia" w:ascii="宋体" w:hAnsi="宋体" w:cs="宋体"/>
          <w:color w:val="000000"/>
          <w:sz w:val="24"/>
          <w:highlight w:val="none"/>
          <w:u w:val="single"/>
        </w:rPr>
        <w:t xml:space="preserve">（1）合同协议书、补充协议书；（2）中标通知书；（3）专用合同条款及其附件；（4）通用合同条款；（5）投标函及其附录；（6）招标</w:t>
      </w:r>
      <w:r>
        <w:rPr>
          <w:rFonts w:hint="eastAsia" w:ascii="宋体" w:hAnsi="宋体" w:cs="宋体"/>
          <w:color w:val="000000"/>
          <w:sz w:val="24"/>
          <w:highlight w:val="none"/>
          <w:u w:val="single"/>
        </w:rPr>
        <w:t xml:space="preserve">文件；（7）图纸；（8）已标价工程量清单或预算书；（9）技术标准和要求；（10）其他合同文件。双方在履行合同过程中形成的通知、会议纪要、备忘录、补充文件、指令、传真、电子邮件、变更和洽商等书面形式的文件构成本合同的组成部分。上述各项合同文件包括合同当事人就该项合同文件所作出的补充和修改，属于同一类内容的文件，应以最新签署的为准。当对同一问题，国家、江苏省、南京市颁布的标准和规范与采购文件要求不一致时，以国家、江苏省、南京市的标准、规范、规定与招标文件要求的严格者为准；其他经双方同意视为本合同组成的有关文件。</w:t>
      </w:r>
      <w:r/>
    </w:p>
    <w:p>
      <w:pPr>
        <w:ind w:firstLine="482"/>
        <w:spacing w:line="360" w:lineRule="auto"/>
        <w:rPr>
          <w:rFonts w:ascii="宋体" w:hAnsi="宋体" w:eastAsia="Calibri" w:cs="宋体"/>
          <w:b/>
          <w:color w:val="000000"/>
          <w:sz w:val="24"/>
          <w:highlight w:val="none"/>
        </w:rPr>
      </w:pPr>
      <w:r/>
      <w:bookmarkStart w:id="93" w:name="_Toc36797921"/>
      <w:r>
        <w:rPr>
          <w:rFonts w:hint="eastAsia" w:ascii="宋体" w:hAnsi="宋体" w:eastAsia="Calibri" w:cs="宋体"/>
          <w:b/>
          <w:color w:val="000000"/>
          <w:sz w:val="24"/>
          <w:highlight w:val="none"/>
        </w:rPr>
        <w:t xml:space="preserve">1.6 </w:t>
      </w:r>
      <w:r>
        <w:rPr>
          <w:rFonts w:hint="eastAsia" w:ascii="宋体" w:hAnsi="宋体" w:cs="宋体"/>
          <w:b/>
          <w:color w:val="000000"/>
          <w:sz w:val="24"/>
          <w:highlight w:val="none"/>
        </w:rPr>
        <w:t xml:space="preserve">图纸和承包人文件</w:t>
      </w:r>
      <w:bookmarkEnd w:id="93"/>
      <w:r>
        <w:rPr>
          <w:rFonts w:hint="eastAsia" w:ascii="宋体" w:hAnsi="宋体" w:eastAsia="Calibri" w:cs="宋体"/>
          <w:b/>
          <w:color w:val="000000"/>
          <w:sz w:val="24"/>
          <w:highlight w:val="none"/>
        </w:rPr>
        <w:tab/>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1.6.1 </w:t>
      </w:r>
      <w:r>
        <w:rPr>
          <w:rFonts w:hint="eastAsia" w:ascii="宋体" w:hAnsi="宋体" w:cs="宋体"/>
          <w:color w:val="000000"/>
          <w:sz w:val="24"/>
          <w:highlight w:val="none"/>
        </w:rPr>
        <w:t xml:space="preserve">图纸的提供</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发包人向承包人提供图纸的期限：</w:t>
      </w:r>
      <w:r>
        <w:rPr>
          <w:rFonts w:hint="eastAsia" w:ascii="宋体" w:hAnsi="宋体" w:cs="宋体"/>
          <w:color w:val="000000"/>
          <w:sz w:val="24"/>
          <w:highlight w:val="none"/>
          <w:u w:val="single"/>
        </w:rPr>
        <w:t xml:space="preserve">合同签订后7日内</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发包人向承包人提供图纸的数量：</w:t>
      </w:r>
      <w:r>
        <w:rPr>
          <w:rFonts w:hint="eastAsia" w:ascii="宋体" w:hAnsi="宋体" w:cs="宋体"/>
          <w:color w:val="000000"/>
          <w:sz w:val="24"/>
          <w:highlight w:val="none"/>
          <w:u w:val="single"/>
        </w:rPr>
        <w:t xml:space="preserve">发包人根据实际情况确定；</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发包人向承包人提供图纸的内容：</w:t>
      </w:r>
      <w:r>
        <w:rPr>
          <w:rFonts w:hint="eastAsia" w:ascii="宋体" w:hAnsi="宋体" w:cs="宋体"/>
          <w:color w:val="000000"/>
          <w:sz w:val="24"/>
          <w:highlight w:val="none"/>
          <w:u w:val="single"/>
        </w:rPr>
        <w:t xml:space="preserve">与工程有关的全部图纸（含蓝图及电子版图纸）</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发包人对图纸的保密要求：</w:t>
      </w:r>
      <w:r>
        <w:rPr>
          <w:rFonts w:hint="eastAsia" w:ascii="宋体" w:hAnsi="宋体" w:cs="宋体"/>
          <w:color w:val="000000"/>
          <w:sz w:val="24"/>
          <w:highlight w:val="none"/>
          <w:u w:val="single"/>
        </w:rPr>
        <w:t xml:space="preserve">承包人未经发包人书面同意，不得向第三人转让、泄漏本工程图纸及复印件（具体方式包括但不限于：出卖、出借、复制等），也不得用于本工程承包工作以外的任何用途。因承包人对资料保管不当、遗失、转借他人、复制等原因造成泄密后果，发包人对此保留终身追究的权利。</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1.6.4 </w:t>
      </w:r>
      <w:r>
        <w:rPr>
          <w:rFonts w:hint="eastAsia" w:ascii="宋体" w:hAnsi="宋体" w:cs="宋体"/>
          <w:color w:val="000000"/>
          <w:sz w:val="24"/>
          <w:highlight w:val="none"/>
        </w:rPr>
        <w:t xml:space="preserve">承包人文件</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需要由承包人提供的文件，包括：</w:t>
      </w:r>
      <w:r>
        <w:rPr>
          <w:rFonts w:hint="eastAsia" w:ascii="宋体" w:hAnsi="宋体" w:cs="宋体"/>
          <w:color w:val="000000"/>
          <w:sz w:val="24"/>
          <w:highlight w:val="none"/>
          <w:u w:val="single"/>
        </w:rPr>
        <w:t xml:space="preserve">提供符合现场实际且更优于投标文件的施工组织设计和进度计划等；</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承包人提供的文件的期限为：</w:t>
      </w:r>
      <w:r>
        <w:rPr>
          <w:rFonts w:hint="eastAsia" w:ascii="宋体" w:hAnsi="宋体" w:cs="宋体"/>
          <w:color w:val="000000"/>
          <w:sz w:val="24"/>
          <w:highlight w:val="none"/>
          <w:u w:val="single"/>
        </w:rPr>
        <w:t xml:space="preserve">开工前7天</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承包人提供的文件的数量为：</w:t>
      </w:r>
      <w:r>
        <w:rPr>
          <w:rFonts w:hint="eastAsia" w:ascii="宋体" w:hAnsi="宋体" w:cs="宋体"/>
          <w:color w:val="000000"/>
          <w:sz w:val="24"/>
          <w:highlight w:val="none"/>
          <w:u w:val="single"/>
        </w:rPr>
        <w:t xml:space="preserve">纸制版文件四份，电子版文档一份</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承包人提供的文件的形式为：</w:t>
      </w:r>
      <w:r>
        <w:rPr>
          <w:rFonts w:hint="eastAsia" w:ascii="宋体" w:hAnsi="宋体" w:cs="宋体"/>
          <w:color w:val="000000"/>
          <w:sz w:val="24"/>
          <w:highlight w:val="none"/>
          <w:u w:val="single"/>
        </w:rPr>
        <w:t xml:space="preserve">纸质版和电子版文件</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发包人审批承包人文件的期限：</w:t>
      </w:r>
      <w:r>
        <w:rPr>
          <w:rFonts w:hint="eastAsia" w:ascii="宋体" w:hAnsi="宋体" w:eastAsia="Calibri" w:cs="宋体"/>
          <w:color w:val="000000"/>
          <w:sz w:val="24"/>
          <w:highlight w:val="none"/>
          <w:u w:val="single"/>
        </w:rPr>
        <w:t xml:space="preserve">7</w:t>
      </w:r>
      <w:r>
        <w:rPr>
          <w:rFonts w:hint="eastAsia" w:ascii="宋体" w:hAnsi="宋体" w:cs="宋体"/>
          <w:color w:val="000000"/>
          <w:sz w:val="24"/>
          <w:highlight w:val="none"/>
          <w:u w:val="single"/>
        </w:rPr>
        <w:t xml:space="preserve">天内</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1.6.5 </w:t>
      </w:r>
      <w:r>
        <w:rPr>
          <w:rFonts w:hint="eastAsia" w:ascii="宋体" w:hAnsi="宋体" w:cs="宋体"/>
          <w:color w:val="000000"/>
          <w:sz w:val="24"/>
          <w:highlight w:val="none"/>
        </w:rPr>
        <w:t xml:space="preserve">现场图纸准备</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关于现场图纸准备的约定：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p>
    <w:p>
      <w:pPr>
        <w:ind w:firstLine="482"/>
        <w:spacing w:line="360" w:lineRule="auto"/>
        <w:rPr>
          <w:rFonts w:ascii="宋体" w:hAnsi="宋体" w:eastAsia="Calibri" w:cs="宋体"/>
          <w:b/>
          <w:color w:val="000000"/>
          <w:sz w:val="24"/>
          <w:highlight w:val="none"/>
        </w:rPr>
      </w:pPr>
      <w:r/>
      <w:bookmarkStart w:id="94" w:name="_Toc36797922"/>
      <w:r>
        <w:rPr>
          <w:rFonts w:hint="eastAsia" w:ascii="宋体" w:hAnsi="宋体" w:eastAsia="Calibri" w:cs="宋体"/>
          <w:b/>
          <w:color w:val="000000"/>
          <w:sz w:val="24"/>
          <w:highlight w:val="none"/>
        </w:rPr>
        <w:t xml:space="preserve">1.7 </w:t>
      </w:r>
      <w:r>
        <w:rPr>
          <w:rFonts w:hint="eastAsia" w:ascii="宋体" w:hAnsi="宋体" w:cs="宋体"/>
          <w:b/>
          <w:color w:val="000000"/>
          <w:sz w:val="24"/>
          <w:highlight w:val="none"/>
        </w:rPr>
        <w:t xml:space="preserve">联络</w:t>
      </w:r>
      <w:bookmarkEnd w:id="94"/>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1.7.1</w:t>
      </w:r>
      <w:r>
        <w:rPr>
          <w:rFonts w:hint="eastAsia" w:ascii="宋体" w:hAnsi="宋体" w:cs="宋体"/>
          <w:color w:val="000000"/>
          <w:sz w:val="24"/>
          <w:highlight w:val="none"/>
        </w:rPr>
        <w:t xml:space="preserve">发包人和承包人应当在</w:t>
      </w:r>
      <w:r>
        <w:rPr>
          <w:rFonts w:hint="eastAsia" w:ascii="宋体" w:hAnsi="宋体" w:cs="宋体"/>
          <w:color w:val="000000"/>
          <w:sz w:val="24"/>
          <w:highlight w:val="none"/>
          <w:u w:val="single"/>
        </w:rPr>
        <w:t xml:space="preserve">合同签订后</w:t>
      </w:r>
      <w:r>
        <w:rPr>
          <w:rFonts w:hint="eastAsia" w:ascii="宋体" w:hAnsi="宋体" w:eastAsia="Calibri" w:cs="宋体"/>
          <w:color w:val="000000"/>
          <w:sz w:val="24"/>
          <w:highlight w:val="none"/>
          <w:u w:val="single"/>
        </w:rPr>
        <w:t xml:space="preserve">3</w:t>
      </w:r>
      <w:r>
        <w:rPr>
          <w:rFonts w:hint="eastAsia" w:ascii="宋体" w:hAnsi="宋体" w:cs="宋体"/>
          <w:color w:val="000000"/>
          <w:sz w:val="24"/>
          <w:highlight w:val="none"/>
        </w:rPr>
        <w:t xml:space="preserve">天内将与合同有关的通知、批准、证明、证书、指示、指令、要求、请求、同意、意见、确定和决定等书面函件送达对方当事人。</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1.7.2 </w:t>
      </w:r>
      <w:r>
        <w:rPr>
          <w:rFonts w:hint="eastAsia" w:ascii="宋体" w:hAnsi="宋体" w:cs="宋体"/>
          <w:color w:val="000000"/>
          <w:sz w:val="24"/>
          <w:highlight w:val="none"/>
        </w:rPr>
        <w:t xml:space="preserve">发包人接收文件的地点：</w:t>
      </w:r>
      <w:r>
        <w:rPr>
          <w:rFonts w:hint="eastAsia" w:ascii="宋体" w:hAnsi="宋体" w:cs="宋体"/>
          <w:color w:val="000000"/>
          <w:sz w:val="24"/>
          <w:highlight w:val="none"/>
          <w:u w:val="single"/>
        </w:rPr>
        <w:t xml:space="preserve">项目现场发包人代表办公室</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发包人指定的接收人为：</w:t>
      </w:r>
      <w:r>
        <w:rPr>
          <w:rFonts w:hint="eastAsia" w:ascii="宋体" w:hAnsi="宋体" w:cs="宋体"/>
          <w:color w:val="000000"/>
          <w:sz w:val="24"/>
          <w:highlight w:val="none"/>
          <w:u w:val="single"/>
        </w:rPr>
        <w:t xml:space="preserve">发包人代表</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承包人接收文件的地点：</w:t>
      </w:r>
      <w:r>
        <w:rPr>
          <w:rFonts w:hint="eastAsia" w:ascii="宋体" w:hAnsi="宋体" w:cs="宋体"/>
          <w:color w:val="000000"/>
          <w:sz w:val="24"/>
          <w:highlight w:val="none"/>
          <w:u w:val="single"/>
        </w:rPr>
        <w:t xml:space="preserve">项目现场项目负责人办公室</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承包人指定的接收人为：</w:t>
      </w:r>
      <w:r>
        <w:rPr>
          <w:rFonts w:hint="eastAsia" w:ascii="宋体" w:hAnsi="宋体" w:cs="宋体"/>
          <w:color w:val="000000"/>
          <w:sz w:val="24"/>
          <w:highlight w:val="none"/>
          <w:u w:val="single"/>
        </w:rPr>
        <w:t xml:space="preserve">项目负责人</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监理人接收文件的地点：</w:t>
      </w:r>
      <w:r>
        <w:rPr>
          <w:rFonts w:hint="eastAsia" w:ascii="宋体" w:hAnsi="宋体" w:cs="宋体"/>
          <w:color w:val="000000"/>
          <w:sz w:val="24"/>
          <w:highlight w:val="none"/>
          <w:u w:val="single"/>
        </w:rPr>
        <w:t xml:space="preserve">项目现场总监理工程师办公室</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监理人指定的接收人为：</w:t>
      </w:r>
      <w:r>
        <w:rPr>
          <w:rFonts w:hint="eastAsia" w:ascii="宋体" w:hAnsi="宋体" w:cs="宋体"/>
          <w:color w:val="000000"/>
          <w:sz w:val="24"/>
          <w:highlight w:val="none"/>
          <w:u w:val="single"/>
        </w:rPr>
        <w:t xml:space="preserve">总监理工程师</w:t>
      </w:r>
      <w:r>
        <w:rPr>
          <w:rFonts w:hint="eastAsia" w:ascii="宋体" w:hAnsi="宋体" w:cs="宋体"/>
          <w:color w:val="000000"/>
          <w:sz w:val="24"/>
          <w:highlight w:val="none"/>
        </w:rPr>
        <w:t xml:space="preserve">。</w:t>
      </w:r>
      <w:r/>
    </w:p>
    <w:p>
      <w:pPr>
        <w:ind w:firstLine="482"/>
        <w:spacing w:line="360" w:lineRule="auto"/>
        <w:rPr>
          <w:rFonts w:ascii="宋体" w:hAnsi="宋体" w:eastAsia="Calibri" w:cs="宋体"/>
          <w:b/>
          <w:color w:val="000000"/>
          <w:sz w:val="24"/>
          <w:highlight w:val="none"/>
        </w:rPr>
      </w:pPr>
      <w:r/>
      <w:bookmarkStart w:id="95" w:name="_Toc36797923"/>
      <w:r>
        <w:rPr>
          <w:rFonts w:hint="eastAsia" w:ascii="宋体" w:hAnsi="宋体" w:eastAsia="Calibri" w:cs="宋体"/>
          <w:b/>
          <w:color w:val="000000"/>
          <w:sz w:val="24"/>
          <w:highlight w:val="none"/>
        </w:rPr>
        <w:t xml:space="preserve">1.10 </w:t>
      </w:r>
      <w:r>
        <w:rPr>
          <w:rFonts w:hint="eastAsia" w:ascii="宋体" w:hAnsi="宋体" w:cs="宋体"/>
          <w:b/>
          <w:color w:val="000000"/>
          <w:sz w:val="24"/>
          <w:highlight w:val="none"/>
        </w:rPr>
        <w:t xml:space="preserve">交通运输</w:t>
      </w:r>
      <w:bookmarkEnd w:id="95"/>
      <w:r/>
      <w:r/>
    </w:p>
    <w:p>
      <w:pPr>
        <w:ind w:firstLine="480"/>
        <w:spacing w:line="360" w:lineRule="auto"/>
        <w:rPr>
          <w:rFonts w:ascii="宋体" w:hAnsi="宋体" w:eastAsia="Calibri" w:cs="宋体"/>
          <w:color w:val="000000"/>
          <w:sz w:val="24"/>
          <w:highlight w:val="none"/>
        </w:rPr>
      </w:pPr>
      <w:r/>
      <w:bookmarkStart w:id="96" w:name="_Toc36797924"/>
      <w:r>
        <w:rPr>
          <w:rFonts w:hint="eastAsia" w:ascii="宋体" w:hAnsi="宋体" w:eastAsia="Calibri" w:cs="宋体"/>
          <w:color w:val="000000"/>
          <w:sz w:val="24"/>
          <w:highlight w:val="none"/>
        </w:rPr>
        <w:t xml:space="preserve">1</w:t>
      </w:r>
      <w:bookmarkStart w:id="97" w:name="_Toc303539100"/>
      <w:r/>
      <w:bookmarkStart w:id="98" w:name="_Toc318581155"/>
      <w:r/>
      <w:bookmarkStart w:id="99" w:name="_Toc312677986"/>
      <w:r/>
      <w:bookmarkStart w:id="100" w:name="_Toc304295521"/>
      <w:r/>
      <w:bookmarkStart w:id="101" w:name="_Toc300934943"/>
      <w:r>
        <w:rPr>
          <w:rFonts w:hint="eastAsia" w:ascii="宋体" w:hAnsi="宋体" w:eastAsia="Calibri" w:cs="宋体"/>
          <w:color w:val="000000"/>
          <w:sz w:val="24"/>
          <w:highlight w:val="none"/>
        </w:rPr>
        <w:t xml:space="preserve">.10.1 </w:t>
      </w:r>
      <w:r>
        <w:rPr>
          <w:rFonts w:hint="eastAsia" w:ascii="宋体" w:hAnsi="宋体" w:cs="宋体"/>
          <w:color w:val="000000"/>
          <w:sz w:val="24"/>
          <w:highlight w:val="none"/>
        </w:rPr>
        <w:t xml:space="preserve">出入现场的权利</w:t>
      </w:r>
      <w:bookmarkEnd w:id="96"/>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关于出入现场的权利的约定：</w:t>
      </w:r>
      <w:r>
        <w:rPr>
          <w:rFonts w:hint="eastAsia" w:ascii="宋体" w:hAnsi="宋体" w:cs="宋体"/>
          <w:color w:val="000000"/>
          <w:sz w:val="24"/>
          <w:highlight w:val="none"/>
          <w:u w:val="single"/>
        </w:rPr>
        <w:t xml:space="preserve">除与工程项目有关人员外，其他人不得进入施工现场</w:t>
      </w:r>
      <w:r>
        <w:rPr>
          <w:rFonts w:hint="eastAsia" w:ascii="宋体" w:hAnsi="宋体" w:cs="宋体"/>
          <w:color w:val="000000"/>
          <w:sz w:val="24"/>
          <w:highlight w:val="none"/>
        </w:rPr>
        <w:t xml:space="preserve">。</w:t>
      </w:r>
      <w:bookmarkEnd w:id="97"/>
      <w:r/>
      <w:bookmarkEnd w:id="98"/>
      <w:r/>
      <w:bookmarkEnd w:id="99"/>
      <w:r/>
      <w:bookmarkEnd w:id="100"/>
      <w:r/>
      <w:bookmarkEnd w:id="101"/>
      <w:r/>
      <w:r/>
    </w:p>
    <w:p>
      <w:pPr>
        <w:ind w:firstLine="480"/>
        <w:spacing w:line="360" w:lineRule="auto"/>
        <w:rPr>
          <w:rFonts w:ascii="宋体" w:hAnsi="宋体" w:eastAsia="Calibri" w:cs="宋体"/>
          <w:color w:val="000000"/>
          <w:sz w:val="24"/>
          <w:highlight w:val="none"/>
        </w:rPr>
      </w:pPr>
      <w:r/>
      <w:bookmarkStart w:id="102" w:name="_Toc36797925"/>
      <w:r>
        <w:rPr>
          <w:rFonts w:hint="eastAsia" w:ascii="宋体" w:hAnsi="宋体" w:eastAsia="Calibri" w:cs="宋体"/>
          <w:color w:val="000000"/>
          <w:sz w:val="24"/>
          <w:highlight w:val="none"/>
        </w:rPr>
        <w:t xml:space="preserve">1</w:t>
      </w:r>
      <w:bookmarkStart w:id="103" w:name="_Toc318581156"/>
      <w:r/>
      <w:bookmarkStart w:id="104" w:name="_Toc304295522"/>
      <w:r/>
      <w:bookmarkStart w:id="105" w:name="_Toc303539101"/>
      <w:r/>
      <w:bookmarkStart w:id="106" w:name="_Toc312677987"/>
      <w:r/>
      <w:bookmarkStart w:id="107" w:name="_Toc300934944"/>
      <w:r>
        <w:rPr>
          <w:rFonts w:hint="eastAsia" w:ascii="宋体" w:hAnsi="宋体" w:eastAsia="Calibri" w:cs="宋体"/>
          <w:color w:val="000000"/>
          <w:sz w:val="24"/>
          <w:highlight w:val="none"/>
        </w:rPr>
        <w:t xml:space="preserve">.10.3 </w:t>
      </w:r>
      <w:r>
        <w:rPr>
          <w:rFonts w:hint="eastAsia" w:ascii="宋体" w:hAnsi="宋体" w:cs="宋体"/>
          <w:color w:val="000000"/>
          <w:sz w:val="24"/>
          <w:highlight w:val="none"/>
        </w:rPr>
        <w:t xml:space="preserve">场内交通</w:t>
      </w:r>
      <w:bookmarkEnd w:id="102"/>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关于场外交通和场内交通的边界的约定：</w:t>
      </w:r>
      <w:r>
        <w:rPr>
          <w:rFonts w:hint="eastAsia" w:ascii="宋体" w:hAnsi="宋体" w:cs="宋体"/>
          <w:color w:val="000000"/>
          <w:sz w:val="24"/>
          <w:highlight w:val="none"/>
          <w:u w:val="single"/>
        </w:rPr>
        <w:t xml:space="preserve">施工红线</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关于发包人向承包人免费提供满足工程施工需要的场内道路和交通设施的约定：</w:t>
      </w:r>
      <w:r>
        <w:rPr>
          <w:rFonts w:hint="eastAsia" w:ascii="宋体" w:hAnsi="宋体" w:cs="宋体"/>
          <w:color w:val="000000"/>
          <w:sz w:val="24"/>
          <w:highlight w:val="none"/>
          <w:u w:val="single"/>
        </w:rPr>
        <w:t xml:space="preserve">承包人可以使用目前场内道路和交通设施，但维修保养费由承包人承担</w:t>
      </w:r>
      <w:r>
        <w:rPr>
          <w:rFonts w:hint="eastAsia" w:ascii="宋体" w:hAnsi="宋体" w:cs="宋体"/>
          <w:color w:val="000000"/>
          <w:sz w:val="24"/>
          <w:highlight w:val="none"/>
        </w:rPr>
        <w:t xml:space="preserve">。</w:t>
      </w:r>
      <w:bookmarkEnd w:id="103"/>
      <w:r/>
      <w:bookmarkEnd w:id="104"/>
      <w:r/>
      <w:bookmarkEnd w:id="105"/>
      <w:r/>
      <w:bookmarkEnd w:id="106"/>
      <w:r/>
      <w:bookmarkEnd w:id="107"/>
      <w:r/>
      <w:bookmarkStart w:id="108" w:name="_Toc318581157"/>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1.10.4</w:t>
      </w:r>
      <w:r>
        <w:rPr>
          <w:rFonts w:hint="eastAsia" w:ascii="宋体" w:hAnsi="宋体" w:cs="宋体"/>
          <w:color w:val="000000"/>
          <w:sz w:val="24"/>
          <w:highlight w:val="none"/>
        </w:rPr>
        <w:t xml:space="preserve">超大件和超重件的运输</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运输超大件或超重件所需的道路和桥梁临时加固改造费用和其他有关费用由</w:t>
      </w:r>
      <w:r>
        <w:rPr>
          <w:rFonts w:hint="eastAsia" w:ascii="宋体" w:hAnsi="宋体" w:cs="宋体"/>
          <w:color w:val="000000"/>
          <w:sz w:val="24"/>
          <w:highlight w:val="none"/>
          <w:u w:val="single"/>
        </w:rPr>
        <w:t xml:space="preserve">承包人</w:t>
      </w:r>
      <w:r>
        <w:rPr>
          <w:rFonts w:hint="eastAsia" w:ascii="宋体" w:hAnsi="宋体" w:cs="宋体"/>
          <w:color w:val="000000"/>
          <w:sz w:val="24"/>
          <w:highlight w:val="none"/>
        </w:rPr>
        <w:t xml:space="preserve">承担。</w:t>
      </w:r>
      <w:bookmarkEnd w:id="108"/>
      <w:r/>
      <w:r/>
    </w:p>
    <w:p>
      <w:pPr>
        <w:ind w:firstLine="482"/>
        <w:spacing w:line="360" w:lineRule="auto"/>
        <w:rPr>
          <w:rFonts w:ascii="宋体" w:hAnsi="宋体" w:eastAsia="Calibri" w:cs="宋体"/>
          <w:b/>
          <w:color w:val="000000"/>
          <w:sz w:val="24"/>
          <w:highlight w:val="none"/>
        </w:rPr>
      </w:pPr>
      <w:r/>
      <w:bookmarkStart w:id="109" w:name="_Toc36797926"/>
      <w:r>
        <w:rPr>
          <w:rFonts w:hint="eastAsia" w:ascii="宋体" w:hAnsi="宋体" w:eastAsia="Calibri" w:cs="宋体"/>
          <w:b/>
          <w:color w:val="000000"/>
          <w:sz w:val="24"/>
          <w:highlight w:val="none"/>
        </w:rPr>
        <w:t xml:space="preserve">1.11 </w:t>
      </w:r>
      <w:r>
        <w:rPr>
          <w:rFonts w:hint="eastAsia" w:ascii="宋体" w:hAnsi="宋体" w:cs="宋体"/>
          <w:b/>
          <w:color w:val="000000"/>
          <w:sz w:val="24"/>
          <w:highlight w:val="none"/>
        </w:rPr>
        <w:t xml:space="preserve">知识产权</w:t>
      </w:r>
      <w:bookmarkEnd w:id="109"/>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1.11.1</w:t>
      </w:r>
      <w:r>
        <w:rPr>
          <w:rFonts w:hint="eastAsia" w:ascii="宋体" w:hAnsi="宋体" w:cs="宋体"/>
          <w:color w:val="000000"/>
          <w:sz w:val="24"/>
          <w:highlight w:val="none"/>
        </w:rPr>
        <w:t xml:space="preserve">关于发包人提供给承包人的图纸、发包人为实施工程自行编制或委托编制的技术规范以及反映发包人关于合同要求或其他类似性质的文件的著作权的归属：归</w:t>
      </w:r>
      <w:r>
        <w:rPr>
          <w:rFonts w:hint="eastAsia" w:ascii="宋体" w:hAnsi="宋体" w:cs="宋体"/>
          <w:color w:val="000000"/>
          <w:sz w:val="24"/>
          <w:highlight w:val="none"/>
          <w:u w:val="single"/>
        </w:rPr>
        <w:t xml:space="preserve">发包人所有</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关于发包人提供的上述文件的使用限制的要求：</w:t>
      </w:r>
      <w:r>
        <w:rPr>
          <w:rFonts w:hint="eastAsia" w:ascii="宋体" w:hAnsi="宋体" w:cs="宋体"/>
          <w:color w:val="000000"/>
          <w:sz w:val="24"/>
          <w:highlight w:val="none"/>
          <w:u w:val="single"/>
        </w:rPr>
        <w:t xml:space="preserve">仅限用于本工程</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1.11.2 </w:t>
      </w:r>
      <w:r>
        <w:rPr>
          <w:rFonts w:hint="eastAsia" w:ascii="宋体" w:hAnsi="宋体" w:cs="宋体"/>
          <w:color w:val="000000"/>
          <w:sz w:val="24"/>
          <w:highlight w:val="none"/>
        </w:rPr>
        <w:t xml:space="preserve">关于承包人为实施工程所编制文件的著作权的归属：归</w:t>
      </w:r>
      <w:r>
        <w:rPr>
          <w:rFonts w:hint="eastAsia" w:ascii="宋体" w:hAnsi="宋体" w:cs="宋体"/>
          <w:color w:val="000000"/>
          <w:sz w:val="24"/>
          <w:highlight w:val="none"/>
          <w:u w:val="single"/>
        </w:rPr>
        <w:t xml:space="preserve">发包人所有</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关于承包人提供的上述文件的使用限制的要求：</w:t>
      </w:r>
      <w:r>
        <w:rPr>
          <w:rFonts w:hint="eastAsia" w:ascii="宋体" w:hAnsi="宋体" w:cs="宋体"/>
          <w:color w:val="000000"/>
          <w:sz w:val="24"/>
          <w:highlight w:val="none"/>
          <w:u w:val="single"/>
        </w:rPr>
        <w:t xml:space="preserve">仅限用于本工程</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bookmarkStart w:id="110" w:name="_Toc36797927"/>
      <w:r>
        <w:rPr>
          <w:rFonts w:hint="eastAsia" w:ascii="宋体" w:hAnsi="宋体" w:eastAsia="Calibri" w:cs="宋体"/>
          <w:color w:val="000000"/>
          <w:sz w:val="24"/>
          <w:highlight w:val="none"/>
        </w:rPr>
        <w:t xml:space="preserve">1.11.4 </w:t>
      </w:r>
      <w:r>
        <w:rPr>
          <w:rFonts w:hint="eastAsia" w:ascii="宋体" w:hAnsi="宋体" w:cs="宋体"/>
          <w:color w:val="000000"/>
          <w:sz w:val="24"/>
          <w:highlight w:val="none"/>
        </w:rPr>
        <w:t xml:space="preserve">承包人在施工过程中所采用的专利、专有技术、技术秘密的使用费的承担方式：</w:t>
      </w:r>
      <w:r>
        <w:rPr>
          <w:rFonts w:hint="eastAsia" w:ascii="宋体" w:hAnsi="宋体" w:cs="宋体"/>
          <w:color w:val="000000"/>
          <w:sz w:val="24"/>
          <w:highlight w:val="none"/>
          <w:u w:val="single"/>
        </w:rPr>
        <w:t xml:space="preserve">由承包人承担，已包含在签约合同价中</w:t>
      </w:r>
      <w:r>
        <w:rPr>
          <w:rFonts w:hint="eastAsia" w:ascii="宋体" w:hAnsi="宋体" w:cs="宋体"/>
          <w:color w:val="000000"/>
          <w:sz w:val="24"/>
          <w:highlight w:val="none"/>
        </w:rPr>
        <w:t xml:space="preserve">。</w:t>
      </w:r>
      <w:bookmarkEnd w:id="110"/>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1.13</w:t>
      </w:r>
      <w:r>
        <w:rPr>
          <w:rFonts w:hint="eastAsia" w:ascii="宋体" w:hAnsi="宋体" w:cs="宋体"/>
          <w:b/>
          <w:color w:val="000000"/>
          <w:sz w:val="24"/>
          <w:highlight w:val="none"/>
        </w:rPr>
        <w:t xml:space="preserve">工程量清单错误的修正</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出现工程量清单错误时，是否调整合同价格：</w:t>
      </w:r>
      <w:r>
        <w:rPr>
          <w:rFonts w:hint="eastAsia" w:ascii="宋体" w:hAnsi="宋体" w:cs="宋体"/>
          <w:color w:val="000000"/>
          <w:sz w:val="24"/>
          <w:highlight w:val="none"/>
          <w:u w:val="single"/>
        </w:rPr>
        <w:t xml:space="preserve">是，具体如下：工程量清单特征描述与施工图纸不符的，承包人在合同签订之日起5日历天提出，并以书面文件报至发包人现场代表，由发包人现场代表报请发包人技术部门、跟踪审计及行政主管部门进行审核确认后方可实施，否则造成返工与损失由承包人承担，凡发包人确认未对工程量清单特征描述作实质性修改，综合单价均不得改变。发包人代表有权要求承包人按照清单特征描述，或图纸设计做法，及技术规范要求实施工程，承包人必须实施，且承包人不得以工程量清单特征描述与施工图纸不符提出异议</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允许调整合同价格的工程量偏差范围：</w:t>
      </w:r>
      <w:r>
        <w:rPr>
          <w:rFonts w:hint="eastAsia" w:ascii="宋体" w:hAnsi="宋体" w:cs="宋体"/>
          <w:color w:val="000000"/>
          <w:sz w:val="24"/>
          <w:highlight w:val="none"/>
          <w:u w:val="single"/>
        </w:rPr>
        <w:t xml:space="preserve">竣工结算时的工程量按约定的工程量</w:t>
      </w:r>
      <w:r>
        <w:rPr>
          <w:rFonts w:hint="eastAsia" w:ascii="宋体" w:hAnsi="宋体" w:cs="宋体"/>
          <w:color w:val="000000"/>
          <w:sz w:val="24"/>
          <w:highlight w:val="none"/>
          <w:u w:val="single"/>
        </w:rPr>
        <w:t xml:space="preserve">计算规则和有合同约束力的设计图纸、签证单等计算，实际工程量和清单工程量的差值的绝对值与清单工程量的比值小于等5%时不作调整（即按清单工程量），超出5%以外的工程量予以调整（增、减），单价不予调整。当工程量数量偏差15%以上(不含15%)时按实调整数量，超出部分的单价由承包人提出，报监理、建设单位、经审计部门审定，15%以内部分，执行原有单价；因承包人原因造成的超范围施工或返工的工程量或不合格的工程，发包人不予计量、不予调整。增加工程量之前必须征得发包人书面同意或签证，否则承包人不得将此部分主张工程量并计价。</w:t>
      </w:r>
      <w:r/>
    </w:p>
    <w:p>
      <w:pPr>
        <w:spacing w:line="360" w:lineRule="auto"/>
        <w:rPr>
          <w:rFonts w:ascii="宋体" w:hAnsi="宋体" w:cs="宋体"/>
          <w:b/>
          <w:bCs/>
          <w:color w:val="000000"/>
          <w:sz w:val="24"/>
          <w:highlight w:val="none"/>
        </w:rPr>
      </w:pPr>
      <w:r/>
      <w:bookmarkStart w:id="111" w:name="_Toc351203634"/>
      <w:r>
        <w:rPr>
          <w:rFonts w:hint="eastAsia" w:ascii="宋体" w:hAnsi="宋体" w:cs="宋体"/>
          <w:b/>
          <w:bCs/>
          <w:color w:val="000000"/>
          <w:sz w:val="24"/>
          <w:highlight w:val="none"/>
        </w:rPr>
        <w:t xml:space="preserve">2</w:t>
      </w:r>
      <w:bookmarkStart w:id="112" w:name="_Toc296944496"/>
      <w:r/>
      <w:bookmarkStart w:id="113" w:name="_Toc292559867"/>
      <w:r/>
      <w:bookmarkStart w:id="114" w:name="_Toc292559362"/>
      <w:r/>
      <w:bookmarkStart w:id="115" w:name="_Toc296346658"/>
      <w:r/>
      <w:bookmarkStart w:id="116" w:name="_Toc297120457"/>
      <w:r/>
      <w:bookmarkStart w:id="117" w:name="_Toc296891197"/>
      <w:r/>
      <w:bookmarkStart w:id="118" w:name="_Toc296347156"/>
      <w:r/>
      <w:bookmarkStart w:id="119" w:name="_Toc296890985"/>
      <w:r/>
      <w:bookmarkStart w:id="120" w:name="_Toc297048343"/>
      <w:r/>
      <w:bookmarkStart w:id="121" w:name="_Toc296503157"/>
      <w:r>
        <w:rPr>
          <w:rFonts w:hint="eastAsia" w:ascii="宋体" w:hAnsi="宋体" w:cs="宋体"/>
          <w:b/>
          <w:bCs/>
          <w:color w:val="000000"/>
          <w:sz w:val="24"/>
          <w:highlight w:val="none"/>
        </w:rPr>
        <w:t xml:space="preserve">. 发包人</w:t>
      </w:r>
      <w:bookmarkEnd w:id="111"/>
      <w:r/>
      <w:bookmarkEnd w:id="112"/>
      <w:r/>
      <w:bookmarkEnd w:id="113"/>
      <w:r/>
      <w:bookmarkEnd w:id="114"/>
      <w:r/>
      <w:bookmarkEnd w:id="115"/>
      <w:r/>
      <w:bookmarkEnd w:id="116"/>
      <w:r/>
      <w:bookmarkEnd w:id="117"/>
      <w:r/>
      <w:bookmarkEnd w:id="118"/>
      <w:r/>
      <w:bookmarkEnd w:id="119"/>
      <w:r/>
      <w:bookmarkEnd w:id="120"/>
      <w:r/>
      <w:bookmarkEnd w:id="121"/>
      <w:r/>
      <w:r/>
    </w:p>
    <w:p>
      <w:pPr>
        <w:ind w:firstLine="482"/>
        <w:spacing w:line="360" w:lineRule="auto"/>
        <w:rPr>
          <w:rFonts w:ascii="宋体" w:hAnsi="宋体" w:eastAsia="Calibri" w:cs="宋体"/>
          <w:b/>
          <w:color w:val="000000"/>
          <w:sz w:val="24"/>
          <w:highlight w:val="none"/>
        </w:rPr>
      </w:pPr>
      <w:r/>
      <w:bookmarkStart w:id="122" w:name="_Toc36797928"/>
      <w:r>
        <w:rPr>
          <w:rFonts w:hint="eastAsia" w:ascii="宋体" w:hAnsi="宋体" w:eastAsia="Calibri" w:cs="宋体"/>
          <w:b/>
          <w:color w:val="000000"/>
          <w:sz w:val="24"/>
          <w:highlight w:val="none"/>
        </w:rPr>
        <w:t xml:space="preserve">2.2 </w:t>
      </w:r>
      <w:r>
        <w:rPr>
          <w:rFonts w:hint="eastAsia" w:ascii="宋体" w:hAnsi="宋体" w:cs="宋体"/>
          <w:b/>
          <w:color w:val="000000"/>
          <w:sz w:val="24"/>
          <w:highlight w:val="none"/>
        </w:rPr>
        <w:t xml:space="preserve">发包人代表</w:t>
      </w:r>
      <w:bookmarkEnd w:id="122"/>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发包人代表：</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姓名：</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身份证号：；</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职务：</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联系电话：</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电子信箱：；</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通信地址：。</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发包人对发包人代表的授权范围如下：</w:t>
      </w:r>
      <w:r>
        <w:rPr>
          <w:rFonts w:hint="eastAsia" w:ascii="宋体" w:hAnsi="宋体" w:cs="宋体"/>
          <w:color w:val="000000"/>
          <w:sz w:val="24"/>
          <w:highlight w:val="none"/>
          <w:u w:val="single"/>
        </w:rPr>
        <w:t xml:space="preserve">（1）行使发包人代表的权利，包括组织施工现场发包人的工作及代表发包人行使本合同授予发包人的相关权力。（2）本合同实施过程中，所有应由承包人负责又需发包人派驻代表/监理审批或确认的事情均不能免除或减轻承包人应负的合同责任。（3）发包人权利及相关约定：①对于承包人在施工阶段一切违背本合同文件条款和国家有关规定的行为，发包人有权就有关事项书面发出通知。如承包人在接获发包人要求纠正的书面通知后十天内仍未遵照执行时</w:t>
      </w:r>
      <w:r>
        <w:rPr>
          <w:rFonts w:hint="eastAsia" w:ascii="宋体" w:hAnsi="宋体" w:cs="宋体"/>
          <w:color w:val="000000"/>
          <w:sz w:val="24"/>
          <w:highlight w:val="none"/>
          <w:u w:val="single"/>
        </w:rPr>
        <w:t xml:space="preserve">，则发包人有权直接招请其他承包人执行该书面通知所需的任何工作，由此招请而产生的费用和发包人的相关损失，发包人可作为债务向承包人索还或在根据本合同文件内应付或届期应付承包人的款项内扣除，支付执行者。②发包人可以书面形式通知承包人要求其暂停履行合同规定的全部或部分义务，通知应说明暂停履行的义务、有效日期和理由，承包人应就此暂停履行其义务（除照管工程所需的部分外）直到发包人签发恢复履行的书面通知。③发包人的通知应以书面形式发出。任何口述通知不应立即生效，承包人应在接获通知后3天内向发包人书面（加盖公章）请求确认。</w:t>
      </w:r>
      <w:r/>
    </w:p>
    <w:p>
      <w:pPr>
        <w:ind w:firstLine="482"/>
        <w:spacing w:line="360" w:lineRule="auto"/>
        <w:rPr>
          <w:rFonts w:ascii="宋体" w:hAnsi="宋体" w:eastAsia="Calibri" w:cs="宋体"/>
          <w:b/>
          <w:color w:val="000000"/>
          <w:sz w:val="24"/>
          <w:highlight w:val="none"/>
        </w:rPr>
      </w:pPr>
      <w:r/>
      <w:bookmarkStart w:id="123" w:name="_Toc36797929"/>
      <w:r>
        <w:rPr>
          <w:rFonts w:hint="eastAsia" w:ascii="宋体" w:hAnsi="宋体" w:eastAsia="Calibri" w:cs="宋体"/>
          <w:b/>
          <w:color w:val="000000"/>
          <w:sz w:val="24"/>
          <w:highlight w:val="none"/>
        </w:rPr>
        <w:t xml:space="preserve">2.4 </w:t>
      </w:r>
      <w:r>
        <w:rPr>
          <w:rFonts w:hint="eastAsia" w:ascii="宋体" w:hAnsi="宋体" w:cs="宋体"/>
          <w:b/>
          <w:color w:val="000000"/>
          <w:sz w:val="24"/>
          <w:highlight w:val="none"/>
        </w:rPr>
        <w:t xml:space="preserve">施工现场、施工条件和基础资料的提供</w:t>
      </w:r>
      <w:bookmarkEnd w:id="123"/>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2.4.1 </w:t>
      </w:r>
      <w:r>
        <w:rPr>
          <w:rFonts w:hint="eastAsia" w:ascii="宋体" w:hAnsi="宋体" w:cs="宋体"/>
          <w:color w:val="000000"/>
          <w:sz w:val="24"/>
          <w:highlight w:val="none"/>
        </w:rPr>
        <w:t xml:space="preserve">提供施工现场</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关于发包人移交施工现场的期限要求：</w:t>
      </w:r>
      <w:r>
        <w:rPr>
          <w:rFonts w:hint="eastAsia" w:ascii="宋体" w:hAnsi="宋体" w:cs="宋体"/>
          <w:color w:val="000000"/>
          <w:sz w:val="24"/>
          <w:highlight w:val="none"/>
          <w:u w:val="single"/>
        </w:rPr>
        <w:t xml:space="preserve">开工令签发前七日内</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2.4.2 </w:t>
      </w:r>
      <w:r>
        <w:rPr>
          <w:rFonts w:hint="eastAsia" w:ascii="宋体" w:hAnsi="宋体" w:cs="宋体"/>
          <w:color w:val="000000"/>
          <w:sz w:val="24"/>
          <w:highlight w:val="none"/>
        </w:rPr>
        <w:t xml:space="preserve">提供施工条件</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关于发包人应负责提供施工所需要的条件，包括：</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1</w:t>
      </w:r>
      <w:r>
        <w:rPr>
          <w:rFonts w:hint="eastAsia" w:ascii="宋体" w:hAnsi="宋体" w:cs="宋体"/>
          <w:color w:val="000000"/>
          <w:sz w:val="24"/>
          <w:highlight w:val="none"/>
          <w:u w:val="single"/>
        </w:rPr>
        <w:t xml:space="preserve">）承包人在投标前已经到工地勘察并充分了解工地位置、邻近建筑物、道路、储存空间、起卸限制及任何其他足以影响投标报价之情况。中标后，承包人不得因忽视或误解工地情况提出费用或工期索赔。</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2</w:t>
      </w:r>
      <w:r>
        <w:rPr>
          <w:rFonts w:hint="eastAsia" w:ascii="宋体" w:hAnsi="宋体" w:cs="宋体"/>
          <w:color w:val="000000"/>
          <w:sz w:val="24"/>
          <w:highlight w:val="none"/>
          <w:u w:val="single"/>
        </w:rPr>
        <w:t xml:space="preserve">）工程周边道路基本满足施工需求，施工区域内的临时道路由承包人自行修建，相应费用由承包人承担。</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3</w:t>
      </w:r>
      <w:r>
        <w:rPr>
          <w:rFonts w:hint="eastAsia" w:ascii="宋体" w:hAnsi="宋体" w:cs="宋体"/>
          <w:color w:val="000000"/>
          <w:sz w:val="24"/>
          <w:highlight w:val="none"/>
          <w:u w:val="single"/>
        </w:rPr>
        <w:t xml:space="preserve">）发包人提供电源、水源，承包人现场踏勘确认具体容量、接入点位置，承包人自行考虑用水、用电布管接入、挂表计量，并承担应交纳的水电费用（按照发包人向供电部门实缴单价计算）。</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4</w:t>
      </w:r>
      <w:r>
        <w:rPr>
          <w:rFonts w:hint="eastAsia" w:ascii="宋体" w:hAnsi="宋体" w:cs="宋体"/>
          <w:color w:val="000000"/>
          <w:sz w:val="24"/>
          <w:highlight w:val="none"/>
          <w:u w:val="single"/>
        </w:rPr>
        <w:t xml:space="preserve">）发包人指定现场施工（生活）用水、电接入位置，自指定位置接入施工现场所需的材料、安装等一切费用，由承包人自行解决并承担相应费用，同时施工中发包人不考虑因用电原因（如需自发电或电容量不够）而给承包人的任何额外补偿；</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5</w:t>
      </w:r>
      <w:r>
        <w:rPr>
          <w:rFonts w:hint="eastAsia" w:ascii="宋体" w:hAnsi="宋体" w:cs="宋体"/>
          <w:color w:val="000000"/>
          <w:sz w:val="24"/>
          <w:highlight w:val="none"/>
          <w:u w:val="single"/>
        </w:rPr>
        <w:t xml:space="preserve">）施工场地与公共道路的通道开通时间和要求：以目前现状为准。承包人在投标时已自行考察过施工场地与公共道路的通道现状，且在报价时已考虑相关费用，现场不允许大型和超载车辆通行，造成损失和责任均由承包人承担。</w:t>
      </w:r>
      <w:r/>
    </w:p>
    <w:p>
      <w:pPr>
        <w:ind w:firstLine="482"/>
        <w:spacing w:line="360" w:lineRule="auto"/>
        <w:rPr>
          <w:rFonts w:ascii="宋体" w:hAnsi="宋体" w:eastAsia="Calibri" w:cs="宋体"/>
          <w:b/>
          <w:color w:val="000000"/>
          <w:sz w:val="24"/>
          <w:highlight w:val="none"/>
        </w:rPr>
      </w:pPr>
      <w:r/>
      <w:bookmarkStart w:id="124" w:name="_Toc36797930"/>
      <w:r>
        <w:rPr>
          <w:rFonts w:hint="eastAsia" w:ascii="宋体" w:hAnsi="宋体" w:eastAsia="Calibri" w:cs="宋体"/>
          <w:b/>
          <w:color w:val="000000"/>
          <w:sz w:val="24"/>
          <w:highlight w:val="none"/>
        </w:rPr>
        <w:t xml:space="preserve">2.5 </w:t>
      </w:r>
      <w:r>
        <w:rPr>
          <w:rFonts w:hint="eastAsia" w:ascii="宋体" w:hAnsi="宋体" w:cs="宋体"/>
          <w:b/>
          <w:color w:val="000000"/>
          <w:sz w:val="24"/>
          <w:highlight w:val="none"/>
        </w:rPr>
        <w:t xml:space="preserve">资金来源证明及支付担保</w:t>
      </w:r>
      <w:bookmarkEnd w:id="124"/>
      <w:r/>
      <w:r/>
    </w:p>
    <w:p>
      <w:pPr>
        <w:ind w:firstLine="480"/>
        <w:spacing w:line="360" w:lineRule="auto"/>
        <w:rPr>
          <w:rFonts w:ascii="宋体" w:hAnsi="宋体" w:cs="宋体"/>
          <w:color w:val="000000"/>
          <w:sz w:val="24"/>
          <w:highlight w:val="none"/>
          <w:u w:val="single"/>
        </w:rPr>
      </w:pPr>
      <w:r/>
      <w:bookmarkStart w:id="125" w:name="_Toc351203635"/>
      <w:r>
        <w:rPr>
          <w:rFonts w:hint="eastAsia" w:ascii="宋体" w:hAnsi="宋体" w:cs="宋体"/>
          <w:color w:val="000000"/>
          <w:sz w:val="24"/>
          <w:highlight w:val="none"/>
        </w:rPr>
        <w:t xml:space="preserve">发包人提供资金来源证明的期限要求：</w:t>
      </w:r>
      <w:r>
        <w:rPr>
          <w:rFonts w:hint="eastAsia" w:ascii="宋体" w:hAnsi="宋体" w:cs="宋体"/>
          <w:color w:val="000000"/>
          <w:sz w:val="24"/>
          <w:highlight w:val="none"/>
          <w:u w:val="single"/>
        </w:rPr>
        <w:t xml:space="preserve">按通用条款执行。</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发包人是否提供支付担保：</w:t>
      </w:r>
      <w:r>
        <w:rPr>
          <w:rFonts w:hint="eastAsia" w:ascii="宋体" w:hAnsi="宋体" w:cs="宋体"/>
          <w:color w:val="000000"/>
          <w:sz w:val="24"/>
          <w:highlight w:val="none"/>
          <w:u w:val="single"/>
        </w:rPr>
        <w:t xml:space="preserve">按通用条款执行。</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发包人提供支付担保的形式：</w:t>
      </w:r>
      <w:r>
        <w:rPr>
          <w:rFonts w:hint="eastAsia" w:ascii="宋体" w:hAnsi="宋体" w:cs="宋体"/>
          <w:color w:val="000000"/>
          <w:sz w:val="24"/>
          <w:highlight w:val="none"/>
          <w:u w:val="single"/>
        </w:rPr>
        <w:t xml:space="preserve">按通用条款执行。</w:t>
      </w:r>
      <w:r/>
    </w:p>
    <w:p>
      <w:pPr>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w:t>
      </w:r>
      <w:bookmarkStart w:id="126" w:name="_Toc296890986"/>
      <w:r/>
      <w:bookmarkStart w:id="127" w:name="_Toc297048344"/>
      <w:r/>
      <w:bookmarkStart w:id="128" w:name="_Toc296503158"/>
      <w:r/>
      <w:bookmarkStart w:id="129" w:name="_Toc296944497"/>
      <w:r/>
      <w:bookmarkStart w:id="130" w:name="_Toc292559363"/>
      <w:r/>
      <w:bookmarkStart w:id="131" w:name="_Toc296891198"/>
      <w:r/>
      <w:bookmarkStart w:id="132" w:name="_Toc296346659"/>
      <w:r/>
      <w:bookmarkStart w:id="133" w:name="_Toc297120458"/>
      <w:r/>
      <w:bookmarkStart w:id="134" w:name="_Toc296347157"/>
      <w:r/>
      <w:bookmarkStart w:id="135" w:name="_Toc292559868"/>
      <w:r>
        <w:rPr>
          <w:rFonts w:hint="eastAsia" w:ascii="宋体" w:hAnsi="宋体" w:cs="宋体"/>
          <w:b/>
          <w:bCs/>
          <w:color w:val="000000"/>
          <w:sz w:val="24"/>
          <w:highlight w:val="none"/>
        </w:rPr>
        <w:t xml:space="preserve">. 承包人</w:t>
      </w:r>
      <w:bookmarkEnd w:id="125"/>
      <w:r/>
      <w:bookmarkEnd w:id="126"/>
      <w:r/>
      <w:bookmarkEnd w:id="127"/>
      <w:r/>
      <w:bookmarkEnd w:id="128"/>
      <w:r/>
      <w:bookmarkEnd w:id="129"/>
      <w:r/>
      <w:bookmarkEnd w:id="130"/>
      <w:r/>
      <w:bookmarkEnd w:id="131"/>
      <w:r/>
      <w:bookmarkEnd w:id="132"/>
      <w:r/>
      <w:bookmarkEnd w:id="133"/>
      <w:r/>
      <w:bookmarkEnd w:id="134"/>
      <w:r/>
      <w:bookmarkEnd w:id="135"/>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3.1 </w:t>
      </w:r>
      <w:r>
        <w:rPr>
          <w:rFonts w:hint="eastAsia" w:ascii="宋体" w:hAnsi="宋体" w:cs="宋体"/>
          <w:b/>
          <w:color w:val="000000"/>
          <w:sz w:val="24"/>
          <w:highlight w:val="none"/>
        </w:rPr>
        <w:t xml:space="preserve">承包人的一般义务</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w:t>
      </w:r>
      <w:r>
        <w:rPr>
          <w:rFonts w:hint="eastAsia" w:ascii="宋体" w:hAnsi="宋体" w:cs="宋体"/>
          <w:color w:val="000000"/>
          <w:sz w:val="24"/>
          <w:highlight w:val="none"/>
        </w:rPr>
        <w:t xml:space="preserve">承包人提交的竣工资料的内容：</w:t>
      </w:r>
      <w:r>
        <w:rPr>
          <w:rFonts w:hint="eastAsia" w:ascii="宋体" w:hAnsi="宋体" w:cs="宋体"/>
          <w:color w:val="000000"/>
          <w:sz w:val="24"/>
          <w:highlight w:val="none"/>
          <w:u w:val="single"/>
        </w:rPr>
        <w:t xml:space="preserve">按照</w:t>
      </w:r>
      <w:r>
        <w:rPr>
          <w:rFonts w:hint="eastAsia" w:ascii="宋体" w:hAnsi="宋体" w:eastAsia="Calibri" w:cs="宋体"/>
          <w:color w:val="000000"/>
          <w:sz w:val="24"/>
          <w:highlight w:val="none"/>
          <w:u w:val="single"/>
        </w:rPr>
        <w:t xml:space="preserve">GB/T50328-2014</w:t>
      </w:r>
      <w:r>
        <w:rPr>
          <w:rFonts w:hint="eastAsia" w:ascii="宋体" w:hAnsi="宋体" w:cs="宋体"/>
          <w:color w:val="000000"/>
          <w:sz w:val="24"/>
          <w:highlight w:val="none"/>
          <w:u w:val="single"/>
        </w:rPr>
        <w:t xml:space="preserve">《建设工程文件归档整理规范》绘制竣工图一式六份及电子版一份，所需费用已包含在签约合同价中。</w:t>
      </w:r>
      <w:r/>
    </w:p>
    <w:p>
      <w:pPr>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承包人需要提交的竣工资料套数：</w:t>
      </w:r>
      <w:r>
        <w:rPr>
          <w:rFonts w:hint="eastAsia" w:ascii="宋体" w:hAnsi="宋体" w:cs="宋体"/>
          <w:color w:val="000000"/>
          <w:sz w:val="24"/>
          <w:highlight w:val="none"/>
          <w:u w:val="single"/>
        </w:rPr>
        <w:t xml:space="preserve">三套</w:t>
      </w:r>
      <w:r>
        <w:rPr>
          <w:rFonts w:hint="eastAsia" w:ascii="宋体" w:hAnsi="宋体" w:cs="宋体"/>
          <w:color w:val="000000"/>
          <w:sz w:val="24"/>
          <w:highlight w:val="none"/>
        </w:rPr>
        <w:t xml:space="preserve">。</w:t>
      </w:r>
      <w:r/>
    </w:p>
    <w:p>
      <w:pPr>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承包人提交的竣工资料的费用承担：</w:t>
      </w:r>
      <w:r>
        <w:rPr>
          <w:rFonts w:hint="eastAsia" w:ascii="宋体" w:hAnsi="宋体" w:cs="宋体"/>
          <w:color w:val="000000"/>
          <w:sz w:val="24"/>
          <w:highlight w:val="none"/>
          <w:u w:val="single"/>
        </w:rPr>
        <w:t xml:space="preserve">承包人承担</w:t>
      </w:r>
      <w:r>
        <w:rPr>
          <w:rFonts w:hint="eastAsia" w:ascii="宋体" w:hAnsi="宋体" w:cs="宋体"/>
          <w:color w:val="000000"/>
          <w:sz w:val="24"/>
          <w:highlight w:val="none"/>
        </w:rPr>
        <w:t xml:space="preserve">。</w:t>
      </w:r>
      <w:r/>
    </w:p>
    <w:p>
      <w:pPr>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承包人提交的竣工资料移交时间：</w:t>
      </w:r>
      <w:r>
        <w:rPr>
          <w:rFonts w:hint="eastAsia" w:ascii="宋体" w:hAnsi="宋体" w:cs="宋体"/>
          <w:color w:val="000000"/>
          <w:sz w:val="24"/>
          <w:highlight w:val="none"/>
          <w:u w:val="single"/>
        </w:rPr>
        <w:t xml:space="preserve">竣工验收后</w:t>
      </w:r>
      <w:r>
        <w:rPr>
          <w:rFonts w:hint="eastAsia" w:ascii="宋体" w:hAnsi="宋体" w:eastAsia="Calibri" w:cs="宋体"/>
          <w:color w:val="000000"/>
          <w:sz w:val="24"/>
          <w:highlight w:val="none"/>
          <w:u w:val="single"/>
        </w:rPr>
        <w:t xml:space="preserve">30</w:t>
      </w:r>
      <w:r>
        <w:rPr>
          <w:rFonts w:hint="eastAsia" w:ascii="宋体" w:hAnsi="宋体" w:cs="宋体"/>
          <w:color w:val="000000"/>
          <w:sz w:val="24"/>
          <w:highlight w:val="none"/>
          <w:u w:val="single"/>
        </w:rPr>
        <w:t xml:space="preserve">日内</w:t>
      </w:r>
      <w:r>
        <w:rPr>
          <w:rFonts w:hint="eastAsia" w:ascii="宋体" w:hAnsi="宋体" w:cs="宋体"/>
          <w:color w:val="000000"/>
          <w:sz w:val="24"/>
          <w:highlight w:val="none"/>
        </w:rPr>
        <w:t xml:space="preserve">。</w:t>
      </w:r>
      <w:r/>
    </w:p>
    <w:p>
      <w:pPr>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承包人提交的竣工资料形式要求：</w:t>
      </w:r>
      <w:r>
        <w:rPr>
          <w:rFonts w:hint="eastAsia" w:ascii="宋体" w:hAnsi="宋体" w:cs="宋体"/>
          <w:color w:val="000000"/>
          <w:sz w:val="24"/>
          <w:highlight w:val="none"/>
          <w:u w:val="single"/>
        </w:rPr>
        <w:t xml:space="preserve">纸质版及电子版</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2.</w:t>
      </w:r>
      <w:r>
        <w:rPr>
          <w:rFonts w:hint="eastAsia" w:ascii="宋体" w:hAnsi="宋体" w:cs="宋体"/>
          <w:color w:val="000000"/>
          <w:sz w:val="24"/>
          <w:highlight w:val="none"/>
        </w:rPr>
        <w:t xml:space="preserve">承包人应履行的其他义务：</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⑴承担发包人上级领导检查、视察工地所需的现场准备工作；配合质监、安监单位的现场检查，并承担由此引起的相关费用。发包人需要时，可能对施工做出某些限制和配合要求，承包人应按照要求做出必要的配合，并承担有可能因此而引起工效降低需增加的费用。</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⑵承包人必须遵守省、市行业主管部门的相关规定，服从行业主管部门的管理，凡涉及到承包人的安全监督、质量监督、施工备案、车辆准运等有关证、照，均由承包人自行办理，发包人给予配合，发生的费用全部由承包人承担，包括但不限于排污管理费、噪声管理费、垃圾管理费等。</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⑶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⑷承包人所报价格应包含其自身分包引起的各项增加的或额外的费用。</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⑸承包人加强工程施工车辆的管理，施工车辆不得无故堵塞道路交通，不得沿途抛洒弃土，并根据发包人的要求，安排人员在主要路口疏导车辆、行人交通，其费用由承包人负责。</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⑹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①设置、维修和管理临时排污系统；</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②收集和处理所有施工现场和生活区域内的所有垃圾，直到竣工交付为止；</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③若因承包人现场清洁卫生工作不好，导致投诉（经调查属实的）或新闻媒体曝光，承包人需承担由此产生的一切后果和费用；另发包人可以要求承包人支付1万元</w:t>
      </w:r>
      <w:r>
        <w:rPr>
          <w:rFonts w:hint="eastAsia" w:ascii="宋体" w:hAnsi="宋体" w:eastAsia="Calibri" w:cs="宋体"/>
          <w:color w:val="000000"/>
          <w:sz w:val="24"/>
          <w:highlight w:val="none"/>
          <w:u w:val="single"/>
        </w:rPr>
        <w:t xml:space="preserve">/</w:t>
      </w:r>
      <w:r>
        <w:rPr>
          <w:rFonts w:hint="eastAsia" w:ascii="宋体" w:hAnsi="宋体" w:cs="宋体"/>
          <w:color w:val="000000"/>
          <w:sz w:val="24"/>
          <w:highlight w:val="none"/>
          <w:u w:val="single"/>
        </w:rPr>
        <w:t xml:space="preserve">次的违约金；</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⑺承包人必须立刻执行发包人代表获本合同授权而发出的书面指令。若承包人没有在规定时间之内执行指令，而在收到发包人催促执行的书面通知后</w:t>
      </w:r>
      <w:r>
        <w:rPr>
          <w:rFonts w:hint="eastAsia" w:ascii="宋体" w:hAnsi="宋体" w:eastAsia="Calibri" w:cs="宋体"/>
          <w:color w:val="000000"/>
          <w:sz w:val="24"/>
          <w:highlight w:val="none"/>
          <w:u w:val="single"/>
        </w:rPr>
        <w:t xml:space="preserve">7</w:t>
      </w:r>
      <w:r>
        <w:rPr>
          <w:rFonts w:hint="eastAsia" w:ascii="宋体" w:hAnsi="宋体" w:cs="宋体"/>
          <w:color w:val="000000"/>
          <w:sz w:val="24"/>
          <w:highlight w:val="none"/>
          <w:u w:val="single"/>
        </w:rPr>
        <w:t xml:space="preserve">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⑻承包人应当服从监理工程师及发包人的现场管理和协调工作，合理调动资源，保障工期、质量目标的实现。</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⑼承包人必须签收监理工程师及发包人发出的书面资料，如有异议必须在收文之日起</w:t>
      </w:r>
      <w:r>
        <w:rPr>
          <w:rFonts w:hint="eastAsia" w:ascii="宋体" w:hAnsi="宋体" w:eastAsia="Calibri" w:cs="宋体"/>
          <w:color w:val="000000"/>
          <w:sz w:val="24"/>
          <w:highlight w:val="none"/>
          <w:u w:val="single"/>
        </w:rPr>
        <w:t xml:space="preserve">3</w:t>
      </w:r>
      <w:r>
        <w:rPr>
          <w:rFonts w:hint="eastAsia" w:ascii="宋体" w:hAnsi="宋体" w:cs="宋体"/>
          <w:color w:val="000000"/>
          <w:sz w:val="24"/>
          <w:highlight w:val="none"/>
          <w:u w:val="single"/>
        </w:rPr>
        <w:t xml:space="preserve">日内书面回复，否则视同认可。</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⑽工程竣工验收后，因承包人的原因发生工程质量问题时，承包人应及时负责保修，若承包人不能及时保修，发包人有权委托其他单位进行保修，因保修发生费用由承包人承担并在保修金中扣除。保修金不足扣除的，其不足部分，发包人有权向承包人追偿。</w:t>
      </w:r>
      <w:r/>
    </w:p>
    <w:p>
      <w:pPr>
        <w:ind w:firstLine="480"/>
        <w:spacing w:line="360" w:lineRule="auto"/>
        <w:rPr>
          <w:rFonts w:ascii="宋体" w:hAnsi="宋体" w:eastAsia="Calibri" w:cs="宋体"/>
          <w:color w:val="000000"/>
          <w:sz w:val="24"/>
          <w:highlight w:val="none"/>
          <w:u w:val="single"/>
        </w:rPr>
      </w:pPr>
      <w:r>
        <w:rPr>
          <w:rFonts w:hint="eastAsia" w:ascii="宋体" w:hAnsi="宋体" w:eastAsia="Calibri" w:cs="宋体"/>
          <w:color w:val="000000"/>
          <w:sz w:val="24"/>
          <w:highlight w:val="none"/>
          <w:u w:val="single"/>
        </w:rPr>
        <w:t xml:space="preserve">3.</w:t>
      </w:r>
      <w:r>
        <w:rPr>
          <w:rFonts w:hint="eastAsia" w:ascii="宋体" w:hAnsi="宋体" w:cs="宋体"/>
          <w:color w:val="000000"/>
          <w:sz w:val="24"/>
          <w:highlight w:val="none"/>
          <w:u w:val="single"/>
        </w:rPr>
        <w:t xml:space="preserve">双方约定承包人应做的其他工作：</w:t>
      </w:r>
      <w:r/>
    </w:p>
    <w:p>
      <w:pPr>
        <w:ind w:firstLine="480"/>
        <w:spacing w:line="360" w:lineRule="auto"/>
        <w:rPr>
          <w:rFonts w:ascii="宋体" w:hAnsi="宋体" w:eastAsia="Calibri" w:cs="宋体"/>
          <w:color w:val="000000"/>
          <w:sz w:val="24"/>
          <w:highlight w:val="none"/>
          <w:u w:val="single"/>
        </w:rPr>
      </w:pPr>
      <w:r>
        <w:rPr>
          <w:rFonts w:hint="eastAsia" w:ascii="宋体" w:hAnsi="宋体" w:eastAsia="Calibri" w:cs="宋体"/>
          <w:color w:val="000000"/>
          <w:sz w:val="24"/>
          <w:highlight w:val="none"/>
          <w:u w:val="single"/>
        </w:rPr>
        <w:t xml:space="preserve">a.</w:t>
      </w:r>
      <w:r>
        <w:rPr>
          <w:rFonts w:hint="eastAsia" w:ascii="宋体" w:hAnsi="宋体" w:cs="宋体"/>
          <w:color w:val="000000"/>
          <w:sz w:val="24"/>
          <w:highlight w:val="none"/>
          <w:u w:val="single"/>
        </w:rPr>
        <w:t xml:space="preserve">承包人应按发包人的指令，完成发包人要求的对工程内容任何的变更、增加和删减。除非该设计变更属结构性重大变动，同时也符合价款调整的相关条款之规定，否则所有设计变更均不得作为延长工期的理由。</w:t>
      </w:r>
      <w:r/>
    </w:p>
    <w:p>
      <w:pPr>
        <w:ind w:firstLine="480"/>
        <w:spacing w:line="360" w:lineRule="auto"/>
        <w:rPr>
          <w:rFonts w:ascii="宋体" w:hAnsi="宋体" w:eastAsia="Calibri" w:cs="宋体"/>
          <w:color w:val="000000"/>
          <w:sz w:val="24"/>
          <w:highlight w:val="none"/>
          <w:u w:val="single"/>
        </w:rPr>
      </w:pPr>
      <w:r>
        <w:rPr>
          <w:rFonts w:hint="eastAsia" w:ascii="宋体" w:hAnsi="宋体" w:eastAsia="Calibri" w:cs="宋体"/>
          <w:color w:val="000000"/>
          <w:sz w:val="24"/>
          <w:highlight w:val="none"/>
          <w:u w:val="single"/>
        </w:rPr>
        <w:t xml:space="preserve">b.</w:t>
      </w:r>
      <w:r>
        <w:rPr>
          <w:rFonts w:hint="eastAsia" w:ascii="宋体" w:hAnsi="宋体" w:cs="宋体"/>
          <w:color w:val="000000"/>
          <w:sz w:val="24"/>
          <w:highlight w:val="none"/>
          <w:u w:val="single"/>
        </w:rPr>
        <w:t xml:space="preserve">承包人应负责办理电力增容申请、施工许可、工程竣工备案等相关手续。</w:t>
      </w:r>
      <w:r/>
    </w:p>
    <w:p>
      <w:pPr>
        <w:ind w:firstLine="480"/>
        <w:spacing w:line="360" w:lineRule="auto"/>
        <w:rPr>
          <w:rFonts w:ascii="宋体" w:hAnsi="宋体" w:eastAsia="Calibri" w:cs="宋体"/>
          <w:color w:val="000000"/>
          <w:sz w:val="24"/>
          <w:highlight w:val="none"/>
          <w:u w:val="single"/>
        </w:rPr>
      </w:pPr>
      <w:r>
        <w:rPr>
          <w:rFonts w:hint="eastAsia" w:ascii="宋体" w:hAnsi="宋体" w:eastAsia="Calibri" w:cs="宋体"/>
          <w:color w:val="000000"/>
          <w:sz w:val="24"/>
          <w:highlight w:val="none"/>
          <w:u w:val="single"/>
        </w:rPr>
        <w:t xml:space="preserve">c.</w:t>
      </w:r>
      <w:r>
        <w:rPr>
          <w:rFonts w:hint="eastAsia" w:ascii="宋体" w:hAnsi="宋体" w:cs="宋体"/>
          <w:color w:val="000000"/>
          <w:sz w:val="24"/>
          <w:highlight w:val="none"/>
          <w:u w:val="single"/>
        </w:rPr>
        <w:t xml:space="preserve">承包人必须积极配合发包人的相关宣传报道、形象展示行为。承包人若以任何名义作任何关于该项目的宣传报道，须事先经发包人同意。</w:t>
      </w:r>
      <w:r/>
    </w:p>
    <w:p>
      <w:pPr>
        <w:ind w:firstLine="480"/>
        <w:spacing w:line="360" w:lineRule="auto"/>
        <w:rPr>
          <w:rFonts w:ascii="宋体" w:hAnsi="宋体" w:eastAsia="Calibri" w:cs="宋体"/>
          <w:color w:val="000000"/>
          <w:sz w:val="24"/>
          <w:highlight w:val="none"/>
          <w:u w:val="single"/>
        </w:rPr>
      </w:pPr>
      <w:r>
        <w:rPr>
          <w:rFonts w:hint="eastAsia" w:ascii="宋体" w:hAnsi="宋体" w:eastAsia="Calibri" w:cs="宋体"/>
          <w:color w:val="000000"/>
          <w:sz w:val="24"/>
          <w:highlight w:val="none"/>
          <w:u w:val="single"/>
        </w:rPr>
        <w:t xml:space="preserve">d.</w:t>
      </w:r>
      <w:r>
        <w:rPr>
          <w:rFonts w:hint="eastAsia" w:ascii="宋体" w:hAnsi="宋体" w:cs="宋体"/>
          <w:color w:val="000000"/>
          <w:sz w:val="24"/>
          <w:highlight w:val="none"/>
          <w:u w:val="single"/>
        </w:rPr>
        <w:t xml:space="preserve">承包人在施工及维修期间应注意从各方面维护自己和发包人的形象，如果有被媒体曝光的，发包人将视为承包人违约，媒体曝光一次，违约金不低于1</w:t>
      </w:r>
      <w:r>
        <w:rPr>
          <w:rFonts w:hint="eastAsia" w:ascii="宋体" w:hAnsi="宋体" w:eastAsia="Calibri" w:cs="宋体"/>
          <w:color w:val="000000"/>
          <w:sz w:val="24"/>
          <w:highlight w:val="none"/>
          <w:u w:val="single"/>
        </w:rPr>
        <w:t xml:space="preserve">0000</w:t>
      </w:r>
      <w:r>
        <w:rPr>
          <w:rFonts w:hint="eastAsia" w:ascii="宋体" w:hAnsi="宋体" w:cs="宋体"/>
          <w:color w:val="000000"/>
          <w:sz w:val="24"/>
          <w:highlight w:val="none"/>
          <w:u w:val="single"/>
        </w:rPr>
        <w:t xml:space="preserve">元人民币；对发包人有损害的媒体曝光一次，违约金不低于1</w:t>
      </w:r>
      <w:r>
        <w:rPr>
          <w:rFonts w:hint="eastAsia" w:ascii="宋体" w:hAnsi="宋体" w:eastAsia="Calibri" w:cs="宋体"/>
          <w:color w:val="000000"/>
          <w:sz w:val="24"/>
          <w:highlight w:val="none"/>
          <w:u w:val="single"/>
        </w:rPr>
        <w:t xml:space="preserve">0000</w:t>
      </w:r>
      <w:r>
        <w:rPr>
          <w:rFonts w:hint="eastAsia" w:ascii="宋体" w:hAnsi="宋体" w:cs="宋体"/>
          <w:color w:val="000000"/>
          <w:sz w:val="24"/>
          <w:highlight w:val="none"/>
          <w:u w:val="single"/>
        </w:rPr>
        <w:t xml:space="preserve">元人民币。</w:t>
      </w:r>
      <w:r/>
    </w:p>
    <w:p>
      <w:pPr>
        <w:ind w:firstLine="480"/>
        <w:spacing w:line="360" w:lineRule="auto"/>
        <w:rPr>
          <w:rFonts w:ascii="宋体" w:hAnsi="宋体" w:eastAsia="Calibri" w:cs="宋体"/>
          <w:color w:val="000000"/>
          <w:sz w:val="24"/>
          <w:highlight w:val="none"/>
          <w:u w:val="single"/>
        </w:rPr>
      </w:pPr>
      <w:r>
        <w:rPr>
          <w:rFonts w:hint="eastAsia" w:ascii="宋体" w:hAnsi="宋体" w:eastAsia="Calibri" w:cs="宋体"/>
          <w:color w:val="000000"/>
          <w:sz w:val="24"/>
          <w:highlight w:val="none"/>
          <w:u w:val="single"/>
        </w:rPr>
        <w:t xml:space="preserve">e.</w:t>
      </w:r>
      <w:r>
        <w:rPr>
          <w:rFonts w:hint="eastAsia" w:ascii="宋体" w:hAnsi="宋体" w:cs="宋体"/>
          <w:color w:val="000000"/>
          <w:sz w:val="24"/>
          <w:highlight w:val="none"/>
          <w:u w:val="single"/>
        </w:rPr>
        <w:t xml:space="preserve">发包人有权自行委托工程造价咨询单位对经发包人初步审定的竣工结算报告及结算资料进行复核，并以该复核结果作为对报审竣工结算作出确认或者提出修改意见的最终依据。如施工单位所报结算经审计后，若审减额（送审额与审定额之差）超过</w:t>
      </w:r>
      <w:r>
        <w:rPr>
          <w:rFonts w:hint="eastAsia" w:ascii="宋体" w:hAnsi="宋体" w:eastAsia="Calibri" w:cs="宋体"/>
          <w:color w:val="000000"/>
          <w:sz w:val="24"/>
          <w:highlight w:val="none"/>
          <w:u w:val="single"/>
        </w:rPr>
        <w:t xml:space="preserve">10%</w:t>
      </w:r>
      <w:r>
        <w:rPr>
          <w:rFonts w:hint="eastAsia" w:ascii="宋体" w:hAnsi="宋体" w:cs="宋体"/>
          <w:color w:val="000000"/>
          <w:sz w:val="24"/>
          <w:highlight w:val="none"/>
          <w:u w:val="single"/>
        </w:rPr>
        <w:t xml:space="preserve">（含</w:t>
      </w:r>
      <w:r>
        <w:rPr>
          <w:rFonts w:hint="eastAsia" w:ascii="宋体" w:hAnsi="宋体" w:eastAsia="Calibri" w:cs="宋体"/>
          <w:color w:val="000000"/>
          <w:sz w:val="24"/>
          <w:highlight w:val="none"/>
          <w:u w:val="single"/>
        </w:rPr>
        <w:t xml:space="preserve">10%</w:t>
      </w:r>
      <w:r>
        <w:rPr>
          <w:rFonts w:hint="eastAsia" w:ascii="宋体" w:hAnsi="宋体" w:cs="宋体"/>
          <w:color w:val="000000"/>
          <w:sz w:val="24"/>
          <w:highlight w:val="none"/>
          <w:u w:val="single"/>
        </w:rPr>
        <w:t xml:space="preserve">）时（包括图纸变更、材料核价等一切中途变更审计内容），审减额（送审额与审定额之差）超过</w:t>
      </w:r>
      <w:r>
        <w:rPr>
          <w:rFonts w:hint="eastAsia" w:ascii="宋体" w:hAnsi="宋体" w:eastAsia="Calibri" w:cs="宋体"/>
          <w:color w:val="000000"/>
          <w:sz w:val="24"/>
          <w:highlight w:val="none"/>
          <w:u w:val="single"/>
        </w:rPr>
        <w:t xml:space="preserve">10%</w:t>
      </w:r>
      <w:r>
        <w:rPr>
          <w:rFonts w:hint="eastAsia" w:ascii="宋体" w:hAnsi="宋体" w:cs="宋体"/>
          <w:color w:val="000000"/>
          <w:sz w:val="24"/>
          <w:highlight w:val="none"/>
          <w:u w:val="single"/>
        </w:rPr>
        <w:t xml:space="preserve">部分的审计费用由承包人支付。</w:t>
      </w:r>
      <w:r/>
    </w:p>
    <w:p>
      <w:pPr>
        <w:ind w:firstLine="480"/>
        <w:spacing w:line="360" w:lineRule="auto"/>
        <w:rPr>
          <w:rFonts w:ascii="宋体" w:hAnsi="宋体" w:eastAsia="Calibri" w:cs="宋体"/>
          <w:color w:val="000000"/>
          <w:sz w:val="24"/>
          <w:highlight w:val="none"/>
          <w:u w:val="single"/>
        </w:rPr>
      </w:pPr>
      <w:r>
        <w:rPr>
          <w:rFonts w:hint="eastAsia" w:ascii="宋体" w:hAnsi="宋体" w:eastAsia="Calibri" w:cs="宋体"/>
          <w:color w:val="000000"/>
          <w:sz w:val="24"/>
          <w:highlight w:val="none"/>
          <w:u w:val="single"/>
        </w:rPr>
        <w:t xml:space="preserve">f.</w:t>
      </w:r>
      <w:r>
        <w:rPr>
          <w:rFonts w:hint="eastAsia" w:ascii="宋体" w:hAnsi="宋体" w:cs="宋体"/>
          <w:color w:val="000000"/>
          <w:sz w:val="24"/>
          <w:highlight w:val="none"/>
          <w:u w:val="single"/>
        </w:rPr>
        <w:t xml:space="preserve">关于检测、检验、试验：</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①承包人按规定进行建筑材料、构配件等试样的制作、封样、送检和其它为保证工程质量进行的材料检验试验工作的费用，由承包人承担。包括新结构、新材料的试验费，对构件（如幕墙、预制桩、门窗）做破坏性试验所发生的试样费用和根据国家标准和施工验收规范要求对材料、构配件和建筑物工程质量检测检验发生的第三方检测费用，对此类检测发生的费用，由发包人承担。但对承包人提供的具有合格证明的材料进行检测不合格的，该检测费用由承包人支付。</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②发包人供应材料的进场质量须由承包人进行把关，如遇因质量不合格材料的使用而引起的返工所造成的费用损失及工期延误由承包人负责。</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u w:val="single"/>
        </w:rPr>
        <w:t xml:space="preserve">③工程各分部分项一次检测不合格，承包人除承担返工费用外，还需承担后续检测费用以及因延期交付给发包人造成的直接和间接损失的相关费用</w:t>
      </w:r>
      <w:r>
        <w:rPr>
          <w:rFonts w:hint="eastAsia" w:ascii="宋体" w:hAnsi="宋体" w:cs="宋体"/>
          <w:color w:val="000000"/>
          <w:sz w:val="24"/>
          <w:highlight w:val="none"/>
        </w:rPr>
        <w:t xml:space="preserve">。</w:t>
      </w:r>
      <w:r/>
    </w:p>
    <w:p>
      <w:pPr>
        <w:ind w:firstLine="480"/>
        <w:jc w:val="left"/>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g.</w:t>
      </w:r>
      <w:r>
        <w:rPr>
          <w:rFonts w:hint="eastAsia" w:ascii="宋体" w:hAnsi="宋体" w:cs="宋体"/>
          <w:color w:val="000000"/>
          <w:sz w:val="24"/>
          <w:highlight w:val="none"/>
          <w:u w:val="single"/>
        </w:rPr>
        <w:t xml:space="preserve">做好施工场地周围地下管线和邻近建、构筑物、古树名木的保护和观测工作，由承包人提出迁移或保护方案经发包人同意后实施，其费用由发包人承担，如发生意外造成的财产和人身损害以及由于承包人原因造成的损失，法律责任和费用由承包人承担。</w:t>
      </w:r>
      <w:r/>
    </w:p>
    <w:p>
      <w:pPr>
        <w:ind w:firstLine="482"/>
        <w:spacing w:line="360" w:lineRule="auto"/>
        <w:rPr>
          <w:rFonts w:ascii="宋体" w:hAnsi="宋体" w:cs="宋体"/>
          <w:b/>
          <w:color w:val="000000"/>
          <w:sz w:val="24"/>
          <w:highlight w:val="none"/>
        </w:rPr>
      </w:pPr>
      <w:r>
        <w:rPr>
          <w:rFonts w:hint="eastAsia" w:ascii="宋体" w:hAnsi="宋体" w:eastAsia="Calibri" w:cs="宋体"/>
          <w:b/>
          <w:color w:val="000000"/>
          <w:sz w:val="24"/>
          <w:highlight w:val="none"/>
        </w:rPr>
        <w:t xml:space="preserve">3.2 </w:t>
      </w:r>
      <w:r>
        <w:rPr>
          <w:rFonts w:hint="eastAsia" w:ascii="宋体" w:hAnsi="宋体" w:cs="宋体"/>
          <w:b/>
          <w:color w:val="000000"/>
          <w:sz w:val="24"/>
          <w:highlight w:val="none"/>
        </w:rPr>
        <w:t xml:space="preserve">项目负责人</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3.2.1 项目负责人：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姓    名：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身份证号：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建造师执业资格等级：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建造师注册证书号：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建造师执业印章号：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安全生产考核合格证书号：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联系电话：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电子信箱：/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通信地址： ；</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承包人对项目负责人的授权范围如下：</w:t>
      </w:r>
      <w:r>
        <w:rPr>
          <w:rFonts w:hint="eastAsia" w:ascii="宋体" w:hAnsi="宋体" w:cs="宋体"/>
          <w:color w:val="000000"/>
          <w:sz w:val="24"/>
          <w:highlight w:val="none"/>
          <w:u w:val="single"/>
        </w:rPr>
        <w:t xml:space="preserve">组织与协调现场施工管理工作，履行承包人的权利与义务，且该项目负责人必须是投标书中明确的项目负责人</w:t>
      </w:r>
      <w:r>
        <w:rPr>
          <w:rFonts w:hint="eastAsia" w:ascii="宋体" w:hAnsi="宋体" w:cs="宋体"/>
          <w:color w:val="000000"/>
          <w:sz w:val="24"/>
          <w:highlight w:val="none"/>
          <w:u w:val="single"/>
          <w:lang w:eastAsia="zh-CN"/>
        </w:rPr>
        <w:t xml:space="preserve">。技术负责人必须是投标书中明确的技术负责人</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关于项目负责人每月在施工现场的时间要求：</w:t>
      </w:r>
      <w:r>
        <w:rPr>
          <w:rFonts w:hint="eastAsia" w:ascii="宋体" w:hAnsi="宋体" w:cs="宋体"/>
          <w:color w:val="000000"/>
          <w:sz w:val="24"/>
          <w:highlight w:val="none"/>
          <w:u w:val="single"/>
        </w:rPr>
        <w:t xml:space="preserve">项目负责人必须常驻施工现场，要求其本人每周不少于5日、每天不少于8小时在本工程现场工作，项目负责人必须参加每周召开的工程例会，有事必须请假。如项目负责人有特殊原因不能保证上述在岗时间的，需征得发包人书面同意后，授权项目副经理全权处理现场事务，且满足上述在岗时间。如项目负责人未经发包人同意违反上述规定，每缺席一日或缺席一次例会支付违约金1000元整。</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承包人未提交劳动合同，以及没有为项目负责人缴纳社会保险证明的违约责任：</w:t>
      </w:r>
      <w:r>
        <w:rPr>
          <w:rFonts w:hint="eastAsia" w:ascii="宋体" w:hAnsi="宋体" w:cs="宋体"/>
          <w:color w:val="000000"/>
          <w:sz w:val="24"/>
          <w:highlight w:val="none"/>
          <w:u w:val="single"/>
        </w:rPr>
        <w:t xml:space="preserve">清退承包人出场，所发生所有费用由承包人承担，并报送工程所在地工程建设主管部门备案</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项目负责人未经批准，擅自离开施工现场的违约责任：</w:t>
      </w:r>
      <w:r>
        <w:rPr>
          <w:rFonts w:hint="eastAsia" w:ascii="宋体" w:hAnsi="宋体" w:cs="宋体"/>
          <w:color w:val="000000"/>
          <w:sz w:val="24"/>
          <w:highlight w:val="none"/>
          <w:u w:val="single"/>
        </w:rPr>
        <w:t xml:space="preserve">每次处罚违约金人民币</w:t>
      </w:r>
      <w:r>
        <w:rPr>
          <w:rFonts w:hint="eastAsia" w:ascii="宋体" w:hAnsi="宋体" w:eastAsia="Calibri" w:cs="宋体"/>
          <w:color w:val="000000"/>
          <w:sz w:val="24"/>
          <w:highlight w:val="none"/>
          <w:u w:val="single"/>
        </w:rPr>
        <w:t xml:space="preserve">2000</w:t>
      </w:r>
      <w:r>
        <w:rPr>
          <w:rFonts w:hint="eastAsia" w:ascii="宋体" w:hAnsi="宋体" w:cs="宋体"/>
          <w:color w:val="000000"/>
          <w:sz w:val="24"/>
          <w:highlight w:val="none"/>
          <w:u w:val="single"/>
        </w:rPr>
        <w:t xml:space="preserve">元</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3.2.2 </w:t>
      </w:r>
      <w:r>
        <w:rPr>
          <w:rFonts w:hint="eastAsia" w:ascii="宋体" w:hAnsi="宋体" w:cs="宋体"/>
          <w:color w:val="000000"/>
          <w:sz w:val="24"/>
          <w:highlight w:val="none"/>
        </w:rPr>
        <w:t xml:space="preserve">承包人擅自更换项目负责人的违约责任：</w:t>
      </w:r>
      <w:r>
        <w:rPr>
          <w:rFonts w:hint="eastAsia" w:ascii="宋体" w:hAnsi="宋体" w:cs="宋体"/>
          <w:color w:val="000000"/>
          <w:sz w:val="24"/>
          <w:highlight w:val="none"/>
          <w:u w:val="single"/>
        </w:rPr>
        <w:t xml:space="preserve">中标的项目负责人</w:t>
      </w:r>
      <w:r>
        <w:rPr>
          <w:rFonts w:hint="eastAsia" w:ascii="宋体" w:hAnsi="宋体" w:cs="宋体"/>
          <w:color w:val="000000"/>
          <w:sz w:val="24"/>
          <w:highlight w:val="none"/>
          <w:u w:val="single"/>
          <w:lang w:eastAsia="zh-CN"/>
        </w:rPr>
        <w:t xml:space="preserve">、技术负责人</w:t>
      </w:r>
      <w:r>
        <w:rPr>
          <w:rFonts w:hint="eastAsia" w:ascii="宋体" w:hAnsi="宋体" w:cs="宋体"/>
          <w:color w:val="000000"/>
          <w:sz w:val="24"/>
          <w:highlight w:val="none"/>
          <w:u w:val="single"/>
        </w:rPr>
        <w:t xml:space="preserve">不得擅自更换，如有特殊原因确需更换，承包人应向发包人提出书面申请，发包人同意后方可更换（更换的项目负责人</w:t>
      </w:r>
      <w:r>
        <w:rPr>
          <w:rFonts w:hint="eastAsia" w:ascii="宋体" w:hAnsi="宋体" w:cs="宋体"/>
          <w:color w:val="000000"/>
          <w:sz w:val="24"/>
          <w:highlight w:val="none"/>
          <w:u w:val="single"/>
          <w:lang w:eastAsia="zh-CN"/>
        </w:rPr>
        <w:t xml:space="preserve">、技术负责人</w:t>
      </w:r>
      <w:r>
        <w:rPr>
          <w:rFonts w:hint="eastAsia" w:ascii="宋体" w:hAnsi="宋体" w:cs="宋体"/>
          <w:color w:val="000000"/>
          <w:sz w:val="24"/>
          <w:highlight w:val="none"/>
          <w:u w:val="single"/>
        </w:rPr>
        <w:t xml:space="preserve">资质不得低于投标文件中明确的资质），否则将追究承包人违约责任，同时承包人支付违约金1万元整（从当期进度款中扣除）。项目负责人</w:t>
      </w:r>
      <w:r>
        <w:rPr>
          <w:rFonts w:hint="eastAsia" w:ascii="宋体" w:hAnsi="宋体" w:cs="宋体"/>
          <w:color w:val="000000"/>
          <w:sz w:val="24"/>
          <w:highlight w:val="none"/>
          <w:u w:val="single"/>
          <w:lang w:eastAsia="zh-CN"/>
        </w:rPr>
        <w:t xml:space="preserve">、技术负责人</w:t>
      </w:r>
      <w:r>
        <w:rPr>
          <w:rFonts w:hint="eastAsia" w:ascii="宋体" w:hAnsi="宋体" w:cs="宋体"/>
          <w:color w:val="000000"/>
          <w:sz w:val="24"/>
          <w:highlight w:val="none"/>
          <w:u w:val="single"/>
        </w:rPr>
        <w:t xml:space="preserve">变更还必须符合江苏省、南京市的相关规定并办理相关手续报发包人。</w:t>
      </w:r>
      <w:r/>
    </w:p>
    <w:p>
      <w:pPr>
        <w:ind w:firstLine="480"/>
        <w:spacing w:line="360" w:lineRule="auto"/>
        <w:rPr>
          <w:rFonts w:ascii="宋体" w:hAnsi="宋体" w:eastAsia="Calibri" w:cs="宋体"/>
          <w:color w:val="000000"/>
          <w:sz w:val="24"/>
          <w:highlight w:val="none"/>
        </w:rPr>
      </w:pPr>
      <w:r/>
      <w:bookmarkStart w:id="136" w:name="_Toc36797931"/>
      <w:r>
        <w:rPr>
          <w:rFonts w:hint="eastAsia" w:ascii="宋体" w:hAnsi="宋体" w:eastAsia="Calibri" w:cs="宋体"/>
          <w:color w:val="000000"/>
          <w:sz w:val="24"/>
          <w:highlight w:val="none"/>
        </w:rPr>
        <w:t xml:space="preserve">3.2.3 </w:t>
      </w:r>
      <w:r>
        <w:rPr>
          <w:rFonts w:hint="eastAsia" w:ascii="宋体" w:hAnsi="宋体" w:cs="宋体"/>
          <w:color w:val="000000"/>
          <w:sz w:val="24"/>
          <w:highlight w:val="none"/>
        </w:rPr>
        <w:t xml:space="preserve">承包人无正当理由拒绝更换项目负责人的违约责任：</w:t>
      </w:r>
      <w:bookmarkEnd w:id="136"/>
      <w:r>
        <w:rPr>
          <w:rFonts w:hint="eastAsia" w:ascii="宋体" w:hAnsi="宋体" w:cs="宋体"/>
          <w:color w:val="000000"/>
          <w:sz w:val="24"/>
          <w:highlight w:val="none"/>
          <w:u w:val="single"/>
        </w:rPr>
        <w:t xml:space="preserve">发包人将给予1万元整的经济处罚（从当期进度款中扣除），且发包人有权终止本合同，追究承包人的违约责任（包括承担发包人的直接损失和间接损失），并报主管部门备案。</w:t>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3.3 </w:t>
      </w:r>
      <w:r>
        <w:rPr>
          <w:rFonts w:hint="eastAsia" w:ascii="宋体" w:hAnsi="宋体" w:cs="宋体"/>
          <w:b/>
          <w:color w:val="000000"/>
          <w:sz w:val="24"/>
          <w:highlight w:val="none"/>
        </w:rPr>
        <w:t xml:space="preserve">承包人人员</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3.3.1 </w:t>
      </w:r>
      <w:r>
        <w:rPr>
          <w:rFonts w:hint="eastAsia" w:ascii="宋体" w:hAnsi="宋体" w:cs="宋体"/>
          <w:color w:val="000000"/>
          <w:sz w:val="24"/>
          <w:highlight w:val="none"/>
        </w:rPr>
        <w:t xml:space="preserve">承包人提交项目管理机构及施工现场管理人员安排报告的期限：</w:t>
      </w:r>
      <w:r>
        <w:rPr>
          <w:rFonts w:hint="eastAsia" w:ascii="宋体" w:hAnsi="宋体" w:cs="宋体"/>
          <w:color w:val="000000"/>
          <w:sz w:val="24"/>
          <w:highlight w:val="none"/>
          <w:u w:val="single"/>
        </w:rPr>
        <w:t xml:space="preserve">召开第一次工地例会前三天</w:t>
      </w:r>
      <w:r>
        <w:rPr>
          <w:rFonts w:hint="eastAsia" w:ascii="宋体" w:hAnsi="宋体" w:cs="宋体"/>
          <w:color w:val="000000"/>
          <w:sz w:val="24"/>
          <w:highlight w:val="none"/>
        </w:rPr>
        <w:t xml:space="preserve">。</w:t>
      </w:r>
      <w:r/>
    </w:p>
    <w:p>
      <w:pPr>
        <w:ind w:firstLine="480"/>
        <w:jc w:val="left"/>
        <w:spacing w:line="360" w:lineRule="auto"/>
        <w:rPr>
          <w:rFonts w:ascii="宋体" w:hAnsi="宋体" w:eastAsia="Calibri" w:cs="宋体"/>
          <w:bCs/>
          <w:color w:val="000000"/>
          <w:sz w:val="24"/>
          <w:highlight w:val="none"/>
          <w:u w:val="single"/>
        </w:rPr>
      </w:pPr>
      <w:r>
        <w:rPr>
          <w:rFonts w:hint="eastAsia" w:ascii="宋体" w:hAnsi="宋体" w:eastAsia="Calibri" w:cs="宋体"/>
          <w:color w:val="000000"/>
          <w:sz w:val="24"/>
          <w:highlight w:val="none"/>
        </w:rPr>
        <w:t xml:space="preserve">3.3.2 </w:t>
      </w:r>
      <w:r>
        <w:rPr>
          <w:rFonts w:hint="eastAsia" w:ascii="宋体" w:hAnsi="宋体" w:cs="宋体"/>
          <w:color w:val="000000"/>
          <w:sz w:val="24"/>
          <w:highlight w:val="none"/>
        </w:rPr>
        <w:t xml:space="preserve">承包人无正当理由拒绝撤换主要施工管理人员的违约责任：</w:t>
      </w:r>
      <w:r>
        <w:rPr>
          <w:rFonts w:hint="eastAsia" w:ascii="宋体" w:hAnsi="宋体" w:cs="宋体"/>
          <w:color w:val="000000"/>
          <w:sz w:val="24"/>
          <w:highlight w:val="none"/>
          <w:u w:val="single"/>
        </w:rPr>
        <w:t xml:space="preserve">每人次处罚违约金人民币</w:t>
      </w:r>
      <w:r>
        <w:rPr>
          <w:rFonts w:hint="eastAsia" w:ascii="宋体" w:hAnsi="宋体" w:eastAsia="Calibri" w:cs="宋体"/>
          <w:color w:val="000000"/>
          <w:sz w:val="24"/>
          <w:highlight w:val="none"/>
          <w:u w:val="single"/>
        </w:rPr>
        <w:t xml:space="preserve">1000</w:t>
      </w:r>
      <w:r>
        <w:rPr>
          <w:rFonts w:hint="eastAsia" w:ascii="宋体" w:hAnsi="宋体" w:cs="宋体"/>
          <w:color w:val="000000"/>
          <w:sz w:val="24"/>
          <w:highlight w:val="none"/>
          <w:u w:val="single"/>
        </w:rPr>
        <w:t xml:space="preserve">元，由发包人代表签发处罚指令，此费用将从当月进度款中直接扣除。</w:t>
      </w:r>
      <w:r>
        <w:rPr>
          <w:rFonts w:hint="eastAsia" w:ascii="宋体" w:hAnsi="宋体" w:cs="宋体"/>
          <w:bCs/>
          <w:color w:val="000000"/>
          <w:sz w:val="24"/>
          <w:highlight w:val="none"/>
          <w:u w:val="single"/>
        </w:rPr>
        <w:t xml:space="preserve">主要施工管理人员包括：项目负责人、项目副经理（如果有）、技术负责人、造价员、质量员、安全员、材料员、资料员等人员。</w:t>
      </w:r>
      <w:r/>
    </w:p>
    <w:p>
      <w:pPr>
        <w:ind w:firstLine="480"/>
        <w:spacing w:line="360" w:lineRule="auto"/>
        <w:rPr>
          <w:rFonts w:ascii="宋体" w:hAnsi="宋体" w:eastAsia="Calibri" w:cs="宋体"/>
          <w:color w:val="000000"/>
          <w:sz w:val="24"/>
          <w:highlight w:val="none"/>
          <w:u w:val="single"/>
        </w:rPr>
      </w:pPr>
      <w:r>
        <w:rPr>
          <w:rFonts w:hint="eastAsia" w:ascii="宋体" w:hAnsi="宋体" w:eastAsia="Calibri" w:cs="宋体"/>
          <w:color w:val="000000"/>
          <w:sz w:val="24"/>
          <w:highlight w:val="none"/>
        </w:rPr>
        <w:t xml:space="preserve">3.3.3 </w:t>
      </w:r>
      <w:r>
        <w:rPr>
          <w:rFonts w:hint="eastAsia" w:ascii="宋体" w:hAnsi="宋体" w:cs="宋体"/>
          <w:color w:val="000000"/>
          <w:sz w:val="24"/>
          <w:highlight w:val="none"/>
        </w:rPr>
        <w:t xml:space="preserve">承包人主要施工管理人员离开施工现场的批准要求：</w:t>
      </w:r>
      <w:r>
        <w:rPr>
          <w:rFonts w:hint="eastAsia" w:ascii="宋体" w:hAnsi="宋体" w:cs="宋体"/>
          <w:color w:val="000000"/>
          <w:sz w:val="24"/>
          <w:highlight w:val="none"/>
          <w:u w:val="single"/>
        </w:rPr>
        <w:t xml:space="preserve">按照通用合同条款执行</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3.3.4 </w:t>
      </w:r>
      <w:r>
        <w:rPr>
          <w:rFonts w:hint="eastAsia" w:ascii="宋体" w:hAnsi="宋体" w:cs="宋体"/>
          <w:color w:val="000000"/>
          <w:sz w:val="24"/>
          <w:highlight w:val="none"/>
        </w:rPr>
        <w:t xml:space="preserve">承包人主要施工管理人员擅自离开施工现场的违约责任：</w:t>
      </w:r>
      <w:r>
        <w:rPr>
          <w:rFonts w:hint="eastAsia" w:ascii="宋体" w:hAnsi="宋体" w:cs="宋体"/>
          <w:color w:val="000000"/>
          <w:sz w:val="24"/>
          <w:highlight w:val="none"/>
          <w:u w:val="single"/>
        </w:rPr>
        <w:t xml:space="preserve">每人次处罚违约金人民币</w:t>
      </w:r>
      <w:r>
        <w:rPr>
          <w:rFonts w:hint="eastAsia" w:ascii="宋体" w:hAnsi="宋体" w:eastAsia="Calibri" w:cs="宋体"/>
          <w:color w:val="000000"/>
          <w:sz w:val="24"/>
          <w:highlight w:val="none"/>
          <w:u w:val="single"/>
        </w:rPr>
        <w:t xml:space="preserve">1000</w:t>
      </w:r>
      <w:r>
        <w:rPr>
          <w:rFonts w:hint="eastAsia" w:ascii="宋体" w:hAnsi="宋体" w:cs="宋体"/>
          <w:color w:val="000000"/>
          <w:sz w:val="24"/>
          <w:highlight w:val="none"/>
          <w:u w:val="single"/>
        </w:rPr>
        <w:t xml:space="preserve">元，由发包人代表签发处罚指令，此费用将从当月进度款中直接扣除</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3.3.5</w:t>
      </w:r>
      <w:r>
        <w:rPr>
          <w:rFonts w:hint="eastAsia" w:ascii="宋体" w:hAnsi="宋体" w:cs="宋体"/>
          <w:color w:val="000000"/>
          <w:sz w:val="24"/>
          <w:highlight w:val="none"/>
        </w:rPr>
        <w:t xml:space="preserve">承包人擅自更换主要施工管理人员的违约责任：</w:t>
      </w:r>
      <w:r>
        <w:rPr>
          <w:rFonts w:hint="eastAsia" w:ascii="宋体" w:hAnsi="宋体" w:cs="宋体"/>
          <w:color w:val="000000"/>
          <w:sz w:val="24"/>
          <w:highlight w:val="none"/>
          <w:u w:val="single"/>
        </w:rPr>
        <w:t xml:space="preserve">每人次处罚违约金人民币</w:t>
      </w:r>
      <w:r>
        <w:rPr>
          <w:rFonts w:hint="eastAsia" w:ascii="宋体" w:hAnsi="宋体" w:eastAsia="Calibri" w:cs="宋体"/>
          <w:color w:val="000000"/>
          <w:sz w:val="24"/>
          <w:highlight w:val="none"/>
          <w:u w:val="single"/>
        </w:rPr>
        <w:t xml:space="preserve">1000</w:t>
      </w:r>
      <w:r>
        <w:rPr>
          <w:rFonts w:hint="eastAsia" w:ascii="宋体" w:hAnsi="宋体" w:cs="宋体"/>
          <w:color w:val="000000"/>
          <w:sz w:val="24"/>
          <w:highlight w:val="none"/>
          <w:u w:val="single"/>
        </w:rPr>
        <w:t xml:space="preserve">元，由发包人代表签发处罚指令，此费用将从当月进度款中直接扣除</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承包人应当依法与其现场施工人员签订劳动（劳务）合同，缴纳社会保险（商业保险），按时发放工资、报酬，及时、妥善处理劳动（劳务）争议并承担相关法律责任。如发包人先行垫付相关费用的，有权从是进度款中扣除。因此给发包人造成损失的，承包人应当予以赔偿。</w:t>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3</w:t>
      </w:r>
      <w:bookmarkStart w:id="137" w:name="_Toc297120459"/>
      <w:r/>
      <w:bookmarkStart w:id="138" w:name="_Toc297216151"/>
      <w:r/>
      <w:bookmarkStart w:id="139" w:name="_Toc304295523"/>
      <w:r/>
      <w:bookmarkStart w:id="140" w:name="_Toc296346660"/>
      <w:r/>
      <w:bookmarkStart w:id="141" w:name="_Toc296890987"/>
      <w:r/>
      <w:bookmarkStart w:id="142" w:name="_Toc300934945"/>
      <w:r/>
      <w:bookmarkStart w:id="143" w:name="_Toc303539102"/>
      <w:r/>
      <w:bookmarkStart w:id="144" w:name="_Toc296944498"/>
      <w:r/>
      <w:bookmarkStart w:id="145" w:name="_Toc292559869"/>
      <w:r/>
      <w:bookmarkStart w:id="146" w:name="_Toc296891199"/>
      <w:r/>
      <w:bookmarkStart w:id="147" w:name="_Toc296503159"/>
      <w:r/>
      <w:bookmarkStart w:id="148" w:name="_Toc297123492"/>
      <w:r/>
      <w:bookmarkStart w:id="149" w:name="_Toc297048345"/>
      <w:r/>
      <w:bookmarkStart w:id="150" w:name="_Toc296347158"/>
      <w:r/>
      <w:bookmarkStart w:id="151" w:name="_Toc312677988"/>
      <w:r/>
      <w:bookmarkStart w:id="152" w:name="_Toc292559364"/>
      <w:r>
        <w:rPr>
          <w:rFonts w:hint="eastAsia" w:ascii="宋体" w:hAnsi="宋体" w:eastAsia="Calibri" w:cs="宋体"/>
          <w:b/>
          <w:color w:val="000000"/>
          <w:sz w:val="24"/>
          <w:highlight w:val="none"/>
        </w:rPr>
        <w:t xml:space="preserve">.5 </w:t>
      </w:r>
      <w:r>
        <w:rPr>
          <w:rFonts w:hint="eastAsia" w:ascii="宋体" w:hAnsi="宋体" w:cs="宋体"/>
          <w:b/>
          <w:color w:val="000000"/>
          <w:sz w:val="24"/>
          <w:highlight w:val="none"/>
        </w:rPr>
        <w:t xml:space="preserve">分包</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禁止分包的工程包括：</w:t>
      </w:r>
      <w:r>
        <w:rPr>
          <w:rFonts w:hint="eastAsia" w:ascii="宋体" w:hAnsi="宋体" w:cs="宋体"/>
          <w:color w:val="000000"/>
          <w:sz w:val="24"/>
          <w:highlight w:val="none"/>
          <w:u w:val="single"/>
        </w:rPr>
        <w:t xml:space="preserve">/。</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主体结构、关键性工作的范围：</w:t>
      </w:r>
      <w:r>
        <w:rPr>
          <w:rFonts w:hint="eastAsia" w:ascii="宋体" w:hAnsi="宋体" w:eastAsia="Calibri" w:cs="宋体"/>
          <w:color w:val="000000"/>
          <w:sz w:val="24"/>
          <w:highlight w:val="none"/>
          <w:u w:val="single"/>
        </w:rPr>
        <w:t xml:space="preserve">/  </w:t>
      </w:r>
      <w:r>
        <w:rPr>
          <w:rFonts w:hint="eastAsia" w:ascii="宋体" w:hAnsi="宋体" w:cs="宋体"/>
          <w:color w:val="000000"/>
          <w:sz w:val="24"/>
          <w:highlight w:val="none"/>
          <w:u w:val="single"/>
        </w:rPr>
        <w:t xml:space="preserve">。</w:t>
      </w:r>
      <w:bookmarkStart w:id="153" w:name="_Toc296347160"/>
      <w:r/>
      <w:bookmarkStart w:id="154" w:name="_Toc296944500"/>
      <w:r/>
      <w:bookmarkStart w:id="155" w:name="_Toc297048347"/>
      <w:r/>
      <w:bookmarkStart w:id="156" w:name="_Toc300934947"/>
      <w:r/>
      <w:bookmarkStart w:id="157" w:name="_Toc296891201"/>
      <w:r/>
      <w:bookmarkStart w:id="158" w:name="_Toc303539104"/>
      <w:r/>
      <w:bookmarkStart w:id="159" w:name="_Toc297123494"/>
      <w:r/>
      <w:bookmarkStart w:id="160" w:name="_Toc297120461"/>
      <w:r/>
      <w:bookmarkStart w:id="161" w:name="_Toc296890989"/>
      <w:r/>
      <w:bookmarkStart w:id="162" w:name="_Toc296346662"/>
      <w:r/>
      <w:bookmarkStart w:id="163" w:name="_Toc297216153"/>
      <w:r/>
      <w:bookmarkStart w:id="164" w:name="_Toc296503161"/>
      <w:r/>
      <w:bookmarkStart w:id="165" w:name="_Toc304295525"/>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ind w:firstLine="480"/>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 3</w:t>
      </w:r>
      <w:bookmarkStart w:id="166" w:name="_Toc312677990"/>
      <w:r/>
      <w:bookmarkStart w:id="167" w:name="_Toc318581159"/>
      <w:r>
        <w:rPr>
          <w:rFonts w:hint="eastAsia" w:ascii="宋体" w:hAnsi="宋体" w:eastAsia="Calibri" w:cs="宋体"/>
          <w:b/>
          <w:color w:val="000000"/>
          <w:sz w:val="24"/>
          <w:highlight w:val="none"/>
        </w:rPr>
        <w:t xml:space="preserve">.5.1</w:t>
      </w:r>
      <w:r>
        <w:rPr>
          <w:rFonts w:hint="eastAsia" w:ascii="宋体" w:hAnsi="宋体" w:cs="宋体"/>
          <w:b/>
          <w:color w:val="000000"/>
          <w:sz w:val="24"/>
          <w:highlight w:val="none"/>
        </w:rPr>
        <w:t xml:space="preserve">分包的确定</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允许分包的专业工程包括：</w:t>
      </w:r>
      <w:r>
        <w:rPr>
          <w:rFonts w:hint="eastAsia" w:ascii="宋体" w:hAnsi="宋体" w:cs="宋体"/>
          <w:color w:val="000000"/>
          <w:sz w:val="24"/>
          <w:highlight w:val="none"/>
          <w:u w:val="single"/>
        </w:rPr>
        <w:t xml:space="preserve">/。</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其他关于分包的约定：</w:t>
      </w:r>
      <w:r>
        <w:rPr>
          <w:rFonts w:hint="eastAsia" w:ascii="宋体" w:hAnsi="宋体" w:cs="宋体"/>
          <w:color w:val="000000"/>
          <w:sz w:val="24"/>
          <w:highlight w:val="none"/>
          <w:u w:val="single"/>
        </w:rPr>
        <w:t xml:space="preserve">/。</w:t>
      </w:r>
      <w:r/>
    </w:p>
    <w:p>
      <w:pPr>
        <w:ind w:firstLine="480"/>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3.5.2 </w:t>
      </w:r>
      <w:r>
        <w:rPr>
          <w:rFonts w:hint="eastAsia" w:ascii="宋体" w:hAnsi="宋体" w:cs="宋体"/>
          <w:b/>
          <w:color w:val="000000"/>
          <w:sz w:val="24"/>
          <w:highlight w:val="none"/>
        </w:rPr>
        <w:t xml:space="preserve">分包合同价款</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关于分包合同价款支付的约定：</w:t>
      </w:r>
      <w:r>
        <w:rPr>
          <w:rFonts w:hint="eastAsia" w:ascii="宋体" w:hAnsi="宋体" w:cs="宋体"/>
          <w:color w:val="000000"/>
          <w:sz w:val="24"/>
          <w:highlight w:val="none"/>
          <w:u w:val="single"/>
        </w:rPr>
        <w:t xml:space="preserve">/。</w:t>
      </w:r>
      <w:bookmarkEnd w:id="166"/>
      <w:r/>
      <w:bookmarkEnd w:id="167"/>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3.6 </w:t>
      </w:r>
      <w:r>
        <w:rPr>
          <w:rFonts w:hint="eastAsia" w:ascii="宋体" w:hAnsi="宋体" w:cs="宋体"/>
          <w:b/>
          <w:color w:val="000000"/>
          <w:sz w:val="24"/>
          <w:highlight w:val="none"/>
        </w:rPr>
        <w:t xml:space="preserve">工程照管与成品、半成品保护</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承包人负责照管工程及工程相关的材料、工程设备的起始时间：</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竣工交付前由承包人负责，由此产生的相关费用由承包人承担，发包人要求采取特殊保护措施所发生的费用由发包人承担。</w:t>
      </w:r>
      <w:r/>
    </w:p>
    <w:p>
      <w:pPr>
        <w:ind w:firstLine="480"/>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3.7 </w:t>
      </w:r>
      <w:r>
        <w:rPr>
          <w:rFonts w:hint="eastAsia" w:ascii="宋体" w:hAnsi="宋体" w:cs="宋体"/>
          <w:b/>
          <w:color w:val="000000"/>
          <w:sz w:val="24"/>
          <w:highlight w:val="none"/>
        </w:rPr>
        <w:t xml:space="preserve">履约担保</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承包人是否提供履约担保：</w:t>
      </w:r>
      <w:r>
        <w:rPr>
          <w:rFonts w:hint="eastAsia" w:ascii="宋体" w:hAnsi="宋体" w:cs="宋体"/>
          <w:color w:val="000000"/>
          <w:sz w:val="24"/>
          <w:highlight w:val="none"/>
          <w:u w:val="single"/>
        </w:rPr>
        <w:t xml:space="preserve">是</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承包人提供履约担保的形式、金额及期限的：</w:t>
      </w:r>
      <w:r>
        <w:rPr>
          <w:rFonts w:hint="eastAsia" w:ascii="宋体" w:hAnsi="宋体" w:cs="宋体"/>
          <w:color w:val="000000"/>
          <w:sz w:val="24"/>
          <w:highlight w:val="none"/>
          <w:u w:val="single"/>
        </w:rPr>
        <w:t xml:space="preserve">保函等非现金形式或转账等现金形式；金额：合同金额的10%；期限：合同签订前。</w:t>
      </w:r>
      <w:r/>
    </w:p>
    <w:p>
      <w:pPr>
        <w:spacing w:line="360" w:lineRule="auto"/>
        <w:rPr>
          <w:rFonts w:ascii="宋体" w:hAnsi="宋体" w:cs="宋体"/>
          <w:b/>
          <w:bCs/>
          <w:color w:val="000000"/>
          <w:sz w:val="24"/>
          <w:highlight w:val="none"/>
        </w:rPr>
      </w:pPr>
      <w:r/>
      <w:bookmarkStart w:id="168" w:name="_Toc351203636"/>
      <w:r>
        <w:rPr>
          <w:rFonts w:hint="eastAsia" w:ascii="宋体" w:hAnsi="宋体" w:cs="宋体"/>
          <w:b/>
          <w:bCs/>
          <w:color w:val="000000"/>
          <w:sz w:val="24"/>
          <w:highlight w:val="none"/>
        </w:rPr>
        <w:t xml:space="preserve">4</w:t>
      </w:r>
      <w:bookmarkStart w:id="169" w:name="_Toc292559871"/>
      <w:r/>
      <w:bookmarkStart w:id="170" w:name="_Toc297120462"/>
      <w:r/>
      <w:bookmarkStart w:id="171" w:name="_Toc296346663"/>
      <w:r/>
      <w:bookmarkStart w:id="172" w:name="_Toc267251413"/>
      <w:r/>
      <w:bookmarkStart w:id="173" w:name="_Toc296503162"/>
      <w:r/>
      <w:bookmarkStart w:id="174" w:name="_Toc296891202"/>
      <w:r/>
      <w:bookmarkStart w:id="175" w:name="_Toc292559366"/>
      <w:r/>
      <w:bookmarkStart w:id="176" w:name="_Toc296944501"/>
      <w:r/>
      <w:bookmarkStart w:id="177" w:name="_Toc296347161"/>
      <w:r/>
      <w:bookmarkStart w:id="178" w:name="_Toc296890990"/>
      <w:r/>
      <w:bookmarkStart w:id="179" w:name="_Toc297048348"/>
      <w:r>
        <w:rPr>
          <w:rFonts w:hint="eastAsia" w:ascii="宋体" w:hAnsi="宋体" w:cs="宋体"/>
          <w:b/>
          <w:bCs/>
          <w:color w:val="000000"/>
          <w:sz w:val="24"/>
          <w:highlight w:val="none"/>
        </w:rPr>
        <w:t xml:space="preserve">. 监</w:t>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bCs/>
          <w:color w:val="000000"/>
          <w:sz w:val="24"/>
          <w:highlight w:val="none"/>
        </w:rPr>
        <w:t xml:space="preserve">理人</w:t>
      </w:r>
      <w:bookmarkEnd w:id="168"/>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4.1</w:t>
      </w:r>
      <w:r>
        <w:rPr>
          <w:rFonts w:hint="eastAsia" w:ascii="宋体" w:hAnsi="宋体" w:cs="宋体"/>
          <w:b/>
          <w:color w:val="000000"/>
          <w:sz w:val="24"/>
          <w:highlight w:val="none"/>
        </w:rPr>
        <w:t xml:space="preserve">监理人的一般规定</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关于监理人的监理内容：</w:t>
      </w:r>
      <w:r>
        <w:rPr>
          <w:rFonts w:hint="eastAsia" w:ascii="宋体" w:hAnsi="宋体" w:cs="宋体"/>
          <w:color w:val="000000"/>
          <w:sz w:val="24"/>
          <w:highlight w:val="none"/>
          <w:u w:val="single"/>
        </w:rPr>
        <w:t xml:space="preserve">四控三管一协调，即对工程进行进度、质量、投资、安全四控制，安全管理、合同管理、信息管理，监督安全生产，协调施工现场各方面关系。</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关于监理人的监理权限：</w:t>
      </w:r>
      <w:r>
        <w:rPr>
          <w:rFonts w:hint="eastAsia" w:ascii="宋体" w:hAnsi="宋体" w:cs="宋体"/>
          <w:color w:val="000000"/>
          <w:sz w:val="24"/>
          <w:highlight w:val="none"/>
          <w:u w:val="single"/>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具体见《建设工程监理规范》。</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关于监理人在施工现场的办公场所、生活场所的提供和费用承担的约定：</w:t>
      </w:r>
      <w:r>
        <w:rPr>
          <w:rFonts w:hint="eastAsia" w:ascii="宋体" w:hAnsi="宋体" w:cs="宋体"/>
          <w:color w:val="000000"/>
          <w:sz w:val="24"/>
          <w:highlight w:val="none"/>
          <w:u w:val="single"/>
        </w:rPr>
        <w:t xml:space="preserve">承包人提供监理人临时办公用房一间，其费用包含在签约合同价中。</w:t>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4.2 </w:t>
      </w:r>
      <w:r>
        <w:rPr>
          <w:rFonts w:hint="eastAsia" w:ascii="宋体" w:hAnsi="宋体" w:cs="宋体"/>
          <w:b/>
          <w:color w:val="000000"/>
          <w:sz w:val="24"/>
          <w:highlight w:val="none"/>
        </w:rPr>
        <w:t xml:space="preserve">商定或确定</w:t>
      </w:r>
      <w:r/>
    </w:p>
    <w:p>
      <w:pPr>
        <w:ind w:firstLine="480"/>
        <w:spacing w:line="360" w:lineRule="auto"/>
        <w:rPr>
          <w:rFonts w:ascii="宋体" w:hAnsi="宋体" w:eastAsia="Calibri" w:cs="宋体"/>
          <w:color w:val="000000"/>
          <w:sz w:val="24"/>
          <w:highlight w:val="none"/>
        </w:rPr>
      </w:pPr>
      <w:r/>
      <w:bookmarkStart w:id="180" w:name="_Toc267251418"/>
      <w:r>
        <w:rPr>
          <w:rFonts w:hint="eastAsia" w:ascii="宋体" w:hAnsi="宋体" w:cs="宋体"/>
          <w:color w:val="000000"/>
          <w:sz w:val="24"/>
          <w:highlight w:val="none"/>
        </w:rPr>
        <w:t xml:space="preserve">在发包人和承包人不能通过协商达成一致意见时，发包人授权监理人对以下事项进行确定：</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1</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分部分项施工方案及其调整</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2</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关于工程建设安全方面的相关问题</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3</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关于工程建设进度方面的相关问题</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4</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关于工程建设质量方面的相关问题。</w:t>
      </w:r>
      <w:r/>
    </w:p>
    <w:p>
      <w:pPr>
        <w:spacing w:line="360" w:lineRule="auto"/>
        <w:rPr>
          <w:rFonts w:ascii="宋体" w:hAnsi="宋体" w:cs="宋体"/>
          <w:b/>
          <w:bCs/>
          <w:color w:val="000000"/>
          <w:sz w:val="24"/>
          <w:highlight w:val="none"/>
        </w:rPr>
      </w:pPr>
      <w:r/>
      <w:bookmarkStart w:id="181" w:name="_Toc351203637"/>
      <w:r>
        <w:rPr>
          <w:rFonts w:hint="eastAsia" w:ascii="宋体" w:hAnsi="宋体" w:cs="宋体"/>
          <w:b/>
          <w:bCs/>
          <w:color w:val="000000"/>
          <w:sz w:val="24"/>
          <w:highlight w:val="none"/>
        </w:rPr>
        <w:t xml:space="preserve">5</w:t>
      </w:r>
      <w:bookmarkEnd w:id="180"/>
      <w:r/>
      <w:bookmarkStart w:id="182" w:name="_Toc296346664"/>
      <w:r/>
      <w:bookmarkStart w:id="183" w:name="_Toc296347162"/>
      <w:r/>
      <w:bookmarkStart w:id="184" w:name="_Toc292559872"/>
      <w:r/>
      <w:bookmarkStart w:id="185" w:name="_Toc297048349"/>
      <w:r/>
      <w:bookmarkStart w:id="186" w:name="_Toc296503163"/>
      <w:r/>
      <w:bookmarkStart w:id="187" w:name="_Toc297120463"/>
      <w:r/>
      <w:bookmarkStart w:id="188" w:name="_Toc296944502"/>
      <w:r/>
      <w:bookmarkStart w:id="189" w:name="_Toc292559367"/>
      <w:r/>
      <w:bookmarkStart w:id="190" w:name="_Toc296891203"/>
      <w:r/>
      <w:bookmarkStart w:id="191" w:name="_Toc296890991"/>
      <w:r>
        <w:rPr>
          <w:rFonts w:hint="eastAsia" w:ascii="宋体" w:hAnsi="宋体" w:cs="宋体"/>
          <w:b/>
          <w:bCs/>
          <w:color w:val="000000"/>
          <w:sz w:val="24"/>
          <w:highlight w:val="none"/>
        </w:rPr>
        <w:t xml:space="preserve">. 工程质量</w:t>
      </w:r>
      <w:bookmarkEnd w:id="181"/>
      <w:r/>
      <w:r/>
    </w:p>
    <w:p>
      <w:pPr>
        <w:ind w:firstLine="482"/>
        <w:spacing w:line="360" w:lineRule="auto"/>
        <w:rPr>
          <w:rFonts w:ascii="宋体" w:hAnsi="宋体" w:eastAsia="Calibri" w:cs="宋体"/>
          <w:b/>
          <w:color w:val="000000"/>
          <w:sz w:val="24"/>
          <w:highlight w:val="none"/>
        </w:rPr>
      </w:pPr>
      <w:r/>
      <w:bookmarkStart w:id="192" w:name="_Toc36797932"/>
      <w:r>
        <w:rPr>
          <w:rFonts w:hint="eastAsia" w:ascii="宋体" w:hAnsi="宋体" w:eastAsia="Calibri" w:cs="宋体"/>
          <w:b/>
          <w:color w:val="000000"/>
          <w:sz w:val="24"/>
          <w:highlight w:val="none"/>
        </w:rPr>
        <w:t xml:space="preserve">5.1 </w:t>
      </w:r>
      <w:r>
        <w:rPr>
          <w:rFonts w:hint="eastAsia" w:ascii="宋体" w:hAnsi="宋体" w:cs="宋体"/>
          <w:b/>
          <w:color w:val="000000"/>
          <w:sz w:val="24"/>
          <w:highlight w:val="none"/>
        </w:rPr>
        <w:t xml:space="preserve">质量要求</w:t>
      </w:r>
      <w:bookmarkEnd w:id="192"/>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5</w:t>
      </w:r>
      <w:bookmarkStart w:id="193" w:name="_Toc300934949"/>
      <w:r/>
      <w:bookmarkStart w:id="194" w:name="_Toc303539106"/>
      <w:r/>
      <w:bookmarkStart w:id="195" w:name="_Toc312677997"/>
      <w:r/>
      <w:bookmarkStart w:id="196" w:name="_Toc297123496"/>
      <w:r/>
      <w:bookmarkStart w:id="197" w:name="_Toc318581164"/>
      <w:r/>
      <w:bookmarkStart w:id="198" w:name="_Toc304295527"/>
      <w:r/>
      <w:bookmarkStart w:id="199" w:name="_Toc297216155"/>
      <w:r>
        <w:rPr>
          <w:rFonts w:hint="eastAsia" w:ascii="宋体" w:hAnsi="宋体" w:eastAsia="Calibri" w:cs="宋体"/>
          <w:color w:val="000000"/>
          <w:sz w:val="24"/>
          <w:highlight w:val="none"/>
        </w:rPr>
        <w:t xml:space="preserve">.1.1 </w:t>
      </w:r>
      <w:r>
        <w:rPr>
          <w:rFonts w:hint="eastAsia" w:ascii="宋体" w:hAnsi="宋体" w:cs="宋体"/>
          <w:color w:val="000000"/>
          <w:sz w:val="24"/>
          <w:highlight w:val="none"/>
        </w:rPr>
        <w:t xml:space="preserve">特殊质量标准和要求：</w:t>
      </w:r>
      <w:r>
        <w:rPr>
          <w:rFonts w:hint="eastAsia" w:ascii="宋体" w:hAnsi="宋体" w:cs="宋体"/>
          <w:color w:val="000000"/>
          <w:sz w:val="24"/>
          <w:highlight w:val="none"/>
          <w:u w:val="single"/>
        </w:rPr>
        <w:t xml:space="preserve">工程质量符合《建筑工程施工质量验收统一标准》以及电力建设施工技术规范的合格要求，并达到投标承诺的质量标准等级</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关于工程奖项的约定：</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p>
    <w:p>
      <w:pPr>
        <w:ind w:firstLine="482"/>
        <w:spacing w:line="360" w:lineRule="auto"/>
        <w:rPr>
          <w:rFonts w:ascii="宋体" w:hAnsi="宋体" w:eastAsia="Calibri" w:cs="宋体"/>
          <w:b/>
          <w:color w:val="000000"/>
          <w:sz w:val="24"/>
          <w:highlight w:val="none"/>
        </w:rPr>
      </w:pPr>
      <w:r/>
      <w:bookmarkStart w:id="200" w:name="_Toc36797933"/>
      <w:r>
        <w:rPr>
          <w:rFonts w:hint="eastAsia" w:ascii="宋体" w:hAnsi="宋体" w:eastAsia="Calibri" w:cs="宋体"/>
          <w:b/>
          <w:color w:val="000000"/>
          <w:sz w:val="24"/>
          <w:highlight w:val="none"/>
        </w:rPr>
        <w:t xml:space="preserve">5.2 </w:t>
      </w:r>
      <w:r>
        <w:rPr>
          <w:rFonts w:hint="eastAsia" w:ascii="宋体" w:hAnsi="宋体" w:cs="宋体"/>
          <w:b/>
          <w:color w:val="000000"/>
          <w:sz w:val="24"/>
          <w:highlight w:val="none"/>
        </w:rPr>
        <w:t xml:space="preserve">隐蔽工程检查</w:t>
      </w:r>
      <w:bookmarkEnd w:id="200"/>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5.2.1</w:t>
      </w:r>
      <w:r>
        <w:rPr>
          <w:rFonts w:hint="eastAsia" w:ascii="宋体" w:hAnsi="宋体" w:cs="宋体"/>
          <w:color w:val="000000"/>
          <w:sz w:val="24"/>
          <w:highlight w:val="none"/>
        </w:rPr>
        <w:t xml:space="preserve">承包人提前通知监理人隐蔽工程检查的期限的约定：</w:t>
      </w:r>
      <w:r>
        <w:rPr>
          <w:rFonts w:hint="eastAsia" w:ascii="宋体" w:hAnsi="宋体" w:cs="宋体"/>
          <w:color w:val="000000"/>
          <w:sz w:val="24"/>
          <w:highlight w:val="none"/>
          <w:u w:val="single"/>
        </w:rPr>
        <w:t xml:space="preserve">工程具备隐蔽条件或达到中间验收部位，承包人进行自检，并在隐蔽或中间验收前</w:t>
      </w:r>
      <w:r>
        <w:rPr>
          <w:rFonts w:hint="eastAsia" w:ascii="宋体" w:hAnsi="宋体" w:eastAsia="Calibri" w:cs="宋体"/>
          <w:color w:val="000000"/>
          <w:sz w:val="24"/>
          <w:highlight w:val="none"/>
          <w:u w:val="single"/>
        </w:rPr>
        <w:t xml:space="preserve">48</w:t>
      </w:r>
      <w:r>
        <w:rPr>
          <w:rFonts w:hint="eastAsia" w:ascii="宋体" w:hAnsi="宋体" w:cs="宋体"/>
          <w:color w:val="000000"/>
          <w:sz w:val="24"/>
          <w:highlight w:val="none"/>
          <w:u w:val="single"/>
        </w:rPr>
        <w:t xml:space="preserve">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监理人不能按时进行检查时，应提前</w:t>
      </w:r>
      <w:r>
        <w:rPr>
          <w:rFonts w:hint="eastAsia" w:ascii="宋体" w:hAnsi="宋体" w:eastAsia="Calibri" w:cs="宋体"/>
          <w:color w:val="000000"/>
          <w:sz w:val="24"/>
          <w:highlight w:val="none"/>
          <w:u w:val="single"/>
        </w:rPr>
        <w:t xml:space="preserve">24</w:t>
      </w:r>
      <w:r>
        <w:rPr>
          <w:rFonts w:hint="eastAsia" w:ascii="宋体" w:hAnsi="宋体" w:cs="宋体"/>
          <w:color w:val="000000"/>
          <w:sz w:val="24"/>
          <w:highlight w:val="none"/>
        </w:rPr>
        <w:t xml:space="preserve">小时提交书面延期要求。</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关于延期最长不得超过：</w:t>
      </w:r>
      <w:r>
        <w:rPr>
          <w:rFonts w:hint="eastAsia" w:ascii="宋体" w:hAnsi="宋体" w:eastAsia="Calibri" w:cs="宋体"/>
          <w:color w:val="000000"/>
          <w:sz w:val="24"/>
          <w:highlight w:val="none"/>
          <w:u w:val="single"/>
        </w:rPr>
        <w:t xml:space="preserve">48</w:t>
      </w:r>
      <w:r>
        <w:rPr>
          <w:rFonts w:hint="eastAsia" w:ascii="宋体" w:hAnsi="宋体" w:cs="宋体"/>
          <w:color w:val="000000"/>
          <w:sz w:val="24"/>
          <w:highlight w:val="none"/>
        </w:rPr>
        <w:t xml:space="preserve">小时。</w:t>
      </w:r>
      <w:r/>
    </w:p>
    <w:p>
      <w:pPr>
        <w:spacing w:line="360" w:lineRule="auto"/>
        <w:rPr>
          <w:rFonts w:ascii="宋体" w:hAnsi="宋体" w:cs="宋体"/>
          <w:b/>
          <w:bCs/>
          <w:color w:val="000000"/>
          <w:sz w:val="24"/>
          <w:highlight w:val="none"/>
        </w:rPr>
      </w:pPr>
      <w:r/>
      <w:bookmarkStart w:id="201" w:name="_Toc351203638"/>
      <w:r>
        <w:rPr>
          <w:rFonts w:hint="eastAsia" w:ascii="宋体" w:hAnsi="宋体" w:cs="宋体"/>
          <w:b/>
          <w:bCs/>
          <w:color w:val="000000"/>
          <w:sz w:val="24"/>
          <w:highlight w:val="none"/>
        </w:rPr>
        <w:t xml:space="preserve">6. 安全文明施工与环境保护</w:t>
      </w:r>
      <w:bookmarkEnd w:id="201"/>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6.1</w:t>
      </w:r>
      <w:r>
        <w:rPr>
          <w:rFonts w:hint="eastAsia" w:ascii="宋体" w:hAnsi="宋体" w:cs="宋体"/>
          <w:b/>
          <w:color w:val="000000"/>
          <w:sz w:val="24"/>
          <w:highlight w:val="none"/>
        </w:rPr>
        <w:t xml:space="preserve">安全文明施工</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6.1.1 </w:t>
      </w:r>
      <w:r>
        <w:rPr>
          <w:rFonts w:hint="eastAsia" w:ascii="宋体" w:hAnsi="宋体" w:cs="宋体"/>
          <w:color w:val="000000"/>
          <w:sz w:val="24"/>
          <w:highlight w:val="none"/>
        </w:rPr>
        <w:t xml:space="preserve">项目安全生产的达标目标及相应事项的约定：</w:t>
      </w:r>
      <w:r>
        <w:rPr>
          <w:rFonts w:hint="eastAsia" w:ascii="宋体" w:hAnsi="宋体" w:cs="宋体"/>
          <w:color w:val="000000"/>
          <w:sz w:val="24"/>
          <w:highlight w:val="none"/>
          <w:u w:val="single"/>
        </w:rPr>
        <w:t xml:space="preserve">承包人在现场的安全管理、教育和安全事故责任由承包人负责，费用含在安全文明施工费中。承包人负责施工现场的安全及第三方的人身财产安全。</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6.1.2 </w:t>
      </w:r>
      <w:r>
        <w:rPr>
          <w:rFonts w:hint="eastAsia" w:ascii="宋体" w:hAnsi="宋体" w:cs="宋体"/>
          <w:color w:val="000000"/>
          <w:sz w:val="24"/>
          <w:highlight w:val="none"/>
        </w:rPr>
        <w:t xml:space="preserve">关于治安保卫的特别约定：</w:t>
      </w:r>
      <w:r>
        <w:rPr>
          <w:rFonts w:hint="eastAsia" w:ascii="宋体" w:hAnsi="宋体" w:cs="宋体"/>
          <w:color w:val="000000"/>
          <w:sz w:val="24"/>
          <w:highlight w:val="none"/>
          <w:u w:val="single"/>
        </w:rPr>
        <w:t xml:space="preserve">承担施工安全保卫工作及非夜间施工照明的责任和要求，具体如下：①根据监理、发包人批</w:t>
      </w:r>
      <w:r>
        <w:rPr>
          <w:rFonts w:hint="eastAsia" w:ascii="宋体" w:hAnsi="宋体" w:cs="宋体"/>
          <w:color w:val="000000"/>
          <w:sz w:val="24"/>
          <w:highlight w:val="none"/>
          <w:u w:val="single"/>
        </w:rPr>
        <w:t xml:space="preserve">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用</w:t>
      </w:r>
      <w:r>
        <w:rPr>
          <w:rFonts w:hint="eastAsia" w:ascii="宋体" w:hAnsi="宋体" w:cs="宋体"/>
          <w:color w:val="000000"/>
          <w:sz w:val="24"/>
          <w:highlight w:val="none"/>
          <w:u w:val="single"/>
        </w:rPr>
        <w:t xml:space="preserve">。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万元(直接从工程进度款中扣除)；每发生一起人身伤亡事故，承包人除接受政府相关部门处罚、承担处理事故费用外，承包人还将赔偿发包人违约金1万元(直接从工程进度款中扣除)；每发生一起重大质量安全事故，承包人除接受政府相关部门处罚、承担处理事故费用外，承包人还将赔偿发包人违约金2万元(直接从工程进度款中扣除)。</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6.1.3 </w:t>
      </w:r>
      <w:r>
        <w:rPr>
          <w:rFonts w:hint="eastAsia" w:ascii="宋体" w:hAnsi="宋体" w:cs="宋体"/>
          <w:color w:val="000000"/>
          <w:sz w:val="24"/>
          <w:highlight w:val="none"/>
        </w:rPr>
        <w:t xml:space="preserve">文明施工</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合同当事人对文明施工的要求：</w:t>
      </w:r>
      <w:r>
        <w:rPr>
          <w:rFonts w:hint="eastAsia" w:ascii="宋体" w:hAnsi="宋体" w:cs="宋体"/>
          <w:color w:val="000000"/>
          <w:sz w:val="24"/>
          <w:highlight w:val="none"/>
          <w:u w:val="single"/>
        </w:rPr>
        <w:t xml:space="preserve">本工程不创建市级文明工地。施工场地符合南京有关主管部门规定的标准化施工现场和文明工地要求，同时应满足市政、市容等相关主管部门的有关规定，承包人违反规定造成的损失和罚款由承包人负责</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u w:val="single"/>
        </w:rPr>
      </w:pPr>
      <w:r>
        <w:rPr>
          <w:rFonts w:hint="eastAsia" w:ascii="宋体" w:hAnsi="宋体" w:eastAsia="Calibri" w:cs="宋体"/>
          <w:color w:val="000000"/>
          <w:sz w:val="24"/>
          <w:highlight w:val="none"/>
        </w:rPr>
        <w:t xml:space="preserve">6.1.4 </w:t>
      </w:r>
      <w:r>
        <w:rPr>
          <w:rFonts w:hint="eastAsia" w:ascii="宋体" w:hAnsi="宋体" w:cs="宋体"/>
          <w:color w:val="000000"/>
          <w:sz w:val="24"/>
          <w:highlight w:val="none"/>
        </w:rPr>
        <w:t xml:space="preserve">关于安全文明施工费支付比例和支付期限的约定：</w:t>
      </w:r>
      <w:r>
        <w:rPr>
          <w:rFonts w:hint="eastAsia" w:ascii="宋体" w:hAnsi="宋体" w:cs="宋体"/>
          <w:color w:val="000000"/>
          <w:sz w:val="24"/>
          <w:highlight w:val="none"/>
          <w:u w:val="single"/>
        </w:rPr>
        <w:t xml:space="preserve">预付款和工程进度款已包含安全文明施工费，承包人对安全文明施工费应专款专用，不得挪作他用，否则发包人有权停止支付工程款并要求承包人限期整改到位。</w:t>
      </w:r>
      <w:bookmarkEnd w:id="193"/>
      <w:r/>
      <w:bookmarkEnd w:id="194"/>
      <w:r/>
      <w:bookmarkEnd w:id="195"/>
      <w:r/>
      <w:bookmarkEnd w:id="196"/>
      <w:r/>
      <w:bookmarkEnd w:id="197"/>
      <w:r/>
      <w:bookmarkEnd w:id="198"/>
      <w:r/>
      <w:bookmarkEnd w:id="199"/>
      <w:r/>
      <w:r/>
    </w:p>
    <w:p>
      <w:pPr>
        <w:spacing w:line="360" w:lineRule="auto"/>
        <w:rPr>
          <w:rFonts w:ascii="宋体" w:hAnsi="宋体" w:cs="宋体"/>
          <w:b/>
          <w:bCs/>
          <w:color w:val="000000"/>
          <w:sz w:val="24"/>
          <w:highlight w:val="none"/>
        </w:rPr>
      </w:pPr>
      <w:r/>
      <w:bookmarkStart w:id="202" w:name="_Toc351203639"/>
      <w:r>
        <w:rPr>
          <w:rFonts w:hint="eastAsia" w:ascii="宋体" w:hAnsi="宋体" w:cs="宋体"/>
          <w:b/>
          <w:bCs/>
          <w:color w:val="000000"/>
          <w:sz w:val="24"/>
          <w:highlight w:val="none"/>
        </w:rPr>
        <w:t xml:space="preserve">7. 工期和进度</w:t>
      </w:r>
      <w:bookmarkEnd w:id="202"/>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7.1 </w:t>
      </w:r>
      <w:r>
        <w:rPr>
          <w:rFonts w:hint="eastAsia" w:ascii="宋体" w:hAnsi="宋体" w:cs="宋体"/>
          <w:b/>
          <w:color w:val="000000"/>
          <w:sz w:val="24"/>
          <w:highlight w:val="none"/>
        </w:rPr>
        <w:t xml:space="preserve">施工组织设计</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7.1.1 </w:t>
      </w:r>
      <w:r>
        <w:rPr>
          <w:rFonts w:hint="eastAsia" w:ascii="宋体" w:hAnsi="宋体" w:cs="宋体"/>
          <w:color w:val="000000"/>
          <w:sz w:val="24"/>
          <w:highlight w:val="none"/>
        </w:rPr>
        <w:t xml:space="preserve">合同当事人约定的施工组织设计应包括的其他内容：</w:t>
      </w:r>
      <w:r>
        <w:rPr>
          <w:rFonts w:hint="eastAsia" w:ascii="宋体" w:hAnsi="宋体" w:cs="宋体"/>
          <w:color w:val="000000"/>
          <w:sz w:val="24"/>
          <w:highlight w:val="none"/>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7.1.2 </w:t>
      </w:r>
      <w:r>
        <w:rPr>
          <w:rFonts w:hint="eastAsia" w:ascii="宋体" w:hAnsi="宋体" w:cs="宋体"/>
          <w:color w:val="000000"/>
          <w:sz w:val="24"/>
          <w:highlight w:val="none"/>
        </w:rPr>
        <w:t xml:space="preserve">施工组织设计的提交和修改</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承包人提交详细施工组织设计的期限的约定：</w:t>
      </w:r>
      <w:r>
        <w:rPr>
          <w:rFonts w:hint="eastAsia" w:ascii="宋体" w:hAnsi="宋体" w:cs="宋体"/>
          <w:color w:val="000000"/>
          <w:sz w:val="24"/>
          <w:highlight w:val="none"/>
          <w:u w:val="single"/>
        </w:rPr>
        <w:t xml:space="preserve">开工令签发后</w:t>
      </w:r>
      <w:r>
        <w:rPr>
          <w:rFonts w:hint="eastAsia" w:ascii="宋体" w:hAnsi="宋体" w:eastAsia="Calibri" w:cs="宋体"/>
          <w:color w:val="000000"/>
          <w:sz w:val="24"/>
          <w:highlight w:val="none"/>
          <w:u w:val="single"/>
        </w:rPr>
        <w:t xml:space="preserve">7</w:t>
      </w:r>
      <w:r>
        <w:rPr>
          <w:rFonts w:hint="eastAsia" w:ascii="宋体" w:hAnsi="宋体" w:cs="宋体"/>
          <w:color w:val="000000"/>
          <w:sz w:val="24"/>
          <w:highlight w:val="none"/>
          <w:u w:val="single"/>
        </w:rPr>
        <w:t xml:space="preserve">天内</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发包人和监理人在收到详细的施工组织设计后确认或提出修改意见的期限：</w:t>
      </w:r>
      <w:r>
        <w:rPr>
          <w:rFonts w:hint="eastAsia" w:ascii="宋体" w:hAnsi="宋体" w:cs="宋体"/>
          <w:color w:val="000000"/>
          <w:sz w:val="24"/>
          <w:highlight w:val="none"/>
          <w:u w:val="single"/>
        </w:rPr>
        <w:t xml:space="preserve">收到后</w:t>
      </w:r>
      <w:r>
        <w:rPr>
          <w:rFonts w:hint="eastAsia" w:ascii="宋体" w:hAnsi="宋体" w:eastAsia="Calibri" w:cs="宋体"/>
          <w:color w:val="000000"/>
          <w:sz w:val="24"/>
          <w:highlight w:val="none"/>
          <w:u w:val="single"/>
        </w:rPr>
        <w:t xml:space="preserve">7</w:t>
      </w:r>
      <w:r>
        <w:rPr>
          <w:rFonts w:hint="eastAsia" w:ascii="宋体" w:hAnsi="宋体" w:cs="宋体"/>
          <w:color w:val="000000"/>
          <w:sz w:val="24"/>
          <w:highlight w:val="none"/>
          <w:u w:val="single"/>
        </w:rPr>
        <w:t xml:space="preserve">天内</w:t>
      </w:r>
      <w:r>
        <w:rPr>
          <w:rFonts w:hint="eastAsia" w:ascii="宋体" w:hAnsi="宋体" w:cs="宋体"/>
          <w:color w:val="000000"/>
          <w:sz w:val="24"/>
          <w:highlight w:val="none"/>
        </w:rPr>
        <w:t xml:space="preserve">。</w:t>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7</w:t>
      </w:r>
      <w:bookmarkStart w:id="203" w:name="_Toc312678005"/>
      <w:r/>
      <w:bookmarkStart w:id="204" w:name="_Toc297123514"/>
      <w:r/>
      <w:bookmarkStart w:id="205" w:name="_Toc304295541"/>
      <w:r/>
      <w:bookmarkStart w:id="206" w:name="_Toc312677479"/>
      <w:r/>
      <w:bookmarkStart w:id="207" w:name="_Toc297216173"/>
      <w:r/>
      <w:bookmarkStart w:id="208" w:name="_Toc300934966"/>
      <w:r/>
      <w:bookmarkStart w:id="209" w:name="_Toc303539123"/>
      <w:r>
        <w:rPr>
          <w:rFonts w:hint="eastAsia" w:ascii="宋体" w:hAnsi="宋体" w:eastAsia="Calibri" w:cs="宋体"/>
          <w:b/>
          <w:color w:val="000000"/>
          <w:sz w:val="24"/>
          <w:highlight w:val="none"/>
        </w:rPr>
        <w:t xml:space="preserve">.2 </w:t>
      </w:r>
      <w:r>
        <w:rPr>
          <w:rFonts w:hint="eastAsia" w:ascii="宋体" w:hAnsi="宋体" w:cs="宋体"/>
          <w:b/>
          <w:color w:val="000000"/>
          <w:sz w:val="24"/>
          <w:highlight w:val="none"/>
        </w:rPr>
        <w:t xml:space="preserve">施工进度计划</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7.2.1 </w:t>
      </w:r>
      <w:r>
        <w:rPr>
          <w:rFonts w:hint="eastAsia" w:ascii="宋体" w:hAnsi="宋体" w:cs="宋体"/>
          <w:color w:val="000000"/>
          <w:sz w:val="24"/>
          <w:highlight w:val="none"/>
        </w:rPr>
        <w:t xml:space="preserve">施工进度计划的修订</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发包人和监理人在收到修订的施工进度计划后确认或提出修改意见的期限：</w:t>
      </w:r>
      <w:r>
        <w:rPr>
          <w:rFonts w:hint="eastAsia" w:ascii="宋体" w:hAnsi="宋体" w:cs="宋体"/>
          <w:color w:val="000000"/>
          <w:sz w:val="24"/>
          <w:highlight w:val="none"/>
          <w:u w:val="single"/>
        </w:rPr>
        <w:t xml:space="preserve">收到后</w:t>
      </w:r>
      <w:r>
        <w:rPr>
          <w:rFonts w:hint="eastAsia" w:ascii="宋体" w:hAnsi="宋体" w:eastAsia="Calibri" w:cs="宋体"/>
          <w:color w:val="000000"/>
          <w:sz w:val="24"/>
          <w:highlight w:val="none"/>
          <w:u w:val="single"/>
        </w:rPr>
        <w:t xml:space="preserve">7</w:t>
      </w:r>
      <w:r>
        <w:rPr>
          <w:rFonts w:hint="eastAsia" w:ascii="宋体" w:hAnsi="宋体" w:cs="宋体"/>
          <w:color w:val="000000"/>
          <w:sz w:val="24"/>
          <w:highlight w:val="none"/>
          <w:u w:val="single"/>
        </w:rPr>
        <w:t xml:space="preserve">天内</w:t>
      </w:r>
      <w:r>
        <w:rPr>
          <w:rFonts w:hint="eastAsia" w:ascii="宋体" w:hAnsi="宋体" w:cs="宋体"/>
          <w:color w:val="000000"/>
          <w:sz w:val="24"/>
          <w:highlight w:val="none"/>
        </w:rPr>
        <w:t xml:space="preserve">。</w:t>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7.3 </w:t>
      </w:r>
      <w:r>
        <w:rPr>
          <w:rFonts w:hint="eastAsia" w:ascii="宋体" w:hAnsi="宋体" w:cs="宋体"/>
          <w:b/>
          <w:color w:val="000000"/>
          <w:sz w:val="24"/>
          <w:highlight w:val="none"/>
        </w:rPr>
        <w:t xml:space="preserve">开工</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7.3.1 </w:t>
      </w:r>
      <w:r>
        <w:rPr>
          <w:rFonts w:hint="eastAsia" w:ascii="宋体" w:hAnsi="宋体" w:cs="宋体"/>
          <w:color w:val="000000"/>
          <w:sz w:val="24"/>
          <w:highlight w:val="none"/>
        </w:rPr>
        <w:t xml:space="preserve">开工准备</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关于承包人提交工程开工报审表的期限：</w:t>
      </w:r>
      <w:r>
        <w:rPr>
          <w:rFonts w:hint="eastAsia" w:ascii="宋体" w:hAnsi="宋体" w:cs="宋体"/>
          <w:color w:val="000000"/>
          <w:sz w:val="24"/>
          <w:highlight w:val="none"/>
          <w:u w:val="single"/>
        </w:rPr>
        <w:t xml:space="preserve">第一次工地例会后</w:t>
      </w:r>
      <w:r>
        <w:rPr>
          <w:rFonts w:hint="eastAsia" w:ascii="宋体" w:hAnsi="宋体" w:eastAsia="Calibri" w:cs="宋体"/>
          <w:color w:val="000000"/>
          <w:sz w:val="24"/>
          <w:highlight w:val="none"/>
          <w:u w:val="single"/>
        </w:rPr>
        <w:t xml:space="preserve">7</w:t>
      </w:r>
      <w:r>
        <w:rPr>
          <w:rFonts w:hint="eastAsia" w:ascii="宋体" w:hAnsi="宋体" w:cs="宋体"/>
          <w:color w:val="000000"/>
          <w:sz w:val="24"/>
          <w:highlight w:val="none"/>
          <w:u w:val="single"/>
        </w:rPr>
        <w:t xml:space="preserve">天内</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关于发包人应完成的其他开工准备工作及期限：</w:t>
      </w:r>
      <w:r>
        <w:rPr>
          <w:rFonts w:hint="eastAsia" w:ascii="宋体" w:hAnsi="宋体" w:cs="宋体"/>
          <w:color w:val="000000"/>
          <w:sz w:val="24"/>
          <w:highlight w:val="none"/>
          <w:u w:val="single"/>
        </w:rPr>
        <w:t xml:space="preserve">第一次工地例会后</w:t>
      </w:r>
      <w:r>
        <w:rPr>
          <w:rFonts w:hint="eastAsia" w:ascii="宋体" w:hAnsi="宋体" w:eastAsia="Calibri" w:cs="宋体"/>
          <w:color w:val="000000"/>
          <w:sz w:val="24"/>
          <w:highlight w:val="none"/>
          <w:u w:val="single"/>
        </w:rPr>
        <w:t xml:space="preserve">7</w:t>
      </w:r>
      <w:r>
        <w:rPr>
          <w:rFonts w:hint="eastAsia" w:ascii="宋体" w:hAnsi="宋体" w:cs="宋体"/>
          <w:color w:val="000000"/>
          <w:sz w:val="24"/>
          <w:highlight w:val="none"/>
          <w:u w:val="single"/>
        </w:rPr>
        <w:t xml:space="preserve">天内</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关于承包人应完成的其他开工准备工作及期限：</w:t>
      </w:r>
      <w:r>
        <w:rPr>
          <w:rFonts w:hint="eastAsia" w:ascii="宋体" w:hAnsi="宋体" w:cs="宋体"/>
          <w:color w:val="000000"/>
          <w:sz w:val="24"/>
          <w:highlight w:val="none"/>
          <w:u w:val="single"/>
        </w:rPr>
        <w:t xml:space="preserve">第一次工地例会后</w:t>
      </w:r>
      <w:r>
        <w:rPr>
          <w:rFonts w:hint="eastAsia" w:ascii="宋体" w:hAnsi="宋体" w:eastAsia="Calibri" w:cs="宋体"/>
          <w:color w:val="000000"/>
          <w:sz w:val="24"/>
          <w:highlight w:val="none"/>
          <w:u w:val="single"/>
        </w:rPr>
        <w:t xml:space="preserve">7</w:t>
      </w:r>
      <w:r>
        <w:rPr>
          <w:rFonts w:hint="eastAsia" w:ascii="宋体" w:hAnsi="宋体" w:cs="宋体"/>
          <w:color w:val="000000"/>
          <w:sz w:val="24"/>
          <w:highlight w:val="none"/>
          <w:u w:val="single"/>
        </w:rPr>
        <w:t xml:space="preserve">天内</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7.3.2</w:t>
      </w:r>
      <w:r>
        <w:rPr>
          <w:rFonts w:hint="eastAsia" w:ascii="宋体" w:hAnsi="宋体" w:cs="宋体"/>
          <w:color w:val="000000"/>
          <w:sz w:val="24"/>
          <w:highlight w:val="none"/>
        </w:rPr>
        <w:t xml:space="preserve">开工通知</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因发包人原因造成监理人未能在计划开工日期之日起</w:t>
      </w:r>
      <w:r>
        <w:rPr>
          <w:rFonts w:hint="eastAsia" w:ascii="宋体" w:hAnsi="宋体" w:eastAsia="Calibri" w:cs="宋体"/>
          <w:color w:val="000000"/>
          <w:sz w:val="24"/>
          <w:highlight w:val="none"/>
          <w:u w:val="single"/>
        </w:rPr>
        <w:t xml:space="preserve">90</w:t>
      </w:r>
      <w:r>
        <w:rPr>
          <w:rFonts w:hint="eastAsia" w:ascii="宋体" w:hAnsi="宋体" w:cs="宋体"/>
          <w:color w:val="000000"/>
          <w:sz w:val="24"/>
          <w:highlight w:val="none"/>
        </w:rPr>
        <w:t xml:space="preserve">天内发出开工通知的，承包人有权提出价格调整要求，或者解除合同。</w:t>
      </w:r>
      <w:bookmarkEnd w:id="203"/>
      <w:r/>
      <w:bookmarkEnd w:id="204"/>
      <w:r/>
      <w:bookmarkEnd w:id="205"/>
      <w:r/>
      <w:bookmarkEnd w:id="206"/>
      <w:r/>
      <w:bookmarkEnd w:id="207"/>
      <w:r/>
      <w:bookmarkEnd w:id="208"/>
      <w:r/>
      <w:bookmarkEnd w:id="209"/>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7.4 </w:t>
      </w:r>
      <w:r>
        <w:rPr>
          <w:rFonts w:hint="eastAsia" w:ascii="宋体" w:hAnsi="宋体" w:cs="宋体"/>
          <w:b/>
          <w:color w:val="000000"/>
          <w:sz w:val="24"/>
          <w:highlight w:val="none"/>
        </w:rPr>
        <w:t xml:space="preserve">测量放线</w:t>
      </w:r>
      <w:r/>
    </w:p>
    <w:p>
      <w:pPr>
        <w:ind w:firstLine="480"/>
        <w:spacing w:line="360" w:lineRule="auto"/>
        <w:rPr>
          <w:rFonts w:ascii="宋体" w:hAnsi="宋体" w:eastAsia="Calibri" w:cs="宋体"/>
          <w:color w:val="000000"/>
          <w:sz w:val="24"/>
          <w:highlight w:val="none"/>
          <w:u w:val="single"/>
        </w:rPr>
      </w:pPr>
      <w:r>
        <w:rPr>
          <w:rFonts w:hint="eastAsia" w:ascii="宋体" w:hAnsi="宋体" w:eastAsia="Calibri" w:cs="宋体"/>
          <w:color w:val="000000"/>
          <w:sz w:val="24"/>
          <w:highlight w:val="none"/>
        </w:rPr>
        <w:t xml:space="preserve">7.4.1</w:t>
      </w:r>
      <w:r>
        <w:rPr>
          <w:rFonts w:hint="eastAsia" w:ascii="宋体" w:hAnsi="宋体" w:cs="宋体"/>
          <w:color w:val="000000"/>
          <w:sz w:val="24"/>
          <w:highlight w:val="none"/>
        </w:rPr>
        <w:t xml:space="preserve">发包人通过监理人向承包人提供测量基准点、基准线和水准点及其书面资料的期限：</w:t>
      </w:r>
      <w:r>
        <w:rPr>
          <w:rFonts w:hint="eastAsia" w:ascii="宋体" w:hAnsi="宋体" w:cs="宋体"/>
          <w:color w:val="000000"/>
          <w:sz w:val="24"/>
          <w:highlight w:val="none"/>
          <w:u w:val="single"/>
        </w:rPr>
        <w:t xml:space="preserve">正式开工前由发包人、承包人在监理单位见证下现场交验，并以书面形式提供给承包人。水准点、座标控制点交验完毕，即由承包人自费负责保护，此后由于破坏或失准带来的重新测量、放点费用及由此造成的其他损失均由承包人承担。</w:t>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7</w:t>
      </w:r>
      <w:bookmarkStart w:id="210" w:name="_Toc297216175"/>
      <w:r/>
      <w:bookmarkStart w:id="211" w:name="_Toc297123516"/>
      <w:r/>
      <w:bookmarkStart w:id="212" w:name="_Toc312677484"/>
      <w:r/>
      <w:bookmarkStart w:id="213" w:name="_Toc300934968"/>
      <w:r/>
      <w:bookmarkStart w:id="214" w:name="_Toc304295546"/>
      <w:r/>
      <w:bookmarkStart w:id="215" w:name="_Toc312678010"/>
      <w:r/>
      <w:bookmarkStart w:id="216" w:name="_Toc303539125"/>
      <w:r>
        <w:rPr>
          <w:rFonts w:hint="eastAsia" w:ascii="宋体" w:hAnsi="宋体" w:eastAsia="Calibri" w:cs="宋体"/>
          <w:b/>
          <w:color w:val="000000"/>
          <w:sz w:val="24"/>
          <w:highlight w:val="none"/>
        </w:rPr>
        <w:t xml:space="preserve">.5 </w:t>
      </w:r>
      <w:r>
        <w:rPr>
          <w:rFonts w:hint="eastAsia" w:ascii="宋体" w:hAnsi="宋体" w:cs="宋体"/>
          <w:b/>
          <w:color w:val="000000"/>
          <w:sz w:val="24"/>
          <w:highlight w:val="none"/>
        </w:rPr>
        <w:t xml:space="preserve">工期延误</w:t>
      </w:r>
      <w:bookmarkEnd w:id="210"/>
      <w:r/>
      <w:bookmarkEnd w:id="211"/>
      <w:r/>
      <w:bookmarkEnd w:id="212"/>
      <w:r/>
      <w:bookmarkEnd w:id="213"/>
      <w:r/>
      <w:bookmarkEnd w:id="214"/>
      <w:r/>
      <w:bookmarkEnd w:id="215"/>
      <w:r/>
      <w:bookmarkEnd w:id="216"/>
      <w:r/>
      <w:r/>
    </w:p>
    <w:p>
      <w:pPr>
        <w:ind w:firstLine="480"/>
        <w:spacing w:line="360" w:lineRule="auto"/>
        <w:rPr>
          <w:rFonts w:ascii="宋体" w:hAnsi="宋体" w:eastAsia="Calibri" w:cs="宋体"/>
          <w:color w:val="000000"/>
          <w:sz w:val="24"/>
          <w:highlight w:val="none"/>
        </w:rPr>
      </w:pPr>
      <w:r/>
      <w:bookmarkStart w:id="217" w:name="_Toc312678014"/>
      <w:r/>
      <w:bookmarkStart w:id="218" w:name="_Toc318581171"/>
      <w:r>
        <w:rPr>
          <w:rFonts w:hint="eastAsia" w:ascii="宋体" w:hAnsi="宋体" w:eastAsia="Calibri" w:cs="宋体"/>
          <w:color w:val="000000"/>
          <w:sz w:val="24"/>
          <w:highlight w:val="none"/>
        </w:rPr>
        <w:t xml:space="preserve">7.5.1 </w:t>
      </w:r>
      <w:r>
        <w:rPr>
          <w:rFonts w:hint="eastAsia" w:ascii="宋体" w:hAnsi="宋体" w:cs="宋体"/>
          <w:color w:val="000000"/>
          <w:sz w:val="24"/>
          <w:highlight w:val="none"/>
        </w:rPr>
        <w:t xml:space="preserve">因发包人原因导致工期延误</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7</w:t>
      </w:r>
      <w:r>
        <w:rPr>
          <w:rFonts w:hint="eastAsia" w:ascii="宋体" w:hAnsi="宋体" w:cs="宋体"/>
          <w:color w:val="000000"/>
          <w:sz w:val="24"/>
          <w:highlight w:val="none"/>
        </w:rPr>
        <w:t xml:space="preserve">）因发包人原因导致工期延误的其他情形：</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①发包人未能及时提供设计施工变更修改图；</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②一周内非承包人原因停水、停电、停气造成停工累计超过</w:t>
      </w:r>
      <w:r>
        <w:rPr>
          <w:rFonts w:hint="eastAsia" w:ascii="宋体" w:hAnsi="宋体" w:eastAsia="Calibri" w:cs="宋体"/>
          <w:color w:val="000000"/>
          <w:sz w:val="24"/>
          <w:highlight w:val="none"/>
          <w:u w:val="single"/>
        </w:rPr>
        <w:t xml:space="preserve">8</w:t>
      </w:r>
      <w:r>
        <w:rPr>
          <w:rFonts w:hint="eastAsia" w:ascii="宋体" w:hAnsi="宋体" w:cs="宋体"/>
          <w:color w:val="000000"/>
          <w:sz w:val="24"/>
          <w:highlight w:val="none"/>
          <w:u w:val="single"/>
        </w:rPr>
        <w:t xml:space="preserve">小时；</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③不可抗力；</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④其余按本合同《通用合同条款》执行。</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7.5.2 </w:t>
      </w:r>
      <w:r>
        <w:rPr>
          <w:rFonts w:hint="eastAsia" w:ascii="宋体" w:hAnsi="宋体" w:cs="宋体"/>
          <w:color w:val="000000"/>
          <w:sz w:val="24"/>
          <w:highlight w:val="none"/>
        </w:rPr>
        <w:t xml:space="preserve">因承包人原因导致工期延误</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因承包人原因造成工期延误，逾期竣工违约金的计算方法为：</w:t>
      </w:r>
      <w:bookmarkEnd w:id="217"/>
      <w:r/>
      <w:bookmarkEnd w:id="218"/>
      <w:r>
        <w:rPr>
          <w:rFonts w:hint="eastAsia" w:ascii="宋体" w:hAnsi="宋体" w:cs="宋体"/>
          <w:color w:val="000000"/>
          <w:sz w:val="24"/>
          <w:highlight w:val="none"/>
          <w:u w:val="single"/>
        </w:rPr>
        <w:t xml:space="preserve">5000元/天。</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因承包人原因造成工期延误，逾期竣工违约金的上限：</w:t>
      </w:r>
      <w:r>
        <w:rPr>
          <w:rFonts w:hint="eastAsia" w:ascii="宋体" w:hAnsi="宋体" w:cs="宋体"/>
          <w:color w:val="000000"/>
          <w:sz w:val="24"/>
          <w:highlight w:val="none"/>
          <w:u w:val="single"/>
        </w:rPr>
        <w:t xml:space="preserve">合同价款的2%。</w:t>
      </w:r>
      <w:r/>
    </w:p>
    <w:p>
      <w:pPr>
        <w:ind w:firstLine="480"/>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7</w:t>
      </w:r>
      <w:bookmarkStart w:id="219" w:name="_Toc304295549"/>
      <w:r/>
      <w:bookmarkStart w:id="220" w:name="_Toc312678015"/>
      <w:r/>
      <w:bookmarkStart w:id="221" w:name="_Toc300934971"/>
      <w:r/>
      <w:bookmarkStart w:id="222" w:name="_Toc297123519"/>
      <w:r/>
      <w:bookmarkStart w:id="223" w:name="_Toc303539128"/>
      <w:r/>
      <w:bookmarkStart w:id="224" w:name="_Toc297216178"/>
      <w:r>
        <w:rPr>
          <w:rFonts w:hint="eastAsia" w:ascii="宋体" w:hAnsi="宋体" w:eastAsia="Calibri" w:cs="宋体"/>
          <w:b/>
          <w:color w:val="000000"/>
          <w:sz w:val="24"/>
          <w:highlight w:val="none"/>
        </w:rPr>
        <w:t xml:space="preserve">.6 </w:t>
      </w:r>
      <w:r>
        <w:rPr>
          <w:rFonts w:hint="eastAsia" w:ascii="宋体" w:hAnsi="宋体" w:cs="宋体"/>
          <w:b/>
          <w:color w:val="000000"/>
          <w:sz w:val="24"/>
          <w:highlight w:val="none"/>
        </w:rPr>
        <w:t xml:space="preserve">不</w:t>
      </w:r>
      <w:bookmarkEnd w:id="219"/>
      <w:r/>
      <w:bookmarkEnd w:id="220"/>
      <w:r/>
      <w:bookmarkEnd w:id="221"/>
      <w:r/>
      <w:bookmarkEnd w:id="222"/>
      <w:r/>
      <w:bookmarkEnd w:id="223"/>
      <w:r/>
      <w:bookmarkEnd w:id="224"/>
      <w:r>
        <w:rPr>
          <w:rFonts w:hint="eastAsia" w:ascii="宋体" w:hAnsi="宋体" w:cs="宋体"/>
          <w:b/>
          <w:color w:val="000000"/>
          <w:sz w:val="24"/>
          <w:highlight w:val="none"/>
        </w:rPr>
        <w:t xml:space="preserve">利物质条件</w:t>
      </w:r>
      <w:r/>
    </w:p>
    <w:p>
      <w:pPr>
        <w:ind w:firstLine="480"/>
        <w:spacing w:line="360" w:lineRule="auto"/>
        <w:rPr>
          <w:rFonts w:ascii="宋体" w:hAnsi="宋体" w:eastAsia="Calibri" w:cs="宋体"/>
          <w:color w:val="000000"/>
          <w:sz w:val="24"/>
          <w:highlight w:val="none"/>
        </w:rPr>
      </w:pPr>
      <w:r/>
      <w:bookmarkStart w:id="225" w:name="_Toc318581172"/>
      <w:r/>
      <w:bookmarkStart w:id="226" w:name="_Toc304295550"/>
      <w:r/>
      <w:bookmarkStart w:id="227" w:name="_Toc312678016"/>
      <w:r/>
      <w:bookmarkStart w:id="228" w:name="_Toc297216179"/>
      <w:r/>
      <w:bookmarkStart w:id="229" w:name="_Toc303539129"/>
      <w:r/>
      <w:bookmarkStart w:id="230" w:name="_Toc297123520"/>
      <w:r/>
      <w:bookmarkStart w:id="231" w:name="_Toc300934972"/>
      <w:r>
        <w:rPr>
          <w:rFonts w:hint="eastAsia" w:ascii="宋体" w:hAnsi="宋体" w:cs="宋体"/>
          <w:color w:val="000000"/>
          <w:sz w:val="24"/>
          <w:highlight w:val="none"/>
        </w:rPr>
        <w:t xml:space="preserve">不利物质条件的其他情形和有关约定：</w:t>
      </w: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1</w:t>
      </w:r>
      <w:r>
        <w:rPr>
          <w:rFonts w:hint="eastAsia" w:ascii="宋体" w:hAnsi="宋体" w:cs="宋体"/>
          <w:color w:val="000000"/>
          <w:sz w:val="24"/>
          <w:highlight w:val="none"/>
          <w:u w:val="single"/>
        </w:rPr>
        <w:t xml:space="preserve">）地下不明障碍物；</w:t>
      </w:r>
      <w:r>
        <w:rPr>
          <w:rFonts w:hint="eastAsia" w:ascii="宋体" w:hAnsi="宋体" w:eastAsia="Calibri" w:cs="宋体"/>
          <w:color w:val="000000"/>
          <w:sz w:val="24"/>
          <w:highlight w:val="none"/>
          <w:u w:val="single"/>
        </w:rPr>
        <w:t xml:space="preserve">(2)</w:t>
      </w:r>
      <w:r>
        <w:rPr>
          <w:rFonts w:hint="eastAsia" w:ascii="宋体" w:hAnsi="宋体" w:cs="宋体"/>
          <w:color w:val="000000"/>
          <w:sz w:val="24"/>
          <w:highlight w:val="none"/>
          <w:u w:val="single"/>
        </w:rPr>
        <w:t xml:space="preserve">古墓或文物；</w:t>
      </w:r>
      <w:r>
        <w:rPr>
          <w:rFonts w:hint="eastAsia" w:ascii="宋体" w:hAnsi="宋体" w:eastAsia="Calibri" w:cs="宋体"/>
          <w:color w:val="000000"/>
          <w:sz w:val="24"/>
          <w:highlight w:val="none"/>
          <w:u w:val="single"/>
        </w:rPr>
        <w:t xml:space="preserve">(3)</w:t>
      </w:r>
      <w:r>
        <w:rPr>
          <w:rFonts w:hint="eastAsia" w:ascii="宋体" w:hAnsi="宋体" w:cs="宋体"/>
          <w:color w:val="000000"/>
          <w:sz w:val="24"/>
          <w:highlight w:val="none"/>
          <w:u w:val="single"/>
        </w:rPr>
        <w:t xml:space="preserve">其余按本合同《通用合同条款》执行</w:t>
      </w:r>
      <w:r>
        <w:rPr>
          <w:rFonts w:hint="eastAsia" w:ascii="宋体" w:hAnsi="宋体" w:cs="宋体"/>
          <w:color w:val="000000"/>
          <w:sz w:val="24"/>
          <w:highlight w:val="none"/>
        </w:rPr>
        <w:t xml:space="preserve">。</w:t>
      </w:r>
      <w:bookmarkEnd w:id="225"/>
      <w:r/>
      <w:bookmarkEnd w:id="226"/>
      <w:r/>
      <w:bookmarkEnd w:id="227"/>
      <w:r/>
      <w:bookmarkEnd w:id="228"/>
      <w:r/>
      <w:bookmarkEnd w:id="229"/>
      <w:r/>
      <w:bookmarkEnd w:id="230"/>
      <w:r/>
      <w:bookmarkEnd w:id="231"/>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7</w:t>
      </w:r>
      <w:bookmarkStart w:id="232" w:name="_Toc300934973"/>
      <w:r/>
      <w:bookmarkStart w:id="233" w:name="_Toc312678017"/>
      <w:r/>
      <w:bookmarkStart w:id="234" w:name="_Toc303539130"/>
      <w:r/>
      <w:bookmarkStart w:id="235" w:name="_Toc297216180"/>
      <w:r/>
      <w:bookmarkStart w:id="236" w:name="_Toc304295551"/>
      <w:r/>
      <w:bookmarkStart w:id="237" w:name="_Toc297123521"/>
      <w:r>
        <w:rPr>
          <w:rFonts w:hint="eastAsia" w:ascii="宋体" w:hAnsi="宋体" w:eastAsia="Calibri" w:cs="宋体"/>
          <w:b/>
          <w:color w:val="000000"/>
          <w:sz w:val="24"/>
          <w:highlight w:val="none"/>
        </w:rPr>
        <w:t xml:space="preserve">.7</w:t>
      </w:r>
      <w:r>
        <w:rPr>
          <w:rFonts w:hint="eastAsia" w:ascii="宋体" w:hAnsi="宋体" w:cs="宋体"/>
          <w:b/>
          <w:color w:val="000000"/>
          <w:sz w:val="24"/>
          <w:highlight w:val="none"/>
        </w:rPr>
        <w:t xml:space="preserve">异常恶劣的气候条件</w:t>
      </w:r>
      <w:bookmarkEnd w:id="232"/>
      <w:r/>
      <w:bookmarkEnd w:id="233"/>
      <w:r/>
      <w:bookmarkEnd w:id="234"/>
      <w:r/>
      <w:bookmarkEnd w:id="235"/>
      <w:r/>
      <w:bookmarkEnd w:id="236"/>
      <w:r/>
      <w:bookmarkEnd w:id="237"/>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发包人和承包人同意以下情形视为异常恶劣的气候条件：</w:t>
      </w:r>
      <w:r/>
    </w:p>
    <w:p>
      <w:pPr>
        <w:ind w:firstLine="482"/>
        <w:spacing w:line="360" w:lineRule="auto"/>
        <w:rPr>
          <w:rFonts w:ascii="宋体" w:hAnsi="宋体" w:eastAsia="Calibri" w:cs="宋体"/>
          <w:color w:val="000000"/>
          <w:sz w:val="24"/>
          <w:highlight w:val="none"/>
          <w:u w:val="single"/>
        </w:rPr>
      </w:pPr>
      <w:r/>
      <w:bookmarkStart w:id="238" w:name="_Toc36797934"/>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1</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持续降雨</w:t>
      </w:r>
      <w:r>
        <w:rPr>
          <w:rFonts w:hint="eastAsia" w:ascii="宋体" w:hAnsi="宋体" w:eastAsia="Calibri" w:cs="宋体"/>
          <w:color w:val="000000"/>
          <w:sz w:val="24"/>
          <w:highlight w:val="none"/>
          <w:u w:val="single"/>
        </w:rPr>
        <w:t xml:space="preserve">24</w:t>
      </w:r>
      <w:r>
        <w:rPr>
          <w:rFonts w:hint="eastAsia" w:ascii="宋体" w:hAnsi="宋体" w:cs="宋体"/>
          <w:color w:val="000000"/>
          <w:sz w:val="24"/>
          <w:highlight w:val="none"/>
          <w:u w:val="single"/>
        </w:rPr>
        <w:t xml:space="preserve">小时且降雨量</w:t>
      </w:r>
      <w:r>
        <w:rPr>
          <w:rFonts w:hint="eastAsia" w:ascii="宋体" w:hAnsi="宋体" w:cs="宋体" w:eastAsiaTheme="minorEastAsia"/>
          <w:color w:val="000000"/>
          <w:sz w:val="24"/>
          <w:highlight w:val="none"/>
          <w:u w:val="single"/>
        </w:rPr>
        <w:t xml:space="preserve">12</w:t>
      </w:r>
      <w:r>
        <w:rPr>
          <w:rFonts w:hint="eastAsia" w:ascii="宋体" w:hAnsi="宋体" w:eastAsia="Calibri" w:cs="宋体"/>
          <w:color w:val="000000"/>
          <w:sz w:val="24"/>
          <w:highlight w:val="none"/>
          <w:u w:val="single"/>
        </w:rPr>
        <w:t xml:space="preserve">0mm</w:t>
      </w:r>
      <w:r>
        <w:rPr>
          <w:rFonts w:hint="eastAsia" w:ascii="宋体" w:hAnsi="宋体" w:cs="宋体"/>
          <w:color w:val="000000"/>
          <w:sz w:val="24"/>
          <w:highlight w:val="none"/>
          <w:u w:val="single"/>
        </w:rPr>
        <w:t xml:space="preserve">以上；1小时降雨量 ≥35mm；</w:t>
      </w:r>
      <w:r/>
    </w:p>
    <w:p>
      <w:pPr>
        <w:ind w:firstLine="482"/>
        <w:spacing w:line="360" w:lineRule="auto"/>
        <w:rPr>
          <w:rFonts w:ascii="宋体" w:hAnsi="宋体" w:cs="宋体"/>
          <w:color w:val="000000"/>
          <w:sz w:val="24"/>
          <w:highlight w:val="none"/>
          <w:u w:val="single"/>
        </w:rPr>
      </w:pPr>
      <w:r>
        <w:rPr>
          <w:rFonts w:ascii="宋体" w:hAnsi="宋体" w:cs="宋体"/>
          <w:color w:val="000000"/>
          <w:sz w:val="24"/>
          <w:highlight w:val="none"/>
        </w:rPr>
        <w:t xml:space="preserve">（</w:t>
      </w: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sz w:val="24"/>
          <w:highlight w:val="none"/>
          <w:u w:val="single"/>
        </w:rPr>
        <w:t xml:space="preserve">日气温超过</w:t>
      </w:r>
      <w:r>
        <w:rPr>
          <w:rFonts w:hint="eastAsia" w:ascii="宋体" w:hAnsi="宋体" w:eastAsia="Calibri" w:cs="宋体"/>
          <w:color w:val="000000"/>
          <w:sz w:val="24"/>
          <w:highlight w:val="none"/>
          <w:u w:val="single"/>
        </w:rPr>
        <w:t xml:space="preserve">3</w:t>
      </w:r>
      <w:r>
        <w:rPr>
          <w:rFonts w:hint="eastAsia" w:ascii="宋体" w:hAnsi="宋体" w:cs="宋体" w:eastAsiaTheme="minorEastAsia"/>
          <w:color w:val="000000"/>
          <w:sz w:val="24"/>
          <w:highlight w:val="none"/>
          <w:u w:val="single"/>
        </w:rPr>
        <w:t xml:space="preserve">9</w:t>
      </w:r>
      <w:r>
        <w:rPr>
          <w:rFonts w:hint="eastAsia" w:ascii="宋体" w:hAnsi="宋体" w:cs="宋体"/>
          <w:color w:val="000000"/>
          <w:sz w:val="24"/>
          <w:highlight w:val="none"/>
          <w:u w:val="single"/>
        </w:rPr>
        <w:t xml:space="preserve">℃的高温大于</w:t>
      </w:r>
      <w:r>
        <w:rPr>
          <w:rFonts w:hint="eastAsia" w:ascii="宋体" w:hAnsi="宋体" w:cs="宋体" w:eastAsiaTheme="minorEastAsia"/>
          <w:color w:val="000000"/>
          <w:sz w:val="24"/>
          <w:highlight w:val="none"/>
          <w:u w:val="single"/>
        </w:rPr>
        <w:t xml:space="preserve">2</w:t>
      </w:r>
      <w:r>
        <w:rPr>
          <w:rFonts w:hint="eastAsia" w:ascii="宋体" w:hAnsi="宋体" w:cs="宋体"/>
          <w:color w:val="000000"/>
          <w:sz w:val="24"/>
          <w:highlight w:val="none"/>
          <w:u w:val="single"/>
        </w:rPr>
        <w:t xml:space="preserve">天或日气温超过</w:t>
      </w:r>
      <w:r>
        <w:rPr>
          <w:rFonts w:hint="eastAsia" w:ascii="宋体" w:hAnsi="宋体" w:eastAsia="Calibri" w:cs="宋体"/>
          <w:color w:val="000000"/>
          <w:sz w:val="24"/>
          <w:highlight w:val="none"/>
          <w:u w:val="single"/>
        </w:rPr>
        <w:t xml:space="preserve">3</w:t>
      </w:r>
      <w:r>
        <w:rPr>
          <w:rFonts w:hint="eastAsia" w:ascii="宋体" w:hAnsi="宋体" w:cs="宋体" w:eastAsiaTheme="minorEastAsia"/>
          <w:color w:val="000000"/>
          <w:sz w:val="24"/>
          <w:highlight w:val="none"/>
          <w:u w:val="single"/>
        </w:rPr>
        <w:t xml:space="preserve">8</w:t>
      </w:r>
      <w:r>
        <w:rPr>
          <w:rFonts w:hint="eastAsia" w:ascii="宋体" w:hAnsi="宋体" w:cs="宋体"/>
          <w:color w:val="000000"/>
          <w:sz w:val="24"/>
          <w:highlight w:val="none"/>
          <w:u w:val="single"/>
        </w:rPr>
        <w:t xml:space="preserve">℃的高温大于</w:t>
      </w:r>
      <w:r>
        <w:rPr>
          <w:rFonts w:hint="eastAsia" w:ascii="宋体" w:hAnsi="宋体" w:cs="宋体" w:eastAsiaTheme="minorEastAsia"/>
          <w:color w:val="000000"/>
          <w:sz w:val="24"/>
          <w:highlight w:val="none"/>
          <w:u w:val="single"/>
        </w:rPr>
        <w:t xml:space="preserve">3</w:t>
      </w:r>
      <w:r>
        <w:rPr>
          <w:rFonts w:hint="eastAsia" w:ascii="宋体" w:hAnsi="宋体" w:cs="宋体"/>
          <w:color w:val="000000"/>
          <w:sz w:val="24"/>
          <w:highlight w:val="none"/>
          <w:u w:val="single"/>
        </w:rPr>
        <w:t xml:space="preserve">天；</w:t>
      </w:r>
      <w:r/>
    </w:p>
    <w:p>
      <w:pPr>
        <w:ind w:firstLine="482"/>
        <w:spacing w:line="360" w:lineRule="auto"/>
        <w:rPr>
          <w:rFonts w:ascii="宋体" w:hAnsi="宋体" w:cs="宋体"/>
          <w:color w:val="000000"/>
          <w:sz w:val="24"/>
          <w:highlight w:val="none"/>
          <w:u w:val="single"/>
        </w:rPr>
      </w:pPr>
      <w:r>
        <w:rPr>
          <w:rFonts w:ascii="宋体" w:hAnsi="宋体" w:cs="宋体"/>
          <w:color w:val="000000"/>
          <w:sz w:val="24"/>
          <w:highlight w:val="none"/>
        </w:rPr>
        <w:t xml:space="preserve">（</w:t>
      </w:r>
      <w:r>
        <w:rPr>
          <w:rFonts w:hint="eastAsia" w:ascii="宋体" w:hAnsi="宋体" w:cs="宋体"/>
          <w:color w:val="000000"/>
          <w:sz w:val="24"/>
          <w:highlight w:val="none"/>
        </w:rPr>
        <w:t xml:space="preserve">3</w:t>
      </w:r>
      <w:r>
        <w:rPr>
          <w:rFonts w:ascii="宋体" w:hAnsi="宋体" w:cs="宋体"/>
          <w:color w:val="000000"/>
          <w:sz w:val="24"/>
          <w:highlight w:val="none"/>
        </w:rPr>
        <w:t xml:space="preserve">）</w:t>
      </w:r>
      <w:r>
        <w:rPr>
          <w:rFonts w:hint="eastAsia" w:ascii="宋体" w:hAnsi="宋体" w:cs="宋体"/>
          <w:color w:val="000000"/>
          <w:sz w:val="24"/>
          <w:highlight w:val="none"/>
          <w:u w:val="single"/>
        </w:rPr>
        <w:t xml:space="preserve">施工区域阵风≥</w:t>
      </w:r>
      <w:r>
        <w:rPr>
          <w:rFonts w:ascii="宋体" w:hAnsi="宋体" w:cs="宋体"/>
          <w:color w:val="000000"/>
          <w:sz w:val="24"/>
          <w:highlight w:val="none"/>
          <w:u w:val="single"/>
        </w:rPr>
        <w:t xml:space="preserve">8</w:t>
      </w:r>
      <w:r>
        <w:rPr>
          <w:rFonts w:hint="eastAsia" w:ascii="宋体" w:hAnsi="宋体" w:cs="宋体"/>
          <w:color w:val="000000"/>
          <w:sz w:val="24"/>
          <w:highlight w:val="none"/>
          <w:u w:val="single"/>
        </w:rPr>
        <w:t xml:space="preserve">级，或风力≥</w:t>
      </w:r>
      <w:r>
        <w:rPr>
          <w:rFonts w:ascii="宋体" w:hAnsi="宋体" w:cs="宋体"/>
          <w:color w:val="000000"/>
          <w:sz w:val="24"/>
          <w:highlight w:val="none"/>
          <w:u w:val="single"/>
        </w:rPr>
        <w:t xml:space="preserve">7</w:t>
      </w:r>
      <w:r>
        <w:rPr>
          <w:rFonts w:hint="eastAsia" w:ascii="宋体" w:hAnsi="宋体" w:cs="宋体"/>
          <w:color w:val="000000"/>
          <w:sz w:val="24"/>
          <w:highlight w:val="none"/>
          <w:u w:val="single"/>
        </w:rPr>
        <w:t xml:space="preserve">级持续≥2小时</w:t>
      </w:r>
      <w:r>
        <w:rPr>
          <w:rFonts w:ascii="宋体" w:hAnsi="宋体" w:cs="宋体"/>
          <w:color w:val="000000"/>
          <w:sz w:val="24"/>
          <w:highlight w:val="none"/>
          <w:u w:val="single"/>
        </w:rPr>
        <w:t xml:space="preserve">；</w:t>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7.9 </w:t>
      </w:r>
      <w:r>
        <w:rPr>
          <w:rFonts w:hint="eastAsia" w:ascii="宋体" w:hAnsi="宋体" w:cs="宋体"/>
          <w:b/>
          <w:color w:val="000000"/>
          <w:sz w:val="24"/>
          <w:highlight w:val="none"/>
        </w:rPr>
        <w:t xml:space="preserve">提前竣工的奖励</w:t>
      </w:r>
      <w:bookmarkEnd w:id="238"/>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7.9.1</w:t>
      </w:r>
      <w:r>
        <w:rPr>
          <w:rFonts w:hint="eastAsia" w:ascii="宋体" w:hAnsi="宋体" w:cs="宋体"/>
          <w:color w:val="000000"/>
          <w:sz w:val="24"/>
          <w:highlight w:val="none"/>
        </w:rPr>
        <w:t xml:space="preserve">提前竣工的奖励：</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p>
    <w:p>
      <w:pPr>
        <w:spacing w:line="360" w:lineRule="auto"/>
        <w:rPr>
          <w:rFonts w:ascii="宋体" w:hAnsi="宋体" w:cs="宋体"/>
          <w:b/>
          <w:bCs/>
          <w:color w:val="000000"/>
          <w:sz w:val="24"/>
          <w:highlight w:val="none"/>
        </w:rPr>
      </w:pPr>
      <w:r/>
      <w:bookmarkStart w:id="239" w:name="_Toc351203640"/>
      <w:r>
        <w:rPr>
          <w:rFonts w:hint="eastAsia" w:ascii="宋体" w:hAnsi="宋体" w:cs="宋体"/>
          <w:b/>
          <w:bCs/>
          <w:color w:val="000000"/>
          <w:sz w:val="24"/>
          <w:highlight w:val="none"/>
        </w:rPr>
        <w:t xml:space="preserve">8. 材料与设备</w:t>
      </w:r>
      <w:bookmarkEnd w:id="239"/>
      <w:r/>
      <w:bookmarkEnd w:id="182"/>
      <w:r/>
      <w:bookmarkEnd w:id="183"/>
      <w:r/>
      <w:bookmarkEnd w:id="184"/>
      <w:r/>
      <w:bookmarkEnd w:id="185"/>
      <w:r/>
      <w:bookmarkEnd w:id="186"/>
      <w:r/>
      <w:bookmarkEnd w:id="187"/>
      <w:r/>
      <w:bookmarkEnd w:id="188"/>
      <w:r/>
      <w:bookmarkEnd w:id="189"/>
      <w:r/>
      <w:bookmarkEnd w:id="190"/>
      <w:r/>
      <w:bookmarkEnd w:id="191"/>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8</w:t>
      </w:r>
      <w:bookmarkStart w:id="240" w:name="_Toc297120467"/>
      <w:r/>
      <w:bookmarkStart w:id="241" w:name="_Toc296890995"/>
      <w:r/>
      <w:bookmarkStart w:id="242" w:name="_Toc312677493"/>
      <w:r/>
      <w:bookmarkStart w:id="243" w:name="_Toc300934979"/>
      <w:r/>
      <w:bookmarkStart w:id="244" w:name="_Toc292559877"/>
      <w:r/>
      <w:bookmarkStart w:id="245" w:name="_Toc296891207"/>
      <w:r/>
      <w:bookmarkStart w:id="246" w:name="_Toc304295556"/>
      <w:r/>
      <w:bookmarkStart w:id="247" w:name="_Toc292559372"/>
      <w:r/>
      <w:bookmarkStart w:id="248" w:name="_Toc296503167"/>
      <w:r/>
      <w:bookmarkStart w:id="249" w:name="_Toc297216186"/>
      <w:r/>
      <w:bookmarkStart w:id="250" w:name="_Toc296944506"/>
      <w:r/>
      <w:bookmarkStart w:id="251" w:name="_Toc296346668"/>
      <w:r/>
      <w:bookmarkStart w:id="252" w:name="_Toc296347166"/>
      <w:r/>
      <w:bookmarkStart w:id="253" w:name="_Toc312678019"/>
      <w:r/>
      <w:bookmarkStart w:id="254" w:name="_Toc303539136"/>
      <w:r/>
      <w:bookmarkStart w:id="255" w:name="_Toc297123527"/>
      <w:r/>
      <w:bookmarkStart w:id="256" w:name="_Toc280868654"/>
      <w:r/>
      <w:bookmarkStart w:id="257" w:name="_Toc297048353"/>
      <w:r/>
      <w:bookmarkStart w:id="258" w:name="_Toc267251424"/>
      <w:r/>
      <w:bookmarkStart w:id="259" w:name="_Toc280868655"/>
      <w:r/>
      <w:bookmarkStart w:id="260" w:name="_Toc280868656"/>
      <w:r>
        <w:rPr>
          <w:rFonts w:hint="eastAsia" w:ascii="宋体" w:hAnsi="宋体" w:eastAsia="Calibri" w:cs="宋体"/>
          <w:b/>
          <w:color w:val="000000"/>
          <w:sz w:val="24"/>
          <w:highlight w:val="none"/>
        </w:rPr>
        <w:t xml:space="preserve">.1</w:t>
      </w:r>
      <w:r>
        <w:rPr>
          <w:rFonts w:hint="eastAsia" w:ascii="宋体" w:hAnsi="宋体" w:cs="宋体"/>
          <w:b/>
          <w:color w:val="000000"/>
          <w:sz w:val="24"/>
          <w:highlight w:val="none"/>
        </w:rPr>
        <w:t xml:space="preserve">材料与工程设备的保管与使用</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
    </w:p>
    <w:p>
      <w:pPr>
        <w:ind w:firstLine="480"/>
        <w:spacing w:line="360" w:lineRule="auto"/>
        <w:rPr>
          <w:rFonts w:ascii="宋体" w:hAnsi="宋体" w:eastAsia="Calibri" w:cs="宋体"/>
          <w:color w:val="000000"/>
          <w:sz w:val="24"/>
          <w:highlight w:val="none"/>
          <w:u w:val="single"/>
        </w:rPr>
      </w:pPr>
      <w:r>
        <w:rPr>
          <w:rFonts w:hint="eastAsia" w:ascii="宋体" w:hAnsi="宋体" w:eastAsia="Calibri" w:cs="宋体"/>
          <w:color w:val="000000"/>
          <w:sz w:val="24"/>
          <w:highlight w:val="none"/>
        </w:rPr>
        <w:t xml:space="preserve">8</w:t>
      </w:r>
      <w:bookmarkStart w:id="261" w:name="_Toc292559373"/>
      <w:r/>
      <w:bookmarkStart w:id="262" w:name="_Toc292559878"/>
      <w:r/>
      <w:bookmarkStart w:id="263" w:name="_Toc296346669"/>
      <w:r/>
      <w:bookmarkStart w:id="264" w:name="_Toc304295557"/>
      <w:r/>
      <w:bookmarkStart w:id="265" w:name="_Toc296347167"/>
      <w:r/>
      <w:bookmarkStart w:id="266" w:name="_Toc297123528"/>
      <w:r/>
      <w:bookmarkStart w:id="267" w:name="_Toc303539137"/>
      <w:r/>
      <w:bookmarkStart w:id="268" w:name="_Toc300934980"/>
      <w:r/>
      <w:bookmarkStart w:id="269" w:name="_Toc318581173"/>
      <w:r/>
      <w:bookmarkStart w:id="270" w:name="_Toc297120468"/>
      <w:r/>
      <w:bookmarkStart w:id="271" w:name="_Toc296891208"/>
      <w:r/>
      <w:bookmarkStart w:id="272" w:name="_Toc296890996"/>
      <w:r/>
      <w:bookmarkStart w:id="273" w:name="_Toc297048354"/>
      <w:r/>
      <w:bookmarkStart w:id="274" w:name="_Toc296944507"/>
      <w:r/>
      <w:bookmarkStart w:id="275" w:name="_Toc312677494"/>
      <w:r/>
      <w:bookmarkStart w:id="276" w:name="_Toc312678020"/>
      <w:r/>
      <w:bookmarkStart w:id="277" w:name="_Toc296503168"/>
      <w:r/>
      <w:bookmarkStart w:id="278" w:name="_Toc297216187"/>
      <w:r>
        <w:rPr>
          <w:rFonts w:hint="eastAsia" w:ascii="宋体" w:hAnsi="宋体" w:eastAsia="Calibri" w:cs="宋体"/>
          <w:color w:val="000000"/>
          <w:sz w:val="24"/>
          <w:highlight w:val="none"/>
        </w:rPr>
        <w:t xml:space="preserve">.1.1</w:t>
      </w:r>
      <w:r>
        <w:rPr>
          <w:rFonts w:hint="eastAsia" w:ascii="宋体" w:hAnsi="宋体" w:cs="宋体"/>
          <w:color w:val="000000"/>
          <w:sz w:val="24"/>
          <w:highlight w:val="none"/>
        </w:rPr>
        <w:t xml:space="preserve">发包人供应的材料设备的保管费用的承担：</w:t>
      </w:r>
      <w:bookmarkEnd w:id="261"/>
      <w:r/>
      <w:bookmarkEnd w:id="262"/>
      <w:r>
        <w:rPr>
          <w:rFonts w:hint="eastAsia" w:ascii="宋体" w:hAnsi="宋体" w:cs="宋体"/>
          <w:color w:val="000000"/>
          <w:sz w:val="24"/>
          <w:highlight w:val="none"/>
          <w:u w:val="single"/>
        </w:rPr>
        <w:t xml:space="preserve">/。</w:t>
      </w:r>
      <w:r/>
    </w:p>
    <w:p>
      <w:pPr>
        <w:ind w:firstLine="482"/>
        <w:spacing w:line="360" w:lineRule="auto"/>
        <w:rPr>
          <w:rFonts w:ascii="宋体" w:hAnsi="宋体" w:eastAsia="Calibri" w:cs="宋体"/>
          <w:b/>
          <w:color w:val="000000"/>
          <w:sz w:val="24"/>
          <w:highlight w:val="none"/>
        </w:rPr>
      </w:pPr>
      <w:r/>
      <w:bookmarkStart w:id="279" w:name="_Toc36797935"/>
      <w:r>
        <w:rPr>
          <w:rFonts w:hint="eastAsia" w:ascii="宋体" w:hAnsi="宋体" w:eastAsia="Calibri" w:cs="宋体"/>
          <w:b/>
          <w:color w:val="000000"/>
          <w:sz w:val="24"/>
          <w:highlight w:val="none"/>
        </w:rPr>
        <w:t xml:space="preserve">8.2 </w:t>
      </w:r>
      <w:r>
        <w:rPr>
          <w:rFonts w:hint="eastAsia" w:ascii="宋体" w:hAnsi="宋体" w:cs="宋体"/>
          <w:b/>
          <w:color w:val="000000"/>
          <w:sz w:val="24"/>
          <w:highlight w:val="none"/>
        </w:rPr>
        <w:t xml:space="preserve">样品</w:t>
      </w:r>
      <w:bookmarkEnd w:id="279"/>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8.2.1 </w:t>
      </w:r>
      <w:r>
        <w:rPr>
          <w:rFonts w:hint="eastAsia" w:ascii="宋体" w:hAnsi="宋体" w:cs="宋体"/>
          <w:color w:val="000000"/>
          <w:sz w:val="24"/>
          <w:highlight w:val="none"/>
        </w:rPr>
        <w:t xml:space="preserve">样品的报送与封存</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需要承包人报送样品的材料或工程设备，样品的种类、名称、规格、数量要求：</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用于本工程之任何材料，在使用前必须得到发包人和发包人授权的监理工程师认可或批准，必须符合有关规范、设</w:t>
      </w:r>
      <w:r>
        <w:rPr>
          <w:rFonts w:hint="eastAsia" w:ascii="宋体" w:hAnsi="宋体" w:cs="宋体"/>
          <w:color w:val="000000"/>
          <w:sz w:val="24"/>
          <w:highlight w:val="none"/>
          <w:u w:val="single"/>
        </w:rPr>
        <w:t xml:space="preserve">计图纸、招标文件规定的质量要求，并提供产品合格证明、购买凭证及现场使用相关材料的照片，承包人不得擅自更改招标文件中约定的材料规格和质量等级。在施工前，承包人须提供各有关物料之样品作发包人与监理认可之用。发包人与监理对任何样品之认可或批准，并不能解除承包人按合同须履行之责任及义务。“主要材料推荐品牌及要求”详见招标清单编制总说明（如有），承包人必须在本表规定的品牌范围内提供样品或样册，经监理、发包人确认后方可使用。发包人有权在招标文件规定推荐品牌范围内更换或调整材料，仍按投标价格进行结算，竣工结算时不予调整。</w:t>
      </w:r>
      <w:r/>
    </w:p>
    <w:p>
      <w:pPr>
        <w:ind w:firstLine="482"/>
        <w:spacing w:line="360" w:lineRule="auto"/>
        <w:rPr>
          <w:rFonts w:ascii="宋体" w:hAnsi="宋体" w:eastAsia="Calibri" w:cs="宋体"/>
          <w:b/>
          <w:color w:val="000000"/>
          <w:sz w:val="24"/>
          <w:highlight w:val="none"/>
        </w:rPr>
      </w:pPr>
      <w:r/>
      <w:bookmarkStart w:id="280" w:name="_Toc36797936"/>
      <w:r>
        <w:rPr>
          <w:rFonts w:hint="eastAsia" w:ascii="宋体" w:hAnsi="宋体" w:eastAsia="Calibri" w:cs="宋体"/>
          <w:b/>
          <w:color w:val="000000"/>
          <w:sz w:val="24"/>
          <w:highlight w:val="none"/>
        </w:rPr>
        <w:t xml:space="preserve">8.3 </w:t>
      </w:r>
      <w:r>
        <w:rPr>
          <w:rFonts w:hint="eastAsia" w:ascii="宋体" w:hAnsi="宋体" w:cs="宋体"/>
          <w:b/>
          <w:color w:val="000000"/>
          <w:sz w:val="24"/>
          <w:highlight w:val="none"/>
        </w:rPr>
        <w:t xml:space="preserve">施工设备和临时设施</w:t>
      </w:r>
      <w:bookmarkEnd w:id="280"/>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8.3.1 </w:t>
      </w:r>
      <w:r>
        <w:rPr>
          <w:rFonts w:hint="eastAsia" w:ascii="宋体" w:hAnsi="宋体" w:cs="宋体"/>
          <w:color w:val="000000"/>
          <w:sz w:val="24"/>
          <w:highlight w:val="none"/>
        </w:rPr>
        <w:t xml:space="preserve">承包人提供的施工设备和临时设施</w:t>
      </w:r>
      <w:r/>
    </w:p>
    <w:p>
      <w:pPr>
        <w:ind w:firstLine="480"/>
        <w:spacing w:line="360" w:lineRule="auto"/>
        <w:rPr>
          <w:rFonts w:ascii="宋体" w:hAnsi="宋体" w:eastAsia="Calibri" w:cs="宋体"/>
          <w:b/>
          <w:color w:val="000000"/>
          <w:sz w:val="24"/>
          <w:highlight w:val="none"/>
          <w:u w:val="single"/>
        </w:rPr>
      </w:pPr>
      <w:r>
        <w:rPr>
          <w:rFonts w:hint="eastAsia" w:ascii="宋体" w:hAnsi="宋体" w:cs="宋体"/>
          <w:color w:val="000000"/>
          <w:sz w:val="24"/>
          <w:highlight w:val="none"/>
        </w:rPr>
        <w:t xml:space="preserve">关于修建临时设施费用承担的约定：</w:t>
      </w:r>
      <w:r>
        <w:rPr>
          <w:rFonts w:hint="eastAsia" w:ascii="宋体" w:hAnsi="宋体" w:cs="宋体"/>
          <w:color w:val="000000"/>
          <w:sz w:val="24"/>
          <w:highlight w:val="none"/>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后一周内全部运至合法垃圾场，费用含在投标报价中。</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spacing w:line="360" w:lineRule="auto"/>
        <w:rPr>
          <w:rFonts w:ascii="宋体" w:hAnsi="宋体" w:cs="宋体"/>
          <w:b/>
          <w:bCs/>
          <w:color w:val="000000"/>
          <w:sz w:val="24"/>
          <w:highlight w:val="none"/>
        </w:rPr>
      </w:pPr>
      <w:r/>
      <w:bookmarkStart w:id="281" w:name="_Toc351203641"/>
      <w:r>
        <w:rPr>
          <w:rFonts w:hint="eastAsia" w:ascii="宋体" w:hAnsi="宋体" w:cs="宋体"/>
          <w:b/>
          <w:bCs/>
          <w:color w:val="000000"/>
          <w:sz w:val="24"/>
          <w:highlight w:val="none"/>
        </w:rPr>
        <w:t xml:space="preserve">9</w:t>
      </w:r>
      <w:bookmarkEnd w:id="258"/>
      <w:r/>
      <w:bookmarkEnd w:id="259"/>
      <w:r/>
      <w:bookmarkEnd w:id="260"/>
      <w:r/>
      <w:bookmarkStart w:id="282" w:name="_Toc304295559"/>
      <w:r/>
      <w:bookmarkStart w:id="283" w:name="_Toc312677495"/>
      <w:r/>
      <w:bookmarkStart w:id="284" w:name="_Toc303539139"/>
      <w:r/>
      <w:bookmarkStart w:id="285" w:name="_Toc297123533"/>
      <w:r/>
      <w:bookmarkStart w:id="286" w:name="_Toc300934982"/>
      <w:r/>
      <w:bookmarkStart w:id="287" w:name="_Toc312678021"/>
      <w:r/>
      <w:bookmarkStart w:id="288" w:name="_Toc297216192"/>
      <w:r/>
      <w:bookmarkStart w:id="289" w:name="_Toc292559883"/>
      <w:r/>
      <w:bookmarkStart w:id="290" w:name="_Toc267251427"/>
      <w:r/>
      <w:bookmarkStart w:id="291" w:name="_Toc296891001"/>
      <w:r/>
      <w:bookmarkStart w:id="292" w:name="_Toc296347172"/>
      <w:r/>
      <w:bookmarkStart w:id="293" w:name="_Toc297120473"/>
      <w:r/>
      <w:bookmarkStart w:id="294" w:name="_Toc296346674"/>
      <w:r/>
      <w:bookmarkStart w:id="295" w:name="_Toc267251428"/>
      <w:r/>
      <w:bookmarkStart w:id="296" w:name="_Toc296944512"/>
      <w:r/>
      <w:bookmarkStart w:id="297" w:name="_Toc297048359"/>
      <w:r/>
      <w:bookmarkStart w:id="298" w:name="_Toc292559378"/>
      <w:r/>
      <w:bookmarkStart w:id="299" w:name="_Toc296503173"/>
      <w:r/>
      <w:bookmarkStart w:id="300" w:name="_Toc296891213"/>
      <w:r>
        <w:rPr>
          <w:rFonts w:hint="eastAsia" w:ascii="宋体" w:hAnsi="宋体" w:cs="宋体"/>
          <w:b/>
          <w:bCs/>
          <w:color w:val="000000"/>
          <w:sz w:val="24"/>
          <w:highlight w:val="none"/>
        </w:rPr>
        <w:t xml:space="preserve">. 试验与检验</w:t>
      </w:r>
      <w:bookmarkEnd w:id="281"/>
      <w:r/>
      <w:bookmarkEnd w:id="282"/>
      <w:r/>
      <w:bookmarkEnd w:id="283"/>
      <w:r/>
      <w:bookmarkEnd w:id="284"/>
      <w:r/>
      <w:bookmarkEnd w:id="285"/>
      <w:r/>
      <w:bookmarkEnd w:id="286"/>
      <w:r/>
      <w:bookmarkEnd w:id="287"/>
      <w:r/>
      <w:bookmarkEnd w:id="288"/>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9</w:t>
      </w:r>
      <w:bookmarkStart w:id="301" w:name="_Toc297123534"/>
      <w:r/>
      <w:bookmarkStart w:id="302" w:name="_Toc304295560"/>
      <w:r/>
      <w:bookmarkStart w:id="303" w:name="_Toc297216193"/>
      <w:r/>
      <w:bookmarkStart w:id="304" w:name="_Toc303539140"/>
      <w:r/>
      <w:bookmarkStart w:id="305" w:name="_Toc300934983"/>
      <w:r/>
      <w:bookmarkStart w:id="306" w:name="_Toc312678022"/>
      <w:r/>
      <w:bookmarkStart w:id="307" w:name="_Toc312677496"/>
      <w:r>
        <w:rPr>
          <w:rFonts w:hint="eastAsia" w:ascii="宋体" w:hAnsi="宋体" w:eastAsia="Calibri" w:cs="宋体"/>
          <w:b/>
          <w:color w:val="000000"/>
          <w:sz w:val="24"/>
          <w:highlight w:val="none"/>
        </w:rPr>
        <w:t xml:space="preserve">.1</w:t>
      </w:r>
      <w:r>
        <w:rPr>
          <w:rFonts w:hint="eastAsia" w:ascii="宋体" w:hAnsi="宋体" w:cs="宋体"/>
          <w:b/>
          <w:color w:val="000000"/>
          <w:sz w:val="24"/>
          <w:highlight w:val="none"/>
        </w:rPr>
        <w:t xml:space="preserve">试验设备与试验人员</w:t>
      </w:r>
      <w:bookmarkEnd w:id="301"/>
      <w:r/>
      <w:bookmarkEnd w:id="302"/>
      <w:r/>
      <w:bookmarkEnd w:id="303"/>
      <w:r/>
      <w:bookmarkEnd w:id="304"/>
      <w:r/>
      <w:bookmarkEnd w:id="305"/>
      <w:r/>
      <w:bookmarkEnd w:id="306"/>
      <w:r/>
      <w:bookmarkEnd w:id="307"/>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9</w:t>
      </w:r>
      <w:bookmarkStart w:id="308" w:name="_Toc300934984"/>
      <w:r/>
      <w:bookmarkStart w:id="309" w:name="_Toc303539141"/>
      <w:r/>
      <w:bookmarkStart w:id="310" w:name="_Toc297216194"/>
      <w:r/>
      <w:bookmarkStart w:id="311" w:name="_Toc312677497"/>
      <w:r/>
      <w:bookmarkStart w:id="312" w:name="_Toc297123535"/>
      <w:r/>
      <w:bookmarkStart w:id="313" w:name="_Toc312678023"/>
      <w:r/>
      <w:bookmarkStart w:id="314" w:name="_Toc304295561"/>
      <w:r/>
      <w:bookmarkStart w:id="315" w:name="_Toc318581174"/>
      <w:r>
        <w:rPr>
          <w:rFonts w:hint="eastAsia" w:ascii="宋体" w:hAnsi="宋体" w:eastAsia="Calibri" w:cs="宋体"/>
          <w:color w:val="000000"/>
          <w:sz w:val="24"/>
          <w:highlight w:val="none"/>
        </w:rPr>
        <w:t xml:space="preserve">.1.1 </w:t>
      </w:r>
      <w:r>
        <w:rPr>
          <w:rFonts w:hint="eastAsia" w:ascii="宋体" w:hAnsi="宋体" w:cs="宋体"/>
          <w:color w:val="000000"/>
          <w:sz w:val="24"/>
          <w:highlight w:val="none"/>
        </w:rPr>
        <w:t xml:space="preserve">试验设备</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施工现场需要配置的试验场所：</w:t>
      </w:r>
      <w:bookmarkEnd w:id="308"/>
      <w:r/>
      <w:bookmarkEnd w:id="309"/>
      <w:r/>
      <w:bookmarkEnd w:id="310"/>
      <w:r/>
      <w:bookmarkEnd w:id="311"/>
      <w:r/>
      <w:bookmarkEnd w:id="312"/>
      <w:r/>
      <w:bookmarkEnd w:id="313"/>
      <w:r/>
      <w:bookmarkEnd w:id="314"/>
      <w:r/>
      <w:bookmarkStart w:id="316" w:name="_Toc300934985"/>
      <w:r/>
      <w:bookmarkStart w:id="317" w:name="_Toc297216195"/>
      <w:r/>
      <w:bookmarkStart w:id="318" w:name="_Toc304295562"/>
      <w:r/>
      <w:bookmarkStart w:id="319" w:name="_Toc312678024"/>
      <w:r/>
      <w:bookmarkStart w:id="320" w:name="_Toc297123536"/>
      <w:r/>
      <w:bookmarkStart w:id="321" w:name="_Toc312677498"/>
      <w:r/>
      <w:bookmarkStart w:id="322" w:name="_Toc303539142"/>
      <w:r>
        <w:rPr>
          <w:rFonts w:hint="eastAsia" w:ascii="宋体" w:hAnsi="宋体" w:cs="宋体"/>
          <w:color w:val="000000"/>
          <w:sz w:val="24"/>
          <w:highlight w:val="none"/>
          <w:u w:val="single"/>
        </w:rPr>
        <w:t xml:space="preserve">承包人按规定和按投标文件承诺配置</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施工现场需要配备的试验设备：</w:t>
      </w:r>
      <w:r>
        <w:rPr>
          <w:rFonts w:hint="eastAsia" w:ascii="宋体" w:hAnsi="宋体" w:cs="宋体"/>
          <w:color w:val="000000"/>
          <w:sz w:val="24"/>
          <w:highlight w:val="none"/>
          <w:u w:val="single"/>
        </w:rPr>
        <w:t xml:space="preserve">承包人按后附表：《试验仪器设备配置表》要求配置</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施工现场需要具备的其他试验条件：</w:t>
      </w:r>
      <w:r>
        <w:rPr>
          <w:rFonts w:hint="eastAsia" w:ascii="宋体" w:hAnsi="宋体" w:cs="宋体"/>
          <w:color w:val="000000"/>
          <w:sz w:val="24"/>
          <w:highlight w:val="none"/>
          <w:u w:val="single"/>
        </w:rPr>
        <w:t xml:space="preserve">暂无，如需要，另行协商解决</w:t>
      </w:r>
      <w:r>
        <w:rPr>
          <w:rFonts w:hint="eastAsia" w:ascii="宋体" w:hAnsi="宋体" w:cs="宋体"/>
          <w:color w:val="000000"/>
          <w:sz w:val="24"/>
          <w:highlight w:val="none"/>
        </w:rPr>
        <w:t xml:space="preserve">。</w:t>
      </w:r>
      <w:r/>
    </w:p>
    <w:p>
      <w:pPr>
        <w:ind w:firstLine="482"/>
        <w:spacing w:line="360" w:lineRule="auto"/>
        <w:rPr>
          <w:rFonts w:ascii="宋体" w:hAnsi="宋体" w:eastAsia="Calibri" w:cs="宋体"/>
          <w:b/>
          <w:color w:val="000000"/>
          <w:sz w:val="24"/>
          <w:highlight w:val="none"/>
        </w:rPr>
      </w:pPr>
      <w:r/>
      <w:bookmarkStart w:id="323" w:name="_Toc36797937"/>
      <w:r>
        <w:rPr>
          <w:rFonts w:hint="eastAsia" w:ascii="宋体" w:hAnsi="宋体" w:eastAsia="Calibri" w:cs="宋体"/>
          <w:b/>
          <w:color w:val="000000"/>
          <w:sz w:val="24"/>
          <w:highlight w:val="none"/>
        </w:rPr>
        <w:t xml:space="preserve">9.2 </w:t>
      </w:r>
      <w:r>
        <w:rPr>
          <w:rFonts w:hint="eastAsia" w:ascii="宋体" w:hAnsi="宋体" w:cs="宋体"/>
          <w:b/>
          <w:color w:val="000000"/>
          <w:sz w:val="24"/>
          <w:highlight w:val="none"/>
        </w:rPr>
        <w:t xml:space="preserve">现场工艺试验</w:t>
      </w:r>
      <w:bookmarkEnd w:id="323"/>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现场工艺试验的有关约定：</w:t>
      </w:r>
      <w:r>
        <w:rPr>
          <w:rFonts w:hint="eastAsia" w:ascii="宋体" w:hAnsi="宋体" w:cs="宋体"/>
          <w:color w:val="000000"/>
          <w:sz w:val="24"/>
          <w:highlight w:val="none"/>
          <w:u w:val="single"/>
        </w:rPr>
        <w:t xml:space="preserve">符合发包人或监理人现场要求</w:t>
      </w:r>
      <w:r>
        <w:rPr>
          <w:rFonts w:hint="eastAsia" w:ascii="宋体" w:hAnsi="宋体" w:cs="宋体"/>
          <w:color w:val="000000"/>
          <w:sz w:val="24"/>
          <w:highlight w:val="none"/>
        </w:rPr>
        <w:t xml:space="preserve">。</w:t>
      </w:r>
      <w:bookmarkEnd w:id="315"/>
      <w:r/>
      <w:bookmarkEnd w:id="316"/>
      <w:r/>
      <w:bookmarkEnd w:id="317"/>
      <w:r/>
      <w:bookmarkEnd w:id="318"/>
      <w:r/>
      <w:bookmarkEnd w:id="319"/>
      <w:r/>
      <w:bookmarkEnd w:id="320"/>
      <w:r/>
      <w:bookmarkEnd w:id="321"/>
      <w:r/>
      <w:bookmarkEnd w:id="322"/>
      <w:r/>
      <w:r/>
    </w:p>
    <w:p>
      <w:pPr>
        <w:spacing w:line="360" w:lineRule="auto"/>
        <w:rPr>
          <w:rFonts w:ascii="宋体" w:hAnsi="宋体" w:cs="宋体"/>
          <w:b/>
          <w:bCs/>
          <w:color w:val="000000"/>
          <w:sz w:val="24"/>
          <w:highlight w:val="none"/>
        </w:rPr>
      </w:pPr>
      <w:r/>
      <w:bookmarkStart w:id="324" w:name="_Toc351203642"/>
      <w:r>
        <w:rPr>
          <w:rFonts w:hint="eastAsia" w:ascii="宋体" w:hAnsi="宋体" w:cs="宋体"/>
          <w:b/>
          <w:bCs/>
          <w:color w:val="000000"/>
          <w:sz w:val="24"/>
          <w:highlight w:val="none"/>
        </w:rPr>
        <w:t xml:space="preserve">1</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Start w:id="325" w:name="_Toc296347192"/>
      <w:r/>
      <w:bookmarkStart w:id="326" w:name="_Toc292559903"/>
      <w:r/>
      <w:bookmarkStart w:id="327" w:name="_Toc303539146"/>
      <w:r/>
      <w:bookmarkStart w:id="328" w:name="_Toc296503193"/>
      <w:r/>
      <w:bookmarkStart w:id="329" w:name="_Toc297048379"/>
      <w:r/>
      <w:bookmarkStart w:id="330" w:name="_Toc292559398"/>
      <w:r/>
      <w:bookmarkStart w:id="331" w:name="_Toc296346694"/>
      <w:r/>
      <w:bookmarkStart w:id="332" w:name="_Toc296891021"/>
      <w:r/>
      <w:bookmarkStart w:id="333" w:name="_Toc297123540"/>
      <w:r/>
      <w:bookmarkStart w:id="334" w:name="_Toc297120493"/>
      <w:r/>
      <w:bookmarkStart w:id="335" w:name="_Toc296891233"/>
      <w:r/>
      <w:bookmarkStart w:id="336" w:name="_Toc300934989"/>
      <w:r/>
      <w:bookmarkStart w:id="337" w:name="_Toc297216199"/>
      <w:r/>
      <w:bookmarkStart w:id="338" w:name="_Toc304295566"/>
      <w:r/>
      <w:bookmarkStart w:id="339" w:name="_Toc296944532"/>
      <w:r/>
      <w:bookmarkStart w:id="340" w:name="_Toc312677499"/>
      <w:r/>
      <w:bookmarkStart w:id="341" w:name="_Toc312678025"/>
      <w:r/>
      <w:bookmarkStart w:id="342" w:name="_Toc267251440"/>
      <w:r/>
      <w:bookmarkStart w:id="343" w:name="_Toc267251441"/>
      <w:r/>
      <w:bookmarkStart w:id="344" w:name="_Toc267251435"/>
      <w:r/>
      <w:bookmarkStart w:id="345" w:name="_Toc267251433"/>
      <w:r/>
      <w:bookmarkStart w:id="346" w:name="_Toc267251439"/>
      <w:r/>
      <w:bookmarkStart w:id="347" w:name="_Toc267251437"/>
      <w:r/>
      <w:bookmarkStart w:id="348" w:name="_Toc267251442"/>
      <w:r>
        <w:rPr>
          <w:rFonts w:hint="eastAsia" w:ascii="宋体" w:hAnsi="宋体" w:cs="宋体"/>
          <w:b/>
          <w:bCs/>
          <w:color w:val="000000"/>
          <w:sz w:val="24"/>
          <w:highlight w:val="none"/>
        </w:rPr>
        <w:t xml:space="preserve">0. 变更</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1</w:t>
      </w:r>
      <w:bookmarkStart w:id="349" w:name="_Toc296891022"/>
      <w:r/>
      <w:bookmarkStart w:id="350" w:name="_Toc312677500"/>
      <w:r/>
      <w:bookmarkStart w:id="351" w:name="_Toc297048380"/>
      <w:r/>
      <w:bookmarkStart w:id="352" w:name="_Toc296346695"/>
      <w:r/>
      <w:bookmarkStart w:id="353" w:name="_Toc296503194"/>
      <w:r/>
      <w:bookmarkStart w:id="354" w:name="_Toc297120494"/>
      <w:r/>
      <w:bookmarkStart w:id="355" w:name="_Toc303539147"/>
      <w:r/>
      <w:bookmarkStart w:id="356" w:name="_Toc304295567"/>
      <w:r/>
      <w:bookmarkStart w:id="357" w:name="_Toc297123541"/>
      <w:r/>
      <w:bookmarkStart w:id="358" w:name="_Toc292559904"/>
      <w:r/>
      <w:bookmarkStart w:id="359" w:name="_Toc300934990"/>
      <w:r/>
      <w:bookmarkStart w:id="360" w:name="_Toc292559399"/>
      <w:r/>
      <w:bookmarkStart w:id="361" w:name="_Toc296347193"/>
      <w:r/>
      <w:bookmarkStart w:id="362" w:name="_Toc297216200"/>
      <w:r/>
      <w:bookmarkStart w:id="363" w:name="_Toc296944533"/>
      <w:r/>
      <w:bookmarkStart w:id="364" w:name="_Toc312678026"/>
      <w:r/>
      <w:bookmarkStart w:id="365" w:name="_Toc296891234"/>
      <w:r>
        <w:rPr>
          <w:rFonts w:hint="eastAsia" w:ascii="宋体" w:hAnsi="宋体" w:eastAsia="Calibri" w:cs="宋体"/>
          <w:b/>
          <w:color w:val="000000"/>
          <w:sz w:val="24"/>
          <w:highlight w:val="none"/>
        </w:rPr>
        <w:t xml:space="preserve">0.1</w:t>
      </w:r>
      <w:r>
        <w:rPr>
          <w:rFonts w:hint="eastAsia" w:ascii="宋体" w:hAnsi="宋体" w:cs="宋体"/>
          <w:b/>
          <w:color w:val="000000"/>
          <w:sz w:val="24"/>
          <w:highlight w:val="none"/>
        </w:rPr>
        <w:t xml:space="preserve">变更的范围</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关于变更的范围的约定：</w:t>
      </w:r>
      <w:r>
        <w:rPr>
          <w:rFonts w:hint="eastAsia" w:ascii="宋体" w:hAnsi="宋体" w:cs="宋体"/>
          <w:color w:val="000000"/>
          <w:sz w:val="24"/>
          <w:highlight w:val="none"/>
          <w:u w:val="single"/>
        </w:rPr>
        <w:t xml:space="preserve">（1）施工中发包人需对原工程进行设计变更，应提前7天以书面形式向承包人发出变更通知。变更超过原设计标准或批准的建设规模需要重新报批或重新审图时，发包人应报规划管理部门和其他相关部门重新审查准，并由原设计单位提供变更的相应图纸及说明。</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承包人按发包人发出的变更通知及相关要求，进行下列需要的变更：①更改工程相关部分的标高、基线、位置和尺寸；②增减合同中约定的工程数量；③改变有关施工顺序和时间；④其他有关工程变更需要追加的额外工作。因变更导致合同价款的增减及造成的承包人损失，由发包人承担，延误的工期相应顺延。</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（2）承包人不得对原设计擅自进行变更，由此造成的经济损失及工期延后由承包人自行承担，并赔偿发包人有关损失。</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3）承包人在施工中提出合理化建议及涉及到对设计图纸或施工组织设计的更改及对材料、设备的代换，须经设计单位、总监理工程师及发包人书面同意。未经同意擅自更改的，承包人承担由此发生的费用，并赔偿发包人有关损失，工期不得延后。</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发包人采用承包人合理化建议，所发生的费用和获得的收益，发包人、承包人另行约定分担或分享。</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（4）合同履行中发包人要求变更工程质量标准及发生其他实质性变更，由双方协商解决。</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（5）发包人保留变更或调整工程量的权力，承包人不得拒绝变更，更不得以变更为由提出不合理的要求；</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（6）承包人必须按发包人要求完成变更工作，否则发包人有权交由第三方承包人完成，并按第三方承包人报价的双倍作为违约金扣减承包人的合同价款。</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（7）因设计变更导致工期的顺延以监理工程师审核、发包人批准为准。</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p>
    <w:p>
      <w:pPr>
        <w:ind w:firstLine="482"/>
        <w:spacing w:line="360" w:lineRule="auto"/>
        <w:rPr>
          <w:rFonts w:ascii="宋体" w:hAnsi="宋体" w:eastAsia="Calibri" w:cs="宋体"/>
          <w:b/>
          <w:color w:val="000000"/>
          <w:sz w:val="24"/>
          <w:highlight w:val="none"/>
        </w:rPr>
      </w:pPr>
      <w:r/>
      <w:bookmarkStart w:id="366" w:name="_Toc36797938"/>
      <w:r>
        <w:rPr>
          <w:rFonts w:hint="eastAsia" w:ascii="宋体" w:hAnsi="宋体" w:eastAsia="Calibri" w:cs="宋体"/>
          <w:b/>
          <w:color w:val="000000"/>
          <w:sz w:val="24"/>
          <w:highlight w:val="none"/>
        </w:rPr>
        <w:t xml:space="preserve">10.4 </w:t>
      </w:r>
      <w:r>
        <w:rPr>
          <w:rFonts w:hint="eastAsia" w:ascii="宋体" w:hAnsi="宋体" w:cs="宋体"/>
          <w:b/>
          <w:color w:val="000000"/>
          <w:sz w:val="24"/>
          <w:highlight w:val="none"/>
        </w:rPr>
        <w:t xml:space="preserve">变更估价</w:t>
      </w:r>
      <w:bookmarkEnd w:id="366"/>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10.4.1 </w:t>
      </w:r>
      <w:r>
        <w:rPr>
          <w:rFonts w:hint="eastAsia" w:ascii="宋体" w:hAnsi="宋体" w:cs="宋体"/>
          <w:color w:val="000000"/>
          <w:sz w:val="24"/>
          <w:highlight w:val="none"/>
        </w:rPr>
        <w:t xml:space="preserve">变更估价原则</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关于变更估价的约定</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u w:val="single"/>
        </w:rPr>
        <w:t xml:space="preserve">（1）工程量清单中已有工作内容和价格组成相同于变更子目或单项的综合单价时，按合同已有综合单价执行；</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（2）工程量清单中只有工作内容和价格组成类似于变更子目或单项的综合单价时，参照类似综合单价；</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3）工程量清单中没有工作内容和价格组成相同或类似于变更子目或单项的综合单价时，按本工程招控制价的计价标准原则和下浮率进行组价，材料价格按同期南京市场信息价格执行，如信息指导价无相关价格，则按照市场询价确定，固定品牌广告价格不作为参考依旧。变更价按投标下浮比例（1-中标价/招标控制价×100%）下浮后作为变更报价，报送监理和跟踪审计复核，发包人审批。</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（4）变更材料价格的确定：</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①投标文件承包人材料价格明细表已有的材料，根据承包人材料价格明细表所列的材料单价计算；</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②承包人材料价格明细表中没有的材料，由承包人呈报价格, 最终经监理、跟踪审计审核、发包人批准后的价格为准。承包人呈报的价格不得高于南京市工程造价管理部门当期施工的指导价价格，无指导价价格的，不得高于市场询价价格，否则高出的价格差价作为承包人结算让利部分。</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③如承包人材料价格明细表中已有的材料，在建设过程中因市场原因无法采购，而发生材料代用时，必须经监理和发包人代表报请发包人技术部门审核同意后方可代用，并由承包人呈报价格，经监理、跟踪审计审核、发包人审核批准的价格为准，超出原材料价款的费用由承包方承担。</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④以上所述的发包人审核批准的价格必须是发包人代表报请发包人合约部门核实，否则不作为工程结算依据。</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5）重大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①清单编制说明中约定包干使用的费用不予调整。如：脚手架、垂直运输、降排水等</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②按总价（或系数）计算的措施项目费，结算时其费率不调整。</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③采用单价计算的措施项目费，按照实际发生变化的措施项目按本条目（1）（2）（3）条款确定价格</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④如果承包人未事先将拟实施的方案提交给发包人确认，则视为工程变更不引起措施项目费的调整或承包人放弃调整措施项目费的权利。</w:t>
      </w:r>
      <w:r/>
    </w:p>
    <w:p>
      <w:pPr>
        <w:ind w:firstLine="480"/>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1</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Start w:id="367" w:name="_Toc296346698"/>
      <w:r/>
      <w:bookmarkStart w:id="368" w:name="_Toc300934993"/>
      <w:r/>
      <w:bookmarkStart w:id="369" w:name="_Toc296891025"/>
      <w:r/>
      <w:bookmarkStart w:id="370" w:name="_Toc292559907"/>
      <w:r/>
      <w:bookmarkStart w:id="371" w:name="_Toc297120497"/>
      <w:r/>
      <w:bookmarkStart w:id="372" w:name="_Toc297048383"/>
      <w:r/>
      <w:bookmarkStart w:id="373" w:name="_Toc297216203"/>
      <w:r/>
      <w:bookmarkStart w:id="374" w:name="_Toc292559402"/>
      <w:r/>
      <w:bookmarkStart w:id="375" w:name="_Toc296944536"/>
      <w:r/>
      <w:bookmarkStart w:id="376" w:name="_Toc296891237"/>
      <w:r/>
      <w:bookmarkStart w:id="377" w:name="_Toc303539150"/>
      <w:r/>
      <w:bookmarkStart w:id="378" w:name="_Toc296503197"/>
      <w:r/>
      <w:bookmarkStart w:id="379" w:name="_Toc296347196"/>
      <w:r/>
      <w:bookmarkStart w:id="380" w:name="_Toc297123544"/>
      <w:r/>
      <w:bookmarkStart w:id="381" w:name="_Toc312678029"/>
      <w:r/>
      <w:bookmarkStart w:id="382" w:name="_Toc304295570"/>
      <w:r/>
      <w:bookmarkStart w:id="383" w:name="_Toc312677503"/>
      <w:r>
        <w:rPr>
          <w:rFonts w:hint="eastAsia" w:ascii="宋体" w:hAnsi="宋体" w:eastAsia="Calibri" w:cs="宋体"/>
          <w:b/>
          <w:color w:val="000000"/>
          <w:sz w:val="24"/>
          <w:highlight w:val="none"/>
        </w:rPr>
        <w:t xml:space="preserve">0.5</w:t>
      </w:r>
      <w:r>
        <w:rPr>
          <w:rFonts w:hint="eastAsia" w:ascii="宋体" w:hAnsi="宋体" w:cs="宋体"/>
          <w:b/>
          <w:color w:val="000000"/>
          <w:sz w:val="24"/>
          <w:highlight w:val="none"/>
        </w:rPr>
        <w:t xml:space="preserve">承</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Start w:id="384" w:name="_Toc303539151"/>
      <w:r/>
      <w:bookmarkStart w:id="385" w:name="_Toc297123545"/>
      <w:r/>
      <w:bookmarkStart w:id="386" w:name="_Toc297216204"/>
      <w:r/>
      <w:bookmarkStart w:id="387" w:name="_Toc300934994"/>
      <w:r/>
      <w:bookmarkStart w:id="388" w:name="_Toc292559408"/>
      <w:r/>
      <w:bookmarkStart w:id="389" w:name="_Toc297120503"/>
      <w:r/>
      <w:bookmarkStart w:id="390" w:name="_Toc297048389"/>
      <w:r/>
      <w:bookmarkStart w:id="391" w:name="_Toc296891031"/>
      <w:r/>
      <w:bookmarkStart w:id="392" w:name="_Toc296944542"/>
      <w:r/>
      <w:bookmarkStart w:id="393" w:name="_Toc296347202"/>
      <w:r/>
      <w:bookmarkStart w:id="394" w:name="_Toc292559913"/>
      <w:r/>
      <w:bookmarkStart w:id="395" w:name="_Toc296503203"/>
      <w:r/>
      <w:bookmarkStart w:id="396" w:name="_Toc296891243"/>
      <w:r/>
      <w:bookmarkStart w:id="397" w:name="_Toc296346704"/>
      <w:r>
        <w:rPr>
          <w:rFonts w:hint="eastAsia" w:ascii="宋体" w:hAnsi="宋体" w:cs="宋体"/>
          <w:b/>
          <w:color w:val="000000"/>
          <w:sz w:val="24"/>
          <w:highlight w:val="none"/>
        </w:rPr>
        <w:t xml:space="preserve">包人的合理化建议</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监理人审查承包人合理化建议的期限：</w:t>
      </w:r>
      <w:r>
        <w:rPr>
          <w:rFonts w:hint="eastAsia" w:ascii="宋体" w:hAnsi="宋体" w:cs="宋体"/>
          <w:color w:val="000000"/>
          <w:sz w:val="24"/>
          <w:highlight w:val="none"/>
          <w:u w:val="single"/>
        </w:rPr>
        <w:t xml:space="preserve">按照通用合同条款执行</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发包人审批承包人合理化建议的期限：</w:t>
      </w:r>
      <w:r>
        <w:rPr>
          <w:rFonts w:hint="eastAsia" w:ascii="宋体" w:hAnsi="宋体" w:cs="宋体"/>
          <w:color w:val="000000"/>
          <w:sz w:val="24"/>
          <w:highlight w:val="none"/>
          <w:u w:val="single"/>
        </w:rPr>
        <w:t xml:space="preserve">承包人在施工中提出的合理化建议涉及到对设计图纸或施工组织设计的更改及对材料、设备的换用，须经发包人同意。未经同意擅自更改或换用时，承包人承担由此发生的费用，并赔偿发包人的有关损失，延误的工期不予顺延。</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承</w:t>
      </w:r>
      <w:bookmarkStart w:id="398" w:name="_Toc296891244"/>
      <w:r/>
      <w:bookmarkStart w:id="399" w:name="_Toc296944543"/>
      <w:r/>
      <w:bookmarkStart w:id="400" w:name="_Toc304295571"/>
      <w:r/>
      <w:bookmarkStart w:id="401" w:name="_Toc292559409"/>
      <w:r/>
      <w:bookmarkStart w:id="402" w:name="_Toc296503204"/>
      <w:r/>
      <w:bookmarkStart w:id="403" w:name="_Toc296347203"/>
      <w:r/>
      <w:bookmarkStart w:id="404" w:name="_Toc296346705"/>
      <w:r/>
      <w:bookmarkStart w:id="405" w:name="_Toc297048390"/>
      <w:r/>
      <w:bookmarkStart w:id="406" w:name="_Toc297216205"/>
      <w:r/>
      <w:bookmarkStart w:id="407" w:name="_Toc297123546"/>
      <w:r/>
      <w:bookmarkStart w:id="408" w:name="_Toc300934995"/>
      <w:r/>
      <w:bookmarkStart w:id="409" w:name="_Toc303539152"/>
      <w:r/>
      <w:bookmarkStart w:id="410" w:name="_Toc297120504"/>
      <w:r/>
      <w:bookmarkStart w:id="411" w:name="_Toc312677504"/>
      <w:r/>
      <w:bookmarkStart w:id="412" w:name="_Toc312678030"/>
      <w:r/>
      <w:bookmarkStart w:id="413" w:name="_Toc296891032"/>
      <w:r/>
      <w:bookmarkStart w:id="414" w:name="_Toc318581175"/>
      <w:r/>
      <w:bookmarkStart w:id="415" w:name="_Toc292559914"/>
      <w:r>
        <w:rPr>
          <w:rFonts w:hint="eastAsia" w:ascii="宋体" w:hAnsi="宋体" w:cs="宋体"/>
          <w:color w:val="000000"/>
          <w:sz w:val="24"/>
          <w:highlight w:val="none"/>
        </w:rPr>
        <w:t xml:space="preserve">包人提出的合理化建议降低了合同价格或者提高了工程经济效益的奖励的方法和金额为：</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ind w:firstLine="482"/>
        <w:spacing w:line="360" w:lineRule="auto"/>
        <w:rPr>
          <w:rFonts w:ascii="宋体" w:hAnsi="宋体" w:eastAsia="Calibri" w:cs="宋体"/>
          <w:b/>
          <w:color w:val="000000"/>
          <w:sz w:val="24"/>
          <w:highlight w:val="none"/>
        </w:rPr>
      </w:pPr>
      <w:r/>
      <w:bookmarkStart w:id="416" w:name="_Toc36797939"/>
      <w:r>
        <w:rPr>
          <w:rFonts w:hint="eastAsia" w:ascii="宋体" w:hAnsi="宋体" w:eastAsia="Calibri" w:cs="宋体"/>
          <w:b/>
          <w:color w:val="000000"/>
          <w:sz w:val="24"/>
          <w:highlight w:val="none"/>
        </w:rPr>
        <w:t xml:space="preserve">1</w:t>
      </w:r>
      <w:bookmarkStart w:id="417" w:name="_Toc296346700"/>
      <w:r/>
      <w:bookmarkStart w:id="418" w:name="_Toc297123548"/>
      <w:r/>
      <w:bookmarkStart w:id="419" w:name="_Toc296891027"/>
      <w:r/>
      <w:bookmarkStart w:id="420" w:name="_Toc312677507"/>
      <w:r/>
      <w:bookmarkStart w:id="421" w:name="_Toc300934997"/>
      <w:r/>
      <w:bookmarkStart w:id="422" w:name="_Toc297216207"/>
      <w:r/>
      <w:bookmarkStart w:id="423" w:name="_Toc292559404"/>
      <w:r/>
      <w:bookmarkStart w:id="424" w:name="_Toc292559909"/>
      <w:r/>
      <w:bookmarkStart w:id="425" w:name="_Toc304295574"/>
      <w:r/>
      <w:bookmarkStart w:id="426" w:name="_Toc303539154"/>
      <w:r/>
      <w:bookmarkStart w:id="427" w:name="_Toc296944538"/>
      <w:r/>
      <w:bookmarkStart w:id="428" w:name="_Toc296891239"/>
      <w:r/>
      <w:bookmarkStart w:id="429" w:name="_Toc296347198"/>
      <w:r/>
      <w:bookmarkStart w:id="430" w:name="_Toc297048385"/>
      <w:r/>
      <w:bookmarkStart w:id="431" w:name="_Toc296503199"/>
      <w:r/>
      <w:bookmarkStart w:id="432" w:name="_Toc312678033"/>
      <w:r/>
      <w:bookmarkStart w:id="433" w:name="_Toc297120499"/>
      <w:r>
        <w:rPr>
          <w:rFonts w:hint="eastAsia" w:ascii="宋体" w:hAnsi="宋体" w:eastAsia="Calibri" w:cs="宋体"/>
          <w:b/>
          <w:color w:val="000000"/>
          <w:sz w:val="24"/>
          <w:highlight w:val="none"/>
        </w:rPr>
        <w:t xml:space="preserve">0.7 </w:t>
      </w:r>
      <w:r>
        <w:rPr>
          <w:rFonts w:hint="eastAsia" w:ascii="宋体" w:hAnsi="宋体" w:cs="宋体"/>
          <w:b/>
          <w:color w:val="000000"/>
          <w:sz w:val="24"/>
          <w:highlight w:val="none"/>
        </w:rPr>
        <w:t xml:space="preserve">暂估价</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暂</w:t>
      </w:r>
      <w:bookmarkStart w:id="434" w:name="_Toc318581176"/>
      <w:r/>
      <w:bookmarkStart w:id="435" w:name="_Toc312677508"/>
      <w:r/>
      <w:bookmarkStart w:id="436" w:name="_Toc312678034"/>
      <w:r>
        <w:rPr>
          <w:rFonts w:hint="eastAsia" w:ascii="宋体" w:hAnsi="宋体" w:cs="宋体"/>
          <w:color w:val="000000"/>
          <w:sz w:val="24"/>
          <w:highlight w:val="none"/>
        </w:rPr>
        <w:t xml:space="preserve">估价材料和工程设备的明细详见附件</w:t>
      </w:r>
      <w:r>
        <w:rPr>
          <w:rFonts w:hint="eastAsia" w:ascii="宋体" w:hAnsi="宋体" w:eastAsia="Calibri" w:cs="宋体"/>
          <w:color w:val="000000"/>
          <w:sz w:val="24"/>
          <w:highlight w:val="none"/>
        </w:rPr>
        <w:t xml:space="preserve">11</w:t>
      </w:r>
      <w:r>
        <w:rPr>
          <w:rFonts w:hint="eastAsia" w:ascii="宋体" w:hAnsi="宋体" w:cs="宋体"/>
          <w:color w:val="000000"/>
          <w:sz w:val="24"/>
          <w:highlight w:val="none"/>
        </w:rPr>
        <w:t xml:space="preserve">：《暂估价一览表》。</w:t>
      </w:r>
      <w:bookmarkEnd w:id="434"/>
      <w:r/>
      <w:bookmarkEnd w:id="435"/>
      <w:r/>
      <w:bookmarkEnd w:id="436"/>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w:t>
      </w:r>
      <w:bookmarkStart w:id="437" w:name="_Toc312677509"/>
      <w:r/>
      <w:bookmarkStart w:id="438" w:name="_Toc318581177"/>
      <w:r/>
      <w:bookmarkStart w:id="439" w:name="_Toc312678035"/>
      <w:r>
        <w:rPr>
          <w:rFonts w:hint="eastAsia" w:ascii="宋体" w:hAnsi="宋体" w:eastAsia="Calibri" w:cs="宋体"/>
          <w:color w:val="000000"/>
          <w:sz w:val="24"/>
          <w:highlight w:val="none"/>
        </w:rPr>
        <w:t xml:space="preserve">0.7.1 </w:t>
      </w:r>
      <w:r>
        <w:rPr>
          <w:rFonts w:hint="eastAsia" w:ascii="宋体" w:hAnsi="宋体" w:cs="宋体"/>
          <w:color w:val="000000"/>
          <w:sz w:val="24"/>
          <w:highlight w:val="none"/>
        </w:rPr>
        <w:t xml:space="preserve">依法必须招标的暂估价项目</w:t>
      </w:r>
      <w:bookmarkEnd w:id="437"/>
      <w:r/>
      <w:bookmarkEnd w:id="438"/>
      <w:r/>
      <w:bookmarkEnd w:id="439"/>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对于依法必须招标的暂估价项目的确认和批准</w:t>
      </w:r>
      <w:r>
        <w:rPr>
          <w:rFonts w:hint="eastAsia" w:ascii="宋体" w:hAnsi="宋体" w:cs="宋体"/>
          <w:color w:val="000000"/>
          <w:sz w:val="24"/>
          <w:highlight w:val="none"/>
          <w:u w:val="single"/>
        </w:rPr>
        <w:t xml:space="preserve">由发包人组织招标</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10.7.2 </w:t>
      </w:r>
      <w:r>
        <w:rPr>
          <w:rFonts w:hint="eastAsia" w:ascii="宋体" w:hAnsi="宋体" w:cs="宋体"/>
          <w:color w:val="000000"/>
          <w:sz w:val="24"/>
          <w:highlight w:val="none"/>
        </w:rPr>
        <w:t xml:space="preserve">不属于依法必须招标的暂估价项目</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对于不属于依法必须招标的暂估价项目的确认和批准采取第</w:t>
      </w:r>
      <w:r>
        <w:rPr>
          <w:rFonts w:hint="eastAsia" w:ascii="宋体" w:hAnsi="宋体" w:eastAsia="Calibri" w:cs="宋体"/>
          <w:color w:val="000000"/>
          <w:sz w:val="24"/>
          <w:highlight w:val="none"/>
          <w:u w:val="single"/>
        </w:rPr>
        <w:t xml:space="preserve">3 </w:t>
      </w:r>
      <w:r>
        <w:rPr>
          <w:rFonts w:hint="eastAsia" w:ascii="宋体" w:hAnsi="宋体" w:cs="宋体"/>
          <w:color w:val="000000"/>
          <w:sz w:val="24"/>
          <w:highlight w:val="none"/>
        </w:rPr>
        <w:t xml:space="preserve">种方式确定。</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第</w:t>
      </w:r>
      <w:r>
        <w:rPr>
          <w:rFonts w:hint="eastAsia" w:ascii="宋体" w:hAnsi="宋体" w:eastAsia="Calibri" w:cs="宋体"/>
          <w:color w:val="000000"/>
          <w:sz w:val="24"/>
          <w:highlight w:val="none"/>
        </w:rPr>
        <w:t xml:space="preserve">3</w:t>
      </w:r>
      <w:r>
        <w:rPr>
          <w:rFonts w:hint="eastAsia" w:ascii="宋体" w:hAnsi="宋体" w:cs="宋体"/>
          <w:color w:val="000000"/>
          <w:sz w:val="24"/>
          <w:highlight w:val="none"/>
        </w:rPr>
        <w:t xml:space="preserve">种方式：承包人直接实施的暂估价项目</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承包人直接实施的暂估价项目的约定：</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10.8 </w:t>
      </w:r>
      <w:r>
        <w:rPr>
          <w:rFonts w:hint="eastAsia" w:ascii="宋体" w:hAnsi="宋体" w:cs="宋体"/>
          <w:b/>
          <w:color w:val="000000"/>
          <w:sz w:val="24"/>
          <w:highlight w:val="none"/>
        </w:rPr>
        <w:t xml:space="preserve">暂列金额</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合同当事人关于暂列金额使用的约定：</w:t>
      </w:r>
      <w:r>
        <w:rPr>
          <w:rFonts w:hint="eastAsia" w:ascii="宋体" w:hAnsi="宋体" w:cs="宋体"/>
          <w:color w:val="000000"/>
          <w:sz w:val="24"/>
          <w:highlight w:val="none"/>
          <w:u w:val="single"/>
        </w:rPr>
        <w:t xml:space="preserve">暂列金额归发包人所有或使用，暂列金额应按照发包人的要求使用，发包人的要求应通过监理人发出。</w:t>
      </w:r>
      <w:r/>
    </w:p>
    <w:p>
      <w:pPr>
        <w:spacing w:line="360" w:lineRule="auto"/>
        <w:rPr>
          <w:rFonts w:ascii="宋体" w:hAnsi="宋体" w:cs="宋体"/>
          <w:b/>
          <w:bCs/>
          <w:color w:val="000000"/>
          <w:sz w:val="24"/>
          <w:highlight w:val="none"/>
        </w:rPr>
      </w:pPr>
      <w:r/>
      <w:bookmarkStart w:id="440" w:name="_Toc351203643"/>
      <w:r>
        <w:rPr>
          <w:rFonts w:hint="eastAsia" w:ascii="宋体" w:hAnsi="宋体" w:cs="宋体"/>
          <w:b/>
          <w:bCs/>
          <w:color w:val="000000"/>
          <w:sz w:val="24"/>
          <w:highlight w:val="none"/>
        </w:rPr>
        <w:t xml:space="preserve">11. 价格调整</w:t>
      </w:r>
      <w:bookmarkEnd w:id="440"/>
      <w:r/>
      <w:r/>
    </w:p>
    <w:p>
      <w:pPr>
        <w:ind w:firstLine="482"/>
        <w:spacing w:line="360" w:lineRule="auto"/>
        <w:rPr>
          <w:rFonts w:ascii="宋体" w:hAnsi="宋体" w:eastAsia="Calibri" w:cs="宋体"/>
          <w:b/>
          <w:color w:val="000000"/>
          <w:sz w:val="24"/>
          <w:highlight w:val="none"/>
        </w:rPr>
      </w:pPr>
      <w:r/>
      <w:bookmarkStart w:id="441" w:name="_Toc297216209"/>
      <w:r/>
      <w:bookmarkStart w:id="442" w:name="_Toc304295577"/>
      <w:r/>
      <w:bookmarkStart w:id="443" w:name="_Toc297120501"/>
      <w:r/>
      <w:bookmarkStart w:id="444" w:name="_Toc296891029"/>
      <w:r/>
      <w:bookmarkStart w:id="445" w:name="_Toc300935000"/>
      <w:r/>
      <w:bookmarkStart w:id="446" w:name="_Toc296347200"/>
      <w:r/>
      <w:bookmarkStart w:id="447" w:name="_Toc292559911"/>
      <w:r/>
      <w:bookmarkStart w:id="448" w:name="_Toc296891241"/>
      <w:r/>
      <w:bookmarkStart w:id="449" w:name="_Toc296944540"/>
      <w:r/>
      <w:bookmarkStart w:id="450" w:name="_Toc297123550"/>
      <w:r/>
      <w:bookmarkStart w:id="451" w:name="_Toc296503201"/>
      <w:r/>
      <w:bookmarkStart w:id="452" w:name="_Toc303539157"/>
      <w:r/>
      <w:bookmarkStart w:id="453" w:name="_Toc297048387"/>
      <w:r/>
      <w:bookmarkStart w:id="454" w:name="_Toc292559406"/>
      <w:r/>
      <w:bookmarkStart w:id="455" w:name="_Toc312678039"/>
      <w:r/>
      <w:bookmarkStart w:id="456" w:name="_Toc296346702"/>
      <w:r>
        <w:rPr>
          <w:rFonts w:hint="eastAsia" w:ascii="宋体" w:hAnsi="宋体" w:eastAsia="Calibri" w:cs="宋体"/>
          <w:b/>
          <w:color w:val="000000"/>
          <w:sz w:val="24"/>
          <w:highlight w:val="none"/>
        </w:rPr>
        <w:t xml:space="preserve">11.1 </w:t>
      </w:r>
      <w:r>
        <w:rPr>
          <w:rFonts w:hint="eastAsia" w:ascii="宋体" w:hAnsi="宋体" w:cs="宋体"/>
          <w:b/>
          <w:color w:val="000000"/>
          <w:sz w:val="24"/>
          <w:highlight w:val="none"/>
        </w:rPr>
        <w:t xml:space="preserve">市场价格波动引起的调整</w:t>
      </w:r>
      <w:bookmarkEnd w:id="342"/>
      <w:r/>
      <w:bookmarkEnd w:id="343"/>
      <w:r/>
      <w:bookmarkEnd w:id="344"/>
      <w:r/>
      <w:bookmarkEnd w:id="345"/>
      <w:r/>
      <w:bookmarkEnd w:id="346"/>
      <w:r/>
      <w:bookmarkEnd w:id="347"/>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ind w:firstLine="480"/>
        <w:jc w:val="left"/>
        <w:spacing w:line="360" w:lineRule="auto"/>
        <w:rPr>
          <w:rFonts w:ascii="宋体" w:hAnsi="宋体" w:eastAsia="Calibri" w:cs="宋体"/>
          <w:color w:val="000000"/>
          <w:sz w:val="24"/>
          <w:highlight w:val="none"/>
        </w:rPr>
      </w:pPr>
      <w:r/>
      <w:bookmarkStart w:id="457" w:name="_Toc297048391"/>
      <w:r/>
      <w:bookmarkStart w:id="458" w:name="_Toc296891245"/>
      <w:r/>
      <w:bookmarkStart w:id="459" w:name="_Toc296346706"/>
      <w:r/>
      <w:bookmarkStart w:id="460" w:name="_Toc292559410"/>
      <w:r/>
      <w:bookmarkStart w:id="461" w:name="_Toc292559915"/>
      <w:r/>
      <w:bookmarkStart w:id="462" w:name="_Toc296944544"/>
      <w:r/>
      <w:bookmarkStart w:id="463" w:name="_Toc296347204"/>
      <w:r/>
      <w:bookmarkStart w:id="464" w:name="_Toc296891033"/>
      <w:r/>
      <w:bookmarkStart w:id="465" w:name="_Toc297120505"/>
      <w:r/>
      <w:bookmarkStart w:id="466" w:name="_Toc296503205"/>
      <w:r/>
      <w:bookmarkStart w:id="467" w:name="_Toc351203644"/>
      <w:r/>
      <w:bookmarkStart w:id="468" w:name="_Toc304295579"/>
      <w:r/>
      <w:bookmarkStart w:id="469" w:name="_Toc297123552"/>
      <w:r/>
      <w:bookmarkStart w:id="470" w:name="_Toc300935002"/>
      <w:r/>
      <w:bookmarkStart w:id="471" w:name="_Toc312678040"/>
      <w:r/>
      <w:bookmarkStart w:id="472" w:name="_Toc297216211"/>
      <w:r/>
      <w:bookmarkStart w:id="473" w:name="_Toc303539159"/>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1</w:t>
      </w:r>
      <w:r>
        <w:rPr>
          <w:rFonts w:hint="eastAsia" w:ascii="宋体" w:hAnsi="宋体" w:cs="宋体"/>
          <w:color w:val="000000"/>
          <w:sz w:val="24"/>
          <w:highlight w:val="none"/>
        </w:rPr>
        <w:t xml:space="preserve">）市场价格波动是否调整合同价格的约定：</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u w:val="single"/>
        </w:rPr>
        <w:t xml:space="preserve">①施工期间Ⅰ类、Ⅱ类建材的市场价格波动调整及认定，按</w:t>
      </w:r>
      <w:r>
        <w:rPr>
          <w:rFonts w:ascii="Calibri" w:hAnsi="Calibri" w:eastAsia="Calibri" w:cs="Calibri"/>
          <w:color w:val="000000"/>
          <w:sz w:val="24"/>
          <w:highlight w:val="none"/>
          <w:u w:val="single"/>
        </w:rPr>
        <w:t xml:space="preserve">“</w:t>
      </w:r>
      <w:r>
        <w:rPr>
          <w:rFonts w:hint="eastAsia" w:ascii="宋体" w:hAnsi="宋体" w:cs="宋体"/>
          <w:color w:val="000000"/>
          <w:sz w:val="24"/>
          <w:highlight w:val="none"/>
          <w:u w:val="single"/>
        </w:rPr>
        <w:t xml:space="preserve">苏建价</w:t>
      </w:r>
      <w:r>
        <w:rPr>
          <w:rFonts w:hint="eastAsia" w:ascii="宋体" w:hAnsi="宋体" w:eastAsia="Calibri" w:cs="宋体"/>
          <w:color w:val="000000"/>
          <w:sz w:val="24"/>
          <w:highlight w:val="none"/>
          <w:u w:val="single"/>
        </w:rPr>
        <w:t xml:space="preserve">[2008]67 </w:t>
      </w:r>
      <w:r>
        <w:rPr>
          <w:rFonts w:hint="eastAsia" w:ascii="宋体" w:hAnsi="宋体" w:cs="宋体"/>
          <w:color w:val="000000"/>
          <w:sz w:val="24"/>
          <w:highlight w:val="none"/>
          <w:u w:val="single"/>
        </w:rPr>
        <w:t xml:space="preserve">号文</w:t>
      </w:r>
      <w:r>
        <w:rPr>
          <w:rFonts w:ascii="Calibri" w:hAnsi="Calibri" w:eastAsia="Calibri" w:cs="Calibri"/>
          <w:color w:val="000000"/>
          <w:sz w:val="24"/>
          <w:highlight w:val="none"/>
          <w:u w:val="single"/>
        </w:rPr>
        <w:t xml:space="preserve">”</w:t>
      </w:r>
      <w:r>
        <w:rPr>
          <w:rFonts w:hint="eastAsia" w:ascii="宋体" w:hAnsi="宋体" w:cs="宋体"/>
          <w:color w:val="000000"/>
          <w:sz w:val="24"/>
          <w:highlight w:val="none"/>
          <w:u w:val="single"/>
        </w:rPr>
        <w:t xml:space="preserve">执行；因承包人原因造成工期延误的，延误期间发生的材料价格上涨差额由承包人承担。</w:t>
      </w:r>
      <w:r>
        <w:rPr>
          <w:rFonts w:hint="eastAsia" w:ascii="Calibri" w:hAnsi="Calibri" w:cs="Calibri"/>
          <w:color w:val="000000"/>
          <w:sz w:val="24"/>
          <w:highlight w:val="none"/>
          <w:u w:val="single"/>
        </w:rPr>
        <w:t xml:space="preserve">②</w:t>
      </w:r>
      <w:r>
        <w:rPr>
          <w:rFonts w:hint="eastAsia" w:ascii="宋体" w:hAnsi="宋体" w:cs="宋体"/>
          <w:color w:val="000000"/>
          <w:sz w:val="24"/>
          <w:highlight w:val="none"/>
          <w:u w:val="single"/>
        </w:rPr>
        <w:t xml:space="preserve">人工工资的政策性调整，允许调整</w:t>
      </w:r>
      <w:r>
        <w:rPr>
          <w:rFonts w:hint="eastAsia" w:ascii="宋体" w:hAnsi="宋体" w:cs="宋体"/>
          <w:color w:val="000000"/>
          <w:sz w:val="24"/>
          <w:highlight w:val="none"/>
        </w:rPr>
        <w:t xml:space="preserve">。</w:t>
      </w:r>
      <w:r/>
    </w:p>
    <w:p>
      <w:pPr>
        <w:ind w:firstLine="480"/>
        <w:jc w:val="left"/>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因市场价格波动调整合同价格，采用以下第</w:t>
      </w:r>
      <w:r>
        <w:rPr>
          <w:rFonts w:hint="eastAsia" w:ascii="宋体" w:hAnsi="宋体" w:eastAsia="Calibri" w:cs="宋体"/>
          <w:color w:val="000000"/>
          <w:sz w:val="24"/>
          <w:highlight w:val="none"/>
          <w:u w:val="single"/>
        </w:rPr>
        <w:t xml:space="preserve"> 3</w:t>
      </w:r>
      <w:r>
        <w:rPr>
          <w:rFonts w:hint="eastAsia" w:ascii="宋体" w:hAnsi="宋体" w:cs="宋体"/>
          <w:color w:val="000000"/>
          <w:sz w:val="24"/>
          <w:highlight w:val="none"/>
        </w:rPr>
        <w:t xml:space="preserve">种方式对合同价格进行调整：</w:t>
      </w:r>
      <w:r/>
    </w:p>
    <w:p>
      <w:pPr>
        <w:ind w:firstLine="480"/>
        <w:jc w:val="left"/>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第</w:t>
      </w:r>
      <w:r>
        <w:rPr>
          <w:rFonts w:hint="eastAsia" w:ascii="宋体" w:hAnsi="宋体" w:eastAsia="Calibri" w:cs="宋体"/>
          <w:color w:val="000000"/>
          <w:sz w:val="24"/>
          <w:highlight w:val="none"/>
        </w:rPr>
        <w:t xml:space="preserve">1</w:t>
      </w:r>
      <w:r>
        <w:rPr>
          <w:rFonts w:hint="eastAsia" w:ascii="宋体" w:hAnsi="宋体" w:cs="宋体"/>
          <w:color w:val="000000"/>
          <w:sz w:val="24"/>
          <w:highlight w:val="none"/>
        </w:rPr>
        <w:t xml:space="preserve">种方式：采用价格指数进行价格调整。</w:t>
      </w:r>
      <w:r/>
    </w:p>
    <w:p>
      <w:pPr>
        <w:ind w:firstLine="480"/>
        <w:jc w:val="left"/>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关于各可调因子、定值和变值权重，以及基本价格指数及其来源的约定：</w:t>
      </w:r>
      <w:r>
        <w:rPr>
          <w:rFonts w:hint="eastAsia" w:ascii="宋体" w:hAnsi="宋体" w:eastAsia="Calibri"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第</w:t>
      </w:r>
      <w:r>
        <w:rPr>
          <w:rFonts w:hint="eastAsia" w:ascii="宋体" w:hAnsi="宋体" w:eastAsia="Calibri" w:cs="宋体"/>
          <w:color w:val="000000"/>
          <w:sz w:val="24"/>
          <w:highlight w:val="none"/>
        </w:rPr>
        <w:t xml:space="preserve">2</w:t>
      </w:r>
      <w:r>
        <w:rPr>
          <w:rFonts w:hint="eastAsia" w:ascii="宋体" w:hAnsi="宋体" w:cs="宋体"/>
          <w:color w:val="000000"/>
          <w:sz w:val="24"/>
          <w:highlight w:val="none"/>
        </w:rPr>
        <w:t xml:space="preserve">种方式：采用造价信息进行价格调整。</w:t>
      </w:r>
      <w:r/>
    </w:p>
    <w:p>
      <w:pPr>
        <w:ind w:firstLine="646"/>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2</w:t>
      </w:r>
      <w:r>
        <w:rPr>
          <w:rFonts w:hint="eastAsia" w:ascii="宋体" w:hAnsi="宋体" w:cs="宋体"/>
          <w:color w:val="000000"/>
          <w:sz w:val="24"/>
          <w:highlight w:val="none"/>
        </w:rPr>
        <w:t xml:space="preserve">）关于基准价格的约定：</w:t>
      </w:r>
      <w:r>
        <w:rPr>
          <w:rFonts w:hint="eastAsia" w:ascii="宋体" w:hAnsi="宋体" w:cs="宋体"/>
          <w:color w:val="000000"/>
          <w:sz w:val="24"/>
          <w:highlight w:val="none"/>
          <w:u w:val="single"/>
        </w:rPr>
        <w:t xml:space="preserve">合同基准日（投标截止日向前推算28天）当期《南京工程造价信息》发布的指导价。调价范围仅限：主材。</w:t>
      </w:r>
      <w:r/>
    </w:p>
    <w:p>
      <w:pPr>
        <w:ind w:firstLine="646"/>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专用合同条款①承包人在已标价工程量清单或预算书中载明的材料单价低于基准价格的：专用合同条款合同履行期间材料单价涨幅以基准价格为基础超过5%时，或材料单价跌幅以已标价工程量清单或预算书中载明材料单价为基础超过5%时，其超过部分据实调整。</w:t>
      </w:r>
      <w:r/>
    </w:p>
    <w:p>
      <w:pPr>
        <w:ind w:firstLine="646"/>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②承包人在已标价工程量清单或预算书中载明的材料单价高于基准价格的：专用合同条款合同履行期间材料单价跌幅以基准价格为基础超过5%时，材料单价涨幅以已标价工程量清单或预算书中载明材料单价为基础超过5%时，其超过部分据实调整。</w:t>
      </w:r>
      <w:r/>
    </w:p>
    <w:p>
      <w:pPr>
        <w:ind w:firstLine="646"/>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③承包人在已标价工程量清单或预算书中载明的材料单价等于基准单价的：专用合同条款合同履行期间材料单价涨跌幅以基准单价为基础超过±5%时，其超过部分据实调整。</w:t>
      </w:r>
      <w:r/>
    </w:p>
    <w:p>
      <w:pPr>
        <w:ind w:firstLine="646"/>
        <w:jc w:val="left"/>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第</w:t>
      </w:r>
      <w:r>
        <w:rPr>
          <w:rFonts w:hint="eastAsia" w:ascii="宋体" w:hAnsi="宋体" w:eastAsia="Calibri" w:cs="宋体"/>
          <w:color w:val="000000"/>
          <w:sz w:val="24"/>
          <w:highlight w:val="none"/>
        </w:rPr>
        <w:t xml:space="preserve">3</w:t>
      </w:r>
      <w:r>
        <w:rPr>
          <w:rFonts w:hint="eastAsia" w:ascii="宋体" w:hAnsi="宋体" w:cs="宋体"/>
          <w:color w:val="000000"/>
          <w:sz w:val="24"/>
          <w:highlight w:val="none"/>
        </w:rPr>
        <w:t xml:space="preserve">种方式：其他价格调整方式：</w:t>
      </w:r>
      <w:r>
        <w:rPr>
          <w:rFonts w:hint="eastAsia" w:ascii="宋体" w:hAnsi="宋体" w:cs="宋体"/>
          <w:color w:val="000000"/>
          <w:sz w:val="24"/>
          <w:highlight w:val="none"/>
          <w:u w:val="single"/>
        </w:rPr>
        <w:t xml:space="preserve">综合单价在合同履行期间不做调整。</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12. </w:t>
      </w:r>
      <w:bookmarkEnd w:id="457"/>
      <w:r/>
      <w:bookmarkEnd w:id="458"/>
      <w:r/>
      <w:bookmarkEnd w:id="459"/>
      <w:r/>
      <w:bookmarkEnd w:id="460"/>
      <w:r/>
      <w:bookmarkEnd w:id="461"/>
      <w:r/>
      <w:bookmarkEnd w:id="462"/>
      <w:r/>
      <w:bookmarkEnd w:id="463"/>
      <w:r/>
      <w:bookmarkEnd w:id="464"/>
      <w:r/>
      <w:bookmarkEnd w:id="465"/>
      <w:r/>
      <w:bookmarkEnd w:id="466"/>
      <w:r>
        <w:rPr>
          <w:rFonts w:hint="eastAsia" w:ascii="宋体" w:hAnsi="宋体" w:cs="宋体"/>
          <w:b/>
          <w:bCs/>
          <w:color w:val="000000"/>
          <w:sz w:val="24"/>
          <w:highlight w:val="none"/>
        </w:rPr>
        <w:t xml:space="preserve">合同价格、计量与支付</w:t>
      </w:r>
      <w:bookmarkEnd w:id="467"/>
      <w:r/>
      <w:bookmarkEnd w:id="468"/>
      <w:r/>
      <w:bookmarkEnd w:id="469"/>
      <w:r/>
      <w:bookmarkEnd w:id="470"/>
      <w:r/>
      <w:bookmarkEnd w:id="471"/>
      <w:r/>
      <w:bookmarkEnd w:id="472"/>
      <w:r/>
      <w:bookmarkEnd w:id="473"/>
      <w:r/>
      <w:r/>
    </w:p>
    <w:p>
      <w:pPr>
        <w:ind w:firstLine="482"/>
        <w:spacing w:line="360" w:lineRule="auto"/>
        <w:rPr>
          <w:rFonts w:ascii="宋体" w:hAnsi="宋体" w:cs="宋体"/>
          <w:color w:val="000000"/>
          <w:sz w:val="24"/>
          <w:highlight w:val="none"/>
          <w:u w:val="single"/>
        </w:rPr>
      </w:pPr>
      <w:r/>
      <w:bookmarkStart w:id="474" w:name="_Toc267251461"/>
      <w:r/>
      <w:bookmarkStart w:id="475" w:name="_Toc292559916"/>
      <w:r/>
      <w:bookmarkStart w:id="476" w:name="_Toc292559411"/>
      <w:r/>
      <w:bookmarkStart w:id="477" w:name="_Toc296891034"/>
      <w:r/>
      <w:bookmarkStart w:id="478" w:name="_Toc297048392"/>
      <w:r/>
      <w:bookmarkStart w:id="479" w:name="_Toc296891246"/>
      <w:r/>
      <w:bookmarkStart w:id="480" w:name="_Toc296503206"/>
      <w:r/>
      <w:bookmarkStart w:id="481" w:name="_Toc297120506"/>
      <w:r/>
      <w:bookmarkStart w:id="482" w:name="_Toc296347205"/>
      <w:r/>
      <w:bookmarkStart w:id="483" w:name="_Toc296346707"/>
      <w:r/>
      <w:bookmarkStart w:id="484" w:name="_Toc296944545"/>
      <w:r/>
      <w:bookmarkStart w:id="485" w:name="_Toc297123553"/>
      <w:r/>
      <w:bookmarkStart w:id="486" w:name="_Toc297216212"/>
      <w:r/>
      <w:bookmarkStart w:id="487" w:name="_Toc303539160"/>
      <w:r/>
      <w:bookmarkStart w:id="488" w:name="_Toc304295580"/>
      <w:r/>
      <w:bookmarkStart w:id="489" w:name="_Toc312678041"/>
      <w:r/>
      <w:bookmarkStart w:id="490" w:name="_Toc300935003"/>
      <w:r>
        <w:rPr>
          <w:rFonts w:hint="eastAsia" w:ascii="宋体" w:hAnsi="宋体" w:eastAsia="Calibri" w:cs="宋体"/>
          <w:b/>
          <w:color w:val="000000"/>
          <w:sz w:val="24"/>
          <w:highlight w:val="none"/>
        </w:rPr>
        <w:t xml:space="preserve">12.1 </w:t>
      </w:r>
      <w:r>
        <w:rPr>
          <w:rFonts w:hint="eastAsia" w:ascii="宋体" w:hAnsi="宋体" w:cs="宋体"/>
          <w:b/>
          <w:color w:val="000000"/>
          <w:sz w:val="24"/>
          <w:highlight w:val="none"/>
        </w:rPr>
        <w:t xml:space="preserve">合</w:t>
      </w:r>
      <w:bookmarkEnd w:id="474"/>
      <w:r/>
      <w:bookmarkEnd w:id="475"/>
      <w:r/>
      <w:bookmarkEnd w:id="476"/>
      <w:r>
        <w:rPr>
          <w:rFonts w:hint="eastAsia" w:ascii="宋体" w:hAnsi="宋体" w:cs="宋体"/>
          <w:b/>
          <w:color w:val="000000"/>
          <w:sz w:val="24"/>
          <w:highlight w:val="none"/>
        </w:rPr>
        <w:t xml:space="preserve">同价</w:t>
      </w:r>
      <w:bookmarkEnd w:id="477"/>
      <w:r/>
      <w:bookmarkEnd w:id="478"/>
      <w:r/>
      <w:bookmarkEnd w:id="479"/>
      <w:r/>
      <w:bookmarkEnd w:id="480"/>
      <w:r/>
      <w:bookmarkEnd w:id="481"/>
      <w:r/>
      <w:bookmarkEnd w:id="482"/>
      <w:r/>
      <w:bookmarkEnd w:id="483"/>
      <w:r/>
      <w:bookmarkEnd w:id="484"/>
      <w:r>
        <w:rPr>
          <w:rFonts w:hint="eastAsia" w:ascii="宋体" w:hAnsi="宋体" w:cs="宋体"/>
          <w:b/>
          <w:color w:val="000000"/>
          <w:sz w:val="24"/>
          <w:highlight w:val="none"/>
        </w:rPr>
        <w:t xml:space="preserve">格形式：</w:t>
      </w:r>
      <w:bookmarkEnd w:id="485"/>
      <w:r/>
      <w:bookmarkEnd w:id="486"/>
      <w:r/>
      <w:bookmarkEnd w:id="487"/>
      <w:r/>
      <w:bookmarkEnd w:id="488"/>
      <w:r/>
      <w:bookmarkEnd w:id="489"/>
      <w:r/>
      <w:bookmarkEnd w:id="490"/>
      <w:r>
        <w:rPr>
          <w:rFonts w:hint="eastAsia" w:ascii="宋体" w:hAnsi="宋体" w:cs="宋体"/>
          <w:color w:val="000000"/>
          <w:sz w:val="24"/>
          <w:highlight w:val="none"/>
          <w:u w:val="single"/>
        </w:rPr>
        <w:t xml:space="preserve">综合固定单价合同</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综合单价包含的风险范围：</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(1)各类人工费、机械台班、建材的市场价格波动风险；</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(2)工程量发生变更时，相同子目综合单价不予调整的风险；</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(3)因承包人自身施工管理等原因造成工期、误工费用增加的风险；</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(4)作为有丰富经验的承包商应该可以预见到的风险；</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(5)招标文件中明示和暗示的风险费用；</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(6)施工组织设计的各项技术、安全措施；</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(7)施工期间的各类政策性调整；</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风险费用的计算方法：承包人在投标报价时已经知晓上述风险范围，已经考虑相应的风险费用计入报价。</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风险范围以外合同价格的调整方法：</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▲调整因素：</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(1)监理认可、发包人批准的由设计院出具的设计变更及图纸会审记录；</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⑵监理、跟踪审计认可、发包人批准的工程签证；</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⑶发包人提供的工程量清单中数量与招标图纸之间的差异；</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⑷施工合同条款约定其他可以调整的因素。</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▲调整时间：</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如发生风险范围以外合同价款调整因素，承包人应及时申报，报监理人、跟踪审计计量、审核确认，最终须经发包人批准。</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▲调整方法：</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⑴设计变更、工程签证的调整办法见专用条款第10.4条。</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⑵其他说明事项</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①按现行规定以及质监部门要求对土建及水电安装材料的送样检测、复试等相关费用均由承包人承担，送检前需报监理、发包人确认。</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甲供材送样检测、复试费用由发包人供货商承担，但材料进场后由承包人负责保管、二次搬运，并协助发包人、监理验收，保管、二次搬运等费用由承包人承担，结算时不增加相关费用。</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所有乙供材的采购保管费、运输费、卸力费、二次搬运费等均由承包人承担。</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②措施项目清单调整按照清单规范执行，中标后承包人提交施工方案报监理、发包人审批，但是不涉及相关费用的调整。</w:t>
      </w:r>
      <w:r/>
    </w:p>
    <w:p>
      <w:pPr>
        <w:ind w:firstLine="482"/>
        <w:spacing w:line="360" w:lineRule="auto"/>
        <w:rPr>
          <w:rFonts w:ascii="宋体" w:hAnsi="宋体" w:eastAsia="Calibri" w:cs="宋体"/>
          <w:b/>
          <w:color w:val="000000"/>
          <w:sz w:val="24"/>
          <w:highlight w:val="none"/>
        </w:rPr>
      </w:pPr>
      <w:r/>
      <w:bookmarkStart w:id="491" w:name="_Toc312678042"/>
      <w:r/>
      <w:bookmarkStart w:id="492" w:name="_Toc297216213"/>
      <w:r/>
      <w:bookmarkStart w:id="493" w:name="_Toc300935004"/>
      <w:r/>
      <w:bookmarkStart w:id="494" w:name="_Toc303539161"/>
      <w:r/>
      <w:bookmarkStart w:id="495" w:name="_Toc297123554"/>
      <w:r/>
      <w:bookmarkStart w:id="496" w:name="_Toc304295581"/>
      <w:r/>
      <w:bookmarkStart w:id="497" w:name="_Toc296891035"/>
      <w:r/>
      <w:bookmarkStart w:id="498" w:name="_Toc297048393"/>
      <w:r/>
      <w:bookmarkStart w:id="499" w:name="_Toc297120507"/>
      <w:r/>
      <w:bookmarkStart w:id="500" w:name="_Toc292559917"/>
      <w:r/>
      <w:bookmarkStart w:id="501" w:name="_Toc296891247"/>
      <w:r/>
      <w:bookmarkStart w:id="502" w:name="_Toc296503207"/>
      <w:r/>
      <w:bookmarkStart w:id="503" w:name="_Toc296347206"/>
      <w:r/>
      <w:bookmarkStart w:id="504" w:name="_Toc296346708"/>
      <w:r/>
      <w:bookmarkStart w:id="505" w:name="_Toc296944546"/>
      <w:r/>
      <w:bookmarkStart w:id="506" w:name="_Toc292559412"/>
      <w:r>
        <w:rPr>
          <w:rFonts w:hint="eastAsia" w:ascii="宋体" w:hAnsi="宋体" w:eastAsia="Calibri" w:cs="宋体"/>
          <w:b/>
          <w:color w:val="000000"/>
          <w:sz w:val="24"/>
          <w:highlight w:val="none"/>
        </w:rPr>
        <w:t xml:space="preserve">12.2 </w:t>
      </w:r>
      <w:r>
        <w:rPr>
          <w:rFonts w:hint="eastAsia" w:ascii="宋体" w:hAnsi="宋体" w:cs="宋体"/>
          <w:b/>
          <w:color w:val="000000"/>
          <w:sz w:val="24"/>
          <w:highlight w:val="none"/>
        </w:rPr>
        <w:t xml:space="preserve">预付款</w:t>
      </w:r>
      <w:bookmarkEnd w:id="491"/>
      <w:r/>
      <w:bookmarkEnd w:id="492"/>
      <w:r/>
      <w:bookmarkEnd w:id="493"/>
      <w:r/>
      <w:bookmarkEnd w:id="494"/>
      <w:r/>
      <w:bookmarkEnd w:id="495"/>
      <w:r/>
      <w:bookmarkEnd w:id="496"/>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12.2.1 </w:t>
      </w:r>
      <w:r>
        <w:rPr>
          <w:rFonts w:hint="eastAsia" w:ascii="宋体" w:hAnsi="宋体" w:cs="宋体"/>
          <w:color w:val="000000"/>
          <w:sz w:val="24"/>
          <w:highlight w:val="none"/>
        </w:rPr>
        <w:t xml:space="preserve">预付款的支付</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预付款支付比例或金额：</w:t>
      </w:r>
      <w:r>
        <w:rPr>
          <w:rFonts w:hint="eastAsia" w:ascii="宋体" w:hAnsi="宋体" w:cs="宋体"/>
          <w:color w:val="000000"/>
          <w:sz w:val="24"/>
          <w:highlight w:val="none"/>
          <w:u w:val="single"/>
        </w:rPr>
        <w:t xml:space="preserve">合同签订后预付合同价的30%</w:t>
      </w:r>
      <w:r>
        <w:rPr>
          <w:rFonts w:hint="eastAsia" w:ascii="宋体" w:hAnsi="宋体" w:cs="宋体"/>
          <w:color w:val="000000"/>
          <w:sz w:val="24"/>
          <w:highlight w:val="none"/>
          <w:u w:val="single"/>
          <w:lang w:eastAsia="zh-CN"/>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预付款支付期限：</w:t>
      </w:r>
      <w:r>
        <w:rPr>
          <w:rFonts w:hint="eastAsia" w:ascii="宋体" w:hAnsi="宋体" w:cs="宋体"/>
          <w:color w:val="000000"/>
          <w:sz w:val="24"/>
          <w:highlight w:val="none"/>
          <w:u w:val="singl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预付款扣回的方式：</w:t>
      </w:r>
      <w:r>
        <w:rPr>
          <w:rFonts w:hint="eastAsia" w:ascii="宋体" w:hAnsi="宋体" w:cs="宋体"/>
          <w:color w:val="000000"/>
          <w:sz w:val="24"/>
          <w:highlight w:val="none"/>
          <w:u w:val="single"/>
        </w:rPr>
        <w:t xml:space="preserve">不扣回，抵作工程款。</w:t>
      </w:r>
      <w:bookmarkEnd w:id="497"/>
      <w:r/>
      <w:bookmarkEnd w:id="498"/>
      <w:r/>
      <w:bookmarkEnd w:id="499"/>
      <w:r/>
      <w:bookmarkEnd w:id="500"/>
      <w:r/>
      <w:bookmarkEnd w:id="501"/>
      <w:r/>
      <w:bookmarkEnd w:id="502"/>
      <w:r/>
      <w:bookmarkEnd w:id="503"/>
      <w:r/>
      <w:bookmarkEnd w:id="504"/>
      <w:r/>
      <w:bookmarkEnd w:id="505"/>
      <w:r/>
      <w:bookmarkEnd w:id="506"/>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12.3 </w:t>
      </w:r>
      <w:r>
        <w:rPr>
          <w:rFonts w:hint="eastAsia" w:ascii="宋体" w:hAnsi="宋体" w:cs="宋体"/>
          <w:b/>
          <w:color w:val="000000"/>
          <w:sz w:val="24"/>
          <w:highlight w:val="none"/>
        </w:rPr>
        <w:t xml:space="preserve">计量</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12.3.1 </w:t>
      </w:r>
      <w:r>
        <w:rPr>
          <w:rFonts w:hint="eastAsia" w:ascii="宋体" w:hAnsi="宋体" w:cs="宋体"/>
          <w:color w:val="000000"/>
          <w:sz w:val="24"/>
          <w:highlight w:val="none"/>
        </w:rPr>
        <w:t xml:space="preserve">计量原则</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工程量计算规则：</w:t>
      </w:r>
      <w:r>
        <w:rPr>
          <w:rFonts w:hint="eastAsia" w:ascii="宋体" w:hAnsi="宋体" w:cs="宋体"/>
          <w:color w:val="000000"/>
          <w:sz w:val="24"/>
          <w:highlight w:val="none"/>
          <w:u w:val="single"/>
        </w:rPr>
        <w:t xml:space="preserve">除合同、采购文件、工程量清单由特殊约定外，按照《江苏省建筑与装饰工程计价定额》2014版、《江苏省安装工程计价定额》2014版、《江苏省建设工程费用定额》（2014年）有关规定。</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12.3.2 </w:t>
      </w:r>
      <w:r>
        <w:rPr>
          <w:rFonts w:hint="eastAsia" w:ascii="宋体" w:hAnsi="宋体" w:cs="宋体"/>
          <w:color w:val="000000"/>
          <w:sz w:val="24"/>
          <w:highlight w:val="none"/>
        </w:rPr>
        <w:t xml:space="preserve">计量周期</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关于计量周期的约定：</w:t>
      </w:r>
      <w:r>
        <w:rPr>
          <w:rFonts w:hint="eastAsia" w:ascii="宋体" w:hAnsi="宋体" w:cs="宋体"/>
          <w:color w:val="000000"/>
          <w:sz w:val="24"/>
          <w:highlight w:val="none"/>
          <w:u w:val="single"/>
        </w:rPr>
        <w:t xml:space="preserve">每月5日前承包人向发包人、监理、跟踪审计提交上月已完工程量报告，其他按通用条款执行。</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12.3.3 </w:t>
      </w:r>
      <w:r>
        <w:rPr>
          <w:rFonts w:hint="eastAsia" w:ascii="宋体" w:hAnsi="宋体" w:cs="宋体"/>
          <w:color w:val="000000"/>
          <w:sz w:val="24"/>
          <w:highlight w:val="none"/>
        </w:rPr>
        <w:t xml:space="preserve">单价合同的计量</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关于单价合同计量的约定：</w:t>
      </w:r>
      <w:r>
        <w:rPr>
          <w:rFonts w:hint="eastAsia" w:ascii="宋体" w:hAnsi="宋体" w:cs="宋体"/>
          <w:color w:val="000000"/>
          <w:sz w:val="24"/>
          <w:highlight w:val="none"/>
          <w:u w:val="single"/>
        </w:rPr>
        <w:t xml:space="preserve">（1）计量的范围与要求</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①只能对工程量清单、变更工程、计日工等合同规定支付的项目计量，此范围以外的不得进行计量；</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②计量必须严格按合同规定的方法、范围、内容、单位进行；</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③工程质量未经检验或检验不合格的，不得计量；因承包人原因造成返工的工程量不予计量；</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④无论一般的和当地的习惯如何，除合同中另有规定，工程的计量应以净值为准。因此，属于承包人超出设计图纸范围的工程量不予计量；</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（2）单价合同的计量方法</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①已标价工程量清单中的单价子目工程量为估算工程量。结算工程量是以竣工结算审计结论为准的承包人实际完成的，并按合同约定的计量方法进行计量的工程量。</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②承包人对已完成的工程进行计量，向监理人提交进度付款申请单、已完成工程量报表和有关计量资料。</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④监理人认为有必要时，可通知承包人共同进行联合测量、计量，承包人应遵照执行。</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⑥监理人应在收到承包人提交的工程量报表后的7天内进行复核，监理人未在约定时间内复核的，承包人提交的工程量报表中的工程量视为承包人实际完成的估算工程量，据此计算工程进度款。</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⑦承包人未在已标价工程量清单中填入单价或总额价的工程子目，将被认为其已包含在本合同的其他子目的单价和总额价中，发包人将不另行支付。</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⑧监理人、发包人所确认的工程量只是支付进度款的依据，不能作为竣工结算时承包人实际完成的工程量的依据，结算工程量以竣工结算的审计结论为准。</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12.3.4 </w:t>
      </w:r>
      <w:r>
        <w:rPr>
          <w:rFonts w:hint="eastAsia" w:ascii="宋体" w:hAnsi="宋体" w:cs="宋体"/>
          <w:color w:val="000000"/>
          <w:sz w:val="24"/>
          <w:highlight w:val="none"/>
        </w:rPr>
        <w:t xml:space="preserve">总价合同的计量</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关于总价合同计量的约定：</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12.3.5</w:t>
      </w:r>
      <w:r>
        <w:rPr>
          <w:rFonts w:hint="eastAsia" w:ascii="宋体" w:hAnsi="宋体" w:cs="宋体"/>
          <w:color w:val="000000"/>
          <w:sz w:val="24"/>
          <w:highlight w:val="none"/>
        </w:rPr>
        <w:t xml:space="preserve">总价合同采用支付分解表计量支付的，是否适用第</w:t>
      </w:r>
      <w:r>
        <w:rPr>
          <w:rFonts w:hint="eastAsia" w:ascii="宋体" w:hAnsi="宋体" w:eastAsia="Calibri" w:cs="宋体"/>
          <w:color w:val="000000"/>
          <w:sz w:val="24"/>
          <w:highlight w:val="none"/>
        </w:rPr>
        <w:t xml:space="preserve">12.3.4 </w:t>
      </w:r>
      <w:r>
        <w:rPr>
          <w:rFonts w:hint="eastAsia" w:ascii="宋体" w:hAnsi="宋体" w:cs="宋体"/>
          <w:color w:val="000000"/>
          <w:sz w:val="24"/>
          <w:highlight w:val="none"/>
        </w:rPr>
        <w:t xml:space="preserve">项〔总价合同的计量〕约定进行计量：</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12.3.6 </w:t>
      </w:r>
      <w:r>
        <w:rPr>
          <w:rFonts w:hint="eastAsia" w:ascii="宋体" w:hAnsi="宋体" w:cs="宋体"/>
          <w:color w:val="000000"/>
          <w:sz w:val="24"/>
          <w:highlight w:val="none"/>
        </w:rPr>
        <w:t xml:space="preserve">其他价格形式合同的计量</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其他价格形式的计量方式和程序：</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p>
    <w:p>
      <w:pPr>
        <w:ind w:firstLine="482"/>
        <w:spacing w:line="360" w:lineRule="auto"/>
        <w:rPr>
          <w:rFonts w:ascii="宋体" w:hAnsi="宋体" w:eastAsia="Calibri" w:cs="宋体"/>
          <w:color w:val="000000"/>
          <w:sz w:val="24"/>
          <w:highlight w:val="none"/>
        </w:rPr>
      </w:pPr>
      <w:r>
        <w:rPr>
          <w:rFonts w:hint="eastAsia" w:ascii="宋体" w:hAnsi="宋体" w:eastAsia="Calibri" w:cs="宋体"/>
          <w:b/>
          <w:color w:val="000000"/>
          <w:sz w:val="24"/>
          <w:highlight w:val="none"/>
        </w:rPr>
        <w:t xml:space="preserve">12.4 </w:t>
      </w:r>
      <w:r>
        <w:rPr>
          <w:rFonts w:hint="eastAsia" w:ascii="宋体" w:hAnsi="宋体" w:cs="宋体"/>
          <w:b/>
          <w:color w:val="000000"/>
          <w:sz w:val="24"/>
          <w:highlight w:val="none"/>
        </w:rPr>
        <w:t xml:space="preserve">工程进度款支付</w:t>
      </w:r>
      <w:bookmarkStart w:id="507" w:name="_Toc297123556"/>
      <w:r/>
      <w:bookmarkStart w:id="508" w:name="_Toc297048397"/>
      <w:r/>
      <w:bookmarkStart w:id="509" w:name="_Toc297120511"/>
      <w:r/>
      <w:bookmarkStart w:id="510" w:name="_Toc303539163"/>
      <w:r/>
      <w:bookmarkStart w:id="511" w:name="_Toc297216215"/>
      <w:r/>
      <w:bookmarkStart w:id="512" w:name="_Toc296347210"/>
      <w:r/>
      <w:bookmarkStart w:id="513" w:name="_Toc292559416"/>
      <w:r/>
      <w:bookmarkStart w:id="514" w:name="_Toc292559921"/>
      <w:r/>
      <w:bookmarkStart w:id="515" w:name="_Toc296891251"/>
      <w:r/>
      <w:bookmarkStart w:id="516" w:name="_Toc296944550"/>
      <w:r/>
      <w:bookmarkStart w:id="517" w:name="_Toc300935006"/>
      <w:r/>
      <w:bookmarkStart w:id="518" w:name="_Toc296346712"/>
      <w:r/>
      <w:bookmarkStart w:id="519" w:name="_Toc296503211"/>
      <w:r/>
      <w:bookmarkStart w:id="520" w:name="_Toc296891039"/>
      <w:r/>
      <w:r/>
    </w:p>
    <w:p>
      <w:pPr>
        <w:ind w:firstLine="480"/>
        <w:spacing w:line="360" w:lineRule="auto"/>
        <w:rPr>
          <w:rFonts w:hint="eastAsia" w:ascii="宋体" w:hAnsi="宋体" w:cs="宋体"/>
          <w:color w:val="000000"/>
          <w:sz w:val="24"/>
          <w:highlight w:val="none"/>
        </w:rPr>
      </w:pPr>
      <w:r>
        <w:rPr>
          <w:rFonts w:hint="eastAsia" w:ascii="宋体" w:hAnsi="宋体" w:eastAsia="Calibri" w:cs="宋体"/>
          <w:color w:val="000000"/>
          <w:sz w:val="24"/>
          <w:highlight w:val="none"/>
        </w:rPr>
        <w:t xml:space="preserve">12.4.1</w:t>
      </w:r>
      <w:r>
        <w:rPr>
          <w:rFonts w:hint="eastAsia" w:ascii="宋体" w:hAnsi="宋体" w:cs="宋体"/>
          <w:color w:val="000000"/>
          <w:sz w:val="24"/>
          <w:highlight w:val="none"/>
        </w:rPr>
        <w:t xml:space="preserve">关于付款周期的约定：</w:t>
      </w:r>
      <w:r/>
    </w:p>
    <w:p>
      <w:pPr>
        <w:ind w:firstLine="480"/>
        <w:spacing w:line="360" w:lineRule="auto"/>
        <w:rPr>
          <w:rFonts w:hint="eastAsia" w:ascii="宋体" w:hAnsi="宋体" w:eastAsia="Calibri" w:cs="宋体"/>
          <w:color w:val="000000"/>
          <w:sz w:val="24"/>
          <w:highlight w:val="none"/>
          <w:u w:val="single"/>
        </w:rPr>
      </w:pPr>
      <w:r>
        <w:rPr>
          <w:rFonts w:hint="eastAsia" w:ascii="宋体" w:hAnsi="宋体" w:eastAsia="Calibri" w:cs="宋体"/>
          <w:color w:val="000000"/>
          <w:sz w:val="24"/>
          <w:highlight w:val="none"/>
          <w:u w:val="single"/>
        </w:rPr>
        <w:t xml:space="preserve">（1）合同签订后预付合同价的30%；</w:t>
      </w:r>
      <w:r/>
    </w:p>
    <w:p>
      <w:pPr>
        <w:ind w:firstLine="480"/>
        <w:spacing w:line="360" w:lineRule="auto"/>
        <w:rPr>
          <w:rFonts w:hint="eastAsia" w:ascii="宋体" w:hAnsi="宋体" w:eastAsia="Calibri" w:cs="宋体"/>
          <w:color w:val="000000"/>
          <w:sz w:val="24"/>
          <w:highlight w:val="none"/>
          <w:u w:val="single"/>
        </w:rPr>
      </w:pPr>
      <w:r>
        <w:rPr>
          <w:rFonts w:hint="eastAsia" w:ascii="宋体" w:hAnsi="宋体" w:eastAsia="Calibri" w:cs="宋体"/>
          <w:color w:val="000000"/>
          <w:sz w:val="24"/>
          <w:highlight w:val="none"/>
          <w:u w:val="single"/>
        </w:rPr>
        <w:t xml:space="preserve">（2）完成全部变配电工程施工，办理竣工验收并经供电部门验收合格送电后，采购人支付合同价款至80%；</w:t>
      </w:r>
      <w:r/>
    </w:p>
    <w:p>
      <w:pPr>
        <w:ind w:firstLine="480"/>
        <w:spacing w:line="360" w:lineRule="auto"/>
        <w:rPr>
          <w:rFonts w:hint="eastAsia" w:ascii="宋体" w:hAnsi="宋体" w:eastAsia="Calibri" w:cs="宋体"/>
          <w:color w:val="000000"/>
          <w:sz w:val="24"/>
          <w:highlight w:val="none"/>
          <w:u w:val="single"/>
        </w:rPr>
      </w:pPr>
      <w:r>
        <w:rPr>
          <w:rFonts w:hint="eastAsia" w:ascii="宋体" w:hAnsi="宋体" w:eastAsia="Calibri" w:cs="宋体"/>
          <w:color w:val="000000"/>
          <w:sz w:val="24"/>
          <w:highlight w:val="none"/>
          <w:u w:val="single"/>
        </w:rPr>
        <w:t xml:space="preserve">（3）供应商应在项目竣工验收后30天内移交竣工资料送审。竣工结算审计结束后，供应商按照审定结算价的3%出具质量保证金保函后，发包人付至审定结算总价的100%，但应扣除应扣费用（例如审计费（如有）、施工水电费、违约金（如有）等）。质量保证金保函有效期为两年（质保金不计利息。）</w:t>
      </w:r>
      <w:r/>
    </w:p>
    <w:p>
      <w:pPr>
        <w:ind w:firstLine="480"/>
        <w:spacing w:line="360" w:lineRule="auto"/>
        <w:rPr>
          <w:rFonts w:ascii="宋体" w:hAnsi="宋体" w:eastAsia="Calibri" w:cs="宋体"/>
          <w:color w:val="000000"/>
          <w:sz w:val="24"/>
          <w:highlight w:val="none"/>
          <w:u w:val="single"/>
        </w:rPr>
      </w:pPr>
      <w:r>
        <w:rPr>
          <w:rFonts w:hint="eastAsia" w:ascii="宋体" w:hAnsi="宋体" w:eastAsia="Calibri" w:cs="宋体"/>
          <w:color w:val="000000"/>
          <w:sz w:val="24"/>
          <w:highlight w:val="none"/>
          <w:u w:val="single"/>
        </w:rPr>
        <w:t xml:space="preserve">每次付款，承包人必须开具正规足额税务发票。发包人支付给承包人的工程预付款及进度款，承包人只能用于与本工程相关的人工、材料、机械等费用，如工程预付款及进度款用于支付与本工程无关的费用，发包人有权立即停止付款并处以相应罚款。</w:t>
      </w:r>
      <w:r/>
    </w:p>
    <w:p>
      <w:pPr>
        <w:ind w:firstLine="480"/>
        <w:spacing w:line="360" w:lineRule="auto"/>
        <w:rPr>
          <w:rFonts w:ascii="宋体" w:hAnsi="宋体" w:eastAsia="Calibri" w:cs="宋体"/>
          <w:color w:val="000000"/>
          <w:sz w:val="24"/>
          <w:highlight w:val="none"/>
          <w:u w:val="single"/>
        </w:rPr>
      </w:pPr>
      <w:r>
        <w:rPr>
          <w:rFonts w:hint="eastAsia" w:ascii="宋体" w:hAnsi="宋体" w:eastAsia="Calibri" w:cs="宋体"/>
          <w:color w:val="000000"/>
          <w:sz w:val="24"/>
          <w:highlight w:val="none"/>
          <w:u w:val="single"/>
        </w:rPr>
        <w:t xml:space="preserve">经确认的变更工程价款由审计部门审计后，在工程竣工结算时一并支付。</w:t>
      </w:r>
      <w:r/>
    </w:p>
    <w:p>
      <w:pPr>
        <w:ind w:firstLine="480"/>
        <w:spacing w:line="360" w:lineRule="auto"/>
        <w:rPr>
          <w:rFonts w:ascii="宋体" w:hAnsi="宋体" w:cs="宋体"/>
          <w:color w:val="000000"/>
          <w:sz w:val="24"/>
          <w:highlight w:val="none"/>
          <w:u w:val="single"/>
        </w:rPr>
      </w:pPr>
      <w:r>
        <w:rPr>
          <w:rFonts w:hint="eastAsia" w:ascii="宋体" w:hAnsi="宋体" w:eastAsia="Calibri" w:cs="宋体"/>
          <w:color w:val="000000"/>
          <w:sz w:val="24"/>
          <w:highlight w:val="none"/>
          <w:u w:val="single"/>
        </w:rPr>
        <w:t xml:space="preserve">注：因政策行因素导致工程不能完成的，按照实际完成工作量由审计部门审计后按实支付工程款</w:t>
      </w:r>
      <w:r>
        <w:rPr>
          <w:rFonts w:hint="eastAsia" w:ascii="宋体" w:hAnsi="宋体" w:cs="宋体"/>
          <w:color w:val="000000"/>
          <w:sz w:val="24"/>
          <w:highlight w:val="none"/>
          <w:u w:val="single"/>
        </w:rPr>
        <w:t xml:space="preserve">。</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12.4.2 </w:t>
      </w:r>
      <w:r>
        <w:rPr>
          <w:rFonts w:hint="eastAsia" w:ascii="宋体" w:hAnsi="宋体" w:cs="宋体"/>
          <w:color w:val="000000"/>
          <w:sz w:val="24"/>
          <w:highlight w:val="none"/>
        </w:rPr>
        <w:t xml:space="preserve">进度付款申请单的编制</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关于进度付款申请单编制的约定：</w:t>
      </w:r>
      <w:r>
        <w:rPr>
          <w:rFonts w:hint="eastAsia" w:ascii="宋体" w:hAnsi="宋体" w:eastAsia="Calibri" w:cs="宋体"/>
          <w:color w:val="000000"/>
          <w:sz w:val="24"/>
          <w:highlight w:val="none"/>
          <w:u w:val="single"/>
        </w:rPr>
        <w:t xml:space="preserve">按通用条款执行。</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Pr>
          <w:rFonts w:hint="eastAsia" w:ascii="宋体" w:hAnsi="宋体" w:eastAsia="Calibri" w:cs="宋体"/>
          <w:color w:val="000000"/>
          <w:sz w:val="24"/>
          <w:highlight w:val="none"/>
        </w:rPr>
        <w:t xml:space="preserve">2.4.3 </w:t>
      </w:r>
      <w:r>
        <w:rPr>
          <w:rFonts w:hint="eastAsia" w:ascii="宋体" w:hAnsi="宋体" w:cs="宋体"/>
          <w:color w:val="000000"/>
          <w:sz w:val="24"/>
          <w:highlight w:val="none"/>
        </w:rPr>
        <w:t xml:space="preserve">进度付款申请单的提交</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1</w:t>
      </w:r>
      <w:r>
        <w:rPr>
          <w:rFonts w:hint="eastAsia" w:ascii="宋体" w:hAnsi="宋体" w:cs="宋体"/>
          <w:color w:val="000000"/>
          <w:sz w:val="24"/>
          <w:highlight w:val="none"/>
        </w:rPr>
        <w:t xml:space="preserve">）单价合同进度付款申请单提交的约定：</w:t>
      </w:r>
      <w:r>
        <w:rPr>
          <w:rFonts w:hint="eastAsia" w:ascii="宋体" w:hAnsi="宋体" w:cs="宋体"/>
          <w:color w:val="000000"/>
          <w:sz w:val="24"/>
          <w:highlight w:val="none"/>
          <w:u w:val="single"/>
        </w:rPr>
        <w:t xml:space="preserve">按通用条款执行。</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2</w:t>
      </w:r>
      <w:r>
        <w:rPr>
          <w:rFonts w:hint="eastAsia" w:ascii="宋体" w:hAnsi="宋体" w:cs="宋体"/>
          <w:color w:val="000000"/>
          <w:sz w:val="24"/>
          <w:highlight w:val="none"/>
        </w:rPr>
        <w:t xml:space="preserve">）总价合同进度付款申请单提交的约定：</w:t>
      </w:r>
      <w:r>
        <w:rPr>
          <w:rFonts w:hint="eastAsia" w:ascii="宋体" w:hAnsi="宋体" w:cs="宋体"/>
          <w:color w:val="000000"/>
          <w:sz w:val="24"/>
          <w:highlight w:val="none"/>
          <w:u w:val="single"/>
        </w:rPr>
        <w:t xml:space="preserve">不采用</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3</w:t>
      </w:r>
      <w:r>
        <w:rPr>
          <w:rFonts w:hint="eastAsia" w:ascii="宋体" w:hAnsi="宋体" w:cs="宋体"/>
          <w:color w:val="000000"/>
          <w:sz w:val="24"/>
          <w:highlight w:val="none"/>
        </w:rPr>
        <w:t xml:space="preserve">）其他价格形式合同进度付款申请单提交的约定：</w:t>
      </w:r>
      <w:r>
        <w:rPr>
          <w:rFonts w:hint="eastAsia" w:ascii="宋体" w:hAnsi="宋体" w:cs="宋体"/>
          <w:color w:val="000000"/>
          <w:sz w:val="24"/>
          <w:highlight w:val="none"/>
          <w:u w:val="single"/>
        </w:rPr>
        <w:t xml:space="preserve">不采用</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12.4.4 </w:t>
      </w:r>
      <w:r>
        <w:rPr>
          <w:rFonts w:hint="eastAsia" w:ascii="宋体" w:hAnsi="宋体" w:cs="宋体"/>
          <w:color w:val="000000"/>
          <w:sz w:val="24"/>
          <w:highlight w:val="none"/>
        </w:rPr>
        <w:t xml:space="preserve">进度款审核和支付</w:t>
      </w:r>
      <w:r/>
    </w:p>
    <w:p>
      <w:pPr>
        <w:ind w:firstLine="60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1</w:t>
      </w:r>
      <w:r>
        <w:rPr>
          <w:rFonts w:hint="eastAsia" w:ascii="宋体" w:hAnsi="宋体" w:cs="宋体"/>
          <w:color w:val="000000"/>
          <w:sz w:val="24"/>
          <w:highlight w:val="none"/>
        </w:rPr>
        <w:t xml:space="preserve">）监理人审查并报送发包人的期限：监理人应在收到承包人进度付款申请单以及相关资料后</w:t>
      </w:r>
      <w:r>
        <w:rPr>
          <w:rFonts w:hint="eastAsia" w:ascii="宋体" w:hAnsi="宋体" w:eastAsia="Calibri" w:cs="宋体"/>
          <w:color w:val="000000"/>
          <w:sz w:val="24"/>
          <w:highlight w:val="none"/>
        </w:rPr>
        <w:t xml:space="preserve">7</w:t>
      </w:r>
      <w:r>
        <w:rPr>
          <w:rFonts w:hint="eastAsia" w:ascii="宋体" w:hAnsi="宋体" w:cs="宋体"/>
          <w:color w:val="000000"/>
          <w:sz w:val="24"/>
          <w:highlight w:val="none"/>
        </w:rPr>
        <w:t xml:space="preserve">天内完成审查并报送发包人。</w:t>
      </w:r>
      <w:r/>
    </w:p>
    <w:p>
      <w:pPr>
        <w:ind w:firstLine="60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发包人完成审批并签发进度款支付证书的期限：发包人应在收到后</w:t>
      </w:r>
      <w:r>
        <w:rPr>
          <w:rFonts w:hint="eastAsia" w:ascii="宋体" w:hAnsi="宋体" w:eastAsia="Calibri" w:cs="宋体"/>
          <w:color w:val="000000"/>
          <w:sz w:val="24"/>
          <w:highlight w:val="none"/>
        </w:rPr>
        <w:t xml:space="preserve">14</w:t>
      </w:r>
      <w:r>
        <w:rPr>
          <w:rFonts w:hint="eastAsia" w:ascii="宋体" w:hAnsi="宋体" w:cs="宋体"/>
          <w:color w:val="000000"/>
          <w:sz w:val="24"/>
          <w:highlight w:val="none"/>
        </w:rPr>
        <w:t xml:space="preserve">天内完成审批并签发进度款支付证书。</w:t>
      </w:r>
      <w:r/>
    </w:p>
    <w:p>
      <w:pPr>
        <w:ind w:firstLine="60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2</w:t>
      </w:r>
      <w:r>
        <w:rPr>
          <w:rFonts w:hint="eastAsia" w:ascii="宋体" w:hAnsi="宋体" w:cs="宋体"/>
          <w:color w:val="000000"/>
          <w:sz w:val="24"/>
          <w:highlight w:val="none"/>
        </w:rPr>
        <w:t xml:space="preserve">）发包人支付进度款的期限：发包人应在进度款支付证书签发后</w:t>
      </w:r>
      <w:r>
        <w:rPr>
          <w:rFonts w:hint="eastAsia" w:ascii="宋体" w:hAnsi="宋体" w:eastAsia="Calibri" w:cs="宋体"/>
          <w:color w:val="000000"/>
          <w:sz w:val="24"/>
          <w:highlight w:val="none"/>
        </w:rPr>
        <w:t xml:space="preserve">14</w:t>
      </w:r>
      <w:r>
        <w:rPr>
          <w:rFonts w:hint="eastAsia" w:ascii="宋体" w:hAnsi="宋体" w:cs="宋体"/>
          <w:color w:val="000000"/>
          <w:sz w:val="24"/>
          <w:highlight w:val="none"/>
        </w:rPr>
        <w:t xml:space="preserve">天内完成支付。</w:t>
      </w:r>
      <w:r/>
    </w:p>
    <w:p>
      <w:pPr>
        <w:ind w:firstLine="60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发包人逾期支付进度款的违约金的计算方式：按通用合同条款执行。</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12.4.5 </w:t>
      </w:r>
      <w:r>
        <w:rPr>
          <w:rFonts w:hint="eastAsia" w:ascii="宋体" w:hAnsi="宋体" w:cs="宋体"/>
          <w:color w:val="000000"/>
          <w:sz w:val="24"/>
          <w:highlight w:val="none"/>
        </w:rPr>
        <w:t xml:space="preserve">支付分解表的编制</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2</w:t>
      </w:r>
      <w:r>
        <w:rPr>
          <w:rFonts w:hint="eastAsia" w:ascii="宋体" w:hAnsi="宋体" w:cs="宋体"/>
          <w:color w:val="000000"/>
          <w:sz w:val="24"/>
          <w:highlight w:val="none"/>
        </w:rPr>
        <w:t xml:space="preserve">、总价合同支付分解表的编制与审批：</w:t>
      </w:r>
      <w:r>
        <w:rPr>
          <w:rFonts w:hint="eastAsia" w:ascii="宋体" w:hAnsi="宋体" w:cs="宋体"/>
          <w:color w:val="000000"/>
          <w:sz w:val="24"/>
          <w:highlight w:val="none"/>
          <w:u w:val="single"/>
        </w:rPr>
        <w:t xml:space="preserve">/。</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3</w:t>
      </w:r>
      <w:r>
        <w:rPr>
          <w:rFonts w:hint="eastAsia" w:ascii="宋体" w:hAnsi="宋体" w:cs="宋体"/>
          <w:color w:val="000000"/>
          <w:sz w:val="24"/>
          <w:highlight w:val="none"/>
        </w:rPr>
        <w:t xml:space="preserve">、单价合同的总价项目支付分解表的编制与审批：</w:t>
      </w:r>
      <w:r>
        <w:rPr>
          <w:rFonts w:hint="eastAsia" w:ascii="宋体" w:hAnsi="宋体" w:cs="宋体"/>
          <w:color w:val="000000"/>
          <w:sz w:val="24"/>
          <w:highlight w:val="none"/>
          <w:u w:val="single"/>
        </w:rPr>
        <w:t xml:space="preserve">按通用合同条款执行</w:t>
      </w:r>
      <w:r>
        <w:rPr>
          <w:rFonts w:hint="eastAsia" w:ascii="宋体" w:hAnsi="宋体" w:cs="宋体"/>
          <w:color w:val="000000"/>
          <w:sz w:val="24"/>
          <w:highlight w:val="none"/>
        </w:rPr>
        <w:t xml:space="preserve">。</w:t>
      </w:r>
      <w:bookmarkEnd w:id="348"/>
      <w:r/>
      <w:r/>
    </w:p>
    <w:p>
      <w:pPr>
        <w:spacing w:line="360" w:lineRule="auto"/>
        <w:rPr>
          <w:rFonts w:ascii="宋体" w:hAnsi="宋体" w:cs="宋体"/>
          <w:b/>
          <w:bCs/>
          <w:color w:val="000000"/>
          <w:sz w:val="24"/>
          <w:highlight w:val="none"/>
        </w:rPr>
      </w:pPr>
      <w:r/>
      <w:bookmarkStart w:id="521" w:name="_Toc351203645"/>
      <w:r/>
      <w:bookmarkStart w:id="522" w:name="_Toc300935015"/>
      <w:r/>
      <w:bookmarkStart w:id="523" w:name="_Toc297120519"/>
      <w:r/>
      <w:bookmarkStart w:id="524" w:name="_Toc304295593"/>
      <w:r/>
      <w:bookmarkStart w:id="525" w:name="_Toc292559424"/>
      <w:r/>
      <w:bookmarkStart w:id="526" w:name="_Toc297216223"/>
      <w:r/>
      <w:bookmarkStart w:id="527" w:name="_Toc296891047"/>
      <w:r/>
      <w:bookmarkStart w:id="528" w:name="_Toc292559929"/>
      <w:r/>
      <w:bookmarkStart w:id="529" w:name="_Toc296347218"/>
      <w:r/>
      <w:bookmarkStart w:id="530" w:name="_Toc296891259"/>
      <w:r/>
      <w:bookmarkStart w:id="531" w:name="_Toc312678053"/>
      <w:r/>
      <w:bookmarkStart w:id="532" w:name="_Toc296346720"/>
      <w:r/>
      <w:bookmarkStart w:id="533" w:name="_Toc297048405"/>
      <w:r/>
      <w:bookmarkStart w:id="534" w:name="_Toc296944558"/>
      <w:r/>
      <w:bookmarkStart w:id="535" w:name="_Toc296503219"/>
      <w:r/>
      <w:bookmarkStart w:id="536" w:name="_Toc303539172"/>
      <w:r/>
      <w:bookmarkStart w:id="537" w:name="_Toc297123564"/>
      <w:r>
        <w:rPr>
          <w:rFonts w:hint="eastAsia" w:ascii="宋体" w:hAnsi="宋体" w:cs="宋体"/>
          <w:b/>
          <w:bCs/>
          <w:color w:val="000000"/>
          <w:sz w:val="24"/>
          <w:highlight w:val="none"/>
        </w:rPr>
        <w:t xml:space="preserve">13.验收和工程试车</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13.1 </w:t>
      </w:r>
      <w:r>
        <w:rPr>
          <w:rFonts w:hint="eastAsia" w:ascii="宋体" w:hAnsi="宋体" w:cs="宋体"/>
          <w:b/>
          <w:color w:val="000000"/>
          <w:sz w:val="24"/>
          <w:highlight w:val="none"/>
        </w:rPr>
        <w:t xml:space="preserve">分部分项工程验收</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13.1.1</w:t>
      </w:r>
      <w:r>
        <w:rPr>
          <w:rFonts w:hint="eastAsia" w:ascii="宋体" w:hAnsi="宋体" w:cs="宋体"/>
          <w:color w:val="000000"/>
          <w:sz w:val="24"/>
          <w:highlight w:val="none"/>
        </w:rPr>
        <w:t xml:space="preserve">监理人不能按时进行验收时，应提前</w:t>
      </w:r>
      <w:r>
        <w:rPr>
          <w:rFonts w:hint="eastAsia" w:ascii="宋体" w:hAnsi="宋体" w:eastAsia="Calibri" w:cs="宋体"/>
          <w:color w:val="000000"/>
          <w:sz w:val="24"/>
          <w:highlight w:val="none"/>
          <w:u w:val="single"/>
        </w:rPr>
        <w:t xml:space="preserve">24</w:t>
      </w:r>
      <w:r>
        <w:rPr>
          <w:rFonts w:hint="eastAsia" w:ascii="宋体" w:hAnsi="宋体" w:cs="宋体"/>
          <w:color w:val="000000"/>
          <w:sz w:val="24"/>
          <w:highlight w:val="none"/>
        </w:rPr>
        <w:t xml:space="preserve">小时提交书面延期要求。</w:t>
      </w:r>
      <w:r/>
    </w:p>
    <w:p>
      <w:pPr>
        <w:ind w:firstLine="480"/>
        <w:spacing w:line="360" w:lineRule="auto"/>
        <w:rPr>
          <w:rFonts w:ascii="宋体" w:hAnsi="宋体" w:eastAsia="Calibri" w:cs="宋体"/>
          <w:b/>
          <w:color w:val="000000"/>
          <w:sz w:val="24"/>
          <w:highlight w:val="none"/>
        </w:rPr>
      </w:pPr>
      <w:r>
        <w:rPr>
          <w:rFonts w:hint="eastAsia" w:ascii="宋体" w:hAnsi="宋体" w:cs="宋体"/>
          <w:color w:val="000000"/>
          <w:sz w:val="24"/>
          <w:highlight w:val="none"/>
        </w:rPr>
        <w:t xml:space="preserve">关于延期最长不得超过：</w:t>
      </w:r>
      <w:r>
        <w:rPr>
          <w:rFonts w:hint="eastAsia" w:ascii="宋体" w:hAnsi="宋体" w:eastAsia="Calibri" w:cs="宋体"/>
          <w:color w:val="000000"/>
          <w:sz w:val="24"/>
          <w:highlight w:val="none"/>
          <w:u w:val="single"/>
        </w:rPr>
        <w:t xml:space="preserve">48</w:t>
      </w:r>
      <w:r>
        <w:rPr>
          <w:rFonts w:hint="eastAsia" w:ascii="宋体" w:hAnsi="宋体" w:cs="宋体"/>
          <w:color w:val="000000"/>
          <w:sz w:val="24"/>
          <w:highlight w:val="none"/>
        </w:rPr>
        <w:t xml:space="preserve">小时。</w:t>
      </w:r>
      <w:r/>
    </w:p>
    <w:p>
      <w:pPr>
        <w:ind w:firstLine="482"/>
        <w:spacing w:line="360" w:lineRule="auto"/>
        <w:rPr>
          <w:rFonts w:ascii="宋体" w:hAnsi="宋体" w:eastAsia="Calibri" w:cs="宋体"/>
          <w:b/>
          <w:color w:val="000000"/>
          <w:sz w:val="24"/>
          <w:highlight w:val="none"/>
        </w:rPr>
      </w:pPr>
      <w:r/>
      <w:bookmarkStart w:id="538" w:name="_Toc297048409"/>
      <w:r/>
      <w:bookmarkStart w:id="539" w:name="_Toc297120523"/>
      <w:r/>
      <w:bookmarkStart w:id="540" w:name="_Toc312678056"/>
      <w:r/>
      <w:bookmarkStart w:id="541" w:name="_Toc297216224"/>
      <w:r/>
      <w:bookmarkStart w:id="542" w:name="_Toc296944562"/>
      <w:r/>
      <w:bookmarkStart w:id="543" w:name="_Toc297123565"/>
      <w:r/>
      <w:bookmarkStart w:id="544" w:name="_Toc292559428"/>
      <w:r/>
      <w:bookmarkStart w:id="545" w:name="_Toc300935016"/>
      <w:r/>
      <w:bookmarkStart w:id="546" w:name="_Toc303539173"/>
      <w:r/>
      <w:bookmarkStart w:id="547" w:name="_Toc296891263"/>
      <w:r/>
      <w:bookmarkStart w:id="548" w:name="_Toc292559933"/>
      <w:r/>
      <w:bookmarkStart w:id="549" w:name="_Toc296347222"/>
      <w:r/>
      <w:bookmarkStart w:id="550" w:name="_Toc304295596"/>
      <w:r/>
      <w:bookmarkStart w:id="551" w:name="_Toc296503223"/>
      <w:r/>
      <w:bookmarkStart w:id="552" w:name="_Toc296891051"/>
      <w:r/>
      <w:bookmarkStart w:id="553" w:name="_Toc296346724"/>
      <w:r/>
      <w:bookmarkStart w:id="554" w:name="_Toc267251471"/>
      <w:r/>
      <w:bookmarkStart w:id="555" w:name="_Toc267251475"/>
      <w:r/>
      <w:bookmarkStart w:id="556" w:name="_Toc267251470"/>
      <w:r/>
      <w:bookmarkStart w:id="557" w:name="_Toc267251476"/>
      <w:r/>
      <w:bookmarkStart w:id="558" w:name="_Toc267251473"/>
      <w:r/>
      <w:bookmarkStart w:id="559" w:name="_Toc267251472"/>
      <w:r/>
      <w:bookmarkStart w:id="560" w:name="_Toc267251474"/>
      <w:r>
        <w:rPr>
          <w:rFonts w:hint="eastAsia" w:ascii="宋体" w:hAnsi="宋体" w:eastAsia="Calibri" w:cs="宋体"/>
          <w:b/>
          <w:color w:val="000000"/>
          <w:sz w:val="24"/>
          <w:highlight w:val="none"/>
        </w:rPr>
        <w:t xml:space="preserve">13.2 </w:t>
      </w:r>
      <w:r>
        <w:rPr>
          <w:rFonts w:hint="eastAsia" w:ascii="宋体" w:hAnsi="宋体" w:cs="宋体"/>
          <w:b/>
          <w:color w:val="000000"/>
          <w:sz w:val="24"/>
          <w:highlight w:val="none"/>
        </w:rPr>
        <w:t xml:space="preserve">竣工验收</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
    </w:p>
    <w:p>
      <w:pPr>
        <w:ind w:firstLine="480"/>
        <w:spacing w:line="360" w:lineRule="auto"/>
        <w:rPr>
          <w:rFonts w:ascii="宋体" w:hAnsi="宋体" w:eastAsia="Calibri" w:cs="宋体"/>
          <w:color w:val="000000"/>
          <w:sz w:val="24"/>
          <w:highlight w:val="none"/>
        </w:rPr>
      </w:pPr>
      <w:r/>
      <w:bookmarkStart w:id="561" w:name="_Toc280868704"/>
      <w:r/>
      <w:bookmarkStart w:id="562" w:name="_Toc280868705"/>
      <w:r/>
      <w:bookmarkStart w:id="563" w:name="_Toc280868706"/>
      <w:r/>
      <w:bookmarkStart w:id="564" w:name="_Toc280868707"/>
      <w:r/>
      <w:bookmarkStart w:id="565" w:name="_Toc280868708"/>
      <w:r/>
      <w:bookmarkStart w:id="566" w:name="_Toc280868709"/>
      <w:r>
        <w:rPr>
          <w:rFonts w:hint="eastAsia" w:ascii="宋体" w:hAnsi="宋体" w:eastAsia="Calibri" w:cs="宋体"/>
          <w:color w:val="000000"/>
          <w:sz w:val="24"/>
          <w:highlight w:val="none"/>
        </w:rPr>
        <w:t xml:space="preserve">13.2.1</w:t>
      </w:r>
      <w:r>
        <w:rPr>
          <w:rFonts w:hint="eastAsia" w:ascii="宋体" w:hAnsi="宋体" w:cs="宋体"/>
          <w:color w:val="000000"/>
          <w:sz w:val="24"/>
          <w:highlight w:val="none"/>
        </w:rPr>
        <w:t xml:space="preserve">竣工验收程序</w:t>
      </w:r>
      <w:bookmarkEnd w:id="561"/>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关于竣工验收程序的约定：</w:t>
      </w:r>
      <w:r>
        <w:rPr>
          <w:rFonts w:hint="eastAsia" w:ascii="宋体" w:hAnsi="宋体" w:cs="宋体"/>
          <w:color w:val="000000"/>
          <w:sz w:val="24"/>
          <w:highlight w:val="none"/>
          <w:u w:val="single"/>
        </w:rPr>
        <w:t xml:space="preserve">按通用条款执行，并符合下列要求：</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1、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2、发包人收到上述资料后15个工作日内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3、承包人提供竣工图的约定：工程竣工验收合格之日起30日内提供能够反映各类变更和工程实际情况的竣工图三套，包含电子稿。</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4、竣工交付使用的过程必须符合下列要求：</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A、完成设计图和施工合同规定的工作内容，达到国家规定的竣工验收条件。工程质量应符合国家现行的有关法律、法规、技术标准、设计文件及合同规定的要求。</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B、工程所用的设备和主材料、构配件具有产品质量出场检验合格证明、技术标准、必要的进场试验报告，并达到相应的验收标准。</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C、具有完整的工程技术档案和竣工图，已办理工程竣工交付使用的有关手续。</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D、已签署工程保修书。</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5、工程竣工验收一次性通过，承包人送交竣工验收报告的日期为实际竣工日期。工程首次验收未通过，实际竣工日期为承包人整改后再次验收合格之日。</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发包人不按照本项约定组织竣工验收、颁发工程接收证书的违约金的计算方法：</w:t>
      </w:r>
      <w:r>
        <w:rPr>
          <w:rFonts w:hint="eastAsia" w:ascii="宋体" w:hAnsi="宋体" w:cs="宋体"/>
          <w:color w:val="000000"/>
          <w:sz w:val="24"/>
          <w:highlight w:val="none"/>
          <w:u w:val="single"/>
        </w:rPr>
        <w:t xml:space="preserve">按通用条款执行。</w:t>
      </w:r>
      <w:bookmarkEnd w:id="562"/>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13.2.2</w:t>
      </w:r>
      <w:r>
        <w:rPr>
          <w:rFonts w:hint="eastAsia" w:ascii="宋体" w:hAnsi="宋体" w:cs="宋体"/>
          <w:color w:val="000000"/>
          <w:sz w:val="24"/>
          <w:highlight w:val="none"/>
        </w:rPr>
        <w:t xml:space="preserve">移交、接收全部与部分工程</w:t>
      </w:r>
      <w:bookmarkEnd w:id="563"/>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承包人向发包人移交工程的期限：</w:t>
      </w:r>
      <w:r>
        <w:rPr>
          <w:rFonts w:hint="eastAsia" w:ascii="宋体" w:hAnsi="宋体" w:cs="宋体"/>
          <w:color w:val="000000"/>
          <w:sz w:val="24"/>
          <w:highlight w:val="none"/>
          <w:u w:val="single"/>
        </w:rPr>
        <w:t xml:space="preserve">按照发包人要求，或竣工验收合格后</w:t>
      </w:r>
      <w:r>
        <w:rPr>
          <w:rFonts w:hint="eastAsia" w:ascii="宋体" w:hAnsi="宋体" w:eastAsia="Calibri" w:cs="宋体"/>
          <w:color w:val="000000"/>
          <w:sz w:val="24"/>
          <w:highlight w:val="none"/>
          <w:u w:val="single"/>
        </w:rPr>
        <w:t xml:space="preserve">15</w:t>
      </w:r>
      <w:r>
        <w:rPr>
          <w:rFonts w:hint="eastAsia" w:ascii="宋体" w:hAnsi="宋体" w:cs="宋体"/>
          <w:color w:val="000000"/>
          <w:sz w:val="24"/>
          <w:highlight w:val="none"/>
          <w:u w:val="single"/>
        </w:rPr>
        <w:t xml:space="preserve">天内</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发包人未按本合同约定接收全部或部分工程的，违约金的计算方法为：</w:t>
      </w:r>
      <w:r>
        <w:rPr>
          <w:rFonts w:hint="eastAsia" w:ascii="宋体" w:hAnsi="宋体" w:cs="宋体"/>
          <w:color w:val="000000"/>
          <w:sz w:val="24"/>
          <w:highlight w:val="none"/>
          <w:u w:val="single"/>
        </w:rPr>
        <w:t xml:space="preserve">按通用合同条款执行</w:t>
      </w:r>
      <w:r>
        <w:rPr>
          <w:rFonts w:hint="eastAsia" w:ascii="宋体" w:hAnsi="宋体" w:cs="宋体"/>
          <w:color w:val="000000"/>
          <w:sz w:val="24"/>
          <w:highlight w:val="none"/>
        </w:rPr>
        <w:t xml:space="preserve">。</w:t>
      </w:r>
      <w:bookmarkEnd w:id="564"/>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承包人未按时移交工程的，违约金的计算方法为：</w:t>
      </w:r>
      <w:r>
        <w:rPr>
          <w:rFonts w:hint="eastAsia" w:ascii="宋体" w:hAnsi="宋体" w:cs="宋体"/>
          <w:color w:val="000000"/>
          <w:sz w:val="24"/>
          <w:highlight w:val="none"/>
          <w:u w:val="single"/>
        </w:rPr>
        <w:t xml:space="preserve">按照</w:t>
      </w:r>
      <w:r>
        <w:rPr>
          <w:rFonts w:hint="eastAsia" w:ascii="宋体" w:hAnsi="宋体" w:eastAsia="Calibri" w:cs="宋体"/>
          <w:color w:val="000000"/>
          <w:sz w:val="24"/>
          <w:highlight w:val="none"/>
          <w:u w:val="single"/>
        </w:rPr>
        <w:t xml:space="preserve">2000</w:t>
      </w:r>
      <w:r>
        <w:rPr>
          <w:rFonts w:hint="eastAsia" w:ascii="宋体" w:hAnsi="宋体" w:cs="宋体"/>
          <w:color w:val="000000"/>
          <w:sz w:val="24"/>
          <w:highlight w:val="none"/>
          <w:u w:val="single"/>
        </w:rPr>
        <w:t xml:space="preserve">元</w:t>
      </w:r>
      <w:r>
        <w:rPr>
          <w:rFonts w:hint="eastAsia" w:ascii="宋体" w:hAnsi="宋体" w:eastAsia="Calibri" w:cs="宋体"/>
          <w:color w:val="000000"/>
          <w:sz w:val="24"/>
          <w:highlight w:val="none"/>
          <w:u w:val="single"/>
        </w:rPr>
        <w:t xml:space="preserve">/</w:t>
      </w:r>
      <w:r>
        <w:rPr>
          <w:rFonts w:hint="eastAsia" w:ascii="宋体" w:hAnsi="宋体" w:cs="宋体"/>
          <w:color w:val="000000"/>
          <w:sz w:val="24"/>
          <w:highlight w:val="none"/>
          <w:u w:val="single"/>
        </w:rPr>
        <w:t xml:space="preserve">天支付违约金</w:t>
      </w:r>
      <w:r>
        <w:rPr>
          <w:rFonts w:hint="eastAsia" w:ascii="宋体" w:hAnsi="宋体" w:cs="宋体"/>
          <w:color w:val="000000"/>
          <w:sz w:val="24"/>
          <w:highlight w:val="none"/>
        </w:rPr>
        <w:t xml:space="preserve">。</w:t>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13.3 </w:t>
      </w:r>
      <w:r>
        <w:rPr>
          <w:rFonts w:hint="eastAsia" w:ascii="宋体" w:hAnsi="宋体" w:cs="宋体"/>
          <w:b/>
          <w:color w:val="000000"/>
          <w:sz w:val="24"/>
          <w:highlight w:val="none"/>
        </w:rPr>
        <w:t xml:space="preserve">工程试车</w:t>
      </w:r>
      <w:bookmarkEnd w:id="565"/>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13.3.1 </w:t>
      </w:r>
      <w:r>
        <w:rPr>
          <w:rFonts w:hint="eastAsia" w:ascii="宋体" w:hAnsi="宋体" w:cs="宋体"/>
          <w:color w:val="000000"/>
          <w:sz w:val="24"/>
          <w:highlight w:val="none"/>
        </w:rPr>
        <w:t xml:space="preserve">试车程序</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工程试车内容：</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1</w:t>
      </w:r>
      <w:r>
        <w:rPr>
          <w:rFonts w:hint="eastAsia" w:ascii="宋体" w:hAnsi="宋体" w:cs="宋体"/>
          <w:color w:val="000000"/>
          <w:sz w:val="24"/>
          <w:highlight w:val="none"/>
        </w:rPr>
        <w:t xml:space="preserve">）单机无负荷试车费用由</w:t>
      </w:r>
      <w:r>
        <w:rPr>
          <w:rFonts w:hint="eastAsia" w:ascii="宋体" w:hAnsi="宋体" w:eastAsia="Calibri" w:cs="宋体"/>
          <w:color w:val="000000"/>
          <w:sz w:val="24"/>
          <w:highlight w:val="none"/>
          <w:u w:val="single"/>
        </w:rPr>
        <w:t xml:space="preserve">/</w:t>
      </w:r>
      <w:r>
        <w:rPr>
          <w:rFonts w:hint="eastAsia" w:ascii="宋体" w:hAnsi="宋体" w:cs="宋体"/>
          <w:color w:val="000000"/>
          <w:sz w:val="24"/>
          <w:highlight w:val="none"/>
        </w:rPr>
        <w:t xml:space="preserve">承担；</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2</w:t>
      </w:r>
      <w:r>
        <w:rPr>
          <w:rFonts w:hint="eastAsia" w:ascii="宋体" w:hAnsi="宋体" w:cs="宋体"/>
          <w:color w:val="000000"/>
          <w:sz w:val="24"/>
          <w:highlight w:val="none"/>
        </w:rPr>
        <w:t xml:space="preserve">）无负荷联动试车费用由</w:t>
      </w:r>
      <w:r>
        <w:rPr>
          <w:rFonts w:hint="eastAsia" w:ascii="宋体" w:hAnsi="宋体" w:eastAsia="Calibri" w:cs="宋体"/>
          <w:color w:val="000000"/>
          <w:sz w:val="24"/>
          <w:highlight w:val="none"/>
          <w:u w:val="single"/>
        </w:rPr>
        <w:t xml:space="preserve">/ </w:t>
      </w:r>
      <w:r>
        <w:rPr>
          <w:rFonts w:hint="eastAsia" w:ascii="宋体" w:hAnsi="宋体" w:cs="宋体"/>
          <w:color w:val="000000"/>
          <w:sz w:val="24"/>
          <w:highlight w:val="none"/>
        </w:rPr>
        <w:t xml:space="preserve">承担。</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13.3.2 </w:t>
      </w:r>
      <w:r>
        <w:rPr>
          <w:rFonts w:hint="eastAsia" w:ascii="宋体" w:hAnsi="宋体" w:cs="宋体"/>
          <w:color w:val="000000"/>
          <w:sz w:val="24"/>
          <w:highlight w:val="none"/>
        </w:rPr>
        <w:t xml:space="preserve">投料试车</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关于投料试车相关事项的约定：</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p>
    <w:p>
      <w:pPr>
        <w:ind w:firstLine="482"/>
        <w:spacing w:line="360" w:lineRule="auto"/>
        <w:rPr>
          <w:rFonts w:ascii="宋体" w:hAnsi="宋体" w:eastAsia="Calibri" w:cs="宋体"/>
          <w:b/>
          <w:color w:val="000000"/>
          <w:sz w:val="24"/>
          <w:highlight w:val="none"/>
        </w:rPr>
      </w:pPr>
      <w:r/>
      <w:bookmarkStart w:id="567" w:name="_Toc36797940"/>
      <w:r>
        <w:rPr>
          <w:rFonts w:hint="eastAsia" w:ascii="宋体" w:hAnsi="宋体" w:eastAsia="Calibri" w:cs="宋体"/>
          <w:b/>
          <w:color w:val="000000"/>
          <w:sz w:val="24"/>
          <w:highlight w:val="none"/>
        </w:rPr>
        <w:t xml:space="preserve">13.6 </w:t>
      </w:r>
      <w:r>
        <w:rPr>
          <w:rFonts w:hint="eastAsia" w:ascii="宋体" w:hAnsi="宋体" w:cs="宋体"/>
          <w:b/>
          <w:color w:val="000000"/>
          <w:sz w:val="24"/>
          <w:highlight w:val="none"/>
        </w:rPr>
        <w:t xml:space="preserve">竣工退场</w:t>
      </w:r>
      <w:bookmarkEnd w:id="567"/>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13.6.1 </w:t>
      </w:r>
      <w:r>
        <w:rPr>
          <w:rFonts w:hint="eastAsia" w:ascii="宋体" w:hAnsi="宋体" w:cs="宋体"/>
          <w:color w:val="000000"/>
          <w:sz w:val="24"/>
          <w:highlight w:val="none"/>
        </w:rPr>
        <w:t xml:space="preserve">竣工退场</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承包人完成竣工退场的期限：</w:t>
      </w:r>
      <w:r>
        <w:rPr>
          <w:rFonts w:hint="eastAsia" w:ascii="宋体" w:hAnsi="宋体" w:cs="宋体"/>
          <w:color w:val="000000"/>
          <w:sz w:val="24"/>
          <w:highlight w:val="none"/>
          <w:u w:val="single"/>
        </w:rPr>
        <w:t xml:space="preserve">竣工验收合格后一周内。承包人将工程移交给发包人，撤出全部临建、施工人员、施工机械和剩余材料，并将施工现场及临时占地范围内的所有场地清理干净。</w:t>
      </w:r>
      <w:r/>
    </w:p>
    <w:p>
      <w:pPr>
        <w:spacing w:line="360" w:lineRule="auto"/>
        <w:rPr>
          <w:rFonts w:ascii="宋体" w:hAnsi="宋体" w:cs="宋体"/>
          <w:b/>
          <w:bCs/>
          <w:color w:val="000000"/>
          <w:sz w:val="24"/>
          <w:highlight w:val="none"/>
        </w:rPr>
      </w:pPr>
      <w:r/>
      <w:bookmarkStart w:id="568" w:name="_Toc351203646"/>
      <w:r>
        <w:rPr>
          <w:rFonts w:hint="eastAsia" w:ascii="宋体" w:hAnsi="宋体" w:cs="宋体"/>
          <w:b/>
          <w:bCs/>
          <w:color w:val="000000"/>
          <w:sz w:val="24"/>
          <w:highlight w:val="none"/>
        </w:rPr>
        <w:t xml:space="preserve">14. 竣工结算</w:t>
      </w:r>
      <w:bookmarkEnd w:id="568"/>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14.1 </w:t>
      </w:r>
      <w:r>
        <w:rPr>
          <w:rFonts w:hint="eastAsia" w:ascii="宋体" w:hAnsi="宋体" w:cs="宋体"/>
          <w:b/>
          <w:color w:val="000000"/>
          <w:sz w:val="24"/>
          <w:highlight w:val="none"/>
        </w:rPr>
        <w:t xml:space="preserve">竣工结算申请</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承包人提交竣工结算申请单的期限：</w:t>
      </w:r>
      <w:r>
        <w:rPr>
          <w:rFonts w:hint="eastAsia" w:ascii="宋体" w:hAnsi="宋体" w:cs="宋体"/>
          <w:color w:val="000000"/>
          <w:sz w:val="24"/>
          <w:highlight w:val="none"/>
          <w:u w:val="single"/>
        </w:rPr>
        <w:t xml:space="preserve">承包人应在工程竣工验收合格后</w:t>
      </w:r>
      <w:r>
        <w:rPr>
          <w:rFonts w:hint="eastAsia" w:ascii="宋体" w:hAnsi="宋体" w:eastAsia="Calibri" w:cs="宋体"/>
          <w:color w:val="000000"/>
          <w:sz w:val="24"/>
          <w:highlight w:val="none"/>
          <w:u w:val="single"/>
        </w:rPr>
        <w:t xml:space="preserve">28</w:t>
      </w:r>
      <w:r>
        <w:rPr>
          <w:rFonts w:hint="eastAsia" w:ascii="宋体" w:hAnsi="宋体" w:cs="宋体"/>
          <w:color w:val="000000"/>
          <w:sz w:val="24"/>
          <w:highlight w:val="none"/>
          <w:u w:val="single"/>
        </w:rPr>
        <w:t xml:space="preserve">天内向发包人提交竣工结算资料和申请书</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竣工结算申请单应包括的内容：</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1</w:t>
      </w:r>
      <w:r>
        <w:rPr>
          <w:rFonts w:hint="eastAsia" w:ascii="宋体" w:hAnsi="宋体" w:cs="宋体"/>
          <w:color w:val="000000"/>
          <w:sz w:val="24"/>
          <w:highlight w:val="none"/>
          <w:u w:val="single"/>
        </w:rPr>
        <w:t xml:space="preserve">）竣工结算书原件、工程量计算书。</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2</w:t>
      </w:r>
      <w:r>
        <w:rPr>
          <w:rFonts w:hint="eastAsia" w:ascii="宋体" w:hAnsi="宋体" w:cs="宋体"/>
          <w:color w:val="000000"/>
          <w:sz w:val="24"/>
          <w:highlight w:val="none"/>
          <w:u w:val="single"/>
        </w:rPr>
        <w:t xml:space="preserve">）施工合同原件、中标通知书复印件。</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3</w:t>
      </w:r>
      <w:r>
        <w:rPr>
          <w:rFonts w:hint="eastAsia" w:ascii="宋体" w:hAnsi="宋体" w:cs="宋体"/>
          <w:color w:val="000000"/>
          <w:sz w:val="24"/>
          <w:highlight w:val="none"/>
          <w:u w:val="single"/>
        </w:rPr>
        <w:t xml:space="preserve">）招标文件、招标答疑、投标文件。</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4</w:t>
      </w:r>
      <w:r>
        <w:rPr>
          <w:rFonts w:hint="eastAsia" w:ascii="宋体" w:hAnsi="宋体" w:cs="宋体"/>
          <w:color w:val="000000"/>
          <w:sz w:val="24"/>
          <w:highlight w:val="none"/>
          <w:u w:val="single"/>
        </w:rPr>
        <w:t xml:space="preserve">）竣工图纸（蓝图）；</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5</w:t>
      </w:r>
      <w:r>
        <w:rPr>
          <w:rFonts w:hint="eastAsia" w:ascii="宋体" w:hAnsi="宋体" w:cs="宋体"/>
          <w:color w:val="000000"/>
          <w:sz w:val="24"/>
          <w:highlight w:val="none"/>
          <w:u w:val="single"/>
        </w:rPr>
        <w:t xml:space="preserve">）竣工资料原件（包括开竣工报告、分部分项工程验收记录以及材料检测等资料，经监理核查装订成册，拟报档案管存档的资料）；</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6</w:t>
      </w:r>
      <w:r>
        <w:rPr>
          <w:rFonts w:hint="eastAsia" w:ascii="宋体" w:hAnsi="宋体" w:cs="宋体"/>
          <w:color w:val="000000"/>
          <w:sz w:val="24"/>
          <w:highlight w:val="none"/>
          <w:u w:val="single"/>
        </w:rPr>
        <w:t xml:space="preserve">）设计变更、工程签证、图纸会审、会议纪要等结算资料；</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7</w:t>
      </w:r>
      <w:r>
        <w:rPr>
          <w:rFonts w:hint="eastAsia" w:ascii="宋体" w:hAnsi="宋体" w:cs="宋体"/>
          <w:color w:val="000000"/>
          <w:sz w:val="24"/>
          <w:highlight w:val="none"/>
          <w:u w:val="single"/>
        </w:rPr>
        <w:t xml:space="preserve">）电子文件（包括投标报价、竣工结算书、施工图纸等）；</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8</w:t>
      </w:r>
      <w:r>
        <w:rPr>
          <w:rFonts w:hint="eastAsia" w:ascii="宋体" w:hAnsi="宋体" w:cs="宋体"/>
          <w:color w:val="000000"/>
          <w:sz w:val="24"/>
          <w:highlight w:val="none"/>
          <w:u w:val="single"/>
        </w:rPr>
        <w:t xml:space="preserve">）甲供材料结算单、结算审计水电费扣除委托表，由审计单位在工程款中核减。</w:t>
      </w:r>
      <w:r/>
    </w:p>
    <w:p>
      <w:pPr>
        <w:ind w:firstLine="482"/>
        <w:spacing w:line="360" w:lineRule="auto"/>
        <w:rPr>
          <w:rFonts w:ascii="宋体" w:hAnsi="宋体" w:eastAsia="Calibri" w:cs="宋体"/>
          <w:b/>
          <w:color w:val="000000"/>
          <w:sz w:val="24"/>
          <w:highlight w:val="none"/>
        </w:rPr>
      </w:pPr>
      <w:r/>
      <w:bookmarkStart w:id="569" w:name="_Toc36797941"/>
      <w:r>
        <w:rPr>
          <w:rFonts w:hint="eastAsia" w:ascii="宋体" w:hAnsi="宋体" w:eastAsia="Calibri" w:cs="宋体"/>
          <w:b/>
          <w:color w:val="000000"/>
          <w:sz w:val="24"/>
          <w:highlight w:val="none"/>
        </w:rPr>
        <w:t xml:space="preserve">14.2 </w:t>
      </w:r>
      <w:r>
        <w:rPr>
          <w:rFonts w:hint="eastAsia" w:ascii="宋体" w:hAnsi="宋体" w:cs="宋体"/>
          <w:b/>
          <w:color w:val="000000"/>
          <w:sz w:val="24"/>
          <w:highlight w:val="none"/>
        </w:rPr>
        <w:t xml:space="preserve">竣工结算审核</w:t>
      </w:r>
      <w:bookmarkEnd w:id="569"/>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发包人审批竣工付款申请单的期限：</w:t>
      </w:r>
      <w:r>
        <w:rPr>
          <w:rFonts w:hint="eastAsia" w:ascii="宋体" w:hAnsi="宋体" w:cs="宋体"/>
          <w:color w:val="000000"/>
          <w:sz w:val="24"/>
          <w:highlight w:val="none"/>
          <w:u w:val="single"/>
        </w:rPr>
        <w:t xml:space="preserve">按通用合同条款执行</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发包人完成竣工付款的期限：</w:t>
      </w:r>
      <w:r>
        <w:rPr>
          <w:rFonts w:hint="eastAsia" w:ascii="宋体" w:hAnsi="宋体" w:cs="宋体"/>
          <w:color w:val="000000"/>
          <w:sz w:val="24"/>
          <w:highlight w:val="none"/>
          <w:u w:val="single"/>
        </w:rPr>
        <w:t xml:space="preserve">按通用合同条款执行</w:t>
      </w:r>
      <w:r>
        <w:rPr>
          <w:rFonts w:hint="eastAsia" w:ascii="宋体" w:hAnsi="宋体" w:cs="宋体"/>
          <w:color w:val="000000"/>
          <w:sz w:val="24"/>
          <w:highlight w:val="none"/>
        </w:rPr>
        <w:t xml:space="preserve">。</w:t>
      </w:r>
      <w:r/>
    </w:p>
    <w:p>
      <w:pPr>
        <w:ind w:firstLine="482"/>
        <w:jc w:val="left"/>
        <w:spacing w:line="360" w:lineRule="auto"/>
        <w:widowControl/>
        <w:rPr>
          <w:rFonts w:ascii="宋体" w:hAnsi="宋体" w:cs="宋体"/>
          <w:color w:val="000000"/>
          <w:sz w:val="24"/>
          <w:szCs w:val="22"/>
          <w:highlight w:val="none"/>
          <w:u w:val="single"/>
        </w:rPr>
      </w:pPr>
      <w:r>
        <w:rPr>
          <w:rFonts w:hint="eastAsia" w:ascii="宋体" w:hAnsi="宋体" w:cs="宋体"/>
          <w:color w:val="000000"/>
          <w:sz w:val="24"/>
          <w:szCs w:val="22"/>
          <w:highlight w:val="none"/>
        </w:rPr>
        <w:t xml:space="preserve">关于竣工付款证书异议部分复核的方式和程序：</w:t>
      </w:r>
      <w:r>
        <w:rPr>
          <w:rFonts w:hint="eastAsia" w:ascii="宋体" w:hAnsi="宋体" w:cs="宋体"/>
          <w:color w:val="000000"/>
          <w:sz w:val="24"/>
          <w:szCs w:val="22"/>
          <w:highlight w:val="none"/>
          <w:u w:val="single"/>
        </w:rPr>
        <w:t xml:space="preserve">经发包人指定机构审核，若核减率超过10%时，全额审计费由承包人支付，核减额计取费率按照审计合同执行。核减率按竣工结算审计最终核定额与施工单位送审额之间的差额除以施工单位送审额计算。</w:t>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14.3 </w:t>
      </w:r>
      <w:r>
        <w:rPr>
          <w:rFonts w:hint="eastAsia" w:ascii="宋体" w:hAnsi="宋体" w:cs="宋体"/>
          <w:b/>
          <w:color w:val="000000"/>
          <w:sz w:val="24"/>
          <w:highlight w:val="none"/>
        </w:rPr>
        <w:t xml:space="preserve">最终结清</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14.3.1 </w:t>
      </w:r>
      <w:r>
        <w:rPr>
          <w:rFonts w:hint="eastAsia" w:ascii="宋体" w:hAnsi="宋体" w:cs="宋体"/>
          <w:color w:val="000000"/>
          <w:sz w:val="24"/>
          <w:highlight w:val="none"/>
        </w:rPr>
        <w:t xml:space="preserve">最终结清申请单</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承包人提交最终结清申请单的份数：</w:t>
      </w:r>
      <w:r>
        <w:rPr>
          <w:rFonts w:hint="eastAsia" w:ascii="宋体" w:hAnsi="宋体" w:cs="宋体"/>
          <w:color w:val="000000"/>
          <w:sz w:val="24"/>
          <w:highlight w:val="none"/>
          <w:u w:val="single"/>
        </w:rPr>
        <w:t xml:space="preserve">两份纸质版文件，一份电子版文件</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承包人提交最终结算申请单的期限：</w:t>
      </w:r>
      <w:r>
        <w:rPr>
          <w:rFonts w:hint="eastAsia" w:ascii="宋体" w:hAnsi="宋体" w:cs="宋体"/>
          <w:color w:val="000000"/>
          <w:sz w:val="24"/>
          <w:highlight w:val="none"/>
          <w:u w:val="single"/>
        </w:rPr>
        <w:t xml:space="preserve">缺陷责任期届满后</w:t>
      </w:r>
      <w:r>
        <w:rPr>
          <w:rFonts w:hint="eastAsia" w:ascii="宋体" w:hAnsi="宋体" w:eastAsia="Calibri" w:cs="宋体"/>
          <w:color w:val="000000"/>
          <w:sz w:val="24"/>
          <w:highlight w:val="none"/>
          <w:u w:val="single"/>
        </w:rPr>
        <w:t xml:space="preserve">30</w:t>
      </w:r>
      <w:r>
        <w:rPr>
          <w:rFonts w:hint="eastAsia" w:ascii="宋体" w:hAnsi="宋体" w:cs="宋体"/>
          <w:color w:val="000000"/>
          <w:sz w:val="24"/>
          <w:highlight w:val="none"/>
          <w:u w:val="single"/>
        </w:rPr>
        <w:t xml:space="preserve">天内</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14.3.2 </w:t>
      </w:r>
      <w:r>
        <w:rPr>
          <w:rFonts w:hint="eastAsia" w:ascii="宋体" w:hAnsi="宋体" w:cs="宋体"/>
          <w:color w:val="000000"/>
          <w:sz w:val="24"/>
          <w:highlight w:val="none"/>
        </w:rPr>
        <w:t xml:space="preserve">最终结清证书和支付</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1</w:t>
      </w:r>
      <w:r>
        <w:rPr>
          <w:rFonts w:hint="eastAsia" w:ascii="宋体" w:hAnsi="宋体" w:cs="宋体"/>
          <w:color w:val="000000"/>
          <w:sz w:val="24"/>
          <w:highlight w:val="none"/>
        </w:rPr>
        <w:t xml:space="preserve">）发包人完成最终结清申请单的审批并颁发最终结清证书的期限：</w:t>
      </w:r>
      <w:r>
        <w:rPr>
          <w:rFonts w:hint="eastAsia" w:ascii="宋体" w:hAnsi="宋体" w:cs="宋体"/>
          <w:color w:val="000000"/>
          <w:sz w:val="24"/>
          <w:highlight w:val="none"/>
          <w:u w:val="single"/>
        </w:rPr>
        <w:t xml:space="preserve">收到最终结算申请书后</w:t>
      </w:r>
      <w:r>
        <w:rPr>
          <w:rFonts w:hint="eastAsia" w:ascii="宋体" w:hAnsi="宋体" w:eastAsia="Calibri" w:cs="宋体"/>
          <w:color w:val="000000"/>
          <w:sz w:val="24"/>
          <w:highlight w:val="none"/>
          <w:u w:val="single"/>
        </w:rPr>
        <w:t xml:space="preserve">30</w:t>
      </w:r>
      <w:r>
        <w:rPr>
          <w:rFonts w:hint="eastAsia" w:ascii="宋体" w:hAnsi="宋体" w:cs="宋体"/>
          <w:color w:val="000000"/>
          <w:sz w:val="24"/>
          <w:highlight w:val="none"/>
          <w:u w:val="single"/>
        </w:rPr>
        <w:t xml:space="preserve">天内</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2</w:t>
      </w:r>
      <w:r>
        <w:rPr>
          <w:rFonts w:hint="eastAsia" w:ascii="宋体" w:hAnsi="宋体" w:cs="宋体"/>
          <w:color w:val="000000"/>
          <w:sz w:val="24"/>
          <w:highlight w:val="none"/>
        </w:rPr>
        <w:t xml:space="preserve">）发包人完成支付的期限：</w:t>
      </w:r>
      <w:r>
        <w:rPr>
          <w:rFonts w:hint="eastAsia" w:ascii="宋体" w:hAnsi="宋体" w:cs="宋体"/>
          <w:color w:val="000000"/>
          <w:sz w:val="24"/>
          <w:highlight w:val="none"/>
          <w:u w:val="single"/>
        </w:rPr>
        <w:t xml:space="preserve">最终结算申请书定审后</w:t>
      </w:r>
      <w:r>
        <w:rPr>
          <w:rFonts w:hint="eastAsia" w:ascii="宋体" w:hAnsi="宋体" w:eastAsia="Calibri" w:cs="宋体"/>
          <w:color w:val="000000"/>
          <w:sz w:val="24"/>
          <w:highlight w:val="none"/>
          <w:u w:val="single"/>
        </w:rPr>
        <w:t xml:space="preserve">30</w:t>
      </w:r>
      <w:r>
        <w:rPr>
          <w:rFonts w:hint="eastAsia" w:ascii="宋体" w:hAnsi="宋体" w:cs="宋体"/>
          <w:color w:val="000000"/>
          <w:sz w:val="24"/>
          <w:highlight w:val="none"/>
          <w:u w:val="single"/>
        </w:rPr>
        <w:t xml:space="preserve">天内</w:t>
      </w:r>
      <w:r>
        <w:rPr>
          <w:rFonts w:hint="eastAsia" w:ascii="宋体" w:hAnsi="宋体" w:cs="宋体"/>
          <w:color w:val="000000"/>
          <w:sz w:val="24"/>
          <w:highlight w:val="none"/>
        </w:rPr>
        <w:t xml:space="preserve">。</w:t>
      </w:r>
      <w:bookmarkEnd w:id="554"/>
      <w:r/>
      <w:bookmarkEnd w:id="555"/>
      <w:r/>
      <w:bookmarkEnd w:id="556"/>
      <w:r/>
      <w:bookmarkEnd w:id="557"/>
      <w:r/>
      <w:bookmarkEnd w:id="558"/>
      <w:r/>
      <w:bookmarkEnd w:id="559"/>
      <w:r/>
      <w:bookmarkEnd w:id="560"/>
      <w:r/>
      <w:bookmarkEnd w:id="566"/>
      <w:r/>
      <w:r/>
    </w:p>
    <w:p>
      <w:pPr>
        <w:spacing w:line="360" w:lineRule="auto"/>
        <w:rPr>
          <w:rFonts w:ascii="宋体" w:hAnsi="宋体" w:cs="宋体"/>
          <w:b/>
          <w:bCs/>
          <w:color w:val="000000"/>
          <w:sz w:val="24"/>
          <w:highlight w:val="none"/>
        </w:rPr>
      </w:pPr>
      <w:r/>
      <w:bookmarkStart w:id="570" w:name="_Toc351203647"/>
      <w:r/>
      <w:bookmarkStart w:id="571" w:name="_Toc267251483"/>
      <w:r/>
      <w:bookmarkStart w:id="572" w:name="_Toc267251484"/>
      <w:r/>
      <w:bookmarkStart w:id="573" w:name="_Toc267251482"/>
      <w:r/>
      <w:bookmarkStart w:id="574" w:name="_Toc267251485"/>
      <w:r/>
      <w:bookmarkStart w:id="575" w:name="_Toc267251490"/>
      <w:r/>
      <w:bookmarkStart w:id="576" w:name="_Toc267251486"/>
      <w:r/>
      <w:bookmarkStart w:id="577" w:name="_Toc267251489"/>
      <w:r/>
      <w:bookmarkStart w:id="578" w:name="_Toc267251488"/>
      <w:r/>
      <w:bookmarkStart w:id="579" w:name="_Toc267251493"/>
      <w:r/>
      <w:bookmarkStart w:id="580" w:name="_Toc267251501"/>
      <w:r/>
      <w:bookmarkStart w:id="581" w:name="_Toc267251496"/>
      <w:r/>
      <w:bookmarkStart w:id="582" w:name="_Toc267251497"/>
      <w:r/>
      <w:bookmarkStart w:id="583" w:name="_Toc267251492"/>
      <w:r/>
      <w:bookmarkStart w:id="584" w:name="_Toc267251502"/>
      <w:r/>
      <w:bookmarkStart w:id="585" w:name="_Toc267251499"/>
      <w:r/>
      <w:bookmarkStart w:id="586" w:name="_Toc267251503"/>
      <w:r/>
      <w:bookmarkStart w:id="587" w:name="_Toc267251494"/>
      <w:r/>
      <w:bookmarkStart w:id="588" w:name="_Toc267251495"/>
      <w:r/>
      <w:bookmarkStart w:id="589" w:name="_Toc267251491"/>
      <w:r/>
      <w:bookmarkStart w:id="590" w:name="_Toc267251498"/>
      <w:r/>
      <w:bookmarkStart w:id="591" w:name="_Toc267251504"/>
      <w:r/>
      <w:bookmarkStart w:id="592" w:name="_Toc267251506"/>
      <w:r/>
      <w:bookmarkStart w:id="593" w:name="_Toc267251507"/>
      <w:r/>
      <w:bookmarkStart w:id="594" w:name="_Toc267251508"/>
      <w:r/>
      <w:bookmarkStart w:id="595" w:name="_Toc267251509"/>
      <w:r/>
      <w:bookmarkStart w:id="596" w:name="_Toc267251515"/>
      <w:r/>
      <w:bookmarkStart w:id="597" w:name="_Toc267251513"/>
      <w:r/>
      <w:bookmarkStart w:id="598" w:name="_Toc267251510"/>
      <w:r/>
      <w:bookmarkStart w:id="599" w:name="_Toc267251514"/>
      <w:r/>
      <w:bookmarkStart w:id="600" w:name="_Toc267251511"/>
      <w:r>
        <w:rPr>
          <w:rFonts w:hint="eastAsia" w:ascii="宋体" w:hAnsi="宋体" w:cs="宋体"/>
          <w:b/>
          <w:bCs/>
          <w:color w:val="000000"/>
          <w:sz w:val="24"/>
          <w:highlight w:val="none"/>
        </w:rPr>
        <w:t xml:space="preserve">15. 缺陷责任期与保修</w:t>
      </w:r>
      <w:bookmarkEnd w:id="570"/>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15.1</w:t>
      </w:r>
      <w:r>
        <w:rPr>
          <w:rFonts w:hint="eastAsia" w:ascii="宋体" w:hAnsi="宋体" w:cs="宋体"/>
          <w:b/>
          <w:color w:val="000000"/>
          <w:sz w:val="24"/>
          <w:highlight w:val="none"/>
        </w:rPr>
        <w:t xml:space="preserve">工程保修原则</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在工程移交发包人后，因承包人原因产生的质量缺陷，承包人应承担质量缺陷责任和保修义务。缺陷责任期届满，承包人仍应按合同约定的各部位保修年限承担保修义务。</w:t>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15.2</w:t>
      </w:r>
      <w:r>
        <w:rPr>
          <w:rFonts w:hint="eastAsia" w:ascii="宋体" w:hAnsi="宋体" w:cs="宋体"/>
          <w:b/>
          <w:color w:val="000000"/>
          <w:sz w:val="24"/>
          <w:highlight w:val="none"/>
        </w:rPr>
        <w:t xml:space="preserve">缺陷责任期</w:t>
      </w:r>
      <w:bookmarkEnd w:id="571"/>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15.2.1</w:t>
      </w:r>
      <w:r>
        <w:rPr>
          <w:rFonts w:hint="eastAsia" w:ascii="宋体" w:hAnsi="宋体" w:cs="宋体"/>
          <w:color w:val="000000"/>
          <w:sz w:val="24"/>
          <w:highlight w:val="none"/>
        </w:rPr>
        <w:t xml:space="preserve">缺陷责任期的具体期限：</w:t>
      </w:r>
      <w:r>
        <w:rPr>
          <w:rFonts w:hint="eastAsia" w:ascii="宋体" w:hAnsi="宋体" w:cs="宋体"/>
          <w:color w:val="000000"/>
          <w:sz w:val="24"/>
          <w:highlight w:val="none"/>
          <w:u w:val="single"/>
        </w:rPr>
        <w:t xml:space="preserve">缺陷责任期自实际竣工日期起24个月。</w:t>
      </w:r>
      <w:r/>
    </w:p>
    <w:p>
      <w:pPr>
        <w:ind w:firstLine="482"/>
        <w:spacing w:line="360" w:lineRule="auto"/>
        <w:rPr>
          <w:rFonts w:ascii="宋体" w:hAnsi="宋体" w:eastAsia="Calibri" w:cs="宋体"/>
          <w:b/>
          <w:color w:val="000000"/>
          <w:sz w:val="24"/>
          <w:highlight w:val="none"/>
        </w:rPr>
      </w:pPr>
      <w:r/>
      <w:bookmarkStart w:id="601" w:name="_Toc36797942"/>
      <w:r>
        <w:rPr>
          <w:rFonts w:hint="eastAsia" w:ascii="宋体" w:hAnsi="宋体" w:eastAsia="Calibri" w:cs="宋体"/>
          <w:b/>
          <w:color w:val="000000"/>
          <w:sz w:val="24"/>
          <w:highlight w:val="none"/>
        </w:rPr>
        <w:t xml:space="preserve">15.3 </w:t>
      </w:r>
      <w:r>
        <w:rPr>
          <w:rFonts w:hint="eastAsia" w:ascii="宋体" w:hAnsi="宋体" w:cs="宋体"/>
          <w:b/>
          <w:color w:val="000000"/>
          <w:sz w:val="24"/>
          <w:highlight w:val="none"/>
        </w:rPr>
        <w:t xml:space="preserve">质量保证金</w:t>
      </w:r>
      <w:bookmarkEnd w:id="601"/>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关于是否扣留质量保证金的约定：</w:t>
      </w:r>
      <w:r>
        <w:rPr>
          <w:rFonts w:hint="eastAsia" w:ascii="宋体" w:hAnsi="宋体" w:cs="宋体"/>
          <w:color w:val="000000"/>
          <w:sz w:val="24"/>
          <w:highlight w:val="none"/>
          <w:u w:val="single"/>
        </w:rPr>
        <w:t xml:space="preserve">审定结算价的</w:t>
      </w:r>
      <w:r>
        <w:rPr>
          <w:rFonts w:hint="eastAsia" w:ascii="宋体" w:hAnsi="宋体" w:eastAsia="Calibri" w:cs="宋体"/>
          <w:color w:val="000000"/>
          <w:sz w:val="24"/>
          <w:highlight w:val="none"/>
          <w:u w:val="single"/>
        </w:rPr>
        <w:t xml:space="preserve">3%</w:t>
      </w:r>
      <w:r>
        <w:rPr>
          <w:rFonts w:hint="eastAsia" w:ascii="宋体" w:hAnsi="宋体" w:cs="宋体"/>
          <w:color w:val="000000"/>
          <w:sz w:val="24"/>
          <w:highlight w:val="none"/>
        </w:rPr>
        <w:t xml:space="preserve">。在工程项目竣工前，承包人按专用合同条款第</w:t>
      </w:r>
      <w:r>
        <w:rPr>
          <w:rFonts w:hint="eastAsia" w:ascii="宋体" w:hAnsi="宋体" w:eastAsia="Calibri" w:cs="宋体"/>
          <w:color w:val="000000"/>
          <w:sz w:val="24"/>
          <w:highlight w:val="none"/>
        </w:rPr>
        <w:t xml:space="preserve">3.7</w:t>
      </w:r>
      <w:r>
        <w:rPr>
          <w:rFonts w:hint="eastAsia" w:ascii="宋体" w:hAnsi="宋体" w:cs="宋体"/>
          <w:color w:val="000000"/>
          <w:sz w:val="24"/>
          <w:highlight w:val="none"/>
        </w:rPr>
        <w:t xml:space="preserve">条提供履约担保的，发包人不得同时预留工程质量保证金。</w:t>
      </w:r>
      <w:r/>
    </w:p>
    <w:p>
      <w:pPr>
        <w:ind w:firstLine="480"/>
        <w:spacing w:line="360" w:lineRule="auto"/>
        <w:rPr>
          <w:rFonts w:ascii="宋体" w:hAnsi="宋体" w:eastAsia="Calibri" w:cs="宋体"/>
          <w:color w:val="000000"/>
          <w:sz w:val="24"/>
          <w:highlight w:val="none"/>
        </w:rPr>
      </w:pPr>
      <w:r/>
      <w:bookmarkStart w:id="602" w:name="_Toc36797943"/>
      <w:r>
        <w:rPr>
          <w:rFonts w:hint="eastAsia" w:ascii="宋体" w:hAnsi="宋体" w:eastAsia="Calibri" w:cs="宋体"/>
          <w:color w:val="000000"/>
          <w:sz w:val="24"/>
          <w:highlight w:val="none"/>
        </w:rPr>
        <w:t xml:space="preserve">15.3.1 </w:t>
      </w:r>
      <w:r>
        <w:rPr>
          <w:rFonts w:hint="eastAsia" w:ascii="宋体" w:hAnsi="宋体" w:cs="宋体"/>
          <w:color w:val="000000"/>
          <w:sz w:val="24"/>
          <w:highlight w:val="none"/>
        </w:rPr>
        <w:t xml:space="preserve">承包人提供质量保证金的方式</w:t>
      </w:r>
      <w:bookmarkEnd w:id="602"/>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质量保证金采用以下第</w:t>
      </w:r>
      <w:r>
        <w:rPr>
          <w:rFonts w:hint="eastAsia" w:ascii="宋体" w:hAnsi="宋体" w:eastAsia="宋体" w:cs="宋体"/>
          <w:color w:val="000000"/>
          <w:sz w:val="24"/>
          <w:highlight w:val="none"/>
          <w:u w:val="single"/>
          <w:lang w:val="en-US" w:eastAsia="zh-CN"/>
        </w:rPr>
        <w:t xml:space="preserve">1</w:t>
      </w:r>
      <w:r>
        <w:rPr>
          <w:rFonts w:hint="eastAsia" w:ascii="宋体" w:hAnsi="宋体" w:cs="宋体"/>
          <w:color w:val="000000"/>
          <w:sz w:val="24"/>
          <w:highlight w:val="none"/>
        </w:rPr>
        <w:t xml:space="preserve">种方式：</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1</w:t>
      </w:r>
      <w:r>
        <w:rPr>
          <w:rFonts w:hint="eastAsia" w:ascii="宋体" w:hAnsi="宋体" w:cs="宋体"/>
          <w:color w:val="000000"/>
          <w:sz w:val="24"/>
          <w:highlight w:val="none"/>
        </w:rPr>
        <w:t xml:space="preserve">）质量保证金保函，保证金额为：</w:t>
      </w:r>
      <w:r>
        <w:rPr>
          <w:rFonts w:hint="eastAsia" w:ascii="宋体" w:hAnsi="宋体" w:cs="宋体"/>
          <w:color w:val="000000"/>
          <w:sz w:val="24"/>
          <w:highlight w:val="none"/>
          <w:u w:val="single"/>
        </w:rPr>
        <w:t xml:space="preserve">审定结算价</w:t>
      </w:r>
      <w:r>
        <w:rPr>
          <w:rFonts w:hint="eastAsia" w:ascii="宋体" w:hAnsi="宋体" w:eastAsia="Calibri" w:cs="宋体"/>
          <w:color w:val="000000"/>
          <w:sz w:val="24"/>
          <w:highlight w:val="none"/>
          <w:u w:val="single"/>
        </w:rPr>
        <w:t xml:space="preserve">3%</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2</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rPr>
        <w:t xml:space="preserve">的工程款；</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3</w:t>
      </w:r>
      <w:r>
        <w:rPr>
          <w:rFonts w:hint="eastAsia" w:ascii="宋体" w:hAnsi="宋体" w:cs="宋体"/>
          <w:color w:val="000000"/>
          <w:sz w:val="24"/>
          <w:highlight w:val="none"/>
        </w:rPr>
        <w:t xml:space="preserve">）其他方式</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bookmarkStart w:id="603" w:name="_Toc36797944"/>
      <w:r>
        <w:rPr>
          <w:rFonts w:hint="eastAsia" w:ascii="宋体" w:hAnsi="宋体" w:eastAsia="Calibri" w:cs="宋体"/>
          <w:color w:val="000000"/>
          <w:sz w:val="24"/>
          <w:highlight w:val="none"/>
        </w:rPr>
        <w:t xml:space="preserve">15.3.2 </w:t>
      </w:r>
      <w:r>
        <w:rPr>
          <w:rFonts w:hint="eastAsia" w:ascii="宋体" w:hAnsi="宋体" w:cs="宋体"/>
          <w:color w:val="000000"/>
          <w:sz w:val="24"/>
          <w:highlight w:val="none"/>
        </w:rPr>
        <w:t xml:space="preserve">质量保证金的扣留</w:t>
      </w:r>
      <w:bookmarkEnd w:id="603"/>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质量保证金的扣留采取以下第</w:t>
      </w:r>
      <w:r>
        <w:rPr>
          <w:rFonts w:hint="eastAsia" w:ascii="宋体" w:hAnsi="宋体" w:cs="宋体"/>
          <w:color w:val="000000"/>
          <w:sz w:val="24"/>
          <w:highlight w:val="none"/>
          <w:u w:val="single"/>
        </w:rPr>
        <w:t xml:space="preserve">（</w:t>
      </w:r>
      <w:r>
        <w:rPr>
          <w:rFonts w:hint="eastAsia" w:ascii="宋体" w:hAnsi="宋体" w:eastAsia="宋体" w:cs="宋体"/>
          <w:color w:val="000000"/>
          <w:sz w:val="24"/>
          <w:highlight w:val="none"/>
          <w:u w:val="single"/>
          <w:lang w:val="en-US" w:eastAsia="zh-CN"/>
        </w:rPr>
        <w:t xml:space="preserve">3</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种方式：</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1</w:t>
      </w:r>
      <w:r>
        <w:rPr>
          <w:rFonts w:hint="eastAsia" w:ascii="宋体" w:hAnsi="宋体" w:cs="宋体"/>
          <w:color w:val="000000"/>
          <w:sz w:val="24"/>
          <w:highlight w:val="none"/>
        </w:rPr>
        <w:t xml:space="preserve">）在支付工程进度款时逐次扣留，在此情形下，质量保证金的计算基数不包括预付款的支付、扣回以及价格调整的金额；</w:t>
      </w:r>
      <w:r/>
    </w:p>
    <w:p>
      <w:pPr>
        <w:ind w:firstLine="480"/>
        <w:spacing w:line="360" w:lineRule="auto"/>
        <w:rPr>
          <w:rFonts w:ascii="宋体" w:hAnsi="宋体" w:eastAsia="Calibri" w:cs="宋体"/>
          <w:color w:val="000000"/>
          <w:sz w:val="24"/>
          <w:highlight w:val="none"/>
        </w:rPr>
      </w:pPr>
      <w:r/>
      <w:bookmarkStart w:id="604" w:name="_Toc36797945"/>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2</w:t>
      </w:r>
      <w:r>
        <w:rPr>
          <w:rFonts w:hint="eastAsia" w:ascii="宋体" w:hAnsi="宋体" w:cs="宋体"/>
          <w:color w:val="000000"/>
          <w:sz w:val="24"/>
          <w:highlight w:val="none"/>
        </w:rPr>
        <w:t xml:space="preserve">）工程竣工结算</w:t>
      </w:r>
      <w:r>
        <w:rPr>
          <w:rFonts w:hint="eastAsia" w:ascii="宋体" w:hAnsi="宋体" w:cs="宋体"/>
          <w:color w:val="000000"/>
          <w:sz w:val="24"/>
          <w:highlight w:val="none"/>
          <w:lang w:val="en-US" w:eastAsia="zh-CN"/>
        </w:rPr>
        <w:t xml:space="preserve">时</w:t>
      </w:r>
      <w:r>
        <w:rPr>
          <w:rFonts w:hint="eastAsia" w:ascii="宋体" w:hAnsi="宋体" w:cs="宋体"/>
          <w:color w:val="000000"/>
          <w:sz w:val="24"/>
          <w:highlight w:val="none"/>
        </w:rPr>
        <w:t xml:space="preserve">一次性扣留质量保证金；</w:t>
      </w:r>
      <w:bookmarkEnd w:id="604"/>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3</w:t>
      </w:r>
      <w:r>
        <w:rPr>
          <w:rFonts w:hint="eastAsia" w:ascii="宋体" w:hAnsi="宋体" w:cs="宋体"/>
          <w:color w:val="000000"/>
          <w:sz w:val="24"/>
          <w:highlight w:val="none"/>
        </w:rPr>
        <w:t xml:space="preserve">）其他扣留方式</w:t>
      </w:r>
      <w:r>
        <w:rPr>
          <w:rFonts w:hint="eastAsia" w:ascii="宋体" w:hAnsi="宋体" w:eastAsia="Calibri" w:cs="宋体"/>
          <w:color w:val="000000"/>
          <w:sz w:val="24"/>
          <w:highlight w:val="none"/>
        </w:rPr>
        <w:t xml:space="preserve">:</w:t>
      </w:r>
      <w:r>
        <w:rPr>
          <w:rFonts w:hint="eastAsia" w:ascii="宋体" w:hAnsi="宋体" w:cs="宋体"/>
          <w:color w:val="000000"/>
          <w:sz w:val="24"/>
          <w:highlight w:val="none"/>
          <w:u w:val="single"/>
        </w:rPr>
        <w:t xml:space="preserve">详见15.3.1承包人提供质量保证金的方式。</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关于质量保证金的补充约定：</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bookmarkEnd w:id="572"/>
      <w:r/>
      <w:bookmarkEnd w:id="573"/>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15.4</w:t>
      </w:r>
      <w:r>
        <w:rPr>
          <w:rFonts w:hint="eastAsia" w:ascii="宋体" w:hAnsi="宋体" w:cs="宋体"/>
          <w:b/>
          <w:color w:val="000000"/>
          <w:sz w:val="24"/>
          <w:highlight w:val="none"/>
        </w:rPr>
        <w:t xml:space="preserve">保修</w:t>
      </w:r>
      <w:bookmarkEnd w:id="574"/>
      <w:r/>
      <w:r/>
    </w:p>
    <w:p>
      <w:pPr>
        <w:ind w:firstLine="468"/>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15.4.1 </w:t>
      </w:r>
      <w:r>
        <w:rPr>
          <w:rFonts w:hint="eastAsia" w:ascii="宋体" w:hAnsi="宋体" w:cs="宋体"/>
          <w:color w:val="000000"/>
          <w:sz w:val="24"/>
          <w:highlight w:val="none"/>
        </w:rPr>
        <w:t xml:space="preserve">保修责任</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工程保修期为：</w:t>
      </w:r>
      <w:r>
        <w:rPr>
          <w:rFonts w:hint="eastAsia" w:ascii="宋体" w:hAnsi="宋体" w:cs="宋体"/>
          <w:color w:val="000000"/>
          <w:sz w:val="24"/>
          <w:highlight w:val="none"/>
          <w:u w:val="single"/>
        </w:rPr>
        <w:t xml:space="preserve">按附件《工程质量保修书》约定执行。</w:t>
      </w:r>
      <w:r/>
    </w:p>
    <w:p>
      <w:pPr>
        <w:ind w:firstLine="468"/>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15.4.2 </w:t>
      </w:r>
      <w:r>
        <w:rPr>
          <w:rFonts w:hint="eastAsia" w:ascii="宋体" w:hAnsi="宋体" w:cs="宋体"/>
          <w:color w:val="000000"/>
          <w:sz w:val="24"/>
          <w:highlight w:val="none"/>
        </w:rPr>
        <w:t xml:space="preserve">修复通知</w:t>
      </w:r>
      <w:r/>
    </w:p>
    <w:p>
      <w:pPr>
        <w:ind w:firstLine="468"/>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承包人收到保修通知并到达工程现场的合理时间：</w:t>
      </w:r>
      <w:r>
        <w:rPr>
          <w:rFonts w:hint="eastAsia" w:ascii="宋体" w:hAnsi="宋体" w:cs="宋体"/>
          <w:color w:val="000000"/>
          <w:sz w:val="24"/>
          <w:highlight w:val="none"/>
          <w:u w:val="single"/>
        </w:rPr>
        <w:t xml:space="preserve">承包人收到保修通知并到达工程现场的合理时间：   小时内响应，    小时内维修完毕，特殊故障      小时内完成修复。</w:t>
      </w:r>
      <w:bookmarkEnd w:id="575"/>
      <w:r/>
      <w:bookmarkEnd w:id="576"/>
      <w:r/>
      <w:bookmarkEnd w:id="577"/>
      <w:r/>
      <w:bookmarkEnd w:id="578"/>
      <w:r/>
      <w:r/>
    </w:p>
    <w:p>
      <w:pPr>
        <w:spacing w:line="360" w:lineRule="auto"/>
        <w:rPr>
          <w:rFonts w:ascii="宋体" w:hAnsi="宋体" w:cs="宋体"/>
          <w:b/>
          <w:bCs/>
          <w:color w:val="000000"/>
          <w:sz w:val="24"/>
          <w:highlight w:val="none"/>
        </w:rPr>
      </w:pPr>
      <w:r/>
      <w:bookmarkStart w:id="605" w:name="_Toc351203648"/>
      <w:r/>
      <w:bookmarkStart w:id="606" w:name="_Toc280868717"/>
      <w:r/>
      <w:bookmarkStart w:id="607" w:name="_Toc280868718"/>
      <w:r>
        <w:rPr>
          <w:rFonts w:hint="eastAsia" w:ascii="宋体" w:hAnsi="宋体" w:cs="宋体"/>
          <w:b/>
          <w:bCs/>
          <w:color w:val="000000"/>
          <w:sz w:val="24"/>
          <w:highlight w:val="none"/>
        </w:rPr>
        <w:t xml:space="preserve">16. 违约</w:t>
      </w:r>
      <w:bookmarkEnd w:id="605"/>
      <w:r/>
      <w:r/>
    </w:p>
    <w:p>
      <w:pPr>
        <w:ind w:firstLine="482"/>
        <w:spacing w:line="360" w:lineRule="auto"/>
        <w:rPr>
          <w:rFonts w:ascii="宋体" w:hAnsi="宋体" w:eastAsia="Calibri" w:cs="宋体"/>
          <w:b/>
          <w:color w:val="000000"/>
          <w:sz w:val="24"/>
          <w:highlight w:val="none"/>
        </w:rPr>
      </w:pPr>
      <w:r/>
      <w:bookmarkStart w:id="608" w:name="_Toc36797946"/>
      <w:r>
        <w:rPr>
          <w:rFonts w:hint="eastAsia" w:ascii="宋体" w:hAnsi="宋体" w:eastAsia="Calibri" w:cs="宋体"/>
          <w:b/>
          <w:color w:val="000000"/>
          <w:sz w:val="24"/>
          <w:highlight w:val="none"/>
        </w:rPr>
        <w:t xml:space="preserve">16.1 </w:t>
      </w:r>
      <w:r>
        <w:rPr>
          <w:rFonts w:hint="eastAsia" w:ascii="宋体" w:hAnsi="宋体" w:cs="宋体"/>
          <w:b/>
          <w:color w:val="000000"/>
          <w:sz w:val="24"/>
          <w:highlight w:val="none"/>
        </w:rPr>
        <w:t xml:space="preserve">发包人违约</w:t>
      </w:r>
      <w:bookmarkEnd w:id="608"/>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16.1.1</w:t>
      </w:r>
      <w:r>
        <w:rPr>
          <w:rFonts w:hint="eastAsia" w:ascii="宋体" w:hAnsi="宋体" w:cs="宋体"/>
          <w:color w:val="000000"/>
          <w:sz w:val="24"/>
          <w:highlight w:val="none"/>
        </w:rPr>
        <w:t xml:space="preserve">发包人违约的情形</w:t>
      </w:r>
      <w:r/>
    </w:p>
    <w:p>
      <w:pPr>
        <w:ind w:left="1200" w:hanging="72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发包人违约的其他情形：</w:t>
      </w:r>
      <w:r>
        <w:rPr>
          <w:rFonts w:hint="eastAsia" w:ascii="宋体" w:hAnsi="宋体" w:cs="宋体"/>
          <w:color w:val="000000"/>
          <w:sz w:val="24"/>
          <w:highlight w:val="none"/>
          <w:u w:val="single"/>
        </w:rPr>
        <w:t xml:space="preserve">按通用合同条款执行</w:t>
      </w:r>
      <w:r>
        <w:rPr>
          <w:rFonts w:hint="eastAsia" w:ascii="宋体" w:hAnsi="宋体" w:cs="宋体"/>
          <w:color w:val="000000"/>
          <w:sz w:val="24"/>
          <w:highlight w:val="none"/>
        </w:rPr>
        <w:t xml:space="preserve">。</w:t>
      </w:r>
      <w:r/>
    </w:p>
    <w:p>
      <w:pPr>
        <w:ind w:left="1200" w:hanging="120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    16.1.2 </w:t>
      </w:r>
      <w:r>
        <w:rPr>
          <w:rFonts w:hint="eastAsia" w:ascii="宋体" w:hAnsi="宋体" w:cs="宋体"/>
          <w:color w:val="000000"/>
          <w:sz w:val="24"/>
          <w:highlight w:val="none"/>
        </w:rPr>
        <w:t xml:space="preserve">发包人违约的责任</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发包人违约责任的承担方式和计算方法：</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1</w:t>
      </w:r>
      <w:r>
        <w:rPr>
          <w:rFonts w:hint="eastAsia" w:ascii="宋体" w:hAnsi="宋体" w:cs="宋体"/>
          <w:color w:val="000000"/>
          <w:sz w:val="24"/>
          <w:highlight w:val="none"/>
        </w:rPr>
        <w:t xml:space="preserve">）因发包人原因未能在计划开工日期前</w:t>
      </w:r>
      <w:r>
        <w:rPr>
          <w:rFonts w:hint="eastAsia" w:ascii="宋体" w:hAnsi="宋体" w:eastAsia="Calibri" w:cs="宋体"/>
          <w:color w:val="000000"/>
          <w:sz w:val="24"/>
          <w:highlight w:val="none"/>
        </w:rPr>
        <w:t xml:space="preserve">7</w:t>
      </w:r>
      <w:r>
        <w:rPr>
          <w:rFonts w:hint="eastAsia" w:ascii="宋体" w:hAnsi="宋体" w:cs="宋体"/>
          <w:color w:val="000000"/>
          <w:sz w:val="24"/>
          <w:highlight w:val="none"/>
        </w:rPr>
        <w:t xml:space="preserve">天内下达开工通知的违约责任：</w:t>
      </w:r>
      <w:r>
        <w:rPr>
          <w:rFonts w:hint="eastAsia" w:ascii="宋体" w:hAnsi="宋体" w:cs="宋体"/>
          <w:color w:val="000000"/>
          <w:sz w:val="24"/>
          <w:highlight w:val="none"/>
          <w:u w:val="single"/>
        </w:rPr>
        <w:t xml:space="preserve">顺延工期，费用不索赔。</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2</w:t>
      </w:r>
      <w:r>
        <w:rPr>
          <w:rFonts w:hint="eastAsia" w:ascii="宋体" w:hAnsi="宋体" w:cs="宋体"/>
          <w:color w:val="000000"/>
          <w:sz w:val="24"/>
          <w:highlight w:val="none"/>
        </w:rPr>
        <w:t xml:space="preserve">）因发包人原因未能按合同约定支付合同价款的违约责任：</w:t>
      </w:r>
      <w:r>
        <w:rPr>
          <w:rFonts w:hint="eastAsia" w:ascii="宋体" w:hAnsi="宋体" w:cs="宋体"/>
          <w:color w:val="000000"/>
          <w:sz w:val="24"/>
          <w:highlight w:val="none"/>
          <w:u w:val="single"/>
        </w:rPr>
        <w:t xml:space="preserve">按通用条款执行。</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3</w:t>
      </w:r>
      <w:r>
        <w:rPr>
          <w:rFonts w:hint="eastAsia" w:ascii="宋体" w:hAnsi="宋体" w:cs="宋体"/>
          <w:color w:val="000000"/>
          <w:sz w:val="24"/>
          <w:highlight w:val="none"/>
        </w:rPr>
        <w:t xml:space="preserve">）发包人违反第</w:t>
      </w:r>
      <w:r>
        <w:rPr>
          <w:rFonts w:hint="eastAsia" w:ascii="宋体" w:hAnsi="宋体" w:eastAsia="Calibri" w:cs="宋体"/>
          <w:color w:val="000000"/>
          <w:sz w:val="24"/>
          <w:highlight w:val="none"/>
        </w:rPr>
        <w:t xml:space="preserve">10.1</w:t>
      </w:r>
      <w:r>
        <w:rPr>
          <w:rFonts w:hint="eastAsia" w:ascii="宋体" w:hAnsi="宋体" w:cs="宋体"/>
          <w:color w:val="000000"/>
          <w:sz w:val="24"/>
          <w:highlight w:val="none"/>
        </w:rPr>
        <w:t xml:space="preserve">款〔变更的范围〕第（</w:t>
      </w:r>
      <w:r>
        <w:rPr>
          <w:rFonts w:hint="eastAsia" w:ascii="宋体" w:hAnsi="宋体" w:eastAsia="Calibri" w:cs="宋体"/>
          <w:color w:val="000000"/>
          <w:sz w:val="24"/>
          <w:highlight w:val="none"/>
        </w:rPr>
        <w:t xml:space="preserve">2</w:t>
      </w:r>
      <w:r>
        <w:rPr>
          <w:rFonts w:hint="eastAsia" w:ascii="宋体" w:hAnsi="宋体" w:cs="宋体"/>
          <w:color w:val="000000"/>
          <w:sz w:val="24"/>
          <w:highlight w:val="none"/>
        </w:rPr>
        <w:t xml:space="preserve">）项约定，自行实施被取消的工作或转由他人实施的违约责任：</w:t>
      </w:r>
      <w:r>
        <w:rPr>
          <w:rFonts w:hint="eastAsia" w:ascii="宋体" w:hAnsi="宋体" w:cs="宋体"/>
          <w:color w:val="000000"/>
          <w:sz w:val="24"/>
          <w:highlight w:val="none"/>
          <w:u w:val="single"/>
        </w:rPr>
        <w:t xml:space="preserve">按通用合同条款执行</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4</w:t>
      </w:r>
      <w:r>
        <w:rPr>
          <w:rFonts w:hint="eastAsia" w:ascii="宋体" w:hAnsi="宋体" w:cs="宋体"/>
          <w:color w:val="000000"/>
          <w:sz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cs="宋体"/>
          <w:color w:val="000000"/>
          <w:sz w:val="24"/>
          <w:highlight w:val="none"/>
          <w:u w:val="single"/>
        </w:rPr>
        <w:t xml:space="preserve">顺延工期，费用不索赔。</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5</w:t>
      </w:r>
      <w:r>
        <w:rPr>
          <w:rFonts w:hint="eastAsia" w:ascii="宋体" w:hAnsi="宋体" w:cs="宋体"/>
          <w:color w:val="000000"/>
          <w:sz w:val="24"/>
          <w:highlight w:val="none"/>
        </w:rPr>
        <w:t xml:space="preserve">）因发包人违反合同约定造成暂停施工的违约责任：</w:t>
      </w:r>
      <w:r>
        <w:rPr>
          <w:rFonts w:hint="eastAsia" w:ascii="宋体" w:hAnsi="宋体" w:cs="宋体"/>
          <w:color w:val="000000"/>
          <w:sz w:val="24"/>
          <w:highlight w:val="none"/>
          <w:u w:val="single"/>
        </w:rPr>
        <w:t xml:space="preserve">顺延工期，费用不索赔。</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6</w:t>
      </w:r>
      <w:r>
        <w:rPr>
          <w:rFonts w:hint="eastAsia" w:ascii="宋体" w:hAnsi="宋体" w:cs="宋体"/>
          <w:color w:val="000000"/>
          <w:sz w:val="24"/>
          <w:highlight w:val="none"/>
        </w:rPr>
        <w:t xml:space="preserve">）发包人无正当理由没有在约定期限内发出复工指示，导致承包人无法复工的违约责任：</w:t>
      </w:r>
      <w:r>
        <w:rPr>
          <w:rFonts w:hint="eastAsia" w:ascii="宋体" w:hAnsi="宋体" w:cs="宋体"/>
          <w:color w:val="000000"/>
          <w:sz w:val="24"/>
          <w:highlight w:val="none"/>
          <w:u w:val="single"/>
        </w:rPr>
        <w:t xml:space="preserve">顺延工期，费用不索赔。</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7</w:t>
      </w:r>
      <w:r>
        <w:rPr>
          <w:rFonts w:hint="eastAsia" w:ascii="宋体" w:hAnsi="宋体" w:cs="宋体"/>
          <w:color w:val="000000"/>
          <w:sz w:val="24"/>
          <w:highlight w:val="none"/>
        </w:rPr>
        <w:t xml:space="preserve">）其他：</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16.1.3 </w:t>
      </w:r>
      <w:r>
        <w:rPr>
          <w:rFonts w:hint="eastAsia" w:ascii="宋体" w:hAnsi="宋体" w:cs="宋体"/>
          <w:color w:val="000000"/>
          <w:sz w:val="24"/>
          <w:highlight w:val="none"/>
        </w:rPr>
        <w:t xml:space="preserve">因发包人违约解除合同</w:t>
      </w:r>
      <w:r/>
    </w:p>
    <w:p>
      <w:pPr>
        <w:ind w:firstLine="480"/>
        <w:jc w:val="left"/>
        <w:spacing w:line="360" w:lineRule="auto"/>
        <w:rPr>
          <w:rFonts w:ascii="Calibri" w:hAnsi="Calibri"/>
          <w:color w:val="000000"/>
          <w:sz w:val="22"/>
          <w:szCs w:val="22"/>
          <w:highlight w:val="none"/>
        </w:rPr>
      </w:pPr>
      <w:r>
        <w:rPr>
          <w:rFonts w:hint="eastAsia" w:ascii="宋体" w:hAnsi="宋体" w:cs="宋体"/>
          <w:color w:val="000000"/>
          <w:sz w:val="24"/>
          <w:highlight w:val="none"/>
        </w:rPr>
        <w:t xml:space="preserve">承包人按16.1.1项〔发包人违约的情形〕约定暂停施工满</w:t>
      </w:r>
      <w:r>
        <w:rPr>
          <w:rFonts w:hint="eastAsia" w:ascii="宋体" w:hAnsi="宋体" w:cs="宋体"/>
          <w:color w:val="000000"/>
          <w:sz w:val="24"/>
          <w:highlight w:val="none"/>
          <w:u w:val="single"/>
        </w:rPr>
        <w:t xml:space="preserve">56</w:t>
      </w:r>
      <w:r>
        <w:rPr>
          <w:rFonts w:hint="eastAsia" w:ascii="宋体" w:hAnsi="宋体" w:cs="宋体"/>
          <w:color w:val="000000"/>
          <w:sz w:val="24"/>
          <w:highlight w:val="none"/>
        </w:rPr>
        <w:t xml:space="preserve">天后发包人仍不纠正其违约行为并致使合同目的不能实现的，承包人有权解除合同。</w:t>
      </w:r>
      <w:r/>
    </w:p>
    <w:p>
      <w:pPr>
        <w:ind w:firstLine="482"/>
        <w:spacing w:line="360" w:lineRule="auto"/>
        <w:rPr>
          <w:rFonts w:ascii="宋体" w:hAnsi="宋体" w:eastAsia="Calibri" w:cs="宋体"/>
          <w:b/>
          <w:color w:val="000000"/>
          <w:sz w:val="24"/>
          <w:highlight w:val="none"/>
        </w:rPr>
      </w:pPr>
      <w:r/>
      <w:bookmarkStart w:id="609" w:name="_Toc36797947"/>
      <w:r>
        <w:rPr>
          <w:rFonts w:hint="eastAsia" w:ascii="宋体" w:hAnsi="宋体" w:eastAsia="Calibri" w:cs="宋体"/>
          <w:b/>
          <w:color w:val="000000"/>
          <w:sz w:val="24"/>
          <w:highlight w:val="none"/>
        </w:rPr>
        <w:t xml:space="preserve">16.2 </w:t>
      </w:r>
      <w:r>
        <w:rPr>
          <w:rFonts w:hint="eastAsia" w:ascii="宋体" w:hAnsi="宋体" w:cs="宋体"/>
          <w:b/>
          <w:color w:val="000000"/>
          <w:sz w:val="24"/>
          <w:highlight w:val="none"/>
        </w:rPr>
        <w:t xml:space="preserve">承包人违约</w:t>
      </w:r>
      <w:bookmarkEnd w:id="609"/>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16.2.1 </w:t>
      </w:r>
      <w:r>
        <w:rPr>
          <w:rFonts w:hint="eastAsia" w:ascii="宋体" w:hAnsi="宋体" w:cs="宋体"/>
          <w:color w:val="000000"/>
          <w:sz w:val="24"/>
          <w:highlight w:val="none"/>
        </w:rPr>
        <w:t xml:space="preserve">承包人违约的情形</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除本合同其他条款的约定外，承包人违约的其他情形：</w:t>
      </w:r>
      <w:r>
        <w:rPr>
          <w:rFonts w:hint="eastAsia" w:ascii="宋体" w:hAnsi="宋体" w:cs="宋体"/>
          <w:color w:val="000000"/>
          <w:sz w:val="24"/>
          <w:highlight w:val="none"/>
          <w:u w:val="single"/>
        </w:rPr>
        <w:t xml:space="preserve">（1）、若发现承包人有违反施工图纸及相应技术规范或偷工减料的行为，发包人有权对承包人处以每次1万元以下的罚款，承包人需无条件返工至设计图纸及相关现行规范要求；</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（2）、若承包人延误提交竣工结算申请单，承包人按照2000元/天支付违约金；</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3）、合同工期按承包人投标文件中的自报工期，如承包人原因延误工期，承包人应承担违约责任并向发包人支付赔偿费，赔偿费支付办法按合同工期延误一天赔偿5000元，并以合同总价的2%为限，支付赔偿费不能解除承包人应完成本工程的责任以及合同规定的其他相关责任；</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u w:val="single"/>
        </w:rPr>
        <w:t xml:space="preserve">（4）、若工程首次竣工验收未通过，承包人必须按照发包人要求及相关规范、标准整改到位并承担合同总价的0.1%的罚款，从工程竣工结算款中直接扣除。</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16.2.2</w:t>
      </w:r>
      <w:r>
        <w:rPr>
          <w:rFonts w:hint="eastAsia" w:ascii="宋体" w:hAnsi="宋体" w:cs="宋体"/>
          <w:color w:val="000000"/>
          <w:sz w:val="24"/>
          <w:highlight w:val="none"/>
        </w:rPr>
        <w:t xml:space="preserve">承包人违约的责任</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承包人违约责任的承担方式和计算方法：</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1</w:t>
      </w:r>
      <w:r>
        <w:rPr>
          <w:rFonts w:hint="eastAsia" w:ascii="宋体" w:hAnsi="宋体" w:cs="宋体"/>
          <w:color w:val="000000"/>
          <w:sz w:val="24"/>
          <w:highlight w:val="none"/>
          <w:u w:val="single"/>
        </w:rPr>
        <w:t xml:space="preserve">）承包人提交竣工结算申请单的期限延误，按照</w:t>
      </w:r>
      <w:r>
        <w:rPr>
          <w:rFonts w:hint="eastAsia" w:ascii="宋体" w:hAnsi="宋体" w:eastAsia="Calibri" w:cs="宋体"/>
          <w:color w:val="000000"/>
          <w:sz w:val="24"/>
          <w:highlight w:val="none"/>
          <w:u w:val="single"/>
        </w:rPr>
        <w:t xml:space="preserve">2000</w:t>
      </w:r>
      <w:r>
        <w:rPr>
          <w:rFonts w:hint="eastAsia" w:ascii="宋体" w:hAnsi="宋体" w:cs="宋体"/>
          <w:color w:val="000000"/>
          <w:sz w:val="24"/>
          <w:highlight w:val="none"/>
          <w:u w:val="single"/>
        </w:rPr>
        <w:t xml:space="preserve">元</w:t>
      </w:r>
      <w:r>
        <w:rPr>
          <w:rFonts w:hint="eastAsia" w:ascii="宋体" w:hAnsi="宋体" w:eastAsia="Calibri" w:cs="宋体"/>
          <w:color w:val="000000"/>
          <w:sz w:val="24"/>
          <w:highlight w:val="none"/>
          <w:u w:val="single"/>
        </w:rPr>
        <w:t xml:space="preserve">/</w:t>
      </w:r>
      <w:r>
        <w:rPr>
          <w:rFonts w:hint="eastAsia" w:ascii="宋体" w:hAnsi="宋体" w:cs="宋体"/>
          <w:color w:val="000000"/>
          <w:sz w:val="24"/>
          <w:highlight w:val="none"/>
          <w:u w:val="single"/>
        </w:rPr>
        <w:t xml:space="preserve">天向发包人支付违约金。</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2</w:t>
      </w:r>
      <w:r>
        <w:rPr>
          <w:rFonts w:hint="eastAsia" w:ascii="宋体" w:hAnsi="宋体" w:cs="宋体"/>
          <w:color w:val="000000"/>
          <w:sz w:val="24"/>
          <w:highlight w:val="none"/>
          <w:u w:val="single"/>
        </w:rPr>
        <w:t xml:space="preserve">）因承包人自身原因造成工期延误，按专用合同条款第</w:t>
      </w:r>
      <w:r>
        <w:rPr>
          <w:rFonts w:hint="eastAsia" w:ascii="宋体" w:hAnsi="宋体" w:eastAsia="Calibri" w:cs="宋体"/>
          <w:color w:val="000000"/>
          <w:sz w:val="24"/>
          <w:highlight w:val="none"/>
          <w:u w:val="single"/>
        </w:rPr>
        <w:t xml:space="preserve">7.5.2</w:t>
      </w:r>
      <w:r>
        <w:rPr>
          <w:rFonts w:hint="eastAsia" w:ascii="宋体" w:hAnsi="宋体" w:cs="宋体"/>
          <w:color w:val="000000"/>
          <w:sz w:val="24"/>
          <w:highlight w:val="none"/>
          <w:u w:val="single"/>
        </w:rPr>
        <w:t xml:space="preserve">条执行。</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3</w:t>
      </w:r>
      <w:r>
        <w:rPr>
          <w:rFonts w:hint="eastAsia" w:ascii="宋体" w:hAnsi="宋体" w:cs="宋体"/>
          <w:color w:val="000000"/>
          <w:sz w:val="24"/>
          <w:highlight w:val="none"/>
          <w:u w:val="single"/>
        </w:rPr>
        <w:t xml:space="preserve">）承包人承担因其自身违约行为而增加的费用和（或）延误的工期</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本合同其他条款对承包人违约责任另有约定的，从其约定。</w:t>
      </w:r>
      <w:r/>
    </w:p>
    <w:p>
      <w:pPr>
        <w:ind w:firstLine="480"/>
        <w:spacing w:line="360" w:lineRule="auto"/>
        <w:rPr>
          <w:rFonts w:ascii="宋体" w:hAnsi="宋体" w:eastAsia="Calibri" w:cs="宋体"/>
          <w:color w:val="000000"/>
          <w:sz w:val="24"/>
          <w:highlight w:val="none"/>
        </w:rPr>
      </w:pPr>
      <w:r>
        <w:rPr>
          <w:rFonts w:hint="eastAsia" w:ascii="宋体" w:hAnsi="宋体" w:eastAsia="Calibri" w:cs="宋体"/>
          <w:color w:val="000000"/>
          <w:sz w:val="24"/>
          <w:highlight w:val="none"/>
        </w:rPr>
        <w:t xml:space="preserve">16.2.3 </w:t>
      </w:r>
      <w:r>
        <w:rPr>
          <w:rFonts w:hint="eastAsia" w:ascii="宋体" w:hAnsi="宋体" w:cs="宋体"/>
          <w:color w:val="000000"/>
          <w:sz w:val="24"/>
          <w:highlight w:val="none"/>
        </w:rPr>
        <w:t xml:space="preserve">因承包人违约解除合同</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除本合同其他条款的约定外，关于承包人违约解除合同的特别约定：</w:t>
      </w:r>
      <w:r>
        <w:rPr>
          <w:rFonts w:hint="eastAsia" w:ascii="宋体" w:hAnsi="宋体" w:cs="宋体"/>
          <w:color w:val="000000"/>
          <w:sz w:val="24"/>
          <w:highlight w:val="none"/>
          <w:u w:val="single"/>
        </w:rPr>
        <w:t xml:space="preserve">按通用条款执行。</w:t>
      </w:r>
      <w:r/>
    </w:p>
    <w:p>
      <w:pPr>
        <w:ind w:firstLine="480"/>
        <w:spacing w:line="360" w:lineRule="auto"/>
        <w:rPr>
          <w:rFonts w:ascii="宋体" w:hAnsi="宋体" w:eastAsia="Calibri" w:cs="宋体"/>
          <w:color w:val="000000"/>
          <w:sz w:val="24"/>
          <w:highlight w:val="none"/>
        </w:rPr>
      </w:pPr>
      <w:r/>
      <w:bookmarkStart w:id="610" w:name="_Toc351203649"/>
      <w:r>
        <w:rPr>
          <w:rFonts w:hint="eastAsia" w:ascii="宋体" w:hAnsi="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highlight w:val="none"/>
          <w:u w:val="single"/>
        </w:rPr>
        <w:t xml:space="preserve">按通用条款执行。</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17. 不可抗力</w:t>
      </w:r>
      <w:bookmarkEnd w:id="606"/>
      <w:r/>
      <w:bookmarkEnd w:id="610"/>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17.1 </w:t>
      </w:r>
      <w:r>
        <w:rPr>
          <w:rFonts w:hint="eastAsia" w:ascii="宋体" w:hAnsi="宋体" w:cs="宋体"/>
          <w:b/>
          <w:color w:val="000000"/>
          <w:sz w:val="24"/>
          <w:highlight w:val="none"/>
        </w:rPr>
        <w:t xml:space="preserve">不可抗力的确认</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除通用合同条款约定的不可抗力事件之外，视为不可抗力的其他情形：</w:t>
      </w:r>
      <w:r>
        <w:rPr>
          <w:rFonts w:hint="eastAsia" w:ascii="宋体" w:hAnsi="宋体" w:cs="宋体"/>
          <w:color w:val="000000"/>
          <w:sz w:val="24"/>
          <w:highlight w:val="none"/>
          <w:u w:val="single"/>
        </w:rPr>
        <w:t xml:space="preserve">不可抗力包括因战争、动乱、空中飞行物体坠落或其他非发包人承包人责任造成的爆炸、火灾，以及当地气象部门认定的50年一遇风、雨、雪、洪水、地震等自然灾害。</w:t>
      </w:r>
      <w:r/>
    </w:p>
    <w:p>
      <w:pPr>
        <w:ind w:firstLine="482"/>
        <w:spacing w:line="360" w:lineRule="auto"/>
        <w:rPr>
          <w:rFonts w:ascii="宋体" w:hAnsi="宋体" w:eastAsia="Calibri" w:cs="宋体"/>
          <w:b/>
          <w:color w:val="000000"/>
          <w:sz w:val="24"/>
          <w:highlight w:val="none"/>
        </w:rPr>
      </w:pPr>
      <w:r/>
      <w:bookmarkStart w:id="611" w:name="_Toc36797948"/>
      <w:r>
        <w:rPr>
          <w:rFonts w:hint="eastAsia" w:ascii="宋体" w:hAnsi="宋体" w:eastAsia="Calibri" w:cs="宋体"/>
          <w:b/>
          <w:color w:val="000000"/>
          <w:sz w:val="24"/>
          <w:highlight w:val="none"/>
        </w:rPr>
        <w:t xml:space="preserve">17.2 </w:t>
      </w:r>
      <w:r>
        <w:rPr>
          <w:rFonts w:hint="eastAsia" w:ascii="宋体" w:hAnsi="宋体" w:cs="宋体"/>
          <w:b/>
          <w:color w:val="000000"/>
          <w:sz w:val="24"/>
          <w:highlight w:val="none"/>
        </w:rPr>
        <w:t xml:space="preserve">因不可抗力解除合同</w:t>
      </w:r>
      <w:bookmarkEnd w:id="611"/>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合同解除后，发包人应在商定或确定发包人应支付款项后</w:t>
      </w:r>
      <w:r>
        <w:rPr>
          <w:rFonts w:hint="eastAsia" w:ascii="宋体" w:hAnsi="宋体" w:eastAsia="Calibri" w:cs="宋体"/>
          <w:color w:val="000000"/>
          <w:sz w:val="24"/>
          <w:highlight w:val="none"/>
          <w:u w:val="single"/>
        </w:rPr>
        <w:t xml:space="preserve">28</w:t>
      </w:r>
      <w:r>
        <w:rPr>
          <w:rFonts w:hint="eastAsia" w:ascii="宋体" w:hAnsi="宋体" w:cs="宋体"/>
          <w:color w:val="000000"/>
          <w:sz w:val="24"/>
          <w:highlight w:val="none"/>
        </w:rPr>
        <w:t xml:space="preserve">天内完成款项的支付。</w:t>
      </w:r>
      <w:r/>
    </w:p>
    <w:p>
      <w:pPr>
        <w:spacing w:line="360" w:lineRule="auto"/>
        <w:rPr>
          <w:rFonts w:ascii="宋体" w:hAnsi="宋体" w:cs="宋体"/>
          <w:b/>
          <w:bCs/>
          <w:color w:val="000000"/>
          <w:sz w:val="24"/>
          <w:highlight w:val="none"/>
        </w:rPr>
      </w:pPr>
      <w:r/>
      <w:bookmarkStart w:id="612" w:name="_Toc351203650"/>
      <w:r>
        <w:rPr>
          <w:rFonts w:hint="eastAsia" w:ascii="宋体" w:hAnsi="宋体" w:cs="宋体"/>
          <w:b/>
          <w:bCs/>
          <w:color w:val="000000"/>
          <w:sz w:val="24"/>
          <w:highlight w:val="none"/>
        </w:rPr>
        <w:t xml:space="preserve">18. 保险</w:t>
      </w:r>
      <w:bookmarkEnd w:id="612"/>
      <w:r/>
      <w:bookmarkEnd w:id="607"/>
      <w:r/>
      <w:r/>
    </w:p>
    <w:p>
      <w:pPr>
        <w:ind w:firstLine="482"/>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18.1 </w:t>
      </w:r>
      <w:r>
        <w:rPr>
          <w:rFonts w:hint="eastAsia" w:ascii="宋体" w:hAnsi="宋体" w:cs="宋体"/>
          <w:b/>
          <w:color w:val="000000"/>
          <w:sz w:val="24"/>
          <w:highlight w:val="none"/>
        </w:rPr>
        <w:t xml:space="preserve">工程保险</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关于工程保险的特别约定：</w:t>
      </w:r>
      <w:r>
        <w:rPr>
          <w:rFonts w:hint="eastAsia" w:ascii="宋体" w:hAnsi="宋体" w:cs="宋体"/>
          <w:color w:val="000000"/>
          <w:sz w:val="24"/>
          <w:highlight w:val="none"/>
          <w:u w:val="single"/>
        </w:rPr>
        <w:t xml:space="preserve">由承包人办理工程一切险、第三者责任险、施工人员社会保险和人身意外伤害商业保险并支付相应保费，相关费用已经包含在工程价款中，由承包人承担</w:t>
      </w:r>
      <w:r>
        <w:rPr>
          <w:rFonts w:hint="eastAsia" w:ascii="宋体" w:hAnsi="宋体" w:cs="宋体"/>
          <w:color w:val="000000"/>
          <w:sz w:val="24"/>
          <w:highlight w:val="none"/>
        </w:rPr>
        <w:t xml:space="preserve">。</w:t>
      </w:r>
      <w:r/>
    </w:p>
    <w:p>
      <w:pPr>
        <w:ind w:firstLine="482"/>
        <w:spacing w:line="360" w:lineRule="auto"/>
        <w:rPr>
          <w:rFonts w:ascii="宋体" w:hAnsi="宋体" w:eastAsia="Calibri" w:cs="宋体"/>
          <w:b/>
          <w:color w:val="000000"/>
          <w:sz w:val="24"/>
          <w:highlight w:val="none"/>
        </w:rPr>
      </w:pPr>
      <w:r/>
      <w:bookmarkStart w:id="613" w:name="_Toc36797949"/>
      <w:r>
        <w:rPr>
          <w:rFonts w:hint="eastAsia" w:ascii="宋体" w:hAnsi="宋体" w:eastAsia="Calibri" w:cs="宋体"/>
          <w:b/>
          <w:color w:val="000000"/>
          <w:sz w:val="24"/>
          <w:highlight w:val="none"/>
        </w:rPr>
        <w:t xml:space="preserve">18.2 </w:t>
      </w:r>
      <w:r>
        <w:rPr>
          <w:rFonts w:hint="eastAsia" w:ascii="宋体" w:hAnsi="宋体" w:cs="宋体"/>
          <w:b/>
          <w:color w:val="000000"/>
          <w:sz w:val="24"/>
          <w:highlight w:val="none"/>
        </w:rPr>
        <w:t xml:space="preserve">其他保险</w:t>
      </w:r>
      <w:bookmarkEnd w:id="613"/>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关于其他保险的约定：</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1</w:t>
      </w:r>
      <w:r>
        <w:rPr>
          <w:rFonts w:hint="eastAsia" w:ascii="宋体" w:hAnsi="宋体" w:cs="宋体"/>
          <w:color w:val="000000"/>
          <w:sz w:val="24"/>
          <w:highlight w:val="none"/>
          <w:u w:val="single"/>
        </w:rPr>
        <w:t xml:space="preserve">）承包人须依法对其应投保的人身、财产（包括但不限于对本工程施工作业人员的生命财产和施工机械设备）办理保险，并支付保险费用。</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2</w:t>
      </w:r>
      <w:r>
        <w:rPr>
          <w:rFonts w:hint="eastAsia" w:ascii="宋体" w:hAnsi="宋体" w:cs="宋体"/>
          <w:color w:val="000000"/>
          <w:sz w:val="24"/>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3</w:t>
      </w:r>
      <w:r>
        <w:rPr>
          <w:rFonts w:hint="eastAsia" w:ascii="宋体" w:hAnsi="宋体" w:cs="宋体"/>
          <w:color w:val="000000"/>
          <w:sz w:val="24"/>
          <w:highlight w:val="none"/>
          <w:u w:val="single"/>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ind w:firstLine="480"/>
        <w:jc w:val="left"/>
        <w:spacing w:line="360" w:lineRule="auto"/>
        <w:rPr>
          <w:rFonts w:ascii="Calibri" w:hAnsi="Calibri"/>
          <w:color w:val="000000"/>
          <w:sz w:val="22"/>
          <w:szCs w:val="22"/>
          <w:highlight w:val="none"/>
        </w:rPr>
      </w:pPr>
      <w:r>
        <w:rPr>
          <w:rFonts w:hint="eastAsia" w:ascii="宋体" w:hAnsi="宋体" w:cs="宋体"/>
          <w:color w:val="000000"/>
          <w:sz w:val="24"/>
          <w:highlight w:val="none"/>
          <w:u w:val="single"/>
        </w:rPr>
        <w:t xml:space="preserve">以上保险费用均已包含在工程价款中，由承包人支付和承担。</w:t>
      </w:r>
      <w:r/>
    </w:p>
    <w:p>
      <w:pPr>
        <w:ind w:firstLine="480"/>
        <w:spacing w:line="360" w:lineRule="auto"/>
        <w:rPr>
          <w:rFonts w:ascii="宋体" w:hAnsi="宋体" w:eastAsia="Calibri" w:cs="宋体"/>
          <w:color w:val="000000"/>
          <w:sz w:val="24"/>
          <w:highlight w:val="none"/>
          <w:u w:val="single"/>
        </w:rPr>
      </w:pPr>
      <w:r>
        <w:rPr>
          <w:rFonts w:hint="eastAsia" w:ascii="宋体" w:hAnsi="宋体" w:cs="宋体"/>
          <w:color w:val="000000"/>
          <w:sz w:val="24"/>
          <w:highlight w:val="none"/>
        </w:rPr>
        <w:t xml:space="preserve">承包人是否应为其施工设备等办理财产保险：</w:t>
      </w:r>
      <w:r>
        <w:rPr>
          <w:rFonts w:hint="eastAsia" w:ascii="宋体" w:hAnsi="宋体" w:cs="宋体"/>
          <w:color w:val="000000"/>
          <w:sz w:val="24"/>
          <w:highlight w:val="none"/>
          <w:u w:val="single"/>
        </w:rPr>
        <w:t xml:space="preserve">费用由承包人承担。</w:t>
      </w:r>
      <w:r/>
    </w:p>
    <w:p>
      <w:pPr>
        <w:ind w:firstLine="480"/>
        <w:spacing w:line="360" w:lineRule="auto"/>
        <w:rPr>
          <w:rFonts w:ascii="宋体" w:hAnsi="宋体" w:eastAsia="Calibri" w:cs="宋体"/>
          <w:b/>
          <w:color w:val="000000"/>
          <w:sz w:val="24"/>
          <w:highlight w:val="none"/>
        </w:rPr>
      </w:pPr>
      <w:r>
        <w:rPr>
          <w:rFonts w:hint="eastAsia" w:ascii="宋体" w:hAnsi="宋体" w:eastAsia="Calibri" w:cs="宋体"/>
          <w:b/>
          <w:color w:val="000000"/>
          <w:sz w:val="24"/>
          <w:highlight w:val="none"/>
        </w:rPr>
        <w:t xml:space="preserve">18.3 </w:t>
      </w:r>
      <w:r>
        <w:rPr>
          <w:rFonts w:hint="eastAsia" w:ascii="宋体" w:hAnsi="宋体" w:cs="宋体"/>
          <w:b/>
          <w:color w:val="000000"/>
          <w:sz w:val="24"/>
          <w:highlight w:val="none"/>
        </w:rPr>
        <w:t xml:space="preserve">通知义务</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关于变更保险合同时的通知义务的约定：</w:t>
      </w:r>
      <w:r>
        <w:rPr>
          <w:rFonts w:hint="eastAsia" w:ascii="宋体" w:hAnsi="宋体" w:cs="宋体"/>
          <w:color w:val="000000"/>
          <w:sz w:val="24"/>
          <w:highlight w:val="none"/>
          <w:u w:val="single"/>
        </w:rPr>
        <w:t xml:space="preserve">按照通用合同条款执行</w:t>
      </w:r>
      <w:r>
        <w:rPr>
          <w:rFonts w:hint="eastAsia" w:ascii="宋体" w:hAnsi="宋体" w:cs="宋体"/>
          <w:color w:val="000000"/>
          <w:sz w:val="24"/>
          <w:highlight w:val="none"/>
        </w:rPr>
        <w:t xml:space="preserve">。</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
    </w:p>
    <w:p>
      <w:pPr>
        <w:spacing w:line="360" w:lineRule="auto"/>
        <w:rPr>
          <w:rFonts w:ascii="宋体" w:hAnsi="宋体" w:cs="宋体"/>
          <w:b/>
          <w:bCs/>
          <w:color w:val="000000"/>
          <w:sz w:val="24"/>
          <w:highlight w:val="none"/>
        </w:rPr>
      </w:pPr>
      <w:r/>
      <w:bookmarkStart w:id="614" w:name="_Toc351203651"/>
      <w:r>
        <w:rPr>
          <w:rFonts w:hint="eastAsia" w:ascii="宋体" w:hAnsi="宋体" w:cs="宋体"/>
          <w:b/>
          <w:bCs/>
          <w:color w:val="000000"/>
          <w:sz w:val="24"/>
          <w:highlight w:val="none"/>
        </w:rPr>
        <w:t xml:space="preserve">19. 争议解决</w:t>
      </w:r>
      <w:bookmarkEnd w:id="614"/>
      <w:r/>
      <w:bookmarkEnd w:id="591"/>
      <w:r/>
      <w:bookmarkEnd w:id="592"/>
      <w:r/>
      <w:r/>
    </w:p>
    <w:p>
      <w:pPr>
        <w:ind w:firstLine="482"/>
        <w:spacing w:line="360" w:lineRule="auto"/>
        <w:rPr>
          <w:rFonts w:ascii="宋体" w:hAnsi="宋体" w:eastAsia="Calibri" w:cs="宋体"/>
          <w:b/>
          <w:color w:val="000000"/>
          <w:sz w:val="24"/>
          <w:highlight w:val="none"/>
        </w:rPr>
      </w:pPr>
      <w:r/>
      <w:bookmarkStart w:id="615" w:name="_Toc36797950"/>
      <w:r>
        <w:rPr>
          <w:rFonts w:hint="eastAsia" w:ascii="宋体" w:hAnsi="宋体" w:eastAsia="Calibri" w:cs="宋体"/>
          <w:b/>
          <w:color w:val="000000"/>
          <w:sz w:val="24"/>
          <w:highlight w:val="none"/>
        </w:rPr>
        <w:t xml:space="preserve">19.1 </w:t>
      </w:r>
      <w:r>
        <w:rPr>
          <w:rFonts w:hint="eastAsia" w:ascii="宋体" w:hAnsi="宋体" w:cs="宋体"/>
          <w:b/>
          <w:color w:val="000000"/>
          <w:sz w:val="24"/>
          <w:highlight w:val="none"/>
        </w:rPr>
        <w:t xml:space="preserve">争</w:t>
      </w:r>
      <w:bookmarkEnd w:id="593"/>
      <w:r>
        <w:rPr>
          <w:rFonts w:hint="eastAsia" w:ascii="宋体" w:hAnsi="宋体" w:cs="宋体"/>
          <w:b/>
          <w:color w:val="000000"/>
          <w:sz w:val="24"/>
          <w:highlight w:val="none"/>
        </w:rPr>
        <w:t xml:space="preserve">议评审</w:t>
      </w:r>
      <w:bookmarkEnd w:id="615"/>
      <w:r/>
      <w:r/>
    </w:p>
    <w:p>
      <w:pPr>
        <w:ind w:left="170" w:firstLine="36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合同当事人是否同意将工程争议提交争议评审小组决定：</w:t>
      </w:r>
      <w:r>
        <w:rPr>
          <w:rFonts w:hint="eastAsia" w:ascii="宋体" w:hAnsi="宋体" w:cs="宋体"/>
          <w:color w:val="000000"/>
          <w:sz w:val="24"/>
          <w:highlight w:val="none"/>
          <w:u w:val="single"/>
        </w:rPr>
        <w:t xml:space="preserve">否。</w:t>
      </w:r>
      <w:r/>
    </w:p>
    <w:p>
      <w:pPr>
        <w:ind w:firstLine="482"/>
        <w:spacing w:line="360" w:lineRule="auto"/>
        <w:rPr>
          <w:rFonts w:ascii="宋体" w:hAnsi="宋体" w:eastAsia="Calibri" w:cs="宋体"/>
          <w:b/>
          <w:color w:val="000000"/>
          <w:sz w:val="24"/>
          <w:highlight w:val="none"/>
        </w:rPr>
      </w:pPr>
      <w:r/>
      <w:bookmarkStart w:id="616" w:name="_Toc36797951"/>
      <w:r>
        <w:rPr>
          <w:rFonts w:hint="eastAsia" w:ascii="宋体" w:hAnsi="宋体" w:eastAsia="Calibri" w:cs="宋体"/>
          <w:b/>
          <w:color w:val="000000"/>
          <w:sz w:val="24"/>
          <w:highlight w:val="none"/>
        </w:rPr>
        <w:t xml:space="preserve">19.2</w:t>
      </w:r>
      <w:r>
        <w:rPr>
          <w:rFonts w:hint="eastAsia" w:ascii="宋体" w:hAnsi="宋体" w:cs="宋体"/>
          <w:b/>
          <w:color w:val="000000"/>
          <w:sz w:val="24"/>
          <w:highlight w:val="none"/>
        </w:rPr>
        <w:t xml:space="preserve">仲裁或诉讼</w:t>
      </w:r>
      <w:bookmarkEnd w:id="594"/>
      <w:r/>
      <w:bookmarkEnd w:id="616"/>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因合同及合同有关事项发生的争议，按下列第</w:t>
      </w:r>
      <w:r>
        <w:rPr>
          <w:rFonts w:hint="eastAsia" w:ascii="宋体" w:hAnsi="宋体" w:cs="宋体"/>
          <w:color w:val="000000"/>
          <w:sz w:val="24"/>
          <w:highlight w:val="none"/>
          <w:u w:val="single"/>
        </w:rPr>
        <w:t xml:space="preserve">（</w:t>
      </w:r>
      <w:r>
        <w:rPr>
          <w:rFonts w:hint="eastAsia" w:ascii="宋体" w:hAnsi="宋体" w:eastAsia="Calibri" w:cs="宋体"/>
          <w:color w:val="000000"/>
          <w:sz w:val="24"/>
          <w:highlight w:val="none"/>
          <w:u w:val="single"/>
        </w:rPr>
        <w:t xml:space="preserve">2</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种方式解决：</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1</w:t>
      </w:r>
      <w:r>
        <w:rPr>
          <w:rFonts w:hint="eastAsia" w:ascii="宋体" w:hAnsi="宋体" w:cs="宋体"/>
          <w:color w:val="000000"/>
          <w:sz w:val="24"/>
          <w:highlight w:val="none"/>
        </w:rPr>
        <w:t xml:space="preserve">）向</w:t>
      </w:r>
      <w:r>
        <w:rPr>
          <w:rFonts w:hint="eastAsia" w:ascii="宋体" w:hAnsi="宋体" w:cs="宋体"/>
          <w:color w:val="000000"/>
          <w:sz w:val="24"/>
          <w:highlight w:val="none"/>
          <w:u w:val="single"/>
        </w:rPr>
        <w:t xml:space="preserve">南京仲裁委员会</w:t>
      </w:r>
      <w:r>
        <w:rPr>
          <w:rFonts w:hint="eastAsia" w:ascii="宋体" w:hAnsi="宋体" w:cs="宋体"/>
          <w:color w:val="000000"/>
          <w:sz w:val="24"/>
          <w:highlight w:val="none"/>
        </w:rPr>
        <w:t xml:space="preserve">申请仲裁；</w:t>
      </w:r>
      <w:r/>
    </w:p>
    <w:p>
      <w:pPr>
        <w:ind w:firstLine="480"/>
        <w:spacing w:line="360" w:lineRule="auto"/>
        <w:rPr>
          <w:rFonts w:ascii="宋体" w:hAnsi="宋体" w:eastAsia="Calibri"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Calibri" w:cs="宋体"/>
          <w:color w:val="000000"/>
          <w:sz w:val="24"/>
          <w:highlight w:val="none"/>
        </w:rPr>
        <w:t xml:space="preserve">2</w:t>
      </w:r>
      <w:r>
        <w:rPr>
          <w:rFonts w:hint="eastAsia" w:ascii="宋体" w:hAnsi="宋体" w:cs="宋体"/>
          <w:color w:val="000000"/>
          <w:sz w:val="24"/>
          <w:highlight w:val="none"/>
        </w:rPr>
        <w:t xml:space="preserve">）向</w:t>
      </w:r>
      <w:r>
        <w:rPr>
          <w:rFonts w:hint="eastAsia" w:ascii="宋体" w:hAnsi="宋体" w:cs="宋体"/>
          <w:color w:val="000000"/>
          <w:sz w:val="24"/>
          <w:highlight w:val="none"/>
          <w:u w:val="single"/>
        </w:rPr>
        <w:t xml:space="preserve">南京市鼓楼区</w:t>
      </w:r>
      <w:r>
        <w:rPr>
          <w:rFonts w:hint="eastAsia" w:ascii="宋体" w:hAnsi="宋体" w:cs="宋体"/>
          <w:color w:val="000000"/>
          <w:sz w:val="24"/>
          <w:highlight w:val="none"/>
        </w:rPr>
        <w:t xml:space="preserve">人民法院起诉。</w:t>
      </w:r>
      <w:bookmarkEnd w:id="595"/>
      <w:r/>
      <w:bookmarkEnd w:id="596"/>
      <w:r/>
      <w:bookmarkEnd w:id="597"/>
      <w:r/>
      <w:bookmarkEnd w:id="598"/>
      <w:r/>
      <w:bookmarkEnd w:id="599"/>
      <w:r/>
      <w:bookmarkEnd w:id="600"/>
      <w:r/>
      <w:r/>
    </w:p>
    <w:p>
      <w:pPr>
        <w:spacing w:line="360" w:lineRule="auto"/>
        <w:rPr>
          <w:rFonts w:ascii="宋体" w:hAnsi="宋体" w:eastAsia="Calibri" w:cs="宋体"/>
          <w:b/>
          <w:color w:val="000000"/>
          <w:sz w:val="24"/>
          <w:highlight w:val="none"/>
        </w:rPr>
      </w:pPr>
      <w:r>
        <w:rPr>
          <w:rFonts w:hint="eastAsia" w:ascii="宋体" w:hAnsi="宋体" w:eastAsia="Calibri" w:cs="宋体"/>
          <w:color w:val="000000"/>
          <w:sz w:val="24"/>
          <w:highlight w:val="none"/>
        </w:rPr>
        <w:br w:type="page" w:clear="all"/>
      </w:r>
      <w:r>
        <w:rPr>
          <w:rFonts w:hint="eastAsia" w:ascii="宋体" w:hAnsi="宋体" w:cs="宋体"/>
          <w:b/>
          <w:color w:val="000000"/>
          <w:sz w:val="24"/>
          <w:highlight w:val="none"/>
        </w:rPr>
        <w:t xml:space="preserve">附件</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附件1：承包人承揽工程项目一览表</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附件2：工程质量保修书</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附件3：主要建设工程文件目录</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附件4：承包人用于本工程施工的机械设备表</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附件5：承包人主要施工管理人员表</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附件6：履约担保格式</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附件7：支付担保格式</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附件8：廉洁协议</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附件9：安全生产协议书</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附件10：文明施工责任协议书</w:t>
      </w:r>
      <w:r>
        <w:rPr>
          <w:rFonts w:ascii="宋体" w:hAnsi="宋体" w:cs="宋体"/>
          <w:color w:val="000000"/>
          <w:sz w:val="24"/>
          <w:highlight w:val="none"/>
        </w:rPr>
        <w:br w:type="page" w:clear="all"/>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附件1：</w:t>
      </w:r>
      <w:r/>
    </w:p>
    <w:p>
      <w:pPr>
        <w:jc w:val="center"/>
        <w:spacing w:line="360" w:lineRule="auto"/>
        <w:rPr>
          <w:rFonts w:eastAsia="黑体"/>
          <w:color w:val="000000"/>
          <w:sz w:val="30"/>
          <w:szCs w:val="30"/>
          <w:highlight w:val="none"/>
        </w:rPr>
      </w:pPr>
      <w:r>
        <w:rPr>
          <w:rFonts w:eastAsia="黑体"/>
          <w:color w:val="000000"/>
          <w:sz w:val="30"/>
          <w:szCs w:val="30"/>
          <w:highlight w:val="none"/>
        </w:rPr>
        <w:t xml:space="preserve">承包人承揽工程项目一览表</w:t>
      </w:r>
      <w:r/>
    </w:p>
    <w:tbl>
      <w:tblPr>
        <w:tblStyle w:val="873"/>
        <w:tblW w:w="0" w:type="auto"/>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60"/>
        <w:gridCol w:w="752"/>
        <w:gridCol w:w="1367"/>
        <w:gridCol w:w="752"/>
        <w:gridCol w:w="444"/>
        <w:gridCol w:w="752"/>
        <w:gridCol w:w="1060"/>
        <w:gridCol w:w="1214"/>
        <w:gridCol w:w="752"/>
        <w:gridCol w:w="752"/>
      </w:tblGrid>
      <w:tr>
        <w:trPr/>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单位工程名称</w:t>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建设规模</w:t>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建筑面积(平方米)</w:t>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结构形式</w:t>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层数</w:t>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生产能力</w:t>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设备安装内容</w:t>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合同价格（元）</w:t>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开工日期</w:t>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竣工日期</w:t>
            </w:r>
            <w:r/>
          </w:p>
        </w:tc>
      </w:tr>
      <w:tr>
        <w:trPr>
          <w:trHeight w:val="567"/>
        </w:trPr>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trHeight w:val="567"/>
        </w:trPr>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trHeight w:val="567"/>
        </w:trPr>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trHeight w:val="567"/>
        </w:trPr>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trHeight w:val="567"/>
        </w:trPr>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trHeight w:val="567"/>
        </w:trPr>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trHeight w:val="567"/>
        </w:trPr>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trHeight w:val="567"/>
        </w:trPr>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trHeight w:val="567"/>
        </w:trPr>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trHeight w:val="567"/>
        </w:trPr>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trHeight w:val="567"/>
        </w:trPr>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0" w:type="auto"/>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bl>
    <w:p>
      <w:pPr>
        <w:spacing w:line="360" w:lineRule="auto"/>
        <w:rPr>
          <w:rFonts w:eastAsia="仿宋_GB2312"/>
          <w:b/>
          <w:color w:val="000000"/>
          <w:sz w:val="30"/>
          <w:szCs w:val="30"/>
          <w:highlight w:val="none"/>
        </w:rPr>
        <w:sectPr>
          <w:footnotePr/>
          <w:endnotePr/>
          <w:type w:val="continuous"/>
          <w:pgSz w:w="11906" w:h="16838" w:orient="portrait"/>
          <w:pgMar w:top="1418" w:right="1554" w:bottom="1418" w:left="1531" w:header="851" w:footer="992" w:gutter="0"/>
          <w:cols w:num="1" w:sep="0" w:space="1701" w:equalWidth="1"/>
          <w:docGrid w:linePitch="360"/>
          <w:titlePg/>
        </w:sectPr>
      </w:pPr>
      <w:r>
        <w:rPr>
          <w:rFonts w:eastAsia="仿宋_GB2312"/>
          <w:b/>
          <w:color w:val="000000"/>
          <w:sz w:val="30"/>
          <w:szCs w:val="30"/>
          <w:highlight w:val="none"/>
        </w:rPr>
        <w:br w:type="page" w:clear="all"/>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w:t>
      </w:r>
      <w:bookmarkStart w:id="617" w:name="_Toc296891053"/>
      <w:r/>
      <w:bookmarkStart w:id="618" w:name="_Toc296346726"/>
      <w:r/>
      <w:bookmarkStart w:id="619" w:name="_Toc296503225"/>
      <w:r/>
      <w:bookmarkStart w:id="620" w:name="_Toc296944564"/>
      <w:r/>
      <w:bookmarkStart w:id="621" w:name="_Toc267261692"/>
      <w:r/>
      <w:bookmarkStart w:id="622" w:name="_Toc296347224"/>
      <w:r/>
      <w:bookmarkStart w:id="623" w:name="_Toc296891265"/>
      <w:r>
        <w:rPr>
          <w:rFonts w:hint="eastAsia" w:ascii="宋体" w:hAnsi="宋体" w:cs="宋体"/>
          <w:color w:val="000000"/>
          <w:sz w:val="24"/>
          <w:highlight w:val="none"/>
        </w:rPr>
        <w:t xml:space="preserve">件2：</w:t>
      </w:r>
      <w:bookmarkEnd w:id="617"/>
      <w:r/>
      <w:bookmarkEnd w:id="618"/>
      <w:r/>
      <w:bookmarkEnd w:id="619"/>
      <w:r/>
      <w:bookmarkEnd w:id="620"/>
      <w:r/>
      <w:bookmarkEnd w:id="621"/>
      <w:r/>
      <w:bookmarkEnd w:id="622"/>
      <w:r/>
      <w:bookmarkEnd w:id="623"/>
      <w:r/>
      <w:r/>
    </w:p>
    <w:p>
      <w:pPr>
        <w:jc w:val="center"/>
        <w:spacing w:line="360" w:lineRule="auto"/>
        <w:rPr>
          <w:rFonts w:eastAsia="黑体"/>
          <w:color w:val="000000"/>
          <w:sz w:val="32"/>
          <w:szCs w:val="32"/>
          <w:highlight w:val="none"/>
        </w:rPr>
      </w:pPr>
      <w:r>
        <w:rPr>
          <w:rFonts w:eastAsia="黑体"/>
          <w:color w:val="000000"/>
          <w:sz w:val="32"/>
          <w:szCs w:val="32"/>
          <w:highlight w:val="none"/>
        </w:rPr>
        <w:t xml:space="preserve">工程质量保修书</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发包人（全称）：</w:t>
      </w:r>
      <w:r>
        <w:rPr>
          <w:rFonts w:hint="eastAsia" w:ascii="宋体" w:hAnsi="宋体" w:cs="宋体"/>
          <w:color w:val="000000"/>
          <w:sz w:val="24"/>
          <w:highlight w:val="none"/>
          <w:u w:val="single"/>
        </w:rPr>
        <w:t xml:space="preserve">江苏省五台山体育中心</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承包人（全称）：</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发包人和承包人根据《中华人民共和国建筑法》《中华人民共和国电力法》和《建设工程质量管理条例》，经协商一致就工程签订工程质量保修书。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一、工程质量保修范围和内容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承包人在质量保修期内，按照有关法律规定和合同约定，承担工程质量保修责任。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highlight w:val="none"/>
          <w:u w:val="single"/>
        </w:rPr>
        <w:t xml:space="preserve">但凡非人为原因影响建设项目正常使用的情况均属保修内容。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二、质量保修期</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根据《建设工程质量管理条例》及有关规定，工程的质量保修期如下：</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1．地基基础工程和主体结构工程为设计文件规定的工程合理使用年限；</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2．屋面防水工程、有防水要求的卫生间、房间和外墙面的防渗为</w:t>
      </w:r>
      <w:r>
        <w:rPr>
          <w:rFonts w:hint="eastAsia" w:ascii="宋体" w:hAnsi="宋体" w:cs="宋体"/>
          <w:color w:val="000000"/>
          <w:sz w:val="24"/>
          <w:highlight w:val="none"/>
          <w:u w:val="single"/>
        </w:rPr>
        <w:t xml:space="preserve">5</w:t>
      </w:r>
      <w:r>
        <w:rPr>
          <w:rFonts w:hint="eastAsia" w:ascii="宋体" w:hAnsi="宋体" w:cs="宋体"/>
          <w:color w:val="000000"/>
          <w:sz w:val="24"/>
          <w:highlight w:val="none"/>
        </w:rPr>
        <w:t xml:space="preserve">年；</w:t>
      </w:r>
      <w:r/>
    </w:p>
    <w:p>
      <w:pPr>
        <w:ind w:left="480" w:firstLine="15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3．装修工程为</w:t>
      </w:r>
      <w:r>
        <w:rPr>
          <w:rFonts w:hint="eastAsia" w:ascii="宋体" w:hAnsi="宋体" w:cs="宋体"/>
          <w:color w:val="000000"/>
          <w:sz w:val="24"/>
          <w:highlight w:val="none"/>
          <w:u w:val="single"/>
        </w:rPr>
        <w:t xml:space="preserve">2</w:t>
      </w:r>
      <w:r>
        <w:rPr>
          <w:rFonts w:hint="eastAsia" w:ascii="宋体" w:hAnsi="宋体" w:cs="宋体"/>
          <w:color w:val="000000"/>
          <w:sz w:val="24"/>
          <w:highlight w:val="none"/>
        </w:rPr>
        <w:t xml:space="preserve">年；</w:t>
      </w:r>
      <w:r/>
    </w:p>
    <w:p>
      <w:pPr>
        <w:ind w:left="480" w:firstLine="15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4．电气管线、给排水管道、设备安装工程为</w:t>
      </w:r>
      <w:r>
        <w:rPr>
          <w:rFonts w:hint="eastAsia" w:ascii="宋体" w:hAnsi="宋体" w:cs="宋体"/>
          <w:color w:val="000000"/>
          <w:sz w:val="24"/>
          <w:highlight w:val="none"/>
          <w:u w:val="single"/>
        </w:rPr>
        <w:t xml:space="preserve">2</w:t>
      </w:r>
      <w:r>
        <w:rPr>
          <w:rFonts w:hint="eastAsia" w:ascii="宋体" w:hAnsi="宋体" w:cs="宋体"/>
          <w:color w:val="000000"/>
          <w:sz w:val="24"/>
          <w:highlight w:val="none"/>
        </w:rPr>
        <w:t xml:space="preserve">年；</w:t>
      </w:r>
      <w:r/>
    </w:p>
    <w:p>
      <w:pPr>
        <w:ind w:left="480" w:firstLine="15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5．供热与供冷系统为</w:t>
      </w:r>
      <w:r>
        <w:rPr>
          <w:rFonts w:hint="eastAsia" w:ascii="宋体" w:hAnsi="宋体" w:cs="宋体"/>
          <w:color w:val="000000"/>
          <w:sz w:val="24"/>
          <w:highlight w:val="none"/>
          <w:u w:val="single"/>
        </w:rPr>
        <w:t xml:space="preserve">2</w:t>
      </w:r>
      <w:r>
        <w:rPr>
          <w:rFonts w:hint="eastAsia" w:ascii="宋体" w:hAnsi="宋体" w:cs="宋体"/>
          <w:color w:val="000000"/>
          <w:sz w:val="24"/>
          <w:highlight w:val="none"/>
        </w:rPr>
        <w:t xml:space="preserve">个采暖期、供冷期；</w:t>
      </w:r>
      <w:r/>
    </w:p>
    <w:p>
      <w:pPr>
        <w:ind w:left="480" w:firstLine="15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6．住宅小区内的给排水设施、道路等配套工程为</w:t>
      </w:r>
      <w:r>
        <w:rPr>
          <w:rFonts w:hint="eastAsia" w:ascii="宋体" w:hAnsi="宋体" w:cs="宋体"/>
          <w:color w:val="000000"/>
          <w:sz w:val="24"/>
          <w:highlight w:val="none"/>
          <w:u w:val="single"/>
        </w:rPr>
        <w:t xml:space="preserve">2</w:t>
      </w:r>
      <w:r>
        <w:rPr>
          <w:rFonts w:hint="eastAsia" w:ascii="宋体" w:hAnsi="宋体" w:cs="宋体"/>
          <w:color w:val="000000"/>
          <w:sz w:val="24"/>
          <w:highlight w:val="none"/>
        </w:rPr>
        <w:t xml:space="preserve">年；</w:t>
      </w:r>
      <w:r/>
    </w:p>
    <w:p>
      <w:pPr>
        <w:ind w:left="480" w:firstLine="15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7．其他项目保修期限约定如下：</w:t>
      </w:r>
      <w:r>
        <w:rPr>
          <w:rFonts w:hint="eastAsia" w:ascii="宋体" w:hAnsi="宋体" w:cs="宋体"/>
          <w:color w:val="000000"/>
          <w:sz w:val="24"/>
          <w:highlight w:val="none"/>
          <w:u w:val="single"/>
        </w:rPr>
        <w:t xml:space="preserve">其他工程为2年</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质量保修期自工程竣工验收合格之日起计算。</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三、缺陷责任期</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工程缺陷责任期为</w:t>
      </w:r>
      <w:r>
        <w:rPr>
          <w:rFonts w:hint="eastAsia" w:ascii="宋体" w:hAnsi="宋体" w:cs="宋体"/>
          <w:color w:val="000000"/>
          <w:sz w:val="24"/>
          <w:highlight w:val="none"/>
          <w:u w:val="single"/>
        </w:rPr>
        <w:t xml:space="preserve">24</w:t>
      </w:r>
      <w:r>
        <w:rPr>
          <w:rFonts w:hint="eastAsia" w:ascii="宋体" w:hAnsi="宋体" w:cs="宋体"/>
          <w:color w:val="000000"/>
          <w:sz w:val="24"/>
          <w:highlight w:val="none"/>
        </w:rPr>
        <w:t xml:space="preserve">个月，缺陷责任期自工程通过竣工验收之次日起计算。单位工程先于全部工程进行验收，单位工程缺陷责任期自单位工程验收合格之日起算。</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缺陷责任期终止后，发包人应退还剩余的质量保证金。</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四、质量保修责任</w:t>
      </w:r>
      <w:r/>
    </w:p>
    <w:p>
      <w:pPr>
        <w:ind w:left="120" w:firstLine="61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1．属于保修范围、内容的项目，承包人应当在接到保修通知之日起7天内派人保修。承包人不在约定期限内派人保修的，发包人可以委托他人修理。</w:t>
      </w:r>
      <w:r/>
    </w:p>
    <w:p>
      <w:pPr>
        <w:ind w:left="120" w:firstLine="61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2．发生紧急事故需抢修的，承包人在接到事故通知后，应当立即到达事故现场抢修。</w:t>
      </w:r>
      <w:r/>
    </w:p>
    <w:p>
      <w:pPr>
        <w:ind w:left="120" w:firstLine="61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20" w:firstLine="61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4．质量保修完成后，由发包人组织验收。</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五、保修费用</w:t>
      </w:r>
      <w:r/>
    </w:p>
    <w:p>
      <w:pPr>
        <w:ind w:left="120" w:firstLine="61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保修费用由造成质量缺陷的责任方承担。</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六、双方约定的其他工程质量保修事项：</w:t>
      </w:r>
      <w:r/>
    </w:p>
    <w:p>
      <w:pPr>
        <w:ind w:left="120" w:firstLine="61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1、发包人指定发包人现场代表负责协调保修具体事宜。</w:t>
      </w:r>
      <w:r/>
    </w:p>
    <w:p>
      <w:pPr>
        <w:ind w:left="120" w:firstLine="61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2、本工程质量保修书，由施工合同发包人、承包人双方共同签署，作为施工合同附件，其有效期限至保修期满。</w:t>
      </w:r>
      <w:r/>
    </w:p>
    <w:p>
      <w:pPr>
        <w:ind w:left="120" w:firstLine="61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3、本保修书经承、发包双方签章后生效，未尽事宜由双方另行签订补充条款进行约定。任何一方不得擅自变更或解除本保修书。</w:t>
      </w:r>
      <w:r/>
    </w:p>
    <w:p>
      <w:pPr>
        <w:ind w:firstLine="5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工程质量保修书由发包人、承包人在工程竣工验收前共同签署，作为施工合同附件，其有效期限至保修期满。</w:t>
      </w:r>
      <w:r/>
    </w:p>
    <w:tbl>
      <w:tblPr>
        <w:tblStyle w:val="89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21"/>
        <w:gridCol w:w="2906"/>
        <w:gridCol w:w="2071"/>
        <w:gridCol w:w="2857"/>
      </w:tblGrid>
      <w:tr>
        <w:trPr>
          <w:trHeight w:val="729"/>
        </w:trPr>
        <w:tc>
          <w:tcPr>
            <w:tcW w:w="202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发包人(公章)：</w:t>
            </w:r>
            <w:r/>
          </w:p>
        </w:tc>
        <w:tc>
          <w:tcPr>
            <w:tcW w:w="2906" w:type="dxa"/>
            <w:vAlign w:val="center"/>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207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承包人(公章)：</w:t>
            </w:r>
            <w:r/>
          </w:p>
        </w:tc>
        <w:tc>
          <w:tcPr>
            <w:tcW w:w="2857"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202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w:t>
            </w:r>
            <w:r/>
          </w:p>
        </w:tc>
        <w:tc>
          <w:tcPr>
            <w:tcW w:w="2906" w:type="dxa"/>
            <w:vAlign w:val="center"/>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207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w:t>
            </w:r>
            <w:r/>
          </w:p>
        </w:tc>
        <w:tc>
          <w:tcPr>
            <w:tcW w:w="2857"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202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法定代表人(签字或盖章)：</w:t>
            </w:r>
            <w:r/>
          </w:p>
        </w:tc>
        <w:tc>
          <w:tcPr>
            <w:tcW w:w="2906" w:type="dxa"/>
            <w:vAlign w:val="center"/>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207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法定代表人(签字或盖章)：</w:t>
            </w:r>
            <w:r/>
          </w:p>
        </w:tc>
        <w:tc>
          <w:tcPr>
            <w:tcW w:w="2857"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202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委托代理人(签字)：</w:t>
            </w:r>
            <w:r/>
          </w:p>
        </w:tc>
        <w:tc>
          <w:tcPr>
            <w:tcW w:w="2906" w:type="dxa"/>
            <w:vAlign w:val="center"/>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207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委托代理人(签字)：</w:t>
            </w:r>
            <w:r/>
          </w:p>
        </w:tc>
        <w:tc>
          <w:tcPr>
            <w:tcW w:w="2857"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202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  话：</w:t>
            </w:r>
            <w:r/>
          </w:p>
        </w:tc>
        <w:tc>
          <w:tcPr>
            <w:tcW w:w="2906" w:type="dxa"/>
            <w:vAlign w:val="center"/>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207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  话：</w:t>
            </w:r>
            <w:r/>
          </w:p>
        </w:tc>
        <w:tc>
          <w:tcPr>
            <w:tcW w:w="2857"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202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开户银行：</w:t>
            </w:r>
            <w:r/>
          </w:p>
        </w:tc>
        <w:tc>
          <w:tcPr>
            <w:tcW w:w="2906" w:type="dxa"/>
            <w:vAlign w:val="center"/>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207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开户银行：</w:t>
            </w:r>
            <w:r/>
          </w:p>
        </w:tc>
        <w:tc>
          <w:tcPr>
            <w:tcW w:w="2857"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202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账 号：</w:t>
            </w:r>
            <w:r/>
          </w:p>
        </w:tc>
        <w:tc>
          <w:tcPr>
            <w:tcW w:w="2906" w:type="dxa"/>
            <w:vAlign w:val="center"/>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207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账 号：</w:t>
            </w:r>
            <w:r/>
          </w:p>
        </w:tc>
        <w:tc>
          <w:tcPr>
            <w:tcW w:w="2857"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bl>
    <w:p>
      <w:pPr>
        <w:spacing w:line="360" w:lineRule="auto"/>
        <w:rPr>
          <w:rFonts w:eastAsia="黑体"/>
          <w:color w:val="000000"/>
          <w:sz w:val="30"/>
          <w:szCs w:val="30"/>
          <w:highlight w:val="none"/>
        </w:rPr>
      </w:pPr>
      <w:r>
        <w:rPr>
          <w:rFonts w:eastAsia="仿宋_GB2312"/>
          <w:b/>
          <w:color w:val="000000"/>
          <w:sz w:val="30"/>
          <w:szCs w:val="30"/>
          <w:highlight w:val="none"/>
        </w:rPr>
        <w:br w:type="page" w:clear="all"/>
      </w:r>
      <w:r>
        <w:rPr>
          <w:rFonts w:hint="eastAsia" w:ascii="宋体" w:hAnsi="宋体" w:cs="宋体"/>
          <w:color w:val="000000"/>
          <w:sz w:val="24"/>
          <w:highlight w:val="none"/>
        </w:rPr>
        <w:t xml:space="preserve">附件3：</w:t>
      </w:r>
      <w:r/>
    </w:p>
    <w:p>
      <w:pPr>
        <w:jc w:val="center"/>
        <w:spacing w:line="360" w:lineRule="auto"/>
        <w:rPr>
          <w:rFonts w:eastAsia="黑体"/>
          <w:color w:val="000000"/>
          <w:sz w:val="30"/>
          <w:szCs w:val="30"/>
          <w:highlight w:val="none"/>
        </w:rPr>
      </w:pPr>
      <w:r>
        <w:rPr>
          <w:rFonts w:eastAsia="黑体"/>
          <w:color w:val="000000"/>
          <w:sz w:val="30"/>
          <w:szCs w:val="30"/>
          <w:highlight w:val="none"/>
        </w:rPr>
        <w:t xml:space="preserve">主要建设工程文件目录</w:t>
      </w:r>
      <w:r/>
    </w:p>
    <w:tbl>
      <w:tblPr>
        <w:tblStyle w:val="873"/>
        <w:tblW w:w="4999"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959"/>
        <w:gridCol w:w="1117"/>
        <w:gridCol w:w="2382"/>
        <w:gridCol w:w="1117"/>
        <w:gridCol w:w="1769"/>
        <w:gridCol w:w="1349"/>
      </w:tblGrid>
      <w:tr>
        <w:trPr>
          <w:jc w:val="center"/>
        </w:trPr>
        <w:tc>
          <w:tcPr>
            <w:tcW w:w="1010" w:type="pct"/>
            <w:vAlign w:val="center"/>
            <w:textDirection w:val="lrTb"/>
            <w:noWrap/>
          </w:tcPr>
          <w:p>
            <w:pPr>
              <w:pStyle w:val="1240"/>
              <w:ind w:left="63" w:right="63"/>
              <w:jc w:val="center"/>
              <w:keepNext/>
              <w:spacing w:after="0" w:line="360" w:lineRule="auto"/>
              <w:tabs>
                <w:tab w:val="left" w:pos="993" w:leader="none"/>
                <w:tab w:val="left" w:pos="1134" w:leader="none"/>
              </w:tabs>
              <w:rPr>
                <w:rFonts w:ascii="宋体" w:hAnsi="宋体" w:cs="宋体"/>
                <w:color w:val="000000"/>
                <w:sz w:val="28"/>
                <w:szCs w:val="30"/>
                <w:highlight w:val="none"/>
              </w:rPr>
            </w:pPr>
            <w:r>
              <w:rPr>
                <w:rFonts w:hint="eastAsia" w:ascii="宋体" w:hAnsi="宋体" w:cs="宋体"/>
                <w:color w:val="000000"/>
                <w:sz w:val="28"/>
                <w:szCs w:val="30"/>
                <w:highlight w:val="none"/>
              </w:rPr>
              <w:t xml:space="preserve">文件名称</w:t>
            </w:r>
            <w:r/>
          </w:p>
        </w:tc>
        <w:tc>
          <w:tcPr>
            <w:tcW w:w="576" w:type="pct"/>
            <w:vAlign w:val="center"/>
            <w:textDirection w:val="lrTb"/>
            <w:noWrap/>
          </w:tcPr>
          <w:p>
            <w:pPr>
              <w:pStyle w:val="1240"/>
              <w:ind w:left="63" w:right="63"/>
              <w:jc w:val="center"/>
              <w:keepNext/>
              <w:spacing w:after="0" w:line="360" w:lineRule="auto"/>
              <w:tabs>
                <w:tab w:val="left" w:pos="993" w:leader="none"/>
                <w:tab w:val="left" w:pos="1134" w:leader="none"/>
              </w:tabs>
              <w:rPr>
                <w:rFonts w:ascii="宋体" w:hAnsi="宋体" w:cs="宋体"/>
                <w:color w:val="000000"/>
                <w:sz w:val="28"/>
                <w:szCs w:val="30"/>
                <w:highlight w:val="none"/>
              </w:rPr>
            </w:pPr>
            <w:r>
              <w:rPr>
                <w:rFonts w:hint="eastAsia" w:ascii="宋体" w:hAnsi="宋体" w:cs="宋体"/>
                <w:color w:val="000000"/>
                <w:sz w:val="28"/>
                <w:szCs w:val="30"/>
                <w:highlight w:val="none"/>
              </w:rPr>
              <w:t xml:space="preserve">套数</w:t>
            </w:r>
            <w:r/>
          </w:p>
        </w:tc>
        <w:tc>
          <w:tcPr>
            <w:tcW w:w="1228" w:type="pct"/>
            <w:vAlign w:val="center"/>
            <w:textDirection w:val="lrTb"/>
            <w:noWrap/>
          </w:tcPr>
          <w:p>
            <w:pPr>
              <w:pStyle w:val="1240"/>
              <w:ind w:left="63" w:right="63"/>
              <w:jc w:val="center"/>
              <w:keepNext/>
              <w:spacing w:after="0" w:line="360" w:lineRule="auto"/>
              <w:tabs>
                <w:tab w:val="left" w:pos="993" w:leader="none"/>
                <w:tab w:val="left" w:pos="1134" w:leader="none"/>
              </w:tabs>
              <w:rPr>
                <w:rFonts w:ascii="宋体" w:hAnsi="宋体" w:cs="宋体"/>
                <w:color w:val="000000"/>
                <w:sz w:val="28"/>
                <w:szCs w:val="30"/>
                <w:highlight w:val="none"/>
              </w:rPr>
            </w:pPr>
            <w:r>
              <w:rPr>
                <w:rFonts w:hint="eastAsia" w:ascii="宋体" w:hAnsi="宋体" w:cs="宋体"/>
                <w:color w:val="000000"/>
                <w:sz w:val="28"/>
                <w:szCs w:val="30"/>
                <w:highlight w:val="none"/>
              </w:rPr>
              <w:t xml:space="preserve">费用（元）</w:t>
            </w:r>
            <w:r/>
          </w:p>
        </w:tc>
        <w:tc>
          <w:tcPr>
            <w:tcW w:w="576" w:type="pct"/>
            <w:vAlign w:val="center"/>
            <w:textDirection w:val="lrTb"/>
            <w:noWrap/>
          </w:tcPr>
          <w:p>
            <w:pPr>
              <w:pStyle w:val="1240"/>
              <w:ind w:left="63" w:right="63"/>
              <w:jc w:val="center"/>
              <w:keepNext/>
              <w:spacing w:after="0" w:line="360" w:lineRule="auto"/>
              <w:tabs>
                <w:tab w:val="left" w:pos="993" w:leader="none"/>
                <w:tab w:val="left" w:pos="1134" w:leader="none"/>
              </w:tabs>
              <w:rPr>
                <w:rFonts w:ascii="宋体" w:hAnsi="宋体" w:cs="宋体"/>
                <w:color w:val="000000"/>
                <w:sz w:val="28"/>
                <w:szCs w:val="30"/>
                <w:highlight w:val="none"/>
              </w:rPr>
            </w:pPr>
            <w:r>
              <w:rPr>
                <w:rFonts w:hint="eastAsia" w:ascii="宋体" w:hAnsi="宋体" w:cs="宋体"/>
                <w:color w:val="000000"/>
                <w:sz w:val="28"/>
                <w:szCs w:val="30"/>
                <w:highlight w:val="none"/>
              </w:rPr>
              <w:t xml:space="preserve">质量</w:t>
            </w:r>
            <w:r/>
          </w:p>
        </w:tc>
        <w:tc>
          <w:tcPr>
            <w:tcW w:w="912" w:type="pct"/>
            <w:vAlign w:val="center"/>
            <w:textDirection w:val="lrTb"/>
            <w:noWrap/>
          </w:tcPr>
          <w:p>
            <w:pPr>
              <w:jc w:val="center"/>
              <w:spacing w:line="360" w:lineRule="auto"/>
              <w:rPr>
                <w:rFonts w:ascii="宋体" w:hAnsi="宋体" w:cs="宋体"/>
                <w:color w:val="000000"/>
                <w:sz w:val="28"/>
                <w:szCs w:val="30"/>
                <w:highlight w:val="none"/>
              </w:rPr>
            </w:pPr>
            <w:r>
              <w:rPr>
                <w:rFonts w:hint="eastAsia" w:ascii="宋体" w:hAnsi="宋体" w:cs="宋体"/>
                <w:color w:val="000000"/>
                <w:sz w:val="28"/>
                <w:szCs w:val="30"/>
                <w:highlight w:val="none"/>
              </w:rPr>
              <w:t xml:space="preserve">移交时间</w:t>
            </w:r>
            <w:r/>
          </w:p>
        </w:tc>
        <w:tc>
          <w:tcPr>
            <w:tcW w:w="695" w:type="pct"/>
            <w:vAlign w:val="center"/>
            <w:textDirection w:val="lrTb"/>
            <w:noWrap/>
          </w:tcPr>
          <w:p>
            <w:pPr>
              <w:jc w:val="center"/>
              <w:spacing w:line="360" w:lineRule="auto"/>
              <w:rPr>
                <w:rFonts w:ascii="宋体" w:hAnsi="宋体" w:cs="宋体"/>
                <w:color w:val="000000"/>
                <w:sz w:val="28"/>
                <w:szCs w:val="30"/>
                <w:highlight w:val="none"/>
              </w:rPr>
            </w:pPr>
            <w:r>
              <w:rPr>
                <w:rFonts w:hint="eastAsia" w:ascii="宋体" w:hAnsi="宋体" w:cs="宋体"/>
                <w:color w:val="000000"/>
                <w:sz w:val="28"/>
                <w:szCs w:val="30"/>
                <w:highlight w:val="none"/>
              </w:rPr>
              <w:t xml:space="preserve">责任人</w:t>
            </w:r>
            <w:r/>
          </w:p>
        </w:tc>
      </w:tr>
      <w:tr>
        <w:trPr>
          <w:jc w:val="center"/>
          <w:trHeight w:val="567"/>
        </w:trPr>
        <w:tc>
          <w:tcPr>
            <w:tcW w:w="1010"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576"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1228"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576"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912"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695"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r>
      <w:tr>
        <w:trPr>
          <w:jc w:val="center"/>
          <w:trHeight w:val="567"/>
        </w:trPr>
        <w:tc>
          <w:tcPr>
            <w:tcW w:w="1010"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576"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1228"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576"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912"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695"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r>
      <w:tr>
        <w:trPr>
          <w:jc w:val="center"/>
          <w:trHeight w:val="567"/>
        </w:trPr>
        <w:tc>
          <w:tcPr>
            <w:tcW w:w="1010"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576"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1228"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576"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912"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695"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r>
      <w:tr>
        <w:trPr>
          <w:jc w:val="center"/>
          <w:trHeight w:val="567"/>
        </w:trPr>
        <w:tc>
          <w:tcPr>
            <w:tcW w:w="1010"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576"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1228"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576"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912"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695"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r>
      <w:tr>
        <w:trPr>
          <w:jc w:val="center"/>
          <w:trHeight w:val="567"/>
        </w:trPr>
        <w:tc>
          <w:tcPr>
            <w:tcW w:w="1010"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576"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1228"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576"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912"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695"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r>
      <w:tr>
        <w:trPr>
          <w:jc w:val="center"/>
          <w:trHeight w:val="567"/>
        </w:trPr>
        <w:tc>
          <w:tcPr>
            <w:tcW w:w="1010"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576"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1228"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576"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912"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695"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r>
      <w:tr>
        <w:trPr>
          <w:jc w:val="center"/>
          <w:trHeight w:val="567"/>
        </w:trPr>
        <w:tc>
          <w:tcPr>
            <w:tcW w:w="1010"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576"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1228"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576"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912"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695"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r>
      <w:tr>
        <w:trPr>
          <w:jc w:val="center"/>
          <w:trHeight w:val="567"/>
        </w:trPr>
        <w:tc>
          <w:tcPr>
            <w:tcW w:w="1010"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576"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1228"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576"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912"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695"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r>
      <w:tr>
        <w:trPr>
          <w:jc w:val="center"/>
          <w:trHeight w:val="567"/>
        </w:trPr>
        <w:tc>
          <w:tcPr>
            <w:tcW w:w="1010"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576"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1228"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576"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912"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695"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r>
      <w:tr>
        <w:trPr>
          <w:jc w:val="center"/>
          <w:trHeight w:val="567"/>
        </w:trPr>
        <w:tc>
          <w:tcPr>
            <w:tcW w:w="1010"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576"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1228"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576"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912"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c>
          <w:tcPr>
            <w:tcW w:w="695" w:type="pct"/>
            <w:vAlign w:val="center"/>
            <w:textDirection w:val="lrTb"/>
            <w:noWrap/>
          </w:tcPr>
          <w:p>
            <w:pPr>
              <w:pStyle w:val="1240"/>
              <w:ind w:left="63" w:right="63"/>
              <w:keepNext/>
              <w:spacing w:line="360" w:lineRule="auto"/>
              <w:tabs>
                <w:tab w:val="left" w:pos="993" w:leader="none"/>
                <w:tab w:val="left" w:pos="1134" w:leader="none"/>
              </w:tabs>
              <w:rPr>
                <w:rFonts w:eastAsia="仿宋_GB2312"/>
                <w:color w:val="000000"/>
                <w:szCs w:val="30"/>
                <w:highlight w:val="none"/>
              </w:rPr>
            </w:pPr>
            <w:r>
              <w:rPr>
                <w:rFonts w:eastAsia="仿宋_GB2312"/>
                <w:color w:val="000000"/>
                <w:szCs w:val="30"/>
                <w:highlight w:val="none"/>
              </w:rPr>
            </w:r>
            <w:r/>
          </w:p>
        </w:tc>
      </w:tr>
      <w:tr>
        <w:trPr>
          <w:jc w:val="center"/>
          <w:trHeight w:val="567"/>
        </w:trPr>
        <w:tc>
          <w:tcPr>
            <w:tcW w:w="1010"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576"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1228"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576"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912"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695"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r>
      <w:tr>
        <w:trPr>
          <w:jc w:val="center"/>
          <w:trHeight w:val="567"/>
        </w:trPr>
        <w:tc>
          <w:tcPr>
            <w:tcW w:w="1010"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576"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1228"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576"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912"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695"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r>
      <w:tr>
        <w:trPr>
          <w:jc w:val="center"/>
          <w:trHeight w:val="567"/>
        </w:trPr>
        <w:tc>
          <w:tcPr>
            <w:tcW w:w="1010"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576"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1228"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576"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912"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695"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r>
      <w:tr>
        <w:trPr>
          <w:jc w:val="center"/>
          <w:trHeight w:val="567"/>
        </w:trPr>
        <w:tc>
          <w:tcPr>
            <w:tcW w:w="1010"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576"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1228"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576"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912"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695"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r>
      <w:tr>
        <w:trPr>
          <w:jc w:val="center"/>
          <w:trHeight w:val="567"/>
        </w:trPr>
        <w:tc>
          <w:tcPr>
            <w:tcW w:w="1010"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576"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1228"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576"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912"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695"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r>
      <w:tr>
        <w:trPr>
          <w:jc w:val="center"/>
          <w:trHeight w:val="567"/>
        </w:trPr>
        <w:tc>
          <w:tcPr>
            <w:tcW w:w="1010"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576"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1228"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576"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912"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c>
          <w:tcPr>
            <w:tcW w:w="695" w:type="pct"/>
            <w:textDirection w:val="lrTb"/>
            <w:noWrap/>
          </w:tcPr>
          <w:p>
            <w:pPr>
              <w:spacing w:line="360" w:lineRule="auto"/>
              <w:rPr>
                <w:rFonts w:eastAsia="仿宋_GB2312"/>
                <w:color w:val="000000"/>
                <w:sz w:val="30"/>
                <w:szCs w:val="30"/>
                <w:highlight w:val="none"/>
              </w:rPr>
            </w:pPr>
            <w:r>
              <w:rPr>
                <w:rFonts w:eastAsia="仿宋_GB2312"/>
                <w:color w:val="000000"/>
                <w:sz w:val="30"/>
                <w:szCs w:val="30"/>
                <w:highlight w:val="none"/>
              </w:rPr>
            </w:r>
            <w:r/>
          </w:p>
        </w:tc>
      </w:tr>
    </w:tbl>
    <w:p>
      <w:pPr>
        <w:spacing w:line="360" w:lineRule="auto"/>
        <w:rPr>
          <w:rFonts w:eastAsia="仿宋_GB2312"/>
          <w:color w:val="000000"/>
          <w:sz w:val="30"/>
          <w:szCs w:val="30"/>
          <w:highlight w:val="none"/>
        </w:rPr>
      </w:pPr>
      <w:r>
        <w:rPr>
          <w:rFonts w:eastAsia="仿宋_GB2312"/>
          <w:color w:val="000000"/>
          <w:sz w:val="30"/>
          <w:szCs w:val="30"/>
          <w:highlight w:val="none"/>
        </w:rPr>
      </w:r>
      <w:r/>
    </w:p>
    <w:p>
      <w:pPr>
        <w:spacing w:line="360" w:lineRule="auto"/>
        <w:rPr>
          <w:rFonts w:eastAsia="黑体"/>
          <w:color w:val="000000"/>
          <w:sz w:val="30"/>
          <w:szCs w:val="30"/>
          <w:highlight w:val="none"/>
        </w:rPr>
      </w:pPr>
      <w:r>
        <w:rPr>
          <w:rFonts w:eastAsia="仿宋_GB2312"/>
          <w:color w:val="000000"/>
          <w:sz w:val="30"/>
          <w:szCs w:val="30"/>
          <w:highlight w:val="none"/>
        </w:rPr>
        <w:br w:type="page" w:clear="all"/>
      </w:r>
      <w:r>
        <w:rPr>
          <w:rFonts w:hint="eastAsia" w:ascii="宋体" w:hAnsi="宋体" w:cs="宋体"/>
          <w:color w:val="000000"/>
          <w:sz w:val="24"/>
          <w:highlight w:val="none"/>
        </w:rPr>
        <w:t xml:space="preserve">附</w:t>
      </w:r>
      <w:bookmarkStart w:id="624" w:name="_Toc296347226"/>
      <w:r/>
      <w:bookmarkStart w:id="625" w:name="_Toc296891055"/>
      <w:r/>
      <w:bookmarkStart w:id="626" w:name="_Toc296346728"/>
      <w:r/>
      <w:bookmarkStart w:id="627" w:name="_Toc296503227"/>
      <w:r/>
      <w:bookmarkStart w:id="628" w:name="_Toc267261698"/>
      <w:r/>
      <w:bookmarkStart w:id="629" w:name="_Toc296891267"/>
      <w:r/>
      <w:bookmarkStart w:id="630" w:name="_Toc296944566"/>
      <w:r>
        <w:rPr>
          <w:rFonts w:hint="eastAsia" w:ascii="宋体" w:hAnsi="宋体" w:cs="宋体"/>
          <w:color w:val="000000"/>
          <w:sz w:val="24"/>
          <w:highlight w:val="none"/>
        </w:rPr>
        <w:t xml:space="preserve">件4：</w:t>
      </w:r>
      <w:bookmarkEnd w:id="624"/>
      <w:r/>
      <w:bookmarkEnd w:id="625"/>
      <w:r/>
      <w:bookmarkEnd w:id="626"/>
      <w:r/>
      <w:bookmarkEnd w:id="627"/>
      <w:r/>
      <w:bookmarkEnd w:id="628"/>
      <w:r/>
      <w:bookmarkEnd w:id="629"/>
      <w:r/>
      <w:bookmarkEnd w:id="630"/>
      <w:r/>
      <w:r/>
    </w:p>
    <w:p>
      <w:pPr>
        <w:jc w:val="center"/>
        <w:spacing w:line="360" w:lineRule="auto"/>
        <w:rPr>
          <w:rFonts w:eastAsia="黑体"/>
          <w:color w:val="000000"/>
          <w:sz w:val="30"/>
          <w:szCs w:val="30"/>
          <w:highlight w:val="none"/>
        </w:rPr>
      </w:pPr>
      <w:r>
        <w:rPr>
          <w:rFonts w:eastAsia="黑体"/>
          <w:color w:val="000000"/>
          <w:sz w:val="30"/>
          <w:szCs w:val="30"/>
          <w:highlight w:val="none"/>
        </w:rPr>
        <w:t xml:space="preserve">承包人用于本工程施工的机械设备表</w:t>
      </w:r>
      <w:r/>
    </w:p>
    <w:tbl>
      <w:tblPr>
        <w:tblStyle w:val="873"/>
        <w:tblW w:w="4997"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662"/>
        <w:gridCol w:w="1862"/>
        <w:gridCol w:w="1144"/>
        <w:gridCol w:w="677"/>
        <w:gridCol w:w="686"/>
        <w:gridCol w:w="1165"/>
        <w:gridCol w:w="1622"/>
        <w:gridCol w:w="1142"/>
        <w:gridCol w:w="729"/>
      </w:tblGrid>
      <w:tr>
        <w:trPr>
          <w:jc w:val="center"/>
          <w:trHeight w:val="805"/>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序号</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机械或设备名称</w:t>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规格型号</w:t>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数量</w:t>
            </w:r>
            <w:r/>
          </w:p>
        </w:tc>
        <w:tc>
          <w:tcPr>
            <w:tcW w:w="441"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产地</w:t>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制造年份</w:t>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额定功率(kW)</w:t>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生产能力</w:t>
            </w:r>
            <w:r/>
          </w:p>
        </w:tc>
        <w:tc>
          <w:tcPr>
            <w:tcW w:w="463"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备注</w:t>
            </w:r>
            <w:r/>
          </w:p>
        </w:tc>
      </w:tr>
      <w:tr>
        <w:trPr>
          <w:jc w:val="center"/>
          <w:trHeight w:val="452"/>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1</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jc w:val="center"/>
          <w:trHeight w:val="428"/>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2</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428"/>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3</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428"/>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4</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428"/>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5</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428"/>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6</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428"/>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7</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428"/>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8</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428"/>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9</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793"/>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10</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428"/>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11</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428"/>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12</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428"/>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13</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428"/>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14</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428"/>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15</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428"/>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16</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428"/>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17</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428"/>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18</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428"/>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19</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428"/>
        </w:trPr>
        <w:tc>
          <w:tcPr>
            <w:tcW w:w="330"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20</w:t>
            </w:r>
            <w:r/>
          </w:p>
        </w:tc>
        <w:tc>
          <w:tcPr>
            <w:tcW w:w="88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67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36"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41"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c>
          <w:tcPr>
            <w:tcW w:w="688"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67"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512" w:type="pct"/>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63" w:type="pct"/>
            <w:vAlign w:val="center"/>
            <w:textDirection w:val="lrTb"/>
            <w:noWrap/>
          </w:tcPr>
          <w:p>
            <w:pPr>
              <w:ind w:left="60" w:right="60"/>
              <w:keepNext/>
              <w:spacing w:line="360" w:lineRule="auto"/>
              <w:rPr>
                <w:rFonts w:ascii="宋体" w:hAnsi="宋体" w:cs="宋体"/>
                <w:color w:val="000000"/>
                <w:sz w:val="24"/>
                <w:highlight w:val="none"/>
              </w:rPr>
            </w:pPr>
            <w:r>
              <w:rPr>
                <w:rFonts w:ascii="宋体" w:hAnsi="宋体" w:cs="宋体"/>
                <w:color w:val="000000"/>
                <w:sz w:val="24"/>
                <w:highlight w:val="none"/>
              </w:rPr>
            </w:r>
            <w:r/>
          </w:p>
        </w:tc>
      </w:tr>
    </w:tbl>
    <w:p>
      <w:pPr>
        <w:spacing w:line="360" w:lineRule="auto"/>
        <w:rPr>
          <w:rFonts w:eastAsia="仿宋_GB2312"/>
          <w:color w:val="000000"/>
          <w:sz w:val="30"/>
          <w:szCs w:val="30"/>
          <w:highlight w:val="none"/>
        </w:rPr>
      </w:pPr>
      <w:r>
        <w:rPr>
          <w:rFonts w:eastAsia="仿宋_GB2312"/>
          <w:color w:val="000000"/>
          <w:sz w:val="30"/>
          <w:szCs w:val="30"/>
          <w:highlight w:val="none"/>
        </w:rPr>
        <w:br w:type="page" w:clear="all"/>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w:t>
      </w:r>
      <w:bookmarkStart w:id="631" w:name="_Toc296944567"/>
      <w:r/>
      <w:bookmarkStart w:id="632" w:name="_Toc296347227"/>
      <w:r/>
      <w:bookmarkStart w:id="633" w:name="_Toc296503228"/>
      <w:r/>
      <w:bookmarkStart w:id="634" w:name="_Toc296346729"/>
      <w:r/>
      <w:bookmarkStart w:id="635" w:name="_Toc296891056"/>
      <w:r/>
      <w:bookmarkStart w:id="636" w:name="_Toc296891268"/>
      <w:r/>
      <w:bookmarkStart w:id="637" w:name="_Toc267261699"/>
      <w:r>
        <w:rPr>
          <w:rFonts w:hint="eastAsia" w:ascii="宋体" w:hAnsi="宋体" w:cs="宋体"/>
          <w:color w:val="000000"/>
          <w:sz w:val="24"/>
          <w:highlight w:val="none"/>
        </w:rPr>
        <w:t xml:space="preserve">件5：</w:t>
      </w:r>
      <w:bookmarkEnd w:id="631"/>
      <w:r/>
      <w:bookmarkEnd w:id="632"/>
      <w:r/>
      <w:bookmarkEnd w:id="633"/>
      <w:r/>
      <w:bookmarkEnd w:id="634"/>
      <w:r/>
      <w:bookmarkEnd w:id="635"/>
      <w:r/>
      <w:bookmarkEnd w:id="636"/>
      <w:r/>
      <w:bookmarkEnd w:id="637"/>
      <w:r/>
      <w:r/>
    </w:p>
    <w:p>
      <w:pPr>
        <w:jc w:val="center"/>
        <w:spacing w:line="360" w:lineRule="auto"/>
        <w:rPr>
          <w:rFonts w:eastAsia="黑体"/>
          <w:color w:val="000000"/>
          <w:sz w:val="30"/>
          <w:szCs w:val="30"/>
          <w:highlight w:val="none"/>
        </w:rPr>
      </w:pPr>
      <w:r>
        <w:rPr>
          <w:rFonts w:eastAsia="黑体"/>
          <w:color w:val="000000"/>
          <w:sz w:val="30"/>
          <w:szCs w:val="30"/>
          <w:highlight w:val="none"/>
        </w:rPr>
        <w:t xml:space="preserve">承包人主要施工管理人员表</w:t>
      </w:r>
      <w:r/>
    </w:p>
    <w:tbl>
      <w:tblPr>
        <w:tblStyle w:val="873"/>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398"/>
        <w:gridCol w:w="870"/>
        <w:gridCol w:w="4252"/>
      </w:tblGrid>
      <w:tr>
        <w:trPr>
          <w:jc w:val="center"/>
        </w:trPr>
        <w:tc>
          <w:tcPr>
            <w:tcW w:w="1871"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名    称</w:t>
            </w:r>
            <w:r/>
          </w:p>
        </w:tc>
        <w:tc>
          <w:tcPr>
            <w:tcW w:w="141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姓名</w:t>
            </w:r>
            <w:r/>
          </w:p>
        </w:tc>
        <w:tc>
          <w:tcPr>
            <w:tcW w:w="139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职务</w:t>
            </w:r>
            <w:r/>
          </w:p>
        </w:tc>
        <w:tc>
          <w:tcPr>
            <w:tcW w:w="870"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职称</w:t>
            </w:r>
            <w:r/>
          </w:p>
        </w:tc>
        <w:tc>
          <w:tcPr>
            <w:tcW w:w="4252"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主要资历、经验及承担过的项目</w:t>
            </w:r>
            <w:r/>
          </w:p>
        </w:tc>
      </w:tr>
      <w:tr>
        <w:trPr>
          <w:jc w:val="center"/>
        </w:trPr>
        <w:tc>
          <w:tcPr>
            <w:gridSpan w:val="5"/>
            <w:tcW w:w="9809"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一、总部人员</w:t>
            </w:r>
            <w:r/>
          </w:p>
        </w:tc>
      </w:tr>
      <w:tr>
        <w:trPr>
          <w:jc w:val="center"/>
        </w:trPr>
        <w:tc>
          <w:tcPr>
            <w:tcW w:w="1871"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项目主管</w:t>
            </w:r>
            <w:r/>
          </w:p>
        </w:tc>
        <w:tc>
          <w:tcPr>
            <w:tcW w:w="141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870"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252"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jc w:val="center"/>
        </w:trPr>
        <w:tc>
          <w:tcPr>
            <w:tcW w:w="1871"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41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870"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252"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jc w:val="center"/>
        </w:trPr>
        <w:tc>
          <w:tcPr>
            <w:tcW w:w="1871"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其他人员</w:t>
            </w:r>
            <w:r/>
          </w:p>
        </w:tc>
        <w:tc>
          <w:tcPr>
            <w:tcW w:w="141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870"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252"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jc w:val="center"/>
        </w:trPr>
        <w:tc>
          <w:tcPr>
            <w:tcW w:w="1871"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41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870"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252"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jc w:val="center"/>
        </w:trPr>
        <w:tc>
          <w:tcPr>
            <w:gridSpan w:val="5"/>
            <w:tcW w:w="9809"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二、现场人员</w:t>
            </w:r>
            <w:r/>
          </w:p>
        </w:tc>
      </w:tr>
      <w:tr>
        <w:trPr>
          <w:jc w:val="center"/>
        </w:trPr>
        <w:tc>
          <w:tcPr>
            <w:tcW w:w="1871"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项目负责人</w:t>
            </w:r>
            <w:r/>
          </w:p>
        </w:tc>
        <w:tc>
          <w:tcPr>
            <w:tcW w:w="141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870"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252"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jc w:val="center"/>
        </w:trPr>
        <w:tc>
          <w:tcPr>
            <w:tcW w:w="1871"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项目副经理</w:t>
            </w:r>
            <w:r/>
          </w:p>
        </w:tc>
        <w:tc>
          <w:tcPr>
            <w:tcW w:w="141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870"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252"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jc w:val="center"/>
        </w:trPr>
        <w:tc>
          <w:tcPr>
            <w:tcW w:w="1871"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技术负责人</w:t>
            </w:r>
            <w:r/>
          </w:p>
        </w:tc>
        <w:tc>
          <w:tcPr>
            <w:tcW w:w="141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870"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252"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jc w:val="center"/>
        </w:trPr>
        <w:tc>
          <w:tcPr>
            <w:tcW w:w="1871"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造价管理</w:t>
            </w:r>
            <w:r/>
          </w:p>
        </w:tc>
        <w:tc>
          <w:tcPr>
            <w:tcW w:w="141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870"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252"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jc w:val="center"/>
        </w:trPr>
        <w:tc>
          <w:tcPr>
            <w:tcW w:w="1871"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质量管理</w:t>
            </w:r>
            <w:r/>
          </w:p>
        </w:tc>
        <w:tc>
          <w:tcPr>
            <w:tcW w:w="141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870"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252"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jc w:val="center"/>
        </w:trPr>
        <w:tc>
          <w:tcPr>
            <w:tcW w:w="1871"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材料管理</w:t>
            </w:r>
            <w:r/>
          </w:p>
        </w:tc>
        <w:tc>
          <w:tcPr>
            <w:tcW w:w="141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870"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252"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jc w:val="center"/>
        </w:trPr>
        <w:tc>
          <w:tcPr>
            <w:tcW w:w="1871"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计划管理</w:t>
            </w:r>
            <w:r/>
          </w:p>
        </w:tc>
        <w:tc>
          <w:tcPr>
            <w:tcW w:w="141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870"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252"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jc w:val="center"/>
        </w:trPr>
        <w:tc>
          <w:tcPr>
            <w:tcW w:w="1871"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安全管理</w:t>
            </w:r>
            <w:r/>
          </w:p>
        </w:tc>
        <w:tc>
          <w:tcPr>
            <w:tcW w:w="141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870"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252" w:type="dxa"/>
            <w:vAlign w:val="center"/>
            <w:textDirection w:val="lrTb"/>
            <w:noWrap/>
          </w:tcPr>
          <w:p>
            <w:pPr>
              <w:pStyle w:val="1240"/>
              <w:ind w:left="62" w:right="62"/>
              <w:keepNext/>
              <w:spacing w:after="0"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jc w:val="center"/>
        </w:trPr>
        <w:tc>
          <w:tcPr>
            <w:tcW w:w="1871" w:type="dxa"/>
            <w:vAlign w:val="center"/>
            <w:vMerge w:val="restart"/>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hint="eastAsia" w:ascii="宋体" w:hAnsi="宋体" w:cs="宋体"/>
                <w:color w:val="000000"/>
                <w:highlight w:val="none"/>
              </w:rPr>
              <w:t xml:space="preserve">其他人员</w:t>
            </w:r>
            <w:r/>
          </w:p>
        </w:tc>
        <w:tc>
          <w:tcPr>
            <w:tcW w:w="1418" w:type="dxa"/>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870" w:type="dxa"/>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252" w:type="dxa"/>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jc w:val="center"/>
        </w:trPr>
        <w:tc>
          <w:tcPr>
            <w:tcW w:w="1871" w:type="dxa"/>
            <w:vAlign w:val="center"/>
            <w:vMerge w:val="continue"/>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418" w:type="dxa"/>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870" w:type="dxa"/>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252" w:type="dxa"/>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jc w:val="center"/>
        </w:trPr>
        <w:tc>
          <w:tcPr>
            <w:tcW w:w="1871" w:type="dxa"/>
            <w:vAlign w:val="center"/>
            <w:vMerge w:val="continue"/>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418" w:type="dxa"/>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870" w:type="dxa"/>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252" w:type="dxa"/>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r>
        <w:trPr>
          <w:jc w:val="center"/>
        </w:trPr>
        <w:tc>
          <w:tcPr>
            <w:tcW w:w="1871" w:type="dxa"/>
            <w:vAlign w:val="center"/>
            <w:vMerge w:val="continue"/>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418" w:type="dxa"/>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870" w:type="dxa"/>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c>
          <w:tcPr>
            <w:tcW w:w="4252" w:type="dxa"/>
            <w:vAlign w:val="center"/>
            <w:textDirection w:val="lrTb"/>
            <w:noWrap/>
          </w:tcPr>
          <w:p>
            <w:pPr>
              <w:pStyle w:val="1240"/>
              <w:ind w:left="63" w:right="63"/>
              <w:keepNext/>
              <w:spacing w:line="360" w:lineRule="auto"/>
              <w:tabs>
                <w:tab w:val="left" w:pos="993" w:leader="none"/>
                <w:tab w:val="left" w:pos="1134" w:leader="none"/>
              </w:tabs>
              <w:rPr>
                <w:rFonts w:ascii="宋体" w:hAnsi="宋体" w:cs="宋体"/>
                <w:color w:val="000000"/>
                <w:highlight w:val="none"/>
              </w:rPr>
            </w:pPr>
            <w:r>
              <w:rPr>
                <w:rFonts w:ascii="宋体" w:hAnsi="宋体" w:cs="宋体"/>
                <w:color w:val="000000"/>
                <w:highlight w:val="none"/>
              </w:rPr>
            </w:r>
            <w:r/>
          </w:p>
        </w:tc>
      </w:tr>
    </w:tbl>
    <w:p>
      <w:pPr>
        <w:spacing w:line="360" w:lineRule="auto"/>
        <w:rPr>
          <w:rFonts w:eastAsia="黑体"/>
          <w:color w:val="000000"/>
          <w:sz w:val="30"/>
          <w:szCs w:val="30"/>
          <w:highlight w:val="none"/>
        </w:rPr>
      </w:pPr>
      <w:r>
        <w:rPr>
          <w:rFonts w:eastAsia="仿宋_GB2312"/>
          <w:color w:val="000000"/>
          <w:sz w:val="30"/>
          <w:szCs w:val="30"/>
          <w:highlight w:val="none"/>
        </w:rPr>
        <w:br w:type="page" w:clear="all"/>
      </w:r>
      <w:bookmarkStart w:id="638" w:name="_Toc267261701"/>
      <w:r>
        <w:rPr>
          <w:rFonts w:hint="eastAsia" w:ascii="宋体" w:hAnsi="宋体" w:cs="宋体"/>
          <w:color w:val="000000"/>
          <w:sz w:val="24"/>
          <w:highlight w:val="none"/>
        </w:rPr>
        <w:t xml:space="preserve">附</w:t>
      </w:r>
      <w:bookmarkStart w:id="639" w:name="_Toc296891271"/>
      <w:r/>
      <w:bookmarkStart w:id="640" w:name="_Toc296503231"/>
      <w:r/>
      <w:bookmarkStart w:id="641" w:name="_Toc296944570"/>
      <w:r/>
      <w:bookmarkStart w:id="642" w:name="_Toc296891059"/>
      <w:r/>
      <w:bookmarkStart w:id="643" w:name="_Toc296347230"/>
      <w:r/>
      <w:bookmarkStart w:id="644" w:name="_Toc296346732"/>
      <w:r>
        <w:rPr>
          <w:rFonts w:hint="eastAsia" w:ascii="宋体" w:hAnsi="宋体" w:cs="宋体"/>
          <w:color w:val="000000"/>
          <w:sz w:val="24"/>
          <w:highlight w:val="none"/>
        </w:rPr>
        <w:t xml:space="preserve">件6：</w:t>
      </w:r>
      <w:bookmarkEnd w:id="638"/>
      <w:r/>
      <w:bookmarkEnd w:id="639"/>
      <w:r/>
      <w:bookmarkEnd w:id="640"/>
      <w:r/>
      <w:bookmarkEnd w:id="641"/>
      <w:r/>
      <w:bookmarkEnd w:id="642"/>
      <w:r/>
      <w:bookmarkEnd w:id="643"/>
      <w:r/>
      <w:bookmarkEnd w:id="644"/>
      <w:r/>
      <w:r/>
    </w:p>
    <w:p>
      <w:pPr>
        <w:jc w:val="center"/>
        <w:spacing w:line="360" w:lineRule="auto"/>
        <w:rPr>
          <w:rFonts w:hint="eastAsia" w:ascii="黑体" w:hAnsi="黑体" w:eastAsia="黑体" w:cs="黑体"/>
          <w:color w:val="000000"/>
          <w:sz w:val="36"/>
          <w:szCs w:val="36"/>
          <w:highlight w:val="none"/>
        </w:rPr>
      </w:pPr>
      <w:r>
        <w:rPr>
          <w:rFonts w:hint="eastAsia" w:ascii="黑体" w:hAnsi="黑体" w:eastAsia="黑体" w:cs="黑体"/>
          <w:color w:val="000000"/>
          <w:sz w:val="36"/>
          <w:szCs w:val="36"/>
          <w:highlight w:val="none"/>
        </w:rPr>
        <w:t xml:space="preserve">履约担保</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ab/>
      </w:r>
      <w:r>
        <w:rPr>
          <w:rFonts w:hint="eastAsia" w:ascii="宋体" w:hAnsi="宋体" w:cs="宋体"/>
          <w:color w:val="000000"/>
          <w:sz w:val="24"/>
          <w:highlight w:val="none"/>
          <w:u w:val="single"/>
        </w:rPr>
        <w:t xml:space="preserve">（发包人名称）</w:t>
      </w:r>
      <w:r>
        <w:rPr>
          <w:rFonts w:hint="eastAsia" w:ascii="宋体" w:hAnsi="宋体" w:cs="宋体"/>
          <w:color w:val="000000"/>
          <w:sz w:val="24"/>
          <w:highlight w:val="none"/>
        </w:rPr>
        <w:t xml:space="preserve">：</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w:t>
      </w:r>
      <w:r>
        <w:rPr>
          <w:rFonts w:hint="eastAsia" w:ascii="宋体" w:hAnsi="宋体" w:cs="宋体"/>
          <w:color w:val="000000"/>
          <w:sz w:val="24"/>
          <w:highlight w:val="none"/>
          <w:u w:val="single"/>
        </w:rPr>
        <w:t xml:space="preserve">（发包人名称）</w:t>
      </w:r>
      <w:r>
        <w:rPr>
          <w:rFonts w:hint="eastAsia" w:ascii="宋体" w:hAnsi="宋体" w:cs="宋体"/>
          <w:color w:val="000000"/>
          <w:sz w:val="24"/>
          <w:highlight w:val="none"/>
        </w:rPr>
        <w:t xml:space="preserve">与</w:t>
      </w:r>
      <w:r>
        <w:rPr>
          <w:rFonts w:hint="eastAsia" w:ascii="宋体" w:hAnsi="宋体" w:cs="宋体"/>
          <w:color w:val="000000"/>
          <w:sz w:val="24"/>
          <w:highlight w:val="none"/>
          <w:u w:val="single"/>
        </w:rPr>
        <w:t xml:space="preserve">（承包人名称）</w:t>
      </w:r>
      <w:r>
        <w:rPr>
          <w:rFonts w:hint="eastAsia" w:ascii="宋体" w:hAnsi="宋体" w:cs="宋体"/>
          <w:color w:val="000000"/>
          <w:sz w:val="24"/>
          <w:highlight w:val="none"/>
        </w:rPr>
        <w:t xml:space="preserve">（以下称“承包人”）于年月日就</w:t>
      </w:r>
      <w:r>
        <w:rPr>
          <w:rFonts w:hint="eastAsia" w:ascii="宋体" w:hAnsi="宋体" w:cs="宋体"/>
          <w:color w:val="000000"/>
          <w:sz w:val="24"/>
          <w:highlight w:val="none"/>
          <w:u w:val="single"/>
        </w:rPr>
        <w:t xml:space="preserve">（工程名称）</w:t>
      </w:r>
      <w:r>
        <w:rPr>
          <w:rFonts w:hint="eastAsia" w:ascii="宋体" w:hAnsi="宋体" w:cs="宋体"/>
          <w:color w:val="000000"/>
          <w:sz w:val="24"/>
          <w:highlight w:val="none"/>
        </w:rPr>
        <w:t xml:space="preserve">施工及有关事项协商一致共同签订《建设工程施工合同》。我方愿意无条件地、不可撤销地就承包人履行与你方签订的合同，向你方提供连带责任担保。 </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 担保金额人民币  </w:t>
      </w:r>
      <w:r>
        <w:rPr>
          <w:rFonts w:hint="eastAsia" w:ascii="宋体" w:hAnsi="宋体" w:cs="宋体"/>
          <w:color w:val="000000"/>
          <w:sz w:val="24"/>
          <w:highlight w:val="none"/>
          <w:u w:val="single"/>
        </w:rPr>
        <w:t xml:space="preserve">（大写）  </w:t>
      </w:r>
      <w:r>
        <w:rPr>
          <w:rFonts w:hint="eastAsia" w:ascii="宋体" w:hAnsi="宋体" w:cs="宋体"/>
          <w:color w:val="000000"/>
          <w:sz w:val="24"/>
          <w:highlight w:val="none"/>
        </w:rPr>
        <w:t xml:space="preserve">元（¥）。</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担保有效期自你方与承包人签订的合同生效之日起至你方签发或应签发工程接收证书之日止。</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在本担保有效期内，因承包人违反合同约定的义务给你方造成经济损失时，我方在收到你方以书面形式提出的在担保金额内的赔偿要求后，在7天内无条件支付。</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你方和承包人按合同约定变更合同时，我方承担本担保规定的义务不变。</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 因本保函发生的纠纷，可由双方协商解决，协商不成的，任何一方均可提请仲裁委员会仲裁。</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 本保函自我方法定代表人（或其授权代理人）签字并加盖公章之日起生效。</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担 保 人：（盖单位章）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法定代表人或其委托代理人：（签字）</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邮政编码：</w:t>
      </w:r>
      <w:r/>
    </w:p>
    <w:p>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电    话：</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    真：</w:t>
      </w:r>
      <w:r/>
    </w:p>
    <w:p>
      <w:pPr>
        <w:spacing w:line="360" w:lineRule="auto"/>
        <w:rPr>
          <w:rFonts w:ascii="宋体" w:hAnsi="宋体" w:cs="宋体"/>
          <w:color w:val="000000"/>
          <w:sz w:val="24"/>
          <w:highlight w:val="none"/>
          <w:u w:val="single"/>
        </w:rPr>
      </w:pPr>
      <w:r>
        <w:rPr>
          <w:rFonts w:ascii="宋体" w:hAnsi="宋体" w:cs="宋体"/>
          <w:color w:val="000000"/>
          <w:sz w:val="24"/>
          <w:highlight w:val="none"/>
          <w:u w:val="single"/>
        </w:rPr>
      </w:r>
      <w:r/>
    </w:p>
    <w:p>
      <w:pPr>
        <w:ind w:left="1839" w:hanging="159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年 月 日</w:t>
      </w:r>
      <w:r/>
    </w:p>
    <w:p>
      <w:pPr>
        <w:ind w:left="1899" w:hanging="1899"/>
        <w:spacing w:line="360" w:lineRule="auto"/>
        <w:rPr>
          <w:rFonts w:eastAsia="仿宋_GB2312"/>
          <w:color w:val="000000"/>
          <w:sz w:val="30"/>
          <w:szCs w:val="30"/>
          <w:highlight w:val="none"/>
        </w:rPr>
      </w:pPr>
      <w:r>
        <w:rPr>
          <w:rFonts w:eastAsia="仿宋_GB2312"/>
          <w:color w:val="000000"/>
          <w:sz w:val="30"/>
          <w:szCs w:val="30"/>
          <w:highlight w:val="none"/>
        </w:rPr>
      </w:r>
      <w:r/>
    </w:p>
    <w:p>
      <w:pPr>
        <w:ind w:firstLine="1800"/>
        <w:spacing w:line="360" w:lineRule="auto"/>
        <w:rPr>
          <w:rFonts w:ascii="宋体" w:hAnsi="宋体" w:cs="宋体"/>
          <w:color w:val="000000"/>
          <w:sz w:val="24"/>
          <w:highlight w:val="none"/>
        </w:rPr>
      </w:pPr>
      <w:r>
        <w:rPr>
          <w:rFonts w:eastAsia="仿宋_GB2312"/>
          <w:color w:val="000000"/>
          <w:sz w:val="30"/>
          <w:szCs w:val="30"/>
          <w:highlight w:val="none"/>
        </w:rPr>
        <w:br w:type="page" w:clear="all"/>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w:t>
      </w:r>
      <w:bookmarkStart w:id="645" w:name="_Toc296944572"/>
      <w:r/>
      <w:bookmarkStart w:id="646" w:name="_Toc296891273"/>
      <w:r/>
      <w:bookmarkStart w:id="647" w:name="_Toc296503233"/>
      <w:r/>
      <w:bookmarkStart w:id="648" w:name="_Toc296346734"/>
      <w:r/>
      <w:bookmarkStart w:id="649" w:name="_Toc296347232"/>
      <w:r/>
      <w:bookmarkStart w:id="650" w:name="_Toc296891061"/>
      <w:r>
        <w:rPr>
          <w:rFonts w:hint="eastAsia" w:ascii="宋体" w:hAnsi="宋体" w:cs="宋体"/>
          <w:color w:val="000000"/>
          <w:sz w:val="24"/>
          <w:highlight w:val="none"/>
        </w:rPr>
        <w:t xml:space="preserve">件7: </w:t>
      </w:r>
      <w:bookmarkEnd w:id="645"/>
      <w:r/>
      <w:bookmarkEnd w:id="646"/>
      <w:r/>
      <w:bookmarkEnd w:id="647"/>
      <w:r/>
      <w:bookmarkEnd w:id="648"/>
      <w:r/>
      <w:bookmarkEnd w:id="649"/>
      <w:r/>
      <w:bookmarkEnd w:id="650"/>
      <w:r/>
      <w:r/>
    </w:p>
    <w:p>
      <w:pPr>
        <w:jc w:val="center"/>
        <w:spacing w:line="360" w:lineRule="auto"/>
        <w:rPr>
          <w:rFonts w:eastAsia="黑体"/>
          <w:color w:val="000000"/>
          <w:sz w:val="36"/>
          <w:szCs w:val="36"/>
          <w:highlight w:val="none"/>
        </w:rPr>
      </w:pPr>
      <w:r>
        <w:rPr>
          <w:rFonts w:eastAsia="黑体"/>
          <w:color w:val="000000"/>
          <w:sz w:val="36"/>
          <w:szCs w:val="36"/>
          <w:highlight w:val="none"/>
        </w:rPr>
        <w:t xml:space="preserve">支付担保</w:t>
      </w:r>
      <w:r/>
    </w:p>
    <w:p>
      <w:pPr>
        <w:ind w:firstLine="640"/>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（承包人）：</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鉴于你方作为承包人已经与</w:t>
      </w:r>
      <w:r>
        <w:rPr>
          <w:rFonts w:hint="eastAsia" w:ascii="宋体" w:hAnsi="宋体" w:cs="宋体"/>
          <w:color w:val="000000"/>
          <w:sz w:val="24"/>
          <w:highlight w:val="none"/>
          <w:u w:val="single"/>
        </w:rPr>
        <w:t xml:space="preserve">（发包人名称）</w:t>
      </w:r>
      <w:r>
        <w:rPr>
          <w:rFonts w:hint="eastAsia" w:ascii="宋体" w:hAnsi="宋体" w:cs="宋体"/>
          <w:color w:val="000000"/>
          <w:sz w:val="24"/>
          <w:highlight w:val="none"/>
        </w:rPr>
        <w:t xml:space="preserve">于   </w:t>
      </w:r>
      <w:r>
        <w:rPr>
          <w:rFonts w:hint="eastAsia" w:ascii="宋体" w:hAnsi="宋体" w:cs="宋体"/>
          <w:color w:val="000000"/>
          <w:sz w:val="24"/>
          <w:highlight w:val="none"/>
          <w:u w:val="single"/>
        </w:rPr>
        <w:t xml:space="preserve">年  月   日</w:t>
      </w:r>
      <w:r>
        <w:rPr>
          <w:rFonts w:hint="eastAsia" w:ascii="宋体" w:hAnsi="宋体" w:cs="宋体"/>
          <w:color w:val="000000"/>
          <w:sz w:val="24"/>
          <w:highlight w:val="none"/>
        </w:rPr>
        <w:t xml:space="preserve">签订了</w:t>
      </w:r>
      <w:r>
        <w:rPr>
          <w:rFonts w:hint="eastAsia" w:ascii="宋体" w:hAnsi="宋体" w:cs="宋体"/>
          <w:color w:val="000000"/>
          <w:sz w:val="24"/>
          <w:highlight w:val="none"/>
          <w:u w:val="single"/>
        </w:rPr>
        <w:t xml:space="preserve"> （工程名称）  </w:t>
      </w:r>
      <w:r>
        <w:rPr>
          <w:rFonts w:hint="eastAsia" w:ascii="宋体" w:hAnsi="宋体" w:cs="宋体"/>
          <w:color w:val="000000"/>
          <w:sz w:val="24"/>
          <w:highlight w:val="none"/>
        </w:rPr>
        <w:t xml:space="preserve">《建设工程施工合同》（以下称“主合同”），应发包人的申请，我方愿就发包人履行主合同约定的工程款支付义务以保证的方式向你方提供如下担保：</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一、保证的范围及保证金额</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 我方的保证范围是主合同约定的工程款。</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本保函所称主合同约定的工程款是指主合同约定的除工程质量保证金以外的合同价款。</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我方保证的金额是主合同约定的工程款的%，数额最高不超过人民币元（大写：）。</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 我方保证的方式为：</w:t>
      </w:r>
      <w:r>
        <w:rPr>
          <w:rFonts w:hint="eastAsia" w:ascii="宋体" w:hAnsi="宋体" w:cs="宋体"/>
          <w:color w:val="000000"/>
          <w:sz w:val="24"/>
          <w:highlight w:val="none"/>
          <w:u w:val="single"/>
        </w:rPr>
        <w:t xml:space="preserve">连带责任保证</w:t>
      </w:r>
      <w:r>
        <w:rPr>
          <w:rFonts w:hint="eastAsia" w:ascii="宋体" w:hAnsi="宋体" w:cs="宋体"/>
          <w:color w:val="000000"/>
          <w:sz w:val="24"/>
          <w:highlight w:val="none"/>
        </w:rPr>
        <w:t xml:space="preserve">。</w:t>
      </w:r>
      <w:r/>
    </w:p>
    <w:p>
      <w:pPr>
        <w:ind w:firstLine="60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2. 我方保证的期间为：</w:t>
      </w:r>
      <w:r>
        <w:rPr>
          <w:rFonts w:hint="eastAsia" w:ascii="宋体" w:hAnsi="宋体" w:cs="宋体"/>
          <w:color w:val="000000"/>
          <w:sz w:val="24"/>
          <w:highlight w:val="none"/>
          <w:u w:val="single"/>
        </w:rPr>
        <w:t xml:space="preserve">自本合同生效之日起至主合同约定的工程款支付完毕之日后日内。</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你方与发包人协议变更工程款支付日期的，经我方书面同意后，保证期间按照变更后的支付日期做相应调整。</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三、承担保证责任的形式</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我方承担保证责任的形式是代为支付。发包人未按主合同约定向你方支付工程款的，由我方在保证金额内代为支付。</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四、代偿的安排</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 你方要求我方承担保证责任的，应向我方发出书面索赔通知及发包人未支付主合同约定工程款的证明材料。索赔通知应写明要求索赔的金额，支付款项应到达的账号。</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我方收到你方的书面索赔通知及相应的证明材料后７天内无条件支付。</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五、保证责任的解除</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 在本保函承诺的保证期间内，你方未书面向我方主张保证责任的，自保证期间届满次日起，我方保证责任解除。</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发包人按主合同约定履行了工程款的全部支付义务的，自本保函承诺的保证期间届满次日起，我方保证责任解除。</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我方按照本保函向你方履行保证责任所支付金额达到本保函保证金额时，自我方向你方支付（支付款项从我方账户划出）之日起，保证责任即解除。</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按照法律法规的规定或出现应解除我方保证责任的其他情形的，我方在本保函项下的保证责任亦解除。</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 我方解除保证责任后，你方应自我方保证责任解除之日起个工作日内，将本保函原件返还我方。</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六、免责条款</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 因你方违约致使发包人不能履行义务的，我方不承担保证责任。</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依照法律法规的规定或你方与发包人的另行约定，免除发包人部分或全部义务的，我方亦免除其相应的保证责任。</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因不可抗力造成发包人不能履行义务的，我方不承担保证责任。</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七、争议解决</w:t>
      </w:r>
      <w:r/>
    </w:p>
    <w:p>
      <w:pPr>
        <w:ind w:firstLine="60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因本保函或本保函相关事项发生的纠纷，可由双方协商解决，协商不成的，向</w:t>
      </w:r>
      <w:r>
        <w:rPr>
          <w:rFonts w:hint="eastAsia" w:ascii="宋体" w:hAnsi="宋体" w:cs="宋体"/>
          <w:color w:val="000000"/>
          <w:sz w:val="24"/>
          <w:highlight w:val="none"/>
          <w:u w:val="single"/>
        </w:rPr>
        <w:t xml:space="preserve">南京市鼓楼区</w:t>
      </w:r>
      <w:r>
        <w:rPr>
          <w:rFonts w:hint="eastAsia" w:ascii="宋体" w:hAnsi="宋体" w:cs="宋体"/>
          <w:color w:val="000000"/>
          <w:sz w:val="24"/>
          <w:highlight w:val="none"/>
        </w:rPr>
        <w:t xml:space="preserve">人民法院起诉。</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八、保函的生效</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本保函自我方法定代表人（或其授权代理人）签字并加盖公章之日起生效。</w:t>
      </w:r>
      <w:r/>
    </w:p>
    <w:p>
      <w:pPr>
        <w:ind w:right="600"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担保人：（盖章）</w:t>
      </w:r>
      <w:r/>
    </w:p>
    <w:p>
      <w:pPr>
        <w:ind w:right="1200"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邮政编码：</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传    真：</w:t>
      </w:r>
      <w:r/>
    </w:p>
    <w:p>
      <w:pPr>
        <w:ind w:firstLine="480"/>
        <w:spacing w:line="360" w:lineRule="auto"/>
        <w:rPr>
          <w:b/>
          <w:color w:val="000000"/>
          <w:szCs w:val="21"/>
          <w:highlight w:val="none"/>
          <w:lang w:val="zh-CN"/>
        </w:rPr>
      </w:pPr>
      <w:r>
        <w:rPr>
          <w:rFonts w:hint="eastAsia" w:ascii="宋体" w:hAnsi="宋体" w:cs="宋体"/>
          <w:color w:val="000000"/>
          <w:sz w:val="24"/>
          <w:highlight w:val="none"/>
        </w:rPr>
        <w:t xml:space="preserve">时    间：</w:t>
      </w:r>
      <w:r>
        <w:rPr>
          <w:rFonts w:hint="eastAsia" w:ascii="宋体" w:hAnsi="宋体" w:cs="宋体"/>
          <w:color w:val="000000"/>
          <w:sz w:val="24"/>
          <w:highlight w:val="none"/>
        </w:rPr>
        <w:br w:type="page" w:clear="all"/>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附件8：</w:t>
      </w:r>
      <w:r/>
    </w:p>
    <w:p>
      <w:pPr>
        <w:pStyle w:val="1308"/>
        <w:ind w:firstLine="0"/>
        <w:jc w:val="center"/>
        <w:spacing w:line="360" w:lineRule="auto"/>
        <w:rPr>
          <w:b/>
          <w:color w:val="000000"/>
          <w:sz w:val="32"/>
          <w:szCs w:val="32"/>
          <w:highlight w:val="none"/>
        </w:rPr>
      </w:pPr>
      <w:r>
        <w:rPr>
          <w:rFonts w:hint="eastAsia" w:ascii="黑体" w:hAnsi="黑体" w:eastAsia="黑体" w:cs="黑体"/>
          <w:b/>
          <w:color w:val="000000"/>
          <w:sz w:val="32"/>
          <w:szCs w:val="32"/>
          <w:highlight w:val="none"/>
        </w:rPr>
        <w:t xml:space="preserve">廉 洁 协 议  </w:t>
      </w:r>
      <w:r/>
    </w:p>
    <w:p>
      <w:pPr>
        <w:pStyle w:val="1308"/>
        <w:ind w:firstLine="420"/>
        <w:spacing w:line="360" w:lineRule="auto"/>
        <w:rPr>
          <w:color w:val="000000"/>
          <w:szCs w:val="21"/>
          <w:highlight w:val="none"/>
        </w:rPr>
      </w:pPr>
      <w:r>
        <w:rPr>
          <w:color w:val="000000"/>
          <w:szCs w:val="21"/>
          <w:highlight w:val="none"/>
        </w:rPr>
      </w:r>
      <w:r/>
    </w:p>
    <w:p>
      <w:pPr>
        <w:pStyle w:val="1308"/>
        <w:ind w:firstLine="560"/>
        <w:spacing w:line="360" w:lineRule="auto"/>
        <w:rPr>
          <w:rFonts w:ascii="宋体" w:hAnsi="宋体" w:cs="宋体"/>
          <w:color w:val="000000"/>
          <w:sz w:val="24"/>
          <w:szCs w:val="24"/>
          <w:highlight w:val="none"/>
          <w:u w:val="single"/>
          <w:shd w:val="clear" w:color="auto" w:fill="ffffff"/>
          <w:lang w:val="zh-TW"/>
        </w:rPr>
      </w:pPr>
      <w:r>
        <w:rPr>
          <w:rFonts w:hint="eastAsia" w:ascii="宋体" w:hAnsi="宋体" w:cs="宋体"/>
          <w:color w:val="000000"/>
          <w:sz w:val="24"/>
          <w:szCs w:val="24"/>
          <w:highlight w:val="none"/>
        </w:rPr>
        <w:t xml:space="preserve">发包人：</w:t>
      </w:r>
      <w:r>
        <w:rPr>
          <w:rFonts w:hint="eastAsia" w:ascii="宋体" w:hAnsi="宋体" w:cs="宋体"/>
          <w:color w:val="000000"/>
          <w:sz w:val="24"/>
          <w:szCs w:val="24"/>
          <w:highlight w:val="none"/>
          <w:u w:val="single"/>
          <w:shd w:val="clear" w:color="auto" w:fill="ffffff"/>
          <w:lang w:val="zh-TW"/>
        </w:rPr>
        <w:t xml:space="preserve">江苏省五台山体育中心</w:t>
      </w:r>
      <w:r/>
    </w:p>
    <w:p>
      <w:pPr>
        <w:pStyle w:val="1308"/>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w:t>
      </w:r>
      <w:r/>
    </w:p>
    <w:p>
      <w:pPr>
        <w:pStyle w:val="1308"/>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为了在</w:t>
      </w:r>
      <w:r>
        <w:rPr>
          <w:rFonts w:hint="eastAsia" w:ascii="宋体" w:hAnsi="宋体" w:cs="宋体"/>
          <w:color w:val="000000"/>
          <w:spacing w:val="-4"/>
          <w:sz w:val="24"/>
          <w:szCs w:val="24"/>
          <w:highlight w:val="none"/>
          <w:u w:val="single"/>
        </w:rPr>
        <w:t xml:space="preserve">（</w:t>
      </w:r>
      <w:r>
        <w:rPr>
          <w:rFonts w:hint="eastAsia" w:ascii="宋体" w:hAnsi="宋体" w:cs="宋体"/>
          <w:color w:val="000000"/>
          <w:spacing w:val="-4"/>
          <w:sz w:val="24"/>
          <w:szCs w:val="24"/>
          <w:highlight w:val="none"/>
          <w:u w:val="single"/>
          <w:lang w:val="en-US"/>
        </w:rPr>
        <w:t xml:space="preserve">项目名称</w:t>
      </w:r>
      <w:r>
        <w:rPr>
          <w:rFonts w:hint="eastAsia" w:ascii="宋体" w:hAnsi="宋体" w:cs="宋体"/>
          <w:color w:val="000000"/>
          <w:spacing w:val="-4"/>
          <w:sz w:val="24"/>
          <w:szCs w:val="24"/>
          <w:highlight w:val="none"/>
          <w:u w:val="single"/>
        </w:rPr>
        <w:t xml:space="preserve">）</w:t>
      </w:r>
      <w:r>
        <w:rPr>
          <w:rFonts w:hint="eastAsia" w:ascii="宋体" w:hAnsi="宋体" w:cs="宋体"/>
          <w:color w:val="000000"/>
          <w:sz w:val="24"/>
          <w:szCs w:val="24"/>
          <w:highlight w:val="none"/>
        </w:rPr>
        <w:t xml:space="preserve">建设中保持廉洁自律的工作作风，防止各种不正当行为的发生，根据廉政建设的各项规定，结合工程项目的特点，特定立本协议如下：</w:t>
      </w:r>
      <w:r/>
    </w:p>
    <w:p>
      <w:pPr>
        <w:pStyle w:val="1308"/>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一、双方应当自觉遵守国家和所在地区关于工程承发包工作规则和廉政建设的各项规定。</w:t>
      </w:r>
      <w:r/>
    </w:p>
    <w:p>
      <w:pPr>
        <w:pStyle w:val="1308"/>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二、发包人及其工作人员不得以任何形式向承包人索要和收受回扣等好处费。</w:t>
      </w:r>
      <w:r/>
    </w:p>
    <w:p>
      <w:pPr>
        <w:pStyle w:val="1308"/>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三、发包人工作人员应当保持与承包人的正常业务交往，不得接受承包人的礼金、有价证券和贵重物品，不得在承包人报销任何应由个人支付的费用。</w:t>
      </w:r>
      <w:r/>
    </w:p>
    <w:p>
      <w:pPr>
        <w:pStyle w:val="1308"/>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四、发包人工作人员不得参加可能对公正执行公务有影响的宴请和娱乐活动。</w:t>
      </w:r>
      <w:r/>
    </w:p>
    <w:p>
      <w:pPr>
        <w:pStyle w:val="1308"/>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五、发包人工作人员不得要求或者接受承包人为其住房装修、婚丧嫁娶、家属和子女的工作安排以及出国提供方便。</w:t>
      </w:r>
      <w:r/>
    </w:p>
    <w:p>
      <w:pPr>
        <w:pStyle w:val="1308"/>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六、发包人工作人员不得向承包人介绍家属或者亲友从事与发包人工程有关的材料设备供应、工程分包等经济活动。</w:t>
      </w:r>
      <w:r/>
    </w:p>
    <w:p>
      <w:pPr>
        <w:pStyle w:val="1308"/>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七、发包人不得在政策保障、社会扶持、救灾救济款物分配等事项目对承包人及其特定关系人进行倾斜优待。</w:t>
      </w:r>
      <w:r/>
    </w:p>
    <w:p>
      <w:pPr>
        <w:pStyle w:val="1308"/>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八、承包人应当通过正常途径开展相对业务工作，不得为获取某些不正当利益而向发包人工作人员赠送礼金、有价证券和贵重物品等。</w:t>
      </w:r>
      <w:r/>
    </w:p>
    <w:p>
      <w:pPr>
        <w:pStyle w:val="1308"/>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九、承包人不得为谋取私利擅自与发包人工作人员就工程承包、工程费用、材料设备供应、工程量变动、工程验收、工程质量问题等进行私下商谈或者达成默契。</w:t>
      </w:r>
      <w:r/>
    </w:p>
    <w:p>
      <w:pPr>
        <w:pStyle w:val="1308"/>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十、承包人不得以洽谈业务、签订经济合同为借口，邀请发包人工作人员外出旅游和进入营业性高档娱乐场所。</w:t>
      </w:r>
      <w:r/>
    </w:p>
    <w:p>
      <w:pPr>
        <w:pStyle w:val="1308"/>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十一、承包人不得为发包人单位和个人购置或者提供通讯工具、交通工具、家电、高档办公用品等物品。</w:t>
      </w:r>
      <w:r/>
    </w:p>
    <w:p>
      <w:pPr>
        <w:pStyle w:val="1308"/>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十二、承包人不得向发包人家属或者亲友、身边工作人员和其他特定关系人提供可能对公正执行公务有影响的业务往来、严重偏离市场价的大额商品交易等特定利益输送行为。</w:t>
      </w:r>
      <w:r/>
    </w:p>
    <w:p>
      <w:pPr>
        <w:pStyle w:val="1308"/>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三、承包人如发现发包人工作人员有违反上述协议者，应向发包人领导或者发包人上级单位举报。发包人不得找任何借口对承包人进行报复。发包人对举报属实和严格遵守廉洁协议的一方，在同等条件下给与承接后续工程的优先邀请投标权。</w:t>
      </w:r>
      <w:r/>
    </w:p>
    <w:p>
      <w:pPr>
        <w:pStyle w:val="1308"/>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十四、发包人发现承包人有违反本协议或者采取不正当的手段行贿发包人工作人员，发包人根据具体情节和造成的后果追究承包人工程合同造价 1－5％的违约金。由此给发包人单位造成的损失均有承包人承担，承包人用不正当手段获取的非法所得由发包人单位予以追缴。承包人违约行为将记录在案，情节严重的将记入黑名单并通报政府采购、招投标主管单位及建设工程交易平台。</w:t>
      </w:r>
      <w:r/>
    </w:p>
    <w:p>
      <w:pPr>
        <w:pStyle w:val="1308"/>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十五、本廉洁协议作为 主合同 的附件，与主合同具有同等法律效力。经协议双方签署后立即生效。</w:t>
      </w:r>
      <w:r/>
    </w:p>
    <w:p>
      <w:pPr>
        <w:pStyle w:val="1308"/>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十六、本协议一式</w:t>
      </w:r>
      <w:r>
        <w:rPr>
          <w:rFonts w:hint="eastAsia" w:ascii="宋体" w:hAnsi="宋体" w:cs="宋体"/>
          <w:color w:val="000000"/>
          <w:sz w:val="24"/>
          <w:szCs w:val="24"/>
          <w:highlight w:val="none"/>
          <w:u w:val="single"/>
        </w:rPr>
        <w:t xml:space="preserve">陆</w:t>
      </w:r>
      <w:r>
        <w:rPr>
          <w:rFonts w:hint="eastAsia" w:ascii="宋体" w:hAnsi="宋体" w:cs="宋体"/>
          <w:color w:val="000000"/>
          <w:sz w:val="24"/>
          <w:szCs w:val="24"/>
          <w:highlight w:val="none"/>
        </w:rPr>
        <w:t xml:space="preserve">份，发包人执</w:t>
      </w:r>
      <w:r>
        <w:rPr>
          <w:rFonts w:hint="eastAsia" w:ascii="宋体" w:hAnsi="宋体" w:cs="宋体"/>
          <w:color w:val="000000"/>
          <w:sz w:val="24"/>
          <w:szCs w:val="24"/>
          <w:highlight w:val="none"/>
          <w:u w:val="single"/>
        </w:rPr>
        <w:t xml:space="preserve">肆</w:t>
      </w:r>
      <w:r>
        <w:rPr>
          <w:rFonts w:hint="eastAsia" w:ascii="宋体" w:hAnsi="宋体" w:cs="宋体"/>
          <w:color w:val="000000"/>
          <w:sz w:val="24"/>
          <w:szCs w:val="24"/>
          <w:highlight w:val="none"/>
        </w:rPr>
        <w:t xml:space="preserve">份，承包人执</w:t>
      </w:r>
      <w:r>
        <w:rPr>
          <w:rFonts w:hint="eastAsia" w:ascii="宋体" w:hAnsi="宋体" w:cs="宋体"/>
          <w:color w:val="000000"/>
          <w:sz w:val="24"/>
          <w:szCs w:val="24"/>
          <w:highlight w:val="none"/>
          <w:u w:val="single"/>
        </w:rPr>
        <w:t xml:space="preserve">贰</w:t>
      </w:r>
      <w:r>
        <w:rPr>
          <w:rFonts w:hint="eastAsia" w:ascii="宋体" w:hAnsi="宋体" w:cs="宋体"/>
          <w:color w:val="000000"/>
          <w:sz w:val="24"/>
          <w:szCs w:val="24"/>
          <w:highlight w:val="none"/>
        </w:rPr>
        <w:t xml:space="preserve">份。</w:t>
      </w:r>
      <w:r/>
    </w:p>
    <w:tbl>
      <w:tblPr>
        <w:tblStyle w:val="89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830"/>
        <w:gridCol w:w="2097"/>
        <w:gridCol w:w="2733"/>
        <w:gridCol w:w="2195"/>
      </w:tblGrid>
      <w:tr>
        <w:trPr/>
        <w:tc>
          <w:tcPr>
            <w:tcW w:w="2830" w:type="dxa"/>
            <w:vAlign w:val="center"/>
            <w:textDirection w:val="lrTb"/>
            <w:noWrap w:val="false"/>
          </w:tcPr>
          <w:p>
            <w:pPr>
              <w:pStyle w:val="1308"/>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发包人（盖章）：</w:t>
            </w:r>
            <w:r/>
          </w:p>
        </w:tc>
        <w:tc>
          <w:tcPr>
            <w:tcW w:w="2097" w:type="dxa"/>
            <w:vAlign w:val="center"/>
            <w:textDirection w:val="lrTb"/>
            <w:noWrap w:val="false"/>
          </w:tcPr>
          <w:p>
            <w:pPr>
              <w:pStyle w:val="1308"/>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733" w:type="dxa"/>
            <w:vAlign w:val="center"/>
            <w:textDirection w:val="lrTb"/>
            <w:noWrap w:val="false"/>
          </w:tcPr>
          <w:p>
            <w:pPr>
              <w:pStyle w:val="1308"/>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承包人（盖章）：</w:t>
            </w:r>
            <w:r/>
          </w:p>
        </w:tc>
        <w:tc>
          <w:tcPr>
            <w:tcW w:w="2195" w:type="dxa"/>
            <w:textDirection w:val="lrTb"/>
            <w:noWrap w:val="false"/>
          </w:tcPr>
          <w:p>
            <w:pPr>
              <w:pStyle w:val="1308"/>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c>
          <w:tcPr>
            <w:tcW w:w="2830" w:type="dxa"/>
            <w:vAlign w:val="center"/>
            <w:textDirection w:val="lrTb"/>
            <w:noWrap w:val="false"/>
          </w:tcPr>
          <w:p>
            <w:pPr>
              <w:pStyle w:val="1308"/>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法定代表人或委托代理人（</w:t>
            </w:r>
            <w:r>
              <w:rPr>
                <w:rFonts w:hint="eastAsia" w:ascii="宋体" w:hAnsi="宋体" w:cs="宋体"/>
                <w:color w:val="000000"/>
                <w:sz w:val="24"/>
                <w:szCs w:val="24"/>
                <w:highlight w:val="none"/>
                <w:lang w:val="en-US"/>
              </w:rPr>
              <w:t xml:space="preserve">签字或盖章</w:t>
            </w:r>
            <w:r>
              <w:rPr>
                <w:rFonts w:hint="eastAsia" w:ascii="宋体" w:hAnsi="宋体" w:cs="宋体"/>
                <w:color w:val="000000"/>
                <w:sz w:val="24"/>
                <w:szCs w:val="24"/>
                <w:highlight w:val="none"/>
              </w:rPr>
              <w:t xml:space="preserve">）：</w:t>
            </w:r>
            <w:r/>
          </w:p>
        </w:tc>
        <w:tc>
          <w:tcPr>
            <w:tcW w:w="2097" w:type="dxa"/>
            <w:vAlign w:val="center"/>
            <w:textDirection w:val="lrTb"/>
            <w:noWrap w:val="false"/>
          </w:tcPr>
          <w:p>
            <w:pPr>
              <w:pStyle w:val="1308"/>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733" w:type="dxa"/>
            <w:vAlign w:val="center"/>
            <w:textDirection w:val="lrTb"/>
            <w:noWrap w:val="false"/>
          </w:tcPr>
          <w:p>
            <w:pPr>
              <w:pStyle w:val="1308"/>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法定代表人或委托代理人（</w:t>
            </w:r>
            <w:r>
              <w:rPr>
                <w:rFonts w:hint="eastAsia" w:ascii="宋体" w:hAnsi="宋体" w:cs="宋体"/>
                <w:color w:val="000000"/>
                <w:sz w:val="24"/>
                <w:szCs w:val="24"/>
                <w:highlight w:val="none"/>
                <w:lang w:val="en-US"/>
              </w:rPr>
              <w:t xml:space="preserve">签字或盖章</w:t>
            </w:r>
            <w:r>
              <w:rPr>
                <w:rFonts w:hint="eastAsia" w:ascii="宋体" w:hAnsi="宋体" w:cs="宋体"/>
                <w:color w:val="000000"/>
                <w:sz w:val="24"/>
                <w:szCs w:val="24"/>
                <w:highlight w:val="none"/>
              </w:rPr>
              <w:t xml:space="preserve">）：</w:t>
            </w:r>
            <w:r/>
          </w:p>
        </w:tc>
        <w:tc>
          <w:tcPr>
            <w:tcW w:w="2195" w:type="dxa"/>
            <w:textDirection w:val="lrTb"/>
            <w:noWrap w:val="false"/>
          </w:tcPr>
          <w:p>
            <w:pPr>
              <w:pStyle w:val="1308"/>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c>
          <w:tcPr>
            <w:tcW w:w="2830" w:type="dxa"/>
            <w:vAlign w:val="center"/>
            <w:textDirection w:val="lrTb"/>
            <w:noWrap w:val="false"/>
          </w:tcPr>
          <w:p>
            <w:pPr>
              <w:pStyle w:val="1308"/>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通讯地址：</w:t>
            </w:r>
            <w:r/>
          </w:p>
        </w:tc>
        <w:tc>
          <w:tcPr>
            <w:tcW w:w="2097" w:type="dxa"/>
            <w:vAlign w:val="center"/>
            <w:textDirection w:val="lrTb"/>
            <w:noWrap w:val="false"/>
          </w:tcPr>
          <w:p>
            <w:pPr>
              <w:pStyle w:val="1308"/>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733" w:type="dxa"/>
            <w:vAlign w:val="center"/>
            <w:textDirection w:val="lrTb"/>
            <w:noWrap w:val="false"/>
          </w:tcPr>
          <w:p>
            <w:pPr>
              <w:pStyle w:val="1308"/>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通讯地址：</w:t>
            </w:r>
            <w:r/>
          </w:p>
        </w:tc>
        <w:tc>
          <w:tcPr>
            <w:tcW w:w="2195" w:type="dxa"/>
            <w:textDirection w:val="lrTb"/>
            <w:noWrap w:val="false"/>
          </w:tcPr>
          <w:p>
            <w:pPr>
              <w:pStyle w:val="1308"/>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c>
          <w:tcPr>
            <w:tcW w:w="2830" w:type="dxa"/>
            <w:vAlign w:val="center"/>
            <w:textDirection w:val="lrTb"/>
            <w:noWrap w:val="false"/>
          </w:tcPr>
          <w:p>
            <w:pPr>
              <w:pStyle w:val="1308"/>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p>
        </w:tc>
        <w:tc>
          <w:tcPr>
            <w:tcW w:w="2097" w:type="dxa"/>
            <w:vAlign w:val="center"/>
            <w:textDirection w:val="lrTb"/>
            <w:noWrap w:val="false"/>
          </w:tcPr>
          <w:p>
            <w:pPr>
              <w:pStyle w:val="1308"/>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733" w:type="dxa"/>
            <w:vAlign w:val="center"/>
            <w:textDirection w:val="lrTb"/>
            <w:noWrap w:val="false"/>
          </w:tcPr>
          <w:p>
            <w:pPr>
              <w:pStyle w:val="1308"/>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p>
        </w:tc>
        <w:tc>
          <w:tcPr>
            <w:tcW w:w="2195" w:type="dxa"/>
            <w:textDirection w:val="lrTb"/>
            <w:noWrap w:val="false"/>
          </w:tcPr>
          <w:p>
            <w:pPr>
              <w:pStyle w:val="1308"/>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308"/>
        <w:ind w:firstLine="56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308"/>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08"/>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08"/>
        <w:ind w:firstLine="4948"/>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签约日期：      年   月   日</w:t>
      </w:r>
      <w:r/>
    </w:p>
    <w:p>
      <w:pPr>
        <w:spacing w:line="360" w:lineRule="auto"/>
        <w:rPr>
          <w:rFonts w:ascii="仿宋" w:hAnsi="仿宋" w:eastAsia="仿宋" w:cs="仿宋"/>
          <w:b/>
          <w:color w:val="000000"/>
          <w:sz w:val="32"/>
          <w:szCs w:val="32"/>
          <w:highlight w:val="none"/>
        </w:rPr>
      </w:pPr>
      <w:r>
        <w:rPr>
          <w:color w:val="000000"/>
          <w:sz w:val="28"/>
          <w:szCs w:val="28"/>
          <w:highlight w:val="none"/>
        </w:rPr>
        <w:br w:type="page" w:clear="all"/>
      </w:r>
      <w:r>
        <w:rPr>
          <w:rFonts w:hint="eastAsia" w:ascii="宋体" w:hAnsi="宋体" w:cs="宋体"/>
          <w:color w:val="000000"/>
          <w:sz w:val="24"/>
          <w:highlight w:val="none"/>
        </w:rPr>
        <w:t xml:space="preserve">附件9：</w:t>
      </w:r>
      <w:r/>
    </w:p>
    <w:p>
      <w:pPr>
        <w:jc w:val="center"/>
        <w:spacing w:line="360" w:lineRule="auto"/>
        <w:rPr>
          <w:rFonts w:ascii="仿宋" w:hAnsi="仿宋" w:eastAsia="仿宋" w:cs="仿宋"/>
          <w:color w:val="000000"/>
          <w:sz w:val="24"/>
          <w:highlight w:val="none"/>
        </w:rPr>
      </w:pPr>
      <w:r>
        <w:rPr>
          <w:rFonts w:hint="eastAsia" w:ascii="黑体" w:hAnsi="黑体" w:eastAsia="黑体" w:cs="黑体"/>
          <w:b/>
          <w:color w:val="000000"/>
          <w:sz w:val="32"/>
          <w:szCs w:val="32"/>
          <w:highlight w:val="none"/>
        </w:rPr>
        <w:t xml:space="preserve">安全生产协议书</w:t>
      </w:r>
      <w:r/>
    </w:p>
    <w:p>
      <w:pPr>
        <w:ind w:firstLine="560"/>
        <w:spacing w:line="360" w:lineRule="auto"/>
        <w:tabs>
          <w:tab w:val="left" w:pos="5023" w:leader="none"/>
        </w:tabs>
        <w:rPr>
          <w:rFonts w:ascii="宋体" w:hAnsi="宋体" w:cs="宋体"/>
          <w:color w:val="000000"/>
          <w:sz w:val="24"/>
          <w:highlight w:val="none"/>
        </w:rPr>
      </w:pPr>
      <w:r>
        <w:rPr>
          <w:rFonts w:hint="eastAsia" w:ascii="仿宋" w:hAnsi="仿宋" w:eastAsia="仿宋" w:cs="仿宋"/>
          <w:color w:val="000000"/>
          <w:sz w:val="28"/>
          <w:szCs w:val="28"/>
          <w:highlight w:val="none"/>
        </w:rPr>
        <w:t xml:space="preserve">为</w:t>
      </w:r>
      <w:r>
        <w:rPr>
          <w:rFonts w:hint="eastAsia" w:ascii="宋体" w:hAnsi="宋体" w:cs="宋体"/>
          <w:color w:val="000000"/>
          <w:sz w:val="24"/>
          <w:highlight w:val="none"/>
        </w:rPr>
        <w:t xml:space="preserve">在</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项目合同的实施过程中创造安全、高效的施工环境，切实搞好本项目的安全管理工作，本项目发包人</w:t>
      </w:r>
      <w:r>
        <w:rPr>
          <w:rFonts w:hint="eastAsia" w:ascii="宋体" w:hAnsi="宋体" w:cs="宋体"/>
          <w:color w:val="000000"/>
          <w:sz w:val="24"/>
          <w:highlight w:val="none"/>
          <w:u w:val="single"/>
          <w:shd w:val="clear" w:color="auto" w:fill="ffffff"/>
          <w:lang w:val="zh-TW"/>
        </w:rPr>
        <w:t xml:space="preserve">江苏省五台山体育中心</w:t>
      </w:r>
      <w:r>
        <w:rPr>
          <w:rFonts w:hint="eastAsia" w:ascii="宋体" w:hAnsi="宋体" w:cs="宋体"/>
          <w:color w:val="000000"/>
          <w:sz w:val="24"/>
          <w:highlight w:val="none"/>
        </w:rPr>
        <w:t xml:space="preserve">与承包人特此签订安全生产合同：</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一、发包人职责</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1、严格遵守国家有关安全生产的法律、认真执行工程承包合同中的有关安全要求。</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2、不得对承包人提出不符合建设工程安全生产法律、法规和强制性标准规定要求。</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3、不得明示或暗示承包人购买、租赁、使用不符合安全施工要求的安全防护用具、机械设备、施工机具及配件。</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二、承包人职责</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1、承包人应遵守国家工程建设安全生产有关管理规定，严格按安全标准组织施工，采取一切必要的安全措施，消除事故隐患，确保施工安全，并对施工现场发生的一切安全问题负责。</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2、坚持“安全第一、预防为主”和“管生产必须管安全”的原则，加强安全生产宣传教育，增强全员安全生产意识，建立健全各项安全生产的管理机构和安全生产管理制度，配备专职及兼职安全管理人员，有组织有计划地开展安全生产活动。各级领导、工程技术人员、生产管理人员和具体操作人员，必须熟悉和遵守本条款的各项规定，做到生产与安全工作同时计划、布置、检查、总结和评比。</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3、建立健全安全生产责任制。从派驻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4、承包人在任何时候都应采取各种合理的预防措施，防止其员工发生任何违法、违禁、暴力或妨碍治安的行为。</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5、承包人必须具有安全生产许可证，项目负责人、安全员须取得安全考核合格证，参加施工的人员必须接受三级安全教育，熟知和遵守本工种的各项安全技术操作规程，定期进行安全技术考核，合格者方准上岗操作。对于从事特殊工种作业时，项目负责人必须承担管理责任。</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7、操作人员上岗，必须按规定穿戴防护用品。施工负责人和安全检查员应随时检查劳动防护用品的穿戴情况，不按规定穿戴防护用品的人员不得上岗。</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8、所用施工机具设备均应定期检查，并有安全员的签字记录，保证其经常处于完好状态；不合格的机具、设备和劳动保护用品严禁使用。</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9、施工中采用新技术、新工艺、新设备、新材料时，必须制定相应的安全技术措施，技术措施，施工现场必须具有相关的安全标志牌。</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10、施工现场必须具有相关的安全技术资料建立档案，并确定专人管理，安全技术资料应当真实、完整齐全。</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11、承包人应当接受发包人、监理单位及政府安全监督机构对其安全生产的监督检查。对于检查单位下达的整改意见通知，承包人要立即予以整改，由此发生的费用承包人自负。对于因此而造成工期延误的，承包人还要按合同规定向发包人支付违约金。</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12、承包人必须按照本工程项目特点，组织制定本工程实施中的生产安全专项方案和事故应急救援预案；如果发生安全事故，应按照有关规定，及时上报有关部门，并坚持“三不放过”的原则，严肃处理相关责任。</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13、承包人应按有关规定在施工现场及周边环境设置必要的道路施工安全标志、警示标志、禁行标志等交通安全设施。必要时实施封闭施工，同时加强雨、雪等恶劣天气及夜间的值班巡查，确保车辆和行人安全。</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14、发生重大伤亡及其他安全事故，承包人应按有关规定立即上报有关部门并通知现场工程师，同时按政府有关部门要求处理。</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15、本项目用人用工人员如为高风险地区需做好隔离防护措施，确保不发生外来疫情传播。</w:t>
      </w:r>
      <w:r/>
    </w:p>
    <w:p>
      <w:pPr>
        <w:numPr>
          <w:ilvl w:val="0"/>
          <w:numId w:val="2"/>
        </w:numPr>
        <w:ind w:firstLine="560"/>
        <w:spacing w:line="360" w:lineRule="auto"/>
        <w:widowControl/>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违约责任</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1、承包人应对发生在本工程施工段内自开工至竣工交付期间的交通安全、施工安全事故（包括人员）负全部法律责任，并承担由此而发生的一切经济损失。</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2、如承包人发生安全事故不及时妥善处理，引起纠纷或诉讼，发包人有权扣留其履约保证金和未付工程款用于支付事故处理费用。</w:t>
      </w:r>
      <w:r/>
    </w:p>
    <w:p>
      <w:pPr>
        <w:ind w:firstLine="560"/>
        <w:spacing w:line="360" w:lineRule="auto"/>
        <w:tabs>
          <w:tab w:val="left" w:pos="5023" w:leader="none"/>
        </w:tabs>
        <w:rPr>
          <w:rFonts w:ascii="宋体" w:hAnsi="宋体" w:cs="宋体"/>
          <w:color w:val="000000"/>
          <w:sz w:val="24"/>
          <w:highlight w:val="none"/>
        </w:rPr>
      </w:pPr>
      <w:r>
        <w:rPr>
          <w:rFonts w:hint="eastAsia" w:ascii="宋体" w:hAnsi="宋体" w:cs="宋体"/>
          <w:color w:val="000000"/>
          <w:sz w:val="24"/>
          <w:highlight w:val="none"/>
        </w:rPr>
        <w:t xml:space="preserve">本合同由双方法定代表人或其授权的代理人签署与加盖公章后生效，全部工程竣工验收合格后交付使用后失效。</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发包人（盖章）：江苏省五台山体育中心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承包人（盖章）：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法定代表人或授权委托人（签字或盖章）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法定代表人或授权委托人（签字或盖章）</w:t>
      </w:r>
      <w:r/>
    </w:p>
    <w:p>
      <w:pPr>
        <w:pStyle w:val="1286"/>
        <w:jc w:val="both"/>
        <w:spacing w:before="0" w:beforeAutospacing="0" w:after="0" w:afterAutospacing="0" w:line="360" w:lineRule="auto"/>
        <w:rPr>
          <w:b/>
          <w:color w:val="000000"/>
          <w:sz w:val="32"/>
          <w:szCs w:val="32"/>
          <w:highlight w:val="none"/>
        </w:rPr>
      </w:pPr>
      <w:r>
        <w:rPr>
          <w:rStyle w:val="1696"/>
          <w:rFonts w:hint="eastAsia" w:ascii="宋体" w:hAnsi="宋体"/>
          <w:sz w:val="24"/>
          <w:szCs w:val="24"/>
          <w:highlight w:val="none"/>
          <w:u w:val="none"/>
        </w:rPr>
        <w:t xml:space="preserve">日   期：      年   月  日          </w:t>
      </w:r>
      <w:r>
        <w:rPr>
          <w:rStyle w:val="1696"/>
          <w:rFonts w:hint="eastAsia"/>
          <w:sz w:val="24"/>
          <w:szCs w:val="24"/>
          <w:highlight w:val="none"/>
          <w:u w:val="none"/>
          <w:lang w:val="en-US" w:eastAsia="zh-CN"/>
        </w:rPr>
        <w:t xml:space="preserve">   </w:t>
      </w:r>
      <w:r>
        <w:rPr>
          <w:rStyle w:val="1696"/>
          <w:rFonts w:hint="eastAsia" w:ascii="宋体" w:hAnsi="宋体"/>
          <w:sz w:val="24"/>
          <w:szCs w:val="24"/>
          <w:highlight w:val="none"/>
          <w:u w:val="none"/>
        </w:rPr>
        <w:t xml:space="preserve">日   期：     年   月  日</w:t>
      </w:r>
      <w:r>
        <w:rPr>
          <w:rFonts w:hint="eastAsia" w:ascii="仿宋" w:hAnsi="仿宋" w:eastAsia="仿宋" w:cs="仿宋"/>
          <w:bCs/>
          <w:color w:val="000000"/>
          <w:sz w:val="28"/>
          <w:szCs w:val="28"/>
          <w:highlight w:val="none"/>
        </w:rPr>
        <w:br w:type="page" w:clear="all"/>
      </w:r>
      <w:r>
        <w:rPr>
          <w:rFonts w:hint="eastAsia"/>
          <w:color w:val="000000"/>
          <w:highlight w:val="none"/>
        </w:rPr>
        <w:t xml:space="preserve">附件10：</w:t>
      </w:r>
      <w:r/>
    </w:p>
    <w:p>
      <w:pPr>
        <w:jc w:val="center"/>
        <w:spacing w:line="360" w:lineRule="auto"/>
        <w:rPr>
          <w:rFonts w:ascii="仿宋" w:hAnsi="仿宋" w:eastAsia="仿宋" w:cs="仿宋"/>
          <w:color w:val="000000"/>
          <w:sz w:val="24"/>
          <w:highlight w:val="none"/>
        </w:rPr>
      </w:pPr>
      <w:r>
        <w:rPr>
          <w:rFonts w:hint="eastAsia" w:ascii="黑体" w:hAnsi="黑体" w:eastAsia="黑体" w:cs="黑体"/>
          <w:b/>
          <w:color w:val="000000"/>
          <w:sz w:val="30"/>
          <w:szCs w:val="30"/>
          <w:highlight w:val="none"/>
        </w:rPr>
        <w:t xml:space="preserve">文明施工责任协议书</w:t>
      </w:r>
      <w:r/>
    </w:p>
    <w:p>
      <w:pPr>
        <w:ind w:firstLine="56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发包人：</w:t>
      </w:r>
      <w:r>
        <w:rPr>
          <w:rFonts w:hint="eastAsia" w:ascii="宋体" w:hAnsi="宋体" w:cs="宋体"/>
          <w:color w:val="000000"/>
          <w:sz w:val="24"/>
          <w:highlight w:val="none"/>
          <w:u w:val="single"/>
          <w:shd w:val="clear" w:color="auto" w:fill="ffffff"/>
          <w:lang w:val="zh-TW"/>
        </w:rPr>
        <w:t xml:space="preserve">江苏省五台山体育中心</w:t>
      </w:r>
      <w:r/>
    </w:p>
    <w:p>
      <w:pPr>
        <w:ind w:firstLine="560"/>
        <w:spacing w:line="360" w:lineRule="auto"/>
        <w:rPr>
          <w:rFonts w:hAnsi="宋体"/>
          <w:highlight w:val="none"/>
        </w:rPr>
      </w:pPr>
      <w:r>
        <w:rPr>
          <w:rFonts w:hint="eastAsia" w:ascii="宋体" w:hAnsi="宋体" w:cs="宋体"/>
          <w:color w:val="000000"/>
          <w:sz w:val="24"/>
          <w:highlight w:val="none"/>
        </w:rPr>
        <w:t xml:space="preserve">承包人：                   </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为贯彻执行建设部《建设工程施工现场管理规定》和《南京建设工程文明施工管理暂行规定》，认真做好工程建设施工区域内的文明施工，现经双方协商同意，就工程中明确文明施工和文明施工管理的明确各自职责，签订如下协议。</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双方同意在工程管理和工程建设中必须坚持社会效益第一，经济效益和社会效益相一致“方便人民生活，有利于发展生产、保护生态环境”的原则，坚持便民、利民、为民服务的宗旨。搞好工程建设中的文明施工。</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双方要认真贯彻“发包人负责，施工单位实施，地方政府监督”的文明施工原则。现场由发包人项目管理组牵头，建立三方共同参与的文明施工管理小组，负责日常管理协调工作，争创文明工地。发包人按市有关创建文明工地的规定，组织、指导、检查、考核和开展选评工作，创建活动的实施由承包人负责。(应明确安全文明施工的目标和承包人对发包人的承诺。)</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三、承包人在其施工大纲中应结合工程实际情况，制订出各项文明施工措施，并落实如下有关要求：</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1、施工现场必须按规定要求设置施工铭牌，所有施工人员应配带胸卡上岗。</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2、施工区域与非施工区域必须按规定设置分隔设施，并做到连续、稳固、整洁、美观和线型和顺。施工区域的围护设施如有损坏要及时修复。</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施工的路段要有保证车辆通行宽度的车行道、人行道和沿街居民出行的安全便道。凡在施工道路的交叉路口，均应按规定设置交通标志(牌)，夜间设示警灯及照明灯，便于车辆行人通行。如遇台风、暴雨季节要派人值班，确保安全。</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4、要落实切实可行的施工临时排水和防汛措施，禁止向通道上排放，禁止泥浆水、水泥浆水未经沉淀直接排入下水道。</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5、施工现场平面布置合理，各类材料、设备、预制构件等(包括土方)做到有序堆放，不得侵占车行道、人行道。施工中要加强对各种管线的保护。</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6、施工中必须要采取有效措施，防止渣土洒落，泥浆、废水流溢，控制粉尘飞扬，减少施工对城区环境的污染，严格控制噪音。</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7、为配合实施国家和南京开展环境保护和减少污染的要求，承包人必须在每年5-8月委托政府环保监督部门对施工过程中的噪音、粉尘、废水进行一次测试，出具相应的测试报告，并提交发包人备案。</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8、如发现承包人未进行上述环境保护测试工作，此测试工作由发包人代为办理，其费用由承包人加倍承担。</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9、施工中如需夜间(22：00以后)作业，必须办理夜间施工许可证。如未办理有关手续造成恶劣后果或被举报处罚的，发包人对责任单位处罚500元。</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四、承包人负责施工区域及生活区域的环境卫生，建立完善有关规章制度，落实责任制。做到“五小”生活设施齐全，符合规范要求。</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发包人可对承包人开展创建文明工地的工作给予指导，定期组织检查，对承包人存在的问题应及时通知承包人进行整改，并有权因承包人责任违约，对责任单位每次处罚500元，并采取强化整改措施，对未按要求限期整改的或整改不力，情节严重的，对责任单位每次处罚1000元，最高上限为1万元。</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因承包人违反文明施工管理要求，被地方政府有关部门查获而受到的经济处罚，以及由此而使发包人受到的经济损失，均由承包人承担。本协议作为双方工程合同的附件，在工程合同正式签约后生效，与工程合同具有同等法律效力。工程合同期满，本协议终止。</w:t>
      </w:r>
      <w:r/>
    </w:p>
    <w:tbl>
      <w:tblPr>
        <w:tblStyle w:val="89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739"/>
        <w:gridCol w:w="2188"/>
        <w:gridCol w:w="2687"/>
        <w:gridCol w:w="2241"/>
      </w:tblGrid>
      <w:tr>
        <w:trPr/>
        <w:tc>
          <w:tcPr>
            <w:tcW w:w="2739" w:type="dxa"/>
            <w:textDirection w:val="lrTb"/>
            <w:noWrap w:val="false"/>
          </w:tcPr>
          <w:p>
            <w:pPr>
              <w:spacing w:line="360" w:lineRule="auto"/>
              <w:rPr>
                <w:rStyle w:val="1696"/>
                <w:rFonts w:ascii="宋体" w:hAnsi="宋体" w:cs="宋体"/>
                <w:sz w:val="24"/>
                <w:szCs w:val="24"/>
                <w:highlight w:val="none"/>
                <w:u w:val="none"/>
              </w:rPr>
            </w:pPr>
            <w:r>
              <w:rPr>
                <w:rStyle w:val="1696"/>
                <w:rFonts w:hint="eastAsia" w:ascii="宋体" w:hAnsi="宋体" w:cs="宋体"/>
                <w:sz w:val="24"/>
                <w:szCs w:val="24"/>
                <w:highlight w:val="none"/>
                <w:u w:val="none"/>
              </w:rPr>
              <w:t xml:space="preserve">发包人（盖章）：</w:t>
            </w:r>
            <w:r/>
          </w:p>
        </w:tc>
        <w:tc>
          <w:tcPr>
            <w:tcW w:w="2188" w:type="dxa"/>
            <w:textDirection w:val="lrTb"/>
            <w:noWrap w:val="false"/>
          </w:tcPr>
          <w:p>
            <w:pPr>
              <w:spacing w:line="360" w:lineRule="auto"/>
              <w:rPr>
                <w:rStyle w:val="1696"/>
                <w:rFonts w:ascii="宋体" w:hAnsi="宋体" w:cs="宋体"/>
                <w:sz w:val="24"/>
                <w:szCs w:val="24"/>
                <w:highlight w:val="none"/>
                <w:u w:val="none"/>
              </w:rPr>
            </w:pPr>
            <w:r>
              <w:rPr>
                <w:rFonts w:ascii="宋体" w:hAnsi="宋体" w:cs="宋体"/>
                <w:sz w:val="24"/>
                <w:szCs w:val="24"/>
                <w:highlight w:val="none"/>
                <w:u w:val="none"/>
              </w:rPr>
            </w:r>
            <w:r/>
          </w:p>
        </w:tc>
        <w:tc>
          <w:tcPr>
            <w:tcW w:w="2687" w:type="dxa"/>
            <w:textDirection w:val="lrTb"/>
            <w:noWrap w:val="false"/>
          </w:tcPr>
          <w:p>
            <w:pPr>
              <w:spacing w:line="360" w:lineRule="auto"/>
              <w:rPr>
                <w:rStyle w:val="1696"/>
                <w:rFonts w:ascii="宋体" w:hAnsi="宋体" w:cs="宋体"/>
                <w:sz w:val="24"/>
                <w:szCs w:val="24"/>
                <w:highlight w:val="none"/>
                <w:u w:val="none"/>
              </w:rPr>
            </w:pPr>
            <w:r>
              <w:rPr>
                <w:rStyle w:val="1696"/>
                <w:rFonts w:hint="eastAsia" w:ascii="宋体" w:hAnsi="宋体" w:cs="宋体"/>
                <w:sz w:val="24"/>
                <w:szCs w:val="24"/>
                <w:highlight w:val="none"/>
                <w:u w:val="none"/>
              </w:rPr>
              <w:t xml:space="preserve">承包人（盖章）：</w:t>
            </w:r>
            <w:r/>
          </w:p>
        </w:tc>
        <w:tc>
          <w:tcPr>
            <w:tcW w:w="2241" w:type="dxa"/>
            <w:textDirection w:val="lrTb"/>
            <w:noWrap w:val="false"/>
          </w:tcPr>
          <w:p>
            <w:pPr>
              <w:spacing w:line="360" w:lineRule="auto"/>
              <w:rPr>
                <w:rStyle w:val="1696"/>
                <w:rFonts w:ascii="宋体" w:hAnsi="宋体" w:cs="宋体"/>
                <w:sz w:val="24"/>
                <w:szCs w:val="24"/>
                <w:highlight w:val="none"/>
                <w:u w:val="none"/>
              </w:rPr>
            </w:pPr>
            <w:r>
              <w:rPr>
                <w:rFonts w:ascii="宋体" w:hAnsi="宋体" w:cs="宋体"/>
                <w:sz w:val="24"/>
                <w:szCs w:val="24"/>
                <w:highlight w:val="none"/>
                <w:u w:val="none"/>
              </w:rPr>
            </w:r>
            <w:r/>
          </w:p>
        </w:tc>
      </w:tr>
      <w:tr>
        <w:trPr/>
        <w:tc>
          <w:tcPr>
            <w:tcW w:w="2739" w:type="dxa"/>
            <w:textDirection w:val="lrTb"/>
            <w:noWrap w:val="false"/>
          </w:tcPr>
          <w:p>
            <w:pPr>
              <w:spacing w:line="360" w:lineRule="auto"/>
              <w:rPr>
                <w:rStyle w:val="1696"/>
                <w:rFonts w:hint="eastAsia" w:ascii="宋体" w:hAnsi="宋体"/>
                <w:sz w:val="24"/>
                <w:szCs w:val="24"/>
                <w:highlight w:val="none"/>
                <w:u w:val="none"/>
              </w:rPr>
            </w:pPr>
            <w:r>
              <w:rPr>
                <w:rStyle w:val="1696"/>
                <w:rFonts w:hint="eastAsia" w:ascii="宋体" w:hAnsi="宋体"/>
                <w:sz w:val="24"/>
                <w:szCs w:val="24"/>
                <w:highlight w:val="none"/>
                <w:u w:val="none"/>
              </w:rPr>
              <w:t xml:space="preserve">法定代表人或委托代理</w:t>
            </w:r>
            <w:r/>
          </w:p>
          <w:p>
            <w:pPr>
              <w:spacing w:line="360" w:lineRule="auto"/>
              <w:rPr>
                <w:rStyle w:val="1696"/>
                <w:rFonts w:ascii="宋体" w:hAnsi="宋体" w:cs="宋体"/>
                <w:sz w:val="24"/>
                <w:szCs w:val="24"/>
                <w:highlight w:val="none"/>
                <w:u w:val="none"/>
              </w:rPr>
            </w:pPr>
            <w:r>
              <w:rPr>
                <w:rStyle w:val="1696"/>
                <w:rFonts w:hint="eastAsia" w:ascii="宋体" w:hAnsi="宋体"/>
                <w:sz w:val="24"/>
                <w:szCs w:val="24"/>
                <w:highlight w:val="none"/>
                <w:u w:val="none"/>
              </w:rPr>
              <w:t xml:space="preserve">人（签字或盖章）：</w:t>
            </w:r>
            <w:r/>
          </w:p>
        </w:tc>
        <w:tc>
          <w:tcPr>
            <w:tcW w:w="2188" w:type="dxa"/>
            <w:textDirection w:val="lrTb"/>
            <w:noWrap w:val="false"/>
          </w:tcPr>
          <w:p>
            <w:pPr>
              <w:spacing w:line="360" w:lineRule="auto"/>
              <w:rPr>
                <w:rStyle w:val="1696"/>
                <w:rFonts w:ascii="宋体" w:hAnsi="宋体" w:cs="宋体"/>
                <w:sz w:val="24"/>
                <w:szCs w:val="24"/>
                <w:highlight w:val="none"/>
                <w:u w:val="none"/>
              </w:rPr>
            </w:pPr>
            <w:r>
              <w:rPr>
                <w:rFonts w:ascii="宋体" w:hAnsi="宋体" w:cs="宋体"/>
                <w:sz w:val="24"/>
                <w:szCs w:val="24"/>
                <w:highlight w:val="none"/>
                <w:u w:val="none"/>
              </w:rPr>
            </w:r>
            <w:r/>
          </w:p>
        </w:tc>
        <w:tc>
          <w:tcPr>
            <w:tcW w:w="2687" w:type="dxa"/>
            <w:textDirection w:val="lrTb"/>
            <w:noWrap w:val="false"/>
          </w:tcPr>
          <w:p>
            <w:pPr>
              <w:spacing w:line="360" w:lineRule="auto"/>
              <w:rPr>
                <w:rStyle w:val="1696"/>
                <w:rFonts w:ascii="宋体" w:hAnsi="宋体" w:cs="宋体"/>
                <w:sz w:val="24"/>
                <w:szCs w:val="24"/>
                <w:highlight w:val="none"/>
                <w:u w:val="none"/>
              </w:rPr>
            </w:pPr>
            <w:r>
              <w:rPr>
                <w:rStyle w:val="1696"/>
                <w:rFonts w:hint="eastAsia" w:ascii="宋体" w:hAnsi="宋体"/>
                <w:sz w:val="24"/>
                <w:szCs w:val="24"/>
                <w:highlight w:val="none"/>
                <w:u w:val="none"/>
              </w:rPr>
              <w:t xml:space="preserve">法定代表人或委托代理人（签字或盖章）：</w:t>
            </w:r>
            <w:r/>
          </w:p>
        </w:tc>
        <w:tc>
          <w:tcPr>
            <w:tcW w:w="2241" w:type="dxa"/>
            <w:textDirection w:val="lrTb"/>
            <w:noWrap w:val="false"/>
          </w:tcPr>
          <w:p>
            <w:pPr>
              <w:spacing w:line="360" w:lineRule="auto"/>
              <w:rPr>
                <w:rStyle w:val="1696"/>
                <w:rFonts w:ascii="宋体" w:hAnsi="宋体" w:cs="宋体"/>
                <w:sz w:val="24"/>
                <w:szCs w:val="24"/>
                <w:highlight w:val="none"/>
                <w:u w:val="none"/>
              </w:rPr>
            </w:pPr>
            <w:r>
              <w:rPr>
                <w:rFonts w:ascii="宋体" w:hAnsi="宋体" w:cs="宋体"/>
                <w:sz w:val="24"/>
                <w:szCs w:val="24"/>
                <w:highlight w:val="none"/>
                <w:u w:val="none"/>
              </w:rPr>
            </w:r>
            <w:r/>
          </w:p>
        </w:tc>
      </w:tr>
    </w:tbl>
    <w:p>
      <w:pPr>
        <w:pStyle w:val="1286"/>
        <w:jc w:val="both"/>
        <w:spacing w:before="0" w:beforeAutospacing="0" w:after="0" w:afterAutospacing="0" w:line="360" w:lineRule="auto"/>
        <w:rPr>
          <w:color w:val="000000"/>
          <w:highlight w:val="none"/>
        </w:rPr>
      </w:pPr>
      <w:r>
        <w:rPr>
          <w:rStyle w:val="1696"/>
          <w:rFonts w:hint="eastAsia" w:ascii="宋体" w:hAnsi="宋体"/>
          <w:sz w:val="24"/>
          <w:szCs w:val="24"/>
          <w:highlight w:val="none"/>
          <w:u w:val="none"/>
        </w:rPr>
        <w:t xml:space="preserve">日   期：      年   月  日      </w:t>
      </w:r>
      <w:r>
        <w:rPr>
          <w:rStyle w:val="1696"/>
          <w:rFonts w:hint="eastAsia" w:ascii="宋体" w:hAnsi="宋体"/>
          <w:sz w:val="24"/>
          <w:szCs w:val="24"/>
          <w:highlight w:val="none"/>
          <w:u w:val="none"/>
        </w:rPr>
        <w:tab/>
      </w:r>
      <w:r>
        <w:rPr>
          <w:rStyle w:val="1696"/>
          <w:rFonts w:hint="eastAsia" w:ascii="宋体" w:hAnsi="宋体"/>
          <w:sz w:val="24"/>
          <w:szCs w:val="24"/>
          <w:highlight w:val="none"/>
          <w:u w:val="none"/>
        </w:rPr>
        <w:tab/>
      </w:r>
      <w:r>
        <w:rPr>
          <w:rStyle w:val="1696"/>
          <w:rFonts w:hint="eastAsia"/>
          <w:sz w:val="24"/>
          <w:szCs w:val="24"/>
          <w:highlight w:val="none"/>
          <w:u w:val="none"/>
          <w:lang w:val="en-US" w:eastAsia="zh-CN"/>
        </w:rPr>
        <w:t xml:space="preserve">  </w:t>
      </w:r>
      <w:r>
        <w:rPr>
          <w:rStyle w:val="1696"/>
          <w:rFonts w:hint="eastAsia" w:ascii="宋体" w:hAnsi="宋体"/>
          <w:sz w:val="24"/>
          <w:szCs w:val="24"/>
          <w:highlight w:val="none"/>
          <w:u w:val="none"/>
        </w:rPr>
        <w:t xml:space="preserve">日   期：     年   月  日</w:t>
      </w:r>
      <w:r/>
    </w:p>
    <w:p>
      <w:pPr>
        <w:ind w:firstLine="359"/>
        <w:spacing w:line="440" w:lineRule="exact"/>
        <w:rPr>
          <w:color w:val="000000"/>
          <w:highlight w:val="none"/>
        </w:rPr>
      </w:pPr>
      <w:r>
        <w:rPr>
          <w:color w:val="000000"/>
          <w:highlight w:val="none"/>
        </w:rPr>
      </w:r>
      <w:r/>
    </w:p>
    <w:p>
      <w:pPr>
        <w:pStyle w:val="1694"/>
        <w:jc w:val="center"/>
        <w:rPr>
          <w:highlight w:val="none"/>
        </w:rPr>
        <w:outlineLvl w:val="9"/>
      </w:pPr>
      <w:r>
        <w:rPr>
          <w:highlight w:val="none"/>
        </w:rPr>
      </w:r>
      <w:r/>
    </w:p>
    <w:p>
      <w:pPr>
        <w:ind w:firstLine="2530"/>
        <w:rPr>
          <w:rFonts w:hAnsi="宋体" w:cs="宋体"/>
          <w:b/>
          <w:bCs/>
          <w:color w:val="000000"/>
          <w:sz w:val="36"/>
          <w:szCs w:val="36"/>
          <w:highlight w:val="none"/>
          <w:lang w:val="zh-CN"/>
        </w:rPr>
        <w:outlineLvl w:val="0"/>
      </w:pPr>
      <w:r>
        <w:rPr>
          <w:rFonts w:hint="eastAsia" w:hAnsi="宋体" w:cs="宋体"/>
          <w:b/>
          <w:bCs/>
          <w:color w:val="000000"/>
          <w:sz w:val="36"/>
          <w:szCs w:val="36"/>
          <w:highlight w:val="none"/>
        </w:rPr>
        <w:br w:type="page" w:clear="all"/>
      </w:r>
      <w:bookmarkStart w:id="651" w:name="_Toc31659"/>
      <w:r>
        <w:rPr>
          <w:rFonts w:hint="eastAsia" w:hAnsi="宋体" w:cs="宋体"/>
          <w:b/>
          <w:bCs/>
          <w:color w:val="000000"/>
          <w:sz w:val="32"/>
          <w:szCs w:val="32"/>
          <w:highlight w:val="none"/>
          <w:lang w:val="zh-CN"/>
        </w:rPr>
        <w:t xml:space="preserve">第七章投标文件格式及附件</w:t>
      </w:r>
      <w:bookmarkEnd w:id="651"/>
      <w:r/>
      <w:r/>
    </w:p>
    <w:p>
      <w:pPr>
        <w:ind w:left="560"/>
        <w:jc w:val="center"/>
        <w:spacing w:line="240" w:lineRule="atLeast"/>
        <w:rPr>
          <w:rFonts w:ascii="宋体" w:hAnsi="宋体" w:cs="宋体"/>
          <w:b/>
          <w:bCs/>
          <w:color w:val="000000"/>
          <w:sz w:val="28"/>
          <w:szCs w:val="28"/>
          <w:highlight w:val="none"/>
          <w:lang w:val="zh-CN"/>
        </w:rPr>
      </w:pPr>
      <w:r>
        <w:rPr>
          <w:rFonts w:ascii="宋体" w:hAnsi="宋体" w:cs="宋体"/>
          <w:b/>
          <w:bCs/>
          <w:color w:val="000000"/>
          <w:sz w:val="28"/>
          <w:szCs w:val="28"/>
          <w:highlight w:val="none"/>
          <w:lang w:val="zh-CN"/>
        </w:rPr>
      </w:r>
      <w:r/>
    </w:p>
    <w:p>
      <w:pPr>
        <w:jc w:val="center"/>
        <w:rPr>
          <w:rFonts w:ascii="宋体" w:hAnsi="宋体" w:cs="宋体"/>
          <w:b/>
          <w:color w:val="000000"/>
          <w:sz w:val="28"/>
          <w:szCs w:val="28"/>
          <w:highlight w:val="none"/>
        </w:rPr>
      </w:pPr>
      <w:r>
        <w:rPr>
          <w:rFonts w:ascii="宋体" w:hAnsi="宋体" w:cs="宋体"/>
          <w:b/>
          <w:color w:val="000000"/>
          <w:sz w:val="28"/>
          <w:szCs w:val="28"/>
          <w:highlight w:val="none"/>
        </w:rPr>
      </w:r>
      <w:r/>
    </w:p>
    <w:p>
      <w:pPr>
        <w:jc w:val="center"/>
        <w:rPr>
          <w:rFonts w:ascii="宋体" w:hAnsi="宋体" w:cs="宋体"/>
          <w:b/>
          <w:color w:val="000000"/>
          <w:sz w:val="40"/>
          <w:szCs w:val="40"/>
          <w:highlight w:val="none"/>
        </w:rPr>
      </w:pPr>
      <w:r>
        <w:rPr>
          <w:rFonts w:hint="eastAsia" w:ascii="宋体" w:hAnsi="宋体" w:cs="宋体"/>
          <w:b/>
          <w:color w:val="000000"/>
          <w:sz w:val="40"/>
          <w:szCs w:val="40"/>
          <w:highlight w:val="none"/>
        </w:rPr>
        <w:t xml:space="preserve">投  标  文  件</w:t>
      </w:r>
      <w:r/>
    </w:p>
    <w:p>
      <w:pPr>
        <w:ind w:firstLine="2884"/>
        <w:rPr>
          <w:rFonts w:ascii="宋体" w:hAnsi="宋体" w:cs="宋体"/>
          <w:b/>
          <w:color w:val="000000"/>
          <w:sz w:val="36"/>
          <w:szCs w:val="36"/>
          <w:highlight w:val="none"/>
        </w:rPr>
      </w:pPr>
      <w:r>
        <w:rPr>
          <w:rFonts w:ascii="宋体" w:hAnsi="宋体" w:cs="宋体"/>
          <w:b/>
          <w:color w:val="000000"/>
          <w:sz w:val="36"/>
          <w:szCs w:val="36"/>
          <w:highlight w:val="none"/>
        </w:rPr>
      </w:r>
      <w:r/>
    </w:p>
    <w:p>
      <w:pPr>
        <w:jc w:val="center"/>
        <w:rPr>
          <w:rFonts w:ascii="宋体" w:hAnsi="宋体" w:cs="宋体"/>
          <w:b/>
          <w:color w:val="000000"/>
          <w:sz w:val="36"/>
          <w:szCs w:val="36"/>
          <w:highlight w:val="none"/>
        </w:rPr>
      </w:pPr>
      <w:r>
        <w:rPr>
          <w:rFonts w:ascii="宋体" w:hAnsi="宋体" w:cs="宋体"/>
          <w:b/>
          <w:color w:val="000000"/>
          <w:sz w:val="36"/>
          <w:szCs w:val="36"/>
          <w:highlight w:val="none"/>
        </w:rPr>
      </w:r>
      <w:r/>
    </w:p>
    <w:p>
      <w:pPr>
        <w:jc w:val="center"/>
        <w:rPr>
          <w:rFonts w:ascii="宋体" w:hAnsi="宋体" w:cs="宋体"/>
          <w:b/>
          <w:color w:val="000000"/>
          <w:sz w:val="36"/>
          <w:szCs w:val="36"/>
          <w:highlight w:val="none"/>
        </w:rPr>
      </w:pPr>
      <w:r>
        <w:rPr>
          <w:rFonts w:ascii="宋体" w:hAnsi="宋体" w:cs="宋体"/>
          <w:b/>
          <w:color w:val="000000"/>
          <w:sz w:val="36"/>
          <w:szCs w:val="36"/>
          <w:highlight w:val="none"/>
        </w:rPr>
      </w:r>
      <w:r/>
    </w:p>
    <w:p>
      <w:pPr>
        <w:jc w:val="center"/>
        <w:rPr>
          <w:rFonts w:ascii="宋体" w:hAnsi="宋体" w:cs="宋体"/>
          <w:b/>
          <w:color w:val="000000"/>
          <w:sz w:val="36"/>
          <w:szCs w:val="36"/>
          <w:highlight w:val="none"/>
        </w:rPr>
      </w:pPr>
      <w:r>
        <w:rPr>
          <w:rFonts w:ascii="宋体" w:hAnsi="宋体" w:cs="宋体"/>
          <w:b/>
          <w:color w:val="000000"/>
          <w:sz w:val="36"/>
          <w:szCs w:val="36"/>
          <w:highlight w:val="none"/>
        </w:rPr>
      </w:r>
      <w:r/>
    </w:p>
    <w:p>
      <w:pPr>
        <w:jc w:val="center"/>
        <w:rPr>
          <w:rFonts w:ascii="宋体" w:hAnsi="宋体" w:cs="宋体"/>
          <w:b/>
          <w:color w:val="000000"/>
          <w:sz w:val="36"/>
          <w:szCs w:val="36"/>
          <w:highlight w:val="none"/>
        </w:rPr>
      </w:pPr>
      <w:r>
        <w:rPr>
          <w:rFonts w:ascii="宋体" w:hAnsi="宋体" w:cs="宋体"/>
          <w:b/>
          <w:color w:val="000000"/>
          <w:sz w:val="36"/>
          <w:szCs w:val="36"/>
          <w:highlight w:val="none"/>
        </w:rPr>
      </w:r>
      <w:r/>
    </w:p>
    <w:p>
      <w:pPr>
        <w:ind w:left="2243" w:hanging="1285"/>
        <w:rPr>
          <w:rFonts w:hint="eastAsia" w:ascii="Times New Roman" w:hAnsi="Times New Roman" w:eastAsia="宋体" w:cs="宋体-18030"/>
          <w:b/>
          <w:color w:val="000000" w:themeColor="text1"/>
          <w:sz w:val="32"/>
          <w:szCs w:val="32"/>
          <w:highlight w:val="none"/>
          <w14:textFill>
            <w14:solidFill>
              <w14:schemeClr w14:val="tx1"/>
            </w14:solidFill>
          </w14:textFill>
        </w:rPr>
      </w:pPr>
      <w:r>
        <w:rPr>
          <w:rFonts w:hint="eastAsia" w:ascii="Times New Roman" w:hAnsi="Times New Roman" w:eastAsia="宋体" w:cs="宋体-18030"/>
          <w:b/>
          <w:color w:val="000000" w:themeColor="text1"/>
          <w:sz w:val="32"/>
          <w:szCs w:val="32"/>
          <w:highlight w:val="none"/>
          <w14:textFill>
            <w14:solidFill>
              <w14:schemeClr w14:val="tx1"/>
            </w14:solidFill>
          </w14:textFill>
        </w:rPr>
        <w:t xml:space="preserve">项目名称：</w:t>
      </w:r>
      <w:r>
        <w:rPr>
          <w:rFonts w:hint="eastAsia" w:ascii="Times New Roman" w:hAnsi="Times New Roman" w:eastAsia="宋体" w:cs="宋体-18030"/>
          <w:b/>
          <w:color w:val="000000" w:themeColor="text1"/>
          <w:sz w:val="32"/>
          <w:szCs w:val="32"/>
          <w:highlight w:val="none"/>
          <w:lang w:val="en-US" w:eastAsia="zh-CN"/>
          <w14:textFill>
            <w14:solidFill>
              <w14:schemeClr w14:val="tx1"/>
            </w14:solidFill>
          </w14:textFill>
        </w:rPr>
        <w:t xml:space="preserve">2</w:t>
      </w:r>
      <w:r>
        <w:rPr>
          <w:rFonts w:hint="eastAsia" w:ascii="Times New Roman" w:hAnsi="Times New Roman" w:eastAsia="宋体" w:cs="宋体-18030"/>
          <w:b/>
          <w:color w:val="000000" w:themeColor="text1"/>
          <w:sz w:val="32"/>
          <w:szCs w:val="32"/>
          <w:highlight w:val="none"/>
          <w14:textFill>
            <w14:solidFill>
              <w14:schemeClr w14:val="tx1"/>
            </w14:solidFill>
          </w14:textFill>
        </w:rPr>
        <w:t xml:space="preserve">026年江苏省五台山体育中心重大体育设施</w:t>
      </w:r>
      <w:r/>
    </w:p>
    <w:p>
      <w:pPr>
        <w:ind w:left="2234" w:firstLine="321"/>
        <w:rPr>
          <w:rFonts w:hint="eastAsia" w:ascii="Times New Roman" w:hAnsi="Times New Roman" w:eastAsia="宋体" w:cs="宋体-18030"/>
          <w:b/>
          <w:color w:val="000000" w:themeColor="text1"/>
          <w:sz w:val="32"/>
          <w:szCs w:val="32"/>
          <w:highlight w:val="none"/>
          <w14:textFill>
            <w14:solidFill>
              <w14:schemeClr w14:val="tx1"/>
            </w14:solidFill>
          </w14:textFill>
        </w:rPr>
      </w:pPr>
      <w:r>
        <w:rPr>
          <w:rFonts w:hint="eastAsia" w:ascii="Times New Roman" w:hAnsi="Times New Roman" w:eastAsia="宋体" w:cs="宋体-18030"/>
          <w:b/>
          <w:color w:val="000000" w:themeColor="text1"/>
          <w:sz w:val="32"/>
          <w:szCs w:val="32"/>
          <w:highlight w:val="none"/>
          <w14:textFill>
            <w14:solidFill>
              <w14:schemeClr w14:val="tx1"/>
            </w14:solidFill>
          </w14:textFill>
        </w:rPr>
        <w:t xml:space="preserve">建设（供电增容）工程</w:t>
      </w:r>
      <w:r/>
    </w:p>
    <w:p>
      <w:pPr>
        <w:ind w:firstLine="889"/>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left"/>
        <w:spacing w:line="360" w:lineRule="auto"/>
        <w:rPr>
          <w:rFonts w:hint="eastAsia" w:cs="宋体-18030"/>
          <w:b/>
          <w:color w:val="000000" w:themeColor="text1"/>
          <w:sz w:val="32"/>
          <w:szCs w:val="32"/>
          <w:highlight w:val="none"/>
          <w14:textFill>
            <w14:solidFill>
              <w14:schemeClr w14:val="tx1"/>
            </w14:solidFill>
          </w14:textFill>
        </w:rPr>
      </w:pPr>
      <w:r>
        <w:rPr>
          <w:rFonts w:hint="eastAsia" w:cs="宋体-18030"/>
          <w:b/>
          <w:color w:val="000000" w:themeColor="text1"/>
          <w:sz w:val="32"/>
          <w:szCs w:val="32"/>
          <w:highlight w:val="none"/>
          <w14:textFill>
            <w14:solidFill>
              <w14:schemeClr w14:val="tx1"/>
            </w14:solidFill>
          </w14:textFill>
        </w:rPr>
      </w:r>
      <w:r/>
    </w:p>
    <w:p>
      <w:pPr>
        <w:ind w:firstLine="964"/>
        <w:jc w:val="left"/>
        <w:spacing w:line="360" w:lineRule="auto"/>
        <w:rPr>
          <w:rFonts w:ascii="宋体" w:hAnsi="宋体" w:cs="宋体-18030"/>
          <w:b/>
          <w:color w:val="000000" w:themeColor="text1"/>
          <w:sz w:val="32"/>
          <w:szCs w:val="32"/>
          <w:highlight w:val="none"/>
          <w14:textFill>
            <w14:solidFill>
              <w14:schemeClr w14:val="tx1"/>
            </w14:solidFill>
          </w14:textFill>
        </w:rPr>
      </w:pPr>
      <w:r>
        <w:rPr>
          <w:rFonts w:hint="eastAsia" w:cs="宋体-18030"/>
          <w:b/>
          <w:color w:val="000000" w:themeColor="text1"/>
          <w:sz w:val="32"/>
          <w:szCs w:val="32"/>
          <w:highlight w:val="none"/>
          <w14:textFill>
            <w14:solidFill>
              <w14:schemeClr w14:val="tx1"/>
            </w14:solidFill>
          </w14:textFill>
        </w:rPr>
        <w:t xml:space="preserve">项目编号：</w:t>
      </w:r>
      <w:r/>
    </w:p>
    <w:p>
      <w:pPr>
        <w:ind w:firstLine="843"/>
        <w:rPr>
          <w:rFonts w:ascii="宋体" w:hAnsi="宋体" w:cs="宋体"/>
          <w:b/>
          <w:color w:val="000000"/>
          <w:sz w:val="36"/>
          <w:szCs w:val="36"/>
          <w:highlight w:val="none"/>
        </w:rPr>
      </w:pPr>
      <w:r>
        <w:rPr>
          <w:rFonts w:ascii="宋体" w:hAnsi="宋体" w:cs="宋体"/>
          <w:b/>
          <w:color w:val="000000"/>
          <w:sz w:val="36"/>
          <w:szCs w:val="36"/>
          <w:highlight w:val="none"/>
        </w:rPr>
      </w:r>
      <w:r/>
    </w:p>
    <w:p>
      <w:pPr>
        <w:ind w:firstLine="843"/>
        <w:rPr>
          <w:rFonts w:ascii="宋体" w:hAnsi="宋体" w:cs="宋体"/>
          <w:b/>
          <w:color w:val="000000"/>
          <w:sz w:val="36"/>
          <w:szCs w:val="36"/>
          <w:highlight w:val="none"/>
        </w:rPr>
      </w:pPr>
      <w:r>
        <w:rPr>
          <w:rFonts w:ascii="宋体" w:hAnsi="宋体" w:cs="宋体"/>
          <w:b/>
          <w:color w:val="000000"/>
          <w:sz w:val="36"/>
          <w:szCs w:val="36"/>
          <w:highlight w:val="none"/>
        </w:rPr>
      </w:r>
      <w:r/>
    </w:p>
    <w:p>
      <w:pPr>
        <w:ind w:firstLine="843"/>
        <w:rPr>
          <w:rFonts w:ascii="宋体" w:hAnsi="宋体" w:cs="宋体"/>
          <w:b/>
          <w:color w:val="000000"/>
          <w:sz w:val="36"/>
          <w:szCs w:val="36"/>
          <w:highlight w:val="none"/>
        </w:rPr>
      </w:pPr>
      <w:r>
        <w:rPr>
          <w:rFonts w:ascii="宋体" w:hAnsi="宋体" w:cs="宋体"/>
          <w:b/>
          <w:color w:val="000000"/>
          <w:sz w:val="36"/>
          <w:szCs w:val="36"/>
          <w:highlight w:val="none"/>
        </w:rPr>
      </w:r>
      <w:r/>
    </w:p>
    <w:p>
      <w:pPr>
        <w:ind w:firstLine="843"/>
        <w:rPr>
          <w:rFonts w:ascii="宋体" w:hAnsi="宋体" w:cs="宋体"/>
          <w:b/>
          <w:color w:val="000000"/>
          <w:sz w:val="36"/>
          <w:szCs w:val="36"/>
          <w:highlight w:val="none"/>
        </w:rPr>
      </w:pPr>
      <w:r>
        <w:rPr>
          <w:rFonts w:ascii="宋体" w:hAnsi="宋体" w:cs="宋体"/>
          <w:b/>
          <w:color w:val="000000"/>
          <w:sz w:val="36"/>
          <w:szCs w:val="36"/>
          <w:highlight w:val="none"/>
        </w:rPr>
      </w:r>
      <w:r/>
    </w:p>
    <w:p>
      <w:pPr>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ind w:firstLine="843"/>
        <w:rPr>
          <w:rFonts w:ascii="宋体" w:hAnsi="宋体" w:cs="宋体"/>
          <w:b/>
          <w:color w:val="000000"/>
          <w:sz w:val="36"/>
          <w:szCs w:val="36"/>
          <w:highlight w:val="none"/>
        </w:rPr>
      </w:pPr>
      <w:r>
        <w:rPr>
          <w:rFonts w:ascii="宋体" w:hAnsi="宋体" w:cs="宋体"/>
          <w:b/>
          <w:color w:val="000000"/>
          <w:sz w:val="36"/>
          <w:szCs w:val="36"/>
          <w:highlight w:val="none"/>
        </w:rPr>
      </w:r>
      <w:r/>
    </w:p>
    <w:p>
      <w:pPr>
        <w:ind w:firstLine="843"/>
        <w:rPr>
          <w:rFonts w:ascii="宋体" w:hAnsi="宋体" w:cs="宋体"/>
          <w:b/>
          <w:color w:val="000000"/>
          <w:sz w:val="36"/>
          <w:szCs w:val="36"/>
          <w:highlight w:val="none"/>
        </w:rPr>
      </w:pPr>
      <w:r>
        <w:rPr>
          <w:rFonts w:ascii="宋体" w:hAnsi="宋体" w:cs="宋体"/>
          <w:b/>
          <w:color w:val="000000"/>
          <w:sz w:val="36"/>
          <w:szCs w:val="36"/>
          <w:highlight w:val="none"/>
        </w:rPr>
      </w:r>
      <w:r/>
    </w:p>
    <w:p>
      <w:pPr>
        <w:ind w:firstLine="843"/>
        <w:rPr>
          <w:rFonts w:ascii="宋体" w:hAnsi="宋体" w:cs="宋体"/>
          <w:b/>
          <w:color w:val="000000"/>
          <w:sz w:val="36"/>
          <w:szCs w:val="36"/>
          <w:highlight w:val="none"/>
        </w:rPr>
      </w:pPr>
      <w:r>
        <w:rPr>
          <w:rFonts w:ascii="宋体" w:hAnsi="宋体" w:cs="宋体"/>
          <w:b/>
          <w:color w:val="000000"/>
          <w:sz w:val="36"/>
          <w:szCs w:val="36"/>
          <w:highlight w:val="none"/>
        </w:rPr>
      </w:r>
      <w:r/>
    </w:p>
    <w:p>
      <w:pPr>
        <w:ind w:firstLine="964"/>
        <w:spacing w:line="360" w:lineRule="auto"/>
        <w:rPr>
          <w:rFonts w:hint="eastAsia" w:cs="宋体-18030"/>
          <w:b/>
          <w:color w:val="000000" w:themeColor="text1"/>
          <w:sz w:val="32"/>
          <w:szCs w:val="32"/>
          <w:highlight w:val="none"/>
          <w14:textFill>
            <w14:solidFill>
              <w14:schemeClr w14:val="tx1"/>
            </w14:solidFill>
          </w14:textFill>
        </w:rPr>
      </w:pPr>
      <w:r>
        <w:rPr>
          <w:rFonts w:hint="eastAsia" w:cs="宋体-18030"/>
          <w:b/>
          <w:color w:val="000000" w:themeColor="text1"/>
          <w:sz w:val="32"/>
          <w:szCs w:val="32"/>
          <w:highlight w:val="none"/>
          <w14:textFill>
            <w14:solidFill>
              <w14:schemeClr w14:val="tx1"/>
            </w14:solidFill>
          </w14:textFill>
        </w:rPr>
        <w:t xml:space="preserve">投标人名称：</w:t>
      </w:r>
      <w:r/>
    </w:p>
    <w:p>
      <w:pPr>
        <w:ind w:firstLine="964"/>
        <w:spacing w:line="360" w:lineRule="auto"/>
        <w:rPr>
          <w:rFonts w:hint="eastAsia" w:cs="宋体-18030"/>
          <w:b/>
          <w:color w:val="000000" w:themeColor="text1"/>
          <w:sz w:val="32"/>
          <w:szCs w:val="32"/>
          <w:highlight w:val="none"/>
          <w14:textFill>
            <w14:solidFill>
              <w14:schemeClr w14:val="tx1"/>
            </w14:solidFill>
          </w14:textFill>
        </w:rPr>
      </w:pPr>
      <w:r>
        <w:rPr>
          <w:rFonts w:hint="eastAsia" w:cs="宋体-18030"/>
          <w:b/>
          <w:color w:val="000000" w:themeColor="text1"/>
          <w:sz w:val="32"/>
          <w:szCs w:val="32"/>
          <w:highlight w:val="none"/>
          <w14:textFill>
            <w14:solidFill>
              <w14:schemeClr w14:val="tx1"/>
            </w14:solidFill>
          </w14:textFill>
        </w:rPr>
        <w:t xml:space="preserve">授权代表：</w:t>
      </w:r>
      <w:r/>
    </w:p>
    <w:p>
      <w:pPr>
        <w:ind w:firstLine="964"/>
        <w:spacing w:line="360" w:lineRule="auto"/>
        <w:rPr>
          <w:rFonts w:cs="宋体-18030"/>
          <w:b/>
          <w:color w:val="000000" w:themeColor="text1"/>
          <w:sz w:val="32"/>
          <w:szCs w:val="32"/>
          <w:highlight w:val="none"/>
          <w:u w:val="single"/>
          <w14:textFill>
            <w14:solidFill>
              <w14:schemeClr w14:val="tx1"/>
            </w14:solidFill>
          </w14:textFill>
        </w:rPr>
      </w:pPr>
      <w:r>
        <w:rPr>
          <w:rFonts w:hint="eastAsia" w:cs="宋体-18030"/>
          <w:b/>
          <w:color w:val="000000" w:themeColor="text1"/>
          <w:sz w:val="32"/>
          <w:szCs w:val="32"/>
          <w:highlight w:val="none"/>
          <w14:textFill>
            <w14:solidFill>
              <w14:schemeClr w14:val="tx1"/>
            </w14:solidFill>
          </w14:textFill>
        </w:rPr>
        <w:t xml:space="preserve">日期：</w:t>
      </w:r>
      <w:r/>
    </w:p>
    <w:p>
      <w:pPr>
        <w:jc w:val="center"/>
        <w:rPr>
          <w:rFonts w:ascii="宋体" w:hAnsi="宋体" w:cs="宋体"/>
          <w:b/>
          <w:bCs/>
          <w:color w:val="000000"/>
          <w:sz w:val="28"/>
          <w:szCs w:val="28"/>
          <w:highlight w:val="none"/>
        </w:rPr>
      </w:pPr>
      <w:r>
        <w:rPr>
          <w:rFonts w:hint="eastAsia" w:ascii="宋体" w:hAnsi="宋体" w:cs="宋体"/>
          <w:b/>
          <w:bCs/>
          <w:color w:val="000000"/>
          <w:sz w:val="28"/>
          <w:szCs w:val="28"/>
          <w:highlight w:val="none"/>
        </w:rPr>
        <w:br w:type="page" w:clear="all"/>
      </w:r>
      <w:bookmarkStart w:id="652" w:name="_Toc489655320"/>
      <w:r/>
      <w:r/>
    </w:p>
    <w:p>
      <w:pPr>
        <w:jc w:val="center"/>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投标文件主要目录</w:t>
      </w:r>
      <w:bookmarkEnd w:id="652"/>
      <w:r>
        <w:rPr>
          <w:rFonts w:hint="eastAsia" w:ascii="宋体" w:hAnsi="宋体" w:cs="宋体"/>
          <w:b/>
          <w:bCs/>
          <w:color w:val="000000"/>
          <w:sz w:val="28"/>
          <w:szCs w:val="28"/>
          <w:highlight w:val="none"/>
        </w:rPr>
        <w:t xml:space="preserve">及相关证明材料格式、附件</w:t>
      </w:r>
      <w:r/>
    </w:p>
    <w:p>
      <w:pPr>
        <w:rPr>
          <w:rFonts w:ascii="宋体" w:hAnsi="宋体" w:cs="宋体"/>
          <w:color w:val="000000"/>
          <w:sz w:val="28"/>
          <w:szCs w:val="28"/>
          <w:highlight w:val="none"/>
        </w:rPr>
      </w:pPr>
      <w:r>
        <w:rPr>
          <w:rFonts w:ascii="宋体" w:hAnsi="宋体" w:cs="宋体"/>
          <w:color w:val="000000"/>
          <w:sz w:val="28"/>
          <w:szCs w:val="28"/>
          <w:highlight w:val="none"/>
        </w:rPr>
      </w:r>
      <w:r/>
    </w:p>
    <w:p>
      <w:pPr>
        <w:numPr>
          <w:ilvl w:val="0"/>
          <w:numId w:val="3"/>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投标申请及声明</w:t>
      </w:r>
      <w:r/>
    </w:p>
    <w:p>
      <w:pPr>
        <w:numPr>
          <w:ilvl w:val="0"/>
          <w:numId w:val="3"/>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法定代表人授权书</w:t>
      </w:r>
      <w:r/>
    </w:p>
    <w:p>
      <w:pPr>
        <w:numPr>
          <w:ilvl w:val="0"/>
          <w:numId w:val="3"/>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开标一览表</w:t>
      </w:r>
      <w:r/>
    </w:p>
    <w:p>
      <w:pPr>
        <w:numPr>
          <w:ilvl w:val="0"/>
          <w:numId w:val="3"/>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工程量清单报价表</w:t>
      </w:r>
      <w:r/>
    </w:p>
    <w:p>
      <w:pPr>
        <w:numPr>
          <w:ilvl w:val="0"/>
          <w:numId w:val="3"/>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技术条款偏离表</w:t>
      </w:r>
      <w:r/>
    </w:p>
    <w:p>
      <w:pPr>
        <w:numPr>
          <w:ilvl w:val="0"/>
          <w:numId w:val="3"/>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商务条款偏离表</w:t>
      </w:r>
      <w:r/>
    </w:p>
    <w:p>
      <w:pPr>
        <w:numPr>
          <w:ilvl w:val="0"/>
          <w:numId w:val="3"/>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项目实施施工组织方案</w:t>
      </w:r>
      <w:r/>
    </w:p>
    <w:p>
      <w:pPr>
        <w:numPr>
          <w:ilvl w:val="0"/>
          <w:numId w:val="3"/>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服务承诺</w:t>
      </w:r>
      <w:r/>
    </w:p>
    <w:p>
      <w:pPr>
        <w:numPr>
          <w:ilvl w:val="0"/>
          <w:numId w:val="3"/>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供应商类似业绩情况</w:t>
      </w:r>
      <w:r/>
    </w:p>
    <w:p>
      <w:pPr>
        <w:numPr>
          <w:ilvl w:val="0"/>
          <w:numId w:val="3"/>
        </w:numPr>
        <w:ind w:left="1" w:firstLine="425"/>
        <w:spacing w:line="360" w:lineRule="auto"/>
        <w:tabs>
          <w:tab w:val="left" w:pos="1145" w:leader="none"/>
          <w:tab w:val="clear" w:pos="1146" w:leader="none"/>
        </w:tabs>
        <w:rPr>
          <w:rFonts w:ascii="宋体" w:hAnsi="宋体" w:cs="宋体"/>
          <w:color w:val="000000"/>
          <w:sz w:val="24"/>
          <w:highlight w:val="none"/>
        </w:rPr>
      </w:pPr>
      <w:r>
        <w:rPr>
          <w:rFonts w:hint="eastAsia" w:ascii="宋体" w:hAnsi="宋体" w:cs="宋体"/>
          <w:color w:val="000000"/>
          <w:sz w:val="24"/>
          <w:highlight w:val="none"/>
        </w:rPr>
        <w:t xml:space="preserve">投标需要的其他证明文件及材料（若有）</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jc w:val="left"/>
        <w:spacing w:line="360" w:lineRule="auto"/>
        <w:rPr>
          <w:rFonts w:ascii="宋体" w:hAnsi="宋体" w:cs="宋体"/>
          <w:color w:val="000000"/>
          <w:sz w:val="24"/>
          <w:highlight w:val="none"/>
        </w:rPr>
      </w:pPr>
      <w:r>
        <w:rPr>
          <w:rFonts w:ascii="宋体" w:hAnsi="宋体" w:cs="宋体"/>
          <w:color w:val="000000"/>
          <w:sz w:val="24"/>
          <w:highlight w:val="none"/>
        </w:rPr>
      </w:r>
      <w:r/>
    </w:p>
    <w:p>
      <w:pPr>
        <w:jc w:val="left"/>
        <w:spacing w:line="360" w:lineRule="auto"/>
        <w:rPr>
          <w:rFonts w:ascii="宋体" w:hAnsi="宋体" w:cs="宋体"/>
          <w:color w:val="000000"/>
          <w:sz w:val="24"/>
          <w:highlight w:val="none"/>
        </w:rPr>
      </w:pPr>
      <w:r>
        <w:rPr>
          <w:rFonts w:ascii="宋体" w:hAnsi="宋体" w:cs="宋体"/>
          <w:color w:val="000000"/>
          <w:sz w:val="24"/>
          <w:highlight w:val="none"/>
        </w:rPr>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附件一、中小企业声明函格式</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附件二、无重大违法记录声明格式</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附件三、具备履行合同所必需的设备和专业技术能力的声明格式及证明材料</w:t>
      </w:r>
      <w:r/>
    </w:p>
    <w:p>
      <w:pPr>
        <w:pStyle w:val="1240"/>
        <w:jc w:val="left"/>
        <w:spacing w:after="0" w:line="360" w:lineRule="auto"/>
        <w:rPr>
          <w:rFonts w:ascii="宋体" w:hAnsi="宋体" w:cs="宋体"/>
          <w:color w:val="000000"/>
          <w:highlight w:val="none"/>
        </w:rPr>
      </w:pPr>
      <w:r>
        <w:rPr>
          <w:rFonts w:hint="eastAsia" w:ascii="宋体" w:hAnsi="宋体" w:cs="宋体"/>
          <w:color w:val="000000"/>
          <w:highlight w:val="none"/>
        </w:rPr>
        <w:t xml:space="preserve">附件四、残疾人福利性单位声明函格式</w:t>
      </w:r>
      <w:r/>
    </w:p>
    <w:p>
      <w:pPr>
        <w:pStyle w:val="1240"/>
        <w:jc w:val="left"/>
        <w:spacing w:after="0" w:line="360" w:lineRule="auto"/>
        <w:rPr>
          <w:rFonts w:ascii="宋体" w:hAnsi="宋体" w:cs="宋体"/>
          <w:color w:val="000000"/>
          <w:highlight w:val="none"/>
        </w:rPr>
      </w:pPr>
      <w:r>
        <w:rPr>
          <w:rFonts w:hint="eastAsia" w:ascii="宋体" w:hAnsi="宋体" w:cs="宋体"/>
          <w:color w:val="000000"/>
          <w:highlight w:val="none"/>
        </w:rPr>
        <w:t xml:space="preserve">附件五、属于监狱企业的证明文件</w:t>
      </w:r>
      <w:r/>
    </w:p>
    <w:p>
      <w:pPr>
        <w:rPr>
          <w:rFonts w:ascii="宋体" w:hAnsi="宋体" w:cs="宋体"/>
          <w:color w:val="000000"/>
          <w:sz w:val="28"/>
          <w:szCs w:val="28"/>
          <w:highlight w:val="none"/>
        </w:rPr>
      </w:pPr>
      <w:r>
        <w:rPr>
          <w:rFonts w:ascii="宋体" w:hAnsi="宋体" w:cs="宋体"/>
          <w:color w:val="000000"/>
          <w:sz w:val="28"/>
          <w:szCs w:val="28"/>
          <w:highlight w:val="none"/>
        </w:rPr>
      </w:r>
      <w:r/>
    </w:p>
    <w:p>
      <w:pPr>
        <w:jc w:val="left"/>
        <w:spacing w:line="360" w:lineRule="auto"/>
        <w:rPr>
          <w:rFonts w:ascii="宋体" w:hAnsi="宋体" w:cs="宋体"/>
          <w:b/>
          <w:color w:val="000000"/>
          <w:sz w:val="28"/>
          <w:szCs w:val="28"/>
          <w:highlight w:val="none"/>
          <w:lang w:val="zh-CN"/>
        </w:rPr>
        <w:sectPr>
          <w:footerReference w:type="default" r:id="rId19"/>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sz w:val="28"/>
          <w:szCs w:val="28"/>
          <w:highlight w:val="none"/>
          <w:lang w:val="zh-CN"/>
        </w:rPr>
      </w:r>
      <w:r/>
    </w:p>
    <w:p>
      <w:pPr>
        <w:spacing w:line="360" w:lineRule="auto"/>
        <w:rPr>
          <w:rFonts w:ascii="宋体" w:hAnsi="宋体" w:cs="宋体"/>
          <w:b/>
          <w:color w:val="000000"/>
          <w:sz w:val="24"/>
          <w:highlight w:val="none"/>
          <w:lang w:val="zh-CN"/>
        </w:rPr>
        <w:outlineLvl w:val="1"/>
      </w:pPr>
      <w:r/>
      <w:bookmarkStart w:id="653" w:name="_Toc13922"/>
      <w:r>
        <w:rPr>
          <w:rFonts w:hint="eastAsia" w:ascii="宋体" w:hAnsi="宋体" w:cs="宋体"/>
          <w:b/>
          <w:color w:val="000000"/>
          <w:sz w:val="24"/>
          <w:highlight w:val="none"/>
          <w:lang w:val="zh-CN"/>
        </w:rPr>
        <w:t xml:space="preserve">一、投标申请及声明格式</w:t>
      </w:r>
      <w:bookmarkEnd w:id="653"/>
      <w:r/>
      <w:r/>
    </w:p>
    <w:p>
      <w:pPr>
        <w:jc w:val="center"/>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投标申请及声明</w:t>
      </w:r>
      <w:r/>
    </w:p>
    <w:p>
      <w:pPr>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致：江苏省五台山体育中心</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根据贵方</w:t>
      </w:r>
      <w:r>
        <w:rPr>
          <w:rFonts w:hint="eastAsia" w:ascii="宋体" w:hAnsi="宋体" w:cs="宋体"/>
          <w:color w:val="000000"/>
          <w:sz w:val="24"/>
          <w:highlight w:val="none"/>
          <w:u w:val="single"/>
        </w:rPr>
        <w:t xml:space="preserve">（项目名称）（项目编号）</w:t>
      </w:r>
      <w:r>
        <w:rPr>
          <w:rFonts w:hint="eastAsia" w:ascii="宋体" w:hAnsi="宋体" w:cs="宋体"/>
          <w:color w:val="000000"/>
          <w:sz w:val="24"/>
          <w:highlight w:val="none"/>
        </w:rPr>
        <w:t xml:space="preserve">招标公告，正式授权下述签字人</w:t>
      </w:r>
      <w:r>
        <w:rPr>
          <w:rFonts w:hint="eastAsia" w:ascii="宋体" w:hAnsi="宋体" w:cs="宋体"/>
          <w:color w:val="000000"/>
          <w:sz w:val="24"/>
          <w:highlight w:val="none"/>
          <w:u w:val="single"/>
        </w:rPr>
        <w:t xml:space="preserve">（姓名和职务）</w:t>
      </w:r>
      <w:r>
        <w:rPr>
          <w:rFonts w:hint="eastAsia" w:ascii="宋体" w:hAnsi="宋体" w:cs="宋体"/>
          <w:color w:val="000000"/>
          <w:sz w:val="24"/>
          <w:highlight w:val="none"/>
        </w:rPr>
        <w:t xml:space="preserve">代表供应商</w:t>
      </w:r>
      <w:r>
        <w:rPr>
          <w:rFonts w:hint="eastAsia" w:ascii="宋体" w:hAnsi="宋体" w:cs="宋体"/>
          <w:color w:val="000000"/>
          <w:sz w:val="24"/>
          <w:highlight w:val="none"/>
          <w:u w:val="single"/>
        </w:rPr>
        <w:t xml:space="preserve">（供应商名称）</w:t>
      </w:r>
      <w:r>
        <w:rPr>
          <w:rFonts w:hint="eastAsia" w:ascii="宋体" w:hAnsi="宋体" w:cs="宋体"/>
          <w:color w:val="000000"/>
          <w:sz w:val="24"/>
          <w:highlight w:val="none"/>
        </w:rPr>
        <w:t xml:space="preserve">，提交投标文件。</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据此函，签字人兹宣布声明和承诺如下：</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1.我方的资格条件符合政府采购法和本次招标要求，</w:t>
      </w:r>
      <w:r>
        <w:rPr>
          <w:rFonts w:hint="eastAsia" w:ascii="宋体" w:hAnsi="宋体" w:cs="宋体"/>
          <w:color w:val="000000"/>
          <w:sz w:val="24"/>
          <w:highlight w:val="none"/>
        </w:rPr>
        <w:t xml:space="preserve">我方</w:t>
      </w:r>
      <w:r>
        <w:rPr>
          <w:rFonts w:hint="eastAsia" w:ascii="宋体" w:hAnsi="宋体" w:cs="宋体"/>
          <w:color w:val="000000"/>
          <w:sz w:val="24"/>
          <w:highlight w:val="none"/>
          <w:lang w:val="zh-CN"/>
        </w:rPr>
        <w:t xml:space="preserve">同意并向贵方提供了与投标有关的所有证据和资料。</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2.按招标要求，我方投标的报价总价为人民币（小写）</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560"/>
        <w:spacing w:line="360" w:lineRule="auto"/>
        <w:rPr>
          <w:rFonts w:ascii="宋体" w:hAnsi="宋体" w:cs="宋体"/>
          <w:color w:val="000000"/>
          <w:sz w:val="24"/>
          <w:highlight w:val="none"/>
          <w:u w:val="single"/>
        </w:rPr>
      </w:pPr>
      <w:r>
        <w:rPr>
          <w:rFonts w:hint="eastAsia" w:ascii="宋体" w:hAnsi="宋体" w:cs="宋体"/>
          <w:color w:val="000000"/>
          <w:sz w:val="24"/>
          <w:highlight w:val="none"/>
          <w:lang w:val="zh-CN"/>
        </w:rPr>
        <w:t xml:space="preserve">3.</w:t>
      </w:r>
      <w:r>
        <w:rPr>
          <w:rFonts w:hint="eastAsia" w:ascii="宋体" w:hAnsi="宋体" w:cs="宋体"/>
          <w:color w:val="000000"/>
          <w:sz w:val="24"/>
          <w:highlight w:val="none"/>
        </w:rPr>
        <w:t xml:space="preserve">合同履行期限：</w:t>
      </w:r>
      <w:r>
        <w:rPr>
          <w:rFonts w:hint="eastAsia" w:ascii="宋体" w:hAnsi="宋体" w:cs="宋体"/>
          <w:color w:val="000000"/>
          <w:sz w:val="24"/>
          <w:highlight w:val="none"/>
          <w:u w:val="single"/>
        </w:rPr>
        <w:t xml:space="preserve">满足招标文件要求。</w:t>
      </w:r>
      <w:r/>
    </w:p>
    <w:p>
      <w:pPr>
        <w:ind w:firstLine="56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我方参加本次采购活动前三年内，在经营活动中没有重大违法记录。</w:t>
      </w:r>
      <w:r/>
    </w:p>
    <w:p>
      <w:pPr>
        <w:ind w:firstLine="56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.我方参加本次采购活动前，没有被信用中国网站、中国政府采购网站列入失信被执行人名单、重大税收违法案件当事人名单、政府采购严重违法失信行为记录名单。</w:t>
      </w:r>
      <w:r/>
    </w:p>
    <w:p>
      <w:pPr>
        <w:ind w:firstLine="56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.我方在全国范围内未受过财政部门禁止参加政府采购活动的处罚，或禁止参加政府采购活动的处罚期限已满。</w:t>
      </w:r>
      <w:r/>
    </w:p>
    <w:p>
      <w:pPr>
        <w:ind w:firstLine="56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.我方没有为本采购项目提供整体设计、规范编制，以及项目管理、监理、检测等服务。</w:t>
      </w:r>
      <w:r/>
    </w:p>
    <w:p>
      <w:pPr>
        <w:ind w:firstLine="56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.我方与参与本次采购活动的其他供应商的</w:t>
      </w: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val="zh-CN"/>
        </w:rPr>
        <w:t xml:space="preserve">（或法定代表人、项目负责人、项目总监、项目负责人等），在招标文件发布日上月至投标截止日当月未在同一单位缴纳社会保险。</w:t>
      </w:r>
      <w:r/>
    </w:p>
    <w:p>
      <w:pPr>
        <w:ind w:firstLine="56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9</w:t>
      </w:r>
      <w:r>
        <w:rPr>
          <w:rFonts w:hint="eastAsia" w:ascii="宋体" w:hAnsi="宋体" w:cs="宋体"/>
          <w:color w:val="000000"/>
          <w:sz w:val="24"/>
          <w:highlight w:val="none"/>
          <w:lang w:val="zh-CN"/>
        </w:rPr>
        <w:t xml:space="preserve">.我方与参与本次采购活动的其他供应商的法定代表人或</w:t>
      </w: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val="zh-CN"/>
        </w:rPr>
        <w:t xml:space="preserve">无夫妻、直系血亲关系。</w:t>
      </w:r>
      <w:r/>
    </w:p>
    <w:p>
      <w:pPr>
        <w:ind w:firstLine="56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10</w:t>
      </w:r>
      <w:r>
        <w:rPr>
          <w:rFonts w:hint="eastAsia" w:ascii="宋体" w:hAnsi="宋体" w:cs="宋体"/>
          <w:color w:val="000000"/>
          <w:sz w:val="24"/>
          <w:highlight w:val="none"/>
          <w:lang w:val="zh-CN"/>
        </w:rPr>
        <w:t xml:space="preserve">.我方与参与本次采购活动的其他供应商的负责人不是同一人，也不存在直接控股、管理关系。</w:t>
      </w:r>
      <w:r/>
    </w:p>
    <w:p>
      <w:pPr>
        <w:ind w:firstLine="56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56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.我方同意从规定的开标日期起遵循本投标文件，并在规定的投标有效期期满之前均具有约束力。</w:t>
      </w:r>
      <w:r/>
    </w:p>
    <w:p>
      <w:pPr>
        <w:ind w:firstLine="56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.一旦我方中标，将根据招标文件的规定严格履行合同，并保证按承诺的时间完成服务的启动/集成、调试等服务，交付采购人验收、使用。</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15.与本投标有关的正式联系方式为：</w:t>
      </w:r>
      <w:r/>
    </w:p>
    <w:p>
      <w:pPr>
        <w:ind w:firstLine="560"/>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地址：</w:t>
      </w:r>
      <w:r/>
    </w:p>
    <w:p>
      <w:pPr>
        <w:ind w:firstLine="560"/>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电话：</w:t>
      </w:r>
      <w:r/>
    </w:p>
    <w:p>
      <w:pPr>
        <w:ind w:firstLine="560"/>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传真：</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开户银行：</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银行账号：</w:t>
      </w:r>
      <w:r/>
    </w:p>
    <w:p>
      <w:pPr>
        <w:ind w:firstLine="560"/>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供应商授权代表姓名（签字）：</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供应商名称（盖章）：</w:t>
      </w:r>
      <w:r/>
    </w:p>
    <w:p>
      <w:pPr>
        <w:ind w:firstLine="560"/>
        <w:jc w:val="left"/>
        <w:spacing w:line="360" w:lineRule="auto"/>
        <w:rPr>
          <w:rFonts w:ascii="宋体" w:hAnsi="宋体" w:cs="宋体"/>
          <w:b/>
          <w:color w:val="000000"/>
          <w:sz w:val="28"/>
          <w:szCs w:val="28"/>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color w:val="000000"/>
          <w:sz w:val="24"/>
          <w:highlight w:val="none"/>
        </w:rPr>
        <w:t xml:space="preserve">日期：年月日</w:t>
      </w:r>
      <w:r/>
    </w:p>
    <w:p>
      <w:pPr>
        <w:spacing w:line="360" w:lineRule="auto"/>
        <w:rPr>
          <w:rFonts w:ascii="宋体" w:hAnsi="宋体" w:cs="宋体"/>
          <w:b/>
          <w:bCs/>
          <w:color w:val="000000"/>
          <w:sz w:val="28"/>
          <w:szCs w:val="28"/>
          <w:highlight w:val="none"/>
        </w:rPr>
        <w:outlineLvl w:val="1"/>
      </w:pPr>
      <w:r/>
      <w:bookmarkStart w:id="654" w:name="_Toc31979"/>
      <w:r>
        <w:rPr>
          <w:rFonts w:hint="eastAsia" w:ascii="宋体" w:hAnsi="宋体" w:cs="宋体"/>
          <w:b/>
          <w:bCs/>
          <w:color w:val="000000"/>
          <w:sz w:val="28"/>
          <w:szCs w:val="28"/>
          <w:highlight w:val="none"/>
        </w:rPr>
        <w:t xml:space="preserve">二、法定代表人授权委托书格式</w:t>
      </w:r>
      <w:bookmarkEnd w:id="654"/>
      <w:r/>
      <w:r/>
    </w:p>
    <w:p>
      <w:pPr>
        <w:jc w:val="center"/>
        <w:spacing w:line="360" w:lineRule="auto"/>
        <w:widowControl/>
        <w:rPr>
          <w:rFonts w:ascii="宋体" w:hAnsi="宋体" w:cs="宋体"/>
          <w:b/>
          <w:color w:val="000000"/>
          <w:sz w:val="28"/>
          <w:szCs w:val="28"/>
          <w:highlight w:val="none"/>
          <w:lang w:val="zh-CN"/>
        </w:rPr>
      </w:pPr>
      <w:r>
        <w:rPr>
          <w:rFonts w:ascii="宋体" w:hAnsi="宋体" w:cs="宋体"/>
          <w:b/>
          <w:color w:val="000000"/>
          <w:sz w:val="28"/>
          <w:szCs w:val="28"/>
          <w:highlight w:val="none"/>
          <w:lang w:val="zh-CN"/>
        </w:rPr>
      </w:r>
      <w:r/>
    </w:p>
    <w:p>
      <w:pPr>
        <w:jc w:val="center"/>
        <w:spacing w:line="360" w:lineRule="auto"/>
        <w:widowControl/>
        <w:rPr>
          <w:rFonts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法定代表人授权委托书</w:t>
      </w:r>
      <w:r/>
    </w:p>
    <w:p>
      <w:pPr>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致：</w:t>
      </w:r>
      <w:r>
        <w:rPr>
          <w:rFonts w:hint="eastAsia" w:ascii="宋体" w:hAnsi="宋体" w:cs="宋体"/>
          <w:color w:val="000000"/>
          <w:sz w:val="24"/>
          <w:highlight w:val="none"/>
          <w:u w:val="single"/>
          <w:lang w:val="zh-CN"/>
        </w:rPr>
        <w:t xml:space="preserve">江苏省五台山体育中心</w:t>
      </w:r>
      <w:r/>
    </w:p>
    <w:p>
      <w:pPr>
        <w:ind w:firstLine="42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本授权书声明：注册于</w:t>
      </w:r>
      <w:r>
        <w:rPr>
          <w:rFonts w:hint="eastAsia" w:ascii="宋体" w:hAnsi="宋体" w:cs="宋体"/>
          <w:color w:val="000000"/>
          <w:sz w:val="24"/>
          <w:highlight w:val="none"/>
          <w:u w:val="single"/>
          <w:lang w:val="zh-CN"/>
        </w:rPr>
        <w:t xml:space="preserve">（供应商住址）</w:t>
      </w:r>
      <w:r>
        <w:rPr>
          <w:rFonts w:hint="eastAsia" w:ascii="宋体" w:hAnsi="宋体" w:cs="宋体"/>
          <w:color w:val="000000"/>
          <w:sz w:val="24"/>
          <w:highlight w:val="none"/>
          <w:lang w:val="zh-CN"/>
        </w:rPr>
        <w:t xml:space="preserve">的</w:t>
      </w:r>
      <w:r>
        <w:rPr>
          <w:rFonts w:hint="eastAsia" w:ascii="宋体" w:hAnsi="宋体" w:cs="宋体"/>
          <w:color w:val="000000"/>
          <w:sz w:val="24"/>
          <w:highlight w:val="none"/>
          <w:u w:val="single"/>
          <w:lang w:val="zh-CN"/>
        </w:rPr>
        <w:t xml:space="preserve">（供应商名称）</w:t>
      </w:r>
      <w:r>
        <w:rPr>
          <w:rFonts w:hint="eastAsia" w:ascii="宋体" w:hAnsi="宋体" w:cs="宋体"/>
          <w:color w:val="000000"/>
          <w:sz w:val="24"/>
          <w:highlight w:val="none"/>
          <w:lang w:val="zh-CN"/>
        </w:rPr>
        <w:t xml:space="preserve">法定代表人</w:t>
      </w:r>
      <w:r>
        <w:rPr>
          <w:rFonts w:hint="eastAsia" w:ascii="宋体" w:hAnsi="宋体" w:cs="宋体"/>
          <w:color w:val="000000"/>
          <w:sz w:val="24"/>
          <w:highlight w:val="none"/>
          <w:u w:val="single"/>
          <w:lang w:val="zh-CN"/>
        </w:rPr>
        <w:t xml:space="preserve">（法定代表人姓名、职务）</w:t>
      </w:r>
      <w:r>
        <w:rPr>
          <w:rFonts w:hint="eastAsia" w:ascii="宋体" w:hAnsi="宋体" w:cs="宋体"/>
          <w:color w:val="000000"/>
          <w:sz w:val="24"/>
          <w:highlight w:val="none"/>
          <w:lang w:val="zh-CN"/>
        </w:rPr>
        <w:t xml:space="preserve">代表本公司授权在下面签字的</w:t>
      </w:r>
      <w:r>
        <w:rPr>
          <w:rFonts w:hint="eastAsia" w:ascii="宋体" w:hAnsi="宋体" w:cs="宋体"/>
          <w:color w:val="000000"/>
          <w:sz w:val="24"/>
          <w:highlight w:val="none"/>
          <w:u w:val="single"/>
          <w:lang w:val="zh-CN"/>
        </w:rPr>
        <w:t xml:space="preserve">（供应商代表姓名、职务）</w:t>
      </w:r>
      <w:r>
        <w:rPr>
          <w:rFonts w:hint="eastAsia" w:ascii="宋体" w:hAnsi="宋体" w:cs="宋体"/>
          <w:color w:val="000000"/>
          <w:sz w:val="24"/>
          <w:highlight w:val="none"/>
          <w:lang w:val="zh-CN"/>
        </w:rPr>
        <w:t xml:space="preserve">为本公司的合法代理人，就贵方组织的</w:t>
      </w:r>
      <w:r>
        <w:rPr>
          <w:rFonts w:hint="eastAsia" w:ascii="宋体" w:hAnsi="宋体" w:cs="宋体"/>
          <w:color w:val="000000"/>
          <w:sz w:val="24"/>
          <w:highlight w:val="none"/>
          <w:u w:val="single"/>
          <w:lang w:val="zh-CN"/>
        </w:rPr>
        <w:t xml:space="preserve">（项目名称）</w:t>
      </w:r>
      <w:r>
        <w:rPr>
          <w:rFonts w:hint="eastAsia" w:ascii="宋体" w:hAnsi="宋体" w:cs="宋体"/>
          <w:color w:val="000000"/>
          <w:sz w:val="24"/>
          <w:highlight w:val="none"/>
          <w:lang w:val="zh-CN"/>
        </w:rPr>
        <w:t xml:space="preserve">投标，以本公司名义处理一切与之有关的事务。</w:t>
      </w:r>
      <w:r/>
    </w:p>
    <w:p>
      <w:pPr>
        <w:ind w:firstLine="56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本授权书于年月日签字生效，特此声明。</w:t>
      </w:r>
      <w:r/>
    </w:p>
    <w:p>
      <w:pPr>
        <w:ind w:firstLine="56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r>
      <w:r/>
    </w:p>
    <w:p>
      <w:pPr>
        <w:ind w:firstLine="56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r>
      <w:r/>
    </w:p>
    <w:p>
      <w:pPr>
        <w:ind w:firstLine="56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法定代表人（签字</w:t>
      </w:r>
      <w:r>
        <w:rPr>
          <w:rFonts w:hint="eastAsia" w:ascii="宋体" w:hAnsi="宋体" w:cs="宋体"/>
          <w:color w:val="000000"/>
          <w:sz w:val="24"/>
          <w:highlight w:val="none"/>
        </w:rPr>
        <w:t xml:space="preserve">或盖章</w:t>
      </w:r>
      <w:r>
        <w:rPr>
          <w:rFonts w:hint="eastAsia" w:ascii="宋体" w:hAnsi="宋体" w:cs="宋体"/>
          <w:color w:val="000000"/>
          <w:sz w:val="24"/>
          <w:highlight w:val="none"/>
          <w:lang w:val="zh-CN"/>
        </w:rPr>
        <w:t xml:space="preserve">）：</w:t>
      </w:r>
      <w:r/>
    </w:p>
    <w:p>
      <w:pPr>
        <w:ind w:firstLine="56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授权委托人（签字）：</w:t>
      </w:r>
      <w:r/>
    </w:p>
    <w:p>
      <w:pPr>
        <w:ind w:firstLine="560"/>
        <w:jc w:val="left"/>
        <w:spacing w:line="360" w:lineRule="auto"/>
        <w:widowControl/>
        <w:tabs>
          <w:tab w:val="left" w:pos="1440"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供应商（盖章）：</w:t>
      </w:r>
      <w:r/>
    </w:p>
    <w:p>
      <w:pPr>
        <w:ind w:firstLine="560"/>
        <w:jc w:val="left"/>
        <w:spacing w:line="360" w:lineRule="auto"/>
        <w:widowControl/>
        <w:tabs>
          <w:tab w:val="left" w:pos="1440" w:leader="none"/>
        </w:tabs>
        <w:rPr>
          <w:rFonts w:ascii="宋体" w:hAnsi="宋体" w:cs="宋体"/>
          <w:color w:val="000000"/>
          <w:sz w:val="28"/>
          <w:szCs w:val="28"/>
          <w:highlight w:val="none"/>
          <w:lang w:val="zh-CN"/>
        </w:rPr>
      </w:pPr>
      <w:r>
        <w:rPr>
          <w:rFonts w:hint="eastAsia" w:ascii="宋体" w:hAnsi="宋体" w:cs="宋体"/>
          <w:color w:val="000000"/>
          <w:sz w:val="24"/>
          <w:highlight w:val="none"/>
          <w:lang w:val="zh-CN"/>
        </w:rPr>
        <w:t xml:space="preserve">日        期：年    月    日</w:t>
      </w:r>
      <w:r/>
    </w:p>
    <w:p>
      <w:pPr>
        <w:ind w:firstLine="480"/>
        <w:jc w:val="left"/>
        <w:spacing w:line="360" w:lineRule="auto"/>
        <w:widowControl/>
        <w:tabs>
          <w:tab w:val="left" w:pos="1440"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法定代表人或被授权人身份证复印件：</w:t>
      </w:r>
      <w:r/>
    </w:p>
    <w:p>
      <w:pPr>
        <w:ind w:firstLine="420"/>
        <w:jc w:val="left"/>
        <w:spacing w:line="360" w:lineRule="auto"/>
        <w:widowControl/>
        <w:tabs>
          <w:tab w:val="left" w:pos="1440"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ind w:firstLine="420"/>
        <w:jc w:val="left"/>
        <w:spacing w:line="360" w:lineRule="auto"/>
        <w:widowControl/>
        <w:tabs>
          <w:tab w:val="left" w:pos="1440"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ind w:firstLine="420"/>
        <w:jc w:val="left"/>
        <w:spacing w:line="360" w:lineRule="auto"/>
        <w:widowControl/>
        <w:tabs>
          <w:tab w:val="left" w:pos="1440"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ind w:firstLine="420"/>
        <w:jc w:val="left"/>
        <w:spacing w:line="360" w:lineRule="auto"/>
        <w:widowControl/>
        <w:tabs>
          <w:tab w:val="left" w:pos="1440"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ind w:firstLine="420"/>
        <w:jc w:val="left"/>
        <w:spacing w:line="360" w:lineRule="auto"/>
        <w:widowControl/>
        <w:tabs>
          <w:tab w:val="left" w:pos="1440" w:leader="none"/>
        </w:tabs>
        <w:rPr>
          <w:rFonts w:ascii="宋体" w:hAnsi="宋体" w:cs="宋体"/>
          <w:color w:val="000000"/>
          <w:sz w:val="28"/>
          <w:szCs w:val="28"/>
          <w:highlight w:val="none"/>
        </w:rPr>
      </w:pPr>
      <w:r>
        <w:rPr>
          <w:rFonts w:ascii="宋体" w:hAnsi="宋体" w:cs="宋体"/>
          <w:color w:val="000000"/>
          <w:sz w:val="28"/>
          <w:szCs w:val="28"/>
          <w:highlight w:val="none"/>
        </w:rPr>
      </w:r>
      <w:r/>
    </w:p>
    <w:p>
      <w:pPr>
        <w:jc w:val="left"/>
        <w:spacing w:line="360" w:lineRule="auto"/>
        <w:widowControl/>
        <w:rPr>
          <w:rFonts w:ascii="宋体" w:hAnsi="宋体" w:cs="宋体"/>
          <w:b/>
          <w:color w:val="000000"/>
          <w:sz w:val="28"/>
          <w:szCs w:val="28"/>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sz w:val="28"/>
          <w:szCs w:val="28"/>
          <w:highlight w:val="none"/>
          <w:lang w:val="zh-CN"/>
        </w:rPr>
      </w:r>
      <w:r/>
    </w:p>
    <w:p>
      <w:pPr>
        <w:jc w:val="left"/>
        <w:spacing w:line="360" w:lineRule="auto"/>
        <w:widowControl/>
        <w:rPr>
          <w:rFonts w:ascii="宋体" w:hAnsi="宋体" w:cs="宋体"/>
          <w:b/>
          <w:color w:val="000000"/>
          <w:sz w:val="28"/>
          <w:szCs w:val="28"/>
          <w:highlight w:val="none"/>
          <w:lang w:val="zh-CN"/>
        </w:rPr>
        <w:outlineLvl w:val="1"/>
      </w:pPr>
      <w:r/>
      <w:bookmarkStart w:id="655" w:name="_Toc31413"/>
      <w:r>
        <w:rPr>
          <w:rFonts w:hint="eastAsia" w:ascii="宋体" w:hAnsi="宋体" w:cs="宋体"/>
          <w:b/>
          <w:color w:val="000000"/>
          <w:sz w:val="28"/>
          <w:szCs w:val="28"/>
          <w:highlight w:val="none"/>
        </w:rPr>
        <w:t xml:space="preserve">三</w:t>
      </w:r>
      <w:r>
        <w:rPr>
          <w:rFonts w:hint="eastAsia" w:ascii="宋体" w:hAnsi="宋体" w:cs="宋体"/>
          <w:b/>
          <w:color w:val="000000"/>
          <w:sz w:val="28"/>
          <w:szCs w:val="28"/>
          <w:highlight w:val="none"/>
          <w:lang w:val="zh-CN"/>
        </w:rPr>
        <w:t xml:space="preserve">、开标一览表</w:t>
      </w:r>
      <w:bookmarkEnd w:id="655"/>
      <w:r/>
      <w:r/>
    </w:p>
    <w:p>
      <w:pPr>
        <w:pStyle w:val="1205"/>
        <w:jc w:val="center"/>
        <w:keepLines w:val="0"/>
        <w:keepNext w:val="0"/>
        <w:spacing w:before="0" w:after="0" w:line="360" w:lineRule="auto"/>
        <w:widowControl/>
        <w:rPr>
          <w:color w:val="000000"/>
          <w:highlight w:val="none"/>
        </w:rPr>
        <w:outlineLvl w:val="9"/>
      </w:pPr>
      <w:r>
        <w:rPr>
          <w:rStyle w:val="1297"/>
          <w:b w:val="0"/>
          <w:color w:val="000000"/>
          <w:highlight w:val="none"/>
        </w:rPr>
        <w:t xml:space="preserve">开标一览表（总价）</w:t>
      </w:r>
      <w:r/>
    </w:p>
    <w:p>
      <w:pPr>
        <w:pStyle w:val="1286"/>
        <w:rPr>
          <w:color w:val="000000"/>
          <w:highlight w:val="none"/>
        </w:rPr>
      </w:pPr>
      <w:r>
        <w:rPr>
          <w:rFonts w:hint="eastAsia"/>
          <w:color w:val="000000"/>
          <w:highlight w:val="none"/>
        </w:rPr>
        <w:t xml:space="preserve">供应商</w:t>
      </w:r>
      <w:r>
        <w:rPr>
          <w:color w:val="000000"/>
          <w:highlight w:val="none"/>
        </w:rPr>
        <w:t xml:space="preserve">全称（CA公章）：</w:t>
      </w:r>
      <w:r/>
    </w:p>
    <w:p>
      <w:pPr>
        <w:pStyle w:val="1286"/>
        <w:rPr>
          <w:color w:val="000000"/>
          <w:highlight w:val="none"/>
        </w:rPr>
      </w:pPr>
      <w:r>
        <w:rPr>
          <w:color w:val="000000"/>
          <w:highlight w:val="none"/>
        </w:rPr>
        <w:t xml:space="preserve">项目名称： </w:t>
      </w:r>
      <w:r/>
    </w:p>
    <w:p>
      <w:pPr>
        <w:pStyle w:val="1286"/>
        <w:rPr>
          <w:color w:val="000000"/>
          <w:highlight w:val="none"/>
        </w:rPr>
      </w:pPr>
      <w:r>
        <w:rPr>
          <w:color w:val="000000"/>
          <w:highlight w:val="none"/>
        </w:rPr>
        <w:t xml:space="preserve">项目编号：  </w:t>
      </w:r>
      <w:r/>
    </w:p>
    <w:p>
      <w:pPr>
        <w:pStyle w:val="1286"/>
        <w:rPr>
          <w:color w:val="000000"/>
          <w:highlight w:val="none"/>
        </w:rPr>
      </w:pPr>
      <w:r>
        <w:rPr>
          <w:color w:val="000000"/>
          <w:highlight w:val="none"/>
        </w:rPr>
        <w:t xml:space="preserve">分包号：</w:t>
      </w:r>
      <w:r>
        <w:rPr>
          <w:rFonts w:hint="eastAsia"/>
          <w:color w:val="000000"/>
          <w:highlight w:val="none"/>
        </w:rPr>
        <w:t xml:space="preserve">/</w:t>
      </w:r>
      <w:r/>
    </w:p>
    <w:tbl>
      <w:tblPr>
        <w:tblStyle w:val="8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39"/>
        <w:gridCol w:w="6025"/>
      </w:tblGrid>
      <w:tr>
        <w:trPr/>
        <w:tc>
          <w:tcPr>
            <w:tcW w:w="3139" w:type="dxa"/>
            <w:vAlign w:val="center"/>
            <w:textDirection w:val="lrTb"/>
            <w:noWrap w:val="false"/>
          </w:tcPr>
          <w:p>
            <w:pPr>
              <w:pStyle w:val="1286"/>
              <w:jc w:val="center"/>
              <w:rPr>
                <w:color w:val="000000"/>
                <w:highlight w:val="none"/>
              </w:rPr>
            </w:pPr>
            <w:r>
              <w:rPr>
                <w:color w:val="000000"/>
                <w:highlight w:val="none"/>
              </w:rPr>
              <w:t xml:space="preserve">投标项目名称</w:t>
            </w:r>
            <w:r/>
          </w:p>
        </w:tc>
        <w:tc>
          <w:tcPr>
            <w:tcW w:w="6025" w:type="dxa"/>
            <w:vAlign w:val="center"/>
            <w:textDirection w:val="lrTb"/>
            <w:noWrap w:val="false"/>
          </w:tcPr>
          <w:p>
            <w:pPr>
              <w:pStyle w:val="1286"/>
              <w:jc w:val="center"/>
              <w:rPr>
                <w:color w:val="000000"/>
                <w:highlight w:val="none"/>
              </w:rPr>
            </w:pPr>
            <w:r>
              <w:rPr>
                <w:color w:val="000000"/>
                <w:highlight w:val="none"/>
              </w:rPr>
              <w:t xml:space="preserve">总价（小写）</w:t>
            </w:r>
            <w:r/>
          </w:p>
        </w:tc>
      </w:tr>
      <w:tr>
        <w:trPr/>
        <w:tc>
          <w:tcPr>
            <w:tcW w:w="3139" w:type="dxa"/>
            <w:vAlign w:val="center"/>
            <w:textDirection w:val="lrTb"/>
            <w:noWrap w:val="false"/>
          </w:tcPr>
          <w:p>
            <w:pPr>
              <w:jc w:val="center"/>
              <w:widowControl/>
              <w:rPr>
                <w:color w:val="000000"/>
                <w:highlight w:val="none"/>
              </w:rPr>
            </w:pPr>
            <w:r>
              <w:rPr>
                <w:rFonts w:ascii="宋体" w:hAnsi="宋体" w:cs="宋体"/>
                <w:color w:val="000000"/>
                <w:sz w:val="24"/>
                <w:highlight w:val="none"/>
              </w:rPr>
              <w:t xml:space="preserve"> </w:t>
            </w:r>
            <w:r>
              <w:rPr>
                <w:rFonts w:hint="eastAsia" w:ascii="宋体" w:hAnsi="宋体" w:cs="宋体"/>
                <w:color w:val="000000"/>
                <w:sz w:val="24"/>
                <w:highlight w:val="none"/>
              </w:rPr>
              <w:t xml:space="preserve">2026年江苏省五台山体育中心重大体育设施建设（供电增容）工程</w:t>
            </w:r>
            <w:r>
              <w:rPr>
                <w:rFonts w:ascii="宋体" w:hAnsi="宋体" w:cs="宋体"/>
                <w:color w:val="000000"/>
                <w:sz w:val="24"/>
                <w:highlight w:val="none"/>
              </w:rPr>
              <w:t xml:space="preserve"> </w:t>
            </w:r>
            <w:r/>
          </w:p>
        </w:tc>
        <w:tc>
          <w:tcPr>
            <w:tcW w:w="6025" w:type="dxa"/>
            <w:vAlign w:val="center"/>
            <w:textDirection w:val="lrTb"/>
            <w:noWrap w:val="false"/>
          </w:tcPr>
          <w:p>
            <w:pPr>
              <w:pStyle w:val="1286"/>
              <w:rPr>
                <w:color w:val="000000"/>
                <w:highlight w:val="none"/>
              </w:rPr>
            </w:pPr>
            <w:r>
              <w:rPr>
                <w:color w:val="000000"/>
                <w:highlight w:val="none"/>
              </w:rPr>
              <w:t xml:space="preserve">  元</w:t>
            </w:r>
            <w:r/>
          </w:p>
        </w:tc>
      </w:tr>
    </w:tbl>
    <w:p>
      <w:pPr>
        <w:pStyle w:val="1286"/>
        <w:rPr>
          <w:color w:val="000000"/>
          <w:highlight w:val="none"/>
        </w:rPr>
      </w:pPr>
      <w:r>
        <w:rPr>
          <w:color w:val="000000"/>
          <w:highlight w:val="none"/>
        </w:rPr>
      </w:r>
      <w:r/>
    </w:p>
    <w:p>
      <w:pPr>
        <w:pStyle w:val="1286"/>
        <w:rPr>
          <w:color w:val="000000"/>
          <w:highlight w:val="none"/>
        </w:rPr>
      </w:pPr>
      <w:r>
        <w:rPr>
          <w:color w:val="000000"/>
          <w:highlight w:val="none"/>
        </w:rPr>
        <w:t xml:space="preserve">           年 月 日</w:t>
      </w:r>
      <w:r/>
    </w:p>
    <w:p>
      <w:pPr>
        <w:rPr>
          <w:rFonts w:ascii="宋体" w:cs="宋体"/>
          <w:b/>
          <w:color w:val="000000"/>
          <w:szCs w:val="21"/>
          <w:highlight w:val="none"/>
          <w:lang w:val="zh-CN"/>
        </w:rPr>
      </w:pPr>
      <w:r>
        <w:rPr>
          <w:rFonts w:ascii="宋体" w:cs="宋体"/>
          <w:b/>
          <w:color w:val="000000"/>
          <w:szCs w:val="21"/>
          <w:highlight w:val="none"/>
          <w:lang w:val="zh-CN"/>
        </w:rPr>
        <w:br w:type="page" w:clear="all"/>
      </w:r>
      <w:r/>
    </w:p>
    <w:p>
      <w:pPr>
        <w:rPr>
          <w:rFonts w:ascii="宋体" w:cs="宋体"/>
          <w:b/>
          <w:color w:val="000000"/>
          <w:szCs w:val="21"/>
          <w:highlight w:val="none"/>
          <w:lang w:val="zh-CN"/>
        </w:rPr>
      </w:pPr>
      <w:r>
        <w:rPr>
          <w:rFonts w:ascii="宋体" w:cs="宋体"/>
          <w:b/>
          <w:color w:val="000000"/>
          <w:szCs w:val="21"/>
          <w:highlight w:val="none"/>
          <w:lang w:val="zh-CN"/>
        </w:rPr>
      </w:r>
      <w:r/>
    </w:p>
    <w:p>
      <w:pPr>
        <w:jc w:val="left"/>
        <w:spacing w:line="360" w:lineRule="auto"/>
        <w:rPr>
          <w:rFonts w:ascii="宋体" w:hAnsi="宋体" w:cs="宋体"/>
          <w:b/>
          <w:bCs/>
          <w:color w:val="000000"/>
          <w:sz w:val="28"/>
          <w:szCs w:val="28"/>
          <w:highlight w:val="none"/>
          <w:lang w:val="zh-CN"/>
        </w:rPr>
        <w:outlineLvl w:val="1"/>
      </w:pPr>
      <w:r/>
      <w:bookmarkStart w:id="656" w:name="_Toc11483"/>
      <w:r>
        <w:rPr>
          <w:rFonts w:hint="eastAsia" w:ascii="宋体" w:hAnsi="宋体" w:cs="宋体"/>
          <w:b/>
          <w:color w:val="000000"/>
          <w:sz w:val="28"/>
          <w:szCs w:val="28"/>
          <w:highlight w:val="none"/>
        </w:rPr>
        <w:t xml:space="preserve">四、工程量清单报价表</w:t>
      </w:r>
      <w:bookmarkEnd w:id="656"/>
      <w:r/>
      <w:r/>
    </w:p>
    <w:p>
      <w:pPr>
        <w:rPr>
          <w:rFonts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jc w:val="left"/>
        <w:spacing w:line="360" w:lineRule="auto"/>
        <w:widowControl/>
        <w:rPr>
          <w:rFonts w:ascii="宋体" w:hAnsi="宋体" w:cs="宋体"/>
          <w:b/>
          <w:color w:val="000000"/>
          <w:sz w:val="28"/>
          <w:szCs w:val="28"/>
          <w:highlight w:val="none"/>
          <w:lang w:val="zh-CN"/>
        </w:rPr>
        <w:outlineLvl w:val="1"/>
      </w:pPr>
      <w:r/>
      <w:bookmarkStart w:id="657" w:name="_Toc29901"/>
      <w:r>
        <w:rPr>
          <w:rFonts w:hint="eastAsia" w:ascii="宋体" w:hAnsi="宋体" w:cs="宋体"/>
          <w:b/>
          <w:color w:val="000000"/>
          <w:sz w:val="28"/>
          <w:szCs w:val="28"/>
          <w:highlight w:val="none"/>
        </w:rPr>
        <w:t xml:space="preserve">五</w:t>
      </w:r>
      <w:r>
        <w:rPr>
          <w:rFonts w:hint="eastAsia" w:ascii="宋体" w:hAnsi="宋体" w:cs="宋体"/>
          <w:b/>
          <w:color w:val="000000"/>
          <w:sz w:val="28"/>
          <w:szCs w:val="28"/>
          <w:highlight w:val="none"/>
          <w:lang w:val="zh-CN"/>
        </w:rPr>
        <w:t xml:space="preserve">、技术条款偏离表格式</w:t>
      </w:r>
      <w:bookmarkEnd w:id="657"/>
      <w:r/>
      <w:r/>
    </w:p>
    <w:p>
      <w:pPr>
        <w:jc w:val="center"/>
        <w:widowControl/>
        <w:rPr>
          <w:rFonts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技术条款偏离表</w:t>
      </w:r>
      <w:r/>
    </w:p>
    <w:tbl>
      <w:tblPr>
        <w:tblStyle w:val="873"/>
        <w:tblW w:w="4999" w:type="pct"/>
        <w:jc w:val="center"/>
        <w:tblLayout w:type="autofit"/>
        <w:tblCellMar>
          <w:left w:w="0" w:type="dxa"/>
          <w:top w:w="0" w:type="dxa"/>
          <w:right w:w="0" w:type="dxa"/>
          <w:bottom w:w="0" w:type="dxa"/>
        </w:tblCellMar>
        <w:tblLook w:val="04A0" w:firstRow="1" w:lastRow="0" w:firstColumn="1" w:lastColumn="0" w:noHBand="0" w:noVBand="1"/>
      </w:tblPr>
      <w:tblGrid>
        <w:gridCol w:w="847"/>
        <w:gridCol w:w="2926"/>
        <w:gridCol w:w="3346"/>
        <w:gridCol w:w="1679"/>
        <w:gridCol w:w="849"/>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3689" w:type="pct"/>
            <w:vAlign w:val="center"/>
            <w:textDirection w:val="lrTb"/>
            <w:noWrap/>
          </w:tcPr>
          <w:p>
            <w:pPr>
              <w:jc w:val="lef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1310" w:type="pct"/>
            <w:vAlign w:val="center"/>
            <w:textDirection w:val="lrTb"/>
            <w:noWrap/>
          </w:tcPr>
          <w:p>
            <w:pPr>
              <w:jc w:val="lef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tcPr>
          <w:p>
            <w:pPr>
              <w:jc w:val="center"/>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招标文件条目号</w:t>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widowControl/>
              <w:rPr>
                <w:rFonts w:ascii="宋体" w:hAnsi="宋体" w:cs="宋体"/>
                <w:color w:val="000000"/>
                <w:sz w:val="24"/>
                <w:highlight w:val="none"/>
                <w:lang w:val="zh-CN"/>
              </w:rPr>
            </w:pPr>
            <w:r>
              <w:rPr>
                <w:rFonts w:hint="eastAsia" w:ascii="宋体" w:hAnsi="宋体" w:cs="宋体"/>
                <w:color w:val="000000"/>
                <w:sz w:val="24"/>
                <w:highlight w:val="none"/>
              </w:rPr>
              <w:t xml:space="preserve">技术（</w:t>
            </w:r>
            <w:r>
              <w:rPr>
                <w:rFonts w:hint="eastAsia" w:ascii="宋体" w:hAnsi="宋体" w:cs="宋体"/>
                <w:color w:val="000000"/>
                <w:sz w:val="24"/>
                <w:highlight w:val="none"/>
                <w:lang w:val="zh-CN"/>
              </w:rPr>
              <w:t xml:space="preserve">服务）要求</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jc w:val="center"/>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投标响应</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偏离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tcPr>
          <w:p>
            <w:pPr>
              <w:jc w:val="center"/>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项目实施施工组织设计方案</w:t>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详见招标文件第三章</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tcPr>
          <w:p>
            <w:pPr>
              <w:jc w:val="center"/>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工程量清单报价表</w:t>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详见招标文件附件</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tcPr>
          <w:p>
            <w:pPr>
              <w:jc w:val="center"/>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服务承诺</w:t>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r>
    </w:tbl>
    <w:p>
      <w:pPr>
        <w:jc w:val="left"/>
        <w:spacing w:line="360" w:lineRule="auto"/>
        <w:widowControl/>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zh-CN"/>
        </w:rPr>
        <w:t xml:space="preserve">供应商名称：（盖章）</w:t>
      </w:r>
      <w:r/>
    </w:p>
    <w:p>
      <w:pPr>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rPr>
        <w:t xml:space="preserve">日期：    年    月    日</w:t>
      </w:r>
      <w:r/>
    </w:p>
    <w:p>
      <w:pPr>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说明：</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如果行、列数不够，请自行增加。</w:t>
      </w:r>
      <w:r/>
    </w:p>
    <w:p>
      <w:pPr>
        <w:jc w:val="left"/>
        <w:spacing w:line="360" w:lineRule="auto"/>
        <w:shd w:val="clear" w:color="auto" w:fill="ffffff"/>
        <w:widowControl/>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br w:type="page" w:clear="all"/>
      </w:r>
      <w:r/>
    </w:p>
    <w:p>
      <w:pPr>
        <w:jc w:val="left"/>
        <w:spacing w:line="360" w:lineRule="auto"/>
        <w:shd w:val="clear" w:color="auto" w:fill="ffffff"/>
        <w:widowControl/>
        <w:rPr>
          <w:rFonts w:ascii="宋体" w:hAnsi="宋体" w:cs="宋体"/>
          <w:b/>
          <w:color w:val="000000"/>
          <w:sz w:val="28"/>
          <w:szCs w:val="28"/>
          <w:highlight w:val="none"/>
        </w:rPr>
      </w:pPr>
      <w:r>
        <w:rPr>
          <w:rFonts w:ascii="宋体" w:hAnsi="宋体" w:cs="宋体"/>
          <w:b/>
          <w:color w:val="000000"/>
          <w:sz w:val="28"/>
          <w:szCs w:val="28"/>
          <w:highlight w:val="none"/>
        </w:rPr>
      </w:r>
      <w:r/>
    </w:p>
    <w:p>
      <w:pPr>
        <w:jc w:val="left"/>
        <w:spacing w:line="360" w:lineRule="auto"/>
        <w:shd w:val="clear" w:color="auto" w:fill="ffffff"/>
        <w:widowControl/>
        <w:rPr>
          <w:rFonts w:ascii="宋体" w:hAnsi="宋体" w:cs="宋体"/>
          <w:b/>
          <w:color w:val="000000"/>
          <w:sz w:val="28"/>
          <w:szCs w:val="28"/>
          <w:highlight w:val="none"/>
        </w:rPr>
        <w:outlineLvl w:val="1"/>
      </w:pPr>
      <w:r/>
      <w:bookmarkStart w:id="658" w:name="_Toc7926"/>
      <w:r>
        <w:rPr>
          <w:rFonts w:hint="eastAsia" w:ascii="宋体" w:hAnsi="宋体" w:cs="宋体"/>
          <w:b/>
          <w:color w:val="000000"/>
          <w:sz w:val="28"/>
          <w:szCs w:val="28"/>
          <w:highlight w:val="none"/>
        </w:rPr>
        <w:t xml:space="preserve">六、商务条款偏离表</w:t>
      </w:r>
      <w:bookmarkEnd w:id="658"/>
      <w:r/>
      <w:r/>
    </w:p>
    <w:p>
      <w:pPr>
        <w:ind w:left="420"/>
        <w:jc w:val="center"/>
        <w:shd w:val="clear" w:color="auto" w:fill="ffffff"/>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商务条款偏离表</w:t>
      </w:r>
      <w:r/>
    </w:p>
    <w:tbl>
      <w:tblPr>
        <w:tblStyle w:val="873"/>
        <w:tblW w:w="9621"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864"/>
        <w:gridCol w:w="2069"/>
        <w:gridCol w:w="3681"/>
        <w:gridCol w:w="1806"/>
        <w:gridCol w:w="1201"/>
      </w:tblGrid>
      <w:tr>
        <w:trPr>
          <w:jc w:val="center"/>
          <w:trHeight w:val="454"/>
          <w:tblHeader/>
        </w:trPr>
        <w:tc>
          <w:tcPr>
            <w:gridSpan w:val="3"/>
            <w:tcMar>
              <w:left w:w="10" w:type="dxa"/>
              <w:top w:w="0" w:type="dxa"/>
              <w:right w:w="10" w:type="dxa"/>
              <w:bottom w:w="0" w:type="dxa"/>
            </w:tcMar>
            <w:tcW w:w="6614" w:type="dxa"/>
            <w:vAlign w:val="center"/>
            <w:textDirection w:val="lrTb"/>
            <w:noWrap/>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项目名称：</w:t>
            </w:r>
            <w:r/>
          </w:p>
        </w:tc>
        <w:tc>
          <w:tcPr>
            <w:gridSpan w:val="2"/>
            <w:tcMar>
              <w:left w:w="10" w:type="dxa"/>
              <w:top w:w="0" w:type="dxa"/>
              <w:right w:w="10" w:type="dxa"/>
              <w:bottom w:w="0" w:type="dxa"/>
            </w:tcMar>
            <w:tcW w:w="3007" w:type="dxa"/>
            <w:vAlign w:val="center"/>
            <w:textDirection w:val="lrTb"/>
            <w:noWrap/>
          </w:tcPr>
          <w:p>
            <w:pPr>
              <w:jc w:val="left"/>
              <w:widowControl/>
              <w:rPr>
                <w:rFonts w:ascii="宋体" w:hAnsi="宋体" w:cs="宋体"/>
                <w:color w:val="000000"/>
                <w:sz w:val="24"/>
                <w:highlight w:val="none"/>
              </w:rPr>
            </w:pPr>
            <w:r>
              <w:rPr>
                <w:rFonts w:hint="eastAsia" w:ascii="宋体" w:hAnsi="宋体" w:cs="宋体"/>
                <w:color w:val="000000"/>
                <w:sz w:val="24"/>
                <w:highlight w:val="none"/>
                <w:lang w:val="zh-CN"/>
              </w:rPr>
              <w:t xml:space="preserve">项目编号：</w:t>
            </w:r>
            <w:r/>
          </w:p>
        </w:tc>
      </w:tr>
      <w:tr>
        <w:trPr>
          <w:jc w:val="center"/>
          <w:trHeight w:val="454"/>
        </w:trPr>
        <w:tc>
          <w:tcPr>
            <w:tcMar>
              <w:left w:w="10" w:type="dxa"/>
              <w:top w:w="0" w:type="dxa"/>
              <w:right w:w="10" w:type="dxa"/>
              <w:bottom w:w="0" w:type="dxa"/>
            </w:tcMar>
            <w:tcW w:w="864" w:type="dxa"/>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Mar>
              <w:left w:w="10" w:type="dxa"/>
              <w:top w:w="0" w:type="dxa"/>
              <w:right w:w="10" w:type="dxa"/>
              <w:bottom w:w="0" w:type="dxa"/>
            </w:tcMar>
            <w:tcW w:w="2069" w:type="dxa"/>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招标文件条目号</w:t>
            </w:r>
            <w:r/>
          </w:p>
        </w:tc>
        <w:tc>
          <w:tcPr>
            <w:tcMar>
              <w:left w:w="10" w:type="dxa"/>
              <w:top w:w="0" w:type="dxa"/>
              <w:right w:w="10" w:type="dxa"/>
              <w:bottom w:w="0" w:type="dxa"/>
            </w:tcMar>
            <w:tcW w:w="3681" w:type="dxa"/>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招标文件要求的商务条款</w:t>
            </w:r>
            <w:r/>
          </w:p>
        </w:tc>
        <w:tc>
          <w:tcPr>
            <w:tcMar>
              <w:left w:w="10" w:type="dxa"/>
              <w:top w:w="0" w:type="dxa"/>
              <w:right w:w="10" w:type="dxa"/>
              <w:bottom w:w="0" w:type="dxa"/>
            </w:tcMar>
            <w:tcW w:w="1806" w:type="dxa"/>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投标响应</w:t>
            </w:r>
            <w:r/>
          </w:p>
        </w:tc>
        <w:tc>
          <w:tcPr>
            <w:tcMar>
              <w:left w:w="10" w:type="dxa"/>
              <w:top w:w="0" w:type="dxa"/>
              <w:right w:w="10" w:type="dxa"/>
              <w:bottom w:w="0" w:type="dxa"/>
            </w:tcMar>
            <w:tcW w:w="1201" w:type="dxa"/>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偏离</w:t>
            </w:r>
            <w:r/>
          </w:p>
        </w:tc>
      </w:tr>
      <w:tr>
        <w:trPr>
          <w:jc w:val="center"/>
          <w:trHeight w:val="454"/>
        </w:trPr>
        <w:tc>
          <w:tcPr>
            <w:tcMar>
              <w:left w:w="10" w:type="dxa"/>
              <w:top w:w="0" w:type="dxa"/>
              <w:right w:w="10" w:type="dxa"/>
              <w:bottom w:w="0" w:type="dxa"/>
            </w:tcMar>
            <w:tcW w:w="864"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Mar>
              <w:left w:w="10" w:type="dxa"/>
              <w:top w:w="0" w:type="dxa"/>
              <w:right w:w="10" w:type="dxa"/>
              <w:bottom w:w="0" w:type="dxa"/>
            </w:tcMar>
            <w:tcW w:w="2069"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投标函</w:t>
            </w:r>
            <w:r/>
          </w:p>
        </w:tc>
        <w:tc>
          <w:tcPr>
            <w:tcMar>
              <w:left w:w="10" w:type="dxa"/>
              <w:top w:w="0" w:type="dxa"/>
              <w:right w:w="10" w:type="dxa"/>
              <w:bottom w:w="0" w:type="dxa"/>
            </w:tcMar>
            <w:tcW w:w="3681"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投标申请及声明</w:t>
            </w:r>
            <w:r/>
          </w:p>
        </w:tc>
        <w:tc>
          <w:tcPr>
            <w:tcMar>
              <w:left w:w="10" w:type="dxa"/>
              <w:top w:w="0" w:type="dxa"/>
              <w:right w:w="10" w:type="dxa"/>
              <w:bottom w:w="0" w:type="dxa"/>
            </w:tcMar>
            <w:tcW w:w="1806" w:type="dxa"/>
            <w:vAlign w:val="center"/>
            <w:textDirection w:val="lrTb"/>
            <w:noWrap/>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Mar>
              <w:left w:w="10" w:type="dxa"/>
              <w:top w:w="0" w:type="dxa"/>
              <w:right w:w="10" w:type="dxa"/>
              <w:bottom w:w="0" w:type="dxa"/>
            </w:tcMar>
            <w:tcW w:w="1201" w:type="dxa"/>
            <w:vAlign w:val="center"/>
            <w:textDirection w:val="lrTb"/>
            <w:noWrap/>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54"/>
        </w:trPr>
        <w:tc>
          <w:tcPr>
            <w:tcMar>
              <w:left w:w="10" w:type="dxa"/>
              <w:top w:w="0" w:type="dxa"/>
              <w:right w:w="10" w:type="dxa"/>
              <w:bottom w:w="0" w:type="dxa"/>
            </w:tcMar>
            <w:tcW w:w="864"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Mar>
              <w:left w:w="10" w:type="dxa"/>
              <w:top w:w="0" w:type="dxa"/>
              <w:right w:w="10" w:type="dxa"/>
              <w:bottom w:w="0" w:type="dxa"/>
            </w:tcMar>
            <w:tcW w:w="2069"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授权委托书</w:t>
            </w:r>
            <w:r/>
          </w:p>
        </w:tc>
        <w:tc>
          <w:tcPr>
            <w:tcMar>
              <w:left w:w="10" w:type="dxa"/>
              <w:top w:w="0" w:type="dxa"/>
              <w:right w:w="10" w:type="dxa"/>
              <w:bottom w:w="0" w:type="dxa"/>
            </w:tcMar>
            <w:tcW w:w="3681"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法定代表人授权委托书及授权委托人的身份证复印件（有授权委托的），或法定代表人身份证复印件（无授权委托的）</w:t>
            </w:r>
            <w:r/>
          </w:p>
        </w:tc>
        <w:tc>
          <w:tcPr>
            <w:tcMar>
              <w:left w:w="10" w:type="dxa"/>
              <w:top w:w="0" w:type="dxa"/>
              <w:right w:w="10" w:type="dxa"/>
              <w:bottom w:w="0" w:type="dxa"/>
            </w:tcMar>
            <w:tcW w:w="1806" w:type="dxa"/>
            <w:vAlign w:val="center"/>
            <w:textDirection w:val="lrTb"/>
            <w:noWrap/>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Mar>
              <w:left w:w="10" w:type="dxa"/>
              <w:top w:w="0" w:type="dxa"/>
              <w:right w:w="10" w:type="dxa"/>
              <w:bottom w:w="0" w:type="dxa"/>
            </w:tcMar>
            <w:tcW w:w="1201" w:type="dxa"/>
            <w:vAlign w:val="center"/>
            <w:textDirection w:val="lrTb"/>
            <w:noWrap/>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54"/>
        </w:trPr>
        <w:tc>
          <w:tcPr>
            <w:tcMar>
              <w:left w:w="10" w:type="dxa"/>
              <w:top w:w="0" w:type="dxa"/>
              <w:right w:w="10" w:type="dxa"/>
              <w:bottom w:w="0" w:type="dxa"/>
            </w:tcMar>
            <w:tcW w:w="864"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Mar>
              <w:left w:w="10" w:type="dxa"/>
              <w:top w:w="0" w:type="dxa"/>
              <w:right w:w="10" w:type="dxa"/>
              <w:bottom w:w="0" w:type="dxa"/>
            </w:tcMar>
            <w:tcW w:w="2069"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第一章招标公告中二、申请人的资格要求</w:t>
            </w:r>
            <w:r/>
          </w:p>
        </w:tc>
        <w:tc>
          <w:tcPr>
            <w:tcMar>
              <w:left w:w="10" w:type="dxa"/>
              <w:top w:w="0" w:type="dxa"/>
              <w:right w:w="10" w:type="dxa"/>
              <w:bottom w:w="0" w:type="dxa"/>
            </w:tcMar>
            <w:tcW w:w="3681"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《中华人民共和国政府采购法》规定的资格条件证明文件</w:t>
            </w:r>
            <w:r/>
          </w:p>
        </w:tc>
        <w:tc>
          <w:tcPr>
            <w:tcMar>
              <w:left w:w="10" w:type="dxa"/>
              <w:top w:w="0" w:type="dxa"/>
              <w:right w:w="10" w:type="dxa"/>
              <w:bottom w:w="0" w:type="dxa"/>
            </w:tcMar>
            <w:tcW w:w="1806" w:type="dxa"/>
            <w:vAlign w:val="center"/>
            <w:textDirection w:val="lrTb"/>
            <w:noWrap/>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Mar>
              <w:left w:w="10" w:type="dxa"/>
              <w:top w:w="0" w:type="dxa"/>
              <w:right w:w="10" w:type="dxa"/>
              <w:bottom w:w="0" w:type="dxa"/>
            </w:tcMar>
            <w:tcW w:w="1201" w:type="dxa"/>
            <w:vAlign w:val="center"/>
            <w:textDirection w:val="lrTb"/>
            <w:noWrap/>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54"/>
        </w:trPr>
        <w:tc>
          <w:tcPr>
            <w:tcMar>
              <w:left w:w="10" w:type="dxa"/>
              <w:top w:w="0" w:type="dxa"/>
              <w:right w:w="10" w:type="dxa"/>
              <w:bottom w:w="0" w:type="dxa"/>
            </w:tcMar>
            <w:tcW w:w="864"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Mar>
              <w:left w:w="10" w:type="dxa"/>
              <w:top w:w="0" w:type="dxa"/>
              <w:right w:w="10" w:type="dxa"/>
              <w:bottom w:w="0" w:type="dxa"/>
            </w:tcMar>
            <w:tcW w:w="2069"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第一章招标公告中二、申请人的资格要求</w:t>
            </w:r>
            <w:r/>
          </w:p>
        </w:tc>
        <w:tc>
          <w:tcPr>
            <w:tcMar>
              <w:left w:w="10" w:type="dxa"/>
              <w:top w:w="0" w:type="dxa"/>
              <w:right w:w="10" w:type="dxa"/>
              <w:bottom w:w="0" w:type="dxa"/>
            </w:tcMar>
            <w:tcW w:w="3681"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采购人根据采购项目的特殊要求规定的特定条件证明文件</w:t>
            </w:r>
            <w:r/>
          </w:p>
        </w:tc>
        <w:tc>
          <w:tcPr>
            <w:tcMar>
              <w:left w:w="10" w:type="dxa"/>
              <w:top w:w="0" w:type="dxa"/>
              <w:right w:w="10" w:type="dxa"/>
              <w:bottom w:w="0" w:type="dxa"/>
            </w:tcMar>
            <w:tcW w:w="1806" w:type="dxa"/>
            <w:vAlign w:val="center"/>
            <w:textDirection w:val="lrTb"/>
            <w:noWrap/>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Mar>
              <w:left w:w="10" w:type="dxa"/>
              <w:top w:w="0" w:type="dxa"/>
              <w:right w:w="10" w:type="dxa"/>
              <w:bottom w:w="0" w:type="dxa"/>
            </w:tcMar>
            <w:tcW w:w="1201" w:type="dxa"/>
            <w:vAlign w:val="center"/>
            <w:textDirection w:val="lrTb"/>
            <w:noWrap/>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54"/>
        </w:trPr>
        <w:tc>
          <w:tcPr>
            <w:tcMar>
              <w:left w:w="10" w:type="dxa"/>
              <w:top w:w="0" w:type="dxa"/>
              <w:right w:w="10" w:type="dxa"/>
              <w:bottom w:w="0" w:type="dxa"/>
            </w:tcMar>
            <w:tcW w:w="864"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Mar>
              <w:left w:w="10" w:type="dxa"/>
              <w:top w:w="0" w:type="dxa"/>
              <w:right w:w="10" w:type="dxa"/>
              <w:bottom w:w="0" w:type="dxa"/>
            </w:tcMar>
            <w:tcW w:w="2069"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拟投入本项目品牌</w:t>
            </w:r>
            <w:r/>
          </w:p>
        </w:tc>
        <w:tc>
          <w:tcPr>
            <w:tcMar>
              <w:left w:w="10" w:type="dxa"/>
              <w:top w:w="0" w:type="dxa"/>
              <w:right w:w="10" w:type="dxa"/>
              <w:bottom w:w="0" w:type="dxa"/>
            </w:tcMar>
            <w:tcW w:w="3681"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详见招标文件采购需求</w:t>
            </w:r>
            <w:r/>
          </w:p>
        </w:tc>
        <w:tc>
          <w:tcPr>
            <w:tcMar>
              <w:left w:w="10" w:type="dxa"/>
              <w:top w:w="0" w:type="dxa"/>
              <w:right w:w="10" w:type="dxa"/>
              <w:bottom w:w="0" w:type="dxa"/>
            </w:tcMar>
            <w:tcW w:w="1806" w:type="dxa"/>
            <w:vAlign w:val="center"/>
            <w:textDirection w:val="lrTb"/>
            <w:noWrap/>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Mar>
              <w:left w:w="10" w:type="dxa"/>
              <w:top w:w="0" w:type="dxa"/>
              <w:right w:w="10" w:type="dxa"/>
              <w:bottom w:w="0" w:type="dxa"/>
            </w:tcMar>
            <w:tcW w:w="1201" w:type="dxa"/>
            <w:vAlign w:val="center"/>
            <w:textDirection w:val="lrTb"/>
            <w:noWrap/>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bl>
    <w:p>
      <w:pPr>
        <w:jc w:val="left"/>
        <w:spacing w:line="360" w:lineRule="auto"/>
        <w:widowControl/>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zh-CN"/>
        </w:rPr>
        <w:t xml:space="preserve">供应商名称：（盖章）</w:t>
      </w:r>
      <w:r/>
    </w:p>
    <w:p>
      <w:pPr>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rPr>
        <w:t xml:space="preserve">日期：    年    月    日</w:t>
      </w:r>
      <w:r/>
    </w:p>
    <w:p>
      <w:pPr>
        <w:jc w:val="left"/>
        <w:spacing w:line="360" w:lineRule="auto"/>
        <w:widowControl/>
        <w:rPr>
          <w:rFonts w:ascii="宋体" w:hAnsi="宋体" w:cs="宋体"/>
          <w:b/>
          <w:bCs/>
          <w:color w:val="000000"/>
          <w:sz w:val="28"/>
          <w:szCs w:val="28"/>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color w:val="000000"/>
          <w:sz w:val="24"/>
          <w:highlight w:val="none"/>
          <w:lang w:val="zh-CN"/>
        </w:rPr>
        <w:t xml:space="preserve">说明：</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如果行、列数不够，请自行增加。</w:t>
      </w:r>
      <w:r/>
    </w:p>
    <w:p>
      <w:pPr>
        <w:jc w:val="left"/>
        <w:spacing w:line="360" w:lineRule="auto"/>
        <w:shd w:val="clear" w:color="auto" w:fill="ffffff"/>
        <w:widowControl/>
        <w:rPr>
          <w:rFonts w:ascii="宋体" w:hAnsi="宋体" w:cs="宋体"/>
          <w:b/>
          <w:bCs/>
          <w:color w:val="000000"/>
          <w:sz w:val="28"/>
          <w:szCs w:val="28"/>
          <w:highlight w:val="none"/>
        </w:rPr>
        <w:outlineLvl w:val="1"/>
      </w:pPr>
      <w:r/>
      <w:bookmarkStart w:id="659" w:name="_Toc751"/>
      <w:r>
        <w:rPr>
          <w:rFonts w:hint="eastAsia" w:ascii="宋体" w:hAnsi="宋体" w:cs="宋体"/>
          <w:b/>
          <w:bCs/>
          <w:color w:val="000000"/>
          <w:sz w:val="28"/>
          <w:szCs w:val="28"/>
          <w:highlight w:val="none"/>
        </w:rPr>
        <w:t xml:space="preserve">七、项目实施施工组织方案</w:t>
      </w:r>
      <w:bookmarkEnd w:id="659"/>
      <w:r/>
      <w:r/>
    </w:p>
    <w:p>
      <w:pPr>
        <w:jc w:val="left"/>
        <w:spacing w:line="360" w:lineRule="auto"/>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r>
      <w:r/>
    </w:p>
    <w:p>
      <w:pPr>
        <w:jc w:val="left"/>
        <w:spacing w:line="360" w:lineRule="auto"/>
        <w:shd w:val="clear" w:color="auto" w:fill="ffffff"/>
        <w:widowControl/>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1016"/>
        <w:rPr>
          <w:rFonts w:ascii="宋体" w:hAnsi="宋体" w:eastAsia="宋体" w:cs="宋体"/>
          <w:b/>
          <w:bCs/>
          <w:color w:val="000000"/>
          <w:sz w:val="28"/>
          <w:szCs w:val="28"/>
          <w:highlight w:val="none"/>
        </w:rPr>
      </w:pPr>
      <w:r/>
      <w:bookmarkStart w:id="660" w:name="_Toc13917"/>
      <w:r>
        <w:rPr>
          <w:rFonts w:hint="eastAsia" w:ascii="宋体" w:hAnsi="宋体" w:eastAsia="宋体" w:cs="宋体"/>
          <w:b/>
          <w:bCs/>
          <w:color w:val="000000"/>
          <w:sz w:val="28"/>
          <w:szCs w:val="28"/>
          <w:highlight w:val="none"/>
        </w:rPr>
        <w:t xml:space="preserve">八、服务与承诺</w:t>
      </w:r>
      <w:bookmarkEnd w:id="660"/>
      <w:r/>
      <w:r/>
    </w:p>
    <w:p>
      <w:pPr>
        <w:rPr>
          <w:color w:val="000000"/>
          <w:highlight w:val="none"/>
        </w:rPr>
      </w:pPr>
      <w:r>
        <w:rPr>
          <w:color w:val="000000"/>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br w:type="page" w:clear="all"/>
      </w:r>
      <w:r/>
    </w:p>
    <w:p>
      <w:pPr>
        <w:spacing w:line="360" w:lineRule="auto"/>
        <w:rPr>
          <w:rFonts w:ascii="宋体" w:hAnsi="宋体" w:cs="宋体"/>
          <w:b/>
          <w:color w:val="000000"/>
          <w:sz w:val="28"/>
          <w:szCs w:val="28"/>
          <w:highlight w:val="none"/>
        </w:rPr>
        <w:outlineLvl w:val="1"/>
      </w:pPr>
      <w:r/>
      <w:bookmarkStart w:id="661" w:name="_Toc10739"/>
      <w:r>
        <w:rPr>
          <w:rFonts w:hint="eastAsia" w:ascii="宋体" w:hAnsi="宋体" w:cs="宋体"/>
          <w:b/>
          <w:color w:val="000000"/>
          <w:sz w:val="28"/>
          <w:szCs w:val="28"/>
          <w:highlight w:val="none"/>
        </w:rPr>
        <w:t xml:space="preserve">九、供应商类似业绩情况表</w:t>
      </w:r>
      <w:bookmarkEnd w:id="661"/>
      <w:r/>
      <w:r/>
    </w:p>
    <w:p>
      <w:pPr>
        <w:jc w:val="center"/>
        <w:spacing w:line="360" w:lineRule="auto"/>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供应商类似业绩情况表</w:t>
      </w:r>
      <w:r/>
    </w:p>
    <w:tbl>
      <w:tblPr>
        <w:tblStyle w:val="87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1762"/>
        <w:gridCol w:w="1401"/>
        <w:gridCol w:w="2121"/>
        <w:gridCol w:w="2481"/>
        <w:gridCol w:w="1043"/>
      </w:tblGrid>
      <w:tr>
        <w:trPr>
          <w:jc w:val="center"/>
          <w:trHeight w:val="737"/>
        </w:trPr>
        <w:tc>
          <w:tcPr>
            <w:tcW w:w="529" w:type="pct"/>
            <w:vAlign w:val="center"/>
            <w:textDirection w:val="lrTb"/>
            <w:noWrap/>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894" w:type="pct"/>
            <w:vAlign w:val="center"/>
            <w:textDirection w:val="lrTb"/>
            <w:noWrap/>
          </w:tcPr>
          <w:p>
            <w:pPr>
              <w:jc w:val="center"/>
              <w:rPr>
                <w:rFonts w:ascii="宋体" w:hAnsi="宋体" w:cs="宋体"/>
                <w:color w:val="000000"/>
                <w:sz w:val="24"/>
                <w:highlight w:val="none"/>
              </w:rPr>
            </w:pPr>
            <w:r>
              <w:rPr>
                <w:rFonts w:hint="eastAsia" w:ascii="宋体" w:hAnsi="宋体" w:cs="宋体"/>
                <w:color w:val="000000"/>
                <w:sz w:val="24"/>
                <w:highlight w:val="none"/>
              </w:rPr>
              <w:t xml:space="preserve">项目名称</w:t>
            </w:r>
            <w:r/>
          </w:p>
        </w:tc>
        <w:tc>
          <w:tcPr>
            <w:tcW w:w="711" w:type="pct"/>
            <w:vAlign w:val="center"/>
            <w:textDirection w:val="lrTb"/>
            <w:noWrap/>
          </w:tcPr>
          <w:p>
            <w:pPr>
              <w:jc w:val="center"/>
              <w:rPr>
                <w:rFonts w:ascii="宋体" w:hAnsi="宋体" w:cs="宋体"/>
                <w:color w:val="000000"/>
                <w:sz w:val="24"/>
                <w:highlight w:val="none"/>
              </w:rPr>
            </w:pPr>
            <w:r>
              <w:rPr>
                <w:rFonts w:hint="eastAsia" w:ascii="宋体" w:hAnsi="宋体" w:cs="宋体"/>
                <w:color w:val="000000"/>
                <w:sz w:val="24"/>
                <w:highlight w:val="none"/>
              </w:rPr>
              <w:t xml:space="preserve">业主方</w:t>
            </w:r>
            <w:r/>
          </w:p>
        </w:tc>
        <w:tc>
          <w:tcPr>
            <w:tcW w:w="1076" w:type="pct"/>
            <w:vAlign w:val="center"/>
            <w:textDirection w:val="lrTb"/>
            <w:noWrap/>
          </w:tcPr>
          <w:p>
            <w:pPr>
              <w:jc w:val="center"/>
              <w:rPr>
                <w:rFonts w:ascii="宋体" w:hAnsi="宋体" w:cs="宋体"/>
                <w:color w:val="000000"/>
                <w:sz w:val="24"/>
                <w:highlight w:val="none"/>
              </w:rPr>
            </w:pPr>
            <w:r>
              <w:rPr>
                <w:rFonts w:hint="eastAsia" w:ascii="宋体" w:hAnsi="宋体" w:cs="宋体"/>
                <w:color w:val="000000"/>
                <w:sz w:val="24"/>
                <w:highlight w:val="none"/>
              </w:rPr>
              <w:t xml:space="preserve">签约及服务</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时间</w:t>
            </w:r>
            <w:r/>
          </w:p>
        </w:tc>
        <w:tc>
          <w:tcPr>
            <w:tcW w:w="1259" w:type="pct"/>
            <w:vAlign w:val="center"/>
            <w:textDirection w:val="lrTb"/>
            <w:noWrap/>
          </w:tcPr>
          <w:p>
            <w:pPr>
              <w:jc w:val="center"/>
              <w:rPr>
                <w:rFonts w:ascii="宋体" w:hAnsi="宋体" w:cs="宋体"/>
                <w:color w:val="000000"/>
                <w:sz w:val="24"/>
                <w:highlight w:val="none"/>
              </w:rPr>
            </w:pPr>
            <w:r>
              <w:rPr>
                <w:rFonts w:hint="eastAsia" w:ascii="宋体" w:hAnsi="宋体" w:cs="宋体"/>
                <w:color w:val="000000"/>
                <w:sz w:val="24"/>
                <w:highlight w:val="none"/>
              </w:rPr>
              <w:t xml:space="preserve">联系人及电话</w:t>
            </w:r>
            <w:r/>
          </w:p>
        </w:tc>
        <w:tc>
          <w:tcPr>
            <w:tcW w:w="529" w:type="pct"/>
            <w:vAlign w:val="center"/>
            <w:textDirection w:val="lrTb"/>
            <w:noWrap/>
          </w:tcPr>
          <w:p>
            <w:pPr>
              <w:jc w:val="center"/>
              <w:rPr>
                <w:rFonts w:ascii="宋体" w:hAnsi="宋体" w:cs="宋体"/>
                <w:color w:val="000000"/>
                <w:sz w:val="24"/>
                <w:highlight w:val="none"/>
              </w:rPr>
            </w:pPr>
            <w:r>
              <w:rPr>
                <w:rFonts w:hint="eastAsia" w:ascii="宋体" w:hAnsi="宋体" w:cs="宋体"/>
                <w:color w:val="000000"/>
                <w:sz w:val="24"/>
                <w:highlight w:val="none"/>
              </w:rPr>
              <w:t xml:space="preserve">备注</w:t>
            </w:r>
            <w:r/>
          </w:p>
        </w:tc>
      </w:tr>
      <w:tr>
        <w:trPr>
          <w:jc w:val="center"/>
          <w:trHeight w:val="737"/>
        </w:trPr>
        <w:tc>
          <w:tcPr>
            <w:tcW w:w="529" w:type="pct"/>
            <w:vAlign w:val="center"/>
            <w:textDirection w:val="lrTb"/>
            <w:noWrap/>
          </w:tcPr>
          <w:p>
            <w:pPr>
              <w:jc w:val="left"/>
              <w:rPr>
                <w:rFonts w:ascii="宋体" w:hAnsi="宋体" w:cs="宋体"/>
                <w:color w:val="000000"/>
                <w:sz w:val="28"/>
                <w:szCs w:val="28"/>
                <w:highlight w:val="none"/>
              </w:rPr>
            </w:pPr>
            <w:r>
              <w:rPr>
                <w:rFonts w:ascii="宋体" w:hAnsi="宋体" w:cs="宋体"/>
                <w:color w:val="000000"/>
                <w:sz w:val="28"/>
                <w:szCs w:val="28"/>
                <w:highlight w:val="none"/>
              </w:rPr>
            </w:r>
            <w:r/>
          </w:p>
        </w:tc>
        <w:tc>
          <w:tcPr>
            <w:tcW w:w="894" w:type="pct"/>
            <w:vAlign w:val="center"/>
            <w:textDirection w:val="lrTb"/>
            <w:noWrap/>
          </w:tcPr>
          <w:p>
            <w:pPr>
              <w:jc w:val="left"/>
              <w:rPr>
                <w:rFonts w:ascii="宋体" w:hAnsi="宋体" w:cs="宋体"/>
                <w:color w:val="000000"/>
                <w:sz w:val="28"/>
                <w:szCs w:val="28"/>
                <w:highlight w:val="none"/>
              </w:rPr>
            </w:pPr>
            <w:r>
              <w:rPr>
                <w:rFonts w:ascii="宋体" w:hAnsi="宋体" w:cs="宋体"/>
                <w:color w:val="000000"/>
                <w:sz w:val="28"/>
                <w:szCs w:val="28"/>
                <w:highlight w:val="none"/>
              </w:rPr>
            </w:r>
            <w:r/>
          </w:p>
        </w:tc>
        <w:tc>
          <w:tcPr>
            <w:tcW w:w="711" w:type="pct"/>
            <w:vAlign w:val="center"/>
            <w:textDirection w:val="lrTb"/>
            <w:noWrap/>
          </w:tcPr>
          <w:p>
            <w:pPr>
              <w:ind w:firstLine="140"/>
              <w:jc w:val="left"/>
              <w:rPr>
                <w:rFonts w:ascii="宋体" w:hAnsi="宋体" w:cs="宋体"/>
                <w:color w:val="000000"/>
                <w:sz w:val="28"/>
                <w:szCs w:val="28"/>
                <w:highlight w:val="none"/>
              </w:rPr>
            </w:pPr>
            <w:r>
              <w:rPr>
                <w:rFonts w:ascii="宋体" w:hAnsi="宋体" w:cs="宋体"/>
                <w:color w:val="000000"/>
                <w:sz w:val="28"/>
                <w:szCs w:val="28"/>
                <w:highlight w:val="none"/>
              </w:rPr>
            </w:r>
            <w:r/>
          </w:p>
        </w:tc>
        <w:tc>
          <w:tcPr>
            <w:tcW w:w="1076" w:type="pct"/>
            <w:vAlign w:val="center"/>
            <w:textDirection w:val="lrTb"/>
            <w:noWrap/>
          </w:tcPr>
          <w:p>
            <w:pPr>
              <w:jc w:val="left"/>
              <w:rPr>
                <w:rFonts w:ascii="宋体" w:hAnsi="宋体" w:cs="宋体"/>
                <w:color w:val="000000"/>
                <w:sz w:val="28"/>
                <w:szCs w:val="28"/>
                <w:highlight w:val="none"/>
              </w:rPr>
            </w:pPr>
            <w:r>
              <w:rPr>
                <w:rFonts w:ascii="宋体" w:hAnsi="宋体" w:cs="宋体"/>
                <w:color w:val="000000"/>
                <w:sz w:val="28"/>
                <w:szCs w:val="28"/>
                <w:highlight w:val="none"/>
              </w:rPr>
            </w:r>
            <w:r/>
          </w:p>
        </w:tc>
        <w:tc>
          <w:tcPr>
            <w:tcW w:w="1259" w:type="pct"/>
            <w:vAlign w:val="center"/>
            <w:textDirection w:val="lrTb"/>
            <w:noWrap/>
          </w:tcPr>
          <w:p>
            <w:pPr>
              <w:jc w:val="left"/>
              <w:rPr>
                <w:rFonts w:ascii="宋体" w:hAnsi="宋体" w:cs="宋体"/>
                <w:color w:val="000000"/>
                <w:sz w:val="28"/>
                <w:szCs w:val="28"/>
                <w:highlight w:val="none"/>
              </w:rPr>
            </w:pPr>
            <w:r>
              <w:rPr>
                <w:rFonts w:ascii="宋体" w:hAnsi="宋体" w:cs="宋体"/>
                <w:color w:val="000000"/>
                <w:sz w:val="28"/>
                <w:szCs w:val="28"/>
                <w:highlight w:val="none"/>
              </w:rPr>
            </w:r>
            <w:r/>
          </w:p>
        </w:tc>
        <w:tc>
          <w:tcPr>
            <w:tcW w:w="529" w:type="pct"/>
            <w:vAlign w:val="center"/>
            <w:textDirection w:val="lrTb"/>
            <w:noWrap/>
          </w:tcPr>
          <w:p>
            <w:pPr>
              <w:jc w:val="left"/>
              <w:rPr>
                <w:rFonts w:ascii="宋体" w:hAnsi="宋体" w:cs="宋体"/>
                <w:color w:val="000000"/>
                <w:sz w:val="28"/>
                <w:szCs w:val="28"/>
                <w:highlight w:val="none"/>
              </w:rPr>
            </w:pPr>
            <w:r>
              <w:rPr>
                <w:rFonts w:ascii="宋体" w:hAnsi="宋体" w:cs="宋体"/>
                <w:color w:val="000000"/>
                <w:sz w:val="28"/>
                <w:szCs w:val="28"/>
                <w:highlight w:val="none"/>
              </w:rPr>
            </w:r>
            <w:r/>
          </w:p>
        </w:tc>
      </w:tr>
      <w:tr>
        <w:trPr>
          <w:jc w:val="center"/>
          <w:trHeight w:val="737"/>
        </w:trPr>
        <w:tc>
          <w:tcPr>
            <w:tcW w:w="529" w:type="pct"/>
            <w:vAlign w:val="center"/>
            <w:textDirection w:val="lrTb"/>
            <w:noWrap/>
          </w:tcPr>
          <w:p>
            <w:pPr>
              <w:jc w:val="left"/>
              <w:rPr>
                <w:rFonts w:ascii="宋体" w:hAnsi="宋体" w:cs="宋体"/>
                <w:color w:val="000000"/>
                <w:sz w:val="28"/>
                <w:szCs w:val="28"/>
                <w:highlight w:val="none"/>
              </w:rPr>
            </w:pPr>
            <w:r>
              <w:rPr>
                <w:rFonts w:ascii="宋体" w:hAnsi="宋体" w:cs="宋体"/>
                <w:color w:val="000000"/>
                <w:sz w:val="28"/>
                <w:szCs w:val="28"/>
                <w:highlight w:val="none"/>
              </w:rPr>
            </w:r>
            <w:r/>
          </w:p>
        </w:tc>
        <w:tc>
          <w:tcPr>
            <w:tcW w:w="894" w:type="pct"/>
            <w:vAlign w:val="center"/>
            <w:textDirection w:val="lrTb"/>
            <w:noWrap/>
          </w:tcPr>
          <w:p>
            <w:pPr>
              <w:jc w:val="left"/>
              <w:rPr>
                <w:rFonts w:ascii="宋体" w:hAnsi="宋体" w:cs="宋体"/>
                <w:color w:val="000000"/>
                <w:sz w:val="28"/>
                <w:szCs w:val="28"/>
                <w:highlight w:val="none"/>
              </w:rPr>
            </w:pPr>
            <w:r>
              <w:rPr>
                <w:rFonts w:ascii="宋体" w:hAnsi="宋体" w:cs="宋体"/>
                <w:color w:val="000000"/>
                <w:sz w:val="28"/>
                <w:szCs w:val="28"/>
                <w:highlight w:val="none"/>
              </w:rPr>
            </w:r>
            <w:r/>
          </w:p>
        </w:tc>
        <w:tc>
          <w:tcPr>
            <w:tcW w:w="711" w:type="pct"/>
            <w:vAlign w:val="center"/>
            <w:textDirection w:val="lrTb"/>
            <w:noWrap/>
          </w:tcPr>
          <w:p>
            <w:pPr>
              <w:jc w:val="left"/>
              <w:rPr>
                <w:rFonts w:ascii="宋体" w:hAnsi="宋体" w:cs="宋体"/>
                <w:color w:val="000000"/>
                <w:sz w:val="28"/>
                <w:szCs w:val="28"/>
                <w:highlight w:val="none"/>
              </w:rPr>
            </w:pPr>
            <w:r>
              <w:rPr>
                <w:rFonts w:ascii="宋体" w:hAnsi="宋体" w:cs="宋体"/>
                <w:color w:val="000000"/>
                <w:sz w:val="28"/>
                <w:szCs w:val="28"/>
                <w:highlight w:val="none"/>
              </w:rPr>
            </w:r>
            <w:r/>
          </w:p>
        </w:tc>
        <w:tc>
          <w:tcPr>
            <w:tcW w:w="1076" w:type="pct"/>
            <w:vAlign w:val="center"/>
            <w:textDirection w:val="lrTb"/>
            <w:noWrap/>
          </w:tcPr>
          <w:p>
            <w:pPr>
              <w:jc w:val="left"/>
              <w:rPr>
                <w:rFonts w:ascii="宋体" w:hAnsi="宋体" w:cs="宋体"/>
                <w:color w:val="000000"/>
                <w:sz w:val="28"/>
                <w:szCs w:val="28"/>
                <w:highlight w:val="none"/>
              </w:rPr>
            </w:pPr>
            <w:r>
              <w:rPr>
                <w:rFonts w:ascii="宋体" w:hAnsi="宋体" w:cs="宋体"/>
                <w:color w:val="000000"/>
                <w:sz w:val="28"/>
                <w:szCs w:val="28"/>
                <w:highlight w:val="none"/>
              </w:rPr>
            </w:r>
            <w:r/>
          </w:p>
        </w:tc>
        <w:tc>
          <w:tcPr>
            <w:tcW w:w="1259" w:type="pct"/>
            <w:vAlign w:val="center"/>
            <w:textDirection w:val="lrTb"/>
            <w:noWrap/>
          </w:tcPr>
          <w:p>
            <w:pPr>
              <w:jc w:val="left"/>
              <w:rPr>
                <w:rFonts w:ascii="宋体" w:hAnsi="宋体" w:cs="宋体"/>
                <w:color w:val="000000"/>
                <w:sz w:val="28"/>
                <w:szCs w:val="28"/>
                <w:highlight w:val="none"/>
              </w:rPr>
            </w:pPr>
            <w:r>
              <w:rPr>
                <w:rFonts w:ascii="宋体" w:hAnsi="宋体" w:cs="宋体"/>
                <w:color w:val="000000"/>
                <w:sz w:val="28"/>
                <w:szCs w:val="28"/>
                <w:highlight w:val="none"/>
              </w:rPr>
            </w:r>
            <w:r/>
          </w:p>
        </w:tc>
        <w:tc>
          <w:tcPr>
            <w:tcW w:w="529" w:type="pct"/>
            <w:vAlign w:val="center"/>
            <w:textDirection w:val="lrTb"/>
            <w:noWrap/>
          </w:tcPr>
          <w:p>
            <w:pPr>
              <w:jc w:val="left"/>
              <w:rPr>
                <w:rFonts w:ascii="宋体" w:hAnsi="宋体" w:cs="宋体"/>
                <w:color w:val="000000"/>
                <w:sz w:val="28"/>
                <w:szCs w:val="28"/>
                <w:highlight w:val="none"/>
              </w:rPr>
            </w:pPr>
            <w:r>
              <w:rPr>
                <w:rFonts w:ascii="宋体" w:hAnsi="宋体" w:cs="宋体"/>
                <w:color w:val="000000"/>
                <w:sz w:val="28"/>
                <w:szCs w:val="28"/>
                <w:highlight w:val="none"/>
              </w:rPr>
            </w:r>
            <w:r/>
          </w:p>
        </w:tc>
      </w:tr>
      <w:tr>
        <w:trPr>
          <w:jc w:val="center"/>
          <w:trHeight w:val="737"/>
        </w:trPr>
        <w:tc>
          <w:tcPr>
            <w:tcW w:w="529" w:type="pct"/>
            <w:vAlign w:val="center"/>
            <w:textDirection w:val="lrTb"/>
            <w:noWrap/>
          </w:tcPr>
          <w:p>
            <w:pPr>
              <w:jc w:val="left"/>
              <w:rPr>
                <w:rFonts w:ascii="宋体" w:hAnsi="宋体" w:cs="宋体"/>
                <w:color w:val="000000"/>
                <w:sz w:val="28"/>
                <w:szCs w:val="28"/>
                <w:highlight w:val="none"/>
              </w:rPr>
            </w:pPr>
            <w:r>
              <w:rPr>
                <w:rFonts w:ascii="宋体" w:hAnsi="宋体" w:cs="宋体"/>
                <w:color w:val="000000"/>
                <w:sz w:val="28"/>
                <w:szCs w:val="28"/>
                <w:highlight w:val="none"/>
              </w:rPr>
            </w:r>
            <w:r/>
          </w:p>
        </w:tc>
        <w:tc>
          <w:tcPr>
            <w:tcW w:w="894" w:type="pct"/>
            <w:vAlign w:val="center"/>
            <w:textDirection w:val="lrTb"/>
            <w:noWrap/>
          </w:tcPr>
          <w:p>
            <w:pPr>
              <w:jc w:val="left"/>
              <w:rPr>
                <w:rFonts w:ascii="宋体" w:hAnsi="宋体" w:cs="宋体"/>
                <w:color w:val="000000"/>
                <w:sz w:val="28"/>
                <w:szCs w:val="28"/>
                <w:highlight w:val="none"/>
              </w:rPr>
            </w:pPr>
            <w:r>
              <w:rPr>
                <w:rFonts w:ascii="宋体" w:hAnsi="宋体" w:cs="宋体"/>
                <w:color w:val="000000"/>
                <w:sz w:val="28"/>
                <w:szCs w:val="28"/>
                <w:highlight w:val="none"/>
              </w:rPr>
            </w:r>
            <w:r/>
          </w:p>
        </w:tc>
        <w:tc>
          <w:tcPr>
            <w:tcW w:w="711" w:type="pct"/>
            <w:vAlign w:val="center"/>
            <w:textDirection w:val="lrTb"/>
            <w:noWrap/>
          </w:tcPr>
          <w:p>
            <w:pPr>
              <w:jc w:val="left"/>
              <w:rPr>
                <w:rFonts w:ascii="宋体" w:hAnsi="宋体" w:cs="宋体"/>
                <w:color w:val="000000"/>
                <w:sz w:val="28"/>
                <w:szCs w:val="28"/>
                <w:highlight w:val="none"/>
              </w:rPr>
            </w:pPr>
            <w:r>
              <w:rPr>
                <w:rFonts w:ascii="宋体" w:hAnsi="宋体" w:cs="宋体"/>
                <w:color w:val="000000"/>
                <w:sz w:val="28"/>
                <w:szCs w:val="28"/>
                <w:highlight w:val="none"/>
              </w:rPr>
            </w:r>
            <w:r/>
          </w:p>
        </w:tc>
        <w:tc>
          <w:tcPr>
            <w:tcW w:w="1076" w:type="pct"/>
            <w:vAlign w:val="center"/>
            <w:textDirection w:val="lrTb"/>
            <w:noWrap/>
          </w:tcPr>
          <w:p>
            <w:pPr>
              <w:jc w:val="left"/>
              <w:rPr>
                <w:rFonts w:ascii="宋体" w:hAnsi="宋体" w:cs="宋体"/>
                <w:color w:val="000000"/>
                <w:sz w:val="28"/>
                <w:szCs w:val="28"/>
                <w:highlight w:val="none"/>
              </w:rPr>
            </w:pPr>
            <w:r>
              <w:rPr>
                <w:rFonts w:ascii="宋体" w:hAnsi="宋体" w:cs="宋体"/>
                <w:color w:val="000000"/>
                <w:sz w:val="28"/>
                <w:szCs w:val="28"/>
                <w:highlight w:val="none"/>
              </w:rPr>
            </w:r>
            <w:r/>
          </w:p>
        </w:tc>
        <w:tc>
          <w:tcPr>
            <w:tcW w:w="1259" w:type="pct"/>
            <w:vAlign w:val="center"/>
            <w:textDirection w:val="lrTb"/>
            <w:noWrap/>
          </w:tcPr>
          <w:p>
            <w:pPr>
              <w:jc w:val="left"/>
              <w:rPr>
                <w:rFonts w:ascii="宋体" w:hAnsi="宋体" w:cs="宋体"/>
                <w:color w:val="000000"/>
                <w:sz w:val="28"/>
                <w:szCs w:val="28"/>
                <w:highlight w:val="none"/>
              </w:rPr>
            </w:pPr>
            <w:r>
              <w:rPr>
                <w:rFonts w:ascii="宋体" w:hAnsi="宋体" w:cs="宋体"/>
                <w:color w:val="000000"/>
                <w:sz w:val="28"/>
                <w:szCs w:val="28"/>
                <w:highlight w:val="none"/>
              </w:rPr>
            </w:r>
            <w:r/>
          </w:p>
        </w:tc>
        <w:tc>
          <w:tcPr>
            <w:tcW w:w="529" w:type="pct"/>
            <w:vAlign w:val="center"/>
            <w:textDirection w:val="lrTb"/>
            <w:noWrap/>
          </w:tcPr>
          <w:p>
            <w:pPr>
              <w:jc w:val="left"/>
              <w:rPr>
                <w:rFonts w:ascii="宋体" w:hAnsi="宋体" w:cs="宋体"/>
                <w:color w:val="000000"/>
                <w:sz w:val="28"/>
                <w:szCs w:val="28"/>
                <w:highlight w:val="none"/>
              </w:rPr>
            </w:pPr>
            <w:r>
              <w:rPr>
                <w:rFonts w:ascii="宋体" w:hAnsi="宋体" w:cs="宋体"/>
                <w:color w:val="000000"/>
                <w:sz w:val="28"/>
                <w:szCs w:val="28"/>
                <w:highlight w:val="none"/>
              </w:rPr>
            </w:r>
            <w:r/>
          </w:p>
        </w:tc>
      </w:tr>
    </w:tbl>
    <w:p>
      <w:pPr>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r>
      <w:r/>
    </w:p>
    <w:p>
      <w:pPr>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供应商名称：（盖章）</w:t>
      </w:r>
      <w:r/>
    </w:p>
    <w:p>
      <w:pPr>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rPr>
        <w:t xml:space="preserve">日    期：   年   月   日</w:t>
      </w:r>
      <w:r/>
    </w:p>
    <w:p>
      <w:pPr>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说明：</w:t>
      </w:r>
      <w:r/>
    </w:p>
    <w:p>
      <w:pPr>
        <w:spacing w:line="360" w:lineRule="auto"/>
        <w:rPr>
          <w:rFonts w:ascii="宋体" w:hAnsi="宋体" w:cs="宋体"/>
          <w:b/>
          <w:color w:val="000000"/>
          <w:sz w:val="24"/>
          <w:highlight w:val="none"/>
        </w:rPr>
      </w:pPr>
      <w:r>
        <w:rPr>
          <w:rFonts w:hint="eastAsia" w:ascii="宋体" w:hAnsi="宋体" w:cs="宋体"/>
          <w:color w:val="000000"/>
          <w:sz w:val="24"/>
          <w:highlight w:val="none"/>
          <w:lang w:val="zh-CN"/>
        </w:rPr>
        <w:t xml:space="preserve">1、如果行、列数不够，请自行增加。</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2、请供应商根据本格式要求如实填写业绩情况表，并附业绩合同复印件。</w:t>
      </w:r>
      <w:r/>
    </w:p>
    <w:p>
      <w:pP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line="360" w:lineRule="auto"/>
        <w:rPr>
          <w:rFonts w:ascii="宋体" w:hAnsi="宋体" w:cs="宋体"/>
          <w:b/>
          <w:color w:val="000000"/>
          <w:sz w:val="28"/>
          <w:szCs w:val="28"/>
          <w:highlight w:val="none"/>
        </w:rPr>
      </w:pPr>
      <w:r>
        <w:rPr>
          <w:rFonts w:ascii="宋体" w:hAnsi="宋体" w:cs="宋体"/>
          <w:b/>
          <w:color w:val="000000"/>
          <w:sz w:val="28"/>
          <w:szCs w:val="28"/>
          <w:highlight w:val="none"/>
        </w:rPr>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rPr>
          <w:rFonts w:hint="eastAsia" w:ascii="宋体" w:hAnsi="宋体" w:cs="宋体"/>
          <w:b/>
          <w:color w:val="000000"/>
          <w:sz w:val="28"/>
          <w:szCs w:val="28"/>
          <w:highlight w:val="none"/>
        </w:rPr>
        <w:outlineLvl w:val="1"/>
      </w:pPr>
      <w:r/>
      <w:bookmarkStart w:id="662" w:name="_Toc25022"/>
      <w:r>
        <w:rPr>
          <w:rFonts w:hint="eastAsia" w:ascii="宋体" w:hAnsi="宋体" w:cs="宋体"/>
          <w:b/>
          <w:color w:val="000000"/>
          <w:sz w:val="28"/>
          <w:szCs w:val="28"/>
          <w:highlight w:val="none"/>
        </w:rPr>
        <w:t xml:space="preserve">十、投标需要的其他证明文件及材料（若有）</w:t>
      </w:r>
      <w:bookmarkEnd w:id="662"/>
      <w:r/>
      <w:r/>
    </w:p>
    <w:p>
      <w:pPr>
        <w:jc w:val="left"/>
        <w:spacing w:before="50" w:after="50" w:line="360" w:lineRule="auto"/>
        <w:rPr>
          <w:rFonts w:ascii="宋体" w:hAnsi="宋体" w:cs="宋体"/>
          <w:b/>
          <w:color w:val="000000"/>
          <w:sz w:val="24"/>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sz w:val="24"/>
          <w:highlight w:val="none"/>
        </w:rPr>
      </w:r>
      <w:r/>
    </w:p>
    <w:p>
      <w:pPr>
        <w:spacing w:line="360" w:lineRule="auto"/>
        <w:rPr>
          <w:rFonts w:ascii="宋体" w:hAnsi="宋体" w:cs="宋体"/>
          <w:b/>
          <w:color w:val="000000"/>
          <w:sz w:val="24"/>
          <w:highlight w:val="none"/>
        </w:rPr>
        <w:outlineLvl w:val="2"/>
      </w:pPr>
      <w:r>
        <w:rPr>
          <w:rFonts w:hint="eastAsia" w:ascii="宋体" w:hAnsi="宋体" w:cs="宋体"/>
          <w:b/>
          <w:color w:val="000000"/>
          <w:sz w:val="24"/>
          <w:highlight w:val="none"/>
        </w:rPr>
        <w:t xml:space="preserve">附件一、中小企业声明函格式</w:t>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中小企业声明函</w:t>
      </w:r>
      <w:r/>
    </w:p>
    <w:p>
      <w:pPr>
        <w:jc w:val="left"/>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致：江苏省五台山体育中心</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本公司郑重声明，根据《政府采购促进中小企业发展管理办法》（财库﹝2020﹞46号）的规定，本公司参加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采购活动，提供的材料全部由符合政策要求的中小企业制造。相关企业（含联合体中的中小企业、签订分包意向协议的中小企业）的具体情况如下：</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（建筑业）</w:t>
      </w:r>
      <w:r>
        <w:rPr>
          <w:rFonts w:hint="eastAsia" w:ascii="宋体" w:hAnsi="宋体" w:cs="宋体"/>
          <w:color w:val="000000"/>
          <w:sz w:val="24"/>
          <w:highlight w:val="none"/>
        </w:rPr>
        <w:t xml:space="preserve">行业；从业人员人，营业收入为 </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20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企业名称（盖章）：</w:t>
      </w:r>
      <w:r/>
    </w:p>
    <w:p>
      <w:pPr>
        <w:ind w:firstLine="420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p>
    <w:p>
      <w:pPr>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注2：从业人员、营业收入、资产总额填报上一年度数据，无上一年度数据的新成立企业可不填报。</w:t>
      </w:r>
      <w:r/>
    </w:p>
    <w:p>
      <w:pPr>
        <w:rPr>
          <w:rFonts w:ascii="宋体" w:hAnsi="宋体" w:cs="宋体"/>
          <w:color w:val="000000"/>
          <w:sz w:val="24"/>
          <w:highlight w:val="none"/>
        </w:rPr>
      </w:pPr>
      <w:r>
        <w:rPr>
          <w:rFonts w:hint="eastAsia" w:ascii="宋体" w:hAnsi="宋体" w:cs="宋体"/>
          <w:color w:val="000000"/>
          <w:sz w:val="24"/>
          <w:highlight w:val="none"/>
        </w:rPr>
        <w:t xml:space="preserve">注3：供应商如不提供此声明函，价格将不做相应扣除。</w:t>
      </w:r>
      <w:r>
        <w:rPr>
          <w:rFonts w:hint="eastAsia" w:ascii="宋体" w:hAnsi="宋体" w:cs="宋体"/>
          <w:color w:val="000000"/>
          <w:sz w:val="24"/>
          <w:highlight w:val="none"/>
        </w:rPr>
        <w:br w:type="page" w:clear="all"/>
      </w:r>
      <w:r/>
    </w:p>
    <w:p>
      <w:pPr>
        <w:spacing w:line="240" w:lineRule="atLeast"/>
        <w:widowControl/>
        <w:rPr>
          <w:rFonts w:ascii="宋体" w:hAnsi="宋体" w:cs="宋体"/>
          <w:b/>
          <w:color w:val="000000"/>
          <w:sz w:val="24"/>
          <w:highlight w:val="none"/>
        </w:rPr>
        <w:outlineLvl w:val="2"/>
      </w:pPr>
      <w:r>
        <w:rPr>
          <w:rFonts w:hint="eastAsia" w:ascii="宋体" w:hAnsi="宋体" w:cs="宋体"/>
          <w:b/>
          <w:color w:val="000000"/>
          <w:sz w:val="24"/>
          <w:highlight w:val="none"/>
        </w:rPr>
        <w:t xml:space="preserve">附件二、无重大违法记录声明格式</w:t>
      </w:r>
      <w:r/>
    </w:p>
    <w:p>
      <w:pPr>
        <w:spacing w:line="240" w:lineRule="atLeast"/>
        <w:widowControl/>
        <w:rPr>
          <w:rFonts w:ascii="宋体" w:hAnsi="宋体" w:cs="宋体"/>
          <w:b/>
          <w:color w:val="000000"/>
          <w:sz w:val="24"/>
          <w:highlight w:val="none"/>
        </w:rPr>
      </w:pPr>
      <w:r>
        <w:rPr>
          <w:rFonts w:ascii="宋体" w:hAnsi="宋体" w:cs="宋体"/>
          <w:b/>
          <w:color w:val="000000"/>
          <w:sz w:val="24"/>
          <w:highlight w:val="none"/>
        </w:rPr>
      </w:r>
      <w:r/>
    </w:p>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无重大违法记录声明</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致：江苏省五台山体育中心</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我单位</w:t>
      </w:r>
      <w:r>
        <w:rPr>
          <w:rFonts w:hint="eastAsia" w:ascii="宋体" w:hAnsi="宋体" w:cs="宋体"/>
          <w:color w:val="000000"/>
          <w:sz w:val="24"/>
          <w:highlight w:val="none"/>
          <w:u w:val="single"/>
        </w:rPr>
        <w:t xml:space="preserve">（供应商名称）</w:t>
      </w:r>
      <w:r>
        <w:rPr>
          <w:rFonts w:hint="eastAsia" w:ascii="宋体" w:hAnsi="宋体" w:cs="宋体"/>
          <w:color w:val="000000"/>
          <w:sz w:val="24"/>
          <w:highlight w:val="none"/>
        </w:rPr>
        <w:t xml:space="preserve">郑重声明：</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参加政府采购活动前3年内在经营活动中</w:t>
      </w:r>
      <w:r>
        <w:rPr>
          <w:rFonts w:hint="eastAsia" w:ascii="宋体" w:hAnsi="宋体" w:cs="宋体"/>
          <w:color w:val="000000"/>
          <w:sz w:val="24"/>
          <w:highlight w:val="none"/>
          <w:u w:val="single"/>
        </w:rPr>
        <w:t xml:space="preserve">（在下划线上如实填写：有或没有）</w:t>
      </w:r>
      <w:r>
        <w:rPr>
          <w:rFonts w:hint="eastAsia" w:ascii="宋体" w:hAnsi="宋体" w:cs="宋体"/>
          <w:color w:val="000000"/>
          <w:sz w:val="24"/>
          <w:highlight w:val="none"/>
        </w:rPr>
        <w:t xml:space="preserve">重大违法记录。</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61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声明人（公章）：</w:t>
      </w:r>
      <w:r/>
    </w:p>
    <w:p>
      <w:pPr>
        <w:jc w:val="right"/>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日期：   年   月   日</w:t>
      </w:r>
      <w:r/>
    </w:p>
    <w:p>
      <w:pPr>
        <w:spacing w:line="360" w:lineRule="auto"/>
        <w:rPr>
          <w:rFonts w:ascii="宋体" w:hAnsi="宋体" w:cs="宋体"/>
          <w:b/>
          <w:color w:val="000000"/>
          <w:sz w:val="24"/>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sz w:val="24"/>
          <w:highlight w:val="none"/>
        </w:rPr>
      </w:r>
      <w:r/>
    </w:p>
    <w:p>
      <w:pPr>
        <w:spacing w:line="360" w:lineRule="auto"/>
        <w:rPr>
          <w:rFonts w:ascii="宋体" w:hAnsi="宋体" w:cs="宋体"/>
          <w:b/>
          <w:color w:val="000000"/>
          <w:sz w:val="24"/>
          <w:highlight w:val="none"/>
        </w:rPr>
        <w:outlineLvl w:val="2"/>
      </w:pPr>
      <w:r>
        <w:rPr>
          <w:rFonts w:hint="eastAsia" w:ascii="宋体" w:hAnsi="宋体" w:cs="宋体"/>
          <w:b/>
          <w:color w:val="000000"/>
          <w:sz w:val="24"/>
          <w:highlight w:val="none"/>
        </w:rPr>
        <w:t xml:space="preserve">附件三、具备履行合同所必需的设备和专业技术能力的声明格式及证明材料</w:t>
      </w:r>
      <w:r/>
    </w:p>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具备履行合同所必需的设备和专业技术能力的声明格式</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致：江苏省五台山体育中心</w:t>
      </w:r>
      <w:r/>
    </w:p>
    <w:p>
      <w:pPr>
        <w:ind w:firstLine="49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我单位</w:t>
      </w:r>
      <w:r>
        <w:rPr>
          <w:rFonts w:hint="eastAsia" w:ascii="宋体" w:hAnsi="宋体" w:cs="宋体"/>
          <w:color w:val="000000"/>
          <w:sz w:val="24"/>
          <w:highlight w:val="none"/>
          <w:u w:val="single"/>
        </w:rPr>
        <w:t xml:space="preserve">（供应商名称）</w:t>
      </w:r>
      <w:r>
        <w:rPr>
          <w:rFonts w:hint="eastAsia" w:ascii="宋体" w:hAnsi="宋体" w:cs="宋体"/>
          <w:color w:val="000000"/>
          <w:sz w:val="24"/>
          <w:highlight w:val="none"/>
        </w:rPr>
        <w:t xml:space="preserve">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主要设备有：。（ 若有 ）</w:t>
      </w:r>
      <w:r/>
    </w:p>
    <w:p>
      <w:pPr>
        <w:ind w:firstLine="492"/>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主要专业技术能力有：。（ 若有 ）</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声明人：（公章）</w:t>
      </w:r>
      <w:r/>
    </w:p>
    <w:p>
      <w:pPr>
        <w:ind w:firstLine="58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日期：年月日</w:t>
      </w:r>
      <w:r/>
    </w:p>
    <w:p>
      <w:pPr>
        <w:jc w:val="left"/>
        <w:spacing w:line="460" w:lineRule="exact"/>
        <w:rPr>
          <w:rFonts w:ascii="宋体" w:hAnsi="宋体" w:cs="宋体"/>
          <w:color w:val="000000"/>
          <w:sz w:val="24"/>
          <w:highlight w:val="none"/>
        </w:rPr>
      </w:pPr>
      <w:r>
        <w:rPr>
          <w:rFonts w:ascii="宋体" w:hAnsi="宋体" w:cs="宋体"/>
          <w:color w:val="000000"/>
          <w:sz w:val="24"/>
          <w:highlight w:val="none"/>
        </w:rPr>
      </w:r>
      <w:r/>
    </w:p>
    <w:p>
      <w:pPr>
        <w:jc w:val="left"/>
        <w:spacing w:line="460" w:lineRule="exact"/>
        <w:rPr>
          <w:rFonts w:ascii="宋体" w:hAnsi="宋体" w:cs="宋体"/>
          <w:color w:val="000000"/>
          <w:sz w:val="24"/>
          <w:highlight w:val="none"/>
          <w:lang w:val="zh-CN"/>
        </w:rPr>
      </w:pPr>
      <w:r>
        <w:rPr>
          <w:rFonts w:hint="eastAsia" w:ascii="宋体" w:hAnsi="宋体" w:cs="宋体"/>
          <w:color w:val="000000"/>
          <w:sz w:val="24"/>
          <w:highlight w:val="none"/>
        </w:rPr>
        <w:t xml:space="preserve">其他证明材料及文件：（如果供应商认为需要提供的话）</w:t>
      </w:r>
      <w:r/>
    </w:p>
    <w:p>
      <w:pPr>
        <w:pStyle w:val="1667"/>
        <w:ind w:left="0"/>
        <w:spacing w:before="20"/>
        <w:rPr>
          <w:color w:val="000000"/>
          <w:highlight w:val="none"/>
        </w:rPr>
        <w:outlineLvl w:val="9"/>
      </w:pPr>
      <w:r>
        <w:rPr>
          <w:color w:val="000000"/>
          <w:highlight w:val="none"/>
        </w:rPr>
      </w:r>
      <w:r/>
    </w:p>
    <w:p>
      <w:pPr>
        <w:pStyle w:val="1667"/>
        <w:ind w:left="0"/>
        <w:spacing w:before="20"/>
        <w:rPr>
          <w:color w:val="000000"/>
          <w:highlight w:val="none"/>
        </w:rPr>
        <w:outlineLvl w:val="9"/>
      </w:pPr>
      <w:r>
        <w:rPr>
          <w:color w:val="000000"/>
          <w:highlight w:val="none"/>
        </w:rPr>
      </w:r>
      <w:r/>
    </w:p>
    <w:p>
      <w:pPr>
        <w:pStyle w:val="1667"/>
        <w:ind w:left="0"/>
        <w:spacing w:line="360" w:lineRule="auto"/>
        <w:rPr>
          <w:b w:val="0"/>
          <w:color w:val="000000"/>
          <w:highlight w:val="none"/>
        </w:rPr>
        <w:outlineLvl w:val="2"/>
      </w:pPr>
      <w:r>
        <w:rPr>
          <w:rFonts w:hint="eastAsia"/>
          <w:color w:val="000000"/>
          <w:highlight w:val="none"/>
        </w:rPr>
        <w:t xml:space="preserve">附件四、残疾人福利性单位声明函格式</w:t>
      </w:r>
      <w:r/>
    </w:p>
    <w:p>
      <w:pPr>
        <w:pStyle w:val="1667"/>
        <w:ind w:left="0"/>
        <w:jc w:val="center"/>
        <w:spacing w:line="360" w:lineRule="auto"/>
        <w:rPr>
          <w:b w:val="0"/>
          <w:bCs w:val="0"/>
          <w:color w:val="000000"/>
          <w:highlight w:val="none"/>
          <w:lang w:val="en-US"/>
        </w:rPr>
        <w:outlineLvl w:val="9"/>
      </w:pPr>
      <w:r>
        <w:rPr>
          <w:rFonts w:hint="eastAsia"/>
          <w:b w:val="0"/>
          <w:bCs w:val="0"/>
          <w:color w:val="000000"/>
          <w:highlight w:val="none"/>
          <w:lang w:val="en-US"/>
        </w:rPr>
        <w:t xml:space="preserve">残疾人福利性单位声明函</w:t>
      </w:r>
      <w:r/>
    </w:p>
    <w:p>
      <w:pPr>
        <w:pStyle w:val="1240"/>
        <w:jc w:val="left"/>
        <w:spacing w:after="0" w:line="360" w:lineRule="auto"/>
        <w:tabs>
          <w:tab w:val="left" w:pos="3711" w:leader="none"/>
          <w:tab w:val="left" w:pos="5151" w:leader="none"/>
        </w:tabs>
        <w:rPr>
          <w:rFonts w:ascii="宋体" w:hAnsi="宋体" w:cs="宋体"/>
          <w:color w:val="000000"/>
          <w:highlight w:val="none"/>
        </w:rPr>
      </w:pPr>
      <w:r>
        <w:rPr>
          <w:rFonts w:hint="eastAsia" w:ascii="宋体" w:hAnsi="宋体" w:cs="宋体"/>
          <w:color w:val="000000"/>
          <w:highlight w:val="none"/>
        </w:rPr>
        <w:t xml:space="preserve">致：江苏省五台山体育中心</w:t>
      </w:r>
      <w:r/>
    </w:p>
    <w:p>
      <w:pPr>
        <w:pStyle w:val="1240"/>
        <w:ind w:firstLine="560"/>
        <w:jc w:val="left"/>
        <w:spacing w:after="0" w:line="360" w:lineRule="auto"/>
        <w:tabs>
          <w:tab w:val="left" w:pos="3711" w:leader="none"/>
          <w:tab w:val="left" w:pos="5151" w:leader="none"/>
        </w:tabs>
        <w:rPr>
          <w:rFonts w:ascii="宋体" w:hAnsi="宋体" w:cs="宋体"/>
          <w:color w:val="000000"/>
          <w:highlight w:val="none"/>
        </w:rPr>
      </w:pPr>
      <w:r>
        <w:rPr>
          <w:rFonts w:hint="eastAsia" w:ascii="宋体" w:hAnsi="宋体" w:cs="宋体"/>
          <w:color w:val="000000"/>
          <w:highlight w:val="none"/>
        </w:rPr>
        <w:t xml:space="preserve">本单位郑重声明，本单位郑重声明，根据《财政部·民政部·中国残疾人联合会关于促进残疾人就业政府采购政策的通知》（财库〔2017〕141号）的规定：</w:t>
      </w:r>
      <w:r/>
    </w:p>
    <w:p>
      <w:pPr>
        <w:pStyle w:val="1240"/>
        <w:ind w:firstLine="480"/>
        <w:jc w:val="left"/>
        <w:spacing w:after="0" w:line="360" w:lineRule="auto"/>
        <w:tabs>
          <w:tab w:val="left" w:pos="3711" w:leader="none"/>
          <w:tab w:val="left" w:pos="5151" w:leader="none"/>
        </w:tabs>
        <w:rPr>
          <w:rFonts w:ascii="宋体" w:hAnsi="宋体" w:cs="宋体"/>
          <w:color w:val="000000"/>
          <w:highlight w:val="none"/>
        </w:rPr>
      </w:pPr>
      <w:r>
        <w:rPr>
          <w:rFonts w:hint="eastAsia" w:ascii="宋体" w:hAnsi="宋体" w:cs="宋体"/>
          <w:color w:val="000000"/>
          <w:highlight w:val="none"/>
        </w:rPr>
        <w:t xml:space="preserve">本单位为符合条件的残疾人福利性单位，且本单位参加贵单位组织的</w:t>
      </w:r>
      <w:r>
        <w:rPr>
          <w:rFonts w:hint="eastAsia" w:ascii="宋体" w:hAnsi="宋体" w:cs="宋体"/>
          <w:color w:val="000000"/>
          <w:highlight w:val="none"/>
          <w:u w:val="single"/>
        </w:rPr>
        <w:t xml:space="preserve">（项目全称）（标段号：）</w:t>
      </w:r>
      <w:r>
        <w:rPr>
          <w:rFonts w:hint="eastAsia" w:ascii="宋体" w:hAnsi="宋体" w:cs="宋体"/>
          <w:color w:val="000000"/>
          <w:highlight w:val="none"/>
        </w:rPr>
        <w:t xml:space="preserve">采购活动，由本单位承建工程。</w:t>
      </w:r>
      <w:r/>
    </w:p>
    <w:p>
      <w:pPr>
        <w:pStyle w:val="1240"/>
        <w:ind w:firstLine="560"/>
        <w:jc w:val="left"/>
        <w:spacing w:after="0" w:line="360" w:lineRule="auto"/>
        <w:tabs>
          <w:tab w:val="left" w:pos="3711" w:leader="none"/>
          <w:tab w:val="left" w:pos="5151" w:leader="none"/>
        </w:tabs>
        <w:rPr>
          <w:rFonts w:ascii="宋体" w:hAnsi="宋体" w:cs="宋体"/>
          <w:color w:val="000000"/>
          <w:highlight w:val="none"/>
        </w:rPr>
      </w:pPr>
      <w:r>
        <w:rPr>
          <w:rFonts w:ascii="宋体" w:hAnsi="宋体" w:cs="宋体"/>
          <w:color w:val="000000"/>
          <w:highlight w:val="none"/>
        </w:rPr>
      </w:r>
      <w:r/>
    </w:p>
    <w:p>
      <w:pPr>
        <w:pStyle w:val="1240"/>
        <w:ind w:firstLine="560"/>
        <w:jc w:val="left"/>
        <w:spacing w:after="0" w:line="360" w:lineRule="auto"/>
        <w:tabs>
          <w:tab w:val="left" w:pos="3711" w:leader="none"/>
          <w:tab w:val="left" w:pos="5151" w:leader="none"/>
        </w:tabs>
        <w:rPr>
          <w:rFonts w:ascii="宋体" w:hAnsi="宋体" w:cs="宋体"/>
          <w:color w:val="000000"/>
          <w:highlight w:val="none"/>
        </w:rPr>
      </w:pPr>
      <w:r>
        <w:rPr>
          <w:rFonts w:hint="eastAsia" w:ascii="宋体" w:hAnsi="宋体" w:cs="宋体"/>
          <w:color w:val="000000"/>
          <w:highlight w:val="none"/>
        </w:rPr>
        <w:t xml:space="preserve">本单位对上述声明的真实性负责。如有虚假，将依法承担相应责任</w:t>
      </w:r>
      <w:r/>
    </w:p>
    <w:p>
      <w:pPr>
        <w:pStyle w:val="1240"/>
        <w:ind w:left="6300"/>
        <w:jc w:val="left"/>
        <w:spacing w:after="0" w:line="360" w:lineRule="auto"/>
        <w:tabs>
          <w:tab w:val="left" w:pos="7098" w:leader="none"/>
        </w:tabs>
        <w:rPr>
          <w:rFonts w:ascii="宋体" w:hAnsi="宋体" w:cs="宋体"/>
          <w:color w:val="000000"/>
          <w:highlight w:val="none"/>
        </w:rPr>
      </w:pPr>
      <w:r>
        <w:rPr>
          <w:rFonts w:hint="eastAsia" w:ascii="宋体" w:hAnsi="宋体" w:cs="宋体"/>
          <w:color w:val="000000"/>
          <w:highlight w:val="none"/>
        </w:rPr>
        <w:t xml:space="preserve">单位名称（盖章）：</w:t>
      </w:r>
      <w:r/>
    </w:p>
    <w:p>
      <w:pPr>
        <w:pStyle w:val="1240"/>
        <w:ind w:left="6300"/>
        <w:jc w:val="left"/>
        <w:spacing w:after="0" w:line="360" w:lineRule="auto"/>
        <w:tabs>
          <w:tab w:val="left" w:pos="7098" w:leader="none"/>
        </w:tabs>
        <w:rPr>
          <w:rFonts w:ascii="宋体" w:hAnsi="宋体" w:cs="宋体"/>
          <w:color w:val="000000"/>
          <w:highlight w:val="none"/>
        </w:rPr>
      </w:pPr>
      <w:r>
        <w:rPr>
          <w:rFonts w:hint="eastAsia" w:ascii="宋体" w:hAnsi="宋体" w:cs="宋体"/>
          <w:color w:val="000000"/>
          <w:highlight w:val="none"/>
        </w:rPr>
        <w:t xml:space="preserve">日期：</w:t>
      </w:r>
      <w:r/>
    </w:p>
    <w:p>
      <w:pPr>
        <w:rPr>
          <w:color w:val="000000"/>
          <w:sz w:val="24"/>
          <w:highlight w:val="none"/>
        </w:rPr>
      </w:pPr>
      <w:r>
        <w:rPr>
          <w:color w:val="000000"/>
          <w:sz w:val="24"/>
          <w:highlight w:val="none"/>
        </w:rPr>
      </w:r>
      <w:r/>
    </w:p>
    <w:p>
      <w:pPr>
        <w:pStyle w:val="1667"/>
        <w:ind w:left="0"/>
        <w:spacing w:line="360" w:lineRule="auto"/>
        <w:rPr>
          <w:color w:val="000000"/>
          <w:highlight w:val="none"/>
        </w:rPr>
        <w:outlineLvl w:val="2"/>
      </w:pPr>
      <w:r>
        <w:rPr>
          <w:rFonts w:hint="eastAsia"/>
          <w:color w:val="000000"/>
          <w:highlight w:val="none"/>
        </w:rPr>
        <w:t xml:space="preserve">附件五、属于监狱企业的证明文件</w:t>
      </w:r>
      <w:r/>
    </w:p>
    <w:p>
      <w:pPr>
        <w:ind w:firstLine="5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提供由省级以上监狱管理局、戒毒管理局（含新疆生产建设兵团）出具的属于监狱企业的证明文件。</w:t>
      </w:r>
      <w:r/>
    </w:p>
    <w:sectPr>
      <w:footnotePr/>
      <w:endnotePr>
        <w:numFmt w:val="decimal"/>
      </w:endnotePr>
      <w:type w:val="nextPage"/>
      <w:pgSz w:w="11906" w:h="16838" w:orient="portrait"/>
      <w:pgMar w:top="850" w:right="850" w:bottom="850" w:left="1417" w:header="567"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Symbol">
    <w:panose1 w:val="05050102010706020507"/>
  </w:font>
  <w:font w:name="仿宋">
    <w:panose1 w:val="02010609060101010101"/>
  </w:font>
  <w:font w:name="方正大黑简体">
    <w:panose1 w:val="020B0503020202020204"/>
  </w:font>
  <w:font w:name="Helvetica">
    <w:panose1 w:val="020B0604020202020204"/>
  </w:font>
  <w:font w:name="Georgia">
    <w:panose1 w:val="02040502050405020303"/>
  </w:font>
  <w:font w:name="华文细黑">
    <w:panose1 w:val="02010600040101010101"/>
  </w:font>
  <w:font w:name="Wingdings">
    <w:panose1 w:val="05000000000000000000"/>
  </w:font>
  <w:font w:name="华文楷体">
    <w:panose1 w:val="02010600040101010101"/>
  </w:font>
  <w:font w:name="汉仪大黑简">
    <w:panose1 w:val="020B0503020202020204"/>
  </w:font>
  <w:font w:name="Tahoma">
    <w:panose1 w:val="020B0604030504040204"/>
  </w:font>
  <w:font w:name="Cambria">
    <w:panose1 w:val="02040503050406030204"/>
  </w:font>
  <w:font w:name="ヒラギノ角ゴ Pro W3">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Wingdings 2">
    <w:panose1 w:val="05020102010507070707"/>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3"/>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3"/>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30162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972185" cy="301625"/>
                      </a:xfrm>
                      <a:prstGeom prst="rect">
                        <a:avLst/>
                      </a:prstGeom>
                      <a:noFill/>
                      <a:ln w="6350">
                        <a:noFill/>
                      </a:ln>
                      <a:effectLst/>
                    </wps:spPr>
                    <wps:txbx>
                      <w:txbxContent>
                        <w:p>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76.5pt;height:23.8pt;mso-wrap-distance-left:9.0pt;mso-wrap-distance-top:0.0pt;mso-wrap-distance-right:9.0pt;mso-wrap-distance-bottom:0.0pt;visibility:visible;" filled="f" stroked="f" strokeweight="0.50pt">
              <v:textbox inset="0,0,0,0">
                <w:txbxContent>
                  <w:p>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 w:firstLine="425"/>
        <w:tabs>
          <w:tab w:val="left" w:pos="1146" w:leader="none"/>
        </w:tabs>
      </w:pPr>
      <w:rPr>
        <w:rFonts w:hint="eastAsia"/>
      </w:rPr>
    </w:lvl>
    <w:lvl w:ilvl="1">
      <w:start w:val="1"/>
      <w:numFmt w:val="lowerLetter"/>
      <w:isLgl w:val="false"/>
      <w:suff w:val="tab"/>
      <w:lvlText w:val="%2)"/>
      <w:lvlJc w:val="left"/>
      <w:pPr>
        <w:ind w:left="1265" w:hanging="420"/>
        <w:tabs>
          <w:tab w:val="left" w:pos="1265" w:leader="none"/>
        </w:tabs>
      </w:pPr>
      <w:rPr>
        <w:rFonts w:hint="eastAsia"/>
      </w:rPr>
    </w:lvl>
    <w:lvl w:ilvl="2">
      <w:start w:val="1"/>
      <w:numFmt w:val="lowerRoman"/>
      <w:isLgl w:val="false"/>
      <w:suff w:val="tab"/>
      <w:lvlText w:val="%3."/>
      <w:lvlJc w:val="right"/>
      <w:pPr>
        <w:ind w:left="1685" w:hanging="420"/>
        <w:tabs>
          <w:tab w:val="left" w:pos="1685" w:leader="none"/>
        </w:tabs>
      </w:pPr>
      <w:rPr>
        <w:rFonts w:hint="eastAsia"/>
      </w:rPr>
    </w:lvl>
    <w:lvl w:ilvl="3">
      <w:start w:val="1"/>
      <w:numFmt w:val="decimal"/>
      <w:isLgl w:val="false"/>
      <w:suff w:val="tab"/>
      <w:lvlText w:val="%4."/>
      <w:lvlJc w:val="left"/>
      <w:pPr>
        <w:ind w:left="2105" w:hanging="420"/>
        <w:tabs>
          <w:tab w:val="left" w:pos="2105" w:leader="none"/>
        </w:tabs>
      </w:pPr>
      <w:rPr>
        <w:rFonts w:hint="eastAsia"/>
      </w:rPr>
    </w:lvl>
    <w:lvl w:ilvl="4">
      <w:start w:val="1"/>
      <w:numFmt w:val="lowerLetter"/>
      <w:isLgl w:val="false"/>
      <w:suff w:val="tab"/>
      <w:lvlText w:val="%5)"/>
      <w:lvlJc w:val="left"/>
      <w:pPr>
        <w:ind w:left="2525" w:hanging="420"/>
        <w:tabs>
          <w:tab w:val="left" w:pos="2525" w:leader="none"/>
        </w:tabs>
      </w:pPr>
      <w:rPr>
        <w:rFonts w:hint="eastAsia"/>
      </w:rPr>
    </w:lvl>
    <w:lvl w:ilvl="5">
      <w:start w:val="1"/>
      <w:numFmt w:val="lowerRoman"/>
      <w:isLgl w:val="false"/>
      <w:suff w:val="tab"/>
      <w:lvlText w:val="%6."/>
      <w:lvlJc w:val="right"/>
      <w:pPr>
        <w:ind w:left="2945" w:hanging="420"/>
        <w:tabs>
          <w:tab w:val="left" w:pos="2945" w:leader="none"/>
        </w:tabs>
      </w:pPr>
      <w:rPr>
        <w:rFonts w:hint="eastAsia"/>
      </w:rPr>
    </w:lvl>
    <w:lvl w:ilvl="6">
      <w:start w:val="1"/>
      <w:numFmt w:val="decimal"/>
      <w:isLgl w:val="false"/>
      <w:suff w:val="tab"/>
      <w:lvlText w:val="%7."/>
      <w:lvlJc w:val="left"/>
      <w:pPr>
        <w:ind w:left="3365" w:hanging="420"/>
        <w:tabs>
          <w:tab w:val="left" w:pos="3365" w:leader="none"/>
        </w:tabs>
      </w:pPr>
      <w:rPr>
        <w:rFonts w:hint="eastAsia"/>
      </w:rPr>
    </w:lvl>
    <w:lvl w:ilvl="7">
      <w:start w:val="1"/>
      <w:numFmt w:val="lowerLetter"/>
      <w:isLgl w:val="false"/>
      <w:suff w:val="tab"/>
      <w:lvlText w:val="%8)"/>
      <w:lvlJc w:val="left"/>
      <w:pPr>
        <w:ind w:left="3785" w:hanging="420"/>
        <w:tabs>
          <w:tab w:val="left" w:pos="3785" w:leader="none"/>
        </w:tabs>
      </w:pPr>
      <w:rPr>
        <w:rFonts w:hint="eastAsia"/>
      </w:rPr>
    </w:lvl>
    <w:lvl w:ilvl="8">
      <w:start w:val="1"/>
      <w:numFmt w:val="lowerRoman"/>
      <w:isLgl w:val="false"/>
      <w:suff w:val="tab"/>
      <w:lvlText w:val="%9."/>
      <w:lvlJc w:val="right"/>
      <w:pPr>
        <w:ind w:left="4205" w:hanging="420"/>
        <w:tabs>
          <w:tab w:val="left" w:pos="4205" w:leader="none"/>
        </w:tabs>
      </w:pPr>
      <w:rPr>
        <w:rFonts w:hint="eastAsia"/>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6">
    <w:name w:val="Heading 1 Char"/>
    <w:basedOn w:val="872"/>
    <w:link w:val="863"/>
    <w:uiPriority w:val="9"/>
    <w:rPr>
      <w:rFonts w:ascii="Arial" w:hAnsi="Arial" w:eastAsia="Arial" w:cs="Arial"/>
      <w:sz w:val="40"/>
      <w:szCs w:val="40"/>
    </w:rPr>
  </w:style>
  <w:style w:type="character" w:styleId="847">
    <w:name w:val="Heading 2 Char"/>
    <w:basedOn w:val="872"/>
    <w:link w:val="864"/>
    <w:uiPriority w:val="9"/>
    <w:rPr>
      <w:rFonts w:ascii="Arial" w:hAnsi="Arial" w:eastAsia="Arial" w:cs="Arial"/>
      <w:sz w:val="34"/>
    </w:rPr>
  </w:style>
  <w:style w:type="character" w:styleId="848">
    <w:name w:val="Heading 3 Char"/>
    <w:basedOn w:val="872"/>
    <w:link w:val="865"/>
    <w:uiPriority w:val="9"/>
    <w:rPr>
      <w:rFonts w:ascii="Arial" w:hAnsi="Arial" w:eastAsia="Arial" w:cs="Arial"/>
      <w:sz w:val="30"/>
      <w:szCs w:val="30"/>
    </w:rPr>
  </w:style>
  <w:style w:type="character" w:styleId="849">
    <w:name w:val="Heading 4 Char"/>
    <w:basedOn w:val="872"/>
    <w:link w:val="866"/>
    <w:uiPriority w:val="9"/>
    <w:rPr>
      <w:rFonts w:ascii="Arial" w:hAnsi="Arial" w:eastAsia="Arial" w:cs="Arial"/>
      <w:b/>
      <w:bCs/>
      <w:sz w:val="26"/>
      <w:szCs w:val="26"/>
    </w:rPr>
  </w:style>
  <w:style w:type="character" w:styleId="850">
    <w:name w:val="Heading 5 Char"/>
    <w:basedOn w:val="872"/>
    <w:link w:val="867"/>
    <w:uiPriority w:val="9"/>
    <w:rPr>
      <w:rFonts w:ascii="Arial" w:hAnsi="Arial" w:eastAsia="Arial" w:cs="Arial"/>
      <w:b/>
      <w:bCs/>
      <w:sz w:val="24"/>
      <w:szCs w:val="24"/>
    </w:rPr>
  </w:style>
  <w:style w:type="character" w:styleId="851">
    <w:name w:val="Heading 6 Char"/>
    <w:basedOn w:val="872"/>
    <w:link w:val="868"/>
    <w:uiPriority w:val="9"/>
    <w:rPr>
      <w:rFonts w:ascii="Arial" w:hAnsi="Arial" w:eastAsia="Arial" w:cs="Arial"/>
      <w:b/>
      <w:bCs/>
      <w:sz w:val="22"/>
      <w:szCs w:val="22"/>
    </w:rPr>
  </w:style>
  <w:style w:type="character" w:styleId="852">
    <w:name w:val="Heading 7 Char"/>
    <w:basedOn w:val="872"/>
    <w:link w:val="869"/>
    <w:uiPriority w:val="9"/>
    <w:rPr>
      <w:rFonts w:ascii="Arial" w:hAnsi="Arial" w:eastAsia="Arial" w:cs="Arial"/>
      <w:b/>
      <w:bCs/>
      <w:i/>
      <w:iCs/>
      <w:sz w:val="22"/>
      <w:szCs w:val="22"/>
    </w:rPr>
  </w:style>
  <w:style w:type="character" w:styleId="853">
    <w:name w:val="Heading 8 Char"/>
    <w:basedOn w:val="872"/>
    <w:link w:val="870"/>
    <w:uiPriority w:val="9"/>
    <w:rPr>
      <w:rFonts w:ascii="Arial" w:hAnsi="Arial" w:eastAsia="Arial" w:cs="Arial"/>
      <w:i/>
      <w:iCs/>
      <w:sz w:val="22"/>
      <w:szCs w:val="22"/>
    </w:rPr>
  </w:style>
  <w:style w:type="character" w:styleId="854">
    <w:name w:val="Heading 9 Char"/>
    <w:basedOn w:val="872"/>
    <w:link w:val="871"/>
    <w:uiPriority w:val="9"/>
    <w:rPr>
      <w:rFonts w:ascii="Arial" w:hAnsi="Arial" w:eastAsia="Arial" w:cs="Arial"/>
      <w:i/>
      <w:iCs/>
      <w:sz w:val="21"/>
      <w:szCs w:val="21"/>
    </w:rPr>
  </w:style>
  <w:style w:type="character" w:styleId="855">
    <w:name w:val="Title Char"/>
    <w:basedOn w:val="872"/>
    <w:link w:val="894"/>
    <w:uiPriority w:val="10"/>
    <w:rPr>
      <w:sz w:val="48"/>
      <w:szCs w:val="48"/>
    </w:rPr>
  </w:style>
  <w:style w:type="character" w:styleId="856">
    <w:name w:val="Subtitle Char"/>
    <w:basedOn w:val="872"/>
    <w:link w:val="887"/>
    <w:uiPriority w:val="11"/>
    <w:rPr>
      <w:sz w:val="24"/>
      <w:szCs w:val="24"/>
    </w:rPr>
  </w:style>
  <w:style w:type="character" w:styleId="857">
    <w:name w:val="Header Char"/>
    <w:basedOn w:val="872"/>
    <w:link w:val="884"/>
    <w:uiPriority w:val="99"/>
  </w:style>
  <w:style w:type="character" w:styleId="858">
    <w:name w:val="Caption Char"/>
    <w:basedOn w:val="876"/>
    <w:link w:val="883"/>
    <w:uiPriority w:val="99"/>
  </w:style>
  <w:style w:type="character" w:styleId="859">
    <w:name w:val="Footnote Text Char"/>
    <w:link w:val="888"/>
    <w:uiPriority w:val="99"/>
    <w:rPr>
      <w:sz w:val="18"/>
    </w:rPr>
  </w:style>
  <w:style w:type="character" w:styleId="860">
    <w:name w:val="Endnote Text Char"/>
    <w:link w:val="881"/>
    <w:uiPriority w:val="99"/>
    <w:rPr>
      <w:sz w:val="20"/>
    </w:rPr>
  </w:style>
  <w:style w:type="paragraph" w:styleId="861">
    <w:name w:val="TOC Heading"/>
    <w:uiPriority w:val="39"/>
    <w:unhideWhenUsed/>
  </w:style>
  <w:style w:type="paragraph" w:styleId="86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3">
    <w:name w:val="Heading 1"/>
    <w:basedOn w:val="862"/>
    <w:next w:val="862"/>
    <w:link w:val="900"/>
    <w:uiPriority w:val="9"/>
    <w:qFormat/>
    <w:pPr>
      <w:keepLines/>
      <w:keepNext/>
      <w:spacing w:before="480" w:after="200"/>
      <w:outlineLvl w:val="0"/>
    </w:pPr>
    <w:rPr>
      <w:rFonts w:ascii="Arial" w:hAnsi="Arial" w:eastAsia="Arial" w:cs="Arial"/>
      <w:sz w:val="40"/>
      <w:szCs w:val="40"/>
    </w:rPr>
  </w:style>
  <w:style w:type="paragraph" w:styleId="864">
    <w:name w:val="Heading 2"/>
    <w:basedOn w:val="862"/>
    <w:next w:val="862"/>
    <w:link w:val="901"/>
    <w:uiPriority w:val="9"/>
    <w:unhideWhenUsed/>
    <w:qFormat/>
    <w:pPr>
      <w:keepLines/>
      <w:keepNext/>
      <w:spacing w:before="360" w:after="200"/>
      <w:outlineLvl w:val="1"/>
    </w:pPr>
    <w:rPr>
      <w:rFonts w:ascii="Arial" w:hAnsi="Arial" w:eastAsia="Arial" w:cs="Arial"/>
      <w:sz w:val="34"/>
    </w:rPr>
  </w:style>
  <w:style w:type="paragraph" w:styleId="865">
    <w:name w:val="Heading 3"/>
    <w:basedOn w:val="862"/>
    <w:next w:val="862"/>
    <w:link w:val="902"/>
    <w:uiPriority w:val="9"/>
    <w:unhideWhenUsed/>
    <w:qFormat/>
    <w:pPr>
      <w:keepLines/>
      <w:keepNext/>
      <w:spacing w:before="320" w:after="200"/>
      <w:outlineLvl w:val="2"/>
    </w:pPr>
    <w:rPr>
      <w:rFonts w:ascii="Arial" w:hAnsi="Arial" w:eastAsia="Arial" w:cs="Arial"/>
      <w:sz w:val="30"/>
      <w:szCs w:val="30"/>
    </w:rPr>
  </w:style>
  <w:style w:type="paragraph" w:styleId="866">
    <w:name w:val="Heading 4"/>
    <w:basedOn w:val="862"/>
    <w:next w:val="874"/>
    <w:link w:val="903"/>
    <w:uiPriority w:val="9"/>
    <w:unhideWhenUsed/>
    <w:qFormat/>
    <w:pPr>
      <w:keepLines/>
      <w:keepNext/>
      <w:spacing w:before="320" w:after="200"/>
      <w:outlineLvl w:val="3"/>
    </w:pPr>
    <w:rPr>
      <w:rFonts w:ascii="Arial" w:hAnsi="Arial" w:eastAsia="Arial" w:cs="Arial"/>
      <w:b/>
      <w:bCs/>
      <w:sz w:val="26"/>
      <w:szCs w:val="26"/>
    </w:rPr>
  </w:style>
  <w:style w:type="paragraph" w:styleId="867">
    <w:name w:val="Heading 5"/>
    <w:basedOn w:val="862"/>
    <w:next w:val="862"/>
    <w:link w:val="904"/>
    <w:uiPriority w:val="9"/>
    <w:unhideWhenUsed/>
    <w:qFormat/>
    <w:pPr>
      <w:keepLines/>
      <w:keepNext/>
      <w:spacing w:before="320" w:after="200"/>
      <w:outlineLvl w:val="4"/>
    </w:pPr>
    <w:rPr>
      <w:rFonts w:ascii="Arial" w:hAnsi="Arial" w:eastAsia="Arial" w:cs="Arial"/>
      <w:b/>
      <w:bCs/>
      <w:sz w:val="24"/>
    </w:rPr>
  </w:style>
  <w:style w:type="paragraph" w:styleId="868">
    <w:name w:val="Heading 6"/>
    <w:basedOn w:val="862"/>
    <w:next w:val="862"/>
    <w:link w:val="905"/>
    <w:uiPriority w:val="9"/>
    <w:unhideWhenUsed/>
    <w:qFormat/>
    <w:pPr>
      <w:keepLines/>
      <w:keepNext/>
      <w:spacing w:before="320" w:after="200"/>
      <w:outlineLvl w:val="5"/>
    </w:pPr>
    <w:rPr>
      <w:rFonts w:ascii="Arial" w:hAnsi="Arial" w:eastAsia="Arial" w:cs="Arial"/>
      <w:b/>
      <w:bCs/>
      <w:sz w:val="22"/>
      <w:szCs w:val="22"/>
    </w:rPr>
  </w:style>
  <w:style w:type="paragraph" w:styleId="869">
    <w:name w:val="Heading 7"/>
    <w:basedOn w:val="862"/>
    <w:next w:val="862"/>
    <w:link w:val="906"/>
    <w:uiPriority w:val="9"/>
    <w:unhideWhenUsed/>
    <w:qFormat/>
    <w:pPr>
      <w:keepLines/>
      <w:keepNext/>
      <w:spacing w:before="320" w:after="200"/>
      <w:outlineLvl w:val="6"/>
    </w:pPr>
    <w:rPr>
      <w:rFonts w:ascii="Arial" w:hAnsi="Arial" w:eastAsia="Arial" w:cs="Arial"/>
      <w:b/>
      <w:bCs/>
      <w:i/>
      <w:iCs/>
      <w:sz w:val="22"/>
      <w:szCs w:val="22"/>
    </w:rPr>
  </w:style>
  <w:style w:type="paragraph" w:styleId="870">
    <w:name w:val="Heading 8"/>
    <w:basedOn w:val="862"/>
    <w:next w:val="862"/>
    <w:link w:val="907"/>
    <w:uiPriority w:val="9"/>
    <w:unhideWhenUsed/>
    <w:qFormat/>
    <w:pPr>
      <w:keepLines/>
      <w:keepNext/>
      <w:spacing w:before="320" w:after="200"/>
      <w:outlineLvl w:val="7"/>
    </w:pPr>
    <w:rPr>
      <w:rFonts w:ascii="Arial" w:hAnsi="Arial" w:eastAsia="Arial" w:cs="Arial"/>
      <w:i/>
      <w:iCs/>
      <w:sz w:val="22"/>
      <w:szCs w:val="22"/>
    </w:rPr>
  </w:style>
  <w:style w:type="paragraph" w:styleId="871">
    <w:name w:val="Heading 9"/>
    <w:basedOn w:val="862"/>
    <w:next w:val="862"/>
    <w:link w:val="908"/>
    <w:uiPriority w:val="9"/>
    <w:unhideWhenUsed/>
    <w:qFormat/>
    <w:pPr>
      <w:keepLines/>
      <w:keepNext/>
      <w:spacing w:before="320" w:after="200"/>
      <w:outlineLvl w:val="8"/>
    </w:pPr>
    <w:rPr>
      <w:rFonts w:ascii="Arial" w:hAnsi="Arial" w:eastAsia="Arial" w:cs="Arial"/>
      <w:i/>
      <w:iCs/>
      <w:szCs w:val="21"/>
    </w:rPr>
  </w:style>
  <w:style w:type="character" w:styleId="872" w:default="1">
    <w:name w:val="Default Paragraph Font"/>
    <w:uiPriority w:val="1"/>
    <w:unhideWhenUsed/>
    <w:qFormat/>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name w:val="Normal Indent"/>
    <w:basedOn w:val="862"/>
    <w:uiPriority w:val="0"/>
    <w:qFormat/>
    <w:pPr>
      <w:ind w:firstLine="420"/>
    </w:pPr>
  </w:style>
  <w:style w:type="paragraph" w:styleId="875">
    <w:name w:val="toc 7"/>
    <w:basedOn w:val="862"/>
    <w:next w:val="862"/>
    <w:uiPriority w:val="39"/>
    <w:unhideWhenUsed/>
    <w:qFormat/>
    <w:pPr>
      <w:ind w:left="1701"/>
      <w:spacing w:after="57"/>
    </w:pPr>
  </w:style>
  <w:style w:type="paragraph" w:styleId="876">
    <w:name w:val="Caption"/>
    <w:basedOn w:val="862"/>
    <w:next w:val="8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7">
    <w:name w:val="annotation text"/>
    <w:basedOn w:val="862"/>
    <w:uiPriority w:val="99"/>
    <w:semiHidden/>
    <w:unhideWhenUsed/>
    <w:qFormat/>
    <w:pPr>
      <w:jc w:val="left"/>
    </w:pPr>
  </w:style>
  <w:style w:type="paragraph" w:styleId="878">
    <w:name w:val="toc 5"/>
    <w:basedOn w:val="862"/>
    <w:next w:val="862"/>
    <w:uiPriority w:val="39"/>
    <w:unhideWhenUsed/>
    <w:qFormat/>
    <w:pPr>
      <w:ind w:left="1134"/>
      <w:spacing w:after="57"/>
    </w:pPr>
  </w:style>
  <w:style w:type="paragraph" w:styleId="879">
    <w:name w:val="toc 3"/>
    <w:basedOn w:val="862"/>
    <w:next w:val="862"/>
    <w:uiPriority w:val="39"/>
    <w:unhideWhenUsed/>
    <w:qFormat/>
    <w:pPr>
      <w:ind w:left="567"/>
      <w:spacing w:after="57"/>
    </w:pPr>
  </w:style>
  <w:style w:type="paragraph" w:styleId="880">
    <w:name w:val="toc 8"/>
    <w:basedOn w:val="862"/>
    <w:next w:val="862"/>
    <w:uiPriority w:val="39"/>
    <w:unhideWhenUsed/>
    <w:qFormat/>
    <w:pPr>
      <w:ind w:left="1984"/>
      <w:spacing w:after="57"/>
    </w:pPr>
  </w:style>
  <w:style w:type="paragraph" w:styleId="881">
    <w:name w:val="endnote text"/>
    <w:basedOn w:val="862"/>
    <w:link w:val="937"/>
    <w:uiPriority w:val="99"/>
    <w:semiHidden/>
    <w:unhideWhenUsed/>
    <w:qFormat/>
    <w:rPr>
      <w:sz w:val="20"/>
    </w:rPr>
  </w:style>
  <w:style w:type="paragraph" w:styleId="882">
    <w:name w:val="Balloon Text"/>
    <w:basedOn w:val="862"/>
    <w:link w:val="1699"/>
    <w:uiPriority w:val="99"/>
    <w:semiHidden/>
    <w:unhideWhenUsed/>
    <w:qFormat/>
    <w:rPr>
      <w:sz w:val="18"/>
      <w:szCs w:val="18"/>
    </w:rPr>
  </w:style>
  <w:style w:type="paragraph" w:styleId="883">
    <w:name w:val="Footer"/>
    <w:basedOn w:val="862"/>
    <w:link w:val="916"/>
    <w:uiPriority w:val="99"/>
    <w:unhideWhenUsed/>
    <w:qFormat/>
    <w:pPr>
      <w:tabs>
        <w:tab w:val="center" w:pos="7143" w:leader="none"/>
        <w:tab w:val="right" w:pos="14287" w:leader="none"/>
      </w:tabs>
    </w:pPr>
  </w:style>
  <w:style w:type="paragraph" w:styleId="884">
    <w:name w:val="Header"/>
    <w:basedOn w:val="862"/>
    <w:link w:val="915"/>
    <w:uiPriority w:val="99"/>
    <w:unhideWhenUsed/>
    <w:qFormat/>
    <w:pPr>
      <w:tabs>
        <w:tab w:val="center" w:pos="7143" w:leader="none"/>
        <w:tab w:val="right" w:pos="14287" w:leader="none"/>
      </w:tabs>
    </w:pPr>
  </w:style>
  <w:style w:type="paragraph" w:styleId="885">
    <w:name w:val="toc 1"/>
    <w:basedOn w:val="862"/>
    <w:next w:val="862"/>
    <w:uiPriority w:val="39"/>
    <w:unhideWhenUsed/>
    <w:qFormat/>
    <w:pPr>
      <w:spacing w:after="57"/>
    </w:pPr>
  </w:style>
  <w:style w:type="paragraph" w:styleId="886">
    <w:name w:val="toc 4"/>
    <w:basedOn w:val="862"/>
    <w:next w:val="862"/>
    <w:uiPriority w:val="39"/>
    <w:unhideWhenUsed/>
    <w:qFormat/>
    <w:pPr>
      <w:ind w:left="850"/>
      <w:spacing w:after="57"/>
    </w:pPr>
  </w:style>
  <w:style w:type="paragraph" w:styleId="887">
    <w:name w:val="Subtitle"/>
    <w:basedOn w:val="862"/>
    <w:next w:val="862"/>
    <w:link w:val="912"/>
    <w:uiPriority w:val="11"/>
    <w:qFormat/>
    <w:pPr>
      <w:spacing w:before="200" w:after="200"/>
    </w:pPr>
    <w:rPr>
      <w:sz w:val="24"/>
    </w:rPr>
  </w:style>
  <w:style w:type="paragraph" w:styleId="888">
    <w:name w:val="footnote text"/>
    <w:basedOn w:val="862"/>
    <w:link w:val="936"/>
    <w:uiPriority w:val="99"/>
    <w:semiHidden/>
    <w:unhideWhenUsed/>
    <w:qFormat/>
    <w:pPr>
      <w:spacing w:after="40"/>
    </w:pPr>
    <w:rPr>
      <w:sz w:val="18"/>
    </w:rPr>
  </w:style>
  <w:style w:type="paragraph" w:styleId="889">
    <w:name w:val="toc 6"/>
    <w:basedOn w:val="862"/>
    <w:next w:val="862"/>
    <w:uiPriority w:val="39"/>
    <w:unhideWhenUsed/>
    <w:qFormat/>
    <w:pPr>
      <w:ind w:left="1417"/>
      <w:spacing w:after="57"/>
    </w:pPr>
  </w:style>
  <w:style w:type="paragraph" w:styleId="890">
    <w:name w:val="table of figures"/>
    <w:basedOn w:val="862"/>
    <w:next w:val="862"/>
    <w:uiPriority w:val="99"/>
    <w:unhideWhenUsed/>
    <w:qFormat/>
  </w:style>
  <w:style w:type="paragraph" w:styleId="891">
    <w:name w:val="toc 2"/>
    <w:basedOn w:val="862"/>
    <w:next w:val="862"/>
    <w:uiPriority w:val="39"/>
    <w:unhideWhenUsed/>
    <w:qFormat/>
    <w:pPr>
      <w:ind w:left="283"/>
      <w:spacing w:after="57"/>
    </w:pPr>
  </w:style>
  <w:style w:type="paragraph" w:styleId="892">
    <w:name w:val="toc 9"/>
    <w:basedOn w:val="862"/>
    <w:next w:val="862"/>
    <w:uiPriority w:val="39"/>
    <w:unhideWhenUsed/>
    <w:qFormat/>
    <w:pPr>
      <w:ind w:left="2268"/>
      <w:spacing w:after="57"/>
    </w:pPr>
  </w:style>
  <w:style w:type="paragraph" w:styleId="893">
    <w:name w:val="Normal (Web)"/>
    <w:basedOn w:val="862"/>
    <w:uiPriority w:val="99"/>
    <w:qFormat/>
    <w:pPr>
      <w:jc w:val="left"/>
      <w:spacing w:before="100" w:beforeAutospacing="1" w:after="100" w:afterAutospacing="1"/>
      <w:widowControl/>
    </w:pPr>
    <w:rPr>
      <w:rFonts w:ascii="宋体" w:hAnsi="宋体" w:cs="宋体"/>
      <w:color w:val="000000"/>
      <w:sz w:val="24"/>
    </w:rPr>
  </w:style>
  <w:style w:type="paragraph" w:styleId="894">
    <w:name w:val="Title"/>
    <w:basedOn w:val="862"/>
    <w:next w:val="862"/>
    <w:link w:val="911"/>
    <w:uiPriority w:val="10"/>
    <w:qFormat/>
    <w:pPr>
      <w:contextualSpacing/>
      <w:spacing w:before="300" w:after="200"/>
    </w:pPr>
    <w:rPr>
      <w:sz w:val="48"/>
      <w:szCs w:val="48"/>
    </w:rPr>
  </w:style>
  <w:style w:type="table" w:styleId="8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endnote reference"/>
    <w:uiPriority w:val="99"/>
    <w:semiHidden/>
    <w:unhideWhenUsed/>
    <w:qFormat/>
    <w:rPr>
      <w:vertAlign w:val="superscript"/>
    </w:rPr>
  </w:style>
  <w:style w:type="character" w:styleId="897">
    <w:name w:val="Hyperlink"/>
    <w:uiPriority w:val="99"/>
    <w:unhideWhenUsed/>
    <w:qFormat/>
    <w:rPr>
      <w:color w:val="0000ff" w:themeColor="hyperlink"/>
      <w:u w:val="single"/>
      <w14:textFill>
        <w14:solidFill>
          <w14:schemeClr w14:val="hlink"/>
        </w14:solidFill>
      </w14:textFill>
    </w:rPr>
  </w:style>
  <w:style w:type="character" w:styleId="898">
    <w:name w:val="footnote reference"/>
    <w:uiPriority w:val="99"/>
    <w:unhideWhenUsed/>
    <w:qFormat/>
    <w:rPr>
      <w:vertAlign w:val="superscript"/>
    </w:rPr>
  </w:style>
  <w:style w:type="paragraph" w:styleId="899" w:customStyle="1">
    <w:name w:val="列表段落"/>
    <w:basedOn w:val="862"/>
    <w:uiPriority w:val="34"/>
    <w:qFormat/>
    <w:pPr>
      <w:ind w:firstLine="420"/>
    </w:pPr>
  </w:style>
  <w:style w:type="character" w:styleId="900" w:customStyle="1">
    <w:name w:val="标题 1 Char1"/>
    <w:link w:val="863"/>
    <w:uiPriority w:val="9"/>
    <w:qFormat/>
    <w:rPr>
      <w:rFonts w:ascii="Arial" w:hAnsi="Arial" w:eastAsia="Arial" w:cs="Arial"/>
      <w:sz w:val="40"/>
      <w:szCs w:val="40"/>
    </w:rPr>
  </w:style>
  <w:style w:type="character" w:styleId="901" w:customStyle="1">
    <w:name w:val="标题 2 Char1"/>
    <w:link w:val="864"/>
    <w:uiPriority w:val="9"/>
    <w:qFormat/>
    <w:rPr>
      <w:rFonts w:ascii="Arial" w:hAnsi="Arial" w:eastAsia="Arial" w:cs="Arial"/>
      <w:sz w:val="34"/>
    </w:rPr>
  </w:style>
  <w:style w:type="character" w:styleId="902" w:customStyle="1">
    <w:name w:val="标题 3 Char2"/>
    <w:link w:val="865"/>
    <w:uiPriority w:val="9"/>
    <w:qFormat/>
    <w:rPr>
      <w:rFonts w:ascii="Arial" w:hAnsi="Arial" w:eastAsia="Arial" w:cs="Arial"/>
      <w:sz w:val="30"/>
      <w:szCs w:val="30"/>
    </w:rPr>
  </w:style>
  <w:style w:type="character" w:styleId="903" w:customStyle="1">
    <w:name w:val="标题 4 Char1"/>
    <w:link w:val="866"/>
    <w:uiPriority w:val="9"/>
    <w:qFormat/>
    <w:rPr>
      <w:rFonts w:ascii="Arial" w:hAnsi="Arial" w:eastAsia="Arial" w:cs="Arial"/>
      <w:b/>
      <w:bCs/>
      <w:sz w:val="26"/>
      <w:szCs w:val="26"/>
    </w:rPr>
  </w:style>
  <w:style w:type="character" w:styleId="904" w:customStyle="1">
    <w:name w:val="标题 5 Char1"/>
    <w:link w:val="867"/>
    <w:uiPriority w:val="9"/>
    <w:qFormat/>
    <w:rPr>
      <w:rFonts w:ascii="Arial" w:hAnsi="Arial" w:eastAsia="Arial" w:cs="Arial"/>
      <w:b/>
      <w:bCs/>
      <w:sz w:val="24"/>
      <w:szCs w:val="24"/>
    </w:rPr>
  </w:style>
  <w:style w:type="character" w:styleId="905" w:customStyle="1">
    <w:name w:val="标题 6 Char1"/>
    <w:link w:val="868"/>
    <w:uiPriority w:val="9"/>
    <w:qFormat/>
    <w:rPr>
      <w:rFonts w:ascii="Arial" w:hAnsi="Arial" w:eastAsia="Arial" w:cs="Arial"/>
      <w:b/>
      <w:bCs/>
      <w:sz w:val="22"/>
      <w:szCs w:val="22"/>
    </w:rPr>
  </w:style>
  <w:style w:type="character" w:styleId="906" w:customStyle="1">
    <w:name w:val="标题 7 Char1"/>
    <w:link w:val="869"/>
    <w:uiPriority w:val="9"/>
    <w:qFormat/>
    <w:rPr>
      <w:rFonts w:ascii="Arial" w:hAnsi="Arial" w:eastAsia="Arial" w:cs="Arial"/>
      <w:b/>
      <w:bCs/>
      <w:i/>
      <w:iCs/>
      <w:sz w:val="22"/>
      <w:szCs w:val="22"/>
    </w:rPr>
  </w:style>
  <w:style w:type="character" w:styleId="907" w:customStyle="1">
    <w:name w:val="标题 8 Char1"/>
    <w:link w:val="870"/>
    <w:uiPriority w:val="9"/>
    <w:qFormat/>
    <w:rPr>
      <w:rFonts w:ascii="Arial" w:hAnsi="Arial" w:eastAsia="Arial" w:cs="Arial"/>
      <w:i/>
      <w:iCs/>
      <w:sz w:val="22"/>
      <w:szCs w:val="22"/>
    </w:rPr>
  </w:style>
  <w:style w:type="character" w:styleId="908" w:customStyle="1">
    <w:name w:val="标题 9 Char1"/>
    <w:link w:val="871"/>
    <w:uiPriority w:val="9"/>
    <w:qFormat/>
    <w:rPr>
      <w:rFonts w:ascii="Arial" w:hAnsi="Arial" w:eastAsia="Arial" w:cs="Arial"/>
      <w:i/>
      <w:iCs/>
      <w:sz w:val="21"/>
      <w:szCs w:val="21"/>
    </w:rPr>
  </w:style>
  <w:style w:type="paragraph" w:styleId="909">
    <w:name w:val="List Paragraph"/>
    <w:basedOn w:val="862"/>
    <w:uiPriority w:val="34"/>
    <w:qFormat/>
    <w:pPr>
      <w:contextualSpacing/>
      <w:ind w:left="720"/>
    </w:pPr>
  </w:style>
  <w:style w:type="paragraph" w:styleId="910">
    <w:name w:val="No Spacing"/>
    <w:uiPriority w:val="1"/>
    <w:qFormat/>
    <w:rPr>
      <w:rFonts w:ascii="Times New Roman" w:hAnsi="Times New Roman" w:eastAsia="宋体" w:cs="Times New Roman"/>
      <w:lang w:val="en-US" w:eastAsia="zh-CN" w:bidi="ar-SA"/>
    </w:rPr>
  </w:style>
  <w:style w:type="character" w:styleId="911" w:customStyle="1">
    <w:name w:val="标题 Char2"/>
    <w:link w:val="894"/>
    <w:uiPriority w:val="10"/>
    <w:qFormat/>
    <w:rPr>
      <w:sz w:val="48"/>
      <w:szCs w:val="48"/>
    </w:rPr>
  </w:style>
  <w:style w:type="character" w:styleId="912" w:customStyle="1">
    <w:name w:val="副标题 Char1"/>
    <w:link w:val="887"/>
    <w:uiPriority w:val="11"/>
    <w:qFormat/>
    <w:rPr>
      <w:sz w:val="24"/>
      <w:szCs w:val="24"/>
    </w:rPr>
  </w:style>
  <w:style w:type="paragraph" w:styleId="913">
    <w:name w:val="Quote"/>
    <w:basedOn w:val="862"/>
    <w:next w:val="862"/>
    <w:uiPriority w:val="29"/>
    <w:qFormat/>
    <w:pPr>
      <w:ind w:left="720" w:right="720"/>
    </w:pPr>
    <w:rPr>
      <w:i/>
    </w:rPr>
  </w:style>
  <w:style w:type="paragraph" w:styleId="914">
    <w:name w:val="Intense Quote"/>
    <w:basedOn w:val="862"/>
    <w:next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页眉 Char1"/>
    <w:link w:val="884"/>
    <w:uiPriority w:val="99"/>
    <w:qFormat/>
  </w:style>
  <w:style w:type="character" w:styleId="916" w:customStyle="1">
    <w:name w:val="页脚 Char1"/>
    <w:link w:val="883"/>
    <w:uiPriority w:val="99"/>
    <w:qFormat/>
  </w:style>
  <w:style w:type="table" w:styleId="91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6" w:customStyle="1">
    <w:name w:val="脚注文本 Char1"/>
    <w:link w:val="888"/>
    <w:uiPriority w:val="99"/>
    <w:qFormat/>
    <w:rPr>
      <w:sz w:val="18"/>
    </w:rPr>
  </w:style>
  <w:style w:type="character" w:styleId="937" w:customStyle="1">
    <w:name w:val="尾注文本 Char1"/>
    <w:link w:val="881"/>
    <w:uiPriority w:val="99"/>
    <w:qFormat/>
    <w:rPr>
      <w:sz w:val="20"/>
    </w:rPr>
  </w:style>
  <w:style w:type="paragraph" w:styleId="938" w:customStyle="1">
    <w:name w:val="TOC 标题1"/>
    <w:uiPriority w:val="39"/>
    <w:unhideWhenUsed/>
    <w:qFormat/>
    <w:rPr>
      <w:rFonts w:ascii="Times New Roman" w:hAnsi="Times New Roman" w:eastAsia="宋体" w:cs="Times New Roman"/>
      <w:lang w:val="en-US" w:eastAsia="zh-CN" w:bidi="ar-SA"/>
    </w:rPr>
  </w:style>
  <w:style w:type="paragraph" w:styleId="939" w:customStyle="1">
    <w:name w:val="标题 112"/>
    <w:basedOn w:val="862"/>
    <w:next w:val="862"/>
    <w:link w:val="951"/>
    <w:uiPriority w:val="9"/>
    <w:qFormat/>
    <w:pPr>
      <w:keepLines/>
      <w:keepNext/>
      <w:spacing w:before="480" w:after="200"/>
      <w:outlineLvl w:val="0"/>
    </w:pPr>
    <w:rPr>
      <w:rFonts w:ascii="Arial" w:hAnsi="Arial" w:eastAsia="Arial" w:cs="Arial"/>
      <w:sz w:val="40"/>
      <w:szCs w:val="40"/>
    </w:rPr>
  </w:style>
  <w:style w:type="paragraph" w:styleId="940" w:customStyle="1">
    <w:name w:val="标题 212"/>
    <w:basedOn w:val="862"/>
    <w:next w:val="862"/>
    <w:link w:val="952"/>
    <w:uiPriority w:val="9"/>
    <w:qFormat/>
    <w:pPr>
      <w:keepLines/>
      <w:keepNext/>
      <w:spacing w:before="360" w:after="200"/>
      <w:outlineLvl w:val="1"/>
    </w:pPr>
    <w:rPr>
      <w:rFonts w:ascii="Arial" w:hAnsi="Arial" w:eastAsia="Arial" w:cs="Arial"/>
      <w:sz w:val="34"/>
    </w:rPr>
  </w:style>
  <w:style w:type="paragraph" w:styleId="941" w:customStyle="1">
    <w:name w:val="标题 312"/>
    <w:basedOn w:val="862"/>
    <w:next w:val="862"/>
    <w:link w:val="953"/>
    <w:uiPriority w:val="9"/>
    <w:qFormat/>
    <w:pPr>
      <w:keepLines/>
      <w:keepNext/>
      <w:spacing w:before="320" w:after="200"/>
      <w:outlineLvl w:val="2"/>
    </w:pPr>
    <w:rPr>
      <w:rFonts w:ascii="Arial" w:hAnsi="Arial" w:eastAsia="Arial" w:cs="Arial"/>
      <w:sz w:val="30"/>
      <w:szCs w:val="30"/>
    </w:rPr>
  </w:style>
  <w:style w:type="paragraph" w:styleId="942" w:customStyle="1">
    <w:name w:val="标题 413"/>
    <w:basedOn w:val="862"/>
    <w:next w:val="862"/>
    <w:link w:val="954"/>
    <w:uiPriority w:val="9"/>
    <w:qFormat/>
    <w:pPr>
      <w:keepLines/>
      <w:keepNext/>
      <w:spacing w:before="320" w:after="200"/>
      <w:outlineLvl w:val="3"/>
    </w:pPr>
    <w:rPr>
      <w:rFonts w:ascii="Arial" w:hAnsi="Arial" w:eastAsia="Arial" w:cs="Arial"/>
      <w:b/>
      <w:bCs/>
      <w:sz w:val="26"/>
      <w:szCs w:val="26"/>
    </w:rPr>
  </w:style>
  <w:style w:type="paragraph" w:styleId="943" w:customStyle="1">
    <w:name w:val="标题 512"/>
    <w:basedOn w:val="862"/>
    <w:next w:val="862"/>
    <w:link w:val="955"/>
    <w:uiPriority w:val="9"/>
    <w:qFormat/>
    <w:pPr>
      <w:keepLines/>
      <w:keepNext/>
      <w:spacing w:before="320" w:after="200"/>
      <w:outlineLvl w:val="4"/>
    </w:pPr>
    <w:rPr>
      <w:rFonts w:ascii="Arial" w:hAnsi="Arial" w:eastAsia="Arial" w:cs="Arial"/>
      <w:b/>
      <w:bCs/>
      <w:sz w:val="24"/>
    </w:rPr>
  </w:style>
  <w:style w:type="paragraph" w:styleId="944" w:customStyle="1">
    <w:name w:val="标题 612"/>
    <w:basedOn w:val="862"/>
    <w:next w:val="862"/>
    <w:link w:val="956"/>
    <w:uiPriority w:val="9"/>
    <w:qFormat/>
    <w:pPr>
      <w:keepLines/>
      <w:keepNext/>
      <w:spacing w:before="320" w:after="200"/>
      <w:outlineLvl w:val="5"/>
    </w:pPr>
    <w:rPr>
      <w:rFonts w:ascii="Arial" w:hAnsi="Arial" w:eastAsia="Arial" w:cs="Arial"/>
      <w:b/>
      <w:bCs/>
      <w:sz w:val="22"/>
      <w:szCs w:val="22"/>
    </w:rPr>
  </w:style>
  <w:style w:type="paragraph" w:styleId="945" w:customStyle="1">
    <w:name w:val="标题 712"/>
    <w:basedOn w:val="862"/>
    <w:next w:val="862"/>
    <w:link w:val="957"/>
    <w:uiPriority w:val="9"/>
    <w:qFormat/>
    <w:pPr>
      <w:keepLines/>
      <w:keepNext/>
      <w:spacing w:before="320" w:after="200"/>
      <w:outlineLvl w:val="6"/>
    </w:pPr>
    <w:rPr>
      <w:rFonts w:ascii="Arial" w:hAnsi="Arial" w:eastAsia="Arial" w:cs="Arial"/>
      <w:b/>
      <w:bCs/>
      <w:i/>
      <w:iCs/>
      <w:sz w:val="22"/>
      <w:szCs w:val="22"/>
    </w:rPr>
  </w:style>
  <w:style w:type="paragraph" w:styleId="946" w:customStyle="1">
    <w:name w:val="标题 812"/>
    <w:basedOn w:val="862"/>
    <w:next w:val="862"/>
    <w:link w:val="958"/>
    <w:uiPriority w:val="9"/>
    <w:qFormat/>
    <w:pPr>
      <w:keepLines/>
      <w:keepNext/>
      <w:spacing w:before="320" w:after="200"/>
      <w:outlineLvl w:val="7"/>
    </w:pPr>
    <w:rPr>
      <w:rFonts w:ascii="Arial" w:hAnsi="Arial" w:eastAsia="Arial" w:cs="Arial"/>
      <w:i/>
      <w:iCs/>
      <w:sz w:val="22"/>
      <w:szCs w:val="22"/>
    </w:rPr>
  </w:style>
  <w:style w:type="paragraph" w:styleId="947" w:customStyle="1">
    <w:name w:val="标题 912"/>
    <w:basedOn w:val="862"/>
    <w:next w:val="862"/>
    <w:link w:val="959"/>
    <w:uiPriority w:val="9"/>
    <w:qFormat/>
    <w:pPr>
      <w:keepLines/>
      <w:keepNext/>
      <w:spacing w:before="320" w:after="200"/>
      <w:outlineLvl w:val="8"/>
    </w:pPr>
    <w:rPr>
      <w:rFonts w:ascii="Arial" w:hAnsi="Arial" w:eastAsia="Arial" w:cs="Arial"/>
      <w:i/>
      <w:iCs/>
      <w:szCs w:val="21"/>
    </w:rPr>
  </w:style>
  <w:style w:type="character" w:styleId="948" w:customStyle="1">
    <w:name w:val="默认段落字体12"/>
    <w:uiPriority w:val="1"/>
    <w:unhideWhenUsed/>
    <w:qFormat/>
  </w:style>
  <w:style w:type="table" w:styleId="949" w:customStyle="1">
    <w:name w:val="普通表格12"/>
    <w:uiPriority w:val="99"/>
    <w:unhideWhenUsed/>
    <w:qFormat/>
    <w:tblPr>
      <w:tblCellMar>
        <w:left w:w="0" w:type="dxa"/>
        <w:top w:w="0" w:type="dxa"/>
        <w:right w:w="0" w:type="dxa"/>
        <w:bottom w:w="0" w:type="dxa"/>
      </w:tblCellMar>
    </w:tblPr>
  </w:style>
  <w:style w:type="paragraph" w:styleId="950" w:customStyle="1">
    <w:name w:val="段"/>
    <w:next w:val="862"/>
    <w:uiPriority w:val="99"/>
    <w:qFormat/>
    <w:pPr>
      <w:ind w:firstLine="200"/>
      <w:jc w:val="both"/>
    </w:pPr>
    <w:rPr>
      <w:rFonts w:ascii="宋体" w:hAnsi="Times New Roman" w:eastAsia="宋体" w:cs="Times New Roman"/>
      <w:sz w:val="21"/>
      <w:lang w:val="en-US" w:eastAsia="zh-CN" w:bidi="ar-SA"/>
    </w:rPr>
  </w:style>
  <w:style w:type="character" w:styleId="951" w:customStyle="1">
    <w:name w:val="标题 1 字符1"/>
    <w:link w:val="939"/>
    <w:uiPriority w:val="9"/>
    <w:qFormat/>
    <w:rPr>
      <w:rFonts w:ascii="Arial" w:hAnsi="Arial" w:eastAsia="Arial" w:cs="Arial"/>
      <w:sz w:val="40"/>
      <w:szCs w:val="40"/>
    </w:rPr>
  </w:style>
  <w:style w:type="character" w:styleId="952" w:customStyle="1">
    <w:name w:val="标题 2 字符1"/>
    <w:link w:val="940"/>
    <w:uiPriority w:val="9"/>
    <w:qFormat/>
    <w:rPr>
      <w:rFonts w:ascii="Arial" w:hAnsi="Arial" w:eastAsia="Arial" w:cs="Arial"/>
      <w:sz w:val="34"/>
    </w:rPr>
  </w:style>
  <w:style w:type="character" w:styleId="953" w:customStyle="1">
    <w:name w:val="标题 3 字符1"/>
    <w:link w:val="941"/>
    <w:uiPriority w:val="9"/>
    <w:qFormat/>
    <w:rPr>
      <w:rFonts w:ascii="Arial" w:hAnsi="Arial" w:eastAsia="Arial" w:cs="Arial"/>
      <w:sz w:val="30"/>
      <w:szCs w:val="30"/>
    </w:rPr>
  </w:style>
  <w:style w:type="character" w:styleId="954" w:customStyle="1">
    <w:name w:val="标题 4 字符1"/>
    <w:link w:val="942"/>
    <w:uiPriority w:val="9"/>
    <w:qFormat/>
    <w:rPr>
      <w:rFonts w:ascii="Arial" w:hAnsi="Arial" w:eastAsia="Arial" w:cs="Arial"/>
      <w:b/>
      <w:bCs/>
      <w:sz w:val="26"/>
      <w:szCs w:val="26"/>
    </w:rPr>
  </w:style>
  <w:style w:type="character" w:styleId="955" w:customStyle="1">
    <w:name w:val="标题 5 字符1"/>
    <w:link w:val="943"/>
    <w:uiPriority w:val="9"/>
    <w:qFormat/>
    <w:rPr>
      <w:rFonts w:ascii="Arial" w:hAnsi="Arial" w:eastAsia="Arial" w:cs="Arial"/>
      <w:b/>
      <w:bCs/>
      <w:sz w:val="24"/>
      <w:szCs w:val="24"/>
    </w:rPr>
  </w:style>
  <w:style w:type="character" w:styleId="956" w:customStyle="1">
    <w:name w:val="标题 6 字符1"/>
    <w:link w:val="944"/>
    <w:uiPriority w:val="9"/>
    <w:qFormat/>
    <w:rPr>
      <w:rFonts w:ascii="Arial" w:hAnsi="Arial" w:eastAsia="Arial" w:cs="Arial"/>
      <w:b/>
      <w:bCs/>
      <w:sz w:val="22"/>
      <w:szCs w:val="22"/>
    </w:rPr>
  </w:style>
  <w:style w:type="character" w:styleId="957" w:customStyle="1">
    <w:name w:val="标题 7 字符1"/>
    <w:link w:val="945"/>
    <w:uiPriority w:val="9"/>
    <w:qFormat/>
    <w:rPr>
      <w:rFonts w:ascii="Arial" w:hAnsi="Arial" w:eastAsia="Arial" w:cs="Arial"/>
      <w:b/>
      <w:bCs/>
      <w:i/>
      <w:iCs/>
      <w:sz w:val="22"/>
      <w:szCs w:val="22"/>
    </w:rPr>
  </w:style>
  <w:style w:type="character" w:styleId="958" w:customStyle="1">
    <w:name w:val="标题 8 字符1"/>
    <w:link w:val="946"/>
    <w:uiPriority w:val="9"/>
    <w:qFormat/>
    <w:rPr>
      <w:rFonts w:ascii="Arial" w:hAnsi="Arial" w:eastAsia="Arial" w:cs="Arial"/>
      <w:i/>
      <w:iCs/>
      <w:sz w:val="22"/>
      <w:szCs w:val="22"/>
    </w:rPr>
  </w:style>
  <w:style w:type="character" w:styleId="959" w:customStyle="1">
    <w:name w:val="标题 9 字符1"/>
    <w:link w:val="947"/>
    <w:uiPriority w:val="9"/>
    <w:qFormat/>
    <w:rPr>
      <w:rFonts w:ascii="Arial" w:hAnsi="Arial" w:eastAsia="Arial" w:cs="Arial"/>
      <w:i/>
      <w:iCs/>
      <w:sz w:val="21"/>
      <w:szCs w:val="21"/>
    </w:rPr>
  </w:style>
  <w:style w:type="paragraph" w:styleId="960" w:customStyle="1">
    <w:name w:val="目录 712"/>
    <w:basedOn w:val="862"/>
    <w:next w:val="862"/>
    <w:uiPriority w:val="39"/>
    <w:unhideWhenUsed/>
    <w:qFormat/>
    <w:pPr>
      <w:ind w:left="1701"/>
      <w:spacing w:after="57"/>
    </w:pPr>
  </w:style>
  <w:style w:type="paragraph" w:styleId="961" w:customStyle="1">
    <w:name w:val="题注11"/>
    <w:basedOn w:val="862"/>
    <w:next w:val="862"/>
    <w:uiPriority w:val="35"/>
    <w:qFormat/>
    <w:pPr>
      <w:spacing w:line="276" w:lineRule="auto"/>
    </w:pPr>
    <w:rPr>
      <w:b/>
      <w:bCs/>
      <w:color w:val="4f81bd"/>
      <w:sz w:val="18"/>
      <w:szCs w:val="18"/>
    </w:rPr>
  </w:style>
  <w:style w:type="paragraph" w:styleId="962" w:customStyle="1">
    <w:name w:val="批注文字12"/>
    <w:basedOn w:val="862"/>
    <w:link w:val="963"/>
    <w:uiPriority w:val="99"/>
    <w:unhideWhenUsed/>
    <w:qFormat/>
    <w:pPr>
      <w:jc w:val="left"/>
    </w:pPr>
  </w:style>
  <w:style w:type="character" w:styleId="963" w:customStyle="1">
    <w:name w:val="批注文字 字符1"/>
    <w:link w:val="962"/>
    <w:uiPriority w:val="99"/>
    <w:semiHidden/>
    <w:qFormat/>
    <w:rPr>
      <w:sz w:val="21"/>
      <w:szCs w:val="24"/>
    </w:rPr>
  </w:style>
  <w:style w:type="paragraph" w:styleId="964" w:customStyle="1">
    <w:name w:val="目录 512"/>
    <w:basedOn w:val="862"/>
    <w:next w:val="862"/>
    <w:uiPriority w:val="39"/>
    <w:unhideWhenUsed/>
    <w:qFormat/>
    <w:pPr>
      <w:ind w:left="1134"/>
      <w:spacing w:after="57"/>
    </w:pPr>
  </w:style>
  <w:style w:type="paragraph" w:styleId="965" w:customStyle="1">
    <w:name w:val="目录 312"/>
    <w:basedOn w:val="862"/>
    <w:next w:val="862"/>
    <w:uiPriority w:val="39"/>
    <w:unhideWhenUsed/>
    <w:qFormat/>
    <w:pPr>
      <w:ind w:left="567"/>
      <w:spacing w:after="57"/>
    </w:pPr>
  </w:style>
  <w:style w:type="paragraph" w:styleId="966" w:customStyle="1">
    <w:name w:val="目录 812"/>
    <w:basedOn w:val="862"/>
    <w:next w:val="862"/>
    <w:uiPriority w:val="39"/>
    <w:unhideWhenUsed/>
    <w:qFormat/>
    <w:pPr>
      <w:ind w:left="1984"/>
      <w:spacing w:after="57"/>
    </w:pPr>
  </w:style>
  <w:style w:type="paragraph" w:styleId="967" w:customStyle="1">
    <w:name w:val="尾注文本12"/>
    <w:basedOn w:val="862"/>
    <w:link w:val="968"/>
    <w:uiPriority w:val="99"/>
    <w:unhideWhenUsed/>
    <w:qFormat/>
    <w:rPr>
      <w:sz w:val="20"/>
    </w:rPr>
  </w:style>
  <w:style w:type="character" w:styleId="968" w:customStyle="1">
    <w:name w:val="尾注文本 字符1"/>
    <w:link w:val="967"/>
    <w:uiPriority w:val="99"/>
    <w:qFormat/>
    <w:rPr>
      <w:sz w:val="20"/>
    </w:rPr>
  </w:style>
  <w:style w:type="paragraph" w:styleId="969" w:customStyle="1">
    <w:name w:val="批注框文本13"/>
    <w:basedOn w:val="862"/>
    <w:link w:val="970"/>
    <w:uiPriority w:val="99"/>
    <w:unhideWhenUsed/>
    <w:qFormat/>
    <w:rPr>
      <w:sz w:val="18"/>
      <w:szCs w:val="18"/>
    </w:rPr>
  </w:style>
  <w:style w:type="character" w:styleId="970" w:customStyle="1">
    <w:name w:val="批注框文本 字符1"/>
    <w:link w:val="969"/>
    <w:uiPriority w:val="99"/>
    <w:semiHidden/>
    <w:qFormat/>
    <w:rPr>
      <w:sz w:val="18"/>
      <w:szCs w:val="18"/>
    </w:rPr>
  </w:style>
  <w:style w:type="paragraph" w:styleId="971" w:customStyle="1">
    <w:name w:val="页脚12"/>
    <w:basedOn w:val="862"/>
    <w:link w:val="972"/>
    <w:uiPriority w:val="99"/>
    <w:unhideWhenUsed/>
    <w:qFormat/>
    <w:pPr>
      <w:tabs>
        <w:tab w:val="center" w:pos="7143" w:leader="none"/>
        <w:tab w:val="right" w:pos="14287" w:leader="none"/>
      </w:tabs>
    </w:pPr>
  </w:style>
  <w:style w:type="character" w:styleId="972" w:customStyle="1">
    <w:name w:val="页脚 字符1"/>
    <w:link w:val="971"/>
    <w:uiPriority w:val="99"/>
    <w:qFormat/>
  </w:style>
  <w:style w:type="paragraph" w:styleId="973" w:customStyle="1">
    <w:name w:val="页眉12"/>
    <w:basedOn w:val="862"/>
    <w:link w:val="974"/>
    <w:uiPriority w:val="99"/>
    <w:unhideWhenUsed/>
    <w:qFormat/>
    <w:pPr>
      <w:tabs>
        <w:tab w:val="center" w:pos="7143" w:leader="none"/>
        <w:tab w:val="right" w:pos="14287" w:leader="none"/>
      </w:tabs>
    </w:pPr>
  </w:style>
  <w:style w:type="character" w:styleId="974" w:customStyle="1">
    <w:name w:val="页眉 字符1"/>
    <w:link w:val="973"/>
    <w:uiPriority w:val="99"/>
    <w:qFormat/>
  </w:style>
  <w:style w:type="paragraph" w:styleId="975" w:customStyle="1">
    <w:name w:val="目录 112"/>
    <w:basedOn w:val="862"/>
    <w:next w:val="862"/>
    <w:uiPriority w:val="39"/>
    <w:unhideWhenUsed/>
    <w:qFormat/>
    <w:pPr>
      <w:spacing w:after="57"/>
    </w:pPr>
  </w:style>
  <w:style w:type="paragraph" w:styleId="976" w:customStyle="1">
    <w:name w:val="目录 412"/>
    <w:basedOn w:val="862"/>
    <w:next w:val="862"/>
    <w:uiPriority w:val="39"/>
    <w:unhideWhenUsed/>
    <w:qFormat/>
    <w:pPr>
      <w:ind w:left="850"/>
      <w:spacing w:after="57"/>
    </w:pPr>
  </w:style>
  <w:style w:type="paragraph" w:styleId="977" w:customStyle="1">
    <w:name w:val="副标题12"/>
    <w:basedOn w:val="862"/>
    <w:next w:val="862"/>
    <w:link w:val="978"/>
    <w:uiPriority w:val="11"/>
    <w:qFormat/>
    <w:pPr>
      <w:spacing w:before="200" w:after="200"/>
    </w:pPr>
    <w:rPr>
      <w:sz w:val="24"/>
    </w:rPr>
  </w:style>
  <w:style w:type="character" w:styleId="978" w:customStyle="1">
    <w:name w:val="副标题 字符1"/>
    <w:link w:val="977"/>
    <w:uiPriority w:val="11"/>
    <w:qFormat/>
    <w:rPr>
      <w:sz w:val="24"/>
      <w:szCs w:val="24"/>
    </w:rPr>
  </w:style>
  <w:style w:type="paragraph" w:styleId="979" w:customStyle="1">
    <w:name w:val="脚注文本12"/>
    <w:basedOn w:val="862"/>
    <w:link w:val="980"/>
    <w:uiPriority w:val="99"/>
    <w:unhideWhenUsed/>
    <w:qFormat/>
    <w:pPr>
      <w:spacing w:after="40"/>
    </w:pPr>
    <w:rPr>
      <w:sz w:val="18"/>
    </w:rPr>
  </w:style>
  <w:style w:type="character" w:styleId="980" w:customStyle="1">
    <w:name w:val="脚注文本 字符1"/>
    <w:link w:val="979"/>
    <w:uiPriority w:val="99"/>
    <w:qFormat/>
    <w:rPr>
      <w:sz w:val="18"/>
    </w:rPr>
  </w:style>
  <w:style w:type="paragraph" w:styleId="981" w:customStyle="1">
    <w:name w:val="目录 612"/>
    <w:basedOn w:val="862"/>
    <w:next w:val="862"/>
    <w:uiPriority w:val="39"/>
    <w:unhideWhenUsed/>
    <w:qFormat/>
    <w:pPr>
      <w:ind w:left="1417"/>
      <w:spacing w:after="57"/>
    </w:pPr>
  </w:style>
  <w:style w:type="paragraph" w:styleId="982" w:customStyle="1">
    <w:name w:val="图表目录12"/>
    <w:basedOn w:val="862"/>
    <w:next w:val="862"/>
    <w:uiPriority w:val="99"/>
    <w:unhideWhenUsed/>
    <w:qFormat/>
  </w:style>
  <w:style w:type="paragraph" w:styleId="983" w:customStyle="1">
    <w:name w:val="目录 212"/>
    <w:basedOn w:val="862"/>
    <w:next w:val="862"/>
    <w:uiPriority w:val="39"/>
    <w:unhideWhenUsed/>
    <w:qFormat/>
    <w:pPr>
      <w:ind w:left="283"/>
      <w:spacing w:after="57"/>
    </w:pPr>
  </w:style>
  <w:style w:type="paragraph" w:styleId="984" w:customStyle="1">
    <w:name w:val="目录 912"/>
    <w:basedOn w:val="862"/>
    <w:next w:val="862"/>
    <w:uiPriority w:val="39"/>
    <w:unhideWhenUsed/>
    <w:qFormat/>
    <w:pPr>
      <w:ind w:left="2268"/>
      <w:spacing w:after="57"/>
    </w:pPr>
  </w:style>
  <w:style w:type="paragraph" w:styleId="985" w:customStyle="1">
    <w:name w:val="标题13"/>
    <w:basedOn w:val="862"/>
    <w:next w:val="862"/>
    <w:link w:val="986"/>
    <w:uiPriority w:val="10"/>
    <w:qFormat/>
    <w:pPr>
      <w:contextualSpacing/>
      <w:spacing w:before="300" w:after="200"/>
    </w:pPr>
    <w:rPr>
      <w:sz w:val="48"/>
      <w:szCs w:val="48"/>
    </w:rPr>
  </w:style>
  <w:style w:type="character" w:styleId="986" w:customStyle="1">
    <w:name w:val="标题 字符1"/>
    <w:link w:val="985"/>
    <w:uiPriority w:val="10"/>
    <w:qFormat/>
    <w:rPr>
      <w:sz w:val="48"/>
      <w:szCs w:val="48"/>
    </w:rPr>
  </w:style>
  <w:style w:type="paragraph" w:styleId="987" w:customStyle="1">
    <w:name w:val="批注主题13"/>
    <w:basedOn w:val="962"/>
    <w:next w:val="962"/>
    <w:link w:val="988"/>
    <w:uiPriority w:val="99"/>
    <w:unhideWhenUsed/>
    <w:qFormat/>
    <w:rPr>
      <w:b/>
      <w:bCs/>
    </w:rPr>
  </w:style>
  <w:style w:type="character" w:styleId="988" w:customStyle="1">
    <w:name w:val="批注主题 字符1"/>
    <w:link w:val="987"/>
    <w:uiPriority w:val="99"/>
    <w:semiHidden/>
    <w:qFormat/>
    <w:rPr>
      <w:b/>
      <w:bCs/>
      <w:sz w:val="21"/>
      <w:szCs w:val="24"/>
    </w:rPr>
  </w:style>
  <w:style w:type="table" w:styleId="989" w:customStyle="1">
    <w:name w:val="网格型12"/>
    <w:uiPriority w:val="59"/>
    <w:qFormat/>
    <w:tblPr>
      <w:tblCellMar>
        <w:left w:w="0" w:type="dxa"/>
        <w:top w:w="0" w:type="dxa"/>
        <w:right w:w="0" w:type="dxa"/>
        <w:bottom w:w="0" w:type="dxa"/>
      </w:tblCellMar>
    </w:tblPr>
  </w:style>
  <w:style w:type="character" w:styleId="990" w:customStyle="1">
    <w:name w:val="尾注引用12"/>
    <w:uiPriority w:val="99"/>
    <w:unhideWhenUsed/>
    <w:qFormat/>
    <w:rPr>
      <w:vertAlign w:val="superscript"/>
    </w:rPr>
  </w:style>
  <w:style w:type="character" w:styleId="991" w:customStyle="1">
    <w:name w:val="超链接12"/>
    <w:uiPriority w:val="99"/>
    <w:unhideWhenUsed/>
    <w:qFormat/>
    <w:rPr>
      <w:color w:val="0000ff"/>
      <w:u w:val="single"/>
    </w:rPr>
  </w:style>
  <w:style w:type="character" w:styleId="992" w:customStyle="1">
    <w:name w:val="批注引用12"/>
    <w:uiPriority w:val="99"/>
    <w:unhideWhenUsed/>
    <w:qFormat/>
    <w:rPr>
      <w:sz w:val="21"/>
      <w:szCs w:val="21"/>
    </w:rPr>
  </w:style>
  <w:style w:type="character" w:styleId="993" w:customStyle="1">
    <w:name w:val="脚注引用12"/>
    <w:uiPriority w:val="99"/>
    <w:unhideWhenUsed/>
    <w:qFormat/>
    <w:rPr>
      <w:vertAlign w:val="superscript"/>
    </w:rPr>
  </w:style>
  <w:style w:type="table" w:styleId="994" w:customStyle="1">
    <w:name w:val="无格式表格 11"/>
    <w:uiPriority w:val="59"/>
    <w:qFormat/>
    <w:tblPr>
      <w:tblCellMar>
        <w:left w:w="0" w:type="dxa"/>
        <w:top w:w="0" w:type="dxa"/>
        <w:right w:w="0" w:type="dxa"/>
        <w:bottom w:w="0" w:type="dxa"/>
      </w:tblCellMar>
    </w:tblPr>
  </w:style>
  <w:style w:type="table" w:styleId="995" w:customStyle="1">
    <w:name w:val="无格式表格 21"/>
    <w:uiPriority w:val="59"/>
    <w:qFormat/>
    <w:tblPr>
      <w:tblCellMar>
        <w:left w:w="0" w:type="dxa"/>
        <w:top w:w="0" w:type="dxa"/>
        <w:right w:w="0" w:type="dxa"/>
        <w:bottom w:w="0" w:type="dxa"/>
      </w:tblCellMar>
    </w:tblPr>
  </w:style>
  <w:style w:type="table" w:styleId="996" w:customStyle="1">
    <w:name w:val="无格式表格 31"/>
    <w:uiPriority w:val="99"/>
    <w:qFormat/>
    <w:tblPr>
      <w:tblCellMar>
        <w:left w:w="0" w:type="dxa"/>
        <w:top w:w="0" w:type="dxa"/>
        <w:right w:w="0" w:type="dxa"/>
        <w:bottom w:w="0" w:type="dxa"/>
      </w:tblCellMar>
    </w:tblPr>
  </w:style>
  <w:style w:type="table" w:styleId="997" w:customStyle="1">
    <w:name w:val="无格式表格 41"/>
    <w:uiPriority w:val="99"/>
    <w:qFormat/>
    <w:tblPr>
      <w:tblCellMar>
        <w:left w:w="0" w:type="dxa"/>
        <w:top w:w="0" w:type="dxa"/>
        <w:right w:w="0" w:type="dxa"/>
        <w:bottom w:w="0" w:type="dxa"/>
      </w:tblCellMar>
    </w:tblPr>
  </w:style>
  <w:style w:type="table" w:styleId="998" w:customStyle="1">
    <w:name w:val="无格式表格 51"/>
    <w:uiPriority w:val="99"/>
    <w:qFormat/>
    <w:tblPr>
      <w:tblCellMar>
        <w:left w:w="0" w:type="dxa"/>
        <w:top w:w="0" w:type="dxa"/>
        <w:right w:w="0" w:type="dxa"/>
        <w:bottom w:w="0" w:type="dxa"/>
      </w:tblCellMar>
    </w:tblPr>
  </w:style>
  <w:style w:type="table" w:styleId="999" w:customStyle="1">
    <w:name w:val="网格表 1 浅色1"/>
    <w:uiPriority w:val="99"/>
    <w:qFormat/>
    <w:tblPr>
      <w:tblCellMar>
        <w:left w:w="0" w:type="dxa"/>
        <w:top w:w="0" w:type="dxa"/>
        <w:right w:w="0" w:type="dxa"/>
        <w:bottom w:w="0" w:type="dxa"/>
      </w:tblCellMar>
    </w:tblPr>
  </w:style>
  <w:style w:type="table" w:styleId="1000" w:customStyle="1">
    <w:name w:val="网格表 21"/>
    <w:uiPriority w:val="99"/>
    <w:qFormat/>
    <w:tblPr>
      <w:tblCellMar>
        <w:left w:w="0" w:type="dxa"/>
        <w:top w:w="0" w:type="dxa"/>
        <w:right w:w="0" w:type="dxa"/>
        <w:bottom w:w="0" w:type="dxa"/>
      </w:tblCellMar>
    </w:tblPr>
  </w:style>
  <w:style w:type="table" w:styleId="1001" w:customStyle="1">
    <w:name w:val="网格表 31"/>
    <w:uiPriority w:val="99"/>
    <w:qFormat/>
    <w:tblPr>
      <w:tblCellMar>
        <w:left w:w="0" w:type="dxa"/>
        <w:top w:w="0" w:type="dxa"/>
        <w:right w:w="0" w:type="dxa"/>
        <w:bottom w:w="0" w:type="dxa"/>
      </w:tblCellMar>
    </w:tblPr>
  </w:style>
  <w:style w:type="table" w:styleId="1002" w:customStyle="1">
    <w:name w:val="网格表 41"/>
    <w:uiPriority w:val="59"/>
    <w:qFormat/>
    <w:tblPr>
      <w:tblCellMar>
        <w:left w:w="0" w:type="dxa"/>
        <w:top w:w="0" w:type="dxa"/>
        <w:right w:w="0" w:type="dxa"/>
        <w:bottom w:w="0" w:type="dxa"/>
      </w:tblCellMar>
    </w:tblPr>
  </w:style>
  <w:style w:type="table" w:styleId="1003" w:customStyle="1">
    <w:name w:val="网格表 5 深色1"/>
    <w:uiPriority w:val="99"/>
    <w:qFormat/>
    <w:tblPr>
      <w:tblCellMar>
        <w:left w:w="0" w:type="dxa"/>
        <w:top w:w="0" w:type="dxa"/>
        <w:right w:w="0" w:type="dxa"/>
        <w:bottom w:w="0" w:type="dxa"/>
      </w:tblCellMar>
    </w:tblPr>
  </w:style>
  <w:style w:type="table" w:styleId="1004" w:customStyle="1">
    <w:name w:val="网格表 6 彩色1"/>
    <w:uiPriority w:val="99"/>
    <w:qFormat/>
    <w:tblPr>
      <w:tblCellMar>
        <w:left w:w="0" w:type="dxa"/>
        <w:top w:w="0" w:type="dxa"/>
        <w:right w:w="0" w:type="dxa"/>
        <w:bottom w:w="0" w:type="dxa"/>
      </w:tblCellMar>
    </w:tblPr>
  </w:style>
  <w:style w:type="table" w:styleId="1005" w:customStyle="1">
    <w:name w:val="网格表 7 彩色1"/>
    <w:uiPriority w:val="99"/>
    <w:qFormat/>
    <w:tblPr>
      <w:tblCellMar>
        <w:left w:w="0" w:type="dxa"/>
        <w:top w:w="0" w:type="dxa"/>
        <w:right w:w="0" w:type="dxa"/>
        <w:bottom w:w="0" w:type="dxa"/>
      </w:tblCellMar>
    </w:tblPr>
  </w:style>
  <w:style w:type="table" w:styleId="1006" w:customStyle="1">
    <w:name w:val="清单表 1 浅色1"/>
    <w:uiPriority w:val="99"/>
    <w:qFormat/>
    <w:tblPr>
      <w:tblCellMar>
        <w:left w:w="0" w:type="dxa"/>
        <w:top w:w="0" w:type="dxa"/>
        <w:right w:w="0" w:type="dxa"/>
        <w:bottom w:w="0" w:type="dxa"/>
      </w:tblCellMar>
    </w:tblPr>
  </w:style>
  <w:style w:type="table" w:styleId="1007" w:customStyle="1">
    <w:name w:val="清单表 21"/>
    <w:uiPriority w:val="99"/>
    <w:qFormat/>
    <w:tblPr>
      <w:tblCellMar>
        <w:left w:w="0" w:type="dxa"/>
        <w:top w:w="0" w:type="dxa"/>
        <w:right w:w="0" w:type="dxa"/>
        <w:bottom w:w="0" w:type="dxa"/>
      </w:tblCellMar>
    </w:tblPr>
  </w:style>
  <w:style w:type="table" w:styleId="1008" w:customStyle="1">
    <w:name w:val="清单表 31"/>
    <w:uiPriority w:val="99"/>
    <w:qFormat/>
    <w:tblPr>
      <w:tblCellMar>
        <w:left w:w="0" w:type="dxa"/>
        <w:top w:w="0" w:type="dxa"/>
        <w:right w:w="0" w:type="dxa"/>
        <w:bottom w:w="0" w:type="dxa"/>
      </w:tblCellMar>
    </w:tblPr>
  </w:style>
  <w:style w:type="table" w:styleId="1009" w:customStyle="1">
    <w:name w:val="清单表 41"/>
    <w:uiPriority w:val="99"/>
    <w:qFormat/>
    <w:tblPr>
      <w:tblCellMar>
        <w:left w:w="0" w:type="dxa"/>
        <w:top w:w="0" w:type="dxa"/>
        <w:right w:w="0" w:type="dxa"/>
        <w:bottom w:w="0" w:type="dxa"/>
      </w:tblCellMar>
    </w:tblPr>
  </w:style>
  <w:style w:type="table" w:styleId="1010" w:customStyle="1">
    <w:name w:val="清单表 5 深色1"/>
    <w:uiPriority w:val="99"/>
    <w:qFormat/>
    <w:tblPr>
      <w:tblCellMar>
        <w:left w:w="0" w:type="dxa"/>
        <w:top w:w="0" w:type="dxa"/>
        <w:right w:w="0" w:type="dxa"/>
        <w:bottom w:w="0" w:type="dxa"/>
      </w:tblCellMar>
    </w:tblPr>
  </w:style>
  <w:style w:type="table" w:styleId="1011" w:customStyle="1">
    <w:name w:val="清单表 6 彩色1"/>
    <w:uiPriority w:val="99"/>
    <w:qFormat/>
    <w:tblPr>
      <w:tblCellMar>
        <w:left w:w="0" w:type="dxa"/>
        <w:top w:w="0" w:type="dxa"/>
        <w:right w:w="0" w:type="dxa"/>
        <w:bottom w:w="0" w:type="dxa"/>
      </w:tblCellMar>
    </w:tblPr>
  </w:style>
  <w:style w:type="table" w:styleId="1012" w:customStyle="1">
    <w:name w:val="清单表 7 彩色1"/>
    <w:uiPriority w:val="99"/>
    <w:qFormat/>
    <w:tblPr>
      <w:tblCellMar>
        <w:left w:w="0" w:type="dxa"/>
        <w:top w:w="0" w:type="dxa"/>
        <w:right w:w="0" w:type="dxa"/>
        <w:bottom w:w="0" w:type="dxa"/>
      </w:tblCellMar>
    </w:tblPr>
  </w:style>
  <w:style w:type="paragraph" w:styleId="1013" w:customStyle="1">
    <w:name w:val="TOC 标题111"/>
    <w:uiPriority w:val="39"/>
    <w:unhideWhenUsed/>
    <w:qFormat/>
    <w:rPr>
      <w:rFonts w:ascii="Times New Roman" w:hAnsi="Times New Roman" w:eastAsia="宋体" w:cs="Times New Roman"/>
      <w:lang w:val="en-US" w:eastAsia="zh-CN" w:bidi="ar-SA"/>
    </w:rPr>
  </w:style>
  <w:style w:type="paragraph" w:styleId="1014" w:customStyle="1">
    <w:name w:val="标题 111"/>
    <w:basedOn w:val="862"/>
    <w:next w:val="862"/>
    <w:link w:val="1015"/>
    <w:uiPriority w:val="9"/>
    <w:qFormat/>
    <w:pPr>
      <w:keepLines/>
      <w:keepNext/>
      <w:spacing w:before="480" w:after="200"/>
      <w:outlineLvl w:val="0"/>
    </w:pPr>
    <w:rPr>
      <w:rFonts w:ascii="Arial" w:hAnsi="Arial" w:eastAsia="Arial" w:cs="Arial"/>
      <w:sz w:val="40"/>
      <w:szCs w:val="40"/>
    </w:rPr>
  </w:style>
  <w:style w:type="character" w:styleId="1015" w:customStyle="1">
    <w:name w:val="标题 1 字符"/>
    <w:link w:val="1014"/>
    <w:uiPriority w:val="9"/>
    <w:qFormat/>
    <w:rPr>
      <w:rFonts w:ascii="Arial" w:hAnsi="Arial" w:eastAsia="Arial" w:cs="Arial"/>
      <w:sz w:val="40"/>
      <w:szCs w:val="40"/>
    </w:rPr>
  </w:style>
  <w:style w:type="paragraph" w:styleId="1016" w:customStyle="1">
    <w:name w:val="标题 211"/>
    <w:basedOn w:val="862"/>
    <w:next w:val="862"/>
    <w:link w:val="1017"/>
    <w:uiPriority w:val="9"/>
    <w:qFormat/>
    <w:pPr>
      <w:keepLines/>
      <w:keepNext/>
      <w:spacing w:before="360" w:after="200"/>
      <w:outlineLvl w:val="1"/>
    </w:pPr>
    <w:rPr>
      <w:rFonts w:ascii="Arial" w:hAnsi="Arial" w:eastAsia="Arial" w:cs="Arial"/>
      <w:sz w:val="34"/>
    </w:rPr>
  </w:style>
  <w:style w:type="character" w:styleId="1017" w:customStyle="1">
    <w:name w:val="标题 2 字符"/>
    <w:link w:val="1016"/>
    <w:uiPriority w:val="9"/>
    <w:qFormat/>
    <w:rPr>
      <w:rFonts w:ascii="Arial" w:hAnsi="Arial" w:eastAsia="Arial" w:cs="Arial"/>
      <w:sz w:val="34"/>
    </w:rPr>
  </w:style>
  <w:style w:type="paragraph" w:styleId="1018" w:customStyle="1">
    <w:name w:val="标题 311"/>
    <w:basedOn w:val="862"/>
    <w:next w:val="862"/>
    <w:link w:val="1019"/>
    <w:uiPriority w:val="9"/>
    <w:qFormat/>
    <w:pPr>
      <w:keepLines/>
      <w:keepNext/>
      <w:spacing w:before="320" w:after="200"/>
      <w:outlineLvl w:val="2"/>
    </w:pPr>
    <w:rPr>
      <w:rFonts w:ascii="Arial" w:hAnsi="Arial" w:eastAsia="Arial" w:cs="Arial"/>
      <w:sz w:val="30"/>
      <w:szCs w:val="30"/>
    </w:rPr>
  </w:style>
  <w:style w:type="character" w:styleId="1019" w:customStyle="1">
    <w:name w:val="标题 3 字符"/>
    <w:link w:val="1018"/>
    <w:uiPriority w:val="9"/>
    <w:qFormat/>
    <w:rPr>
      <w:rFonts w:ascii="Arial" w:hAnsi="Arial" w:eastAsia="Arial" w:cs="Arial"/>
      <w:sz w:val="30"/>
      <w:szCs w:val="30"/>
    </w:rPr>
  </w:style>
  <w:style w:type="paragraph" w:styleId="1020" w:customStyle="1">
    <w:name w:val="标题 412"/>
    <w:basedOn w:val="862"/>
    <w:next w:val="862"/>
    <w:link w:val="1021"/>
    <w:uiPriority w:val="9"/>
    <w:qFormat/>
    <w:pPr>
      <w:keepLines/>
      <w:keepNext/>
      <w:spacing w:before="320" w:after="200"/>
      <w:outlineLvl w:val="3"/>
    </w:pPr>
    <w:rPr>
      <w:rFonts w:ascii="Arial" w:hAnsi="Arial" w:eastAsia="Arial" w:cs="Arial"/>
      <w:b/>
      <w:bCs/>
      <w:sz w:val="26"/>
      <w:szCs w:val="26"/>
    </w:rPr>
  </w:style>
  <w:style w:type="character" w:styleId="1021" w:customStyle="1">
    <w:name w:val="标题 4 字符"/>
    <w:link w:val="1020"/>
    <w:uiPriority w:val="9"/>
    <w:qFormat/>
    <w:rPr>
      <w:rFonts w:ascii="Arial" w:hAnsi="Arial" w:eastAsia="Arial" w:cs="Arial"/>
      <w:b/>
      <w:bCs/>
      <w:sz w:val="26"/>
      <w:szCs w:val="26"/>
    </w:rPr>
  </w:style>
  <w:style w:type="paragraph" w:styleId="1022" w:customStyle="1">
    <w:name w:val="标题 511"/>
    <w:basedOn w:val="862"/>
    <w:next w:val="862"/>
    <w:link w:val="1023"/>
    <w:uiPriority w:val="9"/>
    <w:qFormat/>
    <w:pPr>
      <w:keepLines/>
      <w:keepNext/>
      <w:spacing w:before="320" w:after="200"/>
      <w:outlineLvl w:val="4"/>
    </w:pPr>
    <w:rPr>
      <w:rFonts w:ascii="Arial" w:hAnsi="Arial" w:eastAsia="Arial" w:cs="Arial"/>
      <w:b/>
      <w:bCs/>
      <w:sz w:val="24"/>
    </w:rPr>
  </w:style>
  <w:style w:type="character" w:styleId="1023" w:customStyle="1">
    <w:name w:val="标题 5 字符"/>
    <w:link w:val="1022"/>
    <w:uiPriority w:val="9"/>
    <w:qFormat/>
    <w:rPr>
      <w:rFonts w:ascii="Arial" w:hAnsi="Arial" w:eastAsia="Arial" w:cs="Arial"/>
      <w:b/>
      <w:bCs/>
      <w:sz w:val="24"/>
      <w:szCs w:val="24"/>
    </w:rPr>
  </w:style>
  <w:style w:type="paragraph" w:styleId="1024" w:customStyle="1">
    <w:name w:val="标题 611"/>
    <w:basedOn w:val="862"/>
    <w:next w:val="862"/>
    <w:link w:val="1025"/>
    <w:uiPriority w:val="9"/>
    <w:qFormat/>
    <w:pPr>
      <w:keepLines/>
      <w:keepNext/>
      <w:spacing w:before="320" w:after="200"/>
      <w:outlineLvl w:val="5"/>
    </w:pPr>
    <w:rPr>
      <w:rFonts w:ascii="Arial" w:hAnsi="Arial" w:eastAsia="Arial" w:cs="Arial"/>
      <w:b/>
      <w:bCs/>
      <w:sz w:val="22"/>
      <w:szCs w:val="22"/>
    </w:rPr>
  </w:style>
  <w:style w:type="character" w:styleId="1025" w:customStyle="1">
    <w:name w:val="标题 6 字符"/>
    <w:link w:val="1024"/>
    <w:uiPriority w:val="9"/>
    <w:qFormat/>
    <w:rPr>
      <w:rFonts w:ascii="Arial" w:hAnsi="Arial" w:eastAsia="Arial" w:cs="Arial"/>
      <w:b/>
      <w:bCs/>
      <w:sz w:val="22"/>
      <w:szCs w:val="22"/>
    </w:rPr>
  </w:style>
  <w:style w:type="paragraph" w:styleId="1026" w:customStyle="1">
    <w:name w:val="标题 711"/>
    <w:basedOn w:val="862"/>
    <w:next w:val="862"/>
    <w:link w:val="1027"/>
    <w:uiPriority w:val="9"/>
    <w:qFormat/>
    <w:pPr>
      <w:keepLines/>
      <w:keepNext/>
      <w:spacing w:before="320" w:after="200"/>
      <w:outlineLvl w:val="6"/>
    </w:pPr>
    <w:rPr>
      <w:rFonts w:ascii="Arial" w:hAnsi="Arial" w:eastAsia="Arial" w:cs="Arial"/>
      <w:b/>
      <w:bCs/>
      <w:i/>
      <w:iCs/>
      <w:sz w:val="22"/>
      <w:szCs w:val="22"/>
    </w:rPr>
  </w:style>
  <w:style w:type="character" w:styleId="1027" w:customStyle="1">
    <w:name w:val="标题 7 字符"/>
    <w:link w:val="1026"/>
    <w:uiPriority w:val="9"/>
    <w:qFormat/>
    <w:rPr>
      <w:rFonts w:ascii="Arial" w:hAnsi="Arial" w:eastAsia="Arial" w:cs="Arial"/>
      <w:b/>
      <w:bCs/>
      <w:i/>
      <w:iCs/>
      <w:sz w:val="22"/>
      <w:szCs w:val="22"/>
    </w:rPr>
  </w:style>
  <w:style w:type="paragraph" w:styleId="1028" w:customStyle="1">
    <w:name w:val="标题 811"/>
    <w:basedOn w:val="862"/>
    <w:next w:val="862"/>
    <w:link w:val="1029"/>
    <w:uiPriority w:val="9"/>
    <w:qFormat/>
    <w:pPr>
      <w:keepLines/>
      <w:keepNext/>
      <w:spacing w:before="320" w:after="200"/>
      <w:outlineLvl w:val="7"/>
    </w:pPr>
    <w:rPr>
      <w:rFonts w:ascii="Arial" w:hAnsi="Arial" w:eastAsia="Arial" w:cs="Arial"/>
      <w:i/>
      <w:iCs/>
      <w:sz w:val="22"/>
      <w:szCs w:val="22"/>
    </w:rPr>
  </w:style>
  <w:style w:type="character" w:styleId="1029" w:customStyle="1">
    <w:name w:val="标题 8 字符"/>
    <w:link w:val="1028"/>
    <w:uiPriority w:val="9"/>
    <w:qFormat/>
    <w:rPr>
      <w:rFonts w:ascii="Arial" w:hAnsi="Arial" w:eastAsia="Arial" w:cs="Arial"/>
      <w:i/>
      <w:iCs/>
      <w:sz w:val="22"/>
      <w:szCs w:val="22"/>
    </w:rPr>
  </w:style>
  <w:style w:type="paragraph" w:styleId="1030" w:customStyle="1">
    <w:name w:val="标题 911"/>
    <w:basedOn w:val="862"/>
    <w:next w:val="862"/>
    <w:link w:val="1031"/>
    <w:uiPriority w:val="9"/>
    <w:qFormat/>
    <w:pPr>
      <w:keepLines/>
      <w:keepNext/>
      <w:spacing w:before="320" w:after="200"/>
      <w:outlineLvl w:val="8"/>
    </w:pPr>
    <w:rPr>
      <w:rFonts w:ascii="Arial" w:hAnsi="Arial" w:eastAsia="Arial" w:cs="Arial"/>
      <w:i/>
      <w:iCs/>
      <w:szCs w:val="21"/>
    </w:rPr>
  </w:style>
  <w:style w:type="character" w:styleId="1031" w:customStyle="1">
    <w:name w:val="标题 9 字符"/>
    <w:link w:val="1030"/>
    <w:uiPriority w:val="9"/>
    <w:qFormat/>
    <w:rPr>
      <w:rFonts w:ascii="Arial" w:hAnsi="Arial" w:eastAsia="Arial" w:cs="Arial"/>
      <w:i/>
      <w:iCs/>
      <w:sz w:val="21"/>
      <w:szCs w:val="21"/>
    </w:rPr>
  </w:style>
  <w:style w:type="character" w:styleId="1032" w:customStyle="1">
    <w:name w:val="默认段落字体11"/>
    <w:uiPriority w:val="1"/>
    <w:unhideWhenUsed/>
    <w:qFormat/>
  </w:style>
  <w:style w:type="table" w:styleId="1033" w:customStyle="1">
    <w:name w:val="普通表格11"/>
    <w:uiPriority w:val="99"/>
    <w:unhideWhenUsed/>
    <w:qFormat/>
    <w:tblPr>
      <w:tblCellMar>
        <w:left w:w="0" w:type="dxa"/>
        <w:top w:w="0" w:type="dxa"/>
        <w:right w:w="0" w:type="dxa"/>
        <w:bottom w:w="0" w:type="dxa"/>
      </w:tblCellMar>
    </w:tblPr>
  </w:style>
  <w:style w:type="paragraph" w:styleId="1034" w:customStyle="1">
    <w:name w:val="目录 711"/>
    <w:basedOn w:val="862"/>
    <w:next w:val="862"/>
    <w:uiPriority w:val="39"/>
    <w:unhideWhenUsed/>
    <w:qFormat/>
    <w:pPr>
      <w:ind w:left="1701"/>
      <w:spacing w:after="57"/>
    </w:pPr>
  </w:style>
  <w:style w:type="paragraph" w:styleId="1035" w:customStyle="1">
    <w:name w:val="题注1"/>
    <w:basedOn w:val="862"/>
    <w:next w:val="862"/>
    <w:uiPriority w:val="35"/>
    <w:qFormat/>
    <w:pPr>
      <w:spacing w:line="276" w:lineRule="auto"/>
    </w:pPr>
    <w:rPr>
      <w:b/>
      <w:bCs/>
      <w:color w:val="4f81bd"/>
      <w:sz w:val="18"/>
      <w:szCs w:val="18"/>
    </w:rPr>
  </w:style>
  <w:style w:type="paragraph" w:styleId="1036" w:customStyle="1">
    <w:name w:val="文档结构图11"/>
    <w:basedOn w:val="862"/>
    <w:uiPriority w:val="99"/>
    <w:semiHidden/>
    <w:qFormat/>
    <w:pPr>
      <w:shd w:val="clear" w:color="auto" w:fill="000080"/>
    </w:pPr>
    <w:rPr>
      <w:sz w:val="24"/>
    </w:rPr>
  </w:style>
  <w:style w:type="paragraph" w:styleId="1037" w:customStyle="1">
    <w:name w:val="批注文字11"/>
    <w:basedOn w:val="862"/>
    <w:link w:val="1038"/>
    <w:uiPriority w:val="99"/>
    <w:unhideWhenUsed/>
    <w:qFormat/>
    <w:pPr>
      <w:jc w:val="left"/>
    </w:pPr>
  </w:style>
  <w:style w:type="character" w:styleId="1038" w:customStyle="1">
    <w:name w:val="批注文字 字符"/>
    <w:link w:val="1037"/>
    <w:uiPriority w:val="99"/>
    <w:semiHidden/>
    <w:qFormat/>
    <w:rPr>
      <w:sz w:val="21"/>
      <w:szCs w:val="24"/>
    </w:rPr>
  </w:style>
  <w:style w:type="paragraph" w:styleId="1039" w:customStyle="1">
    <w:name w:val="正文文本111"/>
    <w:basedOn w:val="862"/>
    <w:next w:val="862"/>
    <w:uiPriority w:val="0"/>
    <w:qFormat/>
    <w:pPr>
      <w:spacing w:after="120"/>
    </w:pPr>
  </w:style>
  <w:style w:type="paragraph" w:styleId="1040" w:customStyle="1">
    <w:name w:val="索引 411"/>
    <w:basedOn w:val="862"/>
    <w:next w:val="862"/>
    <w:uiPriority w:val="0"/>
    <w:qFormat/>
    <w:pPr>
      <w:ind w:left="1260"/>
    </w:pPr>
  </w:style>
  <w:style w:type="paragraph" w:styleId="1041" w:customStyle="1">
    <w:name w:val="目录 511"/>
    <w:basedOn w:val="862"/>
    <w:next w:val="862"/>
    <w:uiPriority w:val="39"/>
    <w:unhideWhenUsed/>
    <w:qFormat/>
    <w:pPr>
      <w:ind w:left="1134"/>
      <w:spacing w:after="57"/>
    </w:pPr>
  </w:style>
  <w:style w:type="paragraph" w:styleId="1042" w:customStyle="1">
    <w:name w:val="目录 311"/>
    <w:basedOn w:val="862"/>
    <w:next w:val="862"/>
    <w:uiPriority w:val="39"/>
    <w:unhideWhenUsed/>
    <w:qFormat/>
    <w:pPr>
      <w:ind w:left="567"/>
      <w:spacing w:after="57"/>
    </w:pPr>
  </w:style>
  <w:style w:type="paragraph" w:styleId="1043" w:customStyle="1">
    <w:name w:val="纯文本12"/>
    <w:basedOn w:val="862"/>
    <w:uiPriority w:val="99"/>
    <w:qFormat/>
    <w:rPr>
      <w:rFonts w:ascii="宋体" w:hAnsi="Courier New" w:cs="宋体"/>
    </w:rPr>
  </w:style>
  <w:style w:type="paragraph" w:styleId="1044" w:customStyle="1">
    <w:name w:val="目录 811"/>
    <w:basedOn w:val="862"/>
    <w:next w:val="862"/>
    <w:uiPriority w:val="39"/>
    <w:unhideWhenUsed/>
    <w:qFormat/>
    <w:pPr>
      <w:ind w:left="1984"/>
      <w:spacing w:after="57"/>
    </w:pPr>
  </w:style>
  <w:style w:type="paragraph" w:styleId="1045" w:customStyle="1">
    <w:name w:val="尾注文本11"/>
    <w:basedOn w:val="862"/>
    <w:link w:val="1046"/>
    <w:uiPriority w:val="99"/>
    <w:unhideWhenUsed/>
    <w:qFormat/>
    <w:rPr>
      <w:sz w:val="20"/>
    </w:rPr>
  </w:style>
  <w:style w:type="character" w:styleId="1046" w:customStyle="1">
    <w:name w:val="尾注文本 字符"/>
    <w:link w:val="1045"/>
    <w:uiPriority w:val="99"/>
    <w:qFormat/>
    <w:rPr>
      <w:sz w:val="20"/>
    </w:rPr>
  </w:style>
  <w:style w:type="paragraph" w:styleId="1047" w:customStyle="1">
    <w:name w:val="批注框文本12"/>
    <w:basedOn w:val="862"/>
    <w:link w:val="1048"/>
    <w:uiPriority w:val="99"/>
    <w:unhideWhenUsed/>
    <w:qFormat/>
    <w:rPr>
      <w:sz w:val="18"/>
      <w:szCs w:val="18"/>
    </w:rPr>
  </w:style>
  <w:style w:type="character" w:styleId="1048" w:customStyle="1">
    <w:name w:val="批注框文本 字符"/>
    <w:link w:val="1047"/>
    <w:uiPriority w:val="99"/>
    <w:semiHidden/>
    <w:qFormat/>
    <w:rPr>
      <w:sz w:val="18"/>
      <w:szCs w:val="18"/>
    </w:rPr>
  </w:style>
  <w:style w:type="paragraph" w:styleId="1049" w:customStyle="1">
    <w:name w:val="页脚11"/>
    <w:basedOn w:val="862"/>
    <w:link w:val="1050"/>
    <w:uiPriority w:val="99"/>
    <w:unhideWhenUsed/>
    <w:qFormat/>
    <w:pPr>
      <w:tabs>
        <w:tab w:val="center" w:pos="7143" w:leader="none"/>
        <w:tab w:val="right" w:pos="14287" w:leader="none"/>
      </w:tabs>
    </w:pPr>
  </w:style>
  <w:style w:type="character" w:styleId="1050" w:customStyle="1">
    <w:name w:val="页脚 字符"/>
    <w:link w:val="1049"/>
    <w:uiPriority w:val="99"/>
    <w:qFormat/>
  </w:style>
  <w:style w:type="paragraph" w:styleId="1051" w:customStyle="1">
    <w:name w:val="页眉11"/>
    <w:basedOn w:val="862"/>
    <w:link w:val="1052"/>
    <w:uiPriority w:val="99"/>
    <w:unhideWhenUsed/>
    <w:qFormat/>
    <w:pPr>
      <w:tabs>
        <w:tab w:val="center" w:pos="7143" w:leader="none"/>
        <w:tab w:val="right" w:pos="14287" w:leader="none"/>
      </w:tabs>
    </w:pPr>
  </w:style>
  <w:style w:type="character" w:styleId="1052" w:customStyle="1">
    <w:name w:val="页眉 字符"/>
    <w:link w:val="1051"/>
    <w:uiPriority w:val="99"/>
    <w:qFormat/>
  </w:style>
  <w:style w:type="paragraph" w:styleId="1053" w:customStyle="1">
    <w:name w:val="目录 111"/>
    <w:basedOn w:val="862"/>
    <w:next w:val="862"/>
    <w:uiPriority w:val="39"/>
    <w:unhideWhenUsed/>
    <w:qFormat/>
    <w:pPr>
      <w:spacing w:after="57"/>
    </w:pPr>
  </w:style>
  <w:style w:type="paragraph" w:styleId="1054" w:customStyle="1">
    <w:name w:val="目录 411"/>
    <w:basedOn w:val="862"/>
    <w:next w:val="862"/>
    <w:uiPriority w:val="39"/>
    <w:unhideWhenUsed/>
    <w:qFormat/>
    <w:pPr>
      <w:ind w:left="850"/>
      <w:spacing w:after="57"/>
    </w:pPr>
  </w:style>
  <w:style w:type="paragraph" w:styleId="1055" w:customStyle="1">
    <w:name w:val="副标题11"/>
    <w:basedOn w:val="862"/>
    <w:next w:val="862"/>
    <w:link w:val="1056"/>
    <w:uiPriority w:val="11"/>
    <w:qFormat/>
    <w:pPr>
      <w:spacing w:before="200" w:after="200"/>
    </w:pPr>
    <w:rPr>
      <w:sz w:val="24"/>
    </w:rPr>
  </w:style>
  <w:style w:type="character" w:styleId="1056" w:customStyle="1">
    <w:name w:val="副标题 字符"/>
    <w:link w:val="1055"/>
    <w:uiPriority w:val="11"/>
    <w:qFormat/>
    <w:rPr>
      <w:sz w:val="24"/>
      <w:szCs w:val="24"/>
    </w:rPr>
  </w:style>
  <w:style w:type="paragraph" w:styleId="1057" w:customStyle="1">
    <w:name w:val="脚注文本11"/>
    <w:basedOn w:val="862"/>
    <w:link w:val="1058"/>
    <w:uiPriority w:val="99"/>
    <w:unhideWhenUsed/>
    <w:qFormat/>
    <w:pPr>
      <w:spacing w:after="40"/>
    </w:pPr>
    <w:rPr>
      <w:sz w:val="18"/>
    </w:rPr>
  </w:style>
  <w:style w:type="character" w:styleId="1058" w:customStyle="1">
    <w:name w:val="脚注文本 字符"/>
    <w:link w:val="1057"/>
    <w:uiPriority w:val="99"/>
    <w:qFormat/>
    <w:rPr>
      <w:sz w:val="18"/>
    </w:rPr>
  </w:style>
  <w:style w:type="paragraph" w:styleId="1059" w:customStyle="1">
    <w:name w:val="目录 611"/>
    <w:basedOn w:val="862"/>
    <w:next w:val="862"/>
    <w:uiPriority w:val="39"/>
    <w:unhideWhenUsed/>
    <w:qFormat/>
    <w:pPr>
      <w:ind w:left="1417"/>
      <w:spacing w:after="57"/>
    </w:pPr>
  </w:style>
  <w:style w:type="paragraph" w:styleId="1060" w:customStyle="1">
    <w:name w:val="正文文本缩进 312"/>
    <w:basedOn w:val="862"/>
    <w:uiPriority w:val="99"/>
    <w:qFormat/>
    <w:pPr>
      <w:ind w:left="480"/>
      <w:spacing w:before="120" w:after="120" w:line="264" w:lineRule="auto"/>
    </w:pPr>
    <w:rPr>
      <w:b/>
      <w:bCs/>
      <w:sz w:val="20"/>
      <w:szCs w:val="20"/>
    </w:rPr>
  </w:style>
  <w:style w:type="paragraph" w:styleId="1061" w:customStyle="1">
    <w:name w:val="图表目录11"/>
    <w:basedOn w:val="862"/>
    <w:next w:val="862"/>
    <w:uiPriority w:val="99"/>
    <w:unhideWhenUsed/>
    <w:qFormat/>
  </w:style>
  <w:style w:type="paragraph" w:styleId="1062" w:customStyle="1">
    <w:name w:val="目录 211"/>
    <w:basedOn w:val="862"/>
    <w:next w:val="862"/>
    <w:uiPriority w:val="39"/>
    <w:unhideWhenUsed/>
    <w:qFormat/>
    <w:pPr>
      <w:ind w:left="283"/>
      <w:spacing w:after="57"/>
    </w:pPr>
  </w:style>
  <w:style w:type="paragraph" w:styleId="1063" w:customStyle="1">
    <w:name w:val="目录 911"/>
    <w:basedOn w:val="862"/>
    <w:next w:val="862"/>
    <w:uiPriority w:val="39"/>
    <w:unhideWhenUsed/>
    <w:qFormat/>
    <w:pPr>
      <w:ind w:left="2268"/>
      <w:spacing w:after="57"/>
    </w:pPr>
  </w:style>
  <w:style w:type="paragraph" w:styleId="1064" w:customStyle="1">
    <w:name w:val="正文文本 2112"/>
    <w:basedOn w:val="862"/>
    <w:uiPriority w:val="0"/>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paragraph" w:styleId="1065" w:customStyle="1">
    <w:name w:val="普通(网站)11"/>
    <w:basedOn w:val="862"/>
    <w:uiPriority w:val="99"/>
    <w:unhideWhenUsed/>
    <w:qFormat/>
    <w:pPr>
      <w:jc w:val="left"/>
      <w:spacing w:beforeAutospacing="1" w:afterAutospacing="1"/>
    </w:pPr>
    <w:rPr>
      <w:sz w:val="24"/>
    </w:rPr>
  </w:style>
  <w:style w:type="paragraph" w:styleId="1066" w:customStyle="1">
    <w:name w:val="标题12"/>
    <w:basedOn w:val="862"/>
    <w:next w:val="862"/>
    <w:link w:val="1067"/>
    <w:uiPriority w:val="10"/>
    <w:qFormat/>
    <w:pPr>
      <w:contextualSpacing/>
      <w:spacing w:before="300" w:after="200"/>
    </w:pPr>
    <w:rPr>
      <w:sz w:val="48"/>
      <w:szCs w:val="48"/>
    </w:rPr>
  </w:style>
  <w:style w:type="character" w:styleId="1067" w:customStyle="1">
    <w:name w:val="标题 字符"/>
    <w:link w:val="1066"/>
    <w:uiPriority w:val="10"/>
    <w:qFormat/>
    <w:rPr>
      <w:sz w:val="48"/>
      <w:szCs w:val="48"/>
    </w:rPr>
  </w:style>
  <w:style w:type="paragraph" w:styleId="1068" w:customStyle="1">
    <w:name w:val="批注主题12"/>
    <w:basedOn w:val="1037"/>
    <w:next w:val="1037"/>
    <w:link w:val="1069"/>
    <w:uiPriority w:val="99"/>
    <w:unhideWhenUsed/>
    <w:qFormat/>
    <w:rPr>
      <w:b/>
      <w:bCs/>
    </w:rPr>
  </w:style>
  <w:style w:type="character" w:styleId="1069" w:customStyle="1">
    <w:name w:val="批注主题 字符"/>
    <w:link w:val="1068"/>
    <w:uiPriority w:val="99"/>
    <w:semiHidden/>
    <w:qFormat/>
    <w:rPr>
      <w:b/>
      <w:bCs/>
      <w:sz w:val="21"/>
      <w:szCs w:val="24"/>
    </w:rPr>
  </w:style>
  <w:style w:type="table" w:styleId="1070" w:customStyle="1">
    <w:name w:val="网格型11"/>
    <w:uiPriority w:val="59"/>
    <w:qFormat/>
    <w:tblPr>
      <w:tblCellMar>
        <w:left w:w="0" w:type="dxa"/>
        <w:top w:w="0" w:type="dxa"/>
        <w:right w:w="0" w:type="dxa"/>
        <w:bottom w:w="0" w:type="dxa"/>
      </w:tblCellMar>
    </w:tblPr>
  </w:style>
  <w:style w:type="character" w:styleId="1071" w:customStyle="1">
    <w:name w:val="尾注引用11"/>
    <w:uiPriority w:val="99"/>
    <w:unhideWhenUsed/>
    <w:qFormat/>
    <w:rPr>
      <w:vertAlign w:val="superscript"/>
    </w:rPr>
  </w:style>
  <w:style w:type="character" w:styleId="1072" w:customStyle="1">
    <w:name w:val="超链接11"/>
    <w:uiPriority w:val="99"/>
    <w:unhideWhenUsed/>
    <w:qFormat/>
    <w:rPr>
      <w:color w:val="0000ff"/>
      <w:u w:val="single"/>
    </w:rPr>
  </w:style>
  <w:style w:type="character" w:styleId="1073" w:customStyle="1">
    <w:name w:val="批注引用11"/>
    <w:uiPriority w:val="99"/>
    <w:unhideWhenUsed/>
    <w:qFormat/>
    <w:rPr>
      <w:sz w:val="21"/>
      <w:szCs w:val="21"/>
    </w:rPr>
  </w:style>
  <w:style w:type="character" w:styleId="1074" w:customStyle="1">
    <w:name w:val="脚注引用11"/>
    <w:uiPriority w:val="99"/>
    <w:unhideWhenUsed/>
    <w:qFormat/>
    <w:rPr>
      <w:vertAlign w:val="superscript"/>
    </w:rPr>
  </w:style>
  <w:style w:type="paragraph" w:styleId="1075" w:customStyle="1">
    <w:name w:val="无间隔1"/>
    <w:uiPriority w:val="1"/>
    <w:qFormat/>
    <w:rPr>
      <w:rFonts w:ascii="Times New Roman" w:hAnsi="Times New Roman" w:eastAsia="宋体" w:cs="Times New Roman"/>
      <w:lang w:val="en-US" w:eastAsia="zh-CN" w:bidi="ar-SA"/>
    </w:rPr>
  </w:style>
  <w:style w:type="paragraph" w:styleId="1076" w:customStyle="1">
    <w:name w:val="引用1"/>
    <w:basedOn w:val="862"/>
    <w:next w:val="862"/>
    <w:uiPriority w:val="29"/>
    <w:qFormat/>
    <w:pPr>
      <w:ind w:left="720" w:right="720"/>
    </w:pPr>
    <w:rPr>
      <w:i/>
    </w:rPr>
  </w:style>
  <w:style w:type="paragraph" w:styleId="1077" w:customStyle="1">
    <w:name w:val="明显引用1"/>
    <w:basedOn w:val="862"/>
    <w:next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8" w:customStyle="1">
    <w:name w:val="Footer Char"/>
    <w:uiPriority w:val="99"/>
    <w:qFormat/>
  </w:style>
  <w:style w:type="table" w:styleId="1079" w:customStyle="1">
    <w:name w:val="Table Grid Light"/>
    <w:uiPriority w:val="59"/>
    <w:qFormat/>
    <w:tblPr>
      <w:tblCellMar>
        <w:left w:w="0" w:type="dxa"/>
        <w:top w:w="0" w:type="dxa"/>
        <w:right w:w="0" w:type="dxa"/>
        <w:bottom w:w="0" w:type="dxa"/>
      </w:tblCellMar>
    </w:tblPr>
  </w:style>
  <w:style w:type="table" w:styleId="1080" w:customStyle="1">
    <w:name w:val="无格式表格 111"/>
    <w:uiPriority w:val="59"/>
    <w:qFormat/>
    <w:tblPr>
      <w:tblCellMar>
        <w:left w:w="0" w:type="dxa"/>
        <w:top w:w="0" w:type="dxa"/>
        <w:right w:w="0" w:type="dxa"/>
        <w:bottom w:w="0" w:type="dxa"/>
      </w:tblCellMar>
    </w:tblPr>
  </w:style>
  <w:style w:type="table" w:styleId="1081" w:customStyle="1">
    <w:name w:val="无格式表格 211"/>
    <w:uiPriority w:val="59"/>
    <w:qFormat/>
    <w:tblPr>
      <w:tblCellMar>
        <w:left w:w="0" w:type="dxa"/>
        <w:top w:w="0" w:type="dxa"/>
        <w:right w:w="0" w:type="dxa"/>
        <w:bottom w:w="0" w:type="dxa"/>
      </w:tblCellMar>
    </w:tblPr>
  </w:style>
  <w:style w:type="table" w:styleId="1082" w:customStyle="1">
    <w:name w:val="无格式表格 311"/>
    <w:uiPriority w:val="99"/>
    <w:qFormat/>
    <w:tblPr>
      <w:tblCellMar>
        <w:left w:w="0" w:type="dxa"/>
        <w:top w:w="0" w:type="dxa"/>
        <w:right w:w="0" w:type="dxa"/>
        <w:bottom w:w="0" w:type="dxa"/>
      </w:tblCellMar>
    </w:tblPr>
  </w:style>
  <w:style w:type="table" w:styleId="1083" w:customStyle="1">
    <w:name w:val="无格式表格 411"/>
    <w:uiPriority w:val="99"/>
    <w:qFormat/>
    <w:tblPr>
      <w:tblCellMar>
        <w:left w:w="0" w:type="dxa"/>
        <w:top w:w="0" w:type="dxa"/>
        <w:right w:w="0" w:type="dxa"/>
        <w:bottom w:w="0" w:type="dxa"/>
      </w:tblCellMar>
    </w:tblPr>
  </w:style>
  <w:style w:type="table" w:styleId="1084" w:customStyle="1">
    <w:name w:val="无格式表格 511"/>
    <w:uiPriority w:val="99"/>
    <w:qFormat/>
    <w:tblPr>
      <w:tblCellMar>
        <w:left w:w="0" w:type="dxa"/>
        <w:top w:w="0" w:type="dxa"/>
        <w:right w:w="0" w:type="dxa"/>
        <w:bottom w:w="0" w:type="dxa"/>
      </w:tblCellMar>
    </w:tblPr>
  </w:style>
  <w:style w:type="table" w:styleId="1085" w:customStyle="1">
    <w:name w:val="网格表 1 浅色11"/>
    <w:uiPriority w:val="99"/>
    <w:qFormat/>
    <w:tblPr>
      <w:tblCellMar>
        <w:left w:w="0" w:type="dxa"/>
        <w:top w:w="0" w:type="dxa"/>
        <w:right w:w="0" w:type="dxa"/>
        <w:bottom w:w="0" w:type="dxa"/>
      </w:tblCellMar>
    </w:tblPr>
  </w:style>
  <w:style w:type="table" w:styleId="1086" w:customStyle="1">
    <w:name w:val="Grid Table 1 Light - Accent 1"/>
    <w:uiPriority w:val="99"/>
    <w:qFormat/>
    <w:tblPr>
      <w:tblCellMar>
        <w:left w:w="0" w:type="dxa"/>
        <w:top w:w="0" w:type="dxa"/>
        <w:right w:w="0" w:type="dxa"/>
        <w:bottom w:w="0" w:type="dxa"/>
      </w:tblCellMar>
    </w:tblPr>
  </w:style>
  <w:style w:type="table" w:styleId="1087" w:customStyle="1">
    <w:name w:val="Grid Table 1 Light - Accent 2"/>
    <w:uiPriority w:val="99"/>
    <w:qFormat/>
    <w:tblPr>
      <w:tblCellMar>
        <w:left w:w="0" w:type="dxa"/>
        <w:top w:w="0" w:type="dxa"/>
        <w:right w:w="0" w:type="dxa"/>
        <w:bottom w:w="0" w:type="dxa"/>
      </w:tblCellMar>
    </w:tblPr>
  </w:style>
  <w:style w:type="table" w:styleId="1088" w:customStyle="1">
    <w:name w:val="Grid Table 1 Light - Accent 3"/>
    <w:uiPriority w:val="99"/>
    <w:qFormat/>
    <w:tblPr>
      <w:tblCellMar>
        <w:left w:w="0" w:type="dxa"/>
        <w:top w:w="0" w:type="dxa"/>
        <w:right w:w="0" w:type="dxa"/>
        <w:bottom w:w="0" w:type="dxa"/>
      </w:tblCellMar>
    </w:tblPr>
  </w:style>
  <w:style w:type="table" w:styleId="1089" w:customStyle="1">
    <w:name w:val="Grid Table 1 Light - Accent 4"/>
    <w:uiPriority w:val="99"/>
    <w:qFormat/>
    <w:tblPr>
      <w:tblCellMar>
        <w:left w:w="0" w:type="dxa"/>
        <w:top w:w="0" w:type="dxa"/>
        <w:right w:w="0" w:type="dxa"/>
        <w:bottom w:w="0" w:type="dxa"/>
      </w:tblCellMar>
    </w:tblPr>
  </w:style>
  <w:style w:type="table" w:styleId="1090" w:customStyle="1">
    <w:name w:val="Grid Table 1 Light - Accent 5"/>
    <w:uiPriority w:val="99"/>
    <w:qFormat/>
    <w:tblPr>
      <w:tblCellMar>
        <w:left w:w="0" w:type="dxa"/>
        <w:top w:w="0" w:type="dxa"/>
        <w:right w:w="0" w:type="dxa"/>
        <w:bottom w:w="0" w:type="dxa"/>
      </w:tblCellMar>
    </w:tblPr>
  </w:style>
  <w:style w:type="table" w:styleId="1091" w:customStyle="1">
    <w:name w:val="Grid Table 1 Light - Accent 6"/>
    <w:uiPriority w:val="99"/>
    <w:qFormat/>
    <w:tblPr>
      <w:tblCellMar>
        <w:left w:w="0" w:type="dxa"/>
        <w:top w:w="0" w:type="dxa"/>
        <w:right w:w="0" w:type="dxa"/>
        <w:bottom w:w="0" w:type="dxa"/>
      </w:tblCellMar>
    </w:tblPr>
  </w:style>
  <w:style w:type="table" w:styleId="1092" w:customStyle="1">
    <w:name w:val="网格表 211"/>
    <w:uiPriority w:val="99"/>
    <w:qFormat/>
    <w:tblPr>
      <w:tblCellMar>
        <w:left w:w="0" w:type="dxa"/>
        <w:top w:w="0" w:type="dxa"/>
        <w:right w:w="0" w:type="dxa"/>
        <w:bottom w:w="0" w:type="dxa"/>
      </w:tblCellMar>
    </w:tblPr>
  </w:style>
  <w:style w:type="table" w:styleId="1093" w:customStyle="1">
    <w:name w:val="Grid Table 2 - Accent 1"/>
    <w:uiPriority w:val="99"/>
    <w:qFormat/>
    <w:tblPr>
      <w:tblCellMar>
        <w:left w:w="0" w:type="dxa"/>
        <w:top w:w="0" w:type="dxa"/>
        <w:right w:w="0" w:type="dxa"/>
        <w:bottom w:w="0" w:type="dxa"/>
      </w:tblCellMar>
    </w:tblPr>
  </w:style>
  <w:style w:type="table" w:styleId="1094" w:customStyle="1">
    <w:name w:val="Grid Table 2 - Accent 2"/>
    <w:uiPriority w:val="99"/>
    <w:qFormat/>
    <w:tblPr>
      <w:tblCellMar>
        <w:left w:w="0" w:type="dxa"/>
        <w:top w:w="0" w:type="dxa"/>
        <w:right w:w="0" w:type="dxa"/>
        <w:bottom w:w="0" w:type="dxa"/>
      </w:tblCellMar>
    </w:tblPr>
  </w:style>
  <w:style w:type="table" w:styleId="1095" w:customStyle="1">
    <w:name w:val="Grid Table 2 - Accent 3"/>
    <w:uiPriority w:val="99"/>
    <w:qFormat/>
    <w:tblPr>
      <w:tblCellMar>
        <w:left w:w="0" w:type="dxa"/>
        <w:top w:w="0" w:type="dxa"/>
        <w:right w:w="0" w:type="dxa"/>
        <w:bottom w:w="0" w:type="dxa"/>
      </w:tblCellMar>
    </w:tblPr>
  </w:style>
  <w:style w:type="table" w:styleId="1096" w:customStyle="1">
    <w:name w:val="Grid Table 2 - Accent 4"/>
    <w:uiPriority w:val="99"/>
    <w:qFormat/>
    <w:tblPr>
      <w:tblCellMar>
        <w:left w:w="0" w:type="dxa"/>
        <w:top w:w="0" w:type="dxa"/>
        <w:right w:w="0" w:type="dxa"/>
        <w:bottom w:w="0" w:type="dxa"/>
      </w:tblCellMar>
    </w:tblPr>
  </w:style>
  <w:style w:type="table" w:styleId="1097" w:customStyle="1">
    <w:name w:val="Grid Table 2 - Accent 5"/>
    <w:uiPriority w:val="99"/>
    <w:qFormat/>
    <w:tblPr>
      <w:tblCellMar>
        <w:left w:w="0" w:type="dxa"/>
        <w:top w:w="0" w:type="dxa"/>
        <w:right w:w="0" w:type="dxa"/>
        <w:bottom w:w="0" w:type="dxa"/>
      </w:tblCellMar>
    </w:tblPr>
  </w:style>
  <w:style w:type="table" w:styleId="1098" w:customStyle="1">
    <w:name w:val="Grid Table 2 - Accent 6"/>
    <w:uiPriority w:val="99"/>
    <w:qFormat/>
    <w:tblPr>
      <w:tblCellMar>
        <w:left w:w="0" w:type="dxa"/>
        <w:top w:w="0" w:type="dxa"/>
        <w:right w:w="0" w:type="dxa"/>
        <w:bottom w:w="0" w:type="dxa"/>
      </w:tblCellMar>
    </w:tblPr>
  </w:style>
  <w:style w:type="table" w:styleId="1099" w:customStyle="1">
    <w:name w:val="网格表 311"/>
    <w:uiPriority w:val="99"/>
    <w:qFormat/>
    <w:tblPr>
      <w:tblCellMar>
        <w:left w:w="0" w:type="dxa"/>
        <w:top w:w="0" w:type="dxa"/>
        <w:right w:w="0" w:type="dxa"/>
        <w:bottom w:w="0" w:type="dxa"/>
      </w:tblCellMar>
    </w:tblPr>
  </w:style>
  <w:style w:type="table" w:styleId="1100" w:customStyle="1">
    <w:name w:val="Grid Table 3 - Accent 1"/>
    <w:uiPriority w:val="99"/>
    <w:qFormat/>
    <w:tblPr>
      <w:tblCellMar>
        <w:left w:w="0" w:type="dxa"/>
        <w:top w:w="0" w:type="dxa"/>
        <w:right w:w="0" w:type="dxa"/>
        <w:bottom w:w="0" w:type="dxa"/>
      </w:tblCellMar>
    </w:tblPr>
  </w:style>
  <w:style w:type="table" w:styleId="1101" w:customStyle="1">
    <w:name w:val="Grid Table 3 - Accent 2"/>
    <w:uiPriority w:val="99"/>
    <w:qFormat/>
    <w:tblPr>
      <w:tblCellMar>
        <w:left w:w="0" w:type="dxa"/>
        <w:top w:w="0" w:type="dxa"/>
        <w:right w:w="0" w:type="dxa"/>
        <w:bottom w:w="0" w:type="dxa"/>
      </w:tblCellMar>
    </w:tblPr>
  </w:style>
  <w:style w:type="table" w:styleId="1102" w:customStyle="1">
    <w:name w:val="Grid Table 3 - Accent 3"/>
    <w:uiPriority w:val="99"/>
    <w:qFormat/>
    <w:tblPr>
      <w:tblCellMar>
        <w:left w:w="0" w:type="dxa"/>
        <w:top w:w="0" w:type="dxa"/>
        <w:right w:w="0" w:type="dxa"/>
        <w:bottom w:w="0" w:type="dxa"/>
      </w:tblCellMar>
    </w:tblPr>
  </w:style>
  <w:style w:type="table" w:styleId="1103" w:customStyle="1">
    <w:name w:val="Grid Table 3 - Accent 4"/>
    <w:uiPriority w:val="99"/>
    <w:qFormat/>
    <w:tblPr>
      <w:tblCellMar>
        <w:left w:w="0" w:type="dxa"/>
        <w:top w:w="0" w:type="dxa"/>
        <w:right w:w="0" w:type="dxa"/>
        <w:bottom w:w="0" w:type="dxa"/>
      </w:tblCellMar>
    </w:tblPr>
  </w:style>
  <w:style w:type="table" w:styleId="1104" w:customStyle="1">
    <w:name w:val="Grid Table 3 - Accent 5"/>
    <w:uiPriority w:val="99"/>
    <w:qFormat/>
    <w:tblPr>
      <w:tblCellMar>
        <w:left w:w="0" w:type="dxa"/>
        <w:top w:w="0" w:type="dxa"/>
        <w:right w:w="0" w:type="dxa"/>
        <w:bottom w:w="0" w:type="dxa"/>
      </w:tblCellMar>
    </w:tblPr>
  </w:style>
  <w:style w:type="table" w:styleId="1105" w:customStyle="1">
    <w:name w:val="Grid Table 3 - Accent 6"/>
    <w:uiPriority w:val="99"/>
    <w:qFormat/>
    <w:tblPr>
      <w:tblCellMar>
        <w:left w:w="0" w:type="dxa"/>
        <w:top w:w="0" w:type="dxa"/>
        <w:right w:w="0" w:type="dxa"/>
        <w:bottom w:w="0" w:type="dxa"/>
      </w:tblCellMar>
    </w:tblPr>
  </w:style>
  <w:style w:type="table" w:styleId="1106" w:customStyle="1">
    <w:name w:val="网格表 411"/>
    <w:uiPriority w:val="59"/>
    <w:qFormat/>
    <w:tblPr>
      <w:tblCellMar>
        <w:left w:w="0" w:type="dxa"/>
        <w:top w:w="0" w:type="dxa"/>
        <w:right w:w="0" w:type="dxa"/>
        <w:bottom w:w="0" w:type="dxa"/>
      </w:tblCellMar>
    </w:tblPr>
  </w:style>
  <w:style w:type="table" w:styleId="1107" w:customStyle="1">
    <w:name w:val="Grid Table 4 - Accent 1"/>
    <w:uiPriority w:val="59"/>
    <w:qFormat/>
    <w:tblPr>
      <w:tblCellMar>
        <w:left w:w="0" w:type="dxa"/>
        <w:top w:w="0" w:type="dxa"/>
        <w:right w:w="0" w:type="dxa"/>
        <w:bottom w:w="0" w:type="dxa"/>
      </w:tblCellMar>
    </w:tblPr>
  </w:style>
  <w:style w:type="table" w:styleId="1108" w:customStyle="1">
    <w:name w:val="Grid Table 4 - Accent 2"/>
    <w:uiPriority w:val="59"/>
    <w:qFormat/>
    <w:tblPr>
      <w:tblCellMar>
        <w:left w:w="0" w:type="dxa"/>
        <w:top w:w="0" w:type="dxa"/>
        <w:right w:w="0" w:type="dxa"/>
        <w:bottom w:w="0" w:type="dxa"/>
      </w:tblCellMar>
    </w:tblPr>
  </w:style>
  <w:style w:type="table" w:styleId="1109" w:customStyle="1">
    <w:name w:val="Grid Table 4 - Accent 3"/>
    <w:uiPriority w:val="59"/>
    <w:qFormat/>
    <w:tblPr>
      <w:tblCellMar>
        <w:left w:w="0" w:type="dxa"/>
        <w:top w:w="0" w:type="dxa"/>
        <w:right w:w="0" w:type="dxa"/>
        <w:bottom w:w="0" w:type="dxa"/>
      </w:tblCellMar>
    </w:tblPr>
  </w:style>
  <w:style w:type="table" w:styleId="1110" w:customStyle="1">
    <w:name w:val="Grid Table 4 - Accent 4"/>
    <w:uiPriority w:val="59"/>
    <w:qFormat/>
    <w:tblPr>
      <w:tblCellMar>
        <w:left w:w="0" w:type="dxa"/>
        <w:top w:w="0" w:type="dxa"/>
        <w:right w:w="0" w:type="dxa"/>
        <w:bottom w:w="0" w:type="dxa"/>
      </w:tblCellMar>
    </w:tblPr>
  </w:style>
  <w:style w:type="table" w:styleId="1111" w:customStyle="1">
    <w:name w:val="Grid Table 4 - Accent 5"/>
    <w:uiPriority w:val="59"/>
    <w:qFormat/>
    <w:tblPr>
      <w:tblCellMar>
        <w:left w:w="0" w:type="dxa"/>
        <w:top w:w="0" w:type="dxa"/>
        <w:right w:w="0" w:type="dxa"/>
        <w:bottom w:w="0" w:type="dxa"/>
      </w:tblCellMar>
    </w:tblPr>
  </w:style>
  <w:style w:type="table" w:styleId="1112" w:customStyle="1">
    <w:name w:val="Grid Table 4 - Accent 6"/>
    <w:uiPriority w:val="59"/>
    <w:qFormat/>
    <w:tblPr>
      <w:tblCellMar>
        <w:left w:w="0" w:type="dxa"/>
        <w:top w:w="0" w:type="dxa"/>
        <w:right w:w="0" w:type="dxa"/>
        <w:bottom w:w="0" w:type="dxa"/>
      </w:tblCellMar>
    </w:tblPr>
  </w:style>
  <w:style w:type="table" w:styleId="1113" w:customStyle="1">
    <w:name w:val="网格表 5 深色11"/>
    <w:uiPriority w:val="99"/>
    <w:qFormat/>
    <w:tblPr>
      <w:tblCellMar>
        <w:left w:w="0" w:type="dxa"/>
        <w:top w:w="0" w:type="dxa"/>
        <w:right w:w="0" w:type="dxa"/>
        <w:bottom w:w="0" w:type="dxa"/>
      </w:tblCellMar>
    </w:tblPr>
  </w:style>
  <w:style w:type="table" w:styleId="1114" w:customStyle="1">
    <w:name w:val="Grid Table 5 Dark- Accent 1"/>
    <w:uiPriority w:val="99"/>
    <w:qFormat/>
    <w:tblPr>
      <w:tblCellMar>
        <w:left w:w="0" w:type="dxa"/>
        <w:top w:w="0" w:type="dxa"/>
        <w:right w:w="0" w:type="dxa"/>
        <w:bottom w:w="0" w:type="dxa"/>
      </w:tblCellMar>
    </w:tblPr>
  </w:style>
  <w:style w:type="table" w:styleId="1115" w:customStyle="1">
    <w:name w:val="Grid Table 5 Dark - Accent 2"/>
    <w:uiPriority w:val="99"/>
    <w:qFormat/>
    <w:tblPr>
      <w:tblCellMar>
        <w:left w:w="0" w:type="dxa"/>
        <w:top w:w="0" w:type="dxa"/>
        <w:right w:w="0" w:type="dxa"/>
        <w:bottom w:w="0" w:type="dxa"/>
      </w:tblCellMar>
    </w:tblPr>
  </w:style>
  <w:style w:type="table" w:styleId="1116" w:customStyle="1">
    <w:name w:val="Grid Table 5 Dark - Accent 3"/>
    <w:uiPriority w:val="99"/>
    <w:qFormat/>
    <w:tblPr>
      <w:tblCellMar>
        <w:left w:w="0" w:type="dxa"/>
        <w:top w:w="0" w:type="dxa"/>
        <w:right w:w="0" w:type="dxa"/>
        <w:bottom w:w="0" w:type="dxa"/>
      </w:tblCellMar>
    </w:tblPr>
  </w:style>
  <w:style w:type="table" w:styleId="1117" w:customStyle="1">
    <w:name w:val="Grid Table 5 Dark- Accent 4"/>
    <w:uiPriority w:val="99"/>
    <w:qFormat/>
    <w:tblPr>
      <w:tblCellMar>
        <w:left w:w="0" w:type="dxa"/>
        <w:top w:w="0" w:type="dxa"/>
        <w:right w:w="0" w:type="dxa"/>
        <w:bottom w:w="0" w:type="dxa"/>
      </w:tblCellMar>
    </w:tblPr>
  </w:style>
  <w:style w:type="table" w:styleId="1118" w:customStyle="1">
    <w:name w:val="Grid Table 5 Dark - Accent 5"/>
    <w:uiPriority w:val="99"/>
    <w:qFormat/>
    <w:tblPr>
      <w:tblCellMar>
        <w:left w:w="0" w:type="dxa"/>
        <w:top w:w="0" w:type="dxa"/>
        <w:right w:w="0" w:type="dxa"/>
        <w:bottom w:w="0" w:type="dxa"/>
      </w:tblCellMar>
    </w:tblPr>
  </w:style>
  <w:style w:type="table" w:styleId="1119" w:customStyle="1">
    <w:name w:val="Grid Table 5 Dark - Accent 6"/>
    <w:uiPriority w:val="99"/>
    <w:qFormat/>
    <w:tblPr>
      <w:tblCellMar>
        <w:left w:w="0" w:type="dxa"/>
        <w:top w:w="0" w:type="dxa"/>
        <w:right w:w="0" w:type="dxa"/>
        <w:bottom w:w="0" w:type="dxa"/>
      </w:tblCellMar>
    </w:tblPr>
  </w:style>
  <w:style w:type="table" w:styleId="1120" w:customStyle="1">
    <w:name w:val="网格表 6 彩色11"/>
    <w:uiPriority w:val="99"/>
    <w:qFormat/>
    <w:tblPr>
      <w:tblCellMar>
        <w:left w:w="0" w:type="dxa"/>
        <w:top w:w="0" w:type="dxa"/>
        <w:right w:w="0" w:type="dxa"/>
        <w:bottom w:w="0" w:type="dxa"/>
      </w:tblCellMar>
    </w:tblPr>
  </w:style>
  <w:style w:type="table" w:styleId="1121" w:customStyle="1">
    <w:name w:val="Grid Table 6 Colorful - Accent 1"/>
    <w:uiPriority w:val="99"/>
    <w:qFormat/>
    <w:tblPr>
      <w:tblCellMar>
        <w:left w:w="0" w:type="dxa"/>
        <w:top w:w="0" w:type="dxa"/>
        <w:right w:w="0" w:type="dxa"/>
        <w:bottom w:w="0" w:type="dxa"/>
      </w:tblCellMar>
    </w:tblPr>
  </w:style>
  <w:style w:type="table" w:styleId="1122" w:customStyle="1">
    <w:name w:val="Grid Table 6 Colorful - Accent 2"/>
    <w:uiPriority w:val="99"/>
    <w:qFormat/>
    <w:tblPr>
      <w:tblCellMar>
        <w:left w:w="0" w:type="dxa"/>
        <w:top w:w="0" w:type="dxa"/>
        <w:right w:w="0" w:type="dxa"/>
        <w:bottom w:w="0" w:type="dxa"/>
      </w:tblCellMar>
    </w:tblPr>
  </w:style>
  <w:style w:type="table" w:styleId="1123" w:customStyle="1">
    <w:name w:val="Grid Table 6 Colorful - Accent 3"/>
    <w:uiPriority w:val="99"/>
    <w:qFormat/>
    <w:tblPr>
      <w:tblCellMar>
        <w:left w:w="0" w:type="dxa"/>
        <w:top w:w="0" w:type="dxa"/>
        <w:right w:w="0" w:type="dxa"/>
        <w:bottom w:w="0" w:type="dxa"/>
      </w:tblCellMar>
    </w:tblPr>
  </w:style>
  <w:style w:type="table" w:styleId="1124" w:customStyle="1">
    <w:name w:val="Grid Table 6 Colorful - Accent 4"/>
    <w:uiPriority w:val="99"/>
    <w:qFormat/>
    <w:tblPr>
      <w:tblCellMar>
        <w:left w:w="0" w:type="dxa"/>
        <w:top w:w="0" w:type="dxa"/>
        <w:right w:w="0" w:type="dxa"/>
        <w:bottom w:w="0" w:type="dxa"/>
      </w:tblCellMar>
    </w:tblPr>
  </w:style>
  <w:style w:type="table" w:styleId="1125" w:customStyle="1">
    <w:name w:val="Grid Table 6 Colorful - Accent 5"/>
    <w:uiPriority w:val="99"/>
    <w:qFormat/>
    <w:tblPr>
      <w:tblCellMar>
        <w:left w:w="0" w:type="dxa"/>
        <w:top w:w="0" w:type="dxa"/>
        <w:right w:w="0" w:type="dxa"/>
        <w:bottom w:w="0" w:type="dxa"/>
      </w:tblCellMar>
    </w:tblPr>
  </w:style>
  <w:style w:type="table" w:styleId="1126" w:customStyle="1">
    <w:name w:val="Grid Table 6 Colorful - Accent 6"/>
    <w:uiPriority w:val="99"/>
    <w:qFormat/>
    <w:tblPr>
      <w:tblCellMar>
        <w:left w:w="0" w:type="dxa"/>
        <w:top w:w="0" w:type="dxa"/>
        <w:right w:w="0" w:type="dxa"/>
        <w:bottom w:w="0" w:type="dxa"/>
      </w:tblCellMar>
    </w:tblPr>
  </w:style>
  <w:style w:type="table" w:styleId="1127" w:customStyle="1">
    <w:name w:val="网格表 7 彩色11"/>
    <w:uiPriority w:val="99"/>
    <w:qFormat/>
    <w:tblPr>
      <w:tblCellMar>
        <w:left w:w="0" w:type="dxa"/>
        <w:top w:w="0" w:type="dxa"/>
        <w:right w:w="0" w:type="dxa"/>
        <w:bottom w:w="0" w:type="dxa"/>
      </w:tblCellMar>
    </w:tblPr>
  </w:style>
  <w:style w:type="table" w:styleId="1128" w:customStyle="1">
    <w:name w:val="Grid Table 7 Colorful - Accent 1"/>
    <w:uiPriority w:val="99"/>
    <w:qFormat/>
    <w:tblPr>
      <w:tblCellMar>
        <w:left w:w="0" w:type="dxa"/>
        <w:top w:w="0" w:type="dxa"/>
        <w:right w:w="0" w:type="dxa"/>
        <w:bottom w:w="0" w:type="dxa"/>
      </w:tblCellMar>
    </w:tblPr>
  </w:style>
  <w:style w:type="table" w:styleId="1129" w:customStyle="1">
    <w:name w:val="Grid Table 7 Colorful - Accent 2"/>
    <w:uiPriority w:val="99"/>
    <w:qFormat/>
    <w:tblPr>
      <w:tblCellMar>
        <w:left w:w="0" w:type="dxa"/>
        <w:top w:w="0" w:type="dxa"/>
        <w:right w:w="0" w:type="dxa"/>
        <w:bottom w:w="0" w:type="dxa"/>
      </w:tblCellMar>
    </w:tblPr>
  </w:style>
  <w:style w:type="table" w:styleId="1130" w:customStyle="1">
    <w:name w:val="Grid Table 7 Colorful - Accent 3"/>
    <w:uiPriority w:val="99"/>
    <w:qFormat/>
    <w:tblPr>
      <w:tblCellMar>
        <w:left w:w="0" w:type="dxa"/>
        <w:top w:w="0" w:type="dxa"/>
        <w:right w:w="0" w:type="dxa"/>
        <w:bottom w:w="0" w:type="dxa"/>
      </w:tblCellMar>
    </w:tblPr>
  </w:style>
  <w:style w:type="table" w:styleId="1131" w:customStyle="1">
    <w:name w:val="Grid Table 7 Colorful - Accent 4"/>
    <w:uiPriority w:val="99"/>
    <w:qFormat/>
    <w:tblPr>
      <w:tblCellMar>
        <w:left w:w="0" w:type="dxa"/>
        <w:top w:w="0" w:type="dxa"/>
        <w:right w:w="0" w:type="dxa"/>
        <w:bottom w:w="0" w:type="dxa"/>
      </w:tblCellMar>
    </w:tblPr>
  </w:style>
  <w:style w:type="table" w:styleId="1132" w:customStyle="1">
    <w:name w:val="Grid Table 7 Colorful - Accent 5"/>
    <w:uiPriority w:val="99"/>
    <w:qFormat/>
    <w:tblPr>
      <w:tblCellMar>
        <w:left w:w="0" w:type="dxa"/>
        <w:top w:w="0" w:type="dxa"/>
        <w:right w:w="0" w:type="dxa"/>
        <w:bottom w:w="0" w:type="dxa"/>
      </w:tblCellMar>
    </w:tblPr>
  </w:style>
  <w:style w:type="table" w:styleId="1133" w:customStyle="1">
    <w:name w:val="Grid Table 7 Colorful - Accent 6"/>
    <w:uiPriority w:val="99"/>
    <w:qFormat/>
    <w:tblPr>
      <w:tblCellMar>
        <w:left w:w="0" w:type="dxa"/>
        <w:top w:w="0" w:type="dxa"/>
        <w:right w:w="0" w:type="dxa"/>
        <w:bottom w:w="0" w:type="dxa"/>
      </w:tblCellMar>
    </w:tblPr>
  </w:style>
  <w:style w:type="table" w:styleId="1134" w:customStyle="1">
    <w:name w:val="清单表 1 浅色11"/>
    <w:uiPriority w:val="99"/>
    <w:qFormat/>
    <w:tblPr>
      <w:tblCellMar>
        <w:left w:w="0" w:type="dxa"/>
        <w:top w:w="0" w:type="dxa"/>
        <w:right w:w="0" w:type="dxa"/>
        <w:bottom w:w="0" w:type="dxa"/>
      </w:tblCellMar>
    </w:tblPr>
  </w:style>
  <w:style w:type="table" w:styleId="1135" w:customStyle="1">
    <w:name w:val="List Table 1 Light - Accent 1"/>
    <w:uiPriority w:val="99"/>
    <w:qFormat/>
    <w:tblPr>
      <w:tblCellMar>
        <w:left w:w="0" w:type="dxa"/>
        <w:top w:w="0" w:type="dxa"/>
        <w:right w:w="0" w:type="dxa"/>
        <w:bottom w:w="0" w:type="dxa"/>
      </w:tblCellMar>
    </w:tblPr>
  </w:style>
  <w:style w:type="table" w:styleId="1136" w:customStyle="1">
    <w:name w:val="List Table 1 Light - Accent 2"/>
    <w:uiPriority w:val="99"/>
    <w:qFormat/>
    <w:tblPr>
      <w:tblCellMar>
        <w:left w:w="0" w:type="dxa"/>
        <w:top w:w="0" w:type="dxa"/>
        <w:right w:w="0" w:type="dxa"/>
        <w:bottom w:w="0" w:type="dxa"/>
      </w:tblCellMar>
    </w:tblPr>
  </w:style>
  <w:style w:type="table" w:styleId="1137" w:customStyle="1">
    <w:name w:val="List Table 1 Light - Accent 3"/>
    <w:uiPriority w:val="99"/>
    <w:qFormat/>
    <w:tblPr>
      <w:tblCellMar>
        <w:left w:w="0" w:type="dxa"/>
        <w:top w:w="0" w:type="dxa"/>
        <w:right w:w="0" w:type="dxa"/>
        <w:bottom w:w="0" w:type="dxa"/>
      </w:tblCellMar>
    </w:tblPr>
  </w:style>
  <w:style w:type="table" w:styleId="1138" w:customStyle="1">
    <w:name w:val="List Table 1 Light - Accent 4"/>
    <w:uiPriority w:val="99"/>
    <w:qFormat/>
    <w:tblPr>
      <w:tblCellMar>
        <w:left w:w="0" w:type="dxa"/>
        <w:top w:w="0" w:type="dxa"/>
        <w:right w:w="0" w:type="dxa"/>
        <w:bottom w:w="0" w:type="dxa"/>
      </w:tblCellMar>
    </w:tblPr>
  </w:style>
  <w:style w:type="table" w:styleId="1139" w:customStyle="1">
    <w:name w:val="List Table 1 Light - Accent 5"/>
    <w:uiPriority w:val="99"/>
    <w:qFormat/>
    <w:tblPr>
      <w:tblCellMar>
        <w:left w:w="0" w:type="dxa"/>
        <w:top w:w="0" w:type="dxa"/>
        <w:right w:w="0" w:type="dxa"/>
        <w:bottom w:w="0" w:type="dxa"/>
      </w:tblCellMar>
    </w:tblPr>
  </w:style>
  <w:style w:type="table" w:styleId="1140" w:customStyle="1">
    <w:name w:val="List Table 1 Light - Accent 6"/>
    <w:uiPriority w:val="99"/>
    <w:qFormat/>
    <w:tblPr>
      <w:tblCellMar>
        <w:left w:w="0" w:type="dxa"/>
        <w:top w:w="0" w:type="dxa"/>
        <w:right w:w="0" w:type="dxa"/>
        <w:bottom w:w="0" w:type="dxa"/>
      </w:tblCellMar>
    </w:tblPr>
  </w:style>
  <w:style w:type="table" w:styleId="1141" w:customStyle="1">
    <w:name w:val="清单表 211"/>
    <w:uiPriority w:val="99"/>
    <w:qFormat/>
    <w:tblPr>
      <w:tblCellMar>
        <w:left w:w="0" w:type="dxa"/>
        <w:top w:w="0" w:type="dxa"/>
        <w:right w:w="0" w:type="dxa"/>
        <w:bottom w:w="0" w:type="dxa"/>
      </w:tblCellMar>
    </w:tblPr>
  </w:style>
  <w:style w:type="table" w:styleId="1142" w:customStyle="1">
    <w:name w:val="List Table 2 - Accent 1"/>
    <w:uiPriority w:val="99"/>
    <w:qFormat/>
    <w:tblPr>
      <w:tblCellMar>
        <w:left w:w="0" w:type="dxa"/>
        <w:top w:w="0" w:type="dxa"/>
        <w:right w:w="0" w:type="dxa"/>
        <w:bottom w:w="0" w:type="dxa"/>
      </w:tblCellMar>
    </w:tblPr>
  </w:style>
  <w:style w:type="table" w:styleId="1143" w:customStyle="1">
    <w:name w:val="List Table 2 - Accent 2"/>
    <w:uiPriority w:val="99"/>
    <w:qFormat/>
    <w:tblPr>
      <w:tblCellMar>
        <w:left w:w="0" w:type="dxa"/>
        <w:top w:w="0" w:type="dxa"/>
        <w:right w:w="0" w:type="dxa"/>
        <w:bottom w:w="0" w:type="dxa"/>
      </w:tblCellMar>
    </w:tblPr>
  </w:style>
  <w:style w:type="table" w:styleId="1144" w:customStyle="1">
    <w:name w:val="List Table 2 - Accent 3"/>
    <w:uiPriority w:val="99"/>
    <w:qFormat/>
    <w:tblPr>
      <w:tblCellMar>
        <w:left w:w="0" w:type="dxa"/>
        <w:top w:w="0" w:type="dxa"/>
        <w:right w:w="0" w:type="dxa"/>
        <w:bottom w:w="0" w:type="dxa"/>
      </w:tblCellMar>
    </w:tblPr>
  </w:style>
  <w:style w:type="table" w:styleId="1145" w:customStyle="1">
    <w:name w:val="List Table 2 - Accent 4"/>
    <w:uiPriority w:val="99"/>
    <w:qFormat/>
    <w:tblPr>
      <w:tblCellMar>
        <w:left w:w="0" w:type="dxa"/>
        <w:top w:w="0" w:type="dxa"/>
        <w:right w:w="0" w:type="dxa"/>
        <w:bottom w:w="0" w:type="dxa"/>
      </w:tblCellMar>
    </w:tblPr>
  </w:style>
  <w:style w:type="table" w:styleId="1146" w:customStyle="1">
    <w:name w:val="List Table 2 - Accent 5"/>
    <w:uiPriority w:val="99"/>
    <w:qFormat/>
    <w:tblPr>
      <w:tblCellMar>
        <w:left w:w="0" w:type="dxa"/>
        <w:top w:w="0" w:type="dxa"/>
        <w:right w:w="0" w:type="dxa"/>
        <w:bottom w:w="0" w:type="dxa"/>
      </w:tblCellMar>
    </w:tblPr>
  </w:style>
  <w:style w:type="table" w:styleId="1147" w:customStyle="1">
    <w:name w:val="List Table 2 - Accent 6"/>
    <w:uiPriority w:val="99"/>
    <w:qFormat/>
    <w:tblPr>
      <w:tblCellMar>
        <w:left w:w="0" w:type="dxa"/>
        <w:top w:w="0" w:type="dxa"/>
        <w:right w:w="0" w:type="dxa"/>
        <w:bottom w:w="0" w:type="dxa"/>
      </w:tblCellMar>
    </w:tblPr>
  </w:style>
  <w:style w:type="table" w:styleId="1148" w:customStyle="1">
    <w:name w:val="清单表 311"/>
    <w:uiPriority w:val="99"/>
    <w:qFormat/>
    <w:tblPr>
      <w:tblCellMar>
        <w:left w:w="0" w:type="dxa"/>
        <w:top w:w="0" w:type="dxa"/>
        <w:right w:w="0" w:type="dxa"/>
        <w:bottom w:w="0" w:type="dxa"/>
      </w:tblCellMar>
    </w:tblPr>
  </w:style>
  <w:style w:type="table" w:styleId="1149" w:customStyle="1">
    <w:name w:val="List Table 3 - Accent 1"/>
    <w:uiPriority w:val="99"/>
    <w:qFormat/>
    <w:tblPr>
      <w:tblCellMar>
        <w:left w:w="0" w:type="dxa"/>
        <w:top w:w="0" w:type="dxa"/>
        <w:right w:w="0" w:type="dxa"/>
        <w:bottom w:w="0" w:type="dxa"/>
      </w:tblCellMar>
    </w:tblPr>
  </w:style>
  <w:style w:type="table" w:styleId="1150" w:customStyle="1">
    <w:name w:val="List Table 3 - Accent 2"/>
    <w:uiPriority w:val="99"/>
    <w:qFormat/>
    <w:tblPr>
      <w:tblCellMar>
        <w:left w:w="0" w:type="dxa"/>
        <w:top w:w="0" w:type="dxa"/>
        <w:right w:w="0" w:type="dxa"/>
        <w:bottom w:w="0" w:type="dxa"/>
      </w:tblCellMar>
    </w:tblPr>
  </w:style>
  <w:style w:type="table" w:styleId="1151" w:customStyle="1">
    <w:name w:val="List Table 3 - Accent 3"/>
    <w:uiPriority w:val="99"/>
    <w:qFormat/>
    <w:tblPr>
      <w:tblCellMar>
        <w:left w:w="0" w:type="dxa"/>
        <w:top w:w="0" w:type="dxa"/>
        <w:right w:w="0" w:type="dxa"/>
        <w:bottom w:w="0" w:type="dxa"/>
      </w:tblCellMar>
    </w:tblPr>
  </w:style>
  <w:style w:type="table" w:styleId="1152" w:customStyle="1">
    <w:name w:val="List Table 3 - Accent 4"/>
    <w:uiPriority w:val="99"/>
    <w:qFormat/>
    <w:tblPr>
      <w:tblCellMar>
        <w:left w:w="0" w:type="dxa"/>
        <w:top w:w="0" w:type="dxa"/>
        <w:right w:w="0" w:type="dxa"/>
        <w:bottom w:w="0" w:type="dxa"/>
      </w:tblCellMar>
    </w:tblPr>
  </w:style>
  <w:style w:type="table" w:styleId="1153" w:customStyle="1">
    <w:name w:val="List Table 3 - Accent 5"/>
    <w:uiPriority w:val="99"/>
    <w:qFormat/>
    <w:tblPr>
      <w:tblCellMar>
        <w:left w:w="0" w:type="dxa"/>
        <w:top w:w="0" w:type="dxa"/>
        <w:right w:w="0" w:type="dxa"/>
        <w:bottom w:w="0" w:type="dxa"/>
      </w:tblCellMar>
    </w:tblPr>
  </w:style>
  <w:style w:type="table" w:styleId="1154" w:customStyle="1">
    <w:name w:val="List Table 3 - Accent 6"/>
    <w:uiPriority w:val="99"/>
    <w:qFormat/>
    <w:tblPr>
      <w:tblCellMar>
        <w:left w:w="0" w:type="dxa"/>
        <w:top w:w="0" w:type="dxa"/>
        <w:right w:w="0" w:type="dxa"/>
        <w:bottom w:w="0" w:type="dxa"/>
      </w:tblCellMar>
    </w:tblPr>
  </w:style>
  <w:style w:type="table" w:styleId="1155" w:customStyle="1">
    <w:name w:val="清单表 411"/>
    <w:uiPriority w:val="99"/>
    <w:qFormat/>
    <w:tblPr>
      <w:tblCellMar>
        <w:left w:w="0" w:type="dxa"/>
        <w:top w:w="0" w:type="dxa"/>
        <w:right w:w="0" w:type="dxa"/>
        <w:bottom w:w="0" w:type="dxa"/>
      </w:tblCellMar>
    </w:tblPr>
  </w:style>
  <w:style w:type="table" w:styleId="1156" w:customStyle="1">
    <w:name w:val="List Table 4 - Accent 1"/>
    <w:uiPriority w:val="99"/>
    <w:qFormat/>
    <w:tblPr>
      <w:tblCellMar>
        <w:left w:w="0" w:type="dxa"/>
        <w:top w:w="0" w:type="dxa"/>
        <w:right w:w="0" w:type="dxa"/>
        <w:bottom w:w="0" w:type="dxa"/>
      </w:tblCellMar>
    </w:tblPr>
  </w:style>
  <w:style w:type="table" w:styleId="1157" w:customStyle="1">
    <w:name w:val="List Table 4 - Accent 2"/>
    <w:uiPriority w:val="99"/>
    <w:qFormat/>
    <w:tblPr>
      <w:tblCellMar>
        <w:left w:w="0" w:type="dxa"/>
        <w:top w:w="0" w:type="dxa"/>
        <w:right w:w="0" w:type="dxa"/>
        <w:bottom w:w="0" w:type="dxa"/>
      </w:tblCellMar>
    </w:tblPr>
  </w:style>
  <w:style w:type="table" w:styleId="1158" w:customStyle="1">
    <w:name w:val="List Table 4 - Accent 3"/>
    <w:uiPriority w:val="99"/>
    <w:qFormat/>
    <w:tblPr>
      <w:tblCellMar>
        <w:left w:w="0" w:type="dxa"/>
        <w:top w:w="0" w:type="dxa"/>
        <w:right w:w="0" w:type="dxa"/>
        <w:bottom w:w="0" w:type="dxa"/>
      </w:tblCellMar>
    </w:tblPr>
  </w:style>
  <w:style w:type="table" w:styleId="1159" w:customStyle="1">
    <w:name w:val="List Table 4 - Accent 4"/>
    <w:uiPriority w:val="99"/>
    <w:qFormat/>
    <w:tblPr>
      <w:tblCellMar>
        <w:left w:w="0" w:type="dxa"/>
        <w:top w:w="0" w:type="dxa"/>
        <w:right w:w="0" w:type="dxa"/>
        <w:bottom w:w="0" w:type="dxa"/>
      </w:tblCellMar>
    </w:tblPr>
  </w:style>
  <w:style w:type="table" w:styleId="1160" w:customStyle="1">
    <w:name w:val="List Table 4 - Accent 5"/>
    <w:uiPriority w:val="99"/>
    <w:qFormat/>
    <w:tblPr>
      <w:tblCellMar>
        <w:left w:w="0" w:type="dxa"/>
        <w:top w:w="0" w:type="dxa"/>
        <w:right w:w="0" w:type="dxa"/>
        <w:bottom w:w="0" w:type="dxa"/>
      </w:tblCellMar>
    </w:tblPr>
  </w:style>
  <w:style w:type="table" w:styleId="1161" w:customStyle="1">
    <w:name w:val="List Table 4 - Accent 6"/>
    <w:uiPriority w:val="99"/>
    <w:qFormat/>
    <w:tblPr>
      <w:tblCellMar>
        <w:left w:w="0" w:type="dxa"/>
        <w:top w:w="0" w:type="dxa"/>
        <w:right w:w="0" w:type="dxa"/>
        <w:bottom w:w="0" w:type="dxa"/>
      </w:tblCellMar>
    </w:tblPr>
  </w:style>
  <w:style w:type="table" w:styleId="1162" w:customStyle="1">
    <w:name w:val="清单表 5 深色11"/>
    <w:uiPriority w:val="99"/>
    <w:qFormat/>
    <w:tblPr>
      <w:tblCellMar>
        <w:left w:w="0" w:type="dxa"/>
        <w:top w:w="0" w:type="dxa"/>
        <w:right w:w="0" w:type="dxa"/>
        <w:bottom w:w="0" w:type="dxa"/>
      </w:tblCellMar>
    </w:tblPr>
  </w:style>
  <w:style w:type="table" w:styleId="1163" w:customStyle="1">
    <w:name w:val="List Table 5 Dark - Accent 1"/>
    <w:uiPriority w:val="99"/>
    <w:qFormat/>
    <w:tblPr>
      <w:tblCellMar>
        <w:left w:w="0" w:type="dxa"/>
        <w:top w:w="0" w:type="dxa"/>
        <w:right w:w="0" w:type="dxa"/>
        <w:bottom w:w="0" w:type="dxa"/>
      </w:tblCellMar>
    </w:tblPr>
  </w:style>
  <w:style w:type="table" w:styleId="1164" w:customStyle="1">
    <w:name w:val="List Table 5 Dark - Accent 2"/>
    <w:uiPriority w:val="99"/>
    <w:qFormat/>
    <w:tblPr>
      <w:tblCellMar>
        <w:left w:w="0" w:type="dxa"/>
        <w:top w:w="0" w:type="dxa"/>
        <w:right w:w="0" w:type="dxa"/>
        <w:bottom w:w="0" w:type="dxa"/>
      </w:tblCellMar>
    </w:tblPr>
  </w:style>
  <w:style w:type="table" w:styleId="1165" w:customStyle="1">
    <w:name w:val="List Table 5 Dark - Accent 3"/>
    <w:uiPriority w:val="99"/>
    <w:qFormat/>
    <w:tblPr>
      <w:tblCellMar>
        <w:left w:w="0" w:type="dxa"/>
        <w:top w:w="0" w:type="dxa"/>
        <w:right w:w="0" w:type="dxa"/>
        <w:bottom w:w="0" w:type="dxa"/>
      </w:tblCellMar>
    </w:tblPr>
  </w:style>
  <w:style w:type="table" w:styleId="1166" w:customStyle="1">
    <w:name w:val="List Table 5 Dark - Accent 4"/>
    <w:uiPriority w:val="99"/>
    <w:qFormat/>
    <w:tblPr>
      <w:tblCellMar>
        <w:left w:w="0" w:type="dxa"/>
        <w:top w:w="0" w:type="dxa"/>
        <w:right w:w="0" w:type="dxa"/>
        <w:bottom w:w="0" w:type="dxa"/>
      </w:tblCellMar>
    </w:tblPr>
  </w:style>
  <w:style w:type="table" w:styleId="1167" w:customStyle="1">
    <w:name w:val="List Table 5 Dark - Accent 5"/>
    <w:uiPriority w:val="99"/>
    <w:qFormat/>
    <w:tblPr>
      <w:tblCellMar>
        <w:left w:w="0" w:type="dxa"/>
        <w:top w:w="0" w:type="dxa"/>
        <w:right w:w="0" w:type="dxa"/>
        <w:bottom w:w="0" w:type="dxa"/>
      </w:tblCellMar>
    </w:tblPr>
  </w:style>
  <w:style w:type="table" w:styleId="1168" w:customStyle="1">
    <w:name w:val="List Table 5 Dark - Accent 6"/>
    <w:uiPriority w:val="99"/>
    <w:qFormat/>
    <w:tblPr>
      <w:tblCellMar>
        <w:left w:w="0" w:type="dxa"/>
        <w:top w:w="0" w:type="dxa"/>
        <w:right w:w="0" w:type="dxa"/>
        <w:bottom w:w="0" w:type="dxa"/>
      </w:tblCellMar>
    </w:tblPr>
  </w:style>
  <w:style w:type="table" w:styleId="1169" w:customStyle="1">
    <w:name w:val="清单表 6 彩色11"/>
    <w:uiPriority w:val="99"/>
    <w:qFormat/>
    <w:tblPr>
      <w:tblCellMar>
        <w:left w:w="0" w:type="dxa"/>
        <w:top w:w="0" w:type="dxa"/>
        <w:right w:w="0" w:type="dxa"/>
        <w:bottom w:w="0" w:type="dxa"/>
      </w:tblCellMar>
    </w:tblPr>
  </w:style>
  <w:style w:type="table" w:styleId="1170" w:customStyle="1">
    <w:name w:val="List Table 6 Colorful - Accent 1"/>
    <w:uiPriority w:val="99"/>
    <w:qFormat/>
    <w:tblPr>
      <w:tblCellMar>
        <w:left w:w="0" w:type="dxa"/>
        <w:top w:w="0" w:type="dxa"/>
        <w:right w:w="0" w:type="dxa"/>
        <w:bottom w:w="0" w:type="dxa"/>
      </w:tblCellMar>
    </w:tblPr>
  </w:style>
  <w:style w:type="table" w:styleId="1171" w:customStyle="1">
    <w:name w:val="List Table 6 Colorful - Accent 2"/>
    <w:uiPriority w:val="99"/>
    <w:qFormat/>
    <w:tblPr>
      <w:tblCellMar>
        <w:left w:w="0" w:type="dxa"/>
        <w:top w:w="0" w:type="dxa"/>
        <w:right w:w="0" w:type="dxa"/>
        <w:bottom w:w="0" w:type="dxa"/>
      </w:tblCellMar>
    </w:tblPr>
  </w:style>
  <w:style w:type="table" w:styleId="1172" w:customStyle="1">
    <w:name w:val="List Table 6 Colorful - Accent 3"/>
    <w:uiPriority w:val="99"/>
    <w:qFormat/>
    <w:tblPr>
      <w:tblCellMar>
        <w:left w:w="0" w:type="dxa"/>
        <w:top w:w="0" w:type="dxa"/>
        <w:right w:w="0" w:type="dxa"/>
        <w:bottom w:w="0" w:type="dxa"/>
      </w:tblCellMar>
    </w:tblPr>
  </w:style>
  <w:style w:type="table" w:styleId="1173" w:customStyle="1">
    <w:name w:val="List Table 6 Colorful - Accent 4"/>
    <w:uiPriority w:val="99"/>
    <w:qFormat/>
    <w:tblPr>
      <w:tblCellMar>
        <w:left w:w="0" w:type="dxa"/>
        <w:top w:w="0" w:type="dxa"/>
        <w:right w:w="0" w:type="dxa"/>
        <w:bottom w:w="0" w:type="dxa"/>
      </w:tblCellMar>
    </w:tblPr>
  </w:style>
  <w:style w:type="table" w:styleId="1174" w:customStyle="1">
    <w:name w:val="List Table 6 Colorful - Accent 5"/>
    <w:uiPriority w:val="99"/>
    <w:qFormat/>
    <w:tblPr>
      <w:tblCellMar>
        <w:left w:w="0" w:type="dxa"/>
        <w:top w:w="0" w:type="dxa"/>
        <w:right w:w="0" w:type="dxa"/>
        <w:bottom w:w="0" w:type="dxa"/>
      </w:tblCellMar>
    </w:tblPr>
  </w:style>
  <w:style w:type="table" w:styleId="1175" w:customStyle="1">
    <w:name w:val="List Table 6 Colorful - Accent 6"/>
    <w:uiPriority w:val="99"/>
    <w:qFormat/>
    <w:tblPr>
      <w:tblCellMar>
        <w:left w:w="0" w:type="dxa"/>
        <w:top w:w="0" w:type="dxa"/>
        <w:right w:w="0" w:type="dxa"/>
        <w:bottom w:w="0" w:type="dxa"/>
      </w:tblCellMar>
    </w:tblPr>
  </w:style>
  <w:style w:type="table" w:styleId="1176" w:customStyle="1">
    <w:name w:val="清单表 7 彩色11"/>
    <w:uiPriority w:val="99"/>
    <w:qFormat/>
    <w:tblPr>
      <w:tblCellMar>
        <w:left w:w="0" w:type="dxa"/>
        <w:top w:w="0" w:type="dxa"/>
        <w:right w:w="0" w:type="dxa"/>
        <w:bottom w:w="0" w:type="dxa"/>
      </w:tblCellMar>
    </w:tblPr>
  </w:style>
  <w:style w:type="table" w:styleId="1177" w:customStyle="1">
    <w:name w:val="List Table 7 Colorful - Accent 1"/>
    <w:uiPriority w:val="99"/>
    <w:qFormat/>
    <w:tblPr>
      <w:tblCellMar>
        <w:left w:w="0" w:type="dxa"/>
        <w:top w:w="0" w:type="dxa"/>
        <w:right w:w="0" w:type="dxa"/>
        <w:bottom w:w="0" w:type="dxa"/>
      </w:tblCellMar>
    </w:tblPr>
  </w:style>
  <w:style w:type="table" w:styleId="1178" w:customStyle="1">
    <w:name w:val="List Table 7 Colorful - Accent 2"/>
    <w:uiPriority w:val="99"/>
    <w:qFormat/>
    <w:tblPr>
      <w:tblCellMar>
        <w:left w:w="0" w:type="dxa"/>
        <w:top w:w="0" w:type="dxa"/>
        <w:right w:w="0" w:type="dxa"/>
        <w:bottom w:w="0" w:type="dxa"/>
      </w:tblCellMar>
    </w:tblPr>
  </w:style>
  <w:style w:type="table" w:styleId="1179" w:customStyle="1">
    <w:name w:val="List Table 7 Colorful - Accent 3"/>
    <w:uiPriority w:val="99"/>
    <w:qFormat/>
    <w:tblPr>
      <w:tblCellMar>
        <w:left w:w="0" w:type="dxa"/>
        <w:top w:w="0" w:type="dxa"/>
        <w:right w:w="0" w:type="dxa"/>
        <w:bottom w:w="0" w:type="dxa"/>
      </w:tblCellMar>
    </w:tblPr>
  </w:style>
  <w:style w:type="table" w:styleId="1180" w:customStyle="1">
    <w:name w:val="List Table 7 Colorful - Accent 4"/>
    <w:uiPriority w:val="99"/>
    <w:qFormat/>
    <w:tblPr>
      <w:tblCellMar>
        <w:left w:w="0" w:type="dxa"/>
        <w:top w:w="0" w:type="dxa"/>
        <w:right w:w="0" w:type="dxa"/>
        <w:bottom w:w="0" w:type="dxa"/>
      </w:tblCellMar>
    </w:tblPr>
  </w:style>
  <w:style w:type="table" w:styleId="1181" w:customStyle="1">
    <w:name w:val="List Table 7 Colorful - Accent 5"/>
    <w:uiPriority w:val="99"/>
    <w:qFormat/>
    <w:tblPr>
      <w:tblCellMar>
        <w:left w:w="0" w:type="dxa"/>
        <w:top w:w="0" w:type="dxa"/>
        <w:right w:w="0" w:type="dxa"/>
        <w:bottom w:w="0" w:type="dxa"/>
      </w:tblCellMar>
    </w:tblPr>
  </w:style>
  <w:style w:type="table" w:styleId="1182" w:customStyle="1">
    <w:name w:val="List Table 7 Colorful - Accent 6"/>
    <w:uiPriority w:val="99"/>
    <w:qFormat/>
    <w:tblPr>
      <w:tblCellMar>
        <w:left w:w="0" w:type="dxa"/>
        <w:top w:w="0" w:type="dxa"/>
        <w:right w:w="0" w:type="dxa"/>
        <w:bottom w:w="0" w:type="dxa"/>
      </w:tblCellMar>
    </w:tblPr>
  </w:style>
  <w:style w:type="table" w:styleId="1183" w:customStyle="1">
    <w:name w:val="Lined - Accent"/>
    <w:uiPriority w:val="99"/>
    <w:qFormat/>
    <w:rPr>
      <w:color w:val="404040"/>
    </w:rPr>
    <w:tblPr>
      <w:tblCellMar>
        <w:left w:w="0" w:type="dxa"/>
        <w:top w:w="0" w:type="dxa"/>
        <w:right w:w="0" w:type="dxa"/>
        <w:bottom w:w="0" w:type="dxa"/>
      </w:tblCellMar>
    </w:tblPr>
  </w:style>
  <w:style w:type="table" w:styleId="1184" w:customStyle="1">
    <w:name w:val="Lined - Accent 1"/>
    <w:uiPriority w:val="99"/>
    <w:qFormat/>
    <w:rPr>
      <w:color w:val="404040"/>
    </w:rPr>
    <w:tblPr>
      <w:tblCellMar>
        <w:left w:w="0" w:type="dxa"/>
        <w:top w:w="0" w:type="dxa"/>
        <w:right w:w="0" w:type="dxa"/>
        <w:bottom w:w="0" w:type="dxa"/>
      </w:tblCellMar>
    </w:tblPr>
  </w:style>
  <w:style w:type="table" w:styleId="1185" w:customStyle="1">
    <w:name w:val="Lined - Accent 2"/>
    <w:uiPriority w:val="99"/>
    <w:qFormat/>
    <w:rPr>
      <w:color w:val="404040"/>
    </w:rPr>
    <w:tblPr>
      <w:tblCellMar>
        <w:left w:w="0" w:type="dxa"/>
        <w:top w:w="0" w:type="dxa"/>
        <w:right w:w="0" w:type="dxa"/>
        <w:bottom w:w="0" w:type="dxa"/>
      </w:tblCellMar>
    </w:tblPr>
  </w:style>
  <w:style w:type="table" w:styleId="1186" w:customStyle="1">
    <w:name w:val="Lined - Accent 3"/>
    <w:uiPriority w:val="99"/>
    <w:qFormat/>
    <w:rPr>
      <w:color w:val="404040"/>
    </w:rPr>
    <w:tblPr>
      <w:tblCellMar>
        <w:left w:w="0" w:type="dxa"/>
        <w:top w:w="0" w:type="dxa"/>
        <w:right w:w="0" w:type="dxa"/>
        <w:bottom w:w="0" w:type="dxa"/>
      </w:tblCellMar>
    </w:tblPr>
  </w:style>
  <w:style w:type="table" w:styleId="1187" w:customStyle="1">
    <w:name w:val="Lined - Accent 4"/>
    <w:uiPriority w:val="99"/>
    <w:qFormat/>
    <w:rPr>
      <w:color w:val="404040"/>
    </w:rPr>
    <w:tblPr>
      <w:tblCellMar>
        <w:left w:w="0" w:type="dxa"/>
        <w:top w:w="0" w:type="dxa"/>
        <w:right w:w="0" w:type="dxa"/>
        <w:bottom w:w="0" w:type="dxa"/>
      </w:tblCellMar>
    </w:tblPr>
  </w:style>
  <w:style w:type="table" w:styleId="1188" w:customStyle="1">
    <w:name w:val="Lined - Accent 5"/>
    <w:uiPriority w:val="99"/>
    <w:qFormat/>
    <w:rPr>
      <w:color w:val="404040"/>
    </w:rPr>
    <w:tblPr>
      <w:tblCellMar>
        <w:left w:w="0" w:type="dxa"/>
        <w:top w:w="0" w:type="dxa"/>
        <w:right w:w="0" w:type="dxa"/>
        <w:bottom w:w="0" w:type="dxa"/>
      </w:tblCellMar>
    </w:tblPr>
  </w:style>
  <w:style w:type="table" w:styleId="1189" w:customStyle="1">
    <w:name w:val="Lined - Accent 6"/>
    <w:uiPriority w:val="99"/>
    <w:qFormat/>
    <w:rPr>
      <w:color w:val="404040"/>
    </w:rPr>
    <w:tblPr>
      <w:tblCellMar>
        <w:left w:w="0" w:type="dxa"/>
        <w:top w:w="0" w:type="dxa"/>
        <w:right w:w="0" w:type="dxa"/>
        <w:bottom w:w="0" w:type="dxa"/>
      </w:tblCellMar>
    </w:tblPr>
  </w:style>
  <w:style w:type="table" w:styleId="1190" w:customStyle="1">
    <w:name w:val="Bordered &amp; Lined - Accent"/>
    <w:uiPriority w:val="99"/>
    <w:qFormat/>
    <w:rPr>
      <w:color w:val="404040"/>
    </w:rPr>
    <w:tblPr>
      <w:tblCellMar>
        <w:left w:w="0" w:type="dxa"/>
        <w:top w:w="0" w:type="dxa"/>
        <w:right w:w="0" w:type="dxa"/>
        <w:bottom w:w="0" w:type="dxa"/>
      </w:tblCellMar>
    </w:tblPr>
  </w:style>
  <w:style w:type="table" w:styleId="1191" w:customStyle="1">
    <w:name w:val="Bordered &amp; Lined - Accent 1"/>
    <w:uiPriority w:val="99"/>
    <w:qFormat/>
    <w:rPr>
      <w:color w:val="404040"/>
    </w:rPr>
    <w:tblPr>
      <w:tblCellMar>
        <w:left w:w="0" w:type="dxa"/>
        <w:top w:w="0" w:type="dxa"/>
        <w:right w:w="0" w:type="dxa"/>
        <w:bottom w:w="0" w:type="dxa"/>
      </w:tblCellMar>
    </w:tblPr>
  </w:style>
  <w:style w:type="table" w:styleId="1192" w:customStyle="1">
    <w:name w:val="Bordered &amp; Lined - Accent 2"/>
    <w:uiPriority w:val="99"/>
    <w:qFormat/>
    <w:rPr>
      <w:color w:val="404040"/>
    </w:rPr>
    <w:tblPr>
      <w:tblCellMar>
        <w:left w:w="0" w:type="dxa"/>
        <w:top w:w="0" w:type="dxa"/>
        <w:right w:w="0" w:type="dxa"/>
        <w:bottom w:w="0" w:type="dxa"/>
      </w:tblCellMar>
    </w:tblPr>
  </w:style>
  <w:style w:type="table" w:styleId="1193" w:customStyle="1">
    <w:name w:val="Bordered &amp; Lined - Accent 3"/>
    <w:uiPriority w:val="99"/>
    <w:qFormat/>
    <w:rPr>
      <w:color w:val="404040"/>
    </w:rPr>
    <w:tblPr>
      <w:tblCellMar>
        <w:left w:w="0" w:type="dxa"/>
        <w:top w:w="0" w:type="dxa"/>
        <w:right w:w="0" w:type="dxa"/>
        <w:bottom w:w="0" w:type="dxa"/>
      </w:tblCellMar>
    </w:tblPr>
  </w:style>
  <w:style w:type="table" w:styleId="1194" w:customStyle="1">
    <w:name w:val="Bordered &amp; Lined - Accent 4"/>
    <w:uiPriority w:val="99"/>
    <w:qFormat/>
    <w:rPr>
      <w:color w:val="404040"/>
    </w:rPr>
    <w:tblPr>
      <w:tblCellMar>
        <w:left w:w="0" w:type="dxa"/>
        <w:top w:w="0" w:type="dxa"/>
        <w:right w:w="0" w:type="dxa"/>
        <w:bottom w:w="0" w:type="dxa"/>
      </w:tblCellMar>
    </w:tblPr>
  </w:style>
  <w:style w:type="table" w:styleId="1195" w:customStyle="1">
    <w:name w:val="Bordered &amp; Lined - Accent 5"/>
    <w:uiPriority w:val="99"/>
    <w:qFormat/>
    <w:rPr>
      <w:color w:val="404040"/>
    </w:rPr>
    <w:tblPr>
      <w:tblCellMar>
        <w:left w:w="0" w:type="dxa"/>
        <w:top w:w="0" w:type="dxa"/>
        <w:right w:w="0" w:type="dxa"/>
        <w:bottom w:w="0" w:type="dxa"/>
      </w:tblCellMar>
    </w:tblPr>
  </w:style>
  <w:style w:type="table" w:styleId="1196" w:customStyle="1">
    <w:name w:val="Bordered &amp; Lined - Accent 6"/>
    <w:uiPriority w:val="99"/>
    <w:qFormat/>
    <w:rPr>
      <w:color w:val="404040"/>
    </w:rPr>
    <w:tblPr>
      <w:tblCellMar>
        <w:left w:w="0" w:type="dxa"/>
        <w:top w:w="0" w:type="dxa"/>
        <w:right w:w="0" w:type="dxa"/>
        <w:bottom w:w="0" w:type="dxa"/>
      </w:tblCellMar>
    </w:tblPr>
  </w:style>
  <w:style w:type="table" w:styleId="1197" w:customStyle="1">
    <w:name w:val="Bordered"/>
    <w:uiPriority w:val="99"/>
    <w:qFormat/>
    <w:tblPr>
      <w:tblCellMar>
        <w:left w:w="0" w:type="dxa"/>
        <w:top w:w="0" w:type="dxa"/>
        <w:right w:w="0" w:type="dxa"/>
        <w:bottom w:w="0" w:type="dxa"/>
      </w:tblCellMar>
    </w:tblPr>
  </w:style>
  <w:style w:type="table" w:styleId="1198" w:customStyle="1">
    <w:name w:val="Bordered - Accent 1"/>
    <w:uiPriority w:val="99"/>
    <w:qFormat/>
    <w:tblPr>
      <w:tblCellMar>
        <w:left w:w="0" w:type="dxa"/>
        <w:top w:w="0" w:type="dxa"/>
        <w:right w:w="0" w:type="dxa"/>
        <w:bottom w:w="0" w:type="dxa"/>
      </w:tblCellMar>
    </w:tblPr>
  </w:style>
  <w:style w:type="table" w:styleId="1199" w:customStyle="1">
    <w:name w:val="Bordered - Accent 2"/>
    <w:uiPriority w:val="99"/>
    <w:qFormat/>
    <w:tblPr>
      <w:tblCellMar>
        <w:left w:w="0" w:type="dxa"/>
        <w:top w:w="0" w:type="dxa"/>
        <w:right w:w="0" w:type="dxa"/>
        <w:bottom w:w="0" w:type="dxa"/>
      </w:tblCellMar>
    </w:tblPr>
  </w:style>
  <w:style w:type="table" w:styleId="1200" w:customStyle="1">
    <w:name w:val="Bordered - Accent 3"/>
    <w:uiPriority w:val="99"/>
    <w:qFormat/>
    <w:tblPr>
      <w:tblCellMar>
        <w:left w:w="0" w:type="dxa"/>
        <w:top w:w="0" w:type="dxa"/>
        <w:right w:w="0" w:type="dxa"/>
        <w:bottom w:w="0" w:type="dxa"/>
      </w:tblCellMar>
    </w:tblPr>
  </w:style>
  <w:style w:type="table" w:styleId="1201" w:customStyle="1">
    <w:name w:val="Bordered - Accent 4"/>
    <w:uiPriority w:val="99"/>
    <w:qFormat/>
    <w:tblPr>
      <w:tblCellMar>
        <w:left w:w="0" w:type="dxa"/>
        <w:top w:w="0" w:type="dxa"/>
        <w:right w:w="0" w:type="dxa"/>
        <w:bottom w:w="0" w:type="dxa"/>
      </w:tblCellMar>
    </w:tblPr>
  </w:style>
  <w:style w:type="table" w:styleId="1202" w:customStyle="1">
    <w:name w:val="Bordered - Accent 5"/>
    <w:uiPriority w:val="99"/>
    <w:qFormat/>
    <w:tblPr>
      <w:tblCellMar>
        <w:left w:w="0" w:type="dxa"/>
        <w:top w:w="0" w:type="dxa"/>
        <w:right w:w="0" w:type="dxa"/>
        <w:bottom w:w="0" w:type="dxa"/>
      </w:tblCellMar>
    </w:tblPr>
  </w:style>
  <w:style w:type="table" w:styleId="1203" w:customStyle="1">
    <w:name w:val="Bordered - Accent 6"/>
    <w:uiPriority w:val="99"/>
    <w:qFormat/>
    <w:tblPr>
      <w:tblCellMar>
        <w:left w:w="0" w:type="dxa"/>
        <w:top w:w="0" w:type="dxa"/>
        <w:right w:w="0" w:type="dxa"/>
        <w:bottom w:w="0" w:type="dxa"/>
      </w:tblCellMar>
    </w:tblPr>
  </w:style>
  <w:style w:type="paragraph" w:styleId="1204" w:customStyle="1">
    <w:name w:val="TOC 标题11"/>
    <w:uiPriority w:val="39"/>
    <w:unhideWhenUsed/>
    <w:qFormat/>
    <w:rPr>
      <w:rFonts w:ascii="Times New Roman" w:hAnsi="Times New Roman" w:eastAsia="宋体" w:cs="Times New Roman"/>
      <w:lang w:val="en-US" w:eastAsia="zh-CN" w:bidi="ar-SA"/>
    </w:rPr>
  </w:style>
  <w:style w:type="paragraph" w:styleId="1205" w:customStyle="1">
    <w:name w:val="标题 11"/>
    <w:basedOn w:val="862"/>
    <w:next w:val="862"/>
    <w:link w:val="1206"/>
    <w:uiPriority w:val="99"/>
    <w:qFormat/>
    <w:pPr>
      <w:keepLines/>
      <w:keepNext/>
      <w:spacing w:before="340" w:after="330" w:line="576" w:lineRule="auto"/>
      <w:outlineLvl w:val="0"/>
    </w:pPr>
    <w:rPr>
      <w:b/>
      <w:bCs/>
      <w:sz w:val="44"/>
      <w:szCs w:val="44"/>
    </w:rPr>
  </w:style>
  <w:style w:type="character" w:styleId="1206" w:customStyle="1">
    <w:name w:val="标题 1 Char"/>
    <w:link w:val="1205"/>
    <w:uiPriority w:val="99"/>
    <w:qFormat/>
    <w:rPr>
      <w:rFonts w:ascii="Times New Roman" w:hAnsi="Times New Roman" w:eastAsia="宋体" w:cs="Times New Roman"/>
      <w:b/>
      <w:sz w:val="44"/>
    </w:rPr>
  </w:style>
  <w:style w:type="character" w:styleId="1207" w:customStyle="1">
    <w:name w:val="默认段落字体1"/>
    <w:uiPriority w:val="1"/>
    <w:unhideWhenUsed/>
    <w:qFormat/>
  </w:style>
  <w:style w:type="paragraph" w:styleId="1208" w:customStyle="1">
    <w:name w:val="标题 21"/>
    <w:basedOn w:val="862"/>
    <w:next w:val="862"/>
    <w:link w:val="1209"/>
    <w:uiPriority w:val="9"/>
    <w:qFormat/>
    <w:pPr>
      <w:keepLines/>
      <w:keepNext/>
      <w:spacing w:before="260" w:after="260" w:line="413" w:lineRule="auto"/>
      <w:outlineLvl w:val="1"/>
    </w:pPr>
    <w:rPr>
      <w:rFonts w:ascii="Arial" w:hAnsi="Arial" w:eastAsia="黑体"/>
      <w:b/>
      <w:bCs/>
      <w:sz w:val="32"/>
      <w:szCs w:val="32"/>
    </w:rPr>
  </w:style>
  <w:style w:type="character" w:styleId="1209" w:customStyle="1">
    <w:name w:val="标题 2 Char"/>
    <w:link w:val="1208"/>
    <w:uiPriority w:val="9"/>
    <w:qFormat/>
    <w:rPr>
      <w:rFonts w:ascii="Arial" w:hAnsi="Arial" w:eastAsia="黑体" w:cs="Times New Roman"/>
      <w:b/>
      <w:sz w:val="32"/>
    </w:rPr>
  </w:style>
  <w:style w:type="paragraph" w:styleId="1210" w:customStyle="1">
    <w:name w:val="标题 31"/>
    <w:basedOn w:val="862"/>
    <w:next w:val="862"/>
    <w:link w:val="1211"/>
    <w:uiPriority w:val="99"/>
    <w:qFormat/>
    <w:pPr>
      <w:keepLines/>
      <w:keepNext/>
      <w:spacing w:before="260" w:after="260" w:line="413" w:lineRule="auto"/>
      <w:outlineLvl w:val="2"/>
    </w:pPr>
    <w:rPr>
      <w:b/>
      <w:bCs/>
      <w:sz w:val="32"/>
      <w:szCs w:val="32"/>
    </w:rPr>
  </w:style>
  <w:style w:type="character" w:styleId="1211" w:customStyle="1">
    <w:name w:val="标题 3 Char"/>
    <w:link w:val="1210"/>
    <w:uiPriority w:val="99"/>
    <w:qFormat/>
    <w:rPr>
      <w:rFonts w:ascii="Times New Roman" w:hAnsi="Times New Roman" w:eastAsia="宋体" w:cs="Times New Roman"/>
      <w:b/>
      <w:sz w:val="32"/>
    </w:rPr>
  </w:style>
  <w:style w:type="paragraph" w:styleId="1212" w:customStyle="1">
    <w:name w:val="标题 411"/>
    <w:basedOn w:val="862"/>
    <w:next w:val="862"/>
    <w:link w:val="1213"/>
    <w:uiPriority w:val="9"/>
    <w:qFormat/>
    <w:pPr>
      <w:keepLines/>
      <w:keepNext/>
      <w:spacing w:before="120" w:after="120"/>
      <w:outlineLvl w:val="3"/>
    </w:pPr>
    <w:rPr>
      <w:rFonts w:ascii="Arial" w:hAnsi="Arial" w:eastAsia="黑体"/>
      <w:b/>
      <w:sz w:val="20"/>
      <w:szCs w:val="20"/>
    </w:rPr>
  </w:style>
  <w:style w:type="character" w:styleId="1213" w:customStyle="1">
    <w:name w:val="标题 4 Char"/>
    <w:link w:val="1212"/>
    <w:uiPriority w:val="9"/>
    <w:qFormat/>
    <w:rPr>
      <w:rFonts w:ascii="Arial" w:hAnsi="Arial" w:eastAsia="黑体" w:cs="Times New Roman"/>
      <w:b/>
      <w:sz w:val="20"/>
    </w:rPr>
  </w:style>
  <w:style w:type="paragraph" w:styleId="1214" w:customStyle="1">
    <w:name w:val="标题 51"/>
    <w:basedOn w:val="862"/>
    <w:next w:val="862"/>
    <w:link w:val="1215"/>
    <w:uiPriority w:val="99"/>
    <w:qFormat/>
    <w:pPr>
      <w:ind w:left="1008" w:hanging="1008"/>
      <w:keepLines/>
      <w:keepNext/>
      <w:spacing w:before="280" w:after="290" w:line="372" w:lineRule="auto"/>
      <w:tabs>
        <w:tab w:val="left" w:pos="1008" w:leader="none"/>
      </w:tabs>
      <w:outlineLvl w:val="4"/>
    </w:pPr>
    <w:rPr>
      <w:b/>
      <w:bCs/>
      <w:sz w:val="28"/>
      <w:szCs w:val="28"/>
    </w:rPr>
  </w:style>
  <w:style w:type="character" w:styleId="1215" w:customStyle="1">
    <w:name w:val="标题 5 Char"/>
    <w:link w:val="1214"/>
    <w:uiPriority w:val="99"/>
    <w:qFormat/>
    <w:rPr>
      <w:rFonts w:ascii="Times New Roman" w:hAnsi="Times New Roman" w:eastAsia="宋体" w:cs="Times New Roman"/>
      <w:b/>
      <w:sz w:val="28"/>
    </w:rPr>
  </w:style>
  <w:style w:type="paragraph" w:styleId="1216" w:customStyle="1">
    <w:name w:val="标题 61"/>
    <w:basedOn w:val="862"/>
    <w:next w:val="862"/>
    <w:link w:val="1217"/>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character" w:styleId="1217" w:customStyle="1">
    <w:name w:val="标题 6 Char"/>
    <w:link w:val="1216"/>
    <w:uiPriority w:val="99"/>
    <w:qFormat/>
    <w:rPr>
      <w:rFonts w:ascii="Arial" w:hAnsi="Arial" w:eastAsia="黑体" w:cs="Times New Roman"/>
      <w:b/>
      <w:sz w:val="24"/>
    </w:rPr>
  </w:style>
  <w:style w:type="paragraph" w:styleId="1218" w:customStyle="1">
    <w:name w:val="标题 71"/>
    <w:basedOn w:val="862"/>
    <w:next w:val="862"/>
    <w:link w:val="1219"/>
    <w:uiPriority w:val="99"/>
    <w:qFormat/>
    <w:pPr>
      <w:ind w:left="1296" w:hanging="1296"/>
      <w:keepLines/>
      <w:keepNext/>
      <w:spacing w:before="240" w:after="64" w:line="317" w:lineRule="auto"/>
      <w:tabs>
        <w:tab w:val="left" w:pos="1296" w:leader="none"/>
      </w:tabs>
      <w:outlineLvl w:val="6"/>
    </w:pPr>
    <w:rPr>
      <w:b/>
      <w:bCs/>
      <w:sz w:val="24"/>
    </w:rPr>
  </w:style>
  <w:style w:type="character" w:styleId="1219" w:customStyle="1">
    <w:name w:val="标题 7 Char"/>
    <w:link w:val="1218"/>
    <w:uiPriority w:val="99"/>
    <w:qFormat/>
    <w:rPr>
      <w:rFonts w:ascii="Times New Roman" w:hAnsi="Times New Roman" w:eastAsia="宋体" w:cs="Times New Roman"/>
      <w:b/>
      <w:sz w:val="24"/>
    </w:rPr>
  </w:style>
  <w:style w:type="paragraph" w:styleId="1220" w:customStyle="1">
    <w:name w:val="标题 81"/>
    <w:basedOn w:val="862"/>
    <w:next w:val="862"/>
    <w:link w:val="1221"/>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character" w:styleId="1221" w:customStyle="1">
    <w:name w:val="标题 8 Char"/>
    <w:link w:val="1220"/>
    <w:uiPriority w:val="99"/>
    <w:qFormat/>
    <w:rPr>
      <w:rFonts w:ascii="Arial" w:hAnsi="Arial" w:eastAsia="黑体" w:cs="Times New Roman"/>
      <w:sz w:val="24"/>
    </w:rPr>
  </w:style>
  <w:style w:type="paragraph" w:styleId="1222" w:customStyle="1">
    <w:name w:val="标题 91"/>
    <w:basedOn w:val="862"/>
    <w:next w:val="862"/>
    <w:link w:val="1223"/>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223" w:customStyle="1">
    <w:name w:val="标题 9 Char"/>
    <w:link w:val="1222"/>
    <w:uiPriority w:val="99"/>
    <w:qFormat/>
    <w:rPr>
      <w:rFonts w:ascii="Arial" w:hAnsi="Arial" w:eastAsia="黑体" w:cs="Times New Roman"/>
      <w:sz w:val="21"/>
    </w:rPr>
  </w:style>
  <w:style w:type="table" w:styleId="1224" w:customStyle="1">
    <w:name w:val="普通表格1"/>
    <w:uiPriority w:val="99"/>
    <w:unhideWhenUsed/>
    <w:qFormat/>
    <w:tblPr>
      <w:tblCellMar>
        <w:left w:w="0" w:type="dxa"/>
        <w:top w:w="0" w:type="dxa"/>
        <w:right w:w="0" w:type="dxa"/>
        <w:bottom w:w="0" w:type="dxa"/>
      </w:tblCellMar>
    </w:tblPr>
  </w:style>
  <w:style w:type="paragraph" w:styleId="1225" w:customStyle="1">
    <w:name w:val="列表 31"/>
    <w:basedOn w:val="862"/>
    <w:uiPriority w:val="99"/>
    <w:qFormat/>
    <w:pPr>
      <w:ind w:left="1260" w:hanging="420"/>
    </w:pPr>
    <w:rPr>
      <w:szCs w:val="20"/>
    </w:rPr>
  </w:style>
  <w:style w:type="paragraph" w:styleId="1226" w:customStyle="1">
    <w:name w:val="目录 71"/>
    <w:basedOn w:val="862"/>
    <w:next w:val="862"/>
    <w:uiPriority w:val="99"/>
    <w:semiHidden/>
    <w:qFormat/>
    <w:pPr>
      <w:ind w:left="1260"/>
      <w:jc w:val="left"/>
    </w:pPr>
    <w:rPr>
      <w:szCs w:val="21"/>
    </w:rPr>
  </w:style>
  <w:style w:type="paragraph" w:styleId="1227" w:customStyle="1">
    <w:name w:val="列表编号 21"/>
    <w:basedOn w:val="862"/>
    <w:uiPriority w:val="99"/>
    <w:qFormat/>
    <w:pPr>
      <w:ind w:left="1440" w:hanging="1440"/>
      <w:spacing w:line="360" w:lineRule="auto"/>
      <w:tabs>
        <w:tab w:val="left" w:pos="1440" w:leader="none"/>
      </w:tabs>
    </w:pPr>
    <w:rPr>
      <w:sz w:val="24"/>
    </w:rPr>
  </w:style>
  <w:style w:type="paragraph" w:styleId="1228" w:customStyle="1">
    <w:name w:val="引文目录1"/>
    <w:basedOn w:val="862"/>
    <w:next w:val="862"/>
    <w:uiPriority w:val="0"/>
    <w:qFormat/>
    <w:pPr>
      <w:ind w:left="420"/>
    </w:pPr>
  </w:style>
  <w:style w:type="paragraph" w:styleId="1229" w:customStyle="1">
    <w:name w:val="列表编号1"/>
    <w:basedOn w:val="862"/>
    <w:uiPriority w:val="99"/>
    <w:qFormat/>
    <w:pPr>
      <w:ind w:left="2952" w:hanging="432"/>
      <w:tabs>
        <w:tab w:val="left" w:pos="2952" w:leader="none"/>
      </w:tabs>
    </w:pPr>
  </w:style>
  <w:style w:type="paragraph" w:styleId="1230" w:customStyle="1">
    <w:name w:val="正文缩进1"/>
    <w:basedOn w:val="862"/>
    <w:link w:val="1231"/>
    <w:uiPriority w:val="99"/>
    <w:qFormat/>
    <w:pPr>
      <w:ind w:firstLine="420"/>
    </w:pPr>
    <w:rPr>
      <w:szCs w:val="20"/>
    </w:rPr>
  </w:style>
  <w:style w:type="character" w:styleId="1231" w:customStyle="1">
    <w:name w:val="正文缩进 Char"/>
    <w:link w:val="1230"/>
    <w:uiPriority w:val="99"/>
    <w:qFormat/>
    <w:rPr>
      <w:sz w:val="21"/>
    </w:rPr>
  </w:style>
  <w:style w:type="paragraph" w:styleId="1232" w:customStyle="1">
    <w:name w:val="文档结构图1"/>
    <w:basedOn w:val="862"/>
    <w:link w:val="1233"/>
    <w:uiPriority w:val="99"/>
    <w:semiHidden/>
    <w:qFormat/>
    <w:pPr>
      <w:shd w:val="clear" w:color="auto" w:fill="000080"/>
    </w:pPr>
    <w:rPr>
      <w:sz w:val="24"/>
    </w:rPr>
  </w:style>
  <w:style w:type="character" w:styleId="1233" w:customStyle="1">
    <w:name w:val="文档结构图 Char"/>
    <w:link w:val="1232"/>
    <w:uiPriority w:val="99"/>
    <w:semiHidden/>
    <w:qFormat/>
    <w:rPr>
      <w:rFonts w:ascii="Times New Roman" w:hAnsi="Times New Roman" w:eastAsia="宋体" w:cs="Times New Roman"/>
      <w:sz w:val="24"/>
      <w:shd w:val="clear" w:color="auto" w:fill="000080"/>
    </w:rPr>
  </w:style>
  <w:style w:type="paragraph" w:styleId="1234" w:customStyle="1">
    <w:name w:val="批注文字1"/>
    <w:basedOn w:val="862"/>
    <w:link w:val="1235"/>
    <w:uiPriority w:val="99"/>
    <w:qFormat/>
    <w:pPr>
      <w:jc w:val="left"/>
    </w:pPr>
    <w:rPr>
      <w:sz w:val="20"/>
      <w:szCs w:val="20"/>
    </w:rPr>
  </w:style>
  <w:style w:type="character" w:styleId="1235" w:customStyle="1">
    <w:name w:val="批注文字 Char"/>
    <w:link w:val="1234"/>
    <w:uiPriority w:val="99"/>
    <w:qFormat/>
    <w:rPr>
      <w:rFonts w:ascii="Times New Roman" w:hAnsi="Times New Roman" w:eastAsia="宋体" w:cs="Times New Roman"/>
      <w:sz w:val="20"/>
    </w:rPr>
  </w:style>
  <w:style w:type="paragraph" w:styleId="1236" w:customStyle="1">
    <w:name w:val="称呼1"/>
    <w:basedOn w:val="862"/>
    <w:next w:val="862"/>
    <w:link w:val="1237"/>
    <w:uiPriority w:val="99"/>
    <w:qFormat/>
    <w:rPr>
      <w:rFonts w:ascii="仿宋_GB2312" w:eastAsia="仿宋_GB2312"/>
      <w:sz w:val="20"/>
      <w:szCs w:val="20"/>
    </w:rPr>
  </w:style>
  <w:style w:type="character" w:styleId="1237" w:customStyle="1">
    <w:name w:val="称呼 Char"/>
    <w:link w:val="1236"/>
    <w:uiPriority w:val="99"/>
    <w:qFormat/>
    <w:rPr>
      <w:rFonts w:ascii="仿宋_GB2312" w:hAnsi="Times New Roman" w:eastAsia="仿宋_GB2312" w:cs="Times New Roman"/>
      <w:sz w:val="20"/>
    </w:rPr>
  </w:style>
  <w:style w:type="paragraph" w:styleId="1238" w:customStyle="1">
    <w:name w:val="正文文本 31"/>
    <w:basedOn w:val="862"/>
    <w:link w:val="1239"/>
    <w:uiPriority w:val="99"/>
    <w:qFormat/>
    <w:pPr>
      <w:spacing w:after="120"/>
    </w:pPr>
    <w:rPr>
      <w:sz w:val="16"/>
      <w:szCs w:val="16"/>
    </w:rPr>
  </w:style>
  <w:style w:type="character" w:styleId="1239" w:customStyle="1">
    <w:name w:val="正文文本 3 Char"/>
    <w:link w:val="1238"/>
    <w:uiPriority w:val="99"/>
    <w:qFormat/>
    <w:rPr>
      <w:rFonts w:ascii="Times New Roman" w:hAnsi="Times New Roman" w:eastAsia="宋体" w:cs="Times New Roman"/>
      <w:sz w:val="16"/>
    </w:rPr>
  </w:style>
  <w:style w:type="paragraph" w:styleId="1240" w:customStyle="1">
    <w:name w:val="正文文本1"/>
    <w:basedOn w:val="862"/>
    <w:link w:val="1241"/>
    <w:uiPriority w:val="99"/>
    <w:qFormat/>
    <w:pPr>
      <w:spacing w:after="120"/>
    </w:pPr>
    <w:rPr>
      <w:sz w:val="24"/>
    </w:rPr>
  </w:style>
  <w:style w:type="character" w:styleId="1241" w:customStyle="1">
    <w:name w:val="正文文本 Char"/>
    <w:link w:val="1240"/>
    <w:uiPriority w:val="99"/>
    <w:semiHidden/>
    <w:qFormat/>
    <w:rPr>
      <w:rFonts w:ascii="Times New Roman" w:hAnsi="Times New Roman" w:eastAsia="宋体" w:cs="Times New Roman"/>
      <w:sz w:val="24"/>
    </w:rPr>
  </w:style>
  <w:style w:type="paragraph" w:styleId="1242" w:customStyle="1">
    <w:name w:val="正文文本缩进11"/>
    <w:basedOn w:val="862"/>
    <w:link w:val="1243"/>
    <w:uiPriority w:val="99"/>
    <w:qFormat/>
    <w:pPr>
      <w:ind w:left="420"/>
      <w:spacing w:after="120"/>
    </w:pPr>
    <w:rPr>
      <w:sz w:val="24"/>
    </w:rPr>
  </w:style>
  <w:style w:type="character" w:styleId="1243" w:customStyle="1">
    <w:name w:val="正文文本缩进 Char"/>
    <w:link w:val="1242"/>
    <w:uiPriority w:val="99"/>
    <w:qFormat/>
    <w:rPr>
      <w:rFonts w:ascii="Times New Roman" w:hAnsi="Times New Roman" w:eastAsia="宋体" w:cs="Times New Roman"/>
      <w:sz w:val="24"/>
    </w:rPr>
  </w:style>
  <w:style w:type="paragraph" w:styleId="1244" w:customStyle="1">
    <w:name w:val="列表 21"/>
    <w:basedOn w:val="862"/>
    <w:uiPriority w:val="99"/>
    <w:qFormat/>
    <w:pPr>
      <w:ind w:left="100" w:hanging="200"/>
    </w:pPr>
    <w:rPr>
      <w:szCs w:val="21"/>
    </w:rPr>
  </w:style>
  <w:style w:type="paragraph" w:styleId="1245" w:customStyle="1">
    <w:name w:val="文本块1"/>
    <w:basedOn w:val="862"/>
    <w:uiPriority w:val="99"/>
    <w:unhideWhenUsed/>
    <w:qFormat/>
    <w:pPr>
      <w:ind w:left="1440" w:right="1440"/>
      <w:spacing w:after="120"/>
    </w:pPr>
    <w:rPr>
      <w:rFonts w:ascii="Calibri" w:hAnsi="Calibri"/>
      <w:szCs w:val="22"/>
    </w:rPr>
  </w:style>
  <w:style w:type="paragraph" w:styleId="1246" w:customStyle="1">
    <w:name w:val="索引 41"/>
    <w:basedOn w:val="862"/>
    <w:next w:val="862"/>
    <w:uiPriority w:val="0"/>
    <w:semiHidden/>
    <w:qFormat/>
    <w:pPr>
      <w:ind w:left="1260"/>
    </w:pPr>
    <w:rPr>
      <w:rFonts w:ascii="Calibri" w:hAnsi="Calibri" w:eastAsia="Calibri" w:cs="宋体"/>
      <w:sz w:val="20"/>
      <w:lang w:val="zh-CN"/>
    </w:rPr>
  </w:style>
  <w:style w:type="paragraph" w:styleId="1247" w:customStyle="1">
    <w:name w:val="目录 51"/>
    <w:basedOn w:val="862"/>
    <w:next w:val="862"/>
    <w:uiPriority w:val="99"/>
    <w:semiHidden/>
    <w:qFormat/>
    <w:pPr>
      <w:ind w:left="840"/>
      <w:jc w:val="left"/>
    </w:pPr>
    <w:rPr>
      <w:szCs w:val="21"/>
    </w:rPr>
  </w:style>
  <w:style w:type="paragraph" w:styleId="1248" w:customStyle="1">
    <w:name w:val="目录 31"/>
    <w:basedOn w:val="862"/>
    <w:next w:val="862"/>
    <w:uiPriority w:val="99"/>
    <w:semiHidden/>
    <w:qFormat/>
    <w:pPr>
      <w:ind w:left="840"/>
    </w:pPr>
  </w:style>
  <w:style w:type="paragraph" w:styleId="1249" w:customStyle="1">
    <w:name w:val="纯文本11"/>
    <w:basedOn w:val="862"/>
    <w:link w:val="1250"/>
    <w:uiPriority w:val="99"/>
    <w:qFormat/>
    <w:rPr>
      <w:rFonts w:ascii="宋体" w:hAnsi="Courier New"/>
      <w:szCs w:val="21"/>
    </w:rPr>
  </w:style>
  <w:style w:type="character" w:styleId="1250" w:customStyle="1">
    <w:name w:val="纯文本 Char"/>
    <w:link w:val="1249"/>
    <w:uiPriority w:val="99"/>
    <w:qFormat/>
    <w:rPr>
      <w:rFonts w:ascii="宋体" w:hAnsi="Courier New" w:eastAsia="宋体" w:cs="Times New Roman"/>
      <w:sz w:val="21"/>
    </w:rPr>
  </w:style>
  <w:style w:type="paragraph" w:styleId="1251" w:customStyle="1">
    <w:name w:val="目录 81"/>
    <w:basedOn w:val="862"/>
    <w:next w:val="862"/>
    <w:uiPriority w:val="99"/>
    <w:semiHidden/>
    <w:qFormat/>
    <w:pPr>
      <w:ind w:left="1470"/>
      <w:jc w:val="left"/>
    </w:pPr>
    <w:rPr>
      <w:szCs w:val="21"/>
    </w:rPr>
  </w:style>
  <w:style w:type="paragraph" w:styleId="1252" w:customStyle="1">
    <w:name w:val="索引 31"/>
    <w:basedOn w:val="862"/>
    <w:next w:val="862"/>
    <w:uiPriority w:val="99"/>
    <w:semiHidden/>
    <w:qFormat/>
    <w:pPr>
      <w:ind w:left="840"/>
    </w:pPr>
    <w:rPr>
      <w:szCs w:val="20"/>
    </w:rPr>
  </w:style>
  <w:style w:type="paragraph" w:styleId="1253" w:customStyle="1">
    <w:name w:val="日期1"/>
    <w:basedOn w:val="862"/>
    <w:next w:val="862"/>
    <w:link w:val="1254"/>
    <w:uiPriority w:val="99"/>
    <w:qFormat/>
    <w:pPr>
      <w:ind w:left="100"/>
    </w:pPr>
    <w:rPr>
      <w:sz w:val="20"/>
      <w:szCs w:val="20"/>
    </w:rPr>
  </w:style>
  <w:style w:type="character" w:styleId="1254" w:customStyle="1">
    <w:name w:val="日期 Char"/>
    <w:link w:val="1253"/>
    <w:uiPriority w:val="99"/>
    <w:qFormat/>
    <w:rPr>
      <w:rFonts w:ascii="Times New Roman" w:hAnsi="Times New Roman" w:eastAsia="宋体" w:cs="Times New Roman"/>
      <w:sz w:val="20"/>
    </w:rPr>
  </w:style>
  <w:style w:type="paragraph" w:styleId="1255" w:customStyle="1">
    <w:name w:val="正文文本缩进 21"/>
    <w:basedOn w:val="862"/>
    <w:link w:val="1256"/>
    <w:uiPriority w:val="99"/>
    <w:qFormat/>
    <w:pPr>
      <w:ind w:firstLine="480"/>
      <w:spacing w:line="400" w:lineRule="exact"/>
    </w:pPr>
    <w:rPr>
      <w:rFonts w:ascii="宋体" w:hAnsi="宋体"/>
      <w:sz w:val="24"/>
    </w:rPr>
  </w:style>
  <w:style w:type="character" w:styleId="1256" w:customStyle="1">
    <w:name w:val="正文文本缩进 2 Char"/>
    <w:link w:val="1255"/>
    <w:uiPriority w:val="99"/>
    <w:qFormat/>
    <w:rPr>
      <w:rFonts w:ascii="宋体" w:hAnsi="宋体" w:eastAsia="宋体" w:cs="Times New Roman"/>
      <w:sz w:val="24"/>
    </w:rPr>
  </w:style>
  <w:style w:type="paragraph" w:styleId="1257" w:customStyle="1">
    <w:name w:val="尾注文本1"/>
    <w:basedOn w:val="862"/>
    <w:link w:val="1258"/>
    <w:uiPriority w:val="99"/>
    <w:semiHidden/>
    <w:qFormat/>
    <w:pPr>
      <w:jc w:val="left"/>
    </w:pPr>
    <w:rPr>
      <w:sz w:val="24"/>
    </w:rPr>
  </w:style>
  <w:style w:type="character" w:styleId="1258" w:customStyle="1">
    <w:name w:val="尾注文本 Char"/>
    <w:link w:val="1257"/>
    <w:uiPriority w:val="99"/>
    <w:semiHidden/>
    <w:qFormat/>
    <w:rPr>
      <w:rFonts w:ascii="Times New Roman" w:hAnsi="Times New Roman" w:eastAsia="宋体" w:cs="Times New Roman"/>
      <w:sz w:val="24"/>
    </w:rPr>
  </w:style>
  <w:style w:type="paragraph" w:styleId="1259" w:customStyle="1">
    <w:name w:val="批注框文本11"/>
    <w:basedOn w:val="862"/>
    <w:link w:val="1260"/>
    <w:uiPriority w:val="99"/>
    <w:semiHidden/>
    <w:qFormat/>
    <w:rPr>
      <w:sz w:val="18"/>
      <w:szCs w:val="18"/>
    </w:rPr>
  </w:style>
  <w:style w:type="character" w:styleId="1260" w:customStyle="1">
    <w:name w:val="批注框文本 Char"/>
    <w:link w:val="1259"/>
    <w:uiPriority w:val="99"/>
    <w:semiHidden/>
    <w:qFormat/>
    <w:rPr>
      <w:rFonts w:ascii="Times New Roman" w:hAnsi="Times New Roman" w:eastAsia="宋体" w:cs="Times New Roman"/>
      <w:sz w:val="18"/>
    </w:rPr>
  </w:style>
  <w:style w:type="paragraph" w:styleId="1261" w:customStyle="1">
    <w:name w:val="页脚1"/>
    <w:basedOn w:val="862"/>
    <w:link w:val="1262"/>
    <w:uiPriority w:val="99"/>
    <w:qFormat/>
    <w:pPr>
      <w:jc w:val="left"/>
      <w:tabs>
        <w:tab w:val="center" w:pos="4153" w:leader="none"/>
        <w:tab w:val="right" w:pos="8306" w:leader="none"/>
      </w:tabs>
    </w:pPr>
    <w:rPr>
      <w:sz w:val="18"/>
      <w:szCs w:val="18"/>
    </w:rPr>
  </w:style>
  <w:style w:type="character" w:styleId="1262" w:customStyle="1">
    <w:name w:val="页脚 Char"/>
    <w:link w:val="1261"/>
    <w:uiPriority w:val="99"/>
    <w:qFormat/>
    <w:rPr>
      <w:rFonts w:cs="Times New Roman"/>
      <w:sz w:val="18"/>
    </w:rPr>
  </w:style>
  <w:style w:type="paragraph" w:styleId="1263" w:customStyle="1">
    <w:name w:val="页眉1"/>
    <w:basedOn w:val="862"/>
    <w:link w:val="1264"/>
    <w:uiPriority w:val="0"/>
    <w:qFormat/>
    <w:pPr>
      <w:jc w:val="center"/>
      <w:tabs>
        <w:tab w:val="center" w:pos="4153" w:leader="none"/>
        <w:tab w:val="right" w:pos="8306" w:leader="none"/>
      </w:tabs>
      <w:pBdr>
        <w:bottom w:val="single" w:color="000000" w:sz="6" w:space="1"/>
      </w:pBdr>
    </w:pPr>
    <w:rPr>
      <w:sz w:val="18"/>
      <w:szCs w:val="18"/>
    </w:rPr>
  </w:style>
  <w:style w:type="character" w:styleId="1264" w:customStyle="1">
    <w:name w:val="页眉 Char"/>
    <w:link w:val="1263"/>
    <w:uiPriority w:val="99"/>
    <w:qFormat/>
    <w:rPr>
      <w:rFonts w:cs="Times New Roman"/>
      <w:sz w:val="18"/>
    </w:rPr>
  </w:style>
  <w:style w:type="paragraph" w:styleId="1265" w:customStyle="1">
    <w:name w:val="签名1"/>
    <w:basedOn w:val="862"/>
    <w:link w:val="1266"/>
    <w:uiPriority w:val="99"/>
    <w:qFormat/>
    <w:pPr>
      <w:jc w:val="center"/>
      <w:spacing w:after="600" w:line="312" w:lineRule="atLeast"/>
    </w:pPr>
    <w:rPr>
      <w:rFonts w:eastAsia="仿宋_GB2312"/>
      <w:sz w:val="20"/>
      <w:szCs w:val="20"/>
    </w:rPr>
  </w:style>
  <w:style w:type="character" w:styleId="1266" w:customStyle="1">
    <w:name w:val="签名 Char"/>
    <w:link w:val="1265"/>
    <w:uiPriority w:val="99"/>
    <w:qFormat/>
    <w:rPr>
      <w:rFonts w:ascii="Times New Roman" w:hAnsi="Times New Roman" w:eastAsia="仿宋_GB2312" w:cs="Times New Roman"/>
      <w:sz w:val="20"/>
    </w:rPr>
  </w:style>
  <w:style w:type="paragraph" w:styleId="1267" w:customStyle="1">
    <w:name w:val="目录 11"/>
    <w:basedOn w:val="862"/>
    <w:next w:val="862"/>
    <w:uiPriority w:val="99"/>
    <w:semiHidden/>
    <w:qFormat/>
  </w:style>
  <w:style w:type="paragraph" w:styleId="1268" w:customStyle="1">
    <w:name w:val="目录 41"/>
    <w:basedOn w:val="862"/>
    <w:next w:val="862"/>
    <w:uiPriority w:val="99"/>
    <w:semiHidden/>
    <w:qFormat/>
    <w:pPr>
      <w:ind w:left="630"/>
      <w:jc w:val="left"/>
    </w:pPr>
    <w:rPr>
      <w:szCs w:val="21"/>
    </w:rPr>
  </w:style>
  <w:style w:type="paragraph" w:styleId="1269" w:customStyle="1">
    <w:name w:val="索引标题1"/>
    <w:basedOn w:val="862"/>
    <w:next w:val="1270"/>
    <w:uiPriority w:val="99"/>
    <w:semiHidden/>
    <w:qFormat/>
    <w:rPr>
      <w:szCs w:val="20"/>
    </w:rPr>
  </w:style>
  <w:style w:type="paragraph" w:styleId="1270" w:customStyle="1">
    <w:name w:val="索引 11"/>
    <w:basedOn w:val="862"/>
    <w:next w:val="862"/>
    <w:uiPriority w:val="99"/>
    <w:semiHidden/>
    <w:qFormat/>
    <w:pPr>
      <w:jc w:val="center"/>
      <w:tabs>
        <w:tab w:val="left" w:pos="1260" w:leader="none"/>
      </w:tabs>
    </w:pPr>
    <w:rPr>
      <w:rFonts w:ascii="仿宋_GB2312" w:hAnsi="宋体" w:eastAsia="仿宋_GB2312"/>
      <w:sz w:val="30"/>
      <w:szCs w:val="20"/>
    </w:rPr>
  </w:style>
  <w:style w:type="paragraph" w:styleId="1271" w:customStyle="1">
    <w:name w:val="副标题1"/>
    <w:basedOn w:val="862"/>
    <w:next w:val="862"/>
    <w:link w:val="1272"/>
    <w:uiPriority w:val="99"/>
    <w:qFormat/>
    <w:pPr>
      <w:jc w:val="left"/>
      <w:spacing w:after="600" w:line="276" w:lineRule="auto"/>
      <w:widowControl/>
    </w:pPr>
    <w:rPr>
      <w:rFonts w:ascii="Cambria" w:hAnsi="Cambria"/>
      <w:i/>
      <w:iCs/>
      <w:spacing w:val="13"/>
      <w:sz w:val="24"/>
      <w:lang w:eastAsia="en-US"/>
    </w:rPr>
  </w:style>
  <w:style w:type="character" w:styleId="1272" w:customStyle="1">
    <w:name w:val="副标题 Char"/>
    <w:link w:val="1271"/>
    <w:uiPriority w:val="99"/>
    <w:qFormat/>
    <w:rPr>
      <w:rFonts w:ascii="Cambria" w:hAnsi="Cambria" w:eastAsia="宋体" w:cs="Times New Roman"/>
      <w:i/>
      <w:spacing w:val="13"/>
      <w:sz w:val="24"/>
      <w:lang w:eastAsia="en-US"/>
    </w:rPr>
  </w:style>
  <w:style w:type="paragraph" w:styleId="1273" w:customStyle="1">
    <w:name w:val="列表1"/>
    <w:basedOn w:val="862"/>
    <w:uiPriority w:val="99"/>
    <w:qFormat/>
    <w:pPr>
      <w:ind w:left="200" w:hanging="200"/>
    </w:pPr>
    <w:rPr>
      <w:szCs w:val="21"/>
    </w:rPr>
  </w:style>
  <w:style w:type="paragraph" w:styleId="1274" w:customStyle="1">
    <w:name w:val="脚注文本1"/>
    <w:basedOn w:val="862"/>
    <w:link w:val="1275"/>
    <w:uiPriority w:val="99"/>
    <w:semiHidden/>
    <w:qFormat/>
    <w:pPr>
      <w:jc w:val="left"/>
    </w:pPr>
    <w:rPr>
      <w:sz w:val="18"/>
      <w:szCs w:val="18"/>
    </w:rPr>
  </w:style>
  <w:style w:type="character" w:styleId="1275" w:customStyle="1">
    <w:name w:val="脚注文本 Char"/>
    <w:link w:val="1274"/>
    <w:uiPriority w:val="99"/>
    <w:semiHidden/>
    <w:qFormat/>
    <w:rPr>
      <w:rFonts w:ascii="Times New Roman" w:hAnsi="Times New Roman" w:eastAsia="宋体" w:cs="Times New Roman"/>
      <w:sz w:val="18"/>
    </w:rPr>
  </w:style>
  <w:style w:type="paragraph" w:styleId="1276" w:customStyle="1">
    <w:name w:val="目录 61"/>
    <w:basedOn w:val="862"/>
    <w:next w:val="862"/>
    <w:uiPriority w:val="99"/>
    <w:semiHidden/>
    <w:qFormat/>
    <w:pPr>
      <w:ind w:left="1050"/>
      <w:jc w:val="left"/>
    </w:pPr>
    <w:rPr>
      <w:szCs w:val="21"/>
    </w:rPr>
  </w:style>
  <w:style w:type="paragraph" w:styleId="1277" w:customStyle="1">
    <w:name w:val="正文文本缩进 311"/>
    <w:basedOn w:val="862"/>
    <w:link w:val="1278"/>
    <w:uiPriority w:val="99"/>
    <w:qFormat/>
    <w:pPr>
      <w:ind w:left="480"/>
      <w:spacing w:before="120" w:after="120" w:line="264" w:lineRule="auto"/>
    </w:pPr>
    <w:rPr>
      <w:b/>
      <w:bCs/>
      <w:sz w:val="20"/>
      <w:szCs w:val="20"/>
    </w:rPr>
  </w:style>
  <w:style w:type="character" w:styleId="1278" w:customStyle="1">
    <w:name w:val="正文文本缩进 3 Char"/>
    <w:link w:val="1277"/>
    <w:uiPriority w:val="99"/>
    <w:qFormat/>
    <w:rPr>
      <w:rFonts w:ascii="Times New Roman" w:hAnsi="Times New Roman" w:eastAsia="宋体" w:cs="Times New Roman"/>
      <w:b/>
      <w:sz w:val="20"/>
    </w:rPr>
  </w:style>
  <w:style w:type="paragraph" w:styleId="1279" w:customStyle="1">
    <w:name w:val="图表目录1"/>
    <w:basedOn w:val="862"/>
    <w:next w:val="862"/>
    <w:uiPriority w:val="99"/>
    <w:semiHidden/>
    <w:qFormat/>
    <w:pPr>
      <w:ind w:left="840" w:hanging="420"/>
    </w:pPr>
    <w:rPr>
      <w:szCs w:val="21"/>
    </w:rPr>
  </w:style>
  <w:style w:type="paragraph" w:styleId="1280" w:customStyle="1">
    <w:name w:val="目录 21"/>
    <w:basedOn w:val="862"/>
    <w:next w:val="862"/>
    <w:uiPriority w:val="99"/>
    <w:semiHidden/>
    <w:qFormat/>
    <w:pPr>
      <w:ind w:left="420"/>
    </w:pPr>
  </w:style>
  <w:style w:type="paragraph" w:styleId="1281" w:customStyle="1">
    <w:name w:val="目录 91"/>
    <w:basedOn w:val="862"/>
    <w:next w:val="862"/>
    <w:uiPriority w:val="99"/>
    <w:semiHidden/>
    <w:qFormat/>
    <w:pPr>
      <w:ind w:left="1680"/>
      <w:jc w:val="left"/>
    </w:pPr>
    <w:rPr>
      <w:szCs w:val="21"/>
    </w:rPr>
  </w:style>
  <w:style w:type="paragraph" w:styleId="1282" w:customStyle="1">
    <w:name w:val="正文文本 2111"/>
    <w:basedOn w:val="862"/>
    <w:link w:val="1283"/>
    <w:uiPriority w:val="99"/>
    <w:qFormat/>
    <w:pPr>
      <w:jc w:val="center"/>
    </w:pPr>
    <w:rPr>
      <w:b/>
      <w:bCs/>
      <w:sz w:val="20"/>
      <w:szCs w:val="20"/>
    </w:rPr>
  </w:style>
  <w:style w:type="character" w:styleId="1283" w:customStyle="1">
    <w:name w:val="正文文本 2 Char"/>
    <w:link w:val="1282"/>
    <w:uiPriority w:val="99"/>
    <w:qFormat/>
    <w:rPr>
      <w:rFonts w:ascii="Times New Roman" w:hAnsi="Times New Roman" w:eastAsia="宋体" w:cs="Times New Roman"/>
      <w:b/>
      <w:sz w:val="20"/>
    </w:rPr>
  </w:style>
  <w:style w:type="paragraph" w:styleId="1284" w:customStyle="1">
    <w:name w:val="HTML 预设格式1"/>
    <w:basedOn w:val="862"/>
    <w:link w:val="128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85" w:customStyle="1">
    <w:name w:val="HTML 预设格式 Char"/>
    <w:link w:val="1284"/>
    <w:uiPriority w:val="99"/>
    <w:qFormat/>
    <w:rPr>
      <w:rFonts w:ascii="宋体" w:hAnsi="宋体" w:eastAsia="宋体" w:cs="Times New Roman"/>
      <w:sz w:val="24"/>
    </w:rPr>
  </w:style>
  <w:style w:type="paragraph" w:styleId="1286" w:customStyle="1">
    <w:name w:val="普通(网站)1"/>
    <w:basedOn w:val="862"/>
    <w:uiPriority w:val="0"/>
    <w:qFormat/>
    <w:pPr>
      <w:jc w:val="left"/>
      <w:spacing w:before="100" w:beforeAutospacing="1" w:after="100" w:afterAutospacing="1"/>
      <w:widowControl/>
    </w:pPr>
    <w:rPr>
      <w:rFonts w:ascii="宋体" w:hAnsi="宋体" w:cs="宋体"/>
      <w:sz w:val="24"/>
    </w:rPr>
  </w:style>
  <w:style w:type="paragraph" w:styleId="1287" w:customStyle="1">
    <w:name w:val="索引 21"/>
    <w:basedOn w:val="862"/>
    <w:next w:val="862"/>
    <w:uiPriority w:val="99"/>
    <w:semiHidden/>
    <w:qFormat/>
    <w:pPr>
      <w:ind w:left="420"/>
      <w:jc w:val="center"/>
    </w:pPr>
    <w:rPr>
      <w:rFonts w:ascii="宋体" w:hAnsi="宋体"/>
      <w:b/>
      <w:sz w:val="32"/>
      <w:szCs w:val="20"/>
    </w:rPr>
  </w:style>
  <w:style w:type="paragraph" w:styleId="1288" w:customStyle="1">
    <w:name w:val="标题11"/>
    <w:basedOn w:val="862"/>
    <w:link w:val="1289"/>
    <w:uiPriority w:val="99"/>
    <w:qFormat/>
    <w:pPr>
      <w:jc w:val="center"/>
      <w:spacing w:line="420" w:lineRule="exact"/>
      <w:widowControl/>
    </w:pPr>
    <w:rPr>
      <w:rFonts w:eastAsia="黑体"/>
      <w:b/>
      <w:sz w:val="20"/>
      <w:szCs w:val="20"/>
      <w:lang w:val="en-GB"/>
    </w:rPr>
  </w:style>
  <w:style w:type="character" w:styleId="1289" w:customStyle="1">
    <w:name w:val="标题 Char"/>
    <w:link w:val="1288"/>
    <w:uiPriority w:val="99"/>
    <w:qFormat/>
    <w:rPr>
      <w:rFonts w:ascii="Times New Roman" w:hAnsi="Times New Roman" w:eastAsia="黑体" w:cs="Times New Roman"/>
      <w:b/>
      <w:sz w:val="20"/>
      <w:lang w:val="en-GB"/>
    </w:rPr>
  </w:style>
  <w:style w:type="paragraph" w:styleId="1290" w:customStyle="1">
    <w:name w:val="批注主题11"/>
    <w:basedOn w:val="1234"/>
    <w:next w:val="1234"/>
    <w:link w:val="1291"/>
    <w:uiPriority w:val="99"/>
    <w:semiHidden/>
    <w:qFormat/>
    <w:rPr>
      <w:b/>
      <w:bCs/>
      <w:sz w:val="24"/>
      <w:szCs w:val="24"/>
    </w:rPr>
  </w:style>
  <w:style w:type="character" w:styleId="1291" w:customStyle="1">
    <w:name w:val="批注主题 Char"/>
    <w:link w:val="1290"/>
    <w:uiPriority w:val="99"/>
    <w:semiHidden/>
    <w:qFormat/>
    <w:rPr>
      <w:rFonts w:ascii="Times New Roman" w:hAnsi="Times New Roman" w:eastAsia="宋体" w:cs="Times New Roman"/>
      <w:b/>
      <w:sz w:val="24"/>
    </w:rPr>
  </w:style>
  <w:style w:type="paragraph" w:styleId="1292" w:customStyle="1">
    <w:name w:val="正文首行缩进1"/>
    <w:basedOn w:val="1240"/>
    <w:link w:val="1293"/>
    <w:uiPriority w:val="99"/>
    <w:qFormat/>
    <w:pPr>
      <w:ind w:firstLine="420"/>
    </w:pPr>
  </w:style>
  <w:style w:type="character" w:styleId="1293" w:customStyle="1">
    <w:name w:val="正文首行缩进 Char"/>
    <w:link w:val="1292"/>
    <w:uiPriority w:val="99"/>
    <w:qFormat/>
    <w:rPr>
      <w:rFonts w:ascii="Times New Roman" w:hAnsi="Times New Roman" w:eastAsia="宋体" w:cs="Times New Roman"/>
      <w:sz w:val="24"/>
      <w:szCs w:val="24"/>
    </w:rPr>
  </w:style>
  <w:style w:type="paragraph" w:styleId="1294" w:customStyle="1">
    <w:name w:val="正文首行缩进 21"/>
    <w:basedOn w:val="1242"/>
    <w:link w:val="1295"/>
    <w:uiPriority w:val="99"/>
    <w:qFormat/>
    <w:pPr>
      <w:ind w:left="0" w:firstLine="420"/>
      <w:spacing w:after="0" w:line="360" w:lineRule="auto"/>
    </w:pPr>
    <w:rPr>
      <w:rFonts w:ascii="宋体" w:hAnsi="宋体"/>
      <w:sz w:val="20"/>
      <w:szCs w:val="20"/>
    </w:rPr>
  </w:style>
  <w:style w:type="character" w:styleId="1295" w:customStyle="1">
    <w:name w:val="正文首行缩进 2 Char"/>
    <w:link w:val="1294"/>
    <w:uiPriority w:val="99"/>
    <w:qFormat/>
    <w:rPr>
      <w:rFonts w:ascii="宋体" w:hAnsi="宋体" w:eastAsia="宋体" w:cs="Times New Roman"/>
      <w:sz w:val="20"/>
    </w:rPr>
  </w:style>
  <w:style w:type="table" w:styleId="1296" w:customStyle="1">
    <w:name w:val="网格型1"/>
    <w:basedOn w:val="1224"/>
    <w:uiPriority w:val="0"/>
    <w:qFormat/>
    <w:pPr>
      <w:jc w:val="both"/>
      <w:widowControl w:val="off"/>
    </w:pPr>
    <w:tblPr>
      <w:tblCellMar>
        <w:left w:w="0" w:type="dxa"/>
        <w:top w:w="0" w:type="dxa"/>
        <w:right w:w="0" w:type="dxa"/>
        <w:bottom w:w="0" w:type="dxa"/>
      </w:tblCellMar>
    </w:tblPr>
  </w:style>
  <w:style w:type="character" w:styleId="1297" w:customStyle="1">
    <w:name w:val="要点1"/>
    <w:uiPriority w:val="99"/>
    <w:qFormat/>
    <w:rPr>
      <w:rFonts w:cs="Times New Roman"/>
      <w:b/>
    </w:rPr>
  </w:style>
  <w:style w:type="character" w:styleId="1298" w:customStyle="1">
    <w:name w:val="尾注引用1"/>
    <w:uiPriority w:val="99"/>
    <w:semiHidden/>
    <w:qFormat/>
    <w:rPr>
      <w:rFonts w:cs="Times New Roman"/>
      <w:vertAlign w:val="superscript"/>
    </w:rPr>
  </w:style>
  <w:style w:type="character" w:styleId="1299" w:customStyle="1">
    <w:name w:val="页码1"/>
    <w:uiPriority w:val="0"/>
    <w:qFormat/>
    <w:rPr>
      <w:rFonts w:cs="Times New Roman"/>
    </w:rPr>
  </w:style>
  <w:style w:type="character" w:styleId="1300" w:customStyle="1">
    <w:name w:val="已访问的超链接11"/>
    <w:uiPriority w:val="99"/>
    <w:qFormat/>
    <w:rPr>
      <w:rFonts w:cs="Times New Roman"/>
      <w:color w:val="0076be"/>
      <w:u w:val="none"/>
    </w:rPr>
  </w:style>
  <w:style w:type="character" w:styleId="1301" w:customStyle="1">
    <w:name w:val="强调1"/>
    <w:uiPriority w:val="99"/>
    <w:qFormat/>
    <w:rPr>
      <w:rFonts w:cs="Times New Roman"/>
      <w:b/>
      <w:i/>
      <w:spacing w:val="10"/>
      <w:shd w:val="clear" w:color="auto" w:fill="auto"/>
    </w:rPr>
  </w:style>
  <w:style w:type="character" w:styleId="1302" w:customStyle="1">
    <w:name w:val="行号1"/>
    <w:uiPriority w:val="99"/>
    <w:qFormat/>
    <w:rPr>
      <w:rFonts w:cs="Times New Roman"/>
    </w:rPr>
  </w:style>
  <w:style w:type="character" w:styleId="1303" w:customStyle="1">
    <w:name w:val="HTML 打字机1"/>
    <w:uiPriority w:val="99"/>
    <w:qFormat/>
    <w:rPr>
      <w:rFonts w:ascii="宋体" w:hAnsi="宋体" w:eastAsia="宋体" w:cs="Times New Roman"/>
      <w:sz w:val="24"/>
    </w:rPr>
  </w:style>
  <w:style w:type="character" w:styleId="1304" w:customStyle="1">
    <w:name w:val="超链接1"/>
    <w:uiPriority w:val="99"/>
    <w:qFormat/>
    <w:rPr>
      <w:rFonts w:cs="Times New Roman"/>
      <w:color w:val="0076be"/>
      <w:u w:val="none"/>
    </w:rPr>
  </w:style>
  <w:style w:type="character" w:styleId="1305" w:customStyle="1">
    <w:name w:val="批注引用1"/>
    <w:uiPriority w:val="99"/>
    <w:qFormat/>
    <w:rPr>
      <w:rFonts w:cs="Times New Roman"/>
      <w:sz w:val="21"/>
    </w:rPr>
  </w:style>
  <w:style w:type="character" w:styleId="1306" w:customStyle="1">
    <w:name w:val="脚注引用1"/>
    <w:uiPriority w:val="99"/>
    <w:semiHidden/>
    <w:qFormat/>
    <w:rPr>
      <w:rFonts w:cs="Times New Roman"/>
      <w:vertAlign w:val="superscript"/>
    </w:rPr>
  </w:style>
  <w:style w:type="character" w:styleId="1307" w:customStyle="1">
    <w:name w:val="HTML 样本1"/>
    <w:uiPriority w:val="99"/>
    <w:qFormat/>
    <w:rPr>
      <w:rFonts w:ascii="Courier New" w:hAnsi="宋体" w:eastAsia="宋体" w:cs="Times New Roman"/>
    </w:rPr>
  </w:style>
  <w:style w:type="paragraph" w:styleId="1308" w:customStyle="1">
    <w:name w:val="首行缩进"/>
    <w:basedOn w:val="862"/>
    <w:uiPriority w:val="0"/>
    <w:qFormat/>
    <w:pPr>
      <w:ind w:firstLine="480"/>
    </w:pPr>
    <w:rPr>
      <w:szCs w:val="20"/>
      <w:lang w:val="zh-CN"/>
    </w:rPr>
  </w:style>
  <w:style w:type="paragraph" w:styleId="1309" w:customStyle="1">
    <w:name w:val="列出段落1"/>
    <w:basedOn w:val="862"/>
    <w:link w:val="1310"/>
    <w:uiPriority w:val="99"/>
    <w:qFormat/>
    <w:pPr>
      <w:ind w:firstLine="420"/>
    </w:pPr>
    <w:rPr>
      <w:rFonts w:ascii="Calibri" w:hAnsi="Calibri"/>
    </w:rPr>
  </w:style>
  <w:style w:type="character" w:styleId="1310" w:customStyle="1">
    <w:name w:val="列出段落 字符"/>
    <w:link w:val="1309"/>
    <w:uiPriority w:val="34"/>
    <w:qFormat/>
    <w:rPr>
      <w:rFonts w:ascii="Calibri" w:hAnsi="Calibri" w:eastAsia="宋体" w:cs="Times New Roman"/>
      <w:sz w:val="21"/>
      <w:szCs w:val="24"/>
    </w:rPr>
  </w:style>
  <w:style w:type="paragraph" w:styleId="1311" w:customStyle="1">
    <w:name w:val="样式2"/>
    <w:basedOn w:val="862"/>
    <w:uiPriority w:val="99"/>
    <w:qFormat/>
    <w:pPr>
      <w:ind w:left="200"/>
      <w:spacing w:line="360" w:lineRule="auto"/>
    </w:pPr>
    <w:rPr>
      <w:rFonts w:ascii="宋体" w:hAnsi="宋体"/>
      <w:b/>
      <w:sz w:val="24"/>
    </w:rPr>
  </w:style>
  <w:style w:type="paragraph" w:styleId="1312" w:customStyle="1">
    <w:name w:val="部分1"/>
    <w:basedOn w:val="862"/>
    <w:uiPriority w:val="99"/>
    <w:qFormat/>
    <w:pPr>
      <w:jc w:val="center"/>
      <w:keepNext/>
      <w:pageBreakBefore/>
      <w:spacing w:line="360" w:lineRule="auto"/>
      <w:tabs>
        <w:tab w:val="left" w:pos="360" w:leader="none"/>
      </w:tabs>
      <w:outlineLvl w:val="0"/>
    </w:pPr>
    <w:rPr>
      <w:rFonts w:eastAsia="黑体"/>
      <w:b/>
      <w:sz w:val="36"/>
      <w:szCs w:val="20"/>
    </w:rPr>
  </w:style>
  <w:style w:type="paragraph" w:styleId="1313" w:customStyle="1">
    <w:name w:val="xl27"/>
    <w:basedOn w:val="8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14" w:customStyle="1">
    <w:name w:val="正文缩进2字符"/>
    <w:basedOn w:val="862"/>
    <w:uiPriority w:val="99"/>
    <w:qFormat/>
    <w:pPr>
      <w:ind w:firstLine="200"/>
      <w:spacing w:line="300" w:lineRule="auto"/>
    </w:pPr>
    <w:rPr>
      <w:rFonts w:ascii="仿宋_GB2312" w:eastAsia="仿宋_GB2312"/>
      <w:sz w:val="32"/>
      <w:szCs w:val="32"/>
    </w:rPr>
  </w:style>
  <w:style w:type="paragraph" w:styleId="1315" w:customStyle="1">
    <w:name w:val="Table Text Char"/>
    <w:uiPriority w:val="99"/>
    <w:qFormat/>
    <w:pPr>
      <w:spacing w:before="80" w:after="80"/>
    </w:pPr>
    <w:rPr>
      <w:rFonts w:ascii="Arial" w:hAnsi="Arial" w:eastAsia="宋体" w:cs="Arial"/>
      <w:sz w:val="18"/>
      <w:szCs w:val="28"/>
      <w:lang w:val="en-US" w:eastAsia="zh-CN" w:bidi="ar-SA"/>
    </w:rPr>
  </w:style>
  <w:style w:type="paragraph" w:styleId="1316" w:customStyle="1">
    <w:name w:val="小四 段落 宋体 Char Char Char Char"/>
    <w:basedOn w:val="862"/>
    <w:uiPriority w:val="99"/>
    <w:qFormat/>
    <w:pPr>
      <w:ind w:right="-33" w:firstLine="480"/>
      <w:jc w:val="left"/>
      <w:spacing w:line="360" w:lineRule="auto"/>
    </w:pPr>
    <w:rPr>
      <w:sz w:val="24"/>
    </w:rPr>
  </w:style>
  <w:style w:type="paragraph" w:styleId="1317" w:customStyle="1">
    <w:name w:val="Char Char Char"/>
    <w:basedOn w:val="862"/>
    <w:uiPriority w:val="99"/>
    <w:qFormat/>
    <w:rPr>
      <w:rFonts w:ascii="Tahoma" w:hAnsi="Tahoma"/>
      <w:sz w:val="24"/>
      <w:szCs w:val="20"/>
    </w:rPr>
  </w:style>
  <w:style w:type="paragraph" w:styleId="1318" w:customStyle="1">
    <w:name w:val="样式 段后: 0.25 行"/>
    <w:basedOn w:val="862"/>
    <w:uiPriority w:val="99"/>
    <w:qFormat/>
    <w:pPr>
      <w:ind w:firstLine="420"/>
      <w:jc w:val="left"/>
      <w:spacing w:line="300" w:lineRule="auto"/>
      <w:widowControl/>
    </w:pPr>
    <w:rPr>
      <w:rFonts w:ascii="Arial" w:hAnsi="Arial" w:cs="宋体"/>
      <w:sz w:val="22"/>
      <w:szCs w:val="20"/>
      <w:lang w:eastAsia="en-US"/>
    </w:rPr>
  </w:style>
  <w:style w:type="paragraph" w:styleId="1319" w:customStyle="1">
    <w:name w:val="正文表标题"/>
    <w:next w:val="950"/>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20"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321" w:customStyle="1">
    <w:name w:val="样式 加点正文 + 段前: 0.5 行 段后: 0.5 行1"/>
    <w:basedOn w:val="862"/>
    <w:uiPriority w:val="99"/>
    <w:qFormat/>
    <w:pPr>
      <w:ind w:left="1268" w:hanging="420"/>
      <w:spacing w:line="300" w:lineRule="auto"/>
      <w:tabs>
        <w:tab w:val="left" w:pos="1268" w:leader="none"/>
      </w:tabs>
    </w:pPr>
    <w:rPr>
      <w:sz w:val="24"/>
      <w:szCs w:val="20"/>
    </w:rPr>
  </w:style>
  <w:style w:type="paragraph" w:styleId="1322" w:customStyle="1">
    <w:name w:val="样式 标题 3H3sect1.2.3BOD 0Heading 3 - oldh3l3CTLevel 3 Head..."/>
    <w:basedOn w:val="1210"/>
    <w:uiPriority w:val="99"/>
    <w:qFormat/>
    <w:pPr>
      <w:jc w:val="left"/>
      <w:spacing w:line="240" w:lineRule="auto"/>
    </w:pPr>
    <w:rPr>
      <w:rFonts w:cs="宋体"/>
      <w:sz w:val="30"/>
      <w:szCs w:val="20"/>
    </w:rPr>
  </w:style>
  <w:style w:type="paragraph" w:styleId="1323" w:customStyle="1">
    <w:name w:val="正文 + 宋体"/>
    <w:basedOn w:val="862"/>
    <w:uiPriority w:val="99"/>
    <w:qFormat/>
    <w:pPr>
      <w:ind w:firstLine="420"/>
      <w:spacing w:line="360" w:lineRule="auto"/>
    </w:pPr>
  </w:style>
  <w:style w:type="paragraph" w:styleId="1324" w:customStyle="1">
    <w:name w:val="样式 样式 首行缩进:  2 字符 + 行距: 1.5 倍行距"/>
    <w:basedOn w:val="862"/>
    <w:uiPriority w:val="99"/>
    <w:qFormat/>
    <w:pPr>
      <w:ind w:firstLine="470"/>
      <w:spacing w:line="360" w:lineRule="auto"/>
    </w:pPr>
    <w:rPr>
      <w:sz w:val="24"/>
      <w:szCs w:val="20"/>
    </w:rPr>
  </w:style>
  <w:style w:type="paragraph" w:styleId="1325" w:customStyle="1">
    <w:name w:val="_Style 82"/>
    <w:uiPriority w:val="99"/>
    <w:qFormat/>
    <w:rPr>
      <w:rFonts w:ascii="Times New Roman" w:hAnsi="Times New Roman" w:eastAsia="宋体" w:cs="Times New Roman"/>
      <w:sz w:val="22"/>
      <w:szCs w:val="22"/>
      <w:lang w:val="en-US" w:eastAsia="zh-CN" w:bidi="ar-SA"/>
    </w:rPr>
  </w:style>
  <w:style w:type="paragraph" w:styleId="1326" w:customStyle="1">
    <w:name w:val="Char Char1 Char Char Char Char1 Char Char Char Char Char Char"/>
    <w:basedOn w:val="862"/>
    <w:uiPriority w:val="99"/>
    <w:qFormat/>
    <w:rPr>
      <w:rFonts w:ascii="Tahoma" w:hAnsi="Tahoma"/>
      <w:sz w:val="24"/>
      <w:szCs w:val="20"/>
    </w:rPr>
  </w:style>
  <w:style w:type="paragraph" w:styleId="1327" w:customStyle="1">
    <w:name w:val="flNote"/>
    <w:basedOn w:val="862"/>
    <w:uiPriority w:val="99"/>
    <w:qFormat/>
    <w:pPr>
      <w:jc w:val="center"/>
      <w:spacing w:before="567" w:line="360" w:lineRule="atLeast"/>
    </w:pPr>
    <w:rPr>
      <w:rFonts w:eastAsia="黑体"/>
      <w:b/>
      <w:sz w:val="24"/>
      <w:szCs w:val="20"/>
    </w:rPr>
  </w:style>
  <w:style w:type="paragraph" w:styleId="1328" w:customStyle="1">
    <w:name w:val="flType"/>
    <w:basedOn w:val="1329"/>
    <w:uiPriority w:val="99"/>
    <w:qFormat/>
    <w:pPr>
      <w:spacing w:after="284"/>
    </w:pPr>
    <w:rPr>
      <w:rFonts w:eastAsia="宋体"/>
    </w:rPr>
  </w:style>
  <w:style w:type="paragraph" w:styleId="1329" w:customStyle="1">
    <w:name w:val="flName"/>
    <w:basedOn w:val="1327"/>
    <w:uiPriority w:val="99"/>
    <w:qFormat/>
    <w:pPr>
      <w:spacing w:before="0" w:line="113" w:lineRule="atLeast"/>
    </w:pPr>
  </w:style>
  <w:style w:type="paragraph" w:styleId="1330" w:customStyle="1">
    <w:name w:val="样式 样式 首行缩进:  0.74 厘米 行距: 1.5 倍行距 + 段后: 0.5 行"/>
    <w:basedOn w:val="862"/>
    <w:uiPriority w:val="99"/>
    <w:qFormat/>
    <w:pPr>
      <w:ind w:firstLine="420"/>
      <w:spacing w:line="360" w:lineRule="auto"/>
    </w:pPr>
    <w:rPr>
      <w:rFonts w:ascii="楷体_GB2312" w:eastAsia="楷体_GB2312"/>
      <w:bCs/>
      <w:sz w:val="24"/>
      <w:szCs w:val="20"/>
    </w:rPr>
  </w:style>
  <w:style w:type="paragraph" w:styleId="1331" w:customStyle="1">
    <w:name w:val="Pa5"/>
    <w:basedOn w:val="862"/>
    <w:next w:val="862"/>
    <w:uiPriority w:val="99"/>
    <w:qFormat/>
    <w:pPr>
      <w:jc w:val="left"/>
      <w:spacing w:line="241" w:lineRule="atLeast"/>
    </w:pPr>
    <w:rPr>
      <w:rFonts w:ascii="汉仪大黑简" w:eastAsia="汉仪大黑简"/>
      <w:sz w:val="24"/>
    </w:rPr>
  </w:style>
  <w:style w:type="paragraph" w:styleId="1332" w:customStyle="1">
    <w:name w:val="xl52"/>
    <w:basedOn w:val="86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33" w:customStyle="1">
    <w:name w:val="标题2，章节第二层"/>
    <w:basedOn w:val="862"/>
    <w:next w:val="1334"/>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334" w:customStyle="1">
    <w:name w:val="正文格式"/>
    <w:basedOn w:val="862"/>
    <w:uiPriority w:val="99"/>
    <w:qFormat/>
    <w:pPr>
      <w:ind w:left="178" w:right="44" w:hanging="178"/>
      <w:jc w:val="left"/>
      <w:spacing w:line="360" w:lineRule="auto"/>
      <w:widowControl/>
    </w:pPr>
    <w:rPr>
      <w:rFonts w:ascii="宋体" w:hAnsi="宋体"/>
      <w:bCs/>
      <w:szCs w:val="21"/>
    </w:rPr>
  </w:style>
  <w:style w:type="paragraph" w:styleId="1335" w:customStyle="1">
    <w:name w:val="Test2"/>
    <w:basedOn w:val="1208"/>
    <w:uiPriority w:val="99"/>
    <w:qFormat/>
    <w:pPr>
      <w:jc w:val="center"/>
      <w:spacing w:line="480" w:lineRule="exact"/>
      <w:widowControl/>
    </w:pPr>
    <w:rPr>
      <w:rFonts w:ascii="黑体"/>
      <w:sz w:val="24"/>
      <w:szCs w:val="24"/>
    </w:rPr>
  </w:style>
  <w:style w:type="paragraph" w:styleId="1336" w:customStyle="1">
    <w:name w:val="二级条标题"/>
    <w:basedOn w:val="862"/>
    <w:next w:val="950"/>
    <w:uiPriority w:val="99"/>
    <w:qFormat/>
    <w:pPr>
      <w:ind w:hanging="420"/>
      <w:widowControl/>
      <w:tabs>
        <w:tab w:val="left" w:pos="2240" w:leader="none"/>
      </w:tabs>
      <w:outlineLvl w:val="3"/>
    </w:pPr>
    <w:rPr>
      <w:rFonts w:eastAsia="黑体"/>
      <w:szCs w:val="20"/>
    </w:rPr>
  </w:style>
  <w:style w:type="paragraph" w:styleId="1337" w:customStyle="1">
    <w:name w:val="Char2"/>
    <w:basedOn w:val="1232"/>
    <w:uiPriority w:val="99"/>
    <w:qFormat/>
    <w:rPr>
      <w:rFonts w:ascii="Tahoma" w:hAnsi="Tahoma"/>
    </w:rPr>
  </w:style>
  <w:style w:type="paragraph" w:styleId="1338" w:customStyle="1">
    <w:name w:val="xl31"/>
    <w:basedOn w:val="8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339" w:customStyle="1">
    <w:name w:val="标准文本"/>
    <w:basedOn w:val="862"/>
    <w:uiPriority w:val="99"/>
    <w:qFormat/>
    <w:pPr>
      <w:ind w:firstLine="480"/>
      <w:spacing w:line="360" w:lineRule="auto"/>
    </w:pPr>
    <w:rPr>
      <w:rFonts w:cs="宋体"/>
      <w:sz w:val="24"/>
    </w:rPr>
  </w:style>
  <w:style w:type="paragraph" w:styleId="1340" w:customStyle="1">
    <w:name w:val="马刚标题4"/>
    <w:basedOn w:val="1341"/>
    <w:next w:val="862"/>
    <w:uiPriority w:val="99"/>
    <w:qFormat/>
    <w:pPr>
      <w:spacing w:before="100" w:after="40"/>
      <w:tabs>
        <w:tab w:val="left" w:pos="567" w:leader="none"/>
        <w:tab w:val="left" w:pos="735" w:leader="none"/>
        <w:tab w:val="left" w:pos="1050" w:leader="none"/>
      </w:tabs>
      <w:outlineLvl w:val="3"/>
    </w:pPr>
    <w:rPr>
      <w:b w:val="0"/>
    </w:rPr>
  </w:style>
  <w:style w:type="paragraph" w:styleId="1341" w:customStyle="1">
    <w:name w:val="马刚标题3"/>
    <w:basedOn w:val="862"/>
    <w:next w:val="862"/>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42" w:customStyle="1">
    <w:name w:val="普通 (Web)"/>
    <w:basedOn w:val="862"/>
    <w:uiPriority w:val="99"/>
    <w:qFormat/>
    <w:pPr>
      <w:jc w:val="left"/>
      <w:spacing w:before="100" w:beforeAutospacing="1" w:after="100" w:afterAutospacing="1"/>
      <w:widowControl/>
    </w:pPr>
    <w:rPr>
      <w:rFonts w:ascii="宋体" w:hAnsi="宋体"/>
      <w:sz w:val="24"/>
    </w:rPr>
  </w:style>
  <w:style w:type="paragraph" w:styleId="1343" w:customStyle="1">
    <w:name w:val="Char1 Char Char Char"/>
    <w:basedOn w:val="862"/>
    <w:uiPriority w:val="99"/>
    <w:qFormat/>
    <w:rPr>
      <w:rFonts w:ascii="Tahoma" w:hAnsi="Tahoma" w:cs="Tahoma"/>
      <w:sz w:val="24"/>
      <w:szCs w:val="20"/>
    </w:rPr>
  </w:style>
  <w:style w:type="paragraph" w:styleId="1344" w:customStyle="1">
    <w:name w:val="Char Char Char Char Char Char Char Char Char Char Char Char Char Char Char Char Char Char Char Char Char1"/>
    <w:basedOn w:val="862"/>
    <w:uiPriority w:val="99"/>
    <w:qFormat/>
    <w:rPr>
      <w:rFonts w:ascii="Tahoma" w:hAnsi="Tahoma"/>
      <w:sz w:val="24"/>
      <w:szCs w:val="20"/>
    </w:rPr>
  </w:style>
  <w:style w:type="paragraph" w:styleId="1345" w:customStyle="1">
    <w:name w:val="xl36"/>
    <w:basedOn w:val="8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46" w:customStyle="1">
    <w:name w:val="font6"/>
    <w:basedOn w:val="862"/>
    <w:uiPriority w:val="0"/>
    <w:qFormat/>
    <w:pPr>
      <w:jc w:val="left"/>
      <w:spacing w:before="100" w:beforeAutospacing="1" w:after="100" w:afterAutospacing="1"/>
      <w:widowControl/>
    </w:pPr>
    <w:rPr>
      <w:rFonts w:ascii="宋体" w:hAnsi="宋体" w:cs="宋体"/>
      <w:b/>
      <w:bCs/>
      <w:sz w:val="20"/>
      <w:szCs w:val="20"/>
    </w:rPr>
  </w:style>
  <w:style w:type="paragraph" w:styleId="1347" w:customStyle="1">
    <w:name w:val="xl37"/>
    <w:basedOn w:val="8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48" w:customStyle="1">
    <w:name w:val="xl58"/>
    <w:basedOn w:val="862"/>
    <w:uiPriority w:val="9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349" w:customStyle="1">
    <w:name w:val="font10"/>
    <w:basedOn w:val="862"/>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350" w:customStyle="1">
    <w:name w:val="xl56"/>
    <w:basedOn w:val="86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351" w:customStyle="1">
    <w:name w:val="样式"/>
    <w:basedOn w:val="862"/>
    <w:uiPriority w:val="99"/>
    <w:qFormat/>
    <w:pPr>
      <w:spacing w:before="120" w:after="120" w:line="360" w:lineRule="auto"/>
    </w:pPr>
    <w:rPr>
      <w:rFonts w:ascii="宋体"/>
      <w:sz w:val="24"/>
      <w:szCs w:val="20"/>
    </w:rPr>
  </w:style>
  <w:style w:type="paragraph" w:styleId="1352" w:customStyle="1">
    <w:name w:val="方案正文"/>
    <w:basedOn w:val="862"/>
    <w:uiPriority w:val="99"/>
    <w:qFormat/>
    <w:pPr>
      <w:ind w:firstLine="359"/>
      <w:jc w:val="left"/>
      <w:spacing w:before="156" w:line="360" w:lineRule="auto"/>
    </w:pPr>
    <w:rPr>
      <w:rFonts w:ascii="Arial" w:hAnsi="Arial" w:cs="宋体"/>
      <w:sz w:val="24"/>
      <w:szCs w:val="21"/>
    </w:rPr>
  </w:style>
  <w:style w:type="paragraph" w:styleId="1353" w:customStyle="1">
    <w:name w:val="a0"/>
    <w:basedOn w:val="862"/>
    <w:uiPriority w:val="99"/>
    <w:qFormat/>
    <w:pPr>
      <w:spacing w:before="100" w:beforeAutospacing="1" w:after="100" w:afterAutospacing="1"/>
      <w:widowControl/>
    </w:pPr>
    <w:rPr>
      <w:rFonts w:ascii="宋体" w:hAnsi="宋体" w:cs="宋体"/>
      <w:sz w:val="24"/>
    </w:rPr>
  </w:style>
  <w:style w:type="paragraph" w:styleId="1354" w:customStyle="1">
    <w:name w:val="retrait3"/>
    <w:basedOn w:val="862"/>
    <w:uiPriority w:val="99"/>
    <w:qFormat/>
    <w:pPr>
      <w:ind w:left="851"/>
      <w:jc w:val="left"/>
      <w:spacing w:before="20" w:after="20"/>
      <w:widowControl/>
    </w:pPr>
    <w:rPr>
      <w:rFonts w:ascii="Arial" w:hAnsi="Arial"/>
      <w:sz w:val="24"/>
      <w:szCs w:val="20"/>
      <w:lang w:val="en-GB"/>
    </w:rPr>
  </w:style>
  <w:style w:type="paragraph" w:styleId="1355" w:customStyle="1">
    <w:name w:val="图标"/>
    <w:basedOn w:val="862"/>
    <w:next w:val="862"/>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56" w:customStyle="1">
    <w:name w:val="Char1 Char Char Char1"/>
    <w:basedOn w:val="862"/>
    <w:uiPriority w:val="99"/>
    <w:qFormat/>
    <w:rPr>
      <w:rFonts w:ascii="Tahoma" w:hAnsi="Tahoma"/>
      <w:sz w:val="24"/>
      <w:szCs w:val="20"/>
    </w:rPr>
  </w:style>
  <w:style w:type="paragraph" w:styleId="1357" w:customStyle="1">
    <w:name w:val="table_lines"/>
    <w:basedOn w:val="862"/>
    <w:uiPriority w:val="99"/>
    <w:qFormat/>
    <w:pPr>
      <w:jc w:val="left"/>
      <w:widowControl/>
    </w:pPr>
    <w:rPr>
      <w:sz w:val="20"/>
      <w:szCs w:val="20"/>
      <w:lang w:val="de-DE" w:eastAsia="de-DE"/>
    </w:rPr>
  </w:style>
  <w:style w:type="paragraph" w:styleId="1358" w:customStyle="1">
    <w:name w:val="Char Char1"/>
    <w:basedOn w:val="862"/>
    <w:uiPriority w:val="99"/>
    <w:qFormat/>
    <w:rPr>
      <w:rFonts w:ascii="Tahoma" w:hAnsi="Tahoma"/>
      <w:sz w:val="24"/>
      <w:szCs w:val="20"/>
    </w:rPr>
  </w:style>
  <w:style w:type="paragraph" w:styleId="1359"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360" w:customStyle="1">
    <w:name w:val="样式 样式 标题 3H3sect1.2.3BOD 0Heading 3 - oldh3l3CTLevel 3 Head... +..."/>
    <w:basedOn w:val="862"/>
    <w:uiPriority w:val="99"/>
    <w:qFormat/>
    <w:pPr>
      <w:jc w:val="left"/>
      <w:keepLines/>
      <w:keepNext/>
      <w:outlineLvl w:val="2"/>
    </w:pPr>
    <w:rPr>
      <w:rFonts w:cs="宋体"/>
      <w:b/>
      <w:bCs/>
      <w:sz w:val="24"/>
      <w:szCs w:val="20"/>
    </w:rPr>
  </w:style>
  <w:style w:type="paragraph" w:styleId="1361" w:customStyle="1">
    <w:name w:val="Char Char1 Char1"/>
    <w:basedOn w:val="862"/>
    <w:uiPriority w:val="99"/>
    <w:qFormat/>
    <w:pPr>
      <w:jc w:val="left"/>
      <w:spacing w:after="160" w:line="240" w:lineRule="exact"/>
      <w:widowControl/>
    </w:pPr>
    <w:rPr>
      <w:rFonts w:ascii="Verdana" w:hAnsi="Verdana"/>
      <w:sz w:val="20"/>
      <w:szCs w:val="20"/>
      <w:lang w:eastAsia="en-US"/>
    </w:rPr>
  </w:style>
  <w:style w:type="paragraph" w:styleId="1362" w:customStyle="1">
    <w:name w:val="正文2"/>
    <w:basedOn w:val="862"/>
    <w:link w:val="1363"/>
    <w:uiPriority w:val="99"/>
    <w:qFormat/>
    <w:pPr>
      <w:ind w:firstLine="510"/>
      <w:spacing w:before="156" w:line="360" w:lineRule="auto"/>
    </w:pPr>
    <w:rPr>
      <w:sz w:val="24"/>
      <w:szCs w:val="20"/>
    </w:rPr>
  </w:style>
  <w:style w:type="character" w:styleId="1363" w:customStyle="1">
    <w:name w:val="正文2 Char Char"/>
    <w:link w:val="1362"/>
    <w:uiPriority w:val="99"/>
    <w:qFormat/>
    <w:rPr>
      <w:rFonts w:cs="Times New Roman"/>
      <w:sz w:val="24"/>
    </w:rPr>
  </w:style>
  <w:style w:type="paragraph" w:styleId="1364" w:customStyle="1">
    <w:name w:val="font13"/>
    <w:basedOn w:val="862"/>
    <w:uiPriority w:val="99"/>
    <w:qFormat/>
    <w:pPr>
      <w:jc w:val="left"/>
      <w:spacing w:before="100" w:beforeAutospacing="1" w:after="100" w:afterAutospacing="1"/>
      <w:widowControl/>
    </w:pPr>
    <w:rPr>
      <w:i/>
      <w:iCs/>
      <w:sz w:val="36"/>
      <w:szCs w:val="36"/>
    </w:rPr>
  </w:style>
  <w:style w:type="paragraph" w:styleId="1365" w:customStyle="1">
    <w:name w:val="默认段落字体 Para Char"/>
    <w:basedOn w:val="862"/>
    <w:uiPriority w:val="99"/>
    <w:qFormat/>
    <w:pPr>
      <w:spacing w:line="360" w:lineRule="auto"/>
    </w:pPr>
    <w:rPr>
      <w:sz w:val="24"/>
    </w:rPr>
  </w:style>
  <w:style w:type="paragraph" w:styleId="1366"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67" w:customStyle="1">
    <w:name w:val="正文1"/>
    <w:basedOn w:val="862"/>
    <w:next w:val="862"/>
    <w:uiPriority w:val="99"/>
    <w:qFormat/>
    <w:pPr>
      <w:ind w:firstLine="510"/>
      <w:spacing w:before="156" w:line="360" w:lineRule="auto"/>
    </w:pPr>
    <w:rPr>
      <w:sz w:val="24"/>
      <w:szCs w:val="20"/>
    </w:rPr>
  </w:style>
  <w:style w:type="paragraph" w:styleId="1368" w:customStyle="1">
    <w:name w:val="Char Char Char Char Char Char Char Char Char1"/>
    <w:basedOn w:val="862"/>
    <w:uiPriority w:val="99"/>
    <w:qFormat/>
    <w:pPr>
      <w:ind w:left="360" w:hanging="360"/>
      <w:tabs>
        <w:tab w:val="left" w:pos="360" w:leader="none"/>
      </w:tabs>
    </w:pPr>
    <w:rPr>
      <w:sz w:val="24"/>
    </w:rPr>
  </w:style>
  <w:style w:type="paragraph" w:styleId="1369" w:customStyle="1">
    <w:name w:val="xl41"/>
    <w:basedOn w:val="8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70" w:customStyle="1">
    <w:name w:val="正文文本 21"/>
    <w:basedOn w:val="862"/>
    <w:uiPriority w:val="99"/>
    <w:qFormat/>
    <w:pPr>
      <w:ind w:left="720" w:hanging="720"/>
      <w:widowControl/>
    </w:pPr>
    <w:rPr>
      <w:sz w:val="24"/>
      <w:szCs w:val="20"/>
      <w:lang w:val="en-GB"/>
    </w:rPr>
  </w:style>
  <w:style w:type="paragraph" w:styleId="1371" w:customStyle="1">
    <w:name w:val="Char Char Char Char Char Char Char Char Char Char Char Char Char Char Char Char Char Char Char Char Char Char Char1"/>
    <w:basedOn w:val="862"/>
    <w:uiPriority w:val="99"/>
    <w:qFormat/>
    <w:rPr>
      <w:rFonts w:ascii="Tahoma" w:hAnsi="Tahoma" w:cs="Tahoma"/>
      <w:sz w:val="24"/>
      <w:szCs w:val="20"/>
    </w:rPr>
  </w:style>
  <w:style w:type="paragraph" w:styleId="1372" w:customStyle="1">
    <w:name w:val="Char Char Char Char Char Char Char Char Char Char Char Char Char Char1"/>
    <w:basedOn w:val="862"/>
    <w:uiPriority w:val="99"/>
    <w:qFormat/>
    <w:rPr>
      <w:rFonts w:ascii="Tahoma" w:hAnsi="Tahoma" w:cs="Tahoma"/>
      <w:sz w:val="24"/>
      <w:szCs w:val="20"/>
    </w:rPr>
  </w:style>
  <w:style w:type="paragraph" w:styleId="1373" w:customStyle="1">
    <w:name w:val="Default Text"/>
    <w:basedOn w:val="862"/>
    <w:uiPriority w:val="99"/>
    <w:qFormat/>
    <w:pPr>
      <w:jc w:val="left"/>
      <w:widowControl/>
    </w:pPr>
    <w:rPr>
      <w:sz w:val="24"/>
      <w:szCs w:val="20"/>
      <w:lang w:eastAsia="en-US"/>
    </w:rPr>
  </w:style>
  <w:style w:type="paragraph" w:styleId="1374" w:customStyle="1">
    <w:name w:val="xl62"/>
    <w:basedOn w:val="86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75" w:customStyle="1">
    <w:name w:val="xl63"/>
    <w:basedOn w:val="86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76" w:customStyle="1">
    <w:name w:val="xl45"/>
    <w:basedOn w:val="862"/>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377" w:customStyle="1">
    <w:name w:val="纯文本1"/>
    <w:basedOn w:val="862"/>
    <w:uiPriority w:val="99"/>
    <w:qFormat/>
    <w:rPr>
      <w:rFonts w:ascii="宋体" w:hAnsi="宋体" w:eastAsia="楷体_GB2312" w:cs="宋体"/>
      <w:sz w:val="28"/>
      <w:szCs w:val="20"/>
    </w:rPr>
  </w:style>
  <w:style w:type="paragraph" w:styleId="1378" w:customStyle="1">
    <w:name w:val="xl53"/>
    <w:basedOn w:val="86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79" w:customStyle="1">
    <w:name w:val="font14"/>
    <w:basedOn w:val="862"/>
    <w:uiPriority w:val="99"/>
    <w:qFormat/>
    <w:pPr>
      <w:jc w:val="left"/>
      <w:spacing w:before="100" w:beforeAutospacing="1" w:after="100" w:afterAutospacing="1"/>
      <w:widowControl/>
    </w:pPr>
    <w:rPr>
      <w:sz w:val="36"/>
      <w:szCs w:val="36"/>
    </w:rPr>
  </w:style>
  <w:style w:type="paragraph" w:styleId="1380" w:customStyle="1">
    <w:name w:val="章标题"/>
    <w:next w:val="950"/>
    <w:uiPriority w:val="99"/>
    <w:qFormat/>
    <w:pPr>
      <w:jc w:val="both"/>
      <w:outlineLvl w:val="1"/>
    </w:pPr>
    <w:rPr>
      <w:rFonts w:ascii="Times New Roman" w:hAnsi="Times New Roman" w:eastAsia="黑体" w:cs="Times New Roman"/>
      <w:sz w:val="21"/>
      <w:lang w:val="en-US" w:eastAsia="zh-CN" w:bidi="ar-SA"/>
    </w:rPr>
  </w:style>
  <w:style w:type="paragraph" w:styleId="1381" w:customStyle="1">
    <w:name w:val="正文文本缩进1"/>
    <w:basedOn w:val="862"/>
    <w:uiPriority w:val="99"/>
    <w:qFormat/>
    <w:pPr>
      <w:ind w:left="420"/>
      <w:spacing w:after="120"/>
    </w:pPr>
  </w:style>
  <w:style w:type="paragraph" w:styleId="1382" w:customStyle="1">
    <w:name w:val="xl54"/>
    <w:basedOn w:val="86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83" w:customStyle="1">
    <w:name w:val="Char Char1 Char"/>
    <w:basedOn w:val="862"/>
    <w:uiPriority w:val="99"/>
    <w:qFormat/>
    <w:pPr>
      <w:jc w:val="left"/>
      <w:spacing w:after="160" w:line="240" w:lineRule="exact"/>
      <w:widowControl/>
    </w:pPr>
    <w:rPr>
      <w:rFonts w:ascii="Verdana" w:hAnsi="Verdana"/>
      <w:sz w:val="20"/>
      <w:szCs w:val="20"/>
      <w:lang w:eastAsia="en-US"/>
    </w:rPr>
  </w:style>
  <w:style w:type="paragraph" w:styleId="1384" w:customStyle="1">
    <w:name w:val="项目符号，一级"/>
    <w:basedOn w:val="1334"/>
    <w:next w:val="1334"/>
    <w:uiPriority w:val="99"/>
    <w:qFormat/>
    <w:pPr>
      <w:ind w:left="376" w:firstLine="0"/>
      <w:spacing w:line="240" w:lineRule="atLeast"/>
      <w:tabs>
        <w:tab w:val="left" w:pos="1320" w:leader="none"/>
      </w:tabs>
    </w:pPr>
    <w:rPr>
      <w:bCs w:val="0"/>
      <w:color w:val="000000"/>
      <w:szCs w:val="24"/>
    </w:rPr>
  </w:style>
  <w:style w:type="paragraph" w:styleId="1385" w:customStyle="1">
    <w:name w:val="xl60"/>
    <w:basedOn w:val="86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86" w:customStyle="1">
    <w:name w:val="标题3"/>
    <w:basedOn w:val="1210"/>
    <w:uiPriority w:val="99"/>
    <w:qFormat/>
    <w:pPr>
      <w:keepLines w:val="0"/>
      <w:keepNext w:val="0"/>
      <w:spacing w:before="0" w:after="0" w:line="360" w:lineRule="auto"/>
    </w:pPr>
    <w:rPr>
      <w:rFonts w:eastAsia="仿宋_GB2312"/>
      <w:b w:val="0"/>
      <w:sz w:val="30"/>
    </w:rPr>
  </w:style>
  <w:style w:type="paragraph" w:styleId="1387" w:customStyle="1">
    <w:name w:val="样式3"/>
    <w:basedOn w:val="862"/>
    <w:next w:val="862"/>
    <w:uiPriority w:val="99"/>
    <w:qFormat/>
    <w:pPr>
      <w:spacing w:line="360" w:lineRule="auto"/>
    </w:pPr>
    <w:rPr>
      <w:szCs w:val="20"/>
    </w:rPr>
  </w:style>
  <w:style w:type="paragraph" w:styleId="1388" w:customStyle="1">
    <w:name w:val="xl35"/>
    <w:basedOn w:val="8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89" w:customStyle="1">
    <w:name w:val="Char Char1 Char Char2 Char Char"/>
    <w:basedOn w:val="862"/>
    <w:uiPriority w:val="99"/>
    <w:qFormat/>
    <w:pPr>
      <w:jc w:val="left"/>
      <w:spacing w:after="160" w:line="240" w:lineRule="exact"/>
      <w:widowControl/>
    </w:pPr>
  </w:style>
  <w:style w:type="paragraph" w:styleId="1390" w:customStyle="1">
    <w:name w:val="正文 + Arial Char"/>
    <w:basedOn w:val="862"/>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391" w:customStyle="1">
    <w:name w:val="table_1stline"/>
    <w:basedOn w:val="862"/>
    <w:uiPriority w:val="99"/>
    <w:qFormat/>
    <w:pPr>
      <w:jc w:val="left"/>
      <w:spacing w:before="120"/>
      <w:widowControl/>
    </w:pPr>
    <w:rPr>
      <w:bCs/>
      <w:sz w:val="20"/>
      <w:szCs w:val="20"/>
      <w:lang w:val="de-DE" w:eastAsia="de-DE"/>
    </w:rPr>
  </w:style>
  <w:style w:type="paragraph" w:styleId="1392" w:customStyle="1">
    <w:name w:val="tableau"/>
    <w:basedOn w:val="862"/>
    <w:uiPriority w:val="99"/>
    <w:qFormat/>
    <w:pPr>
      <w:jc w:val="center"/>
      <w:spacing w:before="20" w:after="20"/>
      <w:widowControl/>
    </w:pPr>
    <w:rPr>
      <w:rFonts w:ascii="Arial" w:hAnsi="Arial"/>
      <w:sz w:val="16"/>
      <w:szCs w:val="20"/>
      <w:lang w:val="en-GB" w:eastAsia="en-US"/>
    </w:rPr>
  </w:style>
  <w:style w:type="paragraph" w:styleId="1393" w:customStyle="1">
    <w:name w:val="Char Char Char Char1"/>
    <w:basedOn w:val="1232"/>
    <w:uiPriority w:val="99"/>
    <w:qFormat/>
    <w:pPr>
      <w:spacing w:line="360" w:lineRule="auto"/>
    </w:pPr>
    <w:rPr>
      <w:rFonts w:ascii="Tahoma" w:hAnsi="Tahoma"/>
    </w:rPr>
  </w:style>
  <w:style w:type="paragraph" w:styleId="1394" w:customStyle="1">
    <w:name w:val="font9"/>
    <w:basedOn w:val="862"/>
    <w:uiPriority w:val="99"/>
    <w:qFormat/>
    <w:pPr>
      <w:jc w:val="left"/>
      <w:spacing w:before="100" w:beforeAutospacing="1" w:after="100" w:afterAutospacing="1"/>
      <w:widowControl/>
    </w:pPr>
    <w:rPr>
      <w:b/>
      <w:bCs/>
      <w:sz w:val="20"/>
      <w:szCs w:val="20"/>
    </w:rPr>
  </w:style>
  <w:style w:type="paragraph" w:styleId="1395" w:customStyle="1">
    <w:name w:val="Char Char Char Char Char Char Char1 Char"/>
    <w:basedOn w:val="862"/>
    <w:uiPriority w:val="99"/>
    <w:qFormat/>
    <w:rPr>
      <w:rFonts w:ascii="Tahoma" w:hAnsi="Tahoma" w:cs="Tahoma"/>
      <w:sz w:val="24"/>
      <w:szCs w:val="20"/>
    </w:rPr>
  </w:style>
  <w:style w:type="paragraph" w:styleId="1396" w:customStyle="1">
    <w:name w:val="插图"/>
    <w:basedOn w:val="862"/>
    <w:uiPriority w:val="99"/>
    <w:qFormat/>
    <w:pPr>
      <w:jc w:val="center"/>
      <w:tabs>
        <w:tab w:val="left" w:pos="1620" w:leader="none"/>
      </w:tabs>
    </w:pPr>
    <w:rPr>
      <w:bCs/>
      <w:color w:val="000000"/>
      <w:szCs w:val="22"/>
    </w:rPr>
  </w:style>
  <w:style w:type="paragraph" w:styleId="1397" w:customStyle="1">
    <w:name w:val="Char1"/>
    <w:basedOn w:val="862"/>
    <w:uiPriority w:val="99"/>
    <w:qFormat/>
    <w:rPr>
      <w:rFonts w:ascii="仿宋_GB2312" w:hAnsi="宋体" w:eastAsia="仿宋_GB2312" w:cs="宋体"/>
      <w:b/>
      <w:sz w:val="32"/>
      <w:szCs w:val="32"/>
    </w:rPr>
  </w:style>
  <w:style w:type="paragraph" w:styleId="1398" w:customStyle="1">
    <w:name w:val="xl47"/>
    <w:basedOn w:val="86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99" w:customStyle="1">
    <w:name w:val="xl48"/>
    <w:basedOn w:val="86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400" w:customStyle="1">
    <w:name w:val="引用11"/>
    <w:basedOn w:val="862"/>
    <w:next w:val="862"/>
    <w:link w:val="1401"/>
    <w:uiPriority w:val="99"/>
    <w:qFormat/>
    <w:pPr>
      <w:ind w:left="360" w:right="360"/>
      <w:jc w:val="left"/>
      <w:spacing w:before="200" w:line="276" w:lineRule="auto"/>
      <w:widowControl/>
    </w:pPr>
    <w:rPr>
      <w:rFonts w:ascii="Calibri" w:hAnsi="Calibri"/>
      <w:i/>
      <w:sz w:val="22"/>
      <w:szCs w:val="20"/>
      <w:lang w:eastAsia="en-US"/>
    </w:rPr>
  </w:style>
  <w:style w:type="character" w:styleId="1401" w:customStyle="1">
    <w:name w:val="Quote Char"/>
    <w:link w:val="1400"/>
    <w:uiPriority w:val="99"/>
    <w:qFormat/>
    <w:rPr>
      <w:rFonts w:ascii="Calibri" w:hAnsi="Calibri" w:eastAsia="宋体"/>
      <w:i/>
      <w:sz w:val="22"/>
      <w:lang w:eastAsia="en-US"/>
    </w:rPr>
  </w:style>
  <w:style w:type="paragraph" w:styleId="1402" w:customStyle="1">
    <w:name w:val="Char Char1 Char Char Char Char Char Char Char"/>
    <w:basedOn w:val="862"/>
    <w:uiPriority w:val="99"/>
    <w:qFormat/>
    <w:rPr>
      <w:rFonts w:ascii="Tahoma" w:hAnsi="Tahoma" w:cs="Tahoma"/>
      <w:sz w:val="24"/>
      <w:szCs w:val="20"/>
    </w:rPr>
  </w:style>
  <w:style w:type="paragraph" w:styleId="1403" w:customStyle="1">
    <w:name w:val="列表内容"/>
    <w:basedOn w:val="862"/>
    <w:next w:val="862"/>
    <w:uiPriority w:val="99"/>
    <w:qFormat/>
    <w:pPr>
      <w:ind w:left="840" w:hanging="420"/>
      <w:jc w:val="left"/>
      <w:widowControl/>
      <w:tabs>
        <w:tab w:val="left" w:pos="840" w:leader="none"/>
      </w:tabs>
    </w:pPr>
    <w:rPr>
      <w:sz w:val="18"/>
    </w:rPr>
  </w:style>
  <w:style w:type="paragraph" w:styleId="1404" w:customStyle="1">
    <w:name w:val="Body Text(ch)"/>
    <w:basedOn w:val="862"/>
    <w:next w:val="1240"/>
    <w:uiPriority w:val="99"/>
    <w:qFormat/>
    <w:pPr>
      <w:spacing w:after="120"/>
    </w:pPr>
    <w:rPr>
      <w:rFonts w:ascii="宋体" w:hAnsi="Arial"/>
      <w:bCs/>
      <w:iCs/>
    </w:rPr>
  </w:style>
  <w:style w:type="paragraph" w:styleId="1405" w:customStyle="1">
    <w:name w:val="Body Text 211"/>
    <w:basedOn w:val="862"/>
    <w:uiPriority w:val="99"/>
    <w:qFormat/>
    <w:pPr>
      <w:ind w:left="720" w:hanging="720"/>
      <w:widowControl/>
    </w:pPr>
    <w:rPr>
      <w:sz w:val="24"/>
      <w:szCs w:val="20"/>
      <w:lang w:val="en-GB"/>
    </w:rPr>
  </w:style>
  <w:style w:type="paragraph" w:styleId="1406" w:customStyle="1">
    <w:name w:val="font5"/>
    <w:basedOn w:val="862"/>
    <w:uiPriority w:val="0"/>
    <w:qFormat/>
    <w:pPr>
      <w:jc w:val="left"/>
      <w:spacing w:before="100" w:beforeAutospacing="1" w:after="100" w:afterAutospacing="1"/>
      <w:widowControl/>
    </w:pPr>
    <w:rPr>
      <w:rFonts w:ascii="宋体" w:hAnsi="宋体" w:cs="宋体"/>
      <w:sz w:val="18"/>
      <w:szCs w:val="18"/>
    </w:rPr>
  </w:style>
  <w:style w:type="paragraph" w:styleId="1407" w:customStyle="1">
    <w:name w:val="xl28"/>
    <w:basedOn w:val="8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08" w:customStyle="1">
    <w:name w:val="Body Text 21"/>
    <w:basedOn w:val="862"/>
    <w:uiPriority w:val="99"/>
    <w:qFormat/>
    <w:pPr>
      <w:ind w:left="720" w:hanging="720"/>
      <w:widowControl/>
    </w:pPr>
    <w:rPr>
      <w:sz w:val="24"/>
      <w:szCs w:val="20"/>
      <w:lang w:val="en-GB"/>
    </w:rPr>
  </w:style>
  <w:style w:type="paragraph" w:styleId="1409" w:customStyle="1">
    <w:name w:val="列出段落111"/>
    <w:basedOn w:val="862"/>
    <w:link w:val="1410"/>
    <w:uiPriority w:val="99"/>
    <w:qFormat/>
    <w:pPr>
      <w:ind w:firstLine="420"/>
    </w:pPr>
    <w:rPr>
      <w:rFonts w:ascii="Calibri" w:hAnsi="Calibri"/>
      <w:szCs w:val="22"/>
    </w:rPr>
  </w:style>
  <w:style w:type="character" w:styleId="1410" w:customStyle="1">
    <w:name w:val="列出段落 Char"/>
    <w:link w:val="1409"/>
    <w:uiPriority w:val="99"/>
    <w:qFormat/>
    <w:rPr>
      <w:rFonts w:ascii="Calibri" w:hAnsi="Calibri"/>
      <w:sz w:val="21"/>
      <w:szCs w:val="22"/>
    </w:rPr>
  </w:style>
  <w:style w:type="paragraph" w:styleId="1411" w:customStyle="1">
    <w:name w:val="华宇段落1 Char"/>
    <w:basedOn w:val="862"/>
    <w:uiPriority w:val="99"/>
    <w:qFormat/>
    <w:pPr>
      <w:ind w:firstLine="200"/>
      <w:spacing w:line="360" w:lineRule="auto"/>
    </w:pPr>
    <w:rPr>
      <w:bCs/>
      <w:sz w:val="24"/>
    </w:rPr>
  </w:style>
  <w:style w:type="paragraph" w:styleId="1412"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413" w:customStyle="1">
    <w:name w:val="马刚标题1"/>
    <w:basedOn w:val="1205"/>
    <w:next w:val="862"/>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414" w:customStyle="1">
    <w:name w:val="Char Char Char Char Char"/>
    <w:basedOn w:val="862"/>
    <w:uiPriority w:val="99"/>
    <w:qFormat/>
    <w:rPr>
      <w:rFonts w:ascii="Tahoma" w:hAnsi="Tahoma"/>
      <w:sz w:val="24"/>
      <w:szCs w:val="20"/>
    </w:rPr>
  </w:style>
  <w:style w:type="paragraph" w:styleId="1415" w:customStyle="1">
    <w:name w:val="明显引用11"/>
    <w:basedOn w:val="862"/>
    <w:next w:val="862"/>
    <w:link w:val="1416"/>
    <w:uiPriority w:val="99"/>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416" w:customStyle="1">
    <w:name w:val="Intense Quote Char"/>
    <w:link w:val="1415"/>
    <w:uiPriority w:val="99"/>
    <w:qFormat/>
    <w:rPr>
      <w:rFonts w:ascii="Calibri" w:hAnsi="Calibri" w:eastAsia="宋体"/>
      <w:b/>
      <w:i/>
      <w:sz w:val="22"/>
      <w:lang w:eastAsia="en-US"/>
    </w:rPr>
  </w:style>
  <w:style w:type="paragraph" w:styleId="1417" w:customStyle="1">
    <w:name w:val="xl57"/>
    <w:basedOn w:val="86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418" w:customStyle="1">
    <w:name w:val="样式4 Char"/>
    <w:basedOn w:val="862"/>
    <w:uiPriority w:val="99"/>
    <w:qFormat/>
    <w:pPr>
      <w:ind w:firstLine="480"/>
      <w:jc w:val="left"/>
      <w:spacing w:line="360" w:lineRule="auto"/>
      <w:widowControl/>
    </w:pPr>
    <w:rPr>
      <w:rFonts w:cs="宋体"/>
      <w:color w:val="000000"/>
      <w:sz w:val="24"/>
    </w:rPr>
  </w:style>
  <w:style w:type="paragraph" w:styleId="1419" w:customStyle="1">
    <w:name w:val="xl30"/>
    <w:basedOn w:val="8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20" w:customStyle="1">
    <w:name w:val="1"/>
    <w:basedOn w:val="862"/>
    <w:next w:val="1282"/>
    <w:uiPriority w:val="99"/>
    <w:qFormat/>
    <w:pPr>
      <w:spacing w:line="360" w:lineRule="auto"/>
    </w:pPr>
    <w:rPr>
      <w:rFonts w:eastAsia="仿宋_GB2312"/>
      <w:sz w:val="24"/>
    </w:rPr>
  </w:style>
  <w:style w:type="paragraph" w:styleId="1421" w:customStyle="1">
    <w:name w:val="小四 段落 宋体 Char Char Char"/>
    <w:basedOn w:val="1229"/>
    <w:uiPriority w:val="99"/>
    <w:qFormat/>
    <w:pPr>
      <w:ind w:left="0" w:right="-33" w:firstLine="545"/>
      <w:jc w:val="left"/>
      <w:spacing w:line="360" w:lineRule="auto"/>
      <w:tabs>
        <w:tab w:val="clear" w:pos="2952" w:leader="none"/>
      </w:tabs>
    </w:pPr>
    <w:rPr>
      <w:sz w:val="24"/>
    </w:rPr>
  </w:style>
  <w:style w:type="paragraph" w:styleId="1422" w:customStyle="1">
    <w:name w:val="正文 首行缩进:  2 字符 Char Char"/>
    <w:basedOn w:val="862"/>
    <w:uiPriority w:val="99"/>
    <w:qFormat/>
    <w:pPr>
      <w:ind w:firstLine="480"/>
      <w:spacing w:line="360" w:lineRule="auto"/>
    </w:pPr>
    <w:rPr>
      <w:rFonts w:ascii="楷体_GB2312" w:eastAsia="楷体_GB2312"/>
      <w:bCs/>
      <w:sz w:val="24"/>
    </w:rPr>
  </w:style>
  <w:style w:type="paragraph" w:styleId="1423" w:customStyle="1">
    <w:name w:val="xl50"/>
    <w:basedOn w:val="86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424" w:customStyle="1">
    <w:name w:val="Char Char Char Char Char Char Char Char Char Char Char Char Char"/>
    <w:basedOn w:val="862"/>
    <w:uiPriority w:val="99"/>
    <w:qFormat/>
    <w:pPr>
      <w:jc w:val="left"/>
      <w:spacing w:after="160" w:line="240" w:lineRule="exact"/>
      <w:widowControl/>
    </w:pPr>
  </w:style>
  <w:style w:type="paragraph" w:styleId="1425" w:customStyle="1">
    <w:name w:val="列出段落2"/>
    <w:basedOn w:val="862"/>
    <w:uiPriority w:val="99"/>
    <w:qFormat/>
    <w:pPr>
      <w:ind w:left="720"/>
      <w:jc w:val="left"/>
      <w:widowControl/>
    </w:pPr>
    <w:rPr>
      <w:rFonts w:ascii="Arial" w:hAnsi="Arial" w:eastAsia="黑体" w:cs="Arial"/>
      <w:sz w:val="24"/>
      <w:lang w:eastAsia="en-US"/>
    </w:rPr>
  </w:style>
  <w:style w:type="paragraph" w:styleId="1426" w:customStyle="1">
    <w:name w:val="符号与编号 Char"/>
    <w:basedOn w:val="862"/>
    <w:uiPriority w:val="99"/>
    <w:qFormat/>
    <w:pPr>
      <w:ind w:left="720"/>
      <w:spacing w:line="400" w:lineRule="atLeast"/>
      <w:tabs>
        <w:tab w:val="left" w:pos="720" w:leader="none"/>
      </w:tabs>
    </w:pPr>
    <w:rPr>
      <w:sz w:val="24"/>
    </w:rPr>
  </w:style>
  <w:style w:type="paragraph" w:styleId="1427" w:customStyle="1">
    <w:name w:val="正文--表格内正文"/>
    <w:basedOn w:val="862"/>
    <w:uiPriority w:val="99"/>
    <w:qFormat/>
    <w:pPr>
      <w:jc w:val="center"/>
      <w:spacing w:line="240" w:lineRule="atLeast"/>
    </w:pPr>
    <w:rPr>
      <w:rFonts w:ascii="宋体" w:hAnsi="宋体"/>
      <w:color w:val="000000"/>
      <w:sz w:val="24"/>
    </w:rPr>
  </w:style>
  <w:style w:type="paragraph" w:styleId="1428" w:customStyle="1">
    <w:name w:val="xl42"/>
    <w:basedOn w:val="8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29" w:customStyle="1">
    <w:name w:val="正文 居中"/>
    <w:basedOn w:val="862"/>
    <w:uiPriority w:val="99"/>
    <w:qFormat/>
    <w:pPr>
      <w:jc w:val="center"/>
      <w:spacing w:line="360" w:lineRule="auto"/>
    </w:pPr>
    <w:rPr>
      <w:sz w:val="24"/>
      <w:szCs w:val="20"/>
    </w:rPr>
  </w:style>
  <w:style w:type="paragraph" w:styleId="1430" w:customStyle="1">
    <w:name w:val="一级标题"/>
    <w:basedOn w:val="862"/>
    <w:uiPriority w:val="99"/>
    <w:qFormat/>
    <w:pPr>
      <w:ind w:left="900" w:hanging="420"/>
      <w:spacing w:line="360" w:lineRule="auto"/>
      <w:tabs>
        <w:tab w:val="left" w:pos="903" w:leader="none"/>
      </w:tabs>
    </w:pPr>
    <w:rPr>
      <w:rFonts w:ascii="Arial" w:hAnsi="Arial" w:cs="Arial"/>
      <w:sz w:val="24"/>
      <w:szCs w:val="20"/>
    </w:rPr>
  </w:style>
  <w:style w:type="paragraph" w:styleId="1431" w:customStyle="1">
    <w:name w:val="xl26"/>
    <w:basedOn w:val="8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32" w:customStyle="1">
    <w:name w:val="标题1，章节第一层"/>
    <w:basedOn w:val="1334"/>
    <w:next w:val="1334"/>
    <w:uiPriority w:val="99"/>
    <w:qFormat/>
    <w:pPr>
      <w:ind w:left="482"/>
      <w:tabs>
        <w:tab w:val="left" w:pos="693" w:leader="none"/>
      </w:tabs>
      <w:outlineLvl w:val="0"/>
    </w:pPr>
    <w:rPr>
      <w:color w:val="000000"/>
      <w:sz w:val="24"/>
      <w:szCs w:val="24"/>
    </w:rPr>
  </w:style>
  <w:style w:type="paragraph" w:styleId="1433" w:customStyle="1">
    <w:name w:val="小四 段落 宋体"/>
    <w:basedOn w:val="1229"/>
    <w:uiPriority w:val="99"/>
    <w:qFormat/>
    <w:pPr>
      <w:ind w:left="113" w:right="113" w:firstLine="425"/>
      <w:jc w:val="left"/>
      <w:spacing w:line="360" w:lineRule="auto"/>
      <w:tabs>
        <w:tab w:val="clear" w:pos="2952" w:leader="none"/>
      </w:tabs>
    </w:pPr>
    <w:rPr>
      <w:sz w:val="24"/>
    </w:rPr>
  </w:style>
  <w:style w:type="paragraph" w:styleId="1434" w:customStyle="1">
    <w:name w:val="greytypebeni"/>
    <w:basedOn w:val="862"/>
    <w:uiPriority w:val="99"/>
    <w:qFormat/>
    <w:pPr>
      <w:jc w:val="left"/>
      <w:widowControl/>
    </w:pPr>
    <w:rPr>
      <w:rFonts w:ascii="宋体" w:hAnsi="宋体" w:cs="宋体"/>
      <w:sz w:val="24"/>
    </w:rPr>
  </w:style>
  <w:style w:type="paragraph" w:styleId="1435" w:customStyle="1">
    <w:name w:val="Char Char Char Char Char Char Char Char Char Char Char"/>
    <w:basedOn w:val="862"/>
    <w:uiPriority w:val="99"/>
    <w:qFormat/>
    <w:rPr>
      <w:rFonts w:ascii="Tahoma" w:hAnsi="Tahoma"/>
      <w:sz w:val="24"/>
      <w:szCs w:val="20"/>
    </w:rPr>
  </w:style>
  <w:style w:type="paragraph" w:styleId="1436" w:customStyle="1">
    <w:name w:val="List Paragraph1"/>
    <w:basedOn w:val="862"/>
    <w:uiPriority w:val="99"/>
    <w:qFormat/>
    <w:pPr>
      <w:ind w:left="720"/>
      <w:jc w:val="left"/>
      <w:widowControl/>
    </w:pPr>
    <w:rPr>
      <w:rFonts w:ascii="Arial" w:hAnsi="Arial" w:eastAsia="黑体"/>
      <w:sz w:val="24"/>
      <w:lang w:eastAsia="en-US"/>
    </w:rPr>
  </w:style>
  <w:style w:type="paragraph" w:styleId="1437" w:customStyle="1">
    <w:name w:val="批注框文本1"/>
    <w:basedOn w:val="862"/>
    <w:uiPriority w:val="99"/>
    <w:qFormat/>
    <w:rPr>
      <w:sz w:val="18"/>
      <w:szCs w:val="18"/>
    </w:rPr>
  </w:style>
  <w:style w:type="paragraph" w:styleId="1438" w:customStyle="1">
    <w:name w:val="Pa6"/>
    <w:basedOn w:val="862"/>
    <w:next w:val="862"/>
    <w:uiPriority w:val="99"/>
    <w:qFormat/>
    <w:pPr>
      <w:jc w:val="left"/>
      <w:spacing w:line="241" w:lineRule="atLeast"/>
    </w:pPr>
    <w:rPr>
      <w:rFonts w:ascii="汉仪大黑简" w:eastAsia="汉仪大黑简"/>
      <w:sz w:val="24"/>
    </w:rPr>
  </w:style>
  <w:style w:type="paragraph" w:styleId="1439" w:customStyle="1">
    <w:name w:val="样式1"/>
    <w:basedOn w:val="862"/>
    <w:uiPriority w:val="99"/>
    <w:qFormat/>
    <w:pPr>
      <w:ind w:firstLine="480"/>
      <w:spacing w:line="300" w:lineRule="auto"/>
    </w:pPr>
    <w:rPr>
      <w:sz w:val="24"/>
    </w:rPr>
  </w:style>
  <w:style w:type="paragraph" w:styleId="1440" w:customStyle="1">
    <w:name w:val="列出段落11"/>
    <w:basedOn w:val="862"/>
    <w:uiPriority w:val="99"/>
    <w:qFormat/>
    <w:pPr>
      <w:ind w:firstLine="200"/>
    </w:pPr>
    <w:rPr>
      <w:rFonts w:ascii="Calibri" w:hAnsi="Calibri" w:cs="宋体"/>
      <w:szCs w:val="22"/>
    </w:rPr>
  </w:style>
  <w:style w:type="paragraph" w:styleId="1441" w:customStyle="1">
    <w:name w:val="样式 段后: 0.5 行 左  0.75 字符"/>
    <w:basedOn w:val="862"/>
    <w:uiPriority w:val="99"/>
    <w:qFormat/>
    <w:pPr>
      <w:ind w:firstLine="420"/>
      <w:spacing w:line="360" w:lineRule="auto"/>
      <w:widowControl/>
    </w:pPr>
    <w:rPr>
      <w:rFonts w:hAnsi="Arial" w:cs="Arial"/>
      <w:szCs w:val="21"/>
    </w:rPr>
  </w:style>
  <w:style w:type="paragraph" w:styleId="1442" w:customStyle="1">
    <w:name w:val="Char Char Char Char Char Char Char1"/>
    <w:basedOn w:val="862"/>
    <w:uiPriority w:val="99"/>
    <w:qFormat/>
    <w:rPr>
      <w:rFonts w:ascii="Tahoma" w:hAnsi="Tahoma"/>
      <w:sz w:val="24"/>
      <w:szCs w:val="20"/>
    </w:rPr>
  </w:style>
  <w:style w:type="paragraph" w:styleId="1443" w:customStyle="1">
    <w:name w:val="xl32"/>
    <w:basedOn w:val="8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44" w:customStyle="1">
    <w:name w:val="表格"/>
    <w:basedOn w:val="862"/>
    <w:uiPriority w:val="99"/>
    <w:qFormat/>
    <w:pPr>
      <w:ind w:firstLine="21"/>
    </w:pPr>
    <w:rPr>
      <w:rFonts w:ascii="宋体" w:hAnsi="宋体" w:cs="宋体"/>
      <w:sz w:val="20"/>
      <w:szCs w:val="20"/>
    </w:rPr>
  </w:style>
  <w:style w:type="paragraph" w:styleId="1445" w:customStyle="1">
    <w:name w:val="p0"/>
    <w:basedOn w:val="862"/>
    <w:uiPriority w:val="0"/>
    <w:qFormat/>
    <w:pPr>
      <w:jc w:val="left"/>
      <w:spacing w:before="100" w:beforeAutospacing="1" w:after="100" w:afterAutospacing="1"/>
      <w:widowControl/>
    </w:pPr>
    <w:rPr>
      <w:rFonts w:ascii="宋体" w:hAnsi="宋体" w:cs="宋体"/>
      <w:sz w:val="24"/>
    </w:rPr>
  </w:style>
  <w:style w:type="paragraph" w:styleId="1446" w:customStyle="1">
    <w:name w:val="Char Char Char Char Char Char Char Char Char Char"/>
    <w:basedOn w:val="862"/>
    <w:uiPriority w:val="99"/>
    <w:qFormat/>
    <w:pPr>
      <w:spacing w:line="360" w:lineRule="auto"/>
    </w:pPr>
    <w:rPr>
      <w:sz w:val="24"/>
      <w:szCs w:val="20"/>
    </w:rPr>
  </w:style>
  <w:style w:type="paragraph" w:styleId="1447" w:customStyle="1">
    <w:name w:val="Char"/>
    <w:basedOn w:val="862"/>
    <w:uiPriority w:val="99"/>
    <w:qFormat/>
    <w:pPr>
      <w:spacing w:line="360" w:lineRule="auto"/>
    </w:pPr>
    <w:rPr>
      <w:rFonts w:ascii="Tahoma" w:hAnsi="Tahoma"/>
      <w:sz w:val="24"/>
      <w:szCs w:val="20"/>
    </w:rPr>
  </w:style>
  <w:style w:type="paragraph" w:styleId="1448" w:customStyle="1">
    <w:name w:val="Char Char Char Char"/>
    <w:basedOn w:val="1232"/>
    <w:uiPriority w:val="99"/>
    <w:qFormat/>
    <w:pPr>
      <w:spacing w:line="360" w:lineRule="auto"/>
    </w:pPr>
    <w:rPr>
      <w:rFonts w:ascii="Tahoma" w:hAnsi="Tahoma"/>
    </w:rPr>
  </w:style>
  <w:style w:type="paragraph" w:styleId="1449" w:customStyle="1">
    <w:name w:val="方案文档"/>
    <w:basedOn w:val="862"/>
    <w:uiPriority w:val="99"/>
    <w:qFormat/>
    <w:pPr>
      <w:jc w:val="center"/>
      <w:spacing w:before="60" w:after="60" w:line="360" w:lineRule="auto"/>
    </w:pPr>
    <w:rPr>
      <w:rFonts w:ascii="宋体" w:hAnsi="宋体"/>
      <w:sz w:val="24"/>
      <w:szCs w:val="20"/>
      <w:lang w:val="zh-CN"/>
    </w:rPr>
  </w:style>
  <w:style w:type="paragraph" w:styleId="1450" w:customStyle="1">
    <w:name w:val="a"/>
    <w:basedOn w:val="862"/>
    <w:uiPriority w:val="99"/>
    <w:qFormat/>
    <w:pPr>
      <w:spacing w:before="100" w:beforeAutospacing="1" w:after="100" w:afterAutospacing="1"/>
      <w:widowControl/>
    </w:pPr>
    <w:rPr>
      <w:rFonts w:ascii="宋体" w:hAnsi="宋体" w:cs="宋体"/>
      <w:sz w:val="24"/>
    </w:rPr>
  </w:style>
  <w:style w:type="paragraph" w:styleId="1451" w:customStyle="1">
    <w:name w:val="公文正文"/>
    <w:basedOn w:val="1242"/>
    <w:uiPriority w:val="99"/>
    <w:qFormat/>
    <w:pPr>
      <w:ind w:left="0" w:firstLine="200"/>
      <w:spacing w:after="0"/>
    </w:pPr>
    <w:rPr>
      <w:rFonts w:ascii="仿宋_GB2312" w:hAnsi="宋体" w:eastAsia="仿宋_GB2312"/>
      <w:sz w:val="28"/>
    </w:rPr>
  </w:style>
  <w:style w:type="paragraph" w:styleId="1452" w:customStyle="1">
    <w:name w:val="xl55"/>
    <w:basedOn w:val="86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453" w:customStyle="1">
    <w:name w:val="xl34"/>
    <w:basedOn w:val="8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54" w:customStyle="1">
    <w:name w:val="Char11"/>
    <w:basedOn w:val="862"/>
    <w:uiPriority w:val="99"/>
    <w:qFormat/>
    <w:rPr>
      <w:rFonts w:ascii="仿宋_GB2312" w:eastAsia="仿宋_GB2312"/>
      <w:b/>
      <w:sz w:val="32"/>
      <w:szCs w:val="32"/>
    </w:rPr>
  </w:style>
  <w:style w:type="paragraph" w:styleId="1455" w:customStyle="1">
    <w:name w:val="xl43"/>
    <w:basedOn w:val="86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456" w:customStyle="1">
    <w:name w:val="表蕊"/>
    <w:basedOn w:val="862"/>
    <w:uiPriority w:val="99"/>
    <w:qFormat/>
    <w:pPr>
      <w:jc w:val="left"/>
      <w:spacing w:line="320" w:lineRule="atLeast"/>
    </w:pPr>
    <w:rPr>
      <w:rFonts w:eastAsia="楷体_GB2312"/>
      <w:spacing w:val="-10"/>
      <w:szCs w:val="20"/>
    </w:rPr>
  </w:style>
  <w:style w:type="paragraph" w:styleId="1457" w:customStyle="1">
    <w:name w:val="xl49"/>
    <w:basedOn w:val="862"/>
    <w:uiPriority w:val="9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458" w:customStyle="1">
    <w:name w:val="font7"/>
    <w:basedOn w:val="862"/>
    <w:uiPriority w:val="99"/>
    <w:qFormat/>
    <w:pPr>
      <w:jc w:val="left"/>
      <w:spacing w:before="100" w:beforeAutospacing="1" w:after="100" w:afterAutospacing="1"/>
      <w:widowControl/>
    </w:pPr>
    <w:rPr>
      <w:rFonts w:ascii="宋体" w:hAnsi="宋体"/>
      <w:b/>
      <w:bCs/>
      <w:sz w:val="24"/>
    </w:rPr>
  </w:style>
  <w:style w:type="paragraph" w:styleId="1459" w:customStyle="1">
    <w:name w:val="文档正文"/>
    <w:basedOn w:val="862"/>
    <w:uiPriority w:val="99"/>
    <w:qFormat/>
    <w:pPr>
      <w:spacing w:line="360" w:lineRule="auto"/>
    </w:pPr>
    <w:rPr>
      <w:rFonts w:ascii="宋体" w:hAnsi="宋体"/>
      <w:b/>
      <w:bCs/>
    </w:rPr>
  </w:style>
  <w:style w:type="paragraph" w:styleId="1460"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461" w:customStyle="1">
    <w:name w:val="xl38"/>
    <w:basedOn w:val="8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62" w:customStyle="1">
    <w:name w:val="公文标题 2"/>
    <w:basedOn w:val="862"/>
    <w:next w:val="1451"/>
    <w:uiPriority w:val="99"/>
    <w:qFormat/>
    <w:pPr>
      <w:outlineLvl w:val="1"/>
    </w:pPr>
    <w:rPr>
      <w:rFonts w:ascii="仿宋_GB2312" w:hAnsi="宋体" w:eastAsia="仿宋_GB2312"/>
      <w:sz w:val="28"/>
    </w:rPr>
  </w:style>
  <w:style w:type="paragraph" w:styleId="1463" w:customStyle="1">
    <w:name w:val="标题4，章节第四层"/>
    <w:basedOn w:val="862"/>
    <w:next w:val="862"/>
    <w:uiPriority w:val="99"/>
    <w:qFormat/>
    <w:pPr>
      <w:spacing w:line="360" w:lineRule="auto"/>
      <w:tabs>
        <w:tab w:val="left" w:pos="0" w:leader="none"/>
      </w:tabs>
      <w:outlineLvl w:val="3"/>
    </w:pPr>
    <w:rPr>
      <w:rFonts w:ascii="宋体" w:hAnsi="宋体"/>
      <w:b/>
      <w:sz w:val="24"/>
    </w:rPr>
  </w:style>
  <w:style w:type="paragraph" w:styleId="1464" w:customStyle="1">
    <w:name w:val="Char Char Char1"/>
    <w:basedOn w:val="1232"/>
    <w:uiPriority w:val="99"/>
    <w:qFormat/>
    <w:pPr>
      <w:spacing w:line="436" w:lineRule="exact"/>
    </w:pPr>
  </w:style>
  <w:style w:type="paragraph" w:styleId="1465" w:customStyle="1">
    <w:name w:val="Normal Indent1"/>
    <w:basedOn w:val="862"/>
    <w:uiPriority w:val="99"/>
    <w:qFormat/>
    <w:pPr>
      <w:ind w:firstLine="420"/>
    </w:pPr>
    <w:rPr>
      <w:sz w:val="20"/>
      <w:szCs w:val="20"/>
    </w:rPr>
  </w:style>
  <w:style w:type="paragraph" w:styleId="1466" w:customStyle="1">
    <w:name w:val="正文 首行缩进:  2 字符 Char"/>
    <w:basedOn w:val="862"/>
    <w:uiPriority w:val="99"/>
    <w:qFormat/>
    <w:pPr>
      <w:ind w:firstLine="480"/>
      <w:spacing w:line="360" w:lineRule="auto"/>
    </w:pPr>
    <w:rPr>
      <w:rFonts w:cs="宋体"/>
      <w:sz w:val="24"/>
      <w:szCs w:val="20"/>
    </w:rPr>
  </w:style>
  <w:style w:type="paragraph" w:styleId="1467" w:customStyle="1">
    <w:name w:val="font12"/>
    <w:basedOn w:val="862"/>
    <w:uiPriority w:val="99"/>
    <w:qFormat/>
    <w:pPr>
      <w:jc w:val="left"/>
      <w:spacing w:before="100" w:beforeAutospacing="1" w:after="100" w:afterAutospacing="1"/>
      <w:widowControl/>
    </w:pPr>
    <w:rPr>
      <w:rFonts w:ascii="宋体" w:hAnsi="宋体" w:cs="宋体"/>
      <w:sz w:val="36"/>
      <w:szCs w:val="36"/>
    </w:rPr>
  </w:style>
  <w:style w:type="paragraph" w:styleId="1468" w:customStyle="1">
    <w:name w:val="Char Char"/>
    <w:basedOn w:val="862"/>
    <w:uiPriority w:val="99"/>
    <w:qFormat/>
    <w:rPr>
      <w:rFonts w:ascii="Tahoma" w:hAnsi="Tahoma"/>
      <w:sz w:val="24"/>
      <w:szCs w:val="20"/>
    </w:rPr>
  </w:style>
  <w:style w:type="paragraph" w:styleId="1469" w:customStyle="1">
    <w:name w:val="表头_5"/>
    <w:basedOn w:val="862"/>
    <w:uiPriority w:val="99"/>
    <w:qFormat/>
    <w:pPr>
      <w:spacing w:line="360" w:lineRule="auto"/>
    </w:pPr>
    <w:rPr>
      <w:b/>
      <w:bCs/>
      <w:sz w:val="28"/>
      <w:szCs w:val="21"/>
    </w:rPr>
  </w:style>
  <w:style w:type="paragraph" w:styleId="1470" w:customStyle="1">
    <w:name w:val="Char Char110"/>
    <w:basedOn w:val="862"/>
    <w:uiPriority w:val="99"/>
    <w:qFormat/>
    <w:rPr>
      <w:rFonts w:ascii="Tahoma" w:hAnsi="Tahoma" w:cs="Tahoma"/>
      <w:sz w:val="24"/>
      <w:szCs w:val="20"/>
    </w:rPr>
  </w:style>
  <w:style w:type="paragraph" w:styleId="1471" w:customStyle="1">
    <w:name w:val="标题 4宋体"/>
    <w:basedOn w:val="1212"/>
    <w:uiPriority w:val="99"/>
    <w:qFormat/>
    <w:pPr>
      <w:jc w:val="left"/>
      <w:keepLines w:val="0"/>
      <w:spacing w:before="0" w:after="0" w:line="360" w:lineRule="auto"/>
    </w:pPr>
    <w:rPr>
      <w:rFonts w:ascii="宋体" w:hAnsi="宋体" w:eastAsia="宋体"/>
      <w:bCs/>
      <w:color w:val="000000"/>
      <w:sz w:val="24"/>
    </w:rPr>
  </w:style>
  <w:style w:type="paragraph" w:styleId="1472" w:customStyle="1">
    <w:name w:val="zw"/>
    <w:basedOn w:val="862"/>
    <w:uiPriority w:val="99"/>
    <w:qFormat/>
    <w:pPr>
      <w:ind w:firstLine="480"/>
      <w:jc w:val="left"/>
      <w:spacing w:line="360" w:lineRule="auto"/>
      <w:widowControl/>
    </w:pPr>
    <w:rPr>
      <w:rFonts w:ascii="宋体" w:hAnsi="宋体"/>
      <w:bCs/>
      <w:sz w:val="24"/>
      <w:szCs w:val="20"/>
    </w:rPr>
  </w:style>
  <w:style w:type="paragraph" w:styleId="1473" w:customStyle="1">
    <w:name w:val="Char2 Char Char Char Char Char Char1"/>
    <w:basedOn w:val="862"/>
    <w:uiPriority w:val="99"/>
    <w:qFormat/>
    <w:pPr>
      <w:ind w:hanging="425"/>
      <w:keepNext/>
      <w:spacing w:before="80" w:after="80"/>
      <w:widowControl/>
      <w:tabs>
        <w:tab w:val="left" w:pos="425" w:leader="none"/>
      </w:tabs>
    </w:pPr>
    <w:rPr>
      <w:rFonts w:ascii="Arial" w:hAnsi="Arial" w:cs="Arial"/>
      <w:sz w:val="20"/>
      <w:szCs w:val="20"/>
    </w:rPr>
  </w:style>
  <w:style w:type="paragraph" w:styleId="1474" w:customStyle="1">
    <w:name w:val="条1"/>
    <w:basedOn w:val="862"/>
    <w:uiPriority w:val="99"/>
    <w:qFormat/>
    <w:pPr>
      <w:ind w:left="780" w:hanging="360"/>
      <w:spacing w:before="156" w:line="360" w:lineRule="auto"/>
      <w:tabs>
        <w:tab w:val="left" w:pos="780" w:leader="none"/>
      </w:tabs>
    </w:pPr>
    <w:rPr>
      <w:rFonts w:eastAsia="黑体"/>
      <w:sz w:val="24"/>
      <w:szCs w:val="20"/>
    </w:rPr>
  </w:style>
  <w:style w:type="paragraph" w:styleId="1475" w:customStyle="1">
    <w:name w:val="Char Char Char Char Char Char Char Char Char Char Char1"/>
    <w:basedOn w:val="862"/>
    <w:uiPriority w:val="99"/>
    <w:qFormat/>
    <w:rPr>
      <w:rFonts w:ascii="Tahoma" w:hAnsi="Tahoma" w:cs="Tahoma"/>
      <w:sz w:val="24"/>
      <w:szCs w:val="20"/>
    </w:rPr>
  </w:style>
  <w:style w:type="paragraph" w:styleId="1476" w:customStyle="1">
    <w:name w:val="丁华标题2"/>
    <w:basedOn w:val="1208"/>
    <w:next w:val="1477"/>
    <w:uiPriority w:val="99"/>
    <w:qFormat/>
    <w:pPr>
      <w:ind w:left="567" w:hanging="567"/>
      <w:jc w:val="left"/>
      <w:spacing w:before="120" w:after="120"/>
      <w:tabs>
        <w:tab w:val="left" w:pos="567" w:leader="none"/>
      </w:tabs>
    </w:pPr>
    <w:rPr>
      <w:color w:val="000000"/>
      <w:sz w:val="28"/>
      <w:szCs w:val="20"/>
    </w:rPr>
  </w:style>
  <w:style w:type="paragraph" w:styleId="1477" w:customStyle="1">
    <w:name w:val="丁华正文"/>
    <w:basedOn w:val="1060"/>
    <w:uiPriority w:val="99"/>
    <w:qFormat/>
    <w:pPr>
      <w:ind w:left="0" w:firstLine="510"/>
      <w:spacing w:before="0" w:after="0" w:line="360" w:lineRule="auto"/>
    </w:pPr>
    <w:rPr>
      <w:rFonts w:ascii="宋体" w:hAnsi="Arial"/>
      <w:bCs w:val="0"/>
      <w:color w:val="000000"/>
      <w:szCs w:val="16"/>
    </w:rPr>
  </w:style>
  <w:style w:type="paragraph" w:styleId="1478" w:customStyle="1">
    <w:name w:val="4"/>
    <w:basedOn w:val="862"/>
    <w:next w:val="1277"/>
    <w:uiPriority w:val="99"/>
    <w:qFormat/>
    <w:pPr>
      <w:ind w:firstLine="420"/>
      <w:spacing w:line="360" w:lineRule="auto"/>
    </w:pPr>
    <w:rPr>
      <w:color w:val="ff0000"/>
      <w:sz w:val="24"/>
    </w:rPr>
  </w:style>
  <w:style w:type="paragraph" w:styleId="1479"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480" w:customStyle="1">
    <w:name w:val="大标题"/>
    <w:basedOn w:val="862"/>
    <w:next w:val="862"/>
    <w:uiPriority w:val="99"/>
    <w:qFormat/>
    <w:pPr>
      <w:ind w:hanging="420"/>
      <w:pageBreakBefore/>
      <w:spacing w:line="360" w:lineRule="auto"/>
      <w:tabs>
        <w:tab w:val="left" w:pos="420" w:leader="none"/>
      </w:tabs>
      <w:outlineLvl w:val="0"/>
    </w:pPr>
    <w:rPr>
      <w:b/>
      <w:iCs/>
      <w:sz w:val="44"/>
    </w:rPr>
  </w:style>
  <w:style w:type="paragraph" w:styleId="1481" w:customStyle="1">
    <w:name w:val="Char Char Char Char Char Char Char"/>
    <w:basedOn w:val="862"/>
    <w:uiPriority w:val="99"/>
    <w:qFormat/>
    <w:pPr>
      <w:jc w:val="left"/>
    </w:pPr>
    <w:rPr>
      <w:rFonts w:ascii="Tahoma" w:hAnsi="Tahoma"/>
      <w:sz w:val="24"/>
      <w:szCs w:val="20"/>
    </w:rPr>
  </w:style>
  <w:style w:type="paragraph" w:styleId="1482" w:customStyle="1">
    <w:name w:val="xl61"/>
    <w:basedOn w:val="86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83" w:customStyle="1">
    <w:name w:val="xl46"/>
    <w:basedOn w:val="862"/>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484" w:customStyle="1">
    <w:name w:val="xl51"/>
    <w:basedOn w:val="86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485" w:customStyle="1">
    <w:name w:val="Char Char Char Char Char Char Char Char Char Char Char Char Char Char"/>
    <w:basedOn w:val="862"/>
    <w:uiPriority w:val="99"/>
    <w:qFormat/>
    <w:rPr>
      <w:rFonts w:ascii="Tahoma" w:hAnsi="Tahoma"/>
      <w:sz w:val="24"/>
      <w:szCs w:val="20"/>
    </w:rPr>
  </w:style>
  <w:style w:type="paragraph" w:styleId="1486" w:customStyle="1">
    <w:name w:val="xl44"/>
    <w:basedOn w:val="86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487" w:customStyle="1">
    <w:name w:val="符号与编号 Char Char"/>
    <w:basedOn w:val="862"/>
    <w:uiPriority w:val="99"/>
    <w:qFormat/>
    <w:pPr>
      <w:ind w:left="839" w:hanging="419"/>
      <w:spacing w:line="400" w:lineRule="atLeast"/>
      <w:tabs>
        <w:tab w:val="left" w:pos="840" w:leader="none"/>
      </w:tabs>
    </w:pPr>
    <w:rPr>
      <w:sz w:val="24"/>
    </w:rPr>
  </w:style>
  <w:style w:type="paragraph" w:styleId="1488" w:customStyle="1">
    <w:name w:val="默认段落字体 Para Char Char Char Char Char Char Char Char Char1 Char Char Char Char Char Char Char"/>
    <w:basedOn w:val="1232"/>
    <w:uiPriority w:val="99"/>
    <w:qFormat/>
    <w:rPr>
      <w:szCs w:val="20"/>
    </w:rPr>
  </w:style>
  <w:style w:type="paragraph" w:styleId="1489" w:customStyle="1">
    <w:name w:val="普通正文"/>
    <w:basedOn w:val="862"/>
    <w:uiPriority w:val="99"/>
    <w:qFormat/>
    <w:pPr>
      <w:ind w:firstLine="480"/>
      <w:jc w:val="left"/>
      <w:spacing w:before="120" w:after="120" w:line="360" w:lineRule="auto"/>
    </w:pPr>
    <w:rPr>
      <w:rFonts w:ascii="Arial" w:hAnsi="Arial"/>
      <w:sz w:val="24"/>
    </w:rPr>
  </w:style>
  <w:style w:type="paragraph" w:styleId="1490" w:customStyle="1">
    <w:name w:val="表格内容"/>
    <w:basedOn w:val="862"/>
    <w:uiPriority w:val="99"/>
    <w:qFormat/>
    <w:pPr>
      <w:jc w:val="center"/>
      <w:spacing w:before="60" w:line="300" w:lineRule="auto"/>
      <w:widowControl/>
    </w:pPr>
    <w:rPr>
      <w:szCs w:val="20"/>
    </w:rPr>
  </w:style>
  <w:style w:type="paragraph" w:styleId="1491" w:customStyle="1">
    <w:name w:val="正文文本 New New"/>
    <w:basedOn w:val="862"/>
    <w:uiPriority w:val="99"/>
    <w:qFormat/>
    <w:pPr>
      <w:ind w:firstLine="200"/>
      <w:spacing w:before="60" w:after="60" w:line="360" w:lineRule="auto"/>
      <w:widowControl/>
    </w:pPr>
    <w:rPr>
      <w:rFonts w:eastAsia="华文楷体"/>
      <w:sz w:val="24"/>
    </w:rPr>
  </w:style>
  <w:style w:type="paragraph" w:styleId="1492" w:customStyle="1">
    <w:name w:val="font8"/>
    <w:basedOn w:val="862"/>
    <w:uiPriority w:val="99"/>
    <w:qFormat/>
    <w:pPr>
      <w:jc w:val="left"/>
      <w:spacing w:before="100" w:beforeAutospacing="1" w:after="100" w:afterAutospacing="1"/>
      <w:widowControl/>
    </w:pPr>
    <w:rPr>
      <w:rFonts w:ascii="宋体" w:hAnsi="宋体" w:cs="宋体"/>
      <w:b/>
      <w:bCs/>
      <w:i/>
      <w:iCs/>
      <w:sz w:val="20"/>
      <w:szCs w:val="20"/>
    </w:rPr>
  </w:style>
  <w:style w:type="paragraph" w:styleId="1493" w:customStyle="1">
    <w:name w:val="Char Char Char Char Char Char Char Char Char Char Char1 Char Char Char1"/>
    <w:basedOn w:val="862"/>
    <w:uiPriority w:val="99"/>
    <w:qFormat/>
    <w:pPr>
      <w:ind w:firstLine="200"/>
      <w:jc w:val="left"/>
    </w:pPr>
    <w:rPr>
      <w:rFonts w:ascii="Tahoma" w:hAnsi="Tahoma"/>
      <w:sz w:val="24"/>
    </w:rPr>
  </w:style>
  <w:style w:type="paragraph" w:styleId="1494" w:customStyle="1">
    <w:name w:val="xl25"/>
    <w:basedOn w:val="862"/>
    <w:uiPriority w:val="99"/>
    <w:qFormat/>
    <w:pPr>
      <w:jc w:val="center"/>
      <w:spacing w:before="100" w:beforeAutospacing="1" w:after="100" w:afterAutospacing="1"/>
      <w:widowControl/>
      <w:pBdr>
        <w:right w:val="single" w:color="000000" w:sz="4" w:space="0"/>
      </w:pBdr>
    </w:pPr>
    <w:rPr>
      <w:szCs w:val="21"/>
    </w:rPr>
  </w:style>
  <w:style w:type="paragraph" w:styleId="1495" w:customStyle="1">
    <w:name w:val="标准小四"/>
    <w:basedOn w:val="862"/>
    <w:uiPriority w:val="99"/>
    <w:qFormat/>
    <w:pPr>
      <w:ind w:firstLine="480"/>
      <w:spacing w:line="360" w:lineRule="auto"/>
    </w:pPr>
    <w:rPr>
      <w:rFonts w:ascii="Arial" w:hAnsi="Arial"/>
      <w:sz w:val="24"/>
      <w:szCs w:val="21"/>
    </w:rPr>
  </w:style>
  <w:style w:type="paragraph" w:styleId="1496"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497" w:customStyle="1">
    <w:name w:val="标题3，章节第三层"/>
    <w:basedOn w:val="862"/>
    <w:next w:val="1334"/>
    <w:uiPriority w:val="99"/>
    <w:qFormat/>
    <w:pPr>
      <w:spacing w:before="78" w:line="300" w:lineRule="auto"/>
      <w:outlineLvl w:val="2"/>
    </w:pPr>
    <w:rPr>
      <w:rFonts w:ascii="Arial" w:hAnsi="Arial" w:eastAsia="华文细黑"/>
      <w:sz w:val="30"/>
    </w:rPr>
  </w:style>
  <w:style w:type="paragraph" w:styleId="1498" w:customStyle="1">
    <w:name w:val="7"/>
    <w:basedOn w:val="862"/>
    <w:next w:val="1286"/>
    <w:uiPriority w:val="99"/>
    <w:qFormat/>
    <w:pPr>
      <w:jc w:val="left"/>
      <w:spacing w:before="100" w:beforeAutospacing="1" w:after="100" w:afterAutospacing="1"/>
      <w:widowControl/>
    </w:pPr>
    <w:rPr>
      <w:rFonts w:ascii="宋体" w:hAnsi="宋体"/>
      <w:sz w:val="24"/>
      <w:szCs w:val="20"/>
    </w:rPr>
  </w:style>
  <w:style w:type="paragraph" w:styleId="1499" w:customStyle="1">
    <w:name w:val="xl59"/>
    <w:basedOn w:val="86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500" w:customStyle="1">
    <w:name w:val="无间隔11"/>
    <w:uiPriority w:val="99"/>
    <w:qFormat/>
    <w:pPr>
      <w:jc w:val="both"/>
      <w:widowControl w:val="off"/>
    </w:pPr>
    <w:rPr>
      <w:rFonts w:ascii="Times New Roman" w:hAnsi="Times New Roman" w:eastAsia="微软雅黑" w:cs="Times New Roman"/>
      <w:sz w:val="24"/>
      <w:szCs w:val="22"/>
      <w:lang w:val="en-US" w:eastAsia="zh-CN" w:bidi="ar-SA"/>
    </w:rPr>
  </w:style>
  <w:style w:type="paragraph" w:styleId="1501" w:customStyle="1">
    <w:name w:val="Char Char Char Char Char Char Char Char Char Char Char Char Char Char Char Char Char Char Char Char Char"/>
    <w:basedOn w:val="862"/>
    <w:uiPriority w:val="99"/>
    <w:qFormat/>
    <w:rPr>
      <w:rFonts w:ascii="Tahoma" w:hAnsi="Tahoma" w:cs="Tahoma"/>
      <w:sz w:val="24"/>
      <w:szCs w:val="20"/>
    </w:rPr>
  </w:style>
  <w:style w:type="paragraph" w:styleId="1502" w:customStyle="1">
    <w:name w:val="Char Char Char Char Char Char Char Char1"/>
    <w:basedOn w:val="862"/>
    <w:uiPriority w:val="99"/>
    <w:qFormat/>
    <w:pPr>
      <w:jc w:val="left"/>
      <w:spacing w:after="160" w:line="240" w:lineRule="exact"/>
      <w:widowControl/>
    </w:pPr>
    <w:rPr>
      <w:rFonts w:ascii="Verdana" w:hAnsi="Verdana"/>
      <w:sz w:val="20"/>
      <w:szCs w:val="20"/>
      <w:lang w:eastAsia="en-US"/>
    </w:rPr>
  </w:style>
  <w:style w:type="paragraph" w:styleId="1503" w:customStyle="1">
    <w:name w:val="Char Char Char Char Char Char Char Char Char Char Char Char Char Char Char Char Char Char Char Char Char Char Char"/>
    <w:basedOn w:val="862"/>
    <w:uiPriority w:val="99"/>
    <w:qFormat/>
    <w:rPr>
      <w:rFonts w:ascii="Tahoma" w:hAnsi="Tahoma"/>
      <w:sz w:val="24"/>
      <w:szCs w:val="20"/>
    </w:rPr>
  </w:style>
  <w:style w:type="paragraph" w:styleId="1504" w:customStyle="1">
    <w:name w:val="xl33"/>
    <w:basedOn w:val="8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05" w:customStyle="1">
    <w:name w:val="Default"/>
    <w:next w:val="862"/>
    <w:uiPriority w:val="99"/>
    <w:qFormat/>
    <w:pPr>
      <w:widowControl w:val="off"/>
    </w:pPr>
    <w:rPr>
      <w:rFonts w:ascii="宋体" w:hAnsi="Times New Roman" w:eastAsia="宋体" w:cs="宋体"/>
      <w:color w:val="000000"/>
      <w:sz w:val="24"/>
      <w:szCs w:val="24"/>
      <w:lang w:val="en-US" w:eastAsia="zh-CN" w:bidi="ar-SA"/>
    </w:rPr>
  </w:style>
  <w:style w:type="paragraph" w:styleId="1506" w:customStyle="1">
    <w:name w:val="Char Char Char Char Char Char Char Char Char"/>
    <w:basedOn w:val="862"/>
    <w:uiPriority w:val="99"/>
    <w:qFormat/>
    <w:pPr>
      <w:ind w:left="200" w:hanging="200"/>
      <w:tabs>
        <w:tab w:val="left" w:pos="360" w:leader="none"/>
      </w:tabs>
    </w:pPr>
    <w:rPr>
      <w:sz w:val="24"/>
    </w:rPr>
  </w:style>
  <w:style w:type="paragraph" w:styleId="1507" w:customStyle="1">
    <w:name w:val="批注主题1"/>
    <w:basedOn w:val="1234"/>
    <w:next w:val="1234"/>
    <w:uiPriority w:val="99"/>
    <w:qFormat/>
    <w:rPr>
      <w:b/>
      <w:bCs/>
      <w:szCs w:val="24"/>
    </w:rPr>
  </w:style>
  <w:style w:type="paragraph" w:styleId="1508" w:customStyle="1">
    <w:name w:val="Char Char1 Char Char Char Char"/>
    <w:basedOn w:val="1232"/>
    <w:uiPriority w:val="99"/>
    <w:qFormat/>
    <w:pPr>
      <w:ind w:left="357"/>
      <w:jc w:val="left"/>
      <w:spacing w:line="436" w:lineRule="exact"/>
      <w:outlineLvl w:val="3"/>
    </w:pPr>
    <w:rPr>
      <w:rFonts w:ascii="Tahoma" w:hAnsi="Tahoma" w:cs="Tahoma"/>
      <w:b/>
    </w:rPr>
  </w:style>
  <w:style w:type="paragraph" w:styleId="1509" w:customStyle="1">
    <w:name w:val="xl29"/>
    <w:basedOn w:val="8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510" w:customStyle="1">
    <w:name w:val="标题5，章节第五层"/>
    <w:basedOn w:val="862"/>
    <w:next w:val="862"/>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511" w:customStyle="1">
    <w:name w:val="正文--wdh"/>
    <w:basedOn w:val="862"/>
    <w:uiPriority w:val="99"/>
    <w:qFormat/>
    <w:pPr>
      <w:spacing w:line="360" w:lineRule="auto"/>
    </w:pPr>
    <w:rPr>
      <w:sz w:val="24"/>
    </w:rPr>
  </w:style>
  <w:style w:type="paragraph" w:styleId="1512" w:customStyle="1">
    <w:name w:val="Char Char Char Char Char Char Char Char"/>
    <w:basedOn w:val="862"/>
    <w:uiPriority w:val="99"/>
    <w:qFormat/>
    <w:pPr>
      <w:jc w:val="left"/>
      <w:spacing w:after="160" w:line="240" w:lineRule="exact"/>
      <w:widowControl/>
    </w:pPr>
    <w:rPr>
      <w:rFonts w:ascii="Verdana" w:hAnsi="Verdana"/>
      <w:sz w:val="20"/>
      <w:szCs w:val="20"/>
      <w:lang w:eastAsia="en-US"/>
    </w:rPr>
  </w:style>
  <w:style w:type="paragraph" w:styleId="1513" w:customStyle="1">
    <w:name w:val="项目符号：一级"/>
    <w:basedOn w:val="1334"/>
    <w:next w:val="1334"/>
    <w:uiPriority w:val="99"/>
    <w:qFormat/>
    <w:pPr>
      <w:ind w:right="-134"/>
    </w:pPr>
    <w:rPr>
      <w:bCs w:val="0"/>
    </w:rPr>
  </w:style>
  <w:style w:type="paragraph" w:styleId="1514" w:customStyle="1">
    <w:name w:val="小四 段落 宋体 Char"/>
    <w:basedOn w:val="1229"/>
    <w:uiPriority w:val="99"/>
    <w:qFormat/>
    <w:pPr>
      <w:ind w:left="0" w:right="-33" w:firstLine="600"/>
      <w:jc w:val="left"/>
      <w:tabs>
        <w:tab w:val="clear" w:pos="2952" w:leader="none"/>
      </w:tabs>
    </w:pPr>
    <w:rPr>
      <w:rFonts w:ascii="仿宋_GB2312" w:eastAsia="仿宋_GB2312"/>
      <w:sz w:val="30"/>
      <w:szCs w:val="30"/>
    </w:rPr>
  </w:style>
  <w:style w:type="paragraph" w:styleId="1515" w:customStyle="1">
    <w:name w:val="xl40"/>
    <w:basedOn w:val="8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516" w:customStyle="1">
    <w:name w:val="普通文字"/>
    <w:basedOn w:val="862"/>
    <w:next w:val="862"/>
    <w:uiPriority w:val="99"/>
    <w:qFormat/>
    <w:rPr>
      <w:rFonts w:ascii="宋体" w:hAnsi="宋体" w:cs="宋体"/>
      <w:sz w:val="24"/>
      <w:szCs w:val="20"/>
    </w:rPr>
  </w:style>
  <w:style w:type="paragraph" w:styleId="1517" w:customStyle="1">
    <w:name w:val="默认段落字体 Para Char Char Char Char Char Char Char"/>
    <w:basedOn w:val="862"/>
    <w:uiPriority w:val="99"/>
    <w:qFormat/>
    <w:rPr>
      <w:rFonts w:ascii="Tahoma" w:hAnsi="Tahoma"/>
      <w:sz w:val="24"/>
      <w:szCs w:val="20"/>
    </w:rPr>
  </w:style>
  <w:style w:type="paragraph" w:styleId="1518" w:customStyle="1">
    <w:name w:val="符号与编号"/>
    <w:basedOn w:val="862"/>
    <w:uiPriority w:val="99"/>
    <w:qFormat/>
    <w:pPr>
      <w:ind w:left="900" w:hanging="420"/>
      <w:spacing w:line="400" w:lineRule="atLeast"/>
      <w:tabs>
        <w:tab w:val="left" w:pos="900" w:leader="none"/>
      </w:tabs>
    </w:pPr>
    <w:rPr>
      <w:sz w:val="24"/>
    </w:rPr>
  </w:style>
  <w:style w:type="paragraph" w:styleId="1519" w:customStyle="1">
    <w:name w:val="样式 首行缩进:  2 字符"/>
    <w:basedOn w:val="862"/>
    <w:uiPriority w:val="99"/>
    <w:qFormat/>
    <w:pPr>
      <w:ind w:firstLine="480"/>
      <w:spacing w:line="360" w:lineRule="auto"/>
    </w:pPr>
    <w:rPr>
      <w:rFonts w:cs="宋体"/>
      <w:sz w:val="24"/>
      <w:szCs w:val="20"/>
    </w:rPr>
  </w:style>
  <w:style w:type="paragraph" w:styleId="1520" w:customStyle="1">
    <w:name w:val="标题1"/>
    <w:basedOn w:val="862"/>
    <w:next w:val="862"/>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521" w:customStyle="1">
    <w:name w:val="正文lzq"/>
    <w:basedOn w:val="862"/>
    <w:uiPriority w:val="99"/>
    <w:qFormat/>
    <w:pPr>
      <w:ind w:firstLine="480"/>
      <w:spacing w:line="360" w:lineRule="auto"/>
    </w:pPr>
    <w:rPr>
      <w:sz w:val="24"/>
      <w:szCs w:val="20"/>
    </w:rPr>
  </w:style>
  <w:style w:type="paragraph" w:styleId="1522" w:customStyle="1">
    <w:name w:val="样式 标题 2H2h2sect 1.2Heading 2 HiddenHeading 2 CCBSheading 2..."/>
    <w:basedOn w:val="1208"/>
    <w:uiPriority w:val="99"/>
    <w:qFormat/>
    <w:pPr>
      <w:ind w:left="576" w:hanging="36"/>
      <w:jc w:val="left"/>
      <w:spacing w:line="240" w:lineRule="auto"/>
      <w:tabs>
        <w:tab w:val="left" w:pos="576" w:leader="none"/>
      </w:tabs>
    </w:pPr>
    <w:rPr>
      <w:rFonts w:ascii="宋体" w:hAnsi="宋体" w:eastAsia="宋体"/>
      <w:sz w:val="28"/>
      <w:szCs w:val="20"/>
    </w:rPr>
  </w:style>
  <w:style w:type="paragraph" w:styleId="1523" w:customStyle="1">
    <w:name w:val="表格内文字"/>
    <w:basedOn w:val="862"/>
    <w:uiPriority w:val="99"/>
    <w:qFormat/>
    <w:pPr>
      <w:spacing w:line="300" w:lineRule="atLeast"/>
    </w:pPr>
    <w:rPr>
      <w:sz w:val="18"/>
    </w:rPr>
  </w:style>
  <w:style w:type="paragraph" w:styleId="1524" w:customStyle="1">
    <w:name w:val="xl39"/>
    <w:basedOn w:val="8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5" w:customStyle="1">
    <w:name w:val="content_lineheight"/>
    <w:basedOn w:val="862"/>
    <w:uiPriority w:val="99"/>
    <w:qFormat/>
    <w:pPr>
      <w:jc w:val="left"/>
      <w:spacing w:before="100" w:beforeAutospacing="1" w:after="100" w:afterAutospacing="1"/>
      <w:widowControl/>
    </w:pPr>
    <w:rPr>
      <w:rFonts w:ascii="宋体" w:hAnsi="宋体"/>
      <w:sz w:val="24"/>
    </w:rPr>
  </w:style>
  <w:style w:type="paragraph" w:styleId="1526" w:customStyle="1">
    <w:name w:val="xl24"/>
    <w:basedOn w:val="8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27" w:customStyle="1">
    <w:name w:val="font11"/>
    <w:basedOn w:val="862"/>
    <w:uiPriority w:val="99"/>
    <w:qFormat/>
    <w:pPr>
      <w:jc w:val="left"/>
      <w:spacing w:before="100" w:beforeAutospacing="1" w:after="100" w:afterAutospacing="1"/>
      <w:widowControl/>
    </w:pPr>
    <w:rPr>
      <w:b/>
      <w:bCs/>
      <w:sz w:val="18"/>
      <w:szCs w:val="18"/>
    </w:rPr>
  </w:style>
  <w:style w:type="paragraph" w:styleId="1528" w:customStyle="1">
    <w:name w:val="111111"/>
    <w:basedOn w:val="862"/>
    <w:uiPriority w:val="99"/>
    <w:qFormat/>
    <w:pPr>
      <w:jc w:val="center"/>
      <w:spacing w:before="120" w:after="120"/>
    </w:pPr>
    <w:rPr>
      <w:rFonts w:ascii="宋体" w:hAnsi="宋体" w:eastAsia="黑体" w:cs="宋体"/>
      <w:b/>
      <w:bCs/>
      <w:szCs w:val="21"/>
    </w:rPr>
  </w:style>
  <w:style w:type="paragraph" w:styleId="1529"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530" w:customStyle="1">
    <w:name w:val="样式 标题 2第一章 标题 2Heading 2 HiddenHeading 2 CCBSheading 2H2h2..."/>
    <w:basedOn w:val="1208"/>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531" w:customStyle="1">
    <w:name w:val="我的正文"/>
    <w:basedOn w:val="862"/>
    <w:uiPriority w:val="99"/>
    <w:qFormat/>
    <w:pPr>
      <w:ind w:firstLine="420"/>
      <w:jc w:val="left"/>
      <w:spacing w:line="360" w:lineRule="auto"/>
      <w:widowControl/>
    </w:pPr>
    <w:rPr>
      <w:rFonts w:ascii="宋体" w:hAnsi="宋体" w:cs="宋体"/>
      <w:szCs w:val="21"/>
    </w:rPr>
  </w:style>
  <w:style w:type="paragraph" w:styleId="1532" w:customStyle="1">
    <w:name w:val="项目符号，二级"/>
    <w:basedOn w:val="1334"/>
    <w:next w:val="1334"/>
    <w:uiPriority w:val="99"/>
    <w:qFormat/>
    <w:pPr>
      <w:ind w:left="1337" w:right="-27" w:firstLine="480"/>
      <w:tabs>
        <w:tab w:val="left" w:pos="1211" w:leader="none"/>
        <w:tab w:val="left" w:pos="1337" w:leader="none"/>
      </w:tabs>
    </w:pPr>
    <w:rPr>
      <w:bCs w:val="0"/>
      <w:color w:val="000000"/>
      <w:sz w:val="24"/>
      <w:szCs w:val="24"/>
    </w:rPr>
  </w:style>
  <w:style w:type="paragraph" w:styleId="1533" w:customStyle="1">
    <w:name w:val="小四 段落 宋体 Char Char"/>
    <w:basedOn w:val="862"/>
    <w:uiPriority w:val="99"/>
    <w:qFormat/>
    <w:pPr>
      <w:ind w:firstLine="480"/>
      <w:spacing w:line="360" w:lineRule="auto"/>
    </w:pPr>
    <w:rPr>
      <w:rFonts w:ascii="宋体" w:hAnsi="宋体"/>
      <w:sz w:val="24"/>
    </w:rPr>
  </w:style>
  <w:style w:type="character" w:styleId="1534" w:customStyle="1">
    <w:name w:val="font111"/>
    <w:uiPriority w:val="99"/>
    <w:qFormat/>
    <w:rPr>
      <w:rFonts w:ascii="宋体" w:hAnsi="宋体" w:eastAsia="宋体"/>
      <w:color w:val="000000"/>
      <w:sz w:val="20"/>
      <w:u w:val="none"/>
    </w:rPr>
  </w:style>
  <w:style w:type="character" w:styleId="1535" w:customStyle="1">
    <w:name w:val="Char Char24"/>
    <w:uiPriority w:val="99"/>
    <w:qFormat/>
    <w:rPr>
      <w:b/>
      <w:sz w:val="28"/>
    </w:rPr>
  </w:style>
  <w:style w:type="character" w:styleId="1536" w:customStyle="1">
    <w:name w:val="Char Char23"/>
    <w:uiPriority w:val="99"/>
    <w:qFormat/>
    <w:rPr>
      <w:rFonts w:ascii="Arial" w:hAnsi="Arial" w:eastAsia="黑体"/>
      <w:b/>
      <w:sz w:val="24"/>
    </w:rPr>
  </w:style>
  <w:style w:type="character" w:styleId="1537" w:customStyle="1">
    <w:name w:val="华宇段落1 Char Char Char"/>
    <w:uiPriority w:val="99"/>
    <w:qFormat/>
    <w:rPr>
      <w:rFonts w:eastAsia="宋体"/>
      <w:sz w:val="24"/>
      <w:lang w:val="en-US" w:eastAsia="zh-CN"/>
    </w:rPr>
  </w:style>
  <w:style w:type="character" w:styleId="1538" w:customStyle="1">
    <w:name w:val="样式 首行缩进:  2 字符 Char Char Char"/>
    <w:uiPriority w:val="99"/>
    <w:qFormat/>
    <w:rPr>
      <w:rFonts w:eastAsia="宋体"/>
      <w:sz w:val="24"/>
      <w:lang w:val="en-US" w:eastAsia="zh-CN"/>
    </w:rPr>
  </w:style>
  <w:style w:type="character" w:styleId="1539" w:customStyle="1">
    <w:name w:val="Char Char6"/>
    <w:uiPriority w:val="99"/>
    <w:qFormat/>
    <w:rPr>
      <w:rFonts w:eastAsia="宋体"/>
      <w:sz w:val="24"/>
      <w:lang w:val="en-US" w:eastAsia="zh-CN"/>
    </w:rPr>
  </w:style>
  <w:style w:type="character" w:styleId="1540" w:customStyle="1">
    <w:name w:val="Char Char31"/>
    <w:uiPriority w:val="99"/>
    <w:qFormat/>
    <w:rPr>
      <w:rFonts w:ascii="Arial" w:hAnsi="Arial" w:eastAsia="黑体"/>
      <w:b/>
      <w:sz w:val="28"/>
      <w:lang w:val="en-US" w:eastAsia="zh-CN"/>
    </w:rPr>
  </w:style>
  <w:style w:type="character" w:styleId="1541" w:customStyle="1">
    <w:name w:val="纯文本 Char Char Char1"/>
    <w:uiPriority w:val="99"/>
    <w:qFormat/>
    <w:rPr>
      <w:rFonts w:ascii="宋体" w:hAnsi="Courier New" w:eastAsia="宋体"/>
      <w:sz w:val="21"/>
      <w:lang w:val="en-US" w:eastAsia="zh-CN"/>
    </w:rPr>
  </w:style>
  <w:style w:type="character" w:styleId="1542" w:customStyle="1">
    <w:name w:val="小四 段落 宋体 Char Char Char1"/>
    <w:uiPriority w:val="99"/>
    <w:qFormat/>
    <w:rPr>
      <w:rFonts w:ascii="宋体" w:hAnsi="宋体" w:eastAsia="宋体"/>
      <w:sz w:val="24"/>
      <w:lang w:val="en-US" w:eastAsia="zh-CN"/>
    </w:rPr>
  </w:style>
  <w:style w:type="character" w:styleId="1543" w:customStyle="1">
    <w:name w:val="Char Char7"/>
    <w:uiPriority w:val="99"/>
    <w:qFormat/>
    <w:rPr>
      <w:rFonts w:eastAsia="宋体"/>
      <w:b/>
      <w:sz w:val="24"/>
      <w:lang w:val="en-US" w:eastAsia="zh-CN"/>
    </w:rPr>
  </w:style>
  <w:style w:type="character" w:styleId="1544" w:customStyle="1">
    <w:name w:val="concon"/>
    <w:uiPriority w:val="99"/>
    <w:qFormat/>
  </w:style>
  <w:style w:type="character" w:styleId="1545" w:customStyle="1">
    <w:name w:val="标题 3 Char1"/>
    <w:uiPriority w:val="99"/>
    <w:qFormat/>
    <w:rPr>
      <w:rFonts w:eastAsia="宋体"/>
      <w:b/>
      <w:sz w:val="32"/>
      <w:lang w:val="en-US" w:eastAsia="zh-CN"/>
    </w:rPr>
  </w:style>
  <w:style w:type="character" w:styleId="1546" w:customStyle="1">
    <w:name w:val="Char Char33"/>
    <w:uiPriority w:val="99"/>
    <w:qFormat/>
    <w:rPr>
      <w:rFonts w:ascii="Arial" w:hAnsi="Arial" w:eastAsia="黑体"/>
      <w:b/>
      <w:sz w:val="32"/>
      <w:lang w:val="en-US" w:eastAsia="zh-CN"/>
    </w:rPr>
  </w:style>
  <w:style w:type="character" w:styleId="1547" w:customStyle="1">
    <w:name w:val="小四 段落 宋体 Char Char Char Char Char Char Char"/>
    <w:uiPriority w:val="99"/>
    <w:qFormat/>
    <w:rPr>
      <w:rFonts w:eastAsia="宋体"/>
      <w:sz w:val="24"/>
      <w:lang w:val="en-US" w:eastAsia="zh-CN"/>
    </w:rPr>
  </w:style>
  <w:style w:type="character" w:styleId="1548" w:customStyle="1">
    <w:name w:val="Char Char17"/>
    <w:uiPriority w:val="99"/>
    <w:qFormat/>
    <w:rPr>
      <w:rFonts w:ascii="宋体" w:hAnsi="Courier New"/>
      <w:sz w:val="21"/>
    </w:rPr>
  </w:style>
  <w:style w:type="character" w:styleId="1549" w:customStyle="1">
    <w:name w:val="Char Char32"/>
    <w:uiPriority w:val="99"/>
    <w:qFormat/>
    <w:rPr>
      <w:rFonts w:eastAsia="宋体"/>
      <w:b/>
      <w:sz w:val="32"/>
      <w:lang w:val="en-US" w:eastAsia="zh-CN"/>
    </w:rPr>
  </w:style>
  <w:style w:type="character" w:styleId="1550" w:customStyle="1">
    <w:name w:val="小四 段落 宋体 Char Char Char Char1"/>
    <w:uiPriority w:val="99"/>
    <w:qFormat/>
    <w:rPr>
      <w:rFonts w:eastAsia="宋体"/>
      <w:sz w:val="24"/>
      <w:lang w:val="en-US" w:eastAsia="zh-CN"/>
    </w:rPr>
  </w:style>
  <w:style w:type="character" w:styleId="1551" w:customStyle="1">
    <w:name w:val="标准小四 Char"/>
    <w:uiPriority w:val="99"/>
    <w:qFormat/>
    <w:rPr>
      <w:rFonts w:ascii="Arial" w:hAnsi="Arial" w:eastAsia="宋体"/>
      <w:sz w:val="21"/>
      <w:lang w:val="en-US" w:eastAsia="zh-CN"/>
    </w:rPr>
  </w:style>
  <w:style w:type="character" w:styleId="1552" w:customStyle="1">
    <w:name w:val="标题 3 Char Char"/>
    <w:uiPriority w:val="99"/>
    <w:qFormat/>
    <w:rPr>
      <w:rFonts w:eastAsia="仿宋_GB2312"/>
      <w:b/>
      <w:sz w:val="32"/>
      <w:lang w:val="en-US" w:eastAsia="zh-CN"/>
    </w:rPr>
  </w:style>
  <w:style w:type="character" w:styleId="1553" w:customStyle="1">
    <w:name w:val="已访问的超链接1"/>
    <w:uiPriority w:val="99"/>
    <w:qFormat/>
    <w:rPr>
      <w:color w:val="000000"/>
      <w:u w:val="none"/>
    </w:rPr>
  </w:style>
  <w:style w:type="character" w:styleId="1554" w:customStyle="1">
    <w:name w:val="正文缩进 Char1"/>
    <w:uiPriority w:val="99"/>
    <w:qFormat/>
    <w:rPr>
      <w:rFonts w:eastAsia="宋体"/>
    </w:rPr>
  </w:style>
  <w:style w:type="character" w:styleId="1555" w:customStyle="1">
    <w:name w:val="Char Char27"/>
    <w:uiPriority w:val="99"/>
    <w:qFormat/>
    <w:rPr>
      <w:b/>
      <w:sz w:val="44"/>
    </w:rPr>
  </w:style>
  <w:style w:type="character" w:styleId="1556" w:customStyle="1">
    <w:name w:val="font21"/>
    <w:uiPriority w:val="99"/>
    <w:qFormat/>
    <w:rPr>
      <w:rFonts w:ascii="宋体" w:hAnsi="宋体" w:eastAsia="宋体"/>
      <w:color w:val="000000"/>
      <w:sz w:val="20"/>
      <w:u w:val="none"/>
    </w:rPr>
  </w:style>
  <w:style w:type="character" w:styleId="1557" w:customStyle="1">
    <w:name w:val="Char Char22"/>
    <w:uiPriority w:val="99"/>
    <w:qFormat/>
    <w:rPr>
      <w:b/>
      <w:sz w:val="24"/>
    </w:rPr>
  </w:style>
  <w:style w:type="character" w:styleId="1558" w:customStyle="1">
    <w:name w:val="样式 宋体 小四"/>
    <w:uiPriority w:val="99"/>
    <w:qFormat/>
    <w:rPr>
      <w:rFonts w:ascii="宋体" w:eastAsia="宋体"/>
      <w:sz w:val="24"/>
    </w:rPr>
  </w:style>
  <w:style w:type="character" w:styleId="1559" w:customStyle="1">
    <w:name w:val="纯文本 Char Char Char"/>
    <w:uiPriority w:val="99"/>
    <w:qFormat/>
    <w:rPr>
      <w:rFonts w:ascii="宋体" w:hAnsi="Courier New" w:eastAsia="宋体"/>
      <w:sz w:val="21"/>
      <w:lang w:val="en-US" w:eastAsia="zh-CN"/>
    </w:rPr>
  </w:style>
  <w:style w:type="character" w:styleId="1560" w:customStyle="1">
    <w:name w:val="content_lineheight1"/>
    <w:uiPriority w:val="99"/>
    <w:qFormat/>
  </w:style>
  <w:style w:type="character" w:styleId="1561" w:customStyle="1">
    <w:name w:val="ih151"/>
    <w:uiPriority w:val="99"/>
    <w:qFormat/>
    <w:rPr>
      <w:color w:val="666666"/>
      <w:sz w:val="18"/>
      <w:u w:val="none"/>
    </w:rPr>
  </w:style>
  <w:style w:type="character" w:styleId="1562" w:customStyle="1">
    <w:name w:val="样式 首行缩进:  2 字符 Char Char"/>
    <w:uiPriority w:val="99"/>
    <w:qFormat/>
    <w:rPr>
      <w:rFonts w:eastAsia="宋体"/>
      <w:sz w:val="24"/>
      <w:lang w:val="en-US" w:eastAsia="zh-CN"/>
    </w:rPr>
  </w:style>
  <w:style w:type="character" w:styleId="1563" w:customStyle="1">
    <w:name w:val="subtitle1"/>
    <w:uiPriority w:val="99"/>
    <w:qFormat/>
    <w:rPr>
      <w:rFonts w:ascii="Georgia" w:hAnsi="Georgia"/>
      <w:b/>
      <w:color w:val="666666"/>
      <w:sz w:val="18"/>
    </w:rPr>
  </w:style>
  <w:style w:type="character" w:styleId="1564" w:customStyle="1">
    <w:name w:val="Char Char30"/>
    <w:uiPriority w:val="99"/>
    <w:qFormat/>
    <w:rPr>
      <w:rFonts w:eastAsia="宋体"/>
      <w:b/>
      <w:sz w:val="28"/>
      <w:lang w:val="en-US" w:eastAsia="zh-CN"/>
    </w:rPr>
  </w:style>
  <w:style w:type="character" w:styleId="1565" w:customStyle="1">
    <w:name w:val="Char Char15"/>
    <w:uiPriority w:val="99"/>
    <w:qFormat/>
    <w:rPr>
      <w:rFonts w:ascii="Arial" w:hAnsi="Arial" w:eastAsia="黑体"/>
      <w:sz w:val="21"/>
      <w:lang w:val="en-US" w:eastAsia="zh-CN"/>
    </w:rPr>
  </w:style>
  <w:style w:type="character" w:styleId="1566" w:customStyle="1">
    <w:name w:val="style131"/>
    <w:uiPriority w:val="99"/>
    <w:qFormat/>
    <w:rPr>
      <w:sz w:val="18"/>
    </w:rPr>
  </w:style>
  <w:style w:type="character" w:styleId="1567" w:customStyle="1">
    <w:name w:val="Char Char11"/>
    <w:uiPriority w:val="99"/>
    <w:qFormat/>
    <w:rPr>
      <w:rFonts w:ascii="宋体" w:hAnsi="宋体" w:eastAsia="宋体"/>
      <w:sz w:val="24"/>
      <w:lang w:val="en-US" w:eastAsia="zh-CN"/>
    </w:rPr>
  </w:style>
  <w:style w:type="character" w:styleId="1568" w:customStyle="1">
    <w:name w:val="Char Char28"/>
    <w:uiPriority w:val="99"/>
    <w:qFormat/>
    <w:rPr>
      <w:rFonts w:ascii="Arial" w:hAnsi="Arial" w:eastAsia="黑体"/>
      <w:b/>
      <w:sz w:val="32"/>
    </w:rPr>
  </w:style>
  <w:style w:type="character" w:styleId="1569" w:customStyle="1">
    <w:name w:val="方案文档 Char Char"/>
    <w:uiPriority w:val="99"/>
    <w:qFormat/>
    <w:rPr>
      <w:rFonts w:ascii="宋体" w:hAnsi="宋体" w:eastAsia="宋体"/>
      <w:sz w:val="24"/>
      <w:lang w:val="zh-CN" w:eastAsia="zh-CN"/>
    </w:rPr>
  </w:style>
  <w:style w:type="character" w:styleId="1570" w:customStyle="1">
    <w:name w:val="标准文本 Char Char Char"/>
    <w:uiPriority w:val="99"/>
    <w:qFormat/>
    <w:rPr>
      <w:rFonts w:eastAsia="宋体"/>
      <w:sz w:val="24"/>
      <w:lang w:val="en-US" w:eastAsia="zh-CN"/>
    </w:rPr>
  </w:style>
  <w:style w:type="character" w:styleId="1571" w:customStyle="1">
    <w:name w:val="t1"/>
    <w:uiPriority w:val="99"/>
    <w:qFormat/>
  </w:style>
  <w:style w:type="character" w:styleId="1572" w:customStyle="1">
    <w:name w:val="Char Char21"/>
    <w:uiPriority w:val="99"/>
    <w:qFormat/>
    <w:rPr>
      <w:rFonts w:ascii="Arial" w:hAnsi="Arial" w:eastAsia="黑体"/>
      <w:sz w:val="24"/>
    </w:rPr>
  </w:style>
  <w:style w:type="character" w:styleId="1573" w:customStyle="1">
    <w:name w:val="normalfont1"/>
    <w:uiPriority w:val="99"/>
    <w:qFormat/>
    <w:rPr>
      <w:rFonts w:ascii="??" w:hAnsi="??"/>
      <w:sz w:val="18"/>
      <w:u w:val="none"/>
    </w:rPr>
  </w:style>
  <w:style w:type="character" w:styleId="1574" w:customStyle="1">
    <w:name w:val="小四 段落 宋体 Char Char Char Char Char"/>
    <w:uiPriority w:val="99"/>
    <w:qFormat/>
    <w:rPr>
      <w:rFonts w:eastAsia="宋体"/>
      <w:sz w:val="24"/>
      <w:lang w:val="en-US" w:eastAsia="zh-CN"/>
    </w:rPr>
  </w:style>
  <w:style w:type="character" w:styleId="1575" w:customStyle="1">
    <w:name w:val="h Char Char"/>
    <w:uiPriority w:val="99"/>
    <w:qFormat/>
    <w:rPr>
      <w:rFonts w:eastAsia="宋体"/>
      <w:sz w:val="18"/>
      <w:lang w:val="en-US" w:eastAsia="zh-CN"/>
    </w:rPr>
  </w:style>
  <w:style w:type="character" w:styleId="1576" w:customStyle="1">
    <w:name w:val="不明显参考1"/>
    <w:uiPriority w:val="99"/>
    <w:qFormat/>
    <w:rPr>
      <w:smallCaps/>
    </w:rPr>
  </w:style>
  <w:style w:type="character" w:styleId="1577" w:customStyle="1">
    <w:name w:val="apple-converted-space"/>
    <w:uiPriority w:val="99"/>
    <w:qFormat/>
  </w:style>
  <w:style w:type="character" w:styleId="1578" w:customStyle="1">
    <w:name w:val="Char Char20"/>
    <w:uiPriority w:val="99"/>
    <w:qFormat/>
    <w:rPr>
      <w:rFonts w:ascii="Arial" w:hAnsi="Arial" w:eastAsia="黑体"/>
      <w:sz w:val="21"/>
    </w:rPr>
  </w:style>
  <w:style w:type="character" w:styleId="1579" w:customStyle="1">
    <w:name w:val="纯文本 Char1"/>
    <w:uiPriority w:val="99"/>
    <w:qFormat/>
    <w:rPr>
      <w:rFonts w:ascii="宋体" w:hAnsi="Courier New"/>
      <w:sz w:val="21"/>
    </w:rPr>
  </w:style>
  <w:style w:type="character" w:styleId="1580" w:customStyle="1">
    <w:name w:val="无间隔 Char"/>
    <w:uiPriority w:val="99"/>
    <w:qFormat/>
    <w:rPr>
      <w:rFonts w:ascii="Calibri" w:hAnsi="Calibri" w:eastAsia="微软雅黑"/>
      <w:sz w:val="22"/>
      <w:lang w:val="en-US" w:eastAsia="zh-CN"/>
    </w:rPr>
  </w:style>
  <w:style w:type="character" w:styleId="1581" w:customStyle="1">
    <w:name w:val="Char Char2"/>
    <w:uiPriority w:val="99"/>
    <w:qFormat/>
    <w:rPr>
      <w:rFonts w:ascii="宋体" w:hAnsi="Courier New" w:eastAsia="宋体"/>
      <w:sz w:val="21"/>
      <w:lang w:val="en-US" w:eastAsia="zh-CN"/>
    </w:rPr>
  </w:style>
  <w:style w:type="character" w:styleId="1582" w:customStyle="1">
    <w:name w:val="Char Char34"/>
    <w:uiPriority w:val="99"/>
    <w:qFormat/>
    <w:rPr>
      <w:rFonts w:eastAsia="宋体"/>
      <w:b/>
      <w:sz w:val="44"/>
      <w:lang w:val="en-US" w:eastAsia="zh-CN"/>
    </w:rPr>
  </w:style>
  <w:style w:type="character" w:styleId="1583" w:customStyle="1">
    <w:name w:val="font61"/>
    <w:uiPriority w:val="99"/>
    <w:qFormat/>
    <w:rPr>
      <w:rFonts w:ascii="宋体" w:hAnsi="宋体" w:eastAsia="宋体"/>
      <w:color w:val="ff0000"/>
      <w:sz w:val="20"/>
      <w:u w:val="none"/>
    </w:rPr>
  </w:style>
  <w:style w:type="character" w:styleId="1584" w:customStyle="1">
    <w:name w:val="Char Char9"/>
    <w:uiPriority w:val="99"/>
    <w:qFormat/>
    <w:rPr>
      <w:rFonts w:eastAsia="宋体"/>
      <w:sz w:val="21"/>
      <w:lang w:val="en-US" w:eastAsia="zh-CN"/>
    </w:rPr>
  </w:style>
  <w:style w:type="character" w:styleId="1585" w:customStyle="1">
    <w:name w:val="纯文本 Char Char"/>
    <w:uiPriority w:val="99"/>
    <w:qFormat/>
    <w:rPr>
      <w:rFonts w:ascii="宋体" w:hAnsi="Courier New" w:eastAsia="宋体"/>
      <w:sz w:val="21"/>
      <w:lang w:val="en-US" w:eastAsia="zh-CN"/>
    </w:rPr>
  </w:style>
  <w:style w:type="character" w:styleId="1586" w:customStyle="1">
    <w:name w:val="content"/>
    <w:uiPriority w:val="99"/>
    <w:qFormat/>
  </w:style>
  <w:style w:type="character" w:styleId="1587" w:customStyle="1">
    <w:name w:val="标准小四 Char Char Char"/>
    <w:uiPriority w:val="99"/>
    <w:qFormat/>
    <w:rPr>
      <w:rFonts w:ascii="Arial" w:hAnsi="Arial" w:eastAsia="宋体"/>
      <w:sz w:val="21"/>
      <w:lang w:val="en-US" w:eastAsia="zh-CN"/>
    </w:rPr>
  </w:style>
  <w:style w:type="character" w:styleId="1588" w:customStyle="1">
    <w:name w:val="3zw"/>
    <w:uiPriority w:val="99"/>
    <w:qFormat/>
  </w:style>
  <w:style w:type="character" w:styleId="1589" w:customStyle="1">
    <w:name w:val="样式 首行缩进:  2 字符 Char"/>
    <w:uiPriority w:val="99"/>
    <w:qFormat/>
    <w:rPr>
      <w:rFonts w:eastAsia="宋体"/>
      <w:sz w:val="24"/>
      <w:lang w:val="en-US" w:eastAsia="zh-CN"/>
    </w:rPr>
  </w:style>
  <w:style w:type="character" w:styleId="1590" w:customStyle="1">
    <w:name w:val="medium_text1"/>
    <w:uiPriority w:val="99"/>
    <w:qFormat/>
    <w:rPr>
      <w:sz w:val="24"/>
    </w:rPr>
  </w:style>
  <w:style w:type="character" w:styleId="1591" w:customStyle="1">
    <w:name w:val="Char Char16"/>
    <w:uiPriority w:val="99"/>
    <w:qFormat/>
    <w:rPr>
      <w:rFonts w:ascii="Arial" w:hAnsi="Arial" w:eastAsia="黑体"/>
      <w:sz w:val="24"/>
      <w:lang w:val="en-US" w:eastAsia="zh-CN"/>
    </w:rPr>
  </w:style>
  <w:style w:type="character" w:styleId="1592" w:customStyle="1">
    <w:name w:val="font91"/>
    <w:uiPriority w:val="99"/>
    <w:qFormat/>
    <w:rPr>
      <w:rFonts w:ascii="宋体" w:hAnsi="宋体" w:eastAsia="宋体"/>
      <w:color w:val="000000"/>
      <w:sz w:val="20"/>
      <w:u w:val="none"/>
    </w:rPr>
  </w:style>
  <w:style w:type="character" w:styleId="1593" w:customStyle="1">
    <w:name w:val="Char Char3"/>
    <w:uiPriority w:val="99"/>
    <w:qFormat/>
    <w:rPr>
      <w:rFonts w:eastAsia="宋体"/>
      <w:sz w:val="18"/>
      <w:lang w:val="en-US" w:eastAsia="zh-CN"/>
    </w:rPr>
  </w:style>
  <w:style w:type="character" w:styleId="1594" w:customStyle="1">
    <w:name w:val="标题 Char1"/>
    <w:uiPriority w:val="99"/>
    <w:qFormat/>
    <w:rPr>
      <w:rFonts w:ascii="Cambria" w:eastAsia="宋体"/>
      <w:b/>
      <w:sz w:val="32"/>
    </w:rPr>
  </w:style>
  <w:style w:type="character" w:styleId="1595" w:customStyle="1">
    <w:name w:val="标准小四 Char Char"/>
    <w:uiPriority w:val="99"/>
    <w:qFormat/>
    <w:rPr>
      <w:rFonts w:ascii="Arial" w:hAnsi="Arial" w:eastAsia="宋体"/>
      <w:sz w:val="21"/>
      <w:lang w:val="en-US" w:eastAsia="zh-CN"/>
    </w:rPr>
  </w:style>
  <w:style w:type="character" w:styleId="1596" w:customStyle="1">
    <w:name w:val="普通文字 Char Char3"/>
    <w:uiPriority w:val="99"/>
    <w:qFormat/>
    <w:rPr>
      <w:rFonts w:ascii="宋体" w:hAnsi="Courier New" w:eastAsia="宋体"/>
      <w:sz w:val="21"/>
      <w:lang w:val="en-US" w:eastAsia="zh-CN"/>
    </w:rPr>
  </w:style>
  <w:style w:type="character" w:styleId="1597" w:customStyle="1">
    <w:name w:val="case31"/>
    <w:uiPriority w:val="99"/>
    <w:qFormat/>
    <w:rPr>
      <w:sz w:val="21"/>
    </w:rPr>
  </w:style>
  <w:style w:type="character" w:styleId="1598" w:customStyle="1">
    <w:name w:val="明显参考1"/>
    <w:uiPriority w:val="99"/>
    <w:qFormat/>
    <w:rPr>
      <w:smallCaps/>
      <w:spacing w:val="5"/>
      <w:u w:val="single"/>
    </w:rPr>
  </w:style>
  <w:style w:type="character" w:styleId="1599" w:customStyle="1">
    <w:name w:val="textcontents"/>
    <w:uiPriority w:val="99"/>
    <w:qFormat/>
  </w:style>
  <w:style w:type="character" w:styleId="1600" w:customStyle="1">
    <w:name w:val="普通文字1 Char"/>
    <w:uiPriority w:val="99"/>
    <w:qFormat/>
    <w:rPr>
      <w:rFonts w:ascii="宋体" w:eastAsia="宋体"/>
      <w:sz w:val="21"/>
      <w:lang w:val="en-US" w:eastAsia="zh-CN"/>
    </w:rPr>
  </w:style>
  <w:style w:type="character" w:styleId="1601" w:customStyle="1">
    <w:name w:val="Char Char29"/>
    <w:uiPriority w:val="99"/>
    <w:qFormat/>
    <w:rPr>
      <w:rFonts w:ascii="Times New Roman" w:hAnsi="Times New Roman" w:eastAsia="宋体"/>
      <w:b/>
      <w:sz w:val="44"/>
    </w:rPr>
  </w:style>
  <w:style w:type="character" w:styleId="1602" w:customStyle="1">
    <w:name w:val="title_emph1"/>
    <w:uiPriority w:val="99"/>
    <w:qFormat/>
    <w:rPr>
      <w:rFonts w:ascii="Arial"/>
      <w:b/>
      <w:sz w:val="18"/>
    </w:rPr>
  </w:style>
  <w:style w:type="character" w:styleId="1603" w:customStyle="1">
    <w:name w:val="111111 Char Char"/>
    <w:uiPriority w:val="99"/>
    <w:qFormat/>
    <w:rPr>
      <w:rFonts w:ascii="宋体" w:hAnsi="宋体" w:eastAsia="黑体"/>
      <w:b/>
      <w:sz w:val="21"/>
      <w:lang w:val="en-US" w:eastAsia="zh-CN"/>
    </w:rPr>
  </w:style>
  <w:style w:type="character" w:styleId="1604" w:customStyle="1">
    <w:name w:val="书籍标题1"/>
    <w:uiPriority w:val="99"/>
    <w:qFormat/>
    <w:rPr>
      <w:i/>
      <w:smallCaps/>
      <w:spacing w:val="5"/>
    </w:rPr>
  </w:style>
  <w:style w:type="character" w:styleId="1605" w:customStyle="1">
    <w:name w:val="Char Char13"/>
    <w:uiPriority w:val="99"/>
    <w:qFormat/>
    <w:rPr>
      <w:rFonts w:ascii="宋体" w:hAnsi="宋体" w:eastAsia="宋体"/>
      <w:sz w:val="24"/>
      <w:lang w:val="en-US" w:eastAsia="zh-CN"/>
    </w:rPr>
  </w:style>
  <w:style w:type="character" w:styleId="1606" w:customStyle="1">
    <w:name w:val="Char Char8"/>
    <w:uiPriority w:val="99"/>
    <w:qFormat/>
    <w:rPr>
      <w:rFonts w:eastAsia="宋体"/>
      <w:sz w:val="18"/>
      <w:lang w:val="en-US" w:eastAsia="zh-CN"/>
    </w:rPr>
  </w:style>
  <w:style w:type="character" w:styleId="1607" w:customStyle="1">
    <w:name w:val="引用 Char"/>
    <w:uiPriority w:val="99"/>
    <w:qFormat/>
    <w:rPr>
      <w:rFonts w:ascii="Calibri" w:hAnsi="Calibri" w:eastAsia="宋体"/>
      <w:i/>
      <w:sz w:val="22"/>
      <w:lang w:val="en-US" w:eastAsia="en-US"/>
    </w:rPr>
  </w:style>
  <w:style w:type="character" w:styleId="1608" w:customStyle="1">
    <w:name w:val="A2"/>
    <w:uiPriority w:val="99"/>
    <w:qFormat/>
    <w:rPr>
      <w:color w:val="000000"/>
      <w:sz w:val="18"/>
    </w:rPr>
  </w:style>
  <w:style w:type="character" w:styleId="1609" w:customStyle="1">
    <w:name w:val="Char Char5"/>
    <w:uiPriority w:val="99"/>
    <w:qFormat/>
    <w:rPr>
      <w:rFonts w:eastAsia="宋体"/>
      <w:sz w:val="24"/>
      <w:lang w:val="en-US" w:eastAsia="zh-CN"/>
    </w:rPr>
  </w:style>
  <w:style w:type="character" w:styleId="1610" w:customStyle="1">
    <w:name w:val="不明显强调1"/>
    <w:uiPriority w:val="99"/>
    <w:qFormat/>
    <w:rPr>
      <w:i/>
    </w:rPr>
  </w:style>
  <w:style w:type="character" w:styleId="1611" w:customStyle="1">
    <w:name w:val="标准文本 Char Char"/>
    <w:uiPriority w:val="99"/>
    <w:qFormat/>
    <w:rPr>
      <w:rFonts w:eastAsia="宋体"/>
      <w:sz w:val="24"/>
      <w:lang w:val="en-US" w:eastAsia="zh-CN"/>
    </w:rPr>
  </w:style>
  <w:style w:type="character" w:styleId="1612" w:customStyle="1">
    <w:name w:val="明显引用 Char"/>
    <w:uiPriority w:val="99"/>
    <w:qFormat/>
    <w:rPr>
      <w:rFonts w:ascii="Calibri" w:hAnsi="Calibri" w:eastAsia="宋体"/>
      <w:b/>
      <w:i/>
      <w:sz w:val="22"/>
      <w:lang w:val="en-US" w:eastAsia="en-US"/>
    </w:rPr>
  </w:style>
  <w:style w:type="character" w:styleId="1613" w:customStyle="1">
    <w:name w:val="Char Char14"/>
    <w:uiPriority w:val="99"/>
    <w:qFormat/>
    <w:rPr>
      <w:rFonts w:eastAsia="黑体"/>
      <w:b/>
      <w:sz w:val="28"/>
      <w:lang w:val="en-GB" w:eastAsia="zh-CN"/>
    </w:rPr>
  </w:style>
  <w:style w:type="character" w:styleId="1614" w:customStyle="1">
    <w:name w:val="Char Char25"/>
    <w:uiPriority w:val="99"/>
    <w:qFormat/>
    <w:rPr>
      <w:rFonts w:ascii="Arial" w:hAnsi="Arial" w:eastAsia="黑体"/>
      <w:b/>
      <w:sz w:val="28"/>
    </w:rPr>
  </w:style>
  <w:style w:type="character" w:styleId="1615" w:customStyle="1">
    <w:name w:val="小四 段落 宋体 Char Char Char Char Char Char Char Char"/>
    <w:uiPriority w:val="99"/>
    <w:qFormat/>
    <w:rPr>
      <w:rFonts w:eastAsia="宋体"/>
      <w:sz w:val="24"/>
      <w:lang w:val="en-US" w:eastAsia="zh-CN"/>
    </w:rPr>
  </w:style>
  <w:style w:type="character" w:styleId="1616" w:customStyle="1">
    <w:name w:val="华宇段落1 Char Char Char Char"/>
    <w:uiPriority w:val="99"/>
    <w:qFormat/>
    <w:rPr>
      <w:rFonts w:eastAsia="宋体"/>
      <w:sz w:val="24"/>
      <w:lang w:val="en-US" w:eastAsia="zh-CN"/>
    </w:rPr>
  </w:style>
  <w:style w:type="character" w:styleId="1617" w:customStyle="1">
    <w:name w:val="小四 段落 宋体 Char Char Char Char Char Char"/>
    <w:uiPriority w:val="99"/>
    <w:qFormat/>
    <w:rPr>
      <w:rFonts w:eastAsia="宋体"/>
      <w:sz w:val="24"/>
      <w:lang w:val="en-US" w:eastAsia="zh-CN"/>
    </w:rPr>
  </w:style>
  <w:style w:type="character" w:styleId="161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619" w:customStyle="1">
    <w:name w:val="2nd level Char"/>
    <w:uiPriority w:val="99"/>
    <w:qFormat/>
    <w:rPr>
      <w:rFonts w:ascii="Arial" w:hAnsi="Arial" w:eastAsia="黑体"/>
      <w:b/>
      <w:sz w:val="32"/>
      <w:lang w:val="en-US" w:eastAsia="zh-CN"/>
    </w:rPr>
  </w:style>
  <w:style w:type="character" w:styleId="1620" w:customStyle="1">
    <w:name w:val="华宇段落1 Char Char"/>
    <w:uiPriority w:val="99"/>
    <w:qFormat/>
    <w:rPr>
      <w:rFonts w:eastAsia="宋体"/>
      <w:sz w:val="24"/>
      <w:lang w:val="en-US" w:eastAsia="zh-CN"/>
    </w:rPr>
  </w:style>
  <w:style w:type="character" w:styleId="1621" w:customStyle="1">
    <w:name w:val="Char Char12"/>
    <w:uiPriority w:val="99"/>
    <w:qFormat/>
    <w:rPr>
      <w:rFonts w:ascii="Arial" w:hAnsi="Arial" w:eastAsia="黑体"/>
      <w:sz w:val="21"/>
      <w:lang w:val="en-US" w:eastAsia="zh-CN"/>
    </w:rPr>
  </w:style>
  <w:style w:type="character" w:styleId="1622" w:customStyle="1">
    <w:name w:val="Title1 Char"/>
    <w:uiPriority w:val="99"/>
    <w:qFormat/>
    <w:rPr>
      <w:rFonts w:eastAsia="宋体"/>
      <w:b/>
      <w:sz w:val="44"/>
      <w:lang w:val="en-US" w:eastAsia="zh-CN"/>
    </w:rPr>
  </w:style>
  <w:style w:type="character" w:styleId="1623" w:customStyle="1">
    <w:name w:val="Char Char19"/>
    <w:uiPriority w:val="99"/>
    <w:qFormat/>
    <w:rPr>
      <w:rFonts w:ascii="Arial" w:hAnsi="Arial" w:eastAsia="黑体"/>
      <w:b/>
      <w:sz w:val="24"/>
      <w:lang w:val="en-US" w:eastAsia="zh-CN"/>
    </w:rPr>
  </w:style>
  <w:style w:type="character" w:styleId="1624" w:customStyle="1">
    <w:name w:val="样式 非加粗"/>
    <w:uiPriority w:val="99"/>
    <w:qFormat/>
    <w:rPr>
      <w:rFonts w:eastAsia="宋体"/>
      <w:sz w:val="28"/>
    </w:rPr>
  </w:style>
  <w:style w:type="character" w:styleId="1625" w:customStyle="1">
    <w:name w:val="正文 + 宋体 Char"/>
    <w:uiPriority w:val="99"/>
    <w:qFormat/>
    <w:rPr>
      <w:rFonts w:eastAsia="宋体"/>
      <w:sz w:val="24"/>
      <w:lang w:val="en-US" w:eastAsia="zh-CN"/>
    </w:rPr>
  </w:style>
  <w:style w:type="character" w:styleId="1626" w:customStyle="1">
    <w:name w:val="Char Char4"/>
    <w:uiPriority w:val="99"/>
    <w:qFormat/>
    <w:rPr>
      <w:rFonts w:ascii="方正大黑简体" w:eastAsia="方正大黑简体"/>
      <w:position w:val="6"/>
      <w:sz w:val="30"/>
      <w:lang w:val="en-US" w:eastAsia="zh-CN"/>
    </w:rPr>
  </w:style>
  <w:style w:type="character" w:styleId="1627" w:customStyle="1">
    <w:name w:val="Char Char26"/>
    <w:uiPriority w:val="99"/>
    <w:qFormat/>
    <w:rPr>
      <w:b/>
      <w:sz w:val="32"/>
    </w:rPr>
  </w:style>
  <w:style w:type="character" w:styleId="1628" w:customStyle="1">
    <w:name w:val="小四 段落 宋体 Char1"/>
    <w:uiPriority w:val="99"/>
    <w:qFormat/>
    <w:rPr>
      <w:rFonts w:eastAsia="宋体"/>
      <w:sz w:val="24"/>
      <w:lang w:val="en-US" w:eastAsia="zh-CN"/>
    </w:rPr>
  </w:style>
  <w:style w:type="character" w:styleId="1629" w:customStyle="1">
    <w:name w:val="apple-style-span"/>
    <w:uiPriority w:val="99"/>
    <w:qFormat/>
  </w:style>
  <w:style w:type="character" w:styleId="1630" w:customStyle="1">
    <w:name w:val="Char Char18"/>
    <w:uiPriority w:val="99"/>
    <w:qFormat/>
    <w:rPr>
      <w:rFonts w:eastAsia="宋体"/>
      <w:b/>
      <w:sz w:val="24"/>
      <w:lang w:val="en-US" w:eastAsia="zh-CN"/>
    </w:rPr>
  </w:style>
  <w:style w:type="character" w:styleId="1631" w:customStyle="1">
    <w:name w:val="标准文本 Char"/>
    <w:uiPriority w:val="99"/>
    <w:qFormat/>
    <w:rPr>
      <w:rFonts w:eastAsia="宋体"/>
      <w:sz w:val="24"/>
      <w:lang w:val="en-US" w:eastAsia="zh-CN"/>
    </w:rPr>
  </w:style>
  <w:style w:type="character" w:styleId="1632" w:customStyle="1">
    <w:name w:val="font5 Char Char"/>
    <w:uiPriority w:val="99"/>
    <w:qFormat/>
    <w:rPr>
      <w:rFonts w:ascii="宋体" w:hAnsi="宋体" w:eastAsia="宋体"/>
      <w:sz w:val="28"/>
      <w:lang w:val="en-US" w:eastAsia="zh-CN"/>
    </w:rPr>
  </w:style>
  <w:style w:type="character" w:styleId="1633" w:customStyle="1">
    <w:name w:val="Char Char10"/>
    <w:uiPriority w:val="99"/>
    <w:qFormat/>
    <w:rPr>
      <w:rFonts w:eastAsia="宋体"/>
      <w:b/>
      <w:sz w:val="24"/>
      <w:lang w:val="en-US" w:eastAsia="zh-CN"/>
    </w:rPr>
  </w:style>
  <w:style w:type="character" w:styleId="1634" w:customStyle="1">
    <w:name w:val="特点 Char1"/>
    <w:uiPriority w:val="99"/>
    <w:qFormat/>
    <w:rPr>
      <w:rFonts w:eastAsia="宋体"/>
      <w:sz w:val="21"/>
      <w:lang w:val="en-US" w:eastAsia="zh-CN"/>
    </w:rPr>
  </w:style>
  <w:style w:type="character" w:styleId="1635" w:customStyle="1">
    <w:name w:val="明显强调1"/>
    <w:uiPriority w:val="99"/>
    <w:qFormat/>
    <w:rPr>
      <w:b/>
    </w:rPr>
  </w:style>
  <w:style w:type="character" w:styleId="1636" w:customStyle="1">
    <w:name w:val="listbenefit"/>
    <w:uiPriority w:val="99"/>
    <w:qFormat/>
  </w:style>
  <w:style w:type="paragraph" w:styleId="1637" w:customStyle="1">
    <w:name w:val="xl65"/>
    <w:basedOn w:val="8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8" w:customStyle="1">
    <w:name w:val="xl66"/>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39" w:customStyle="1">
    <w:name w:val="xl67"/>
    <w:basedOn w:val="862"/>
    <w:uiPriority w:val="0"/>
    <w:qFormat/>
    <w:pPr>
      <w:jc w:val="left"/>
      <w:spacing w:before="100" w:beforeAutospacing="1" w:after="100" w:afterAutospacing="1"/>
      <w:widowControl/>
    </w:pPr>
    <w:rPr>
      <w:rFonts w:ascii="宋体" w:hAnsi="宋体" w:cs="宋体"/>
      <w:b/>
      <w:bCs/>
      <w:sz w:val="24"/>
    </w:rPr>
  </w:style>
  <w:style w:type="paragraph" w:styleId="1640" w:customStyle="1">
    <w:name w:val="xl68"/>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41" w:customStyle="1">
    <w:name w:val="xl69"/>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2" w:customStyle="1">
    <w:name w:val="xl70"/>
    <w:basedOn w:val="862"/>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3" w:customStyle="1">
    <w:name w:val="xl71"/>
    <w:basedOn w:val="862"/>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44" w:customStyle="1">
    <w:name w:val="xl72"/>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5" w:customStyle="1">
    <w:name w:val="xl73"/>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6" w:customStyle="1">
    <w:name w:val="xl74"/>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7" w:customStyle="1">
    <w:name w:val="xl75"/>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8" w:customStyle="1">
    <w:name w:val="xl76"/>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9" w:customStyle="1">
    <w:name w:val="xl77"/>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0" w:customStyle="1">
    <w:name w:val="xl78"/>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1" w:customStyle="1">
    <w:name w:val="xl79"/>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2" w:customStyle="1">
    <w:name w:val="xl80"/>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3" w:customStyle="1">
    <w:name w:val="xl81"/>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4" w:customStyle="1">
    <w:name w:val="xl82"/>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5" w:customStyle="1">
    <w:name w:val="xl83"/>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6" w:customStyle="1">
    <w:name w:val="xl84"/>
    <w:basedOn w:val="8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7" w:customStyle="1">
    <w:name w:val="xl85"/>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58" w:customStyle="1">
    <w:name w:val="xl86"/>
    <w:basedOn w:val="862"/>
    <w:uiPriority w:val="0"/>
    <w:qFormat/>
    <w:pPr>
      <w:jc w:val="center"/>
      <w:spacing w:before="100" w:beforeAutospacing="1" w:after="100" w:afterAutospacing="1"/>
      <w:widowControl/>
      <w:pBdr>
        <w:bottom w:val="single" w:color="000000" w:sz="4" w:space="0"/>
      </w:pBdr>
    </w:pPr>
    <w:rPr>
      <w:rFonts w:ascii="宋体" w:hAnsi="宋体" w:cs="宋体"/>
      <w:color w:val="000000"/>
      <w:sz w:val="28"/>
      <w:szCs w:val="28"/>
    </w:rPr>
  </w:style>
  <w:style w:type="paragraph" w:styleId="1659" w:customStyle="1">
    <w:name w:val="xl87"/>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660" w:customStyle="1">
    <w:name w:val="xl88"/>
    <w:basedOn w:val="86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661" w:customStyle="1">
    <w:name w:val="xl89"/>
    <w:basedOn w:val="86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662" w:customStyle="1">
    <w:name w:val="正文文本缩进 31"/>
    <w:basedOn w:val="862"/>
    <w:uiPriority w:val="0"/>
    <w:qFormat/>
    <w:pPr>
      <w:ind w:firstLine="504"/>
      <w:spacing w:line="360" w:lineRule="auto"/>
      <w:tabs>
        <w:tab w:val="left" w:pos="0" w:leader="none"/>
      </w:tabs>
    </w:pPr>
    <w:rPr>
      <w:rFonts w:ascii="宋体"/>
      <w:b/>
      <w:bCs/>
      <w:sz w:val="24"/>
    </w:rPr>
  </w:style>
  <w:style w:type="character" w:styleId="1663" w:customStyle="1">
    <w:name w:val="批注文字 Char1"/>
    <w:uiPriority w:val="0"/>
    <w:qFormat/>
    <w:rPr>
      <w:b/>
      <w:sz w:val="24"/>
    </w:rPr>
  </w:style>
  <w:style w:type="table" w:styleId="1664"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665" w:customStyle="1">
    <w:name w:val="Table Paragraph"/>
    <w:basedOn w:val="862"/>
    <w:uiPriority w:val="1"/>
    <w:qFormat/>
    <w:pPr>
      <w:jc w:val="left"/>
    </w:pPr>
    <w:rPr>
      <w:rFonts w:ascii="宋体" w:hAnsi="宋体" w:cs="宋体"/>
      <w:sz w:val="22"/>
      <w:szCs w:val="22"/>
      <w:lang w:val="zh-CN" w:bidi="zh-CN"/>
    </w:rPr>
  </w:style>
  <w:style w:type="paragraph" w:styleId="1666" w:customStyle="1">
    <w:name w:val="ewb-con-p2"/>
    <w:basedOn w:val="862"/>
    <w:uiPriority w:val="0"/>
    <w:qFormat/>
    <w:pPr>
      <w:jc w:val="left"/>
      <w:spacing w:before="100" w:beforeAutospacing="1" w:after="100" w:afterAutospacing="1"/>
      <w:widowControl/>
    </w:pPr>
    <w:rPr>
      <w:rFonts w:ascii="宋体" w:hAnsi="宋体" w:cs="宋体"/>
      <w:sz w:val="24"/>
    </w:rPr>
  </w:style>
  <w:style w:type="paragraph" w:styleId="1667" w:customStyle="1">
    <w:name w:val="标题 41"/>
    <w:basedOn w:val="862"/>
    <w:uiPriority w:val="0"/>
    <w:qFormat/>
    <w:pPr>
      <w:ind w:left="618"/>
      <w:jc w:val="left"/>
      <w:outlineLvl w:val="4"/>
    </w:pPr>
    <w:rPr>
      <w:rFonts w:ascii="宋体" w:hAnsi="宋体" w:cs="宋体"/>
      <w:b/>
      <w:bCs/>
      <w:sz w:val="24"/>
      <w:lang w:val="zh-CN" w:bidi="zh-CN"/>
    </w:rPr>
  </w:style>
  <w:style w:type="paragraph" w:styleId="1668" w:customStyle="1">
    <w:name w:val="_Style 427"/>
    <w:basedOn w:val="862"/>
    <w:next w:val="1309"/>
    <w:uiPriority w:val="0"/>
    <w:qFormat/>
    <w:pPr>
      <w:ind w:left="618" w:firstLine="240"/>
      <w:jc w:val="left"/>
    </w:pPr>
    <w:rPr>
      <w:rFonts w:ascii="宋体" w:hAnsi="宋体" w:cs="宋体"/>
      <w:sz w:val="22"/>
      <w:szCs w:val="22"/>
      <w:lang w:val="zh-CN" w:bidi="zh-CN"/>
    </w:rPr>
  </w:style>
  <w:style w:type="paragraph" w:styleId="1669" w:customStyle="1">
    <w:name w:val="正文文本 211"/>
    <w:basedOn w:val="862"/>
    <w:uiPriority w:val="0"/>
    <w:qFormat/>
    <w:pPr>
      <w:ind w:left="720" w:hanging="720"/>
      <w:widowControl/>
    </w:pPr>
    <w:rPr>
      <w:sz w:val="24"/>
      <w:szCs w:val="20"/>
      <w:lang w:val="en-GB"/>
    </w:rPr>
  </w:style>
  <w:style w:type="paragraph" w:styleId="1670" w:customStyle="1">
    <w:name w:val="正文内容"/>
    <w:basedOn w:val="862"/>
    <w:uiPriority w:val="0"/>
    <w:qFormat/>
    <w:pPr>
      <w:ind w:firstLine="600"/>
      <w:spacing w:line="288" w:lineRule="auto"/>
    </w:pPr>
    <w:rPr>
      <w:rFonts w:eastAsia="仿宋"/>
      <w:sz w:val="30"/>
      <w:szCs w:val="32"/>
    </w:rPr>
  </w:style>
  <w:style w:type="character" w:styleId="1671" w:customStyle="1">
    <w:name w:val="font01"/>
    <w:uiPriority w:val="0"/>
    <w:qFormat/>
    <w:rPr>
      <w:rFonts w:ascii="Wingdings 2" w:hAnsi="Wingdings 2" w:eastAsia="Wingdings 2" w:cs="Wingdings 2"/>
      <w:color w:val="000000"/>
      <w:sz w:val="20"/>
      <w:szCs w:val="20"/>
      <w:u w:val="none"/>
    </w:rPr>
  </w:style>
  <w:style w:type="paragraph" w:styleId="1672" w:customStyle="1">
    <w:name w:val="列表段落1"/>
    <w:basedOn w:val="862"/>
    <w:uiPriority w:val="0"/>
    <w:qFormat/>
    <w:pPr>
      <w:contextualSpacing/>
      <w:ind w:left="720"/>
      <w:jc w:val="left"/>
      <w:widowControl/>
    </w:pPr>
    <w:rPr>
      <w:rFonts w:ascii="Arial" w:hAnsi="Arial" w:eastAsia="黑体"/>
      <w:sz w:val="24"/>
      <w:lang w:eastAsia="en-US"/>
    </w:rPr>
  </w:style>
  <w:style w:type="paragraph" w:styleId="1673" w:customStyle="1">
    <w:name w:val="BodyText1"/>
    <w:basedOn w:val="862"/>
    <w:uiPriority w:val="0"/>
    <w:qFormat/>
    <w:pPr>
      <w:spacing w:after="120"/>
    </w:pPr>
    <w:rPr>
      <w:rFonts w:ascii="Calibri"/>
      <w:sz w:val="20"/>
    </w:rPr>
  </w:style>
  <w:style w:type="paragraph" w:styleId="1674" w:customStyle="1">
    <w:name w:val="修订1"/>
    <w:uiPriority w:val="99"/>
    <w:unhideWhenUsed/>
    <w:qFormat/>
    <w:rPr>
      <w:rFonts w:ascii="Times New Roman" w:hAnsi="Times New Roman" w:eastAsia="宋体" w:cs="Times New Roman"/>
      <w:sz w:val="21"/>
      <w:szCs w:val="24"/>
      <w:lang w:val="en-US" w:eastAsia="zh-CN" w:bidi="ar-SA"/>
    </w:rPr>
  </w:style>
  <w:style w:type="paragraph" w:styleId="1675" w:customStyle="1">
    <w:name w:val="修订2"/>
    <w:uiPriority w:val="99"/>
    <w:semiHidden/>
    <w:qFormat/>
    <w:rPr>
      <w:rFonts w:ascii="Times New Roman" w:hAnsi="Times New Roman" w:eastAsia="宋体" w:cs="Times New Roman"/>
      <w:sz w:val="21"/>
      <w:szCs w:val="24"/>
      <w:lang w:val="en-US" w:eastAsia="zh-CN" w:bidi="ar-SA"/>
    </w:rPr>
  </w:style>
  <w:style w:type="paragraph" w:styleId="1676" w:customStyle="1">
    <w:name w:val="修订3"/>
    <w:uiPriority w:val="99"/>
    <w:semiHidden/>
    <w:qFormat/>
    <w:rPr>
      <w:rFonts w:ascii="Times New Roman" w:hAnsi="Times New Roman" w:eastAsia="宋体" w:cs="Times New Roman"/>
      <w:sz w:val="21"/>
      <w:szCs w:val="24"/>
      <w:lang w:val="en-US" w:eastAsia="zh-CN" w:bidi="ar-SA"/>
    </w:rPr>
  </w:style>
  <w:style w:type="paragraph" w:styleId="1677" w:customStyle="1">
    <w:name w:val="正文文本11"/>
    <w:basedOn w:val="862"/>
    <w:next w:val="1678"/>
    <w:uiPriority w:val="0"/>
    <w:qFormat/>
    <w:rPr>
      <w:rFonts w:ascii="楷体_GB2312" w:hAnsi="Arial" w:eastAsia="楷体_GB2312"/>
      <w:sz w:val="28"/>
      <w:szCs w:val="28"/>
    </w:rPr>
  </w:style>
  <w:style w:type="paragraph" w:styleId="1678" w:customStyle="1">
    <w:name w:val="默认"/>
    <w:uiPriority w:val="0"/>
    <w:qFormat/>
    <w:rPr>
      <w:rFonts w:ascii="Helvetica" w:hAnsi="Helvetica" w:eastAsia="Helvetica" w:cs="Helvetica"/>
      <w:color w:val="000000"/>
      <w:sz w:val="22"/>
      <w:szCs w:val="22"/>
      <w:lang w:val="en-US" w:eastAsia="zh-CN" w:bidi="ar-SA"/>
    </w:rPr>
  </w:style>
  <w:style w:type="character" w:styleId="1679" w:customStyle="1">
    <w:name w:val="font71"/>
    <w:uiPriority w:val="0"/>
    <w:qFormat/>
    <w:rPr>
      <w:rFonts w:hint="eastAsia" w:ascii="宋体" w:hAnsi="宋体" w:eastAsia="宋体" w:cs="宋体"/>
      <w:b/>
      <w:bCs/>
      <w:color w:val="000000"/>
      <w:sz w:val="21"/>
      <w:szCs w:val="21"/>
      <w:u w:val="none"/>
    </w:rPr>
  </w:style>
  <w:style w:type="character" w:styleId="1680" w:customStyle="1">
    <w:name w:val="font161"/>
    <w:uiPriority w:val="0"/>
    <w:qFormat/>
    <w:rPr>
      <w:rFonts w:hint="eastAsia" w:ascii="宋体" w:hAnsi="宋体" w:eastAsia="宋体" w:cs="宋体"/>
      <w:b/>
      <w:bCs/>
      <w:color w:val="000000"/>
      <w:sz w:val="24"/>
      <w:szCs w:val="24"/>
      <w:u w:val="none"/>
    </w:rPr>
  </w:style>
  <w:style w:type="character" w:styleId="1681" w:customStyle="1">
    <w:name w:val="font31"/>
    <w:uiPriority w:val="0"/>
    <w:qFormat/>
    <w:rPr>
      <w:rFonts w:ascii="Times New Roman" w:hAnsi="Times New Roman" w:cs="Times New Roman"/>
      <w:b/>
      <w:bCs/>
      <w:color w:val="000000"/>
      <w:sz w:val="21"/>
      <w:szCs w:val="21"/>
      <w:u w:val="none"/>
    </w:rPr>
  </w:style>
  <w:style w:type="character" w:styleId="1682" w:customStyle="1">
    <w:name w:val="font171"/>
    <w:uiPriority w:val="0"/>
    <w:qFormat/>
    <w:rPr>
      <w:rFonts w:ascii="Times New Roman" w:hAnsi="Times New Roman" w:cs="Times New Roman"/>
      <w:b/>
      <w:bCs/>
      <w:color w:val="000000"/>
      <w:sz w:val="21"/>
      <w:szCs w:val="21"/>
      <w:u w:val="none"/>
      <w:vertAlign w:val="superscript"/>
    </w:rPr>
  </w:style>
  <w:style w:type="character" w:styleId="1683" w:customStyle="1">
    <w:name w:val="font181"/>
    <w:uiPriority w:val="0"/>
    <w:qFormat/>
    <w:rPr>
      <w:rFonts w:hint="eastAsia" w:ascii="宋体" w:hAnsi="宋体" w:eastAsia="宋体" w:cs="宋体"/>
      <w:b/>
      <w:bCs/>
      <w:color w:val="000000"/>
      <w:sz w:val="22"/>
      <w:szCs w:val="22"/>
      <w:u w:val="none"/>
    </w:rPr>
  </w:style>
  <w:style w:type="character" w:styleId="1684" w:customStyle="1">
    <w:name w:val="font132"/>
    <w:uiPriority w:val="0"/>
    <w:qFormat/>
    <w:rPr>
      <w:rFonts w:hint="eastAsia" w:ascii="宋体" w:hAnsi="宋体" w:eastAsia="宋体" w:cs="宋体"/>
      <w:color w:val="000000"/>
      <w:sz w:val="21"/>
      <w:szCs w:val="21"/>
      <w:u w:val="none"/>
    </w:rPr>
  </w:style>
  <w:style w:type="character" w:styleId="1685" w:customStyle="1">
    <w:name w:val="font151"/>
    <w:uiPriority w:val="0"/>
    <w:qFormat/>
    <w:rPr>
      <w:rFonts w:hint="eastAsia" w:ascii="宋体" w:hAnsi="宋体" w:eastAsia="宋体" w:cs="宋体"/>
      <w:color w:val="000000"/>
      <w:sz w:val="21"/>
      <w:szCs w:val="21"/>
      <w:u w:val="none"/>
    </w:rPr>
  </w:style>
  <w:style w:type="character" w:styleId="1686" w:customStyle="1">
    <w:name w:val="font81"/>
    <w:uiPriority w:val="0"/>
    <w:qFormat/>
    <w:rPr>
      <w:rFonts w:hint="eastAsia" w:ascii="宋体" w:hAnsi="宋体" w:eastAsia="宋体" w:cs="宋体"/>
      <w:color w:val="000000"/>
      <w:sz w:val="21"/>
      <w:szCs w:val="21"/>
      <w:u w:val="none"/>
    </w:rPr>
  </w:style>
  <w:style w:type="character" w:styleId="1687" w:customStyle="1">
    <w:name w:val="font41"/>
    <w:uiPriority w:val="0"/>
    <w:qFormat/>
    <w:rPr>
      <w:rFonts w:hint="eastAsia" w:ascii="宋体" w:hAnsi="宋体" w:eastAsia="宋体" w:cs="宋体"/>
      <w:color w:val="000000"/>
      <w:sz w:val="21"/>
      <w:szCs w:val="21"/>
      <w:u w:val="none"/>
      <w:vertAlign w:val="superscript"/>
    </w:rPr>
  </w:style>
  <w:style w:type="character" w:styleId="1688" w:customStyle="1">
    <w:name w:val="font191"/>
    <w:uiPriority w:val="0"/>
    <w:qFormat/>
    <w:rPr>
      <w:rFonts w:ascii="Times New Roman" w:hAnsi="Times New Roman" w:cs="Times New Roman"/>
      <w:b/>
      <w:bCs/>
      <w:color w:val="000000"/>
      <w:sz w:val="21"/>
      <w:szCs w:val="21"/>
      <w:u w:val="none"/>
      <w:vertAlign w:val="superscript"/>
    </w:rPr>
  </w:style>
  <w:style w:type="character" w:styleId="1689" w:customStyle="1">
    <w:name w:val="font201"/>
    <w:uiPriority w:val="0"/>
    <w:qFormat/>
    <w:rPr>
      <w:rFonts w:hint="eastAsia" w:ascii="宋体" w:hAnsi="宋体" w:eastAsia="宋体" w:cs="宋体"/>
      <w:b/>
      <w:bCs/>
      <w:color w:val="000000"/>
      <w:sz w:val="22"/>
      <w:szCs w:val="22"/>
      <w:u w:val="none"/>
    </w:rPr>
  </w:style>
  <w:style w:type="character" w:styleId="1690" w:customStyle="1">
    <w:name w:val="font121"/>
    <w:uiPriority w:val="0"/>
    <w:qFormat/>
    <w:rPr>
      <w:rFonts w:ascii="Times New Roman" w:hAnsi="Times New Roman" w:cs="Times New Roman"/>
      <w:b/>
      <w:bCs/>
      <w:color w:val="000000"/>
      <w:sz w:val="22"/>
      <w:szCs w:val="22"/>
      <w:u w:val="none"/>
    </w:rPr>
  </w:style>
  <w:style w:type="character" w:styleId="1691" w:customStyle="1">
    <w:name w:val="font51"/>
    <w:uiPriority w:val="0"/>
    <w:qFormat/>
    <w:rPr>
      <w:rFonts w:hint="eastAsia" w:ascii="宋体" w:hAnsi="宋体" w:eastAsia="宋体" w:cs="宋体"/>
      <w:color w:val="000000"/>
      <w:sz w:val="20"/>
      <w:szCs w:val="20"/>
      <w:u w:val="none"/>
    </w:rPr>
  </w:style>
  <w:style w:type="paragraph" w:styleId="169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693" w:customStyle="1">
    <w:name w:val="样式 标题 2 + Times New Roman 四号 非加粗 段前: 5 磅 段后: 0 磅 行距: 固定值 20..."/>
    <w:basedOn w:val="1208"/>
    <w:uiPriority w:val="0"/>
    <w:qFormat/>
    <w:pPr>
      <w:spacing w:before="100" w:after="0" w:line="400" w:lineRule="exact"/>
    </w:pPr>
    <w:rPr>
      <w:rFonts w:ascii="Times New Roman" w:hAnsi="Times New Roman"/>
      <w:b w:val="0"/>
      <w:bCs w:val="0"/>
      <w:sz w:val="28"/>
      <w:szCs w:val="20"/>
    </w:rPr>
  </w:style>
  <w:style w:type="paragraph" w:styleId="1694" w:customStyle="1">
    <w:name w:val="1级标题"/>
    <w:basedOn w:val="862"/>
    <w:uiPriority w:val="0"/>
    <w:qFormat/>
    <w:pPr>
      <w:ind w:left="425" w:hanging="425"/>
      <w:keepLines/>
      <w:keepNext/>
      <w:spacing w:before="160" w:after="160"/>
      <w:tabs>
        <w:tab w:val="left" w:pos="425" w:leader="none"/>
      </w:tabs>
      <w:outlineLvl w:val="0"/>
    </w:pPr>
    <w:rPr>
      <w:rFonts w:ascii="Calibri" w:hAnsi="Calibri" w:eastAsia="黑体"/>
      <w:color w:val="000000"/>
      <w:sz w:val="32"/>
      <w:szCs w:val="22"/>
    </w:rPr>
  </w:style>
  <w:style w:type="character" w:styleId="1695" w:customStyle="1">
    <w:name w:val="style4"/>
    <w:uiPriority w:val="0"/>
    <w:qFormat/>
  </w:style>
  <w:style w:type="character" w:styleId="1696" w:customStyle="1">
    <w:name w:val="rvts20"/>
    <w:uiPriority w:val="0"/>
    <w:qFormat/>
    <w:rPr>
      <w:rFonts w:ascii="Verdana" w:hAnsi="Verdana"/>
      <w:color w:val="000000"/>
      <w:sz w:val="22"/>
      <w:szCs w:val="22"/>
      <w:u w:val="single"/>
    </w:rPr>
  </w:style>
  <w:style w:type="paragraph" w:styleId="1697" w:customStyle="1">
    <w:name w:val="p45"/>
    <w:basedOn w:val="862"/>
    <w:uiPriority w:val="0"/>
    <w:qFormat/>
  </w:style>
  <w:style w:type="paragraph" w:styleId="1698" w:customStyle="1">
    <w:name w:val="正文 A"/>
    <w:uiPriority w:val="0"/>
    <w:qFormat/>
    <w:pPr>
      <w:ind w:firstLine="360"/>
      <w:jc w:val="both"/>
      <w:widowControl w:val="off"/>
    </w:pPr>
    <w:rPr>
      <w:rFonts w:ascii="Times New Roman" w:hAnsi="Times New Roman" w:eastAsia="ヒラギノ角ゴ Pro W3" w:cs="Times New Roman"/>
      <w:color w:val="000000"/>
      <w:sz w:val="22"/>
      <w:lang w:val="en-US" w:eastAsia="en-US" w:bidi="en-US"/>
    </w:rPr>
  </w:style>
  <w:style w:type="character" w:styleId="1699" w:customStyle="1">
    <w:name w:val="批注框文本 Char1"/>
    <w:basedOn w:val="872"/>
    <w:link w:val="882"/>
    <w:uiPriority w:val="99"/>
    <w:semiHidden/>
    <w:qFormat/>
    <w:rPr>
      <w:sz w:val="18"/>
      <w:szCs w:val="18"/>
    </w:rPr>
  </w:style>
  <w:style w:type="numbering" w:styleId="17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dc:title>
  <dc:creator>焦</dc:creator>
  <cp:lastModifiedBy>郝云云</cp:lastModifiedBy>
  <cp:revision>7</cp:revision>
  <dcterms:created xsi:type="dcterms:W3CDTF">2026-04-14T10:32:00Z</dcterms:created>
  <dcterms:modified xsi:type="dcterms:W3CDTF">2026-04-30T07:46:08Z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eyJoZGlkIjoiZGRjYzQ5ZGYyYTVhY2VlMzI0M2U3OTM0N2VkYmU4ZWMiLCJ1c2VySWQiOiI0MjQyOTE1MTgifQ==</vt:lpwstr>
  </property>
  <property fmtid="{D5CDD505-2E9C-101B-9397-08002B2CF9AE}" pid="3" name="KSOProductBuildVer">
    <vt:lpwstr>2052-12.1.0.25225</vt:lpwstr>
  </property>
  <property fmtid="{D5CDD505-2E9C-101B-9397-08002B2CF9AE}" pid="4" name="ICV">
    <vt:lpwstr>8607B939CE07431F8FB74EC517330A79_13</vt:lpwstr>
  </property>
</Properties>
</file>