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051FF">
      <w:pPr>
        <w:spacing w:before="120" w:after="120" w:line="360" w:lineRule="auto"/>
        <w:jc w:val="center"/>
        <w:rPr>
          <w:rFonts w:hint="eastAsia" w:ascii="Arial" w:hAnsi="Arial" w:eastAsia="宋体" w:cs="Times New Roman"/>
          <w:b/>
          <w:bCs/>
          <w:color w:val="auto"/>
          <w:sz w:val="32"/>
          <w:szCs w:val="24"/>
          <w:highlight w:val="none"/>
          <w:lang w:eastAsia="zh-CN"/>
        </w:rPr>
      </w:pPr>
    </w:p>
    <w:p w14:paraId="466C5C8A">
      <w:pPr>
        <w:pStyle w:val="26"/>
        <w:ind w:firstLine="0"/>
        <w:jc w:val="center"/>
        <w:rPr>
          <w:rFonts w:hint="eastAsia" w:eastAsia="黑体"/>
          <w:b/>
          <w:bCs/>
          <w:color w:val="auto"/>
          <w:sz w:val="84"/>
          <w:highlight w:val="none"/>
        </w:rPr>
      </w:pPr>
    </w:p>
    <w:p w14:paraId="6B9B29B7">
      <w:pPr>
        <w:pStyle w:val="26"/>
        <w:ind w:firstLine="0"/>
        <w:jc w:val="center"/>
        <w:rPr>
          <w:rFonts w:hint="eastAsia" w:eastAsia="黑体"/>
          <w:b/>
          <w:bCs/>
          <w:color w:val="auto"/>
          <w:sz w:val="84"/>
          <w:highlight w:val="none"/>
        </w:rPr>
      </w:pPr>
      <w:r>
        <w:rPr>
          <w:rFonts w:hint="eastAsia" w:eastAsia="黑体"/>
          <w:b/>
          <w:bCs/>
          <w:color w:val="auto"/>
          <w:sz w:val="84"/>
          <w:highlight w:val="none"/>
        </w:rPr>
        <w:t>招　标　文　件</w:t>
      </w:r>
    </w:p>
    <w:p w14:paraId="11F31152">
      <w:pPr>
        <w:rPr>
          <w:rFonts w:hint="eastAsia" w:ascii="宋体" w:hAnsi="宋体"/>
          <w:bCs/>
          <w:color w:val="auto"/>
          <w:w w:val="95"/>
          <w:sz w:val="32"/>
          <w:szCs w:val="32"/>
          <w:highlight w:val="none"/>
          <w:lang w:eastAsia="zh-CN"/>
        </w:rPr>
      </w:pPr>
    </w:p>
    <w:p w14:paraId="692B684A">
      <w:pPr>
        <w:ind w:left="840" w:firstLine="613"/>
        <w:rPr>
          <w:rFonts w:hint="eastAsia" w:ascii="宋体" w:hAnsi="宋体" w:eastAsiaTheme="minorEastAsia"/>
          <w:bCs/>
          <w:color w:val="auto"/>
          <w:w w:val="95"/>
          <w:sz w:val="32"/>
          <w:szCs w:val="32"/>
          <w:highlight w:val="none"/>
          <w:lang w:eastAsia="zh-CN"/>
        </w:rPr>
      </w:pPr>
      <w:r>
        <w:rPr>
          <w:rFonts w:hint="eastAsia" w:ascii="宋体" w:hAnsi="宋体"/>
          <w:bCs/>
          <w:color w:val="auto"/>
          <w:w w:val="95"/>
          <w:sz w:val="32"/>
          <w:szCs w:val="32"/>
          <w:highlight w:val="none"/>
          <w:lang w:eastAsia="zh-CN"/>
        </w:rPr>
        <w:t>项目</w:t>
      </w:r>
      <w:r>
        <w:rPr>
          <w:rFonts w:hint="eastAsia" w:ascii="宋体" w:hAnsi="宋体"/>
          <w:bCs/>
          <w:color w:val="auto"/>
          <w:w w:val="95"/>
          <w:sz w:val="32"/>
          <w:szCs w:val="32"/>
          <w:highlight w:val="none"/>
        </w:rPr>
        <w:t>名称</w:t>
      </w:r>
      <w:r>
        <w:rPr>
          <w:rFonts w:hint="eastAsia" w:ascii="宋体" w:hAnsi="宋体"/>
          <w:bCs/>
          <w:color w:val="auto"/>
          <w:w w:val="95"/>
          <w:sz w:val="32"/>
          <w:szCs w:val="32"/>
          <w:highlight w:val="none"/>
          <w:lang w:eastAsia="zh-CN"/>
        </w:rPr>
        <w:t>：连云港市市区城市污水处理厂污泥蚯蚓养殖资源化利用处置服务</w:t>
      </w:r>
    </w:p>
    <w:p w14:paraId="19041A86">
      <w:pPr>
        <w:ind w:left="958" w:leftChars="456" w:firstLine="608" w:firstLineChars="200"/>
        <w:rPr>
          <w:rFonts w:hint="eastAsia" w:ascii="宋体" w:hAnsi="宋体"/>
          <w:bCs/>
          <w:color w:val="auto"/>
          <w:w w:val="95"/>
          <w:sz w:val="32"/>
          <w:szCs w:val="32"/>
          <w:highlight w:val="none"/>
          <w:lang w:eastAsia="zh-CN"/>
        </w:rPr>
      </w:pPr>
      <w:r>
        <w:rPr>
          <w:rFonts w:hint="eastAsia" w:ascii="宋体" w:hAnsi="宋体"/>
          <w:bCs/>
          <w:color w:val="auto"/>
          <w:w w:val="95"/>
          <w:sz w:val="32"/>
          <w:szCs w:val="32"/>
          <w:highlight w:val="none"/>
          <w:lang w:eastAsia="zh-CN"/>
        </w:rPr>
        <w:t>采购包1：连云港市市区城市污水处理厂污泥蚯蚓养殖资源化利用处置服务（专门面向中小企业项目）</w:t>
      </w:r>
    </w:p>
    <w:p w14:paraId="77424162">
      <w:pPr>
        <w:ind w:left="840" w:firstLine="613"/>
        <w:rPr>
          <w:rFonts w:hint="eastAsia" w:ascii="宋体" w:hAnsi="宋体"/>
          <w:bCs/>
          <w:color w:val="auto"/>
          <w:w w:val="95"/>
          <w:sz w:val="32"/>
          <w:szCs w:val="32"/>
          <w:highlight w:val="none"/>
          <w:lang w:eastAsia="zh-CN"/>
        </w:rPr>
      </w:pPr>
    </w:p>
    <w:p w14:paraId="0AAC923B">
      <w:pPr>
        <w:ind w:left="840" w:firstLine="613"/>
        <w:rPr>
          <w:rFonts w:hint="default" w:ascii="宋体" w:hAnsi="宋体" w:eastAsia="宋体"/>
          <w:bCs/>
          <w:color w:val="auto"/>
          <w:w w:val="95"/>
          <w:sz w:val="32"/>
          <w:szCs w:val="32"/>
          <w:highlight w:val="none"/>
          <w:lang w:val="en-US" w:eastAsia="zh-CN"/>
        </w:rPr>
      </w:pPr>
      <w:r>
        <w:rPr>
          <w:rFonts w:hint="eastAsia" w:ascii="宋体" w:hAnsi="宋体"/>
          <w:bCs/>
          <w:color w:val="auto"/>
          <w:w w:val="95"/>
          <w:sz w:val="32"/>
          <w:szCs w:val="32"/>
          <w:highlight w:val="none"/>
          <w:lang w:eastAsia="zh-CN"/>
        </w:rPr>
        <w:t>项目</w:t>
      </w:r>
      <w:r>
        <w:rPr>
          <w:rFonts w:hint="eastAsia" w:ascii="宋体" w:hAnsi="宋体"/>
          <w:bCs/>
          <w:color w:val="auto"/>
          <w:w w:val="95"/>
          <w:sz w:val="32"/>
          <w:szCs w:val="32"/>
          <w:highlight w:val="none"/>
        </w:rPr>
        <w:t>编号：</w:t>
      </w:r>
      <w:r>
        <w:rPr>
          <w:rFonts w:hint="eastAsia" w:ascii="宋体" w:hAnsi="宋体"/>
          <w:bCs/>
          <w:color w:val="auto"/>
          <w:w w:val="95"/>
          <w:sz w:val="32"/>
          <w:szCs w:val="32"/>
          <w:highlight w:val="none"/>
          <w:lang w:eastAsia="zh-CN"/>
        </w:rPr>
        <w:t>JSZC-320700-JSJY-G2026-0016</w:t>
      </w:r>
    </w:p>
    <w:p w14:paraId="5C0A5354">
      <w:pPr>
        <w:spacing w:before="120" w:after="120" w:line="360" w:lineRule="auto"/>
        <w:jc w:val="center"/>
        <w:rPr>
          <w:rFonts w:hint="eastAsia" w:ascii="Arial" w:hAnsi="Arial" w:eastAsia="宋体" w:cs="Times New Roman"/>
          <w:b/>
          <w:bCs/>
          <w:color w:val="auto"/>
          <w:sz w:val="32"/>
          <w:szCs w:val="24"/>
          <w:highlight w:val="none"/>
          <w:lang w:eastAsia="zh-CN"/>
        </w:rPr>
      </w:pPr>
    </w:p>
    <w:p w14:paraId="07919F03">
      <w:pPr>
        <w:spacing w:before="120" w:after="120" w:line="360" w:lineRule="auto"/>
        <w:jc w:val="center"/>
        <w:rPr>
          <w:rFonts w:hint="eastAsia" w:ascii="Arial" w:hAnsi="Arial" w:eastAsia="宋体" w:cs="Times New Roman"/>
          <w:b/>
          <w:bCs/>
          <w:color w:val="auto"/>
          <w:sz w:val="32"/>
          <w:szCs w:val="24"/>
          <w:highlight w:val="none"/>
          <w:lang w:eastAsia="zh-CN"/>
        </w:rPr>
      </w:pPr>
    </w:p>
    <w:p w14:paraId="1CC6CB48">
      <w:pPr>
        <w:spacing w:before="120" w:after="120" w:line="360" w:lineRule="auto"/>
        <w:jc w:val="center"/>
        <w:rPr>
          <w:rFonts w:hint="eastAsia" w:ascii="Arial" w:hAnsi="Arial" w:eastAsia="宋体" w:cs="Times New Roman"/>
          <w:b/>
          <w:bCs/>
          <w:color w:val="auto"/>
          <w:sz w:val="32"/>
          <w:szCs w:val="24"/>
          <w:highlight w:val="none"/>
          <w:lang w:eastAsia="zh-CN"/>
        </w:rPr>
      </w:pPr>
    </w:p>
    <w:p w14:paraId="460B5B39">
      <w:pPr>
        <w:spacing w:before="120" w:after="120" w:line="360" w:lineRule="auto"/>
        <w:jc w:val="center"/>
        <w:rPr>
          <w:rFonts w:hint="eastAsia" w:ascii="Arial" w:hAnsi="Arial" w:eastAsia="宋体" w:cs="Times New Roman"/>
          <w:b/>
          <w:bCs/>
          <w:color w:val="auto"/>
          <w:sz w:val="32"/>
          <w:szCs w:val="24"/>
          <w:highlight w:val="none"/>
          <w:lang w:eastAsia="zh-CN"/>
        </w:rPr>
      </w:pPr>
    </w:p>
    <w:p w14:paraId="7AE8DF58">
      <w:pPr>
        <w:spacing w:before="120" w:after="120" w:line="360" w:lineRule="auto"/>
        <w:jc w:val="both"/>
        <w:rPr>
          <w:rFonts w:hint="eastAsia" w:ascii="Arial" w:hAnsi="Arial" w:eastAsia="宋体" w:cs="Times New Roman"/>
          <w:b/>
          <w:bCs/>
          <w:color w:val="auto"/>
          <w:sz w:val="32"/>
          <w:szCs w:val="24"/>
          <w:highlight w:val="none"/>
          <w:lang w:eastAsia="zh-CN"/>
        </w:rPr>
      </w:pPr>
    </w:p>
    <w:p w14:paraId="22B0858F">
      <w:pPr>
        <w:spacing w:before="120" w:after="120" w:line="360" w:lineRule="auto"/>
        <w:jc w:val="both"/>
        <w:rPr>
          <w:rFonts w:hint="eastAsia" w:ascii="Arial" w:hAnsi="Arial" w:eastAsia="宋体" w:cs="Times New Roman"/>
          <w:b/>
          <w:bCs/>
          <w:color w:val="auto"/>
          <w:sz w:val="32"/>
          <w:szCs w:val="24"/>
          <w:highlight w:val="none"/>
          <w:lang w:eastAsia="zh-CN"/>
        </w:rPr>
      </w:pPr>
    </w:p>
    <w:p w14:paraId="4E5380AB">
      <w:pPr>
        <w:spacing w:before="120" w:after="120" w:line="360" w:lineRule="auto"/>
        <w:jc w:val="cente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江苏建友兴业工程项目管理有限公司</w:t>
      </w:r>
    </w:p>
    <w:p w14:paraId="406E9EC2">
      <w:pPr>
        <w:jc w:val="center"/>
        <w:rPr>
          <w:color w:val="auto"/>
          <w:highlight w:val="none"/>
        </w:rPr>
        <w:sectPr>
          <w:footerReference r:id="rId4" w:type="first"/>
          <w:footerReference r:id="rId3" w:type="default"/>
          <w:pgSz w:w="11906" w:h="16838"/>
          <w:pgMar w:top="1440" w:right="1800" w:bottom="1440" w:left="1800" w:header="851" w:footer="992" w:gutter="0"/>
          <w:pgNumType w:fmt="decimal" w:start="1"/>
          <w:cols w:space="425" w:num="1"/>
          <w:docGrid w:linePitch="360" w:charSpace="0"/>
        </w:sectPr>
      </w:pPr>
      <w:r>
        <w:rPr>
          <w:rFonts w:hint="eastAsia" w:ascii="Arial" w:hAnsi="Arial" w:eastAsia="宋体" w:cs="Times New Roman"/>
          <w:b/>
          <w:bCs/>
          <w:color w:val="auto"/>
          <w:sz w:val="32"/>
          <w:szCs w:val="24"/>
          <w:highlight w:val="none"/>
          <w:u w:val="single"/>
        </w:rPr>
        <w:t>202</w:t>
      </w:r>
      <w:r>
        <w:rPr>
          <w:rFonts w:hint="eastAsia" w:ascii="Arial" w:hAnsi="Arial" w:eastAsia="宋体" w:cs="Times New Roman"/>
          <w:b/>
          <w:bCs/>
          <w:color w:val="auto"/>
          <w:sz w:val="32"/>
          <w:szCs w:val="24"/>
          <w:highlight w:val="none"/>
          <w:u w:val="single"/>
          <w:lang w:val="en-US" w:eastAsia="zh-CN"/>
        </w:rPr>
        <w:t>6</w:t>
      </w:r>
      <w:r>
        <w:rPr>
          <w:rFonts w:hint="eastAsia" w:ascii="Arial" w:hAnsi="Arial" w:eastAsia="宋体" w:cs="Times New Roman"/>
          <w:b/>
          <w:bCs/>
          <w:color w:val="auto"/>
          <w:sz w:val="32"/>
          <w:szCs w:val="24"/>
          <w:highlight w:val="none"/>
        </w:rPr>
        <w:t>年</w:t>
      </w:r>
      <w:r>
        <w:rPr>
          <w:rFonts w:hint="eastAsia" w:ascii="Arial" w:hAnsi="Arial" w:eastAsia="宋体" w:cs="Times New Roman"/>
          <w:b/>
          <w:bCs/>
          <w:color w:val="auto"/>
          <w:sz w:val="32"/>
          <w:szCs w:val="24"/>
          <w:highlight w:val="none"/>
          <w:u w:val="single"/>
          <w:lang w:val="en-US" w:eastAsia="zh-CN"/>
        </w:rPr>
        <w:t xml:space="preserve"> 4</w:t>
      </w:r>
      <w:r>
        <w:rPr>
          <w:rFonts w:hint="eastAsia" w:ascii="Arial" w:hAnsi="Arial" w:eastAsia="宋体" w:cs="Times New Roman"/>
          <w:b/>
          <w:bCs/>
          <w:color w:val="auto"/>
          <w:sz w:val="32"/>
          <w:szCs w:val="24"/>
          <w:highlight w:val="none"/>
        </w:rPr>
        <w:t>月</w:t>
      </w:r>
      <w:r>
        <w:rPr>
          <w:rFonts w:hint="eastAsia" w:ascii="Arial" w:hAnsi="Arial" w:eastAsia="宋体" w:cs="Times New Roman"/>
          <w:b/>
          <w:bCs/>
          <w:color w:val="auto"/>
          <w:sz w:val="32"/>
          <w:szCs w:val="24"/>
          <w:highlight w:val="none"/>
          <w:u w:val="single"/>
          <w:lang w:val="en-US" w:eastAsia="zh-CN"/>
        </w:rPr>
        <w:t xml:space="preserve"> 8</w:t>
      </w:r>
      <w:r>
        <w:rPr>
          <w:rFonts w:hint="eastAsia"/>
          <w:b/>
          <w:bCs/>
          <w:color w:val="auto"/>
          <w:sz w:val="32"/>
          <w:highlight w:val="none"/>
        </w:rPr>
        <w:t>日</w:t>
      </w:r>
    </w:p>
    <w:p w14:paraId="146B312B">
      <w:pPr>
        <w:spacing w:before="120" w:after="120" w:line="360" w:lineRule="auto"/>
        <w:jc w:val="center"/>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5C05EEF8">
      <w:pPr>
        <w:spacing w:line="480" w:lineRule="auto"/>
        <w:jc w:val="center"/>
        <w:outlineLvl w:val="0"/>
        <w:rPr>
          <w:rFonts w:hint="eastAsia" w:ascii="黑体" w:hAnsi="Arial" w:eastAsia="黑体"/>
          <w:b/>
          <w:color w:val="auto"/>
          <w:sz w:val="44"/>
          <w:highlight w:val="none"/>
        </w:rPr>
      </w:pPr>
      <w:r>
        <w:rPr>
          <w:rFonts w:hint="eastAsia"/>
          <w:color w:val="auto"/>
          <w:highlight w:val="none"/>
        </w:rPr>
        <w:t xml:space="preserve"> </w:t>
      </w:r>
      <w:r>
        <w:rPr>
          <w:rFonts w:hint="eastAsia" w:ascii="黑体" w:hAnsi="Arial" w:eastAsia="黑体"/>
          <w:b/>
          <w:color w:val="auto"/>
          <w:sz w:val="44"/>
          <w:highlight w:val="none"/>
        </w:rPr>
        <w:t>总  目  录</w:t>
      </w:r>
    </w:p>
    <w:p w14:paraId="629F3376">
      <w:pPr>
        <w:spacing w:line="480" w:lineRule="auto"/>
        <w:rPr>
          <w:rFonts w:hint="eastAsia" w:ascii="仿宋_GB2312" w:hAnsi="Arial" w:eastAsia="仿宋_GB2312"/>
          <w:b/>
          <w:color w:val="auto"/>
          <w:sz w:val="28"/>
          <w:highlight w:val="none"/>
        </w:rPr>
      </w:pPr>
    </w:p>
    <w:p w14:paraId="05938032">
      <w:pPr>
        <w:numPr>
          <w:ilvl w:val="0"/>
          <w:numId w:val="1"/>
        </w:numPr>
        <w:spacing w:line="480" w:lineRule="auto"/>
        <w:outlineLvl w:val="0"/>
        <w:rPr>
          <w:rFonts w:hint="eastAsia" w:ascii="黑体" w:hAnsi="Showcard Gothic" w:eastAsia="黑体"/>
          <w:color w:val="auto"/>
          <w:sz w:val="32"/>
          <w:highlight w:val="none"/>
        </w:rPr>
      </w:pPr>
      <w:r>
        <w:rPr>
          <w:rFonts w:hint="eastAsia" w:ascii="黑体" w:hAnsi="宋体" w:eastAsia="黑体"/>
          <w:color w:val="auto"/>
          <w:sz w:val="36"/>
          <w:highlight w:val="none"/>
        </w:rPr>
        <w:t>投标邀请</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w:t>
      </w:r>
      <w:r>
        <w:rPr>
          <w:rFonts w:hint="eastAsia" w:ascii="黑体" w:hAnsi="Showcard Gothic" w:eastAsia="黑体"/>
          <w:color w:val="auto"/>
          <w:sz w:val="36"/>
          <w:highlight w:val="none"/>
        </w:rPr>
        <w:t xml:space="preserve"> </w:t>
      </w:r>
    </w:p>
    <w:p w14:paraId="0F784A5F">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lang w:eastAsia="zh-CN"/>
        </w:rPr>
        <w:t>投标人</w:t>
      </w:r>
      <w:r>
        <w:rPr>
          <w:rFonts w:hint="eastAsia" w:ascii="黑体" w:hAnsi="宋体" w:eastAsia="黑体"/>
          <w:bCs/>
          <w:color w:val="auto"/>
          <w:sz w:val="36"/>
          <w:szCs w:val="36"/>
          <w:highlight w:val="none"/>
        </w:rPr>
        <w:t>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7</w:t>
      </w:r>
      <w:r>
        <w:rPr>
          <w:rFonts w:hint="eastAsia" w:ascii="黑体" w:hAnsi="Showcard Gothic" w:eastAsia="黑体"/>
          <w:color w:val="auto"/>
          <w:sz w:val="36"/>
          <w:highlight w:val="none"/>
        </w:rPr>
        <w:t xml:space="preserve">  </w:t>
      </w:r>
    </w:p>
    <w:p w14:paraId="270B04E9">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合同文本</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24</w:t>
      </w:r>
    </w:p>
    <w:p w14:paraId="00F8AA80">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采购需求</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30</w:t>
      </w:r>
    </w:p>
    <w:p w14:paraId="058856F3">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32</w:t>
      </w:r>
    </w:p>
    <w:p w14:paraId="1D274832">
      <w:pPr>
        <w:numPr>
          <w:ilvl w:val="0"/>
          <w:numId w:val="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投标文件格式</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34</w:t>
      </w:r>
    </w:p>
    <w:p w14:paraId="429994BC">
      <w:pPr>
        <w:pStyle w:val="15"/>
        <w:tabs>
          <w:tab w:val="right" w:leader="dot" w:pos="8296"/>
        </w:tabs>
        <w:rPr>
          <w:color w:val="auto"/>
          <w:sz w:val="32"/>
          <w:highlight w:val="none"/>
        </w:rPr>
      </w:pPr>
    </w:p>
    <w:p w14:paraId="61756CC9">
      <w:pPr>
        <w:widowControl/>
        <w:jc w:val="left"/>
        <w:rPr>
          <w:color w:val="auto"/>
          <w:highlight w:val="none"/>
        </w:rPr>
      </w:pPr>
      <w:r>
        <w:rPr>
          <w:color w:val="auto"/>
          <w:highlight w:val="none"/>
        </w:rPr>
        <w:fldChar w:fldCharType="end"/>
      </w:r>
      <w:r>
        <w:rPr>
          <w:color w:val="auto"/>
          <w:highlight w:val="none"/>
        </w:rPr>
        <w:br w:type="page" w:clear="all"/>
      </w:r>
    </w:p>
    <w:p w14:paraId="35994BA0">
      <w:pPr>
        <w:pStyle w:val="2"/>
        <w:spacing w:before="156" w:after="156" w:line="360" w:lineRule="auto"/>
        <w:jc w:val="center"/>
        <w:rPr>
          <w:rFonts w:ascii="黑体" w:hAnsi="黑体" w:eastAsia="黑体"/>
          <w:b w:val="0"/>
          <w:color w:val="auto"/>
          <w:highlight w:val="none"/>
        </w:rPr>
        <w:sectPr>
          <w:footerReference r:id="rId5" w:type="default"/>
          <w:pgSz w:w="11906" w:h="16838"/>
          <w:pgMar w:top="1440" w:right="1800" w:bottom="1440" w:left="1800" w:header="851" w:footer="992" w:gutter="0"/>
          <w:pgNumType w:fmt="decimal"/>
          <w:cols w:space="425" w:num="1"/>
          <w:docGrid w:linePitch="360" w:charSpace="0"/>
        </w:sectPr>
      </w:pPr>
      <w:bookmarkStart w:id="0" w:name="_Toc155796356"/>
    </w:p>
    <w:p w14:paraId="34AED3DA">
      <w:pPr>
        <w:pStyle w:val="2"/>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第一章投标邀请</w:t>
      </w:r>
      <w:bookmarkEnd w:id="0"/>
    </w:p>
    <w:p w14:paraId="5DA3F54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受采购人的委托，</w:t>
      </w:r>
      <w:r>
        <w:rPr>
          <w:rFonts w:hint="eastAsia" w:ascii="宋体" w:hAnsi="宋体" w:eastAsia="宋体" w:cs="宋体"/>
          <w:color w:val="auto"/>
          <w:sz w:val="24"/>
          <w:szCs w:val="24"/>
          <w:highlight w:val="none"/>
          <w:lang w:eastAsia="zh-CN"/>
        </w:rPr>
        <w:t>江苏建友兴业工程项目管理有限公司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连云港市市区城市污水处理厂污泥蚯蚓养殖资源化利用处置服务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JSZC-320700-JSJY-G2026-0016</w:t>
      </w:r>
      <w:r>
        <w:rPr>
          <w:rFonts w:hint="eastAsia" w:ascii="宋体" w:hAnsi="宋体" w:eastAsia="宋体" w:cs="宋体"/>
          <w:color w:val="auto"/>
          <w:sz w:val="24"/>
          <w:szCs w:val="24"/>
          <w:highlight w:val="none"/>
        </w:rPr>
        <w:t>）进行公开招标采购，欢迎符合条件的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投标。</w:t>
      </w:r>
    </w:p>
    <w:tbl>
      <w:tblPr>
        <w:tblStyle w:val="1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14AB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tcPr>
          <w:p w14:paraId="284EEA60">
            <w:pPr>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D5C6F3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连云港市市区城市污水处理厂污泥蚯蚓养殖资源化利用处置服务</w:t>
            </w:r>
            <w:r>
              <w:rPr>
                <w:rFonts w:hint="eastAsia" w:ascii="宋体" w:hAnsi="宋体" w:eastAsia="宋体" w:cs="宋体"/>
                <w:color w:val="auto"/>
                <w:sz w:val="24"/>
                <w:szCs w:val="24"/>
                <w:highlight w:val="none"/>
              </w:rPr>
              <w:t>招标项目的潜在</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可在“江苏政府采购网”自行免费下载招标文件，并于</w:t>
            </w: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:00:00（北京时间）前递交（上传）投标文件。</w:t>
            </w:r>
          </w:p>
        </w:tc>
      </w:tr>
    </w:tbl>
    <w:p w14:paraId="2A059A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一、项目基本情况</w:t>
      </w:r>
    </w:p>
    <w:p w14:paraId="68E7001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1.项目编号：JSZC-320700-JSJY-G2026-0016</w:t>
      </w:r>
    </w:p>
    <w:p w14:paraId="437D876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2.项目名称：连云港市市区城市污水处理厂污泥蚯蚓养殖资源化利用处置服务</w:t>
      </w:r>
    </w:p>
    <w:p w14:paraId="7B30E73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3.预算金额：</w:t>
      </w:r>
      <w:r>
        <w:rPr>
          <w:rFonts w:hint="eastAsia" w:ascii="宋体" w:hAnsi="宋体" w:eastAsia="宋体" w:cs="Times New Roman"/>
          <w:color w:val="auto"/>
          <w:sz w:val="24"/>
          <w:szCs w:val="24"/>
          <w:highlight w:val="none"/>
          <w:lang w:val="en-US" w:eastAsia="zh-CN"/>
        </w:rPr>
        <w:t>15</w:t>
      </w:r>
      <w:r>
        <w:rPr>
          <w:rFonts w:hint="eastAsia" w:ascii="宋体" w:hAnsi="宋体" w:eastAsia="宋体" w:cs="Times New Roman"/>
          <w:color w:val="auto"/>
          <w:sz w:val="24"/>
          <w:szCs w:val="24"/>
          <w:highlight w:val="none"/>
        </w:rPr>
        <w:t>00</w:t>
      </w:r>
      <w:r>
        <w:rPr>
          <w:rFonts w:hint="eastAsia" w:ascii="宋体" w:hAnsi="宋体" w:eastAsia="宋体" w:cs="宋体"/>
          <w:color w:val="auto"/>
          <w:sz w:val="24"/>
          <w:szCs w:val="24"/>
          <w:highlight w:val="none"/>
          <w:lang w:val="en-US" w:eastAsia="zh-CN"/>
        </w:rPr>
        <w:t>万元人民币</w:t>
      </w:r>
    </w:p>
    <w:p w14:paraId="25C1191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4.最高限价</w:t>
      </w:r>
      <w:r>
        <w:rPr>
          <w:rFonts w:hint="eastAsia" w:ascii="宋体" w:hAnsi="宋体" w:eastAsia="宋体" w:cs="Times New Roman"/>
          <w:color w:val="auto"/>
          <w:sz w:val="24"/>
          <w:szCs w:val="24"/>
          <w:highlight w:val="none"/>
        </w:rPr>
        <w:t>（单价）</w:t>
      </w:r>
      <w:r>
        <w:rPr>
          <w:rFonts w:hint="eastAsia" w:ascii="宋体" w:hAnsi="宋体" w:eastAsia="宋体" w:cs="宋体"/>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190</w:t>
      </w:r>
      <w:r>
        <w:rPr>
          <w:rFonts w:hint="eastAsia" w:ascii="宋体" w:hAnsi="宋体" w:eastAsia="宋体" w:cs="Times New Roman"/>
          <w:color w:val="auto"/>
          <w:sz w:val="24"/>
          <w:szCs w:val="24"/>
          <w:highlight w:val="none"/>
        </w:rPr>
        <w:t>元/吨</w:t>
      </w:r>
      <w:r>
        <w:rPr>
          <w:rFonts w:hint="eastAsia" w:ascii="宋体" w:hAnsi="宋体" w:eastAsia="宋体" w:cs="宋体"/>
          <w:color w:val="auto"/>
          <w:sz w:val="24"/>
          <w:szCs w:val="24"/>
          <w:highlight w:val="none"/>
          <w:lang w:val="en-US" w:eastAsia="zh-CN"/>
        </w:rPr>
        <w:t>，投标报价超出最高限价的按无效响应处理。</w:t>
      </w:r>
    </w:p>
    <w:p w14:paraId="58DF0C47">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5.采购需求：为加强市区城市污水处理厂污泥处置，保障市区城市污水处理厂的稳定运行，对市区污水处理厂所产含水率80%、60%的污泥污泥蚯蚓养殖资源化处置服务， 合同签订后10个工作日内提供服务，服务期为3年。具体内容详见招标文件第四章“项目需求”。</w:t>
      </w:r>
    </w:p>
    <w:p w14:paraId="7A3358A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对本项目资格要求、采购需求、评标方法与评标标准等部分的询问、质疑请与采购人联系，由采购人负责答复。</w:t>
      </w:r>
    </w:p>
    <w:p w14:paraId="3524305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6.合同履行期限： 三年。</w:t>
      </w:r>
    </w:p>
    <w:p w14:paraId="538375D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二、申请人的资格要求</w:t>
      </w:r>
    </w:p>
    <w:p w14:paraId="2F4AB448">
      <w:pPr>
        <w:keepNext w:val="0"/>
        <w:keepLines w:val="0"/>
        <w:pageBreakBefore w:val="0"/>
        <w:widowControl w:val="0"/>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（一）通用资格要求</w:t>
      </w:r>
    </w:p>
    <w:p w14:paraId="24DC6EB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1.满足《中华人民共和国政府采购法》第二十二条规定，并提供下列材料：</w:t>
      </w:r>
    </w:p>
    <w:p w14:paraId="5F3CEBE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1.1法人或者其他组织的营业执照等证明文件，自然人的身份证明；</w:t>
      </w:r>
    </w:p>
    <w:p w14:paraId="76F61C9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1.2.2025年度的财务状况报告（成立不满一年无需提供）；</w:t>
      </w:r>
    </w:p>
    <w:p w14:paraId="458B6C7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10FD8C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根据连财购〔2023〕4号文件精神，2、3项可以提供《财务状况报告及税收、社会保障资金缴纳情况承诺函》，详见投标文件格式。</w:t>
      </w:r>
    </w:p>
    <w:p w14:paraId="2E30677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1.4.具备履行合同所必需的设备和专业技术能力的声明及证明材料；</w:t>
      </w:r>
    </w:p>
    <w:p w14:paraId="31B7643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1.5.参加政府采购活动前3年内在经营活动中没有重大违法记录的书面声明。</w:t>
      </w:r>
    </w:p>
    <w:p w14:paraId="67F5CE1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（投标文件中无需提供证明材料）</w:t>
      </w:r>
      <w:r>
        <w:rPr>
          <w:rFonts w:hint="eastAsia" w:ascii="宋体" w:hAnsi="宋体" w:eastAsia="宋体" w:cs="宋体"/>
          <w:color w:val="auto"/>
          <w:sz w:val="24"/>
          <w:szCs w:val="24"/>
          <w:highlight w:val="none"/>
        </w:rPr>
        <w:t>。</w:t>
      </w:r>
    </w:p>
    <w:p w14:paraId="50C7EE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3.落实政府采购政策需满足的资格要求：</w:t>
      </w:r>
      <w:r>
        <w:rPr>
          <w:rFonts w:hint="eastAsia" w:ascii="宋体" w:hAnsi="宋体" w:eastAsia="宋体" w:cs="宋体"/>
          <w:b/>
          <w:bCs/>
          <w:color w:val="auto"/>
          <w:sz w:val="24"/>
          <w:szCs w:val="24"/>
          <w:highlight w:val="none"/>
          <w:lang w:val="en-US" w:eastAsia="zh-CN"/>
        </w:rPr>
        <w:t>此项目属于专门面向中小企业采购的项目，投标人应为中小企业、监狱企业、残疾人福利性单位</w:t>
      </w:r>
      <w:r>
        <w:rPr>
          <w:rFonts w:hint="eastAsia" w:ascii="宋体" w:hAnsi="宋体" w:eastAsia="宋体" w:cs="宋体"/>
          <w:color w:val="auto"/>
          <w:sz w:val="24"/>
          <w:szCs w:val="24"/>
          <w:highlight w:val="none"/>
          <w:lang w:val="en-US" w:eastAsia="zh-CN"/>
        </w:rPr>
        <w:t>。</w:t>
      </w:r>
    </w:p>
    <w:p w14:paraId="06F6A68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4.本项目不接受联合体投标。</w:t>
      </w:r>
    </w:p>
    <w:p w14:paraId="3D4FE28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（二）本项目的特定资格要求：</w:t>
      </w:r>
      <w:r>
        <w:rPr>
          <w:rFonts w:hint="eastAsia" w:ascii="宋体" w:hAnsi="宋体" w:eastAsia="宋体" w:cs="宋体"/>
          <w:b/>
          <w:bCs/>
          <w:color w:val="auto"/>
          <w:sz w:val="24"/>
          <w:szCs w:val="24"/>
          <w:highlight w:val="none"/>
          <w:lang w:val="en-US" w:eastAsia="zh-CN"/>
        </w:rPr>
        <w:t>供应商须为江苏企业“环保脸谱”（一企一档）管理信息系统入库企业(供应商提供加盖公章的网站截图)，或承诺成交后一个月内进入江苏企业“环保脸谱”（一企一档）管理信息系统（提供承诺函，格式自拟）。如供应商未进入管理信息系统导致无法承接工作的，采购人将终止合同并清退出场，采购人因此受到损失的，供应商承担赔偿责任</w:t>
      </w:r>
      <w:r>
        <w:rPr>
          <w:rFonts w:hint="eastAsia" w:ascii="宋体" w:hAnsi="宋体" w:eastAsia="宋体" w:cs="宋体"/>
          <w:color w:val="auto"/>
          <w:sz w:val="24"/>
          <w:szCs w:val="24"/>
          <w:highlight w:val="none"/>
          <w:lang w:val="en-US" w:eastAsia="zh-CN"/>
        </w:rPr>
        <w:t>。</w:t>
      </w:r>
    </w:p>
    <w:p w14:paraId="43E51D4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三、获取招标文件</w:t>
      </w:r>
    </w:p>
    <w:p w14:paraId="2DCB33A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lang w:eastAsia="zh-CN"/>
        </w:rPr>
        <w:t>2026年4月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2026年4月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，每天上午0:00-12:00，12:00-23:59（北京时间）</w:t>
      </w:r>
    </w:p>
    <w:p w14:paraId="540BF27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方式：在“江苏政府采购网”自行免费下载招标文件</w:t>
      </w:r>
    </w:p>
    <w:p w14:paraId="624AD2D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地点：投标人办理江苏省政府采购交易系统CA数字证书，登录“苏采云”政府采购交易系统，自行下载。</w:t>
      </w:r>
    </w:p>
    <w:p w14:paraId="47265C4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售价：0.00元</w:t>
      </w:r>
    </w:p>
    <w:p w14:paraId="726E20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四、提交投标文件截止时间、开标时间和地点</w:t>
      </w:r>
    </w:p>
    <w:p w14:paraId="4AD1E78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提交投标文件截止时间：</w:t>
      </w: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val="en-US" w:eastAsia="zh-CN"/>
        </w:rPr>
        <w:t>09:00:00（北京时间）</w:t>
      </w:r>
    </w:p>
    <w:p w14:paraId="7035414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开标时间：提交投标文件截止时间</w:t>
      </w:r>
    </w:p>
    <w:p w14:paraId="42BB3BE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开标地点：“苏采云”政府采购交易系统网上开标大厅</w:t>
      </w:r>
    </w:p>
    <w:p w14:paraId="562F3E3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五、公告期限</w:t>
      </w:r>
    </w:p>
    <w:p w14:paraId="72E90B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招标公告及招标文件公告期限为自本公告发布之日起5个工作日。</w:t>
      </w:r>
    </w:p>
    <w:p w14:paraId="794F9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六、其他补充事宜</w:t>
      </w:r>
    </w:p>
    <w:p w14:paraId="6C0FC9A5">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1.本次招标不收取投标保证金。</w:t>
      </w:r>
    </w:p>
    <w:p w14:paraId="4B744D3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2.本招标文件中斜体且有下划线部分为实质性要求和条件，供应商须逐条做出满足实质性要求和条件的响应，否则将按无效响应处理。</w:t>
      </w:r>
    </w:p>
    <w:p w14:paraId="5EA69E6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D2729B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Style w:val="20"/>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Style w:val="20"/>
          <w:rFonts w:hint="eastAsia" w:ascii="宋体" w:hAnsi="宋体" w:eastAsia="宋体" w:cs="宋体"/>
          <w:color w:val="auto"/>
          <w:sz w:val="24"/>
          <w:szCs w:val="24"/>
          <w:highlight w:val="none"/>
          <w:lang w:val="en-US" w:eastAsia="zh-CN"/>
        </w:rPr>
        <w:t>http://www.ccgp-jiangsu.gov.cn/jiangsu/zlxz</w:t>
      </w:r>
    </w:p>
    <w:p w14:paraId="10F6BD8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4"/>
          <w:szCs w:val="24"/>
          <w:highlight w:val="none"/>
          <w:lang w:val="en-US" w:eastAsia="zh-CN"/>
        </w:rPr>
      </w:pPr>
      <w:r>
        <w:rPr>
          <w:rStyle w:val="20"/>
          <w:rFonts w:hint="eastAsia" w:ascii="宋体" w:hAnsi="宋体" w:eastAsia="宋体" w:cs="宋体"/>
          <w:color w:val="auto"/>
          <w:sz w:val="24"/>
          <w:szCs w:val="24"/>
          <w:highlight w:val="none"/>
          <w:lang w:val="en-US" w:eastAsia="zh-CN"/>
        </w:rPr>
        <w:t>/ee/ee3a4bc5a3454a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a2b0d9312230633ce9.html</w:t>
      </w:r>
    </w:p>
    <w:p w14:paraId="5566A00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请投标人按照《操作手册》要求获取招标文件，制作、递交（上传）电子投标文件，参加开标，澄清、说明或者补正。因投标人未按要求操作原因导致电子投标文件被拒绝、造成无效响应的，自行承担一切损失。</w:t>
      </w:r>
    </w:p>
    <w:p w14:paraId="249370A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宋体" w:cs="Times New Roman"/>
          <w:b/>
          <w:bCs/>
          <w:color w:val="auto"/>
          <w:kern w:val="2"/>
          <w:sz w:val="32"/>
          <w:szCs w:val="32"/>
          <w:highlight w:val="none"/>
          <w:lang w:val="en-US" w:eastAsia="zh-CN" w:bidi="ar-SA"/>
        </w:rPr>
      </w:pPr>
      <w:r>
        <w:rPr>
          <w:rFonts w:hint="eastAsia" w:ascii="Times New Roman" w:hAnsi="Times New Roman" w:eastAsia="宋体" w:cs="Times New Roman"/>
          <w:b/>
          <w:bCs/>
          <w:color w:val="auto"/>
          <w:kern w:val="2"/>
          <w:sz w:val="32"/>
          <w:szCs w:val="32"/>
          <w:highlight w:val="none"/>
          <w:lang w:val="en-US" w:eastAsia="zh-CN" w:bidi="ar-SA"/>
        </w:rPr>
        <w:t>七、对本次招标提出询问，请按以下方式联系</w:t>
      </w:r>
    </w:p>
    <w:p w14:paraId="3EBDB2B0">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63FA68F6">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名称：连云港市市政公用事业发展中心</w:t>
      </w:r>
    </w:p>
    <w:p w14:paraId="511E123A">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地址：连云港市海州区南极南路64号</w:t>
      </w:r>
    </w:p>
    <w:p w14:paraId="31666B7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联系人：苏先生</w:t>
      </w:r>
    </w:p>
    <w:p w14:paraId="442F73DC">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联系方式：0518-830865980  13675203736</w:t>
      </w:r>
    </w:p>
    <w:p w14:paraId="27F4D00C">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13EF2EA5">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名称：江苏建友兴业工程项目管理有限公司</w:t>
      </w:r>
    </w:p>
    <w:p w14:paraId="0D3F68D6">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地址：连云港市海州区凤凰大道2-13号四楼408</w:t>
      </w:r>
    </w:p>
    <w:p w14:paraId="4C81BD6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联系人：宣工</w:t>
      </w:r>
    </w:p>
    <w:p w14:paraId="228E6A5C">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联系方式：0518-85816677   17751699355</w:t>
      </w:r>
    </w:p>
    <w:p w14:paraId="3DB9F9A9">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D962C8F">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项目联系人：苏先生</w:t>
      </w:r>
    </w:p>
    <w:p w14:paraId="70494C14">
      <w:pPr>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电话：0518-8308</w:t>
      </w:r>
      <w:bookmarkStart w:id="1" w:name="_Toc155796357"/>
      <w:r>
        <w:rPr>
          <w:rFonts w:hint="eastAsia" w:ascii="宋体" w:hAnsi="宋体" w:eastAsia="宋体" w:cs="宋体"/>
          <w:color w:val="auto"/>
          <w:sz w:val="24"/>
          <w:szCs w:val="24"/>
          <w:highlight w:val="none"/>
          <w:lang w:val="en-US" w:eastAsia="zh-CN"/>
        </w:rPr>
        <w:t>6598</w:t>
      </w:r>
      <w:r>
        <w:rPr>
          <w:rFonts w:hint="eastAsia" w:ascii="宋体" w:hAnsi="宋体" w:eastAsia="宋体" w:cs="宋体"/>
          <w:color w:val="auto"/>
          <w:sz w:val="24"/>
          <w:szCs w:val="24"/>
          <w:highlight w:val="none"/>
          <w:lang w:val="en-US" w:eastAsia="zh-CN"/>
        </w:rPr>
        <w:br w:type="page"/>
      </w:r>
    </w:p>
    <w:p w14:paraId="6A70EFB7">
      <w:pPr>
        <w:pStyle w:val="2"/>
        <w:spacing w:before="156" w:after="156" w:line="360" w:lineRule="auto"/>
        <w:jc w:val="center"/>
        <w:rPr>
          <w:rFonts w:ascii="黑体" w:hAnsi="黑体" w:eastAsia="黑体"/>
          <w:b w:val="0"/>
          <w:color w:val="auto"/>
          <w:highlight w:val="none"/>
        </w:rPr>
      </w:pPr>
      <w:r>
        <w:rPr>
          <w:rFonts w:hint="eastAsia" w:ascii="黑体" w:hAnsi="黑体" w:eastAsia="黑体"/>
          <w:b w:val="0"/>
          <w:color w:val="auto"/>
          <w:highlight w:val="none"/>
        </w:rPr>
        <w:t>第二章</w:t>
      </w:r>
      <w:r>
        <w:rPr>
          <w:rFonts w:hint="eastAsia" w:ascii="黑体" w:hAnsi="黑体" w:eastAsia="黑体"/>
          <w:b w:val="0"/>
          <w:color w:val="auto"/>
          <w:highlight w:val="none"/>
          <w:lang w:val="en-US" w:eastAsia="zh-CN"/>
        </w:rPr>
        <w:t xml:space="preserve"> </w:t>
      </w:r>
      <w:r>
        <w:rPr>
          <w:rFonts w:hint="eastAsia" w:ascii="黑体" w:hAnsi="黑体" w:eastAsia="黑体"/>
          <w:b w:val="0"/>
          <w:color w:val="auto"/>
          <w:highlight w:val="none"/>
          <w:lang w:eastAsia="zh-CN"/>
        </w:rPr>
        <w:t>投标人</w:t>
      </w:r>
      <w:r>
        <w:rPr>
          <w:rFonts w:hint="eastAsia" w:ascii="黑体" w:hAnsi="黑体" w:eastAsia="黑体"/>
          <w:b w:val="0"/>
          <w:color w:val="auto"/>
          <w:highlight w:val="none"/>
        </w:rPr>
        <w:t>须知</w:t>
      </w:r>
      <w:bookmarkEnd w:id="1"/>
    </w:p>
    <w:p w14:paraId="1D94EE9D">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一、总则</w:t>
      </w:r>
    </w:p>
    <w:p w14:paraId="193B722D">
      <w:pPr>
        <w:pStyle w:val="4"/>
        <w:keepNext/>
        <w:keepLines/>
        <w:pageBreakBefore w:val="0"/>
        <w:widowControl w:val="0"/>
        <w:kinsoku/>
        <w:wordWrap/>
        <w:overflowPunct/>
        <w:topLinePunct w:val="0"/>
        <w:autoSpaceDE/>
        <w:autoSpaceDN/>
        <w:bidi w:val="0"/>
        <w:adjustRightInd/>
        <w:snapToGrid/>
        <w:spacing w:before="0" w:after="0" w:line="500" w:lineRule="exact"/>
        <w:ind w:firstLine="561"/>
        <w:jc w:val="left"/>
        <w:textAlignment w:val="auto"/>
        <w:rPr>
          <w:rFonts w:hint="eastAsia"/>
          <w:color w:val="auto"/>
          <w:sz w:val="28"/>
          <w:szCs w:val="28"/>
          <w:highlight w:val="none"/>
        </w:rPr>
      </w:pPr>
      <w:r>
        <w:rPr>
          <w:rFonts w:hint="eastAsia"/>
          <w:color w:val="auto"/>
          <w:sz w:val="28"/>
          <w:szCs w:val="28"/>
          <w:highlight w:val="none"/>
        </w:rPr>
        <w:t>1、招标方式</w:t>
      </w:r>
    </w:p>
    <w:p w14:paraId="5E2ADB3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47FB5D5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rFonts w:hint="eastAsia" w:eastAsiaTheme="minorEastAsia"/>
          <w:color w:val="auto"/>
          <w:sz w:val="28"/>
          <w:szCs w:val="28"/>
          <w:highlight w:val="none"/>
          <w:lang w:eastAsia="zh-CN"/>
        </w:rPr>
      </w:pPr>
      <w:r>
        <w:rPr>
          <w:rFonts w:hint="eastAsia"/>
          <w:color w:val="auto"/>
          <w:sz w:val="28"/>
          <w:szCs w:val="28"/>
          <w:highlight w:val="none"/>
        </w:rPr>
        <w:t>2、合格的</w:t>
      </w:r>
      <w:r>
        <w:rPr>
          <w:rFonts w:hint="eastAsia"/>
          <w:color w:val="auto"/>
          <w:sz w:val="28"/>
          <w:szCs w:val="28"/>
          <w:highlight w:val="none"/>
          <w:lang w:eastAsia="zh-CN"/>
        </w:rPr>
        <w:t>投标人</w:t>
      </w:r>
    </w:p>
    <w:p w14:paraId="4B04E67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 满足招标公告中申请人的资格要求的规定。</w:t>
      </w:r>
    </w:p>
    <w:p w14:paraId="63E71F0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6CCE92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2.3满足本招标文件全部实质性要求和条件的规定。</w:t>
      </w:r>
    </w:p>
    <w:p w14:paraId="43C00B7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 符合上述条件的</w:t>
      </w:r>
      <w:r>
        <w:rPr>
          <w:rFonts w:hint="eastAsia"/>
          <w:color w:val="auto"/>
          <w:sz w:val="24"/>
          <w:szCs w:val="24"/>
          <w:highlight w:val="none"/>
          <w:lang w:eastAsia="zh-CN"/>
        </w:rPr>
        <w:t>投标人</w:t>
      </w:r>
      <w:r>
        <w:rPr>
          <w:rFonts w:hint="eastAsia"/>
          <w:color w:val="auto"/>
          <w:sz w:val="24"/>
          <w:szCs w:val="24"/>
          <w:highlight w:val="none"/>
        </w:rPr>
        <w:t>应承担投标及履约过程应承担的全部责任与义务。</w:t>
      </w:r>
    </w:p>
    <w:p w14:paraId="29369EE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3、适用法律</w:t>
      </w:r>
    </w:p>
    <w:p w14:paraId="2530EEF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3.1本次招标及由此产生的合同受中华人民共和国有关的法律法规制约和保护。</w:t>
      </w:r>
    </w:p>
    <w:p w14:paraId="788CAAC5">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4、投标费用</w:t>
      </w:r>
    </w:p>
    <w:p w14:paraId="10DB923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4.1</w:t>
      </w:r>
      <w:r>
        <w:rPr>
          <w:rFonts w:hint="eastAsia"/>
          <w:color w:val="auto"/>
          <w:sz w:val="24"/>
          <w:szCs w:val="24"/>
          <w:highlight w:val="none"/>
          <w:lang w:eastAsia="zh-CN"/>
        </w:rPr>
        <w:t>投标人</w:t>
      </w:r>
      <w:r>
        <w:rPr>
          <w:rFonts w:hint="eastAsia"/>
          <w:color w:val="auto"/>
          <w:sz w:val="24"/>
          <w:szCs w:val="24"/>
          <w:highlight w:val="none"/>
        </w:rPr>
        <w:t>应自行承担所有与参加投标有关的费用，无论投标过程中的做法和结果如何，采购人和</w:t>
      </w:r>
      <w:r>
        <w:rPr>
          <w:rFonts w:hint="eastAsia" w:eastAsia="宋体"/>
          <w:color w:val="auto"/>
          <w:sz w:val="24"/>
          <w:szCs w:val="24"/>
          <w:highlight w:val="none"/>
          <w:lang w:eastAsia="zh-CN"/>
        </w:rPr>
        <w:t>江苏建友兴业工程项目管理有限公司</w:t>
      </w:r>
      <w:r>
        <w:rPr>
          <w:rFonts w:hint="eastAsia"/>
          <w:color w:val="auto"/>
          <w:sz w:val="24"/>
          <w:szCs w:val="24"/>
          <w:highlight w:val="none"/>
        </w:rPr>
        <w:t>（</w:t>
      </w:r>
      <w:r>
        <w:rPr>
          <w:rFonts w:hint="eastAsia" w:eastAsia="宋体"/>
          <w:color w:val="auto"/>
          <w:sz w:val="24"/>
          <w:szCs w:val="24"/>
          <w:highlight w:val="none"/>
          <w:lang w:eastAsia="zh-CN"/>
        </w:rPr>
        <w:t>以下简称代理公司</w:t>
      </w:r>
      <w:r>
        <w:rPr>
          <w:rFonts w:hint="eastAsia"/>
          <w:color w:val="auto"/>
          <w:sz w:val="24"/>
          <w:szCs w:val="24"/>
          <w:highlight w:val="none"/>
        </w:rPr>
        <w:t>）在任何情况下均无义务和责任承担这些费用。</w:t>
      </w:r>
    </w:p>
    <w:p w14:paraId="7DE974A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4.2本次采购代理费按</w:t>
      </w:r>
      <w:r>
        <w:rPr>
          <w:rFonts w:hint="eastAsia"/>
          <w:color w:val="auto"/>
          <w:sz w:val="24"/>
          <w:szCs w:val="24"/>
          <w:highlight w:val="none"/>
          <w:lang w:val="en-US" w:eastAsia="zh-CN"/>
        </w:rPr>
        <w:t>8000元计取</w:t>
      </w:r>
      <w:r>
        <w:rPr>
          <w:rFonts w:hint="eastAsia"/>
          <w:color w:val="auto"/>
          <w:sz w:val="24"/>
          <w:szCs w:val="24"/>
          <w:highlight w:val="none"/>
        </w:rPr>
        <w:t>，</w:t>
      </w:r>
      <w:r>
        <w:rPr>
          <w:rFonts w:hint="eastAsia"/>
          <w:color w:val="auto"/>
          <w:sz w:val="24"/>
          <w:szCs w:val="24"/>
          <w:highlight w:val="none"/>
          <w:lang w:eastAsia="zh-CN"/>
        </w:rPr>
        <w:t>投标人</w:t>
      </w:r>
      <w:r>
        <w:rPr>
          <w:rFonts w:hint="eastAsia"/>
          <w:color w:val="auto"/>
          <w:sz w:val="24"/>
          <w:szCs w:val="24"/>
          <w:highlight w:val="none"/>
        </w:rPr>
        <w:t>在报价时应综合考虑以上相关费用，但不得单列。相关费用必须在中标公示后中标通知书发出前由中标人一次性付清。</w:t>
      </w:r>
    </w:p>
    <w:p w14:paraId="1F999409">
      <w:pPr>
        <w:pStyle w:val="4"/>
        <w:keepNext/>
        <w:keepLines/>
        <w:pageBreakBefore w:val="0"/>
        <w:widowControl w:val="0"/>
        <w:kinsoku/>
        <w:wordWrap/>
        <w:overflowPunct/>
        <w:topLinePunct w:val="0"/>
        <w:autoSpaceDE/>
        <w:autoSpaceDN/>
        <w:bidi w:val="0"/>
        <w:adjustRightInd/>
        <w:snapToGrid/>
        <w:spacing w:before="0" w:after="0" w:line="500" w:lineRule="exact"/>
        <w:ind w:firstLine="561"/>
        <w:jc w:val="left"/>
        <w:textAlignment w:val="auto"/>
        <w:rPr>
          <w:rFonts w:hint="eastAsia"/>
          <w:color w:val="auto"/>
          <w:sz w:val="28"/>
          <w:szCs w:val="28"/>
          <w:highlight w:val="none"/>
        </w:rPr>
      </w:pPr>
      <w:r>
        <w:rPr>
          <w:rFonts w:hint="eastAsia"/>
          <w:color w:val="auto"/>
          <w:sz w:val="28"/>
          <w:szCs w:val="28"/>
          <w:highlight w:val="none"/>
        </w:rPr>
        <w:t>5、招标文件的约束力</w:t>
      </w:r>
    </w:p>
    <w:p w14:paraId="3EA650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5.1 </w:t>
      </w:r>
      <w:r>
        <w:rPr>
          <w:rFonts w:hint="eastAsia"/>
          <w:color w:val="auto"/>
          <w:sz w:val="24"/>
          <w:szCs w:val="24"/>
          <w:highlight w:val="none"/>
          <w:lang w:eastAsia="zh-CN"/>
        </w:rPr>
        <w:t>投标人</w:t>
      </w:r>
      <w:r>
        <w:rPr>
          <w:rFonts w:hint="eastAsia"/>
          <w:color w:val="auto"/>
          <w:sz w:val="24"/>
          <w:szCs w:val="24"/>
          <w:highlight w:val="none"/>
        </w:rPr>
        <w:t>一旦参加本项目采购活动，即被认为接受了本招标文件的规定和约束。</w:t>
      </w:r>
    </w:p>
    <w:p w14:paraId="347A345C">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二、招标文件</w:t>
      </w:r>
    </w:p>
    <w:p w14:paraId="4A667207">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6、招标文件的构成</w:t>
      </w:r>
    </w:p>
    <w:p w14:paraId="6E26948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6.1招标文件由以下部分</w:t>
      </w:r>
      <w:r>
        <w:rPr>
          <w:rFonts w:hint="eastAsia" w:ascii="宋体" w:hAnsi="宋体"/>
          <w:color w:val="auto"/>
          <w:sz w:val="24"/>
          <w:highlight w:val="none"/>
        </w:rPr>
        <w:t>组成</w:t>
      </w:r>
      <w:r>
        <w:rPr>
          <w:rFonts w:hint="eastAsia"/>
          <w:color w:val="auto"/>
          <w:sz w:val="24"/>
          <w:szCs w:val="24"/>
          <w:highlight w:val="none"/>
        </w:rPr>
        <w:t>：</w:t>
      </w:r>
    </w:p>
    <w:p w14:paraId="689134E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（1）投标邀请</w:t>
      </w:r>
    </w:p>
    <w:p w14:paraId="1EDA897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须知</w:t>
      </w:r>
    </w:p>
    <w:p w14:paraId="0805556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（3）合同文本</w:t>
      </w:r>
    </w:p>
    <w:p w14:paraId="612A1B1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（4）采购需求</w:t>
      </w:r>
    </w:p>
    <w:p w14:paraId="0E86938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（5）评标方法与评标标准</w:t>
      </w:r>
    </w:p>
    <w:p w14:paraId="53F4B7C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（6）投标文件格式</w:t>
      </w:r>
    </w:p>
    <w:p w14:paraId="28FAE5CF">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请仔细检查招标文件是否齐全，如有缺漏请立即与</w:t>
      </w:r>
      <w:r>
        <w:rPr>
          <w:rFonts w:hint="eastAsia"/>
          <w:color w:val="auto"/>
          <w:sz w:val="24"/>
          <w:szCs w:val="24"/>
          <w:highlight w:val="none"/>
          <w:lang w:eastAsia="zh-CN"/>
        </w:rPr>
        <w:t>代理公司</w:t>
      </w:r>
      <w:r>
        <w:rPr>
          <w:rFonts w:hint="eastAsia"/>
          <w:color w:val="auto"/>
          <w:sz w:val="24"/>
          <w:szCs w:val="24"/>
          <w:highlight w:val="none"/>
        </w:rPr>
        <w:t>联系解决。</w:t>
      </w:r>
    </w:p>
    <w:p w14:paraId="73B9DB1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 xml:space="preserve">6.2 </w:t>
      </w:r>
      <w:r>
        <w:rPr>
          <w:rFonts w:hint="eastAsia"/>
          <w:color w:val="auto"/>
          <w:sz w:val="24"/>
          <w:szCs w:val="24"/>
          <w:highlight w:val="none"/>
          <w:lang w:eastAsia="zh-CN"/>
        </w:rPr>
        <w:t>投标人</w:t>
      </w:r>
      <w:r>
        <w:rPr>
          <w:rFonts w:hint="eastAsia"/>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szCs w:val="24"/>
          <w:highlight w:val="none"/>
          <w:lang w:eastAsia="zh-CN"/>
        </w:rPr>
        <w:t>投标人</w:t>
      </w:r>
      <w:r>
        <w:rPr>
          <w:rFonts w:hint="eastAsia"/>
          <w:color w:val="auto"/>
          <w:sz w:val="24"/>
          <w:szCs w:val="24"/>
          <w:highlight w:val="none"/>
        </w:rPr>
        <w:t>自行承担。</w:t>
      </w:r>
    </w:p>
    <w:p w14:paraId="000DC8F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7、招标文件的澄清</w:t>
      </w:r>
    </w:p>
    <w:p w14:paraId="38D997F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7.1任何要求对招标文件进行澄清的</w:t>
      </w:r>
      <w:r>
        <w:rPr>
          <w:rFonts w:hint="eastAsia"/>
          <w:color w:val="auto"/>
          <w:sz w:val="24"/>
          <w:szCs w:val="24"/>
          <w:highlight w:val="none"/>
          <w:lang w:eastAsia="zh-CN"/>
        </w:rPr>
        <w:t>投标人</w:t>
      </w:r>
      <w:r>
        <w:rPr>
          <w:rFonts w:hint="eastAsia"/>
          <w:color w:val="auto"/>
          <w:sz w:val="24"/>
          <w:szCs w:val="24"/>
          <w:highlight w:val="none"/>
        </w:rPr>
        <w:t>，应在投标截止时间十日前按招标公告中的通讯地址，以书面形式通知采购人或者</w:t>
      </w:r>
      <w:r>
        <w:rPr>
          <w:rFonts w:hint="eastAsia"/>
          <w:color w:val="auto"/>
          <w:sz w:val="24"/>
          <w:szCs w:val="24"/>
          <w:highlight w:val="none"/>
          <w:lang w:eastAsia="zh-CN"/>
        </w:rPr>
        <w:t>代理公司</w:t>
      </w:r>
      <w:r>
        <w:rPr>
          <w:rFonts w:hint="eastAsia"/>
          <w:color w:val="auto"/>
          <w:sz w:val="24"/>
          <w:szCs w:val="24"/>
          <w:highlight w:val="none"/>
        </w:rPr>
        <w:t>。</w:t>
      </w:r>
    </w:p>
    <w:p w14:paraId="5FEF8C5C">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8、招标文件的修改</w:t>
      </w:r>
    </w:p>
    <w:p w14:paraId="5D65BC7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8.1在投标截止时间前，采购人和</w:t>
      </w:r>
      <w:r>
        <w:rPr>
          <w:rFonts w:hint="eastAsia" w:eastAsia="宋体"/>
          <w:color w:val="auto"/>
          <w:sz w:val="24"/>
          <w:szCs w:val="24"/>
          <w:highlight w:val="none"/>
          <w:lang w:eastAsia="zh-CN"/>
        </w:rPr>
        <w:t>代理公司</w:t>
      </w:r>
      <w:r>
        <w:rPr>
          <w:rFonts w:hint="eastAsia"/>
          <w:color w:val="auto"/>
          <w:sz w:val="24"/>
          <w:szCs w:val="24"/>
          <w:highlight w:val="none"/>
        </w:rPr>
        <w:t>可以对招标文件进行修改。</w:t>
      </w:r>
    </w:p>
    <w:p w14:paraId="0EF333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8.2采购人和</w:t>
      </w:r>
      <w:r>
        <w:rPr>
          <w:rFonts w:hint="eastAsia" w:eastAsia="宋体"/>
          <w:color w:val="auto"/>
          <w:sz w:val="24"/>
          <w:szCs w:val="24"/>
          <w:highlight w:val="none"/>
          <w:lang w:eastAsia="zh-CN"/>
        </w:rPr>
        <w:t>代理公司</w:t>
      </w:r>
      <w:r>
        <w:rPr>
          <w:rFonts w:hint="eastAsia"/>
          <w:color w:val="auto"/>
          <w:sz w:val="24"/>
          <w:szCs w:val="24"/>
          <w:highlight w:val="none"/>
        </w:rPr>
        <w:t>有权按照法定的要求推迟投标截止日期和开标日期。</w:t>
      </w:r>
    </w:p>
    <w:p w14:paraId="3F77606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8.3招标文件的修改将在江苏政府采购网公布，补充文件将作为招标文件的组成部分，并对</w:t>
      </w:r>
      <w:r>
        <w:rPr>
          <w:rFonts w:hint="eastAsia"/>
          <w:color w:val="auto"/>
          <w:sz w:val="24"/>
          <w:szCs w:val="24"/>
          <w:highlight w:val="none"/>
          <w:lang w:eastAsia="zh-CN"/>
        </w:rPr>
        <w:t>投标人</w:t>
      </w:r>
      <w:r>
        <w:rPr>
          <w:rFonts w:hint="eastAsia"/>
          <w:color w:val="auto"/>
          <w:sz w:val="24"/>
          <w:szCs w:val="24"/>
          <w:highlight w:val="none"/>
        </w:rPr>
        <w:t>具有约束力。</w:t>
      </w:r>
    </w:p>
    <w:p w14:paraId="6B24FA41">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三、投标文件编制</w:t>
      </w:r>
    </w:p>
    <w:p w14:paraId="76A7954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9、投标文件编写注意事项</w:t>
      </w:r>
    </w:p>
    <w:p w14:paraId="41CAC0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投标人</w:t>
      </w:r>
      <w:r>
        <w:rPr>
          <w:rFonts w:hint="eastAsia"/>
          <w:color w:val="auto"/>
          <w:sz w:val="24"/>
          <w:szCs w:val="24"/>
          <w:highlight w:val="none"/>
        </w:rPr>
        <w:t>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19BCB0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9.2 对招标文件提出的实质性要求和条件作出响应是指</w:t>
      </w:r>
      <w:r>
        <w:rPr>
          <w:rFonts w:hint="eastAsia"/>
          <w:color w:val="auto"/>
          <w:sz w:val="24"/>
          <w:szCs w:val="24"/>
          <w:highlight w:val="none"/>
          <w:lang w:eastAsia="zh-CN"/>
        </w:rPr>
        <w:t>投标人</w:t>
      </w:r>
      <w:r>
        <w:rPr>
          <w:rFonts w:hint="eastAsia"/>
          <w:color w:val="auto"/>
          <w:sz w:val="24"/>
          <w:szCs w:val="24"/>
          <w:highlight w:val="none"/>
        </w:rPr>
        <w:t>必须对招标文件中标明实质性要求和条件的技术参数及性能配置、数量、价格、售后服务、合同主要条款</w:t>
      </w:r>
      <w:r>
        <w:rPr>
          <w:rFonts w:hint="eastAsia"/>
          <w:color w:val="auto"/>
          <w:sz w:val="24"/>
          <w:szCs w:val="24"/>
          <w:highlight w:val="none"/>
          <w:lang w:eastAsia="zh-CN"/>
        </w:rPr>
        <w:t>及其他</w:t>
      </w:r>
      <w:r>
        <w:rPr>
          <w:rFonts w:hint="eastAsia"/>
          <w:color w:val="auto"/>
          <w:sz w:val="24"/>
          <w:szCs w:val="24"/>
          <w:highlight w:val="none"/>
        </w:rPr>
        <w:t>要求等内容逐条作出满足原要求和条件的响应。</w:t>
      </w:r>
    </w:p>
    <w:p w14:paraId="22EFF2A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10、投标文件的语言及度量衡单位</w:t>
      </w:r>
    </w:p>
    <w:p w14:paraId="78DB7A7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10.1除专用术语外，</w:t>
      </w:r>
      <w:r>
        <w:rPr>
          <w:rFonts w:hint="eastAsia"/>
          <w:color w:val="auto"/>
          <w:sz w:val="24"/>
          <w:szCs w:val="24"/>
          <w:highlight w:val="none"/>
          <w:lang w:eastAsia="zh-CN"/>
        </w:rPr>
        <w:t>投标人</w:t>
      </w:r>
      <w:r>
        <w:rPr>
          <w:rFonts w:hint="eastAsia"/>
          <w:color w:val="auto"/>
          <w:sz w:val="24"/>
          <w:szCs w:val="24"/>
          <w:highlight w:val="none"/>
        </w:rPr>
        <w:t>提交的投标文件以及</w:t>
      </w:r>
      <w:r>
        <w:rPr>
          <w:rFonts w:hint="eastAsia"/>
          <w:color w:val="auto"/>
          <w:sz w:val="24"/>
          <w:szCs w:val="24"/>
          <w:highlight w:val="none"/>
          <w:lang w:eastAsia="zh-CN"/>
        </w:rPr>
        <w:t>投标人</w:t>
      </w:r>
      <w:r>
        <w:rPr>
          <w:rFonts w:hint="eastAsia"/>
          <w:color w:val="auto"/>
          <w:sz w:val="24"/>
          <w:szCs w:val="24"/>
          <w:highlight w:val="none"/>
        </w:rPr>
        <w:t>与采购人和</w:t>
      </w:r>
      <w:r>
        <w:rPr>
          <w:rFonts w:hint="eastAsia" w:eastAsia="宋体"/>
          <w:color w:val="auto"/>
          <w:sz w:val="24"/>
          <w:szCs w:val="24"/>
          <w:highlight w:val="none"/>
          <w:lang w:eastAsia="zh-CN"/>
        </w:rPr>
        <w:t>代理公司</w:t>
      </w:r>
      <w:r>
        <w:rPr>
          <w:rFonts w:hint="eastAsia"/>
          <w:color w:val="auto"/>
          <w:sz w:val="24"/>
          <w:szCs w:val="24"/>
          <w:highlight w:val="none"/>
        </w:rPr>
        <w:t>就有关投标的所有来往通知、函件和文件均应使用简体中文。必要时专用术语应附有中文解释。</w:t>
      </w:r>
      <w:r>
        <w:rPr>
          <w:rFonts w:hint="eastAsia"/>
          <w:color w:val="auto"/>
          <w:sz w:val="24"/>
          <w:szCs w:val="24"/>
          <w:highlight w:val="none"/>
          <w:lang w:eastAsia="zh-CN"/>
        </w:rPr>
        <w:t>投标人</w:t>
      </w:r>
      <w:r>
        <w:rPr>
          <w:rFonts w:hint="eastAsia"/>
          <w:color w:val="auto"/>
          <w:sz w:val="24"/>
          <w:szCs w:val="24"/>
          <w:highlight w:val="none"/>
        </w:rPr>
        <w:t>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投标人</w:t>
      </w:r>
      <w:r>
        <w:rPr>
          <w:rFonts w:hint="eastAsia"/>
          <w:color w:val="auto"/>
          <w:sz w:val="24"/>
          <w:szCs w:val="24"/>
          <w:highlight w:val="none"/>
        </w:rPr>
        <w:t>自行承担。</w:t>
      </w:r>
    </w:p>
    <w:p w14:paraId="20521FF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3704F7F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11、投标文件的构成</w:t>
      </w:r>
    </w:p>
    <w:p w14:paraId="48F7131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11.1</w:t>
      </w:r>
      <w:r>
        <w:rPr>
          <w:rFonts w:hint="eastAsia"/>
          <w:color w:val="auto"/>
          <w:sz w:val="24"/>
          <w:szCs w:val="24"/>
          <w:highlight w:val="none"/>
          <w:lang w:eastAsia="zh-CN"/>
        </w:rPr>
        <w:t>投标人</w:t>
      </w:r>
      <w:r>
        <w:rPr>
          <w:rFonts w:hint="eastAsia"/>
          <w:color w:val="auto"/>
          <w:sz w:val="24"/>
          <w:szCs w:val="24"/>
          <w:highlight w:val="none"/>
        </w:rPr>
        <w:t>编写的投标文件应包括资格证明文件、符合性证明文件、投标分项报价表、技术要求响应及偏离表（如有请提供）、商务要求响应及偏离表、其他证明文件、投标函、开标一览表等部分。</w:t>
      </w:r>
    </w:p>
    <w:p w14:paraId="7A03A87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11.2如投标文件制作工具</w:t>
      </w:r>
      <w:r>
        <w:rPr>
          <w:rFonts w:hint="eastAsia"/>
          <w:color w:val="auto"/>
          <w:sz w:val="24"/>
          <w:szCs w:val="24"/>
          <w:highlight w:val="none"/>
          <w:lang w:eastAsia="zh-CN"/>
        </w:rPr>
        <w:t>中的</w:t>
      </w:r>
      <w:r>
        <w:rPr>
          <w:rFonts w:hint="eastAsia"/>
          <w:color w:val="auto"/>
          <w:sz w:val="24"/>
          <w:szCs w:val="24"/>
          <w:highlight w:val="none"/>
        </w:rPr>
        <w:t>格式和内容与江苏政府采购网发布的招标文件不一致，请以江苏政府采购网发布的招标文件为准。</w:t>
      </w:r>
    </w:p>
    <w:p w14:paraId="6FD7831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11.3 特别提醒</w:t>
      </w:r>
      <w:r>
        <w:rPr>
          <w:rFonts w:hint="eastAsia"/>
          <w:color w:val="auto"/>
          <w:sz w:val="24"/>
          <w:szCs w:val="24"/>
          <w:highlight w:val="none"/>
          <w:lang w:eastAsia="zh-CN"/>
        </w:rPr>
        <w:t>投标人</w:t>
      </w:r>
      <w:r>
        <w:rPr>
          <w:rFonts w:hint="eastAsia"/>
          <w:color w:val="auto"/>
          <w:sz w:val="24"/>
          <w:szCs w:val="24"/>
          <w:highlight w:val="none"/>
        </w:rPr>
        <w:t>，混乱的编排导致投标文件被误读或评标委员会（以下简称评委会）查找不到有效文件是</w:t>
      </w:r>
      <w:r>
        <w:rPr>
          <w:rFonts w:hint="eastAsia"/>
          <w:color w:val="auto"/>
          <w:sz w:val="24"/>
          <w:szCs w:val="24"/>
          <w:highlight w:val="none"/>
          <w:lang w:eastAsia="zh-CN"/>
        </w:rPr>
        <w:t>投标人</w:t>
      </w:r>
      <w:r>
        <w:rPr>
          <w:rFonts w:hint="eastAsia"/>
          <w:color w:val="auto"/>
          <w:sz w:val="24"/>
          <w:szCs w:val="24"/>
          <w:highlight w:val="none"/>
        </w:rPr>
        <w:t>的风险。</w:t>
      </w:r>
    </w:p>
    <w:p w14:paraId="334E8A7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12、证明</w:t>
      </w:r>
      <w:r>
        <w:rPr>
          <w:rFonts w:hint="eastAsia"/>
          <w:color w:val="auto"/>
          <w:sz w:val="28"/>
          <w:szCs w:val="28"/>
          <w:highlight w:val="none"/>
          <w:lang w:eastAsia="zh-CN"/>
        </w:rPr>
        <w:t>投标人</w:t>
      </w:r>
      <w:r>
        <w:rPr>
          <w:rFonts w:hint="eastAsia"/>
          <w:color w:val="auto"/>
          <w:sz w:val="28"/>
          <w:szCs w:val="28"/>
          <w:highlight w:val="none"/>
        </w:rPr>
        <w:t>及投标标的符合招标文件规定的文件</w:t>
      </w:r>
    </w:p>
    <w:p w14:paraId="7DFC10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12.1</w:t>
      </w:r>
      <w:r>
        <w:rPr>
          <w:rFonts w:hint="eastAsia"/>
          <w:color w:val="auto"/>
          <w:sz w:val="24"/>
          <w:szCs w:val="24"/>
          <w:highlight w:val="none"/>
          <w:lang w:eastAsia="zh-CN"/>
        </w:rPr>
        <w:t>投标人</w:t>
      </w:r>
      <w:r>
        <w:rPr>
          <w:rFonts w:hint="eastAsia"/>
          <w:color w:val="auto"/>
          <w:sz w:val="24"/>
          <w:szCs w:val="24"/>
          <w:highlight w:val="none"/>
        </w:rPr>
        <w:t>应按照招标文件要求提交证明文件，证明其及投标标的符合招标文件规定。</w:t>
      </w:r>
    </w:p>
    <w:p w14:paraId="5E5F04B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12.2招标文件对证明文件无明确形式要求的，证明文件可以以文字资料、图纸和数据等形式提交。</w:t>
      </w:r>
    </w:p>
    <w:p w14:paraId="3D52208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12.3 </w:t>
      </w:r>
      <w:r>
        <w:rPr>
          <w:rFonts w:hint="eastAsia"/>
          <w:color w:val="auto"/>
          <w:sz w:val="24"/>
          <w:szCs w:val="24"/>
          <w:highlight w:val="none"/>
          <w:lang w:eastAsia="zh-CN"/>
        </w:rPr>
        <w:t>投标人</w:t>
      </w:r>
      <w:r>
        <w:rPr>
          <w:rFonts w:hint="eastAsia"/>
          <w:color w:val="auto"/>
          <w:sz w:val="24"/>
          <w:szCs w:val="24"/>
          <w:highlight w:val="none"/>
        </w:rPr>
        <w:t>委托代理时应当提交授权委托书，请按招标文件第六章</w:t>
      </w:r>
      <w:r>
        <w:rPr>
          <w:rFonts w:hint="eastAsia"/>
          <w:color w:val="auto"/>
          <w:sz w:val="24"/>
          <w:szCs w:val="24"/>
          <w:highlight w:val="none"/>
          <w:lang w:eastAsia="zh-CN"/>
        </w:rPr>
        <w:t>规定</w:t>
      </w:r>
      <w:r>
        <w:rPr>
          <w:rFonts w:hint="eastAsia"/>
          <w:color w:val="auto"/>
          <w:sz w:val="24"/>
          <w:szCs w:val="24"/>
          <w:highlight w:val="none"/>
        </w:rPr>
        <w:t>格式及要求填写并附法定代表人（单位负责人）与委托代理人身份证明。</w:t>
      </w:r>
    </w:p>
    <w:p w14:paraId="05D2FFA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highlight w:val="none"/>
        </w:rPr>
      </w:pPr>
      <w:r>
        <w:rPr>
          <w:rFonts w:hint="eastAsia"/>
          <w:color w:val="auto"/>
          <w:sz w:val="28"/>
          <w:szCs w:val="28"/>
          <w:highlight w:val="none"/>
        </w:rPr>
        <w:t>13、投标分项报价表</w:t>
      </w:r>
    </w:p>
    <w:p w14:paraId="0DE2AA0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13.1</w:t>
      </w:r>
      <w:r>
        <w:rPr>
          <w:rFonts w:hint="eastAsia"/>
          <w:color w:val="auto"/>
          <w:sz w:val="24"/>
          <w:szCs w:val="24"/>
          <w:highlight w:val="none"/>
          <w:lang w:eastAsia="zh-CN"/>
        </w:rPr>
        <w:t>投标人</w:t>
      </w:r>
      <w:r>
        <w:rPr>
          <w:rFonts w:hint="eastAsia"/>
          <w:color w:val="auto"/>
          <w:sz w:val="24"/>
          <w:szCs w:val="24"/>
          <w:highlight w:val="none"/>
        </w:rPr>
        <w:t>应根据投标报价要求在投标分项报价表中列明各项投标单价、总价等，未全部列示的作无效响应处理。</w:t>
      </w:r>
    </w:p>
    <w:p w14:paraId="1319371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13.2投标文件中的单价和总价无特殊规定的采用人民币报价，以元为单位标注。招标文件中另有规定的按规定执行。</w:t>
      </w:r>
    </w:p>
    <w:p w14:paraId="04BE927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14、技术要求响应及偏离表、商务要求响应及偏离表</w:t>
      </w:r>
    </w:p>
    <w:p w14:paraId="7F07BBC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投标人</w:t>
      </w:r>
      <w:r>
        <w:rPr>
          <w:rFonts w:hint="eastAsia"/>
          <w:color w:val="auto"/>
          <w:sz w:val="24"/>
          <w:szCs w:val="24"/>
          <w:highlight w:val="none"/>
        </w:rPr>
        <w:t>需对招标文件中的技术要求与商务要求逐项作出响应或偏离。</w:t>
      </w:r>
    </w:p>
    <w:p w14:paraId="7AC57BD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14.2</w:t>
      </w:r>
      <w:r>
        <w:rPr>
          <w:rFonts w:hint="eastAsia"/>
          <w:color w:val="auto"/>
          <w:sz w:val="24"/>
          <w:szCs w:val="24"/>
          <w:highlight w:val="none"/>
          <w:lang w:eastAsia="zh-CN"/>
        </w:rPr>
        <w:t>投标人</w:t>
      </w:r>
      <w:r>
        <w:rPr>
          <w:rFonts w:hint="eastAsia"/>
          <w:color w:val="auto"/>
          <w:sz w:val="24"/>
          <w:szCs w:val="24"/>
          <w:highlight w:val="none"/>
        </w:rPr>
        <w:t>可在投标文件中提供认为需要的其他技术文件或说明。</w:t>
      </w:r>
    </w:p>
    <w:p w14:paraId="65FD558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15、服务承诺、培训计划、人员安排及其他</w:t>
      </w:r>
    </w:p>
    <w:p w14:paraId="1DD9487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15.1</w:t>
      </w:r>
      <w:r>
        <w:rPr>
          <w:rFonts w:hint="eastAsia"/>
          <w:color w:val="auto"/>
          <w:sz w:val="24"/>
          <w:szCs w:val="24"/>
          <w:highlight w:val="none"/>
          <w:lang w:eastAsia="zh-CN"/>
        </w:rPr>
        <w:t>投标人</w:t>
      </w:r>
      <w:r>
        <w:rPr>
          <w:rFonts w:hint="eastAsia"/>
          <w:color w:val="auto"/>
          <w:sz w:val="24"/>
          <w:szCs w:val="24"/>
          <w:highlight w:val="none"/>
        </w:rPr>
        <w:t>需根据招标文件要求提供有关售后服务的管理制度，售后服务机构的分布情况，售后服务人员的数量、素质、技术水平及售后服务的反应能力等。</w:t>
      </w:r>
    </w:p>
    <w:p w14:paraId="16620CD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15.2</w:t>
      </w:r>
      <w:r>
        <w:rPr>
          <w:rFonts w:hint="eastAsia"/>
          <w:color w:val="auto"/>
          <w:sz w:val="24"/>
          <w:szCs w:val="24"/>
          <w:highlight w:val="none"/>
          <w:lang w:eastAsia="zh-CN"/>
        </w:rPr>
        <w:t>投标人</w:t>
      </w:r>
      <w:r>
        <w:rPr>
          <w:rFonts w:hint="eastAsia"/>
          <w:color w:val="auto"/>
          <w:sz w:val="24"/>
          <w:szCs w:val="24"/>
          <w:highlight w:val="none"/>
        </w:rPr>
        <w:t>需根据招标文件要求提供培训计划、人员安排等。</w:t>
      </w:r>
    </w:p>
    <w:p w14:paraId="7899D15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15.3</w:t>
      </w:r>
      <w:r>
        <w:rPr>
          <w:rFonts w:hint="eastAsia"/>
          <w:color w:val="auto"/>
          <w:sz w:val="24"/>
          <w:szCs w:val="24"/>
          <w:highlight w:val="none"/>
          <w:lang w:eastAsia="zh-CN"/>
        </w:rPr>
        <w:t>投标人</w:t>
      </w:r>
      <w:r>
        <w:rPr>
          <w:rFonts w:hint="eastAsia"/>
          <w:color w:val="auto"/>
          <w:sz w:val="24"/>
          <w:szCs w:val="24"/>
          <w:highlight w:val="none"/>
        </w:rPr>
        <w:t>需根据招标文件要求提供所投标</w:t>
      </w:r>
      <w:r>
        <w:rPr>
          <w:rFonts w:hint="eastAsia"/>
          <w:color w:val="auto"/>
          <w:sz w:val="24"/>
          <w:szCs w:val="24"/>
          <w:highlight w:val="none"/>
          <w:lang w:eastAsia="zh-CN"/>
        </w:rPr>
        <w:t>的主要</w:t>
      </w:r>
      <w:r>
        <w:rPr>
          <w:rFonts w:hint="eastAsia"/>
          <w:color w:val="auto"/>
          <w:sz w:val="24"/>
          <w:szCs w:val="24"/>
          <w:highlight w:val="none"/>
        </w:rPr>
        <w:t>组成部分、功能设计、实现思路及关键技术等。</w:t>
      </w:r>
    </w:p>
    <w:p w14:paraId="05E8C62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16、投标函和开标一览表</w:t>
      </w:r>
    </w:p>
    <w:p w14:paraId="0F3DCB3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16.1</w:t>
      </w:r>
      <w:r>
        <w:rPr>
          <w:rFonts w:hint="eastAsia"/>
          <w:color w:val="auto"/>
          <w:sz w:val="24"/>
          <w:szCs w:val="24"/>
          <w:highlight w:val="none"/>
          <w:lang w:eastAsia="zh-CN"/>
        </w:rPr>
        <w:t>投标人</w:t>
      </w:r>
      <w:r>
        <w:rPr>
          <w:rFonts w:hint="eastAsia"/>
          <w:color w:val="auto"/>
          <w:sz w:val="24"/>
          <w:szCs w:val="24"/>
          <w:highlight w:val="none"/>
        </w:rPr>
        <w:t>应按照招标文件中提供的格式完整、正确填写投标函、开标一览表。</w:t>
      </w:r>
    </w:p>
    <w:p w14:paraId="79659B3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16.2对于采用货币报价的项目，开标一览表中的投标总报价应与投标分项报价表中的投标总报价一致，如不一致，不做无效投标处理，但评标时以开标一览表中价格为准。</w:t>
      </w:r>
    </w:p>
    <w:p w14:paraId="166A77E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17、投标有效期</w:t>
      </w:r>
    </w:p>
    <w:p w14:paraId="4B1C565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17.1投标有效期为招标文件规定的开标之日后六十（60）天。投标有效期比规定短的将被视为未实质性响应招标文件而予以拒绝。</w:t>
      </w:r>
    </w:p>
    <w:p w14:paraId="3F71008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17.2在特殊情况下，</w:t>
      </w:r>
      <w:r>
        <w:rPr>
          <w:rFonts w:hint="eastAsia" w:eastAsia="宋体"/>
          <w:color w:val="auto"/>
          <w:sz w:val="24"/>
          <w:szCs w:val="24"/>
          <w:highlight w:val="none"/>
          <w:lang w:eastAsia="zh-CN"/>
        </w:rPr>
        <w:t>代理公司</w:t>
      </w:r>
      <w:r>
        <w:rPr>
          <w:rFonts w:hint="eastAsia"/>
          <w:color w:val="auto"/>
          <w:sz w:val="24"/>
          <w:szCs w:val="24"/>
          <w:highlight w:val="none"/>
        </w:rPr>
        <w:t>于原投标有效期满之前，可向</w:t>
      </w:r>
      <w:r>
        <w:rPr>
          <w:rFonts w:hint="eastAsia"/>
          <w:color w:val="auto"/>
          <w:sz w:val="24"/>
          <w:szCs w:val="24"/>
          <w:highlight w:val="none"/>
          <w:lang w:eastAsia="zh-CN"/>
        </w:rPr>
        <w:t>投标人</w:t>
      </w:r>
      <w:r>
        <w:rPr>
          <w:rFonts w:hint="eastAsia"/>
          <w:color w:val="auto"/>
          <w:sz w:val="24"/>
          <w:szCs w:val="24"/>
          <w:highlight w:val="none"/>
        </w:rPr>
        <w:t>提出延长投标有效期的要求。这种要求与答复均应采用书面形式。</w:t>
      </w:r>
      <w:r>
        <w:rPr>
          <w:rFonts w:hint="eastAsia"/>
          <w:color w:val="auto"/>
          <w:sz w:val="24"/>
          <w:szCs w:val="24"/>
          <w:highlight w:val="none"/>
          <w:lang w:eastAsia="zh-CN"/>
        </w:rPr>
        <w:t>投标人</w:t>
      </w:r>
      <w:r>
        <w:rPr>
          <w:rFonts w:hint="eastAsia"/>
          <w:color w:val="auto"/>
          <w:sz w:val="24"/>
          <w:szCs w:val="24"/>
          <w:highlight w:val="none"/>
        </w:rPr>
        <w:t>可以拒绝</w:t>
      </w:r>
      <w:r>
        <w:rPr>
          <w:rFonts w:hint="eastAsia" w:eastAsia="宋体"/>
          <w:color w:val="auto"/>
          <w:sz w:val="24"/>
          <w:szCs w:val="24"/>
          <w:highlight w:val="none"/>
          <w:lang w:eastAsia="zh-CN"/>
        </w:rPr>
        <w:t>代理公司</w:t>
      </w:r>
      <w:r>
        <w:rPr>
          <w:rFonts w:hint="eastAsia"/>
          <w:color w:val="auto"/>
          <w:sz w:val="24"/>
          <w:szCs w:val="24"/>
          <w:highlight w:val="none"/>
        </w:rPr>
        <w:t>的这一要求而放弃投标，同意延长投标有效期的</w:t>
      </w:r>
      <w:r>
        <w:rPr>
          <w:rFonts w:hint="eastAsia"/>
          <w:color w:val="auto"/>
          <w:sz w:val="24"/>
          <w:szCs w:val="24"/>
          <w:highlight w:val="none"/>
          <w:lang w:eastAsia="zh-CN"/>
        </w:rPr>
        <w:t>投标人</w:t>
      </w:r>
      <w:r>
        <w:rPr>
          <w:rFonts w:hint="eastAsia"/>
          <w:color w:val="auto"/>
          <w:sz w:val="24"/>
          <w:szCs w:val="24"/>
          <w:highlight w:val="none"/>
        </w:rPr>
        <w:t>既不能要求也不允许修改其投标文件。受投标有效期约束的所有权利与义务均延长至新的有效期。</w:t>
      </w:r>
    </w:p>
    <w:p w14:paraId="50813A96">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四、投标文件递交</w:t>
      </w:r>
    </w:p>
    <w:p w14:paraId="4725AF2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18、电子投标文件的递交</w:t>
      </w:r>
    </w:p>
    <w:p w14:paraId="598F860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18.1</w:t>
      </w:r>
      <w:r>
        <w:rPr>
          <w:rFonts w:hint="eastAsia"/>
          <w:color w:val="auto"/>
          <w:sz w:val="24"/>
          <w:szCs w:val="24"/>
          <w:highlight w:val="none"/>
          <w:lang w:eastAsia="zh-CN"/>
        </w:rPr>
        <w:t>投标人</w:t>
      </w:r>
      <w:r>
        <w:rPr>
          <w:rFonts w:hint="eastAsia"/>
          <w:color w:val="auto"/>
          <w:sz w:val="24"/>
          <w:szCs w:val="24"/>
          <w:highlight w:val="none"/>
        </w:rPr>
        <w:t>应当按照《操作手册》规定，在投标截止时间前制作并递交（上传）电子投标文件。</w:t>
      </w:r>
    </w:p>
    <w:p w14:paraId="5CBDF2F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19、投标截止时间</w:t>
      </w:r>
    </w:p>
    <w:p w14:paraId="69C21F9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19.1</w:t>
      </w:r>
      <w:r>
        <w:rPr>
          <w:rFonts w:hint="eastAsia"/>
          <w:color w:val="auto"/>
          <w:sz w:val="24"/>
          <w:szCs w:val="24"/>
          <w:highlight w:val="none"/>
          <w:lang w:eastAsia="zh-CN"/>
        </w:rPr>
        <w:t>投标人</w:t>
      </w:r>
      <w:r>
        <w:rPr>
          <w:rFonts w:hint="eastAsia"/>
          <w:color w:val="auto"/>
          <w:sz w:val="24"/>
          <w:szCs w:val="24"/>
          <w:highlight w:val="none"/>
        </w:rPr>
        <w:t>递交（上传）电子投标文件的时间不得迟于招标公告中规定的投标截止时间。</w:t>
      </w:r>
    </w:p>
    <w:p w14:paraId="4826C3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应充分考虑计算机硬件、软件及网络环境等风险因素，如因</w:t>
      </w:r>
      <w:r>
        <w:rPr>
          <w:rFonts w:hint="eastAsia"/>
          <w:color w:val="auto"/>
          <w:sz w:val="24"/>
          <w:szCs w:val="24"/>
          <w:highlight w:val="none"/>
          <w:lang w:eastAsia="zh-CN"/>
        </w:rPr>
        <w:t>投标人</w:t>
      </w:r>
      <w:r>
        <w:rPr>
          <w:rFonts w:hint="eastAsia"/>
          <w:color w:val="auto"/>
          <w:sz w:val="24"/>
          <w:szCs w:val="24"/>
          <w:highlight w:val="none"/>
        </w:rPr>
        <w:t>自身原因造成电子投标文件递交（上传）不成功的按照本招标文件第二章第27.1条规定做无效投标处理。</w:t>
      </w:r>
    </w:p>
    <w:p w14:paraId="4B3E13D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19.2采购人和</w:t>
      </w:r>
      <w:r>
        <w:rPr>
          <w:rFonts w:hint="eastAsia" w:eastAsia="宋体"/>
          <w:color w:val="auto"/>
          <w:sz w:val="24"/>
          <w:szCs w:val="24"/>
          <w:highlight w:val="none"/>
          <w:lang w:eastAsia="zh-CN"/>
        </w:rPr>
        <w:t>代理公司</w:t>
      </w:r>
      <w:r>
        <w:rPr>
          <w:rFonts w:hint="eastAsia"/>
          <w:color w:val="auto"/>
          <w:sz w:val="24"/>
          <w:szCs w:val="24"/>
          <w:highlight w:val="none"/>
        </w:rPr>
        <w:t>可以按照规定，通过修改招标文件酌情延长投标截止时间，在此情况下，</w:t>
      </w:r>
      <w:r>
        <w:rPr>
          <w:rFonts w:hint="eastAsia"/>
          <w:color w:val="auto"/>
          <w:sz w:val="24"/>
          <w:szCs w:val="24"/>
          <w:highlight w:val="none"/>
          <w:lang w:eastAsia="zh-CN"/>
        </w:rPr>
        <w:t>投标人</w:t>
      </w:r>
      <w:r>
        <w:rPr>
          <w:rFonts w:hint="eastAsia"/>
          <w:color w:val="auto"/>
          <w:sz w:val="24"/>
          <w:szCs w:val="24"/>
          <w:highlight w:val="none"/>
        </w:rPr>
        <w:t>的所有权利和义务以及</w:t>
      </w:r>
      <w:r>
        <w:rPr>
          <w:rFonts w:hint="eastAsia"/>
          <w:color w:val="auto"/>
          <w:sz w:val="24"/>
          <w:szCs w:val="24"/>
          <w:highlight w:val="none"/>
          <w:lang w:eastAsia="zh-CN"/>
        </w:rPr>
        <w:t>投标人</w:t>
      </w:r>
      <w:r>
        <w:rPr>
          <w:rFonts w:hint="eastAsia"/>
          <w:color w:val="auto"/>
          <w:sz w:val="24"/>
          <w:szCs w:val="24"/>
          <w:highlight w:val="none"/>
        </w:rPr>
        <w:t>受制的截止时间均应以延长后新的截止时间为准。</w:t>
      </w:r>
    </w:p>
    <w:p w14:paraId="3B5BAC1E">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20、投标文件的拒收</w:t>
      </w:r>
    </w:p>
    <w:p w14:paraId="1EEAFAC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lang w:eastAsia="zh-CN"/>
        </w:rPr>
        <w:t>代理公司</w:t>
      </w:r>
      <w:r>
        <w:rPr>
          <w:rFonts w:hint="eastAsia"/>
          <w:color w:val="auto"/>
          <w:sz w:val="24"/>
          <w:szCs w:val="24"/>
          <w:highlight w:val="none"/>
        </w:rPr>
        <w:t>拒绝接收在招标文件规定的投标截止时间后递交（上传）的任何投标文件。</w:t>
      </w:r>
    </w:p>
    <w:p w14:paraId="62007C6B">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21、投标文件的撤回和修改</w:t>
      </w:r>
    </w:p>
    <w:p w14:paraId="76CB4B4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21.1</w:t>
      </w:r>
      <w:r>
        <w:rPr>
          <w:rFonts w:hint="eastAsia"/>
          <w:color w:val="auto"/>
          <w:sz w:val="24"/>
          <w:szCs w:val="24"/>
          <w:highlight w:val="none"/>
          <w:lang w:eastAsia="zh-CN"/>
        </w:rPr>
        <w:t>投标人</w:t>
      </w:r>
      <w:r>
        <w:rPr>
          <w:rFonts w:hint="eastAsia"/>
          <w:color w:val="auto"/>
          <w:sz w:val="24"/>
          <w:szCs w:val="24"/>
          <w:highlight w:val="none"/>
        </w:rPr>
        <w:t>可在投标截止时间前，撤回其电子投标文件，具体操作方法见《操作手册》。</w:t>
      </w:r>
      <w:r>
        <w:rPr>
          <w:rFonts w:hint="eastAsia"/>
          <w:color w:val="auto"/>
          <w:sz w:val="24"/>
          <w:szCs w:val="24"/>
          <w:highlight w:val="none"/>
          <w:lang w:eastAsia="zh-CN"/>
        </w:rPr>
        <w:t>投标人</w:t>
      </w:r>
      <w:r>
        <w:rPr>
          <w:rFonts w:hint="eastAsia"/>
          <w:color w:val="auto"/>
          <w:sz w:val="24"/>
          <w:szCs w:val="24"/>
          <w:highlight w:val="none"/>
        </w:rPr>
        <w:t>撤回电子投标文件的，则认为其不再参与本项目投标活动。</w:t>
      </w:r>
    </w:p>
    <w:p w14:paraId="02B035F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21.2</w:t>
      </w:r>
      <w:r>
        <w:rPr>
          <w:rFonts w:hint="eastAsia"/>
          <w:color w:val="auto"/>
          <w:sz w:val="24"/>
          <w:szCs w:val="24"/>
          <w:highlight w:val="none"/>
          <w:lang w:eastAsia="zh-CN"/>
        </w:rPr>
        <w:t>投标人</w:t>
      </w:r>
      <w:r>
        <w:rPr>
          <w:rFonts w:hint="eastAsia"/>
          <w:color w:val="auto"/>
          <w:sz w:val="24"/>
          <w:szCs w:val="24"/>
          <w:highlight w:val="none"/>
        </w:rPr>
        <w:t>可在投标截止时间前，对其电子投标文件进行修改，具体操作方法见《操作手册》。在投标截止时间之后，</w:t>
      </w:r>
      <w:r>
        <w:rPr>
          <w:rFonts w:hint="eastAsia"/>
          <w:color w:val="auto"/>
          <w:sz w:val="24"/>
          <w:szCs w:val="24"/>
          <w:highlight w:val="none"/>
          <w:lang w:eastAsia="zh-CN"/>
        </w:rPr>
        <w:t>投标人</w:t>
      </w:r>
      <w:r>
        <w:rPr>
          <w:rFonts w:hint="eastAsia"/>
          <w:color w:val="auto"/>
          <w:sz w:val="24"/>
          <w:szCs w:val="24"/>
          <w:highlight w:val="none"/>
        </w:rPr>
        <w:t>不得对其电子投标文件做任何修改。</w:t>
      </w:r>
    </w:p>
    <w:p w14:paraId="1FA167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21.3在投标截止时间至招标文件中规定的投标有效期满之间的这段时间内，</w:t>
      </w:r>
      <w:r>
        <w:rPr>
          <w:rFonts w:hint="eastAsia"/>
          <w:color w:val="auto"/>
          <w:sz w:val="24"/>
          <w:szCs w:val="24"/>
          <w:highlight w:val="none"/>
          <w:lang w:eastAsia="zh-CN"/>
        </w:rPr>
        <w:t>投标人</w:t>
      </w:r>
      <w:r>
        <w:rPr>
          <w:rFonts w:hint="eastAsia"/>
          <w:color w:val="auto"/>
          <w:sz w:val="24"/>
          <w:szCs w:val="24"/>
          <w:highlight w:val="none"/>
        </w:rPr>
        <w:t>不得撤回其投标。</w:t>
      </w:r>
    </w:p>
    <w:p w14:paraId="3311CACA">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五、开标与评标</w:t>
      </w:r>
    </w:p>
    <w:p w14:paraId="5D06FA92">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22、开标</w:t>
      </w:r>
    </w:p>
    <w:p w14:paraId="220BEAE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22.1</w:t>
      </w:r>
      <w:r>
        <w:rPr>
          <w:rFonts w:hint="eastAsia" w:eastAsia="宋体"/>
          <w:color w:val="auto"/>
          <w:sz w:val="24"/>
          <w:szCs w:val="24"/>
          <w:highlight w:val="none"/>
          <w:lang w:eastAsia="zh-CN"/>
        </w:rPr>
        <w:t>代理公司</w:t>
      </w:r>
      <w:r>
        <w:rPr>
          <w:rFonts w:hint="eastAsia"/>
          <w:color w:val="auto"/>
          <w:sz w:val="24"/>
          <w:szCs w:val="24"/>
          <w:highlight w:val="none"/>
        </w:rPr>
        <w:t>将在招标公告中规定的时间和地点组织公开开标。</w:t>
      </w:r>
      <w:r>
        <w:rPr>
          <w:rFonts w:hint="eastAsia"/>
          <w:color w:val="auto"/>
          <w:sz w:val="24"/>
          <w:szCs w:val="24"/>
          <w:highlight w:val="none"/>
          <w:lang w:eastAsia="zh-CN"/>
        </w:rPr>
        <w:t>投标人</w:t>
      </w:r>
      <w:r>
        <w:rPr>
          <w:rFonts w:hint="eastAsia"/>
          <w:color w:val="auto"/>
          <w:sz w:val="24"/>
          <w:szCs w:val="24"/>
          <w:highlight w:val="none"/>
        </w:rPr>
        <w:t>应当按时参加开标活动，并在“苏采云”系统规定的时间内对投标文件进行解密。</w:t>
      </w:r>
    </w:p>
    <w:p w14:paraId="7E717EC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22.2开标仪式由</w:t>
      </w:r>
      <w:r>
        <w:rPr>
          <w:rFonts w:hint="eastAsia" w:eastAsia="宋体"/>
          <w:color w:val="auto"/>
          <w:sz w:val="24"/>
          <w:szCs w:val="24"/>
          <w:highlight w:val="none"/>
          <w:lang w:eastAsia="zh-CN"/>
        </w:rPr>
        <w:t>代理公司</w:t>
      </w:r>
      <w:r>
        <w:rPr>
          <w:rFonts w:hint="eastAsia"/>
          <w:color w:val="auto"/>
          <w:sz w:val="24"/>
          <w:szCs w:val="24"/>
          <w:highlight w:val="none"/>
        </w:rPr>
        <w:t>组织。“苏采云”系统将自动对项目进行开标，并宣布各</w:t>
      </w:r>
      <w:r>
        <w:rPr>
          <w:rFonts w:hint="eastAsia"/>
          <w:color w:val="auto"/>
          <w:sz w:val="24"/>
          <w:szCs w:val="24"/>
          <w:highlight w:val="none"/>
          <w:lang w:eastAsia="zh-CN"/>
        </w:rPr>
        <w:t>投标人</w:t>
      </w:r>
      <w:r>
        <w:rPr>
          <w:rFonts w:hint="eastAsia"/>
          <w:color w:val="auto"/>
          <w:sz w:val="24"/>
          <w:szCs w:val="24"/>
          <w:highlight w:val="none"/>
        </w:rPr>
        <w:t>名称和投标价格。</w:t>
      </w:r>
    </w:p>
    <w:p w14:paraId="013768B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22.3</w:t>
      </w:r>
      <w:r>
        <w:rPr>
          <w:rFonts w:hint="eastAsia"/>
          <w:color w:val="auto"/>
          <w:sz w:val="24"/>
          <w:szCs w:val="24"/>
          <w:highlight w:val="none"/>
          <w:lang w:eastAsia="zh-CN"/>
        </w:rPr>
        <w:t>投标人</w:t>
      </w:r>
      <w:r>
        <w:rPr>
          <w:rFonts w:hint="eastAsia"/>
          <w:color w:val="auto"/>
          <w:sz w:val="24"/>
          <w:szCs w:val="24"/>
          <w:highlight w:val="none"/>
        </w:rPr>
        <w:t>在开标过程中</w:t>
      </w:r>
      <w:r>
        <w:rPr>
          <w:rFonts w:hint="eastAsia"/>
          <w:color w:val="auto"/>
          <w:sz w:val="24"/>
          <w:szCs w:val="24"/>
          <w:highlight w:val="none"/>
          <w:lang w:eastAsia="zh-CN"/>
        </w:rPr>
        <w:t>涉及的</w:t>
      </w:r>
      <w:r>
        <w:rPr>
          <w:rFonts w:hint="eastAsia"/>
          <w:color w:val="auto"/>
          <w:sz w:val="24"/>
          <w:szCs w:val="24"/>
          <w:highlight w:val="none"/>
        </w:rPr>
        <w:t>投标文件解密、开标结果确认等工作，应当按照《操作手册》规定执行。</w:t>
      </w:r>
    </w:p>
    <w:p w14:paraId="3131E92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22.4</w:t>
      </w:r>
      <w:r>
        <w:rPr>
          <w:rFonts w:hint="eastAsia"/>
          <w:color w:val="auto"/>
          <w:sz w:val="24"/>
          <w:szCs w:val="24"/>
          <w:highlight w:val="none"/>
          <w:lang w:eastAsia="zh-CN"/>
        </w:rPr>
        <w:t>投标人</w:t>
      </w:r>
      <w:r>
        <w:rPr>
          <w:rFonts w:hint="eastAsia"/>
          <w:color w:val="auto"/>
          <w:sz w:val="24"/>
          <w:szCs w:val="24"/>
          <w:highlight w:val="none"/>
        </w:rPr>
        <w:t>如果对开标过程和开标记录有疑义，应当按照《操作手册》规定提出，未在“苏采云”系统《开标记录表》宣布后5分钟内提出的，视同认可开标结果。</w:t>
      </w:r>
    </w:p>
    <w:p w14:paraId="3C58714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22.5 </w:t>
      </w:r>
      <w:r>
        <w:rPr>
          <w:rFonts w:hint="eastAsia"/>
          <w:color w:val="auto"/>
          <w:sz w:val="24"/>
          <w:szCs w:val="24"/>
          <w:highlight w:val="none"/>
          <w:lang w:eastAsia="zh-CN"/>
        </w:rPr>
        <w:t>投标人</w:t>
      </w:r>
      <w:r>
        <w:rPr>
          <w:rFonts w:hint="eastAsia"/>
          <w:color w:val="auto"/>
          <w:sz w:val="24"/>
          <w:szCs w:val="24"/>
          <w:highlight w:val="none"/>
        </w:rPr>
        <w:t>未参加开标的，视同认可开标结果。</w:t>
      </w:r>
    </w:p>
    <w:p w14:paraId="274735F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 xml:space="preserve">22.6 </w:t>
      </w:r>
      <w:r>
        <w:rPr>
          <w:rFonts w:hint="eastAsia"/>
          <w:color w:val="auto"/>
          <w:sz w:val="24"/>
          <w:szCs w:val="24"/>
          <w:highlight w:val="none"/>
          <w:lang w:eastAsia="zh-CN"/>
        </w:rPr>
        <w:t>投标人</w:t>
      </w:r>
      <w:r>
        <w:rPr>
          <w:rFonts w:hint="eastAsia"/>
          <w:color w:val="auto"/>
          <w:sz w:val="24"/>
          <w:szCs w:val="24"/>
          <w:highlight w:val="none"/>
        </w:rPr>
        <w:t>在开、评标全过程中应保持通讯畅通，及时登录“苏采云”系统查阅、答复相关信息，并安排专人与</w:t>
      </w:r>
      <w:r>
        <w:rPr>
          <w:rFonts w:hint="eastAsia" w:eastAsia="宋体"/>
          <w:color w:val="auto"/>
          <w:sz w:val="24"/>
          <w:szCs w:val="24"/>
          <w:highlight w:val="none"/>
          <w:lang w:eastAsia="zh-CN"/>
        </w:rPr>
        <w:t>代理公司</w:t>
      </w:r>
      <w:r>
        <w:rPr>
          <w:rFonts w:hint="eastAsia"/>
          <w:color w:val="auto"/>
          <w:sz w:val="24"/>
          <w:szCs w:val="24"/>
          <w:highlight w:val="none"/>
        </w:rPr>
        <w:t>及评委会联系。</w:t>
      </w:r>
    </w:p>
    <w:p w14:paraId="317D347F">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23、评标委员会</w:t>
      </w:r>
    </w:p>
    <w:p w14:paraId="1055B5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23.1开标后，</w:t>
      </w:r>
      <w:r>
        <w:rPr>
          <w:rFonts w:hint="eastAsia" w:eastAsia="宋体"/>
          <w:color w:val="auto"/>
          <w:sz w:val="24"/>
          <w:szCs w:val="24"/>
          <w:highlight w:val="none"/>
          <w:lang w:eastAsia="zh-CN"/>
        </w:rPr>
        <w:t>代理公司</w:t>
      </w:r>
      <w:r>
        <w:rPr>
          <w:rFonts w:hint="eastAsia"/>
          <w:color w:val="auto"/>
          <w:sz w:val="24"/>
          <w:szCs w:val="24"/>
          <w:highlight w:val="none"/>
        </w:rPr>
        <w:t>将组织评委会进行评标。</w:t>
      </w:r>
    </w:p>
    <w:p w14:paraId="1CCEEC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23.2评委会由采购人代表和有关技术、经济等方面的评审专家组成，且人员构成符合政府采购有关规定。</w:t>
      </w:r>
    </w:p>
    <w:p w14:paraId="0AC452B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23.3评委会按照采购文件规定的评审程序、评审方法和评审标准进行独立评审并确定中标候选人。</w:t>
      </w:r>
    </w:p>
    <w:p w14:paraId="739002A9">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24、评标过程的保密与公正</w:t>
      </w:r>
    </w:p>
    <w:p w14:paraId="072E13C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24.1凡是与审查、澄清、评价和比较投标的有关资料以及</w:t>
      </w:r>
      <w:r>
        <w:rPr>
          <w:rFonts w:hint="eastAsia"/>
          <w:color w:val="auto"/>
          <w:sz w:val="24"/>
          <w:szCs w:val="24"/>
          <w:highlight w:val="none"/>
          <w:lang w:eastAsia="zh-CN"/>
        </w:rPr>
        <w:t>投标</w:t>
      </w:r>
      <w:r>
        <w:rPr>
          <w:rFonts w:hint="eastAsia"/>
          <w:color w:val="auto"/>
          <w:sz w:val="24"/>
          <w:szCs w:val="24"/>
          <w:highlight w:val="none"/>
        </w:rPr>
        <w:t>建议等，采购人、评审专家、</w:t>
      </w:r>
      <w:r>
        <w:rPr>
          <w:rFonts w:hint="eastAsia" w:eastAsia="宋体"/>
          <w:color w:val="auto"/>
          <w:sz w:val="24"/>
          <w:szCs w:val="24"/>
          <w:highlight w:val="none"/>
          <w:lang w:eastAsia="zh-CN"/>
        </w:rPr>
        <w:t>代理公司</w:t>
      </w:r>
      <w:r>
        <w:rPr>
          <w:rFonts w:hint="eastAsia"/>
          <w:color w:val="auto"/>
          <w:sz w:val="24"/>
          <w:szCs w:val="24"/>
          <w:highlight w:val="none"/>
        </w:rPr>
        <w:t>均不得向</w:t>
      </w:r>
      <w:r>
        <w:rPr>
          <w:rFonts w:hint="eastAsia"/>
          <w:color w:val="auto"/>
          <w:sz w:val="24"/>
          <w:szCs w:val="24"/>
          <w:highlight w:val="none"/>
          <w:lang w:eastAsia="zh-CN"/>
        </w:rPr>
        <w:t>投标人</w:t>
      </w:r>
      <w:r>
        <w:rPr>
          <w:rFonts w:hint="eastAsia"/>
          <w:color w:val="auto"/>
          <w:sz w:val="24"/>
          <w:szCs w:val="24"/>
          <w:highlight w:val="none"/>
        </w:rPr>
        <w:t>或与评标无关的其他人员透露。</w:t>
      </w:r>
    </w:p>
    <w:p w14:paraId="4DB01AA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24.2在评标过程中，</w:t>
      </w:r>
      <w:r>
        <w:rPr>
          <w:rFonts w:hint="eastAsia"/>
          <w:color w:val="auto"/>
          <w:sz w:val="24"/>
          <w:szCs w:val="24"/>
          <w:highlight w:val="none"/>
          <w:lang w:eastAsia="zh-CN"/>
        </w:rPr>
        <w:t>投标人</w:t>
      </w:r>
      <w:r>
        <w:rPr>
          <w:rFonts w:hint="eastAsia"/>
          <w:color w:val="auto"/>
          <w:sz w:val="24"/>
          <w:szCs w:val="24"/>
          <w:highlight w:val="none"/>
        </w:rPr>
        <w:t>不得以任何行为影响评标过程，否则其投标文件将被作为无效投标文件。</w:t>
      </w:r>
    </w:p>
    <w:p w14:paraId="0491C2A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24.3</w:t>
      </w:r>
      <w:r>
        <w:rPr>
          <w:rFonts w:hint="eastAsia" w:eastAsia="宋体"/>
          <w:color w:val="auto"/>
          <w:sz w:val="24"/>
          <w:szCs w:val="24"/>
          <w:highlight w:val="none"/>
          <w:lang w:eastAsia="zh-CN"/>
        </w:rPr>
        <w:t>代理公司</w:t>
      </w:r>
      <w:r>
        <w:rPr>
          <w:rFonts w:hint="eastAsia"/>
          <w:color w:val="auto"/>
          <w:sz w:val="24"/>
          <w:szCs w:val="24"/>
          <w:highlight w:val="none"/>
        </w:rPr>
        <w:t>和评委会不向未中标的</w:t>
      </w:r>
      <w:r>
        <w:rPr>
          <w:rFonts w:hint="eastAsia"/>
          <w:color w:val="auto"/>
          <w:sz w:val="24"/>
          <w:szCs w:val="24"/>
          <w:highlight w:val="none"/>
          <w:lang w:eastAsia="zh-CN"/>
        </w:rPr>
        <w:t>投标人</w:t>
      </w:r>
      <w:r>
        <w:rPr>
          <w:rFonts w:hint="eastAsia"/>
          <w:color w:val="auto"/>
          <w:sz w:val="24"/>
          <w:szCs w:val="24"/>
          <w:highlight w:val="none"/>
        </w:rPr>
        <w:t>解释未中标原因，也不公布评标过程中的相关细节。</w:t>
      </w:r>
    </w:p>
    <w:p w14:paraId="2F8C52C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24.4采用综合评分法的项目，未中标的</w:t>
      </w:r>
      <w:r>
        <w:rPr>
          <w:rFonts w:hint="eastAsia"/>
          <w:color w:val="auto"/>
          <w:sz w:val="24"/>
          <w:szCs w:val="24"/>
          <w:highlight w:val="none"/>
          <w:lang w:eastAsia="zh-CN"/>
        </w:rPr>
        <w:t>投标人</w:t>
      </w:r>
      <w:r>
        <w:rPr>
          <w:rFonts w:hint="eastAsia"/>
          <w:color w:val="auto"/>
          <w:sz w:val="24"/>
          <w:szCs w:val="24"/>
          <w:highlight w:val="none"/>
        </w:rPr>
        <w:t>可于中标结果公告期限届满之日起通过“苏采云”系统查看自己的评审得分及排序情况。</w:t>
      </w:r>
    </w:p>
    <w:p w14:paraId="6F01F0B6">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25、投标文件的澄清</w:t>
      </w:r>
    </w:p>
    <w:p w14:paraId="586C449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25.1评标期间，评委会对投标文件中含义不明确、同类问题表述不一致或者有明显文字和计算错误的内容，有权要求</w:t>
      </w:r>
      <w:r>
        <w:rPr>
          <w:rFonts w:hint="eastAsia"/>
          <w:color w:val="auto"/>
          <w:sz w:val="24"/>
          <w:szCs w:val="24"/>
          <w:highlight w:val="none"/>
          <w:lang w:eastAsia="zh-CN"/>
        </w:rPr>
        <w:t>投标人</w:t>
      </w:r>
      <w:r>
        <w:rPr>
          <w:rFonts w:hint="eastAsia"/>
          <w:color w:val="auto"/>
          <w:sz w:val="24"/>
          <w:szCs w:val="24"/>
          <w:highlight w:val="none"/>
        </w:rPr>
        <w:t>作出必要的澄清、说明或者补正。</w:t>
      </w:r>
    </w:p>
    <w:p w14:paraId="3B9BE86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的澄清、说明或者补正应当采用书面形式，并加盖公章，或者由法定代表人（单位负责人）或其授权的代</w:t>
      </w:r>
      <w:r>
        <w:rPr>
          <w:rFonts w:hint="eastAsia"/>
          <w:color w:val="auto"/>
          <w:sz w:val="24"/>
          <w:szCs w:val="24"/>
          <w:highlight w:val="none"/>
          <w:lang w:eastAsia="zh-CN"/>
        </w:rPr>
        <w:t>表人</w:t>
      </w:r>
      <w:r>
        <w:rPr>
          <w:rFonts w:hint="eastAsia"/>
          <w:color w:val="auto"/>
          <w:sz w:val="24"/>
          <w:szCs w:val="24"/>
          <w:highlight w:val="none"/>
        </w:rPr>
        <w:t>签字。</w:t>
      </w:r>
      <w:r>
        <w:rPr>
          <w:rFonts w:hint="eastAsia"/>
          <w:color w:val="auto"/>
          <w:sz w:val="24"/>
          <w:szCs w:val="24"/>
          <w:highlight w:val="none"/>
          <w:lang w:eastAsia="zh-CN"/>
        </w:rPr>
        <w:t>投标人</w:t>
      </w:r>
      <w:r>
        <w:rPr>
          <w:rFonts w:hint="eastAsia"/>
          <w:color w:val="auto"/>
          <w:sz w:val="24"/>
          <w:szCs w:val="24"/>
          <w:highlight w:val="none"/>
        </w:rPr>
        <w:t>的澄清、说明或者补正不得超出投标文件的范围或者改变投标文件的实质性内容。</w:t>
      </w:r>
    </w:p>
    <w:p w14:paraId="5D083E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评委会并非对每个</w:t>
      </w:r>
      <w:r>
        <w:rPr>
          <w:rFonts w:hint="eastAsia"/>
          <w:color w:val="auto"/>
          <w:sz w:val="24"/>
          <w:szCs w:val="24"/>
          <w:highlight w:val="none"/>
          <w:lang w:eastAsia="zh-CN"/>
        </w:rPr>
        <w:t>投标人</w:t>
      </w:r>
      <w:r>
        <w:rPr>
          <w:rFonts w:hint="eastAsia"/>
          <w:color w:val="auto"/>
          <w:sz w:val="24"/>
          <w:szCs w:val="24"/>
          <w:highlight w:val="none"/>
        </w:rPr>
        <w:t>都提出澄清、说明或者补正要求。</w:t>
      </w:r>
    </w:p>
    <w:p w14:paraId="588E411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25.2需要</w:t>
      </w:r>
      <w:r>
        <w:rPr>
          <w:rFonts w:hint="eastAsia"/>
          <w:color w:val="auto"/>
          <w:sz w:val="24"/>
          <w:szCs w:val="24"/>
          <w:highlight w:val="none"/>
          <w:lang w:eastAsia="zh-CN"/>
        </w:rPr>
        <w:t>投标人</w:t>
      </w:r>
      <w:r>
        <w:rPr>
          <w:rFonts w:hint="eastAsia"/>
          <w:color w:val="auto"/>
          <w:sz w:val="24"/>
          <w:szCs w:val="24"/>
          <w:highlight w:val="none"/>
        </w:rPr>
        <w:t>进行澄清、说明或者补正的，评委会将通过“苏采云”系统向</w:t>
      </w:r>
      <w:r>
        <w:rPr>
          <w:rFonts w:hint="eastAsia"/>
          <w:color w:val="auto"/>
          <w:sz w:val="24"/>
          <w:szCs w:val="24"/>
          <w:highlight w:val="none"/>
          <w:lang w:eastAsia="zh-CN"/>
        </w:rPr>
        <w:t>投标人</w:t>
      </w:r>
      <w:r>
        <w:rPr>
          <w:rFonts w:hint="eastAsia"/>
          <w:color w:val="auto"/>
          <w:sz w:val="24"/>
          <w:szCs w:val="24"/>
          <w:highlight w:val="none"/>
        </w:rPr>
        <w:t>发出“澄清要求函”，接到“澄清要求函”的</w:t>
      </w:r>
      <w:r>
        <w:rPr>
          <w:rFonts w:hint="eastAsia"/>
          <w:color w:val="auto"/>
          <w:sz w:val="24"/>
          <w:szCs w:val="24"/>
          <w:highlight w:val="none"/>
          <w:lang w:eastAsia="zh-CN"/>
        </w:rPr>
        <w:t>投标人</w:t>
      </w:r>
      <w:r>
        <w:rPr>
          <w:rFonts w:hint="eastAsia"/>
          <w:color w:val="auto"/>
          <w:sz w:val="24"/>
          <w:szCs w:val="24"/>
          <w:highlight w:val="none"/>
        </w:rPr>
        <w:t>应当按照要求在“苏采云”系统中提交“澄清响应函”并加盖CA电子公章。澄清、说明或者补正的内容作为投标文件的补充部分，具体操作方法见《操作手册》。</w:t>
      </w:r>
    </w:p>
    <w:p w14:paraId="13C8D08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25.3接到评委会澄清、说明或者补正要求的</w:t>
      </w:r>
      <w:r>
        <w:rPr>
          <w:rFonts w:hint="eastAsia"/>
          <w:color w:val="auto"/>
          <w:sz w:val="24"/>
          <w:szCs w:val="24"/>
          <w:highlight w:val="none"/>
          <w:lang w:eastAsia="zh-CN"/>
        </w:rPr>
        <w:t>投标人</w:t>
      </w:r>
      <w:r>
        <w:rPr>
          <w:rFonts w:hint="eastAsia"/>
          <w:color w:val="auto"/>
          <w:sz w:val="24"/>
          <w:szCs w:val="24"/>
          <w:highlight w:val="none"/>
        </w:rPr>
        <w:t>如未按要求响应，其风险由</w:t>
      </w:r>
      <w:r>
        <w:rPr>
          <w:rFonts w:hint="eastAsia"/>
          <w:color w:val="auto"/>
          <w:sz w:val="24"/>
          <w:szCs w:val="24"/>
          <w:highlight w:val="none"/>
          <w:lang w:eastAsia="zh-CN"/>
        </w:rPr>
        <w:t>投标人</w:t>
      </w:r>
      <w:r>
        <w:rPr>
          <w:rFonts w:hint="eastAsia"/>
          <w:color w:val="auto"/>
          <w:sz w:val="24"/>
          <w:szCs w:val="24"/>
          <w:highlight w:val="none"/>
        </w:rPr>
        <w:t>自行承担。</w:t>
      </w:r>
    </w:p>
    <w:p w14:paraId="22F89B3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26、对投标文件的初审</w:t>
      </w:r>
    </w:p>
    <w:p w14:paraId="655A19A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26.1投标文件初审分为资格审查和符合性审查。</w:t>
      </w:r>
    </w:p>
    <w:p w14:paraId="38DD289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（1）资格审查：依据法律法规和招标文件的规定，由采购人对投标文件中的资格证明文件进行审查。资格审查的结论，采购人以书面形式向评委会进行反馈。</w:t>
      </w:r>
    </w:p>
    <w:p w14:paraId="10769A6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ascii="宋体" w:hAnsi="宋体"/>
          <w:bCs/>
          <w:color w:val="auto"/>
          <w:sz w:val="24"/>
          <w:highlight w:val="none"/>
        </w:rPr>
        <w:t>采购人在进行资格性审查的同时，将在“信用中国”网</w:t>
      </w:r>
      <w:r>
        <w:rPr>
          <w:rFonts w:hint="eastAsia"/>
          <w:color w:val="auto"/>
          <w:sz w:val="24"/>
          <w:szCs w:val="24"/>
          <w:highlight w:val="none"/>
        </w:rPr>
        <w:t>（www.creditchina.gov.</w:t>
      </w:r>
    </w:p>
    <w:p w14:paraId="1C72A0B1">
      <w:pPr>
        <w:pageBreakBefore w:val="0"/>
        <w:widowControl w:val="0"/>
        <w:kinsoku/>
        <w:wordWrap/>
        <w:overflowPunct/>
        <w:topLinePunct w:val="0"/>
        <w:autoSpaceDE/>
        <w:autoSpaceDN/>
        <w:bidi w:val="0"/>
        <w:adjustRightInd/>
        <w:snapToGrid/>
        <w:spacing w:line="500" w:lineRule="exact"/>
        <w:jc w:val="left"/>
        <w:textAlignment w:val="auto"/>
        <w:rPr>
          <w:color w:val="auto"/>
          <w:sz w:val="24"/>
          <w:szCs w:val="24"/>
          <w:highlight w:val="none"/>
        </w:rPr>
      </w:pPr>
      <w:r>
        <w:rPr>
          <w:rFonts w:hint="eastAsia"/>
          <w:color w:val="auto"/>
          <w:sz w:val="24"/>
          <w:szCs w:val="24"/>
          <w:highlight w:val="none"/>
        </w:rPr>
        <w:t>cn）、中国政府采购网（www.ccgp.gov.cn）查询</w:t>
      </w:r>
      <w:r>
        <w:rPr>
          <w:rFonts w:hint="eastAsia"/>
          <w:color w:val="auto"/>
          <w:sz w:val="24"/>
          <w:szCs w:val="24"/>
          <w:highlight w:val="none"/>
          <w:lang w:eastAsia="zh-CN"/>
        </w:rPr>
        <w:t>投标人</w:t>
      </w:r>
      <w:r>
        <w:rPr>
          <w:rFonts w:hint="eastAsia"/>
          <w:color w:val="auto"/>
          <w:sz w:val="24"/>
          <w:szCs w:val="24"/>
          <w:highlight w:val="none"/>
        </w:rPr>
        <w:t>的信用记录，以确定</w:t>
      </w:r>
      <w:r>
        <w:rPr>
          <w:rFonts w:hint="eastAsia"/>
          <w:color w:val="auto"/>
          <w:sz w:val="24"/>
          <w:szCs w:val="24"/>
          <w:highlight w:val="none"/>
          <w:lang w:eastAsia="zh-CN"/>
        </w:rPr>
        <w:t>投标人</w:t>
      </w:r>
      <w:r>
        <w:rPr>
          <w:rFonts w:hint="eastAsia"/>
          <w:color w:val="auto"/>
          <w:sz w:val="24"/>
          <w:szCs w:val="24"/>
          <w:highlight w:val="none"/>
        </w:rPr>
        <w:t>是否具备投标资格，查询结果留存并归档。</w:t>
      </w:r>
    </w:p>
    <w:p w14:paraId="4D2359D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（2）符合性审查：评委会依据招标文件的规定，从投标文件的有效性、完整性和对招标文件的响应程度进行审查，以确定其是否对招标文件的实质性要求作出响应。</w:t>
      </w:r>
    </w:p>
    <w:p w14:paraId="405DAEA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未通过资格审查或符合性审查的</w:t>
      </w:r>
      <w:r>
        <w:rPr>
          <w:rFonts w:hint="eastAsia"/>
          <w:color w:val="auto"/>
          <w:sz w:val="24"/>
          <w:szCs w:val="24"/>
          <w:highlight w:val="none"/>
          <w:lang w:eastAsia="zh-CN"/>
        </w:rPr>
        <w:t>投标人</w:t>
      </w:r>
      <w:r>
        <w:rPr>
          <w:rFonts w:hint="eastAsia"/>
          <w:color w:val="auto"/>
          <w:sz w:val="24"/>
          <w:szCs w:val="24"/>
          <w:highlight w:val="none"/>
        </w:rPr>
        <w:t>，将在“苏采云”系统中告知其未通过资格审查或符合性审查的原因，评审结束后，将不再告知。</w:t>
      </w:r>
    </w:p>
    <w:p w14:paraId="7F4452C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26.2在详细评标之前，评委会将首先审查每份投标文件是否实质性响应了招标文件的要求。实质性响应的投标应当是与招标文件要求的全部条款、条件和规格相符，没有重大偏离或保留的投标。</w:t>
      </w:r>
    </w:p>
    <w:p w14:paraId="61A9011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w:t>
      </w:r>
      <w:r>
        <w:rPr>
          <w:rFonts w:hint="eastAsia" w:eastAsia="宋体"/>
          <w:color w:val="auto"/>
          <w:sz w:val="24"/>
          <w:szCs w:val="24"/>
          <w:highlight w:val="none"/>
          <w:lang w:eastAsia="zh-CN"/>
        </w:rPr>
        <w:t>代理公司</w:t>
      </w:r>
      <w:r>
        <w:rPr>
          <w:rFonts w:hint="eastAsia"/>
          <w:color w:val="auto"/>
          <w:sz w:val="24"/>
          <w:szCs w:val="24"/>
          <w:highlight w:val="none"/>
        </w:rPr>
        <w:t>的权利或</w:t>
      </w:r>
      <w:r>
        <w:rPr>
          <w:rFonts w:hint="eastAsia"/>
          <w:color w:val="auto"/>
          <w:sz w:val="24"/>
          <w:szCs w:val="24"/>
          <w:highlight w:val="none"/>
          <w:lang w:eastAsia="zh-CN"/>
        </w:rPr>
        <w:t>投标人</w:t>
      </w:r>
      <w:r>
        <w:rPr>
          <w:rFonts w:hint="eastAsia"/>
          <w:color w:val="auto"/>
          <w:sz w:val="24"/>
          <w:szCs w:val="24"/>
          <w:highlight w:val="none"/>
        </w:rPr>
        <w:t>的义务，纠正这些偏离或保留将会对其他实质性响应要求的</w:t>
      </w:r>
      <w:r>
        <w:rPr>
          <w:rFonts w:hint="eastAsia"/>
          <w:color w:val="auto"/>
          <w:sz w:val="24"/>
          <w:szCs w:val="24"/>
          <w:highlight w:val="none"/>
          <w:lang w:eastAsia="zh-CN"/>
        </w:rPr>
        <w:t>投标人</w:t>
      </w:r>
      <w:r>
        <w:rPr>
          <w:rFonts w:hint="eastAsia"/>
          <w:color w:val="auto"/>
          <w:sz w:val="24"/>
          <w:szCs w:val="24"/>
          <w:highlight w:val="none"/>
        </w:rPr>
        <w:t>的竞争地位产生不公正的影响。重大偏离的认定需经过评委会以少数服从多数的原则作出结论。评委会决定投标文件的响应性只根据投标文件本身的内容，而不寻求外部的证据。</w:t>
      </w:r>
    </w:p>
    <w:p w14:paraId="22353E6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26.3如果投标文件实质上没有响应招标文件的要求，评委会将予以拒绝，</w:t>
      </w:r>
      <w:r>
        <w:rPr>
          <w:rFonts w:hint="eastAsia"/>
          <w:color w:val="auto"/>
          <w:sz w:val="24"/>
          <w:szCs w:val="24"/>
          <w:highlight w:val="none"/>
          <w:lang w:eastAsia="zh-CN"/>
        </w:rPr>
        <w:t>投标人</w:t>
      </w:r>
      <w:r>
        <w:rPr>
          <w:rFonts w:hint="eastAsia"/>
          <w:color w:val="auto"/>
          <w:sz w:val="24"/>
          <w:szCs w:val="24"/>
          <w:highlight w:val="none"/>
        </w:rPr>
        <w:t>不得通过修改或撤销不符合要求的偏离或保留而使其投标成为实质性响应的投标。</w:t>
      </w:r>
    </w:p>
    <w:p w14:paraId="7CB2D11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26.4评委会将对确定为实质性响应的投标进行进一步审核，看其是否有计算上或累加上的算术错误，修正错误的原则如下：</w:t>
      </w:r>
    </w:p>
    <w:p w14:paraId="5FD0E55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42A4610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（2）大写金额和小写金额不一致的，以大写金额为准。</w:t>
      </w:r>
    </w:p>
    <w:p w14:paraId="6A81560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7D3256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（4）总价金额与按单价汇总金额不一致的，以单价金额计算结果为准。</w:t>
      </w:r>
    </w:p>
    <w:p w14:paraId="76265ED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同时出现两种以上错误的，按照前款规定的顺序修正。</w:t>
      </w:r>
    </w:p>
    <w:p w14:paraId="3CDFC60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26.5评委会将按上述修正错误的方法调整投标文件中的投标报价，并通过“苏采云”系统告知</w:t>
      </w:r>
      <w:r>
        <w:rPr>
          <w:rFonts w:hint="eastAsia"/>
          <w:color w:val="auto"/>
          <w:sz w:val="24"/>
          <w:szCs w:val="24"/>
          <w:highlight w:val="none"/>
          <w:lang w:eastAsia="zh-CN"/>
        </w:rPr>
        <w:t>投标人</w:t>
      </w:r>
      <w:r>
        <w:rPr>
          <w:rFonts w:hint="eastAsia"/>
          <w:color w:val="auto"/>
          <w:sz w:val="24"/>
          <w:szCs w:val="24"/>
          <w:highlight w:val="none"/>
        </w:rPr>
        <w:t>，调整后的价格对</w:t>
      </w:r>
      <w:r>
        <w:rPr>
          <w:rFonts w:hint="eastAsia"/>
          <w:color w:val="auto"/>
          <w:sz w:val="24"/>
          <w:szCs w:val="24"/>
          <w:highlight w:val="none"/>
          <w:lang w:eastAsia="zh-CN"/>
        </w:rPr>
        <w:t>投标人</w:t>
      </w:r>
      <w:r>
        <w:rPr>
          <w:rFonts w:hint="eastAsia"/>
          <w:color w:val="auto"/>
          <w:sz w:val="24"/>
          <w:szCs w:val="24"/>
          <w:highlight w:val="none"/>
        </w:rPr>
        <w:t>具有约束力。如果</w:t>
      </w:r>
      <w:r>
        <w:rPr>
          <w:rFonts w:hint="eastAsia"/>
          <w:color w:val="auto"/>
          <w:sz w:val="24"/>
          <w:szCs w:val="24"/>
          <w:highlight w:val="none"/>
          <w:lang w:eastAsia="zh-CN"/>
        </w:rPr>
        <w:t>投标人</w:t>
      </w:r>
      <w:r>
        <w:rPr>
          <w:rFonts w:hint="eastAsia"/>
          <w:color w:val="auto"/>
          <w:sz w:val="24"/>
          <w:szCs w:val="24"/>
          <w:highlight w:val="none"/>
        </w:rPr>
        <w:t>不接受修正后的价格，则其投标将被拒绝。</w:t>
      </w:r>
    </w:p>
    <w:p w14:paraId="6C360A0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26.6采用最低评标价法的采购项目，提供相同品牌产品的不同</w:t>
      </w:r>
      <w:r>
        <w:rPr>
          <w:rFonts w:hint="eastAsia"/>
          <w:color w:val="auto"/>
          <w:sz w:val="24"/>
          <w:szCs w:val="24"/>
          <w:highlight w:val="none"/>
          <w:lang w:eastAsia="zh-CN"/>
        </w:rPr>
        <w:t>投标人</w:t>
      </w:r>
      <w:r>
        <w:rPr>
          <w:rFonts w:hint="eastAsia"/>
          <w:color w:val="auto"/>
          <w:sz w:val="24"/>
          <w:szCs w:val="24"/>
          <w:highlight w:val="none"/>
        </w:rPr>
        <w:t>参加同一合同项下投标的，以其中通过资格审查、符合性审查且报价最低的参加评标；报价相同的，由评委员会按照招标文件规定的方式确定一个参加评标的</w:t>
      </w:r>
      <w:r>
        <w:rPr>
          <w:rFonts w:hint="eastAsia"/>
          <w:color w:val="auto"/>
          <w:sz w:val="24"/>
          <w:szCs w:val="24"/>
          <w:highlight w:val="none"/>
          <w:lang w:eastAsia="zh-CN"/>
        </w:rPr>
        <w:t>投标人</w:t>
      </w:r>
      <w:r>
        <w:rPr>
          <w:rFonts w:hint="eastAsia"/>
          <w:color w:val="auto"/>
          <w:sz w:val="24"/>
          <w:szCs w:val="24"/>
          <w:highlight w:val="none"/>
        </w:rPr>
        <w:t>，招标文件未规定的采取随机抽取方式确定，其他投标无效。</w:t>
      </w:r>
    </w:p>
    <w:p w14:paraId="1B51A97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使用综合评分法的采购项目，提供相同品牌产品且通过资格审查、符合性审查的不同</w:t>
      </w:r>
      <w:r>
        <w:rPr>
          <w:rFonts w:hint="eastAsia"/>
          <w:color w:val="auto"/>
          <w:sz w:val="24"/>
          <w:szCs w:val="24"/>
          <w:highlight w:val="none"/>
          <w:lang w:eastAsia="zh-CN"/>
        </w:rPr>
        <w:t>投标人</w:t>
      </w:r>
      <w:r>
        <w:rPr>
          <w:rFonts w:hint="eastAsia"/>
          <w:color w:val="auto"/>
          <w:sz w:val="24"/>
          <w:szCs w:val="24"/>
          <w:highlight w:val="none"/>
        </w:rPr>
        <w:t>参加同一合同项下投标的，按一家</w:t>
      </w:r>
      <w:r>
        <w:rPr>
          <w:rFonts w:hint="eastAsia"/>
          <w:color w:val="auto"/>
          <w:sz w:val="24"/>
          <w:szCs w:val="24"/>
          <w:highlight w:val="none"/>
          <w:lang w:eastAsia="zh-CN"/>
        </w:rPr>
        <w:t>投标人</w:t>
      </w:r>
      <w:r>
        <w:rPr>
          <w:rFonts w:hint="eastAsia"/>
          <w:color w:val="auto"/>
          <w:sz w:val="24"/>
          <w:szCs w:val="24"/>
          <w:highlight w:val="none"/>
        </w:rPr>
        <w:t>计算，评审后得分最高的同品牌</w:t>
      </w:r>
      <w:r>
        <w:rPr>
          <w:rFonts w:hint="eastAsia"/>
          <w:color w:val="auto"/>
          <w:sz w:val="24"/>
          <w:szCs w:val="24"/>
          <w:highlight w:val="none"/>
          <w:lang w:eastAsia="zh-CN"/>
        </w:rPr>
        <w:t>投标人</w:t>
      </w:r>
      <w:r>
        <w:rPr>
          <w:rFonts w:hint="eastAsia"/>
          <w:color w:val="auto"/>
          <w:sz w:val="24"/>
          <w:szCs w:val="24"/>
          <w:highlight w:val="none"/>
        </w:rPr>
        <w:t>获得中标人推荐资格；评审得分相同的，由评委员会按照招标文件规定的方式确定一个</w:t>
      </w:r>
      <w:r>
        <w:rPr>
          <w:rFonts w:hint="eastAsia"/>
          <w:color w:val="auto"/>
          <w:sz w:val="24"/>
          <w:szCs w:val="24"/>
          <w:highlight w:val="none"/>
          <w:lang w:eastAsia="zh-CN"/>
        </w:rPr>
        <w:t>投标人</w:t>
      </w:r>
      <w:r>
        <w:rPr>
          <w:rFonts w:hint="eastAsia"/>
          <w:color w:val="auto"/>
          <w:sz w:val="24"/>
          <w:szCs w:val="24"/>
          <w:highlight w:val="none"/>
        </w:rPr>
        <w:t>获得中标人推荐资格，招标文件未规定的采取随机抽取方式确定，其他同品牌</w:t>
      </w:r>
      <w:r>
        <w:rPr>
          <w:rFonts w:hint="eastAsia"/>
          <w:color w:val="auto"/>
          <w:sz w:val="24"/>
          <w:szCs w:val="24"/>
          <w:highlight w:val="none"/>
          <w:lang w:eastAsia="zh-CN"/>
        </w:rPr>
        <w:t>投标人</w:t>
      </w:r>
      <w:r>
        <w:rPr>
          <w:rFonts w:hint="eastAsia"/>
          <w:color w:val="auto"/>
          <w:sz w:val="24"/>
          <w:szCs w:val="24"/>
          <w:highlight w:val="none"/>
        </w:rPr>
        <w:t>不作为中标候选人。</w:t>
      </w:r>
    </w:p>
    <w:p w14:paraId="770A662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非单一产品采购项目，招标文件中将载明核心产品。多家</w:t>
      </w:r>
      <w:r>
        <w:rPr>
          <w:rFonts w:hint="eastAsia"/>
          <w:color w:val="auto"/>
          <w:sz w:val="24"/>
          <w:szCs w:val="24"/>
          <w:highlight w:val="none"/>
          <w:lang w:eastAsia="zh-CN"/>
        </w:rPr>
        <w:t>投标人</w:t>
      </w:r>
      <w:r>
        <w:rPr>
          <w:rFonts w:hint="eastAsia"/>
          <w:color w:val="auto"/>
          <w:sz w:val="24"/>
          <w:szCs w:val="24"/>
          <w:highlight w:val="none"/>
        </w:rPr>
        <w:t>提供的核心产品品牌相同的，按前两款规定处理。</w:t>
      </w:r>
    </w:p>
    <w:p w14:paraId="32CEA17A">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27、无效投标条款和废标条款</w:t>
      </w:r>
    </w:p>
    <w:p w14:paraId="40EFAE3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27.1无效投标条款：</w:t>
      </w:r>
    </w:p>
    <w:p w14:paraId="5295479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未按照招标文件要求递交（上传）电子投标文件的。</w:t>
      </w:r>
    </w:p>
    <w:p w14:paraId="7D57D22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w:t>
      </w:r>
      <w:r>
        <w:rPr>
          <w:rFonts w:hint="eastAsia"/>
          <w:color w:val="auto"/>
          <w:sz w:val="24"/>
          <w:szCs w:val="24"/>
          <w:highlight w:val="none"/>
          <w:lang w:eastAsia="zh-CN"/>
        </w:rPr>
        <w:t>投标人</w:t>
      </w:r>
      <w:r>
        <w:rPr>
          <w:rFonts w:hint="eastAsia"/>
          <w:color w:val="auto"/>
          <w:sz w:val="24"/>
          <w:szCs w:val="24"/>
          <w:highlight w:val="none"/>
        </w:rPr>
        <w:t>在“苏采云”系统规定的时间内未成功解密电子投标文件的。</w:t>
      </w:r>
    </w:p>
    <w:p w14:paraId="54E4FD0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w:t>
      </w:r>
      <w:r>
        <w:rPr>
          <w:rFonts w:hint="eastAsia"/>
          <w:color w:val="auto"/>
          <w:sz w:val="24"/>
          <w:szCs w:val="24"/>
          <w:highlight w:val="none"/>
          <w:lang w:eastAsia="zh-CN"/>
        </w:rPr>
        <w:t>投标人</w:t>
      </w:r>
      <w:r>
        <w:rPr>
          <w:rFonts w:hint="eastAsia"/>
          <w:color w:val="auto"/>
          <w:sz w:val="24"/>
          <w:szCs w:val="24"/>
          <w:highlight w:val="none"/>
        </w:rPr>
        <w:t>不具备招标文件中规定的资格要求的。</w:t>
      </w:r>
    </w:p>
    <w:p w14:paraId="4C00C6E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投标人</w:t>
      </w:r>
      <w:r>
        <w:rPr>
          <w:rFonts w:hint="eastAsia"/>
          <w:color w:val="auto"/>
          <w:sz w:val="24"/>
          <w:szCs w:val="24"/>
          <w:highlight w:val="none"/>
        </w:rPr>
        <w:t>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C3FC99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w:t>
      </w:r>
      <w:r>
        <w:rPr>
          <w:rFonts w:hint="eastAsia"/>
          <w:color w:val="auto"/>
          <w:sz w:val="24"/>
          <w:szCs w:val="24"/>
          <w:highlight w:val="none"/>
          <w:lang w:eastAsia="zh-CN"/>
        </w:rPr>
        <w:t>投标人</w:t>
      </w:r>
      <w:r>
        <w:rPr>
          <w:rFonts w:hint="eastAsia"/>
          <w:color w:val="auto"/>
          <w:sz w:val="24"/>
          <w:szCs w:val="24"/>
          <w:highlight w:val="none"/>
        </w:rPr>
        <w:t>提交两个（含两个）以上不同的投标报价的。</w:t>
      </w:r>
    </w:p>
    <w:p w14:paraId="70C0102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w:t>
      </w:r>
      <w:r>
        <w:rPr>
          <w:rFonts w:hint="eastAsia"/>
          <w:color w:val="auto"/>
          <w:sz w:val="24"/>
          <w:szCs w:val="24"/>
          <w:highlight w:val="none"/>
          <w:lang w:eastAsia="zh-CN"/>
        </w:rPr>
        <w:t>投标人</w:t>
      </w:r>
      <w:r>
        <w:rPr>
          <w:rFonts w:hint="eastAsia"/>
          <w:color w:val="auto"/>
          <w:sz w:val="24"/>
          <w:szCs w:val="24"/>
          <w:highlight w:val="none"/>
        </w:rPr>
        <w:t>的报价超过了采购预算或者最高限价的。</w:t>
      </w:r>
    </w:p>
    <w:p w14:paraId="7C42609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（7）评委会认为</w:t>
      </w:r>
      <w:r>
        <w:rPr>
          <w:rFonts w:hint="eastAsia"/>
          <w:color w:val="auto"/>
          <w:sz w:val="24"/>
          <w:szCs w:val="24"/>
          <w:highlight w:val="none"/>
          <w:lang w:eastAsia="zh-CN"/>
        </w:rPr>
        <w:t>投标人</w:t>
      </w:r>
      <w:r>
        <w:rPr>
          <w:rFonts w:hint="eastAsia"/>
          <w:color w:val="auto"/>
          <w:sz w:val="24"/>
          <w:szCs w:val="24"/>
          <w:highlight w:val="none"/>
        </w:rPr>
        <w:t>的报价明显低于其他通过符合性审</w:t>
      </w:r>
      <w:r>
        <w:rPr>
          <w:rFonts w:hint="eastAsia"/>
          <w:color w:val="auto"/>
          <w:sz w:val="24"/>
          <w:szCs w:val="24"/>
          <w:highlight w:val="none"/>
          <w:lang w:eastAsia="zh-CN"/>
        </w:rPr>
        <w:t>查的投标人</w:t>
      </w:r>
      <w:r>
        <w:rPr>
          <w:rFonts w:hint="eastAsia"/>
          <w:color w:val="auto"/>
          <w:sz w:val="24"/>
          <w:szCs w:val="24"/>
          <w:highlight w:val="none"/>
        </w:rPr>
        <w:t>的报价，有可能影响产品质量或者不能诚信履约的，将通过“苏采云”系统要求其在合理的时间内提供说明，必要时提交相关证明材料，</w:t>
      </w:r>
      <w:r>
        <w:rPr>
          <w:rFonts w:hint="eastAsia"/>
          <w:color w:val="auto"/>
          <w:sz w:val="24"/>
          <w:szCs w:val="24"/>
          <w:highlight w:val="none"/>
          <w:lang w:eastAsia="zh-CN"/>
        </w:rPr>
        <w:t>投标人</w:t>
      </w:r>
      <w:r>
        <w:rPr>
          <w:rFonts w:hint="eastAsia"/>
          <w:color w:val="auto"/>
          <w:sz w:val="24"/>
          <w:szCs w:val="24"/>
          <w:highlight w:val="none"/>
        </w:rPr>
        <w:t>不能证明其报价合理性的。</w:t>
      </w:r>
    </w:p>
    <w:p w14:paraId="59C0118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（8）不符合招标文件中规定的实质性要求和条件的（本招标文件中斜体且有下划线部分为实质性要求和条件）。</w:t>
      </w:r>
    </w:p>
    <w:p w14:paraId="0FFFD7D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w:t>
      </w:r>
      <w:r>
        <w:rPr>
          <w:rFonts w:hint="eastAsia"/>
          <w:color w:val="auto"/>
          <w:sz w:val="24"/>
          <w:szCs w:val="24"/>
          <w:highlight w:val="none"/>
          <w:lang w:eastAsia="zh-CN"/>
        </w:rPr>
        <w:t>投标人</w:t>
      </w:r>
      <w:r>
        <w:rPr>
          <w:rFonts w:hint="eastAsia"/>
          <w:color w:val="auto"/>
          <w:sz w:val="24"/>
          <w:szCs w:val="24"/>
          <w:highlight w:val="none"/>
        </w:rPr>
        <w:t>所投标产品不在强制采购范围内或者未按要求提供国家确定的认证机构出具的、处于有效期之内的节能产品认证证书的。</w:t>
      </w:r>
    </w:p>
    <w:p w14:paraId="261E673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（10）</w:t>
      </w:r>
      <w:r>
        <w:rPr>
          <w:rFonts w:hint="eastAsia"/>
          <w:color w:val="auto"/>
          <w:sz w:val="24"/>
          <w:szCs w:val="24"/>
          <w:highlight w:val="none"/>
          <w:lang w:eastAsia="zh-CN"/>
        </w:rPr>
        <w:t>投标人</w:t>
      </w:r>
      <w:r>
        <w:rPr>
          <w:rFonts w:hint="eastAsia"/>
          <w:color w:val="auto"/>
          <w:sz w:val="24"/>
          <w:szCs w:val="24"/>
          <w:highlight w:val="none"/>
        </w:rPr>
        <w:t>未通过符合性审查的。</w:t>
      </w:r>
    </w:p>
    <w:p w14:paraId="3A4BE8A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（11）投标文件含有采购人不能接受的附加条件的。</w:t>
      </w:r>
    </w:p>
    <w:p w14:paraId="0A3BDFE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（12）投标文件未按照招标文件要求加盖公章（CA电子公章）的。</w:t>
      </w:r>
    </w:p>
    <w:p w14:paraId="3D97CAE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（13）其他法律、法规及本招标文件规定的属于无效投标的情形。</w:t>
      </w:r>
    </w:p>
    <w:p w14:paraId="64EAC15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27.2 有下列情形之一的，视为</w:t>
      </w:r>
      <w:r>
        <w:rPr>
          <w:rFonts w:hint="eastAsia"/>
          <w:color w:val="auto"/>
          <w:sz w:val="24"/>
          <w:szCs w:val="24"/>
          <w:highlight w:val="none"/>
          <w:lang w:eastAsia="zh-CN"/>
        </w:rPr>
        <w:t>投标人</w:t>
      </w:r>
      <w:r>
        <w:rPr>
          <w:rFonts w:hint="eastAsia"/>
          <w:color w:val="auto"/>
          <w:sz w:val="24"/>
          <w:szCs w:val="24"/>
          <w:highlight w:val="none"/>
        </w:rPr>
        <w:t>串通投标，投标无效：</w:t>
      </w:r>
    </w:p>
    <w:p w14:paraId="3548FF7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（1）不同</w:t>
      </w:r>
      <w:r>
        <w:rPr>
          <w:rFonts w:hint="eastAsia"/>
          <w:color w:val="auto"/>
          <w:sz w:val="24"/>
          <w:szCs w:val="24"/>
          <w:highlight w:val="none"/>
          <w:lang w:eastAsia="zh-CN"/>
        </w:rPr>
        <w:t>投标人</w:t>
      </w:r>
      <w:r>
        <w:rPr>
          <w:rFonts w:hint="eastAsia"/>
          <w:color w:val="auto"/>
          <w:sz w:val="24"/>
          <w:szCs w:val="24"/>
          <w:highlight w:val="none"/>
        </w:rPr>
        <w:t>的投标文件由同一单位或者个人编制。</w:t>
      </w:r>
    </w:p>
    <w:p w14:paraId="73B9EB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（2）不同</w:t>
      </w:r>
      <w:r>
        <w:rPr>
          <w:rFonts w:hint="eastAsia"/>
          <w:color w:val="auto"/>
          <w:sz w:val="24"/>
          <w:szCs w:val="24"/>
          <w:highlight w:val="none"/>
          <w:lang w:eastAsia="zh-CN"/>
        </w:rPr>
        <w:t>投标人</w:t>
      </w:r>
      <w:r>
        <w:rPr>
          <w:rFonts w:hint="eastAsia"/>
          <w:color w:val="auto"/>
          <w:sz w:val="24"/>
          <w:szCs w:val="24"/>
          <w:highlight w:val="none"/>
        </w:rPr>
        <w:t>委托同一单位或者个人办理投标事宜。</w:t>
      </w:r>
    </w:p>
    <w:p w14:paraId="73F3E6B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（3）不同</w:t>
      </w:r>
      <w:r>
        <w:rPr>
          <w:rFonts w:hint="eastAsia"/>
          <w:color w:val="auto"/>
          <w:sz w:val="24"/>
          <w:szCs w:val="24"/>
          <w:highlight w:val="none"/>
          <w:lang w:eastAsia="zh-CN"/>
        </w:rPr>
        <w:t>投标人</w:t>
      </w:r>
      <w:r>
        <w:rPr>
          <w:rFonts w:hint="eastAsia"/>
          <w:color w:val="auto"/>
          <w:sz w:val="24"/>
          <w:szCs w:val="24"/>
          <w:highlight w:val="none"/>
        </w:rPr>
        <w:t>的投标文件载明的项目管理成员或者联系人员为同一人。</w:t>
      </w:r>
    </w:p>
    <w:p w14:paraId="4B5F9C6D">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（4）不同</w:t>
      </w:r>
      <w:r>
        <w:rPr>
          <w:rFonts w:hint="eastAsia"/>
          <w:color w:val="auto"/>
          <w:sz w:val="24"/>
          <w:szCs w:val="24"/>
          <w:highlight w:val="none"/>
          <w:lang w:eastAsia="zh-CN"/>
        </w:rPr>
        <w:t>投标人</w:t>
      </w:r>
      <w:r>
        <w:rPr>
          <w:rFonts w:hint="eastAsia"/>
          <w:color w:val="auto"/>
          <w:sz w:val="24"/>
          <w:szCs w:val="24"/>
          <w:highlight w:val="none"/>
        </w:rPr>
        <w:t>的投标文件异常一致或者投标报价呈规律性差异。</w:t>
      </w:r>
    </w:p>
    <w:p w14:paraId="6C9B814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（5）不同</w:t>
      </w:r>
      <w:r>
        <w:rPr>
          <w:rFonts w:hint="eastAsia"/>
          <w:color w:val="auto"/>
          <w:sz w:val="24"/>
          <w:szCs w:val="24"/>
          <w:highlight w:val="none"/>
          <w:lang w:eastAsia="zh-CN"/>
        </w:rPr>
        <w:t>投标人</w:t>
      </w:r>
      <w:r>
        <w:rPr>
          <w:rFonts w:hint="eastAsia"/>
          <w:color w:val="auto"/>
          <w:sz w:val="24"/>
          <w:szCs w:val="24"/>
          <w:highlight w:val="none"/>
        </w:rPr>
        <w:t>的投标文件相互混装。</w:t>
      </w:r>
    </w:p>
    <w:p w14:paraId="18861D2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27.3废标条款：</w:t>
      </w:r>
    </w:p>
    <w:p w14:paraId="4724741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（1）因“苏采云”</w:t>
      </w:r>
      <w:r>
        <w:rPr>
          <w:rFonts w:hint="eastAsia"/>
          <w:color w:val="auto"/>
          <w:sz w:val="24"/>
          <w:szCs w:val="24"/>
          <w:highlight w:val="none"/>
          <w:lang w:eastAsia="zh-CN"/>
        </w:rPr>
        <w:t>系统故障</w:t>
      </w:r>
      <w:r>
        <w:rPr>
          <w:rFonts w:hint="eastAsia"/>
          <w:color w:val="auto"/>
          <w:sz w:val="24"/>
          <w:szCs w:val="24"/>
          <w:highlight w:val="none"/>
        </w:rPr>
        <w:t>原因造成开标不成功的。</w:t>
      </w:r>
    </w:p>
    <w:p w14:paraId="2746C4F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（2）评委会认定招标文件存在歧义、重大缺陷导致评审工作无法进行的。</w:t>
      </w:r>
    </w:p>
    <w:p w14:paraId="4FB8A88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（3）符合专业条件的</w:t>
      </w:r>
      <w:r>
        <w:rPr>
          <w:rFonts w:hint="eastAsia"/>
          <w:color w:val="auto"/>
          <w:sz w:val="24"/>
          <w:szCs w:val="24"/>
          <w:highlight w:val="none"/>
          <w:lang w:eastAsia="zh-CN"/>
        </w:rPr>
        <w:t>投标人</w:t>
      </w:r>
      <w:r>
        <w:rPr>
          <w:rFonts w:hint="eastAsia"/>
          <w:color w:val="auto"/>
          <w:sz w:val="24"/>
          <w:szCs w:val="24"/>
          <w:highlight w:val="none"/>
        </w:rPr>
        <w:t>或者对招标文件</w:t>
      </w:r>
      <w:r>
        <w:rPr>
          <w:rFonts w:hint="eastAsia"/>
          <w:color w:val="auto"/>
          <w:sz w:val="24"/>
          <w:szCs w:val="24"/>
          <w:highlight w:val="none"/>
          <w:lang w:eastAsia="zh-CN"/>
        </w:rPr>
        <w:t>做</w:t>
      </w:r>
      <w:r>
        <w:rPr>
          <w:rFonts w:hint="eastAsia"/>
          <w:color w:val="auto"/>
          <w:sz w:val="24"/>
          <w:szCs w:val="24"/>
          <w:highlight w:val="none"/>
        </w:rPr>
        <w:t>实质响应的</w:t>
      </w:r>
      <w:r>
        <w:rPr>
          <w:rFonts w:hint="eastAsia"/>
          <w:color w:val="auto"/>
          <w:sz w:val="24"/>
          <w:szCs w:val="24"/>
          <w:highlight w:val="none"/>
          <w:lang w:eastAsia="zh-CN"/>
        </w:rPr>
        <w:t>投标人</w:t>
      </w:r>
      <w:r>
        <w:rPr>
          <w:rFonts w:hint="eastAsia"/>
          <w:color w:val="auto"/>
          <w:sz w:val="24"/>
          <w:szCs w:val="24"/>
          <w:highlight w:val="none"/>
        </w:rPr>
        <w:t>不足三家的。</w:t>
      </w:r>
    </w:p>
    <w:p w14:paraId="790858C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（4）出现影响采购公正的违法、违规行为的。</w:t>
      </w:r>
    </w:p>
    <w:p w14:paraId="4BE6655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（5）因重大变故，采购任务取消的。</w:t>
      </w:r>
    </w:p>
    <w:p w14:paraId="3EE83E2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27.4出现投标截止时间结束后参加投标的</w:t>
      </w:r>
      <w:r>
        <w:rPr>
          <w:rFonts w:hint="eastAsia"/>
          <w:color w:val="auto"/>
          <w:sz w:val="24"/>
          <w:szCs w:val="24"/>
          <w:highlight w:val="none"/>
          <w:lang w:eastAsia="zh-CN"/>
        </w:rPr>
        <w:t>投标人</w:t>
      </w:r>
      <w:r>
        <w:rPr>
          <w:rFonts w:hint="eastAsia"/>
          <w:color w:val="auto"/>
          <w:sz w:val="24"/>
          <w:szCs w:val="24"/>
          <w:highlight w:val="none"/>
        </w:rPr>
        <w:t>或者在评标期间对招标文件做出实质响应的</w:t>
      </w:r>
      <w:r>
        <w:rPr>
          <w:rFonts w:hint="eastAsia"/>
          <w:color w:val="auto"/>
          <w:sz w:val="24"/>
          <w:szCs w:val="24"/>
          <w:highlight w:val="none"/>
          <w:lang w:eastAsia="zh-CN"/>
        </w:rPr>
        <w:t>投标人</w:t>
      </w:r>
      <w:r>
        <w:rPr>
          <w:rFonts w:hint="eastAsia"/>
          <w:color w:val="auto"/>
          <w:sz w:val="24"/>
          <w:szCs w:val="24"/>
          <w:highlight w:val="none"/>
        </w:rPr>
        <w:t>不足三家情况的，按照政府采购相关规定执行。</w:t>
      </w:r>
    </w:p>
    <w:p w14:paraId="6A008F3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bCs w:val="0"/>
          <w:color w:val="auto"/>
          <w:sz w:val="24"/>
          <w:szCs w:val="21"/>
          <w:highlight w:val="none"/>
          <w:lang w:val="en-US" w:eastAsia="zh-CN"/>
        </w:rPr>
      </w:pPr>
      <w:bookmarkStart w:id="2" w:name="_Toc120614219"/>
      <w:r>
        <w:rPr>
          <w:rFonts w:hint="eastAsia" w:ascii="宋体" w:hAnsi="宋体"/>
          <w:b/>
          <w:bCs w:val="0"/>
          <w:color w:val="auto"/>
          <w:sz w:val="24"/>
          <w:szCs w:val="21"/>
          <w:highlight w:val="none"/>
          <w:lang w:val="en-US" w:eastAsia="zh-CN"/>
        </w:rPr>
        <w:t>27.5.政府采购异常低价审查：</w:t>
      </w:r>
    </w:p>
    <w:p w14:paraId="7FA74C7D">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政府采购评审中出现下列情形之一的，评审委员会应当启动异常低价投标审查程序：</w:t>
      </w:r>
    </w:p>
    <w:p w14:paraId="4424A704">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1.投标报价低于全部通过符合性审查供应商投标报价平均值65%的，即投标报价（全部通过符合性审查供应商投标报价平均值）×65%； </w:t>
      </w:r>
    </w:p>
    <w:p w14:paraId="76FFFE2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2.投标报价低于通过符合性审查的次低报价供应商投标报价65%的，即投标报价&lt;通过符合性审查的次低报价供应商投标报价×65%； </w:t>
      </w:r>
    </w:p>
    <w:p w14:paraId="7EE3C4E3">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3.投标报价低于采购项目最高限价65%的，即投标报价&lt;采购项目最高限价×65%； </w:t>
      </w:r>
    </w:p>
    <w:p w14:paraId="30F5B22C">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color w:val="auto"/>
          <w:sz w:val="24"/>
          <w:szCs w:val="21"/>
          <w:highlight w:val="none"/>
          <w:lang w:val="en-US" w:eastAsia="zh-CN"/>
        </w:rPr>
      </w:pPr>
      <w:r>
        <w:rPr>
          <w:rFonts w:hint="eastAsia" w:ascii="宋体" w:hAnsi="宋体"/>
          <w:b w:val="0"/>
          <w:bCs/>
          <w:color w:val="auto"/>
          <w:sz w:val="24"/>
          <w:szCs w:val="21"/>
          <w:highlight w:val="none"/>
          <w:lang w:val="en-US" w:eastAsia="zh-CN"/>
        </w:rPr>
        <w:t xml:space="preserve">4.评审委员会基于专业判断，认为供应商报价过低，有可能影响产品质量或者不能诚信履约的其他情形。 </w:t>
      </w:r>
    </w:p>
    <w:p w14:paraId="1F05DEB7">
      <w:pPr>
        <w:pageBreakBefore w:val="0"/>
        <w:widowControl w:val="0"/>
        <w:kinsoku/>
        <w:wordWrap/>
        <w:overflowPunct/>
        <w:topLinePunct w:val="0"/>
        <w:autoSpaceDE/>
        <w:autoSpaceDN/>
        <w:bidi w:val="0"/>
        <w:adjustRightInd/>
        <w:snapToGrid/>
        <w:spacing w:line="360" w:lineRule="auto"/>
        <w:ind w:firstLine="480"/>
        <w:textAlignment w:val="auto"/>
        <w:rPr>
          <w:rFonts w:hint="eastAsia" w:ascii="黑体" w:hAnsi="黑体" w:eastAsia="黑体"/>
          <w:b w:val="0"/>
          <w:color w:val="auto"/>
          <w:highlight w:val="none"/>
        </w:rPr>
      </w:pPr>
      <w:r>
        <w:rPr>
          <w:rFonts w:hint="eastAsia" w:ascii="宋体" w:hAnsi="宋体"/>
          <w:b w:val="0"/>
          <w:bCs/>
          <w:color w:val="auto"/>
          <w:sz w:val="24"/>
          <w:szCs w:val="21"/>
          <w:highlight w:val="none"/>
          <w:lang w:val="en-US"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val="0"/>
          <w:bCs/>
          <w:color w:val="auto"/>
          <w:sz w:val="24"/>
          <w:szCs w:val="21"/>
          <w:highlight w:val="none"/>
        </w:rPr>
        <w:t>。</w:t>
      </w:r>
      <w:bookmarkEnd w:id="2"/>
    </w:p>
    <w:p w14:paraId="6D03519A">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六、定标</w:t>
      </w:r>
    </w:p>
    <w:p w14:paraId="1B2C4581">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28、确定中标单位</w:t>
      </w:r>
    </w:p>
    <w:p w14:paraId="50718D9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28.1中标候选人的选取原则和数量详见招标文件第五章规定。</w:t>
      </w:r>
    </w:p>
    <w:p w14:paraId="214E6D0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28.2采购人应根据评委会推荐的中标候选人确定中标人。</w:t>
      </w:r>
    </w:p>
    <w:p w14:paraId="45947C7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28.3</w:t>
      </w:r>
      <w:r>
        <w:rPr>
          <w:rFonts w:hint="eastAsia"/>
          <w:color w:val="auto"/>
          <w:sz w:val="24"/>
          <w:szCs w:val="24"/>
          <w:highlight w:val="none"/>
          <w:lang w:eastAsia="zh-CN"/>
        </w:rPr>
        <w:t>代理公司</w:t>
      </w:r>
      <w:r>
        <w:rPr>
          <w:rFonts w:hint="eastAsia"/>
          <w:color w:val="auto"/>
          <w:sz w:val="24"/>
          <w:szCs w:val="24"/>
          <w:highlight w:val="none"/>
        </w:rPr>
        <w:t>将在江苏政府采购网发布中标公告，公告期限为1个工作日。</w:t>
      </w:r>
    </w:p>
    <w:p w14:paraId="35B988B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28.4若有充分证据证明，中标人存在下列情形之一的，一经查实，将被取消中标资格：</w:t>
      </w:r>
    </w:p>
    <w:p w14:paraId="669B6B7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（1）提供虚假材料谋取中标的。</w:t>
      </w:r>
    </w:p>
    <w:p w14:paraId="30241CA0">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（2）向采购人、采购中心行贿或者提供其他不正当利益的。</w:t>
      </w:r>
    </w:p>
    <w:p w14:paraId="2A3B1CD9">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（3）属于本文件规定的无效条件，但在评标过程中又未被评委会发现的。</w:t>
      </w:r>
    </w:p>
    <w:p w14:paraId="01BE70F6">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（4）与采购人或者其他</w:t>
      </w:r>
      <w:r>
        <w:rPr>
          <w:rFonts w:hint="eastAsia"/>
          <w:color w:val="auto"/>
          <w:sz w:val="24"/>
          <w:szCs w:val="24"/>
          <w:highlight w:val="none"/>
          <w:lang w:eastAsia="zh-CN"/>
        </w:rPr>
        <w:t>投标人</w:t>
      </w:r>
      <w:r>
        <w:rPr>
          <w:rFonts w:hint="eastAsia"/>
          <w:color w:val="auto"/>
          <w:sz w:val="24"/>
          <w:szCs w:val="24"/>
          <w:highlight w:val="none"/>
        </w:rPr>
        <w:t>恶意串通的。</w:t>
      </w:r>
    </w:p>
    <w:p w14:paraId="3EC171E4">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（5）采取不正当手段诋毁、排挤其他</w:t>
      </w:r>
      <w:r>
        <w:rPr>
          <w:rFonts w:hint="eastAsia"/>
          <w:color w:val="auto"/>
          <w:sz w:val="24"/>
          <w:szCs w:val="24"/>
          <w:highlight w:val="none"/>
          <w:lang w:eastAsia="zh-CN"/>
        </w:rPr>
        <w:t>投标人</w:t>
      </w:r>
      <w:r>
        <w:rPr>
          <w:rFonts w:hint="eastAsia"/>
          <w:color w:val="auto"/>
          <w:sz w:val="24"/>
          <w:szCs w:val="24"/>
          <w:highlight w:val="none"/>
        </w:rPr>
        <w:t>的。</w:t>
      </w:r>
    </w:p>
    <w:p w14:paraId="6423BB39">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.5 有下列情形之一的，视为</w:t>
      </w:r>
      <w:r>
        <w:rPr>
          <w:rFonts w:hint="eastAsia"/>
          <w:color w:val="auto"/>
          <w:sz w:val="24"/>
          <w:szCs w:val="24"/>
          <w:highlight w:val="none"/>
          <w:lang w:eastAsia="zh-CN"/>
        </w:rPr>
        <w:t>投标人</w:t>
      </w:r>
      <w:r>
        <w:rPr>
          <w:rFonts w:hint="eastAsia"/>
          <w:color w:val="auto"/>
          <w:sz w:val="24"/>
          <w:szCs w:val="24"/>
          <w:highlight w:val="none"/>
        </w:rPr>
        <w:t>串通投标，投标无效：</w:t>
      </w:r>
    </w:p>
    <w:p w14:paraId="546AC61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（1）不同</w:t>
      </w:r>
      <w:r>
        <w:rPr>
          <w:rFonts w:hint="eastAsia"/>
          <w:color w:val="auto"/>
          <w:sz w:val="24"/>
          <w:szCs w:val="24"/>
          <w:highlight w:val="none"/>
          <w:lang w:eastAsia="zh-CN"/>
        </w:rPr>
        <w:t>投标人</w:t>
      </w:r>
      <w:r>
        <w:rPr>
          <w:rFonts w:hint="eastAsia"/>
          <w:color w:val="auto"/>
          <w:sz w:val="24"/>
          <w:szCs w:val="24"/>
          <w:highlight w:val="none"/>
        </w:rPr>
        <w:t>的投标文件由同一单位或者个人编制。</w:t>
      </w:r>
    </w:p>
    <w:p w14:paraId="50E20BC8">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（2）不同</w:t>
      </w:r>
      <w:r>
        <w:rPr>
          <w:rFonts w:hint="eastAsia"/>
          <w:color w:val="auto"/>
          <w:sz w:val="24"/>
          <w:szCs w:val="24"/>
          <w:highlight w:val="none"/>
          <w:lang w:eastAsia="zh-CN"/>
        </w:rPr>
        <w:t>投标人</w:t>
      </w:r>
      <w:r>
        <w:rPr>
          <w:rFonts w:hint="eastAsia"/>
          <w:color w:val="auto"/>
          <w:sz w:val="24"/>
          <w:szCs w:val="24"/>
          <w:highlight w:val="none"/>
        </w:rPr>
        <w:t>委托同一单位或者个人办理投标事宜。</w:t>
      </w:r>
    </w:p>
    <w:p w14:paraId="782A26F3">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（3） 不同</w:t>
      </w:r>
      <w:r>
        <w:rPr>
          <w:rFonts w:hint="eastAsia"/>
          <w:color w:val="auto"/>
          <w:sz w:val="24"/>
          <w:szCs w:val="24"/>
          <w:highlight w:val="none"/>
          <w:lang w:eastAsia="zh-CN"/>
        </w:rPr>
        <w:t>投标人</w:t>
      </w:r>
      <w:r>
        <w:rPr>
          <w:rFonts w:hint="eastAsia"/>
          <w:color w:val="auto"/>
          <w:sz w:val="24"/>
          <w:szCs w:val="24"/>
          <w:highlight w:val="none"/>
        </w:rPr>
        <w:t>的投标文件载明的项目管理成员或者联系人员为同一人。</w:t>
      </w:r>
    </w:p>
    <w:p w14:paraId="0F570A2C">
      <w:pPr>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color w:val="auto"/>
          <w:sz w:val="24"/>
          <w:szCs w:val="24"/>
          <w:highlight w:val="none"/>
        </w:rPr>
      </w:pPr>
      <w:r>
        <w:rPr>
          <w:rFonts w:hint="eastAsia"/>
          <w:color w:val="auto"/>
          <w:sz w:val="24"/>
          <w:szCs w:val="24"/>
          <w:highlight w:val="none"/>
        </w:rPr>
        <w:t>（4）不同</w:t>
      </w:r>
      <w:r>
        <w:rPr>
          <w:rFonts w:hint="eastAsia"/>
          <w:color w:val="auto"/>
          <w:sz w:val="24"/>
          <w:szCs w:val="24"/>
          <w:highlight w:val="none"/>
          <w:lang w:eastAsia="zh-CN"/>
        </w:rPr>
        <w:t>投标人</w:t>
      </w:r>
      <w:r>
        <w:rPr>
          <w:rFonts w:hint="eastAsia"/>
          <w:color w:val="auto"/>
          <w:sz w:val="24"/>
          <w:szCs w:val="24"/>
          <w:highlight w:val="none"/>
        </w:rPr>
        <w:t>的投标文件异常一致或者投标报价呈规律性差异。</w:t>
      </w:r>
    </w:p>
    <w:p w14:paraId="180C8489">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29、中标通知书</w:t>
      </w:r>
    </w:p>
    <w:p w14:paraId="2EDDEE8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29.1 中标结果确定后，</w:t>
      </w:r>
      <w:r>
        <w:rPr>
          <w:rFonts w:hint="eastAsia" w:eastAsia="宋体"/>
          <w:color w:val="auto"/>
          <w:sz w:val="24"/>
          <w:szCs w:val="24"/>
          <w:highlight w:val="none"/>
          <w:lang w:eastAsia="zh-CN"/>
        </w:rPr>
        <w:t>代理公司</w:t>
      </w:r>
      <w:r>
        <w:rPr>
          <w:rFonts w:hint="eastAsia"/>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4EE5170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29.2中标通知书将作为政府采购合同的一个组成部分。对采购人和中标人均具有法律效力。中标通知书发出后，采购人改变中标结果的，或者中标人放弃中标项目的，应当依法承担法律责任。</w:t>
      </w:r>
    </w:p>
    <w:p w14:paraId="766BD7D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29.3 中标人应在中标后七个工作日内，向采购人和</w:t>
      </w:r>
      <w:r>
        <w:rPr>
          <w:rFonts w:hint="eastAsia" w:eastAsia="宋体"/>
          <w:color w:val="auto"/>
          <w:sz w:val="24"/>
          <w:szCs w:val="24"/>
          <w:highlight w:val="none"/>
          <w:lang w:eastAsia="zh-CN"/>
        </w:rPr>
        <w:t>代理公司</w:t>
      </w:r>
      <w:r>
        <w:rPr>
          <w:rFonts w:hint="eastAsia"/>
          <w:color w:val="auto"/>
          <w:sz w:val="24"/>
          <w:szCs w:val="24"/>
          <w:highlight w:val="none"/>
        </w:rPr>
        <w:t>各提供</w:t>
      </w:r>
      <w:r>
        <w:rPr>
          <w:rFonts w:hint="eastAsia" w:eastAsia="宋体"/>
          <w:b/>
          <w:bCs/>
          <w:color w:val="auto"/>
          <w:sz w:val="24"/>
          <w:szCs w:val="24"/>
          <w:highlight w:val="none"/>
          <w:lang w:eastAsia="zh-CN"/>
        </w:rPr>
        <w:t>一正</w:t>
      </w:r>
      <w:r>
        <w:rPr>
          <w:rFonts w:hint="eastAsia" w:eastAsia="宋体"/>
          <w:b/>
          <w:bCs/>
          <w:color w:val="auto"/>
          <w:sz w:val="24"/>
          <w:szCs w:val="24"/>
          <w:highlight w:val="none"/>
          <w:lang w:val="en-US" w:eastAsia="zh-CN"/>
        </w:rPr>
        <w:t>四副</w:t>
      </w:r>
      <w:r>
        <w:rPr>
          <w:rFonts w:hint="eastAsia"/>
          <w:color w:val="auto"/>
          <w:sz w:val="24"/>
          <w:szCs w:val="24"/>
          <w:highlight w:val="none"/>
        </w:rPr>
        <w:t>与电子投标文件一致的纸质打印胶装投标文件，封面、骑缝需加盖公章。</w:t>
      </w:r>
    </w:p>
    <w:p w14:paraId="48016F09">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七、授予合同</w:t>
      </w:r>
    </w:p>
    <w:p w14:paraId="50A88AE6">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30、签订合同</w:t>
      </w:r>
    </w:p>
    <w:p w14:paraId="41F73CD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30.1 中标人应当在中标通知书发出之日起三十日内，按照招标文件和中标人投标文件的规定，与采购人签订政府采购合同。</w:t>
      </w:r>
    </w:p>
    <w:p w14:paraId="011C5BA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30.2招标文件、中标人的投标文件及招标过程中有关澄清、承诺等文件均应作为合同附件。</w:t>
      </w:r>
    </w:p>
    <w:p w14:paraId="21B18B0C">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30.3签订合同后，中标人不得将合同标的转包。未经采购人同意，中标人也不得采用分包的形式履行合同，否则采购人有权终止合同。转包或分包造成采购人损失的，中标人应承担相应赔偿责任。</w:t>
      </w:r>
    </w:p>
    <w:p w14:paraId="62B825D5">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31、合同标的的追加</w:t>
      </w:r>
    </w:p>
    <w:p w14:paraId="5970FF0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31.1政府采购合同履行中，采购人需追加与合同标的相同的货物、工程或者服务的，在不改变合同其他条款的前提下，可以按照《中华人民共和国政府采购法》第四十九条规定，与</w:t>
      </w:r>
      <w:r>
        <w:rPr>
          <w:rFonts w:hint="eastAsia"/>
          <w:color w:val="auto"/>
          <w:sz w:val="24"/>
          <w:szCs w:val="24"/>
          <w:highlight w:val="none"/>
          <w:lang w:eastAsia="zh-CN"/>
        </w:rPr>
        <w:t>投标人</w:t>
      </w:r>
      <w:r>
        <w:rPr>
          <w:rFonts w:hint="eastAsia"/>
          <w:color w:val="auto"/>
          <w:sz w:val="24"/>
          <w:szCs w:val="24"/>
          <w:highlight w:val="none"/>
        </w:rPr>
        <w:t>协商签订补充合同，但所有补充合同的采购金额不得超过原合同采购金额的百分之十。</w:t>
      </w:r>
    </w:p>
    <w:p w14:paraId="0735FDC8">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32、政府采购履约资金扶持政策</w:t>
      </w:r>
    </w:p>
    <w:p w14:paraId="7C43E39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32.1 中标人可凭政府采购合同办理融资贷款，详情请见江苏政府采购网“政采贷”专栏。</w:t>
      </w:r>
    </w:p>
    <w:p w14:paraId="0C462B44">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八、询问与质疑</w:t>
      </w:r>
    </w:p>
    <w:p w14:paraId="14DB66B4">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33、询问</w:t>
      </w:r>
    </w:p>
    <w:p w14:paraId="1D3E5D3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33.1</w:t>
      </w:r>
      <w:r>
        <w:rPr>
          <w:rFonts w:hint="eastAsia"/>
          <w:color w:val="auto"/>
          <w:sz w:val="24"/>
          <w:szCs w:val="24"/>
          <w:highlight w:val="none"/>
          <w:lang w:eastAsia="zh-CN"/>
        </w:rPr>
        <w:t>投标人</w:t>
      </w:r>
      <w:r>
        <w:rPr>
          <w:rFonts w:hint="eastAsia"/>
          <w:color w:val="auto"/>
          <w:sz w:val="24"/>
          <w:szCs w:val="24"/>
          <w:highlight w:val="none"/>
        </w:rPr>
        <w:t>对政府采购活动事项有疑问的，可以提出询问，采购人或者</w:t>
      </w:r>
      <w:r>
        <w:rPr>
          <w:rFonts w:hint="eastAsia" w:eastAsia="宋体"/>
          <w:color w:val="auto"/>
          <w:sz w:val="24"/>
          <w:szCs w:val="24"/>
          <w:highlight w:val="none"/>
          <w:lang w:eastAsia="zh-CN"/>
        </w:rPr>
        <w:t>代理公司</w:t>
      </w:r>
      <w:r>
        <w:rPr>
          <w:rFonts w:hint="eastAsia"/>
          <w:color w:val="auto"/>
          <w:sz w:val="24"/>
          <w:szCs w:val="24"/>
          <w:highlight w:val="none"/>
        </w:rPr>
        <w:t>应当在3个工作日内对</w:t>
      </w:r>
      <w:r>
        <w:rPr>
          <w:rFonts w:hint="eastAsia"/>
          <w:color w:val="auto"/>
          <w:sz w:val="24"/>
          <w:szCs w:val="24"/>
          <w:highlight w:val="none"/>
          <w:lang w:eastAsia="zh-CN"/>
        </w:rPr>
        <w:t>投标人</w:t>
      </w:r>
      <w:r>
        <w:rPr>
          <w:rFonts w:hint="eastAsia"/>
          <w:color w:val="auto"/>
          <w:sz w:val="24"/>
          <w:szCs w:val="24"/>
          <w:highlight w:val="none"/>
        </w:rPr>
        <w:t>依法提出的询问作出答复，但答复的内容不得涉及商业秘密。</w:t>
      </w:r>
      <w:r>
        <w:rPr>
          <w:rFonts w:hint="eastAsia"/>
          <w:color w:val="auto"/>
          <w:sz w:val="24"/>
          <w:szCs w:val="24"/>
          <w:highlight w:val="none"/>
          <w:lang w:eastAsia="zh-CN"/>
        </w:rPr>
        <w:t>投标人</w:t>
      </w:r>
      <w:r>
        <w:rPr>
          <w:rFonts w:hint="eastAsia"/>
          <w:color w:val="auto"/>
          <w:sz w:val="24"/>
          <w:szCs w:val="24"/>
          <w:highlight w:val="none"/>
        </w:rPr>
        <w:t>提出的询问超出采购人对</w:t>
      </w:r>
      <w:r>
        <w:rPr>
          <w:rFonts w:hint="eastAsia" w:eastAsia="宋体"/>
          <w:color w:val="auto"/>
          <w:sz w:val="24"/>
          <w:szCs w:val="24"/>
          <w:highlight w:val="none"/>
          <w:lang w:eastAsia="zh-CN"/>
        </w:rPr>
        <w:t>代理公司</w:t>
      </w:r>
      <w:r>
        <w:rPr>
          <w:rFonts w:hint="eastAsia"/>
          <w:color w:val="auto"/>
          <w:sz w:val="24"/>
          <w:szCs w:val="24"/>
          <w:highlight w:val="none"/>
        </w:rPr>
        <w:t>委托授权范围的，</w:t>
      </w:r>
      <w:r>
        <w:rPr>
          <w:rFonts w:hint="eastAsia" w:eastAsia="宋体"/>
          <w:color w:val="auto"/>
          <w:sz w:val="24"/>
          <w:szCs w:val="24"/>
          <w:highlight w:val="none"/>
          <w:lang w:eastAsia="zh-CN"/>
        </w:rPr>
        <w:t>代理公司</w:t>
      </w:r>
      <w:r>
        <w:rPr>
          <w:rFonts w:hint="eastAsia"/>
          <w:color w:val="auto"/>
          <w:sz w:val="24"/>
          <w:szCs w:val="24"/>
          <w:highlight w:val="none"/>
        </w:rPr>
        <w:t>应当告知</w:t>
      </w:r>
      <w:r>
        <w:rPr>
          <w:rFonts w:hint="eastAsia"/>
          <w:color w:val="auto"/>
          <w:sz w:val="24"/>
          <w:szCs w:val="24"/>
          <w:highlight w:val="none"/>
          <w:lang w:eastAsia="zh-CN"/>
        </w:rPr>
        <w:t>投标人</w:t>
      </w:r>
      <w:r>
        <w:rPr>
          <w:rFonts w:hint="eastAsia"/>
          <w:color w:val="auto"/>
          <w:sz w:val="24"/>
          <w:szCs w:val="24"/>
          <w:highlight w:val="none"/>
        </w:rPr>
        <w:t>向采购人提出。</w:t>
      </w:r>
    </w:p>
    <w:p w14:paraId="320D2E0D">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34、质疑提出</w:t>
      </w:r>
    </w:p>
    <w:p w14:paraId="79E9F34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34.1提出质疑的</w:t>
      </w:r>
      <w:r>
        <w:rPr>
          <w:rFonts w:hint="eastAsia"/>
          <w:color w:val="auto"/>
          <w:sz w:val="24"/>
          <w:szCs w:val="24"/>
          <w:highlight w:val="none"/>
          <w:lang w:eastAsia="zh-CN"/>
        </w:rPr>
        <w:t>投标人</w:t>
      </w:r>
      <w:r>
        <w:rPr>
          <w:rFonts w:hint="eastAsia"/>
          <w:color w:val="auto"/>
          <w:sz w:val="24"/>
          <w:szCs w:val="24"/>
          <w:highlight w:val="none"/>
        </w:rPr>
        <w:t>应当是参与所质疑项目采购活动的</w:t>
      </w:r>
      <w:r>
        <w:rPr>
          <w:rFonts w:hint="eastAsia"/>
          <w:color w:val="auto"/>
          <w:sz w:val="24"/>
          <w:szCs w:val="24"/>
          <w:highlight w:val="none"/>
          <w:lang w:eastAsia="zh-CN"/>
        </w:rPr>
        <w:t>投标人</w:t>
      </w:r>
      <w:r>
        <w:rPr>
          <w:rFonts w:hint="eastAsia"/>
          <w:color w:val="auto"/>
          <w:sz w:val="24"/>
          <w:szCs w:val="24"/>
          <w:highlight w:val="none"/>
        </w:rPr>
        <w:t>。</w:t>
      </w:r>
    </w:p>
    <w:p w14:paraId="2108667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34.2</w:t>
      </w:r>
      <w:r>
        <w:rPr>
          <w:rFonts w:hint="eastAsia"/>
          <w:color w:val="auto"/>
          <w:sz w:val="24"/>
          <w:szCs w:val="24"/>
          <w:highlight w:val="none"/>
          <w:lang w:eastAsia="zh-CN"/>
        </w:rPr>
        <w:t>投标人</w:t>
      </w:r>
      <w:r>
        <w:rPr>
          <w:rFonts w:hint="eastAsia"/>
          <w:color w:val="auto"/>
          <w:sz w:val="24"/>
          <w:szCs w:val="24"/>
          <w:highlight w:val="none"/>
        </w:rPr>
        <w:t>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lang w:eastAsia="zh-CN"/>
        </w:rPr>
        <w:t>代理公司</w:t>
      </w:r>
      <w:r>
        <w:rPr>
          <w:rFonts w:hint="eastAsia"/>
          <w:color w:val="auto"/>
          <w:sz w:val="24"/>
          <w:szCs w:val="24"/>
          <w:highlight w:val="none"/>
        </w:rPr>
        <w:t>提出质疑。</w:t>
      </w:r>
    </w:p>
    <w:p w14:paraId="3178A0E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应当在法定质疑期内一次性提出针对同一采购程序环节的质疑，</w:t>
      </w:r>
      <w:r>
        <w:rPr>
          <w:rFonts w:hint="eastAsia"/>
          <w:color w:val="auto"/>
          <w:sz w:val="24"/>
          <w:szCs w:val="24"/>
          <w:highlight w:val="none"/>
          <w:lang w:eastAsia="zh-CN"/>
        </w:rPr>
        <w:t>投标人</w:t>
      </w:r>
      <w:r>
        <w:rPr>
          <w:rFonts w:hint="eastAsia"/>
          <w:color w:val="auto"/>
          <w:sz w:val="24"/>
          <w:szCs w:val="24"/>
          <w:highlight w:val="none"/>
        </w:rPr>
        <w:t>如在法定期限内对同一采购程序环节提出多次质疑的，采购人、</w:t>
      </w:r>
      <w:r>
        <w:rPr>
          <w:rFonts w:hint="eastAsia" w:eastAsia="宋体"/>
          <w:color w:val="auto"/>
          <w:sz w:val="24"/>
          <w:szCs w:val="24"/>
          <w:highlight w:val="none"/>
          <w:lang w:eastAsia="zh-CN"/>
        </w:rPr>
        <w:t>代理公司</w:t>
      </w:r>
      <w:r>
        <w:rPr>
          <w:rFonts w:hint="eastAsia"/>
          <w:color w:val="auto"/>
          <w:sz w:val="24"/>
          <w:szCs w:val="24"/>
          <w:highlight w:val="none"/>
        </w:rPr>
        <w:t>将只对</w:t>
      </w:r>
      <w:r>
        <w:rPr>
          <w:rFonts w:hint="eastAsia"/>
          <w:color w:val="auto"/>
          <w:sz w:val="24"/>
          <w:szCs w:val="24"/>
          <w:highlight w:val="none"/>
          <w:lang w:eastAsia="zh-CN"/>
        </w:rPr>
        <w:t>投标人</w:t>
      </w:r>
      <w:r>
        <w:rPr>
          <w:rFonts w:hint="eastAsia"/>
          <w:color w:val="auto"/>
          <w:sz w:val="24"/>
          <w:szCs w:val="24"/>
          <w:highlight w:val="none"/>
        </w:rPr>
        <w:t>第一次质疑作出答复。</w:t>
      </w:r>
    </w:p>
    <w:p w14:paraId="158AF1C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未依照采购公告要求获取采购文件的</w:t>
      </w:r>
      <w:r>
        <w:rPr>
          <w:rFonts w:hint="eastAsia"/>
          <w:color w:val="auto"/>
          <w:sz w:val="24"/>
          <w:szCs w:val="24"/>
          <w:highlight w:val="none"/>
          <w:lang w:eastAsia="zh-CN"/>
        </w:rPr>
        <w:t>投标人</w:t>
      </w:r>
      <w:r>
        <w:rPr>
          <w:rFonts w:hint="eastAsia"/>
          <w:color w:val="auto"/>
          <w:sz w:val="24"/>
          <w:szCs w:val="24"/>
          <w:highlight w:val="none"/>
        </w:rPr>
        <w:t>，视为未参与该项目采购活动，不具备对该采购文件提出质疑的法定权利。</w:t>
      </w:r>
    </w:p>
    <w:p w14:paraId="63B5F2B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34.3提出质疑时，必须坚持“实事求是”的原则，不能臆测。属于须由法定部门调查、侦查或先行作出相关认定的事项，质疑</w:t>
      </w:r>
      <w:r>
        <w:rPr>
          <w:rFonts w:hint="eastAsia"/>
          <w:color w:val="auto"/>
          <w:sz w:val="24"/>
          <w:szCs w:val="24"/>
          <w:highlight w:val="none"/>
          <w:lang w:eastAsia="zh-CN"/>
        </w:rPr>
        <w:t>投标人</w:t>
      </w:r>
      <w:r>
        <w:rPr>
          <w:rFonts w:hint="eastAsia"/>
          <w:color w:val="auto"/>
          <w:sz w:val="24"/>
          <w:szCs w:val="24"/>
          <w:highlight w:val="none"/>
        </w:rPr>
        <w:t>应当依法申请具有法定职权的部门查清、认定，并将相关结果提供给采购人、</w:t>
      </w:r>
      <w:r>
        <w:rPr>
          <w:rFonts w:hint="eastAsia" w:eastAsia="宋体"/>
          <w:color w:val="auto"/>
          <w:sz w:val="24"/>
          <w:szCs w:val="24"/>
          <w:highlight w:val="none"/>
          <w:lang w:eastAsia="zh-CN"/>
        </w:rPr>
        <w:t>代理公司</w:t>
      </w:r>
      <w:r>
        <w:rPr>
          <w:rFonts w:hint="eastAsia"/>
          <w:color w:val="auto"/>
          <w:sz w:val="24"/>
          <w:szCs w:val="24"/>
          <w:highlight w:val="none"/>
        </w:rPr>
        <w:t>。采购人、</w:t>
      </w:r>
      <w:r>
        <w:rPr>
          <w:rFonts w:hint="eastAsia" w:eastAsia="宋体"/>
          <w:color w:val="auto"/>
          <w:sz w:val="24"/>
          <w:szCs w:val="24"/>
          <w:highlight w:val="none"/>
          <w:lang w:eastAsia="zh-CN"/>
        </w:rPr>
        <w:t>代理公司</w:t>
      </w:r>
      <w:r>
        <w:rPr>
          <w:rFonts w:hint="eastAsia"/>
          <w:color w:val="auto"/>
          <w:sz w:val="24"/>
          <w:szCs w:val="24"/>
          <w:highlight w:val="none"/>
        </w:rPr>
        <w:t>不具有法定调查、认定权限。</w:t>
      </w:r>
    </w:p>
    <w:p w14:paraId="1AFCDBA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34.4质疑函的接收方式为</w:t>
      </w:r>
      <w:r>
        <w:rPr>
          <w:rFonts w:hint="eastAsia"/>
          <w:color w:val="auto"/>
          <w:sz w:val="24"/>
          <w:szCs w:val="24"/>
          <w:highlight w:val="none"/>
          <w:lang w:eastAsia="zh-CN"/>
        </w:rPr>
        <w:t>投标人</w:t>
      </w:r>
      <w:r>
        <w:rPr>
          <w:rFonts w:hint="eastAsia"/>
          <w:color w:val="auto"/>
          <w:sz w:val="24"/>
          <w:szCs w:val="24"/>
          <w:highlight w:val="none"/>
        </w:rPr>
        <w:t>书面原件提交。联系部门、联系电话和通讯地址详见招标文件第一章。质疑实行实名制，不得进行虚假、恶意质疑。</w:t>
      </w:r>
    </w:p>
    <w:p w14:paraId="388B16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34.5 质疑函应当使用范本，详见招标文件第六章。</w:t>
      </w:r>
      <w:r>
        <w:rPr>
          <w:rFonts w:hint="eastAsia"/>
          <w:color w:val="auto"/>
          <w:sz w:val="24"/>
          <w:szCs w:val="24"/>
          <w:highlight w:val="none"/>
          <w:lang w:eastAsia="zh-CN"/>
        </w:rPr>
        <w:t>投标人</w:t>
      </w:r>
      <w:r>
        <w:rPr>
          <w:rFonts w:hint="eastAsia"/>
          <w:color w:val="auto"/>
          <w:sz w:val="24"/>
          <w:szCs w:val="24"/>
          <w:highlight w:val="none"/>
        </w:rPr>
        <w:t>提出质疑应当提交质疑函和必要的证明材料，应当包括下列内容：</w:t>
      </w:r>
    </w:p>
    <w:p w14:paraId="3F6E43F9">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w:t>
      </w:r>
      <w:r>
        <w:rPr>
          <w:rFonts w:hint="eastAsia"/>
          <w:color w:val="auto"/>
          <w:sz w:val="24"/>
          <w:szCs w:val="24"/>
          <w:highlight w:val="none"/>
          <w:lang w:eastAsia="zh-CN"/>
        </w:rPr>
        <w:t>投标人</w:t>
      </w:r>
      <w:r>
        <w:rPr>
          <w:rFonts w:hint="eastAsia"/>
          <w:color w:val="auto"/>
          <w:sz w:val="24"/>
          <w:szCs w:val="24"/>
          <w:highlight w:val="none"/>
        </w:rPr>
        <w:t>的姓名或者名称、地址、邮编、联系人及联系电话；</w:t>
      </w:r>
    </w:p>
    <w:p w14:paraId="2A8ABC3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（2）质疑项目的名称、编号；</w:t>
      </w:r>
    </w:p>
    <w:p w14:paraId="17E9403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（3）具体、明确的质疑事项和与质疑事项相关的请求；</w:t>
      </w:r>
    </w:p>
    <w:p w14:paraId="01CFA0E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（4）事实依据；</w:t>
      </w:r>
    </w:p>
    <w:p w14:paraId="111C7D3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（5）必要的法律依据；</w:t>
      </w:r>
    </w:p>
    <w:p w14:paraId="33C57180">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（6）提出质疑的日期；</w:t>
      </w:r>
    </w:p>
    <w:p w14:paraId="7C70987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（7）必要的证明材料；</w:t>
      </w:r>
    </w:p>
    <w:p w14:paraId="26F0682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3245B6F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为自然人的，应当由本人签字；</w:t>
      </w:r>
      <w:r>
        <w:rPr>
          <w:rFonts w:hint="eastAsia"/>
          <w:color w:val="auto"/>
          <w:sz w:val="24"/>
          <w:szCs w:val="24"/>
          <w:highlight w:val="none"/>
          <w:lang w:eastAsia="zh-CN"/>
        </w:rPr>
        <w:t>投标人</w:t>
      </w:r>
      <w:r>
        <w:rPr>
          <w:rFonts w:hint="eastAsia"/>
          <w:color w:val="auto"/>
          <w:sz w:val="24"/>
          <w:szCs w:val="24"/>
          <w:highlight w:val="none"/>
        </w:rPr>
        <w:t>为法人或者其他组织的，应当由法定代表人、主要负责人，或者其委托代理人签字或者盖章，并加盖单位公章。</w:t>
      </w:r>
    </w:p>
    <w:p w14:paraId="74A6D5A3">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4"/>
          <w:szCs w:val="24"/>
          <w:highlight w:val="none"/>
        </w:rPr>
      </w:pPr>
      <w:r>
        <w:rPr>
          <w:rFonts w:hint="eastAsia"/>
          <w:color w:val="auto"/>
          <w:sz w:val="28"/>
          <w:szCs w:val="28"/>
          <w:highlight w:val="none"/>
        </w:rPr>
        <w:t>35、质疑函的受理和答复</w:t>
      </w:r>
    </w:p>
    <w:p w14:paraId="7FB0C61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35.1 质疑</w:t>
      </w:r>
      <w:r>
        <w:rPr>
          <w:rFonts w:hint="eastAsia"/>
          <w:color w:val="auto"/>
          <w:sz w:val="24"/>
          <w:szCs w:val="24"/>
          <w:highlight w:val="none"/>
          <w:lang w:eastAsia="zh-CN"/>
        </w:rPr>
        <w:t>投标人</w:t>
      </w:r>
      <w:r>
        <w:rPr>
          <w:rFonts w:hint="eastAsia"/>
          <w:color w:val="auto"/>
          <w:sz w:val="24"/>
          <w:szCs w:val="24"/>
          <w:highlight w:val="none"/>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lang w:eastAsia="zh-CN"/>
        </w:rPr>
        <w:t>代理公司</w:t>
      </w:r>
      <w:r>
        <w:rPr>
          <w:rFonts w:hint="eastAsia"/>
          <w:color w:val="auto"/>
          <w:sz w:val="24"/>
          <w:szCs w:val="24"/>
          <w:highlight w:val="none"/>
        </w:rPr>
        <w:t>不负责搜集必要的证明材料等工作。</w:t>
      </w:r>
    </w:p>
    <w:p w14:paraId="4A00AED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35.2 对符合法定要求的质疑，采购人、</w:t>
      </w:r>
      <w:r>
        <w:rPr>
          <w:rFonts w:hint="eastAsia" w:eastAsia="宋体"/>
          <w:color w:val="auto"/>
          <w:sz w:val="24"/>
          <w:szCs w:val="24"/>
          <w:highlight w:val="none"/>
          <w:lang w:eastAsia="zh-CN"/>
        </w:rPr>
        <w:t>代理公司</w:t>
      </w:r>
      <w:r>
        <w:rPr>
          <w:rFonts w:hint="eastAsia"/>
          <w:color w:val="auto"/>
          <w:sz w:val="24"/>
          <w:szCs w:val="24"/>
          <w:highlight w:val="none"/>
        </w:rPr>
        <w:t>接收并登记《质疑函登记表》。在处理过程中，发现需要质疑</w:t>
      </w:r>
      <w:r>
        <w:rPr>
          <w:rFonts w:hint="eastAsia"/>
          <w:color w:val="auto"/>
          <w:sz w:val="24"/>
          <w:szCs w:val="24"/>
          <w:highlight w:val="none"/>
          <w:lang w:eastAsia="zh-CN"/>
        </w:rPr>
        <w:t>投标人</w:t>
      </w:r>
      <w:r>
        <w:rPr>
          <w:rFonts w:hint="eastAsia"/>
          <w:color w:val="auto"/>
          <w:sz w:val="24"/>
          <w:szCs w:val="24"/>
          <w:highlight w:val="none"/>
        </w:rPr>
        <w:t>进一步补充必要的证明材料的，质疑</w:t>
      </w:r>
      <w:r>
        <w:rPr>
          <w:rFonts w:hint="eastAsia"/>
          <w:color w:val="auto"/>
          <w:sz w:val="24"/>
          <w:szCs w:val="24"/>
          <w:highlight w:val="none"/>
          <w:lang w:eastAsia="zh-CN"/>
        </w:rPr>
        <w:t>投标人</w:t>
      </w:r>
      <w:r>
        <w:rPr>
          <w:rFonts w:hint="eastAsia"/>
          <w:color w:val="auto"/>
          <w:sz w:val="24"/>
          <w:szCs w:val="24"/>
          <w:highlight w:val="none"/>
        </w:rPr>
        <w:t>应在法定的时间内提供，质疑答复时间相应顺延。质疑</w:t>
      </w:r>
      <w:r>
        <w:rPr>
          <w:rFonts w:hint="eastAsia"/>
          <w:color w:val="auto"/>
          <w:sz w:val="24"/>
          <w:szCs w:val="24"/>
          <w:highlight w:val="none"/>
          <w:lang w:eastAsia="zh-CN"/>
        </w:rPr>
        <w:t>投标人</w:t>
      </w:r>
      <w:r>
        <w:rPr>
          <w:rFonts w:hint="eastAsia"/>
          <w:color w:val="auto"/>
          <w:sz w:val="24"/>
          <w:szCs w:val="24"/>
          <w:highlight w:val="none"/>
        </w:rPr>
        <w:t>不能按时提供必要的证明材料的，视同放弃质疑。</w:t>
      </w:r>
    </w:p>
    <w:p w14:paraId="59C1AD43">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35.3 对不符合质疑要求的，采购人、</w:t>
      </w:r>
      <w:r>
        <w:rPr>
          <w:rFonts w:hint="eastAsia" w:eastAsia="宋体"/>
          <w:color w:val="auto"/>
          <w:sz w:val="24"/>
          <w:szCs w:val="24"/>
          <w:highlight w:val="none"/>
          <w:lang w:eastAsia="zh-CN"/>
        </w:rPr>
        <w:t>代理公司</w:t>
      </w:r>
      <w:r>
        <w:rPr>
          <w:rFonts w:hint="eastAsia"/>
          <w:color w:val="auto"/>
          <w:sz w:val="24"/>
          <w:szCs w:val="24"/>
          <w:highlight w:val="none"/>
        </w:rPr>
        <w:t>有权要求其补充必要的证明材料，质疑</w:t>
      </w:r>
      <w:r>
        <w:rPr>
          <w:rFonts w:hint="eastAsia"/>
          <w:color w:val="auto"/>
          <w:sz w:val="24"/>
          <w:szCs w:val="24"/>
          <w:highlight w:val="none"/>
          <w:lang w:eastAsia="zh-CN"/>
        </w:rPr>
        <w:t>投标人</w:t>
      </w:r>
      <w:r>
        <w:rPr>
          <w:rFonts w:hint="eastAsia"/>
          <w:color w:val="auto"/>
          <w:sz w:val="24"/>
          <w:szCs w:val="24"/>
          <w:highlight w:val="none"/>
        </w:rPr>
        <w:t>未在法定的时间内提供补充必要的证明材料的，视同放弃质疑。</w:t>
      </w:r>
    </w:p>
    <w:p w14:paraId="2A246E3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35.4 以下情形的质疑依法不予受理：</w:t>
      </w:r>
    </w:p>
    <w:p w14:paraId="640EC2D4">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（1）内容不符合《政府采购质疑和投诉办法》第十二条规定的质疑。</w:t>
      </w:r>
    </w:p>
    <w:p w14:paraId="0CC476F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（2）超出政府采购法定期限的质疑。</w:t>
      </w:r>
    </w:p>
    <w:p w14:paraId="5E5D9A75">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（3）以传真、电子邮件等方式递交的非原件形式的质疑。</w:t>
      </w:r>
    </w:p>
    <w:p w14:paraId="187980CB">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（4）未参加采购活动的</w:t>
      </w:r>
      <w:r>
        <w:rPr>
          <w:rFonts w:hint="eastAsia"/>
          <w:color w:val="auto"/>
          <w:sz w:val="24"/>
          <w:szCs w:val="24"/>
          <w:highlight w:val="none"/>
          <w:lang w:eastAsia="zh-CN"/>
        </w:rPr>
        <w:t>投标人</w:t>
      </w:r>
      <w:r>
        <w:rPr>
          <w:rFonts w:hint="eastAsia"/>
          <w:color w:val="auto"/>
          <w:sz w:val="24"/>
          <w:szCs w:val="24"/>
          <w:highlight w:val="none"/>
        </w:rPr>
        <w:t>或在采购活动中自身权益未受到损害的</w:t>
      </w:r>
      <w:r>
        <w:rPr>
          <w:rFonts w:hint="eastAsia"/>
          <w:color w:val="auto"/>
          <w:sz w:val="24"/>
          <w:szCs w:val="24"/>
          <w:highlight w:val="none"/>
          <w:lang w:eastAsia="zh-CN"/>
        </w:rPr>
        <w:t>投标人</w:t>
      </w:r>
      <w:r>
        <w:rPr>
          <w:rFonts w:hint="eastAsia"/>
          <w:color w:val="auto"/>
          <w:sz w:val="24"/>
          <w:szCs w:val="24"/>
          <w:highlight w:val="none"/>
        </w:rPr>
        <w:t>提出的质疑。</w:t>
      </w:r>
    </w:p>
    <w:p w14:paraId="5F5F6617">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（5）</w:t>
      </w:r>
      <w:r>
        <w:rPr>
          <w:rFonts w:hint="eastAsia"/>
          <w:color w:val="auto"/>
          <w:sz w:val="24"/>
          <w:szCs w:val="24"/>
          <w:highlight w:val="none"/>
          <w:lang w:eastAsia="zh-CN"/>
        </w:rPr>
        <w:t>投标人</w:t>
      </w:r>
      <w:r>
        <w:rPr>
          <w:rFonts w:hint="eastAsia"/>
          <w:color w:val="auto"/>
          <w:sz w:val="24"/>
          <w:szCs w:val="24"/>
          <w:highlight w:val="none"/>
        </w:rPr>
        <w:t>组成联合体，联合体中任何一方或多方未按要求签字（盖章）、加盖公章的质疑。</w:t>
      </w:r>
    </w:p>
    <w:p w14:paraId="7456C58A">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35.5采购人、</w:t>
      </w:r>
      <w:r>
        <w:rPr>
          <w:rFonts w:hint="eastAsia" w:eastAsia="宋体"/>
          <w:color w:val="auto"/>
          <w:sz w:val="24"/>
          <w:szCs w:val="24"/>
          <w:highlight w:val="none"/>
          <w:lang w:eastAsia="zh-CN"/>
        </w:rPr>
        <w:t>代理公司</w:t>
      </w:r>
      <w:r>
        <w:rPr>
          <w:rFonts w:hint="eastAsia"/>
          <w:color w:val="auto"/>
          <w:sz w:val="24"/>
          <w:szCs w:val="24"/>
          <w:highlight w:val="none"/>
        </w:rPr>
        <w:t>依法受理的质疑，将按照政府采购有关规定，在法定期限内答复。</w:t>
      </w:r>
    </w:p>
    <w:p w14:paraId="2A60502C">
      <w:pPr>
        <w:pStyle w:val="4"/>
        <w:pageBreakBefore w:val="0"/>
        <w:widowControl w:val="0"/>
        <w:kinsoku/>
        <w:wordWrap/>
        <w:overflowPunct/>
        <w:topLinePunct w:val="0"/>
        <w:autoSpaceDE/>
        <w:autoSpaceDN/>
        <w:bidi w:val="0"/>
        <w:adjustRightInd/>
        <w:snapToGrid/>
        <w:spacing w:before="0" w:after="0" w:line="500" w:lineRule="exact"/>
        <w:ind w:firstLine="562"/>
        <w:jc w:val="left"/>
        <w:textAlignment w:val="auto"/>
        <w:rPr>
          <w:color w:val="auto"/>
          <w:sz w:val="28"/>
          <w:szCs w:val="28"/>
          <w:highlight w:val="none"/>
        </w:rPr>
      </w:pPr>
      <w:r>
        <w:rPr>
          <w:rFonts w:hint="eastAsia"/>
          <w:color w:val="auto"/>
          <w:sz w:val="28"/>
          <w:szCs w:val="28"/>
          <w:highlight w:val="none"/>
        </w:rPr>
        <w:t>36、质疑处理</w:t>
      </w:r>
    </w:p>
    <w:p w14:paraId="7392314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36.1 质疑</w:t>
      </w:r>
      <w:r>
        <w:rPr>
          <w:rFonts w:hint="eastAsia"/>
          <w:color w:val="auto"/>
          <w:sz w:val="24"/>
          <w:szCs w:val="24"/>
          <w:highlight w:val="none"/>
          <w:lang w:eastAsia="zh-CN"/>
        </w:rPr>
        <w:t>投标人</w:t>
      </w:r>
      <w:r>
        <w:rPr>
          <w:rFonts w:hint="eastAsia"/>
          <w:color w:val="auto"/>
          <w:sz w:val="24"/>
          <w:szCs w:val="24"/>
          <w:highlight w:val="none"/>
        </w:rPr>
        <w:t>未按照法定程序进行质疑投诉的，视为一般失信行为。</w:t>
      </w:r>
    </w:p>
    <w:p w14:paraId="4854D4B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36.2 质疑</w:t>
      </w:r>
      <w:r>
        <w:rPr>
          <w:rFonts w:hint="eastAsia"/>
          <w:color w:val="auto"/>
          <w:sz w:val="24"/>
          <w:szCs w:val="24"/>
          <w:highlight w:val="none"/>
          <w:lang w:eastAsia="zh-CN"/>
        </w:rPr>
        <w:t>投标人</w:t>
      </w:r>
      <w:r>
        <w:rPr>
          <w:rFonts w:hint="eastAsia"/>
          <w:color w:val="auto"/>
          <w:sz w:val="24"/>
          <w:szCs w:val="24"/>
          <w:highlight w:val="none"/>
        </w:rPr>
        <w:t>不配合或者采用不正当手段干扰政府采购质疑、投诉处理工作的，视为一般失信行为。</w:t>
      </w:r>
    </w:p>
    <w:p w14:paraId="11AD1D86">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36.3 质疑</w:t>
      </w:r>
      <w:r>
        <w:rPr>
          <w:rFonts w:hint="eastAsia"/>
          <w:color w:val="auto"/>
          <w:sz w:val="24"/>
          <w:szCs w:val="24"/>
          <w:highlight w:val="none"/>
          <w:lang w:eastAsia="zh-CN"/>
        </w:rPr>
        <w:t>投标人</w:t>
      </w:r>
      <w:r>
        <w:rPr>
          <w:rFonts w:hint="eastAsia"/>
          <w:color w:val="auto"/>
          <w:sz w:val="24"/>
          <w:szCs w:val="24"/>
          <w:highlight w:val="none"/>
        </w:rPr>
        <w:t>投诉受理期间，就同一事项多头举报，干扰财政部门投诉处理的，视为一般失信行为。</w:t>
      </w:r>
    </w:p>
    <w:p w14:paraId="71716D8E">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36.4 质疑</w:t>
      </w:r>
      <w:r>
        <w:rPr>
          <w:rFonts w:hint="eastAsia"/>
          <w:color w:val="auto"/>
          <w:sz w:val="24"/>
          <w:szCs w:val="24"/>
          <w:highlight w:val="none"/>
          <w:lang w:eastAsia="zh-CN"/>
        </w:rPr>
        <w:t>投标人</w:t>
      </w:r>
      <w:r>
        <w:rPr>
          <w:rFonts w:hint="eastAsia"/>
          <w:color w:val="auto"/>
          <w:sz w:val="24"/>
          <w:szCs w:val="24"/>
          <w:highlight w:val="none"/>
        </w:rPr>
        <w:t>在全国范围12个月内三次以上质疑查无实据的，视为一般失信行为。</w:t>
      </w:r>
    </w:p>
    <w:p w14:paraId="4D3E6372">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36.5 质疑</w:t>
      </w:r>
      <w:r>
        <w:rPr>
          <w:rFonts w:hint="eastAsia"/>
          <w:color w:val="auto"/>
          <w:sz w:val="24"/>
          <w:szCs w:val="24"/>
          <w:highlight w:val="none"/>
          <w:lang w:eastAsia="zh-CN"/>
        </w:rPr>
        <w:t>投标人</w:t>
      </w:r>
      <w:r>
        <w:rPr>
          <w:rFonts w:hint="eastAsia"/>
          <w:color w:val="auto"/>
          <w:sz w:val="24"/>
          <w:szCs w:val="24"/>
          <w:highlight w:val="none"/>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3F7D44F">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36.6 质疑</w:t>
      </w:r>
      <w:r>
        <w:rPr>
          <w:rFonts w:hint="eastAsia"/>
          <w:color w:val="auto"/>
          <w:sz w:val="24"/>
          <w:szCs w:val="24"/>
          <w:highlight w:val="none"/>
          <w:lang w:eastAsia="zh-CN"/>
        </w:rPr>
        <w:t>投标人</w:t>
      </w:r>
      <w:r>
        <w:rPr>
          <w:rFonts w:hint="eastAsia"/>
          <w:color w:val="auto"/>
          <w:sz w:val="24"/>
          <w:szCs w:val="24"/>
          <w:highlight w:val="none"/>
        </w:rPr>
        <w:t>在全国范围12个月内三次以上投诉查无实据的，视为严重失信行为。</w:t>
      </w:r>
    </w:p>
    <w:p w14:paraId="53F3EAD8">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color w:val="auto"/>
          <w:sz w:val="24"/>
          <w:szCs w:val="24"/>
          <w:highlight w:val="none"/>
        </w:rPr>
        <w:t>36.7未尽事宜，依照有关法律、法规执行。</w:t>
      </w:r>
    </w:p>
    <w:p w14:paraId="764E3332">
      <w:pPr>
        <w:pStyle w:val="3"/>
        <w:pageBreakBefore w:val="0"/>
        <w:widowControl w:val="0"/>
        <w:kinsoku/>
        <w:wordWrap/>
        <w:overflowPunct/>
        <w:topLinePunct w:val="0"/>
        <w:autoSpaceDE/>
        <w:autoSpaceDN/>
        <w:bidi w:val="0"/>
        <w:adjustRightInd/>
        <w:snapToGrid/>
        <w:spacing w:before="0" w:after="0" w:line="500" w:lineRule="exact"/>
        <w:textAlignment w:val="auto"/>
        <w:rPr>
          <w:rFonts w:ascii="黑体" w:hAnsi="黑体" w:eastAsia="黑体"/>
          <w:b w:val="0"/>
          <w:color w:val="auto"/>
          <w:highlight w:val="none"/>
        </w:rPr>
      </w:pPr>
      <w:r>
        <w:rPr>
          <w:rFonts w:hint="eastAsia" w:ascii="黑体" w:hAnsi="黑体" w:eastAsia="黑体"/>
          <w:b w:val="0"/>
          <w:color w:val="auto"/>
          <w:highlight w:val="none"/>
        </w:rPr>
        <w:t>九、政府采购政策功能</w:t>
      </w:r>
    </w:p>
    <w:p w14:paraId="7F5984EE">
      <w:pPr>
        <w:keepNext/>
        <w:keepLines/>
        <w:widowControl w:val="0"/>
        <w:spacing w:before="0" w:after="0" w:line="360" w:lineRule="auto"/>
        <w:ind w:firstLine="562"/>
        <w:jc w:val="left"/>
        <w:outlineLvl w:val="2"/>
        <w:rPr>
          <w:rFonts w:asciiTheme="minorHAnsi" w:hAnsiTheme="minorHAnsi" w:eastAsiaTheme="minorEastAsia" w:cstheme="minorBidi"/>
          <w:b/>
          <w:bCs/>
          <w:color w:val="auto"/>
          <w:sz w:val="28"/>
          <w:szCs w:val="28"/>
          <w:highlight w:val="none"/>
          <w:lang w:val="en-US" w:eastAsia="zh-CN" w:bidi="ar-SA"/>
        </w:rPr>
      </w:pPr>
      <w:r>
        <w:rPr>
          <w:rFonts w:hint="eastAsia" w:asciiTheme="minorHAnsi" w:hAnsiTheme="minorHAnsi" w:eastAsiaTheme="minorEastAsia" w:cstheme="minorBidi"/>
          <w:b/>
          <w:bCs/>
          <w:color w:val="auto"/>
          <w:sz w:val="28"/>
          <w:szCs w:val="28"/>
          <w:highlight w:val="none"/>
          <w:lang w:val="en-US" w:eastAsia="zh-CN" w:bidi="ar-SA"/>
        </w:rPr>
        <w:t>37、促进中小企业发展</w:t>
      </w:r>
    </w:p>
    <w:p w14:paraId="284DA123">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52B8D29">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 xml:space="preserve">37.2参加本项目政府采购活动的供应商应当提供的材料： </w:t>
      </w:r>
    </w:p>
    <w:p w14:paraId="32D348BE">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（1）供应商为</w:t>
      </w:r>
      <w:r>
        <w:rPr>
          <w:rFonts w:hint="eastAsia" w:eastAsia="宋体"/>
          <w:color w:val="auto"/>
          <w:sz w:val="24"/>
          <w:szCs w:val="24"/>
          <w:highlight w:val="none"/>
          <w:lang w:val="en-US" w:eastAsia="zh-CN" w:bidi="ar-SA"/>
        </w:rPr>
        <w:t>中型企业、</w:t>
      </w:r>
      <w:r>
        <w:rPr>
          <w:rFonts w:hint="eastAsia" w:asciiTheme="minorHAnsi" w:eastAsiaTheme="minorEastAsia"/>
          <w:color w:val="auto"/>
          <w:sz w:val="24"/>
          <w:szCs w:val="24"/>
          <w:highlight w:val="none"/>
          <w:lang w:val="en-US" w:eastAsia="zh-CN" w:bidi="ar-SA"/>
        </w:rPr>
        <w:t>小型企业、微型企业的，提供《中小企业声明函》（第六章 投标文件格式）。</w:t>
      </w:r>
    </w:p>
    <w:p w14:paraId="6E9A7B9C">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（2）符合《关于促进残疾人就业政府采购政策的通知》（财库〔2017〕141号）规定的条件并提供《残疾人福利性单位声明函》（第六章 投标文件格式）的残疾人福利性单位视同小型、微型企业。</w:t>
      </w:r>
    </w:p>
    <w:p w14:paraId="378500AA">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477504E">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w:t>
      </w:r>
      <w:r>
        <w:rPr>
          <w:rFonts w:hint="eastAsia" w:eastAsia="宋体"/>
          <w:color w:val="auto"/>
          <w:sz w:val="24"/>
          <w:szCs w:val="24"/>
          <w:highlight w:val="none"/>
          <w:lang w:val="en-US" w:eastAsia="zh-CN" w:bidi="ar-SA"/>
        </w:rPr>
        <w:t>3</w:t>
      </w:r>
      <w:r>
        <w:rPr>
          <w:rFonts w:hint="eastAsia" w:asciiTheme="minorHAnsi" w:eastAsiaTheme="minorEastAsia"/>
          <w:color w:val="auto"/>
          <w:sz w:val="24"/>
          <w:szCs w:val="24"/>
          <w:highlight w:val="none"/>
          <w:lang w:val="en-US" w:eastAsia="zh-CN" w:bidi="ar-SA"/>
        </w:rPr>
        <w:t xml:space="preserve"> 残疾人福利单位、监狱企业属于小型、微型企业的，不重复享受政策。</w:t>
      </w:r>
    </w:p>
    <w:p w14:paraId="70506BF1">
      <w:pPr>
        <w:spacing w:line="500" w:lineRule="exact"/>
        <w:ind w:firstLine="480"/>
        <w:jc w:val="left"/>
        <w:rPr>
          <w:rFonts w:hint="default"/>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37.</w:t>
      </w:r>
      <w:r>
        <w:rPr>
          <w:rFonts w:hint="eastAsia" w:eastAsia="宋体"/>
          <w:color w:val="auto"/>
          <w:sz w:val="24"/>
          <w:szCs w:val="24"/>
          <w:highlight w:val="none"/>
          <w:lang w:val="en-US" w:eastAsia="zh-CN" w:bidi="ar-SA"/>
        </w:rPr>
        <w:t>4</w:t>
      </w:r>
      <w:r>
        <w:rPr>
          <w:rFonts w:hint="eastAsia" w:asciiTheme="minorHAnsi" w:eastAsiaTheme="minorEastAsia"/>
          <w:color w:val="auto"/>
          <w:sz w:val="24"/>
          <w:szCs w:val="24"/>
          <w:highlight w:val="none"/>
          <w:lang w:val="en-US" w:eastAsia="zh-CN" w:bidi="ar-SA"/>
        </w:rPr>
        <w:t xml:space="preserve"> 享受扶持政策获得政府采购合同的，小微型企业不得将合同分包给大中型企业，中型企业不得将合同分包给大型企业。</w:t>
      </w:r>
    </w:p>
    <w:p w14:paraId="50F40A3B">
      <w:pPr>
        <w:pStyle w:val="31"/>
        <w:spacing w:before="0" w:after="0" w:line="360" w:lineRule="auto"/>
        <w:ind w:firstLine="562"/>
        <w:jc w:val="left"/>
        <w:rPr>
          <w:rFonts w:hint="default"/>
          <w:color w:val="auto"/>
          <w:sz w:val="28"/>
          <w:szCs w:val="28"/>
          <w:highlight w:val="none"/>
        </w:rPr>
      </w:pPr>
      <w:r>
        <w:rPr>
          <w:rFonts w:hint="eastAsia"/>
          <w:color w:val="auto"/>
          <w:sz w:val="28"/>
          <w:szCs w:val="28"/>
          <w:highlight w:val="none"/>
        </w:rPr>
        <w:t>38、政府采购中实施本国产品标准及相关政策</w:t>
      </w:r>
    </w:p>
    <w:p w14:paraId="4A7BFDD1">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38.1本项目政府采购活动中既有本国产品又有非本国产品参与竞争的，依法对本国产品给予价格评审优惠，对本国产品的报价给予20%的价格扣除，用扣除后的价格参与评审。</w:t>
      </w:r>
    </w:p>
    <w:p w14:paraId="01D16CEE">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B53D05">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38.3供应商需按照招标文件的要求提供《关于符合本国产品标准的声明函》（以下简称《声明函》），如不提供将不享受本国产品价格评审优惠。</w:t>
      </w:r>
    </w:p>
    <w:p w14:paraId="7EFDBF05">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4170610">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C342A82">
      <w:pPr>
        <w:spacing w:line="360" w:lineRule="auto"/>
        <w:ind w:firstLine="562"/>
        <w:jc w:val="left"/>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D5F19F">
      <w:pPr>
        <w:keepNext/>
        <w:keepLines/>
        <w:widowControl w:val="0"/>
        <w:spacing w:before="0" w:after="0" w:line="360" w:lineRule="auto"/>
        <w:ind w:firstLine="562"/>
        <w:jc w:val="left"/>
        <w:outlineLvl w:val="2"/>
        <w:rPr>
          <w:rFonts w:hint="eastAsia" w:asciiTheme="minorHAnsi" w:hAnsiTheme="minorHAnsi" w:eastAsiaTheme="minorEastAsia" w:cstheme="minorBidi"/>
          <w:b/>
          <w:bCs/>
          <w:color w:val="auto"/>
          <w:sz w:val="28"/>
          <w:szCs w:val="28"/>
          <w:highlight w:val="none"/>
          <w:lang w:val="en-US" w:eastAsia="zh-CN" w:bidi="ar-SA"/>
        </w:rPr>
      </w:pPr>
      <w:r>
        <w:rPr>
          <w:rFonts w:hint="eastAsia" w:ascii="宋体" w:hAnsi="宋体" w:cs="宋体" w:eastAsiaTheme="minorEastAsia"/>
          <w:b w:val="0"/>
          <w:bCs/>
          <w:color w:val="auto"/>
          <w:sz w:val="24"/>
          <w:szCs w:val="24"/>
          <w:highlight w:val="none"/>
          <w:lang w:val="en-US" w:eastAsia="zh-CN" w:bidi="ar-SA"/>
        </w:rPr>
        <w:t>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49F1D0">
      <w:pPr>
        <w:keepNext/>
        <w:keepLines/>
        <w:widowControl w:val="0"/>
        <w:spacing w:before="0" w:after="0" w:line="360" w:lineRule="auto"/>
        <w:ind w:firstLine="562"/>
        <w:jc w:val="left"/>
        <w:outlineLvl w:val="2"/>
        <w:rPr>
          <w:rFonts w:asciiTheme="minorHAnsi" w:hAnsiTheme="minorHAnsi" w:eastAsiaTheme="minorEastAsia" w:cstheme="minorBidi"/>
          <w:b/>
          <w:bCs/>
          <w:color w:val="auto"/>
          <w:sz w:val="28"/>
          <w:szCs w:val="28"/>
          <w:highlight w:val="none"/>
          <w:lang w:val="en-US" w:eastAsia="zh-CN" w:bidi="ar-SA"/>
        </w:rPr>
      </w:pPr>
      <w:r>
        <w:rPr>
          <w:rFonts w:hint="eastAsia" w:asciiTheme="minorHAnsi" w:hAnsiTheme="minorHAnsi" w:eastAsiaTheme="minorEastAsia" w:cstheme="minorBidi"/>
          <w:b/>
          <w:bCs/>
          <w:color w:val="auto"/>
          <w:sz w:val="28"/>
          <w:szCs w:val="28"/>
          <w:highlight w:val="none"/>
          <w:lang w:val="en-US" w:eastAsia="zh-CN" w:bidi="ar-SA"/>
        </w:rPr>
        <w:t>39、支持绿色发展</w:t>
      </w:r>
    </w:p>
    <w:p w14:paraId="4EEE0760">
      <w:pPr>
        <w:spacing w:line="500" w:lineRule="exact"/>
        <w:ind w:firstLine="480"/>
        <w:jc w:val="left"/>
        <w:rPr>
          <w:rFonts w:hint="eastAsia"/>
          <w:color w:val="auto"/>
          <w:sz w:val="24"/>
          <w:szCs w:val="24"/>
          <w:highlight w:val="none"/>
          <w:lang w:val="en-US" w:eastAsia="zh-CN" w:bidi="ar-SA"/>
        </w:rPr>
      </w:pPr>
      <w:r>
        <w:rPr>
          <w:rFonts w:hint="eastAsia" w:asciiTheme="minorHAnsi" w:eastAsiaTheme="minorEastAsia"/>
          <w:color w:val="auto"/>
          <w:sz w:val="24"/>
          <w:szCs w:val="24"/>
          <w:highlight w:val="none"/>
          <w:lang w:val="en-US" w:eastAsia="zh-CN" w:bidi="ar-SA"/>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2A5FB5A1">
      <w:pPr>
        <w:pageBreakBefore w:val="0"/>
        <w:widowControl w:val="0"/>
        <w:kinsoku/>
        <w:wordWrap/>
        <w:overflowPunct/>
        <w:topLinePunct w:val="0"/>
        <w:autoSpaceDE/>
        <w:autoSpaceDN/>
        <w:bidi w:val="0"/>
        <w:adjustRightInd/>
        <w:snapToGrid/>
        <w:spacing w:line="500" w:lineRule="exact"/>
        <w:ind w:firstLine="480"/>
        <w:jc w:val="left"/>
        <w:textAlignment w:val="auto"/>
        <w:rPr>
          <w:color w:val="auto"/>
          <w:sz w:val="24"/>
          <w:szCs w:val="24"/>
          <w:highlight w:val="none"/>
        </w:rPr>
      </w:pPr>
      <w:r>
        <w:rPr>
          <w:rFonts w:hint="eastAsia" w:asciiTheme="minorHAnsi" w:eastAsiaTheme="minorEastAsia"/>
          <w:color w:val="auto"/>
          <w:sz w:val="24"/>
          <w:szCs w:val="24"/>
          <w:highlight w:val="none"/>
          <w:lang w:val="en-US" w:eastAsia="zh-CN" w:bidi="ar-SA"/>
        </w:rPr>
        <w:t>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color w:val="auto"/>
          <w:sz w:val="24"/>
          <w:szCs w:val="24"/>
          <w:highlight w:val="none"/>
        </w:rPr>
        <w:t>。</w:t>
      </w:r>
    </w:p>
    <w:p w14:paraId="6C510682">
      <w:pPr>
        <w:widowControl/>
        <w:jc w:val="left"/>
        <w:rPr>
          <w:color w:val="auto"/>
          <w:sz w:val="24"/>
          <w:szCs w:val="24"/>
          <w:highlight w:val="none"/>
        </w:rPr>
      </w:pPr>
      <w:r>
        <w:rPr>
          <w:color w:val="auto"/>
          <w:sz w:val="24"/>
          <w:szCs w:val="24"/>
          <w:highlight w:val="none"/>
        </w:rPr>
        <w:br w:type="page" w:clear="all"/>
      </w:r>
    </w:p>
    <w:p w14:paraId="132A2DAC">
      <w:pPr>
        <w:pStyle w:val="2"/>
        <w:spacing w:before="156" w:after="156" w:line="360" w:lineRule="auto"/>
        <w:jc w:val="center"/>
        <w:rPr>
          <w:rFonts w:ascii="黑体" w:hAnsi="黑体" w:eastAsia="黑体"/>
          <w:b w:val="0"/>
          <w:color w:val="auto"/>
          <w:highlight w:val="none"/>
        </w:rPr>
      </w:pPr>
      <w:bookmarkStart w:id="3" w:name="_Toc155796358"/>
      <w:r>
        <w:rPr>
          <w:rFonts w:hint="eastAsia" w:ascii="黑体" w:hAnsi="黑体" w:eastAsia="黑体"/>
          <w:b w:val="0"/>
          <w:color w:val="auto"/>
          <w:highlight w:val="none"/>
        </w:rPr>
        <w:t>第三章合同文本</w:t>
      </w:r>
      <w:bookmarkEnd w:id="3"/>
    </w:p>
    <w:p w14:paraId="6D1A33B5">
      <w:pPr>
        <w:spacing w:line="1000" w:lineRule="exact"/>
        <w:jc w:val="both"/>
        <w:rPr>
          <w:rFonts w:ascii="宋体" w:hAnsi="宋体" w:cs="宋体"/>
          <w:b/>
          <w:bCs/>
          <w:color w:val="auto"/>
          <w:sz w:val="48"/>
          <w:szCs w:val="48"/>
          <w:highlight w:val="none"/>
        </w:rPr>
      </w:pPr>
    </w:p>
    <w:p w14:paraId="1EF2A549">
      <w:pPr>
        <w:spacing w:line="360" w:lineRule="auto"/>
        <w:jc w:val="center"/>
        <w:rPr>
          <w:rFonts w:ascii="宋体" w:hAnsi="宋体" w:eastAsia="宋体" w:cs="Times New Roman"/>
          <w:b/>
          <w:bCs/>
          <w:color w:val="auto"/>
          <w:sz w:val="52"/>
          <w:szCs w:val="24"/>
          <w:highlight w:val="none"/>
        </w:rPr>
      </w:pPr>
    </w:p>
    <w:p w14:paraId="255A2DE9">
      <w:pPr>
        <w:spacing w:line="360" w:lineRule="auto"/>
        <w:ind w:firstLine="2078" w:firstLineChars="39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72A5C8D8">
      <w:pPr>
        <w:spacing w:line="360" w:lineRule="auto"/>
        <w:ind w:firstLine="420" w:firstLineChars="200"/>
        <w:rPr>
          <w:rFonts w:ascii="宋体" w:hAnsi="宋体" w:eastAsia="宋体" w:cs="Times New Roman"/>
          <w:color w:val="auto"/>
          <w:szCs w:val="24"/>
          <w:highlight w:val="none"/>
        </w:rPr>
      </w:pPr>
    </w:p>
    <w:p w14:paraId="01E68D22">
      <w:pPr>
        <w:spacing w:line="360" w:lineRule="auto"/>
        <w:ind w:firstLine="420" w:firstLineChars="200"/>
        <w:rPr>
          <w:rFonts w:ascii="宋体" w:hAnsi="宋体" w:eastAsia="宋体" w:cs="Times New Roman"/>
          <w:color w:val="auto"/>
          <w:szCs w:val="24"/>
          <w:highlight w:val="none"/>
        </w:rPr>
      </w:pPr>
    </w:p>
    <w:p w14:paraId="1ED01776">
      <w:pPr>
        <w:spacing w:line="360" w:lineRule="auto"/>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0262A2D6">
      <w:pPr>
        <w:spacing w:line="360" w:lineRule="auto"/>
        <w:ind w:firstLine="420" w:firstLineChars="200"/>
        <w:rPr>
          <w:rFonts w:ascii="宋体" w:hAnsi="宋体" w:eastAsia="宋体" w:cs="Times New Roman"/>
          <w:color w:val="auto"/>
          <w:szCs w:val="24"/>
          <w:highlight w:val="none"/>
        </w:rPr>
      </w:pPr>
    </w:p>
    <w:p w14:paraId="726A55DA">
      <w:pPr>
        <w:spacing w:line="360" w:lineRule="auto"/>
        <w:ind w:firstLine="3070" w:firstLineChars="695"/>
        <w:rPr>
          <w:rFonts w:ascii="宋体" w:hAnsi="宋体" w:eastAsia="宋体" w:cs="Times New Roman"/>
          <w:b/>
          <w:bCs/>
          <w:color w:val="auto"/>
          <w:sz w:val="44"/>
          <w:szCs w:val="44"/>
          <w:highlight w:val="none"/>
        </w:rPr>
      </w:pPr>
    </w:p>
    <w:p w14:paraId="1EE44B94">
      <w:pPr>
        <w:spacing w:line="360" w:lineRule="auto"/>
        <w:ind w:firstLine="880" w:firstLineChars="200"/>
        <w:rPr>
          <w:rFonts w:ascii="宋体" w:hAnsi="宋体" w:eastAsia="宋体" w:cs="Times New Roman"/>
          <w:color w:val="auto"/>
          <w:sz w:val="44"/>
          <w:szCs w:val="44"/>
          <w:highlight w:val="none"/>
        </w:rPr>
      </w:pPr>
    </w:p>
    <w:p w14:paraId="4A7AD577">
      <w:pPr>
        <w:spacing w:line="360" w:lineRule="auto"/>
        <w:ind w:firstLine="1966" w:firstLineChars="445"/>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31BCED9B">
      <w:pPr>
        <w:spacing w:line="360" w:lineRule="auto"/>
        <w:ind w:firstLine="880" w:firstLineChars="200"/>
        <w:rPr>
          <w:rFonts w:ascii="宋体" w:hAnsi="宋体" w:eastAsia="宋体" w:cs="Times New Roman"/>
          <w:color w:val="auto"/>
          <w:sz w:val="44"/>
          <w:szCs w:val="24"/>
          <w:highlight w:val="none"/>
        </w:rPr>
      </w:pPr>
    </w:p>
    <w:p w14:paraId="1B1AE473">
      <w:pPr>
        <w:spacing w:line="360" w:lineRule="auto"/>
        <w:ind w:firstLine="880" w:firstLineChars="200"/>
        <w:rPr>
          <w:rFonts w:ascii="宋体" w:hAnsi="宋体" w:eastAsia="宋体" w:cs="Times New Roman"/>
          <w:color w:val="auto"/>
          <w:sz w:val="44"/>
          <w:szCs w:val="24"/>
          <w:highlight w:val="none"/>
        </w:rPr>
      </w:pPr>
    </w:p>
    <w:p w14:paraId="63F12B60">
      <w:pPr>
        <w:spacing w:line="360" w:lineRule="auto"/>
        <w:ind w:firstLine="880" w:firstLineChars="200"/>
        <w:rPr>
          <w:rFonts w:ascii="宋体" w:hAnsi="宋体" w:eastAsia="宋体" w:cs="Times New Roman"/>
          <w:color w:val="auto"/>
          <w:sz w:val="44"/>
          <w:szCs w:val="24"/>
          <w:highlight w:val="none"/>
        </w:rPr>
      </w:pPr>
    </w:p>
    <w:p w14:paraId="35671A30">
      <w:pPr>
        <w:spacing w:line="360" w:lineRule="auto"/>
        <w:ind w:firstLine="1758" w:firstLineChars="39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0A0672B4">
      <w:pPr>
        <w:spacing w:line="360" w:lineRule="auto"/>
        <w:ind w:firstLine="1758" w:firstLineChars="39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7C619EEF">
      <w:pPr>
        <w:spacing w:line="360" w:lineRule="auto"/>
        <w:ind w:firstLine="420" w:firstLineChars="200"/>
        <w:rPr>
          <w:rFonts w:ascii="宋体" w:hAnsi="宋体" w:eastAsia="宋体" w:cs="Times New Roman"/>
          <w:color w:val="auto"/>
          <w:szCs w:val="24"/>
          <w:highlight w:val="none"/>
        </w:rPr>
      </w:pPr>
    </w:p>
    <w:p w14:paraId="5CEB3CAF">
      <w:pPr>
        <w:spacing w:line="360" w:lineRule="auto"/>
        <w:ind w:firstLine="420" w:firstLineChars="200"/>
        <w:rPr>
          <w:rFonts w:ascii="宋体" w:hAnsi="宋体" w:eastAsia="宋体" w:cs="Times New Roman"/>
          <w:color w:val="auto"/>
          <w:sz w:val="28"/>
          <w:szCs w:val="24"/>
          <w:highlight w:val="none"/>
        </w:rPr>
      </w:pPr>
      <w:r>
        <w:rPr>
          <w:rFonts w:ascii="宋体" w:hAnsi="宋体" w:eastAsia="宋体" w:cs="Times New Roman"/>
          <w:color w:val="auto"/>
          <w:szCs w:val="24"/>
          <w:highlight w:val="none"/>
        </w:rPr>
        <w:br w:type="page"/>
      </w:r>
    </w:p>
    <w:p w14:paraId="465FD654">
      <w:pPr>
        <w:ind w:left="359" w:leftChars="171" w:firstLine="198" w:firstLineChars="71"/>
        <w:jc w:val="center"/>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目  录</w:t>
      </w:r>
    </w:p>
    <w:p w14:paraId="4CEBCEFE">
      <w:pPr>
        <w:tabs>
          <w:tab w:val="left" w:pos="1170"/>
        </w:tabs>
        <w:spacing w:line="360" w:lineRule="auto"/>
        <w:ind w:left="359" w:leftChars="171" w:firstLine="198" w:firstLineChars="71"/>
        <w:rPr>
          <w:rFonts w:ascii="宋体" w:hAnsi="宋体" w:eastAsia="宋体" w:cs="Times New Roman"/>
          <w:color w:val="auto"/>
          <w:sz w:val="28"/>
          <w:szCs w:val="24"/>
          <w:highlight w:val="none"/>
        </w:rPr>
      </w:pPr>
      <w:r>
        <w:rPr>
          <w:rFonts w:ascii="宋体" w:hAnsi="宋体" w:eastAsia="宋体" w:cs="Times New Roman"/>
          <w:color w:val="auto"/>
          <w:sz w:val="28"/>
          <w:szCs w:val="24"/>
          <w:highlight w:val="none"/>
        </w:rPr>
        <w:tab/>
      </w:r>
    </w:p>
    <w:p w14:paraId="6DE87EB3">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合同书</w:t>
      </w:r>
    </w:p>
    <w:p w14:paraId="42D4AEA3">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中标通知书</w:t>
      </w:r>
    </w:p>
    <w:p w14:paraId="67B54428">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履约保证金缴纳证明</w:t>
      </w:r>
    </w:p>
    <w:p w14:paraId="4DD0533A">
      <w:pPr>
        <w:numPr>
          <w:ilvl w:val="0"/>
          <w:numId w:val="2"/>
        </w:numPr>
        <w:spacing w:line="360" w:lineRule="auto"/>
        <w:ind w:left="357"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项目更改及补充文件</w:t>
      </w:r>
    </w:p>
    <w:p w14:paraId="5B9ADB81">
      <w:pPr>
        <w:numPr>
          <w:ilvl w:val="0"/>
          <w:numId w:val="2"/>
        </w:numPr>
        <w:spacing w:line="360" w:lineRule="auto"/>
        <w:ind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投标报价表</w:t>
      </w:r>
    </w:p>
    <w:p w14:paraId="49AA54C2">
      <w:pPr>
        <w:numPr>
          <w:ilvl w:val="0"/>
          <w:numId w:val="2"/>
        </w:numPr>
        <w:spacing w:line="360" w:lineRule="auto"/>
        <w:ind w:firstLine="543"/>
        <w:rPr>
          <w:rFonts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中标单位澄清函</w:t>
      </w:r>
    </w:p>
    <w:p w14:paraId="3B67EF24">
      <w:pPr>
        <w:spacing w:line="560" w:lineRule="exact"/>
        <w:ind w:firstLine="420" w:firstLineChars="200"/>
        <w:jc w:val="left"/>
        <w:rPr>
          <w:rFonts w:ascii="宋体" w:hAnsi="宋体" w:eastAsia="宋体" w:cs="Times New Roman"/>
          <w:bCs/>
          <w:color w:val="auto"/>
          <w:sz w:val="24"/>
          <w:szCs w:val="24"/>
          <w:highlight w:val="none"/>
        </w:rPr>
      </w:pPr>
      <w:r>
        <w:rPr>
          <w:rFonts w:ascii="Times New Roman" w:hAnsi="Times New Roman" w:eastAsia="宋体" w:cs="Times New Roman"/>
          <w:color w:val="auto"/>
          <w:szCs w:val="24"/>
          <w:highlight w:val="none"/>
        </w:rPr>
        <w:br w:type="page"/>
      </w:r>
      <w:r>
        <w:rPr>
          <w:rFonts w:hint="eastAsia" w:ascii="宋体" w:hAnsi="宋体" w:eastAsia="宋体" w:cs="Times New Roman"/>
          <w:bCs/>
          <w:color w:val="auto"/>
          <w:sz w:val="24"/>
          <w:szCs w:val="24"/>
          <w:highlight w:val="none"/>
        </w:rPr>
        <w:t>以下为中标后签订本项目合同的通用条款，中标供应商不得提出实质性的修改，关于专用条款将由采购人与中标供应商结合本项目具体情况协商后签订。</w:t>
      </w:r>
    </w:p>
    <w:p w14:paraId="78C0A00D">
      <w:pPr>
        <w:spacing w:line="560" w:lineRule="exact"/>
        <w:jc w:val="center"/>
        <w:rPr>
          <w:rFonts w:ascii="Times New Roman" w:hAnsi="Times New Roman" w:eastAsia="宋体" w:cs="Times New Roman"/>
          <w:b/>
          <w:color w:val="auto"/>
          <w:sz w:val="32"/>
          <w:szCs w:val="32"/>
          <w:highlight w:val="none"/>
        </w:rPr>
      </w:pPr>
    </w:p>
    <w:p w14:paraId="6E0D5C17">
      <w:pPr>
        <w:spacing w:line="560" w:lineRule="exact"/>
        <w:jc w:val="center"/>
        <w:rPr>
          <w:rFonts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政府采购合同</w:t>
      </w:r>
    </w:p>
    <w:p w14:paraId="60F55B2F">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甲方：</w:t>
      </w:r>
      <w:r>
        <w:rPr>
          <w:rFonts w:hint="eastAsia" w:ascii="宋体" w:hAnsi="宋体" w:eastAsia="宋体" w:cs="Times New Roman"/>
          <w:color w:val="auto"/>
          <w:sz w:val="24"/>
          <w:szCs w:val="24"/>
          <w:highlight w:val="none"/>
        </w:rPr>
        <w:t>连云港市市政公用事业发展中心</w:t>
      </w:r>
    </w:p>
    <w:p w14:paraId="015C62F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乙方：_________</w:t>
      </w:r>
    </w:p>
    <w:p w14:paraId="67DCDF51">
      <w:pPr>
        <w:snapToGrid w:val="0"/>
        <w:spacing w:line="560" w:lineRule="exact"/>
        <w:ind w:firstLine="480" w:firstLineChars="200"/>
        <w:jc w:val="lef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甲、乙双方根据</w:t>
      </w:r>
      <w:r>
        <w:rPr>
          <w:rFonts w:hint="eastAsia" w:ascii="宋体" w:hAnsi="宋体" w:eastAsia="宋体" w:cs="Times New Roman"/>
          <w:color w:val="auto"/>
          <w:sz w:val="24"/>
          <w:szCs w:val="20"/>
          <w:highlight w:val="none"/>
        </w:rPr>
        <w:t>年月日连云港市区城市污水处理厂污泥蚯蚓养殖资源化处置服务项目</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标段</w:t>
      </w:r>
      <w:r>
        <w:rPr>
          <w:rFonts w:ascii="宋体" w:hAnsi="宋体" w:eastAsia="宋体" w:cs="Times New Roman"/>
          <w:color w:val="auto"/>
          <w:sz w:val="24"/>
          <w:szCs w:val="24"/>
          <w:highlight w:val="none"/>
        </w:rPr>
        <w:t>编号：</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）招标的结果，签订本合同。</w:t>
      </w:r>
    </w:p>
    <w:p w14:paraId="09FFD44A">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一、采购标的</w:t>
      </w:r>
    </w:p>
    <w:p w14:paraId="12DD22E2">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1.1 服务内容：</w:t>
      </w:r>
    </w:p>
    <w:p w14:paraId="661D6D19">
      <w:pPr>
        <w:snapToGrid w:val="0"/>
        <w:spacing w:line="560" w:lineRule="exact"/>
        <w:ind w:firstLine="480" w:firstLineChars="200"/>
        <w:jc w:val="left"/>
        <w:rPr>
          <w:rFonts w:hint="eastAsia" w:eastAsia="宋体"/>
          <w:color w:val="auto"/>
          <w:highlight w:val="none"/>
          <w:lang w:eastAsia="zh-CN"/>
        </w:rPr>
      </w:pPr>
      <w:r>
        <w:rPr>
          <w:rFonts w:hint="eastAsia" w:ascii="宋体" w:hAnsi="宋体" w:eastAsia="宋体" w:cs="宋体"/>
          <w:color w:val="auto"/>
          <w:sz w:val="24"/>
          <w:szCs w:val="24"/>
          <w:highlight w:val="none"/>
          <w:lang w:val="en-US" w:eastAsia="zh-CN"/>
        </w:rPr>
        <w:t>为加强市区城市污水处理厂污泥处置，保障市区城市污水处理厂的稳定运行，对市区污水处理厂所产含水率80%、60%的污泥污泥蚯蚓养殖资源化处置服务</w:t>
      </w:r>
      <w:r>
        <w:rPr>
          <w:rFonts w:hint="eastAsia" w:ascii="宋体" w:hAnsi="宋体" w:eastAsia="宋体" w:cs="宋体"/>
          <w:bCs/>
          <w:color w:val="auto"/>
          <w:sz w:val="24"/>
          <w:szCs w:val="24"/>
          <w:highlight w:val="none"/>
          <w:lang w:eastAsia="zh-CN"/>
        </w:rPr>
        <w:t>。</w:t>
      </w:r>
    </w:p>
    <w:p w14:paraId="58B75827">
      <w:pPr>
        <w:spacing w:line="360" w:lineRule="auto"/>
        <w:ind w:firstLine="480" w:firstLineChars="200"/>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1.2 服务期限：</w:t>
      </w:r>
      <w:r>
        <w:rPr>
          <w:rFonts w:hint="eastAsia" w:ascii="宋体" w:hAnsi="宋体" w:eastAsia="宋体" w:cs="Times New Roman"/>
          <w:color w:val="auto"/>
          <w:sz w:val="24"/>
          <w:szCs w:val="24"/>
          <w:highlight w:val="none"/>
          <w:u w:val="single"/>
        </w:rPr>
        <w:t>3年，    年   月   日至    年   月   日</w:t>
      </w:r>
      <w:r>
        <w:rPr>
          <w:rFonts w:ascii="宋体" w:hAnsi="宋体" w:eastAsia="宋体" w:cs="Times New Roman"/>
          <w:color w:val="auto"/>
          <w:sz w:val="24"/>
          <w:szCs w:val="24"/>
          <w:highlight w:val="none"/>
        </w:rPr>
        <w:t>。</w:t>
      </w:r>
      <w:r>
        <w:rPr>
          <w:rFonts w:hint="eastAsia" w:ascii="宋体" w:hAnsi="宋体" w:eastAsia="宋体" w:cs="宋体"/>
          <w:bCs/>
          <w:color w:val="auto"/>
          <w:sz w:val="24"/>
          <w:szCs w:val="24"/>
          <w:highlight w:val="none"/>
        </w:rPr>
        <w:t>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w:t>
      </w:r>
    </w:p>
    <w:p w14:paraId="4F6FA842">
      <w:pPr>
        <w:snapToGrid w:val="0"/>
        <w:spacing w:line="560" w:lineRule="exact"/>
        <w:ind w:firstLine="480" w:firstLineChars="200"/>
        <w:jc w:val="lef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1.3 补充条款：</w:t>
      </w:r>
      <w:r>
        <w:rPr>
          <w:rFonts w:hint="eastAsia" w:ascii="宋体" w:hAnsi="宋体" w:eastAsia="宋体" w:cs="Times New Roman"/>
          <w:color w:val="auto"/>
          <w:sz w:val="24"/>
          <w:szCs w:val="24"/>
          <w:highlight w:val="none"/>
          <w:u w:val="single"/>
        </w:rPr>
        <w:t>无</w:t>
      </w:r>
      <w:r>
        <w:rPr>
          <w:rFonts w:ascii="宋体" w:hAnsi="宋体" w:eastAsia="宋体" w:cs="Times New Roman"/>
          <w:color w:val="auto"/>
          <w:sz w:val="24"/>
          <w:szCs w:val="24"/>
          <w:highlight w:val="none"/>
        </w:rPr>
        <w:t>。</w:t>
      </w:r>
    </w:p>
    <w:p w14:paraId="675959CC">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二、合同金额</w:t>
      </w:r>
    </w:p>
    <w:p w14:paraId="13826F6D">
      <w:pPr>
        <w:snapToGrid w:val="0"/>
        <w:spacing w:line="560" w:lineRule="exact"/>
        <w:ind w:firstLine="480" w:firstLineChars="200"/>
        <w:jc w:val="lef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2.1 本合同</w:t>
      </w:r>
      <w:r>
        <w:rPr>
          <w:rFonts w:hint="eastAsia" w:ascii="宋体" w:hAnsi="宋体" w:eastAsia="宋体" w:cs="Times New Roman"/>
          <w:color w:val="auto"/>
          <w:sz w:val="24"/>
          <w:szCs w:val="24"/>
          <w:highlight w:val="none"/>
          <w:lang w:val="en-US" w:eastAsia="zh-CN"/>
        </w:rPr>
        <w:t>为固定单价，</w:t>
      </w:r>
      <w:r>
        <w:rPr>
          <w:rFonts w:hint="eastAsia" w:ascii="宋体" w:hAnsi="宋体" w:eastAsia="宋体" w:cs="Times New Roman"/>
          <w:color w:val="auto"/>
          <w:sz w:val="24"/>
          <w:szCs w:val="24"/>
          <w:highlight w:val="none"/>
        </w:rPr>
        <w:t>污泥处理处置单价为</w:t>
      </w:r>
      <w:r>
        <w:rPr>
          <w:rFonts w:ascii="宋体" w:hAnsi="宋体" w:eastAsia="宋体" w:cs="Times New Roman"/>
          <w:color w:val="auto"/>
          <w:sz w:val="24"/>
          <w:szCs w:val="24"/>
          <w:highlight w:val="none"/>
        </w:rPr>
        <w:t>__________</w:t>
      </w:r>
      <w:r>
        <w:rPr>
          <w:rFonts w:hint="eastAsia" w:ascii="宋体" w:hAnsi="宋体" w:eastAsia="宋体" w:cs="Times New Roman"/>
          <w:color w:val="auto"/>
          <w:sz w:val="24"/>
          <w:szCs w:val="24"/>
          <w:highlight w:val="none"/>
        </w:rPr>
        <w:t>元/吨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根据月度核算结果按实结算。</w:t>
      </w:r>
    </w:p>
    <w:p w14:paraId="0545FC46">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5DD5A28D">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三、技术资料</w:t>
      </w:r>
    </w:p>
    <w:p w14:paraId="2826EFCD">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3.1乙方应按招标文件规定的时间向甲方提供有关技术资料。</w:t>
      </w:r>
    </w:p>
    <w:p w14:paraId="414D6409">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3B9F2AA">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四、知识产权</w:t>
      </w:r>
    </w:p>
    <w:p w14:paraId="082E6E2C">
      <w:pPr>
        <w:spacing w:line="560" w:lineRule="exact"/>
        <w:ind w:firstLine="480" w:firstLineChars="200"/>
        <w:jc w:val="left"/>
        <w:rPr>
          <w:rFonts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乙</w:t>
      </w:r>
      <w:r>
        <w:rPr>
          <w:rFonts w:hint="eastAsia" w:ascii="宋体" w:hAnsi="宋体" w:eastAsia="宋体" w:cs="Times New Roman"/>
          <w:color w:val="auto"/>
          <w:sz w:val="24"/>
          <w:szCs w:val="24"/>
          <w:highlight w:val="none"/>
        </w:rPr>
        <w:t>方应保证甲方在使用、接受本合同</w:t>
      </w:r>
      <w:r>
        <w:rPr>
          <w:rFonts w:ascii="Times New Roman" w:hAnsi="宋体" w:eastAsia="宋体" w:cs="Times New Roman"/>
          <w:color w:val="auto"/>
          <w:sz w:val="24"/>
          <w:szCs w:val="24"/>
          <w:highlight w:val="none"/>
        </w:rPr>
        <w:t>中产品和服务</w:t>
      </w:r>
      <w:r>
        <w:rPr>
          <w:rFonts w:hint="eastAsia" w:ascii="宋体" w:hAnsi="宋体" w:eastAsia="宋体" w:cs="Times New Roman"/>
          <w:color w:val="auto"/>
          <w:sz w:val="24"/>
          <w:szCs w:val="24"/>
          <w:highlight w:val="none"/>
        </w:rPr>
        <w:t>或其任何一部分时不受第三方提出侵犯其专利权、版权、商标权和工业设计权等知识产权的起诉。一旦出现侵权，由乙方负全部责任。</w:t>
      </w:r>
    </w:p>
    <w:p w14:paraId="772B68A9">
      <w:pPr>
        <w:snapToGrid w:val="0"/>
        <w:spacing w:line="560" w:lineRule="exact"/>
        <w:ind w:firstLine="482" w:firstLineChars="200"/>
        <w:jc w:val="lef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五、产权担保</w:t>
      </w:r>
    </w:p>
    <w:p w14:paraId="15E507EB">
      <w:pPr>
        <w:snapToGrid w:val="0"/>
        <w:spacing w:line="560" w:lineRule="exact"/>
        <w:ind w:firstLine="480" w:firstLineChars="200"/>
        <w:jc w:val="lef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乙方保证所交付标的的所有权完全属于乙方且无任何抵押、查封等产权瑕疵。</w:t>
      </w:r>
    </w:p>
    <w:p w14:paraId="0E1EB020">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六、履约保证金</w:t>
      </w:r>
    </w:p>
    <w:p w14:paraId="6647B9E6">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本项目不收取履约保证金。</w:t>
      </w:r>
    </w:p>
    <w:p w14:paraId="09F9A081">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七、转包或分包</w:t>
      </w:r>
    </w:p>
    <w:p w14:paraId="6B61B148">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7.1</w:t>
      </w:r>
      <w:r>
        <w:rPr>
          <w:rFonts w:hint="eastAsia" w:ascii="宋体" w:hAnsi="宋体" w:eastAsia="宋体" w:cs="Times New Roman"/>
          <w:color w:val="auto"/>
          <w:sz w:val="24"/>
          <w:szCs w:val="24"/>
          <w:highlight w:val="none"/>
        </w:rPr>
        <w:t xml:space="preserve"> 本合同范围内产品或服务，应由乙方直接供应，不得转让他人供应；</w:t>
      </w:r>
    </w:p>
    <w:p w14:paraId="184A1525">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除非得到甲方的书面同意，乙方不得部分分包给他人供应。</w:t>
      </w:r>
    </w:p>
    <w:p w14:paraId="45F04AC4">
      <w:pPr>
        <w:snapToGrid w:val="0"/>
        <w:spacing w:line="560" w:lineRule="exact"/>
        <w:ind w:firstLine="480" w:firstLineChars="200"/>
        <w:jc w:val="lef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7.3</w:t>
      </w:r>
      <w:r>
        <w:rPr>
          <w:rFonts w:hint="eastAsia" w:ascii="宋体" w:hAnsi="宋体" w:eastAsia="宋体" w:cs="Times New Roman"/>
          <w:color w:val="auto"/>
          <w:sz w:val="24"/>
          <w:szCs w:val="24"/>
          <w:highlight w:val="none"/>
        </w:rPr>
        <w:t xml:space="preserve"> 如有转让和未经甲方同意的分包行为，甲方有权给予终止合同。 </w:t>
      </w:r>
    </w:p>
    <w:p w14:paraId="15B45F10">
      <w:pPr>
        <w:snapToGrid w:val="0"/>
        <w:spacing w:line="560" w:lineRule="exact"/>
        <w:ind w:firstLine="482" w:firstLineChars="200"/>
        <w:jc w:val="lef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八</w:t>
      </w:r>
      <w:r>
        <w:rPr>
          <w:rFonts w:ascii="Times New Roman" w:hAnsi="宋体" w:eastAsia="宋体" w:cs="Times New Roman"/>
          <w:b/>
          <w:color w:val="auto"/>
          <w:sz w:val="24"/>
          <w:szCs w:val="24"/>
          <w:highlight w:val="none"/>
        </w:rPr>
        <w:t>、合同款支付</w:t>
      </w:r>
    </w:p>
    <w:p w14:paraId="789FB716">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本项目合同为固定单价合同，付款金额以实际污泥处理量进行结算，超出预算金额按预算金额支付。</w:t>
      </w:r>
    </w:p>
    <w:p w14:paraId="17A767F7">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8.2</w:t>
      </w:r>
      <w:r>
        <w:rPr>
          <w:rFonts w:hint="eastAsia" w:ascii="宋体" w:hAnsi="宋体" w:eastAsia="宋体" w:cs="Times New Roman"/>
          <w:color w:val="auto"/>
          <w:sz w:val="24"/>
          <w:szCs w:val="24"/>
          <w:highlight w:val="none"/>
        </w:rPr>
        <w:t>项目运营服务费每月支付一次。</w:t>
      </w:r>
      <w:r>
        <w:rPr>
          <w:rFonts w:hint="eastAsia" w:ascii="宋体" w:hAnsi="宋体" w:eastAsia="宋体" w:cs="Times New Roman"/>
          <w:color w:val="auto"/>
          <w:sz w:val="24"/>
          <w:szCs w:val="24"/>
          <w:highlight w:val="none"/>
          <w:lang w:val="en-US" w:eastAsia="zh-CN"/>
        </w:rPr>
        <w:t>乙方每月报送处置计量报表</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经甲方审核测算后确定支付运营服务费</w:t>
      </w:r>
      <w:r>
        <w:rPr>
          <w:rFonts w:hint="eastAsia" w:ascii="宋体" w:hAnsi="宋体" w:eastAsia="宋体" w:cs="Times New Roman"/>
          <w:color w:val="auto"/>
          <w:sz w:val="24"/>
          <w:szCs w:val="24"/>
          <w:highlight w:val="none"/>
        </w:rPr>
        <w:t>；</w:t>
      </w:r>
    </w:p>
    <w:p w14:paraId="5699FC1D">
      <w:pPr>
        <w:snapToGrid w:val="0"/>
        <w:spacing w:line="560" w:lineRule="exact"/>
        <w:ind w:firstLine="480" w:firstLineChars="200"/>
        <w:jc w:val="lef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甲方支付运营服务费前，乙方须提供等额的正式发票给甲方，以便甲方及时办理转帐支付手续。本项目所涉及费用均以人民币结算。</w:t>
      </w:r>
    </w:p>
    <w:p w14:paraId="2120C149">
      <w:pPr>
        <w:snapToGrid w:val="0"/>
        <w:spacing w:line="560" w:lineRule="exact"/>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九、</w:t>
      </w:r>
      <w:r>
        <w:rPr>
          <w:rFonts w:ascii="Times New Roman" w:hAnsi="宋体" w:eastAsia="宋体" w:cs="Times New Roman"/>
          <w:b/>
          <w:color w:val="auto"/>
          <w:sz w:val="24"/>
          <w:szCs w:val="24"/>
          <w:highlight w:val="none"/>
        </w:rPr>
        <w:t>税费</w:t>
      </w:r>
    </w:p>
    <w:p w14:paraId="4E95945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rPr>
        <w:t>.1 本合同执行中相关的一切税费均由乙方负担。</w:t>
      </w:r>
    </w:p>
    <w:p w14:paraId="6327C942">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十、不可抗力事件处理</w:t>
      </w:r>
    </w:p>
    <w:p w14:paraId="505493AD">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.1 在合同有效期内，任何一方因不可抗力事件导致不能履行合同，则合同履行期延长，其延长期与不可抗力影响期相同。</w:t>
      </w:r>
    </w:p>
    <w:p w14:paraId="5B447E63">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.2 不可抗力事件发生后，应立即通知对方，并寄送有关权威机构出具的证明。</w:t>
      </w:r>
    </w:p>
    <w:p w14:paraId="78470B5F">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0</w:t>
      </w:r>
      <w:r>
        <w:rPr>
          <w:rFonts w:ascii="宋体" w:hAnsi="宋体" w:eastAsia="宋体" w:cs="Times New Roman"/>
          <w:color w:val="auto"/>
          <w:sz w:val="24"/>
          <w:szCs w:val="24"/>
          <w:highlight w:val="none"/>
        </w:rPr>
        <w:t>.3不可抗力事件延续120天以上，双方应通过友好协商，确定是否继续履行合同。</w:t>
      </w:r>
    </w:p>
    <w:p w14:paraId="615CE7C8">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一</w:t>
      </w:r>
      <w:r>
        <w:rPr>
          <w:rFonts w:ascii="宋体" w:hAnsi="宋体" w:eastAsia="宋体" w:cs="Times New Roman"/>
          <w:b/>
          <w:color w:val="auto"/>
          <w:sz w:val="24"/>
          <w:szCs w:val="24"/>
          <w:highlight w:val="none"/>
        </w:rPr>
        <w:t>、争议解决</w:t>
      </w:r>
    </w:p>
    <w:p w14:paraId="5BD7F90C">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种方式解决：</w:t>
      </w:r>
    </w:p>
    <w:p w14:paraId="1644A429">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（1）向连云港仲裁委员会申请仲裁。</w:t>
      </w:r>
    </w:p>
    <w:p w14:paraId="6B04B1EB">
      <w:pPr>
        <w:snapToGrid w:val="0"/>
        <w:spacing w:line="560" w:lineRule="exact"/>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（2）向合同签订地法院起诉，合同签订地在此约定为连云港市。</w:t>
      </w:r>
    </w:p>
    <w:p w14:paraId="5DD65F77">
      <w:pPr>
        <w:snapToGrid w:val="0"/>
        <w:spacing w:line="560" w:lineRule="exact"/>
        <w:ind w:firstLine="482" w:firstLineChars="200"/>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二</w:t>
      </w:r>
      <w:r>
        <w:rPr>
          <w:rFonts w:ascii="宋体" w:hAnsi="宋体" w:eastAsia="宋体" w:cs="Times New Roman"/>
          <w:b/>
          <w:color w:val="auto"/>
          <w:sz w:val="24"/>
          <w:szCs w:val="24"/>
          <w:highlight w:val="none"/>
        </w:rPr>
        <w:t>、合同生效及其它</w:t>
      </w:r>
    </w:p>
    <w:p w14:paraId="3207DAA3">
      <w:pPr>
        <w:snapToGrid w:val="0"/>
        <w:spacing w:line="560" w:lineRule="exact"/>
        <w:ind w:firstLine="480" w:firstLineChars="200"/>
        <w:jc w:val="lef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12.1甲方按照《连云港市市区城镇污水处理厂污泥处理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 xml:space="preserve">处置管理办法（试行）》的要求履行监管职责，定期开展监督巡查，有权要求乙方积极配合，甲方的调研和日常监督巡查。 </w:t>
      </w:r>
    </w:p>
    <w:p w14:paraId="7E84B25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2乙方按照</w:t>
      </w:r>
      <w:r>
        <w:rPr>
          <w:rFonts w:hint="eastAsia" w:ascii="宋体" w:hAnsi="宋体" w:eastAsia="宋体" w:cs="Times New Roman"/>
          <w:b w:val="0"/>
          <w:bCs w:val="0"/>
          <w:color w:val="auto"/>
          <w:sz w:val="24"/>
          <w:szCs w:val="24"/>
          <w:highlight w:val="none"/>
          <w:lang w:val="en-US" w:eastAsia="zh-CN"/>
        </w:rPr>
        <w:t>《连云港市市区城镇污水处理厂污泥处理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b w:val="0"/>
          <w:bCs w:val="0"/>
          <w:color w:val="auto"/>
          <w:sz w:val="24"/>
          <w:szCs w:val="24"/>
          <w:highlight w:val="none"/>
          <w:lang w:val="en-US" w:eastAsia="zh-CN"/>
        </w:rPr>
        <w:t>、</w:t>
      </w:r>
      <w:r>
        <w:rPr>
          <w:rFonts w:hint="eastAsia" w:ascii="宋体" w:hAnsi="宋体" w:eastAsia="宋体" w:cs="Times New Roman"/>
          <w:b w:val="0"/>
          <w:bCs w:val="0"/>
          <w:color w:val="auto"/>
          <w:sz w:val="24"/>
          <w:szCs w:val="24"/>
          <w:highlight w:val="none"/>
          <w:lang w:val="en-US" w:eastAsia="zh-CN"/>
        </w:rPr>
        <w:t>处置管理办法（试行）》有关规定</w:t>
      </w:r>
      <w:r>
        <w:rPr>
          <w:rFonts w:ascii="宋体" w:hAnsi="宋体" w:eastAsia="宋体" w:cs="Times New Roman"/>
          <w:color w:val="auto"/>
          <w:sz w:val="24"/>
          <w:szCs w:val="24"/>
          <w:highlight w:val="none"/>
        </w:rPr>
        <w:t>。</w:t>
      </w:r>
    </w:p>
    <w:p w14:paraId="54FAF81F">
      <w:pPr>
        <w:snapToGrid w:val="0"/>
        <w:spacing w:line="560" w:lineRule="exact"/>
        <w:ind w:firstLine="480" w:firstLineChars="200"/>
        <w:jc w:val="left"/>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p>
    <w:p w14:paraId="14A3F47B">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4乙方具备完善的地磅计量系统，对进厂污泥</w:t>
      </w:r>
      <w:r>
        <w:rPr>
          <w:rFonts w:hint="eastAsia" w:ascii="仿宋_GB2312" w:hAnsi="仿宋_GB2312" w:eastAsia="仿宋_GB2312" w:cs="仿宋_GB2312"/>
          <w:color w:val="auto"/>
          <w:sz w:val="24"/>
          <w:szCs w:val="24"/>
          <w:highlight w:val="none"/>
          <w:lang w:val="en-US" w:eastAsia="zh-CN"/>
        </w:rPr>
        <w:t>和</w:t>
      </w:r>
      <w:r>
        <w:rPr>
          <w:rFonts w:hint="eastAsia" w:ascii="宋体" w:hAnsi="宋体" w:eastAsia="宋体" w:cs="Times New Roman"/>
          <w:color w:val="auto"/>
          <w:sz w:val="24"/>
          <w:szCs w:val="24"/>
          <w:highlight w:val="none"/>
          <w:lang w:val="en-US" w:eastAsia="zh-CN"/>
        </w:rPr>
        <w:t>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w:t>
      </w:r>
    </w:p>
    <w:p w14:paraId="2F7AB69C">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5乙方应建立运行台账，全面</w:t>
      </w:r>
      <w:r>
        <w:rPr>
          <w:rFonts w:hint="eastAsia" w:ascii="仿宋_GB2312" w:hAnsi="仿宋_GB2312" w:eastAsia="仿宋_GB2312" w:cs="仿宋_GB2312"/>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及时</w:t>
      </w:r>
      <w:r>
        <w:rPr>
          <w:rFonts w:hint="eastAsia" w:ascii="仿宋_GB2312" w:hAnsi="仿宋_GB2312" w:eastAsia="仿宋_GB2312" w:cs="仿宋_GB2312"/>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准确记录各项运行数据，并每月及时制作和递交给甲方</w:t>
      </w:r>
      <w:r>
        <w:rPr>
          <w:rFonts w:ascii="宋体" w:hAnsi="宋体" w:eastAsia="宋体" w:cs="Times New Roman"/>
          <w:color w:val="auto"/>
          <w:sz w:val="24"/>
          <w:szCs w:val="24"/>
          <w:highlight w:val="none"/>
        </w:rPr>
        <w:t>。</w:t>
      </w:r>
    </w:p>
    <w:p w14:paraId="33163B74">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6</w:t>
      </w:r>
      <w:r>
        <w:rPr>
          <w:rFonts w:ascii="宋体" w:hAnsi="宋体" w:eastAsia="宋体" w:cs="Times New Roman"/>
          <w:color w:val="auto"/>
          <w:sz w:val="24"/>
          <w:szCs w:val="24"/>
          <w:highlight w:val="none"/>
        </w:rPr>
        <w:t>合同经双方法定代表人或委托代理人签字并加盖单位公章后生效。</w:t>
      </w:r>
    </w:p>
    <w:p w14:paraId="1C0EB9FD">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7</w:t>
      </w:r>
      <w:r>
        <w:rPr>
          <w:rFonts w:ascii="宋体" w:hAnsi="宋体" w:eastAsia="宋体" w:cs="Times New Roman"/>
          <w:color w:val="auto"/>
          <w:sz w:val="24"/>
          <w:szCs w:val="24"/>
          <w:highlight w:val="none"/>
        </w:rPr>
        <w:t>本合同未尽事宜，遵照《中华人民共和国民法典》有关条文执行。</w:t>
      </w:r>
    </w:p>
    <w:p w14:paraId="39AC78D7">
      <w:pPr>
        <w:snapToGrid w:val="0"/>
        <w:spacing w:line="560" w:lineRule="exact"/>
        <w:ind w:firstLine="480" w:firstLineChars="20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8</w:t>
      </w:r>
      <w:r>
        <w:rPr>
          <w:rFonts w:ascii="宋体" w:hAnsi="宋体" w:eastAsia="宋体" w:cs="Times New Roman"/>
          <w:color w:val="auto"/>
          <w:sz w:val="24"/>
          <w:szCs w:val="24"/>
          <w:highlight w:val="none"/>
        </w:rPr>
        <w:t>本合同正本一式</w:t>
      </w:r>
      <w:r>
        <w:rPr>
          <w:rFonts w:hint="eastAsia" w:ascii="宋体" w:hAnsi="宋体" w:eastAsia="宋体" w:cs="Times New Roman"/>
          <w:color w:val="auto"/>
          <w:sz w:val="24"/>
          <w:szCs w:val="24"/>
          <w:highlight w:val="none"/>
        </w:rPr>
        <w:t>八</w:t>
      </w:r>
      <w:r>
        <w:rPr>
          <w:rFonts w:ascii="宋体" w:hAnsi="宋体" w:eastAsia="宋体" w:cs="Times New Roman"/>
          <w:color w:val="auto"/>
          <w:sz w:val="24"/>
          <w:szCs w:val="24"/>
          <w:highlight w:val="none"/>
        </w:rPr>
        <w:t>份，具有同等法律效力，甲方、乙方、</w:t>
      </w:r>
      <w:r>
        <w:rPr>
          <w:rFonts w:hint="eastAsia" w:ascii="宋体" w:hAnsi="宋体" w:eastAsia="宋体" w:cs="Times New Roman"/>
          <w:color w:val="auto"/>
          <w:sz w:val="24"/>
          <w:szCs w:val="24"/>
          <w:highlight w:val="none"/>
        </w:rPr>
        <w:t>见证</w:t>
      </w:r>
      <w:r>
        <w:rPr>
          <w:rFonts w:ascii="宋体" w:hAnsi="宋体" w:eastAsia="宋体" w:cs="Times New Roman"/>
          <w:color w:val="auto"/>
          <w:sz w:val="24"/>
          <w:szCs w:val="24"/>
          <w:highlight w:val="none"/>
        </w:rPr>
        <w:t>方及财政监管部门各执</w:t>
      </w:r>
      <w:r>
        <w:rPr>
          <w:rFonts w:hint="eastAsia" w:ascii="宋体" w:hAnsi="宋体" w:eastAsia="宋体" w:cs="Times New Roman"/>
          <w:color w:val="auto"/>
          <w:sz w:val="24"/>
          <w:szCs w:val="24"/>
          <w:highlight w:val="none"/>
        </w:rPr>
        <w:t>贰</w:t>
      </w:r>
      <w:r>
        <w:rPr>
          <w:rFonts w:ascii="宋体" w:hAnsi="宋体" w:eastAsia="宋体" w:cs="Times New Roman"/>
          <w:color w:val="auto"/>
          <w:sz w:val="24"/>
          <w:szCs w:val="24"/>
          <w:highlight w:val="none"/>
        </w:rPr>
        <w:t>份。</w:t>
      </w:r>
    </w:p>
    <w:p w14:paraId="7897CAA4">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p>
    <w:p w14:paraId="2C4F22AB">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p>
    <w:p w14:paraId="145AC541">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p>
    <w:p w14:paraId="39E50B8E">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p>
    <w:p w14:paraId="5EDD2EBF">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p>
    <w:p w14:paraId="073D0878">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p>
    <w:p w14:paraId="693A7725">
      <w:pPr>
        <w:snapToGrid w:val="0"/>
        <w:spacing w:line="560" w:lineRule="exact"/>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签订日期：      年  月  日</w:t>
      </w:r>
    </w:p>
    <w:p w14:paraId="663325C9">
      <w:pPr>
        <w:snapToGrid w:val="0"/>
        <w:spacing w:line="560" w:lineRule="exact"/>
        <w:jc w:val="left"/>
        <w:rPr>
          <w:rFonts w:ascii="宋体" w:hAnsi="宋体" w:eastAsia="宋体" w:cs="Times New Roman"/>
          <w:color w:val="auto"/>
          <w:sz w:val="24"/>
          <w:szCs w:val="24"/>
          <w:highlight w:val="none"/>
        </w:rPr>
      </w:pPr>
    </w:p>
    <w:p w14:paraId="0C1C8D4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宋体" w:hAnsi="宋体" w:eastAsia="宋体" w:cs="宋体"/>
          <w:color w:val="auto"/>
          <w:kern w:val="44"/>
          <w:sz w:val="36"/>
          <w:szCs w:val="20"/>
          <w:highlight w:val="none"/>
          <w:lang w:val="en-US" w:eastAsia="zh-CN"/>
        </w:rPr>
        <w:sectPr>
          <w:footerReference r:id="rId7" w:type="first"/>
          <w:footerReference r:id="rId6" w:type="default"/>
          <w:pgSz w:w="11906" w:h="16838"/>
          <w:pgMar w:top="1440" w:right="1134" w:bottom="1440" w:left="1418" w:header="851" w:footer="992" w:gutter="0"/>
          <w:pgNumType w:fmt="decimal"/>
          <w:cols w:space="720" w:num="1"/>
          <w:titlePg/>
          <w:docGrid w:type="lines" w:linePitch="312" w:charSpace="0"/>
        </w:sectPr>
      </w:pPr>
    </w:p>
    <w:p w14:paraId="5060F246">
      <w:pPr>
        <w:rPr>
          <w:color w:val="auto"/>
          <w:highlight w:val="none"/>
        </w:rPr>
      </w:pPr>
    </w:p>
    <w:p w14:paraId="586D417C">
      <w:pPr>
        <w:pStyle w:val="2"/>
        <w:pageBreakBefore w:val="0"/>
        <w:widowControl w:val="0"/>
        <w:kinsoku/>
        <w:wordWrap/>
        <w:overflowPunct/>
        <w:topLinePunct w:val="0"/>
        <w:autoSpaceDE/>
        <w:autoSpaceDN/>
        <w:bidi w:val="0"/>
        <w:adjustRightInd/>
        <w:snapToGrid/>
        <w:spacing w:before="156" w:after="156" w:line="460" w:lineRule="exact"/>
        <w:jc w:val="center"/>
        <w:textAlignment w:val="auto"/>
        <w:rPr>
          <w:rFonts w:ascii="黑体" w:hAnsi="黑体" w:eastAsia="黑体"/>
          <w:b w:val="0"/>
          <w:color w:val="auto"/>
          <w:highlight w:val="none"/>
        </w:rPr>
      </w:pPr>
      <w:bookmarkStart w:id="4" w:name="_Toc155796359"/>
      <w:r>
        <w:rPr>
          <w:rFonts w:hint="eastAsia" w:ascii="黑体" w:hAnsi="黑体" w:eastAsia="黑体"/>
          <w:b w:val="0"/>
          <w:color w:val="auto"/>
          <w:highlight w:val="none"/>
        </w:rPr>
        <w:t>第四章采购需求</w:t>
      </w:r>
      <w:bookmarkEnd w:id="4"/>
    </w:p>
    <w:p w14:paraId="17654673">
      <w:pPr>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color w:val="auto"/>
          <w:sz w:val="24"/>
          <w:szCs w:val="24"/>
          <w:highlight w:val="none"/>
        </w:rPr>
      </w:pPr>
      <w:r>
        <w:rPr>
          <w:rFonts w:hint="eastAsia"/>
          <w:color w:val="auto"/>
          <w:sz w:val="24"/>
          <w:szCs w:val="24"/>
          <w:highlight w:val="none"/>
        </w:rPr>
        <w:t>说明：本项目采购方式为公开招标，本项目属性为</w:t>
      </w:r>
      <w:r>
        <w:rPr>
          <w:rFonts w:hint="eastAsia"/>
          <w:b/>
          <w:color w:val="auto"/>
          <w:sz w:val="24"/>
          <w:szCs w:val="24"/>
          <w:highlight w:val="none"/>
        </w:rPr>
        <w:t>服务</w:t>
      </w:r>
      <w:r>
        <w:rPr>
          <w:rFonts w:hint="eastAsia"/>
          <w:color w:val="auto"/>
          <w:sz w:val="24"/>
          <w:szCs w:val="24"/>
          <w:highlight w:val="none"/>
        </w:rPr>
        <w:t>，采购标的对应的中小企业划分标准所属行业为：</w:t>
      </w:r>
      <w:r>
        <w:rPr>
          <w:rFonts w:hint="eastAsia"/>
          <w:b/>
          <w:bCs/>
          <w:color w:val="auto"/>
          <w:sz w:val="24"/>
          <w:szCs w:val="24"/>
          <w:highlight w:val="none"/>
          <w:u w:val="single"/>
          <w:lang w:val="en-US" w:eastAsia="zh-CN"/>
        </w:rPr>
        <w:t>工</w:t>
      </w:r>
      <w:r>
        <w:rPr>
          <w:rFonts w:hint="eastAsia"/>
          <w:b/>
          <w:bCs/>
          <w:color w:val="auto"/>
          <w:sz w:val="24"/>
          <w:szCs w:val="24"/>
          <w:highlight w:val="none"/>
          <w:u w:val="single"/>
        </w:rPr>
        <w:t>业</w:t>
      </w:r>
      <w:r>
        <w:rPr>
          <w:rFonts w:hint="eastAsia"/>
          <w:color w:val="auto"/>
          <w:sz w:val="24"/>
          <w:szCs w:val="24"/>
          <w:highlight w:val="none"/>
        </w:rPr>
        <w:t>。</w:t>
      </w:r>
    </w:p>
    <w:p w14:paraId="2A4E32EA">
      <w:pPr>
        <w:spacing w:line="360" w:lineRule="auto"/>
        <w:ind w:firstLine="4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一、项目背景：</w:t>
      </w:r>
      <w:bookmarkStart w:id="23" w:name="_GoBack"/>
      <w:bookmarkEnd w:id="23"/>
    </w:p>
    <w:p w14:paraId="3BB7FF9D">
      <w:pPr>
        <w:spacing w:line="360" w:lineRule="auto"/>
        <w:ind w:firstLine="420"/>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rPr>
        <w:t>为加强市区城</w:t>
      </w:r>
      <w:r>
        <w:rPr>
          <w:rFonts w:hint="eastAsia" w:ascii="宋体" w:hAnsi="宋体" w:eastAsia="宋体" w:cs="宋体"/>
          <w:bCs/>
          <w:color w:val="auto"/>
          <w:sz w:val="24"/>
          <w:szCs w:val="24"/>
          <w:highlight w:val="none"/>
          <w:u w:val="none"/>
        </w:rPr>
        <w:t>市污水处理厂污泥处置，确保市区城市污水处理厂的稳定运行，对市区污水处理厂所产含水率80%、60%的污泥</w:t>
      </w:r>
      <w:r>
        <w:rPr>
          <w:rFonts w:hint="eastAsia" w:ascii="宋体" w:hAnsi="宋体" w:eastAsia="宋体" w:cs="宋体"/>
          <w:color w:val="auto"/>
          <w:sz w:val="24"/>
          <w:szCs w:val="24"/>
          <w:highlight w:val="none"/>
          <w:u w:val="none"/>
        </w:rPr>
        <w:t>蚯蚓养殖资源化</w:t>
      </w:r>
      <w:r>
        <w:rPr>
          <w:rFonts w:hint="eastAsia" w:ascii="宋体" w:hAnsi="宋体" w:eastAsia="宋体" w:cs="宋体"/>
          <w:bCs/>
          <w:color w:val="auto"/>
          <w:sz w:val="24"/>
          <w:szCs w:val="24"/>
          <w:highlight w:val="none"/>
          <w:u w:val="none"/>
        </w:rPr>
        <w:t>无害化处置。</w:t>
      </w:r>
    </w:p>
    <w:p w14:paraId="67A862F3">
      <w:pPr>
        <w:spacing w:line="360" w:lineRule="auto"/>
        <w:ind w:firstLine="4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二、项目概况：</w:t>
      </w:r>
    </w:p>
    <w:p w14:paraId="7447CE56">
      <w:pPr>
        <w:spacing w:line="360" w:lineRule="auto"/>
        <w:ind w:firstLine="420"/>
        <w:rPr>
          <w:rFonts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为加强市区城市污水处理厂污泥处置，确保市区城市污水处理厂的稳定运行，对市区污水处理厂所产含水率80%、60%的污泥</w:t>
      </w:r>
      <w:r>
        <w:rPr>
          <w:rFonts w:hint="eastAsia" w:ascii="宋体" w:hAnsi="宋体" w:eastAsia="宋体" w:cs="宋体"/>
          <w:color w:val="auto"/>
          <w:sz w:val="24"/>
          <w:szCs w:val="24"/>
          <w:highlight w:val="none"/>
          <w:u w:val="none"/>
        </w:rPr>
        <w:t>蚯蚓养殖资源化处置服务，</w:t>
      </w:r>
      <w:r>
        <w:rPr>
          <w:rFonts w:hint="eastAsia" w:ascii="宋体" w:hAnsi="宋体" w:eastAsia="宋体" w:cs="宋体"/>
          <w:bCs/>
          <w:color w:val="auto"/>
          <w:sz w:val="24"/>
          <w:szCs w:val="24"/>
          <w:highlight w:val="none"/>
          <w:u w:val="none"/>
        </w:rPr>
        <w:t>服务期为3年。</w:t>
      </w:r>
    </w:p>
    <w:p w14:paraId="1E2C39DD">
      <w:pPr>
        <w:spacing w:line="360" w:lineRule="auto"/>
        <w:ind w:firstLine="4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三、服务技术要求及其他：</w:t>
      </w:r>
    </w:p>
    <w:p w14:paraId="5A5D1A7C">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1、服务范围：连云港市市区的城市污水处理厂污泥处理处置</w:t>
      </w:r>
      <w:r>
        <w:rPr>
          <w:rFonts w:hint="eastAsia" w:ascii="宋体" w:hAnsi="宋体" w:eastAsia="宋体" w:cs="宋体"/>
          <w:color w:val="auto"/>
          <w:sz w:val="24"/>
          <w:szCs w:val="24"/>
          <w:highlight w:val="none"/>
        </w:rPr>
        <w:t>。</w:t>
      </w:r>
    </w:p>
    <w:p w14:paraId="70CE9635">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2、服务要求：接收连云港市市区的城市污水处理厂污泥进行合法合规处理处置，达到“四化”处置原则要求。</w:t>
      </w:r>
    </w:p>
    <w:p w14:paraId="4C087102">
      <w:pPr>
        <w:spacing w:line="360" w:lineRule="auto"/>
        <w:rPr>
          <w:rFonts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i/>
          <w:iCs/>
          <w:color w:val="auto"/>
          <w:sz w:val="24"/>
          <w:szCs w:val="24"/>
          <w:highlight w:val="none"/>
          <w:u w:val="single"/>
        </w:rPr>
        <w:t>3、服务时间：自合同签订之日起3年。</w:t>
      </w:r>
    </w:p>
    <w:p w14:paraId="02E2D5A6">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4、服务标准：按采购人后期确定的月度计划要求完成污泥处理处置工作。</w:t>
      </w:r>
    </w:p>
    <w:p w14:paraId="6A38B0E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5、人员配备要求：</w:t>
      </w:r>
      <w:r>
        <w:rPr>
          <w:rFonts w:hint="eastAsia" w:ascii="宋体" w:hAnsi="宋体" w:eastAsia="宋体" w:cs="宋体"/>
          <w:color w:val="auto"/>
          <w:sz w:val="24"/>
          <w:szCs w:val="24"/>
          <w:highlight w:val="none"/>
        </w:rPr>
        <w:t>根据项目需求自行配置</w:t>
      </w:r>
      <w:r>
        <w:rPr>
          <w:rFonts w:hint="eastAsia" w:ascii="宋体" w:hAnsi="宋体" w:eastAsia="宋体" w:cs="宋体"/>
          <w:bCs/>
          <w:color w:val="auto"/>
          <w:sz w:val="24"/>
          <w:szCs w:val="24"/>
          <w:highlight w:val="none"/>
        </w:rPr>
        <w:t>。</w:t>
      </w:r>
    </w:p>
    <w:p w14:paraId="5359AE0E">
      <w:pPr>
        <w:spacing w:line="360" w:lineRule="auto"/>
        <w:ind w:firstLine="420"/>
        <w:rPr>
          <w:color w:val="auto"/>
          <w:sz w:val="24"/>
          <w:szCs w:val="24"/>
          <w:highlight w:val="none"/>
        </w:rPr>
      </w:pPr>
      <w:r>
        <w:rPr>
          <w:rFonts w:hint="eastAsia" w:ascii="宋体" w:hAnsi="宋体" w:eastAsia="宋体" w:cs="宋体"/>
          <w:color w:val="auto"/>
          <w:sz w:val="24"/>
          <w:szCs w:val="24"/>
          <w:highlight w:val="none"/>
        </w:rPr>
        <w:t>6、工作内容:</w:t>
      </w:r>
      <w:r>
        <w:rPr>
          <w:rFonts w:hint="eastAsia"/>
          <w:color w:val="auto"/>
          <w:sz w:val="24"/>
          <w:szCs w:val="24"/>
          <w:highlight w:val="none"/>
        </w:rPr>
        <w:t>对市区污水处理厂所产含水率80%、60%的污泥蚯蚓养殖资源化利用无害化处置。</w:t>
      </w:r>
    </w:p>
    <w:p w14:paraId="36AE8A9C">
      <w:pPr>
        <w:spacing w:line="360" w:lineRule="auto"/>
        <w:ind w:firstLine="42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7、项目属于服务采购，其设备、设施、运行、水、电等全成本均由服务方承担，污泥由市区各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p>
    <w:p w14:paraId="2BFFF0A5">
      <w:pPr>
        <w:spacing w:line="360" w:lineRule="auto"/>
        <w:ind w:firstLine="42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8、污泥运输费用：运输距离80km以内（含80km）由市区各污水处理厂负责，超出部分由中标单位承担。</w:t>
      </w:r>
    </w:p>
    <w:p w14:paraId="165B6919">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9、场地内应建设地磅计量设施。</w:t>
      </w:r>
    </w:p>
    <w:p w14:paraId="35DF2A8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10、进场、计量、处置、成品外运环节均能实现视频覆盖，且能实施存储影像资料，存储周期不小于1个月（需提供加盖公章的书面承诺书）。</w:t>
      </w:r>
    </w:p>
    <w:p w14:paraId="50A89EBA">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11、污泥处置项目须具备环境影响报告书的批复（投标文件中提供批复复印件）；</w:t>
      </w:r>
    </w:p>
    <w:p w14:paraId="40F77726">
      <w:pPr>
        <w:spacing w:line="360" w:lineRule="auto"/>
        <w:ind w:firstLine="480" w:firstLineChars="200"/>
        <w:rPr>
          <w:rFonts w:hint="eastAsia" w:ascii="宋体" w:hAnsi="宋体" w:eastAsia="宋体" w:cs="宋体"/>
          <w:b w:val="0"/>
          <w:bCs w:val="0"/>
          <w:i w:val="0"/>
          <w:iCs w:val="0"/>
          <w:color w:val="auto"/>
          <w:kern w:val="0"/>
          <w:sz w:val="24"/>
          <w:szCs w:val="24"/>
          <w:highlight w:val="none"/>
          <w:u w:val="none"/>
          <w:lang w:eastAsia="zh-CN"/>
        </w:rPr>
      </w:pPr>
      <w:r>
        <w:rPr>
          <w:rFonts w:hint="eastAsia" w:ascii="宋体" w:hAnsi="宋体" w:eastAsia="宋体" w:cs="宋体"/>
          <w:b w:val="0"/>
          <w:bCs w:val="0"/>
          <w:i w:val="0"/>
          <w:iCs w:val="0"/>
          <w:color w:val="auto"/>
          <w:kern w:val="0"/>
          <w:sz w:val="24"/>
          <w:szCs w:val="24"/>
          <w:highlight w:val="none"/>
          <w:u w:val="none"/>
          <w:lang w:val="en-US" w:eastAsia="zh-CN"/>
        </w:rPr>
        <w:t>12</w:t>
      </w:r>
      <w:r>
        <w:rPr>
          <w:rFonts w:hint="eastAsia" w:ascii="宋体" w:hAnsi="宋体" w:eastAsia="宋体" w:cs="宋体"/>
          <w:b w:val="0"/>
          <w:bCs w:val="0"/>
          <w:i w:val="0"/>
          <w:iCs w:val="0"/>
          <w:color w:val="auto"/>
          <w:kern w:val="0"/>
          <w:sz w:val="24"/>
          <w:szCs w:val="24"/>
          <w:highlight w:val="none"/>
          <w:u w:val="none"/>
        </w:rPr>
        <w:t>、污泥贮存场所必须符合环保要求，单独设置</w:t>
      </w:r>
      <w:r>
        <w:rPr>
          <w:rFonts w:hint="eastAsia" w:ascii="宋体" w:hAnsi="宋体" w:eastAsia="宋体" w:cs="宋体"/>
          <w:b w:val="0"/>
          <w:bCs w:val="0"/>
          <w:i w:val="0"/>
          <w:iCs w:val="0"/>
          <w:color w:val="auto"/>
          <w:kern w:val="0"/>
          <w:sz w:val="24"/>
          <w:szCs w:val="24"/>
          <w:highlight w:val="none"/>
          <w:u w:val="none"/>
          <w:lang w:eastAsia="zh-CN"/>
        </w:rPr>
        <w:t>三</w:t>
      </w:r>
      <w:r>
        <w:rPr>
          <w:rFonts w:hint="eastAsia" w:ascii="宋体" w:hAnsi="宋体" w:eastAsia="宋体" w:cs="宋体"/>
          <w:b w:val="0"/>
          <w:bCs w:val="0"/>
          <w:i w:val="0"/>
          <w:iCs w:val="0"/>
          <w:color w:val="auto"/>
          <w:kern w:val="0"/>
          <w:sz w:val="24"/>
          <w:szCs w:val="24"/>
          <w:highlight w:val="none"/>
          <w:u w:val="none"/>
        </w:rPr>
        <w:t>防设施，要求提供设施照片、承诺书等证明材料</w:t>
      </w:r>
      <w:r>
        <w:rPr>
          <w:rFonts w:hint="eastAsia" w:ascii="宋体" w:hAnsi="宋体" w:eastAsia="宋体" w:cs="宋体"/>
          <w:b w:val="0"/>
          <w:bCs w:val="0"/>
          <w:i w:val="0"/>
          <w:iCs w:val="0"/>
          <w:color w:val="auto"/>
          <w:kern w:val="0"/>
          <w:sz w:val="24"/>
          <w:szCs w:val="24"/>
          <w:highlight w:val="none"/>
          <w:u w:val="none"/>
          <w:lang w:eastAsia="zh-CN"/>
        </w:rPr>
        <w:t>。</w:t>
      </w:r>
    </w:p>
    <w:p w14:paraId="407848B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color w:val="auto"/>
          <w:highlight w:val="none"/>
        </w:rPr>
      </w:pPr>
      <w:r>
        <w:rPr>
          <w:rFonts w:hint="eastAsia" w:ascii="宋体" w:hAnsi="宋体" w:eastAsia="宋体" w:cs="宋体"/>
          <w:b/>
          <w:bCs/>
          <w:i/>
          <w:iCs/>
          <w:color w:val="auto"/>
          <w:sz w:val="24"/>
          <w:szCs w:val="24"/>
          <w:highlight w:val="none"/>
          <w:u w:val="single"/>
        </w:rPr>
        <w:t>1</w:t>
      </w:r>
      <w:r>
        <w:rPr>
          <w:rFonts w:hint="eastAsia" w:ascii="宋体" w:hAnsi="宋体" w:eastAsia="宋体" w:cs="宋体"/>
          <w:b/>
          <w:bCs/>
          <w:i/>
          <w:iCs/>
          <w:color w:val="auto"/>
          <w:sz w:val="24"/>
          <w:szCs w:val="24"/>
          <w:highlight w:val="none"/>
          <w:u w:val="single"/>
          <w:lang w:val="en-US" w:eastAsia="zh-CN"/>
        </w:rPr>
        <w:t>3</w:t>
      </w:r>
      <w:r>
        <w:rPr>
          <w:rFonts w:hint="eastAsia" w:ascii="宋体" w:hAnsi="宋体" w:eastAsia="宋体" w:cs="宋体"/>
          <w:b/>
          <w:bCs/>
          <w:i/>
          <w:iCs/>
          <w:color w:val="auto"/>
          <w:sz w:val="24"/>
          <w:szCs w:val="24"/>
          <w:highlight w:val="none"/>
          <w:u w:val="single"/>
        </w:rPr>
        <w:t>、污泥处置设施要求：供应商应保证污泥处置的合法性，任何由于污泥处置引起的法律纠纷或责任、以及由此产生的费用和后果，供应商应自行负责承担，采购商概不负责。</w:t>
      </w:r>
    </w:p>
    <w:p w14:paraId="0887829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四、付款方式与履约保证金</w:t>
      </w:r>
    </w:p>
    <w:p w14:paraId="05E1D831">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1、付款方式：</w:t>
      </w:r>
    </w:p>
    <w:p w14:paraId="084A6340">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（1）本项目合同为固定单价合同，付款金额以实际污泥处理量进行结算，超出预算金额按预算金额支付。</w:t>
      </w:r>
    </w:p>
    <w:p w14:paraId="2709A8FF">
      <w:pPr>
        <w:spacing w:line="360" w:lineRule="auto"/>
        <w:ind w:firstLine="482" w:firstLineChars="200"/>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（2） 项目运营服务费每月支付一次。</w:t>
      </w:r>
      <w:r>
        <w:rPr>
          <w:rFonts w:hint="eastAsia" w:ascii="宋体" w:hAnsi="宋体" w:eastAsia="宋体" w:cs="宋体"/>
          <w:b/>
          <w:bCs/>
          <w:i/>
          <w:iCs/>
          <w:color w:val="auto"/>
          <w:sz w:val="24"/>
          <w:szCs w:val="24"/>
          <w:highlight w:val="none"/>
          <w:u w:val="single"/>
          <w:lang w:val="en-US" w:eastAsia="zh-CN"/>
        </w:rPr>
        <w:t>乙方每月报送处置计量报表</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经甲方审核测算后确定支付运营服务费</w:t>
      </w:r>
      <w:r>
        <w:rPr>
          <w:rFonts w:hint="eastAsia" w:ascii="宋体" w:hAnsi="宋体" w:eastAsia="宋体" w:cs="宋体"/>
          <w:b/>
          <w:bCs/>
          <w:i/>
          <w:iCs/>
          <w:color w:val="auto"/>
          <w:sz w:val="24"/>
          <w:szCs w:val="24"/>
          <w:highlight w:val="none"/>
          <w:u w:val="single"/>
        </w:rPr>
        <w:t>；</w:t>
      </w:r>
    </w:p>
    <w:p w14:paraId="412DE8D5">
      <w:pPr>
        <w:spacing w:line="360" w:lineRule="auto"/>
        <w:ind w:firstLine="482" w:firstLineChars="200"/>
        <w:rPr>
          <w:rFonts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（3）采购人支付运营服务费前，中标供应商须提供等额的正式发票给采购人，以便采购人及时办理转帐支付手续。本项目所涉及费用均以人民币结算。</w:t>
      </w:r>
    </w:p>
    <w:p w14:paraId="3473C4A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w:t>
      </w:r>
    </w:p>
    <w:p w14:paraId="47815B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本项目不收取履约保证金。</w:t>
      </w:r>
    </w:p>
    <w:p w14:paraId="573017C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Cs/>
          <w:color w:val="auto"/>
          <w:sz w:val="24"/>
          <w:szCs w:val="24"/>
          <w:highlight w:val="none"/>
          <w:lang w:val="en-US" w:eastAsia="zh-CN"/>
        </w:rPr>
      </w:pPr>
    </w:p>
    <w:p w14:paraId="7DBB07F5">
      <w:pPr>
        <w:pStyle w:val="4"/>
        <w:ind w:firstLine="482" w:firstLineChars="200"/>
        <w:rPr>
          <w:rFonts w:hint="eastAsia"/>
          <w:color w:val="auto"/>
          <w:highlight w:val="none"/>
          <w:lang w:val="en-US" w:eastAsia="zh-CN"/>
        </w:rPr>
        <w:sectPr>
          <w:footerReference r:id="rId9" w:type="first"/>
          <w:footerReference r:id="rId8" w:type="default"/>
          <w:pgSz w:w="11906" w:h="16838"/>
          <w:pgMar w:top="1440" w:right="1134" w:bottom="1440" w:left="1418" w:header="851" w:footer="992" w:gutter="0"/>
          <w:pgNumType w:fmt="decimal"/>
          <w:cols w:space="720" w:num="1"/>
          <w:titlePg/>
          <w:docGrid w:type="lines" w:linePitch="312" w:charSpace="0"/>
        </w:sect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本招标文件中斜体且有下划线部分为实质性要求和条件，供应商须逐条做出满足实质性要求和条件的响应，否则将按无效响应处理。</w:t>
      </w:r>
    </w:p>
    <w:p w14:paraId="56550DB7">
      <w:pPr>
        <w:pStyle w:val="2"/>
        <w:spacing w:before="156" w:after="156" w:line="360" w:lineRule="auto"/>
        <w:jc w:val="center"/>
        <w:rPr>
          <w:rFonts w:ascii="黑体" w:hAnsi="黑体" w:eastAsia="黑体"/>
          <w:b w:val="0"/>
          <w:color w:val="auto"/>
          <w:highlight w:val="none"/>
        </w:rPr>
      </w:pPr>
      <w:bookmarkStart w:id="5" w:name="_Toc155796360"/>
      <w:r>
        <w:rPr>
          <w:rFonts w:ascii="黑体" w:hAnsi="黑体" w:eastAsia="黑体"/>
          <w:b w:val="0"/>
          <w:color w:val="auto"/>
          <w:highlight w:val="none"/>
        </w:rPr>
        <w:t>第五章</w:t>
      </w:r>
      <w:r>
        <w:rPr>
          <w:rFonts w:hint="eastAsia" w:ascii="黑体" w:hAnsi="黑体" w:eastAsia="黑体"/>
          <w:b w:val="0"/>
          <w:color w:val="auto"/>
          <w:highlight w:val="none"/>
        </w:rPr>
        <w:t>评标方法与评标标准</w:t>
      </w:r>
      <w:bookmarkEnd w:id="5"/>
    </w:p>
    <w:p w14:paraId="66BBB78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一、评标方法</w:t>
      </w:r>
    </w:p>
    <w:p w14:paraId="2E77CED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为中标候选人。本项目选取1名中标候选人。</w:t>
      </w:r>
    </w:p>
    <w:p w14:paraId="03996CC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二、评标标准</w:t>
      </w:r>
    </w:p>
    <w:p w14:paraId="6D6B316A">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的投标文件进行评价，并汇总每个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的得分。评标过程中，不得去掉报价中的最高报价和最低报价。</w:t>
      </w:r>
    </w:p>
    <w:p w14:paraId="1AA4799C">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2CD63AD0">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（3）总得分=价格分+商务技术分。</w:t>
      </w:r>
    </w:p>
    <w:p w14:paraId="537C4048">
      <w:pPr>
        <w:spacing w:line="500" w:lineRule="exact"/>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252B3EEB">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14:paraId="3192B6FF">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价格分</w:t>
      </w:r>
      <w:r>
        <w:rPr>
          <w:rFonts w:hint="eastAsia" w:ascii="宋体" w:hAnsi="宋体" w:eastAsia="宋体" w:cs="宋体"/>
          <w:color w:val="auto"/>
          <w:sz w:val="24"/>
          <w:szCs w:val="24"/>
          <w:highlight w:val="none"/>
        </w:rPr>
        <w:t>统一按照下列公式计算：</w:t>
      </w:r>
    </w:p>
    <w:p w14:paraId="337C5ACE">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14:paraId="0200AFB4">
      <w:pPr>
        <w:spacing w:line="500" w:lineRule="exact"/>
        <w:ind w:firstLine="480"/>
        <w:jc w:val="lef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Times New Roman"/>
          <w:b w:val="0"/>
          <w:bCs w:val="0"/>
          <w:color w:val="auto"/>
          <w:sz w:val="24"/>
          <w:szCs w:val="24"/>
          <w:highlight w:val="none"/>
        </w:rPr>
        <w:t>商务分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rPr>
        <w:t>分）</w:t>
      </w:r>
    </w:p>
    <w:tbl>
      <w:tblPr>
        <w:tblStyle w:val="17"/>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2127"/>
        <w:gridCol w:w="5471"/>
      </w:tblGrid>
      <w:tr w14:paraId="7CF49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4090949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序号</w:t>
            </w:r>
          </w:p>
        </w:tc>
        <w:tc>
          <w:tcPr>
            <w:tcW w:w="2127" w:type="dxa"/>
            <w:vAlign w:val="center"/>
          </w:tcPr>
          <w:p w14:paraId="3712BC6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评审因素</w:t>
            </w:r>
          </w:p>
        </w:tc>
        <w:tc>
          <w:tcPr>
            <w:tcW w:w="5471" w:type="dxa"/>
            <w:vAlign w:val="center"/>
          </w:tcPr>
          <w:p w14:paraId="141489B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评审标准</w:t>
            </w:r>
          </w:p>
        </w:tc>
      </w:tr>
      <w:tr w14:paraId="7D924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jc w:val="center"/>
        </w:trPr>
        <w:tc>
          <w:tcPr>
            <w:tcW w:w="799" w:type="dxa"/>
            <w:vAlign w:val="center"/>
          </w:tcPr>
          <w:p w14:paraId="7FBBFB3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27" w:type="dxa"/>
            <w:vAlign w:val="center"/>
          </w:tcPr>
          <w:p w14:paraId="45CA8D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color w:val="auto"/>
                <w:szCs w:val="21"/>
                <w:highlight w:val="none"/>
              </w:rPr>
              <w:t>项目负责人（5分）</w:t>
            </w:r>
          </w:p>
        </w:tc>
        <w:tc>
          <w:tcPr>
            <w:tcW w:w="5471" w:type="dxa"/>
            <w:vAlign w:val="center"/>
          </w:tcPr>
          <w:p w14:paraId="149F1E0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color w:val="auto"/>
                <w:szCs w:val="21"/>
                <w:highlight w:val="none"/>
              </w:rPr>
            </w:pPr>
            <w:r>
              <w:rPr>
                <w:rFonts w:hint="eastAsia"/>
                <w:color w:val="auto"/>
                <w:szCs w:val="21"/>
                <w:highlight w:val="none"/>
              </w:rPr>
              <w:t>项目负责人具有环保相关专业高级职称的得5分，最高得5分；未提供的不得分。</w:t>
            </w:r>
          </w:p>
          <w:p w14:paraId="6A1EEC6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ascii="宋体" w:hAnsi="宋体" w:eastAsia="宋体" w:cs="宋体"/>
                <w:b/>
                <w:bCs/>
                <w:color w:val="auto"/>
                <w:highlight w:val="none"/>
              </w:rPr>
              <w:t>提供项目负责人</w:t>
            </w:r>
            <w:r>
              <w:rPr>
                <w:rFonts w:hint="eastAsia" w:ascii="宋体" w:hAnsi="宋体" w:eastAsia="宋体" w:cs="宋体"/>
                <w:b/>
                <w:bCs/>
                <w:color w:val="auto"/>
                <w:highlight w:val="none"/>
                <w:lang w:eastAsia="zh-CN"/>
              </w:rPr>
              <w:t>证书</w:t>
            </w:r>
            <w:r>
              <w:rPr>
                <w:rFonts w:hint="eastAsia" w:ascii="宋体" w:hAnsi="宋体" w:eastAsia="宋体" w:cs="宋体"/>
                <w:b/>
                <w:bCs/>
                <w:color w:val="auto"/>
                <w:sz w:val="21"/>
                <w:szCs w:val="21"/>
                <w:highlight w:val="none"/>
                <w:lang w:eastAsia="zh-CN"/>
              </w:rPr>
              <w:t>和</w:t>
            </w:r>
            <w:r>
              <w:rPr>
                <w:rFonts w:hint="eastAsia" w:ascii="宋体" w:hAnsi="宋体" w:eastAsia="宋体" w:cs="宋体"/>
                <w:b/>
                <w:bCs/>
                <w:color w:val="auto"/>
                <w:sz w:val="21"/>
                <w:szCs w:val="21"/>
                <w:highlight w:val="none"/>
              </w:rPr>
              <w:t>劳动合同</w:t>
            </w:r>
            <w:r>
              <w:rPr>
                <w:rFonts w:hint="eastAsia" w:ascii="宋体" w:hAnsi="宋体" w:eastAsia="宋体" w:cs="宋体"/>
                <w:b/>
                <w:bCs/>
                <w:color w:val="auto"/>
                <w:sz w:val="21"/>
                <w:szCs w:val="21"/>
                <w:highlight w:val="none"/>
                <w:lang w:eastAsia="zh-CN"/>
              </w:rPr>
              <w:t>。</w:t>
            </w:r>
          </w:p>
        </w:tc>
      </w:tr>
      <w:tr w14:paraId="41955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8" w:hRule="atLeast"/>
          <w:jc w:val="center"/>
        </w:trPr>
        <w:tc>
          <w:tcPr>
            <w:tcW w:w="799" w:type="dxa"/>
            <w:vAlign w:val="center"/>
          </w:tcPr>
          <w:p w14:paraId="72CF14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27" w:type="dxa"/>
            <w:vAlign w:val="center"/>
          </w:tcPr>
          <w:p w14:paraId="47CE12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auto"/>
                <w:szCs w:val="21"/>
                <w:highlight w:val="none"/>
              </w:rPr>
            </w:pPr>
            <w:r>
              <w:rPr>
                <w:rFonts w:hint="eastAsia"/>
                <w:color w:val="auto"/>
                <w:szCs w:val="21"/>
                <w:highlight w:val="none"/>
              </w:rPr>
              <w:t>项目运营组织架构和人员配置（10分）</w:t>
            </w:r>
          </w:p>
        </w:tc>
        <w:tc>
          <w:tcPr>
            <w:tcW w:w="5471" w:type="dxa"/>
            <w:vAlign w:val="center"/>
          </w:tcPr>
          <w:p w14:paraId="4950D7E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highlight w:val="none"/>
              </w:rPr>
            </w:pPr>
            <w:r>
              <w:rPr>
                <w:rFonts w:hint="eastAsia"/>
                <w:color w:val="auto"/>
                <w:highlight w:val="none"/>
              </w:rPr>
              <w:t>具有项目运营合理组织架构，相关人员配置：</w:t>
            </w:r>
          </w:p>
          <w:p w14:paraId="30B9C62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highlight w:val="none"/>
              </w:rPr>
            </w:pPr>
            <w:r>
              <w:rPr>
                <w:rFonts w:hint="eastAsia"/>
                <w:color w:val="auto"/>
                <w:highlight w:val="none"/>
              </w:rPr>
              <w:t>拟派项目团队人员不少于5人（含5人）的得10分</w:t>
            </w:r>
          </w:p>
          <w:p w14:paraId="7271422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ascii="宋体" w:hAnsi="宋体" w:eastAsia="宋体" w:cs="宋体"/>
                <w:color w:val="auto"/>
                <w:szCs w:val="21"/>
                <w:highlight w:val="none"/>
              </w:rPr>
              <w:t>拟派项目团队人员4人（含4人）以下的得5分</w:t>
            </w:r>
          </w:p>
          <w:p w14:paraId="216213E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szCs w:val="21"/>
                <w:highlight w:val="none"/>
              </w:rPr>
            </w:pPr>
            <w:r>
              <w:rPr>
                <w:rFonts w:hint="eastAsia"/>
                <w:b/>
                <w:bCs/>
                <w:color w:val="auto"/>
                <w:highlight w:val="none"/>
              </w:rPr>
              <w:t>提供项目团队人员名单</w:t>
            </w:r>
            <w:r>
              <w:rPr>
                <w:rFonts w:hint="eastAsia" w:ascii="宋体" w:hAnsi="宋体" w:eastAsia="宋体" w:cs="宋体"/>
                <w:b/>
                <w:bCs/>
                <w:color w:val="auto"/>
                <w:sz w:val="21"/>
                <w:szCs w:val="21"/>
                <w:highlight w:val="none"/>
                <w:lang w:eastAsia="zh-CN"/>
              </w:rPr>
              <w:t>和</w:t>
            </w:r>
            <w:r>
              <w:rPr>
                <w:rFonts w:hint="eastAsia" w:ascii="宋体" w:hAnsi="宋体" w:eastAsia="宋体" w:cs="宋体"/>
                <w:b/>
                <w:bCs/>
                <w:color w:val="auto"/>
                <w:sz w:val="21"/>
                <w:szCs w:val="21"/>
                <w:highlight w:val="none"/>
              </w:rPr>
              <w:t>劳动合同</w:t>
            </w:r>
            <w:r>
              <w:rPr>
                <w:rFonts w:hint="eastAsia" w:ascii="宋体" w:hAnsi="宋体" w:eastAsia="宋体" w:cs="宋体"/>
                <w:b/>
                <w:bCs/>
                <w:color w:val="auto"/>
                <w:sz w:val="21"/>
                <w:szCs w:val="21"/>
                <w:highlight w:val="none"/>
                <w:lang w:eastAsia="zh-CN"/>
              </w:rPr>
              <w:t>。</w:t>
            </w:r>
          </w:p>
        </w:tc>
      </w:tr>
      <w:tr w14:paraId="4FF40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3" w:hRule="atLeast"/>
          <w:jc w:val="center"/>
        </w:trPr>
        <w:tc>
          <w:tcPr>
            <w:tcW w:w="799" w:type="dxa"/>
            <w:vAlign w:val="center"/>
          </w:tcPr>
          <w:p w14:paraId="7D184CC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27" w:type="dxa"/>
            <w:vAlign w:val="center"/>
          </w:tcPr>
          <w:p w14:paraId="1881347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auto"/>
                <w:szCs w:val="21"/>
                <w:highlight w:val="none"/>
              </w:rPr>
            </w:pPr>
            <w:r>
              <w:rPr>
                <w:rFonts w:hint="eastAsia"/>
                <w:color w:val="auto"/>
                <w:szCs w:val="21"/>
                <w:highlight w:val="none"/>
              </w:rPr>
              <w:t>合同业绩证明材料（10分）</w:t>
            </w:r>
          </w:p>
        </w:tc>
        <w:tc>
          <w:tcPr>
            <w:tcW w:w="5471" w:type="dxa"/>
            <w:vAlign w:val="center"/>
          </w:tcPr>
          <w:p w14:paraId="54269AE4">
            <w:pPr>
              <w:spacing w:line="300" w:lineRule="exact"/>
              <w:rPr>
                <w:color w:val="auto"/>
                <w:highlight w:val="none"/>
              </w:rPr>
            </w:pP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eastAsia="zh-CN"/>
              </w:rPr>
              <w:t>类似</w:t>
            </w:r>
            <w:r>
              <w:rPr>
                <w:rFonts w:hint="eastAsia" w:ascii="宋体" w:hAnsi="宋体" w:eastAsia="宋体" w:cs="宋体"/>
                <w:color w:val="auto"/>
                <w:szCs w:val="21"/>
                <w:highlight w:val="none"/>
              </w:rPr>
              <w:t>的合同业绩材料，每有一份得5分，最高得10分。提供20</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年（含）以来合同复印件</w:t>
            </w:r>
            <w:r>
              <w:rPr>
                <w:rFonts w:hint="eastAsia" w:ascii="宋体" w:hAnsi="宋体" w:eastAsia="宋体" w:cs="宋体"/>
                <w:color w:val="auto"/>
                <w:sz w:val="21"/>
                <w:szCs w:val="21"/>
                <w:highlight w:val="none"/>
              </w:rPr>
              <w:t>，同时提供对应业绩的发票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不提供不得分。（时间以</w:t>
            </w:r>
            <w:r>
              <w:rPr>
                <w:rFonts w:hint="eastAsia" w:ascii="宋体" w:hAnsi="宋体" w:eastAsia="宋体" w:cs="宋体"/>
                <w:color w:val="auto"/>
                <w:szCs w:val="21"/>
                <w:highlight w:val="none"/>
              </w:rPr>
              <w:t>合同签订日期为准。）</w:t>
            </w:r>
          </w:p>
        </w:tc>
      </w:tr>
      <w:tr w14:paraId="7E4F4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1" w:hRule="atLeast"/>
          <w:jc w:val="center"/>
        </w:trPr>
        <w:tc>
          <w:tcPr>
            <w:tcW w:w="799" w:type="dxa"/>
            <w:vAlign w:val="center"/>
          </w:tcPr>
          <w:p w14:paraId="054D65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27" w:type="dxa"/>
            <w:vAlign w:val="center"/>
          </w:tcPr>
          <w:p w14:paraId="41144BB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auto"/>
                <w:szCs w:val="21"/>
                <w:highlight w:val="none"/>
              </w:rPr>
            </w:pPr>
            <w:r>
              <w:rPr>
                <w:rFonts w:hint="eastAsia" w:ascii="宋体" w:hAnsi="宋体" w:eastAsia="宋体" w:cs="宋体"/>
                <w:color w:val="auto"/>
                <w:szCs w:val="21"/>
                <w:highlight w:val="none"/>
              </w:rPr>
              <w:t>污泥暂存及计量设施</w:t>
            </w:r>
            <w:r>
              <w:rPr>
                <w:rFonts w:hint="eastAsia"/>
                <w:color w:val="auto"/>
                <w:szCs w:val="21"/>
                <w:highlight w:val="none"/>
              </w:rPr>
              <w:t>（10分）</w:t>
            </w:r>
          </w:p>
        </w:tc>
        <w:tc>
          <w:tcPr>
            <w:tcW w:w="5471" w:type="dxa"/>
            <w:vAlign w:val="top"/>
          </w:tcPr>
          <w:p w14:paraId="2521D0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highlight w:val="none"/>
              </w:rPr>
            </w:pPr>
            <w:r>
              <w:rPr>
                <w:rFonts w:hint="eastAsia"/>
                <w:color w:val="auto"/>
                <w:highlight w:val="none"/>
              </w:rPr>
              <w:t>提供污泥暂存设施日储泥量不少于300吨且正常使用、场地内地磅及鉴定证书</w:t>
            </w:r>
            <w:r>
              <w:rPr>
                <w:rFonts w:hint="eastAsia"/>
                <w:color w:val="auto"/>
                <w:highlight w:val="none"/>
                <w:lang w:eastAsia="zh-CN"/>
              </w:rPr>
              <w:t>得</w:t>
            </w:r>
            <w:r>
              <w:rPr>
                <w:rFonts w:hint="eastAsia"/>
                <w:color w:val="auto"/>
                <w:highlight w:val="none"/>
              </w:rPr>
              <w:t>10分，资料提供不全</w:t>
            </w:r>
            <w:r>
              <w:rPr>
                <w:rFonts w:hint="eastAsia" w:eastAsia="宋体"/>
                <w:color w:val="auto"/>
                <w:highlight w:val="none"/>
                <w:lang w:eastAsia="zh-CN"/>
              </w:rPr>
              <w:t>得</w:t>
            </w:r>
            <w:r>
              <w:rPr>
                <w:rFonts w:hint="eastAsia"/>
                <w:color w:val="auto"/>
                <w:highlight w:val="none"/>
              </w:rPr>
              <w:t>5分，不提供不得分。</w:t>
            </w:r>
          </w:p>
          <w:p w14:paraId="456D9ED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highlight w:val="none"/>
              </w:rPr>
            </w:pPr>
            <w:r>
              <w:rPr>
                <w:rFonts w:hint="eastAsia"/>
                <w:color w:val="auto"/>
                <w:highlight w:val="none"/>
              </w:rPr>
              <w:t>注：1、提供场地防雨、防渗、防臭功能完备的污泥暂存设施图片、场地内的地磅及鉴定证书照片；</w:t>
            </w:r>
          </w:p>
          <w:p w14:paraId="5B9DCB4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highlight w:val="none"/>
              </w:rPr>
            </w:pPr>
            <w:r>
              <w:rPr>
                <w:rFonts w:hint="eastAsia"/>
                <w:color w:val="auto"/>
                <w:highlight w:val="none"/>
              </w:rPr>
              <w:t>2、提供符合要求的承诺书，并加盖公章。</w:t>
            </w:r>
          </w:p>
        </w:tc>
      </w:tr>
      <w:tr w14:paraId="52C05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99" w:type="dxa"/>
            <w:vAlign w:val="center"/>
          </w:tcPr>
          <w:p w14:paraId="39D0D80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27" w:type="dxa"/>
            <w:vAlign w:val="center"/>
          </w:tcPr>
          <w:p w14:paraId="367538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auto"/>
                <w:szCs w:val="21"/>
                <w:highlight w:val="none"/>
              </w:rPr>
            </w:pPr>
            <w:r>
              <w:rPr>
                <w:rFonts w:hint="eastAsia"/>
                <w:color w:val="auto"/>
                <w:szCs w:val="21"/>
                <w:highlight w:val="none"/>
              </w:rPr>
              <w:t>技术优势（5分）</w:t>
            </w:r>
          </w:p>
        </w:tc>
        <w:tc>
          <w:tcPr>
            <w:tcW w:w="5471" w:type="dxa"/>
            <w:vAlign w:val="center"/>
          </w:tcPr>
          <w:p w14:paraId="7A77CDA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color w:val="auto"/>
                <w:szCs w:val="21"/>
                <w:highlight w:val="none"/>
              </w:rPr>
              <w:t>在有机物固态发酵技术方面有优势（如发酵兼性好氧菌优势菌群的筛选技术、堆肥无害化技术等已研和在研项目），有技术开发优势的证明材料5分，提供单方面简易材料（有效）1分，不提供不得分。</w:t>
            </w:r>
          </w:p>
        </w:tc>
      </w:tr>
    </w:tbl>
    <w:p w14:paraId="28513093">
      <w:pPr>
        <w:spacing w:line="500" w:lineRule="exact"/>
        <w:jc w:val="left"/>
        <w:rPr>
          <w:color w:val="auto"/>
          <w:sz w:val="24"/>
          <w:szCs w:val="24"/>
          <w:highlight w:val="none"/>
        </w:rPr>
      </w:pPr>
    </w:p>
    <w:p w14:paraId="1A611378">
      <w:pPr>
        <w:spacing w:line="500" w:lineRule="exact"/>
        <w:ind w:firstLine="480"/>
        <w:jc w:val="left"/>
        <w:rPr>
          <w:rFonts w:ascii="Times New Roman" w:hAnsi="Times New Roman" w:eastAsia="宋体" w:cs="Times New Roman"/>
          <w:b w:val="0"/>
          <w:bCs w:val="0"/>
          <w:color w:val="auto"/>
          <w:sz w:val="24"/>
          <w:szCs w:val="32"/>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Times New Roman"/>
          <w:b w:val="0"/>
          <w:bCs w:val="0"/>
          <w:color w:val="auto"/>
          <w:sz w:val="24"/>
          <w:szCs w:val="24"/>
          <w:highlight w:val="none"/>
          <w:lang w:eastAsia="zh-CN"/>
        </w:rPr>
        <w:t>技术</w:t>
      </w:r>
      <w:r>
        <w:rPr>
          <w:rFonts w:hint="eastAsia" w:ascii="宋体" w:hAnsi="宋体" w:eastAsia="宋体" w:cs="Times New Roman"/>
          <w:b w:val="0"/>
          <w:bCs w:val="0"/>
          <w:color w:val="auto"/>
          <w:sz w:val="24"/>
          <w:szCs w:val="24"/>
          <w:highlight w:val="none"/>
        </w:rPr>
        <w:t>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rPr>
        <w:t>分）</w:t>
      </w:r>
    </w:p>
    <w:tbl>
      <w:tblPr>
        <w:tblStyle w:val="17"/>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9"/>
        <w:gridCol w:w="2127"/>
        <w:gridCol w:w="5471"/>
      </w:tblGrid>
      <w:tr w14:paraId="188E8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14ABA1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序号</w:t>
            </w:r>
          </w:p>
        </w:tc>
        <w:tc>
          <w:tcPr>
            <w:tcW w:w="2127" w:type="dxa"/>
            <w:vAlign w:val="center"/>
          </w:tcPr>
          <w:p w14:paraId="1D989E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评审因素</w:t>
            </w:r>
          </w:p>
        </w:tc>
        <w:tc>
          <w:tcPr>
            <w:tcW w:w="5471" w:type="dxa"/>
            <w:vAlign w:val="center"/>
          </w:tcPr>
          <w:p w14:paraId="1DAED90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auto"/>
                <w:szCs w:val="24"/>
                <w:highlight w:val="none"/>
              </w:rPr>
            </w:pPr>
            <w:r>
              <w:rPr>
                <w:rFonts w:hint="eastAsia" w:ascii="宋体" w:hAnsi="宋体" w:eastAsia="宋体" w:cs="Times New Roman"/>
                <w:b/>
                <w:color w:val="auto"/>
                <w:szCs w:val="24"/>
                <w:highlight w:val="none"/>
              </w:rPr>
              <w:t>评审标准</w:t>
            </w:r>
          </w:p>
        </w:tc>
      </w:tr>
      <w:tr w14:paraId="74104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799" w:type="dxa"/>
            <w:vAlign w:val="center"/>
          </w:tcPr>
          <w:p w14:paraId="21A7762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27" w:type="dxa"/>
            <w:vAlign w:val="center"/>
          </w:tcPr>
          <w:p w14:paraId="7B051EB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color w:val="auto"/>
                <w:szCs w:val="21"/>
                <w:highlight w:val="none"/>
              </w:rPr>
            </w:pPr>
            <w:r>
              <w:rPr>
                <w:rFonts w:hint="eastAsia"/>
                <w:color w:val="auto"/>
                <w:szCs w:val="21"/>
                <w:highlight w:val="none"/>
              </w:rPr>
              <w:t>综合利用工艺</w:t>
            </w:r>
          </w:p>
          <w:p w14:paraId="440F4A8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color w:val="auto"/>
                <w:szCs w:val="21"/>
                <w:highlight w:val="none"/>
              </w:rPr>
              <w:t>（10分）</w:t>
            </w:r>
          </w:p>
        </w:tc>
        <w:tc>
          <w:tcPr>
            <w:tcW w:w="5471" w:type="dxa"/>
            <w:vAlign w:val="center"/>
          </w:tcPr>
          <w:p w14:paraId="3548A50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处理工艺应符合污泥处理处置的原则要求，包括养殖及发酵，描述合理完整，符合污泥处置三化要求，现有处置能力充足（环评批复能力-现有已接收处置数量）。</w:t>
            </w:r>
          </w:p>
          <w:p w14:paraId="3EF0BF6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优：工艺描述符合原则要求，现有处置能力充足：10分；</w:t>
            </w:r>
          </w:p>
          <w:p w14:paraId="34ECEBC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良：工艺描述基本符合,现有处置能力勉强：6分；</w:t>
            </w:r>
          </w:p>
          <w:p w14:paraId="654BA0E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中：工艺描述一般, 现有处置能力不足：3分。不提供不得分</w:t>
            </w:r>
            <w:r>
              <w:rPr>
                <w:rFonts w:hint="eastAsia" w:asciiTheme="minorHAnsi" w:eastAsiaTheme="minorEastAsia"/>
                <w:color w:val="auto"/>
                <w:sz w:val="18"/>
                <w:szCs w:val="18"/>
                <w:highlight w:val="none"/>
                <w:lang w:val="en-US" w:eastAsia="zh-CN" w:bidi="ar-SA"/>
              </w:rPr>
              <w:t>。</w:t>
            </w:r>
          </w:p>
        </w:tc>
      </w:tr>
      <w:tr w14:paraId="0D080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jc w:val="center"/>
        </w:trPr>
        <w:tc>
          <w:tcPr>
            <w:tcW w:w="799" w:type="dxa"/>
            <w:vAlign w:val="center"/>
          </w:tcPr>
          <w:p w14:paraId="49A93CF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27" w:type="dxa"/>
            <w:vAlign w:val="center"/>
          </w:tcPr>
          <w:p w14:paraId="7A468C7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环境应急预案</w:t>
            </w:r>
          </w:p>
          <w:p w14:paraId="118B39C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color w:val="auto"/>
                <w:szCs w:val="21"/>
                <w:highlight w:val="none"/>
              </w:rPr>
              <w:t>（10分）</w:t>
            </w:r>
          </w:p>
        </w:tc>
        <w:tc>
          <w:tcPr>
            <w:tcW w:w="5471" w:type="dxa"/>
          </w:tcPr>
          <w:p w14:paraId="6DF6FA0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default"/>
                <w:color w:val="auto"/>
                <w:szCs w:val="21"/>
                <w:highlight w:val="none"/>
                <w:lang w:val="en-US" w:eastAsia="zh-CN" w:bidi="ar-SA"/>
              </w:rPr>
            </w:pPr>
            <w:r>
              <w:rPr>
                <w:rFonts w:hint="eastAsia" w:asciiTheme="minorHAnsi" w:eastAsiaTheme="minorEastAsia"/>
                <w:color w:val="auto"/>
                <w:szCs w:val="21"/>
                <w:highlight w:val="none"/>
                <w:lang w:val="en-US" w:eastAsia="zh-CN" w:bidi="ar-SA"/>
              </w:rPr>
              <w:t>环境应急预案完整,评估周期不超过三年，备案时间截止投标日不超三年，管控措施到位。</w:t>
            </w:r>
          </w:p>
          <w:p w14:paraId="36E23C4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default"/>
                <w:color w:val="auto"/>
                <w:szCs w:val="21"/>
                <w:highlight w:val="none"/>
                <w:lang w:val="en-US" w:eastAsia="zh-CN" w:bidi="ar-SA"/>
              </w:rPr>
            </w:pPr>
            <w:r>
              <w:rPr>
                <w:rFonts w:hint="eastAsia" w:asciiTheme="minorHAnsi" w:eastAsiaTheme="minorEastAsia"/>
                <w:color w:val="auto"/>
                <w:szCs w:val="21"/>
                <w:highlight w:val="none"/>
                <w:lang w:val="en-US" w:eastAsia="zh-CN" w:bidi="ar-SA"/>
              </w:rPr>
              <w:t>优：方案完整并备案，有效期三年内，得10分；</w:t>
            </w:r>
          </w:p>
          <w:p w14:paraId="20302F8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default"/>
                <w:color w:val="auto"/>
                <w:szCs w:val="21"/>
                <w:highlight w:val="none"/>
                <w:lang w:val="en-US" w:eastAsia="zh-CN" w:bidi="ar-SA"/>
              </w:rPr>
            </w:pPr>
            <w:r>
              <w:rPr>
                <w:rFonts w:hint="eastAsia" w:asciiTheme="minorHAnsi" w:eastAsiaTheme="minorEastAsia"/>
                <w:color w:val="auto"/>
                <w:szCs w:val="21"/>
                <w:highlight w:val="none"/>
                <w:lang w:val="en-US" w:eastAsia="zh-CN" w:bidi="ar-SA"/>
              </w:rPr>
              <w:t>良：方案基本完整，但有效期超期得</w:t>
            </w:r>
            <w:r>
              <w:rPr>
                <w:rFonts w:hint="eastAsia"/>
                <w:color w:val="auto"/>
                <w:szCs w:val="21"/>
                <w:highlight w:val="none"/>
                <w:lang w:val="en-US" w:eastAsia="zh-CN" w:bidi="ar-SA"/>
              </w:rPr>
              <w:t>6</w:t>
            </w:r>
            <w:r>
              <w:rPr>
                <w:rFonts w:hint="eastAsia" w:asciiTheme="minorHAnsi" w:eastAsiaTheme="minorEastAsia"/>
                <w:color w:val="auto"/>
                <w:szCs w:val="21"/>
                <w:highlight w:val="none"/>
                <w:lang w:val="en-US" w:eastAsia="zh-CN" w:bidi="ar-SA"/>
              </w:rPr>
              <w:t>分；</w:t>
            </w:r>
          </w:p>
          <w:p w14:paraId="79B57F0C">
            <w:pPr>
              <w:spacing w:line="300" w:lineRule="exact"/>
              <w:jc w:val="left"/>
              <w:rPr>
                <w:rFonts w:ascii="宋体" w:hAnsi="宋体" w:eastAsia="宋体" w:cs="宋体"/>
                <w:color w:val="auto"/>
                <w:szCs w:val="21"/>
                <w:highlight w:val="none"/>
              </w:rPr>
            </w:pPr>
            <w:r>
              <w:rPr>
                <w:rFonts w:hint="eastAsia" w:asciiTheme="minorHAnsi" w:eastAsiaTheme="minorEastAsia"/>
                <w:color w:val="auto"/>
                <w:szCs w:val="21"/>
                <w:highlight w:val="none"/>
                <w:lang w:val="en-US" w:eastAsia="zh-CN" w:bidi="ar-SA"/>
              </w:rPr>
              <w:t>中：方案一般：</w:t>
            </w:r>
            <w:r>
              <w:rPr>
                <w:rFonts w:hint="eastAsia"/>
                <w:color w:val="auto"/>
                <w:szCs w:val="21"/>
                <w:highlight w:val="none"/>
                <w:lang w:val="en-US" w:eastAsia="zh-CN" w:bidi="ar-SA"/>
              </w:rPr>
              <w:t>2</w:t>
            </w:r>
            <w:r>
              <w:rPr>
                <w:rFonts w:hint="eastAsia" w:asciiTheme="minorHAnsi" w:eastAsiaTheme="minorEastAsia"/>
                <w:color w:val="auto"/>
                <w:szCs w:val="21"/>
                <w:highlight w:val="none"/>
                <w:lang w:val="en-US" w:eastAsia="zh-CN" w:bidi="ar-SA"/>
              </w:rPr>
              <w:t>分。不提供不得分。</w:t>
            </w:r>
          </w:p>
        </w:tc>
      </w:tr>
      <w:tr w14:paraId="3E948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jc w:val="center"/>
        </w:trPr>
        <w:tc>
          <w:tcPr>
            <w:tcW w:w="799" w:type="dxa"/>
            <w:vAlign w:val="center"/>
          </w:tcPr>
          <w:p w14:paraId="365542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27" w:type="dxa"/>
            <w:vAlign w:val="center"/>
          </w:tcPr>
          <w:p w14:paraId="3112EF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color w:val="auto"/>
                <w:highlight w:val="none"/>
              </w:rPr>
              <w:t>质量控制及规章制度文件（10分）</w:t>
            </w:r>
          </w:p>
        </w:tc>
        <w:tc>
          <w:tcPr>
            <w:tcW w:w="5471" w:type="dxa"/>
            <w:vAlign w:val="center"/>
          </w:tcPr>
          <w:p w14:paraId="4861A8F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szCs w:val="21"/>
                <w:highlight w:val="none"/>
              </w:rPr>
            </w:pPr>
            <w:r>
              <w:rPr>
                <w:rFonts w:hint="eastAsia"/>
                <w:color w:val="auto"/>
                <w:szCs w:val="21"/>
                <w:highlight w:val="none"/>
              </w:rPr>
              <w:t>提供质量控制文件全面，涵盖污泥入厂控制、发酵过程控制及产品质量控制文件。</w:t>
            </w:r>
          </w:p>
          <w:p w14:paraId="3DB5B5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color w:val="auto"/>
                <w:szCs w:val="21"/>
                <w:highlight w:val="none"/>
              </w:rPr>
            </w:pPr>
            <w:r>
              <w:rPr>
                <w:rFonts w:hint="eastAsia"/>
                <w:color w:val="auto"/>
                <w:szCs w:val="21"/>
                <w:highlight w:val="none"/>
              </w:rPr>
              <w:t>优：材料准确、完整，得10分；</w:t>
            </w:r>
          </w:p>
          <w:p w14:paraId="0FCD2B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color w:val="auto"/>
                <w:szCs w:val="21"/>
                <w:highlight w:val="none"/>
              </w:rPr>
            </w:pPr>
            <w:r>
              <w:rPr>
                <w:rFonts w:hint="eastAsia"/>
                <w:color w:val="auto"/>
                <w:szCs w:val="21"/>
                <w:highlight w:val="none"/>
              </w:rPr>
              <w:t>良：材料基本准确、完整，得6分；</w:t>
            </w:r>
          </w:p>
          <w:p w14:paraId="4B9F2C3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color w:val="auto"/>
                <w:szCs w:val="21"/>
                <w:highlight w:val="none"/>
              </w:rPr>
              <w:t>中：材料一般，得3分。不提供不得分。</w:t>
            </w:r>
          </w:p>
        </w:tc>
      </w:tr>
      <w:tr w14:paraId="5096E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000945F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27" w:type="dxa"/>
            <w:vAlign w:val="center"/>
          </w:tcPr>
          <w:p w14:paraId="79E51E9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color w:val="auto"/>
                <w:szCs w:val="21"/>
                <w:highlight w:val="none"/>
              </w:rPr>
              <w:t>应急响应措施（5分）</w:t>
            </w:r>
          </w:p>
        </w:tc>
        <w:tc>
          <w:tcPr>
            <w:tcW w:w="5471" w:type="dxa"/>
            <w:vAlign w:val="center"/>
          </w:tcPr>
          <w:p w14:paraId="52E44E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auto"/>
                <w:szCs w:val="21"/>
                <w:highlight w:val="none"/>
              </w:rPr>
            </w:pPr>
            <w:r>
              <w:rPr>
                <w:rFonts w:hint="eastAsia"/>
                <w:color w:val="auto"/>
                <w:szCs w:val="21"/>
                <w:highlight w:val="none"/>
              </w:rPr>
              <w:t>供应商需提供本项目的应急响应措施：</w:t>
            </w:r>
          </w:p>
          <w:p w14:paraId="6A474B3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color w:val="auto"/>
                <w:szCs w:val="21"/>
                <w:highlight w:val="none"/>
              </w:rPr>
            </w:pPr>
            <w:r>
              <w:rPr>
                <w:rFonts w:hint="eastAsia"/>
                <w:color w:val="auto"/>
                <w:szCs w:val="21"/>
                <w:highlight w:val="none"/>
              </w:rPr>
              <w:t>优：应急响应措施及时性、有效性、可行性强得5分；</w:t>
            </w:r>
          </w:p>
          <w:p w14:paraId="3E10F08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eastAsia="宋体" w:cs="宋体"/>
                <w:color w:val="auto"/>
                <w:szCs w:val="21"/>
                <w:highlight w:val="none"/>
              </w:rPr>
            </w:pPr>
            <w:r>
              <w:rPr>
                <w:rFonts w:hint="eastAsia"/>
                <w:color w:val="auto"/>
                <w:szCs w:val="21"/>
                <w:highlight w:val="none"/>
              </w:rPr>
              <w:t>良：应急响应措施及时性、有效性、可行性较强得3分；一般：应急响应措施及时性、有效性、可行性一般得1分。本项最高得5分。未提供的不得分。</w:t>
            </w:r>
          </w:p>
        </w:tc>
      </w:tr>
      <w:tr w14:paraId="6877F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99" w:type="dxa"/>
            <w:vAlign w:val="center"/>
          </w:tcPr>
          <w:p w14:paraId="0FBCDB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27" w:type="dxa"/>
            <w:vAlign w:val="center"/>
          </w:tcPr>
          <w:p w14:paraId="26691E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服务承诺</w:t>
            </w:r>
          </w:p>
          <w:p w14:paraId="4C4746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szCs w:val="21"/>
                <w:highlight w:val="none"/>
              </w:rPr>
            </w:pPr>
            <w:r>
              <w:rPr>
                <w:rFonts w:hint="eastAsia" w:ascii="宋体" w:hAnsi="宋体" w:eastAsia="宋体" w:cs="宋体"/>
                <w:color w:val="auto"/>
                <w:szCs w:val="21"/>
                <w:highlight w:val="none"/>
              </w:rPr>
              <w:t>（5分）</w:t>
            </w:r>
          </w:p>
        </w:tc>
        <w:tc>
          <w:tcPr>
            <w:tcW w:w="5471" w:type="dxa"/>
            <w:vAlign w:val="center"/>
          </w:tcPr>
          <w:p w14:paraId="6E71358C">
            <w:pPr>
              <w:adjustRightInd w:val="0"/>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从接收污泥、暂存、处置、运输、付款等环节表述，</w:t>
            </w:r>
          </w:p>
          <w:p w14:paraId="2FCC79AB">
            <w:pPr>
              <w:adjustRightInd w:val="0"/>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内容表述贴合且完善的，得5分；</w:t>
            </w:r>
          </w:p>
          <w:p w14:paraId="1D345FEB">
            <w:pPr>
              <w:adjustRightInd w:val="0"/>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较完善的，得3分；</w:t>
            </w:r>
          </w:p>
          <w:p w14:paraId="13C0AC60">
            <w:pPr>
              <w:adjustRightInd w:val="0"/>
              <w:snapToGrid w:val="0"/>
              <w:spacing w:line="3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不够完善的，得1分。未作说明的不得分。</w:t>
            </w:r>
          </w:p>
        </w:tc>
      </w:tr>
    </w:tbl>
    <w:p w14:paraId="3E33CD45">
      <w:pPr>
        <w:widowControl/>
        <w:jc w:val="left"/>
        <w:rPr>
          <w:color w:val="auto"/>
          <w:sz w:val="24"/>
          <w:szCs w:val="24"/>
          <w:highlight w:val="none"/>
        </w:rPr>
      </w:pPr>
      <w:r>
        <w:rPr>
          <w:color w:val="auto"/>
          <w:sz w:val="24"/>
          <w:szCs w:val="24"/>
          <w:highlight w:val="none"/>
        </w:rPr>
        <w:br w:type="page" w:clear="all"/>
      </w:r>
    </w:p>
    <w:p w14:paraId="17A27451">
      <w:pPr>
        <w:pStyle w:val="2"/>
        <w:spacing w:before="156" w:after="156" w:line="360" w:lineRule="auto"/>
        <w:jc w:val="center"/>
        <w:rPr>
          <w:rFonts w:ascii="黑体" w:hAnsi="黑体" w:eastAsia="黑体"/>
          <w:b w:val="0"/>
          <w:color w:val="auto"/>
          <w:highlight w:val="none"/>
        </w:rPr>
      </w:pPr>
      <w:bookmarkStart w:id="6" w:name="_Toc155796361"/>
      <w:r>
        <w:rPr>
          <w:rFonts w:hint="eastAsia" w:ascii="黑体" w:hAnsi="黑体" w:eastAsia="黑体"/>
          <w:b w:val="0"/>
          <w:color w:val="auto"/>
          <w:highlight w:val="none"/>
        </w:rPr>
        <w:t>第六章投标文件格式</w:t>
      </w:r>
      <w:bookmarkEnd w:id="6"/>
    </w:p>
    <w:p w14:paraId="730D91B1">
      <w:pPr>
        <w:spacing w:line="500" w:lineRule="exact"/>
        <w:jc w:val="left"/>
        <w:rPr>
          <w:color w:val="auto"/>
          <w:sz w:val="24"/>
          <w:szCs w:val="24"/>
          <w:highlight w:val="none"/>
        </w:rPr>
      </w:pPr>
    </w:p>
    <w:p w14:paraId="534E7283">
      <w:pPr>
        <w:jc w:val="center"/>
        <w:rPr>
          <w:rFonts w:ascii="宋体" w:hAnsi="宋体" w:eastAsia="宋体" w:cs="Times New Roman"/>
          <w:b/>
          <w:color w:val="auto"/>
          <w:sz w:val="72"/>
          <w:szCs w:val="21"/>
          <w:highlight w:val="none"/>
        </w:rPr>
      </w:pPr>
    </w:p>
    <w:p w14:paraId="178567E6">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578A0C48">
      <w:pPr>
        <w:jc w:val="center"/>
        <w:rPr>
          <w:rFonts w:ascii="宋体" w:hAnsi="宋体" w:eastAsia="宋体" w:cs="Times New Roman"/>
          <w:b/>
          <w:color w:val="auto"/>
          <w:sz w:val="72"/>
          <w:szCs w:val="21"/>
          <w:highlight w:val="none"/>
        </w:rPr>
      </w:pPr>
    </w:p>
    <w:p w14:paraId="0B9EBD55">
      <w:pPr>
        <w:jc w:val="center"/>
        <w:rPr>
          <w:rFonts w:ascii="宋体" w:hAnsi="宋体" w:eastAsia="宋体" w:cs="Times New Roman"/>
          <w:b/>
          <w:color w:val="auto"/>
          <w:sz w:val="72"/>
          <w:szCs w:val="21"/>
          <w:highlight w:val="none"/>
        </w:rPr>
      </w:pPr>
    </w:p>
    <w:p w14:paraId="77547B34">
      <w:pPr>
        <w:jc w:val="center"/>
        <w:rPr>
          <w:rFonts w:ascii="宋体" w:hAnsi="宋体" w:eastAsia="宋体" w:cs="Times New Roman"/>
          <w:b/>
          <w:color w:val="auto"/>
          <w:sz w:val="36"/>
          <w:szCs w:val="21"/>
          <w:highlight w:val="none"/>
        </w:rPr>
      </w:pPr>
    </w:p>
    <w:p w14:paraId="42C8DA1E">
      <w:pPr>
        <w:jc w:val="center"/>
        <w:rPr>
          <w:rFonts w:ascii="宋体" w:hAnsi="宋体" w:eastAsia="宋体" w:cs="Times New Roman"/>
          <w:b/>
          <w:color w:val="auto"/>
          <w:sz w:val="36"/>
          <w:szCs w:val="21"/>
          <w:highlight w:val="none"/>
        </w:rPr>
      </w:pPr>
    </w:p>
    <w:p w14:paraId="0CF72F2C">
      <w:pPr>
        <w:jc w:val="center"/>
        <w:rPr>
          <w:rFonts w:ascii="宋体" w:hAnsi="宋体" w:eastAsia="宋体" w:cs="Times New Roman"/>
          <w:b/>
          <w:color w:val="auto"/>
          <w:sz w:val="36"/>
          <w:szCs w:val="21"/>
          <w:highlight w:val="none"/>
        </w:rPr>
      </w:pPr>
    </w:p>
    <w:p w14:paraId="68F970D2">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项目名称：</w:t>
      </w:r>
    </w:p>
    <w:p w14:paraId="31A1F611">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项目编号：</w:t>
      </w:r>
    </w:p>
    <w:p w14:paraId="1C32F3CD">
      <w:pPr>
        <w:ind w:firstLine="1084" w:firstLineChars="300"/>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lang w:eastAsia="zh-CN"/>
        </w:rPr>
        <w:t>投标人</w:t>
      </w:r>
      <w:r>
        <w:rPr>
          <w:rFonts w:hint="eastAsia" w:ascii="宋体" w:hAnsi="宋体" w:eastAsia="宋体" w:cs="Times New Roman"/>
          <w:b/>
          <w:color w:val="auto"/>
          <w:sz w:val="36"/>
          <w:szCs w:val="21"/>
          <w:highlight w:val="none"/>
        </w:rPr>
        <w:t>名称：</w:t>
      </w:r>
      <w:r>
        <w:rPr>
          <w:rFonts w:hint="eastAsia" w:ascii="宋体" w:hAnsi="宋体" w:eastAsia="宋体" w:cs="Times New Roman"/>
          <w:b/>
          <w:color w:val="auto"/>
          <w:sz w:val="36"/>
          <w:szCs w:val="21"/>
          <w:highlight w:val="none"/>
          <w:u w:val="single"/>
        </w:rPr>
        <w:t>（加盖CA电子公章）</w:t>
      </w:r>
    </w:p>
    <w:p w14:paraId="2B7D2663">
      <w:pPr>
        <w:ind w:firstLine="1084" w:firstLineChars="300"/>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日期：</w:t>
      </w:r>
    </w:p>
    <w:p w14:paraId="006060E9">
      <w:pPr>
        <w:spacing w:line="440" w:lineRule="exact"/>
        <w:jc w:val="center"/>
        <w:rPr>
          <w:rFonts w:ascii="宋体" w:hAnsi="宋体" w:eastAsia="宋体" w:cs="Times New Roman"/>
          <w:b/>
          <w:bCs/>
          <w:color w:val="auto"/>
          <w:sz w:val="32"/>
          <w:szCs w:val="32"/>
          <w:highlight w:val="none"/>
        </w:rPr>
      </w:pPr>
    </w:p>
    <w:p w14:paraId="79DB7D07">
      <w:pPr>
        <w:spacing w:line="440" w:lineRule="exact"/>
        <w:rPr>
          <w:rFonts w:ascii="宋体" w:hAnsi="宋体" w:eastAsia="宋体" w:cs="Times New Roman"/>
          <w:color w:val="auto"/>
          <w:szCs w:val="21"/>
          <w:highlight w:val="none"/>
        </w:rPr>
      </w:pPr>
    </w:p>
    <w:p w14:paraId="450358F0">
      <w:pPr>
        <w:spacing w:line="500" w:lineRule="exact"/>
        <w:jc w:val="left"/>
        <w:rPr>
          <w:color w:val="auto"/>
          <w:sz w:val="24"/>
          <w:szCs w:val="24"/>
          <w:highlight w:val="none"/>
        </w:rPr>
      </w:pPr>
    </w:p>
    <w:p w14:paraId="7AB80CDB">
      <w:pPr>
        <w:spacing w:line="500" w:lineRule="exact"/>
        <w:jc w:val="left"/>
        <w:rPr>
          <w:color w:val="auto"/>
          <w:sz w:val="24"/>
          <w:szCs w:val="24"/>
          <w:highlight w:val="none"/>
        </w:rPr>
      </w:pPr>
    </w:p>
    <w:p w14:paraId="3AA1B999">
      <w:pPr>
        <w:spacing w:line="500" w:lineRule="exact"/>
        <w:jc w:val="left"/>
        <w:rPr>
          <w:color w:val="auto"/>
          <w:sz w:val="24"/>
          <w:szCs w:val="24"/>
          <w:highlight w:val="none"/>
        </w:rPr>
      </w:pPr>
    </w:p>
    <w:p w14:paraId="1FA9B0C1">
      <w:pPr>
        <w:widowControl/>
        <w:jc w:val="left"/>
        <w:rPr>
          <w:color w:val="auto"/>
          <w:sz w:val="24"/>
          <w:szCs w:val="24"/>
          <w:highlight w:val="none"/>
        </w:rPr>
      </w:pPr>
      <w:r>
        <w:rPr>
          <w:color w:val="auto"/>
          <w:sz w:val="24"/>
          <w:szCs w:val="24"/>
          <w:highlight w:val="none"/>
        </w:rPr>
        <w:br w:type="page" w:clear="all"/>
      </w:r>
    </w:p>
    <w:p w14:paraId="2EEAA8D0">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一、法人或者其他组织的营业执照等证明文件，自然人的身份证明</w:t>
      </w:r>
    </w:p>
    <w:p w14:paraId="62063C28">
      <w:pPr>
        <w:rPr>
          <w:rFonts w:hint="eastAsia" w:ascii="宋体" w:hAnsi="宋体" w:eastAsia="宋体" w:cs="宋体"/>
          <w:color w:val="auto"/>
          <w:sz w:val="30"/>
          <w:szCs w:val="30"/>
          <w:highlight w:val="none"/>
        </w:rPr>
      </w:pPr>
    </w:p>
    <w:p w14:paraId="7EF687D8">
      <w:pPr>
        <w:rPr>
          <w:rFonts w:hint="eastAsia" w:ascii="宋体" w:hAnsi="宋体" w:eastAsia="宋体" w:cs="宋体"/>
          <w:color w:val="auto"/>
          <w:sz w:val="30"/>
          <w:szCs w:val="30"/>
          <w:highlight w:val="none"/>
        </w:rPr>
      </w:pPr>
    </w:p>
    <w:p w14:paraId="62D92866">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二、</w:t>
      </w:r>
      <w:r>
        <w:rPr>
          <w:rFonts w:hint="eastAsia" w:ascii="宋体" w:hAnsi="宋体" w:eastAsia="宋体" w:cs="宋体"/>
          <w:i/>
          <w:color w:val="auto"/>
          <w:sz w:val="30"/>
          <w:szCs w:val="30"/>
          <w:highlight w:val="none"/>
          <w:u w:val="single"/>
          <w:lang w:eastAsia="zh-CN"/>
        </w:rPr>
        <w:t>2025年度</w:t>
      </w:r>
      <w:r>
        <w:rPr>
          <w:rFonts w:hint="eastAsia" w:ascii="宋体" w:hAnsi="宋体" w:eastAsia="宋体" w:cs="宋体"/>
          <w:i/>
          <w:color w:val="auto"/>
          <w:sz w:val="30"/>
          <w:szCs w:val="30"/>
          <w:highlight w:val="none"/>
          <w:u w:val="single"/>
        </w:rPr>
        <w:t>的财务状况报告</w:t>
      </w:r>
    </w:p>
    <w:p w14:paraId="02516D33">
      <w:pPr>
        <w:spacing w:line="500" w:lineRule="exact"/>
        <w:ind w:firstLine="480"/>
        <w:jc w:val="left"/>
        <w:rPr>
          <w:color w:val="auto"/>
          <w:sz w:val="24"/>
          <w:szCs w:val="24"/>
          <w:highlight w:val="none"/>
        </w:rPr>
      </w:pPr>
      <w:r>
        <w:rPr>
          <w:rFonts w:hint="eastAsia"/>
          <w:color w:val="auto"/>
          <w:sz w:val="24"/>
          <w:szCs w:val="24"/>
          <w:highlight w:val="none"/>
        </w:rPr>
        <w:t>（成立不满一年无需提供）</w:t>
      </w:r>
    </w:p>
    <w:p w14:paraId="2DC330F9">
      <w:pPr>
        <w:rPr>
          <w:color w:val="auto"/>
          <w:highlight w:val="none"/>
        </w:rPr>
      </w:pPr>
    </w:p>
    <w:p w14:paraId="50165238">
      <w:pPr>
        <w:rPr>
          <w:color w:val="auto"/>
          <w:highlight w:val="none"/>
        </w:rPr>
      </w:pPr>
    </w:p>
    <w:p w14:paraId="579EA9BB">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三、依法缴纳税收和社会保障资金的相关材料</w:t>
      </w:r>
    </w:p>
    <w:p w14:paraId="6AB2BA7A">
      <w:pPr>
        <w:spacing w:line="500" w:lineRule="exact"/>
        <w:ind w:firstLine="480"/>
        <w:jc w:val="left"/>
        <w:rPr>
          <w:color w:val="auto"/>
          <w:sz w:val="24"/>
          <w:szCs w:val="24"/>
          <w:highlight w:val="none"/>
        </w:rPr>
      </w:pPr>
      <w:r>
        <w:rPr>
          <w:rFonts w:hint="eastAsia"/>
          <w:color w:val="auto"/>
          <w:sz w:val="24"/>
          <w:szCs w:val="24"/>
          <w:highlight w:val="none"/>
        </w:rPr>
        <w:t>（提供提交投标文件截止时间前一年内至少一个月依法缴纳税收及缴纳社会保障资金的证明材料，</w:t>
      </w:r>
      <w:r>
        <w:rPr>
          <w:rFonts w:hint="eastAsia"/>
          <w:color w:val="auto"/>
          <w:sz w:val="24"/>
          <w:szCs w:val="24"/>
          <w:highlight w:val="none"/>
          <w:lang w:eastAsia="zh-CN"/>
        </w:rPr>
        <w:t>投标人</w:t>
      </w:r>
      <w:r>
        <w:rPr>
          <w:rFonts w:hint="eastAsia"/>
          <w:color w:val="auto"/>
          <w:sz w:val="24"/>
          <w:szCs w:val="24"/>
          <w:highlight w:val="none"/>
        </w:rPr>
        <w:t>依法享受缓缴、免缴税收、社会保障资金的提供证明材料）</w:t>
      </w:r>
    </w:p>
    <w:p w14:paraId="6F785C71">
      <w:pPr>
        <w:rPr>
          <w:color w:val="auto"/>
          <w:highlight w:val="none"/>
        </w:rPr>
      </w:pPr>
    </w:p>
    <w:p w14:paraId="70706323">
      <w:pPr>
        <w:rPr>
          <w:color w:val="auto"/>
          <w:highlight w:val="none"/>
        </w:rPr>
      </w:pPr>
    </w:p>
    <w:p w14:paraId="1586B262">
      <w:pPr>
        <w:spacing w:line="360" w:lineRule="auto"/>
        <w:jc w:val="center"/>
        <w:rPr>
          <w:rFonts w:hint="eastAsia" w:ascii="黑体" w:hAnsi="黑体" w:eastAsia="黑体" w:cs="宋体"/>
          <w:bCs/>
          <w:color w:val="auto"/>
          <w:sz w:val="36"/>
          <w:szCs w:val="28"/>
          <w:highlight w:val="none"/>
        </w:rPr>
      </w:pPr>
    </w:p>
    <w:p w14:paraId="67E3852B">
      <w:pPr>
        <w:spacing w:line="360" w:lineRule="auto"/>
        <w:jc w:val="center"/>
        <w:rPr>
          <w:rFonts w:hint="eastAsia" w:ascii="黑体" w:hAnsi="黑体" w:eastAsia="黑体" w:cs="宋体"/>
          <w:bCs/>
          <w:color w:val="auto"/>
          <w:sz w:val="36"/>
          <w:szCs w:val="28"/>
          <w:highlight w:val="none"/>
        </w:rPr>
      </w:pPr>
    </w:p>
    <w:p w14:paraId="332AF583">
      <w:pPr>
        <w:spacing w:line="360" w:lineRule="auto"/>
        <w:jc w:val="center"/>
        <w:rPr>
          <w:rFonts w:hint="eastAsia" w:ascii="黑体" w:hAnsi="黑体" w:eastAsia="黑体" w:cs="宋体"/>
          <w:bCs/>
          <w:color w:val="auto"/>
          <w:sz w:val="36"/>
          <w:szCs w:val="28"/>
          <w:highlight w:val="none"/>
        </w:rPr>
      </w:pPr>
    </w:p>
    <w:p w14:paraId="0E1845AD">
      <w:pPr>
        <w:spacing w:line="360" w:lineRule="auto"/>
        <w:jc w:val="center"/>
        <w:rPr>
          <w:rFonts w:hint="eastAsia" w:ascii="黑体" w:hAnsi="黑体" w:eastAsia="黑体" w:cs="宋体"/>
          <w:bCs/>
          <w:color w:val="auto"/>
          <w:sz w:val="36"/>
          <w:szCs w:val="28"/>
          <w:highlight w:val="none"/>
        </w:rPr>
      </w:pPr>
    </w:p>
    <w:p w14:paraId="18DD9517">
      <w:pPr>
        <w:spacing w:line="360" w:lineRule="auto"/>
        <w:jc w:val="center"/>
        <w:rPr>
          <w:rFonts w:hint="eastAsia" w:ascii="黑体" w:hAnsi="黑体" w:eastAsia="黑体" w:cs="宋体"/>
          <w:bCs/>
          <w:color w:val="auto"/>
          <w:sz w:val="36"/>
          <w:szCs w:val="28"/>
          <w:highlight w:val="none"/>
        </w:rPr>
      </w:pPr>
    </w:p>
    <w:p w14:paraId="57C643C3">
      <w:pPr>
        <w:spacing w:line="360" w:lineRule="auto"/>
        <w:jc w:val="center"/>
        <w:rPr>
          <w:rFonts w:hint="eastAsia" w:ascii="黑体" w:hAnsi="黑体" w:eastAsia="黑体" w:cs="宋体"/>
          <w:bCs/>
          <w:color w:val="auto"/>
          <w:sz w:val="36"/>
          <w:szCs w:val="28"/>
          <w:highlight w:val="none"/>
        </w:rPr>
      </w:pPr>
    </w:p>
    <w:p w14:paraId="5CB3DD38">
      <w:pPr>
        <w:spacing w:line="360" w:lineRule="auto"/>
        <w:jc w:val="center"/>
        <w:rPr>
          <w:rFonts w:hint="eastAsia" w:ascii="黑体" w:hAnsi="黑体" w:eastAsia="黑体" w:cs="宋体"/>
          <w:bCs/>
          <w:color w:val="auto"/>
          <w:sz w:val="36"/>
          <w:szCs w:val="28"/>
          <w:highlight w:val="none"/>
        </w:rPr>
      </w:pPr>
    </w:p>
    <w:p w14:paraId="2E9BF0F6">
      <w:pPr>
        <w:spacing w:line="360" w:lineRule="auto"/>
        <w:jc w:val="center"/>
        <w:rPr>
          <w:rFonts w:hint="eastAsia" w:ascii="黑体" w:hAnsi="黑体" w:eastAsia="黑体" w:cs="宋体"/>
          <w:bCs/>
          <w:color w:val="auto"/>
          <w:sz w:val="36"/>
          <w:szCs w:val="28"/>
          <w:highlight w:val="none"/>
        </w:rPr>
      </w:pPr>
    </w:p>
    <w:p w14:paraId="039A76D5">
      <w:pPr>
        <w:spacing w:line="360" w:lineRule="auto"/>
        <w:jc w:val="center"/>
        <w:rPr>
          <w:rFonts w:hint="eastAsia" w:ascii="黑体" w:hAnsi="黑体" w:eastAsia="黑体" w:cs="宋体"/>
          <w:bCs/>
          <w:color w:val="auto"/>
          <w:sz w:val="36"/>
          <w:szCs w:val="28"/>
          <w:highlight w:val="none"/>
        </w:rPr>
      </w:pPr>
    </w:p>
    <w:p w14:paraId="60A875A2">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C8E6E95">
      <w:pPr>
        <w:jc w:val="left"/>
        <w:rPr>
          <w:rFonts w:ascii="MS Mincho" w:hAnsi="Calibri" w:eastAsia="宋体" w:cs="Times New Roman"/>
          <w:color w:val="auto"/>
          <w:szCs w:val="24"/>
          <w:highlight w:val="none"/>
        </w:rPr>
      </w:pPr>
    </w:p>
    <w:p w14:paraId="6DCA9FD5">
      <w:pPr>
        <w:spacing w:line="500" w:lineRule="exact"/>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采购人名称</w:t>
      </w:r>
    </w:p>
    <w:p w14:paraId="7899785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eastAsia="宋体"/>
          <w:i/>
          <w:color w:val="auto"/>
          <w:sz w:val="24"/>
          <w:szCs w:val="24"/>
          <w:highlight w:val="none"/>
          <w:u w:val="single"/>
          <w:lang w:eastAsia="zh-CN"/>
        </w:rPr>
        <w:t>投标人</w:t>
      </w:r>
      <w:r>
        <w:rPr>
          <w:rFonts w:hint="eastAsia" w:ascii="Calibri" w:hAnsi="Calibri" w:eastAsia="宋体" w:cs="Times New Roman"/>
          <w:i/>
          <w:color w:val="auto"/>
          <w:sz w:val="24"/>
          <w:szCs w:val="24"/>
          <w:highlight w:val="none"/>
          <w:u w:val="single"/>
        </w:rPr>
        <w:t>名称</w:t>
      </w:r>
      <w:r>
        <w:rPr>
          <w:rFonts w:hint="eastAsia" w:ascii="Calibri" w:hAnsi="Calibri" w:eastAsia="宋体" w:cs="Times New Roman"/>
          <w:color w:val="auto"/>
          <w:sz w:val="24"/>
          <w:szCs w:val="24"/>
          <w:highlight w:val="none"/>
        </w:rPr>
        <w:t>参加</w:t>
      </w:r>
      <w:r>
        <w:rPr>
          <w:rFonts w:hint="eastAsia" w:ascii="Calibri" w:hAnsi="Calibri" w:eastAsia="宋体" w:cs="Times New Roman"/>
          <w:i/>
          <w:color w:val="auto"/>
          <w:sz w:val="24"/>
          <w:szCs w:val="24"/>
          <w:highlight w:val="none"/>
          <w:u w:val="single"/>
        </w:rPr>
        <w:t>项目名称</w:t>
      </w:r>
      <w:r>
        <w:rPr>
          <w:rFonts w:hint="eastAsia" w:ascii="Calibri" w:hAnsi="Calibri" w:eastAsia="宋体" w:cs="Times New Roman"/>
          <w:color w:val="auto"/>
          <w:sz w:val="24"/>
          <w:szCs w:val="24"/>
          <w:highlight w:val="none"/>
        </w:rPr>
        <w:t>（项目编号：</w:t>
      </w:r>
      <w:r>
        <w:rPr>
          <w:rFonts w:hint="eastAsia" w:ascii="Calibri" w:hAnsi="Calibri" w:eastAsia="宋体" w:cs="Times New Roman"/>
          <w:i/>
          <w:color w:val="auto"/>
          <w:sz w:val="24"/>
          <w:szCs w:val="24"/>
          <w:highlight w:val="none"/>
          <w:u w:val="single"/>
        </w:rPr>
        <w:t>项目编号</w:t>
      </w:r>
      <w:r>
        <w:rPr>
          <w:rFonts w:hint="eastAsia" w:ascii="Calibri" w:hAnsi="Calibri" w:eastAsia="宋体" w:cs="Times New Roman"/>
          <w:color w:val="auto"/>
          <w:sz w:val="24"/>
          <w:szCs w:val="24"/>
          <w:highlight w:val="none"/>
        </w:rPr>
        <w:t>）采购，根据《关于简化政府采购</w:t>
      </w:r>
      <w:r>
        <w:rPr>
          <w:rFonts w:hint="eastAsia" w:ascii="Calibri" w:hAnsi="Calibri" w:eastAsia="宋体" w:cs="Times New Roman"/>
          <w:color w:val="auto"/>
          <w:sz w:val="24"/>
          <w:szCs w:val="24"/>
          <w:highlight w:val="none"/>
          <w:lang w:eastAsia="zh-CN"/>
        </w:rPr>
        <w:t>供应商</w:t>
      </w:r>
      <w:r>
        <w:rPr>
          <w:rFonts w:hint="eastAsia" w:ascii="Calibri" w:hAnsi="Calibri" w:eastAsia="宋体" w:cs="Times New Roman"/>
          <w:color w:val="auto"/>
          <w:sz w:val="24"/>
          <w:szCs w:val="24"/>
          <w:highlight w:val="none"/>
        </w:rPr>
        <w:t>资格审查有关事项的通知》（连财购〔2023〕4号），我方承诺具备《中华人民共和国政府采购法》第二十二条第（二）、第（四）项，《中华人民共和国政府采购法实施条例》第十七条第（二）项规定条件的，具体包括：</w:t>
      </w:r>
    </w:p>
    <w:p w14:paraId="5229A5AE">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1006113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7C673BDD">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C8250B9">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7775ED69">
      <w:pPr>
        <w:spacing w:line="500" w:lineRule="exact"/>
        <w:ind w:firstLine="480"/>
        <w:jc w:val="left"/>
        <w:rPr>
          <w:rFonts w:ascii="Calibri" w:hAnsi="Calibri" w:eastAsia="宋体" w:cs="Times New Roman"/>
          <w:color w:val="auto"/>
          <w:sz w:val="24"/>
          <w:szCs w:val="24"/>
          <w:highlight w:val="none"/>
        </w:rPr>
      </w:pPr>
    </w:p>
    <w:p w14:paraId="1F7810D5">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（公章）：</w:t>
      </w:r>
    </w:p>
    <w:p w14:paraId="76E7B8AA">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258009D1">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2826DE0E">
      <w:pPr>
        <w:rPr>
          <w:color w:val="auto"/>
          <w:highlight w:val="none"/>
        </w:rPr>
      </w:pPr>
    </w:p>
    <w:p w14:paraId="5FF0F48F">
      <w:pPr>
        <w:rPr>
          <w:color w:val="auto"/>
          <w:highlight w:val="none"/>
        </w:rPr>
      </w:pPr>
    </w:p>
    <w:p w14:paraId="2FC1931F">
      <w:pPr>
        <w:rPr>
          <w:color w:val="auto"/>
          <w:highlight w:val="none"/>
        </w:rPr>
      </w:pPr>
    </w:p>
    <w:p w14:paraId="1DC1CC1F">
      <w:pPr>
        <w:rPr>
          <w:color w:val="auto"/>
          <w:highlight w:val="none"/>
        </w:rPr>
      </w:pPr>
    </w:p>
    <w:p w14:paraId="17D208EC">
      <w:pPr>
        <w:rPr>
          <w:color w:val="auto"/>
          <w:highlight w:val="none"/>
        </w:rPr>
      </w:pPr>
    </w:p>
    <w:p w14:paraId="3869E063">
      <w:pPr>
        <w:rPr>
          <w:color w:val="auto"/>
          <w:highlight w:val="none"/>
        </w:rPr>
      </w:pPr>
    </w:p>
    <w:p w14:paraId="1C5F9665">
      <w:pPr>
        <w:rPr>
          <w:color w:val="auto"/>
          <w:highlight w:val="none"/>
        </w:rPr>
      </w:pPr>
    </w:p>
    <w:p w14:paraId="0C90C7B5">
      <w:pPr>
        <w:rPr>
          <w:color w:val="auto"/>
          <w:highlight w:val="none"/>
        </w:rPr>
      </w:pPr>
    </w:p>
    <w:p w14:paraId="63A83252">
      <w:pPr>
        <w:rPr>
          <w:color w:val="auto"/>
          <w:highlight w:val="none"/>
        </w:rPr>
      </w:pPr>
    </w:p>
    <w:p w14:paraId="321EF414">
      <w:pPr>
        <w:rPr>
          <w:color w:val="auto"/>
          <w:highlight w:val="none"/>
        </w:rPr>
      </w:pPr>
    </w:p>
    <w:p w14:paraId="345C6EB0">
      <w:pPr>
        <w:rPr>
          <w:color w:val="auto"/>
          <w:highlight w:val="none"/>
        </w:rPr>
      </w:pPr>
    </w:p>
    <w:p w14:paraId="34D746F7">
      <w:pPr>
        <w:rPr>
          <w:color w:val="auto"/>
          <w:highlight w:val="none"/>
        </w:rPr>
      </w:pPr>
    </w:p>
    <w:p w14:paraId="046E8EC8">
      <w:pPr>
        <w:rPr>
          <w:color w:val="auto"/>
          <w:highlight w:val="none"/>
        </w:rPr>
      </w:pPr>
    </w:p>
    <w:p w14:paraId="5FB264F4">
      <w:pPr>
        <w:rPr>
          <w:color w:val="auto"/>
          <w:highlight w:val="none"/>
        </w:rPr>
      </w:pPr>
    </w:p>
    <w:p w14:paraId="6FDA4446">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四、具备履行合同所必需的设备和专业技术能力的声明及证明材料</w:t>
      </w:r>
    </w:p>
    <w:p w14:paraId="591A1D01">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2D6F12D4">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54CBB2AF">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主要设备有：。（须附证明材料）</w:t>
      </w:r>
    </w:p>
    <w:p w14:paraId="5C96F7AD">
      <w:pPr>
        <w:jc w:val="left"/>
        <w:rPr>
          <w:rFonts w:ascii="Calibri" w:hAnsi="Calibri" w:eastAsia="宋体" w:cs="Times New Roman"/>
          <w:color w:val="auto"/>
          <w:sz w:val="24"/>
          <w:szCs w:val="24"/>
          <w:highlight w:val="none"/>
        </w:rPr>
      </w:pPr>
    </w:p>
    <w:p w14:paraId="53C33F27">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主要专业技术能力有：。（须附证明材料）</w:t>
      </w:r>
    </w:p>
    <w:p w14:paraId="2CF91B87">
      <w:pPr>
        <w:spacing w:line="360" w:lineRule="auto"/>
        <w:ind w:firstLine="480"/>
        <w:rPr>
          <w:rFonts w:ascii="Calibri" w:hAnsi="Calibri" w:eastAsia="宋体" w:cs="Times New Roman"/>
          <w:color w:val="auto"/>
          <w:sz w:val="24"/>
          <w:szCs w:val="24"/>
          <w:highlight w:val="none"/>
        </w:rPr>
      </w:pPr>
    </w:p>
    <w:p w14:paraId="6E80B484">
      <w:pPr>
        <w:spacing w:line="360" w:lineRule="auto"/>
        <w:ind w:firstLine="480"/>
        <w:rPr>
          <w:rFonts w:ascii="Calibri" w:hAnsi="Calibri" w:eastAsia="宋体" w:cs="Times New Roman"/>
          <w:color w:val="auto"/>
          <w:sz w:val="24"/>
          <w:szCs w:val="24"/>
          <w:highlight w:val="none"/>
        </w:rPr>
      </w:pPr>
    </w:p>
    <w:p w14:paraId="2D72F290">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（盖章）：</w:t>
      </w:r>
    </w:p>
    <w:p w14:paraId="1C042294">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5E55575A">
      <w:pPr>
        <w:spacing w:line="360" w:lineRule="auto"/>
        <w:ind w:firstLine="48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7880A7E9">
      <w:pPr>
        <w:jc w:val="left"/>
        <w:rPr>
          <w:rFonts w:ascii="MS Mincho" w:hAnsi="Calibri" w:eastAsia="宋体" w:cs="Times New Roman"/>
          <w:color w:val="auto"/>
          <w:szCs w:val="24"/>
          <w:highlight w:val="none"/>
        </w:rPr>
      </w:pPr>
    </w:p>
    <w:p w14:paraId="30E5EFC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627F6D71">
      <w:pPr>
        <w:spacing w:line="360" w:lineRule="auto"/>
        <w:jc w:val="left"/>
        <w:rPr>
          <w:rFonts w:ascii="Times New Roman" w:hAnsi="Times New Roman" w:eastAsia="宋体" w:cs="Times New Roman"/>
          <w:color w:val="auto"/>
          <w:sz w:val="24"/>
          <w:szCs w:val="24"/>
          <w:highlight w:val="none"/>
        </w:rPr>
      </w:pPr>
    </w:p>
    <w:p w14:paraId="1574726F">
      <w:pPr>
        <w:spacing w:line="360" w:lineRule="auto"/>
        <w:jc w:val="left"/>
        <w:rPr>
          <w:rFonts w:ascii="Times New Roman" w:hAnsi="Times New Roman" w:eastAsia="宋体" w:cs="Times New Roman"/>
          <w:color w:val="auto"/>
          <w:sz w:val="24"/>
          <w:szCs w:val="24"/>
          <w:highlight w:val="none"/>
        </w:rPr>
      </w:pPr>
    </w:p>
    <w:p w14:paraId="11CCE2D4">
      <w:pPr>
        <w:spacing w:line="360" w:lineRule="auto"/>
        <w:jc w:val="left"/>
        <w:rPr>
          <w:rFonts w:ascii="Times New Roman" w:hAnsi="Times New Roman" w:eastAsia="宋体" w:cs="Times New Roman"/>
          <w:color w:val="auto"/>
          <w:sz w:val="24"/>
          <w:szCs w:val="24"/>
          <w:highlight w:val="none"/>
        </w:rPr>
      </w:pPr>
    </w:p>
    <w:p w14:paraId="09200748">
      <w:pPr>
        <w:spacing w:line="360" w:lineRule="auto"/>
        <w:jc w:val="left"/>
        <w:rPr>
          <w:rFonts w:ascii="Times New Roman" w:hAnsi="Times New Roman" w:eastAsia="宋体" w:cs="Times New Roman"/>
          <w:color w:val="auto"/>
          <w:sz w:val="24"/>
          <w:szCs w:val="24"/>
          <w:highlight w:val="none"/>
        </w:rPr>
      </w:pPr>
    </w:p>
    <w:p w14:paraId="2B9165BE">
      <w:pPr>
        <w:spacing w:line="360" w:lineRule="auto"/>
        <w:jc w:val="left"/>
        <w:rPr>
          <w:rFonts w:ascii="Times New Roman" w:hAnsi="Times New Roman" w:eastAsia="宋体" w:cs="Times New Roman"/>
          <w:color w:val="auto"/>
          <w:sz w:val="24"/>
          <w:szCs w:val="24"/>
          <w:highlight w:val="none"/>
        </w:rPr>
      </w:pPr>
    </w:p>
    <w:p w14:paraId="0A90D5DD">
      <w:pPr>
        <w:spacing w:line="360" w:lineRule="auto"/>
        <w:jc w:val="left"/>
        <w:rPr>
          <w:rFonts w:ascii="Times New Roman" w:hAnsi="Times New Roman" w:eastAsia="宋体" w:cs="Times New Roman"/>
          <w:color w:val="auto"/>
          <w:sz w:val="24"/>
          <w:szCs w:val="24"/>
          <w:highlight w:val="none"/>
        </w:rPr>
      </w:pPr>
    </w:p>
    <w:p w14:paraId="71A929B0">
      <w:pPr>
        <w:spacing w:line="360" w:lineRule="auto"/>
        <w:jc w:val="left"/>
        <w:rPr>
          <w:rFonts w:ascii="Times New Roman" w:hAnsi="Times New Roman" w:eastAsia="宋体" w:cs="Times New Roman"/>
          <w:color w:val="auto"/>
          <w:sz w:val="24"/>
          <w:szCs w:val="24"/>
          <w:highlight w:val="none"/>
        </w:rPr>
      </w:pPr>
    </w:p>
    <w:p w14:paraId="2CFC1BF4">
      <w:pPr>
        <w:spacing w:line="360" w:lineRule="auto"/>
        <w:jc w:val="left"/>
        <w:rPr>
          <w:rFonts w:ascii="Times New Roman" w:hAnsi="Times New Roman" w:eastAsia="宋体" w:cs="Times New Roman"/>
          <w:color w:val="auto"/>
          <w:sz w:val="24"/>
          <w:szCs w:val="24"/>
          <w:highlight w:val="none"/>
        </w:rPr>
      </w:pPr>
    </w:p>
    <w:p w14:paraId="7E5BEA72">
      <w:pPr>
        <w:spacing w:line="360" w:lineRule="auto"/>
        <w:jc w:val="left"/>
        <w:rPr>
          <w:rFonts w:ascii="Times New Roman" w:hAnsi="Times New Roman" w:eastAsia="宋体" w:cs="Times New Roman"/>
          <w:color w:val="auto"/>
          <w:sz w:val="24"/>
          <w:szCs w:val="24"/>
          <w:highlight w:val="none"/>
        </w:rPr>
      </w:pPr>
    </w:p>
    <w:p w14:paraId="14CBE7E2">
      <w:pPr>
        <w:spacing w:line="360" w:lineRule="auto"/>
        <w:jc w:val="left"/>
        <w:rPr>
          <w:rFonts w:ascii="Times New Roman" w:hAnsi="Times New Roman" w:eastAsia="宋体" w:cs="Times New Roman"/>
          <w:color w:val="auto"/>
          <w:sz w:val="24"/>
          <w:szCs w:val="24"/>
          <w:highlight w:val="none"/>
        </w:rPr>
      </w:pPr>
    </w:p>
    <w:p w14:paraId="43D3386E">
      <w:pPr>
        <w:spacing w:line="360" w:lineRule="auto"/>
        <w:jc w:val="left"/>
        <w:rPr>
          <w:rFonts w:ascii="Times New Roman" w:hAnsi="Times New Roman" w:eastAsia="宋体" w:cs="Times New Roman"/>
          <w:color w:val="auto"/>
          <w:sz w:val="24"/>
          <w:szCs w:val="24"/>
          <w:highlight w:val="none"/>
        </w:rPr>
      </w:pPr>
    </w:p>
    <w:p w14:paraId="7F6F2FC6">
      <w:pPr>
        <w:spacing w:line="360" w:lineRule="auto"/>
        <w:jc w:val="left"/>
        <w:rPr>
          <w:rFonts w:ascii="Times New Roman" w:hAnsi="Times New Roman" w:eastAsia="宋体" w:cs="Times New Roman"/>
          <w:color w:val="auto"/>
          <w:sz w:val="24"/>
          <w:szCs w:val="24"/>
          <w:highlight w:val="none"/>
        </w:rPr>
      </w:pPr>
    </w:p>
    <w:p w14:paraId="44B7046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五、参加政府采购活动前3年内在经营活动中没有重大违法记录的书面声明</w:t>
      </w:r>
    </w:p>
    <w:p w14:paraId="315CB8D1">
      <w:pPr>
        <w:spacing w:line="460" w:lineRule="exact"/>
        <w:jc w:val="center"/>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声明</w:t>
      </w:r>
    </w:p>
    <w:p w14:paraId="556C13F2">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4FE7219">
      <w:pPr>
        <w:spacing w:line="500" w:lineRule="exact"/>
        <w:ind w:firstLine="480"/>
        <w:jc w:val="left"/>
        <w:rPr>
          <w:rFonts w:ascii="Calibri" w:hAnsi="Calibri" w:eastAsia="宋体" w:cs="Times New Roman"/>
          <w:color w:val="auto"/>
          <w:sz w:val="24"/>
          <w:szCs w:val="24"/>
          <w:highlight w:val="none"/>
        </w:rPr>
      </w:pPr>
    </w:p>
    <w:p w14:paraId="442767B8">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投标人</w:t>
      </w:r>
      <w:r>
        <w:rPr>
          <w:rFonts w:hint="eastAsia" w:ascii="Calibri" w:hAnsi="Calibri" w:eastAsia="宋体" w:cs="Times New Roman"/>
          <w:color w:val="auto"/>
          <w:sz w:val="24"/>
          <w:szCs w:val="24"/>
          <w:highlight w:val="none"/>
        </w:rPr>
        <w:t>（盖章）：</w:t>
      </w:r>
    </w:p>
    <w:p w14:paraId="38C36BCB">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6C62ECA0">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136F458B">
      <w:pPr>
        <w:rPr>
          <w:color w:val="auto"/>
          <w:highlight w:val="none"/>
        </w:rPr>
      </w:pPr>
    </w:p>
    <w:p w14:paraId="3878B07C">
      <w:pPr>
        <w:rPr>
          <w:color w:val="auto"/>
          <w:highlight w:val="none"/>
        </w:rPr>
      </w:pPr>
    </w:p>
    <w:p w14:paraId="3C9F27D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六、法律、行政法规规定的其他条件的证明文件</w:t>
      </w:r>
    </w:p>
    <w:p w14:paraId="3E25B8A1">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31F7F03F">
      <w:pPr>
        <w:rPr>
          <w:color w:val="auto"/>
          <w:highlight w:val="none"/>
        </w:rPr>
      </w:pPr>
    </w:p>
    <w:p w14:paraId="6AADF20C">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七、落实政府采购政策需满足的资格要求的证明文件</w:t>
      </w:r>
    </w:p>
    <w:p w14:paraId="6FAD045F">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040FA195">
      <w:pPr>
        <w:rPr>
          <w:color w:val="auto"/>
          <w:highlight w:val="none"/>
        </w:rPr>
      </w:pPr>
    </w:p>
    <w:p w14:paraId="6090CD75">
      <w:pPr>
        <w:rPr>
          <w:color w:val="auto"/>
          <w:highlight w:val="none"/>
        </w:rPr>
      </w:pPr>
    </w:p>
    <w:p w14:paraId="4F896AFA">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八、特定资格要求的证明文件</w:t>
      </w:r>
    </w:p>
    <w:p w14:paraId="3F70D2C4">
      <w:pPr>
        <w:spacing w:line="500" w:lineRule="exact"/>
        <w:ind w:firstLine="48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17A8B9A6">
      <w:pPr>
        <w:rPr>
          <w:color w:val="auto"/>
          <w:highlight w:val="none"/>
        </w:rPr>
      </w:pPr>
    </w:p>
    <w:p w14:paraId="33D81926">
      <w:pPr>
        <w:rPr>
          <w:color w:val="auto"/>
          <w:highlight w:val="none"/>
        </w:rPr>
      </w:pPr>
    </w:p>
    <w:p w14:paraId="54E0AB01">
      <w:pPr>
        <w:rPr>
          <w:color w:val="auto"/>
          <w:highlight w:val="none"/>
        </w:rPr>
      </w:pPr>
    </w:p>
    <w:p w14:paraId="18AC9C5C">
      <w:pPr>
        <w:rPr>
          <w:color w:val="auto"/>
          <w:highlight w:val="none"/>
        </w:rPr>
      </w:pPr>
    </w:p>
    <w:p w14:paraId="0F63A30F">
      <w:pPr>
        <w:rPr>
          <w:color w:val="auto"/>
          <w:highlight w:val="none"/>
        </w:rPr>
      </w:pPr>
    </w:p>
    <w:p w14:paraId="04CED20E">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九、授权委托书与法定代表人（单位负责人）身份证明</w:t>
      </w:r>
    </w:p>
    <w:p w14:paraId="276EBF46">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063CCB5E">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758CFE74">
      <w:pPr>
        <w:pStyle w:val="2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151581BF">
      <w:pPr>
        <w:pStyle w:val="2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5C4DC007">
      <w:pPr>
        <w:pStyle w:val="25"/>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0C2D80BF">
      <w:pPr>
        <w:pStyle w:val="25"/>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5790F4DE">
      <w:pPr>
        <w:pStyle w:val="2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7" w:name="_Hlt26955070"/>
      <w:bookmarkEnd w:id="7"/>
      <w:bookmarkStart w:id="8" w:name="_格式3__银行出具的资信证明"/>
      <w:bookmarkEnd w:id="8"/>
      <w:bookmarkStart w:id="9" w:name="_Hlt26671380"/>
      <w:bookmarkEnd w:id="9"/>
      <w:r>
        <w:rPr>
          <w:rFonts w:hint="eastAsia" w:ascii="宋体" w:hAnsi="宋体" w:eastAsia="宋体" w:cs="宋体"/>
          <w:color w:val="auto"/>
          <w:sz w:val="24"/>
          <w:szCs w:val="24"/>
          <w:highlight w:val="none"/>
          <w:u w:val="single"/>
        </w:rPr>
        <w:t xml:space="preserve">                                         </w:t>
      </w:r>
    </w:p>
    <w:p w14:paraId="43D599E4">
      <w:pPr>
        <w:tabs>
          <w:tab w:val="left" w:pos="5580"/>
        </w:tabs>
        <w:spacing w:line="360" w:lineRule="auto"/>
        <w:ind w:firstLine="480"/>
        <w:jc w:val="left"/>
        <w:rPr>
          <w:rFonts w:ascii="Calibri" w:hAnsi="Calibri" w:eastAsia="宋体" w:cs="Times New Roman"/>
          <w:color w:val="auto"/>
          <w:sz w:val="24"/>
          <w:szCs w:val="24"/>
          <w:highlight w:val="none"/>
        </w:rPr>
      </w:pPr>
    </w:p>
    <w:p w14:paraId="5E2F214B">
      <w:pPr>
        <w:rPr>
          <w:color w:val="auto"/>
          <w:highlight w:val="none"/>
        </w:rPr>
      </w:pPr>
    </w:p>
    <w:p w14:paraId="4034C9DD">
      <w:pPr>
        <w:rPr>
          <w:color w:val="auto"/>
          <w:highlight w:val="none"/>
        </w:rPr>
      </w:pPr>
    </w:p>
    <w:p w14:paraId="35432ADB">
      <w:pPr>
        <w:spacing w:line="360" w:lineRule="exact"/>
        <w:jc w:val="center"/>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法定代表人（单位负责人）身份证明</w:t>
      </w:r>
    </w:p>
    <w:p w14:paraId="6FE51F5B">
      <w:pPr>
        <w:spacing w:line="200" w:lineRule="exact"/>
        <w:rPr>
          <w:rFonts w:ascii="宋体" w:hAnsi="宋体" w:eastAsia="宋体" w:cs="Times New Roman"/>
          <w:color w:val="auto"/>
          <w:sz w:val="20"/>
          <w:szCs w:val="20"/>
          <w:highlight w:val="none"/>
        </w:rPr>
      </w:pPr>
    </w:p>
    <w:p w14:paraId="44EFECEC">
      <w:pPr>
        <w:tabs>
          <w:tab w:val="left" w:pos="5580"/>
        </w:tabs>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采购单位</w:t>
      </w:r>
    </w:p>
    <w:p w14:paraId="5E659878">
      <w:pPr>
        <w:tabs>
          <w:tab w:val="left" w:pos="567"/>
          <w:tab w:val="left" w:pos="2412"/>
          <w:tab w:val="left" w:pos="3883"/>
          <w:tab w:val="left" w:pos="5352"/>
          <w:tab w:val="left" w:pos="6821"/>
        </w:tabs>
        <w:spacing w:before="120" w:line="335"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36370D6A">
      <w:pPr>
        <w:tabs>
          <w:tab w:val="left" w:pos="567"/>
          <w:tab w:val="left" w:pos="1690"/>
          <w:tab w:val="left" w:pos="3400"/>
          <w:tab w:val="left" w:pos="5110"/>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性别：年龄：职务：</w:t>
      </w:r>
    </w:p>
    <w:p w14:paraId="411E9F9D">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0687C1B1">
      <w:pPr>
        <w:tabs>
          <w:tab w:val="left" w:pos="2250"/>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lang w:eastAsia="zh-CN"/>
        </w:rPr>
        <w:t>投标人</w:t>
      </w:r>
      <w:r>
        <w:rPr>
          <w:rFonts w:ascii="Calibri" w:hAnsi="Calibri" w:eastAsia="宋体" w:cs="Times New Roman"/>
          <w:color w:val="auto"/>
          <w:sz w:val="24"/>
          <w:szCs w:val="24"/>
          <w:highlight w:val="none"/>
          <w:u w:val="single"/>
        </w:rPr>
        <w:t>名称）</w:t>
      </w:r>
      <w:r>
        <w:rPr>
          <w:rFonts w:ascii="宋体" w:hAnsi="宋体" w:eastAsia="宋体" w:cs="Times New Roman"/>
          <w:color w:val="auto"/>
          <w:sz w:val="24"/>
          <w:szCs w:val="24"/>
          <w:highlight w:val="none"/>
        </w:rPr>
        <w:t>的法定代表人（单位负责人）。</w:t>
      </w:r>
    </w:p>
    <w:p w14:paraId="73D5CD0D">
      <w:pPr>
        <w:tabs>
          <w:tab w:val="left" w:pos="567"/>
          <w:tab w:val="left" w:pos="2412"/>
          <w:tab w:val="left" w:pos="3883"/>
          <w:tab w:val="left" w:pos="5352"/>
          <w:tab w:val="left" w:pos="6821"/>
        </w:tabs>
        <w:spacing w:before="120" w:line="335" w:lineRule="exact"/>
        <w:rPr>
          <w:rFonts w:ascii="宋体" w:hAnsi="宋体" w:eastAsia="宋体" w:cs="Times New Roman"/>
          <w:color w:val="auto"/>
          <w:sz w:val="24"/>
          <w:szCs w:val="24"/>
          <w:highlight w:val="none"/>
        </w:rPr>
      </w:pPr>
    </w:p>
    <w:p w14:paraId="55D5451C">
      <w:pPr>
        <w:tabs>
          <w:tab w:val="left" w:pos="567"/>
        </w:tabs>
        <w:spacing w:before="120" w:line="583" w:lineRule="auto"/>
        <w:ind w:right="-46"/>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附：</w:t>
      </w: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1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1031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7581366">
            <w:pPr>
              <w:tabs>
                <w:tab w:val="left" w:pos="5580"/>
              </w:tabs>
              <w:spacing w:line="360" w:lineRule="auto"/>
              <w:jc w:val="left"/>
              <w:rPr>
                <w:rFonts w:ascii="宋体" w:hAnsi="宋体" w:eastAsia="宋体" w:cs="Times New Roman"/>
                <w:color w:val="auto"/>
                <w:sz w:val="24"/>
                <w:szCs w:val="20"/>
                <w:highlight w:val="none"/>
              </w:rPr>
            </w:pPr>
          </w:p>
          <w:p w14:paraId="68235DAB">
            <w:pPr>
              <w:tabs>
                <w:tab w:val="left" w:pos="5580"/>
              </w:tabs>
              <w:spacing w:line="360" w:lineRule="auto"/>
              <w:jc w:val="left"/>
              <w:rPr>
                <w:rFonts w:ascii="宋体" w:hAnsi="宋体" w:eastAsia="宋体" w:cs="Times New Roman"/>
                <w:color w:val="auto"/>
                <w:sz w:val="24"/>
                <w:szCs w:val="20"/>
                <w:highlight w:val="none"/>
              </w:rPr>
            </w:pPr>
          </w:p>
          <w:p w14:paraId="1DF61315">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tcPr>
          <w:p w14:paraId="2F15A214">
            <w:pPr>
              <w:tabs>
                <w:tab w:val="left" w:pos="5580"/>
              </w:tabs>
              <w:spacing w:line="360" w:lineRule="auto"/>
              <w:jc w:val="left"/>
              <w:rPr>
                <w:rFonts w:ascii="宋体" w:hAnsi="宋体" w:eastAsia="宋体" w:cs="Times New Roman"/>
                <w:color w:val="auto"/>
                <w:sz w:val="24"/>
                <w:szCs w:val="20"/>
                <w:highlight w:val="none"/>
              </w:rPr>
            </w:pPr>
          </w:p>
          <w:p w14:paraId="4DD856DB">
            <w:pPr>
              <w:tabs>
                <w:tab w:val="left" w:pos="5580"/>
              </w:tabs>
              <w:spacing w:line="360" w:lineRule="auto"/>
              <w:jc w:val="left"/>
              <w:rPr>
                <w:rFonts w:ascii="宋体" w:hAnsi="宋体" w:eastAsia="宋体" w:cs="Times New Roman"/>
                <w:color w:val="auto"/>
                <w:sz w:val="24"/>
                <w:szCs w:val="20"/>
                <w:highlight w:val="none"/>
              </w:rPr>
            </w:pPr>
          </w:p>
          <w:p w14:paraId="5935B6A8">
            <w:pPr>
              <w:tabs>
                <w:tab w:val="left" w:pos="5580"/>
              </w:tabs>
              <w:spacing w:line="360" w:lineRule="auto"/>
              <w:jc w:val="left"/>
              <w:rPr>
                <w:rFonts w:ascii="宋体" w:hAnsi="宋体" w:eastAsia="宋体" w:cs="Times New Roman"/>
                <w:color w:val="auto"/>
                <w:sz w:val="24"/>
                <w:szCs w:val="20"/>
                <w:highlight w:val="none"/>
              </w:rPr>
            </w:pPr>
          </w:p>
        </w:tc>
      </w:tr>
    </w:tbl>
    <w:p w14:paraId="00E12571">
      <w:pPr>
        <w:tabs>
          <w:tab w:val="left" w:pos="567"/>
        </w:tabs>
        <w:spacing w:before="120" w:line="583" w:lineRule="auto"/>
        <w:ind w:right="4305"/>
        <w:rPr>
          <w:rFonts w:ascii="宋体" w:hAnsi="宋体" w:eastAsia="宋体" w:cs="Times New Roman"/>
          <w:color w:val="auto"/>
          <w:spacing w:val="-3"/>
          <w:sz w:val="24"/>
          <w:szCs w:val="24"/>
          <w:highlight w:val="none"/>
        </w:rPr>
      </w:pPr>
    </w:p>
    <w:p w14:paraId="4DEF1E51">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投标人</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p>
    <w:p w14:paraId="73684809">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p>
    <w:p w14:paraId="56C671CB">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日期：年月日</w:t>
      </w:r>
    </w:p>
    <w:p w14:paraId="7BD54EA2">
      <w:pPr>
        <w:spacing w:line="360" w:lineRule="auto"/>
        <w:rPr>
          <w:rFonts w:ascii="Calibri" w:hAnsi="Calibri" w:eastAsia="宋体" w:cs="Times New Roman"/>
          <w:color w:val="auto"/>
          <w:sz w:val="24"/>
          <w:szCs w:val="24"/>
          <w:highlight w:val="none"/>
        </w:rPr>
      </w:pPr>
    </w:p>
    <w:p w14:paraId="2FDDD059">
      <w:pPr>
        <w:rPr>
          <w:color w:val="auto"/>
          <w:highlight w:val="none"/>
        </w:rPr>
      </w:pPr>
    </w:p>
    <w:p w14:paraId="57D74144">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十、投标函</w:t>
      </w:r>
    </w:p>
    <w:p w14:paraId="4489E8B6">
      <w:pPr>
        <w:tabs>
          <w:tab w:val="left" w:pos="360"/>
        </w:tabs>
        <w:spacing w:line="360" w:lineRule="auto"/>
        <w:jc w:val="center"/>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投标函</w:t>
      </w:r>
    </w:p>
    <w:p w14:paraId="5169387C">
      <w:pPr>
        <w:spacing w:line="500" w:lineRule="exact"/>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lang w:eastAsia="zh-CN"/>
        </w:rPr>
        <w:t>江苏建友兴业工程项目管理有限公司</w:t>
      </w:r>
    </w:p>
    <w:p w14:paraId="1306B37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根据贵方的JSZC-_________________号招标文件，正式授权下述签字人_________________</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姓名</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代表我方______________（</w:t>
      </w: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的名称），全权处理本次项目投标的有关事宜。</w:t>
      </w:r>
    </w:p>
    <w:p w14:paraId="5F9FBE41">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据此函，__________签字人兹宣布同意如下：</w:t>
      </w:r>
    </w:p>
    <w:p w14:paraId="4A79893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1.按招标文件规定的各项要求，向买方提供所需服务（包含与服务相关的货物、工程）。</w:t>
      </w:r>
    </w:p>
    <w:p w14:paraId="31F7DF0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w:t>
      </w: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w:t>
      </w:r>
    </w:p>
    <w:p w14:paraId="302AA77E">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3.我们已详细审核全部招标文件及其有效补充文件，我们知道必须放弃提出含糊不清或误解问题的权利。</w:t>
      </w:r>
    </w:p>
    <w:p w14:paraId="4B2FE3F8">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4.我们同意从规定的开标日期起遵循本投标文件，并在规定的投标有效期期满之前均具有约束力。</w:t>
      </w:r>
    </w:p>
    <w:p w14:paraId="0C99FAF8">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5</w:t>
      </w:r>
      <w:r>
        <w:rPr>
          <w:rFonts w:hint="eastAsia" w:ascii="宋体" w:hAnsi="宋体" w:eastAsia="宋体" w:cs="Times New Roman"/>
          <w:color w:val="auto"/>
          <w:sz w:val="24"/>
          <w:szCs w:val="21"/>
          <w:highlight w:val="none"/>
        </w:rPr>
        <w:t>.同意向贵方提供贵方可能另外要求的与投标有关的任何证据或资料，并保证我方已提供和将要提供的文件是真实的、准确的。</w:t>
      </w:r>
    </w:p>
    <w:p w14:paraId="3C201E9F">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6</w:t>
      </w:r>
      <w:r>
        <w:rPr>
          <w:rFonts w:hint="eastAsia" w:ascii="宋体" w:hAnsi="宋体" w:eastAsia="宋体" w:cs="Times New Roman"/>
          <w:color w:val="auto"/>
          <w:sz w:val="24"/>
          <w:szCs w:val="21"/>
          <w:highlight w:val="none"/>
        </w:rPr>
        <w:t>.一旦我方中标</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我方将根据招标文件的规定，严格履行合同的责任和义务</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并保证在招标文件规定的时间完成项目，交付买方验收、使用。</w:t>
      </w:r>
    </w:p>
    <w:p w14:paraId="1B49DB76">
      <w:pPr>
        <w:spacing w:line="500" w:lineRule="exact"/>
        <w:ind w:firstLine="480"/>
        <w:jc w:val="lef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7</w:t>
      </w:r>
      <w:r>
        <w:rPr>
          <w:rFonts w:hint="eastAsia" w:ascii="宋体" w:hAnsi="宋体" w:eastAsia="宋体" w:cs="Times New Roman"/>
          <w:color w:val="auto"/>
          <w:sz w:val="24"/>
          <w:szCs w:val="21"/>
          <w:highlight w:val="none"/>
        </w:rPr>
        <w:t>.与本投标有关的正式通讯地址为：</w:t>
      </w:r>
    </w:p>
    <w:p w14:paraId="588A044C">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地址：</w:t>
      </w:r>
    </w:p>
    <w:p w14:paraId="7DD784C8">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邮编：</w:t>
      </w:r>
    </w:p>
    <w:p w14:paraId="7BCAAFC6">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3E341289">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4DC4AAF8">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开户行：</w:t>
      </w:r>
    </w:p>
    <w:p w14:paraId="20F0EC6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账号：</w:t>
      </w:r>
    </w:p>
    <w:p w14:paraId="0D40237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投标人</w:t>
      </w:r>
      <w:r>
        <w:rPr>
          <w:rFonts w:hint="eastAsia" w:ascii="宋体" w:hAnsi="宋体" w:eastAsia="宋体" w:cs="Times New Roman"/>
          <w:color w:val="auto"/>
          <w:sz w:val="24"/>
          <w:szCs w:val="21"/>
          <w:highlight w:val="none"/>
        </w:rPr>
        <w:t>（盖章）：</w:t>
      </w:r>
    </w:p>
    <w:p w14:paraId="0198D8B4">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法定代表人（单位负责人）或委托代理人（签字或盖章）：</w:t>
      </w:r>
    </w:p>
    <w:p w14:paraId="4362D003">
      <w:pPr>
        <w:spacing w:line="500" w:lineRule="exact"/>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日期：年月日</w:t>
      </w:r>
    </w:p>
    <w:p w14:paraId="7123A7A4">
      <w:pPr>
        <w:rPr>
          <w:color w:val="auto"/>
          <w:highlight w:val="none"/>
        </w:rPr>
      </w:pPr>
    </w:p>
    <w:p w14:paraId="01B1ADFA">
      <w:pPr>
        <w:rPr>
          <w:color w:val="auto"/>
          <w:highlight w:val="none"/>
        </w:rPr>
      </w:pPr>
    </w:p>
    <w:p w14:paraId="5C01D0F4">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十一、中小企业声明函（服务）（分包号：**）</w:t>
      </w:r>
    </w:p>
    <w:p w14:paraId="239CB2BC">
      <w:pPr>
        <w:tabs>
          <w:tab w:val="left" w:pos="360"/>
        </w:tabs>
        <w:spacing w:line="360" w:lineRule="auto"/>
        <w:jc w:val="center"/>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14:paraId="21C9C2BB">
      <w:pPr>
        <w:spacing w:line="500" w:lineRule="exact"/>
        <w:ind w:firstLine="480"/>
        <w:rPr>
          <w:rFonts w:ascii="宋体" w:hAnsi="宋体"/>
          <w:color w:val="auto"/>
          <w:sz w:val="24"/>
          <w:highlight w:val="none"/>
        </w:rPr>
      </w:pPr>
      <w:r>
        <w:rPr>
          <w:rFonts w:hint="eastAsia" w:ascii="宋体" w:hAnsi="宋体" w:eastAsia="宋体" w:cs="Times New Roman"/>
          <w:color w:val="auto"/>
          <w:sz w:val="24"/>
          <w:szCs w:val="24"/>
          <w:highlight w:val="none"/>
        </w:rPr>
        <w:t>本公司郑重声明，根据《政府采购促进中小企业发展管理办法》</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财库〔2020〕46号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分包号：）采购活动，提供的</w:t>
      </w:r>
      <w:r>
        <w:rPr>
          <w:rFonts w:ascii="宋体" w:hAnsi="宋体"/>
          <w:color w:val="auto"/>
          <w:sz w:val="24"/>
          <w:highlight w:val="none"/>
        </w:rPr>
        <w:t>服务全部由符合政策要求的中小企业承接。</w:t>
      </w:r>
    </w:p>
    <w:p w14:paraId="11A179B2">
      <w:pPr>
        <w:spacing w:line="500" w:lineRule="exact"/>
        <w:ind w:firstLine="480"/>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（采购文件中明确的所属行业）</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，从业人员人，营业收入为万元，资产总额为万元，属于</w:t>
      </w:r>
      <w:r>
        <w:rPr>
          <w:rFonts w:hint="eastAsia" w:ascii="宋体" w:hAnsi="宋体" w:eastAsia="宋体" w:cs="Times New Roman"/>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14:paraId="42B0B8AD">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0F8F91B9">
      <w:pPr>
        <w:spacing w:line="5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BFA595E">
      <w:pPr>
        <w:spacing w:line="560" w:lineRule="exact"/>
        <w:ind w:right="1620"/>
        <w:rPr>
          <w:rFonts w:ascii="宋体" w:hAnsi="宋体" w:eastAsia="宋体" w:cs="Times New Roman"/>
          <w:color w:val="auto"/>
          <w:sz w:val="24"/>
          <w:szCs w:val="24"/>
          <w:highlight w:val="none"/>
        </w:rPr>
      </w:pPr>
    </w:p>
    <w:p w14:paraId="6FD20D37">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企业名称（盖章）：</w:t>
      </w:r>
    </w:p>
    <w:p w14:paraId="210BC668">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w:t>
      </w:r>
    </w:p>
    <w:p w14:paraId="5B693EF4">
      <w:pPr>
        <w:spacing w:line="360" w:lineRule="auto"/>
        <w:ind w:right="480"/>
        <w:jc w:val="left"/>
        <w:rPr>
          <w:rFonts w:ascii="宋体" w:hAnsi="宋体" w:eastAsia="宋体" w:cs="Times New Roman"/>
          <w:color w:val="auto"/>
          <w:sz w:val="24"/>
          <w:szCs w:val="24"/>
          <w:highlight w:val="none"/>
        </w:rPr>
      </w:pPr>
    </w:p>
    <w:p w14:paraId="29388F0C">
      <w:pPr>
        <w:spacing w:line="360" w:lineRule="auto"/>
        <w:ind w:right="480"/>
        <w:jc w:val="left"/>
        <w:rPr>
          <w:rFonts w:ascii="宋体" w:hAnsi="宋体" w:eastAsia="宋体" w:cs="Times New Roman"/>
          <w:color w:val="auto"/>
          <w:sz w:val="24"/>
          <w:szCs w:val="24"/>
          <w:highlight w:val="none"/>
        </w:rPr>
      </w:pPr>
    </w:p>
    <w:p w14:paraId="40562B54">
      <w:pPr>
        <w:spacing w:line="360" w:lineRule="auto"/>
        <w:ind w:right="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18CA1C0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39D7C26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如实填写，</w:t>
      </w:r>
      <w:r>
        <w:rPr>
          <w:rFonts w:hint="eastAsia" w:ascii="宋体" w:hAnsi="宋体"/>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1E2C625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3、中标人的《中小企业声明函》随中标结果公开，接受社会监督。</w:t>
      </w:r>
    </w:p>
    <w:p w14:paraId="41FD034F">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十二、残疾人福利性单位声明函（分包号：**）</w:t>
      </w:r>
    </w:p>
    <w:p w14:paraId="6378EFC6">
      <w:pPr>
        <w:tabs>
          <w:tab w:val="left" w:pos="360"/>
        </w:tabs>
        <w:spacing w:line="360" w:lineRule="auto"/>
        <w:jc w:val="center"/>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残疾人福利性单位声明函</w:t>
      </w:r>
    </w:p>
    <w:p w14:paraId="067A9A39">
      <w:pPr>
        <w:spacing w:line="500" w:lineRule="exact"/>
        <w:ind w:firstLine="480"/>
        <w:jc w:val="lef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本单位郑重声明，根据《财政部民政部中国残疾人联合会关于促进残疾人就业政府采购政策的通知》（财库</w:t>
      </w:r>
      <w:r>
        <w:rPr>
          <w:rFonts w:hint="eastAsia" w:ascii="宋体" w:hAnsi="宋体" w:eastAsia="宋体" w:cs="Times New Roman"/>
          <w:color w:val="auto"/>
          <w:sz w:val="24"/>
          <w:szCs w:val="24"/>
          <w:highlight w:val="none"/>
        </w:rPr>
        <w:t>〔2017〕</w:t>
      </w:r>
      <w:r>
        <w:rPr>
          <w:rFonts w:hint="eastAsia" w:ascii="宋体" w:hAnsi="宋体" w:eastAsia="宋体" w:cs="Times New Roman"/>
          <w:color w:val="auto"/>
          <w:sz w:val="24"/>
          <w:szCs w:val="21"/>
          <w:highlight w:val="none"/>
        </w:rPr>
        <w:t>141号）的规定，本单位为符合条件的残疾人福利性单位，且本单位参加单位的项目（</w:t>
      </w:r>
      <w:r>
        <w:rPr>
          <w:rFonts w:hint="eastAsia" w:ascii="宋体" w:hAnsi="宋体" w:eastAsia="宋体" w:cs="Times New Roman"/>
          <w:color w:val="auto"/>
          <w:sz w:val="24"/>
          <w:szCs w:val="24"/>
          <w:highlight w:val="none"/>
        </w:rPr>
        <w:t>项目编号</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分包号：</w:t>
      </w:r>
      <w:r>
        <w:rPr>
          <w:rFonts w:hint="eastAsia" w:ascii="宋体" w:hAnsi="宋体" w:eastAsia="宋体" w:cs="Times New Roman"/>
          <w:color w:val="auto"/>
          <w:sz w:val="24"/>
          <w:szCs w:val="21"/>
          <w:highlight w:val="none"/>
        </w:rPr>
        <w:t>）采购活动由本单位提供全部服务。</w:t>
      </w:r>
    </w:p>
    <w:p w14:paraId="6EE6E2D2">
      <w:pPr>
        <w:spacing w:line="500"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140ADFAB">
      <w:pPr>
        <w:spacing w:line="500" w:lineRule="exact"/>
        <w:ind w:firstLine="480"/>
        <w:rPr>
          <w:rFonts w:ascii="宋体" w:hAnsi="宋体" w:eastAsia="宋体" w:cs="Times New Roman"/>
          <w:color w:val="auto"/>
          <w:sz w:val="24"/>
          <w:szCs w:val="21"/>
          <w:highlight w:val="none"/>
        </w:rPr>
      </w:pPr>
    </w:p>
    <w:p w14:paraId="7747AD59">
      <w:pPr>
        <w:spacing w:line="560" w:lineRule="exact"/>
        <w:ind w:right="162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单位名称（盖章）：</w:t>
      </w:r>
    </w:p>
    <w:p w14:paraId="38224777">
      <w:pPr>
        <w:spacing w:line="560" w:lineRule="exact"/>
        <w:ind w:right="1140" w:firstLine="28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日期：</w:t>
      </w:r>
    </w:p>
    <w:p w14:paraId="4F0F63D7">
      <w:pPr>
        <w:rPr>
          <w:color w:val="auto"/>
          <w:highlight w:val="none"/>
        </w:rPr>
      </w:pPr>
    </w:p>
    <w:p w14:paraId="6B58C001">
      <w:pPr>
        <w:rPr>
          <w:color w:val="auto"/>
          <w:highlight w:val="none"/>
        </w:rPr>
      </w:pPr>
    </w:p>
    <w:p w14:paraId="60C1D261">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2EB68989">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请</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如实填写，</w:t>
      </w:r>
      <w:r>
        <w:rPr>
          <w:rFonts w:hint="eastAsia" w:ascii="宋体" w:hAnsi="宋体"/>
          <w:bCs/>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2CF6D9C0">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r>
        <w:rPr>
          <w:rFonts w:hint="eastAsia" w:ascii="宋体" w:hAnsi="宋体" w:eastAsia="宋体" w:cs="Times New Roman"/>
          <w:color w:val="auto"/>
          <w:sz w:val="24"/>
          <w:szCs w:val="24"/>
          <w:highlight w:val="none"/>
        </w:rPr>
        <w:t>，接受社会监督</w:t>
      </w:r>
      <w:r>
        <w:rPr>
          <w:rFonts w:hint="eastAsia" w:ascii="宋体" w:hAnsi="宋体" w:eastAsia="宋体" w:cs="Times New Roman"/>
          <w:bCs/>
          <w:color w:val="auto"/>
          <w:sz w:val="24"/>
          <w:szCs w:val="24"/>
          <w:highlight w:val="none"/>
        </w:rPr>
        <w:t>。</w:t>
      </w:r>
    </w:p>
    <w:p w14:paraId="1D9B1E03">
      <w:pPr>
        <w:rPr>
          <w:color w:val="auto"/>
          <w:highlight w:val="none"/>
        </w:rPr>
      </w:pPr>
    </w:p>
    <w:p w14:paraId="5E480BC0">
      <w:pPr>
        <w:rPr>
          <w:color w:val="auto"/>
          <w:highlight w:val="none"/>
        </w:rPr>
      </w:pPr>
    </w:p>
    <w:p w14:paraId="2D44B2D4">
      <w:pPr>
        <w:rPr>
          <w:color w:val="auto"/>
          <w:highlight w:val="none"/>
        </w:rPr>
      </w:pPr>
    </w:p>
    <w:p w14:paraId="5DC2835F">
      <w:pPr>
        <w:rPr>
          <w:color w:val="auto"/>
          <w:highlight w:val="none"/>
        </w:rPr>
      </w:pPr>
    </w:p>
    <w:p w14:paraId="53A0BC6C">
      <w:pPr>
        <w:rPr>
          <w:color w:val="auto"/>
          <w:highlight w:val="none"/>
        </w:rPr>
      </w:pPr>
    </w:p>
    <w:p w14:paraId="2A6C91BC">
      <w:pPr>
        <w:rPr>
          <w:color w:val="auto"/>
          <w:highlight w:val="none"/>
        </w:rPr>
      </w:pPr>
    </w:p>
    <w:p w14:paraId="5402E868">
      <w:pPr>
        <w:rPr>
          <w:color w:val="auto"/>
          <w:highlight w:val="none"/>
        </w:rPr>
      </w:pPr>
    </w:p>
    <w:p w14:paraId="113A8B0E">
      <w:pPr>
        <w:rPr>
          <w:color w:val="auto"/>
          <w:highlight w:val="none"/>
        </w:rPr>
      </w:pPr>
    </w:p>
    <w:p w14:paraId="49914201">
      <w:pPr>
        <w:rPr>
          <w:color w:val="auto"/>
          <w:highlight w:val="none"/>
        </w:rPr>
      </w:pPr>
    </w:p>
    <w:p w14:paraId="39B66086">
      <w:pPr>
        <w:rPr>
          <w:color w:val="auto"/>
          <w:highlight w:val="none"/>
        </w:rPr>
      </w:pPr>
    </w:p>
    <w:p w14:paraId="2E9F0A29">
      <w:pPr>
        <w:rPr>
          <w:color w:val="auto"/>
          <w:highlight w:val="none"/>
        </w:rPr>
      </w:pPr>
    </w:p>
    <w:p w14:paraId="49A7DE19">
      <w:pPr>
        <w:rPr>
          <w:color w:val="auto"/>
          <w:highlight w:val="none"/>
        </w:rPr>
      </w:pPr>
    </w:p>
    <w:p w14:paraId="7BE4B391">
      <w:pPr>
        <w:rPr>
          <w:color w:val="auto"/>
          <w:highlight w:val="none"/>
        </w:rPr>
      </w:pPr>
    </w:p>
    <w:p w14:paraId="5BCB18A1">
      <w:pPr>
        <w:rPr>
          <w:color w:val="auto"/>
          <w:highlight w:val="none"/>
        </w:rPr>
      </w:pPr>
    </w:p>
    <w:p w14:paraId="0BB724E0">
      <w:pPr>
        <w:rPr>
          <w:color w:val="auto"/>
          <w:highlight w:val="none"/>
        </w:rPr>
      </w:pPr>
    </w:p>
    <w:p w14:paraId="5E9B2D25">
      <w:pPr>
        <w:rPr>
          <w:color w:val="auto"/>
          <w:highlight w:val="none"/>
        </w:rPr>
      </w:pPr>
    </w:p>
    <w:p w14:paraId="6F5151C8">
      <w:pPr>
        <w:rPr>
          <w:color w:val="auto"/>
          <w:highlight w:val="none"/>
        </w:rPr>
      </w:pPr>
    </w:p>
    <w:p w14:paraId="1D1C3217">
      <w:pPr>
        <w:rPr>
          <w:color w:val="auto"/>
          <w:highlight w:val="none"/>
        </w:rPr>
      </w:pPr>
    </w:p>
    <w:p w14:paraId="114ACF61">
      <w:pPr>
        <w:spacing w:line="500" w:lineRule="exact"/>
        <w:ind w:firstLine="480"/>
        <w:rPr>
          <w:rFonts w:ascii="宋体" w:hAnsi="宋体" w:eastAsia="宋体" w:cs="Times New Roman"/>
          <w:color w:val="auto"/>
          <w:sz w:val="24"/>
          <w:szCs w:val="24"/>
          <w:highlight w:val="none"/>
        </w:rPr>
      </w:pPr>
    </w:p>
    <w:p w14:paraId="46C498F8">
      <w:pPr>
        <w:spacing w:line="500" w:lineRule="exact"/>
        <w:jc w:val="left"/>
        <w:rPr>
          <w:rFonts w:hint="eastAsia" w:ascii="宋体" w:hAnsi="宋体" w:eastAsia="宋体" w:cs="宋体"/>
          <w:i/>
          <w:color w:val="auto"/>
          <w:sz w:val="30"/>
          <w:szCs w:val="30"/>
          <w:highlight w:val="none"/>
          <w:u w:val="single"/>
        </w:rPr>
        <w:sectPr>
          <w:pgSz w:w="11906" w:h="16838"/>
          <w:pgMar w:top="1440" w:right="1800" w:bottom="1440" w:left="1800" w:header="851" w:footer="992" w:gutter="0"/>
          <w:pgNumType w:fmt="decimal"/>
          <w:cols w:space="425" w:num="1"/>
          <w:docGrid w:linePitch="360" w:charSpace="0"/>
        </w:sectPr>
      </w:pPr>
    </w:p>
    <w:p w14:paraId="2CEC32E0">
      <w:pPr>
        <w:spacing w:line="500" w:lineRule="exact"/>
        <w:jc w:val="left"/>
        <w:rPr>
          <w:rFonts w:hint="eastAsia" w:ascii="宋体" w:hAnsi="宋体" w:eastAsia="宋体" w:cs="宋体"/>
          <w:i/>
          <w:color w:val="auto"/>
          <w:sz w:val="30"/>
          <w:szCs w:val="30"/>
          <w:highlight w:val="none"/>
          <w:u w:val="single"/>
          <w:lang w:val="en-US" w:eastAsia="zh-CN"/>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三、关于符合本国产品标准的声明函</w:t>
      </w:r>
    </w:p>
    <w:p w14:paraId="09AA7196">
      <w:pPr>
        <w:jc w:val="left"/>
        <w:rPr>
          <w:rFonts w:hint="eastAsia" w:ascii="宋体" w:hAnsi="宋体"/>
          <w:color w:val="auto"/>
          <w:sz w:val="24"/>
          <w:szCs w:val="24"/>
          <w:highlight w:val="none"/>
          <w:lang w:val="en-US" w:eastAsia="zh-CN" w:bidi="ar-SA"/>
        </w:rPr>
      </w:pPr>
    </w:p>
    <w:p w14:paraId="7B67D8AE">
      <w:pPr>
        <w:jc w:val="center"/>
        <w:rPr>
          <w:rFonts w:hint="eastAsia" w:ascii="宋体" w:hAnsi="宋体"/>
          <w:color w:val="auto"/>
          <w:sz w:val="24"/>
          <w:szCs w:val="24"/>
          <w:highlight w:val="none"/>
          <w:lang w:val="en-US" w:eastAsia="zh-CN" w:bidi="ar-SA"/>
        </w:rPr>
      </w:pPr>
      <w:r>
        <w:rPr>
          <w:rFonts w:hint="eastAsia" w:ascii="宋体" w:hAnsi="宋体"/>
          <w:b/>
          <w:bCs/>
          <w:color w:val="auto"/>
          <w:sz w:val="24"/>
          <w:szCs w:val="24"/>
          <w:highlight w:val="none"/>
          <w:lang w:val="en-US" w:eastAsia="zh-CN" w:bidi="ar-SA"/>
        </w:rPr>
        <w:t>关于符合本国产品标准的声明函</w:t>
      </w:r>
    </w:p>
    <w:p w14:paraId="79431057">
      <w:pPr>
        <w:jc w:val="left"/>
        <w:rPr>
          <w:rFonts w:hint="eastAsia" w:ascii="宋体" w:hAnsi="宋体"/>
          <w:color w:val="auto"/>
          <w:sz w:val="24"/>
          <w:szCs w:val="24"/>
          <w:highlight w:val="none"/>
          <w:lang w:val="en-US" w:eastAsia="zh-CN" w:bidi="ar-SA"/>
        </w:rPr>
      </w:pPr>
    </w:p>
    <w:p w14:paraId="29D8B141">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CD85B55">
      <w:pPr>
        <w:jc w:val="left"/>
        <w:rPr>
          <w:rFonts w:hint="eastAsia" w:ascii="宋体" w:hAnsi="宋体"/>
          <w:color w:val="auto"/>
          <w:sz w:val="24"/>
          <w:szCs w:val="24"/>
          <w:highlight w:val="none"/>
          <w:lang w:val="en-US" w:eastAsia="zh-CN" w:bidi="ar-SA"/>
        </w:rPr>
      </w:pPr>
    </w:p>
    <w:p w14:paraId="18F26568">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w:t>
      </w:r>
      <w:r>
        <w:rPr>
          <w:rFonts w:hint="eastAsia" w:ascii="宋体" w:hAnsi="宋体"/>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1，生产厂为</w:t>
      </w:r>
      <w:r>
        <w:rPr>
          <w:rFonts w:hint="eastAsia" w:ascii="宋体" w:hAnsi="宋体"/>
          <w:color w:val="auto"/>
          <w:sz w:val="24"/>
          <w:szCs w:val="24"/>
          <w:highlight w:val="none"/>
          <w:u w:val="single"/>
          <w:lang w:val="en-US" w:eastAsia="zh-CN" w:bidi="ar-SA"/>
        </w:rPr>
        <w:t>（厂名）</w:t>
      </w:r>
      <w:r>
        <w:rPr>
          <w:rFonts w:hint="eastAsia" w:ascii="宋体" w:hAnsi="宋体"/>
          <w:color w:val="auto"/>
          <w:sz w:val="24"/>
          <w:szCs w:val="24"/>
          <w:highlight w:val="none"/>
          <w:lang w:val="en-US" w:eastAsia="zh-CN" w:bidi="ar-SA"/>
        </w:rPr>
        <w:t>2，厂址为</w:t>
      </w:r>
      <w:r>
        <w:rPr>
          <w:rFonts w:hint="eastAsia" w:ascii="宋体" w:hAnsi="宋体"/>
          <w:color w:val="auto"/>
          <w:sz w:val="24"/>
          <w:szCs w:val="24"/>
          <w:highlight w:val="none"/>
          <w:u w:val="single"/>
          <w:lang w:val="en-US" w:eastAsia="zh-CN" w:bidi="ar-SA"/>
        </w:rPr>
        <w:t>（生产厂址）</w:t>
      </w:r>
      <w:r>
        <w:rPr>
          <w:rFonts w:hint="eastAsia" w:ascii="宋体" w:hAnsi="宋体"/>
          <w:color w:val="auto"/>
          <w:sz w:val="24"/>
          <w:szCs w:val="24"/>
          <w:highlight w:val="none"/>
          <w:lang w:val="en-US" w:eastAsia="zh-CN" w:bidi="ar-SA"/>
        </w:rPr>
        <w:t>。</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的中国境内生产的组件成本占比≥</w:t>
      </w:r>
      <w:r>
        <w:rPr>
          <w:rFonts w:hint="eastAsia" w:ascii="宋体" w:hAnsi="宋体"/>
          <w:strike/>
          <w:color w:val="auto"/>
          <w:sz w:val="24"/>
          <w:szCs w:val="24"/>
          <w:highlight w:val="none"/>
          <w:u w:val="single"/>
          <w:lang w:val="en-US" w:eastAsia="zh-CN" w:bidi="ar-SA"/>
        </w:rPr>
        <w:t>（规定比例）</w:t>
      </w:r>
      <w:r>
        <w:rPr>
          <w:rFonts w:hint="eastAsia" w:ascii="宋体" w:hAnsi="宋体"/>
          <w:color w:val="auto"/>
          <w:sz w:val="24"/>
          <w:szCs w:val="24"/>
          <w:highlight w:val="none"/>
          <w:lang w:val="en-US" w:eastAsia="zh-CN" w:bidi="ar-SA"/>
        </w:rPr>
        <w:t>3。</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（关键组件）</w:t>
      </w:r>
      <w:r>
        <w:rPr>
          <w:rFonts w:hint="eastAsia" w:ascii="宋体" w:hAnsi="宋体"/>
          <w:color w:val="auto"/>
          <w:sz w:val="24"/>
          <w:szCs w:val="24"/>
          <w:highlight w:val="none"/>
          <w:lang w:val="en-US" w:eastAsia="zh-CN" w:bidi="ar-SA"/>
        </w:rPr>
        <w:t>4在中国境内生产。</w:t>
      </w:r>
      <w:r>
        <w:rPr>
          <w:rFonts w:hint="eastAsia" w:ascii="宋体" w:hAnsi="宋体"/>
          <w:strike/>
          <w:color w:val="auto"/>
          <w:sz w:val="24"/>
          <w:szCs w:val="24"/>
          <w:highlight w:val="none"/>
          <w:u w:val="single"/>
          <w:lang w:val="en-US" w:eastAsia="zh-CN" w:bidi="ar-SA"/>
        </w:rPr>
        <w:t>（产品名称1）</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（关键工序）</w:t>
      </w:r>
      <w:r>
        <w:rPr>
          <w:rFonts w:hint="eastAsia" w:ascii="宋体" w:hAnsi="宋体"/>
          <w:color w:val="auto"/>
          <w:sz w:val="24"/>
          <w:szCs w:val="24"/>
          <w:highlight w:val="none"/>
          <w:lang w:val="en-US" w:eastAsia="zh-CN" w:bidi="ar-SA"/>
        </w:rPr>
        <w:t>5在中国境内完成。</w:t>
      </w:r>
    </w:p>
    <w:p w14:paraId="7AE19B52">
      <w:pPr>
        <w:jc w:val="left"/>
        <w:rPr>
          <w:rFonts w:hint="eastAsia" w:ascii="宋体" w:hAnsi="宋体"/>
          <w:color w:val="auto"/>
          <w:sz w:val="24"/>
          <w:szCs w:val="24"/>
          <w:highlight w:val="none"/>
          <w:lang w:val="en-US" w:eastAsia="zh-CN" w:bidi="ar-SA"/>
        </w:rPr>
      </w:pPr>
    </w:p>
    <w:p w14:paraId="0BA1B506">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w:t>
      </w:r>
      <w:r>
        <w:rPr>
          <w:rFonts w:hint="eastAsia" w:ascii="宋体" w:hAnsi="宋体"/>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，生产厂为</w:t>
      </w:r>
      <w:r>
        <w:rPr>
          <w:rFonts w:hint="eastAsia" w:ascii="宋体" w:hAnsi="宋体"/>
          <w:color w:val="auto"/>
          <w:sz w:val="24"/>
          <w:szCs w:val="24"/>
          <w:highlight w:val="none"/>
          <w:u w:val="single"/>
          <w:lang w:val="en-US" w:eastAsia="zh-CN" w:bidi="ar-SA"/>
        </w:rPr>
        <w:t>（厂名）</w:t>
      </w:r>
      <w:r>
        <w:rPr>
          <w:rFonts w:hint="eastAsia" w:ascii="宋体" w:hAnsi="宋体"/>
          <w:color w:val="auto"/>
          <w:sz w:val="24"/>
          <w:szCs w:val="24"/>
          <w:highlight w:val="none"/>
          <w:lang w:val="en-US" w:eastAsia="zh-CN" w:bidi="ar-SA"/>
        </w:rPr>
        <w:t>，厂址为</w:t>
      </w:r>
      <w:r>
        <w:rPr>
          <w:rFonts w:hint="eastAsia" w:ascii="宋体" w:hAnsi="宋体"/>
          <w:color w:val="auto"/>
          <w:sz w:val="24"/>
          <w:szCs w:val="24"/>
          <w:highlight w:val="none"/>
          <w:u w:val="single"/>
          <w:lang w:val="en-US" w:eastAsia="zh-CN" w:bidi="ar-SA"/>
        </w:rPr>
        <w:t>（生产厂址）</w:t>
      </w:r>
      <w:r>
        <w:rPr>
          <w:rFonts w:hint="eastAsia" w:ascii="宋体" w:hAnsi="宋体"/>
          <w:color w:val="auto"/>
          <w:sz w:val="24"/>
          <w:szCs w:val="24"/>
          <w:highlight w:val="none"/>
          <w:lang w:val="en-US" w:eastAsia="zh-CN" w:bidi="ar-SA"/>
        </w:rPr>
        <w:t>。</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的中国境内生产的组件成本占比≥</w:t>
      </w:r>
      <w:r>
        <w:rPr>
          <w:rFonts w:hint="eastAsia" w:ascii="宋体" w:hAnsi="宋体"/>
          <w:strike/>
          <w:color w:val="auto"/>
          <w:sz w:val="24"/>
          <w:szCs w:val="24"/>
          <w:highlight w:val="none"/>
          <w:u w:val="single"/>
          <w:lang w:val="en-US" w:eastAsia="zh-CN" w:bidi="ar-SA"/>
        </w:rPr>
        <w:t>（规定比例）</w:t>
      </w:r>
      <w:r>
        <w:rPr>
          <w:rFonts w:hint="eastAsia" w:ascii="宋体" w:hAnsi="宋体"/>
          <w:color w:val="auto"/>
          <w:sz w:val="24"/>
          <w:szCs w:val="24"/>
          <w:highlight w:val="none"/>
          <w:lang w:val="en-US" w:eastAsia="zh-CN" w:bidi="ar-SA"/>
        </w:rPr>
        <w:t>。</w:t>
      </w:r>
      <w:r>
        <w:rPr>
          <w:rFonts w:hint="eastAsia" w:ascii="宋体" w:hAnsi="宋体"/>
          <w:color w:val="auto"/>
          <w:sz w:val="24"/>
          <w:szCs w:val="24"/>
          <w:highlight w:val="none"/>
          <w:u w:val="single"/>
          <w:lang w:val="en-US" w:eastAsia="zh-CN" w:bidi="ar-SA"/>
        </w:rPr>
        <w:t>（</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（关键组件）</w:t>
      </w:r>
      <w:r>
        <w:rPr>
          <w:rFonts w:hint="eastAsia" w:ascii="宋体" w:hAnsi="宋体"/>
          <w:color w:val="auto"/>
          <w:sz w:val="24"/>
          <w:szCs w:val="24"/>
          <w:highlight w:val="none"/>
          <w:lang w:val="en-US" w:eastAsia="zh-CN" w:bidi="ar-SA"/>
        </w:rPr>
        <w:t>在中国境内生产。</w:t>
      </w:r>
      <w:r>
        <w:rPr>
          <w:rFonts w:hint="eastAsia" w:ascii="宋体" w:hAnsi="宋体"/>
          <w:strike/>
          <w:color w:val="auto"/>
          <w:sz w:val="24"/>
          <w:szCs w:val="24"/>
          <w:highlight w:val="none"/>
          <w:u w:val="single"/>
          <w:lang w:val="en-US" w:eastAsia="zh-CN" w:bidi="ar-SA"/>
        </w:rPr>
        <w:t>（产品名称2）</w:t>
      </w:r>
      <w:r>
        <w:rPr>
          <w:rFonts w:hint="eastAsia" w:ascii="宋体" w:hAnsi="宋体"/>
          <w:color w:val="auto"/>
          <w:sz w:val="24"/>
          <w:szCs w:val="24"/>
          <w:highlight w:val="none"/>
          <w:lang w:val="en-US" w:eastAsia="zh-CN" w:bidi="ar-SA"/>
        </w:rPr>
        <w:t>的</w:t>
      </w:r>
      <w:r>
        <w:rPr>
          <w:rFonts w:hint="eastAsia" w:ascii="宋体" w:hAnsi="宋体"/>
          <w:strike/>
          <w:color w:val="auto"/>
          <w:sz w:val="24"/>
          <w:szCs w:val="24"/>
          <w:highlight w:val="none"/>
          <w:u w:val="single"/>
          <w:lang w:val="en-US" w:eastAsia="zh-CN" w:bidi="ar-SA"/>
        </w:rPr>
        <w:t>（关键工序）</w:t>
      </w:r>
      <w:r>
        <w:rPr>
          <w:rFonts w:hint="eastAsia" w:ascii="宋体" w:hAnsi="宋体"/>
          <w:color w:val="auto"/>
          <w:sz w:val="24"/>
          <w:szCs w:val="24"/>
          <w:highlight w:val="none"/>
          <w:lang w:val="en-US" w:eastAsia="zh-CN" w:bidi="ar-SA"/>
        </w:rPr>
        <w:t>在中国境内完成。</w:t>
      </w:r>
    </w:p>
    <w:p w14:paraId="532D2F1C">
      <w:pPr>
        <w:jc w:val="left"/>
        <w:rPr>
          <w:rFonts w:hint="eastAsia" w:ascii="宋体" w:hAnsi="宋体"/>
          <w:color w:val="auto"/>
          <w:sz w:val="24"/>
          <w:szCs w:val="24"/>
          <w:highlight w:val="none"/>
          <w:lang w:val="en-US" w:eastAsia="zh-CN" w:bidi="ar-SA"/>
        </w:rPr>
      </w:pPr>
    </w:p>
    <w:p w14:paraId="2CEB95DE">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w:t>
      </w:r>
    </w:p>
    <w:p w14:paraId="3940945F">
      <w:pPr>
        <w:jc w:val="left"/>
        <w:rPr>
          <w:rFonts w:hint="eastAsia" w:ascii="宋体" w:hAnsi="宋体"/>
          <w:color w:val="auto"/>
          <w:sz w:val="24"/>
          <w:szCs w:val="24"/>
          <w:highlight w:val="none"/>
          <w:lang w:val="en-US" w:eastAsia="zh-CN" w:bidi="ar-SA"/>
        </w:rPr>
      </w:pPr>
    </w:p>
    <w:p w14:paraId="22A3067B">
      <w:pPr>
        <w:ind w:firstLine="48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本公司（单位）对上述声明内容的真实性负责。如有虚假，愿承担相应法律责任。</w:t>
      </w:r>
    </w:p>
    <w:p w14:paraId="72E905A4">
      <w:pPr>
        <w:jc w:val="left"/>
        <w:rPr>
          <w:rFonts w:hint="eastAsia" w:ascii="宋体" w:hAnsi="宋体"/>
          <w:color w:val="auto"/>
          <w:sz w:val="24"/>
          <w:szCs w:val="24"/>
          <w:highlight w:val="none"/>
          <w:lang w:val="en-US" w:eastAsia="zh-CN" w:bidi="ar-SA"/>
        </w:rPr>
      </w:pPr>
    </w:p>
    <w:p w14:paraId="37EA99C6">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 xml:space="preserve"> </w:t>
      </w:r>
    </w:p>
    <w:p w14:paraId="6B3EE045">
      <w:pPr>
        <w:jc w:val="left"/>
        <w:rPr>
          <w:rFonts w:hint="eastAsia" w:ascii="宋体" w:hAnsi="宋体"/>
          <w:color w:val="auto"/>
          <w:sz w:val="24"/>
          <w:szCs w:val="24"/>
          <w:highlight w:val="none"/>
          <w:lang w:val="en-US" w:eastAsia="zh-CN" w:bidi="ar-SA"/>
        </w:rPr>
      </w:pPr>
    </w:p>
    <w:p w14:paraId="27990DCD">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公司（单位）名称（盖章）：　        </w:t>
      </w:r>
    </w:p>
    <w:p w14:paraId="784FEBFF">
      <w:pPr>
        <w:jc w:val="left"/>
        <w:rPr>
          <w:rFonts w:hint="eastAsia" w:ascii="宋体" w:hAnsi="宋体"/>
          <w:color w:val="auto"/>
          <w:sz w:val="24"/>
          <w:szCs w:val="24"/>
          <w:highlight w:val="none"/>
          <w:lang w:val="en-US" w:eastAsia="zh-CN" w:bidi="ar-SA"/>
        </w:rPr>
      </w:pPr>
    </w:p>
    <w:p w14:paraId="56A6FF09">
      <w:pPr>
        <w:ind w:firstLine="5040"/>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日期：　     年　  月　  日</w:t>
      </w:r>
    </w:p>
    <w:p w14:paraId="671F0360">
      <w:pPr>
        <w:jc w:val="left"/>
        <w:rPr>
          <w:rFonts w:hint="eastAsia" w:ascii="宋体" w:hAnsi="宋体"/>
          <w:color w:val="auto"/>
          <w:sz w:val="24"/>
          <w:szCs w:val="24"/>
          <w:highlight w:val="none"/>
          <w:lang w:val="en-US" w:eastAsia="zh-CN" w:bidi="ar-SA"/>
        </w:rPr>
      </w:pPr>
    </w:p>
    <w:p w14:paraId="598CD3DA">
      <w:pPr>
        <w:jc w:val="left"/>
        <w:rPr>
          <w:rFonts w:hint="eastAsia" w:ascii="宋体" w:hAnsi="宋体"/>
          <w:color w:val="auto"/>
          <w:sz w:val="24"/>
          <w:szCs w:val="24"/>
          <w:highlight w:val="none"/>
          <w:lang w:val="en-US" w:eastAsia="zh-CN" w:bidi="ar-SA"/>
        </w:rPr>
      </w:pPr>
    </w:p>
    <w:p w14:paraId="0B328CF3">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1、产品如有型号，请在“产品名称”栏一并填写。</w:t>
      </w:r>
    </w:p>
    <w:p w14:paraId="2513A204">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2、生产厂名与厂址应与生产厂营业执照载明的相关信息保持一致。</w:t>
      </w:r>
    </w:p>
    <w:p w14:paraId="4847E746">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3、该产品的中国境内生产的组件成本占比相关要求实施前，“规定比例”栏可不填，下同。</w:t>
      </w:r>
    </w:p>
    <w:p w14:paraId="5D7368C0">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4、该产品的关键组件要求实施前，“关键组件”栏可不填。</w:t>
      </w:r>
    </w:p>
    <w:p w14:paraId="2D4F3658">
      <w:pPr>
        <w:jc w:val="lef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5、该产品的关键工序要求实施前，“关键工序”栏可不填。</w:t>
      </w:r>
    </w:p>
    <w:p w14:paraId="3063DB67">
      <w:pPr>
        <w:jc w:val="left"/>
        <w:rPr>
          <w:rFonts w:hint="eastAsia" w:ascii="宋体" w:hAnsi="宋体"/>
          <w:color w:val="auto"/>
          <w:sz w:val="24"/>
          <w:szCs w:val="24"/>
          <w:highlight w:val="none"/>
          <w:lang w:val="en-US" w:eastAsia="zh-CN" w:bidi="ar-SA"/>
        </w:rPr>
        <w:sectPr>
          <w:pgSz w:w="11906" w:h="16838"/>
          <w:pgMar w:top="1440" w:right="1800" w:bottom="1440" w:left="1800" w:header="851" w:footer="992" w:gutter="0"/>
          <w:pgNumType w:fmt="decimal"/>
          <w:cols w:space="425" w:num="1"/>
          <w:docGrid w:linePitch="360" w:charSpace="0"/>
        </w:sectPr>
      </w:pPr>
      <w:r>
        <w:rPr>
          <w:rFonts w:hint="eastAsia" w:ascii="宋体" w:hAnsi="宋体"/>
          <w:color w:val="auto"/>
          <w:sz w:val="24"/>
          <w:szCs w:val="24"/>
          <w:highlight w:val="none"/>
          <w:lang w:val="en-US" w:eastAsia="zh-CN" w:bidi="ar-SA"/>
        </w:rPr>
        <w:t>6、划除栏无需填写。</w:t>
      </w:r>
    </w:p>
    <w:p w14:paraId="6B213725">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eastAsia="zh-CN"/>
        </w:rPr>
        <w:t>四</w:t>
      </w:r>
      <w:r>
        <w:rPr>
          <w:rFonts w:hint="eastAsia" w:ascii="宋体" w:hAnsi="宋体" w:eastAsia="宋体" w:cs="宋体"/>
          <w:i/>
          <w:color w:val="auto"/>
          <w:sz w:val="30"/>
          <w:szCs w:val="30"/>
          <w:highlight w:val="none"/>
          <w:u w:val="single"/>
        </w:rPr>
        <w:t>、投标分项报价表（分包号：**）</w:t>
      </w:r>
    </w:p>
    <w:p w14:paraId="0C892A21">
      <w:pPr>
        <w:keepNext/>
        <w:keepLines/>
        <w:spacing w:before="360" w:after="200" w:line="360" w:lineRule="auto"/>
        <w:jc w:val="center"/>
        <w:outlineLvl w:val="1"/>
        <w:rPr>
          <w:rFonts w:hint="eastAsia" w:ascii="宋体" w:hAnsi="宋体" w:eastAsia="宋体" w:cs="宋体"/>
          <w:i/>
          <w:color w:val="auto"/>
          <w:sz w:val="30"/>
          <w:szCs w:val="30"/>
          <w:highlight w:val="none"/>
          <w:u w:val="single"/>
        </w:rPr>
      </w:pPr>
      <w:r>
        <w:rPr>
          <w:rFonts w:hint="eastAsia" w:ascii="宋体" w:hAnsi="宋体" w:eastAsia="宋体" w:cs="宋体"/>
          <w:b/>
          <w:bCs/>
          <w:i w:val="0"/>
          <w:iCs/>
          <w:color w:val="auto"/>
          <w:sz w:val="28"/>
          <w:szCs w:val="28"/>
          <w:highlight w:val="none"/>
          <w:u w:val="none"/>
          <w:lang w:val="en-US" w:eastAsia="zh-CN"/>
        </w:rPr>
        <w:t>（根据招标文件报价要求报价，格式自定）</w:t>
      </w:r>
    </w:p>
    <w:p w14:paraId="49A0F2D7">
      <w:pPr>
        <w:keepNext/>
        <w:keepLines/>
        <w:spacing w:before="360" w:after="200" w:line="360" w:lineRule="auto"/>
        <w:jc w:val="center"/>
        <w:outlineLvl w:val="1"/>
        <w:rPr>
          <w:rFonts w:hint="eastAsia" w:ascii="宋体" w:hAnsi="宋体" w:eastAsia="宋体" w:cs="宋体"/>
          <w:i/>
          <w:color w:val="auto"/>
          <w:sz w:val="30"/>
          <w:szCs w:val="30"/>
          <w:highlight w:val="none"/>
          <w:u w:val="single"/>
        </w:rPr>
        <w:sectPr>
          <w:pgSz w:w="11906" w:h="16838"/>
          <w:pgMar w:top="1440" w:right="1800" w:bottom="1440" w:left="1800" w:header="851" w:footer="992" w:gutter="0"/>
          <w:pgNumType w:fmt="decimal"/>
          <w:cols w:space="425" w:num="1"/>
          <w:docGrid w:linePitch="360" w:charSpace="0"/>
        </w:sectPr>
      </w:pPr>
    </w:p>
    <w:p w14:paraId="67E81E60">
      <w:pPr>
        <w:keepNext/>
        <w:keepLines/>
        <w:spacing w:before="360" w:after="200" w:line="360" w:lineRule="auto"/>
        <w:jc w:val="left"/>
        <w:outlineLvl w:val="1"/>
        <w:rPr>
          <w:rFonts w:hint="eastAsia" w:ascii="宋体" w:hAnsi="宋体" w:eastAsia="宋体" w:cs="宋体"/>
          <w:i/>
          <w:color w:val="auto"/>
          <w:sz w:val="30"/>
          <w:szCs w:val="30"/>
          <w:highlight w:val="none"/>
          <w:u w:val="single"/>
        </w:rPr>
      </w:pPr>
      <w:bookmarkStart w:id="10" w:name="_Hlt26955054"/>
      <w:bookmarkEnd w:id="10"/>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五</w:t>
      </w:r>
      <w:r>
        <w:rPr>
          <w:rFonts w:hint="eastAsia" w:ascii="宋体" w:hAnsi="宋体" w:eastAsia="宋体" w:cs="宋体"/>
          <w:i/>
          <w:color w:val="auto"/>
          <w:sz w:val="30"/>
          <w:szCs w:val="30"/>
          <w:highlight w:val="none"/>
          <w:u w:val="single"/>
        </w:rPr>
        <w:t>、商务要求响应及偏离表（分包号：**）</w:t>
      </w:r>
    </w:p>
    <w:p w14:paraId="317CB8DC">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355A6B87">
      <w:pPr>
        <w:spacing w:line="360" w:lineRule="auto"/>
        <w:jc w:val="left"/>
        <w:rPr>
          <w:color w:val="auto"/>
          <w:highlight w:val="none"/>
        </w:rPr>
      </w:pPr>
      <w:r>
        <w:rPr>
          <w:rFonts w:hint="eastAsia" w:ascii="宋体" w:hAnsi="宋体" w:eastAsia="宋体" w:cs="方正仿宋_GBK"/>
          <w:color w:val="auto"/>
          <w:sz w:val="24"/>
          <w:szCs w:val="24"/>
          <w:highlight w:val="none"/>
        </w:rPr>
        <w:t>项目名称：项目编号：分包号：</w:t>
      </w:r>
    </w:p>
    <w:tbl>
      <w:tblPr>
        <w:tblStyle w:val="1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1F0A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56CBC801">
            <w:pPr>
              <w:jc w:val="center"/>
              <w:rPr>
                <w:rFonts w:ascii="宋体" w:hAnsi="宋体" w:eastAsia="宋体" w:cs="Times New Roman"/>
                <w:color w:val="auto"/>
                <w:sz w:val="24"/>
                <w:szCs w:val="24"/>
                <w:highlight w:val="none"/>
              </w:rPr>
            </w:pPr>
            <w:bookmarkStart w:id="11" w:name="_Hlt26782999"/>
            <w:bookmarkEnd w:id="11"/>
            <w:bookmarkStart w:id="12" w:name="_Hlt26671343"/>
            <w:bookmarkEnd w:id="12"/>
            <w:bookmarkStart w:id="13" w:name="_Hlt26955056"/>
            <w:bookmarkEnd w:id="13"/>
            <w:bookmarkStart w:id="14" w:name="_Hlt26580838"/>
            <w:bookmarkEnd w:id="14"/>
            <w:bookmarkStart w:id="15" w:name="_Hlt26955064"/>
            <w:bookmarkEnd w:id="15"/>
            <w:bookmarkStart w:id="16" w:name="_Hlt26671372"/>
            <w:bookmarkEnd w:id="16"/>
            <w:bookmarkStart w:id="17" w:name="_Hlt24879081"/>
            <w:bookmarkEnd w:id="17"/>
            <w:bookmarkStart w:id="18" w:name="_Hlt26609391"/>
            <w:bookmarkEnd w:id="18"/>
            <w:r>
              <w:rPr>
                <w:rFonts w:hint="eastAsia" w:ascii="宋体" w:hAnsi="宋体" w:eastAsia="宋体" w:cs="Times New Roman"/>
                <w:color w:val="auto"/>
                <w:sz w:val="24"/>
                <w:szCs w:val="24"/>
                <w:highlight w:val="none"/>
              </w:rPr>
              <w:t>序号</w:t>
            </w:r>
          </w:p>
        </w:tc>
        <w:tc>
          <w:tcPr>
            <w:tcW w:w="3263" w:type="dxa"/>
            <w:noWrap w:val="0"/>
            <w:vAlign w:val="center"/>
          </w:tcPr>
          <w:p w14:paraId="65EADC8C">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34" w:type="dxa"/>
            <w:noWrap w:val="0"/>
            <w:vAlign w:val="center"/>
          </w:tcPr>
          <w:p w14:paraId="715B65DF">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1" w:type="dxa"/>
            <w:noWrap w:val="0"/>
            <w:vAlign w:val="center"/>
          </w:tcPr>
          <w:p w14:paraId="50734027">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16211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9537BB2">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63" w:type="dxa"/>
            <w:noWrap w:val="0"/>
            <w:vAlign w:val="center"/>
          </w:tcPr>
          <w:p w14:paraId="61FC0E5A">
            <w:pPr>
              <w:jc w:val="center"/>
              <w:rPr>
                <w:rFonts w:ascii="宋体" w:hAnsi="宋体" w:eastAsia="宋体" w:cs="Times New Roman"/>
                <w:color w:val="auto"/>
                <w:sz w:val="24"/>
                <w:szCs w:val="24"/>
                <w:highlight w:val="none"/>
              </w:rPr>
            </w:pPr>
          </w:p>
        </w:tc>
        <w:tc>
          <w:tcPr>
            <w:tcW w:w="3034" w:type="dxa"/>
            <w:noWrap w:val="0"/>
            <w:vAlign w:val="center"/>
          </w:tcPr>
          <w:p w14:paraId="625EFC40">
            <w:pPr>
              <w:jc w:val="center"/>
              <w:rPr>
                <w:rFonts w:ascii="宋体" w:hAnsi="宋体" w:eastAsia="宋体" w:cs="Times New Roman"/>
                <w:color w:val="auto"/>
                <w:sz w:val="24"/>
                <w:szCs w:val="24"/>
                <w:highlight w:val="none"/>
              </w:rPr>
            </w:pPr>
          </w:p>
        </w:tc>
        <w:tc>
          <w:tcPr>
            <w:tcW w:w="1391" w:type="dxa"/>
            <w:noWrap w:val="0"/>
            <w:vAlign w:val="center"/>
          </w:tcPr>
          <w:p w14:paraId="11158692">
            <w:pPr>
              <w:jc w:val="center"/>
              <w:rPr>
                <w:rFonts w:ascii="宋体" w:hAnsi="宋体" w:eastAsia="宋体" w:cs="Times New Roman"/>
                <w:color w:val="auto"/>
                <w:sz w:val="24"/>
                <w:szCs w:val="24"/>
                <w:highlight w:val="none"/>
              </w:rPr>
            </w:pPr>
          </w:p>
        </w:tc>
      </w:tr>
      <w:tr w14:paraId="168B2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E3EF3AB">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63" w:type="dxa"/>
            <w:noWrap w:val="0"/>
            <w:vAlign w:val="center"/>
          </w:tcPr>
          <w:p w14:paraId="6B65D89B">
            <w:pPr>
              <w:jc w:val="center"/>
              <w:rPr>
                <w:rFonts w:ascii="宋体" w:hAnsi="宋体" w:eastAsia="宋体" w:cs="Times New Roman"/>
                <w:color w:val="auto"/>
                <w:sz w:val="24"/>
                <w:szCs w:val="24"/>
                <w:highlight w:val="none"/>
              </w:rPr>
            </w:pPr>
          </w:p>
        </w:tc>
        <w:tc>
          <w:tcPr>
            <w:tcW w:w="3034" w:type="dxa"/>
            <w:noWrap w:val="0"/>
            <w:vAlign w:val="center"/>
          </w:tcPr>
          <w:p w14:paraId="38352732">
            <w:pPr>
              <w:jc w:val="center"/>
              <w:rPr>
                <w:rFonts w:ascii="宋体" w:hAnsi="宋体" w:eastAsia="宋体" w:cs="Times New Roman"/>
                <w:color w:val="auto"/>
                <w:sz w:val="24"/>
                <w:szCs w:val="24"/>
                <w:highlight w:val="none"/>
              </w:rPr>
            </w:pPr>
          </w:p>
        </w:tc>
        <w:tc>
          <w:tcPr>
            <w:tcW w:w="1391" w:type="dxa"/>
            <w:noWrap w:val="0"/>
            <w:vAlign w:val="center"/>
          </w:tcPr>
          <w:p w14:paraId="5FAA8150">
            <w:pPr>
              <w:jc w:val="center"/>
              <w:rPr>
                <w:rFonts w:ascii="宋体" w:hAnsi="宋体" w:eastAsia="宋体" w:cs="Times New Roman"/>
                <w:color w:val="auto"/>
                <w:sz w:val="24"/>
                <w:szCs w:val="24"/>
                <w:highlight w:val="none"/>
              </w:rPr>
            </w:pPr>
          </w:p>
        </w:tc>
      </w:tr>
      <w:tr w14:paraId="6D5CE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2CA5BCC">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63" w:type="dxa"/>
            <w:noWrap w:val="0"/>
            <w:vAlign w:val="center"/>
          </w:tcPr>
          <w:p w14:paraId="10B10802">
            <w:pPr>
              <w:jc w:val="center"/>
              <w:rPr>
                <w:rFonts w:ascii="宋体" w:hAnsi="宋体" w:eastAsia="宋体" w:cs="Times New Roman"/>
                <w:color w:val="auto"/>
                <w:sz w:val="24"/>
                <w:szCs w:val="24"/>
                <w:highlight w:val="none"/>
              </w:rPr>
            </w:pPr>
          </w:p>
        </w:tc>
        <w:tc>
          <w:tcPr>
            <w:tcW w:w="3034" w:type="dxa"/>
            <w:noWrap w:val="0"/>
            <w:vAlign w:val="center"/>
          </w:tcPr>
          <w:p w14:paraId="79945C7C">
            <w:pPr>
              <w:jc w:val="center"/>
              <w:rPr>
                <w:rFonts w:ascii="宋体" w:hAnsi="宋体" w:eastAsia="宋体" w:cs="Times New Roman"/>
                <w:color w:val="auto"/>
                <w:sz w:val="24"/>
                <w:szCs w:val="24"/>
                <w:highlight w:val="none"/>
              </w:rPr>
            </w:pPr>
          </w:p>
        </w:tc>
        <w:tc>
          <w:tcPr>
            <w:tcW w:w="1391" w:type="dxa"/>
            <w:noWrap w:val="0"/>
            <w:vAlign w:val="center"/>
          </w:tcPr>
          <w:p w14:paraId="71B73EA6">
            <w:pPr>
              <w:jc w:val="center"/>
              <w:rPr>
                <w:rFonts w:ascii="宋体" w:hAnsi="宋体" w:eastAsia="宋体" w:cs="Times New Roman"/>
                <w:color w:val="auto"/>
                <w:sz w:val="24"/>
                <w:szCs w:val="24"/>
                <w:highlight w:val="none"/>
              </w:rPr>
            </w:pPr>
          </w:p>
        </w:tc>
      </w:tr>
      <w:tr w14:paraId="19BAB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4619032">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263" w:type="dxa"/>
            <w:noWrap w:val="0"/>
            <w:vAlign w:val="center"/>
          </w:tcPr>
          <w:p w14:paraId="6EA6E1B7">
            <w:pPr>
              <w:jc w:val="center"/>
              <w:rPr>
                <w:rFonts w:ascii="宋体" w:hAnsi="宋体" w:eastAsia="宋体" w:cs="Times New Roman"/>
                <w:color w:val="auto"/>
                <w:sz w:val="24"/>
                <w:szCs w:val="24"/>
                <w:highlight w:val="none"/>
              </w:rPr>
            </w:pPr>
          </w:p>
        </w:tc>
        <w:tc>
          <w:tcPr>
            <w:tcW w:w="3034" w:type="dxa"/>
            <w:noWrap w:val="0"/>
            <w:vAlign w:val="center"/>
          </w:tcPr>
          <w:p w14:paraId="2C014A17">
            <w:pPr>
              <w:jc w:val="center"/>
              <w:rPr>
                <w:rFonts w:ascii="宋体" w:hAnsi="宋体" w:eastAsia="宋体" w:cs="Times New Roman"/>
                <w:color w:val="auto"/>
                <w:sz w:val="24"/>
                <w:szCs w:val="24"/>
                <w:highlight w:val="none"/>
              </w:rPr>
            </w:pPr>
          </w:p>
        </w:tc>
        <w:tc>
          <w:tcPr>
            <w:tcW w:w="1391" w:type="dxa"/>
            <w:noWrap w:val="0"/>
            <w:vAlign w:val="center"/>
          </w:tcPr>
          <w:p w14:paraId="6F425BCC">
            <w:pPr>
              <w:jc w:val="center"/>
              <w:rPr>
                <w:rFonts w:ascii="宋体" w:hAnsi="宋体" w:eastAsia="宋体" w:cs="Times New Roman"/>
                <w:color w:val="auto"/>
                <w:sz w:val="24"/>
                <w:szCs w:val="24"/>
                <w:highlight w:val="none"/>
              </w:rPr>
            </w:pPr>
          </w:p>
        </w:tc>
      </w:tr>
    </w:tbl>
    <w:p w14:paraId="4A7C41EB">
      <w:pPr>
        <w:spacing w:line="500" w:lineRule="exact"/>
        <w:ind w:firstLine="480"/>
        <w:rPr>
          <w:rFonts w:ascii="宋体" w:hAnsi="宋体" w:eastAsia="宋体" w:cs="Times New Roman"/>
          <w:color w:val="auto"/>
          <w:sz w:val="24"/>
          <w:szCs w:val="24"/>
          <w:highlight w:val="none"/>
        </w:rPr>
      </w:pPr>
    </w:p>
    <w:p w14:paraId="02DFFA74">
      <w:pPr>
        <w:spacing w:line="500" w:lineRule="exact"/>
        <w:ind w:firstLine="480"/>
        <w:rPr>
          <w:rFonts w:ascii="宋体" w:hAnsi="宋体" w:eastAsia="宋体" w:cs="Times New Roman"/>
          <w:color w:val="auto"/>
          <w:sz w:val="24"/>
          <w:szCs w:val="24"/>
          <w:highlight w:val="none"/>
        </w:rPr>
      </w:pPr>
    </w:p>
    <w:p w14:paraId="3811CEE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eastAsia" w:ascii="Times New Roman" w:hAnsi="Times New Roman" w:eastAsia="宋体" w:cs="Times New Roman"/>
          <w:color w:val="auto"/>
          <w:sz w:val="24"/>
          <w:szCs w:val="24"/>
          <w:highlight w:val="none"/>
        </w:rPr>
        <w:t>（盖章）：</w:t>
      </w:r>
    </w:p>
    <w:p w14:paraId="58A7139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5FEAE7B1">
      <w:pPr>
        <w:spacing w:line="500" w:lineRule="exact"/>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4E359341">
      <w:pPr>
        <w:rPr>
          <w:color w:val="auto"/>
          <w:highlight w:val="none"/>
        </w:rPr>
      </w:pPr>
      <w:bookmarkStart w:id="19" w:name="_Hlt26671374"/>
      <w:bookmarkEnd w:id="19"/>
      <w:bookmarkStart w:id="20" w:name="_Hlt26955066"/>
      <w:bookmarkEnd w:id="20"/>
      <w:bookmarkStart w:id="21" w:name="_格式2__法定代表人授权书"/>
      <w:bookmarkEnd w:id="21"/>
      <w:bookmarkStart w:id="22" w:name="_Hlt26609389"/>
      <w:bookmarkEnd w:id="22"/>
    </w:p>
    <w:p w14:paraId="3AD96B7F">
      <w:pPr>
        <w:rPr>
          <w:color w:val="auto"/>
          <w:highlight w:val="none"/>
        </w:rPr>
      </w:pPr>
    </w:p>
    <w:p w14:paraId="20DF71C8">
      <w:pPr>
        <w:keepNext/>
        <w:keepLines/>
        <w:spacing w:before="360" w:after="200" w:line="360" w:lineRule="auto"/>
        <w:jc w:val="left"/>
        <w:outlineLvl w:val="1"/>
        <w:rPr>
          <w:rFonts w:hint="eastAsia" w:ascii="宋体" w:hAnsi="宋体" w:eastAsia="宋体" w:cs="宋体"/>
          <w:i/>
          <w:color w:val="auto"/>
          <w:sz w:val="30"/>
          <w:szCs w:val="30"/>
          <w:highlight w:val="none"/>
          <w:u w:val="single"/>
        </w:rPr>
      </w:pPr>
      <w:r>
        <w:rPr>
          <w:rFonts w:hint="eastAsia" w:ascii="宋体" w:hAnsi="宋体" w:eastAsia="宋体" w:cs="宋体"/>
          <w:i/>
          <w:color w:val="auto"/>
          <w:sz w:val="30"/>
          <w:szCs w:val="30"/>
          <w:highlight w:val="none"/>
          <w:u w:val="single"/>
        </w:rPr>
        <w:t>十</w:t>
      </w:r>
      <w:r>
        <w:rPr>
          <w:rFonts w:hint="eastAsia" w:ascii="宋体" w:hAnsi="宋体" w:eastAsia="宋体" w:cs="宋体"/>
          <w:i/>
          <w:color w:val="auto"/>
          <w:sz w:val="30"/>
          <w:szCs w:val="30"/>
          <w:highlight w:val="none"/>
          <w:u w:val="single"/>
          <w:lang w:val="en-US" w:eastAsia="zh-CN"/>
        </w:rPr>
        <w:t>六</w:t>
      </w:r>
      <w:r>
        <w:rPr>
          <w:rFonts w:hint="eastAsia" w:ascii="宋体" w:hAnsi="宋体" w:eastAsia="宋体" w:cs="宋体"/>
          <w:i/>
          <w:color w:val="auto"/>
          <w:sz w:val="30"/>
          <w:szCs w:val="30"/>
          <w:highlight w:val="none"/>
          <w:u w:val="single"/>
        </w:rPr>
        <w:t>、开标一览表</w:t>
      </w:r>
    </w:p>
    <w:p w14:paraId="3570FEC8">
      <w:pPr>
        <w:spacing w:line="360" w:lineRule="auto"/>
        <w:jc w:val="left"/>
        <w:rPr>
          <w:rFonts w:ascii="Arial" w:hAnsi="Arial" w:eastAsia="宋体" w:cs="Arial"/>
          <w:color w:val="auto"/>
          <w:sz w:val="36"/>
          <w:highlight w:val="none"/>
        </w:rPr>
      </w:pPr>
      <w:r>
        <w:rPr>
          <w:rFonts w:hint="eastAsia" w:ascii="宋体" w:hAnsi="宋体" w:eastAsia="宋体" w:cs="方正仿宋_GBK"/>
          <w:color w:val="auto"/>
          <w:sz w:val="24"/>
          <w:szCs w:val="24"/>
          <w:highlight w:val="none"/>
        </w:rPr>
        <w:t>项目编号：分包号：</w:t>
      </w:r>
    </w:p>
    <w:p w14:paraId="493641DC">
      <w:pPr>
        <w:spacing w:line="500" w:lineRule="exact"/>
        <w:ind w:firstLine="480"/>
        <w:jc w:val="righ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货币单位：人民币元</w:t>
      </w:r>
    </w:p>
    <w:tbl>
      <w:tblPr>
        <w:tblStyle w:val="1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841"/>
        <w:gridCol w:w="2841"/>
      </w:tblGrid>
      <w:tr w14:paraId="5A6B7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0424721F">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项目名称</w:t>
            </w:r>
          </w:p>
        </w:tc>
        <w:tc>
          <w:tcPr>
            <w:tcW w:w="2841" w:type="dxa"/>
            <w:noWrap w:val="0"/>
          </w:tcPr>
          <w:p w14:paraId="739AEE1B">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项目内容</w:t>
            </w:r>
          </w:p>
        </w:tc>
        <w:tc>
          <w:tcPr>
            <w:tcW w:w="2841" w:type="dxa"/>
            <w:noWrap w:val="0"/>
          </w:tcPr>
          <w:p w14:paraId="320B2700">
            <w:pPr>
              <w:spacing w:line="500" w:lineRule="exact"/>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单</w:t>
            </w:r>
            <w:r>
              <w:rPr>
                <w:rFonts w:ascii="Times New Roman" w:hAnsi="Times New Roman" w:eastAsia="宋体" w:cs="Times New Roman"/>
                <w:color w:val="auto"/>
                <w:sz w:val="24"/>
                <w:szCs w:val="24"/>
                <w:highlight w:val="none"/>
              </w:rPr>
              <w:t>价</w:t>
            </w:r>
            <w:r>
              <w:rPr>
                <w:rFonts w:hint="eastAsia" w:ascii="Times New Roman" w:hAnsi="Times New Roman" w:eastAsia="宋体" w:cs="Times New Roman"/>
                <w:color w:val="auto"/>
                <w:sz w:val="24"/>
                <w:szCs w:val="24"/>
                <w:highlight w:val="none"/>
              </w:rPr>
              <w:t>（小写）</w:t>
            </w:r>
          </w:p>
        </w:tc>
      </w:tr>
      <w:tr w14:paraId="7F2DE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23E39954">
            <w:pPr>
              <w:spacing w:line="500" w:lineRule="exact"/>
              <w:jc w:val="center"/>
              <w:rPr>
                <w:rFonts w:ascii="Times New Roman" w:hAnsi="Times New Roman" w:eastAsia="宋体" w:cs="Times New Roman"/>
                <w:color w:val="auto"/>
                <w:sz w:val="24"/>
                <w:szCs w:val="24"/>
                <w:highlight w:val="none"/>
              </w:rPr>
            </w:pPr>
          </w:p>
        </w:tc>
        <w:tc>
          <w:tcPr>
            <w:tcW w:w="2841" w:type="dxa"/>
            <w:noWrap w:val="0"/>
          </w:tcPr>
          <w:p w14:paraId="3C253653">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详见投标文件</w:t>
            </w:r>
          </w:p>
        </w:tc>
        <w:tc>
          <w:tcPr>
            <w:tcW w:w="2841" w:type="dxa"/>
            <w:noWrap w:val="0"/>
          </w:tcPr>
          <w:p w14:paraId="0AFEFABB">
            <w:pPr>
              <w:spacing w:line="500" w:lineRule="exact"/>
              <w:jc w:val="center"/>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元/吨</w:t>
            </w:r>
          </w:p>
        </w:tc>
      </w:tr>
      <w:tr w14:paraId="4E68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017BCDCB">
            <w:pPr>
              <w:spacing w:line="500" w:lineRule="exact"/>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投标报价</w:t>
            </w:r>
            <w:r>
              <w:rPr>
                <w:rFonts w:hint="eastAsia" w:ascii="Times New Roman" w:hAnsi="Times New Roman" w:eastAsia="宋体" w:cs="Times New Roman"/>
                <w:color w:val="auto"/>
                <w:sz w:val="24"/>
                <w:szCs w:val="24"/>
                <w:highlight w:val="none"/>
              </w:rPr>
              <w:t>（单价）</w:t>
            </w:r>
            <w:r>
              <w:rPr>
                <w:rFonts w:ascii="Times New Roman" w:hAnsi="Times New Roman" w:eastAsia="宋体" w:cs="Times New Roman"/>
                <w:color w:val="auto"/>
                <w:sz w:val="24"/>
                <w:szCs w:val="24"/>
                <w:highlight w:val="none"/>
              </w:rPr>
              <w:t>（大写）</w:t>
            </w:r>
          </w:p>
        </w:tc>
        <w:tc>
          <w:tcPr>
            <w:tcW w:w="5682" w:type="dxa"/>
            <w:gridSpan w:val="2"/>
            <w:noWrap w:val="0"/>
          </w:tcPr>
          <w:p w14:paraId="0D60781E">
            <w:pPr>
              <w:spacing w:line="500" w:lineRule="exact"/>
              <w:jc w:val="center"/>
              <w:rPr>
                <w:rFonts w:ascii="Times New Roman" w:hAnsi="Times New Roman" w:eastAsia="宋体" w:cs="Times New Roman"/>
                <w:color w:val="auto"/>
                <w:sz w:val="24"/>
                <w:szCs w:val="24"/>
                <w:highlight w:val="none"/>
              </w:rPr>
            </w:pPr>
          </w:p>
        </w:tc>
      </w:tr>
    </w:tbl>
    <w:p w14:paraId="4213DC5F">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ascii="Times New Roman" w:hAnsi="Times New Roman" w:eastAsia="宋体" w:cs="Times New Roman"/>
          <w:color w:val="auto"/>
          <w:sz w:val="24"/>
          <w:szCs w:val="24"/>
          <w:highlight w:val="none"/>
        </w:rPr>
        <w:t>公章：</w:t>
      </w:r>
      <w:r>
        <w:rPr>
          <w:rFonts w:hint="eastAsia" w:ascii="Times New Roman" w:hAnsi="Times New Roman" w:eastAsia="宋体" w:cs="Times New Roman"/>
          <w:color w:val="auto"/>
          <w:sz w:val="24"/>
          <w:szCs w:val="24"/>
          <w:highlight w:val="none"/>
        </w:rPr>
        <w:t>（电子签章）</w:t>
      </w:r>
    </w:p>
    <w:p w14:paraId="5F6CF3C2">
      <w:pPr>
        <w:spacing w:line="500" w:lineRule="exact"/>
        <w:rPr>
          <w:rFonts w:ascii="Times New Roman" w:hAnsi="Times New Roman" w:eastAsia="宋体" w:cs="Times New Roman"/>
          <w:color w:val="auto"/>
          <w:sz w:val="24"/>
          <w:szCs w:val="24"/>
          <w:highlight w:val="none"/>
        </w:rPr>
      </w:pPr>
    </w:p>
    <w:p w14:paraId="054223FD">
      <w:pPr>
        <w:spacing w:line="500" w:lineRule="exact"/>
        <w:rPr>
          <w:rFonts w:ascii="Times New Roman" w:hAnsi="Times New Roman" w:eastAsia="宋体" w:cs="Times New Roman"/>
          <w:color w:val="auto"/>
          <w:sz w:val="24"/>
          <w:szCs w:val="24"/>
          <w:highlight w:val="none"/>
        </w:rPr>
      </w:pPr>
    </w:p>
    <w:p w14:paraId="710F40D2">
      <w:pPr>
        <w:rPr>
          <w:color w:val="auto"/>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E7A3D80-ACD1-40AB-8223-5A8B60E03CD9}"/>
  </w:font>
  <w:font w:name="黑体">
    <w:panose1 w:val="02010609060101010101"/>
    <w:charset w:val="86"/>
    <w:family w:val="auto"/>
    <w:pitch w:val="default"/>
    <w:sig w:usb0="800002BF" w:usb1="38CF7CFA" w:usb2="00000016" w:usb3="00000000" w:csb0="00040001" w:csb1="00000000"/>
    <w:embedRegular r:id="rId2" w:fontKey="{287F767A-AD76-43EE-A87D-0346DB0EDA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087EAD1-0BBA-4384-A562-C05C5AB9CE16}"/>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embedRegular r:id="rId4" w:fontKey="{C1943802-751C-4FE6-BBBF-95A879CFE0FD}"/>
  </w:font>
  <w:font w:name="方正中等线简体">
    <w:altName w:val="宋体"/>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5" w:fontKey="{82937BB4-B807-44F6-8F34-2171AE05D6CF}"/>
  </w:font>
  <w:font w:name="Showcard Gothic">
    <w:panose1 w:val="04020904020102020604"/>
    <w:charset w:val="00"/>
    <w:family w:val="auto"/>
    <w:pitch w:val="default"/>
    <w:sig w:usb0="00000003" w:usb1="00000000" w:usb2="00000000" w:usb3="00000000" w:csb0="20000001" w:csb1="00000000"/>
    <w:embedRegular r:id="rId6" w:fontKey="{AC4C68AE-1C2C-4F4E-BD30-BFD86576D029}"/>
  </w:font>
  <w:font w:name="方正仿宋_GBK">
    <w:panose1 w:val="03000509000000000000"/>
    <w:charset w:val="86"/>
    <w:family w:val="auto"/>
    <w:pitch w:val="default"/>
    <w:sig w:usb0="00000001" w:usb1="080E0000" w:usb2="00000000" w:usb3="00000000" w:csb0="00040000" w:csb1="00000000"/>
    <w:embedRegular r:id="rId7" w:fontKey="{9651B93D-33C9-40D1-B503-FB7F7C9A0E5F}"/>
  </w:font>
  <w:font w:name="WPSEMBED2">
    <w:panose1 w:val="02010609030101010101"/>
    <w:charset w:val="86"/>
    <w:family w:val="auto"/>
    <w:pitch w:val="default"/>
    <w:sig w:usb0="00000001" w:usb1="080E0000" w:usb2="00000000" w:usb3="00000000" w:csb0="00040000" w:csb1="00000000"/>
  </w:font>
  <w:font w:name="WPSEMBED1">
    <w:panose1 w:val="02020609040205080304"/>
    <w:charset w:val="80"/>
    <w:family w:val="auto"/>
    <w:pitch w:val="default"/>
    <w:sig w:usb0="E00002FF" w:usb1="6AC7FDFB" w:usb2="00000012" w:usb3="00000000" w:csb0="4002009F" w:csb1="DFD70000"/>
  </w:font>
  <w:font w:name="WPSEMBED3">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17955">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380A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3F380AF">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241BBD4D">
    <w:pPr>
      <w:pStyle w:val="1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BE6A2">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B583E">
    <w:pPr>
      <w:pStyle w:val="1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031273">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1031273">
                    <w:pPr>
                      <w:pStyle w:val="12"/>
                    </w:pPr>
                    <w:r>
                      <w:fldChar w:fldCharType="begin"/>
                    </w:r>
                    <w:r>
                      <w:instrText xml:space="preserve"> PAGE  \* MERGEFORMAT </w:instrText>
                    </w:r>
                    <w:r>
                      <w:fldChar w:fldCharType="separate"/>
                    </w:r>
                    <w:r>
                      <w:t>2</w:t>
                    </w:r>
                    <w:r>
                      <w:fldChar w:fldCharType="end"/>
                    </w:r>
                  </w:p>
                </w:txbxContent>
              </v:textbox>
            </v:shape>
          </w:pict>
        </mc:Fallback>
      </mc:AlternateContent>
    </w:r>
  </w:p>
  <w:p w14:paraId="2967E96B">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0016A">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6426"/>
                            <w:docPartObj>
                              <w:docPartGallery w:val="autotext"/>
                            </w:docPartObj>
                          </w:sdtPr>
                          <w:sdtContent>
                            <w:p w14:paraId="5D8F8BE4">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1B14D3E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66426"/>
                      <w:docPartObj>
                        <w:docPartGallery w:val="autotext"/>
                      </w:docPartObj>
                    </w:sdtPr>
                    <w:sdtContent>
                      <w:p w14:paraId="5D8F8BE4">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1B14D3E5"/>
                </w:txbxContent>
              </v:textbox>
            </v:shape>
          </w:pict>
        </mc:Fallback>
      </mc:AlternateContent>
    </w:r>
  </w:p>
  <w:p w14:paraId="7F192ED0">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922AA">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F277EC">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F277EC">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EF68B">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47459532"/>
                            <w:docPartObj>
                              <w:docPartGallery w:val="autotext"/>
                            </w:docPartObj>
                          </w:sdtPr>
                          <w:sdtContent>
                            <w:p w14:paraId="447968A0">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60B3417C">
                          <w:pPr>
                            <w:pStyle w:val="6"/>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sdt>
                    <w:sdtPr>
                      <w:id w:val="147459532"/>
                      <w:docPartObj>
                        <w:docPartGallery w:val="autotext"/>
                      </w:docPartObj>
                    </w:sdtPr>
                    <w:sdtContent>
                      <w:p w14:paraId="447968A0">
                        <w:pPr>
                          <w:pStyle w:val="12"/>
                          <w:jc w:val="center"/>
                        </w:pPr>
                        <w:r>
                          <w:fldChar w:fldCharType="begin"/>
                        </w:r>
                        <w:r>
                          <w:instrText xml:space="preserve"> PAGE   \* MERGEFORMAT </w:instrText>
                        </w:r>
                        <w:r>
                          <w:fldChar w:fldCharType="separate"/>
                        </w:r>
                        <w:r>
                          <w:rPr>
                            <w:lang w:val="zh-CN"/>
                          </w:rPr>
                          <w:t>41</w:t>
                        </w:r>
                        <w:r>
                          <w:rPr>
                            <w:lang w:val="zh-CN"/>
                          </w:rPr>
                          <w:fldChar w:fldCharType="end"/>
                        </w:r>
                      </w:p>
                    </w:sdtContent>
                  </w:sdt>
                  <w:p w14:paraId="60B3417C">
                    <w:pPr>
                      <w:pStyle w:val="6"/>
                    </w:pPr>
                  </w:p>
                </w:txbxContent>
              </v:textbox>
            </v:shape>
          </w:pict>
        </mc:Fallback>
      </mc:AlternateContent>
    </w:r>
  </w:p>
  <w:p w14:paraId="7A1E5D60">
    <w:pPr>
      <w:pStyle w:val="1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3C9A7">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E4E7FD">
                          <w:pPr>
                            <w:pStyle w:val="1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42E4E7F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10"/>
    <w:multiLevelType w:val="multilevel"/>
    <w:tmpl w:val="00000010"/>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378C12A6"/>
    <w:rsid w:val="00B32AEA"/>
    <w:rsid w:val="011774D4"/>
    <w:rsid w:val="01D803E5"/>
    <w:rsid w:val="029E22AC"/>
    <w:rsid w:val="02AB3C57"/>
    <w:rsid w:val="033318F7"/>
    <w:rsid w:val="034F4BFC"/>
    <w:rsid w:val="035241C7"/>
    <w:rsid w:val="03581CA7"/>
    <w:rsid w:val="03BD48A4"/>
    <w:rsid w:val="046C3066"/>
    <w:rsid w:val="05300538"/>
    <w:rsid w:val="05B44CC5"/>
    <w:rsid w:val="0616772D"/>
    <w:rsid w:val="06367DD0"/>
    <w:rsid w:val="06755A67"/>
    <w:rsid w:val="073F09CD"/>
    <w:rsid w:val="075E75DE"/>
    <w:rsid w:val="079C3C62"/>
    <w:rsid w:val="081A0FF6"/>
    <w:rsid w:val="091C14FF"/>
    <w:rsid w:val="0AE0655C"/>
    <w:rsid w:val="0B785E14"/>
    <w:rsid w:val="0BC415A1"/>
    <w:rsid w:val="0D077DD0"/>
    <w:rsid w:val="0D4F6A66"/>
    <w:rsid w:val="0D7F62EA"/>
    <w:rsid w:val="0DA6583B"/>
    <w:rsid w:val="0DDB1F75"/>
    <w:rsid w:val="0DDE3227"/>
    <w:rsid w:val="0DF04D08"/>
    <w:rsid w:val="0E1A1D85"/>
    <w:rsid w:val="0E8211A9"/>
    <w:rsid w:val="0EB54701"/>
    <w:rsid w:val="0EBD4901"/>
    <w:rsid w:val="103967BE"/>
    <w:rsid w:val="106B68C8"/>
    <w:rsid w:val="10710382"/>
    <w:rsid w:val="1092654A"/>
    <w:rsid w:val="12154C55"/>
    <w:rsid w:val="126E72EB"/>
    <w:rsid w:val="14607C5B"/>
    <w:rsid w:val="149955F1"/>
    <w:rsid w:val="149E5B5B"/>
    <w:rsid w:val="14E60345"/>
    <w:rsid w:val="15CE3B81"/>
    <w:rsid w:val="16AB5C70"/>
    <w:rsid w:val="16E96678"/>
    <w:rsid w:val="171A79A5"/>
    <w:rsid w:val="17361868"/>
    <w:rsid w:val="173A3897"/>
    <w:rsid w:val="17852965"/>
    <w:rsid w:val="17EF03C8"/>
    <w:rsid w:val="18D05E62"/>
    <w:rsid w:val="18F1010C"/>
    <w:rsid w:val="19525540"/>
    <w:rsid w:val="195E16BF"/>
    <w:rsid w:val="1A531B6B"/>
    <w:rsid w:val="1C1B6E4E"/>
    <w:rsid w:val="1CA473E2"/>
    <w:rsid w:val="1DE001DB"/>
    <w:rsid w:val="1DFD058F"/>
    <w:rsid w:val="1EF3019C"/>
    <w:rsid w:val="1F19745B"/>
    <w:rsid w:val="1FC93F88"/>
    <w:rsid w:val="20020FF7"/>
    <w:rsid w:val="20256A93"/>
    <w:rsid w:val="20C20786"/>
    <w:rsid w:val="21627873"/>
    <w:rsid w:val="21D54144"/>
    <w:rsid w:val="239F090A"/>
    <w:rsid w:val="24B6415E"/>
    <w:rsid w:val="24DB0068"/>
    <w:rsid w:val="24E34252"/>
    <w:rsid w:val="24E46F1D"/>
    <w:rsid w:val="24F222C3"/>
    <w:rsid w:val="26DF2DDD"/>
    <w:rsid w:val="26F31699"/>
    <w:rsid w:val="276B56D3"/>
    <w:rsid w:val="28CF3A40"/>
    <w:rsid w:val="28FC05AD"/>
    <w:rsid w:val="296F488D"/>
    <w:rsid w:val="297939AC"/>
    <w:rsid w:val="29995DFC"/>
    <w:rsid w:val="29D55086"/>
    <w:rsid w:val="2A336250"/>
    <w:rsid w:val="2A3D0E7D"/>
    <w:rsid w:val="2AD06FC6"/>
    <w:rsid w:val="2AF3793F"/>
    <w:rsid w:val="2B6A3EF4"/>
    <w:rsid w:val="2BA61F81"/>
    <w:rsid w:val="2BBC740E"/>
    <w:rsid w:val="2BD66E93"/>
    <w:rsid w:val="2DDD275B"/>
    <w:rsid w:val="2DF34247"/>
    <w:rsid w:val="2DFB6B43"/>
    <w:rsid w:val="2E20089A"/>
    <w:rsid w:val="2E9574DA"/>
    <w:rsid w:val="2ECE016E"/>
    <w:rsid w:val="30653404"/>
    <w:rsid w:val="30BD6874"/>
    <w:rsid w:val="3102072B"/>
    <w:rsid w:val="314244BB"/>
    <w:rsid w:val="31E56C92"/>
    <w:rsid w:val="32007382"/>
    <w:rsid w:val="325B6344"/>
    <w:rsid w:val="33E16D1D"/>
    <w:rsid w:val="3401148B"/>
    <w:rsid w:val="34050C6D"/>
    <w:rsid w:val="342A2472"/>
    <w:rsid w:val="36821072"/>
    <w:rsid w:val="36A64DCF"/>
    <w:rsid w:val="378C12A6"/>
    <w:rsid w:val="38BB50A4"/>
    <w:rsid w:val="39581830"/>
    <w:rsid w:val="3971281A"/>
    <w:rsid w:val="3B651FE2"/>
    <w:rsid w:val="3C64371D"/>
    <w:rsid w:val="3DA15EE1"/>
    <w:rsid w:val="3F3D74FE"/>
    <w:rsid w:val="3F680CA8"/>
    <w:rsid w:val="3F7776CB"/>
    <w:rsid w:val="40AE2D6A"/>
    <w:rsid w:val="40F65387"/>
    <w:rsid w:val="41395ED2"/>
    <w:rsid w:val="41500863"/>
    <w:rsid w:val="42042651"/>
    <w:rsid w:val="428B4A24"/>
    <w:rsid w:val="42B775C7"/>
    <w:rsid w:val="437C436D"/>
    <w:rsid w:val="43A86F10"/>
    <w:rsid w:val="43AF49F0"/>
    <w:rsid w:val="4436276D"/>
    <w:rsid w:val="45C51FFB"/>
    <w:rsid w:val="45F75F2C"/>
    <w:rsid w:val="471A6376"/>
    <w:rsid w:val="47913F2F"/>
    <w:rsid w:val="47AA7C5B"/>
    <w:rsid w:val="47F829B3"/>
    <w:rsid w:val="484A423B"/>
    <w:rsid w:val="4A3B3C44"/>
    <w:rsid w:val="4A774BD5"/>
    <w:rsid w:val="4B7D6ED4"/>
    <w:rsid w:val="4C683269"/>
    <w:rsid w:val="4D277BC6"/>
    <w:rsid w:val="4D7248E1"/>
    <w:rsid w:val="4E174837"/>
    <w:rsid w:val="4EB66985"/>
    <w:rsid w:val="4EE76E45"/>
    <w:rsid w:val="4F4258C9"/>
    <w:rsid w:val="4FE94B38"/>
    <w:rsid w:val="50422587"/>
    <w:rsid w:val="50543185"/>
    <w:rsid w:val="51A90A23"/>
    <w:rsid w:val="51D01759"/>
    <w:rsid w:val="523E3732"/>
    <w:rsid w:val="52B901E3"/>
    <w:rsid w:val="52E75D5D"/>
    <w:rsid w:val="52F967D5"/>
    <w:rsid w:val="53AA771C"/>
    <w:rsid w:val="54111E99"/>
    <w:rsid w:val="547E7F44"/>
    <w:rsid w:val="552D1C3E"/>
    <w:rsid w:val="555B01CC"/>
    <w:rsid w:val="55706180"/>
    <w:rsid w:val="55E71B19"/>
    <w:rsid w:val="55F14746"/>
    <w:rsid w:val="56847368"/>
    <w:rsid w:val="5719629E"/>
    <w:rsid w:val="5730129E"/>
    <w:rsid w:val="580D12DE"/>
    <w:rsid w:val="58C34141"/>
    <w:rsid w:val="58EA56EF"/>
    <w:rsid w:val="590B7863"/>
    <w:rsid w:val="59A65848"/>
    <w:rsid w:val="59E7033A"/>
    <w:rsid w:val="5B01542B"/>
    <w:rsid w:val="5B025F70"/>
    <w:rsid w:val="5B05508F"/>
    <w:rsid w:val="5C2E1802"/>
    <w:rsid w:val="5C40572D"/>
    <w:rsid w:val="5C653798"/>
    <w:rsid w:val="5D0E3E30"/>
    <w:rsid w:val="5D8109A5"/>
    <w:rsid w:val="5D8F2372"/>
    <w:rsid w:val="5E023994"/>
    <w:rsid w:val="5ED16ACE"/>
    <w:rsid w:val="5EEA61D6"/>
    <w:rsid w:val="5F531FCE"/>
    <w:rsid w:val="617E2D66"/>
    <w:rsid w:val="62775FD3"/>
    <w:rsid w:val="62B17737"/>
    <w:rsid w:val="62CA07F9"/>
    <w:rsid w:val="62F46FED"/>
    <w:rsid w:val="6319336A"/>
    <w:rsid w:val="64632CB3"/>
    <w:rsid w:val="65B55790"/>
    <w:rsid w:val="65F362B8"/>
    <w:rsid w:val="66187ACD"/>
    <w:rsid w:val="66E77BCB"/>
    <w:rsid w:val="67177D85"/>
    <w:rsid w:val="672A5D0A"/>
    <w:rsid w:val="67570A7C"/>
    <w:rsid w:val="67904353"/>
    <w:rsid w:val="68317A57"/>
    <w:rsid w:val="687A5F30"/>
    <w:rsid w:val="68C11E75"/>
    <w:rsid w:val="6A4F089F"/>
    <w:rsid w:val="6A9A4F55"/>
    <w:rsid w:val="6B3233DF"/>
    <w:rsid w:val="6BCD412D"/>
    <w:rsid w:val="6C3C2D57"/>
    <w:rsid w:val="6C7E4086"/>
    <w:rsid w:val="6CA43E69"/>
    <w:rsid w:val="6D7C5C54"/>
    <w:rsid w:val="6E080427"/>
    <w:rsid w:val="6EB32090"/>
    <w:rsid w:val="6F4162E7"/>
    <w:rsid w:val="712B4B58"/>
    <w:rsid w:val="71CD20B4"/>
    <w:rsid w:val="72021B5A"/>
    <w:rsid w:val="72A93F87"/>
    <w:rsid w:val="72DA05E4"/>
    <w:rsid w:val="736816AF"/>
    <w:rsid w:val="739369E5"/>
    <w:rsid w:val="74FF07D6"/>
    <w:rsid w:val="75267B11"/>
    <w:rsid w:val="756E14B8"/>
    <w:rsid w:val="757A5787"/>
    <w:rsid w:val="75846EE4"/>
    <w:rsid w:val="75C31803"/>
    <w:rsid w:val="76FE17D0"/>
    <w:rsid w:val="772A140E"/>
    <w:rsid w:val="78655905"/>
    <w:rsid w:val="793B2EF7"/>
    <w:rsid w:val="7A0128FA"/>
    <w:rsid w:val="7B2E3BC3"/>
    <w:rsid w:val="7BEB3862"/>
    <w:rsid w:val="7C877FB0"/>
    <w:rsid w:val="7D1B1F25"/>
    <w:rsid w:val="7D7E7A5C"/>
    <w:rsid w:val="7E0724A9"/>
    <w:rsid w:val="7E3F7BB1"/>
    <w:rsid w:val="7E454164"/>
    <w:rsid w:val="7E953F59"/>
    <w:rsid w:val="7F120B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5"/>
    <w:unhideWhenUsed/>
    <w:qFormat/>
    <w:uiPriority w:val="9"/>
    <w:pPr>
      <w:keepNext/>
      <w:keepLines/>
      <w:spacing w:before="260" w:after="260" w:line="416" w:lineRule="auto"/>
      <w:outlineLvl w:val="2"/>
    </w:pPr>
    <w:rPr>
      <w:b/>
      <w:bCs/>
      <w:sz w:val="32"/>
      <w:szCs w:val="32"/>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7">
    <w:name w:val="Body Text"/>
    <w:basedOn w:val="1"/>
    <w:next w:val="1"/>
    <w:qFormat/>
    <w:uiPriority w:val="0"/>
    <w:pPr>
      <w:autoSpaceDE w:val="0"/>
      <w:autoSpaceDN w:val="0"/>
      <w:adjustRightInd w:val="0"/>
    </w:pPr>
    <w:rPr>
      <w:rFonts w:eastAsia="楷体_GB2312"/>
      <w:b/>
      <w:bCs/>
      <w:color w:val="FF0000"/>
      <w:sz w:val="32"/>
      <w:szCs w:val="32"/>
      <w:lang w:val="zh-CN"/>
    </w:rPr>
  </w:style>
  <w:style w:type="paragraph" w:styleId="8">
    <w:name w:val="Body Text Indent"/>
    <w:basedOn w:val="1"/>
    <w:next w:val="9"/>
    <w:qFormat/>
    <w:uiPriority w:val="0"/>
    <w:pPr>
      <w:ind w:firstLine="645"/>
    </w:pPr>
    <w:rPr>
      <w:rFonts w:ascii="楷体_GB2312" w:eastAsia="楷体_GB2312"/>
      <w:sz w:val="32"/>
      <w:szCs w:val="20"/>
    </w:rPr>
  </w:style>
  <w:style w:type="paragraph" w:styleId="9">
    <w:name w:val="envelope return"/>
    <w:basedOn w:val="1"/>
    <w:qFormat/>
    <w:uiPriority w:val="99"/>
    <w:pPr>
      <w:snapToGrid w:val="0"/>
    </w:pPr>
    <w:rPr>
      <w:rFonts w:ascii="Arial" w:hAnsi="Arial"/>
    </w:rPr>
  </w:style>
  <w:style w:type="paragraph" w:styleId="10">
    <w:name w:val="Block Text"/>
    <w:basedOn w:val="1"/>
    <w:qFormat/>
    <w:uiPriority w:val="0"/>
    <w:pPr>
      <w:widowControl w:val="0"/>
      <w:tabs>
        <w:tab w:val="left" w:pos="9420"/>
      </w:tabs>
      <w:ind w:left="840" w:right="210" w:rightChars="100"/>
      <w:jc w:val="both"/>
    </w:pPr>
    <w:rPr>
      <w:rFonts w:ascii="宋体" w:hAnsi="宋体" w:eastAsia="宋体" w:cs="Times New Roman"/>
      <w:kern w:val="2"/>
      <w:sz w:val="24"/>
      <w:szCs w:val="24"/>
      <w:lang w:val="en-US" w:eastAsia="zh-CN" w:bidi="ar-SA"/>
    </w:rPr>
  </w:style>
  <w:style w:type="paragraph" w:styleId="11">
    <w:name w:val="Plain Text"/>
    <w:basedOn w:val="1"/>
    <w:qFormat/>
    <w:uiPriority w:val="0"/>
    <w:rPr>
      <w:rFonts w:ascii="宋体" w:hAnsi="Courier New" w:eastAsia="宋体" w:cs="Times New Roman"/>
      <w:szCs w:val="20"/>
    </w:rPr>
  </w:style>
  <w:style w:type="paragraph" w:styleId="12">
    <w:name w:val="footer"/>
    <w:basedOn w:val="1"/>
    <w:unhideWhenUsed/>
    <w:qFormat/>
    <w:uiPriority w:val="99"/>
    <w:pPr>
      <w:tabs>
        <w:tab w:val="center" w:pos="4153"/>
        <w:tab w:val="right" w:pos="8306"/>
      </w:tabs>
      <w:jc w:val="left"/>
    </w:pPr>
    <w:rPr>
      <w:sz w:val="18"/>
      <w:szCs w:val="18"/>
    </w:rPr>
  </w:style>
  <w:style w:type="paragraph" w:styleId="13">
    <w:name w:val="header"/>
    <w:basedOn w:val="1"/>
    <w:next w:val="1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4">
    <w:name w:val="Quote1"/>
    <w:basedOn w:val="1"/>
    <w:next w:val="1"/>
    <w:qFormat/>
    <w:uiPriority w:val="99"/>
    <w:pPr>
      <w:widowControl/>
      <w:wordWrap w:val="0"/>
      <w:spacing w:before="200" w:after="160"/>
      <w:ind w:left="864" w:right="864"/>
      <w:jc w:val="center"/>
    </w:pPr>
    <w:rPr>
      <w:rFonts w:ascii="宋体"/>
      <w:i/>
      <w:color w:val="404040"/>
    </w:rPr>
  </w:style>
  <w:style w:type="paragraph" w:styleId="15">
    <w:name w:val="toc 1"/>
    <w:basedOn w:val="1"/>
    <w:next w:val="1"/>
    <w:unhideWhenUsed/>
    <w:qFormat/>
    <w:uiPriority w:val="39"/>
  </w:style>
  <w:style w:type="paragraph" w:styleId="16">
    <w:name w:val="Body Text First Indent"/>
    <w:basedOn w:val="7"/>
    <w:unhideWhenUsed/>
    <w:qFormat/>
    <w:uiPriority w:val="99"/>
    <w:pPr>
      <w:ind w:firstLine="420" w:firstLineChars="10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Hyperlink"/>
    <w:qFormat/>
    <w:uiPriority w:val="99"/>
    <w:rPr>
      <w:color w:val="0000FF"/>
      <w:u w:val="none"/>
    </w:rPr>
  </w:style>
  <w:style w:type="character" w:styleId="21">
    <w:name w:val="annotation reference"/>
    <w:qFormat/>
    <w:uiPriority w:val="0"/>
    <w:rPr>
      <w:sz w:val="21"/>
      <w:szCs w:val="21"/>
    </w:rPr>
  </w:style>
  <w:style w:type="paragraph" w:customStyle="1" w:styleId="22">
    <w:name w:val="Table Text"/>
    <w:basedOn w:val="1"/>
    <w:semiHidden/>
    <w:qFormat/>
    <w:uiPriority w:val="0"/>
    <w:rPr>
      <w:rFonts w:ascii="宋体" w:hAnsi="宋体" w:eastAsia="宋体" w:cs="宋体"/>
      <w:sz w:val="24"/>
      <w:szCs w:val="24"/>
      <w:lang w:val="en-US" w:eastAsia="en-US" w:bidi="ar-SA"/>
    </w:rPr>
  </w:style>
  <w:style w:type="table" w:customStyle="1" w:styleId="23">
    <w:name w:val="Table Normal"/>
    <w:unhideWhenUsed/>
    <w:qFormat/>
    <w:uiPriority w:val="0"/>
    <w:tblPr>
      <w:tblCellMar>
        <w:top w:w="0" w:type="dxa"/>
        <w:left w:w="0" w:type="dxa"/>
        <w:bottom w:w="0" w:type="dxa"/>
        <w:right w:w="0" w:type="dxa"/>
      </w:tblCellMar>
    </w:tblPr>
  </w:style>
  <w:style w:type="paragraph" w:customStyle="1" w:styleId="24">
    <w:name w:val="Default"/>
    <w:qFormat/>
    <w:uiPriority w:val="99"/>
    <w:pPr>
      <w:widowControl w:val="0"/>
    </w:pPr>
    <w:rPr>
      <w:rFonts w:hint="default" w:ascii="MS Mincho" w:hAnsi="Calibri" w:eastAsia="宋体" w:cs="Times New Roman"/>
      <w:color w:val="000000"/>
      <w:sz w:val="21"/>
      <w:szCs w:val="24"/>
    </w:rPr>
  </w:style>
  <w:style w:type="paragraph" w:customStyle="1" w:styleId="25">
    <w:name w:val="Char"/>
    <w:basedOn w:val="1"/>
    <w:qFormat/>
    <w:uiPriority w:val="0"/>
    <w:pPr>
      <w:tabs>
        <w:tab w:val="left" w:pos="360"/>
      </w:tabs>
      <w:ind w:firstLine="200"/>
    </w:pPr>
    <w:rPr>
      <w:sz w:val="28"/>
      <w:szCs w:val="30"/>
    </w:rPr>
  </w:style>
  <w:style w:type="paragraph" w:customStyle="1" w:styleId="26">
    <w:name w:val="普通正文"/>
    <w:basedOn w:val="1"/>
    <w:qFormat/>
    <w:uiPriority w:val="0"/>
    <w:pPr>
      <w:spacing w:before="120" w:after="120" w:line="360" w:lineRule="auto"/>
      <w:ind w:firstLine="480"/>
      <w:jc w:val="left"/>
    </w:pPr>
    <w:rPr>
      <w:rFonts w:ascii="Arial" w:hAnsi="Arial"/>
      <w:sz w:val="24"/>
      <w:szCs w:val="24"/>
    </w:rPr>
  </w:style>
  <w:style w:type="paragraph" w:styleId="27">
    <w:name w:val="List Paragraph"/>
    <w:basedOn w:val="1"/>
    <w:qFormat/>
    <w:uiPriority w:val="0"/>
    <w:pPr>
      <w:ind w:firstLine="420" w:firstLineChars="200"/>
    </w:pPr>
    <w:rPr>
      <w:rFonts w:ascii="Calibri" w:hAnsi="Calibri"/>
      <w:szCs w:val="22"/>
    </w:rPr>
  </w:style>
  <w:style w:type="paragraph" w:customStyle="1" w:styleId="28">
    <w:name w:val="段落大意"/>
    <w:qFormat/>
    <w:uiPriority w:val="0"/>
    <w:pPr>
      <w:snapToGrid w:val="0"/>
      <w:spacing w:line="300" w:lineRule="auto"/>
      <w:ind w:firstLine="200" w:firstLineChars="200"/>
      <w:jc w:val="both"/>
    </w:pPr>
    <w:rPr>
      <w:rFonts w:ascii="方正中等线简体" w:hAnsi="方正中等线简体" w:eastAsia="方正中等线简体" w:cs="方正中等线简体"/>
      <w:kern w:val="2"/>
      <w:sz w:val="21"/>
      <w:szCs w:val="22"/>
      <w:lang w:val="en-US" w:eastAsia="zh-CN" w:bidi="ar-SA"/>
    </w:rPr>
  </w:style>
  <w:style w:type="paragraph" w:customStyle="1" w:styleId="29">
    <w:name w:val="列表段落1"/>
    <w:basedOn w:val="1"/>
    <w:qFormat/>
    <w:uiPriority w:val="99"/>
    <w:pPr>
      <w:autoSpaceDE w:val="0"/>
      <w:autoSpaceDN w:val="0"/>
      <w:ind w:firstLine="420" w:firstLineChars="200"/>
      <w:jc w:val="left"/>
    </w:pPr>
    <w:rPr>
      <w:rFonts w:ascii="宋体" w:hAnsi="宋体" w:eastAsia="宋体" w:cs="宋体"/>
      <w:kern w:val="0"/>
      <w:sz w:val="22"/>
      <w:lang w:val="zh-CN" w:bidi="zh-CN"/>
    </w:rPr>
  </w:style>
  <w:style w:type="paragraph" w:customStyle="1" w:styleId="30">
    <w:name w:val="列出段落4"/>
    <w:basedOn w:val="1"/>
    <w:unhideWhenUsed/>
    <w:qFormat/>
    <w:uiPriority w:val="99"/>
    <w:pPr>
      <w:spacing w:line="240" w:lineRule="auto"/>
      <w:ind w:firstLine="420"/>
    </w:pPr>
    <w:rPr>
      <w:rFonts w:ascii="Calibri" w:hAnsi="Calibri" w:eastAsia="楷体"/>
      <w:sz w:val="21"/>
      <w:szCs w:val="22"/>
    </w:rPr>
  </w:style>
  <w:style w:type="paragraph" w:customStyle="1" w:styleId="31">
    <w:name w:val="标题 31"/>
    <w:next w:val="1"/>
    <w:qFormat/>
    <w:uiPriority w:val="0"/>
    <w:pPr>
      <w:keepNext/>
      <w:keepLines/>
      <w:widowControl w:val="0"/>
      <w:spacing w:before="260" w:after="260" w:line="416" w:lineRule="auto"/>
      <w:jc w:val="both"/>
      <w:outlineLvl w:val="2"/>
    </w:pPr>
    <w:rPr>
      <w:rFonts w:ascii="Times New Roman" w:hAnsi="Times New Roman" w:eastAsiaTheme="minorEastAsia" w:cstheme="minorBidi"/>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17072</Words>
  <Characters>18053</Characters>
  <Lines>0</Lines>
  <Paragraphs>0</Paragraphs>
  <TotalTime>1</TotalTime>
  <ScaleCrop>false</ScaleCrop>
  <LinksUpToDate>false</LinksUpToDate>
  <CharactersWithSpaces>18497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2024-04-18T07:05:00Z</dcterms:created>
  <dc:creator>ღ_wEn</dc:creator>
  <cp:lastModifiedBy>微风，拂过脸</cp:lastModifiedBy>
  <dcterms:modified xsi:type="dcterms:W3CDTF">2026-04-08T01:53:01Z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CBB86247D6384C188AEA7A3496B69BD4_11</vt:lpwstr>
  </property>
  <property fmtid="{D5CDD505-2E9C-101B-9397-08002B2CF9AE}" pid="4" name="KSOTemplateDocerSaveRecord">
    <vt:lpwstr>eyJoZGlkIjoiOTM5NTQzM2JmMTRkOWJkNTAyYmUzNTBkZDA0MWM4YjciLCJ1c2VySWQiOiIyNTgwNDk4MzkifQ==</vt:lpwstr>
  </property>
</Properties>
</file>